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8826" w14:textId="49F7ED0E" w:rsidR="00104222" w:rsidRDefault="00C6453B">
      <w:r>
        <w:t>Slide #1</w:t>
      </w:r>
    </w:p>
    <w:p w14:paraId="1360C383" w14:textId="77777777" w:rsidR="00104222" w:rsidRPr="00104222" w:rsidRDefault="00104222" w:rsidP="00104222">
      <w:r w:rsidRPr="00104222">
        <w:rPr>
          <w:b/>
          <w:bCs/>
        </w:rPr>
        <w:t>Australian biosecurity Webinar</w:t>
      </w:r>
    </w:p>
    <w:p w14:paraId="6A6D90A0" w14:textId="77777777" w:rsidR="00104222" w:rsidRPr="00104222" w:rsidRDefault="00104222" w:rsidP="00104222">
      <w:r w:rsidRPr="00104222">
        <w:t>Budget 2023-24: Sustainable funding for a strong biosecurity system</w:t>
      </w:r>
    </w:p>
    <w:p w14:paraId="5E79E50E" w14:textId="16FE581A" w:rsidR="00C6453B" w:rsidRDefault="00104222">
      <w:r w:rsidRPr="00104222">
        <w:t>1 June 2023</w:t>
      </w:r>
    </w:p>
    <w:p w14:paraId="4D81A1C0" w14:textId="2EE865EB" w:rsidR="00104222" w:rsidRPr="00C6453B" w:rsidRDefault="00C6453B">
      <w:r>
        <w:t>Slide #2</w:t>
      </w:r>
    </w:p>
    <w:p w14:paraId="1B4C055E" w14:textId="2E8C0AA8" w:rsidR="00104222" w:rsidRDefault="00104222">
      <w:pPr>
        <w:rPr>
          <w:b/>
          <w:bCs/>
        </w:rPr>
      </w:pPr>
      <w:r w:rsidRPr="00104222">
        <w:rPr>
          <w:b/>
          <w:bCs/>
        </w:rPr>
        <w:t>Speaker</w:t>
      </w:r>
    </w:p>
    <w:p w14:paraId="68287F64" w14:textId="77777777" w:rsidR="00104222" w:rsidRPr="00104222" w:rsidRDefault="00104222" w:rsidP="00104222">
      <w:r w:rsidRPr="00104222">
        <w:rPr>
          <w:i/>
          <w:iCs/>
        </w:rPr>
        <w:t>Josephine Laduzko</w:t>
      </w:r>
    </w:p>
    <w:p w14:paraId="74AC18B6" w14:textId="77777777" w:rsidR="00104222" w:rsidRPr="00104222" w:rsidRDefault="00104222" w:rsidP="00104222">
      <w:r w:rsidRPr="00104222">
        <w:t>A/g First Assistant Secretary,</w:t>
      </w:r>
    </w:p>
    <w:p w14:paraId="093CE1DA" w14:textId="77777777" w:rsidR="00104222" w:rsidRPr="00104222" w:rsidRDefault="00104222" w:rsidP="00104222">
      <w:r w:rsidRPr="00104222">
        <w:t xml:space="preserve">Biosecurity Funding Sustainability Division  </w:t>
      </w:r>
    </w:p>
    <w:p w14:paraId="578E7B59" w14:textId="3686A3BB" w:rsidR="00104222" w:rsidRDefault="00000000" w:rsidP="00104222">
      <w:hyperlink r:id="rId6" w:history="1">
        <w:r w:rsidR="00104222" w:rsidRPr="00104222">
          <w:rPr>
            <w:rStyle w:val="Hyperlink"/>
          </w:rPr>
          <w:t>Have Your Say </w:t>
        </w:r>
      </w:hyperlink>
      <w:hyperlink r:id="rId7" w:history="1">
        <w:r w:rsidR="00104222" w:rsidRPr="00104222">
          <w:rPr>
            <w:rStyle w:val="Hyperlink"/>
          </w:rPr>
          <w:t>-</w:t>
        </w:r>
      </w:hyperlink>
      <w:hyperlink r:id="rId8" w:history="1">
        <w:r w:rsidR="00104222" w:rsidRPr="00104222">
          <w:rPr>
            <w:rStyle w:val="Hyperlink"/>
          </w:rPr>
          <w:t> </w:t>
        </w:r>
      </w:hyperlink>
      <w:r w:rsidR="00104222" w:rsidRPr="00104222">
        <w:t>haveyoursay.agriculture.gov.au/sustainable-biosecurity-funding</w:t>
      </w:r>
    </w:p>
    <w:p w14:paraId="5C0BB1F9" w14:textId="05C10FC7" w:rsidR="00C6453B" w:rsidRDefault="00C6453B" w:rsidP="00104222">
      <w:r>
        <w:t>Slide #3</w:t>
      </w:r>
    </w:p>
    <w:p w14:paraId="6AE0EB38" w14:textId="77777777" w:rsidR="00104222" w:rsidRPr="00104222" w:rsidRDefault="00104222" w:rsidP="00104222">
      <w:pPr>
        <w:rPr>
          <w:b/>
          <w:bCs/>
        </w:rPr>
      </w:pPr>
      <w:r w:rsidRPr="00104222">
        <w:rPr>
          <w:b/>
          <w:bCs/>
        </w:rPr>
        <w:t xml:space="preserve">Budget 2023-2024 </w:t>
      </w:r>
    </w:p>
    <w:p w14:paraId="5E9ECF8D" w14:textId="77777777" w:rsidR="00104222" w:rsidRPr="00104222" w:rsidRDefault="00104222" w:rsidP="00104222">
      <w:r w:rsidRPr="00104222">
        <w:t>But with biosecurity threats increasing by the day, we cannot afford to be complacent.</w:t>
      </w:r>
    </w:p>
    <w:p w14:paraId="0D8D455E" w14:textId="77777777" w:rsidR="00104222" w:rsidRPr="00104222" w:rsidRDefault="00104222" w:rsidP="00104222">
      <w:r w:rsidRPr="00104222">
        <w:t xml:space="preserve">And we cannot afford to leave our biosecurity operations hostage to uncertain, unpredictable </w:t>
      </w:r>
      <w:proofErr w:type="gramStart"/>
      <w:r w:rsidRPr="00104222">
        <w:t>funding</w:t>
      </w:r>
      <w:proofErr w:type="gramEnd"/>
    </w:p>
    <w:p w14:paraId="7FAAE543" w14:textId="77777777" w:rsidR="00104222" w:rsidRPr="00104222" w:rsidRDefault="00104222" w:rsidP="00104222">
      <w:r w:rsidRPr="00104222">
        <w:t xml:space="preserve">This Budget includes ongoing, long-term funding for biosecurity, and a fairer way to share the cost of the biosecurity </w:t>
      </w:r>
      <w:proofErr w:type="gramStart"/>
      <w:r w:rsidRPr="00104222">
        <w:t>system</w:t>
      </w:r>
      <w:proofErr w:type="gramEnd"/>
    </w:p>
    <w:p w14:paraId="5A2A2B6E" w14:textId="77777777" w:rsidR="00104222" w:rsidRPr="00104222" w:rsidRDefault="00104222" w:rsidP="00104222">
      <w:r w:rsidRPr="00104222">
        <w:t>There will always be a place for surge funding if a serious biosecurity outbreak were to occur.</w:t>
      </w:r>
    </w:p>
    <w:p w14:paraId="1ED110FA" w14:textId="77777777" w:rsidR="00104222" w:rsidRPr="00104222" w:rsidRDefault="00104222" w:rsidP="00104222">
      <w:r w:rsidRPr="00104222">
        <w:t xml:space="preserve">But higher and more predictable base funding will enable longer-term </w:t>
      </w:r>
      <w:proofErr w:type="gramStart"/>
      <w:r w:rsidRPr="00104222">
        <w:t>planning</w:t>
      </w:r>
      <w:proofErr w:type="gramEnd"/>
    </w:p>
    <w:p w14:paraId="0FD1052B" w14:textId="6643FEF2" w:rsidR="00104222" w:rsidRDefault="00104222" w:rsidP="00104222">
      <w:r w:rsidRPr="00104222">
        <w:t xml:space="preserve">Minister Watt, </w:t>
      </w:r>
      <w:proofErr w:type="spellStart"/>
      <w:r w:rsidRPr="00104222">
        <w:t>Croplife</w:t>
      </w:r>
      <w:proofErr w:type="spellEnd"/>
      <w:r w:rsidRPr="00104222">
        <w:t xml:space="preserve"> Post Budget Speech 2023</w:t>
      </w:r>
    </w:p>
    <w:p w14:paraId="0475EC99" w14:textId="33399B9F" w:rsidR="00C6453B" w:rsidRDefault="00C6453B" w:rsidP="00104222">
      <w:r>
        <w:t>Slide #4</w:t>
      </w:r>
    </w:p>
    <w:p w14:paraId="46F1F9CE" w14:textId="77777777" w:rsidR="00104222" w:rsidRPr="00104222" w:rsidRDefault="00104222" w:rsidP="00104222">
      <w:pPr>
        <w:rPr>
          <w:b/>
          <w:bCs/>
        </w:rPr>
      </w:pPr>
      <w:r w:rsidRPr="00104222">
        <w:rPr>
          <w:b/>
          <w:bCs/>
        </w:rPr>
        <w:t>What was announced?</w:t>
      </w:r>
    </w:p>
    <w:p w14:paraId="4FC6B6FB" w14:textId="77777777" w:rsidR="00104222" w:rsidRPr="00104222" w:rsidRDefault="00104222" w:rsidP="00104222">
      <w:r w:rsidRPr="00104222">
        <w:t>Long-term, sustainable funding to strengthen Australia’s biosecurity system. </w:t>
      </w:r>
      <w:r w:rsidRPr="00104222">
        <w:rPr>
          <w:lang w:val="en-US"/>
        </w:rPr>
        <w:t>​</w:t>
      </w:r>
    </w:p>
    <w:p w14:paraId="1566A49C" w14:textId="77777777" w:rsidR="00104222" w:rsidRPr="00104222" w:rsidRDefault="00104222" w:rsidP="00104222">
      <w:r w:rsidRPr="00104222">
        <w:t>$1.03b over four years and $267m per year from 2027-28</w:t>
      </w:r>
    </w:p>
    <w:p w14:paraId="39E2E787" w14:textId="520C0706" w:rsidR="00104222" w:rsidRPr="00104222" w:rsidRDefault="00104222" w:rsidP="00104222">
      <w:r w:rsidRPr="00104222">
        <w:rPr>
          <w:noProof/>
        </w:rPr>
        <w:drawing>
          <wp:inline distT="0" distB="0" distL="0" distR="0" wp14:anchorId="3276427A" wp14:editId="2A10CC0B">
            <wp:extent cx="4716073" cy="3029447"/>
            <wp:effectExtent l="0" t="0" r="8890" b="0"/>
            <wp:docPr id="4" name="Picture 3" descr="Operating base funding (Existing and with Budget measure)&#10;&#10;The bar graph shows funding for biosecurity policy, operational and technical functions and includes corporate costs associated with delivering these functions. Funding will be indexed.">
              <a:extLst xmlns:a="http://schemas.openxmlformats.org/drawingml/2006/main">
                <a:ext uri="{FF2B5EF4-FFF2-40B4-BE49-F238E27FC236}">
                  <a16:creationId xmlns:a16="http://schemas.microsoft.com/office/drawing/2014/main" id="{0CF2F73B-1990-F8D8-C94A-FEDF12AF5F2E}"/>
                </a:ext>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Operating base funding (Existing and with Budget measure)&#10;&#10;The bar graph shows funding for biosecurity policy, operational and technical functions and includes corporate costs associated with delivering these functions. Funding will be indexed.">
                      <a:extLst>
                        <a:ext uri="{FF2B5EF4-FFF2-40B4-BE49-F238E27FC236}">
                          <a16:creationId xmlns:a16="http://schemas.microsoft.com/office/drawing/2014/main" id="{0CF2F73B-1990-F8D8-C94A-FEDF12AF5F2E}"/>
                        </a:ext>
                        <a:ext uri="{C183D7F6-B498-43B3-948B-1728B52AA6E4}">
                          <adec:decorative xmlns:adec="http://schemas.microsoft.com/office/drawing/2017/decorative" val="0"/>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24250" cy="3034700"/>
                    </a:xfrm>
                    <a:prstGeom prst="rect">
                      <a:avLst/>
                    </a:prstGeom>
                  </pic:spPr>
                </pic:pic>
              </a:graphicData>
            </a:graphic>
          </wp:inline>
        </w:drawing>
      </w:r>
    </w:p>
    <w:p w14:paraId="3A01A7A7" w14:textId="77777777" w:rsidR="00104222" w:rsidRDefault="00104222"/>
    <w:p w14:paraId="6CA180E7" w14:textId="77777777" w:rsidR="00104222" w:rsidRPr="00104222" w:rsidRDefault="00104222" w:rsidP="00104222">
      <w:pPr>
        <w:numPr>
          <w:ilvl w:val="0"/>
          <w:numId w:val="1"/>
        </w:numPr>
        <w:ind w:hanging="436"/>
      </w:pPr>
      <w:r w:rsidRPr="00104222">
        <w:t xml:space="preserve">$845m over 4 years (and then $255m p.a.) for core biosecurity effort by the department (policy, technical, operational) aimed at preventing pests and diseases entering </w:t>
      </w:r>
      <w:proofErr w:type="gramStart"/>
      <w:r w:rsidRPr="00104222">
        <w:t>Australia</w:t>
      </w:r>
      <w:proofErr w:type="gramEnd"/>
    </w:p>
    <w:p w14:paraId="0ADB14C2" w14:textId="77777777" w:rsidR="00104222" w:rsidRPr="00104222" w:rsidRDefault="00104222" w:rsidP="00104222">
      <w:pPr>
        <w:numPr>
          <w:ilvl w:val="1"/>
          <w:numId w:val="1"/>
        </w:numPr>
        <w:ind w:left="709" w:hanging="425"/>
      </w:pPr>
      <w:r w:rsidRPr="00104222">
        <w:t xml:space="preserve">$40.6m over the next 4 years and $12m ongoing to maintain the Indigenous Rangers Biosecurity </w:t>
      </w:r>
      <w:proofErr w:type="gramStart"/>
      <w:r w:rsidRPr="00104222">
        <w:t>Program  -</w:t>
      </w:r>
      <w:proofErr w:type="gramEnd"/>
      <w:r w:rsidRPr="00104222">
        <w:t xml:space="preserve"> a key protection in relation to our northern border</w:t>
      </w:r>
    </w:p>
    <w:p w14:paraId="11B80D41" w14:textId="77777777" w:rsidR="00104222" w:rsidRPr="00104222" w:rsidRDefault="00104222" w:rsidP="00104222">
      <w:pPr>
        <w:numPr>
          <w:ilvl w:val="1"/>
          <w:numId w:val="1"/>
        </w:numPr>
        <w:tabs>
          <w:tab w:val="clear" w:pos="1440"/>
        </w:tabs>
        <w:ind w:left="709" w:hanging="425"/>
      </w:pPr>
      <w:r w:rsidRPr="00104222">
        <w:t xml:space="preserve">$145m over the next 3 years for modern, digital systems in our cargo pathway (STEPS program) – delivering safer and more efficient clearance </w:t>
      </w:r>
      <w:proofErr w:type="gramStart"/>
      <w:r w:rsidRPr="00104222">
        <w:t>effort</w:t>
      </w:r>
      <w:proofErr w:type="gramEnd"/>
    </w:p>
    <w:p w14:paraId="0CDA5218" w14:textId="77777777" w:rsidR="00104222" w:rsidRDefault="00104222"/>
    <w:p w14:paraId="7BF0AC35" w14:textId="766E850D" w:rsidR="00C6453B" w:rsidRDefault="00C6453B" w:rsidP="00C6453B">
      <w:r>
        <w:t>Slide #5</w:t>
      </w:r>
    </w:p>
    <w:p w14:paraId="7EC5CFBA" w14:textId="77777777" w:rsidR="00C6453B" w:rsidRPr="00C6453B" w:rsidRDefault="00C6453B" w:rsidP="00C6453B">
      <w:pPr>
        <w:rPr>
          <w:b/>
          <w:bCs/>
        </w:rPr>
      </w:pPr>
      <w:r w:rsidRPr="00C6453B">
        <w:rPr>
          <w:b/>
          <w:bCs/>
        </w:rPr>
        <w:t>Mixed Funding Model</w:t>
      </w:r>
    </w:p>
    <w:p w14:paraId="4108C5C3" w14:textId="77777777" w:rsidR="00C6453B" w:rsidRPr="00C6453B" w:rsidRDefault="00C6453B" w:rsidP="00C6453B">
      <w:r w:rsidRPr="00C6453B">
        <w:t>We have come to the view that funding biosecurity is also a shared responsibility - between taxpayers, those who create risk and those who receive significant benefits from the biosecurity system.</w:t>
      </w:r>
    </w:p>
    <w:p w14:paraId="089793CC" w14:textId="77777777" w:rsidR="00C6453B" w:rsidRPr="00C6453B" w:rsidRDefault="00C6453B" w:rsidP="00C6453B">
      <w:r w:rsidRPr="00C6453B">
        <w:t>We decided a mixed funding model was the fairest approach and that’s why the cost of our sustainable biosecurity funding measures will be shared, with taxpayers, importers, international travellers and producers all contributing.</w:t>
      </w:r>
    </w:p>
    <w:p w14:paraId="3A0DB74D" w14:textId="77777777" w:rsidR="00C6453B" w:rsidRPr="00C6453B" w:rsidRDefault="00C6453B" w:rsidP="00C6453B">
      <w:r w:rsidRPr="00C6453B">
        <w:t xml:space="preserve">Minister Watt, </w:t>
      </w:r>
      <w:proofErr w:type="spellStart"/>
      <w:r w:rsidRPr="00C6453B">
        <w:t>Croplife</w:t>
      </w:r>
      <w:proofErr w:type="spellEnd"/>
      <w:r w:rsidRPr="00C6453B">
        <w:t xml:space="preserve"> Post Budget Speech 2023</w:t>
      </w:r>
    </w:p>
    <w:p w14:paraId="746B3055" w14:textId="4A5F8A05" w:rsidR="00C6453B" w:rsidRDefault="00C6453B" w:rsidP="00C6453B">
      <w:r w:rsidRPr="00C6453B">
        <w:rPr>
          <w:noProof/>
        </w:rPr>
        <w:drawing>
          <wp:inline distT="0" distB="0" distL="0" distR="0" wp14:anchorId="4E3ECA0B" wp14:editId="2727FDB3">
            <wp:extent cx="3775489" cy="3620303"/>
            <wp:effectExtent l="0" t="0" r="0" b="0"/>
            <wp:docPr id="1" name="Picture 1" descr="The graphs show biosecurity funding in 2024-25 without the budget measures and increase to existing fees and charges expected to apply from 1 July 2023; &#10;and with both the budget measures and increase to existing fees and charges expected to apply from 1 July 2023.&#10;Funds from the increase in the Passenger Movement Charge form part of consolidated revenue but provide the Government with capacity to contribute to the cost of sustainably funding the biosecurity system. ">
              <a:extLst xmlns:a="http://schemas.openxmlformats.org/drawingml/2006/main">
                <a:ext uri="{FF2B5EF4-FFF2-40B4-BE49-F238E27FC236}">
                  <a16:creationId xmlns:a16="http://schemas.microsoft.com/office/drawing/2014/main" id="{BFF7C9FE-8C5D-29C0-368D-7F925BED98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graphs show biosecurity funding in 2024-25 without the budget measures and increase to existing fees and charges expected to apply from 1 July 2023; &#10;and with both the budget measures and increase to existing fees and charges expected to apply from 1 July 2023.&#10;Funds from the increase in the Passenger Movement Charge form part of consolidated revenue but provide the Government with capacity to contribute to the cost of sustainably funding the biosecurity system. ">
                      <a:extLst>
                        <a:ext uri="{FF2B5EF4-FFF2-40B4-BE49-F238E27FC236}">
                          <a16:creationId xmlns:a16="http://schemas.microsoft.com/office/drawing/2014/main" id="{BFF7C9FE-8C5D-29C0-368D-7F925BED9884}"/>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86744" cy="3631096"/>
                    </a:xfrm>
                    <a:prstGeom prst="rect">
                      <a:avLst/>
                    </a:prstGeom>
                  </pic:spPr>
                </pic:pic>
              </a:graphicData>
            </a:graphic>
          </wp:inline>
        </w:drawing>
      </w:r>
    </w:p>
    <w:p w14:paraId="4E610B05" w14:textId="77777777" w:rsidR="00C6453B" w:rsidRDefault="00C6453B"/>
    <w:p w14:paraId="4B504C14" w14:textId="66E5CD5A" w:rsidR="003B5E3A" w:rsidRDefault="003B5E3A" w:rsidP="003B5E3A">
      <w:r>
        <w:t>Slide #6</w:t>
      </w:r>
    </w:p>
    <w:p w14:paraId="072EC3AD" w14:textId="77777777" w:rsidR="001731A3" w:rsidRPr="001731A3" w:rsidRDefault="001731A3" w:rsidP="001731A3">
      <w:pPr>
        <w:rPr>
          <w:b/>
          <w:bCs/>
        </w:rPr>
      </w:pPr>
      <w:r w:rsidRPr="001731A3">
        <w:rPr>
          <w:b/>
          <w:bCs/>
          <w:lang w:val="en-US"/>
        </w:rPr>
        <w:t xml:space="preserve">Import cost recovery </w:t>
      </w:r>
      <w:proofErr w:type="gramStart"/>
      <w:r w:rsidRPr="001731A3">
        <w:rPr>
          <w:b/>
          <w:bCs/>
          <w:lang w:val="en-US"/>
        </w:rPr>
        <w:t>arrangements</w:t>
      </w:r>
      <w:proofErr w:type="gramEnd"/>
    </w:p>
    <w:p w14:paraId="2C7E6420" w14:textId="77777777" w:rsidR="001731A3" w:rsidRPr="001731A3" w:rsidRDefault="001731A3" w:rsidP="001731A3">
      <w:r w:rsidRPr="001731A3">
        <w:rPr>
          <w:lang w:val="en-US"/>
        </w:rPr>
        <w:t>Existing fees and charges are to increase from 1 July 2023, following a comprehensive review of our cost base and drivers – complementing the budget measure.</w:t>
      </w:r>
    </w:p>
    <w:p w14:paraId="2612A652" w14:textId="77777777" w:rsidR="001731A3" w:rsidRDefault="001731A3" w:rsidP="001731A3">
      <w:pPr>
        <w:numPr>
          <w:ilvl w:val="0"/>
          <w:numId w:val="2"/>
        </w:numPr>
      </w:pPr>
      <w:r w:rsidRPr="001731A3">
        <w:rPr>
          <w:lang w:val="en-US"/>
        </w:rPr>
        <w:t xml:space="preserve">Critical to ensuring funding for current regulatory </w:t>
      </w:r>
      <w:proofErr w:type="gramStart"/>
      <w:r w:rsidRPr="001731A3">
        <w:rPr>
          <w:lang w:val="en-US"/>
        </w:rPr>
        <w:t>activity</w:t>
      </w:r>
      <w:proofErr w:type="gramEnd"/>
    </w:p>
    <w:p w14:paraId="6DD799D0" w14:textId="775C2C0B" w:rsidR="003B5E3A" w:rsidRPr="001731A3" w:rsidRDefault="001731A3" w:rsidP="001731A3">
      <w:pPr>
        <w:numPr>
          <w:ilvl w:val="0"/>
          <w:numId w:val="2"/>
        </w:numPr>
      </w:pPr>
      <w:r w:rsidRPr="001731A3">
        <w:rPr>
          <w:lang w:val="en-US"/>
        </w:rPr>
        <w:t>Estimated revenue collected in 2024-25 will be $363m.</w:t>
      </w:r>
    </w:p>
    <w:p w14:paraId="0172B939" w14:textId="77777777" w:rsidR="001731A3" w:rsidRPr="001731A3" w:rsidRDefault="001731A3" w:rsidP="001731A3">
      <w:r w:rsidRPr="001731A3">
        <w:rPr>
          <w:lang w:val="en-US"/>
        </w:rPr>
        <w:lastRenderedPageBreak/>
        <w:t xml:space="preserve">Government has agreed to </w:t>
      </w:r>
      <w:r w:rsidRPr="001731A3">
        <w:rPr>
          <w:b/>
          <w:bCs/>
          <w:lang w:val="en-US"/>
        </w:rPr>
        <w:t xml:space="preserve">a new industry cost recovery arrangement </w:t>
      </w:r>
      <w:r w:rsidRPr="001731A3">
        <w:rPr>
          <w:lang w:val="en-US"/>
        </w:rPr>
        <w:t>in relation to imported low value items ($1,000 or less)</w:t>
      </w:r>
    </w:p>
    <w:p w14:paraId="293878E1" w14:textId="77777777" w:rsidR="001731A3" w:rsidRPr="001731A3" w:rsidRDefault="001731A3" w:rsidP="001731A3">
      <w:pPr>
        <w:numPr>
          <w:ilvl w:val="0"/>
          <w:numId w:val="3"/>
        </w:numPr>
      </w:pPr>
      <w:r w:rsidRPr="001731A3">
        <w:rPr>
          <w:lang w:val="en-US"/>
        </w:rPr>
        <w:t>Commencing from 1 July 2024</w:t>
      </w:r>
    </w:p>
    <w:p w14:paraId="768219EA" w14:textId="77777777" w:rsidR="001731A3" w:rsidRPr="001731A3" w:rsidRDefault="001731A3" w:rsidP="001731A3">
      <w:pPr>
        <w:numPr>
          <w:ilvl w:val="0"/>
          <w:numId w:val="3"/>
        </w:numPr>
      </w:pPr>
      <w:r w:rsidRPr="001731A3">
        <w:rPr>
          <w:lang w:val="en-US"/>
        </w:rPr>
        <w:t>To recover regulatory costs associated with clearance of these items – around $27m p.a.</w:t>
      </w:r>
    </w:p>
    <w:p w14:paraId="78292AF7" w14:textId="77777777" w:rsidR="001731A3" w:rsidRPr="001731A3" w:rsidRDefault="001731A3" w:rsidP="001731A3">
      <w:pPr>
        <w:numPr>
          <w:ilvl w:val="0"/>
          <w:numId w:val="3"/>
        </w:numPr>
      </w:pPr>
      <w:r w:rsidRPr="001731A3">
        <w:rPr>
          <w:lang w:val="en-US"/>
        </w:rPr>
        <w:t xml:space="preserve">Estimated number of low value items entering Australia suggests around 40c per </w:t>
      </w:r>
      <w:proofErr w:type="gramStart"/>
      <w:r w:rsidRPr="001731A3">
        <w:rPr>
          <w:lang w:val="en-US"/>
        </w:rPr>
        <w:t>item</w:t>
      </w:r>
      <w:proofErr w:type="gramEnd"/>
    </w:p>
    <w:p w14:paraId="5E623F30" w14:textId="77777777" w:rsidR="001731A3" w:rsidRPr="001731A3" w:rsidRDefault="001731A3" w:rsidP="001731A3">
      <w:pPr>
        <w:numPr>
          <w:ilvl w:val="0"/>
          <w:numId w:val="3"/>
        </w:numPr>
      </w:pPr>
      <w:r w:rsidRPr="001731A3">
        <w:rPr>
          <w:lang w:val="en-US"/>
        </w:rPr>
        <w:t xml:space="preserve">Collected by international freight carriers and remitted (in arrears) to the </w:t>
      </w:r>
      <w:proofErr w:type="gramStart"/>
      <w:r w:rsidRPr="001731A3">
        <w:rPr>
          <w:lang w:val="en-US"/>
        </w:rPr>
        <w:t>department</w:t>
      </w:r>
      <w:proofErr w:type="gramEnd"/>
    </w:p>
    <w:p w14:paraId="7A1EFF35" w14:textId="77777777" w:rsidR="001731A3" w:rsidRPr="001731A3" w:rsidRDefault="001731A3" w:rsidP="001731A3">
      <w:pPr>
        <w:numPr>
          <w:ilvl w:val="0"/>
          <w:numId w:val="3"/>
        </w:numPr>
      </w:pPr>
      <w:r w:rsidRPr="001731A3">
        <w:rPr>
          <w:lang w:val="en-US"/>
        </w:rPr>
        <w:t xml:space="preserve">Industry to be consulted on implementation </w:t>
      </w:r>
      <w:proofErr w:type="gramStart"/>
      <w:r w:rsidRPr="001731A3">
        <w:rPr>
          <w:lang w:val="en-US"/>
        </w:rPr>
        <w:t>arrangements</w:t>
      </w:r>
      <w:proofErr w:type="gramEnd"/>
      <w:r w:rsidRPr="001731A3">
        <w:rPr>
          <w:lang w:val="en-US"/>
        </w:rPr>
        <w:t xml:space="preserve"> </w:t>
      </w:r>
    </w:p>
    <w:p w14:paraId="4BCB528D" w14:textId="77777777" w:rsidR="001731A3" w:rsidRPr="001731A3" w:rsidRDefault="001731A3" w:rsidP="001731A3">
      <w:r w:rsidRPr="001731A3">
        <w:rPr>
          <w:lang w:val="en-US"/>
        </w:rPr>
        <w:t xml:space="preserve">Committed to annual reviews of these cost recovery </w:t>
      </w:r>
      <w:proofErr w:type="gramStart"/>
      <w:r w:rsidRPr="001731A3">
        <w:rPr>
          <w:lang w:val="en-US"/>
        </w:rPr>
        <w:t>arrangements</w:t>
      </w:r>
      <w:proofErr w:type="gramEnd"/>
    </w:p>
    <w:p w14:paraId="30690DA5" w14:textId="77777777" w:rsidR="001731A3" w:rsidRDefault="001731A3" w:rsidP="001731A3"/>
    <w:p w14:paraId="708480B9" w14:textId="79853A5F" w:rsidR="001731A3" w:rsidRDefault="001731A3" w:rsidP="001731A3">
      <w:r>
        <w:t>Slide #7</w:t>
      </w:r>
    </w:p>
    <w:p w14:paraId="5DDBADE7" w14:textId="77777777" w:rsidR="001731A3" w:rsidRPr="001731A3" w:rsidRDefault="001731A3" w:rsidP="001731A3">
      <w:pPr>
        <w:rPr>
          <w:b/>
          <w:bCs/>
        </w:rPr>
      </w:pPr>
      <w:r w:rsidRPr="001731A3">
        <w:rPr>
          <w:b/>
          <w:bCs/>
          <w:lang w:val="en-US"/>
        </w:rPr>
        <w:t>Biosecurity Protection Levy</w:t>
      </w:r>
    </w:p>
    <w:p w14:paraId="5F12AC62" w14:textId="77777777" w:rsidR="001731A3" w:rsidRPr="001731A3" w:rsidRDefault="001731A3" w:rsidP="001731A3">
      <w:r w:rsidRPr="001731A3">
        <w:rPr>
          <w:lang w:val="en-US"/>
        </w:rPr>
        <w:t xml:space="preserve">Government has agreed to introduce a new biosecurity protection levy to apply to primary </w:t>
      </w:r>
      <w:proofErr w:type="gramStart"/>
      <w:r w:rsidRPr="001731A3">
        <w:rPr>
          <w:lang w:val="en-US"/>
        </w:rPr>
        <w:t>producers</w:t>
      </w:r>
      <w:proofErr w:type="gramEnd"/>
      <w:r w:rsidRPr="001731A3">
        <w:rPr>
          <w:lang w:val="en-US"/>
        </w:rPr>
        <w:t> </w:t>
      </w:r>
    </w:p>
    <w:p w14:paraId="6A6C231C" w14:textId="77777777" w:rsidR="001731A3" w:rsidRPr="001731A3" w:rsidRDefault="001731A3" w:rsidP="001731A3">
      <w:pPr>
        <w:numPr>
          <w:ilvl w:val="0"/>
          <w:numId w:val="4"/>
        </w:numPr>
      </w:pPr>
      <w:r w:rsidRPr="001731A3">
        <w:rPr>
          <w:lang w:val="en-US"/>
        </w:rPr>
        <w:t>from 1 July 2024</w:t>
      </w:r>
    </w:p>
    <w:p w14:paraId="518BDE82" w14:textId="77777777" w:rsidR="001731A3" w:rsidRPr="001731A3" w:rsidRDefault="001731A3" w:rsidP="001731A3">
      <w:pPr>
        <w:numPr>
          <w:ilvl w:val="0"/>
          <w:numId w:val="4"/>
        </w:numPr>
      </w:pPr>
      <w:r w:rsidRPr="001731A3">
        <w:rPr>
          <w:lang w:val="en-US"/>
        </w:rPr>
        <w:t>to recover around $50m per annum</w:t>
      </w:r>
    </w:p>
    <w:p w14:paraId="7DE40C4C" w14:textId="77777777" w:rsidR="001731A3" w:rsidRPr="001731A3" w:rsidRDefault="001731A3" w:rsidP="001731A3">
      <w:pPr>
        <w:numPr>
          <w:ilvl w:val="0"/>
          <w:numId w:val="4"/>
        </w:numPr>
      </w:pPr>
      <w:r w:rsidRPr="001731A3">
        <w:rPr>
          <w:lang w:val="en-US"/>
        </w:rPr>
        <w:t xml:space="preserve">to be set, on a per commodity basis, at a rate broadly equivalent to 10% of 2020-21 agricultural levies or, where these are not in place, an equivalent </w:t>
      </w:r>
      <w:proofErr w:type="gramStart"/>
      <w:r w:rsidRPr="001731A3">
        <w:rPr>
          <w:lang w:val="en-US"/>
        </w:rPr>
        <w:t>outcome</w:t>
      </w:r>
      <w:proofErr w:type="gramEnd"/>
    </w:p>
    <w:p w14:paraId="30B8AF1B" w14:textId="77777777" w:rsidR="001731A3" w:rsidRPr="001731A3" w:rsidRDefault="001731A3" w:rsidP="001731A3">
      <w:pPr>
        <w:numPr>
          <w:ilvl w:val="0"/>
          <w:numId w:val="4"/>
        </w:numPr>
      </w:pPr>
      <w:r w:rsidRPr="001731A3">
        <w:rPr>
          <w:lang w:val="en-US"/>
        </w:rPr>
        <w:t xml:space="preserve">design details to be </w:t>
      </w:r>
      <w:proofErr w:type="spellStart"/>
      <w:r w:rsidRPr="001731A3">
        <w:rPr>
          <w:lang w:val="en-US"/>
        </w:rPr>
        <w:t>finalised</w:t>
      </w:r>
      <w:proofErr w:type="spellEnd"/>
      <w:r w:rsidRPr="001731A3">
        <w:rPr>
          <w:lang w:val="en-US"/>
        </w:rPr>
        <w:t xml:space="preserve"> following industry </w:t>
      </w:r>
      <w:proofErr w:type="gramStart"/>
      <w:r w:rsidRPr="001731A3">
        <w:rPr>
          <w:lang w:val="en-US"/>
        </w:rPr>
        <w:t>engagement</w:t>
      </w:r>
      <w:proofErr w:type="gramEnd"/>
    </w:p>
    <w:p w14:paraId="38225D13" w14:textId="77777777" w:rsidR="001731A3" w:rsidRPr="001731A3" w:rsidRDefault="001731A3" w:rsidP="001731A3">
      <w:pPr>
        <w:numPr>
          <w:ilvl w:val="0"/>
          <w:numId w:val="4"/>
        </w:numPr>
      </w:pPr>
      <w:r w:rsidRPr="001731A3">
        <w:rPr>
          <w:lang w:val="en-US"/>
        </w:rPr>
        <w:t xml:space="preserve">a formal legislative review requirement will be put in </w:t>
      </w:r>
      <w:proofErr w:type="gramStart"/>
      <w:r w:rsidRPr="001731A3">
        <w:rPr>
          <w:lang w:val="en-US"/>
        </w:rPr>
        <w:t>place</w:t>
      </w:r>
      <w:proofErr w:type="gramEnd"/>
    </w:p>
    <w:p w14:paraId="2E0A21F2" w14:textId="77777777" w:rsidR="001731A3" w:rsidRPr="001731A3" w:rsidRDefault="001731A3" w:rsidP="001731A3">
      <w:r w:rsidRPr="001731A3">
        <w:rPr>
          <w:i/>
          <w:iCs/>
          <w:lang w:val="en-US"/>
        </w:rPr>
        <w:t>Things to note: </w:t>
      </w:r>
    </w:p>
    <w:p w14:paraId="55C50A91" w14:textId="77777777" w:rsidR="001731A3" w:rsidRPr="001731A3" w:rsidRDefault="001731A3" w:rsidP="001731A3">
      <w:pPr>
        <w:numPr>
          <w:ilvl w:val="0"/>
          <w:numId w:val="5"/>
        </w:numPr>
      </w:pPr>
      <w:r w:rsidRPr="001731A3">
        <w:rPr>
          <w:lang w:val="en-US"/>
        </w:rPr>
        <w:t>This is a new levy to be established though separate regulation.</w:t>
      </w:r>
    </w:p>
    <w:p w14:paraId="03334BB9" w14:textId="77777777" w:rsidR="001731A3" w:rsidRPr="001731A3" w:rsidRDefault="001731A3" w:rsidP="001731A3">
      <w:pPr>
        <w:numPr>
          <w:ilvl w:val="1"/>
          <w:numId w:val="5"/>
        </w:numPr>
      </w:pPr>
      <w:r w:rsidRPr="001731A3">
        <w:rPr>
          <w:lang w:val="en-US"/>
        </w:rPr>
        <w:t xml:space="preserve">It will not be implemented by changing current industry-led agricultural levy </w:t>
      </w:r>
      <w:proofErr w:type="gramStart"/>
      <w:r w:rsidRPr="001731A3">
        <w:rPr>
          <w:lang w:val="en-US"/>
        </w:rPr>
        <w:t>rates</w:t>
      </w:r>
      <w:proofErr w:type="gramEnd"/>
    </w:p>
    <w:p w14:paraId="61ECB306" w14:textId="77777777" w:rsidR="001731A3" w:rsidRPr="001731A3" w:rsidRDefault="001731A3" w:rsidP="001731A3">
      <w:pPr>
        <w:numPr>
          <w:ilvl w:val="1"/>
          <w:numId w:val="5"/>
        </w:numPr>
      </w:pPr>
      <w:r w:rsidRPr="001731A3">
        <w:rPr>
          <w:lang w:val="en-US"/>
        </w:rPr>
        <w:t xml:space="preserve">It does not affect the </w:t>
      </w:r>
      <w:proofErr w:type="spellStart"/>
      <w:r w:rsidRPr="001731A3">
        <w:rPr>
          <w:lang w:val="en-US"/>
        </w:rPr>
        <w:t>modernising</w:t>
      </w:r>
      <w:proofErr w:type="spellEnd"/>
      <w:r w:rsidRPr="001731A3">
        <w:rPr>
          <w:lang w:val="en-US"/>
        </w:rPr>
        <w:t xml:space="preserve"> agriculture levies legislation consultation </w:t>
      </w:r>
      <w:proofErr w:type="gramStart"/>
      <w:r w:rsidRPr="001731A3">
        <w:rPr>
          <w:lang w:val="en-US"/>
        </w:rPr>
        <w:t>process</w:t>
      </w:r>
      <w:proofErr w:type="gramEnd"/>
    </w:p>
    <w:p w14:paraId="509CDD93" w14:textId="77777777" w:rsidR="001731A3" w:rsidRPr="001731A3" w:rsidRDefault="001731A3" w:rsidP="001731A3">
      <w:pPr>
        <w:numPr>
          <w:ilvl w:val="0"/>
          <w:numId w:val="5"/>
        </w:numPr>
      </w:pPr>
      <w:r w:rsidRPr="001731A3">
        <w:rPr>
          <w:lang w:val="en-US"/>
        </w:rPr>
        <w:t xml:space="preserve">But as we want to </w:t>
      </w:r>
      <w:proofErr w:type="spellStart"/>
      <w:r w:rsidRPr="001731A3">
        <w:rPr>
          <w:lang w:val="en-US"/>
        </w:rPr>
        <w:t>minimise</w:t>
      </w:r>
      <w:proofErr w:type="spellEnd"/>
      <w:r w:rsidRPr="001731A3">
        <w:rPr>
          <w:lang w:val="en-US"/>
        </w:rPr>
        <w:t xml:space="preserve"> administrative costs to producers (agents) and government, we will look to common approaches where that makes </w:t>
      </w:r>
      <w:proofErr w:type="gramStart"/>
      <w:r w:rsidRPr="001731A3">
        <w:rPr>
          <w:lang w:val="en-US"/>
        </w:rPr>
        <w:t>sense</w:t>
      </w:r>
      <w:proofErr w:type="gramEnd"/>
    </w:p>
    <w:p w14:paraId="2CED2C91" w14:textId="77777777" w:rsidR="001731A3" w:rsidRPr="001731A3" w:rsidRDefault="001731A3" w:rsidP="001731A3">
      <w:pPr>
        <w:numPr>
          <w:ilvl w:val="0"/>
          <w:numId w:val="5"/>
        </w:numPr>
      </w:pPr>
      <w:r w:rsidRPr="001731A3">
        <w:rPr>
          <w:lang w:val="en-US"/>
        </w:rPr>
        <w:t xml:space="preserve">This is a complex space – we will need to work through the detail with </w:t>
      </w:r>
      <w:proofErr w:type="gramStart"/>
      <w:r w:rsidRPr="001731A3">
        <w:rPr>
          <w:lang w:val="en-US"/>
        </w:rPr>
        <w:t>industry</w:t>
      </w:r>
      <w:proofErr w:type="gramEnd"/>
    </w:p>
    <w:p w14:paraId="21D37A30" w14:textId="77777777" w:rsidR="001731A3" w:rsidRPr="001731A3" w:rsidRDefault="001731A3" w:rsidP="001731A3">
      <w:pPr>
        <w:numPr>
          <w:ilvl w:val="0"/>
          <w:numId w:val="5"/>
        </w:numPr>
      </w:pPr>
      <w:r w:rsidRPr="001731A3">
        <w:rPr>
          <w:lang w:val="en-US"/>
        </w:rPr>
        <w:t xml:space="preserve">This levy is intended to apply whether or not a producer currently pays ‘statutory’ ag </w:t>
      </w:r>
      <w:proofErr w:type="gramStart"/>
      <w:r w:rsidRPr="001731A3">
        <w:rPr>
          <w:lang w:val="en-US"/>
        </w:rPr>
        <w:t>levies</w:t>
      </w:r>
      <w:proofErr w:type="gramEnd"/>
    </w:p>
    <w:p w14:paraId="4903502A" w14:textId="77777777" w:rsidR="001731A3" w:rsidRPr="001731A3" w:rsidRDefault="001731A3" w:rsidP="001731A3">
      <w:pPr>
        <w:numPr>
          <w:ilvl w:val="0"/>
          <w:numId w:val="5"/>
        </w:numPr>
      </w:pPr>
      <w:r w:rsidRPr="001731A3">
        <w:rPr>
          <w:lang w:val="en-US"/>
        </w:rPr>
        <w:t>It is not a 'cost recovery' charge.</w:t>
      </w:r>
    </w:p>
    <w:p w14:paraId="0A505502" w14:textId="77777777" w:rsidR="001731A3" w:rsidRDefault="001731A3" w:rsidP="001731A3"/>
    <w:p w14:paraId="0321345A" w14:textId="5AEA1D4B" w:rsidR="001731A3" w:rsidRDefault="001731A3" w:rsidP="001731A3">
      <w:r>
        <w:t>Slide #8</w:t>
      </w:r>
    </w:p>
    <w:p w14:paraId="574BABAD" w14:textId="77777777" w:rsidR="001731A3" w:rsidRPr="001731A3" w:rsidRDefault="001731A3" w:rsidP="001731A3">
      <w:pPr>
        <w:rPr>
          <w:b/>
          <w:bCs/>
        </w:rPr>
      </w:pPr>
      <w:r w:rsidRPr="001731A3">
        <w:rPr>
          <w:b/>
          <w:bCs/>
          <w:lang w:val="en-US"/>
        </w:rPr>
        <w:t>Biosecurity Protection Levy (examples)</w:t>
      </w:r>
    </w:p>
    <w:p w14:paraId="1DD5C25C" w14:textId="77777777" w:rsidR="001731A3" w:rsidRPr="001731A3" w:rsidRDefault="001731A3" w:rsidP="001731A3">
      <w:r w:rsidRPr="001731A3">
        <w:rPr>
          <w:lang w:val="en-US"/>
        </w:rPr>
        <w:t xml:space="preserve">Based on levy rates as </w:t>
      </w:r>
      <w:proofErr w:type="gramStart"/>
      <w:r w:rsidRPr="001731A3">
        <w:rPr>
          <w:lang w:val="en-US"/>
        </w:rPr>
        <w:t>at</w:t>
      </w:r>
      <w:proofErr w:type="gramEnd"/>
      <w:r w:rsidRPr="001731A3">
        <w:rPr>
          <w:lang w:val="en-US"/>
        </w:rPr>
        <w:t xml:space="preserve"> 1 July 2020*, the biosecurity protection levy would mean:</w:t>
      </w:r>
    </w:p>
    <w:p w14:paraId="2C8DFE9E" w14:textId="77777777" w:rsidR="001731A3" w:rsidRPr="001731A3" w:rsidRDefault="001731A3" w:rsidP="001731A3">
      <w:pPr>
        <w:numPr>
          <w:ilvl w:val="0"/>
          <w:numId w:val="6"/>
        </w:numPr>
      </w:pPr>
      <w:r w:rsidRPr="001731A3">
        <w:rPr>
          <w:lang w:val="en-US"/>
        </w:rPr>
        <w:t xml:space="preserve">A </w:t>
      </w:r>
      <w:r w:rsidRPr="001731A3">
        <w:rPr>
          <w:b/>
          <w:bCs/>
          <w:lang w:val="en-US"/>
        </w:rPr>
        <w:t>cattle (grass fed) producer:</w:t>
      </w:r>
      <w:r w:rsidRPr="001731A3">
        <w:rPr>
          <w:lang w:val="en-US"/>
        </w:rPr>
        <w:t xml:space="preserve"> </w:t>
      </w:r>
      <w:r w:rsidRPr="001731A3">
        <w:rPr>
          <w:b/>
          <w:bCs/>
          <w:lang w:val="en-US"/>
        </w:rPr>
        <w:t xml:space="preserve">50 cents per head </w:t>
      </w:r>
      <w:r w:rsidRPr="001731A3">
        <w:rPr>
          <w:lang w:val="en-US"/>
        </w:rPr>
        <w:t>(cattle and livestock (producers) charge)</w:t>
      </w:r>
    </w:p>
    <w:p w14:paraId="5E6DB9E8" w14:textId="77777777" w:rsidR="001731A3" w:rsidRPr="001731A3" w:rsidRDefault="001731A3" w:rsidP="001731A3">
      <w:pPr>
        <w:numPr>
          <w:ilvl w:val="0"/>
          <w:numId w:val="6"/>
        </w:numPr>
      </w:pPr>
      <w:r w:rsidRPr="001731A3">
        <w:rPr>
          <w:lang w:val="en-US"/>
        </w:rPr>
        <w:t xml:space="preserve">A </w:t>
      </w:r>
      <w:r w:rsidRPr="001731A3">
        <w:rPr>
          <w:b/>
          <w:bCs/>
          <w:lang w:val="en-US"/>
        </w:rPr>
        <w:t>cotton producer:</w:t>
      </w:r>
      <w:r w:rsidRPr="001731A3">
        <w:rPr>
          <w:lang w:val="en-US"/>
        </w:rPr>
        <w:t xml:space="preserve"> </w:t>
      </w:r>
      <w:r w:rsidRPr="001731A3">
        <w:rPr>
          <w:b/>
          <w:bCs/>
          <w:lang w:val="en-US"/>
        </w:rPr>
        <w:t>22.5 cents per 227 kg</w:t>
      </w:r>
      <w:r w:rsidRPr="001731A3">
        <w:rPr>
          <w:lang w:val="en-US"/>
        </w:rPr>
        <w:t xml:space="preserve"> </w:t>
      </w:r>
      <w:r w:rsidRPr="001731A3">
        <w:rPr>
          <w:b/>
          <w:bCs/>
          <w:lang w:val="en-US"/>
        </w:rPr>
        <w:t xml:space="preserve">bale </w:t>
      </w:r>
      <w:r w:rsidRPr="001731A3">
        <w:rPr>
          <w:lang w:val="en-US"/>
        </w:rPr>
        <w:t>(cotton levy)</w:t>
      </w:r>
    </w:p>
    <w:p w14:paraId="3281D033" w14:textId="77777777" w:rsidR="001731A3" w:rsidRPr="001731A3" w:rsidRDefault="001731A3" w:rsidP="001731A3">
      <w:pPr>
        <w:numPr>
          <w:ilvl w:val="0"/>
          <w:numId w:val="6"/>
        </w:numPr>
      </w:pPr>
      <w:r w:rsidRPr="001731A3">
        <w:rPr>
          <w:lang w:val="en-US"/>
        </w:rPr>
        <w:t xml:space="preserve">An </w:t>
      </w:r>
      <w:r w:rsidRPr="001731A3">
        <w:rPr>
          <w:b/>
          <w:bCs/>
          <w:lang w:val="en-US"/>
        </w:rPr>
        <w:t>egg producer</w:t>
      </w:r>
      <w:r w:rsidRPr="001731A3">
        <w:rPr>
          <w:lang w:val="en-US"/>
        </w:rPr>
        <w:t xml:space="preserve">: </w:t>
      </w:r>
      <w:r w:rsidRPr="001731A3">
        <w:rPr>
          <w:b/>
          <w:bCs/>
          <w:lang w:val="en-US"/>
        </w:rPr>
        <w:t xml:space="preserve">3.25 cents per chick </w:t>
      </w:r>
      <w:r w:rsidRPr="001731A3">
        <w:rPr>
          <w:lang w:val="en-US"/>
        </w:rPr>
        <w:t>(eggs (promotion) levy)</w:t>
      </w:r>
    </w:p>
    <w:p w14:paraId="391D02FA" w14:textId="77777777" w:rsidR="001731A3" w:rsidRPr="001731A3" w:rsidRDefault="001731A3" w:rsidP="001731A3">
      <w:pPr>
        <w:numPr>
          <w:ilvl w:val="0"/>
          <w:numId w:val="6"/>
        </w:numPr>
      </w:pPr>
      <w:r w:rsidRPr="001731A3">
        <w:rPr>
          <w:lang w:val="en-US"/>
        </w:rPr>
        <w:lastRenderedPageBreak/>
        <w:t xml:space="preserve">A </w:t>
      </w:r>
      <w:r w:rsidRPr="001731A3">
        <w:rPr>
          <w:b/>
          <w:bCs/>
          <w:lang w:val="en-US"/>
        </w:rPr>
        <w:t xml:space="preserve">honey producer: less than 0.5 cents per kg </w:t>
      </w:r>
      <w:r w:rsidRPr="001731A3">
        <w:rPr>
          <w:lang w:val="en-US"/>
        </w:rPr>
        <w:t>(honey levy)</w:t>
      </w:r>
    </w:p>
    <w:p w14:paraId="2908117B" w14:textId="77777777" w:rsidR="001731A3" w:rsidRPr="001731A3" w:rsidRDefault="001731A3" w:rsidP="001731A3">
      <w:pPr>
        <w:numPr>
          <w:ilvl w:val="0"/>
          <w:numId w:val="6"/>
        </w:numPr>
      </w:pPr>
      <w:r w:rsidRPr="001731A3">
        <w:rPr>
          <w:lang w:val="en-US"/>
        </w:rPr>
        <w:t xml:space="preserve">A </w:t>
      </w:r>
      <w:r w:rsidRPr="001731A3">
        <w:rPr>
          <w:b/>
          <w:bCs/>
          <w:lang w:val="en-US"/>
        </w:rPr>
        <w:t>domestic apple producer:</w:t>
      </w:r>
      <w:r w:rsidRPr="001731A3">
        <w:rPr>
          <w:lang w:val="en-US"/>
        </w:rPr>
        <w:t xml:space="preserve"> or </w:t>
      </w:r>
      <w:r w:rsidRPr="001731A3">
        <w:rPr>
          <w:b/>
          <w:bCs/>
          <w:lang w:val="en-US"/>
        </w:rPr>
        <w:t>less than</w:t>
      </w:r>
      <w:r w:rsidRPr="001731A3">
        <w:rPr>
          <w:lang w:val="en-US"/>
        </w:rPr>
        <w:t xml:space="preserve"> </w:t>
      </w:r>
      <w:r w:rsidRPr="001731A3">
        <w:rPr>
          <w:b/>
          <w:bCs/>
          <w:lang w:val="en-US"/>
        </w:rPr>
        <w:t xml:space="preserve">0.19 cents per kg </w:t>
      </w:r>
      <w:r w:rsidRPr="001731A3">
        <w:rPr>
          <w:lang w:val="en-US"/>
        </w:rPr>
        <w:t>(apple levy)</w:t>
      </w:r>
    </w:p>
    <w:p w14:paraId="35935B4C" w14:textId="77777777" w:rsidR="001731A3" w:rsidRPr="001731A3" w:rsidRDefault="001731A3" w:rsidP="001731A3">
      <w:pPr>
        <w:numPr>
          <w:ilvl w:val="0"/>
          <w:numId w:val="6"/>
        </w:numPr>
      </w:pPr>
      <w:r w:rsidRPr="001731A3">
        <w:rPr>
          <w:lang w:val="en-US"/>
        </w:rPr>
        <w:t xml:space="preserve">A </w:t>
      </w:r>
      <w:r w:rsidRPr="001731A3">
        <w:rPr>
          <w:b/>
          <w:bCs/>
          <w:lang w:val="en-US"/>
        </w:rPr>
        <w:t xml:space="preserve">forest grower, for plantation logs </w:t>
      </w:r>
      <w:r w:rsidRPr="001731A3">
        <w:rPr>
          <w:lang w:val="en-US"/>
        </w:rPr>
        <w:t>(exotic softwood):</w:t>
      </w:r>
      <w:r w:rsidRPr="001731A3">
        <w:rPr>
          <w:b/>
          <w:bCs/>
          <w:lang w:val="en-US"/>
        </w:rPr>
        <w:t xml:space="preserve"> 1.05 cents per cubic </w:t>
      </w:r>
      <w:proofErr w:type="spellStart"/>
      <w:r w:rsidRPr="001731A3">
        <w:rPr>
          <w:b/>
          <w:bCs/>
          <w:lang w:val="en-US"/>
        </w:rPr>
        <w:t>metre</w:t>
      </w:r>
      <w:proofErr w:type="spellEnd"/>
      <w:r w:rsidRPr="001731A3">
        <w:rPr>
          <w:b/>
          <w:bCs/>
          <w:lang w:val="en-US"/>
        </w:rPr>
        <w:t xml:space="preserve"> of the log </w:t>
      </w:r>
      <w:r w:rsidRPr="001731A3">
        <w:rPr>
          <w:lang w:val="en-US"/>
        </w:rPr>
        <w:t>(forest growers levy)</w:t>
      </w:r>
    </w:p>
    <w:p w14:paraId="7122549D" w14:textId="77777777" w:rsidR="001731A3" w:rsidRPr="001731A3" w:rsidRDefault="001731A3" w:rsidP="001731A3">
      <w:pPr>
        <w:numPr>
          <w:ilvl w:val="0"/>
          <w:numId w:val="6"/>
        </w:numPr>
      </w:pPr>
      <w:r w:rsidRPr="001731A3">
        <w:rPr>
          <w:lang w:val="en-US"/>
        </w:rPr>
        <w:t>A</w:t>
      </w:r>
      <w:r w:rsidRPr="001731A3">
        <w:rPr>
          <w:b/>
          <w:bCs/>
          <w:lang w:val="en-US"/>
        </w:rPr>
        <w:t xml:space="preserve"> forest grower, for other logs: 0.5 cents</w:t>
      </w:r>
      <w:r w:rsidRPr="001731A3">
        <w:rPr>
          <w:lang w:val="en-US"/>
        </w:rPr>
        <w:t xml:space="preserve"> </w:t>
      </w:r>
      <w:r w:rsidRPr="001731A3">
        <w:rPr>
          <w:b/>
          <w:bCs/>
          <w:lang w:val="en-US"/>
        </w:rPr>
        <w:t>per</w:t>
      </w:r>
      <w:r w:rsidRPr="001731A3">
        <w:rPr>
          <w:lang w:val="en-US"/>
        </w:rPr>
        <w:t xml:space="preserve"> </w:t>
      </w:r>
      <w:r w:rsidRPr="001731A3">
        <w:rPr>
          <w:b/>
          <w:bCs/>
          <w:lang w:val="en-US"/>
        </w:rPr>
        <w:t xml:space="preserve">cubic </w:t>
      </w:r>
      <w:proofErr w:type="spellStart"/>
      <w:r w:rsidRPr="001731A3">
        <w:rPr>
          <w:b/>
          <w:bCs/>
          <w:lang w:val="en-US"/>
        </w:rPr>
        <w:t>metre</w:t>
      </w:r>
      <w:proofErr w:type="spellEnd"/>
      <w:r w:rsidRPr="001731A3">
        <w:rPr>
          <w:b/>
          <w:bCs/>
          <w:lang w:val="en-US"/>
        </w:rPr>
        <w:t xml:space="preserve"> of the log</w:t>
      </w:r>
      <w:r w:rsidRPr="001731A3">
        <w:rPr>
          <w:lang w:val="en-US"/>
        </w:rPr>
        <w:t xml:space="preserve"> (forest growers levy)</w:t>
      </w:r>
    </w:p>
    <w:p w14:paraId="4D14FB5A" w14:textId="77777777" w:rsidR="001731A3" w:rsidRPr="001731A3" w:rsidRDefault="001731A3" w:rsidP="001731A3">
      <w:pPr>
        <w:numPr>
          <w:ilvl w:val="0"/>
          <w:numId w:val="6"/>
        </w:numPr>
      </w:pPr>
      <w:r w:rsidRPr="001731A3">
        <w:rPr>
          <w:lang w:val="en-US"/>
        </w:rPr>
        <w:t xml:space="preserve">A </w:t>
      </w:r>
      <w:r w:rsidRPr="001731A3">
        <w:rPr>
          <w:b/>
          <w:bCs/>
          <w:lang w:val="en-US"/>
        </w:rPr>
        <w:t>prawn farmer:</w:t>
      </w:r>
      <w:r w:rsidRPr="001731A3">
        <w:rPr>
          <w:lang w:val="en-US"/>
        </w:rPr>
        <w:t xml:space="preserve"> </w:t>
      </w:r>
      <w:r w:rsidRPr="001731A3">
        <w:rPr>
          <w:b/>
          <w:bCs/>
          <w:lang w:val="en-US"/>
        </w:rPr>
        <w:t>less than 0.67 cents per kg of whole farmed prawns</w:t>
      </w:r>
      <w:r w:rsidRPr="001731A3">
        <w:rPr>
          <w:lang w:val="en-US"/>
        </w:rPr>
        <w:t xml:space="preserve"> (farmed prawns levy)</w:t>
      </w:r>
    </w:p>
    <w:p w14:paraId="654E5CD0" w14:textId="38FB9053" w:rsidR="001731A3" w:rsidRDefault="001731A3" w:rsidP="001731A3">
      <w:pPr>
        <w:rPr>
          <w:i/>
          <w:iCs/>
          <w:lang w:val="en-US"/>
        </w:rPr>
      </w:pPr>
      <w:r w:rsidRPr="001731A3">
        <w:rPr>
          <w:b/>
          <w:bCs/>
          <w:lang w:val="en-US"/>
        </w:rPr>
        <w:t>*</w:t>
      </w:r>
      <w:r w:rsidRPr="001731A3">
        <w:rPr>
          <w:i/>
          <w:iCs/>
          <w:lang w:val="en-US"/>
        </w:rPr>
        <w:t>Note that some levy rates have changed since 1 July 2020.</w:t>
      </w:r>
    </w:p>
    <w:p w14:paraId="2E9A56AB" w14:textId="77777777" w:rsidR="001731A3" w:rsidRDefault="001731A3" w:rsidP="001731A3">
      <w:pPr>
        <w:rPr>
          <w:i/>
          <w:iCs/>
          <w:lang w:val="en-US"/>
        </w:rPr>
      </w:pPr>
    </w:p>
    <w:p w14:paraId="60DE6943" w14:textId="2992D359" w:rsidR="001731A3" w:rsidRDefault="001731A3" w:rsidP="001731A3">
      <w:pPr>
        <w:rPr>
          <w:lang w:val="en-US"/>
        </w:rPr>
      </w:pPr>
      <w:r>
        <w:rPr>
          <w:lang w:val="en-US"/>
        </w:rPr>
        <w:t xml:space="preserve">Slide #9 </w:t>
      </w:r>
    </w:p>
    <w:p w14:paraId="1CCD27D1" w14:textId="77777777" w:rsidR="001731A3" w:rsidRPr="001731A3" w:rsidRDefault="001731A3" w:rsidP="001731A3">
      <w:pPr>
        <w:rPr>
          <w:b/>
          <w:bCs/>
        </w:rPr>
      </w:pPr>
      <w:r w:rsidRPr="001731A3">
        <w:rPr>
          <w:b/>
          <w:bCs/>
          <w:lang w:val="en-US"/>
        </w:rPr>
        <w:t xml:space="preserve">There is more to be </w:t>
      </w:r>
      <w:proofErr w:type="gramStart"/>
      <w:r w:rsidRPr="001731A3">
        <w:rPr>
          <w:b/>
          <w:bCs/>
          <w:lang w:val="en-US"/>
        </w:rPr>
        <w:t>done</w:t>
      </w:r>
      <w:proofErr w:type="gramEnd"/>
    </w:p>
    <w:p w14:paraId="2BBCEBC0" w14:textId="77777777" w:rsidR="001731A3" w:rsidRPr="001731A3" w:rsidRDefault="001731A3" w:rsidP="001731A3">
      <w:pPr>
        <w:numPr>
          <w:ilvl w:val="0"/>
          <w:numId w:val="7"/>
        </w:numPr>
      </w:pPr>
      <w:r w:rsidRPr="001731A3">
        <w:t>Consideration of other costs incurred at the border (International mail gateway, military)</w:t>
      </w:r>
    </w:p>
    <w:p w14:paraId="09ACDBFA" w14:textId="77777777" w:rsidR="001731A3" w:rsidRPr="001731A3" w:rsidRDefault="001731A3" w:rsidP="001731A3">
      <w:pPr>
        <w:numPr>
          <w:ilvl w:val="0"/>
          <w:numId w:val="7"/>
        </w:numPr>
      </w:pPr>
      <w:r w:rsidRPr="001731A3">
        <w:t xml:space="preserve">A structural review (with industry) to consider future reforms to our border charging models to ensure they are fit for </w:t>
      </w:r>
      <w:proofErr w:type="gramStart"/>
      <w:r w:rsidRPr="001731A3">
        <w:t>purpose</w:t>
      </w:r>
      <w:proofErr w:type="gramEnd"/>
    </w:p>
    <w:p w14:paraId="0BF57488" w14:textId="77777777" w:rsidR="001731A3" w:rsidRDefault="001731A3" w:rsidP="001731A3">
      <w:pPr>
        <w:numPr>
          <w:ilvl w:val="1"/>
          <w:numId w:val="7"/>
        </w:numPr>
      </w:pPr>
      <w:r w:rsidRPr="001731A3">
        <w:t xml:space="preserve">This will include consideration of import or container levy </w:t>
      </w:r>
      <w:proofErr w:type="gramStart"/>
      <w:r w:rsidRPr="001731A3">
        <w:t>options</w:t>
      </w:r>
      <w:proofErr w:type="gramEnd"/>
    </w:p>
    <w:p w14:paraId="0933D2F3" w14:textId="628449AA" w:rsidR="001731A3" w:rsidRPr="001731A3" w:rsidRDefault="001731A3" w:rsidP="001731A3">
      <w:pPr>
        <w:pStyle w:val="ListParagraph"/>
        <w:numPr>
          <w:ilvl w:val="0"/>
          <w:numId w:val="9"/>
        </w:numPr>
      </w:pPr>
      <w:r w:rsidRPr="001731A3">
        <w:t xml:space="preserve">Establishing arrangements that deliver on the government’s request for greater system transparency and </w:t>
      </w:r>
      <w:proofErr w:type="gramStart"/>
      <w:r w:rsidRPr="001731A3">
        <w:t>accountability</w:t>
      </w:r>
      <w:proofErr w:type="gramEnd"/>
    </w:p>
    <w:p w14:paraId="24306EE0" w14:textId="77777777" w:rsidR="001731A3" w:rsidRPr="001731A3" w:rsidRDefault="001731A3" w:rsidP="001731A3">
      <w:pPr>
        <w:pStyle w:val="ListParagraph"/>
        <w:numPr>
          <w:ilvl w:val="0"/>
          <w:numId w:val="9"/>
        </w:numPr>
      </w:pPr>
      <w:r w:rsidRPr="001731A3">
        <w:t xml:space="preserve">Ongoing work with industry to deliver business practices that drive safe and efficient import clearance; along with efforts with overseas countries, states and territories, producers on prevention and </w:t>
      </w:r>
      <w:proofErr w:type="gramStart"/>
      <w:r w:rsidRPr="001731A3">
        <w:t>preparedness</w:t>
      </w:r>
      <w:proofErr w:type="gramEnd"/>
    </w:p>
    <w:p w14:paraId="711A3C7F" w14:textId="77777777" w:rsidR="001731A3" w:rsidRDefault="001731A3" w:rsidP="001731A3">
      <w:pPr>
        <w:pStyle w:val="ListParagraph"/>
        <w:numPr>
          <w:ilvl w:val="0"/>
          <w:numId w:val="9"/>
        </w:numPr>
      </w:pPr>
      <w:r w:rsidRPr="001731A3">
        <w:t>Taking forward the National Biosecurity Strategy</w:t>
      </w:r>
    </w:p>
    <w:p w14:paraId="03C4139F" w14:textId="14017B74" w:rsidR="001731A3" w:rsidRPr="001731A3" w:rsidRDefault="001731A3" w:rsidP="001731A3">
      <w:r w:rsidRPr="001731A3">
        <w:t>“So going forward, funding for biosecurity will be delivered with more transparency and public accountability than ever before.</w:t>
      </w:r>
      <w:r>
        <w:t xml:space="preserve"> </w:t>
      </w:r>
      <w:r w:rsidRPr="001731A3">
        <w:t>I will be setting up robust, accountable and transparent governance around biosecurity funding and outcomes.</w:t>
      </w:r>
      <w:r>
        <w:t xml:space="preserve"> </w:t>
      </w:r>
      <w:r w:rsidRPr="001731A3">
        <w:t>We will report annually to show where biosecurity funding is coming from and how it is being spent.</w:t>
      </w:r>
      <w:r>
        <w:t xml:space="preserve"> </w:t>
      </w:r>
      <w:r w:rsidRPr="001731A3">
        <w:t>But we also want to see real improvement for those extra dollars.”</w:t>
      </w:r>
    </w:p>
    <w:p w14:paraId="04A130CB" w14:textId="1431645A" w:rsidR="001731A3" w:rsidRDefault="001731A3" w:rsidP="001731A3">
      <w:r w:rsidRPr="001731A3">
        <w:t>Minister Watt</w:t>
      </w:r>
    </w:p>
    <w:p w14:paraId="25B3CB6D" w14:textId="7BF2E988" w:rsidR="001731A3" w:rsidRDefault="001731A3" w:rsidP="001731A3">
      <w:r>
        <w:t>Slide #10</w:t>
      </w:r>
    </w:p>
    <w:p w14:paraId="26CE0CDE" w14:textId="77777777" w:rsidR="001731A3" w:rsidRPr="001731A3" w:rsidRDefault="001731A3" w:rsidP="001731A3">
      <w:pPr>
        <w:rPr>
          <w:b/>
          <w:bCs/>
        </w:rPr>
      </w:pPr>
      <w:r w:rsidRPr="001731A3">
        <w:rPr>
          <w:b/>
          <w:bCs/>
          <w:lang w:val="en-US"/>
        </w:rPr>
        <w:t>Next steps</w:t>
      </w:r>
    </w:p>
    <w:p w14:paraId="55DA296A" w14:textId="77777777" w:rsidR="001731A3" w:rsidRPr="001731A3" w:rsidRDefault="001731A3" w:rsidP="001731A3">
      <w:pPr>
        <w:numPr>
          <w:ilvl w:val="1"/>
          <w:numId w:val="10"/>
        </w:numPr>
        <w:tabs>
          <w:tab w:val="clear" w:pos="1440"/>
          <w:tab w:val="num" w:pos="709"/>
        </w:tabs>
        <w:ind w:left="709" w:hanging="425"/>
      </w:pPr>
      <w:r w:rsidRPr="001731A3">
        <w:t xml:space="preserve">We are currently planning our stakeholder engagement for the low value goods cost recovery arrangement and the Biosecurity Protection Levy – starting next </w:t>
      </w:r>
      <w:proofErr w:type="gramStart"/>
      <w:r w:rsidRPr="001731A3">
        <w:t>month</w:t>
      </w:r>
      <w:proofErr w:type="gramEnd"/>
    </w:p>
    <w:p w14:paraId="2D73BCEC" w14:textId="77777777" w:rsidR="001731A3" w:rsidRPr="001731A3" w:rsidRDefault="001731A3" w:rsidP="001731A3">
      <w:pPr>
        <w:numPr>
          <w:ilvl w:val="1"/>
          <w:numId w:val="10"/>
        </w:numPr>
        <w:tabs>
          <w:tab w:val="clear" w:pos="1440"/>
          <w:tab w:val="num" w:pos="709"/>
        </w:tabs>
        <w:ind w:hanging="1156"/>
      </w:pPr>
      <w:r w:rsidRPr="001731A3">
        <w:t>Let us know if you wish to be involved in either:</w:t>
      </w:r>
      <w:hyperlink r:id="rId11" w:history="1">
        <w:r w:rsidRPr="001731A3">
          <w:rPr>
            <w:rStyle w:val="Hyperlink"/>
          </w:rPr>
          <w:t xml:space="preserve"> SecretariatBSF@aff.gov.au</w:t>
        </w:r>
      </w:hyperlink>
    </w:p>
    <w:p w14:paraId="4C237569" w14:textId="28657B6B" w:rsidR="001731A3" w:rsidRPr="001731A3" w:rsidRDefault="001731A3" w:rsidP="001731A3">
      <w:pPr>
        <w:numPr>
          <w:ilvl w:val="0"/>
          <w:numId w:val="10"/>
        </w:numPr>
        <w:ind w:hanging="436"/>
      </w:pPr>
      <w:r w:rsidRPr="001731A3">
        <w:t>Information on next steps will be posted to:       </w:t>
      </w:r>
      <w:r>
        <w:br/>
      </w:r>
      <w:r w:rsidRPr="001731A3">
        <w:t>haveyoursay.agriculture.gov.au/sustainable-biosecurity-</w:t>
      </w:r>
      <w:proofErr w:type="gramStart"/>
      <w:r w:rsidRPr="001731A3">
        <w:t>funding</w:t>
      </w:r>
      <w:proofErr w:type="gramEnd"/>
    </w:p>
    <w:p w14:paraId="68546CD5" w14:textId="6D9540A8" w:rsidR="001731A3" w:rsidRDefault="005B4CB9" w:rsidP="001731A3">
      <w:r>
        <w:t>Slide #11</w:t>
      </w:r>
    </w:p>
    <w:p w14:paraId="49A589F1" w14:textId="77777777" w:rsidR="005B4CB9" w:rsidRDefault="005B4CB9" w:rsidP="005B4CB9">
      <w:pPr>
        <w:rPr>
          <w:b/>
          <w:bCs/>
        </w:rPr>
      </w:pPr>
      <w:r w:rsidRPr="005B4CB9">
        <w:rPr>
          <w:b/>
          <w:bCs/>
        </w:rPr>
        <w:t>Questions?</w:t>
      </w:r>
    </w:p>
    <w:p w14:paraId="290AE2A4" w14:textId="31A44FD3" w:rsidR="005B4CB9" w:rsidRPr="005B4CB9" w:rsidRDefault="005B4CB9" w:rsidP="005B4CB9">
      <w:r w:rsidRPr="005B4CB9">
        <w:t>Please submit questions using the Q and A function at the bottom of your screen</w:t>
      </w:r>
    </w:p>
    <w:p w14:paraId="1B8A7A22" w14:textId="394336E2" w:rsidR="005B4CB9" w:rsidRDefault="005B4CB9" w:rsidP="001731A3">
      <w:r>
        <w:t>Slide #12</w:t>
      </w:r>
    </w:p>
    <w:p w14:paraId="61D691CC" w14:textId="77777777" w:rsidR="005B4CB9" w:rsidRPr="005B4CB9" w:rsidRDefault="005B4CB9" w:rsidP="005B4CB9">
      <w:r w:rsidRPr="005B4CB9">
        <w:t xml:space="preserve">Thank you for </w:t>
      </w:r>
      <w:proofErr w:type="gramStart"/>
      <w:r w:rsidRPr="005B4CB9">
        <w:t>attending</w:t>
      </w:r>
      <w:proofErr w:type="gramEnd"/>
    </w:p>
    <w:p w14:paraId="36FC8B4A" w14:textId="77777777" w:rsidR="005B4CB9" w:rsidRDefault="005B4CB9" w:rsidP="005B4CB9">
      <w:pPr>
        <w:rPr>
          <w:b/>
          <w:bCs/>
        </w:rPr>
      </w:pPr>
      <w:r w:rsidRPr="005B4CB9">
        <w:rPr>
          <w:b/>
          <w:bCs/>
        </w:rPr>
        <w:lastRenderedPageBreak/>
        <w:t>Biosecurity Funding Sustainability Taskforce</w:t>
      </w:r>
    </w:p>
    <w:p w14:paraId="1998DD14" w14:textId="556D4083" w:rsidR="005B4CB9" w:rsidRDefault="00000000" w:rsidP="005B4CB9">
      <w:hyperlink r:id="rId12" w:history="1">
        <w:r w:rsidR="005B4CB9" w:rsidRPr="005B4CB9">
          <w:rPr>
            <w:rStyle w:val="Hyperlink"/>
          </w:rPr>
          <w:t>SecretariatBSF@aff.gov.au</w:t>
        </w:r>
      </w:hyperlink>
    </w:p>
    <w:p w14:paraId="2B217C1C" w14:textId="7E82DD1B" w:rsidR="005B4CB9" w:rsidRPr="005B4CB9" w:rsidRDefault="00000000" w:rsidP="005B4CB9">
      <w:hyperlink r:id="rId13" w:history="1">
        <w:r w:rsidR="005B4CB9" w:rsidRPr="005B4CB9">
          <w:rPr>
            <w:rStyle w:val="Hyperlink"/>
          </w:rPr>
          <w:t>Have Your Say</w:t>
        </w:r>
      </w:hyperlink>
      <w:r w:rsidR="005B4CB9" w:rsidRPr="005B4CB9">
        <w:t xml:space="preserve"> - answers to questions will be posted on the Have Your Say </w:t>
      </w:r>
      <w:proofErr w:type="gramStart"/>
      <w:r w:rsidR="005B4CB9" w:rsidRPr="005B4CB9">
        <w:t>site</w:t>
      </w:r>
      <w:proofErr w:type="gramEnd"/>
    </w:p>
    <w:p w14:paraId="48EB50BD" w14:textId="77777777" w:rsidR="005B4CB9" w:rsidRDefault="005B4CB9" w:rsidP="001731A3"/>
    <w:p w14:paraId="143421F3" w14:textId="77777777" w:rsidR="001731A3" w:rsidRPr="001731A3" w:rsidRDefault="001731A3" w:rsidP="001731A3"/>
    <w:p w14:paraId="4DFF0212" w14:textId="77777777" w:rsidR="001731A3" w:rsidRPr="001731A3" w:rsidRDefault="001731A3" w:rsidP="001731A3"/>
    <w:sectPr w:rsidR="001731A3" w:rsidRPr="001731A3" w:rsidSect="00104222">
      <w:pgSz w:w="11906" w:h="16838"/>
      <w:pgMar w:top="567"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470"/>
    <w:multiLevelType w:val="hybridMultilevel"/>
    <w:tmpl w:val="7DB29354"/>
    <w:lvl w:ilvl="0" w:tplc="80666078">
      <w:start w:val="1"/>
      <w:numFmt w:val="bullet"/>
      <w:lvlText w:val=""/>
      <w:lvlJc w:val="left"/>
      <w:pPr>
        <w:tabs>
          <w:tab w:val="num" w:pos="720"/>
        </w:tabs>
        <w:ind w:left="720" w:hanging="360"/>
      </w:pPr>
      <w:rPr>
        <w:rFonts w:ascii="Wingdings" w:hAnsi="Wingdings" w:hint="default"/>
      </w:rPr>
    </w:lvl>
    <w:lvl w:ilvl="1" w:tplc="3580F6E4">
      <w:numFmt w:val="bullet"/>
      <w:lvlText w:val=""/>
      <w:lvlJc w:val="left"/>
      <w:pPr>
        <w:tabs>
          <w:tab w:val="num" w:pos="1440"/>
        </w:tabs>
        <w:ind w:left="1440" w:hanging="360"/>
      </w:pPr>
      <w:rPr>
        <w:rFonts w:ascii="Wingdings" w:hAnsi="Wingdings" w:hint="default"/>
      </w:rPr>
    </w:lvl>
    <w:lvl w:ilvl="2" w:tplc="2C12F22A" w:tentative="1">
      <w:start w:val="1"/>
      <w:numFmt w:val="bullet"/>
      <w:lvlText w:val=""/>
      <w:lvlJc w:val="left"/>
      <w:pPr>
        <w:tabs>
          <w:tab w:val="num" w:pos="2160"/>
        </w:tabs>
        <w:ind w:left="2160" w:hanging="360"/>
      </w:pPr>
      <w:rPr>
        <w:rFonts w:ascii="Wingdings" w:hAnsi="Wingdings" w:hint="default"/>
      </w:rPr>
    </w:lvl>
    <w:lvl w:ilvl="3" w:tplc="F3E07592" w:tentative="1">
      <w:start w:val="1"/>
      <w:numFmt w:val="bullet"/>
      <w:lvlText w:val=""/>
      <w:lvlJc w:val="left"/>
      <w:pPr>
        <w:tabs>
          <w:tab w:val="num" w:pos="2880"/>
        </w:tabs>
        <w:ind w:left="2880" w:hanging="360"/>
      </w:pPr>
      <w:rPr>
        <w:rFonts w:ascii="Wingdings" w:hAnsi="Wingdings" w:hint="default"/>
      </w:rPr>
    </w:lvl>
    <w:lvl w:ilvl="4" w:tplc="01C8D8A8" w:tentative="1">
      <w:start w:val="1"/>
      <w:numFmt w:val="bullet"/>
      <w:lvlText w:val=""/>
      <w:lvlJc w:val="left"/>
      <w:pPr>
        <w:tabs>
          <w:tab w:val="num" w:pos="3600"/>
        </w:tabs>
        <w:ind w:left="3600" w:hanging="360"/>
      </w:pPr>
      <w:rPr>
        <w:rFonts w:ascii="Wingdings" w:hAnsi="Wingdings" w:hint="default"/>
      </w:rPr>
    </w:lvl>
    <w:lvl w:ilvl="5" w:tplc="4C3AE0E6" w:tentative="1">
      <w:start w:val="1"/>
      <w:numFmt w:val="bullet"/>
      <w:lvlText w:val=""/>
      <w:lvlJc w:val="left"/>
      <w:pPr>
        <w:tabs>
          <w:tab w:val="num" w:pos="4320"/>
        </w:tabs>
        <w:ind w:left="4320" w:hanging="360"/>
      </w:pPr>
      <w:rPr>
        <w:rFonts w:ascii="Wingdings" w:hAnsi="Wingdings" w:hint="default"/>
      </w:rPr>
    </w:lvl>
    <w:lvl w:ilvl="6" w:tplc="70BC682E" w:tentative="1">
      <w:start w:val="1"/>
      <w:numFmt w:val="bullet"/>
      <w:lvlText w:val=""/>
      <w:lvlJc w:val="left"/>
      <w:pPr>
        <w:tabs>
          <w:tab w:val="num" w:pos="5040"/>
        </w:tabs>
        <w:ind w:left="5040" w:hanging="360"/>
      </w:pPr>
      <w:rPr>
        <w:rFonts w:ascii="Wingdings" w:hAnsi="Wingdings" w:hint="default"/>
      </w:rPr>
    </w:lvl>
    <w:lvl w:ilvl="7" w:tplc="1B481560" w:tentative="1">
      <w:start w:val="1"/>
      <w:numFmt w:val="bullet"/>
      <w:lvlText w:val=""/>
      <w:lvlJc w:val="left"/>
      <w:pPr>
        <w:tabs>
          <w:tab w:val="num" w:pos="5760"/>
        </w:tabs>
        <w:ind w:left="5760" w:hanging="360"/>
      </w:pPr>
      <w:rPr>
        <w:rFonts w:ascii="Wingdings" w:hAnsi="Wingdings" w:hint="default"/>
      </w:rPr>
    </w:lvl>
    <w:lvl w:ilvl="8" w:tplc="46BC31A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956E7"/>
    <w:multiLevelType w:val="hybridMultilevel"/>
    <w:tmpl w:val="34B22190"/>
    <w:lvl w:ilvl="0" w:tplc="EC4A607E">
      <w:start w:val="1"/>
      <w:numFmt w:val="bullet"/>
      <w:lvlText w:val="•"/>
      <w:lvlJc w:val="left"/>
      <w:pPr>
        <w:tabs>
          <w:tab w:val="num" w:pos="720"/>
        </w:tabs>
        <w:ind w:left="720" w:hanging="360"/>
      </w:pPr>
      <w:rPr>
        <w:rFonts w:ascii="Arial" w:hAnsi="Arial" w:hint="default"/>
      </w:rPr>
    </w:lvl>
    <w:lvl w:ilvl="1" w:tplc="407AF68C">
      <w:numFmt w:val="bullet"/>
      <w:lvlText w:val="o"/>
      <w:lvlJc w:val="left"/>
      <w:pPr>
        <w:tabs>
          <w:tab w:val="num" w:pos="1440"/>
        </w:tabs>
        <w:ind w:left="1440" w:hanging="360"/>
      </w:pPr>
      <w:rPr>
        <w:rFonts w:ascii="Courier New" w:hAnsi="Courier New" w:hint="default"/>
      </w:rPr>
    </w:lvl>
    <w:lvl w:ilvl="2" w:tplc="E9283282" w:tentative="1">
      <w:start w:val="1"/>
      <w:numFmt w:val="bullet"/>
      <w:lvlText w:val="•"/>
      <w:lvlJc w:val="left"/>
      <w:pPr>
        <w:tabs>
          <w:tab w:val="num" w:pos="2160"/>
        </w:tabs>
        <w:ind w:left="2160" w:hanging="360"/>
      </w:pPr>
      <w:rPr>
        <w:rFonts w:ascii="Arial" w:hAnsi="Arial" w:hint="default"/>
      </w:rPr>
    </w:lvl>
    <w:lvl w:ilvl="3" w:tplc="EE5829C0" w:tentative="1">
      <w:start w:val="1"/>
      <w:numFmt w:val="bullet"/>
      <w:lvlText w:val="•"/>
      <w:lvlJc w:val="left"/>
      <w:pPr>
        <w:tabs>
          <w:tab w:val="num" w:pos="2880"/>
        </w:tabs>
        <w:ind w:left="2880" w:hanging="360"/>
      </w:pPr>
      <w:rPr>
        <w:rFonts w:ascii="Arial" w:hAnsi="Arial" w:hint="default"/>
      </w:rPr>
    </w:lvl>
    <w:lvl w:ilvl="4" w:tplc="30D85A40" w:tentative="1">
      <w:start w:val="1"/>
      <w:numFmt w:val="bullet"/>
      <w:lvlText w:val="•"/>
      <w:lvlJc w:val="left"/>
      <w:pPr>
        <w:tabs>
          <w:tab w:val="num" w:pos="3600"/>
        </w:tabs>
        <w:ind w:left="3600" w:hanging="360"/>
      </w:pPr>
      <w:rPr>
        <w:rFonts w:ascii="Arial" w:hAnsi="Arial" w:hint="default"/>
      </w:rPr>
    </w:lvl>
    <w:lvl w:ilvl="5" w:tplc="DCE4A49C" w:tentative="1">
      <w:start w:val="1"/>
      <w:numFmt w:val="bullet"/>
      <w:lvlText w:val="•"/>
      <w:lvlJc w:val="left"/>
      <w:pPr>
        <w:tabs>
          <w:tab w:val="num" w:pos="4320"/>
        </w:tabs>
        <w:ind w:left="4320" w:hanging="360"/>
      </w:pPr>
      <w:rPr>
        <w:rFonts w:ascii="Arial" w:hAnsi="Arial" w:hint="default"/>
      </w:rPr>
    </w:lvl>
    <w:lvl w:ilvl="6" w:tplc="7B341642" w:tentative="1">
      <w:start w:val="1"/>
      <w:numFmt w:val="bullet"/>
      <w:lvlText w:val="•"/>
      <w:lvlJc w:val="left"/>
      <w:pPr>
        <w:tabs>
          <w:tab w:val="num" w:pos="5040"/>
        </w:tabs>
        <w:ind w:left="5040" w:hanging="360"/>
      </w:pPr>
      <w:rPr>
        <w:rFonts w:ascii="Arial" w:hAnsi="Arial" w:hint="default"/>
      </w:rPr>
    </w:lvl>
    <w:lvl w:ilvl="7" w:tplc="4D0C5CB4" w:tentative="1">
      <w:start w:val="1"/>
      <w:numFmt w:val="bullet"/>
      <w:lvlText w:val="•"/>
      <w:lvlJc w:val="left"/>
      <w:pPr>
        <w:tabs>
          <w:tab w:val="num" w:pos="5760"/>
        </w:tabs>
        <w:ind w:left="5760" w:hanging="360"/>
      </w:pPr>
      <w:rPr>
        <w:rFonts w:ascii="Arial" w:hAnsi="Arial" w:hint="default"/>
      </w:rPr>
    </w:lvl>
    <w:lvl w:ilvl="8" w:tplc="BC407C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193CBF"/>
    <w:multiLevelType w:val="hybridMultilevel"/>
    <w:tmpl w:val="4106D290"/>
    <w:lvl w:ilvl="0" w:tplc="93049226">
      <w:start w:val="1"/>
      <w:numFmt w:val="bullet"/>
      <w:lvlText w:val=""/>
      <w:lvlJc w:val="left"/>
      <w:pPr>
        <w:tabs>
          <w:tab w:val="num" w:pos="720"/>
        </w:tabs>
        <w:ind w:left="720" w:hanging="360"/>
      </w:pPr>
      <w:rPr>
        <w:rFonts w:ascii="Wingdings" w:hAnsi="Wingdings" w:hint="default"/>
      </w:rPr>
    </w:lvl>
    <w:lvl w:ilvl="1" w:tplc="4BEAADEA">
      <w:start w:val="1"/>
      <w:numFmt w:val="bullet"/>
      <w:lvlText w:val=""/>
      <w:lvlJc w:val="left"/>
      <w:pPr>
        <w:tabs>
          <w:tab w:val="num" w:pos="1440"/>
        </w:tabs>
        <w:ind w:left="1440" w:hanging="360"/>
      </w:pPr>
      <w:rPr>
        <w:rFonts w:ascii="Wingdings" w:hAnsi="Wingdings" w:hint="default"/>
      </w:rPr>
    </w:lvl>
    <w:lvl w:ilvl="2" w:tplc="9EB63434" w:tentative="1">
      <w:start w:val="1"/>
      <w:numFmt w:val="bullet"/>
      <w:lvlText w:val=""/>
      <w:lvlJc w:val="left"/>
      <w:pPr>
        <w:tabs>
          <w:tab w:val="num" w:pos="2160"/>
        </w:tabs>
        <w:ind w:left="2160" w:hanging="360"/>
      </w:pPr>
      <w:rPr>
        <w:rFonts w:ascii="Wingdings" w:hAnsi="Wingdings" w:hint="default"/>
      </w:rPr>
    </w:lvl>
    <w:lvl w:ilvl="3" w:tplc="293AF138" w:tentative="1">
      <w:start w:val="1"/>
      <w:numFmt w:val="bullet"/>
      <w:lvlText w:val=""/>
      <w:lvlJc w:val="left"/>
      <w:pPr>
        <w:tabs>
          <w:tab w:val="num" w:pos="2880"/>
        </w:tabs>
        <w:ind w:left="2880" w:hanging="360"/>
      </w:pPr>
      <w:rPr>
        <w:rFonts w:ascii="Wingdings" w:hAnsi="Wingdings" w:hint="default"/>
      </w:rPr>
    </w:lvl>
    <w:lvl w:ilvl="4" w:tplc="9F38AA0E" w:tentative="1">
      <w:start w:val="1"/>
      <w:numFmt w:val="bullet"/>
      <w:lvlText w:val=""/>
      <w:lvlJc w:val="left"/>
      <w:pPr>
        <w:tabs>
          <w:tab w:val="num" w:pos="3600"/>
        </w:tabs>
        <w:ind w:left="3600" w:hanging="360"/>
      </w:pPr>
      <w:rPr>
        <w:rFonts w:ascii="Wingdings" w:hAnsi="Wingdings" w:hint="default"/>
      </w:rPr>
    </w:lvl>
    <w:lvl w:ilvl="5" w:tplc="6038D868" w:tentative="1">
      <w:start w:val="1"/>
      <w:numFmt w:val="bullet"/>
      <w:lvlText w:val=""/>
      <w:lvlJc w:val="left"/>
      <w:pPr>
        <w:tabs>
          <w:tab w:val="num" w:pos="4320"/>
        </w:tabs>
        <w:ind w:left="4320" w:hanging="360"/>
      </w:pPr>
      <w:rPr>
        <w:rFonts w:ascii="Wingdings" w:hAnsi="Wingdings" w:hint="default"/>
      </w:rPr>
    </w:lvl>
    <w:lvl w:ilvl="6" w:tplc="B38A2906" w:tentative="1">
      <w:start w:val="1"/>
      <w:numFmt w:val="bullet"/>
      <w:lvlText w:val=""/>
      <w:lvlJc w:val="left"/>
      <w:pPr>
        <w:tabs>
          <w:tab w:val="num" w:pos="5040"/>
        </w:tabs>
        <w:ind w:left="5040" w:hanging="360"/>
      </w:pPr>
      <w:rPr>
        <w:rFonts w:ascii="Wingdings" w:hAnsi="Wingdings" w:hint="default"/>
      </w:rPr>
    </w:lvl>
    <w:lvl w:ilvl="7" w:tplc="0E8A1A46" w:tentative="1">
      <w:start w:val="1"/>
      <w:numFmt w:val="bullet"/>
      <w:lvlText w:val=""/>
      <w:lvlJc w:val="left"/>
      <w:pPr>
        <w:tabs>
          <w:tab w:val="num" w:pos="5760"/>
        </w:tabs>
        <w:ind w:left="5760" w:hanging="360"/>
      </w:pPr>
      <w:rPr>
        <w:rFonts w:ascii="Wingdings" w:hAnsi="Wingdings" w:hint="default"/>
      </w:rPr>
    </w:lvl>
    <w:lvl w:ilvl="8" w:tplc="4C1EAC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D722E"/>
    <w:multiLevelType w:val="hybridMultilevel"/>
    <w:tmpl w:val="2918F6D8"/>
    <w:lvl w:ilvl="0" w:tplc="67D81F18">
      <w:start w:val="1"/>
      <w:numFmt w:val="bullet"/>
      <w:lvlText w:val="•"/>
      <w:lvlJc w:val="left"/>
      <w:pPr>
        <w:tabs>
          <w:tab w:val="num" w:pos="720"/>
        </w:tabs>
        <w:ind w:left="720" w:hanging="360"/>
      </w:pPr>
      <w:rPr>
        <w:rFonts w:ascii="Arial" w:hAnsi="Arial" w:hint="default"/>
      </w:rPr>
    </w:lvl>
    <w:lvl w:ilvl="1" w:tplc="2DAA5CE4" w:tentative="1">
      <w:start w:val="1"/>
      <w:numFmt w:val="bullet"/>
      <w:lvlText w:val="•"/>
      <w:lvlJc w:val="left"/>
      <w:pPr>
        <w:tabs>
          <w:tab w:val="num" w:pos="1440"/>
        </w:tabs>
        <w:ind w:left="1440" w:hanging="360"/>
      </w:pPr>
      <w:rPr>
        <w:rFonts w:ascii="Arial" w:hAnsi="Arial" w:hint="default"/>
      </w:rPr>
    </w:lvl>
    <w:lvl w:ilvl="2" w:tplc="EBA0F810" w:tentative="1">
      <w:start w:val="1"/>
      <w:numFmt w:val="bullet"/>
      <w:lvlText w:val="•"/>
      <w:lvlJc w:val="left"/>
      <w:pPr>
        <w:tabs>
          <w:tab w:val="num" w:pos="2160"/>
        </w:tabs>
        <w:ind w:left="2160" w:hanging="360"/>
      </w:pPr>
      <w:rPr>
        <w:rFonts w:ascii="Arial" w:hAnsi="Arial" w:hint="default"/>
      </w:rPr>
    </w:lvl>
    <w:lvl w:ilvl="3" w:tplc="35DC99E4" w:tentative="1">
      <w:start w:val="1"/>
      <w:numFmt w:val="bullet"/>
      <w:lvlText w:val="•"/>
      <w:lvlJc w:val="left"/>
      <w:pPr>
        <w:tabs>
          <w:tab w:val="num" w:pos="2880"/>
        </w:tabs>
        <w:ind w:left="2880" w:hanging="360"/>
      </w:pPr>
      <w:rPr>
        <w:rFonts w:ascii="Arial" w:hAnsi="Arial" w:hint="default"/>
      </w:rPr>
    </w:lvl>
    <w:lvl w:ilvl="4" w:tplc="293A12F2" w:tentative="1">
      <w:start w:val="1"/>
      <w:numFmt w:val="bullet"/>
      <w:lvlText w:val="•"/>
      <w:lvlJc w:val="left"/>
      <w:pPr>
        <w:tabs>
          <w:tab w:val="num" w:pos="3600"/>
        </w:tabs>
        <w:ind w:left="3600" w:hanging="360"/>
      </w:pPr>
      <w:rPr>
        <w:rFonts w:ascii="Arial" w:hAnsi="Arial" w:hint="default"/>
      </w:rPr>
    </w:lvl>
    <w:lvl w:ilvl="5" w:tplc="3E5C9960" w:tentative="1">
      <w:start w:val="1"/>
      <w:numFmt w:val="bullet"/>
      <w:lvlText w:val="•"/>
      <w:lvlJc w:val="left"/>
      <w:pPr>
        <w:tabs>
          <w:tab w:val="num" w:pos="4320"/>
        </w:tabs>
        <w:ind w:left="4320" w:hanging="360"/>
      </w:pPr>
      <w:rPr>
        <w:rFonts w:ascii="Arial" w:hAnsi="Arial" w:hint="default"/>
      </w:rPr>
    </w:lvl>
    <w:lvl w:ilvl="6" w:tplc="6BFAD5DE" w:tentative="1">
      <w:start w:val="1"/>
      <w:numFmt w:val="bullet"/>
      <w:lvlText w:val="•"/>
      <w:lvlJc w:val="left"/>
      <w:pPr>
        <w:tabs>
          <w:tab w:val="num" w:pos="5040"/>
        </w:tabs>
        <w:ind w:left="5040" w:hanging="360"/>
      </w:pPr>
      <w:rPr>
        <w:rFonts w:ascii="Arial" w:hAnsi="Arial" w:hint="default"/>
      </w:rPr>
    </w:lvl>
    <w:lvl w:ilvl="7" w:tplc="549E9562" w:tentative="1">
      <w:start w:val="1"/>
      <w:numFmt w:val="bullet"/>
      <w:lvlText w:val="•"/>
      <w:lvlJc w:val="left"/>
      <w:pPr>
        <w:tabs>
          <w:tab w:val="num" w:pos="5760"/>
        </w:tabs>
        <w:ind w:left="5760" w:hanging="360"/>
      </w:pPr>
      <w:rPr>
        <w:rFonts w:ascii="Arial" w:hAnsi="Arial" w:hint="default"/>
      </w:rPr>
    </w:lvl>
    <w:lvl w:ilvl="8" w:tplc="8012BDF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DA767E"/>
    <w:multiLevelType w:val="hybridMultilevel"/>
    <w:tmpl w:val="27D0B6BE"/>
    <w:lvl w:ilvl="0" w:tplc="15269860">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0240F9"/>
    <w:multiLevelType w:val="hybridMultilevel"/>
    <w:tmpl w:val="8962E74A"/>
    <w:lvl w:ilvl="0" w:tplc="15269860">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62539D"/>
    <w:multiLevelType w:val="hybridMultilevel"/>
    <w:tmpl w:val="E99C8A10"/>
    <w:lvl w:ilvl="0" w:tplc="15269860">
      <w:start w:val="1"/>
      <w:numFmt w:val="bullet"/>
      <w:lvlText w:val="•"/>
      <w:lvlJc w:val="left"/>
      <w:pPr>
        <w:tabs>
          <w:tab w:val="num" w:pos="720"/>
        </w:tabs>
        <w:ind w:left="720" w:hanging="360"/>
      </w:pPr>
      <w:rPr>
        <w:rFonts w:ascii="Arial" w:hAnsi="Arial" w:hint="default"/>
      </w:rPr>
    </w:lvl>
    <w:lvl w:ilvl="1" w:tplc="219EF012" w:tentative="1">
      <w:start w:val="1"/>
      <w:numFmt w:val="bullet"/>
      <w:lvlText w:val="•"/>
      <w:lvlJc w:val="left"/>
      <w:pPr>
        <w:tabs>
          <w:tab w:val="num" w:pos="1440"/>
        </w:tabs>
        <w:ind w:left="1440" w:hanging="360"/>
      </w:pPr>
      <w:rPr>
        <w:rFonts w:ascii="Arial" w:hAnsi="Arial" w:hint="default"/>
      </w:rPr>
    </w:lvl>
    <w:lvl w:ilvl="2" w:tplc="8EB2AC6E" w:tentative="1">
      <w:start w:val="1"/>
      <w:numFmt w:val="bullet"/>
      <w:lvlText w:val="•"/>
      <w:lvlJc w:val="left"/>
      <w:pPr>
        <w:tabs>
          <w:tab w:val="num" w:pos="2160"/>
        </w:tabs>
        <w:ind w:left="2160" w:hanging="360"/>
      </w:pPr>
      <w:rPr>
        <w:rFonts w:ascii="Arial" w:hAnsi="Arial" w:hint="default"/>
      </w:rPr>
    </w:lvl>
    <w:lvl w:ilvl="3" w:tplc="62AA7D72" w:tentative="1">
      <w:start w:val="1"/>
      <w:numFmt w:val="bullet"/>
      <w:lvlText w:val="•"/>
      <w:lvlJc w:val="left"/>
      <w:pPr>
        <w:tabs>
          <w:tab w:val="num" w:pos="2880"/>
        </w:tabs>
        <w:ind w:left="2880" w:hanging="360"/>
      </w:pPr>
      <w:rPr>
        <w:rFonts w:ascii="Arial" w:hAnsi="Arial" w:hint="default"/>
      </w:rPr>
    </w:lvl>
    <w:lvl w:ilvl="4" w:tplc="10A4D68A" w:tentative="1">
      <w:start w:val="1"/>
      <w:numFmt w:val="bullet"/>
      <w:lvlText w:val="•"/>
      <w:lvlJc w:val="left"/>
      <w:pPr>
        <w:tabs>
          <w:tab w:val="num" w:pos="3600"/>
        </w:tabs>
        <w:ind w:left="3600" w:hanging="360"/>
      </w:pPr>
      <w:rPr>
        <w:rFonts w:ascii="Arial" w:hAnsi="Arial" w:hint="default"/>
      </w:rPr>
    </w:lvl>
    <w:lvl w:ilvl="5" w:tplc="E9BA1AA6" w:tentative="1">
      <w:start w:val="1"/>
      <w:numFmt w:val="bullet"/>
      <w:lvlText w:val="•"/>
      <w:lvlJc w:val="left"/>
      <w:pPr>
        <w:tabs>
          <w:tab w:val="num" w:pos="4320"/>
        </w:tabs>
        <w:ind w:left="4320" w:hanging="360"/>
      </w:pPr>
      <w:rPr>
        <w:rFonts w:ascii="Arial" w:hAnsi="Arial" w:hint="default"/>
      </w:rPr>
    </w:lvl>
    <w:lvl w:ilvl="6" w:tplc="9B405C8A" w:tentative="1">
      <w:start w:val="1"/>
      <w:numFmt w:val="bullet"/>
      <w:lvlText w:val="•"/>
      <w:lvlJc w:val="left"/>
      <w:pPr>
        <w:tabs>
          <w:tab w:val="num" w:pos="5040"/>
        </w:tabs>
        <w:ind w:left="5040" w:hanging="360"/>
      </w:pPr>
      <w:rPr>
        <w:rFonts w:ascii="Arial" w:hAnsi="Arial" w:hint="default"/>
      </w:rPr>
    </w:lvl>
    <w:lvl w:ilvl="7" w:tplc="A22C2424" w:tentative="1">
      <w:start w:val="1"/>
      <w:numFmt w:val="bullet"/>
      <w:lvlText w:val="•"/>
      <w:lvlJc w:val="left"/>
      <w:pPr>
        <w:tabs>
          <w:tab w:val="num" w:pos="5760"/>
        </w:tabs>
        <w:ind w:left="5760" w:hanging="360"/>
      </w:pPr>
      <w:rPr>
        <w:rFonts w:ascii="Arial" w:hAnsi="Arial" w:hint="default"/>
      </w:rPr>
    </w:lvl>
    <w:lvl w:ilvl="8" w:tplc="C8BEBD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7AB11B0"/>
    <w:multiLevelType w:val="hybridMultilevel"/>
    <w:tmpl w:val="613A649A"/>
    <w:lvl w:ilvl="0" w:tplc="723AB7FE">
      <w:start w:val="1"/>
      <w:numFmt w:val="bullet"/>
      <w:lvlText w:val="•"/>
      <w:lvlJc w:val="left"/>
      <w:pPr>
        <w:tabs>
          <w:tab w:val="num" w:pos="720"/>
        </w:tabs>
        <w:ind w:left="720" w:hanging="360"/>
      </w:pPr>
      <w:rPr>
        <w:rFonts w:ascii="Arial" w:hAnsi="Arial" w:hint="default"/>
      </w:rPr>
    </w:lvl>
    <w:lvl w:ilvl="1" w:tplc="F92828E0">
      <w:numFmt w:val="bullet"/>
      <w:lvlText w:val="o"/>
      <w:lvlJc w:val="left"/>
      <w:pPr>
        <w:tabs>
          <w:tab w:val="num" w:pos="1440"/>
        </w:tabs>
        <w:ind w:left="1440" w:hanging="360"/>
      </w:pPr>
      <w:rPr>
        <w:rFonts w:ascii="Courier New" w:hAnsi="Courier New" w:hint="default"/>
      </w:rPr>
    </w:lvl>
    <w:lvl w:ilvl="2" w:tplc="6DB2A3D4" w:tentative="1">
      <w:start w:val="1"/>
      <w:numFmt w:val="bullet"/>
      <w:lvlText w:val="•"/>
      <w:lvlJc w:val="left"/>
      <w:pPr>
        <w:tabs>
          <w:tab w:val="num" w:pos="2160"/>
        </w:tabs>
        <w:ind w:left="2160" w:hanging="360"/>
      </w:pPr>
      <w:rPr>
        <w:rFonts w:ascii="Arial" w:hAnsi="Arial" w:hint="default"/>
      </w:rPr>
    </w:lvl>
    <w:lvl w:ilvl="3" w:tplc="A9EA29D6" w:tentative="1">
      <w:start w:val="1"/>
      <w:numFmt w:val="bullet"/>
      <w:lvlText w:val="•"/>
      <w:lvlJc w:val="left"/>
      <w:pPr>
        <w:tabs>
          <w:tab w:val="num" w:pos="2880"/>
        </w:tabs>
        <w:ind w:left="2880" w:hanging="360"/>
      </w:pPr>
      <w:rPr>
        <w:rFonts w:ascii="Arial" w:hAnsi="Arial" w:hint="default"/>
      </w:rPr>
    </w:lvl>
    <w:lvl w:ilvl="4" w:tplc="82F2E2AC" w:tentative="1">
      <w:start w:val="1"/>
      <w:numFmt w:val="bullet"/>
      <w:lvlText w:val="•"/>
      <w:lvlJc w:val="left"/>
      <w:pPr>
        <w:tabs>
          <w:tab w:val="num" w:pos="3600"/>
        </w:tabs>
        <w:ind w:left="3600" w:hanging="360"/>
      </w:pPr>
      <w:rPr>
        <w:rFonts w:ascii="Arial" w:hAnsi="Arial" w:hint="default"/>
      </w:rPr>
    </w:lvl>
    <w:lvl w:ilvl="5" w:tplc="A5F4FA60" w:tentative="1">
      <w:start w:val="1"/>
      <w:numFmt w:val="bullet"/>
      <w:lvlText w:val="•"/>
      <w:lvlJc w:val="left"/>
      <w:pPr>
        <w:tabs>
          <w:tab w:val="num" w:pos="4320"/>
        </w:tabs>
        <w:ind w:left="4320" w:hanging="360"/>
      </w:pPr>
      <w:rPr>
        <w:rFonts w:ascii="Arial" w:hAnsi="Arial" w:hint="default"/>
      </w:rPr>
    </w:lvl>
    <w:lvl w:ilvl="6" w:tplc="E7902C06" w:tentative="1">
      <w:start w:val="1"/>
      <w:numFmt w:val="bullet"/>
      <w:lvlText w:val="•"/>
      <w:lvlJc w:val="left"/>
      <w:pPr>
        <w:tabs>
          <w:tab w:val="num" w:pos="5040"/>
        </w:tabs>
        <w:ind w:left="5040" w:hanging="360"/>
      </w:pPr>
      <w:rPr>
        <w:rFonts w:ascii="Arial" w:hAnsi="Arial" w:hint="default"/>
      </w:rPr>
    </w:lvl>
    <w:lvl w:ilvl="7" w:tplc="5B3439F0" w:tentative="1">
      <w:start w:val="1"/>
      <w:numFmt w:val="bullet"/>
      <w:lvlText w:val="•"/>
      <w:lvlJc w:val="left"/>
      <w:pPr>
        <w:tabs>
          <w:tab w:val="num" w:pos="5760"/>
        </w:tabs>
        <w:ind w:left="5760" w:hanging="360"/>
      </w:pPr>
      <w:rPr>
        <w:rFonts w:ascii="Arial" w:hAnsi="Arial" w:hint="default"/>
      </w:rPr>
    </w:lvl>
    <w:lvl w:ilvl="8" w:tplc="1F2677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29535A3"/>
    <w:multiLevelType w:val="hybridMultilevel"/>
    <w:tmpl w:val="B7DE7020"/>
    <w:lvl w:ilvl="0" w:tplc="F14458E6">
      <w:start w:val="1"/>
      <w:numFmt w:val="bullet"/>
      <w:lvlText w:val="•"/>
      <w:lvlJc w:val="left"/>
      <w:pPr>
        <w:tabs>
          <w:tab w:val="num" w:pos="720"/>
        </w:tabs>
        <w:ind w:left="720" w:hanging="360"/>
      </w:pPr>
      <w:rPr>
        <w:rFonts w:ascii="Arial" w:hAnsi="Arial" w:hint="default"/>
      </w:rPr>
    </w:lvl>
    <w:lvl w:ilvl="1" w:tplc="F7A4E5A6" w:tentative="1">
      <w:start w:val="1"/>
      <w:numFmt w:val="bullet"/>
      <w:lvlText w:val="•"/>
      <w:lvlJc w:val="left"/>
      <w:pPr>
        <w:tabs>
          <w:tab w:val="num" w:pos="1440"/>
        </w:tabs>
        <w:ind w:left="1440" w:hanging="360"/>
      </w:pPr>
      <w:rPr>
        <w:rFonts w:ascii="Arial" w:hAnsi="Arial" w:hint="default"/>
      </w:rPr>
    </w:lvl>
    <w:lvl w:ilvl="2" w:tplc="D44CEB94" w:tentative="1">
      <w:start w:val="1"/>
      <w:numFmt w:val="bullet"/>
      <w:lvlText w:val="•"/>
      <w:lvlJc w:val="left"/>
      <w:pPr>
        <w:tabs>
          <w:tab w:val="num" w:pos="2160"/>
        </w:tabs>
        <w:ind w:left="2160" w:hanging="360"/>
      </w:pPr>
      <w:rPr>
        <w:rFonts w:ascii="Arial" w:hAnsi="Arial" w:hint="default"/>
      </w:rPr>
    </w:lvl>
    <w:lvl w:ilvl="3" w:tplc="4A087744" w:tentative="1">
      <w:start w:val="1"/>
      <w:numFmt w:val="bullet"/>
      <w:lvlText w:val="•"/>
      <w:lvlJc w:val="left"/>
      <w:pPr>
        <w:tabs>
          <w:tab w:val="num" w:pos="2880"/>
        </w:tabs>
        <w:ind w:left="2880" w:hanging="360"/>
      </w:pPr>
      <w:rPr>
        <w:rFonts w:ascii="Arial" w:hAnsi="Arial" w:hint="default"/>
      </w:rPr>
    </w:lvl>
    <w:lvl w:ilvl="4" w:tplc="DF02D06E" w:tentative="1">
      <w:start w:val="1"/>
      <w:numFmt w:val="bullet"/>
      <w:lvlText w:val="•"/>
      <w:lvlJc w:val="left"/>
      <w:pPr>
        <w:tabs>
          <w:tab w:val="num" w:pos="3600"/>
        </w:tabs>
        <w:ind w:left="3600" w:hanging="360"/>
      </w:pPr>
      <w:rPr>
        <w:rFonts w:ascii="Arial" w:hAnsi="Arial" w:hint="default"/>
      </w:rPr>
    </w:lvl>
    <w:lvl w:ilvl="5" w:tplc="BDBECF26" w:tentative="1">
      <w:start w:val="1"/>
      <w:numFmt w:val="bullet"/>
      <w:lvlText w:val="•"/>
      <w:lvlJc w:val="left"/>
      <w:pPr>
        <w:tabs>
          <w:tab w:val="num" w:pos="4320"/>
        </w:tabs>
        <w:ind w:left="4320" w:hanging="360"/>
      </w:pPr>
      <w:rPr>
        <w:rFonts w:ascii="Arial" w:hAnsi="Arial" w:hint="default"/>
      </w:rPr>
    </w:lvl>
    <w:lvl w:ilvl="6" w:tplc="8A683610" w:tentative="1">
      <w:start w:val="1"/>
      <w:numFmt w:val="bullet"/>
      <w:lvlText w:val="•"/>
      <w:lvlJc w:val="left"/>
      <w:pPr>
        <w:tabs>
          <w:tab w:val="num" w:pos="5040"/>
        </w:tabs>
        <w:ind w:left="5040" w:hanging="360"/>
      </w:pPr>
      <w:rPr>
        <w:rFonts w:ascii="Arial" w:hAnsi="Arial" w:hint="default"/>
      </w:rPr>
    </w:lvl>
    <w:lvl w:ilvl="7" w:tplc="8D10400E" w:tentative="1">
      <w:start w:val="1"/>
      <w:numFmt w:val="bullet"/>
      <w:lvlText w:val="•"/>
      <w:lvlJc w:val="left"/>
      <w:pPr>
        <w:tabs>
          <w:tab w:val="num" w:pos="5760"/>
        </w:tabs>
        <w:ind w:left="5760" w:hanging="360"/>
      </w:pPr>
      <w:rPr>
        <w:rFonts w:ascii="Arial" w:hAnsi="Arial" w:hint="default"/>
      </w:rPr>
    </w:lvl>
    <w:lvl w:ilvl="8" w:tplc="C3B207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32350D7"/>
    <w:multiLevelType w:val="hybridMultilevel"/>
    <w:tmpl w:val="1D606B48"/>
    <w:lvl w:ilvl="0" w:tplc="03786816">
      <w:start w:val="1"/>
      <w:numFmt w:val="bullet"/>
      <w:lvlText w:val="•"/>
      <w:lvlJc w:val="left"/>
      <w:pPr>
        <w:tabs>
          <w:tab w:val="num" w:pos="720"/>
        </w:tabs>
        <w:ind w:left="720" w:hanging="360"/>
      </w:pPr>
      <w:rPr>
        <w:rFonts w:ascii="Arial" w:hAnsi="Arial" w:hint="default"/>
      </w:rPr>
    </w:lvl>
    <w:lvl w:ilvl="1" w:tplc="7D5EF17C" w:tentative="1">
      <w:start w:val="1"/>
      <w:numFmt w:val="bullet"/>
      <w:lvlText w:val="•"/>
      <w:lvlJc w:val="left"/>
      <w:pPr>
        <w:tabs>
          <w:tab w:val="num" w:pos="1440"/>
        </w:tabs>
        <w:ind w:left="1440" w:hanging="360"/>
      </w:pPr>
      <w:rPr>
        <w:rFonts w:ascii="Arial" w:hAnsi="Arial" w:hint="default"/>
      </w:rPr>
    </w:lvl>
    <w:lvl w:ilvl="2" w:tplc="AFA25A70" w:tentative="1">
      <w:start w:val="1"/>
      <w:numFmt w:val="bullet"/>
      <w:lvlText w:val="•"/>
      <w:lvlJc w:val="left"/>
      <w:pPr>
        <w:tabs>
          <w:tab w:val="num" w:pos="2160"/>
        </w:tabs>
        <w:ind w:left="2160" w:hanging="360"/>
      </w:pPr>
      <w:rPr>
        <w:rFonts w:ascii="Arial" w:hAnsi="Arial" w:hint="default"/>
      </w:rPr>
    </w:lvl>
    <w:lvl w:ilvl="3" w:tplc="E0189AEE" w:tentative="1">
      <w:start w:val="1"/>
      <w:numFmt w:val="bullet"/>
      <w:lvlText w:val="•"/>
      <w:lvlJc w:val="left"/>
      <w:pPr>
        <w:tabs>
          <w:tab w:val="num" w:pos="2880"/>
        </w:tabs>
        <w:ind w:left="2880" w:hanging="360"/>
      </w:pPr>
      <w:rPr>
        <w:rFonts w:ascii="Arial" w:hAnsi="Arial" w:hint="default"/>
      </w:rPr>
    </w:lvl>
    <w:lvl w:ilvl="4" w:tplc="3E48DBEC" w:tentative="1">
      <w:start w:val="1"/>
      <w:numFmt w:val="bullet"/>
      <w:lvlText w:val="•"/>
      <w:lvlJc w:val="left"/>
      <w:pPr>
        <w:tabs>
          <w:tab w:val="num" w:pos="3600"/>
        </w:tabs>
        <w:ind w:left="3600" w:hanging="360"/>
      </w:pPr>
      <w:rPr>
        <w:rFonts w:ascii="Arial" w:hAnsi="Arial" w:hint="default"/>
      </w:rPr>
    </w:lvl>
    <w:lvl w:ilvl="5" w:tplc="8F2E5B70" w:tentative="1">
      <w:start w:val="1"/>
      <w:numFmt w:val="bullet"/>
      <w:lvlText w:val="•"/>
      <w:lvlJc w:val="left"/>
      <w:pPr>
        <w:tabs>
          <w:tab w:val="num" w:pos="4320"/>
        </w:tabs>
        <w:ind w:left="4320" w:hanging="360"/>
      </w:pPr>
      <w:rPr>
        <w:rFonts w:ascii="Arial" w:hAnsi="Arial" w:hint="default"/>
      </w:rPr>
    </w:lvl>
    <w:lvl w:ilvl="6" w:tplc="6EBEED6A" w:tentative="1">
      <w:start w:val="1"/>
      <w:numFmt w:val="bullet"/>
      <w:lvlText w:val="•"/>
      <w:lvlJc w:val="left"/>
      <w:pPr>
        <w:tabs>
          <w:tab w:val="num" w:pos="5040"/>
        </w:tabs>
        <w:ind w:left="5040" w:hanging="360"/>
      </w:pPr>
      <w:rPr>
        <w:rFonts w:ascii="Arial" w:hAnsi="Arial" w:hint="default"/>
      </w:rPr>
    </w:lvl>
    <w:lvl w:ilvl="7" w:tplc="7F125740" w:tentative="1">
      <w:start w:val="1"/>
      <w:numFmt w:val="bullet"/>
      <w:lvlText w:val="•"/>
      <w:lvlJc w:val="left"/>
      <w:pPr>
        <w:tabs>
          <w:tab w:val="num" w:pos="5760"/>
        </w:tabs>
        <w:ind w:left="5760" w:hanging="360"/>
      </w:pPr>
      <w:rPr>
        <w:rFonts w:ascii="Arial" w:hAnsi="Arial" w:hint="default"/>
      </w:rPr>
    </w:lvl>
    <w:lvl w:ilvl="8" w:tplc="B8646116" w:tentative="1">
      <w:start w:val="1"/>
      <w:numFmt w:val="bullet"/>
      <w:lvlText w:val="•"/>
      <w:lvlJc w:val="left"/>
      <w:pPr>
        <w:tabs>
          <w:tab w:val="num" w:pos="6480"/>
        </w:tabs>
        <w:ind w:left="6480" w:hanging="360"/>
      </w:pPr>
      <w:rPr>
        <w:rFonts w:ascii="Arial" w:hAnsi="Arial" w:hint="default"/>
      </w:rPr>
    </w:lvl>
  </w:abstractNum>
  <w:num w:numId="1" w16cid:durableId="1558201299">
    <w:abstractNumId w:val="0"/>
  </w:num>
  <w:num w:numId="2" w16cid:durableId="764808483">
    <w:abstractNumId w:val="6"/>
  </w:num>
  <w:num w:numId="3" w16cid:durableId="16125484">
    <w:abstractNumId w:val="3"/>
  </w:num>
  <w:num w:numId="4" w16cid:durableId="30108028">
    <w:abstractNumId w:val="9"/>
  </w:num>
  <w:num w:numId="5" w16cid:durableId="139657364">
    <w:abstractNumId w:val="1"/>
  </w:num>
  <w:num w:numId="6" w16cid:durableId="2110738145">
    <w:abstractNumId w:val="8"/>
  </w:num>
  <w:num w:numId="7" w16cid:durableId="300815334">
    <w:abstractNumId w:val="7"/>
  </w:num>
  <w:num w:numId="8" w16cid:durableId="1609967149">
    <w:abstractNumId w:val="5"/>
  </w:num>
  <w:num w:numId="9" w16cid:durableId="1697731676">
    <w:abstractNumId w:val="4"/>
  </w:num>
  <w:num w:numId="10" w16cid:durableId="319699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22"/>
    <w:rsid w:val="00104222"/>
    <w:rsid w:val="00170177"/>
    <w:rsid w:val="001731A3"/>
    <w:rsid w:val="003B5E3A"/>
    <w:rsid w:val="005B4CB9"/>
    <w:rsid w:val="009C7558"/>
    <w:rsid w:val="00C645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98378"/>
  <w15:chartTrackingRefBased/>
  <w15:docId w15:val="{C23BE767-57A5-401A-91F5-BD81539D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222"/>
    <w:rPr>
      <w:color w:val="0563C1" w:themeColor="hyperlink"/>
      <w:u w:val="single"/>
    </w:rPr>
  </w:style>
  <w:style w:type="character" w:styleId="UnresolvedMention">
    <w:name w:val="Unresolved Mention"/>
    <w:basedOn w:val="DefaultParagraphFont"/>
    <w:uiPriority w:val="99"/>
    <w:semiHidden/>
    <w:unhideWhenUsed/>
    <w:rsid w:val="00104222"/>
    <w:rPr>
      <w:color w:val="605E5C"/>
      <w:shd w:val="clear" w:color="auto" w:fill="E1DFDD"/>
    </w:rPr>
  </w:style>
  <w:style w:type="paragraph" w:styleId="ListParagraph">
    <w:name w:val="List Paragraph"/>
    <w:basedOn w:val="Normal"/>
    <w:uiPriority w:val="34"/>
    <w:qFormat/>
    <w:rsid w:val="00173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7397">
      <w:bodyDiv w:val="1"/>
      <w:marLeft w:val="0"/>
      <w:marRight w:val="0"/>
      <w:marTop w:val="0"/>
      <w:marBottom w:val="0"/>
      <w:divBdr>
        <w:top w:val="none" w:sz="0" w:space="0" w:color="auto"/>
        <w:left w:val="none" w:sz="0" w:space="0" w:color="auto"/>
        <w:bottom w:val="none" w:sz="0" w:space="0" w:color="auto"/>
        <w:right w:val="none" w:sz="0" w:space="0" w:color="auto"/>
      </w:divBdr>
    </w:div>
    <w:div w:id="116461291">
      <w:bodyDiv w:val="1"/>
      <w:marLeft w:val="0"/>
      <w:marRight w:val="0"/>
      <w:marTop w:val="0"/>
      <w:marBottom w:val="0"/>
      <w:divBdr>
        <w:top w:val="none" w:sz="0" w:space="0" w:color="auto"/>
        <w:left w:val="none" w:sz="0" w:space="0" w:color="auto"/>
        <w:bottom w:val="none" w:sz="0" w:space="0" w:color="auto"/>
        <w:right w:val="none" w:sz="0" w:space="0" w:color="auto"/>
      </w:divBdr>
    </w:div>
    <w:div w:id="160826167">
      <w:bodyDiv w:val="1"/>
      <w:marLeft w:val="0"/>
      <w:marRight w:val="0"/>
      <w:marTop w:val="0"/>
      <w:marBottom w:val="0"/>
      <w:divBdr>
        <w:top w:val="none" w:sz="0" w:space="0" w:color="auto"/>
        <w:left w:val="none" w:sz="0" w:space="0" w:color="auto"/>
        <w:bottom w:val="none" w:sz="0" w:space="0" w:color="auto"/>
        <w:right w:val="none" w:sz="0" w:space="0" w:color="auto"/>
      </w:divBdr>
    </w:div>
    <w:div w:id="194003682">
      <w:bodyDiv w:val="1"/>
      <w:marLeft w:val="0"/>
      <w:marRight w:val="0"/>
      <w:marTop w:val="0"/>
      <w:marBottom w:val="0"/>
      <w:divBdr>
        <w:top w:val="none" w:sz="0" w:space="0" w:color="auto"/>
        <w:left w:val="none" w:sz="0" w:space="0" w:color="auto"/>
        <w:bottom w:val="none" w:sz="0" w:space="0" w:color="auto"/>
        <w:right w:val="none" w:sz="0" w:space="0" w:color="auto"/>
      </w:divBdr>
      <w:divsChild>
        <w:div w:id="2083748011">
          <w:marLeft w:val="547"/>
          <w:marRight w:val="0"/>
          <w:marTop w:val="0"/>
          <w:marBottom w:val="0"/>
          <w:divBdr>
            <w:top w:val="none" w:sz="0" w:space="0" w:color="auto"/>
            <w:left w:val="none" w:sz="0" w:space="0" w:color="auto"/>
            <w:bottom w:val="none" w:sz="0" w:space="0" w:color="auto"/>
            <w:right w:val="none" w:sz="0" w:space="0" w:color="auto"/>
          </w:divBdr>
        </w:div>
        <w:div w:id="1347171861">
          <w:marLeft w:val="547"/>
          <w:marRight w:val="0"/>
          <w:marTop w:val="0"/>
          <w:marBottom w:val="0"/>
          <w:divBdr>
            <w:top w:val="none" w:sz="0" w:space="0" w:color="auto"/>
            <w:left w:val="none" w:sz="0" w:space="0" w:color="auto"/>
            <w:bottom w:val="none" w:sz="0" w:space="0" w:color="auto"/>
            <w:right w:val="none" w:sz="0" w:space="0" w:color="auto"/>
          </w:divBdr>
        </w:div>
        <w:div w:id="33359828">
          <w:marLeft w:val="547"/>
          <w:marRight w:val="0"/>
          <w:marTop w:val="0"/>
          <w:marBottom w:val="0"/>
          <w:divBdr>
            <w:top w:val="none" w:sz="0" w:space="0" w:color="auto"/>
            <w:left w:val="none" w:sz="0" w:space="0" w:color="auto"/>
            <w:bottom w:val="none" w:sz="0" w:space="0" w:color="auto"/>
            <w:right w:val="none" w:sz="0" w:space="0" w:color="auto"/>
          </w:divBdr>
        </w:div>
        <w:div w:id="449906126">
          <w:marLeft w:val="547"/>
          <w:marRight w:val="0"/>
          <w:marTop w:val="0"/>
          <w:marBottom w:val="0"/>
          <w:divBdr>
            <w:top w:val="none" w:sz="0" w:space="0" w:color="auto"/>
            <w:left w:val="none" w:sz="0" w:space="0" w:color="auto"/>
            <w:bottom w:val="none" w:sz="0" w:space="0" w:color="auto"/>
            <w:right w:val="none" w:sz="0" w:space="0" w:color="auto"/>
          </w:divBdr>
        </w:div>
        <w:div w:id="1376271428">
          <w:marLeft w:val="547"/>
          <w:marRight w:val="0"/>
          <w:marTop w:val="0"/>
          <w:marBottom w:val="0"/>
          <w:divBdr>
            <w:top w:val="none" w:sz="0" w:space="0" w:color="auto"/>
            <w:left w:val="none" w:sz="0" w:space="0" w:color="auto"/>
            <w:bottom w:val="none" w:sz="0" w:space="0" w:color="auto"/>
            <w:right w:val="none" w:sz="0" w:space="0" w:color="auto"/>
          </w:divBdr>
        </w:div>
      </w:divsChild>
    </w:div>
    <w:div w:id="406342548">
      <w:bodyDiv w:val="1"/>
      <w:marLeft w:val="0"/>
      <w:marRight w:val="0"/>
      <w:marTop w:val="0"/>
      <w:marBottom w:val="0"/>
      <w:divBdr>
        <w:top w:val="none" w:sz="0" w:space="0" w:color="auto"/>
        <w:left w:val="none" w:sz="0" w:space="0" w:color="auto"/>
        <w:bottom w:val="none" w:sz="0" w:space="0" w:color="auto"/>
        <w:right w:val="none" w:sz="0" w:space="0" w:color="auto"/>
      </w:divBdr>
    </w:div>
    <w:div w:id="409085175">
      <w:bodyDiv w:val="1"/>
      <w:marLeft w:val="0"/>
      <w:marRight w:val="0"/>
      <w:marTop w:val="0"/>
      <w:marBottom w:val="0"/>
      <w:divBdr>
        <w:top w:val="none" w:sz="0" w:space="0" w:color="auto"/>
        <w:left w:val="none" w:sz="0" w:space="0" w:color="auto"/>
        <w:bottom w:val="none" w:sz="0" w:space="0" w:color="auto"/>
        <w:right w:val="none" w:sz="0" w:space="0" w:color="auto"/>
      </w:divBdr>
    </w:div>
    <w:div w:id="429014229">
      <w:bodyDiv w:val="1"/>
      <w:marLeft w:val="0"/>
      <w:marRight w:val="0"/>
      <w:marTop w:val="0"/>
      <w:marBottom w:val="0"/>
      <w:divBdr>
        <w:top w:val="none" w:sz="0" w:space="0" w:color="auto"/>
        <w:left w:val="none" w:sz="0" w:space="0" w:color="auto"/>
        <w:bottom w:val="none" w:sz="0" w:space="0" w:color="auto"/>
        <w:right w:val="none" w:sz="0" w:space="0" w:color="auto"/>
      </w:divBdr>
      <w:divsChild>
        <w:div w:id="914970115">
          <w:marLeft w:val="547"/>
          <w:marRight w:val="0"/>
          <w:marTop w:val="0"/>
          <w:marBottom w:val="240"/>
          <w:divBdr>
            <w:top w:val="none" w:sz="0" w:space="0" w:color="auto"/>
            <w:left w:val="none" w:sz="0" w:space="0" w:color="auto"/>
            <w:bottom w:val="none" w:sz="0" w:space="0" w:color="auto"/>
            <w:right w:val="none" w:sz="0" w:space="0" w:color="auto"/>
          </w:divBdr>
        </w:div>
        <w:div w:id="1927953940">
          <w:marLeft w:val="547"/>
          <w:marRight w:val="0"/>
          <w:marTop w:val="0"/>
          <w:marBottom w:val="240"/>
          <w:divBdr>
            <w:top w:val="none" w:sz="0" w:space="0" w:color="auto"/>
            <w:left w:val="none" w:sz="0" w:space="0" w:color="auto"/>
            <w:bottom w:val="none" w:sz="0" w:space="0" w:color="auto"/>
            <w:right w:val="none" w:sz="0" w:space="0" w:color="auto"/>
          </w:divBdr>
        </w:div>
        <w:div w:id="1184635850">
          <w:marLeft w:val="547"/>
          <w:marRight w:val="0"/>
          <w:marTop w:val="0"/>
          <w:marBottom w:val="240"/>
          <w:divBdr>
            <w:top w:val="none" w:sz="0" w:space="0" w:color="auto"/>
            <w:left w:val="none" w:sz="0" w:space="0" w:color="auto"/>
            <w:bottom w:val="none" w:sz="0" w:space="0" w:color="auto"/>
            <w:right w:val="none" w:sz="0" w:space="0" w:color="auto"/>
          </w:divBdr>
        </w:div>
        <w:div w:id="915356314">
          <w:marLeft w:val="547"/>
          <w:marRight w:val="0"/>
          <w:marTop w:val="0"/>
          <w:marBottom w:val="240"/>
          <w:divBdr>
            <w:top w:val="none" w:sz="0" w:space="0" w:color="auto"/>
            <w:left w:val="none" w:sz="0" w:space="0" w:color="auto"/>
            <w:bottom w:val="none" w:sz="0" w:space="0" w:color="auto"/>
            <w:right w:val="none" w:sz="0" w:space="0" w:color="auto"/>
          </w:divBdr>
        </w:div>
        <w:div w:id="1945531005">
          <w:marLeft w:val="547"/>
          <w:marRight w:val="0"/>
          <w:marTop w:val="0"/>
          <w:marBottom w:val="240"/>
          <w:divBdr>
            <w:top w:val="none" w:sz="0" w:space="0" w:color="auto"/>
            <w:left w:val="none" w:sz="0" w:space="0" w:color="auto"/>
            <w:bottom w:val="none" w:sz="0" w:space="0" w:color="auto"/>
            <w:right w:val="none" w:sz="0" w:space="0" w:color="auto"/>
          </w:divBdr>
        </w:div>
        <w:div w:id="1407192341">
          <w:marLeft w:val="547"/>
          <w:marRight w:val="0"/>
          <w:marTop w:val="0"/>
          <w:marBottom w:val="240"/>
          <w:divBdr>
            <w:top w:val="none" w:sz="0" w:space="0" w:color="auto"/>
            <w:left w:val="none" w:sz="0" w:space="0" w:color="auto"/>
            <w:bottom w:val="none" w:sz="0" w:space="0" w:color="auto"/>
            <w:right w:val="none" w:sz="0" w:space="0" w:color="auto"/>
          </w:divBdr>
        </w:div>
        <w:div w:id="1069813841">
          <w:marLeft w:val="547"/>
          <w:marRight w:val="0"/>
          <w:marTop w:val="0"/>
          <w:marBottom w:val="240"/>
          <w:divBdr>
            <w:top w:val="none" w:sz="0" w:space="0" w:color="auto"/>
            <w:left w:val="none" w:sz="0" w:space="0" w:color="auto"/>
            <w:bottom w:val="none" w:sz="0" w:space="0" w:color="auto"/>
            <w:right w:val="none" w:sz="0" w:space="0" w:color="auto"/>
          </w:divBdr>
        </w:div>
        <w:div w:id="1163008653">
          <w:marLeft w:val="547"/>
          <w:marRight w:val="0"/>
          <w:marTop w:val="0"/>
          <w:marBottom w:val="240"/>
          <w:divBdr>
            <w:top w:val="none" w:sz="0" w:space="0" w:color="auto"/>
            <w:left w:val="none" w:sz="0" w:space="0" w:color="auto"/>
            <w:bottom w:val="none" w:sz="0" w:space="0" w:color="auto"/>
            <w:right w:val="none" w:sz="0" w:space="0" w:color="auto"/>
          </w:divBdr>
        </w:div>
      </w:divsChild>
    </w:div>
    <w:div w:id="492063923">
      <w:bodyDiv w:val="1"/>
      <w:marLeft w:val="0"/>
      <w:marRight w:val="0"/>
      <w:marTop w:val="0"/>
      <w:marBottom w:val="0"/>
      <w:divBdr>
        <w:top w:val="none" w:sz="0" w:space="0" w:color="auto"/>
        <w:left w:val="none" w:sz="0" w:space="0" w:color="auto"/>
        <w:bottom w:val="none" w:sz="0" w:space="0" w:color="auto"/>
        <w:right w:val="none" w:sz="0" w:space="0" w:color="auto"/>
      </w:divBdr>
      <w:divsChild>
        <w:div w:id="69272705">
          <w:marLeft w:val="720"/>
          <w:marRight w:val="0"/>
          <w:marTop w:val="100"/>
          <w:marBottom w:val="240"/>
          <w:divBdr>
            <w:top w:val="none" w:sz="0" w:space="0" w:color="auto"/>
            <w:left w:val="none" w:sz="0" w:space="0" w:color="auto"/>
            <w:bottom w:val="none" w:sz="0" w:space="0" w:color="auto"/>
            <w:right w:val="none" w:sz="0" w:space="0" w:color="auto"/>
          </w:divBdr>
        </w:div>
        <w:div w:id="82267602">
          <w:marLeft w:val="720"/>
          <w:marRight w:val="0"/>
          <w:marTop w:val="100"/>
          <w:marBottom w:val="240"/>
          <w:divBdr>
            <w:top w:val="none" w:sz="0" w:space="0" w:color="auto"/>
            <w:left w:val="none" w:sz="0" w:space="0" w:color="auto"/>
            <w:bottom w:val="none" w:sz="0" w:space="0" w:color="auto"/>
            <w:right w:val="none" w:sz="0" w:space="0" w:color="auto"/>
          </w:divBdr>
        </w:div>
        <w:div w:id="463819392">
          <w:marLeft w:val="720"/>
          <w:marRight w:val="0"/>
          <w:marTop w:val="200"/>
          <w:marBottom w:val="240"/>
          <w:divBdr>
            <w:top w:val="none" w:sz="0" w:space="0" w:color="auto"/>
            <w:left w:val="none" w:sz="0" w:space="0" w:color="auto"/>
            <w:bottom w:val="none" w:sz="0" w:space="0" w:color="auto"/>
            <w:right w:val="none" w:sz="0" w:space="0" w:color="auto"/>
          </w:divBdr>
        </w:div>
      </w:divsChild>
    </w:div>
    <w:div w:id="578635833">
      <w:bodyDiv w:val="1"/>
      <w:marLeft w:val="0"/>
      <w:marRight w:val="0"/>
      <w:marTop w:val="0"/>
      <w:marBottom w:val="0"/>
      <w:divBdr>
        <w:top w:val="none" w:sz="0" w:space="0" w:color="auto"/>
        <w:left w:val="none" w:sz="0" w:space="0" w:color="auto"/>
        <w:bottom w:val="none" w:sz="0" w:space="0" w:color="auto"/>
        <w:right w:val="none" w:sz="0" w:space="0" w:color="auto"/>
      </w:divBdr>
      <w:divsChild>
        <w:div w:id="1844661663">
          <w:marLeft w:val="720"/>
          <w:marRight w:val="0"/>
          <w:marTop w:val="0"/>
          <w:marBottom w:val="240"/>
          <w:divBdr>
            <w:top w:val="none" w:sz="0" w:space="0" w:color="auto"/>
            <w:left w:val="none" w:sz="0" w:space="0" w:color="auto"/>
            <w:bottom w:val="none" w:sz="0" w:space="0" w:color="auto"/>
            <w:right w:val="none" w:sz="0" w:space="0" w:color="auto"/>
          </w:divBdr>
        </w:div>
        <w:div w:id="1545824616">
          <w:marLeft w:val="720"/>
          <w:marRight w:val="0"/>
          <w:marTop w:val="200"/>
          <w:marBottom w:val="240"/>
          <w:divBdr>
            <w:top w:val="none" w:sz="0" w:space="0" w:color="auto"/>
            <w:left w:val="none" w:sz="0" w:space="0" w:color="auto"/>
            <w:bottom w:val="none" w:sz="0" w:space="0" w:color="auto"/>
            <w:right w:val="none" w:sz="0" w:space="0" w:color="auto"/>
          </w:divBdr>
        </w:div>
        <w:div w:id="765688685">
          <w:marLeft w:val="720"/>
          <w:marRight w:val="0"/>
          <w:marTop w:val="200"/>
          <w:marBottom w:val="240"/>
          <w:divBdr>
            <w:top w:val="none" w:sz="0" w:space="0" w:color="auto"/>
            <w:left w:val="none" w:sz="0" w:space="0" w:color="auto"/>
            <w:bottom w:val="none" w:sz="0" w:space="0" w:color="auto"/>
            <w:right w:val="none" w:sz="0" w:space="0" w:color="auto"/>
          </w:divBdr>
        </w:div>
      </w:divsChild>
    </w:div>
    <w:div w:id="611790167">
      <w:bodyDiv w:val="1"/>
      <w:marLeft w:val="0"/>
      <w:marRight w:val="0"/>
      <w:marTop w:val="0"/>
      <w:marBottom w:val="0"/>
      <w:divBdr>
        <w:top w:val="none" w:sz="0" w:space="0" w:color="auto"/>
        <w:left w:val="none" w:sz="0" w:space="0" w:color="auto"/>
        <w:bottom w:val="none" w:sz="0" w:space="0" w:color="auto"/>
        <w:right w:val="none" w:sz="0" w:space="0" w:color="auto"/>
      </w:divBdr>
    </w:div>
    <w:div w:id="909465214">
      <w:bodyDiv w:val="1"/>
      <w:marLeft w:val="0"/>
      <w:marRight w:val="0"/>
      <w:marTop w:val="0"/>
      <w:marBottom w:val="0"/>
      <w:divBdr>
        <w:top w:val="none" w:sz="0" w:space="0" w:color="auto"/>
        <w:left w:val="none" w:sz="0" w:space="0" w:color="auto"/>
        <w:bottom w:val="none" w:sz="0" w:space="0" w:color="auto"/>
        <w:right w:val="none" w:sz="0" w:space="0" w:color="auto"/>
      </w:divBdr>
    </w:div>
    <w:div w:id="1140342607">
      <w:bodyDiv w:val="1"/>
      <w:marLeft w:val="0"/>
      <w:marRight w:val="0"/>
      <w:marTop w:val="0"/>
      <w:marBottom w:val="0"/>
      <w:divBdr>
        <w:top w:val="none" w:sz="0" w:space="0" w:color="auto"/>
        <w:left w:val="none" w:sz="0" w:space="0" w:color="auto"/>
        <w:bottom w:val="none" w:sz="0" w:space="0" w:color="auto"/>
        <w:right w:val="none" w:sz="0" w:space="0" w:color="auto"/>
      </w:divBdr>
      <w:divsChild>
        <w:div w:id="1543438478">
          <w:marLeft w:val="547"/>
          <w:marRight w:val="0"/>
          <w:marTop w:val="0"/>
          <w:marBottom w:val="0"/>
          <w:divBdr>
            <w:top w:val="none" w:sz="0" w:space="0" w:color="auto"/>
            <w:left w:val="none" w:sz="0" w:space="0" w:color="auto"/>
            <w:bottom w:val="none" w:sz="0" w:space="0" w:color="auto"/>
            <w:right w:val="none" w:sz="0" w:space="0" w:color="auto"/>
          </w:divBdr>
        </w:div>
        <w:div w:id="266735769">
          <w:marLeft w:val="547"/>
          <w:marRight w:val="0"/>
          <w:marTop w:val="0"/>
          <w:marBottom w:val="0"/>
          <w:divBdr>
            <w:top w:val="none" w:sz="0" w:space="0" w:color="auto"/>
            <w:left w:val="none" w:sz="0" w:space="0" w:color="auto"/>
            <w:bottom w:val="none" w:sz="0" w:space="0" w:color="auto"/>
            <w:right w:val="none" w:sz="0" w:space="0" w:color="auto"/>
          </w:divBdr>
        </w:div>
        <w:div w:id="292635507">
          <w:marLeft w:val="547"/>
          <w:marRight w:val="0"/>
          <w:marTop w:val="0"/>
          <w:marBottom w:val="0"/>
          <w:divBdr>
            <w:top w:val="none" w:sz="0" w:space="0" w:color="auto"/>
            <w:left w:val="none" w:sz="0" w:space="0" w:color="auto"/>
            <w:bottom w:val="none" w:sz="0" w:space="0" w:color="auto"/>
            <w:right w:val="none" w:sz="0" w:space="0" w:color="auto"/>
          </w:divBdr>
        </w:div>
        <w:div w:id="90249634">
          <w:marLeft w:val="547"/>
          <w:marRight w:val="0"/>
          <w:marTop w:val="0"/>
          <w:marBottom w:val="0"/>
          <w:divBdr>
            <w:top w:val="none" w:sz="0" w:space="0" w:color="auto"/>
            <w:left w:val="none" w:sz="0" w:space="0" w:color="auto"/>
            <w:bottom w:val="none" w:sz="0" w:space="0" w:color="auto"/>
            <w:right w:val="none" w:sz="0" w:space="0" w:color="auto"/>
          </w:divBdr>
        </w:div>
        <w:div w:id="897545980">
          <w:marLeft w:val="547"/>
          <w:marRight w:val="0"/>
          <w:marTop w:val="0"/>
          <w:marBottom w:val="0"/>
          <w:divBdr>
            <w:top w:val="none" w:sz="0" w:space="0" w:color="auto"/>
            <w:left w:val="none" w:sz="0" w:space="0" w:color="auto"/>
            <w:bottom w:val="none" w:sz="0" w:space="0" w:color="auto"/>
            <w:right w:val="none" w:sz="0" w:space="0" w:color="auto"/>
          </w:divBdr>
        </w:div>
      </w:divsChild>
    </w:div>
    <w:div w:id="1170219964">
      <w:bodyDiv w:val="1"/>
      <w:marLeft w:val="0"/>
      <w:marRight w:val="0"/>
      <w:marTop w:val="0"/>
      <w:marBottom w:val="0"/>
      <w:divBdr>
        <w:top w:val="none" w:sz="0" w:space="0" w:color="auto"/>
        <w:left w:val="none" w:sz="0" w:space="0" w:color="auto"/>
        <w:bottom w:val="none" w:sz="0" w:space="0" w:color="auto"/>
        <w:right w:val="none" w:sz="0" w:space="0" w:color="auto"/>
      </w:divBdr>
    </w:div>
    <w:div w:id="1174415780">
      <w:bodyDiv w:val="1"/>
      <w:marLeft w:val="0"/>
      <w:marRight w:val="0"/>
      <w:marTop w:val="0"/>
      <w:marBottom w:val="0"/>
      <w:divBdr>
        <w:top w:val="none" w:sz="0" w:space="0" w:color="auto"/>
        <w:left w:val="none" w:sz="0" w:space="0" w:color="auto"/>
        <w:bottom w:val="none" w:sz="0" w:space="0" w:color="auto"/>
        <w:right w:val="none" w:sz="0" w:space="0" w:color="auto"/>
      </w:divBdr>
      <w:divsChild>
        <w:div w:id="1587499736">
          <w:marLeft w:val="720"/>
          <w:marRight w:val="0"/>
          <w:marTop w:val="120"/>
          <w:marBottom w:val="240"/>
          <w:divBdr>
            <w:top w:val="none" w:sz="0" w:space="0" w:color="auto"/>
            <w:left w:val="none" w:sz="0" w:space="0" w:color="auto"/>
            <w:bottom w:val="none" w:sz="0" w:space="0" w:color="auto"/>
            <w:right w:val="none" w:sz="0" w:space="0" w:color="auto"/>
          </w:divBdr>
        </w:div>
        <w:div w:id="971210707">
          <w:marLeft w:val="720"/>
          <w:marRight w:val="0"/>
          <w:marTop w:val="120"/>
          <w:marBottom w:val="240"/>
          <w:divBdr>
            <w:top w:val="none" w:sz="0" w:space="0" w:color="auto"/>
            <w:left w:val="none" w:sz="0" w:space="0" w:color="auto"/>
            <w:bottom w:val="none" w:sz="0" w:space="0" w:color="auto"/>
            <w:right w:val="none" w:sz="0" w:space="0" w:color="auto"/>
          </w:divBdr>
        </w:div>
        <w:div w:id="200822141">
          <w:marLeft w:val="1800"/>
          <w:marRight w:val="0"/>
          <w:marTop w:val="120"/>
          <w:marBottom w:val="240"/>
          <w:divBdr>
            <w:top w:val="none" w:sz="0" w:space="0" w:color="auto"/>
            <w:left w:val="none" w:sz="0" w:space="0" w:color="auto"/>
            <w:bottom w:val="none" w:sz="0" w:space="0" w:color="auto"/>
            <w:right w:val="none" w:sz="0" w:space="0" w:color="auto"/>
          </w:divBdr>
        </w:div>
        <w:div w:id="1008289020">
          <w:marLeft w:val="720"/>
          <w:marRight w:val="0"/>
          <w:marTop w:val="120"/>
          <w:marBottom w:val="240"/>
          <w:divBdr>
            <w:top w:val="none" w:sz="0" w:space="0" w:color="auto"/>
            <w:left w:val="none" w:sz="0" w:space="0" w:color="auto"/>
            <w:bottom w:val="none" w:sz="0" w:space="0" w:color="auto"/>
            <w:right w:val="none" w:sz="0" w:space="0" w:color="auto"/>
          </w:divBdr>
        </w:div>
        <w:div w:id="329988059">
          <w:marLeft w:val="720"/>
          <w:marRight w:val="0"/>
          <w:marTop w:val="120"/>
          <w:marBottom w:val="240"/>
          <w:divBdr>
            <w:top w:val="none" w:sz="0" w:space="0" w:color="auto"/>
            <w:left w:val="none" w:sz="0" w:space="0" w:color="auto"/>
            <w:bottom w:val="none" w:sz="0" w:space="0" w:color="auto"/>
            <w:right w:val="none" w:sz="0" w:space="0" w:color="auto"/>
          </w:divBdr>
        </w:div>
        <w:div w:id="1841315829">
          <w:marLeft w:val="720"/>
          <w:marRight w:val="0"/>
          <w:marTop w:val="120"/>
          <w:marBottom w:val="240"/>
          <w:divBdr>
            <w:top w:val="none" w:sz="0" w:space="0" w:color="auto"/>
            <w:left w:val="none" w:sz="0" w:space="0" w:color="auto"/>
            <w:bottom w:val="none" w:sz="0" w:space="0" w:color="auto"/>
            <w:right w:val="none" w:sz="0" w:space="0" w:color="auto"/>
          </w:divBdr>
        </w:div>
      </w:divsChild>
    </w:div>
    <w:div w:id="1276018217">
      <w:bodyDiv w:val="1"/>
      <w:marLeft w:val="0"/>
      <w:marRight w:val="0"/>
      <w:marTop w:val="0"/>
      <w:marBottom w:val="0"/>
      <w:divBdr>
        <w:top w:val="none" w:sz="0" w:space="0" w:color="auto"/>
        <w:left w:val="none" w:sz="0" w:space="0" w:color="auto"/>
        <w:bottom w:val="none" w:sz="0" w:space="0" w:color="auto"/>
        <w:right w:val="none" w:sz="0" w:space="0" w:color="auto"/>
      </w:divBdr>
    </w:div>
    <w:div w:id="1289314265">
      <w:bodyDiv w:val="1"/>
      <w:marLeft w:val="0"/>
      <w:marRight w:val="0"/>
      <w:marTop w:val="0"/>
      <w:marBottom w:val="0"/>
      <w:divBdr>
        <w:top w:val="none" w:sz="0" w:space="0" w:color="auto"/>
        <w:left w:val="none" w:sz="0" w:space="0" w:color="auto"/>
        <w:bottom w:val="none" w:sz="0" w:space="0" w:color="auto"/>
        <w:right w:val="none" w:sz="0" w:space="0" w:color="auto"/>
      </w:divBdr>
    </w:div>
    <w:div w:id="1336306036">
      <w:bodyDiv w:val="1"/>
      <w:marLeft w:val="0"/>
      <w:marRight w:val="0"/>
      <w:marTop w:val="0"/>
      <w:marBottom w:val="0"/>
      <w:divBdr>
        <w:top w:val="none" w:sz="0" w:space="0" w:color="auto"/>
        <w:left w:val="none" w:sz="0" w:space="0" w:color="auto"/>
        <w:bottom w:val="none" w:sz="0" w:space="0" w:color="auto"/>
        <w:right w:val="none" w:sz="0" w:space="0" w:color="auto"/>
      </w:divBdr>
    </w:div>
    <w:div w:id="1403018537">
      <w:bodyDiv w:val="1"/>
      <w:marLeft w:val="0"/>
      <w:marRight w:val="0"/>
      <w:marTop w:val="0"/>
      <w:marBottom w:val="0"/>
      <w:divBdr>
        <w:top w:val="none" w:sz="0" w:space="0" w:color="auto"/>
        <w:left w:val="none" w:sz="0" w:space="0" w:color="auto"/>
        <w:bottom w:val="none" w:sz="0" w:space="0" w:color="auto"/>
        <w:right w:val="none" w:sz="0" w:space="0" w:color="auto"/>
      </w:divBdr>
      <w:divsChild>
        <w:div w:id="1874346054">
          <w:marLeft w:val="547"/>
          <w:marRight w:val="0"/>
          <w:marTop w:val="0"/>
          <w:marBottom w:val="0"/>
          <w:divBdr>
            <w:top w:val="none" w:sz="0" w:space="0" w:color="auto"/>
            <w:left w:val="none" w:sz="0" w:space="0" w:color="auto"/>
            <w:bottom w:val="none" w:sz="0" w:space="0" w:color="auto"/>
            <w:right w:val="none" w:sz="0" w:space="0" w:color="auto"/>
          </w:divBdr>
        </w:div>
        <w:div w:id="1370304922">
          <w:marLeft w:val="1267"/>
          <w:marRight w:val="0"/>
          <w:marTop w:val="0"/>
          <w:marBottom w:val="0"/>
          <w:divBdr>
            <w:top w:val="none" w:sz="0" w:space="0" w:color="auto"/>
            <w:left w:val="none" w:sz="0" w:space="0" w:color="auto"/>
            <w:bottom w:val="none" w:sz="0" w:space="0" w:color="auto"/>
            <w:right w:val="none" w:sz="0" w:space="0" w:color="auto"/>
          </w:divBdr>
        </w:div>
        <w:div w:id="186212461">
          <w:marLeft w:val="1267"/>
          <w:marRight w:val="0"/>
          <w:marTop w:val="0"/>
          <w:marBottom w:val="0"/>
          <w:divBdr>
            <w:top w:val="none" w:sz="0" w:space="0" w:color="auto"/>
            <w:left w:val="none" w:sz="0" w:space="0" w:color="auto"/>
            <w:bottom w:val="none" w:sz="0" w:space="0" w:color="auto"/>
            <w:right w:val="none" w:sz="0" w:space="0" w:color="auto"/>
          </w:divBdr>
        </w:div>
        <w:div w:id="862131731">
          <w:marLeft w:val="547"/>
          <w:marRight w:val="0"/>
          <w:marTop w:val="0"/>
          <w:marBottom w:val="0"/>
          <w:divBdr>
            <w:top w:val="none" w:sz="0" w:space="0" w:color="auto"/>
            <w:left w:val="none" w:sz="0" w:space="0" w:color="auto"/>
            <w:bottom w:val="none" w:sz="0" w:space="0" w:color="auto"/>
            <w:right w:val="none" w:sz="0" w:space="0" w:color="auto"/>
          </w:divBdr>
        </w:div>
        <w:div w:id="772168873">
          <w:marLeft w:val="547"/>
          <w:marRight w:val="0"/>
          <w:marTop w:val="0"/>
          <w:marBottom w:val="0"/>
          <w:divBdr>
            <w:top w:val="none" w:sz="0" w:space="0" w:color="auto"/>
            <w:left w:val="none" w:sz="0" w:space="0" w:color="auto"/>
            <w:bottom w:val="none" w:sz="0" w:space="0" w:color="auto"/>
            <w:right w:val="none" w:sz="0" w:space="0" w:color="auto"/>
          </w:divBdr>
        </w:div>
        <w:div w:id="578514672">
          <w:marLeft w:val="547"/>
          <w:marRight w:val="0"/>
          <w:marTop w:val="0"/>
          <w:marBottom w:val="0"/>
          <w:divBdr>
            <w:top w:val="none" w:sz="0" w:space="0" w:color="auto"/>
            <w:left w:val="none" w:sz="0" w:space="0" w:color="auto"/>
            <w:bottom w:val="none" w:sz="0" w:space="0" w:color="auto"/>
            <w:right w:val="none" w:sz="0" w:space="0" w:color="auto"/>
          </w:divBdr>
        </w:div>
        <w:div w:id="2082749129">
          <w:marLeft w:val="547"/>
          <w:marRight w:val="0"/>
          <w:marTop w:val="0"/>
          <w:marBottom w:val="0"/>
          <w:divBdr>
            <w:top w:val="none" w:sz="0" w:space="0" w:color="auto"/>
            <w:left w:val="none" w:sz="0" w:space="0" w:color="auto"/>
            <w:bottom w:val="none" w:sz="0" w:space="0" w:color="auto"/>
            <w:right w:val="none" w:sz="0" w:space="0" w:color="auto"/>
          </w:divBdr>
        </w:div>
      </w:divsChild>
    </w:div>
    <w:div w:id="1420832995">
      <w:bodyDiv w:val="1"/>
      <w:marLeft w:val="0"/>
      <w:marRight w:val="0"/>
      <w:marTop w:val="0"/>
      <w:marBottom w:val="0"/>
      <w:divBdr>
        <w:top w:val="none" w:sz="0" w:space="0" w:color="auto"/>
        <w:left w:val="none" w:sz="0" w:space="0" w:color="auto"/>
        <w:bottom w:val="none" w:sz="0" w:space="0" w:color="auto"/>
        <w:right w:val="none" w:sz="0" w:space="0" w:color="auto"/>
      </w:divBdr>
    </w:div>
    <w:div w:id="1462573443">
      <w:bodyDiv w:val="1"/>
      <w:marLeft w:val="0"/>
      <w:marRight w:val="0"/>
      <w:marTop w:val="0"/>
      <w:marBottom w:val="0"/>
      <w:divBdr>
        <w:top w:val="none" w:sz="0" w:space="0" w:color="auto"/>
        <w:left w:val="none" w:sz="0" w:space="0" w:color="auto"/>
        <w:bottom w:val="none" w:sz="0" w:space="0" w:color="auto"/>
        <w:right w:val="none" w:sz="0" w:space="0" w:color="auto"/>
      </w:divBdr>
    </w:div>
    <w:div w:id="1510170202">
      <w:bodyDiv w:val="1"/>
      <w:marLeft w:val="0"/>
      <w:marRight w:val="0"/>
      <w:marTop w:val="0"/>
      <w:marBottom w:val="0"/>
      <w:divBdr>
        <w:top w:val="none" w:sz="0" w:space="0" w:color="auto"/>
        <w:left w:val="none" w:sz="0" w:space="0" w:color="auto"/>
        <w:bottom w:val="none" w:sz="0" w:space="0" w:color="auto"/>
        <w:right w:val="none" w:sz="0" w:space="0" w:color="auto"/>
      </w:divBdr>
    </w:div>
    <w:div w:id="1513689632">
      <w:bodyDiv w:val="1"/>
      <w:marLeft w:val="0"/>
      <w:marRight w:val="0"/>
      <w:marTop w:val="0"/>
      <w:marBottom w:val="0"/>
      <w:divBdr>
        <w:top w:val="none" w:sz="0" w:space="0" w:color="auto"/>
        <w:left w:val="none" w:sz="0" w:space="0" w:color="auto"/>
        <w:bottom w:val="none" w:sz="0" w:space="0" w:color="auto"/>
        <w:right w:val="none" w:sz="0" w:space="0" w:color="auto"/>
      </w:divBdr>
    </w:div>
    <w:div w:id="1554004797">
      <w:bodyDiv w:val="1"/>
      <w:marLeft w:val="0"/>
      <w:marRight w:val="0"/>
      <w:marTop w:val="0"/>
      <w:marBottom w:val="0"/>
      <w:divBdr>
        <w:top w:val="none" w:sz="0" w:space="0" w:color="auto"/>
        <w:left w:val="none" w:sz="0" w:space="0" w:color="auto"/>
        <w:bottom w:val="none" w:sz="0" w:space="0" w:color="auto"/>
        <w:right w:val="none" w:sz="0" w:space="0" w:color="auto"/>
      </w:divBdr>
    </w:div>
    <w:div w:id="1582520394">
      <w:bodyDiv w:val="1"/>
      <w:marLeft w:val="0"/>
      <w:marRight w:val="0"/>
      <w:marTop w:val="0"/>
      <w:marBottom w:val="0"/>
      <w:divBdr>
        <w:top w:val="none" w:sz="0" w:space="0" w:color="auto"/>
        <w:left w:val="none" w:sz="0" w:space="0" w:color="auto"/>
        <w:bottom w:val="none" w:sz="0" w:space="0" w:color="auto"/>
        <w:right w:val="none" w:sz="0" w:space="0" w:color="auto"/>
      </w:divBdr>
    </w:div>
    <w:div w:id="1876116713">
      <w:bodyDiv w:val="1"/>
      <w:marLeft w:val="0"/>
      <w:marRight w:val="0"/>
      <w:marTop w:val="0"/>
      <w:marBottom w:val="0"/>
      <w:divBdr>
        <w:top w:val="none" w:sz="0" w:space="0" w:color="auto"/>
        <w:left w:val="none" w:sz="0" w:space="0" w:color="auto"/>
        <w:bottom w:val="none" w:sz="0" w:space="0" w:color="auto"/>
        <w:right w:val="none" w:sz="0" w:space="0" w:color="auto"/>
      </w:divBdr>
    </w:div>
    <w:div w:id="1883326164">
      <w:bodyDiv w:val="1"/>
      <w:marLeft w:val="0"/>
      <w:marRight w:val="0"/>
      <w:marTop w:val="0"/>
      <w:marBottom w:val="0"/>
      <w:divBdr>
        <w:top w:val="none" w:sz="0" w:space="0" w:color="auto"/>
        <w:left w:val="none" w:sz="0" w:space="0" w:color="auto"/>
        <w:bottom w:val="none" w:sz="0" w:space="0" w:color="auto"/>
        <w:right w:val="none" w:sz="0" w:space="0" w:color="auto"/>
      </w:divBdr>
      <w:divsChild>
        <w:div w:id="1319113669">
          <w:marLeft w:val="547"/>
          <w:marRight w:val="0"/>
          <w:marTop w:val="0"/>
          <w:marBottom w:val="0"/>
          <w:divBdr>
            <w:top w:val="none" w:sz="0" w:space="0" w:color="auto"/>
            <w:left w:val="none" w:sz="0" w:space="0" w:color="auto"/>
            <w:bottom w:val="none" w:sz="0" w:space="0" w:color="auto"/>
            <w:right w:val="none" w:sz="0" w:space="0" w:color="auto"/>
          </w:divBdr>
        </w:div>
      </w:divsChild>
    </w:div>
    <w:div w:id="1988389870">
      <w:bodyDiv w:val="1"/>
      <w:marLeft w:val="0"/>
      <w:marRight w:val="0"/>
      <w:marTop w:val="0"/>
      <w:marBottom w:val="0"/>
      <w:divBdr>
        <w:top w:val="none" w:sz="0" w:space="0" w:color="auto"/>
        <w:left w:val="none" w:sz="0" w:space="0" w:color="auto"/>
        <w:bottom w:val="none" w:sz="0" w:space="0" w:color="auto"/>
        <w:right w:val="none" w:sz="0" w:space="0" w:color="auto"/>
      </w:divBdr>
    </w:div>
    <w:div w:id="2096706881">
      <w:bodyDiv w:val="1"/>
      <w:marLeft w:val="0"/>
      <w:marRight w:val="0"/>
      <w:marTop w:val="0"/>
      <w:marBottom w:val="0"/>
      <w:divBdr>
        <w:top w:val="none" w:sz="0" w:space="0" w:color="auto"/>
        <w:left w:val="none" w:sz="0" w:space="0" w:color="auto"/>
        <w:bottom w:val="none" w:sz="0" w:space="0" w:color="auto"/>
        <w:right w:val="none" w:sz="0" w:space="0" w:color="auto"/>
      </w:divBdr>
    </w:div>
    <w:div w:id="214658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veyoursay.agriculture.gov.au/sustainable-biosecurity-funding" TargetMode="External"/><Relationship Id="rId13" Type="http://schemas.openxmlformats.org/officeDocument/2006/relationships/hyperlink" Target="https://haveyoursay.agriculture.gov.au/sustainable-biosecurity-funding" TargetMode="External"/><Relationship Id="rId3" Type="http://schemas.openxmlformats.org/officeDocument/2006/relationships/styles" Target="styles.xml"/><Relationship Id="rId7" Type="http://schemas.openxmlformats.org/officeDocument/2006/relationships/hyperlink" Target="https://haveyoursay.agriculture.gov.au/sustainable-biosecurity-funding" TargetMode="External"/><Relationship Id="rId12" Type="http://schemas.openxmlformats.org/officeDocument/2006/relationships/hyperlink" Target="mailto:SecretariatBSF@aff.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aveyoursay.agriculture.gov.au/sustainable-biosecurity-funding" TargetMode="External"/><Relationship Id="rId11" Type="http://schemas.openxmlformats.org/officeDocument/2006/relationships/hyperlink" Target="mailto:SecretariatBSF@aff.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306A1-DAE2-4FCE-841B-410FB01D1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Australian biosecurity Webinar</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biosecurity Webinar</dc:title>
  <dc:subject/>
  <dc:creator>Department of Agriculture, Fisheries and Forestry</dc:creator>
  <cp:keywords/>
  <dc:description/>
  <cp:revision>2</cp:revision>
  <dcterms:created xsi:type="dcterms:W3CDTF">2023-06-01T23:58:00Z</dcterms:created>
  <dcterms:modified xsi:type="dcterms:W3CDTF">2023-06-02T02:28:00Z</dcterms:modified>
</cp:coreProperties>
</file>