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3BD7B" w14:textId="290024DC" w:rsidR="00267920" w:rsidRPr="00162871" w:rsidRDefault="006B2980" w:rsidP="000559B6">
      <w:pPr>
        <w:pStyle w:val="Heading1"/>
        <w:spacing w:before="240"/>
        <w:ind w:right="-181"/>
        <w:rPr>
          <w:szCs w:val="40"/>
        </w:rPr>
      </w:pPr>
      <w:r>
        <w:rPr>
          <w:szCs w:val="40"/>
        </w:rPr>
        <w:t xml:space="preserve">Attachment A – </w:t>
      </w:r>
      <w:r w:rsidR="00020BAB">
        <w:rPr>
          <w:szCs w:val="40"/>
        </w:rPr>
        <w:t>e</w:t>
      </w:r>
      <w:r w:rsidR="008A74F2">
        <w:rPr>
          <w:szCs w:val="40"/>
        </w:rPr>
        <w:t xml:space="preserve">nergy </w:t>
      </w:r>
      <w:r w:rsidR="00020BAB">
        <w:rPr>
          <w:szCs w:val="40"/>
        </w:rPr>
        <w:t>e</w:t>
      </w:r>
      <w:r w:rsidR="008A74F2">
        <w:rPr>
          <w:szCs w:val="40"/>
        </w:rPr>
        <w:t>fficiency</w:t>
      </w:r>
      <w:r w:rsidR="00267920" w:rsidRPr="00162871">
        <w:rPr>
          <w:szCs w:val="40"/>
        </w:rPr>
        <w:t xml:space="preserve"> </w:t>
      </w:r>
      <w:r w:rsidR="00020BAB">
        <w:rPr>
          <w:szCs w:val="40"/>
        </w:rPr>
        <w:t>m</w:t>
      </w:r>
      <w:r w:rsidR="00267920" w:rsidRPr="00162871">
        <w:rPr>
          <w:szCs w:val="40"/>
        </w:rPr>
        <w:t>ethod</w:t>
      </w:r>
      <w:r w:rsidR="008A74F2">
        <w:rPr>
          <w:szCs w:val="40"/>
        </w:rPr>
        <w:t xml:space="preserve"> </w:t>
      </w:r>
      <w:r w:rsidR="00020BAB">
        <w:rPr>
          <w:szCs w:val="40"/>
        </w:rPr>
        <w:t>r</w:t>
      </w:r>
      <w:r w:rsidR="008A74F2">
        <w:rPr>
          <w:szCs w:val="40"/>
        </w:rPr>
        <w:t>evocation</w:t>
      </w:r>
      <w:r w:rsidR="00103F65" w:rsidRPr="00162871">
        <w:rPr>
          <w:szCs w:val="40"/>
        </w:rPr>
        <w:t xml:space="preserve"> </w:t>
      </w:r>
      <w:r w:rsidR="00020BAB">
        <w:rPr>
          <w:szCs w:val="40"/>
        </w:rPr>
        <w:t>d</w:t>
      </w:r>
      <w:r w:rsidR="00D13576">
        <w:rPr>
          <w:szCs w:val="40"/>
        </w:rPr>
        <w:t xml:space="preserve">raft </w:t>
      </w:r>
      <w:r w:rsidR="00020BAB">
        <w:rPr>
          <w:szCs w:val="40"/>
        </w:rPr>
        <w:t>d</w:t>
      </w:r>
      <w:r w:rsidR="00267920" w:rsidRPr="00162871">
        <w:rPr>
          <w:szCs w:val="40"/>
        </w:rPr>
        <w:t xml:space="preserve">iscussion </w:t>
      </w:r>
      <w:r w:rsidR="00020BAB">
        <w:rPr>
          <w:szCs w:val="40"/>
        </w:rPr>
        <w:t>p</w:t>
      </w:r>
      <w:r w:rsidR="00267920" w:rsidRPr="00162871">
        <w:rPr>
          <w:szCs w:val="40"/>
        </w:rPr>
        <w:t>aper</w:t>
      </w:r>
    </w:p>
    <w:p w14:paraId="7DE8DA68" w14:textId="701B5849" w:rsidR="00267920" w:rsidRPr="00BC1FC7" w:rsidRDefault="00267920" w:rsidP="007F52AC">
      <w:pPr>
        <w:pStyle w:val="Heading2"/>
        <w:spacing w:before="200" w:after="120"/>
      </w:pPr>
      <w:r w:rsidRPr="00BC1FC7">
        <w:t>Purpose</w:t>
      </w:r>
    </w:p>
    <w:p w14:paraId="3233298C" w14:textId="717848D5" w:rsidR="006948EF" w:rsidRDefault="00A973C2" w:rsidP="00103F65">
      <w:r>
        <w:t>T</w:t>
      </w:r>
      <w:r w:rsidR="00103F65">
        <w:t xml:space="preserve">he Emissions Reduction Assurance Committee (the Committee) </w:t>
      </w:r>
      <w:r w:rsidR="008A74F2">
        <w:t>is consulting on the proposed revocation of five energy efficiency methods under the Emissions Reduction Fund (ERF).</w:t>
      </w:r>
      <w:r w:rsidR="00F92375">
        <w:t xml:space="preserve"> </w:t>
      </w:r>
      <w:r w:rsidR="00626EA3">
        <w:t>The methods have</w:t>
      </w:r>
      <w:r w:rsidR="00F1463E">
        <w:t xml:space="preserve"> been in place for </w:t>
      </w:r>
      <w:r w:rsidR="00873A06">
        <w:t xml:space="preserve">up to </w:t>
      </w:r>
      <w:r w:rsidR="004157EB">
        <w:t>7 years and</w:t>
      </w:r>
      <w:r w:rsidR="00626EA3">
        <w:t xml:space="preserve"> </w:t>
      </w:r>
      <w:r w:rsidR="004157EB">
        <w:t xml:space="preserve">have </w:t>
      </w:r>
      <w:r w:rsidR="00626EA3">
        <w:t xml:space="preserve">had no or limited uptake. </w:t>
      </w:r>
      <w:r w:rsidR="003429F1">
        <w:t xml:space="preserve">With the exception of the </w:t>
      </w:r>
      <w:r w:rsidR="008B058B">
        <w:t>A</w:t>
      </w:r>
      <w:r w:rsidR="003429F1">
        <w:t xml:space="preserve">ggregated small energy </w:t>
      </w:r>
      <w:r w:rsidR="00F92375">
        <w:t>users (ASEU)</w:t>
      </w:r>
      <w:r w:rsidR="003429F1">
        <w:t xml:space="preserve"> method, t</w:t>
      </w:r>
      <w:r w:rsidR="006948EF">
        <w:t>he</w:t>
      </w:r>
      <w:r w:rsidR="0087203F">
        <w:t xml:space="preserve"> methods </w:t>
      </w:r>
      <w:r w:rsidR="00F07B8A">
        <w:t xml:space="preserve">each </w:t>
      </w:r>
      <w:r w:rsidR="0087203F">
        <w:t xml:space="preserve">cover specific energy efficiency upgrade activities that will remain eligible activities under </w:t>
      </w:r>
      <w:r w:rsidR="00096174">
        <w:t xml:space="preserve">the Industrial and </w:t>
      </w:r>
      <w:r w:rsidR="00F554FD">
        <w:t>c</w:t>
      </w:r>
      <w:r w:rsidR="00096174">
        <w:t xml:space="preserve">ommercial </w:t>
      </w:r>
      <w:r w:rsidR="00F554FD">
        <w:t>e</w:t>
      </w:r>
      <w:r w:rsidR="00096174">
        <w:t xml:space="preserve">missions </w:t>
      </w:r>
      <w:r w:rsidR="00F554FD">
        <w:t>r</w:t>
      </w:r>
      <w:r w:rsidR="00096174">
        <w:t xml:space="preserve">eduction (ICER) method. </w:t>
      </w:r>
      <w:r w:rsidR="00CF1F85">
        <w:t xml:space="preserve">The </w:t>
      </w:r>
      <w:r w:rsidR="00C778A6">
        <w:t xml:space="preserve">ICER method and its predecessor </w:t>
      </w:r>
      <w:r w:rsidR="008B058B">
        <w:t>I</w:t>
      </w:r>
      <w:r w:rsidR="00C778A6">
        <w:t xml:space="preserve">ndustrial energy and fuel efficiency (IEFE) method </w:t>
      </w:r>
      <w:r w:rsidR="00CF1F85">
        <w:t>ha</w:t>
      </w:r>
      <w:r w:rsidR="009D0379">
        <w:t>ve</w:t>
      </w:r>
      <w:r w:rsidR="00CF1F85">
        <w:t xml:space="preserve"> seen significantly greater uptake than the </w:t>
      </w:r>
      <w:r w:rsidR="002D5D59">
        <w:t>five energy efficiency methods combined.</w:t>
      </w:r>
    </w:p>
    <w:p w14:paraId="317CB4EF" w14:textId="5487F068" w:rsidR="008A74F2" w:rsidRDefault="008A74F2" w:rsidP="008A74F2">
      <w:pPr>
        <w:pStyle w:val="ERACbullets"/>
      </w:pPr>
      <w:r>
        <w:t>The energy efficiency methods</w:t>
      </w:r>
      <w:r w:rsidR="00F92375">
        <w:t xml:space="preserve"> proposed for revocation</w:t>
      </w:r>
      <w:r w:rsidR="006948EF">
        <w:t xml:space="preserve"> are</w:t>
      </w:r>
      <w:r>
        <w:t xml:space="preserve">: </w:t>
      </w:r>
    </w:p>
    <w:p w14:paraId="1835FDF5" w14:textId="09279234" w:rsidR="008A74F2" w:rsidRDefault="008A74F2" w:rsidP="008A74F2">
      <w:pPr>
        <w:pStyle w:val="ERACbullets"/>
        <w:numPr>
          <w:ilvl w:val="0"/>
          <w:numId w:val="21"/>
        </w:numPr>
      </w:pPr>
      <w:r w:rsidRPr="00F92375">
        <w:rPr>
          <w:b/>
          <w:bCs/>
          <w:i/>
          <w:iCs/>
        </w:rPr>
        <w:t>Carbon Credits (Aggregated Small Energy Users) Methodology Determination 2015</w:t>
      </w:r>
      <w:r>
        <w:t>—the ASEU method credits reductions in energy use in aggregated groups of households or small businesses following the implementation of energy saving technology or behavioural change initiated by the project proponent.</w:t>
      </w:r>
    </w:p>
    <w:p w14:paraId="6A5C5E44" w14:textId="77777777" w:rsidR="008A74F2" w:rsidRPr="00B813A6" w:rsidRDefault="008A74F2" w:rsidP="008A74F2">
      <w:pPr>
        <w:pStyle w:val="ERACbullets"/>
        <w:numPr>
          <w:ilvl w:val="0"/>
          <w:numId w:val="21"/>
        </w:numPr>
      </w:pPr>
      <w:r w:rsidRPr="00F92375">
        <w:rPr>
          <w:b/>
          <w:bCs/>
          <w:i/>
          <w:iCs/>
        </w:rPr>
        <w:t>Carbon Credits (Commercial Buildings) Methodology Determination 2015</w:t>
      </w:r>
      <w:r>
        <w:rPr>
          <w:i/>
          <w:iCs/>
        </w:rPr>
        <w:t xml:space="preserve"> </w:t>
      </w:r>
      <w:r>
        <w:t>(the Commercial buildings method)—the Commercial buildings method credits</w:t>
      </w:r>
      <w:r w:rsidRPr="00136410">
        <w:t xml:space="preserve"> emissions </w:t>
      </w:r>
      <w:r>
        <w:t xml:space="preserve">reductions from </w:t>
      </w:r>
      <w:r w:rsidRPr="00136410">
        <w:t>improving the energy performance of buildings that are rateable under the National Australian Buil</w:t>
      </w:r>
      <w:r>
        <w:t>t</w:t>
      </w:r>
      <w:r w:rsidRPr="00136410">
        <w:t xml:space="preserve"> Environment Rating System (NABERS).</w:t>
      </w:r>
    </w:p>
    <w:p w14:paraId="749954BB" w14:textId="77777777" w:rsidR="008A74F2" w:rsidRDefault="008A74F2" w:rsidP="008A74F2">
      <w:pPr>
        <w:pStyle w:val="ERACbullets"/>
        <w:numPr>
          <w:ilvl w:val="0"/>
          <w:numId w:val="21"/>
        </w:numPr>
      </w:pPr>
      <w:r w:rsidRPr="00F92375">
        <w:rPr>
          <w:b/>
          <w:bCs/>
          <w:i/>
          <w:iCs/>
        </w:rPr>
        <w:t>Carbon Credits (High Efficiency Commercial Appliances) Methodology Determination 2015</w:t>
      </w:r>
      <w:r>
        <w:t xml:space="preserve"> (the HECA method)—the HECA method credits reductions in energy use following the installation of higher efficiency air conditioners and other refrigerators in commercial or industrial buildings.  </w:t>
      </w:r>
    </w:p>
    <w:p w14:paraId="395477B4" w14:textId="77777777" w:rsidR="008A74F2" w:rsidRDefault="008A74F2" w:rsidP="008A74F2">
      <w:pPr>
        <w:pStyle w:val="ERACbullets"/>
        <w:numPr>
          <w:ilvl w:val="0"/>
          <w:numId w:val="21"/>
        </w:numPr>
      </w:pPr>
      <w:r w:rsidRPr="00F92375">
        <w:rPr>
          <w:b/>
          <w:bCs/>
          <w:i/>
          <w:iCs/>
        </w:rPr>
        <w:t>Carbon Credits (Industrial Equipment Upgrades) Methodology Determination 2018</w:t>
      </w:r>
      <w:r>
        <w:t xml:space="preserve"> (the IEU method)—the IEU method credits reductions in energy use following the installation of industrial equipment such as compressed air systems, boilers, or pumps. </w:t>
      </w:r>
    </w:p>
    <w:p w14:paraId="78811246" w14:textId="2CC79C59" w:rsidR="008A74F2" w:rsidRDefault="008A74F2" w:rsidP="008A74F2">
      <w:pPr>
        <w:pStyle w:val="ERACbullets"/>
        <w:numPr>
          <w:ilvl w:val="0"/>
          <w:numId w:val="21"/>
        </w:numPr>
      </w:pPr>
      <w:r w:rsidRPr="00F92375">
        <w:rPr>
          <w:b/>
          <w:bCs/>
          <w:i/>
          <w:iCs/>
        </w:rPr>
        <w:t>Carbon Credits (Refrigeration and Ventilation Fans) Methodology Determination 2015</w:t>
      </w:r>
      <w:r>
        <w:t xml:space="preserve"> (the Fans method)—the Fans method credits reductions in electricity consumption from certain fan upgrades in commercial buildings. </w:t>
      </w:r>
    </w:p>
    <w:p w14:paraId="59BF963E" w14:textId="77777777" w:rsidR="00DA05BF" w:rsidRDefault="009E20D3" w:rsidP="009E20D3">
      <w:pPr>
        <w:pStyle w:val="ERACbullets"/>
      </w:pPr>
      <w:r>
        <w:t>The Committee is seeking feedback on</w:t>
      </w:r>
      <w:r w:rsidR="00DA05BF">
        <w:t>:</w:t>
      </w:r>
    </w:p>
    <w:p w14:paraId="00729974" w14:textId="5E5F7208" w:rsidR="00DA05BF" w:rsidRPr="00F554FD" w:rsidRDefault="00733288" w:rsidP="00F554FD">
      <w:pPr>
        <w:pStyle w:val="ERACbullets"/>
        <w:numPr>
          <w:ilvl w:val="0"/>
          <w:numId w:val="21"/>
        </w:numPr>
      </w:pPr>
      <w:r w:rsidRPr="00F554FD">
        <w:t>market conditions</w:t>
      </w:r>
      <w:r w:rsidR="00D52DF4" w:rsidRPr="00F554FD">
        <w:t xml:space="preserve"> or other changes that </w:t>
      </w:r>
      <w:r w:rsidR="001C77EF" w:rsidRPr="00F554FD">
        <w:t xml:space="preserve">may </w:t>
      </w:r>
      <w:r w:rsidR="002C702D" w:rsidRPr="00F554FD">
        <w:t>increase</w:t>
      </w:r>
      <w:r w:rsidRPr="00F554FD">
        <w:t xml:space="preserve"> </w:t>
      </w:r>
      <w:r w:rsidR="009E20D3" w:rsidRPr="00F554FD">
        <w:t>the potential uptake of the five energy efficiency methods</w:t>
      </w:r>
      <w:r w:rsidR="00F554FD">
        <w:t>, and</w:t>
      </w:r>
    </w:p>
    <w:p w14:paraId="45EEE8C8" w14:textId="11323845" w:rsidR="00DA05BF" w:rsidRPr="00F554FD" w:rsidRDefault="009E20D3" w:rsidP="00F554FD">
      <w:pPr>
        <w:pStyle w:val="ERACbullets"/>
        <w:numPr>
          <w:ilvl w:val="0"/>
          <w:numId w:val="21"/>
        </w:numPr>
        <w:rPr>
          <w:b/>
          <w:bCs/>
          <w:i/>
          <w:iCs/>
        </w:rPr>
      </w:pPr>
      <w:r w:rsidRPr="00F554FD">
        <w:t>the usability of the ICER method for energy efficiency projects</w:t>
      </w:r>
      <w:r w:rsidR="00DA05BF" w:rsidRPr="00F554FD">
        <w:rPr>
          <w:b/>
          <w:bCs/>
          <w:i/>
          <w:iCs/>
        </w:rPr>
        <w:t>.</w:t>
      </w:r>
    </w:p>
    <w:p w14:paraId="54679DA4" w14:textId="5233D31C" w:rsidR="009E20D3" w:rsidRDefault="00DA05BF" w:rsidP="00DA05BF">
      <w:pPr>
        <w:pStyle w:val="ERACbullets"/>
      </w:pPr>
      <w:r>
        <w:t xml:space="preserve">This </w:t>
      </w:r>
      <w:r w:rsidR="00503C83">
        <w:t>will</w:t>
      </w:r>
      <w:r w:rsidR="009E20D3">
        <w:t xml:space="preserve"> inform </w:t>
      </w:r>
      <w:r w:rsidR="00503C83">
        <w:t>the Committee’s</w:t>
      </w:r>
      <w:r w:rsidR="009E20D3">
        <w:t xml:space="preserve"> decision on whether</w:t>
      </w:r>
      <w:r w:rsidR="006C2C13">
        <w:t xml:space="preserve"> to</w:t>
      </w:r>
      <w:r w:rsidR="009E20D3">
        <w:t xml:space="preserve"> recommend to the Minister that the five energy efficiency methods be revoked</w:t>
      </w:r>
      <w:r w:rsidR="004D3462">
        <w:t xml:space="preserve"> on the basis that their revocation</w:t>
      </w:r>
      <w:r w:rsidR="003D119E">
        <w:t xml:space="preserve"> would have limited impact on the opportunities for abatement from energy efficiency</w:t>
      </w:r>
      <w:r w:rsidR="002A6E40">
        <w:t xml:space="preserve"> activities</w:t>
      </w:r>
      <w:r w:rsidR="003D119E">
        <w:t xml:space="preserve"> under the ERF</w:t>
      </w:r>
      <w:r w:rsidR="009E20D3">
        <w:t xml:space="preserve">. </w:t>
      </w:r>
    </w:p>
    <w:p w14:paraId="16E8D9DF" w14:textId="647BF5A1" w:rsidR="007E222F" w:rsidRPr="00831222" w:rsidRDefault="006948EF" w:rsidP="004E5DC5">
      <w:pPr>
        <w:pStyle w:val="Heading4"/>
        <w:spacing w:before="200" w:after="120"/>
      </w:pPr>
      <w:r>
        <w:lastRenderedPageBreak/>
        <w:t>Low uptake of projects</w:t>
      </w:r>
    </w:p>
    <w:p w14:paraId="0818A933" w14:textId="741BA1C8" w:rsidR="006E6BAE" w:rsidRDefault="002E7A82" w:rsidP="00267920">
      <w:r>
        <w:t xml:space="preserve">There has been low uptake of the five energy efficiency methods since they were made </w:t>
      </w:r>
      <w:r w:rsidR="00E33406">
        <w:t>between</w:t>
      </w:r>
      <w:r>
        <w:t xml:space="preserve"> 2015</w:t>
      </w:r>
      <w:r w:rsidR="00E33406">
        <w:t xml:space="preserve"> and</w:t>
      </w:r>
      <w:r w:rsidR="00C5629A">
        <w:t xml:space="preserve"> </w:t>
      </w:r>
      <w:r>
        <w:t>201</w:t>
      </w:r>
      <w:r w:rsidR="00041A09">
        <w:t>8</w:t>
      </w:r>
      <w:r>
        <w:t xml:space="preserve">. </w:t>
      </w:r>
      <w:r w:rsidR="00562F57">
        <w:t>Across the five methods, a</w:t>
      </w:r>
      <w:r>
        <w:t xml:space="preserve"> total of 10 projects have been registered, of which </w:t>
      </w:r>
      <w:r w:rsidR="00E17CC3">
        <w:t>nine</w:t>
      </w:r>
      <w:r>
        <w:t xml:space="preserve"> have been revoked. No Australian carbon credit units (ACCUs) have been issued to any of the 10 projects. </w:t>
      </w:r>
    </w:p>
    <w:p w14:paraId="7DE58512" w14:textId="2296DD78" w:rsidR="002E7A82" w:rsidRDefault="002E7A82" w:rsidP="00267920">
      <w:r>
        <w:t xml:space="preserve">The </w:t>
      </w:r>
      <w:r w:rsidR="00DC4D84">
        <w:t>agency</w:t>
      </w:r>
      <w:r>
        <w:t xml:space="preserve"> understands that the low uptake and high rate of project revocations </w:t>
      </w:r>
      <w:r w:rsidR="00EF01A8">
        <w:t>may be</w:t>
      </w:r>
      <w:r w:rsidR="00E80DF3">
        <w:t xml:space="preserve"> </w:t>
      </w:r>
      <w:r>
        <w:t>because each of the energy efficiency methods is limited to specifi</w:t>
      </w:r>
      <w:r w:rsidR="000367C9">
        <w:t>c</w:t>
      </w:r>
      <w:r>
        <w:t xml:space="preserve"> activities</w:t>
      </w:r>
      <w:r w:rsidR="006E6BAE">
        <w:t xml:space="preserve"> </w:t>
      </w:r>
      <w:r w:rsidR="000367C9">
        <w:t>that are</w:t>
      </w:r>
      <w:r>
        <w:t xml:space="preserve"> often small in scope. The </w:t>
      </w:r>
      <w:r w:rsidR="001F5133">
        <w:t>narrow</w:t>
      </w:r>
      <w:r>
        <w:t xml:space="preserve"> scope of the methods means project proponents likely find it uneconomic to undertake the energy efficiency activity as an ER</w:t>
      </w:r>
      <w:r w:rsidR="001F5133">
        <w:t>F project</w:t>
      </w:r>
      <w:r>
        <w:t xml:space="preserve">, as the revenue from ACCUs and resulting reduced energy costs </w:t>
      </w:r>
      <w:r w:rsidR="00D12286">
        <w:t>may</w:t>
      </w:r>
      <w:r w:rsidR="00E80DF3">
        <w:t xml:space="preserve"> </w:t>
      </w:r>
      <w:r>
        <w:t>not offset the costs of running an ERF project including auditing and administration.</w:t>
      </w:r>
      <w:r w:rsidR="006E6BAE">
        <w:t xml:space="preserve"> </w:t>
      </w:r>
    </w:p>
    <w:p w14:paraId="37C1590D" w14:textId="71300C2C" w:rsidR="00267920" w:rsidRDefault="000B16E4" w:rsidP="007F52AC">
      <w:pPr>
        <w:pStyle w:val="Heading4"/>
        <w:spacing w:before="200" w:after="120"/>
      </w:pPr>
      <w:r>
        <w:t xml:space="preserve">New </w:t>
      </w:r>
      <w:r w:rsidR="00DC4D84">
        <w:t>i</w:t>
      </w:r>
      <w:r w:rsidR="002E7A82">
        <w:t>ndustrial and commercial emissions reduction method</w:t>
      </w:r>
    </w:p>
    <w:p w14:paraId="24484EE9" w14:textId="56ABA7F5" w:rsidR="007248A8" w:rsidRDefault="007248A8" w:rsidP="00504289">
      <w:pPr>
        <w:pStyle w:val="ERACbullets"/>
        <w:spacing w:after="200"/>
      </w:pPr>
      <w:r>
        <w:t xml:space="preserve">The activities covered under the </w:t>
      </w:r>
      <w:r w:rsidR="00DC4D84">
        <w:t>c</w:t>
      </w:r>
      <w:r>
        <w:t xml:space="preserve">ommercial buildings, HECA, IEU </w:t>
      </w:r>
      <w:r w:rsidR="000F7FFE">
        <w:t>and</w:t>
      </w:r>
      <w:r>
        <w:t xml:space="preserve"> </w:t>
      </w:r>
      <w:r w:rsidR="00DC4D84">
        <w:t>f</w:t>
      </w:r>
      <w:r>
        <w:t>ans methods are eligible under the ICER method. The revocation would not impact project proponents seeking to undertake energy efficiency improvements currently eligible</w:t>
      </w:r>
      <w:r w:rsidR="00684FEB">
        <w:t xml:space="preserve"> under the ICER method. </w:t>
      </w:r>
    </w:p>
    <w:p w14:paraId="33449708" w14:textId="713D58D8" w:rsidR="000B16E4" w:rsidRDefault="000B16E4" w:rsidP="00504289">
      <w:pPr>
        <w:pStyle w:val="ERACbullets"/>
        <w:spacing w:after="200"/>
      </w:pPr>
      <w:r>
        <w:t xml:space="preserve">The ICER </w:t>
      </w:r>
      <w:r w:rsidR="00A53BC4">
        <w:t xml:space="preserve">and </w:t>
      </w:r>
      <w:r>
        <w:t>IEFE</w:t>
      </w:r>
      <w:r w:rsidR="009D0379">
        <w:t xml:space="preserve"> methods</w:t>
      </w:r>
      <w:r>
        <w:t xml:space="preserve"> provide an activity-neutral </w:t>
      </w:r>
      <w:r w:rsidR="00A53BC4">
        <w:t xml:space="preserve">framework that </w:t>
      </w:r>
      <w:r w:rsidR="003429F1">
        <w:t>allow</w:t>
      </w:r>
      <w:r w:rsidR="00A53BC4">
        <w:t xml:space="preserve">s </w:t>
      </w:r>
      <w:r>
        <w:t xml:space="preserve">project proponents </w:t>
      </w:r>
      <w:r w:rsidR="003429F1">
        <w:t>to</w:t>
      </w:r>
      <w:r>
        <w:t xml:space="preserve"> undertake </w:t>
      </w:r>
      <w:r w:rsidR="003429F1">
        <w:t xml:space="preserve">a range of </w:t>
      </w:r>
      <w:r w:rsidR="00C64F99">
        <w:t xml:space="preserve">activities </w:t>
      </w:r>
      <w:r w:rsidR="003429F1">
        <w:t>to improve the energy efficiency of a</w:t>
      </w:r>
      <w:r w:rsidR="00A53BC4">
        <w:t>n industrial or commercial site</w:t>
      </w:r>
      <w:r w:rsidR="00906C6C">
        <w:t xml:space="preserve"> in a single ERF</w:t>
      </w:r>
      <w:r w:rsidR="00CF760A">
        <w:t xml:space="preserve"> project</w:t>
      </w:r>
      <w:r w:rsidR="00DD6052">
        <w:t xml:space="preserve"> rather than multiple</w:t>
      </w:r>
      <w:r w:rsidR="00DD6052" w:rsidDel="00F8561F">
        <w:t xml:space="preserve"> </w:t>
      </w:r>
      <w:r w:rsidR="00DD6052">
        <w:t>ERF projects</w:t>
      </w:r>
      <w:r w:rsidR="00F8561F">
        <w:t xml:space="preserve"> under separate methods</w:t>
      </w:r>
      <w:r w:rsidR="003429F1">
        <w:t>.</w:t>
      </w:r>
      <w:r w:rsidR="006E6BAE">
        <w:t xml:space="preserve"> </w:t>
      </w:r>
      <w:r w:rsidR="0074120B">
        <w:t>This reduces the administrative burden and associated project costs</w:t>
      </w:r>
      <w:r w:rsidR="00F22474">
        <w:t xml:space="preserve"> of ERF participation</w:t>
      </w:r>
      <w:r w:rsidR="0074120B">
        <w:t>.</w:t>
      </w:r>
    </w:p>
    <w:p w14:paraId="47837F0F" w14:textId="7BE5FDB0" w:rsidR="00267920" w:rsidRDefault="000F47DE" w:rsidP="00C5629A">
      <w:pPr>
        <w:pStyle w:val="ERACbullets"/>
        <w:spacing w:after="200"/>
      </w:pPr>
      <w:r>
        <w:t xml:space="preserve">There has been significant uptake of the ICER and IEFE methods with </w:t>
      </w:r>
      <w:r w:rsidR="00D50684">
        <w:t>45</w:t>
      </w:r>
      <w:r>
        <w:t xml:space="preserve"> projects registered</w:t>
      </w:r>
      <w:r w:rsidR="0091440C">
        <w:t xml:space="preserve"> and </w:t>
      </w:r>
      <w:r w:rsidR="00D50684">
        <w:t>1.8</w:t>
      </w:r>
      <w:r w:rsidR="003E4934">
        <w:t xml:space="preserve"> million</w:t>
      </w:r>
      <w:r w:rsidR="0091440C">
        <w:t xml:space="preserve"> ACCUs issue</w:t>
      </w:r>
      <w:r w:rsidR="001C6C51">
        <w:t>d to date</w:t>
      </w:r>
      <w:r>
        <w:t>.</w:t>
      </w:r>
      <w:r w:rsidR="00B721C9">
        <w:t xml:space="preserve"> This indicates that undertaking energ</w:t>
      </w:r>
      <w:r w:rsidR="000F4ADF">
        <w:t>y efficiency activities as an ERF project appears to be more economic under the ICER and IEFE methods compared with the energy efficiency methods.</w:t>
      </w:r>
    </w:p>
    <w:p w14:paraId="76200E1D" w14:textId="1B2E197B" w:rsidR="00267920" w:rsidRDefault="00831222" w:rsidP="00317DCB">
      <w:pPr>
        <w:pStyle w:val="Heading2"/>
        <w:spacing w:before="200" w:after="120"/>
      </w:pPr>
      <w:r>
        <w:t>Next steps</w:t>
      </w:r>
    </w:p>
    <w:p w14:paraId="46CA5556" w14:textId="1D363BCE" w:rsidR="00267920" w:rsidRDefault="00267920" w:rsidP="00267920">
      <w:r>
        <w:t>The Committee will consider</w:t>
      </w:r>
      <w:r w:rsidR="00382E47">
        <w:t xml:space="preserve"> the</w:t>
      </w:r>
      <w:r>
        <w:t xml:space="preserve"> information provided during </w:t>
      </w:r>
      <w:r w:rsidR="00382E47">
        <w:t xml:space="preserve">this </w:t>
      </w:r>
      <w:r>
        <w:t>consultation</w:t>
      </w:r>
      <w:r w:rsidR="0007465B">
        <w:t xml:space="preserve">. </w:t>
      </w:r>
      <w:r w:rsidR="00D51A82">
        <w:t>If it is found that the</w:t>
      </w:r>
      <w:r w:rsidR="00980444" w:rsidRPr="00980444">
        <w:t xml:space="preserve"> </w:t>
      </w:r>
      <w:r w:rsidR="00980444">
        <w:t>revocation of the five energy efficiency methods would have limited impact on the opportunities for abatement from energy efficiency activities under the ERF</w:t>
      </w:r>
      <w:r w:rsidR="00D51A82">
        <w:t xml:space="preserve">, the Committee will </w:t>
      </w:r>
      <w:r w:rsidR="00D12286">
        <w:t xml:space="preserve">likely </w:t>
      </w:r>
      <w:r w:rsidR="00D51A82">
        <w:t>recommend that the methods be revoked.</w:t>
      </w:r>
    </w:p>
    <w:p w14:paraId="7E13778E" w14:textId="28096120" w:rsidR="000C4DF7" w:rsidRDefault="00267920" w:rsidP="00F158ED">
      <w:r>
        <w:t xml:space="preserve">Method revocation will not impact current projects registered under the </w:t>
      </w:r>
      <w:r w:rsidR="00980444">
        <w:t xml:space="preserve">five </w:t>
      </w:r>
      <w:r w:rsidR="0007465B">
        <w:t xml:space="preserve">energy efficiency </w:t>
      </w:r>
      <w:r>
        <w:t>method</w:t>
      </w:r>
      <w:r w:rsidR="0007465B">
        <w:t>s</w:t>
      </w:r>
      <w:r>
        <w:t xml:space="preserve">. Registered projects would still be eligible to receive credits for the duration of their </w:t>
      </w:r>
      <w:r w:rsidR="000B2CE8">
        <w:t>7</w:t>
      </w:r>
      <w:r>
        <w:t>-year crediting period. However, no new projects would be able to register under the method</w:t>
      </w:r>
      <w:r w:rsidR="0007465B">
        <w:t>s</w:t>
      </w:r>
      <w:r>
        <w:t>.</w:t>
      </w:r>
      <w:r w:rsidR="0007465B">
        <w:t xml:space="preserve"> </w:t>
      </w:r>
    </w:p>
    <w:p w14:paraId="05498FEA" w14:textId="460C5926" w:rsidR="00251303" w:rsidRPr="00F158ED" w:rsidRDefault="00A64070" w:rsidP="006D5FC5">
      <w:r>
        <w:t>Method revocation will</w:t>
      </w:r>
      <w:r w:rsidR="00850C4D">
        <w:t xml:space="preserve"> not impact project proponents seeking to undertake energy efficiency improvements currently eligible under the ICER method. </w:t>
      </w:r>
    </w:p>
    <w:sectPr w:rsidR="00251303" w:rsidRPr="00F158ED" w:rsidSect="001F3121">
      <w:headerReference w:type="default" r:id="rId13"/>
      <w:footerReference w:type="default" r:id="rId14"/>
      <w:headerReference w:type="first" r:id="rId15"/>
      <w:footerReference w:type="first" r:id="rId16"/>
      <w:pgSz w:w="11900" w:h="16840" w:code="9"/>
      <w:pgMar w:top="1985" w:right="1080" w:bottom="1418" w:left="1080" w:header="476" w:footer="266"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C6357" w14:textId="77777777" w:rsidR="009C359B" w:rsidRDefault="009C359B" w:rsidP="00176C28">
      <w:r>
        <w:separator/>
      </w:r>
    </w:p>
  </w:endnote>
  <w:endnote w:type="continuationSeparator" w:id="0">
    <w:p w14:paraId="737F2EC1" w14:textId="77777777" w:rsidR="009C359B" w:rsidRDefault="009C359B" w:rsidP="00176C28">
      <w:r>
        <w:continuationSeparator/>
      </w:r>
    </w:p>
  </w:endnote>
  <w:endnote w:type="continuationNotice" w:id="1">
    <w:p w14:paraId="15B18BD5" w14:textId="77777777" w:rsidR="009C359B" w:rsidRDefault="009C359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C7C32" w14:textId="2FD79390" w:rsidR="00BA621B" w:rsidRPr="00A93E3F" w:rsidRDefault="00BA621B" w:rsidP="00A93E3F">
    <w:pPr>
      <w:spacing w:after="120"/>
      <w:jc w:val="center"/>
      <w:rPr>
        <w:rStyle w:val="Protectivemarker"/>
        <w:b w:val="0"/>
        <w:color w:val="005874"/>
        <w:sz w:val="16"/>
      </w:rPr>
    </w:pPr>
    <w:r w:rsidRPr="0051696E">
      <w:rPr>
        <w:rStyle w:val="Hyperlink"/>
        <w:rFonts w:asciiTheme="minorHAnsi" w:hAnsiTheme="minorHAnsi"/>
        <w:noProof/>
        <w:sz w:val="16"/>
        <w:u w:val="none"/>
        <w:lang w:eastAsia="en-AU"/>
      </w:rPr>
      <w:drawing>
        <wp:anchor distT="0" distB="0" distL="114300" distR="114300" simplePos="0" relativeHeight="251658243" behindDoc="0" locked="0" layoutInCell="1" allowOverlap="1" wp14:anchorId="665F3C2C" wp14:editId="6E946336">
          <wp:simplePos x="0" y="0"/>
          <wp:positionH relativeFrom="margin">
            <wp:align>center</wp:align>
          </wp:positionH>
          <wp:positionV relativeFrom="paragraph">
            <wp:posOffset>-154940</wp:posOffset>
          </wp:positionV>
          <wp:extent cx="5849620" cy="71755"/>
          <wp:effectExtent l="0" t="0" r="0" b="4445"/>
          <wp:wrapSquare wrapText="bothSides"/>
          <wp:docPr id="34" name="Picture 34" title="Australian Government - Clean Energy Regul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475_CER_Word-Doc-Int-Landscape-Grey-Line.png"/>
                  <pic:cNvPicPr/>
                </pic:nvPicPr>
                <pic:blipFill>
                  <a:blip r:embed="rId1">
                    <a:extLst>
                      <a:ext uri="{28A0092B-C50C-407E-A947-70E740481C1C}">
                        <a14:useLocalDpi xmlns:a14="http://schemas.microsoft.com/office/drawing/2010/main" val="0"/>
                      </a:ext>
                    </a:extLst>
                  </a:blip>
                  <a:stretch>
                    <a:fillRect/>
                  </a:stretch>
                </pic:blipFill>
                <pic:spPr>
                  <a:xfrm>
                    <a:off x="0" y="0"/>
                    <a:ext cx="5849620" cy="71755"/>
                  </a:xfrm>
                  <a:prstGeom prst="rect">
                    <a:avLst/>
                  </a:prstGeom>
                </pic:spPr>
              </pic:pic>
            </a:graphicData>
          </a:graphic>
          <wp14:sizeRelH relativeFrom="page">
            <wp14:pctWidth>0</wp14:pctWidth>
          </wp14:sizeRelH>
          <wp14:sizeRelV relativeFrom="page">
            <wp14:pctHeight>0</wp14:pctHeight>
          </wp14:sizeRelV>
        </wp:anchor>
      </w:drawing>
    </w:r>
    <w:r w:rsidRPr="0018235C">
      <w:rPr>
        <w:rStyle w:val="Hyperlink"/>
        <w:rFonts w:asciiTheme="minorHAnsi" w:hAnsiTheme="minorHAnsi"/>
        <w:sz w:val="16"/>
        <w:u w:val="none"/>
      </w:rPr>
      <w:t>GPO Box 621 Canberra ACT 2601</w:t>
    </w:r>
    <w:r>
      <w:rPr>
        <w:rStyle w:val="Hyperlink"/>
        <w:rFonts w:asciiTheme="minorHAnsi" w:hAnsiTheme="minorHAnsi"/>
        <w:sz w:val="16"/>
        <w:u w:val="none"/>
      </w:rPr>
      <w:t xml:space="preserve">       </w:t>
    </w:r>
    <w:r w:rsidRPr="0018235C">
      <w:rPr>
        <w:rStyle w:val="Hyperlink"/>
        <w:rFonts w:asciiTheme="minorHAnsi" w:hAnsiTheme="minorHAnsi"/>
        <w:sz w:val="16"/>
        <w:u w:val="none"/>
      </w:rPr>
      <w:t>1300 553 542</w:t>
    </w:r>
    <w:r w:rsidRPr="0018235C">
      <w:rPr>
        <w:rStyle w:val="Hyperlink"/>
        <w:rFonts w:asciiTheme="minorHAnsi" w:hAnsiTheme="minorHAnsi"/>
        <w:sz w:val="16"/>
        <w:u w:val="none"/>
      </w:rPr>
      <w:tab/>
    </w:r>
    <w:hyperlink r:id="rId2" w:history="1">
      <w:r w:rsidRPr="00C85475">
        <w:rPr>
          <w:rStyle w:val="Hyperlink"/>
          <w:rFonts w:asciiTheme="minorHAnsi" w:hAnsiTheme="minorHAnsi"/>
          <w:sz w:val="16"/>
        </w:rPr>
        <w:t>ERAC@cleanenergyregulator.gov.au</w:t>
      </w:r>
    </w:hyperlink>
    <w:r w:rsidRPr="0018235C">
      <w:rPr>
        <w:rStyle w:val="Hyperlink"/>
        <w:rFonts w:asciiTheme="minorHAnsi" w:hAnsiTheme="minorHAnsi"/>
        <w:sz w:val="16"/>
        <w:u w:val="none"/>
      </w:rPr>
      <w:tab/>
    </w:r>
    <w:hyperlink r:id="rId3" w:history="1">
      <w:r w:rsidRPr="00CA34CF">
        <w:rPr>
          <w:rStyle w:val="Hyperlink"/>
          <w:rFonts w:asciiTheme="minorHAnsi" w:hAnsiTheme="minorHAnsi"/>
          <w:sz w:val="16"/>
          <w:u w:val="none"/>
        </w:rPr>
        <w:t>www.cleanenergyregulator.gov.au</w:t>
      </w:r>
    </w:hyperlink>
    <w:r w:rsidRPr="0018235C">
      <w:rPr>
        <w:rStyle w:val="Hyperlink"/>
        <w:rFonts w:asciiTheme="minorHAnsi" w:hAnsiTheme="minorHAnsi"/>
        <w:sz w:val="16"/>
        <w:u w:val="none"/>
      </w:rPr>
      <w:tab/>
    </w:r>
  </w:p>
  <w:p w14:paraId="2C35717E" w14:textId="35EA34F9" w:rsidR="00BA621B" w:rsidRDefault="00BA621B" w:rsidP="0018235C">
    <w:pPr>
      <w:pStyle w:val="Footer"/>
      <w:spacing w:after="120"/>
      <w:ind w:left="288" w:right="245"/>
      <w:jc w:val="center"/>
      <w:rPr>
        <w:rStyle w:val="Protectivemarker"/>
      </w:rPr>
    </w:pPr>
    <w:r>
      <w:rPr>
        <w:rStyle w:val="Protectivemarker"/>
      </w:rPr>
      <w:t>OFFICIAL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CFB20" w14:textId="15170997" w:rsidR="00BA621B" w:rsidRPr="00976AAD" w:rsidRDefault="00BA621B" w:rsidP="00976AAD">
    <w:pPr>
      <w:spacing w:after="120"/>
      <w:jc w:val="center"/>
      <w:rPr>
        <w:rStyle w:val="Protectivemarker"/>
        <w:b w:val="0"/>
        <w:color w:val="005874"/>
        <w:sz w:val="16"/>
      </w:rPr>
    </w:pPr>
    <w:r w:rsidRPr="0051696E">
      <w:rPr>
        <w:rStyle w:val="Hyperlink"/>
        <w:rFonts w:asciiTheme="minorHAnsi" w:hAnsiTheme="minorHAnsi"/>
        <w:noProof/>
        <w:sz w:val="16"/>
        <w:u w:val="none"/>
        <w:lang w:eastAsia="en-AU"/>
      </w:rPr>
      <w:drawing>
        <wp:anchor distT="0" distB="0" distL="114300" distR="114300" simplePos="0" relativeHeight="251658242" behindDoc="0" locked="0" layoutInCell="1" allowOverlap="1" wp14:anchorId="160B7DC6" wp14:editId="51E4E3FA">
          <wp:simplePos x="0" y="0"/>
          <wp:positionH relativeFrom="margin">
            <wp:align>center</wp:align>
          </wp:positionH>
          <wp:positionV relativeFrom="paragraph">
            <wp:posOffset>-154940</wp:posOffset>
          </wp:positionV>
          <wp:extent cx="5849620" cy="71755"/>
          <wp:effectExtent l="0" t="0" r="0" b="4445"/>
          <wp:wrapSquare wrapText="bothSides"/>
          <wp:docPr id="36" name="Picture 36" title="Australian Government - Clean Energy Regul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475_CER_Word-Doc-Int-Landscape-Grey-Line.png"/>
                  <pic:cNvPicPr/>
                </pic:nvPicPr>
                <pic:blipFill>
                  <a:blip r:embed="rId1">
                    <a:extLst>
                      <a:ext uri="{28A0092B-C50C-407E-A947-70E740481C1C}">
                        <a14:useLocalDpi xmlns:a14="http://schemas.microsoft.com/office/drawing/2010/main" val="0"/>
                      </a:ext>
                    </a:extLst>
                  </a:blip>
                  <a:stretch>
                    <a:fillRect/>
                  </a:stretch>
                </pic:blipFill>
                <pic:spPr>
                  <a:xfrm>
                    <a:off x="0" y="0"/>
                    <a:ext cx="5849620" cy="71755"/>
                  </a:xfrm>
                  <a:prstGeom prst="rect">
                    <a:avLst/>
                  </a:prstGeom>
                </pic:spPr>
              </pic:pic>
            </a:graphicData>
          </a:graphic>
          <wp14:sizeRelH relativeFrom="page">
            <wp14:pctWidth>0</wp14:pctWidth>
          </wp14:sizeRelH>
          <wp14:sizeRelV relativeFrom="page">
            <wp14:pctHeight>0</wp14:pctHeight>
          </wp14:sizeRelV>
        </wp:anchor>
      </w:drawing>
    </w:r>
    <w:r w:rsidRPr="0018235C">
      <w:rPr>
        <w:rStyle w:val="Hyperlink"/>
        <w:rFonts w:asciiTheme="minorHAnsi" w:hAnsiTheme="minorHAnsi"/>
        <w:sz w:val="16"/>
        <w:u w:val="none"/>
      </w:rPr>
      <w:t>GPO Box 621 Canberra ACT 2601</w:t>
    </w:r>
    <w:r>
      <w:rPr>
        <w:rStyle w:val="Hyperlink"/>
        <w:rFonts w:asciiTheme="minorHAnsi" w:hAnsiTheme="minorHAnsi"/>
        <w:sz w:val="16"/>
        <w:u w:val="none"/>
      </w:rPr>
      <w:t xml:space="preserve">       </w:t>
    </w:r>
    <w:r w:rsidRPr="0018235C">
      <w:rPr>
        <w:rStyle w:val="Hyperlink"/>
        <w:rFonts w:asciiTheme="minorHAnsi" w:hAnsiTheme="minorHAnsi"/>
        <w:sz w:val="16"/>
        <w:u w:val="none"/>
      </w:rPr>
      <w:t>1300 553 542</w:t>
    </w:r>
    <w:r w:rsidRPr="0018235C">
      <w:rPr>
        <w:rStyle w:val="Hyperlink"/>
        <w:rFonts w:asciiTheme="minorHAnsi" w:hAnsiTheme="minorHAnsi"/>
        <w:sz w:val="16"/>
        <w:u w:val="none"/>
      </w:rPr>
      <w:tab/>
    </w:r>
    <w:hyperlink r:id="rId2" w:history="1">
      <w:r w:rsidRPr="00C85475">
        <w:rPr>
          <w:rStyle w:val="Hyperlink"/>
          <w:rFonts w:asciiTheme="minorHAnsi" w:hAnsiTheme="minorHAnsi"/>
          <w:sz w:val="16"/>
        </w:rPr>
        <w:t>ERAC@cleanenergyregulator.gov.au</w:t>
      </w:r>
    </w:hyperlink>
    <w:r w:rsidRPr="0018235C">
      <w:rPr>
        <w:rStyle w:val="Hyperlink"/>
        <w:rFonts w:asciiTheme="minorHAnsi" w:hAnsiTheme="minorHAnsi"/>
        <w:sz w:val="16"/>
        <w:u w:val="none"/>
      </w:rPr>
      <w:tab/>
    </w:r>
    <w:hyperlink r:id="rId3" w:history="1">
      <w:r w:rsidRPr="00CA34CF">
        <w:rPr>
          <w:rStyle w:val="Hyperlink"/>
          <w:rFonts w:asciiTheme="minorHAnsi" w:hAnsiTheme="minorHAnsi"/>
          <w:sz w:val="16"/>
          <w:u w:val="none"/>
        </w:rPr>
        <w:t>www.cleanenergyregulator.gov.au</w:t>
      </w:r>
    </w:hyperlink>
    <w:r w:rsidRPr="0018235C">
      <w:rPr>
        <w:rStyle w:val="Hyperlink"/>
        <w:rFonts w:asciiTheme="minorHAnsi" w:hAnsiTheme="minorHAnsi"/>
        <w:sz w:val="16"/>
        <w:u w:val="none"/>
      </w:rPr>
      <w:tab/>
    </w:r>
  </w:p>
  <w:p w14:paraId="5FCAE6AC" w14:textId="5769250A" w:rsidR="00BA621B" w:rsidRDefault="00BA621B" w:rsidP="0018235C">
    <w:pPr>
      <w:pStyle w:val="Footer"/>
      <w:spacing w:after="120"/>
      <w:ind w:left="288" w:right="245"/>
      <w:jc w:val="center"/>
      <w:rPr>
        <w:rStyle w:val="Protectivemarker"/>
      </w:rPr>
    </w:pPr>
    <w:r>
      <w:rPr>
        <w:rStyle w:val="Protectivemarker"/>
      </w:rPr>
      <w:t>OFFICIAL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CE6E8" w14:textId="77777777" w:rsidR="009C359B" w:rsidRDefault="009C359B" w:rsidP="000559B6">
      <w:pPr>
        <w:spacing w:after="120"/>
      </w:pPr>
      <w:r>
        <w:separator/>
      </w:r>
    </w:p>
  </w:footnote>
  <w:footnote w:type="continuationSeparator" w:id="0">
    <w:p w14:paraId="7F07780C" w14:textId="77777777" w:rsidR="009C359B" w:rsidRDefault="009C359B" w:rsidP="00176C28">
      <w:r>
        <w:continuationSeparator/>
      </w:r>
    </w:p>
  </w:footnote>
  <w:footnote w:type="continuationNotice" w:id="1">
    <w:p w14:paraId="69346629" w14:textId="77777777" w:rsidR="009C359B" w:rsidRDefault="009C359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61D66" w14:textId="00AF79E0" w:rsidR="00BA621B" w:rsidRPr="00BE0DA3" w:rsidRDefault="00BA621B" w:rsidP="00A93E3F">
    <w:pPr>
      <w:pStyle w:val="Heading5"/>
      <w:tabs>
        <w:tab w:val="center" w:pos="4870"/>
        <w:tab w:val="left" w:pos="8745"/>
      </w:tabs>
      <w:spacing w:before="0" w:after="120"/>
      <w:jc w:val="center"/>
    </w:pPr>
    <w:r w:rsidRPr="0018235C">
      <w:rPr>
        <w:rStyle w:val="Protectivemarker"/>
        <w:b/>
      </w:rPr>
      <w:t>OFFICIAL</w:t>
    </w:r>
    <w:r>
      <w:rPr>
        <w:noProof/>
        <w:lang w:eastAsia="en-AU"/>
      </w:rPr>
      <w:drawing>
        <wp:anchor distT="0" distB="0" distL="114300" distR="114300" simplePos="0" relativeHeight="251658241" behindDoc="0" locked="0" layoutInCell="1" allowOverlap="1" wp14:anchorId="5B324EFA" wp14:editId="340CB3EC">
          <wp:simplePos x="0" y="0"/>
          <wp:positionH relativeFrom="margin">
            <wp:align>center</wp:align>
          </wp:positionH>
          <wp:positionV relativeFrom="paragraph">
            <wp:posOffset>219075</wp:posOffset>
          </wp:positionV>
          <wp:extent cx="6876000" cy="502721"/>
          <wp:effectExtent l="0" t="0" r="127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tretch>
                    <a:fillRect/>
                  </a:stretch>
                </pic:blipFill>
                <pic:spPr bwMode="auto">
                  <a:xfrm>
                    <a:off x="0" y="0"/>
                    <a:ext cx="6876000" cy="50272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AC603" w14:textId="61BA63EE" w:rsidR="00BA621B" w:rsidRPr="00BE0DA3" w:rsidRDefault="00BC1D94" w:rsidP="0072639F">
    <w:pPr>
      <w:pStyle w:val="Heading5"/>
      <w:spacing w:before="0" w:after="120"/>
      <w:ind w:left="1440"/>
      <w:jc w:val="center"/>
    </w:pPr>
    <w:r>
      <w:rPr>
        <w:noProof/>
      </w:rPr>
      <mc:AlternateContent>
        <mc:Choice Requires="wps">
          <w:drawing>
            <wp:anchor distT="0" distB="0" distL="114300" distR="114300" simplePos="0" relativeHeight="251660292" behindDoc="0" locked="0" layoutInCell="1" allowOverlap="1" wp14:anchorId="46989A2C" wp14:editId="5FA32C67">
              <wp:simplePos x="0" y="0"/>
              <wp:positionH relativeFrom="margin">
                <wp:posOffset>5095875</wp:posOffset>
              </wp:positionH>
              <wp:positionV relativeFrom="paragraph">
                <wp:posOffset>340995</wp:posOffset>
              </wp:positionV>
              <wp:extent cx="1335819" cy="265814"/>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1335819" cy="265814"/>
                      </a:xfrm>
                      <a:prstGeom prst="rect">
                        <a:avLst/>
                      </a:prstGeom>
                      <a:noFill/>
                      <a:ln w="6350">
                        <a:noFill/>
                      </a:ln>
                    </wps:spPr>
                    <wps:txbx>
                      <w:txbxContent>
                        <w:p w14:paraId="3FCDDE7E" w14:textId="44DE36F1" w:rsidR="00BC1D94" w:rsidRPr="006B41FD" w:rsidRDefault="00BC1D94" w:rsidP="00BC1D94">
                          <w:pPr>
                            <w:rPr>
                              <w:color w:val="FFFFFF" w:themeColor="background1"/>
                              <w:sz w:val="20"/>
                              <w:szCs w:val="22"/>
                            </w:rPr>
                          </w:pPr>
                          <w:r w:rsidRPr="006B41FD">
                            <w:rPr>
                              <w:color w:val="FFFFFF" w:themeColor="background1"/>
                              <w:sz w:val="20"/>
                              <w:szCs w:val="22"/>
                            </w:rPr>
                            <w:t>Item 0</w:t>
                          </w:r>
                          <w:r>
                            <w:rPr>
                              <w:color w:val="FFFFFF" w:themeColor="background1"/>
                              <w:sz w:val="20"/>
                              <w:szCs w:val="22"/>
                            </w:rPr>
                            <w:t>4</w:t>
                          </w:r>
                          <w:r w:rsidRPr="006B41FD">
                            <w:rPr>
                              <w:color w:val="FFFFFF" w:themeColor="background1"/>
                              <w:sz w:val="20"/>
                              <w:szCs w:val="22"/>
                            </w:rPr>
                            <w:t xml:space="preserve"> – </w:t>
                          </w:r>
                          <w:r>
                            <w:rPr>
                              <w:color w:val="FFFFFF" w:themeColor="background1"/>
                              <w:sz w:val="20"/>
                              <w:szCs w:val="22"/>
                            </w:rPr>
                            <w:t>A</w:t>
                          </w:r>
                          <w:r w:rsidRPr="006B41FD">
                            <w:rPr>
                              <w:color w:val="FFFFFF" w:themeColor="background1"/>
                              <w:sz w:val="20"/>
                              <w:szCs w:val="22"/>
                            </w:rPr>
                            <w:t xml:space="preserve"> </w:t>
                          </w:r>
                          <w:r w:rsidR="002520C3">
                            <w:rPr>
                              <w:color w:val="FFFFFF" w:themeColor="background1"/>
                              <w:sz w:val="20"/>
                              <w:szCs w:val="22"/>
                            </w:rPr>
                            <w:t>–</w:t>
                          </w:r>
                          <w:r w:rsidRPr="006B41FD">
                            <w:rPr>
                              <w:color w:val="FFFFFF" w:themeColor="background1"/>
                              <w:sz w:val="20"/>
                              <w:szCs w:val="22"/>
                            </w:rPr>
                            <w:t xml:space="preserve"> Att </w:t>
                          </w:r>
                          <w:r>
                            <w:rPr>
                              <w:color w:val="FFFFFF" w:themeColor="background1"/>
                              <w:sz w:val="20"/>
                              <w:szCs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989A2C" id="_x0000_t202" coordsize="21600,21600" o:spt="202" path="m,l,21600r21600,l21600,xe">
              <v:stroke joinstyle="miter"/>
              <v:path gradientshapeok="t" o:connecttype="rect"/>
            </v:shapetype>
            <v:shape id="Text Box 3" o:spid="_x0000_s1026" type="#_x0000_t202" style="position:absolute;left:0;text-align:left;margin-left:401.25pt;margin-top:26.85pt;width:105.2pt;height:20.95pt;z-index:251660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BevLAIAAFEEAAAOAAAAZHJzL2Uyb0RvYy54bWysVE1v2zAMvQ/YfxB0X5zvtUacImuRYUDR&#10;FkiKnhVZig1IoiYpsbNfP0p20qDbadhFpkiKFN978uKu1YochfM1mIKOBkNKhOFQ1mZf0Nft+ssN&#10;JT4wUzIFRhT0JDy9W37+tGhsLsZQgSqFI1jE+LyxBa1CsHmWeV4JzfwArDAYlOA0C7h1+6x0rMHq&#10;WmXj4XCeNeBK64AL79H70AXpMtWXUvDwLKUXgaiC4t1CWl1ad3HNlguW7x2zVc37a7B/uIVmtcGm&#10;l1IPLDBycPUfpXTNHXiQYcBBZyBlzUWaAacZDT9Ms6mYFWkWBMfbC0z+/5XlT8cXR+qyoBNKDNNI&#10;0Va0gXyDlkwiOo31OSZtLKaFFt3I8tnv0RmHbqXT8YvjEIwjzqcLtrEYj4cmk9nN6JYSjrHxHO1p&#10;LJO9n7bOh+8CNIlGQR1ylyBlx0cfutRzSmxmYF0rlfhThjQFnU9mw3TgEsHiymCPOEN312iFdtf2&#10;g+2gPOFcDjpdeMvXNTZ/ZD68MIdCwFFQ3OEZF6kAm0BvUVKB+/U3f8xHfjBKSYPCKqj/eWBOUKJ+&#10;GGTudjSdRiWmzXT2dYwbdx3ZXUfMQd8DaneEz8jyZMb8oM6mdKDf8A2sYlcMMcOxd0HD2bwPndzx&#10;DXGxWqUk1J5l4dFsLI+lI5wR2m37xpzt8Q/I3BOcJcjyDzR0uR0Rq0MAWSeOIsAdqj3uqNvEcv/G&#10;4sO43qes9z/B8jcAAAD//wMAUEsDBBQABgAIAAAAIQCTGcrp4gAAAAoBAAAPAAAAZHJzL2Rvd25y&#10;ZXYueG1sTI/BTsMwEETvSPyDtUjcqN2glDRkU1WRKiQEh5ZeuDmxm0TY6xC7beDrcU/luJqnmbfF&#10;arKGnfToe0cI85kApqlxqqcWYf+xeciA+SBJSeNII/xoD6vy9qaQuXJn2urTLrQslpDPJUIXwpBz&#10;7ptOW+lnbtAUs4MbrQzxHFuuRnmO5dbwRIgFt7KnuNDJQVedbr52R4vwWm3e5bZObPZrqpe3w3r4&#10;3n+miPd30/oZWNBTuMJw0Y/qUEan2h1JeWYQMpGkEUVIH5+AXQAxT5bAaoRlugBeFvz/C+UfAAAA&#10;//8DAFBLAQItABQABgAIAAAAIQC2gziS/gAAAOEBAAATAAAAAAAAAAAAAAAAAAAAAABbQ29udGVu&#10;dF9UeXBlc10ueG1sUEsBAi0AFAAGAAgAAAAhADj9If/WAAAAlAEAAAsAAAAAAAAAAAAAAAAALwEA&#10;AF9yZWxzLy5yZWxzUEsBAi0AFAAGAAgAAAAhAC7AF68sAgAAUQQAAA4AAAAAAAAAAAAAAAAALgIA&#10;AGRycy9lMm9Eb2MueG1sUEsBAi0AFAAGAAgAAAAhAJMZyuniAAAACgEAAA8AAAAAAAAAAAAAAAAA&#10;hgQAAGRycy9kb3ducmV2LnhtbFBLBQYAAAAABAAEAPMAAACVBQAAAAA=&#10;" filled="f" stroked="f" strokeweight=".5pt">
              <v:textbox>
                <w:txbxContent>
                  <w:p w14:paraId="3FCDDE7E" w14:textId="44DE36F1" w:rsidR="00BC1D94" w:rsidRPr="006B41FD" w:rsidRDefault="00BC1D94" w:rsidP="00BC1D94">
                    <w:pPr>
                      <w:rPr>
                        <w:color w:val="FFFFFF" w:themeColor="background1"/>
                        <w:sz w:val="20"/>
                        <w:szCs w:val="22"/>
                      </w:rPr>
                    </w:pPr>
                    <w:r w:rsidRPr="006B41FD">
                      <w:rPr>
                        <w:color w:val="FFFFFF" w:themeColor="background1"/>
                        <w:sz w:val="20"/>
                        <w:szCs w:val="22"/>
                      </w:rPr>
                      <w:t>Item 0</w:t>
                    </w:r>
                    <w:r>
                      <w:rPr>
                        <w:color w:val="FFFFFF" w:themeColor="background1"/>
                        <w:sz w:val="20"/>
                        <w:szCs w:val="22"/>
                      </w:rPr>
                      <w:t>4</w:t>
                    </w:r>
                    <w:r w:rsidRPr="006B41FD">
                      <w:rPr>
                        <w:color w:val="FFFFFF" w:themeColor="background1"/>
                        <w:sz w:val="20"/>
                        <w:szCs w:val="22"/>
                      </w:rPr>
                      <w:t xml:space="preserve"> – </w:t>
                    </w:r>
                    <w:r>
                      <w:rPr>
                        <w:color w:val="FFFFFF" w:themeColor="background1"/>
                        <w:sz w:val="20"/>
                        <w:szCs w:val="22"/>
                      </w:rPr>
                      <w:t>A</w:t>
                    </w:r>
                    <w:r w:rsidRPr="006B41FD">
                      <w:rPr>
                        <w:color w:val="FFFFFF" w:themeColor="background1"/>
                        <w:sz w:val="20"/>
                        <w:szCs w:val="22"/>
                      </w:rPr>
                      <w:t xml:space="preserve"> </w:t>
                    </w:r>
                    <w:r w:rsidR="002520C3">
                      <w:rPr>
                        <w:color w:val="FFFFFF" w:themeColor="background1"/>
                        <w:sz w:val="20"/>
                        <w:szCs w:val="22"/>
                      </w:rPr>
                      <w:t>–</w:t>
                    </w:r>
                    <w:r w:rsidRPr="006B41FD">
                      <w:rPr>
                        <w:color w:val="FFFFFF" w:themeColor="background1"/>
                        <w:sz w:val="20"/>
                        <w:szCs w:val="22"/>
                      </w:rPr>
                      <w:t xml:space="preserve"> Att </w:t>
                    </w:r>
                    <w:r>
                      <w:rPr>
                        <w:color w:val="FFFFFF" w:themeColor="background1"/>
                        <w:sz w:val="20"/>
                        <w:szCs w:val="22"/>
                      </w:rPr>
                      <w:t>A</w:t>
                    </w:r>
                  </w:p>
                </w:txbxContent>
              </v:textbox>
              <w10:wrap anchorx="margin"/>
            </v:shape>
          </w:pict>
        </mc:Fallback>
      </mc:AlternateContent>
    </w:r>
    <w:r w:rsidR="00BA621B" w:rsidRPr="002136F0">
      <w:rPr>
        <w:rStyle w:val="Protectivemarker"/>
        <w:b/>
      </w:rPr>
      <w:t>OFFICIAL</w:t>
    </w:r>
    <w:r w:rsidR="00BA621B">
      <w:rPr>
        <w:noProof/>
      </w:rPr>
      <mc:AlternateContent>
        <mc:Choice Requires="wps">
          <w:drawing>
            <wp:anchor distT="45720" distB="45720" distL="114300" distR="114300" simplePos="0" relativeHeight="251658244" behindDoc="0" locked="0" layoutInCell="1" allowOverlap="1" wp14:anchorId="421B9DCD" wp14:editId="453C6AEA">
              <wp:simplePos x="0" y="0"/>
              <wp:positionH relativeFrom="column">
                <wp:posOffset>5268351</wp:posOffset>
              </wp:positionH>
              <wp:positionV relativeFrom="paragraph">
                <wp:posOffset>10404</wp:posOffset>
              </wp:positionV>
              <wp:extent cx="1272540" cy="2597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259715"/>
                      </a:xfrm>
                      <a:prstGeom prst="rect">
                        <a:avLst/>
                      </a:prstGeom>
                      <a:noFill/>
                      <a:ln w="9525">
                        <a:noFill/>
                        <a:miter lim="800000"/>
                        <a:headEnd/>
                        <a:tailEnd/>
                      </a:ln>
                    </wps:spPr>
                    <wps:txbx>
                      <w:txbxContent>
                        <w:p w14:paraId="2184B58F" w14:textId="46661A5C" w:rsidR="00BA621B" w:rsidRDefault="00BA621B" w:rsidP="007263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1B9DCD" id="_x0000_t202" coordsize="21600,21600" o:spt="202" path="m,l,21600r21600,l21600,xe">
              <v:stroke joinstyle="miter"/>
              <v:path gradientshapeok="t" o:connecttype="rect"/>
            </v:shapetype>
            <v:shape id="Text Box 2" o:spid="_x0000_s1026" type="#_x0000_t202" style="position:absolute;left:0;text-align:left;margin-left:414.85pt;margin-top:.8pt;width:100.2pt;height:20.4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fL7CgIAAPQDAAAOAAAAZHJzL2Uyb0RvYy54bWysU8Fu2zAMvQ/YPwi6L46NeGmMKEXXrsOA&#10;rhvQ7gMUWY6FSaImKbGzrx8lp2mw3Yb5IIgm+cj3SK2vR6PJQfqgwDJazuaUSCugVXbH6Pfn+3dX&#10;lITIbcs1WMnoUQZ6vXn7Zj24RlbQg26lJwhiQzM4RvsYXVMUQfTS8DADJy06O/CGRzT9rmg9HxDd&#10;6KKaz98XA/jWeRAyBPx7NznpJuN3nRTxa9cFGYlmFHuL+fT53Kaz2Kx5s/Pc9Uqc2uD/0IXhymLR&#10;M9Qdj5zsvfoLyijhIUAXZwJMAV2nhMwckE05/4PNU8+dzFxQnODOMoX/ByseD988US2jVbmkxHKD&#10;Q3qWYyQfYCRV0mdwocGwJ4eBccTfOOfMNbgHED8CsXDbc7uTN97D0EveYn9lyiwuUieckEC2wxdo&#10;sQzfR8hAY+dNEg/lIIiOczqeZ5NaEalktazqBboE+qp6tSzrXII3L9nOh/hJgiHpwqjH2Wd0fngI&#10;MXXDm5eQVMzCvdI6z19bMjC6qqs6J1x4jIq4nloZRq/m6ZsWJpH8aNucHLnS0x0LaHtinYhOlOO4&#10;HTEwSbGF9oj8PUxriM8GLz34X5QMuIKMhp977iUl+rNFDVflIhGO2VjUywoNf+nZXnq4FQjFaKRk&#10;ut7GvOcT1xvUulNZhtdOTr3iamV1Ts8g7e6lnaNeH+vmNwAAAP//AwBQSwMEFAAGAAgAAAAhADY6&#10;XZ/dAAAACQEAAA8AAABkcnMvZG93bnJldi54bWxMj0FPwkAQhe8m/IfNkHiTXSog1E6J0XjFgELi&#10;bekObWN3tukutP57lpMeJ9/Le99k68E24kKdrx0jTCcKBHHhTM0lwtfn+8MShA+ajW4cE8IveVjn&#10;o7tMp8b1vKXLLpQilrBPNUIVQptK6YuKrPYT1xJHdnKd1SGeXSlNp/tYbhuZKLWQVtccFyrd0mtF&#10;xc/ubBH2m9P3YaY+yjc7b3s3KMl2JRHvx8PLM4hAQ/gLw00/qkMenY7uzMaLBmGZrJ5iNIIFiBtX&#10;j2oK4ogwS+Yg80z+/yC/AgAA//8DAFBLAQItABQABgAIAAAAIQC2gziS/gAAAOEBAAATAAAAAAAA&#10;AAAAAAAAAAAAAABbQ29udGVudF9UeXBlc10ueG1sUEsBAi0AFAAGAAgAAAAhADj9If/WAAAAlAEA&#10;AAsAAAAAAAAAAAAAAAAALwEAAF9yZWxzLy5yZWxzUEsBAi0AFAAGAAgAAAAhAGeh8vsKAgAA9AMA&#10;AA4AAAAAAAAAAAAAAAAALgIAAGRycy9lMm9Eb2MueG1sUEsBAi0AFAAGAAgAAAAhADY6XZ/dAAAA&#10;CQEAAA8AAAAAAAAAAAAAAAAAZAQAAGRycy9kb3ducmV2LnhtbFBLBQYAAAAABAAEAPMAAABuBQAA&#10;AAA=&#10;" filled="f" stroked="f">
              <v:textbox>
                <w:txbxContent>
                  <w:p w14:paraId="2184B58F" w14:textId="46661A5C" w:rsidR="00BA621B" w:rsidRDefault="00BA621B" w:rsidP="0072639F"/>
                </w:txbxContent>
              </v:textbox>
              <w10:wrap type="square"/>
            </v:shape>
          </w:pict>
        </mc:Fallback>
      </mc:AlternateContent>
    </w:r>
    <w:r w:rsidR="00BA621B">
      <w:rPr>
        <w:noProof/>
        <w:lang w:eastAsia="en-AU"/>
      </w:rPr>
      <w:drawing>
        <wp:anchor distT="0" distB="0" distL="114300" distR="114300" simplePos="0" relativeHeight="251658240" behindDoc="0" locked="0" layoutInCell="1" allowOverlap="1" wp14:anchorId="4DAEF8CA" wp14:editId="16849185">
          <wp:simplePos x="0" y="0"/>
          <wp:positionH relativeFrom="margin">
            <wp:posOffset>-321249</wp:posOffset>
          </wp:positionH>
          <wp:positionV relativeFrom="paragraph">
            <wp:posOffset>271145</wp:posOffset>
          </wp:positionV>
          <wp:extent cx="6834797" cy="1629336"/>
          <wp:effectExtent l="0" t="0" r="4445" b="9525"/>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6834797" cy="162933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248DD2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3C493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9DCC1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E1C0D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A299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AAAB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AB2D5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F0C32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FF052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EC6AD0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11FF7"/>
    <w:multiLevelType w:val="multilevel"/>
    <w:tmpl w:val="1BAAA8A2"/>
    <w:lvl w:ilvl="0">
      <w:start w:val="1"/>
      <w:numFmt w:val="bullet"/>
      <w:lvlText w:val=""/>
      <w:lvlJc w:val="left"/>
      <w:pPr>
        <w:ind w:left="360" w:hanging="360"/>
      </w:pPr>
      <w:rPr>
        <w:rFonts w:ascii="Symbol" w:hAnsi="Symbol" w:hint="default"/>
        <w:color w:val="006EA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5AA77D3"/>
    <w:multiLevelType w:val="hybridMultilevel"/>
    <w:tmpl w:val="440E48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7254ADB"/>
    <w:multiLevelType w:val="hybridMultilevel"/>
    <w:tmpl w:val="71EE4F1E"/>
    <w:lvl w:ilvl="0" w:tplc="BDF603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A452B8"/>
    <w:multiLevelType w:val="hybridMultilevel"/>
    <w:tmpl w:val="E988AB44"/>
    <w:lvl w:ilvl="0" w:tplc="6ABE5874">
      <w:start w:val="1"/>
      <w:numFmt w:val="bullet"/>
      <w:lvlText w:val=""/>
      <w:lvlJc w:val="left"/>
      <w:pPr>
        <w:ind w:left="360" w:hanging="360"/>
      </w:pPr>
      <w:rPr>
        <w:rFonts w:ascii="Symbol" w:hAnsi="Symbol" w:hint="default"/>
        <w:color w:val="006EA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4" w15:restartNumberingAfterBreak="0">
    <w:nsid w:val="18785DF4"/>
    <w:multiLevelType w:val="hybridMultilevel"/>
    <w:tmpl w:val="6BC007CE"/>
    <w:lvl w:ilvl="0" w:tplc="1BCA9278">
      <w:numFmt w:val="bullet"/>
      <w:lvlText w:val="-"/>
      <w:lvlJc w:val="left"/>
      <w:pPr>
        <w:ind w:left="720" w:hanging="360"/>
      </w:pPr>
      <w:rPr>
        <w:rFonts w:ascii="Calibri" w:eastAsia="Cambr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9FF740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3244624"/>
    <w:multiLevelType w:val="hybridMultilevel"/>
    <w:tmpl w:val="9252EA40"/>
    <w:lvl w:ilvl="0" w:tplc="10968BB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58066C7"/>
    <w:multiLevelType w:val="multilevel"/>
    <w:tmpl w:val="CA7A5ED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upperLetter"/>
      <w:lvlText w:val="%5."/>
      <w:lvlJc w:val="left"/>
      <w:pPr>
        <w:tabs>
          <w:tab w:val="num" w:pos="2880"/>
        </w:tabs>
        <w:ind w:left="2880" w:hanging="720"/>
      </w:pPr>
      <w:rPr>
        <w:rFonts w:hint="default"/>
        <w:b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26B0558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9706B91"/>
    <w:multiLevelType w:val="multilevel"/>
    <w:tmpl w:val="F3BAC700"/>
    <w:name w:val="CERBullets22"/>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bullet"/>
      <w:lvlText w:val="›"/>
      <w:lvlJc w:val="left"/>
      <w:pPr>
        <w:ind w:left="1080" w:hanging="360"/>
      </w:pPr>
      <w:rPr>
        <w:rFonts w:ascii="Arial" w:hAnsi="Arial" w:hint="default"/>
        <w:color w:val="006EA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8A675ED"/>
    <w:multiLevelType w:val="hybridMultilevel"/>
    <w:tmpl w:val="DD582AC6"/>
    <w:lvl w:ilvl="0" w:tplc="504A93CE">
      <w:start w:val="1"/>
      <w:numFmt w:val="bullet"/>
      <w:lvlText w:val="»"/>
      <w:lvlJc w:val="left"/>
      <w:pPr>
        <w:ind w:left="558" w:hanging="360"/>
      </w:pPr>
      <w:rPr>
        <w:rFonts w:ascii="Arial" w:hAnsi="Arial" w:hint="default"/>
        <w:color w:val="006EA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1" w15:restartNumberingAfterBreak="0">
    <w:nsid w:val="3C1F2F0D"/>
    <w:multiLevelType w:val="hybridMultilevel"/>
    <w:tmpl w:val="5C18905A"/>
    <w:lvl w:ilvl="0" w:tplc="3E247B2A">
      <w:numFmt w:val="bullet"/>
      <w:lvlText w:val="-"/>
      <w:lvlJc w:val="left"/>
      <w:pPr>
        <w:ind w:left="720" w:hanging="360"/>
      </w:pPr>
      <w:rPr>
        <w:rFonts w:ascii="Calibri" w:eastAsia="Cambr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5A1BD5"/>
    <w:multiLevelType w:val="hybridMultilevel"/>
    <w:tmpl w:val="EB304E1A"/>
    <w:name w:val="CERBullet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DE34D8E"/>
    <w:multiLevelType w:val="multilevel"/>
    <w:tmpl w:val="EBE0AFD0"/>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Arial" w:hAnsi="Arial" w:hint="default"/>
        <w:color w:val="auto"/>
      </w:rPr>
    </w:lvl>
    <w:lvl w:ilvl="2">
      <w:start w:val="1"/>
      <w:numFmt w:val="bullet"/>
      <w:lvlText w:val="›"/>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F5B111B"/>
    <w:multiLevelType w:val="multilevel"/>
    <w:tmpl w:val="CA7A5ED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upperLetter"/>
      <w:lvlText w:val="%5."/>
      <w:lvlJc w:val="left"/>
      <w:pPr>
        <w:tabs>
          <w:tab w:val="num" w:pos="2880"/>
        </w:tabs>
        <w:ind w:left="2880" w:hanging="720"/>
      </w:pPr>
      <w:rPr>
        <w:rFonts w:hint="default"/>
        <w:b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52710908"/>
    <w:multiLevelType w:val="hybridMultilevel"/>
    <w:tmpl w:val="39EA4CC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6" w15:restartNumberingAfterBreak="0">
    <w:nsid w:val="56FF48AB"/>
    <w:multiLevelType w:val="hybridMultilevel"/>
    <w:tmpl w:val="3544B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AFF30DD"/>
    <w:multiLevelType w:val="hybridMultilevel"/>
    <w:tmpl w:val="F3C0C4A8"/>
    <w:lvl w:ilvl="0" w:tplc="7242BB74">
      <w:start w:val="1"/>
      <w:numFmt w:val="bullet"/>
      <w:lvlText w:val="›"/>
      <w:lvlJc w:val="left"/>
      <w:pPr>
        <w:ind w:left="757" w:hanging="360"/>
      </w:pPr>
      <w:rPr>
        <w:rFonts w:ascii="Arial" w:hAnsi="Arial" w:hint="default"/>
        <w:color w:val="006EA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8" w15:restartNumberingAfterBreak="0">
    <w:nsid w:val="5CFD18CA"/>
    <w:multiLevelType w:val="multilevel"/>
    <w:tmpl w:val="E9982BDA"/>
    <w:lvl w:ilvl="0">
      <w:start w:val="1"/>
      <w:numFmt w:val="decimal"/>
      <w:pStyle w:val="ERACnumbering"/>
      <w:lvlText w:val="%1."/>
      <w:lvlJc w:val="left"/>
      <w:pPr>
        <w:ind w:left="360" w:hanging="360"/>
      </w:pPr>
      <w:rPr>
        <w:rFonts w:hint="default"/>
        <w:color w:val="005874"/>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AB321E6"/>
    <w:multiLevelType w:val="hybridMultilevel"/>
    <w:tmpl w:val="1F520E5C"/>
    <w:lvl w:ilvl="0" w:tplc="4442E63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9DB23C0"/>
    <w:multiLevelType w:val="multilevel"/>
    <w:tmpl w:val="CE947A96"/>
    <w:name w:val="CERBullets22"/>
    <w:lvl w:ilvl="0">
      <w:start w:val="1"/>
      <w:numFmt w:val="bullet"/>
      <w:lvlText w:val=""/>
      <w:lvlJc w:val="left"/>
      <w:pPr>
        <w:ind w:left="360" w:hanging="360"/>
      </w:pPr>
      <w:rPr>
        <w:rFonts w:ascii="Symbol" w:hAnsi="Symbol" w:hint="default"/>
        <w:color w:val="005874"/>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D6E3F1C"/>
    <w:multiLevelType w:val="multilevel"/>
    <w:tmpl w:val="32AA175E"/>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4"/>
  </w:num>
  <w:num w:numId="2">
    <w:abstractNumId w:val="17"/>
  </w:num>
  <w:num w:numId="3">
    <w:abstractNumId w:val="18"/>
  </w:num>
  <w:num w:numId="4">
    <w:abstractNumId w:val="12"/>
  </w:num>
  <w:num w:numId="5">
    <w:abstractNumId w:val="13"/>
  </w:num>
  <w:num w:numId="6">
    <w:abstractNumId w:val="20"/>
  </w:num>
  <w:num w:numId="7">
    <w:abstractNumId w:val="27"/>
  </w:num>
  <w:num w:numId="8">
    <w:abstractNumId w:val="13"/>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1"/>
  </w:num>
  <w:num w:numId="20">
    <w:abstractNumId w:val="15"/>
  </w:num>
  <w:num w:numId="21">
    <w:abstractNumId w:val="30"/>
  </w:num>
  <w:num w:numId="22">
    <w:abstractNumId w:val="10"/>
  </w:num>
  <w:num w:numId="23">
    <w:abstractNumId w:val="31"/>
  </w:num>
  <w:num w:numId="24">
    <w:abstractNumId w:val="22"/>
  </w:num>
  <w:num w:numId="25">
    <w:abstractNumId w:val="19"/>
  </w:num>
  <w:num w:numId="26">
    <w:abstractNumId w:val="16"/>
  </w:num>
  <w:num w:numId="27">
    <w:abstractNumId w:val="29"/>
  </w:num>
  <w:num w:numId="28">
    <w:abstractNumId w:val="26"/>
  </w:num>
  <w:num w:numId="29">
    <w:abstractNumId w:val="23"/>
  </w:num>
  <w:num w:numId="30">
    <w:abstractNumId w:val="28"/>
  </w:num>
  <w:num w:numId="31">
    <w:abstractNumId w:val="21"/>
  </w:num>
  <w:num w:numId="32">
    <w:abstractNumId w:val="25"/>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006ea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D6B"/>
    <w:rsid w:val="0000155C"/>
    <w:rsid w:val="00005109"/>
    <w:rsid w:val="00013870"/>
    <w:rsid w:val="00020BAB"/>
    <w:rsid w:val="00021921"/>
    <w:rsid w:val="00031090"/>
    <w:rsid w:val="00034A40"/>
    <w:rsid w:val="0003582F"/>
    <w:rsid w:val="000367C9"/>
    <w:rsid w:val="000378B6"/>
    <w:rsid w:val="00041A09"/>
    <w:rsid w:val="00047212"/>
    <w:rsid w:val="000559B6"/>
    <w:rsid w:val="000602B7"/>
    <w:rsid w:val="000678AA"/>
    <w:rsid w:val="0007465B"/>
    <w:rsid w:val="00083037"/>
    <w:rsid w:val="000906DE"/>
    <w:rsid w:val="00096174"/>
    <w:rsid w:val="00096CDB"/>
    <w:rsid w:val="000B16E4"/>
    <w:rsid w:val="000B2225"/>
    <w:rsid w:val="000B2CE8"/>
    <w:rsid w:val="000C4DF7"/>
    <w:rsid w:val="000D0108"/>
    <w:rsid w:val="000D0853"/>
    <w:rsid w:val="000D7A1F"/>
    <w:rsid w:val="000E06EB"/>
    <w:rsid w:val="000E5A13"/>
    <w:rsid w:val="000E7248"/>
    <w:rsid w:val="000F4131"/>
    <w:rsid w:val="000F47DE"/>
    <w:rsid w:val="000F4ADF"/>
    <w:rsid w:val="000F6B44"/>
    <w:rsid w:val="000F7FFE"/>
    <w:rsid w:val="001019C9"/>
    <w:rsid w:val="00102F0E"/>
    <w:rsid w:val="00103F65"/>
    <w:rsid w:val="00112E29"/>
    <w:rsid w:val="00116283"/>
    <w:rsid w:val="00123DE7"/>
    <w:rsid w:val="00124775"/>
    <w:rsid w:val="001269C6"/>
    <w:rsid w:val="001276AA"/>
    <w:rsid w:val="00141990"/>
    <w:rsid w:val="0014689B"/>
    <w:rsid w:val="001522EF"/>
    <w:rsid w:val="00162871"/>
    <w:rsid w:val="0016471B"/>
    <w:rsid w:val="001651F7"/>
    <w:rsid w:val="00165E1E"/>
    <w:rsid w:val="00175177"/>
    <w:rsid w:val="00175B8D"/>
    <w:rsid w:val="00176871"/>
    <w:rsid w:val="00176C28"/>
    <w:rsid w:val="0018235C"/>
    <w:rsid w:val="00182FBB"/>
    <w:rsid w:val="00185BC0"/>
    <w:rsid w:val="00197F43"/>
    <w:rsid w:val="001A1524"/>
    <w:rsid w:val="001A1556"/>
    <w:rsid w:val="001B31CA"/>
    <w:rsid w:val="001B66AA"/>
    <w:rsid w:val="001C6C51"/>
    <w:rsid w:val="001C77EF"/>
    <w:rsid w:val="001D4BAD"/>
    <w:rsid w:val="001D5E01"/>
    <w:rsid w:val="001E0CBE"/>
    <w:rsid w:val="001E22D1"/>
    <w:rsid w:val="001E66DC"/>
    <w:rsid w:val="001F3121"/>
    <w:rsid w:val="001F5133"/>
    <w:rsid w:val="001F76DF"/>
    <w:rsid w:val="002118E5"/>
    <w:rsid w:val="002136F0"/>
    <w:rsid w:val="00216E5D"/>
    <w:rsid w:val="00235B98"/>
    <w:rsid w:val="00251303"/>
    <w:rsid w:val="002520C3"/>
    <w:rsid w:val="002622E9"/>
    <w:rsid w:val="002644BF"/>
    <w:rsid w:val="00267920"/>
    <w:rsid w:val="00281C8A"/>
    <w:rsid w:val="00290E3D"/>
    <w:rsid w:val="0029262D"/>
    <w:rsid w:val="002960DB"/>
    <w:rsid w:val="002A6E40"/>
    <w:rsid w:val="002A7EA6"/>
    <w:rsid w:val="002B221E"/>
    <w:rsid w:val="002B3039"/>
    <w:rsid w:val="002B6DB9"/>
    <w:rsid w:val="002B7F60"/>
    <w:rsid w:val="002C427B"/>
    <w:rsid w:val="002C702D"/>
    <w:rsid w:val="002D048A"/>
    <w:rsid w:val="002D1DB0"/>
    <w:rsid w:val="002D339A"/>
    <w:rsid w:val="002D5D59"/>
    <w:rsid w:val="002E7A82"/>
    <w:rsid w:val="002F1986"/>
    <w:rsid w:val="002F3888"/>
    <w:rsid w:val="00317DCB"/>
    <w:rsid w:val="00325166"/>
    <w:rsid w:val="003415D3"/>
    <w:rsid w:val="003429F1"/>
    <w:rsid w:val="003519B1"/>
    <w:rsid w:val="00356BCD"/>
    <w:rsid w:val="003570A7"/>
    <w:rsid w:val="00363F94"/>
    <w:rsid w:val="00364CDA"/>
    <w:rsid w:val="00365CD3"/>
    <w:rsid w:val="00370CE8"/>
    <w:rsid w:val="00371059"/>
    <w:rsid w:val="00376B56"/>
    <w:rsid w:val="00382E47"/>
    <w:rsid w:val="003A0D22"/>
    <w:rsid w:val="003C5835"/>
    <w:rsid w:val="003C7417"/>
    <w:rsid w:val="003D119E"/>
    <w:rsid w:val="003E4934"/>
    <w:rsid w:val="003F0B91"/>
    <w:rsid w:val="00404D17"/>
    <w:rsid w:val="0041142C"/>
    <w:rsid w:val="004157EB"/>
    <w:rsid w:val="00420BF6"/>
    <w:rsid w:val="00426275"/>
    <w:rsid w:val="0043602D"/>
    <w:rsid w:val="00442347"/>
    <w:rsid w:val="00444C69"/>
    <w:rsid w:val="004559EF"/>
    <w:rsid w:val="00470EF6"/>
    <w:rsid w:val="00471682"/>
    <w:rsid w:val="00472163"/>
    <w:rsid w:val="00474B6F"/>
    <w:rsid w:val="00480154"/>
    <w:rsid w:val="004854E6"/>
    <w:rsid w:val="004871E9"/>
    <w:rsid w:val="00494F07"/>
    <w:rsid w:val="004A581F"/>
    <w:rsid w:val="004A59E3"/>
    <w:rsid w:val="004B36F0"/>
    <w:rsid w:val="004B4D55"/>
    <w:rsid w:val="004C40FE"/>
    <w:rsid w:val="004C6DF4"/>
    <w:rsid w:val="004D3462"/>
    <w:rsid w:val="004D3F8B"/>
    <w:rsid w:val="004E5DC5"/>
    <w:rsid w:val="004F2862"/>
    <w:rsid w:val="005003FC"/>
    <w:rsid w:val="00503C83"/>
    <w:rsid w:val="00504289"/>
    <w:rsid w:val="00507DE5"/>
    <w:rsid w:val="00510CE3"/>
    <w:rsid w:val="00514CC8"/>
    <w:rsid w:val="00516089"/>
    <w:rsid w:val="0052457E"/>
    <w:rsid w:val="00542E15"/>
    <w:rsid w:val="005430A4"/>
    <w:rsid w:val="005447AF"/>
    <w:rsid w:val="00551062"/>
    <w:rsid w:val="00553083"/>
    <w:rsid w:val="00562F57"/>
    <w:rsid w:val="00582FF0"/>
    <w:rsid w:val="00585D42"/>
    <w:rsid w:val="00592263"/>
    <w:rsid w:val="005923E7"/>
    <w:rsid w:val="005A266D"/>
    <w:rsid w:val="005B4430"/>
    <w:rsid w:val="005C1B49"/>
    <w:rsid w:val="005C6787"/>
    <w:rsid w:val="005E3EEE"/>
    <w:rsid w:val="005F4975"/>
    <w:rsid w:val="0060145F"/>
    <w:rsid w:val="00602351"/>
    <w:rsid w:val="00602E93"/>
    <w:rsid w:val="00603DD1"/>
    <w:rsid w:val="0061010A"/>
    <w:rsid w:val="00613819"/>
    <w:rsid w:val="00622DA5"/>
    <w:rsid w:val="006241FA"/>
    <w:rsid w:val="00625B7D"/>
    <w:rsid w:val="00626EA3"/>
    <w:rsid w:val="006423DF"/>
    <w:rsid w:val="006530B0"/>
    <w:rsid w:val="0065750A"/>
    <w:rsid w:val="00660E7D"/>
    <w:rsid w:val="00662ED8"/>
    <w:rsid w:val="00663321"/>
    <w:rsid w:val="00674932"/>
    <w:rsid w:val="00680B5A"/>
    <w:rsid w:val="00684FEB"/>
    <w:rsid w:val="006948EF"/>
    <w:rsid w:val="006A1906"/>
    <w:rsid w:val="006A37D7"/>
    <w:rsid w:val="006A7A4E"/>
    <w:rsid w:val="006B0693"/>
    <w:rsid w:val="006B0BB0"/>
    <w:rsid w:val="006B241C"/>
    <w:rsid w:val="006B2980"/>
    <w:rsid w:val="006C2C13"/>
    <w:rsid w:val="006D5FC5"/>
    <w:rsid w:val="006E098E"/>
    <w:rsid w:val="006E6BAE"/>
    <w:rsid w:val="007103C7"/>
    <w:rsid w:val="00720D15"/>
    <w:rsid w:val="007248A8"/>
    <w:rsid w:val="00724B10"/>
    <w:rsid w:val="0072639F"/>
    <w:rsid w:val="0073050D"/>
    <w:rsid w:val="00731785"/>
    <w:rsid w:val="00733288"/>
    <w:rsid w:val="00734942"/>
    <w:rsid w:val="0074120B"/>
    <w:rsid w:val="00747882"/>
    <w:rsid w:val="007606D8"/>
    <w:rsid w:val="00762F21"/>
    <w:rsid w:val="00762F60"/>
    <w:rsid w:val="0076397A"/>
    <w:rsid w:val="007645BF"/>
    <w:rsid w:val="00767FAB"/>
    <w:rsid w:val="0077182F"/>
    <w:rsid w:val="007773D1"/>
    <w:rsid w:val="00777F70"/>
    <w:rsid w:val="0078064A"/>
    <w:rsid w:val="007813EC"/>
    <w:rsid w:val="00790E79"/>
    <w:rsid w:val="007923D9"/>
    <w:rsid w:val="00795079"/>
    <w:rsid w:val="007A1B2D"/>
    <w:rsid w:val="007A5CF8"/>
    <w:rsid w:val="007B31E7"/>
    <w:rsid w:val="007B3AA7"/>
    <w:rsid w:val="007C310C"/>
    <w:rsid w:val="007D1999"/>
    <w:rsid w:val="007D1D99"/>
    <w:rsid w:val="007E1C33"/>
    <w:rsid w:val="007E222F"/>
    <w:rsid w:val="007F5142"/>
    <w:rsid w:val="007F52AC"/>
    <w:rsid w:val="007F5E65"/>
    <w:rsid w:val="00805956"/>
    <w:rsid w:val="008074E2"/>
    <w:rsid w:val="008158F6"/>
    <w:rsid w:val="00816D8B"/>
    <w:rsid w:val="008205A9"/>
    <w:rsid w:val="00826A84"/>
    <w:rsid w:val="00831222"/>
    <w:rsid w:val="00837708"/>
    <w:rsid w:val="008508A6"/>
    <w:rsid w:val="008508F9"/>
    <w:rsid w:val="00850C4D"/>
    <w:rsid w:val="0087203F"/>
    <w:rsid w:val="00873A06"/>
    <w:rsid w:val="00877AA1"/>
    <w:rsid w:val="00883D6B"/>
    <w:rsid w:val="00885AB6"/>
    <w:rsid w:val="00890472"/>
    <w:rsid w:val="00890783"/>
    <w:rsid w:val="008924EE"/>
    <w:rsid w:val="00893948"/>
    <w:rsid w:val="0089791D"/>
    <w:rsid w:val="008A09BC"/>
    <w:rsid w:val="008A4F2A"/>
    <w:rsid w:val="008A74F2"/>
    <w:rsid w:val="008B058B"/>
    <w:rsid w:val="008B33CB"/>
    <w:rsid w:val="008B5D10"/>
    <w:rsid w:val="008B6190"/>
    <w:rsid w:val="008B6E09"/>
    <w:rsid w:val="008B7AD8"/>
    <w:rsid w:val="008C63A1"/>
    <w:rsid w:val="008C6B6D"/>
    <w:rsid w:val="008E6CE0"/>
    <w:rsid w:val="008F548E"/>
    <w:rsid w:val="008F5D69"/>
    <w:rsid w:val="00906C6C"/>
    <w:rsid w:val="00906DED"/>
    <w:rsid w:val="009141D3"/>
    <w:rsid w:val="0091440C"/>
    <w:rsid w:val="0093226C"/>
    <w:rsid w:val="009400FD"/>
    <w:rsid w:val="009443E1"/>
    <w:rsid w:val="009464D6"/>
    <w:rsid w:val="0095196D"/>
    <w:rsid w:val="00966454"/>
    <w:rsid w:val="0096718B"/>
    <w:rsid w:val="0097036D"/>
    <w:rsid w:val="00973C92"/>
    <w:rsid w:val="009757EB"/>
    <w:rsid w:val="00976AAD"/>
    <w:rsid w:val="009801E4"/>
    <w:rsid w:val="00980444"/>
    <w:rsid w:val="00985EF0"/>
    <w:rsid w:val="009A2199"/>
    <w:rsid w:val="009A2E7F"/>
    <w:rsid w:val="009B0167"/>
    <w:rsid w:val="009B2747"/>
    <w:rsid w:val="009C30B4"/>
    <w:rsid w:val="009C359B"/>
    <w:rsid w:val="009D01EB"/>
    <w:rsid w:val="009D0379"/>
    <w:rsid w:val="009D0F8A"/>
    <w:rsid w:val="009D4D75"/>
    <w:rsid w:val="009E20D3"/>
    <w:rsid w:val="009E2DFA"/>
    <w:rsid w:val="009E48B2"/>
    <w:rsid w:val="009F0F17"/>
    <w:rsid w:val="009F3D03"/>
    <w:rsid w:val="00A05914"/>
    <w:rsid w:val="00A114F2"/>
    <w:rsid w:val="00A11B39"/>
    <w:rsid w:val="00A36B0E"/>
    <w:rsid w:val="00A41A11"/>
    <w:rsid w:val="00A44C0C"/>
    <w:rsid w:val="00A46CD5"/>
    <w:rsid w:val="00A50A9D"/>
    <w:rsid w:val="00A53BC4"/>
    <w:rsid w:val="00A64070"/>
    <w:rsid w:val="00A73CF1"/>
    <w:rsid w:val="00A80EAF"/>
    <w:rsid w:val="00A93E3F"/>
    <w:rsid w:val="00A973C2"/>
    <w:rsid w:val="00AA1615"/>
    <w:rsid w:val="00AA4D3D"/>
    <w:rsid w:val="00AB04A4"/>
    <w:rsid w:val="00AB1D66"/>
    <w:rsid w:val="00AB2EB1"/>
    <w:rsid w:val="00AC7438"/>
    <w:rsid w:val="00AD3999"/>
    <w:rsid w:val="00AD649E"/>
    <w:rsid w:val="00AE1B6D"/>
    <w:rsid w:val="00AF001A"/>
    <w:rsid w:val="00AF5F77"/>
    <w:rsid w:val="00B15437"/>
    <w:rsid w:val="00B31391"/>
    <w:rsid w:val="00B35EB3"/>
    <w:rsid w:val="00B44479"/>
    <w:rsid w:val="00B46AA8"/>
    <w:rsid w:val="00B564F4"/>
    <w:rsid w:val="00B61E78"/>
    <w:rsid w:val="00B721C9"/>
    <w:rsid w:val="00B832A4"/>
    <w:rsid w:val="00B93D9A"/>
    <w:rsid w:val="00BA339F"/>
    <w:rsid w:val="00BA3D6B"/>
    <w:rsid w:val="00BA621B"/>
    <w:rsid w:val="00BB776D"/>
    <w:rsid w:val="00BC1D94"/>
    <w:rsid w:val="00BC1FC7"/>
    <w:rsid w:val="00BD423B"/>
    <w:rsid w:val="00BD5ED5"/>
    <w:rsid w:val="00BF06C9"/>
    <w:rsid w:val="00BF4276"/>
    <w:rsid w:val="00C067A3"/>
    <w:rsid w:val="00C06FDE"/>
    <w:rsid w:val="00C10309"/>
    <w:rsid w:val="00C13648"/>
    <w:rsid w:val="00C14206"/>
    <w:rsid w:val="00C25A2B"/>
    <w:rsid w:val="00C3122E"/>
    <w:rsid w:val="00C33420"/>
    <w:rsid w:val="00C356B0"/>
    <w:rsid w:val="00C40CF0"/>
    <w:rsid w:val="00C460FE"/>
    <w:rsid w:val="00C5629A"/>
    <w:rsid w:val="00C576F4"/>
    <w:rsid w:val="00C62B95"/>
    <w:rsid w:val="00C63399"/>
    <w:rsid w:val="00C63C19"/>
    <w:rsid w:val="00C64F99"/>
    <w:rsid w:val="00C758E5"/>
    <w:rsid w:val="00C778A6"/>
    <w:rsid w:val="00C86B48"/>
    <w:rsid w:val="00CA1123"/>
    <w:rsid w:val="00CA34CF"/>
    <w:rsid w:val="00CA3DBC"/>
    <w:rsid w:val="00CA63D2"/>
    <w:rsid w:val="00CA7B0F"/>
    <w:rsid w:val="00CB7ED6"/>
    <w:rsid w:val="00CC01D3"/>
    <w:rsid w:val="00CF1F85"/>
    <w:rsid w:val="00CF760A"/>
    <w:rsid w:val="00D07937"/>
    <w:rsid w:val="00D1208C"/>
    <w:rsid w:val="00D12286"/>
    <w:rsid w:val="00D13576"/>
    <w:rsid w:val="00D144E9"/>
    <w:rsid w:val="00D2334D"/>
    <w:rsid w:val="00D25A41"/>
    <w:rsid w:val="00D307A9"/>
    <w:rsid w:val="00D435BB"/>
    <w:rsid w:val="00D50684"/>
    <w:rsid w:val="00D51A82"/>
    <w:rsid w:val="00D52DF4"/>
    <w:rsid w:val="00D5316F"/>
    <w:rsid w:val="00D562CF"/>
    <w:rsid w:val="00D66066"/>
    <w:rsid w:val="00D831E5"/>
    <w:rsid w:val="00D92C3F"/>
    <w:rsid w:val="00D97E63"/>
    <w:rsid w:val="00DA05BF"/>
    <w:rsid w:val="00DB16FB"/>
    <w:rsid w:val="00DC3A30"/>
    <w:rsid w:val="00DC4D84"/>
    <w:rsid w:val="00DC50B9"/>
    <w:rsid w:val="00DC6C3F"/>
    <w:rsid w:val="00DC71D1"/>
    <w:rsid w:val="00DD189E"/>
    <w:rsid w:val="00DD6052"/>
    <w:rsid w:val="00DD61F7"/>
    <w:rsid w:val="00DE7B65"/>
    <w:rsid w:val="00DF0F4C"/>
    <w:rsid w:val="00E10655"/>
    <w:rsid w:val="00E10E65"/>
    <w:rsid w:val="00E136CC"/>
    <w:rsid w:val="00E17CC3"/>
    <w:rsid w:val="00E256C1"/>
    <w:rsid w:val="00E33406"/>
    <w:rsid w:val="00E36201"/>
    <w:rsid w:val="00E40D44"/>
    <w:rsid w:val="00E41514"/>
    <w:rsid w:val="00E4355F"/>
    <w:rsid w:val="00E44B40"/>
    <w:rsid w:val="00E44E4F"/>
    <w:rsid w:val="00E60EE0"/>
    <w:rsid w:val="00E652C6"/>
    <w:rsid w:val="00E770EC"/>
    <w:rsid w:val="00E774C9"/>
    <w:rsid w:val="00E80DF3"/>
    <w:rsid w:val="00E81686"/>
    <w:rsid w:val="00E94E67"/>
    <w:rsid w:val="00E94FFF"/>
    <w:rsid w:val="00E956A9"/>
    <w:rsid w:val="00EA375F"/>
    <w:rsid w:val="00EA7A28"/>
    <w:rsid w:val="00EC0BC5"/>
    <w:rsid w:val="00EC3A18"/>
    <w:rsid w:val="00ED522A"/>
    <w:rsid w:val="00EE29BC"/>
    <w:rsid w:val="00EE7405"/>
    <w:rsid w:val="00EF01A8"/>
    <w:rsid w:val="00EF369F"/>
    <w:rsid w:val="00EF7FBD"/>
    <w:rsid w:val="00F07B8A"/>
    <w:rsid w:val="00F10467"/>
    <w:rsid w:val="00F1084B"/>
    <w:rsid w:val="00F1463E"/>
    <w:rsid w:val="00F158ED"/>
    <w:rsid w:val="00F22474"/>
    <w:rsid w:val="00F2767A"/>
    <w:rsid w:val="00F32404"/>
    <w:rsid w:val="00F378C4"/>
    <w:rsid w:val="00F554FD"/>
    <w:rsid w:val="00F637CF"/>
    <w:rsid w:val="00F67F4E"/>
    <w:rsid w:val="00F70B17"/>
    <w:rsid w:val="00F77806"/>
    <w:rsid w:val="00F8070C"/>
    <w:rsid w:val="00F81680"/>
    <w:rsid w:val="00F821F2"/>
    <w:rsid w:val="00F837EF"/>
    <w:rsid w:val="00F8561F"/>
    <w:rsid w:val="00F908C2"/>
    <w:rsid w:val="00F92375"/>
    <w:rsid w:val="00F94571"/>
    <w:rsid w:val="00FA0F60"/>
    <w:rsid w:val="00FA6BD7"/>
    <w:rsid w:val="00FA7352"/>
    <w:rsid w:val="00FA7635"/>
    <w:rsid w:val="00FB26CE"/>
    <w:rsid w:val="00FB3BB3"/>
    <w:rsid w:val="00FB7583"/>
    <w:rsid w:val="00FC0CE2"/>
    <w:rsid w:val="00FC20CB"/>
    <w:rsid w:val="00FC5CAA"/>
    <w:rsid w:val="00FC7440"/>
    <w:rsid w:val="00FD2635"/>
    <w:rsid w:val="00FE42BF"/>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006ea6"/>
    </o:shapedefaults>
    <o:shapelayout v:ext="edit">
      <o:idmap v:ext="edit" data="1"/>
    </o:shapelayout>
  </w:shapeDefaults>
  <w:decimalSymbol w:val="."/>
  <w:listSeparator w:val=","/>
  <w14:docId w14:val="1D3AE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iPriority="6" w:unhideWhenUsed="1" w:qFormat="1"/>
    <w:lsdException w:name="heading 6" w:semiHidden="1" w:unhideWhenUsed="1"/>
    <w:lsdException w:name="heading 7" w:semiHidden="1" w:unhideWhenUsed="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lsdException w:name="Emphasis" w:uiPriority="99"/>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lsdException w:name="Quote" w:uiPriority="99"/>
    <w:lsdException w:name="Intense Quote" w:uiPriority="9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9"/>
    <w:lsdException w:name="Intense Emphasis" w:uiPriority="99"/>
    <w:lsdException w:name="Subtle Reference" w:uiPriority="99"/>
    <w:lsdException w:name="Intense Reference" w:uiPriority="99"/>
    <w:lsdException w:name="Book Title" w:uiPriority="99"/>
    <w:lsdException w:name="Bibliography" w:semiHidden="1" w:uiPriority="99"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8"/>
    <w:qFormat/>
    <w:rsid w:val="00267920"/>
    <w:pPr>
      <w:spacing w:after="200"/>
    </w:pPr>
    <w:rPr>
      <w:rFonts w:asciiTheme="minorHAnsi" w:hAnsiTheme="minorHAnsi" w:cstheme="minorHAnsi"/>
      <w:color w:val="000000" w:themeColor="text1"/>
      <w:sz w:val="22"/>
      <w:szCs w:val="24"/>
      <w:lang w:eastAsia="en-US"/>
    </w:rPr>
  </w:style>
  <w:style w:type="paragraph" w:styleId="Heading1">
    <w:name w:val="heading 1"/>
    <w:aliases w:val="ERAC Heading 1"/>
    <w:next w:val="Heading2"/>
    <w:link w:val="Heading1Char"/>
    <w:uiPriority w:val="2"/>
    <w:qFormat/>
    <w:rsid w:val="00FA7635"/>
    <w:pPr>
      <w:keepNext/>
      <w:spacing w:before="280" w:after="200"/>
      <w:outlineLvl w:val="0"/>
    </w:pPr>
    <w:rPr>
      <w:rFonts w:asciiTheme="minorHAnsi" w:eastAsia="Times New Roman" w:hAnsiTheme="minorHAnsi" w:cstheme="minorHAnsi"/>
      <w:b/>
      <w:bCs/>
      <w:color w:val="005874"/>
      <w:kern w:val="32"/>
      <w:sz w:val="40"/>
      <w:szCs w:val="24"/>
      <w:lang w:eastAsia="en-US"/>
    </w:rPr>
  </w:style>
  <w:style w:type="paragraph" w:styleId="Heading2">
    <w:name w:val="heading 2"/>
    <w:aliases w:val="ERAC Heading 2"/>
    <w:basedOn w:val="Normal"/>
    <w:next w:val="Normal"/>
    <w:link w:val="Heading2Char"/>
    <w:uiPriority w:val="3"/>
    <w:qFormat/>
    <w:rsid w:val="00FA7635"/>
    <w:pPr>
      <w:keepNext/>
      <w:keepLines/>
      <w:spacing w:before="280"/>
      <w:outlineLvl w:val="1"/>
    </w:pPr>
    <w:rPr>
      <w:rFonts w:eastAsia="Times New Roman"/>
      <w:b/>
      <w:bCs/>
      <w:color w:val="005874"/>
      <w:sz w:val="30"/>
      <w:szCs w:val="26"/>
    </w:rPr>
  </w:style>
  <w:style w:type="paragraph" w:styleId="Heading3">
    <w:name w:val="heading 3"/>
    <w:aliases w:val="ERAC Heading 3"/>
    <w:next w:val="Normal"/>
    <w:link w:val="Heading3Char"/>
    <w:uiPriority w:val="4"/>
    <w:qFormat/>
    <w:rsid w:val="00FA7635"/>
    <w:pPr>
      <w:keepNext/>
      <w:keepLines/>
      <w:spacing w:before="240" w:after="200"/>
      <w:outlineLvl w:val="2"/>
    </w:pPr>
    <w:rPr>
      <w:rFonts w:asciiTheme="minorHAnsi" w:eastAsia="Times New Roman" w:hAnsiTheme="minorHAnsi" w:cstheme="minorHAnsi"/>
      <w:b/>
      <w:bCs/>
      <w:color w:val="005874"/>
      <w:sz w:val="25"/>
      <w:szCs w:val="24"/>
      <w:lang w:eastAsia="en-US"/>
    </w:rPr>
  </w:style>
  <w:style w:type="paragraph" w:styleId="Heading4">
    <w:name w:val="heading 4"/>
    <w:aliases w:val="ERAC Heading 4"/>
    <w:basedOn w:val="Normal"/>
    <w:next w:val="Normal"/>
    <w:link w:val="Heading4Char"/>
    <w:uiPriority w:val="5"/>
    <w:unhideWhenUsed/>
    <w:qFormat/>
    <w:rsid w:val="00FA7635"/>
    <w:pPr>
      <w:keepNext/>
      <w:spacing w:before="240"/>
      <w:outlineLvl w:val="3"/>
    </w:pPr>
    <w:rPr>
      <w:rFonts w:eastAsiaTheme="minorEastAsia" w:cstheme="minorBidi"/>
      <w:bCs/>
      <w:color w:val="005874"/>
      <w:sz w:val="25"/>
      <w:szCs w:val="28"/>
    </w:rPr>
  </w:style>
  <w:style w:type="paragraph" w:styleId="Heading5">
    <w:name w:val="heading 5"/>
    <w:aliases w:val="ERAC Heading 5"/>
    <w:basedOn w:val="Normal"/>
    <w:next w:val="Normal"/>
    <w:link w:val="Heading5Char"/>
    <w:uiPriority w:val="6"/>
    <w:unhideWhenUsed/>
    <w:qFormat/>
    <w:rsid w:val="00FA7635"/>
    <w:pPr>
      <w:keepNext/>
      <w:keepLines/>
      <w:spacing w:before="240"/>
      <w:outlineLvl w:val="4"/>
    </w:pPr>
    <w:rPr>
      <w:rFonts w:eastAsiaTheme="majorEastAsia" w:cstheme="majorBidi"/>
      <w:b/>
    </w:rPr>
  </w:style>
  <w:style w:type="paragraph" w:styleId="Heading6">
    <w:name w:val="heading 6"/>
    <w:aliases w:val="ERAC Heading 6"/>
    <w:basedOn w:val="Normal"/>
    <w:next w:val="Normal"/>
    <w:link w:val="Heading6Char"/>
    <w:uiPriority w:val="99"/>
    <w:unhideWhenUsed/>
    <w:rsid w:val="00674932"/>
    <w:pPr>
      <w:tabs>
        <w:tab w:val="left" w:pos="1633"/>
      </w:tabs>
      <w:spacing w:before="240"/>
      <w:outlineLvl w:val="5"/>
    </w:pPr>
    <w:rPr>
      <w:rFonts w:eastAsiaTheme="minorEastAsia" w:cstheme="minorBidi"/>
      <w:b/>
      <w:bCs/>
      <w:sz w:val="21"/>
      <w:szCs w:val="22"/>
    </w:rPr>
  </w:style>
  <w:style w:type="paragraph" w:styleId="Heading7">
    <w:name w:val="heading 7"/>
    <w:aliases w:val="ERAC Heading 7"/>
    <w:basedOn w:val="Normal"/>
    <w:next w:val="Normal"/>
    <w:link w:val="Heading7Char"/>
    <w:uiPriority w:val="99"/>
    <w:unhideWhenUsed/>
    <w:rsid w:val="009D4D75"/>
    <w:pPr>
      <w:keepNext/>
      <w:keepLines/>
      <w:spacing w:before="200" w:after="0"/>
      <w:outlineLvl w:val="6"/>
    </w:pPr>
    <w:rPr>
      <w:rFonts w:eastAsiaTheme="majorEastAsia"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ERAC Heading 2 Char"/>
    <w:basedOn w:val="DefaultParagraphFont"/>
    <w:link w:val="Heading2"/>
    <w:uiPriority w:val="3"/>
    <w:rsid w:val="00FA7635"/>
    <w:rPr>
      <w:rFonts w:asciiTheme="minorHAnsi" w:eastAsia="Times New Roman" w:hAnsiTheme="minorHAnsi" w:cstheme="minorHAnsi"/>
      <w:b/>
      <w:bCs/>
      <w:color w:val="005874"/>
      <w:sz w:val="30"/>
      <w:szCs w:val="26"/>
      <w:lang w:eastAsia="en-US"/>
    </w:rPr>
  </w:style>
  <w:style w:type="character" w:customStyle="1" w:styleId="Heading1Char">
    <w:name w:val="Heading 1 Char"/>
    <w:aliases w:val="ERAC Heading 1 Char"/>
    <w:basedOn w:val="DefaultParagraphFont"/>
    <w:link w:val="Heading1"/>
    <w:uiPriority w:val="2"/>
    <w:rsid w:val="00FA7635"/>
    <w:rPr>
      <w:rFonts w:asciiTheme="minorHAnsi" w:eastAsia="Times New Roman" w:hAnsiTheme="minorHAnsi" w:cstheme="minorHAnsi"/>
      <w:b/>
      <w:bCs/>
      <w:color w:val="005874"/>
      <w:kern w:val="32"/>
      <w:sz w:val="40"/>
      <w:szCs w:val="24"/>
      <w:lang w:eastAsia="en-US"/>
    </w:rPr>
  </w:style>
  <w:style w:type="character" w:customStyle="1" w:styleId="Heading3Char">
    <w:name w:val="Heading 3 Char"/>
    <w:aliases w:val="ERAC Heading 3 Char"/>
    <w:basedOn w:val="DefaultParagraphFont"/>
    <w:link w:val="Heading3"/>
    <w:uiPriority w:val="4"/>
    <w:rsid w:val="00FA7635"/>
    <w:rPr>
      <w:rFonts w:asciiTheme="minorHAnsi" w:eastAsia="Times New Roman" w:hAnsiTheme="minorHAnsi" w:cstheme="minorHAnsi"/>
      <w:b/>
      <w:bCs/>
      <w:color w:val="005874"/>
      <w:sz w:val="25"/>
      <w:szCs w:val="24"/>
      <w:lang w:eastAsia="en-US"/>
    </w:rPr>
  </w:style>
  <w:style w:type="character" w:customStyle="1" w:styleId="Heading4Char">
    <w:name w:val="Heading 4 Char"/>
    <w:aliases w:val="ERAC Heading 4 Char"/>
    <w:basedOn w:val="DefaultParagraphFont"/>
    <w:link w:val="Heading4"/>
    <w:uiPriority w:val="5"/>
    <w:rsid w:val="00FA7635"/>
    <w:rPr>
      <w:rFonts w:asciiTheme="minorHAnsi" w:eastAsiaTheme="minorEastAsia" w:hAnsiTheme="minorHAnsi" w:cstheme="minorBidi"/>
      <w:bCs/>
      <w:color w:val="005874"/>
      <w:sz w:val="25"/>
      <w:szCs w:val="28"/>
      <w:lang w:eastAsia="en-US"/>
    </w:rPr>
  </w:style>
  <w:style w:type="character" w:customStyle="1" w:styleId="Heading6Char">
    <w:name w:val="Heading 6 Char"/>
    <w:aliases w:val="ERAC Heading 6 Char"/>
    <w:basedOn w:val="DefaultParagraphFont"/>
    <w:link w:val="Heading6"/>
    <w:uiPriority w:val="99"/>
    <w:rsid w:val="00674932"/>
    <w:rPr>
      <w:rFonts w:ascii="Arial" w:eastAsiaTheme="minorEastAsia" w:hAnsi="Arial" w:cstheme="minorBidi"/>
      <w:b/>
      <w:bCs/>
      <w:color w:val="000000" w:themeColor="text1"/>
      <w:sz w:val="21"/>
      <w:szCs w:val="22"/>
      <w:lang w:val="en-US" w:eastAsia="en-US"/>
    </w:rPr>
  </w:style>
  <w:style w:type="paragraph" w:styleId="Header">
    <w:name w:val="header"/>
    <w:basedOn w:val="Normal"/>
    <w:link w:val="HeaderChar"/>
    <w:uiPriority w:val="99"/>
    <w:unhideWhenUsed/>
    <w:rsid w:val="00471682"/>
    <w:pPr>
      <w:tabs>
        <w:tab w:val="center" w:pos="4320"/>
        <w:tab w:val="right" w:pos="8640"/>
      </w:tabs>
    </w:pPr>
  </w:style>
  <w:style w:type="character" w:customStyle="1" w:styleId="HeaderChar">
    <w:name w:val="Header Char"/>
    <w:basedOn w:val="DefaultParagraphFont"/>
    <w:link w:val="Header"/>
    <w:uiPriority w:val="99"/>
    <w:rsid w:val="002C427B"/>
    <w:rPr>
      <w:rFonts w:ascii="Arial" w:hAnsi="Arial"/>
      <w:color w:val="000000" w:themeColor="text1"/>
      <w:sz w:val="22"/>
      <w:szCs w:val="24"/>
      <w:lang w:val="en-US" w:eastAsia="en-US"/>
    </w:rPr>
  </w:style>
  <w:style w:type="paragraph" w:styleId="Footer">
    <w:name w:val="footer"/>
    <w:basedOn w:val="Normal"/>
    <w:link w:val="FooterChar"/>
    <w:uiPriority w:val="99"/>
    <w:unhideWhenUsed/>
    <w:rsid w:val="00CA34CF"/>
    <w:pPr>
      <w:tabs>
        <w:tab w:val="left" w:pos="2694"/>
        <w:tab w:val="left" w:pos="3969"/>
        <w:tab w:val="left" w:pos="6946"/>
        <w:tab w:val="right" w:pos="9498"/>
      </w:tabs>
      <w:ind w:left="284" w:right="242"/>
    </w:pPr>
    <w:rPr>
      <w:color w:val="005874"/>
      <w:sz w:val="16"/>
      <w:szCs w:val="16"/>
    </w:rPr>
  </w:style>
  <w:style w:type="character" w:customStyle="1" w:styleId="FooterChar">
    <w:name w:val="Footer Char"/>
    <w:basedOn w:val="DefaultParagraphFont"/>
    <w:link w:val="Footer"/>
    <w:uiPriority w:val="99"/>
    <w:rsid w:val="00CA34CF"/>
    <w:rPr>
      <w:rFonts w:asciiTheme="minorHAnsi" w:hAnsiTheme="minorHAnsi" w:cstheme="minorHAnsi"/>
      <w:color w:val="005874"/>
      <w:sz w:val="16"/>
      <w:szCs w:val="16"/>
      <w:lang w:eastAsia="en-US"/>
    </w:rPr>
  </w:style>
  <w:style w:type="character" w:styleId="Hyperlink">
    <w:name w:val="Hyperlink"/>
    <w:basedOn w:val="DefaultParagraphFont"/>
    <w:uiPriority w:val="99"/>
    <w:unhideWhenUsed/>
    <w:rsid w:val="00BD5ED5"/>
    <w:rPr>
      <w:rFonts w:ascii="Calibri" w:hAnsi="Calibri"/>
      <w:color w:val="005874"/>
      <w:sz w:val="22"/>
      <w:u w:val="single"/>
    </w:rPr>
  </w:style>
  <w:style w:type="paragraph" w:customStyle="1" w:styleId="ERACbullets">
    <w:name w:val="ERAC bullets"/>
    <w:basedOn w:val="Normal"/>
    <w:link w:val="ERACbulletsChar"/>
    <w:uiPriority w:val="7"/>
    <w:qFormat/>
    <w:rsid w:val="00FA7635"/>
    <w:pPr>
      <w:spacing w:before="120" w:after="120"/>
    </w:pPr>
    <w:rPr>
      <w:color w:val="auto"/>
    </w:rPr>
  </w:style>
  <w:style w:type="character" w:customStyle="1" w:styleId="ERACbulletsChar">
    <w:name w:val="ERAC bullets Char"/>
    <w:basedOn w:val="DefaultParagraphFont"/>
    <w:link w:val="ERACbullets"/>
    <w:uiPriority w:val="7"/>
    <w:rsid w:val="00FA7635"/>
    <w:rPr>
      <w:rFonts w:asciiTheme="minorHAnsi" w:hAnsiTheme="minorHAnsi" w:cstheme="minorHAnsi"/>
      <w:sz w:val="22"/>
      <w:szCs w:val="24"/>
      <w:lang w:eastAsia="en-US"/>
    </w:rPr>
  </w:style>
  <w:style w:type="table" w:customStyle="1" w:styleId="CERTable">
    <w:name w:val="CER Table"/>
    <w:basedOn w:val="TableNormal"/>
    <w:uiPriority w:val="99"/>
    <w:rsid w:val="006423DF"/>
    <w:pPr>
      <w:spacing w:before="120"/>
    </w:pPr>
    <w:rPr>
      <w:rFonts w:ascii="Arial" w:hAnsi="Arial"/>
      <w:color w:val="000000" w:themeColor="text1"/>
      <w:kern w:val="2"/>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rPr>
      <w:cantSplit/>
    </w:tr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Segoe UI" w:hAnsi="Segoe UI"/>
        <w:b/>
        <w:color w:val="auto"/>
        <w:sz w:val="20"/>
      </w:rPr>
      <w:tblPr/>
      <w:tcPr>
        <w:shd w:val="clear" w:color="auto" w:fill="CDCDCD"/>
      </w:tcPr>
    </w:tblStylePr>
    <w:tblStylePr w:type="lastRow">
      <w:pPr>
        <w:wordWrap/>
        <w:spacing w:beforeLines="0" w:before="10" w:beforeAutospacing="0" w:afterLines="0" w:after="10" w:afterAutospacing="0"/>
      </w:pPr>
      <w:tblPr/>
      <w:tcPr>
        <w:vAlign w:val="center"/>
      </w:tcPr>
    </w:tblStylePr>
    <w:tblStylePr w:type="firstCol">
      <w:pPr>
        <w:wordWrap/>
        <w:ind w:leftChars="0" w:left="0" w:rightChars="0" w:right="0"/>
        <w:contextualSpacing w:val="0"/>
      </w:pPr>
      <w:rPr>
        <w:rFonts w:ascii="Segoe UI" w:hAnsi="Segoe UI"/>
        <w:b/>
        <w:i w:val="0"/>
        <w:color w:val="000000" w:themeColor="text1"/>
      </w:rPr>
      <w:tblPr/>
      <w:tcPr>
        <w:shd w:val="clear" w:color="auto" w:fill="EAE9E7"/>
      </w:tcPr>
    </w:tblStylePr>
    <w:tblStylePr w:type="band1Horz">
      <w:rPr>
        <w:rFonts w:ascii="Arial" w:hAnsi="Arial"/>
      </w:rPr>
    </w:tblStylePr>
    <w:tblStylePr w:type="band2Horz">
      <w:rPr>
        <w:rFonts w:ascii="Arial" w:hAnsi="Arial"/>
      </w:rPr>
    </w:tblStylePr>
  </w:style>
  <w:style w:type="character" w:customStyle="1" w:styleId="Heading5Char">
    <w:name w:val="Heading 5 Char"/>
    <w:aliases w:val="ERAC Heading 5 Char"/>
    <w:basedOn w:val="DefaultParagraphFont"/>
    <w:link w:val="Heading5"/>
    <w:uiPriority w:val="6"/>
    <w:rsid w:val="00FA7635"/>
    <w:rPr>
      <w:rFonts w:asciiTheme="minorHAnsi" w:eastAsiaTheme="majorEastAsia" w:hAnsiTheme="minorHAnsi" w:cstheme="majorBidi"/>
      <w:b/>
      <w:color w:val="000000" w:themeColor="text1"/>
      <w:sz w:val="22"/>
      <w:szCs w:val="24"/>
      <w:lang w:eastAsia="en-US"/>
    </w:rPr>
  </w:style>
  <w:style w:type="table" w:styleId="TableGrid">
    <w:name w:val="Table Grid"/>
    <w:basedOn w:val="TableNormal"/>
    <w:rsid w:val="00A41A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RCallout">
    <w:name w:val="CER Callout"/>
    <w:basedOn w:val="TableNormal"/>
    <w:uiPriority w:val="99"/>
    <w:rsid w:val="00235B98"/>
    <w:pPr>
      <w:ind w:left="284" w:right="284"/>
    </w:pPr>
    <w:rPr>
      <w:rFonts w:ascii="Arial" w:hAnsi="Arial"/>
    </w:rPr>
    <w:tblPr>
      <w:tblCellSpacing w:w="142" w:type="dxa"/>
      <w:tblCellMar>
        <w:left w:w="0" w:type="dxa"/>
        <w:right w:w="0" w:type="dxa"/>
      </w:tblCellMar>
    </w:tblPr>
    <w:trPr>
      <w:cantSplit/>
      <w:tblCellSpacing w:w="142" w:type="dxa"/>
    </w:trPr>
    <w:tcPr>
      <w:shd w:val="pct5" w:color="auto" w:fill="auto"/>
      <w:tcMar>
        <w:top w:w="284" w:type="dxa"/>
        <w:left w:w="284" w:type="dxa"/>
        <w:bottom w:w="284" w:type="dxa"/>
        <w:right w:w="284" w:type="dxa"/>
      </w:tcMar>
    </w:tcPr>
  </w:style>
  <w:style w:type="character" w:customStyle="1" w:styleId="Heading7Char">
    <w:name w:val="Heading 7 Char"/>
    <w:aliases w:val="ERAC Heading 7 Char"/>
    <w:basedOn w:val="DefaultParagraphFont"/>
    <w:link w:val="Heading7"/>
    <w:uiPriority w:val="99"/>
    <w:rsid w:val="009D4D75"/>
    <w:rPr>
      <w:rFonts w:asciiTheme="minorHAnsi" w:eastAsiaTheme="majorEastAsia" w:hAnsiTheme="minorHAnsi" w:cstheme="majorBidi"/>
      <w:i/>
      <w:iCs/>
      <w:color w:val="404040" w:themeColor="text1" w:themeTint="BF"/>
      <w:sz w:val="22"/>
      <w:szCs w:val="24"/>
      <w:lang w:eastAsia="en-US"/>
    </w:rPr>
  </w:style>
  <w:style w:type="character" w:styleId="FollowedHyperlink">
    <w:name w:val="FollowedHyperlink"/>
    <w:basedOn w:val="DefaultParagraphFont"/>
    <w:uiPriority w:val="99"/>
    <w:rsid w:val="00BD5ED5"/>
    <w:rPr>
      <w:rFonts w:asciiTheme="minorHAnsi" w:hAnsiTheme="minorHAnsi"/>
      <w:color w:val="00A7D3"/>
      <w:sz w:val="22"/>
      <w:u w:val="single"/>
    </w:rPr>
  </w:style>
  <w:style w:type="paragraph" w:customStyle="1" w:styleId="ERACnumbering">
    <w:name w:val="ERAC numbering"/>
    <w:basedOn w:val="Normal"/>
    <w:link w:val="ERACnumberingChar"/>
    <w:uiPriority w:val="8"/>
    <w:qFormat/>
    <w:rsid w:val="00CA34CF"/>
    <w:pPr>
      <w:numPr>
        <w:numId w:val="30"/>
      </w:numPr>
      <w:spacing w:before="120" w:after="120"/>
    </w:pPr>
    <w:rPr>
      <w:color w:val="auto"/>
    </w:rPr>
  </w:style>
  <w:style w:type="character" w:customStyle="1" w:styleId="ERACnumberingChar">
    <w:name w:val="ERAC numbering Char"/>
    <w:basedOn w:val="DefaultParagraphFont"/>
    <w:link w:val="ERACnumbering"/>
    <w:uiPriority w:val="8"/>
    <w:rsid w:val="00CA34CF"/>
    <w:rPr>
      <w:rFonts w:asciiTheme="minorHAnsi" w:hAnsiTheme="minorHAnsi" w:cstheme="minorHAnsi"/>
      <w:sz w:val="22"/>
      <w:szCs w:val="24"/>
      <w:lang w:eastAsia="en-US"/>
    </w:rPr>
  </w:style>
  <w:style w:type="character" w:styleId="PlaceholderText">
    <w:name w:val="Placeholder Text"/>
    <w:basedOn w:val="DefaultParagraphFont"/>
    <w:uiPriority w:val="99"/>
    <w:rsid w:val="00123DE7"/>
    <w:rPr>
      <w:color w:val="808080"/>
    </w:rPr>
  </w:style>
  <w:style w:type="character" w:customStyle="1" w:styleId="Protectivemarker">
    <w:name w:val="Protective marker"/>
    <w:basedOn w:val="DefaultParagraphFont"/>
    <w:uiPriority w:val="1"/>
    <w:rsid w:val="0018235C"/>
    <w:rPr>
      <w:rFonts w:asciiTheme="minorHAnsi" w:hAnsiTheme="minorHAnsi"/>
      <w:b/>
      <w:color w:val="FF0000"/>
      <w:sz w:val="28"/>
    </w:rPr>
  </w:style>
  <w:style w:type="paragraph" w:customStyle="1" w:styleId="LegislativesecrecyACT">
    <w:name w:val="Legislative secrecy ACT"/>
    <w:basedOn w:val="Heading5"/>
    <w:uiPriority w:val="8"/>
    <w:qFormat/>
    <w:rsid w:val="0018235C"/>
    <w:pPr>
      <w:tabs>
        <w:tab w:val="center" w:pos="4870"/>
        <w:tab w:val="left" w:pos="8745"/>
      </w:tabs>
      <w:spacing w:before="0" w:after="120"/>
      <w:jc w:val="center"/>
    </w:pPr>
    <w:rPr>
      <w:color w:val="auto"/>
      <w:sz w:val="24"/>
    </w:rPr>
  </w:style>
  <w:style w:type="paragraph" w:styleId="BalloonText">
    <w:name w:val="Balloon Text"/>
    <w:basedOn w:val="Normal"/>
    <w:link w:val="BalloonTextChar"/>
    <w:semiHidden/>
    <w:unhideWhenUsed/>
    <w:rsid w:val="00096CDB"/>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096CDB"/>
    <w:rPr>
      <w:rFonts w:ascii="Segoe UI" w:hAnsi="Segoe UI" w:cs="Segoe UI"/>
      <w:color w:val="000000" w:themeColor="text1"/>
      <w:sz w:val="18"/>
      <w:szCs w:val="18"/>
      <w:lang w:eastAsia="en-US"/>
    </w:rPr>
  </w:style>
  <w:style w:type="paragraph" w:styleId="ListParagraph">
    <w:name w:val="List Paragraph"/>
    <w:basedOn w:val="Normal"/>
    <w:uiPriority w:val="34"/>
    <w:rsid w:val="006241FA"/>
    <w:pPr>
      <w:ind w:left="720"/>
      <w:contextualSpacing/>
    </w:pPr>
  </w:style>
  <w:style w:type="character" w:styleId="CommentReference">
    <w:name w:val="annotation reference"/>
    <w:basedOn w:val="DefaultParagraphFont"/>
    <w:uiPriority w:val="99"/>
    <w:semiHidden/>
    <w:unhideWhenUsed/>
    <w:rsid w:val="006241FA"/>
    <w:rPr>
      <w:sz w:val="16"/>
      <w:szCs w:val="16"/>
    </w:rPr>
  </w:style>
  <w:style w:type="paragraph" w:styleId="CommentText">
    <w:name w:val="annotation text"/>
    <w:basedOn w:val="Normal"/>
    <w:link w:val="CommentTextChar"/>
    <w:uiPriority w:val="99"/>
    <w:unhideWhenUsed/>
    <w:rsid w:val="006241FA"/>
    <w:rPr>
      <w:sz w:val="20"/>
      <w:szCs w:val="20"/>
    </w:rPr>
  </w:style>
  <w:style w:type="character" w:customStyle="1" w:styleId="CommentTextChar">
    <w:name w:val="Comment Text Char"/>
    <w:basedOn w:val="DefaultParagraphFont"/>
    <w:link w:val="CommentText"/>
    <w:uiPriority w:val="99"/>
    <w:rsid w:val="006241FA"/>
    <w:rPr>
      <w:rFonts w:asciiTheme="minorHAnsi" w:hAnsiTheme="minorHAnsi" w:cstheme="minorHAnsi"/>
      <w:color w:val="000000" w:themeColor="text1"/>
      <w:lang w:eastAsia="en-US"/>
    </w:rPr>
  </w:style>
  <w:style w:type="paragraph" w:styleId="CommentSubject">
    <w:name w:val="annotation subject"/>
    <w:basedOn w:val="CommentText"/>
    <w:next w:val="CommentText"/>
    <w:link w:val="CommentSubjectChar"/>
    <w:uiPriority w:val="99"/>
    <w:semiHidden/>
    <w:unhideWhenUsed/>
    <w:rsid w:val="006241FA"/>
    <w:rPr>
      <w:b/>
      <w:bCs/>
    </w:rPr>
  </w:style>
  <w:style w:type="character" w:customStyle="1" w:styleId="CommentSubjectChar">
    <w:name w:val="Comment Subject Char"/>
    <w:basedOn w:val="CommentTextChar"/>
    <w:link w:val="CommentSubject"/>
    <w:uiPriority w:val="99"/>
    <w:semiHidden/>
    <w:rsid w:val="006241FA"/>
    <w:rPr>
      <w:rFonts w:asciiTheme="minorHAnsi" w:hAnsiTheme="minorHAnsi" w:cstheme="minorHAnsi"/>
      <w:b/>
      <w:bCs/>
      <w:color w:val="000000" w:themeColor="text1"/>
      <w:lang w:eastAsia="en-US"/>
    </w:rPr>
  </w:style>
  <w:style w:type="paragraph" w:styleId="FootnoteText">
    <w:name w:val="footnote text"/>
    <w:basedOn w:val="Normal"/>
    <w:link w:val="FootnoteTextChar"/>
    <w:uiPriority w:val="99"/>
    <w:unhideWhenUsed/>
    <w:rsid w:val="00D66066"/>
    <w:pPr>
      <w:spacing w:after="0"/>
    </w:pPr>
    <w:rPr>
      <w:rFonts w:ascii="Calibri" w:hAnsi="Calibri" w:cs="Calibri"/>
      <w:color w:val="000000"/>
      <w:sz w:val="20"/>
      <w:szCs w:val="20"/>
    </w:rPr>
  </w:style>
  <w:style w:type="character" w:customStyle="1" w:styleId="FootnoteTextChar">
    <w:name w:val="Footnote Text Char"/>
    <w:basedOn w:val="DefaultParagraphFont"/>
    <w:link w:val="FootnoteText"/>
    <w:uiPriority w:val="99"/>
    <w:rsid w:val="00D66066"/>
    <w:rPr>
      <w:rFonts w:ascii="Calibri" w:hAnsi="Calibri" w:cs="Calibri"/>
      <w:color w:val="000000"/>
      <w:lang w:eastAsia="en-US"/>
    </w:rPr>
  </w:style>
  <w:style w:type="character" w:styleId="FootnoteReference">
    <w:name w:val="footnote reference"/>
    <w:basedOn w:val="DefaultParagraphFont"/>
    <w:uiPriority w:val="99"/>
    <w:semiHidden/>
    <w:unhideWhenUsed/>
    <w:rsid w:val="00D66066"/>
    <w:rPr>
      <w:vertAlign w:val="superscript"/>
    </w:rPr>
  </w:style>
  <w:style w:type="character" w:styleId="UnresolvedMention">
    <w:name w:val="Unresolved Mention"/>
    <w:basedOn w:val="DefaultParagraphFont"/>
    <w:uiPriority w:val="99"/>
    <w:semiHidden/>
    <w:unhideWhenUsed/>
    <w:rsid w:val="001D4BAD"/>
    <w:rPr>
      <w:color w:val="605E5C"/>
      <w:shd w:val="clear" w:color="auto" w:fill="E1DFDD"/>
    </w:rPr>
  </w:style>
  <w:style w:type="paragraph" w:styleId="Revision">
    <w:name w:val="Revision"/>
    <w:hidden/>
    <w:semiHidden/>
    <w:rsid w:val="004A59E3"/>
    <w:rPr>
      <w:rFonts w:asciiTheme="minorHAnsi" w:hAnsiTheme="minorHAnsi" w:cstheme="minorHAnsi"/>
      <w:color w:val="000000" w:themeColor="text1"/>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34223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cleanenergyregulator.gov.au" TargetMode="External"/><Relationship Id="rId2" Type="http://schemas.openxmlformats.org/officeDocument/2006/relationships/hyperlink" Target="mailto:ERAC@cleanenergyregulator.gov.au"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www.cleanenergyregulator.gov.au" TargetMode="External"/><Relationship Id="rId2" Type="http://schemas.openxmlformats.org/officeDocument/2006/relationships/hyperlink" Target="mailto:ERAC@cleanenergyregulator.gov.au"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dlc_DocId xmlns="35d7dce1-22dc-4c3f-bf90-aebce6a2395f">CER-00872609</_dlc_DocId>
    <_dlc_DocIdUrl xmlns="35d7dce1-22dc-4c3f-bf90-aebce6a2395f">
      <Url>https://edi.sp2013.corp.local/Schemes/ERF/Method/Emissions/_layouts/15/DocIdRedir.aspx?ID=CER-00872609</Url>
      <Description>CER-00872609</Description>
    </_dlc_DocIdUrl>
    <i0f84bba906045b4af568ee102a52dcb xmlns="35d7dce1-22dc-4c3f-bf90-aebce6a2395f">
      <Terms xmlns="http://schemas.microsoft.com/office/infopath/2007/PartnerControls">
        <TermInfo xmlns="http://schemas.microsoft.com/office/infopath/2007/PartnerControls">
          <TermName xmlns="http://schemas.microsoft.com/office/infopath/2007/PartnerControls">61944 - 7 years</TermName>
          <TermId xmlns="http://schemas.microsoft.com/office/infopath/2007/PartnerControls">ef4acd1e-4fa2-4b0b-a46c-1be8504d8f7b</TermId>
        </TermInfo>
      </Terms>
    </i0f84bba906045b4af568ee102a52dcb>
    <g1c5c8a5ed744825af876dc81dccc5dd xmlns="35d7dce1-22dc-4c3f-bf90-aebce6a2395f" xsi:nil="true"/>
    <jfdbf192cf3e432bae7ead6b01437832 xmlns="35d7dce1-22dc-4c3f-bf90-aebce6a2395f" xsi:nil="true"/>
    <m580224f57af48d5998ad1d627b3f8a6 xmlns="35d7dce1-22dc-4c3f-bf90-aebce6a2395f" xsi:nil="true"/>
    <TaxCatchAll xmlns="35d7dce1-22dc-4c3f-bf90-aebce6a2395f">
      <Value>314</Value>
    </TaxCatchAll>
    <aa7cfb7b7c8a4cdc88e464a139bfbbb5 xmlns="35d7dce1-22dc-4c3f-bf90-aebce6a2395f" xsi:nil="true"/>
    <fbf5ba1606af44cc8a6bbbd47132b0ab xmlns="35d7dce1-22dc-4c3f-bf90-aebce6a2395f" xsi:nil="true"/>
    <c275726743ff40b1bd16afcbde5101e0 xmlns="35d7dce1-22dc-4c3f-bf90-aebce6a2395f" xsi:nil="true"/>
    <lcf76f155ced4ddcb4097134ff3c332f xmlns="53f3b6d8-5a86-467e-87a0-f585a6d3e598">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5B7736420AE7924A9688F3E0A45413A2" ma:contentTypeVersion="1992" ma:contentTypeDescription="Create a new document." ma:contentTypeScope="" ma:versionID="d68a3fa69bf829a1613ac00a296d43ef">
  <xsd:schema xmlns:xsd="http://www.w3.org/2001/XMLSchema" xmlns:xs="http://www.w3.org/2001/XMLSchema" xmlns:p="http://schemas.microsoft.com/office/2006/metadata/properties" xmlns:ns2="35d7dce1-22dc-4c3f-bf90-aebce6a2395f" xmlns:ns3="53f3b6d8-5a86-467e-87a0-f585a6d3e598" targetNamespace="http://schemas.microsoft.com/office/2006/metadata/properties" ma:root="true" ma:fieldsID="649b436be3bef44ed2c3f9ef2c4dfa47" ns2:_="" ns3:_="">
    <xsd:import namespace="35d7dce1-22dc-4c3f-bf90-aebce6a2395f"/>
    <xsd:import namespace="53f3b6d8-5a86-467e-87a0-f585a6d3e598"/>
    <xsd:element name="properties">
      <xsd:complexType>
        <xsd:sequence>
          <xsd:element name="documentManagement">
            <xsd:complexType>
              <xsd:all>
                <xsd:element ref="ns2:_dlc_DocId" minOccurs="0"/>
                <xsd:element ref="ns2:_dlc_DocIdUrl" minOccurs="0"/>
                <xsd:element ref="ns2:_dlc_DocIdPersistId" minOccurs="0"/>
                <xsd:element ref="ns2:jfdbf192cf3e432bae7ead6b01437832" minOccurs="0"/>
                <xsd:element ref="ns2:TaxCatchAll" minOccurs="0"/>
                <xsd:element ref="ns2:aa7cfb7b7c8a4cdc88e464a139bfbbb5" minOccurs="0"/>
                <xsd:element ref="ns2:g1c5c8a5ed744825af876dc81dccc5dd" minOccurs="0"/>
                <xsd:element ref="ns2:fbf5ba1606af44cc8a6bbbd47132b0ab" minOccurs="0"/>
                <xsd:element ref="ns2:c275726743ff40b1bd16afcbde5101e0" minOccurs="0"/>
                <xsd:element ref="ns2:m580224f57af48d5998ad1d627b3f8a6" minOccurs="0"/>
                <xsd:element ref="ns3:MediaServiceMetadata" minOccurs="0"/>
                <xsd:element ref="ns3:MediaServiceFastMetadata" minOccurs="0"/>
                <xsd:element ref="ns3:MediaServiceAutoKeyPoints" minOccurs="0"/>
                <xsd:element ref="ns3:MediaServiceKeyPoints" minOccurs="0"/>
                <xsd:element ref="ns2:i0f84bba906045b4af568ee102a52dcb" minOccurs="0"/>
                <xsd:element ref="ns3:MediaServiceAutoTags" minOccurs="0"/>
                <xsd:element ref="ns3:MediaServiceOCR" minOccurs="0"/>
                <xsd:element ref="ns3:MediaServiceGenerationTime" minOccurs="0"/>
                <xsd:element ref="ns3:MediaServiceEventHashCode" minOccurs="0"/>
                <xsd:element ref="ns2:SharedWithUsers" minOccurs="0"/>
                <xsd:element ref="ns2:SharedWithDetails" minOccurs="0"/>
                <xsd:element ref="ns3:lcf76f155ced4ddcb4097134ff3c332f"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d7dce1-22dc-4c3f-bf90-aebce6a239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jfdbf192cf3e432bae7ead6b01437832" ma:index="11" nillable="true" ma:displayName="File Keywords_0" ma:hidden="true" ma:internalName="jfdbf192cf3e432bae7ead6b01437832">
      <xsd:simpleType>
        <xsd:restriction base="dms:Note"/>
      </xsd:simpleType>
    </xsd:element>
    <xsd:element name="TaxCatchAll" ma:index="12" nillable="true" ma:displayName="Taxonomy Catch All Column" ma:hidden="true" ma:list="{c3b3fd47-5806-48d4-b55a-f1b43b236c3e}" ma:internalName="TaxCatchAll" ma:showField="CatchAllData" ma:web="35d7dce1-22dc-4c3f-bf90-aebce6a2395f">
      <xsd:complexType>
        <xsd:complexContent>
          <xsd:extension base="dms:MultiChoiceLookup">
            <xsd:sequence>
              <xsd:element name="Value" type="dms:Lookup" maxOccurs="unbounded" minOccurs="0" nillable="true"/>
            </xsd:sequence>
          </xsd:extension>
        </xsd:complexContent>
      </xsd:complexType>
    </xsd:element>
    <xsd:element name="aa7cfb7b7c8a4cdc88e464a139bfbbb5" ma:index="13" nillable="true" ma:displayName="Client_0" ma:hidden="true" ma:internalName="aa7cfb7b7c8a4cdc88e464a139bfbbb5">
      <xsd:simpleType>
        <xsd:restriction base="dms:Note"/>
      </xsd:simpleType>
    </xsd:element>
    <xsd:element name="g1c5c8a5ed744825af876dc81dccc5dd" ma:index="14" nillable="true" ma:displayName="State_0" ma:hidden="true" ma:internalName="g1c5c8a5ed744825af876dc81dccc5dd">
      <xsd:simpleType>
        <xsd:restriction base="dms:Note"/>
      </xsd:simpleType>
    </xsd:element>
    <xsd:element name="fbf5ba1606af44cc8a6bbbd47132b0ab" ma:index="15" nillable="true" ma:displayName="Scheme_0" ma:hidden="true" ma:internalName="fbf5ba1606af44cc8a6bbbd47132b0ab">
      <xsd:simpleType>
        <xsd:restriction base="dms:Note"/>
      </xsd:simpleType>
    </xsd:element>
    <xsd:element name="c275726743ff40b1bd16afcbde5101e0" ma:index="16" nillable="true" ma:displayName="Document Keywords_0" ma:hidden="true" ma:internalName="c275726743ff40b1bd16afcbde5101e0">
      <xsd:simpleType>
        <xsd:restriction base="dms:Note"/>
      </xsd:simpleType>
    </xsd:element>
    <xsd:element name="m580224f57af48d5998ad1d627b3f8a6" ma:index="17" nillable="true" ma:displayName="Agency_0" ma:hidden="true" ma:internalName="m580224f57af48d5998ad1d627b3f8a6">
      <xsd:simpleType>
        <xsd:restriction base="dms:Note"/>
      </xsd:simpleType>
    </xsd:element>
    <xsd:element name="i0f84bba906045b4af568ee102a52dcb" ma:index="23" nillable="true" ma:taxonomy="true" ma:internalName="i0f84bba906045b4af568ee102a52dcb" ma:taxonomyFieldName="RevIMBCS" ma:displayName="Record Class" ma:indexed="true" ma:default="314;#61944 - 7 years|ef4acd1e-4fa2-4b0b-a46c-1be8504d8f7b" ma:fieldId="{20f84bba-9060-45b4-af56-8ee102a52dcb}" ma:sspId="a2e065b1-f413-4592-874b-39c3f10b47c4" ma:termSetId="60518aca-4dc9-4b56-9553-af4b9ac69072" ma:anchorId="b81fdb05-ba28-4d1c-8c04-516b96e56394"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f3b6d8-5a86-467e-87a0-f585a6d3e598"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AutoTags" ma:index="24" nillable="true" ma:displayName="Tags" ma:internalName="MediaServiceAutoTag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a2e065b1-f413-4592-874b-39c3f10b47c4" ma:termSetId="09814cd3-568e-fe90-9814-8d621ff8fb84" ma:anchorId="fba54fb3-c3e1-fe81-a776-ca4b69148c4d" ma:open="true" ma:isKeyword="false">
      <xsd:complexType>
        <xsd:sequence>
          <xsd:element ref="pc:Terms" minOccurs="0" maxOccurs="1"/>
        </xsd:sequence>
      </xsd:complexType>
    </xsd:element>
    <xsd:element name="MediaServiceDateTaken" ma:index="3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96F2C0-073C-4A69-BF90-84C30FF1F35C}">
  <ds:schemaRefs>
    <ds:schemaRef ds:uri="http://schemas.microsoft.com/sharepoint/events"/>
  </ds:schemaRefs>
</ds:datastoreItem>
</file>

<file path=customXml/itemProps3.xml><?xml version="1.0" encoding="utf-8"?>
<ds:datastoreItem xmlns:ds="http://schemas.openxmlformats.org/officeDocument/2006/customXml" ds:itemID="{0F206B4C-3B9C-437B-9FF9-CCF8EEEB7784}">
  <ds:schemaRefs>
    <ds:schemaRef ds:uri="http://schemas.openxmlformats.org/officeDocument/2006/bibliography"/>
  </ds:schemaRefs>
</ds:datastoreItem>
</file>

<file path=customXml/itemProps4.xml><?xml version="1.0" encoding="utf-8"?>
<ds:datastoreItem xmlns:ds="http://schemas.openxmlformats.org/officeDocument/2006/customXml" ds:itemID="{F9F1821C-6C3B-4891-8E4D-560DA06A5FA6}">
  <ds:schemaRefs>
    <ds:schemaRef ds:uri="http://schemas.microsoft.com/office/2006/metadata/properties"/>
    <ds:schemaRef ds:uri="http://schemas.microsoft.com/office/infopath/2007/PartnerControls"/>
    <ds:schemaRef ds:uri="35d7dce1-22dc-4c3f-bf90-aebce6a2395f"/>
    <ds:schemaRef ds:uri="53f3b6d8-5a86-467e-87a0-f585a6d3e598"/>
  </ds:schemaRefs>
</ds:datastoreItem>
</file>

<file path=customXml/itemProps5.xml><?xml version="1.0" encoding="utf-8"?>
<ds:datastoreItem xmlns:ds="http://schemas.openxmlformats.org/officeDocument/2006/customXml" ds:itemID="{0092690B-3DF2-463A-8B73-217CD0F43F7F}">
  <ds:schemaRefs>
    <ds:schemaRef ds:uri="http://schemas.microsoft.com/sharepoint/v3/contenttype/forms"/>
  </ds:schemaRefs>
</ds:datastoreItem>
</file>

<file path=customXml/itemProps6.xml><?xml version="1.0" encoding="utf-8"?>
<ds:datastoreItem xmlns:ds="http://schemas.openxmlformats.org/officeDocument/2006/customXml" ds:itemID="{12702B07-75A8-4F5E-9465-E47C812FCB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d7dce1-22dc-4c3f-bf90-aebce6a2395f"/>
    <ds:schemaRef ds:uri="53f3b6d8-5a86-467e-87a0-f585a6d3e5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786</Words>
  <Characters>4484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2022-06-10T00:37:00Z</dcterms:created>
  <dcterms:modified xsi:type="dcterms:W3CDTF">2022-06-16T06:14:00Z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ER_FileKeywords">
    <vt:lpwstr/>
  </property>
  <property fmtid="{D5CDD505-2E9C-101B-9397-08002B2CF9AE}" pid="3" name="l5266d70aa4c4810ab958a2db2f21068">
    <vt:lpwstr/>
  </property>
  <property fmtid="{D5CDD505-2E9C-101B-9397-08002B2CF9AE}" pid="4" name="EDi_DocumentKeywords">
    <vt:lpwstr/>
  </property>
  <property fmtid="{D5CDD505-2E9C-101B-9397-08002B2CF9AE}" pid="5" name="ContentTypeId">
    <vt:lpwstr>0x0101005B7736420AE7924A9688F3E0A45413A2</vt:lpwstr>
  </property>
  <property fmtid="{D5CDD505-2E9C-101B-9397-08002B2CF9AE}" pid="6" name="Media Type">
    <vt:lpwstr/>
  </property>
  <property fmtid="{D5CDD505-2E9C-101B-9397-08002B2CF9AE}" pid="7" name="CER_Scheme">
    <vt:lpwstr/>
  </property>
  <property fmtid="{D5CDD505-2E9C-101B-9397-08002B2CF9AE}" pid="8" name="_dlc_DocIdItemGuid">
    <vt:lpwstr>4f30213f-3e78-4f58-ada0-9ffaf7f12db4</vt:lpwstr>
  </property>
  <property fmtid="{D5CDD505-2E9C-101B-9397-08002B2CF9AE}" pid="9" name="ERFMethod">
    <vt:lpwstr/>
  </property>
  <property fmtid="{D5CDD505-2E9C-101B-9397-08002B2CF9AE}" pid="10" name="CER_Client">
    <vt:lpwstr/>
  </property>
  <property fmtid="{D5CDD505-2E9C-101B-9397-08002B2CF9AE}" pid="11" name="CER_State">
    <vt:lpwstr/>
  </property>
  <property fmtid="{D5CDD505-2E9C-101B-9397-08002B2CF9AE}" pid="12" name="CER_Agency">
    <vt:lpwstr/>
  </property>
  <property fmtid="{D5CDD505-2E9C-101B-9397-08002B2CF9AE}" pid="13" name="CER_DLM">
    <vt:lpwstr>OFFICIAL</vt:lpwstr>
  </property>
  <property fmtid="{D5CDD505-2E9C-101B-9397-08002B2CF9AE}" pid="14" name="CER_FileStatus">
    <vt:lpwstr>Open</vt:lpwstr>
  </property>
  <property fmtid="{D5CDD505-2E9C-101B-9397-08002B2CF9AE}" pid="15" name="CER_FileClassification">
    <vt:lpwstr>None</vt:lpwstr>
  </property>
  <property fmtid="{D5CDD505-2E9C-101B-9397-08002B2CF9AE}" pid="16" name="RevIMBCS">
    <vt:lpwstr>314;#61944 - 7 years|ef4acd1e-4fa2-4b0b-a46c-1be8504d8f7b</vt:lpwstr>
  </property>
  <property fmtid="{D5CDD505-2E9C-101B-9397-08002B2CF9AE}" pid="17" name="MediaServiceImageTags">
    <vt:lpwstr/>
  </property>
  <property fmtid="{D5CDD505-2E9C-101B-9397-08002B2CF9AE}" pid="18" name="_docset_NoMedatataSyncRequired">
    <vt:lpwstr>False</vt:lpwstr>
  </property>
</Properties>
</file>