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8195037" w:displacedByCustomXml="next"/>
    <w:bookmarkEnd w:id="0" w:displacedByCustomXml="next"/>
    <w:bookmarkStart w:id="1" w:name="_Toc118140973" w:displacedByCustomXml="next"/>
    <w:bookmarkEnd w:id="1" w:displacedByCustomXml="next"/>
    <w:bookmarkStart w:id="2" w:name="_Toc118140207" w:displacedByCustomXml="next"/>
    <w:bookmarkEnd w:id="2" w:displacedByCustomXml="next"/>
    <w:bookmarkStart w:id="3" w:name="_Toc117606274" w:displacedByCustomXml="next"/>
    <w:bookmarkEnd w:id="3" w:displacedByCustomXml="next"/>
    <w:bookmarkStart w:id="4" w:name="_Toc116994837" w:displacedByCustomXml="next"/>
    <w:bookmarkEnd w:id="4" w:displacedByCustomXml="next"/>
    <w:bookmarkStart w:id="5" w:name="_Toc116992525" w:displacedByCustomXml="next"/>
    <w:bookmarkEnd w:id="5" w:displacedByCustomXml="next"/>
    <w:bookmarkStart w:id="6" w:name="_Toc116298240" w:displacedByCustomXml="next"/>
    <w:bookmarkEnd w:id="6" w:displacedByCustomXml="next"/>
    <w:bookmarkStart w:id="7" w:name="_Toc116296994" w:displacedByCustomXml="next"/>
    <w:bookmarkEnd w:id="7" w:displacedByCustomXml="next"/>
    <w:bookmarkStart w:id="8" w:name="_Toc116297027" w:displacedByCustomXml="next"/>
    <w:bookmarkEnd w:id="8" w:displacedByCustomXml="next"/>
    <w:bookmarkStart w:id="9" w:name="_Toc115965843" w:displacedByCustomXml="next"/>
    <w:bookmarkEnd w:id="9" w:displacedByCustomXml="next"/>
    <w:bookmarkStart w:id="10" w:name="_Toc115356655" w:displacedByCustomXml="next"/>
    <w:bookmarkEnd w:id="10" w:displacedByCustomXml="next"/>
    <w:bookmarkStart w:id="11" w:name="_Toc115345410" w:displacedByCustomXml="next"/>
    <w:bookmarkEnd w:id="11" w:displacedByCustomXml="next"/>
    <w:bookmarkStart w:id="12" w:name="_Toc115348312" w:displacedByCustomXml="next"/>
    <w:bookmarkEnd w:id="12" w:displacedByCustomXml="next"/>
    <w:bookmarkStart w:id="13" w:name="_Toc115343847" w:displacedByCustomXml="next"/>
    <w:bookmarkEnd w:id="13" w:displacedByCustomXml="next"/>
    <w:bookmarkStart w:id="14" w:name="_Toc114483862" w:displacedByCustomXml="next"/>
    <w:bookmarkEnd w:id="14" w:displacedByCustomXml="next"/>
    <w:bookmarkStart w:id="15" w:name="_Toc114487178" w:displacedByCustomXml="next"/>
    <w:bookmarkEnd w:id="15" w:displacedByCustomXml="next"/>
    <w:bookmarkStart w:id="16" w:name="_Toc67553856" w:displacedByCustomXml="next"/>
    <w:bookmarkEnd w:id="16" w:displacedByCustomXml="next"/>
    <w:bookmarkStart w:id="17" w:name="_Toc67562600" w:displacedByCustomXml="next"/>
    <w:bookmarkEnd w:id="17" w:displacedByCustomXml="next"/>
    <w:bookmarkStart w:id="18" w:name="_Toc66865478" w:displacedByCustomXml="next"/>
    <w:bookmarkEnd w:id="18" w:displacedByCustomXml="next"/>
    <w:bookmarkStart w:id="19" w:name="_Toc65168109" w:displacedByCustomXml="next"/>
    <w:bookmarkEnd w:id="19" w:displacedByCustomXml="next"/>
    <w:bookmarkStart w:id="20" w:name="_Toc65168359" w:displacedByCustomXml="next"/>
    <w:bookmarkEnd w:id="20" w:displacedByCustomXml="next"/>
    <w:bookmarkStart w:id="21" w:name="_Toc62043712" w:displacedByCustomXml="next"/>
    <w:bookmarkEnd w:id="21" w:displacedByCustomXml="next"/>
    <w:bookmarkStart w:id="22" w:name="_Toc57304639" w:displacedByCustomXml="next"/>
    <w:bookmarkEnd w:id="22" w:displacedByCustomXml="next"/>
    <w:bookmarkStart w:id="23" w:name="_Toc19289801" w:displacedByCustomXml="next"/>
    <w:bookmarkEnd w:id="23" w:displacedByCustomXml="next"/>
    <w:bookmarkStart w:id="24" w:name="_Toc57123898" w:displacedByCustomXml="next"/>
    <w:bookmarkEnd w:id="24" w:displacedByCustomXml="next"/>
    <w:bookmarkStart w:id="25" w:name="_Toc57199101" w:displacedByCustomXml="next"/>
    <w:bookmarkEnd w:id="25" w:displacedByCustomXml="next"/>
    <w:bookmarkStart w:id="26" w:name="_Toc57204968" w:displacedByCustomXml="next"/>
    <w:bookmarkEnd w:id="26" w:displacedByCustomXml="next"/>
    <w:bookmarkStart w:id="27" w:name="_Toc64302357" w:displacedByCustomXml="next"/>
    <w:bookmarkEnd w:id="27" w:displacedByCustomXml="next"/>
    <w:bookmarkStart w:id="28" w:name="_Toc64299946" w:displacedByCustomXml="next"/>
    <w:bookmarkEnd w:id="28" w:displacedByCustomXml="next"/>
    <w:bookmarkStart w:id="29" w:name="_Toc65514348" w:displacedByCustomXml="next"/>
    <w:bookmarkEnd w:id="29" w:displacedByCustomXml="next"/>
    <w:bookmarkStart w:id="30" w:name="_Toc66704764" w:displacedByCustomXml="next"/>
    <w:bookmarkEnd w:id="30" w:displacedByCustomXml="next"/>
    <w:bookmarkStart w:id="31" w:name="_Toc67329344" w:displacedByCustomXml="next"/>
    <w:bookmarkEnd w:id="31" w:displacedByCustomXml="next"/>
    <w:bookmarkStart w:id="32" w:name="_Toc67329096" w:displacedByCustomXml="next"/>
    <w:bookmarkEnd w:id="32" w:displacedByCustomXml="next"/>
    <w:bookmarkStart w:id="33" w:name="_Toc67328485" w:displacedByCustomXml="next"/>
    <w:bookmarkEnd w:id="33" w:displacedByCustomXml="next"/>
    <w:bookmarkStart w:id="34" w:name="_Toc67330167" w:displacedByCustomXml="next"/>
    <w:bookmarkEnd w:id="34" w:displacedByCustomXml="next"/>
    <w:bookmarkStart w:id="35" w:name="_Toc68105048" w:displacedByCustomXml="next"/>
    <w:bookmarkEnd w:id="35" w:displacedByCustomXml="next"/>
    <w:bookmarkStart w:id="36" w:name="_Toc68088362" w:displacedByCustomXml="next"/>
    <w:bookmarkEnd w:id="36" w:displacedByCustomXml="next"/>
    <w:bookmarkStart w:id="37" w:name="_Toc68083509" w:displacedByCustomXml="next"/>
    <w:bookmarkEnd w:id="37" w:displacedByCustomXml="next"/>
    <w:bookmarkStart w:id="38" w:name="_Toc68083114" w:displacedByCustomXml="next"/>
    <w:bookmarkEnd w:id="38" w:displacedByCustomXml="next"/>
    <w:bookmarkStart w:id="39" w:name="_Toc68000183" w:displacedByCustomXml="next"/>
    <w:bookmarkEnd w:id="39" w:displacedByCustomXml="next"/>
    <w:bookmarkStart w:id="40" w:name="_Toc67998743" w:displacedByCustomXml="next"/>
    <w:bookmarkEnd w:id="40" w:displacedByCustomXml="next"/>
    <w:bookmarkStart w:id="41" w:name="_Toc114232880" w:displacedByCustomXml="next"/>
    <w:bookmarkEnd w:id="41" w:displacedByCustomXml="next"/>
    <w:bookmarkStart w:id="42" w:name="_Toc114494884" w:displacedByCustomXml="next"/>
    <w:bookmarkEnd w:id="42" w:displacedByCustomXml="next"/>
    <w:bookmarkStart w:id="43" w:name="_Toc114494889" w:displacedByCustomXml="next"/>
    <w:bookmarkEnd w:id="43" w:displacedByCustomXml="next"/>
    <w:bookmarkStart w:id="44" w:name="_Toc115093604" w:displacedByCustomXml="next"/>
    <w:bookmarkEnd w:id="44" w:displacedByCustomXml="next"/>
    <w:bookmarkStart w:id="45" w:name="_Toc115097487" w:displacedByCustomXml="next"/>
    <w:bookmarkEnd w:id="45" w:displacedByCustomXml="next"/>
    <w:bookmarkStart w:id="46" w:name="_Toc115101723" w:displacedByCustomXml="next"/>
    <w:bookmarkEnd w:id="46" w:displacedByCustomXml="next"/>
    <w:bookmarkStart w:id="47" w:name="_Toc115100063" w:displacedByCustomXml="next"/>
    <w:bookmarkEnd w:id="47" w:displacedByCustomXml="next"/>
    <w:bookmarkStart w:id="48" w:name="_Toc115171866" w:displacedByCustomXml="next"/>
    <w:bookmarkEnd w:id="48" w:displacedByCustomXml="next"/>
    <w:bookmarkStart w:id="49" w:name="_Toc115172020" w:displacedByCustomXml="next"/>
    <w:bookmarkEnd w:id="49" w:displacedByCustomXml="next"/>
    <w:bookmarkStart w:id="50" w:name="_Toc115266622" w:displacedByCustomXml="next"/>
    <w:bookmarkEnd w:id="50" w:displacedByCustomXml="next"/>
    <w:bookmarkStart w:id="51" w:name="_Toc115274858" w:displacedByCustomXml="next"/>
    <w:bookmarkEnd w:id="51" w:displacedByCustomXml="next"/>
    <w:bookmarkStart w:id="52" w:name="_Toc115449457" w:displacedByCustomXml="next"/>
    <w:bookmarkEnd w:id="52" w:displacedByCustomXml="next"/>
    <w:bookmarkStart w:id="53" w:name="_Toc116049870" w:displacedByCustomXml="next"/>
    <w:bookmarkEnd w:id="53" w:displacedByCustomXml="next"/>
    <w:bookmarkStart w:id="54" w:name="_Toc116053348" w:displacedByCustomXml="next"/>
    <w:bookmarkEnd w:id="54" w:displacedByCustomXml="next"/>
    <w:bookmarkStart w:id="55" w:name="_Toc116660777" w:displacedByCustomXml="next"/>
    <w:bookmarkEnd w:id="55" w:displacedByCustomXml="next"/>
    <w:bookmarkStart w:id="56" w:name="_Toc116660116" w:displacedByCustomXml="next"/>
    <w:bookmarkEnd w:id="56" w:displacedByCustomXml="next"/>
    <w:bookmarkStart w:id="57" w:name="_Toc116662783" w:displacedByCustomXml="next"/>
    <w:bookmarkEnd w:id="57" w:displacedByCustomXml="next"/>
    <w:bookmarkStart w:id="58" w:name="_Toc117089148" w:displacedByCustomXml="next"/>
    <w:bookmarkEnd w:id="58" w:displacedByCustomXml="next"/>
    <w:bookmarkStart w:id="59" w:name="_Toc118218121" w:displacedByCustomXml="next"/>
    <w:bookmarkEnd w:id="59" w:displacedByCustomXml="next"/>
    <w:bookmarkStart w:id="60" w:name="_Toc118215782" w:displacedByCustomXml="next"/>
    <w:bookmarkEnd w:id="60" w:displacedByCustomXml="next"/>
    <w:bookmarkStart w:id="61" w:name="_Toc118216311" w:displacedByCustomXml="next"/>
    <w:bookmarkEnd w:id="61" w:displacedByCustomXml="next"/>
    <w:bookmarkStart w:id="62" w:name="_Toc118213439" w:displacedByCustomXml="next"/>
    <w:bookmarkEnd w:id="62" w:displacedByCustomXml="next"/>
    <w:bookmarkStart w:id="63" w:name="_Toc121317902" w:displacedByCustomXml="next"/>
    <w:bookmarkStart w:id="64" w:name="_Toc19023741" w:displacedByCustomXml="next"/>
    <w:bookmarkStart w:id="65" w:name="_Toc114232891" w:displacedByCustomXml="next"/>
    <w:bookmarkStart w:id="66" w:name="_Toc114494900" w:displacedByCustomXml="next"/>
    <w:bookmarkStart w:id="67" w:name="_Toc114494919" w:displacedByCustomXml="next"/>
    <w:bookmarkStart w:id="68" w:name="_Toc115093615" w:displacedByCustomXml="next"/>
    <w:bookmarkStart w:id="69" w:name="_Toc115097498" w:displacedByCustomXml="next"/>
    <w:bookmarkStart w:id="70" w:name="_Toc115100074" w:displacedByCustomXml="next"/>
    <w:bookmarkStart w:id="71" w:name="_Toc115101734" w:displacedByCustomXml="next"/>
    <w:bookmarkStart w:id="72" w:name="_Toc114483873" w:displacedByCustomXml="next"/>
    <w:bookmarkStart w:id="73" w:name="_Toc114487189" w:displacedByCustomXml="next"/>
    <w:bookmarkStart w:id="74" w:name="_Hlk114134639"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rPr>
          <w:rFonts w:ascii="Calibri" w:eastAsia="Times New Roman" w:hAnsi="Calibri" w:cs="Times New Roman"/>
          <w:color w:val="71BAAF"/>
          <w:sz w:val="40"/>
        </w:rPr>
      </w:sdtEndPr>
      <w:sdtContent>
        <w:p w14:paraId="3D1568E5" w14:textId="303C5848" w:rsidR="00B668B1" w:rsidRDefault="003F21F3" w:rsidP="00A76AB5">
          <w:pPr>
            <w:pStyle w:val="Title"/>
            <w:pBdr>
              <w:bottom w:val="single" w:sz="8" w:space="0" w:color="083A42"/>
            </w:pBdr>
            <w:spacing w:before="360"/>
          </w:pPr>
          <w:sdt>
            <w:sdtPr>
              <w:alias w:val="Title"/>
              <w:id w:val="-856345196"/>
              <w:placeholder>
                <w:docPart w:val="89E90610FEEF4CF6BA1DC8EFDE8FACF7"/>
              </w:placeholder>
              <w:dataBinding w:prefixMappings="xmlns:ns0='http://purl.org/dc/elements/1.1/' xmlns:ns1='http://schemas.openxmlformats.org/package/2006/metadata/core-properties' " w:xpath="/ns1:coreProperties[1]/ns0:title[1]" w:storeItemID="{6C3C8BC8-F283-45AE-878A-BAB7291924A1}"/>
              <w:text/>
            </w:sdtPr>
            <w:sdtEndPr/>
            <w:sdtContent>
              <w:r w:rsidR="00005B3A">
                <w:t xml:space="preserve">Australia’s Guarantee of Origin </w:t>
              </w:r>
              <w:r w:rsidR="00644DDA">
                <w:t>s</w:t>
              </w:r>
              <w:r w:rsidR="00005B3A">
                <w:t>cheme</w:t>
              </w:r>
            </w:sdtContent>
          </w:sdt>
          <w:bookmarkEnd w:id="63"/>
        </w:p>
        <w:p w14:paraId="5DF587D1" w14:textId="23051BF8" w:rsidR="00B668B1" w:rsidRDefault="005664D2" w:rsidP="00852A4D">
          <w:pPr>
            <w:pStyle w:val="Subtitle"/>
          </w:pPr>
          <w:r>
            <w:t>Consultation</w:t>
          </w:r>
          <w:r w:rsidR="00F90297">
            <w:t xml:space="preserve"> summary</w:t>
          </w:r>
        </w:p>
      </w:sdtContent>
    </w:sdt>
    <w:p w14:paraId="5631D1C0" w14:textId="2C2EAE09" w:rsidR="00B668B1" w:rsidRDefault="00117A9A" w:rsidP="00117A9A">
      <w:pPr>
        <w:pStyle w:val="Heading1"/>
        <w:numPr>
          <w:ilvl w:val="0"/>
          <w:numId w:val="0"/>
        </w:numPr>
        <w:spacing w:line="256" w:lineRule="auto"/>
      </w:pPr>
      <w:bookmarkStart w:id="75" w:name="_Toc64302361"/>
      <w:bookmarkStart w:id="76" w:name="_Toc62043716"/>
      <w:bookmarkStart w:id="77" w:name="_Toc67329349"/>
      <w:bookmarkStart w:id="78" w:name="_Toc67329101"/>
      <w:bookmarkStart w:id="79" w:name="_Toc65168364"/>
      <w:bookmarkStart w:id="80" w:name="_Toc118218128"/>
      <w:bookmarkStart w:id="81" w:name="_Toc118216318"/>
      <w:bookmarkStart w:id="82" w:name="_Toc118215789"/>
      <w:bookmarkStart w:id="83" w:name="_Toc118213446"/>
      <w:bookmarkStart w:id="84" w:name="_Toc118195044"/>
      <w:bookmarkStart w:id="85" w:name="_Toc117606281"/>
      <w:bookmarkStart w:id="86" w:name="_Toc117089155"/>
      <w:bookmarkStart w:id="87" w:name="_Toc116994844"/>
      <w:bookmarkStart w:id="88" w:name="_Toc116992532"/>
      <w:bookmarkStart w:id="89" w:name="_Toc116662790"/>
      <w:bookmarkStart w:id="90" w:name="_Toc116660784"/>
      <w:bookmarkStart w:id="91" w:name="_Toc116660123"/>
      <w:bookmarkStart w:id="92" w:name="_Toc116298247"/>
      <w:bookmarkStart w:id="93" w:name="_Toc116297034"/>
      <w:bookmarkStart w:id="94" w:name="_Toc116297001"/>
      <w:bookmarkStart w:id="95" w:name="_Toc116053355"/>
      <w:bookmarkStart w:id="96" w:name="_Toc116049877"/>
      <w:bookmarkStart w:id="97" w:name="_Toc115965850"/>
      <w:bookmarkStart w:id="98" w:name="_Toc115449463"/>
      <w:bookmarkStart w:id="99" w:name="_Toc115356661"/>
      <w:bookmarkStart w:id="100" w:name="_Toc115348318"/>
      <w:bookmarkStart w:id="101" w:name="_Toc115345416"/>
      <w:bookmarkStart w:id="102" w:name="_Toc115343853"/>
      <w:bookmarkStart w:id="103" w:name="_Toc115274864"/>
      <w:bookmarkStart w:id="104" w:name="_Toc115266628"/>
      <w:bookmarkStart w:id="105" w:name="_Toc115172026"/>
      <w:bookmarkStart w:id="106" w:name="_Toc115171872"/>
      <w:bookmarkStart w:id="107" w:name="_Toc115101729"/>
      <w:bookmarkStart w:id="108" w:name="_Toc115100069"/>
      <w:bookmarkStart w:id="109" w:name="_Toc115097493"/>
      <w:bookmarkStart w:id="110" w:name="_Toc115093610"/>
      <w:bookmarkStart w:id="111" w:name="_Toc114494914"/>
      <w:bookmarkStart w:id="112" w:name="_Toc114494895"/>
      <w:bookmarkStart w:id="113" w:name="_Toc114487184"/>
      <w:bookmarkStart w:id="114" w:name="_Toc114483868"/>
      <w:bookmarkStart w:id="115" w:name="_Toc114232886"/>
      <w:bookmarkStart w:id="116" w:name="_Toc68105053"/>
      <w:bookmarkStart w:id="117" w:name="_Toc68083514"/>
      <w:bookmarkStart w:id="118" w:name="_Toc68083119"/>
      <w:bookmarkStart w:id="119" w:name="_Toc68000188"/>
      <w:bookmarkStart w:id="120" w:name="_Toc67562605"/>
      <w:bookmarkStart w:id="121" w:name="_Toc121317909"/>
      <w:bookmarkStart w:id="122" w:name="_Toc118140980"/>
      <w:bookmarkStart w:id="123" w:name="_Toc118140214"/>
      <w:r>
        <w:t>Part 1</w:t>
      </w:r>
      <w:r w:rsidR="00E70B30">
        <w:t xml:space="preserve">: </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E70B30">
        <w:t>Overview</w:t>
      </w:r>
    </w:p>
    <w:bookmarkEnd w:id="122"/>
    <w:bookmarkEnd w:id="123"/>
    <w:p w14:paraId="7F463CB6" w14:textId="77777777" w:rsidR="00BB2F35" w:rsidRDefault="00BB2F35" w:rsidP="00BB2F35">
      <w:pPr>
        <w:rPr>
          <w:b/>
        </w:rPr>
      </w:pPr>
      <w:r w:rsidRPr="00A1077D">
        <w:t xml:space="preserve">The Department </w:t>
      </w:r>
      <w:r>
        <w:t>of Climate Change, Energy, the Environment and Water (DCCEEW)</w:t>
      </w:r>
      <w:r w:rsidRPr="00A1077D">
        <w:t xml:space="preserve"> released a discussion paper on </w:t>
      </w:r>
      <w:r>
        <w:t>12 December 2022</w:t>
      </w:r>
      <w:r w:rsidRPr="00A1077D">
        <w:t xml:space="preserve"> outlining a proposed approach to the development of a Guarantee of Origin scheme for Australia.</w:t>
      </w:r>
    </w:p>
    <w:p w14:paraId="4494188A" w14:textId="77777777" w:rsidR="00BB2F35" w:rsidRDefault="00BB2F35" w:rsidP="00BB2F35">
      <w:r w:rsidRPr="00A1077D">
        <w:t xml:space="preserve">A Guarantee of Origin (GO) scheme will provide a consistent and accurate </w:t>
      </w:r>
      <w:r>
        <w:t>framework</w:t>
      </w:r>
      <w:r w:rsidRPr="00A1077D">
        <w:t xml:space="preserve"> to track the key attributes associated with </w:t>
      </w:r>
      <w:r>
        <w:t>low emissions products such as hydrogen</w:t>
      </w:r>
      <w:r w:rsidRPr="00A1077D">
        <w:t xml:space="preserve">, in particular </w:t>
      </w:r>
      <w:r>
        <w:t>the</w:t>
      </w:r>
      <w:r w:rsidRPr="00A1077D">
        <w:t xml:space="preserve"> carbon footprint. A GO scheme would provide much needed transparency to consumers around the environmental impact </w:t>
      </w:r>
      <w:r>
        <w:t xml:space="preserve">of low-emissions products </w:t>
      </w:r>
      <w:r w:rsidRPr="00A1077D">
        <w:t>being purchased and used and will help facilitate</w:t>
      </w:r>
      <w:r>
        <w:t xml:space="preserve"> the development of markets for these products</w:t>
      </w:r>
      <w:r w:rsidRPr="00A1077D">
        <w:t>.</w:t>
      </w:r>
    </w:p>
    <w:p w14:paraId="6B7A59E9" w14:textId="007E3AE2" w:rsidR="00B668B1" w:rsidRDefault="00BB2F35" w:rsidP="00BB2F35">
      <w:r>
        <w:t>DCCEEW received 81</w:t>
      </w:r>
      <w:r w:rsidRPr="00A1077D">
        <w:t xml:space="preserve"> submissions in response to the discussion paper. </w:t>
      </w:r>
      <w:r>
        <w:t>Respondents were generally supportive of the policy positions provided throughout the paper. There was a lack of significant opposition to the policy positions, with negative responses accounting for no more than 16 per cent of respondents on any one position.</w:t>
      </w:r>
    </w:p>
    <w:p w14:paraId="7E84DFD9" w14:textId="05AEE3E4" w:rsidR="00852A4D" w:rsidRDefault="00852A4D">
      <w:r>
        <w:br w:type="page"/>
      </w:r>
    </w:p>
    <w:p w14:paraId="051B873E" w14:textId="091ED7DA" w:rsidR="00852A4D" w:rsidRDefault="00852A4D" w:rsidP="00852A4D">
      <w:pPr>
        <w:pStyle w:val="Heading1"/>
        <w:numPr>
          <w:ilvl w:val="0"/>
          <w:numId w:val="0"/>
        </w:numPr>
        <w:spacing w:line="256" w:lineRule="auto"/>
      </w:pPr>
      <w:r>
        <w:lastRenderedPageBreak/>
        <w:t>Part 2: Feedback from submissions</w:t>
      </w:r>
    </w:p>
    <w:p w14:paraId="57A519F9" w14:textId="340CDFB7" w:rsidR="00561EC9" w:rsidRDefault="00561EC9" w:rsidP="00561EC9">
      <w:pPr>
        <w:keepNext/>
        <w:keepLines/>
        <w:spacing w:before="40" w:after="40"/>
        <w:outlineLvl w:val="1"/>
        <w:rPr>
          <w:rFonts w:asciiTheme="majorHAnsi" w:eastAsiaTheme="majorEastAsia" w:hAnsiTheme="majorHAnsi" w:cstheme="majorBidi"/>
          <w:color w:val="005677" w:themeColor="text2"/>
          <w:sz w:val="40"/>
          <w:szCs w:val="48"/>
        </w:rPr>
      </w:pPr>
      <w:r w:rsidRPr="00561EC9">
        <w:rPr>
          <w:rFonts w:asciiTheme="majorHAnsi" w:eastAsiaTheme="majorEastAsia" w:hAnsiTheme="majorHAnsi" w:cstheme="majorBidi"/>
          <w:color w:val="005677" w:themeColor="text2"/>
          <w:sz w:val="40"/>
          <w:szCs w:val="48"/>
        </w:rPr>
        <w:t xml:space="preserve">Scheme </w:t>
      </w:r>
      <w:r w:rsidR="00FB290F">
        <w:rPr>
          <w:rFonts w:asciiTheme="majorHAnsi" w:eastAsiaTheme="majorEastAsia" w:hAnsiTheme="majorHAnsi" w:cstheme="majorBidi"/>
          <w:color w:val="005677" w:themeColor="text2"/>
          <w:sz w:val="40"/>
          <w:szCs w:val="48"/>
        </w:rPr>
        <w:t>design</w:t>
      </w:r>
      <w:r w:rsidRPr="00561EC9">
        <w:rPr>
          <w:rFonts w:asciiTheme="majorHAnsi" w:eastAsiaTheme="majorEastAsia" w:hAnsiTheme="majorHAnsi" w:cstheme="majorBidi"/>
          <w:color w:val="005677" w:themeColor="text2"/>
          <w:sz w:val="40"/>
          <w:szCs w:val="48"/>
        </w:rPr>
        <w:t xml:space="preserve"> </w:t>
      </w:r>
    </w:p>
    <w:p w14:paraId="043C283C" w14:textId="5463E1DA" w:rsidR="00561EC9" w:rsidRPr="00561EC9" w:rsidRDefault="00561EC9" w:rsidP="00561EC9">
      <w:pPr>
        <w:pStyle w:val="Heading3"/>
        <w:rPr>
          <w:rFonts w:eastAsiaTheme="majorEastAsia"/>
        </w:rPr>
      </w:pPr>
      <w:r>
        <w:rPr>
          <w:rFonts w:eastAsiaTheme="majorEastAsia"/>
        </w:rPr>
        <w:t>Legislative overview</w:t>
      </w:r>
    </w:p>
    <w:p w14:paraId="21695C59" w14:textId="78245AC0" w:rsidR="00852A4D" w:rsidRDefault="008A7CF2" w:rsidP="008A7CF2">
      <w:pPr>
        <w:pStyle w:val="Calloutbox"/>
        <w:rPr>
          <w:i/>
        </w:rPr>
      </w:pPr>
      <w:r w:rsidRPr="008A7CF2">
        <w:rPr>
          <w:b/>
          <w:bCs/>
        </w:rPr>
        <w:t>Policy position proposal 1:</w:t>
      </w:r>
      <w:r w:rsidRPr="008A7CF2">
        <w:t xml:space="preserve"> The scheme will be covered under new legislation administered by the CER.</w:t>
      </w:r>
    </w:p>
    <w:p w14:paraId="009835BA" w14:textId="77777777" w:rsidR="00F023B0" w:rsidRDefault="00F023B0" w:rsidP="00644DDA">
      <w:pPr>
        <w:pStyle w:val="ListParagraph"/>
        <w:numPr>
          <w:ilvl w:val="0"/>
          <w:numId w:val="5"/>
        </w:numPr>
        <w:spacing w:after="0" w:line="276" w:lineRule="auto"/>
        <w:ind w:left="714" w:hanging="357"/>
        <w:contextualSpacing w:val="0"/>
      </w:pPr>
      <w:bookmarkStart w:id="124" w:name="_Toc118191174"/>
      <w:bookmarkStart w:id="125" w:name="_Toc118195060"/>
      <w:bookmarkStart w:id="126" w:name="_Toc118195502"/>
      <w:bookmarkStart w:id="127" w:name="_Toc118197213"/>
      <w:bookmarkStart w:id="128" w:name="_Toc118191176"/>
      <w:bookmarkStart w:id="129" w:name="_Toc118195062"/>
      <w:bookmarkStart w:id="130" w:name="_Toc118195504"/>
      <w:bookmarkStart w:id="131" w:name="_Toc118197215"/>
      <w:bookmarkStart w:id="132" w:name="_Toc118191178"/>
      <w:bookmarkStart w:id="133" w:name="_Toc118195064"/>
      <w:bookmarkStart w:id="134" w:name="_Toc118195506"/>
      <w:bookmarkStart w:id="135" w:name="_Toc118197217"/>
      <w:bookmarkStart w:id="136" w:name="_Toc118191180"/>
      <w:bookmarkStart w:id="137" w:name="_Toc118195066"/>
      <w:bookmarkStart w:id="138" w:name="_Toc118195508"/>
      <w:bookmarkStart w:id="139" w:name="_Toc118197219"/>
      <w:bookmarkStart w:id="140" w:name="_Toc118200748"/>
      <w:bookmarkStart w:id="141" w:name="_Toc118200750"/>
      <w:bookmarkStart w:id="142" w:name="_Toc118200752"/>
      <w:bookmarkStart w:id="143" w:name="_Toc118200754"/>
      <w:bookmarkStart w:id="144" w:name="_Toc118202230"/>
      <w:bookmarkStart w:id="145" w:name="_Toc118203238"/>
      <w:bookmarkStart w:id="146" w:name="_Toc118203297"/>
      <w:bookmarkStart w:id="147" w:name="_Toc118202232"/>
      <w:bookmarkStart w:id="148" w:name="_Toc118203240"/>
      <w:bookmarkStart w:id="149" w:name="_Toc118203299"/>
      <w:bookmarkStart w:id="150" w:name="_Toc118202234"/>
      <w:bookmarkStart w:id="151" w:name="_Toc118203242"/>
      <w:bookmarkStart w:id="152" w:name="_Toc118203301"/>
      <w:bookmarkStart w:id="153" w:name="_Toc118202236"/>
      <w:bookmarkStart w:id="154" w:name="_Toc118203244"/>
      <w:bookmarkStart w:id="155" w:name="_Toc11820330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58 (72 per cent)</w:t>
      </w:r>
      <w:r w:rsidRPr="00A1077D">
        <w:t xml:space="preserve"> respondents </w:t>
      </w:r>
      <w:r>
        <w:t>broadly agreed that the scheme be covered new legislation</w:t>
      </w:r>
    </w:p>
    <w:p w14:paraId="6A51CA14" w14:textId="77777777" w:rsidR="00F023B0" w:rsidRDefault="00F023B0" w:rsidP="00644DDA">
      <w:pPr>
        <w:pStyle w:val="ListParagraph"/>
        <w:numPr>
          <w:ilvl w:val="0"/>
          <w:numId w:val="5"/>
        </w:numPr>
        <w:spacing w:after="0" w:line="276" w:lineRule="auto"/>
        <w:ind w:left="714" w:hanging="357"/>
        <w:contextualSpacing w:val="0"/>
      </w:pPr>
      <w:r>
        <w:t xml:space="preserve">Two (Two per cent) broadly disagreed, preferring amendments be made to the NGER Act </w:t>
      </w:r>
    </w:p>
    <w:p w14:paraId="5EC2533B" w14:textId="77777777" w:rsidR="00F023B0" w:rsidRDefault="00F023B0" w:rsidP="00644DDA">
      <w:pPr>
        <w:pStyle w:val="ListParagraph"/>
        <w:numPr>
          <w:ilvl w:val="0"/>
          <w:numId w:val="5"/>
        </w:numPr>
        <w:spacing w:after="200" w:line="276" w:lineRule="auto"/>
        <w:ind w:left="714" w:hanging="357"/>
        <w:contextualSpacing w:val="0"/>
      </w:pPr>
      <w:r>
        <w:t>21 (26 per cent) did not specify a response</w:t>
      </w:r>
    </w:p>
    <w:p w14:paraId="5FFFEE4D" w14:textId="77777777" w:rsidR="00F023B0" w:rsidRDefault="00F023B0" w:rsidP="00F023B0">
      <w:r>
        <w:t xml:space="preserve">New legislation was strongly supported by stakeholders. </w:t>
      </w:r>
      <w:r w:rsidRPr="00EF18DA">
        <w:t>The</w:t>
      </w:r>
      <w:r>
        <w:t xml:space="preserve"> 72 per cent of</w:t>
      </w:r>
      <w:r w:rsidRPr="00EF18DA">
        <w:t xml:space="preserve"> respondents </w:t>
      </w:r>
      <w:r>
        <w:t xml:space="preserve">that agreed with new legislation </w:t>
      </w:r>
      <w:r w:rsidRPr="00EF18DA">
        <w:t xml:space="preserve">considered </w:t>
      </w:r>
      <w:r>
        <w:t>this would enhance credibility, allow the scheme to leverage other government-led schemes, build trust and facilitate better alignment with international schemes. Six respondents commented on the importance of any new legislation being aligned with international standards; five recommended new legislation be aligned with the NGER Act; three advocated for additional energy sources to be included in the scheme.</w:t>
      </w:r>
    </w:p>
    <w:p w14:paraId="7865E114" w14:textId="77777777" w:rsidR="00F023B0" w:rsidRDefault="00F023B0" w:rsidP="00F023B0">
      <w:r>
        <w:t>On the proposal that the CER administer the scheme:</w:t>
      </w:r>
    </w:p>
    <w:p w14:paraId="7778A5B0" w14:textId="77777777" w:rsidR="00F023B0" w:rsidRDefault="00F023B0" w:rsidP="00644DDA">
      <w:pPr>
        <w:pStyle w:val="ListParagraph"/>
        <w:numPr>
          <w:ilvl w:val="0"/>
          <w:numId w:val="5"/>
        </w:numPr>
        <w:spacing w:after="0" w:line="276" w:lineRule="auto"/>
        <w:ind w:left="714" w:hanging="357"/>
        <w:contextualSpacing w:val="0"/>
      </w:pPr>
      <w:r>
        <w:t>59 (73 per cent) broadly agreed</w:t>
      </w:r>
    </w:p>
    <w:p w14:paraId="6A7940A7" w14:textId="77777777" w:rsidR="00F023B0" w:rsidRDefault="00F023B0" w:rsidP="00644DDA">
      <w:pPr>
        <w:pStyle w:val="ListParagraph"/>
        <w:numPr>
          <w:ilvl w:val="0"/>
          <w:numId w:val="5"/>
        </w:numPr>
        <w:spacing w:after="0" w:line="276" w:lineRule="auto"/>
        <w:ind w:left="714" w:hanging="357"/>
        <w:contextualSpacing w:val="0"/>
      </w:pPr>
      <w:r>
        <w:t xml:space="preserve">One (one per cent) broadly </w:t>
      </w:r>
      <w:proofErr w:type="gramStart"/>
      <w:r>
        <w:t>disagreed</w:t>
      </w:r>
      <w:proofErr w:type="gramEnd"/>
      <w:r>
        <w:t xml:space="preserve"> </w:t>
      </w:r>
    </w:p>
    <w:p w14:paraId="48B24047" w14:textId="77777777" w:rsidR="00F023B0" w:rsidRDefault="00F023B0" w:rsidP="00644DDA">
      <w:pPr>
        <w:pStyle w:val="ListParagraph"/>
        <w:numPr>
          <w:ilvl w:val="0"/>
          <w:numId w:val="5"/>
        </w:numPr>
        <w:spacing w:after="200" w:line="276" w:lineRule="auto"/>
        <w:ind w:left="714" w:hanging="357"/>
        <w:contextualSpacing w:val="0"/>
      </w:pPr>
      <w:r>
        <w:t>21 (26 per cent) did not specify a response</w:t>
      </w:r>
      <w:r w:rsidRPr="00A1077D">
        <w:t xml:space="preserve"> </w:t>
      </w:r>
    </w:p>
    <w:p w14:paraId="7958B610" w14:textId="77777777" w:rsidR="00F023B0" w:rsidRDefault="00F023B0" w:rsidP="00F023B0">
      <w:r w:rsidRPr="00A1077D">
        <w:t xml:space="preserve">Respondents also noted that industry should play a strong role in development of the scheme and should be consulted thoroughly throughout the process. </w:t>
      </w:r>
    </w:p>
    <w:p w14:paraId="386472E3" w14:textId="7640C8EA" w:rsidR="00F023B0" w:rsidRDefault="00E055AC" w:rsidP="00E055AC">
      <w:pPr>
        <w:pStyle w:val="Heading3"/>
      </w:pPr>
      <w:r>
        <w:t>Scope for products</w:t>
      </w:r>
    </w:p>
    <w:p w14:paraId="42B84B5D" w14:textId="214806A2" w:rsidR="00E055AC" w:rsidRPr="00E055AC" w:rsidRDefault="00F84E02" w:rsidP="00F84E02">
      <w:pPr>
        <w:pStyle w:val="Calloutbox"/>
      </w:pPr>
      <w:r w:rsidRPr="00F84E02">
        <w:rPr>
          <w:b/>
          <w:bCs/>
        </w:rPr>
        <w:t>Policy position proposal 2:</w:t>
      </w:r>
      <w:r w:rsidRPr="00F84E02">
        <w:t xml:space="preserve"> The Product GOs will cover the well-to-user system boundary.</w:t>
      </w:r>
    </w:p>
    <w:p w14:paraId="476287AC" w14:textId="77777777" w:rsidR="00A76AB5" w:rsidRDefault="00A76AB5" w:rsidP="00644DDA">
      <w:pPr>
        <w:pStyle w:val="ListParagraph"/>
        <w:numPr>
          <w:ilvl w:val="0"/>
          <w:numId w:val="5"/>
        </w:numPr>
        <w:spacing w:after="0" w:line="276" w:lineRule="auto"/>
        <w:ind w:left="714" w:hanging="357"/>
        <w:contextualSpacing w:val="0"/>
      </w:pPr>
      <w:r>
        <w:t>51 (63 per cent)</w:t>
      </w:r>
      <w:r w:rsidRPr="00A1077D">
        <w:t xml:space="preserve"> respondents </w:t>
      </w:r>
      <w:r>
        <w:t xml:space="preserve">broadly agreed with the proposed </w:t>
      </w:r>
      <w:r w:rsidRPr="00C71487">
        <w:t>well-to-user system boundary</w:t>
      </w:r>
      <w:r>
        <w:t>.</w:t>
      </w:r>
    </w:p>
    <w:p w14:paraId="29FBAB8D" w14:textId="77777777" w:rsidR="00A76AB5" w:rsidRDefault="00A76AB5" w:rsidP="00644DDA">
      <w:pPr>
        <w:pStyle w:val="ListParagraph"/>
        <w:numPr>
          <w:ilvl w:val="0"/>
          <w:numId w:val="5"/>
        </w:numPr>
        <w:spacing w:after="0" w:line="276" w:lineRule="auto"/>
        <w:ind w:left="714" w:hanging="357"/>
        <w:contextualSpacing w:val="0"/>
      </w:pPr>
      <w:r>
        <w:t xml:space="preserve">10 (12 per cent) respondents considered a narrower well to gate system boundary preferable </w:t>
      </w:r>
    </w:p>
    <w:p w14:paraId="36F10070" w14:textId="77777777" w:rsidR="00A76AB5" w:rsidRDefault="00A76AB5" w:rsidP="00644DDA">
      <w:pPr>
        <w:pStyle w:val="ListParagraph"/>
        <w:numPr>
          <w:ilvl w:val="0"/>
          <w:numId w:val="5"/>
        </w:numPr>
        <w:spacing w:after="0" w:line="276" w:lineRule="auto"/>
        <w:ind w:left="714" w:hanging="357"/>
        <w:contextualSpacing w:val="0"/>
      </w:pPr>
      <w:r>
        <w:t xml:space="preserve">Three (four per cent) suggested a wider system </w:t>
      </w:r>
      <w:proofErr w:type="gramStart"/>
      <w:r>
        <w:t>boundary</w:t>
      </w:r>
      <w:proofErr w:type="gramEnd"/>
      <w:r>
        <w:t xml:space="preserve"> </w:t>
      </w:r>
    </w:p>
    <w:p w14:paraId="56AA95B6" w14:textId="77777777" w:rsidR="00A76AB5" w:rsidRDefault="00A76AB5" w:rsidP="00644DDA">
      <w:pPr>
        <w:pStyle w:val="ListParagraph"/>
        <w:numPr>
          <w:ilvl w:val="0"/>
          <w:numId w:val="5"/>
        </w:numPr>
        <w:spacing w:after="200" w:line="276" w:lineRule="auto"/>
        <w:ind w:left="714" w:hanging="357"/>
        <w:contextualSpacing w:val="0"/>
      </w:pPr>
      <w:r>
        <w:t>17 (21 per cent) did not specify a response</w:t>
      </w:r>
      <w:r w:rsidRPr="00A1077D">
        <w:t xml:space="preserve"> </w:t>
      </w:r>
    </w:p>
    <w:p w14:paraId="693E5CD4" w14:textId="77777777" w:rsidR="00A76AB5" w:rsidRDefault="00A76AB5" w:rsidP="00A76AB5">
      <w:r>
        <w:t xml:space="preserve">There was a large amount of support for the well-to-user boundary as it would enable transparency of emissions over the full supply chain, support enhanced credibility of the scheme and was consistent with international trends. </w:t>
      </w:r>
    </w:p>
    <w:p w14:paraId="187C1892" w14:textId="77777777" w:rsidR="00A76AB5" w:rsidRDefault="00A76AB5" w:rsidP="00A76AB5">
      <w:r>
        <w:t>The respondents calling for a narrower boundary were generally concerned about the increased complexity of the well-to-user boundary, with some concerned this may be moving ahead of equivalent international schemes could potentially disadvantage Australian industry. Some also suggested that the scheme could initially use a well-to-gate boundary and then transition to well-to-user boundary.</w:t>
      </w:r>
    </w:p>
    <w:p w14:paraId="6BC74D90" w14:textId="77777777" w:rsidR="00A76AB5" w:rsidRPr="00A1077D" w:rsidRDefault="00A76AB5" w:rsidP="00A76AB5">
      <w:r>
        <w:lastRenderedPageBreak/>
        <w:t xml:space="preserve">Three (four per cent) indicated that a well-to-grave system boundary was the more appropriate option </w:t>
      </w:r>
      <w:r w:rsidRPr="00EE27B0">
        <w:t>citing that the GO product does</w:t>
      </w:r>
      <w:r>
        <w:t xml:space="preserve"> not </w:t>
      </w:r>
      <w:r w:rsidRPr="00EE27B0">
        <w:t>stop or cease to exist after the transport and storage stage.</w:t>
      </w:r>
      <w:r>
        <w:t xml:space="preserve"> Four </w:t>
      </w:r>
      <w:r w:rsidRPr="009566A0">
        <w:t xml:space="preserve">respondents sought clarity over how the boundary would apply to </w:t>
      </w:r>
      <w:r>
        <w:t xml:space="preserve">exports and integrate with international certification schemes. </w:t>
      </w:r>
    </w:p>
    <w:p w14:paraId="15D1E62F" w14:textId="10F3A890" w:rsidR="00F84E02" w:rsidRDefault="00DE1539" w:rsidP="00DE1539">
      <w:pPr>
        <w:pStyle w:val="Heading3"/>
      </w:pPr>
      <w:r>
        <w:t>Eligibility</w:t>
      </w:r>
    </w:p>
    <w:p w14:paraId="1837C1C8" w14:textId="6304E670" w:rsidR="00DE1539" w:rsidRDefault="00CA1301" w:rsidP="00CA1301">
      <w:pPr>
        <w:pStyle w:val="Calloutbox"/>
      </w:pPr>
      <w:r w:rsidRPr="00CA1301">
        <w:rPr>
          <w:b/>
          <w:bCs/>
        </w:rPr>
        <w:t>Policy position proposal 3:</w:t>
      </w:r>
      <w:r w:rsidRPr="00CA1301">
        <w:t xml:space="preserve"> There will be no minimum emissions intensity requirements for Product </w:t>
      </w:r>
      <w:proofErr w:type="gramStart"/>
      <w:r w:rsidRPr="00CA1301">
        <w:t>GOs</w:t>
      </w:r>
      <w:proofErr w:type="gramEnd"/>
      <w:r w:rsidRPr="00CA1301">
        <w:t xml:space="preserve"> and participation will be voluntary for both Product GOs and REGOs.</w:t>
      </w:r>
    </w:p>
    <w:bookmarkEnd w:id="74"/>
    <w:bookmarkEnd w:id="73"/>
    <w:bookmarkEnd w:id="72"/>
    <w:bookmarkEnd w:id="71"/>
    <w:bookmarkEnd w:id="70"/>
    <w:bookmarkEnd w:id="69"/>
    <w:bookmarkEnd w:id="68"/>
    <w:bookmarkEnd w:id="67"/>
    <w:bookmarkEnd w:id="66"/>
    <w:bookmarkEnd w:id="65"/>
    <w:bookmarkEnd w:id="64"/>
    <w:p w14:paraId="79AA14CC" w14:textId="77777777" w:rsidR="00215080" w:rsidRDefault="00215080" w:rsidP="00644DDA">
      <w:pPr>
        <w:pStyle w:val="ListParagraph"/>
        <w:numPr>
          <w:ilvl w:val="0"/>
          <w:numId w:val="6"/>
        </w:numPr>
        <w:spacing w:after="0" w:line="276" w:lineRule="auto"/>
        <w:ind w:left="714" w:hanging="357"/>
        <w:contextualSpacing w:val="0"/>
      </w:pPr>
      <w:r>
        <w:t xml:space="preserve">55 (68 per cent) </w:t>
      </w:r>
      <w:r w:rsidRPr="00A1077D">
        <w:t xml:space="preserve">respondents </w:t>
      </w:r>
      <w:r>
        <w:t>broadly agreed that</w:t>
      </w:r>
      <w:r w:rsidRPr="00A1077D">
        <w:t xml:space="preserve"> </w:t>
      </w:r>
      <w:r w:rsidRPr="00600FD5">
        <w:t xml:space="preserve">no minimum emissions intensity requirements </w:t>
      </w:r>
      <w:r>
        <w:t>be imposed on</w:t>
      </w:r>
      <w:r w:rsidRPr="00600FD5">
        <w:t xml:space="preserve"> Product GOs</w:t>
      </w:r>
      <w:r>
        <w:t>.</w:t>
      </w:r>
    </w:p>
    <w:p w14:paraId="0CECDCB0" w14:textId="77777777" w:rsidR="00215080" w:rsidRDefault="00215080" w:rsidP="00644DDA">
      <w:pPr>
        <w:pStyle w:val="ListParagraph"/>
        <w:numPr>
          <w:ilvl w:val="0"/>
          <w:numId w:val="6"/>
        </w:numPr>
        <w:spacing w:after="0" w:line="276" w:lineRule="auto"/>
        <w:ind w:left="714" w:hanging="357"/>
        <w:contextualSpacing w:val="0"/>
      </w:pPr>
      <w:r>
        <w:t xml:space="preserve">Four (Five per cent) broadly disagreed. </w:t>
      </w:r>
    </w:p>
    <w:p w14:paraId="75DAF8D1" w14:textId="77777777" w:rsidR="00215080" w:rsidRDefault="00215080" w:rsidP="00644DDA">
      <w:pPr>
        <w:pStyle w:val="ListParagraph"/>
        <w:numPr>
          <w:ilvl w:val="0"/>
          <w:numId w:val="6"/>
        </w:numPr>
        <w:spacing w:after="200" w:line="276" w:lineRule="auto"/>
        <w:contextualSpacing w:val="0"/>
      </w:pPr>
      <w:r>
        <w:t>22 (27 per cent) did not specify a response.</w:t>
      </w:r>
    </w:p>
    <w:p w14:paraId="6C88628F" w14:textId="77777777" w:rsidR="00215080" w:rsidRDefault="00215080" w:rsidP="00215080">
      <w:r>
        <w:t>R</w:t>
      </w:r>
      <w:r w:rsidRPr="00EF18DA">
        <w:t xml:space="preserve">espondents </w:t>
      </w:r>
      <w:r>
        <w:t xml:space="preserve">in favour of not including minimum emissions intensity requirements </w:t>
      </w:r>
      <w:r w:rsidRPr="00EF18DA">
        <w:t xml:space="preserve">considered </w:t>
      </w:r>
      <w:r>
        <w:t>the scheme would have more scope and</w:t>
      </w:r>
      <w:r w:rsidRPr="00656992">
        <w:t xml:space="preserve"> flexibility </w:t>
      </w:r>
      <w:r>
        <w:t>to provide</w:t>
      </w:r>
      <w:r w:rsidRPr="00656992">
        <w:t xml:space="preserve"> complete market information about emissions intensity</w:t>
      </w:r>
      <w:r>
        <w:t>.</w:t>
      </w:r>
    </w:p>
    <w:p w14:paraId="4739F2DF" w14:textId="77777777" w:rsidR="00215080" w:rsidRPr="00215080" w:rsidRDefault="00215080" w:rsidP="00644DDA">
      <w:pPr>
        <w:pStyle w:val="ListParagraph"/>
        <w:numPr>
          <w:ilvl w:val="0"/>
          <w:numId w:val="8"/>
        </w:numPr>
        <w:rPr>
          <w:b/>
        </w:rPr>
      </w:pPr>
      <w:r>
        <w:t>53</w:t>
      </w:r>
      <w:r w:rsidRPr="00C37EAE">
        <w:t xml:space="preserve"> (</w:t>
      </w:r>
      <w:r>
        <w:t>65 per cent</w:t>
      </w:r>
      <w:r w:rsidRPr="00C37EAE">
        <w:t>)</w:t>
      </w:r>
      <w:r w:rsidRPr="00205B1F">
        <w:t xml:space="preserve"> </w:t>
      </w:r>
      <w:r>
        <w:t xml:space="preserve">respondents </w:t>
      </w:r>
      <w:r w:rsidRPr="00205B1F">
        <w:t xml:space="preserve">agreed that participation with the GO scheme </w:t>
      </w:r>
      <w:r>
        <w:t>should</w:t>
      </w:r>
      <w:r w:rsidRPr="00205B1F">
        <w:t xml:space="preserve"> be voluntary for eligible renewable electricity power stations</w:t>
      </w:r>
      <w:r>
        <w:t xml:space="preserve">, </w:t>
      </w:r>
      <w:r w:rsidRPr="00205B1F">
        <w:t>producers of hydrogen and hydrogen energy carriers.</w:t>
      </w:r>
    </w:p>
    <w:p w14:paraId="152736A5" w14:textId="77777777" w:rsidR="00215080" w:rsidRDefault="00215080" w:rsidP="00644DDA">
      <w:pPr>
        <w:pStyle w:val="ListParagraph"/>
        <w:numPr>
          <w:ilvl w:val="0"/>
          <w:numId w:val="7"/>
        </w:numPr>
        <w:spacing w:after="0" w:line="276" w:lineRule="auto"/>
        <w:ind w:left="714" w:hanging="357"/>
      </w:pPr>
      <w:r>
        <w:t>Six (seven per cent) advocated for mandatory.</w:t>
      </w:r>
    </w:p>
    <w:p w14:paraId="1C68256B" w14:textId="77777777" w:rsidR="00215080" w:rsidRDefault="00215080" w:rsidP="00644DDA">
      <w:pPr>
        <w:pStyle w:val="ListParagraph"/>
        <w:numPr>
          <w:ilvl w:val="0"/>
          <w:numId w:val="7"/>
        </w:numPr>
        <w:spacing w:after="200" w:line="276" w:lineRule="auto"/>
        <w:ind w:left="714" w:hanging="357"/>
      </w:pPr>
      <w:r>
        <w:t xml:space="preserve">One (one per cent) neither agreed nor </w:t>
      </w:r>
      <w:proofErr w:type="gramStart"/>
      <w:r>
        <w:t>disagreed</w:t>
      </w:r>
      <w:proofErr w:type="gramEnd"/>
    </w:p>
    <w:p w14:paraId="62704CAA" w14:textId="77777777" w:rsidR="00215080" w:rsidRDefault="00215080" w:rsidP="00644DDA">
      <w:pPr>
        <w:pStyle w:val="ListParagraph"/>
        <w:numPr>
          <w:ilvl w:val="0"/>
          <w:numId w:val="7"/>
        </w:numPr>
        <w:spacing w:after="200" w:line="276" w:lineRule="auto"/>
        <w:ind w:left="714" w:hanging="357"/>
      </w:pPr>
      <w:r>
        <w:t>21 (26 per cent) did not specify a response</w:t>
      </w:r>
    </w:p>
    <w:p w14:paraId="093A0AF3" w14:textId="77777777" w:rsidR="00215080" w:rsidRDefault="00215080" w:rsidP="00215080">
      <w:bookmarkStart w:id="156" w:name="_Hlk128387542"/>
      <w:r>
        <w:t>Respondents who supported voluntary participation noted that h</w:t>
      </w:r>
      <w:r w:rsidRPr="006E569E">
        <w:t>ydrogen producers who are not using low emissions techn</w:t>
      </w:r>
      <w:r>
        <w:t>ologies would have no reason to</w:t>
      </w:r>
      <w:r w:rsidRPr="006E569E">
        <w:t xml:space="preserve"> incur the costs of complying with the scheme, and as such their non-participation is </w:t>
      </w:r>
      <w:proofErr w:type="gramStart"/>
      <w:r w:rsidRPr="006E569E">
        <w:t>informative in itself</w:t>
      </w:r>
      <w:proofErr w:type="gramEnd"/>
      <w:r w:rsidRPr="006E569E">
        <w:t>.</w:t>
      </w:r>
    </w:p>
    <w:bookmarkEnd w:id="156"/>
    <w:p w14:paraId="12C2C30E" w14:textId="77777777" w:rsidR="00215080" w:rsidRPr="0042453C" w:rsidRDefault="00215080" w:rsidP="00215080">
      <w:r>
        <w:t>Those advocating for mandatory participation commented that a m</w:t>
      </w:r>
      <w:r w:rsidRPr="00605A9C">
        <w:t>andat</w:t>
      </w:r>
      <w:r>
        <w:t>ed</w:t>
      </w:r>
      <w:r w:rsidRPr="00605A9C">
        <w:t xml:space="preserve"> scheme </w:t>
      </w:r>
      <w:r>
        <w:t xml:space="preserve">would have the advantage of </w:t>
      </w:r>
      <w:r w:rsidRPr="00605A9C">
        <w:t>spread</w:t>
      </w:r>
      <w:r>
        <w:t>ing</w:t>
      </w:r>
      <w:r w:rsidRPr="00605A9C">
        <w:t xml:space="preserve"> </w:t>
      </w:r>
      <w:r>
        <w:t xml:space="preserve">the </w:t>
      </w:r>
      <w:r w:rsidRPr="00605A9C">
        <w:t>costs</w:t>
      </w:r>
      <w:r>
        <w:t xml:space="preserve"> </w:t>
      </w:r>
      <w:r w:rsidRPr="00605A9C">
        <w:t xml:space="preserve">across </w:t>
      </w:r>
      <w:r>
        <w:t xml:space="preserve">the </w:t>
      </w:r>
      <w:r w:rsidRPr="00605A9C">
        <w:t>entire industry</w:t>
      </w:r>
      <w:r>
        <w:t>.</w:t>
      </w:r>
    </w:p>
    <w:p w14:paraId="1522CC1C" w14:textId="6F2DC8F9" w:rsidR="00F84E02" w:rsidRDefault="005E3E07" w:rsidP="005E3E07">
      <w:pPr>
        <w:pStyle w:val="Heading3"/>
      </w:pPr>
      <w:r>
        <w:t>Cost recovery</w:t>
      </w:r>
    </w:p>
    <w:p w14:paraId="451E8E50" w14:textId="52A4472A" w:rsidR="00072BB1" w:rsidRPr="00072BB1" w:rsidRDefault="00072BB1" w:rsidP="00072BB1">
      <w:pPr>
        <w:pStyle w:val="Calloutbox"/>
        <w:rPr>
          <w:rStyle w:val="Strong"/>
          <w:b w:val="0"/>
          <w:bCs w:val="0"/>
        </w:rPr>
      </w:pPr>
      <w:r w:rsidRPr="00072BB1">
        <w:rPr>
          <w:rStyle w:val="Strong"/>
        </w:rPr>
        <w:t xml:space="preserve">Policy position proposal </w:t>
      </w:r>
      <w:r w:rsidRPr="00072BB1">
        <w:rPr>
          <w:rStyle w:val="Strong"/>
        </w:rPr>
        <w:fldChar w:fldCharType="begin"/>
      </w:r>
      <w:r w:rsidRPr="00072BB1">
        <w:rPr>
          <w:rStyle w:val="Strong"/>
        </w:rPr>
        <w:instrText xml:space="preserve"> SEQ PPP \* ARABIC </w:instrText>
      </w:r>
      <w:r w:rsidRPr="00072BB1">
        <w:rPr>
          <w:rStyle w:val="Strong"/>
        </w:rPr>
        <w:fldChar w:fldCharType="separate"/>
      </w:r>
      <w:r w:rsidR="00457024">
        <w:rPr>
          <w:rStyle w:val="Strong"/>
          <w:noProof/>
        </w:rPr>
        <w:t>1</w:t>
      </w:r>
      <w:r w:rsidRPr="00072BB1">
        <w:rPr>
          <w:rStyle w:val="Strong"/>
        </w:rPr>
        <w:fldChar w:fldCharType="end"/>
      </w:r>
      <w:r w:rsidRPr="00072BB1">
        <w:rPr>
          <w:rStyle w:val="Strong"/>
        </w:rPr>
        <w:t>:</w:t>
      </w:r>
      <w:r w:rsidRPr="00072BB1">
        <w:rPr>
          <w:rStyle w:val="Strong"/>
          <w:b w:val="0"/>
          <w:bCs w:val="0"/>
        </w:rPr>
        <w:t xml:space="preserve"> The GO scheme will be cost recovered in line with Australian Government policy.</w:t>
      </w:r>
    </w:p>
    <w:p w14:paraId="404662A3" w14:textId="77777777" w:rsidR="00072BB1" w:rsidRDefault="00072BB1" w:rsidP="00644DDA">
      <w:pPr>
        <w:pStyle w:val="ListParagraph"/>
        <w:numPr>
          <w:ilvl w:val="0"/>
          <w:numId w:val="9"/>
        </w:numPr>
        <w:spacing w:after="0" w:line="276" w:lineRule="auto"/>
        <w:ind w:left="714" w:hanging="357"/>
        <w:contextualSpacing w:val="0"/>
      </w:pPr>
      <w:r>
        <w:t>35 (43 per cent) of the respondents broadly agreed with the proposed cost recovery measures.</w:t>
      </w:r>
    </w:p>
    <w:p w14:paraId="6742DD4E" w14:textId="77777777" w:rsidR="00072BB1" w:rsidRDefault="00072BB1" w:rsidP="00644DDA">
      <w:pPr>
        <w:pStyle w:val="ListParagraph"/>
        <w:numPr>
          <w:ilvl w:val="0"/>
          <w:numId w:val="9"/>
        </w:numPr>
        <w:spacing w:after="0" w:line="276" w:lineRule="auto"/>
        <w:ind w:left="714" w:hanging="357"/>
        <w:contextualSpacing w:val="0"/>
      </w:pPr>
      <w:r>
        <w:t xml:space="preserve">One (one per cent) broadly </w:t>
      </w:r>
      <w:proofErr w:type="gramStart"/>
      <w:r>
        <w:t>disagreed</w:t>
      </w:r>
      <w:proofErr w:type="gramEnd"/>
      <w:r>
        <w:t xml:space="preserve"> </w:t>
      </w:r>
    </w:p>
    <w:p w14:paraId="0B30EE3A" w14:textId="77777777" w:rsidR="00072BB1" w:rsidRDefault="00072BB1" w:rsidP="00644DDA">
      <w:pPr>
        <w:pStyle w:val="ListParagraph"/>
        <w:numPr>
          <w:ilvl w:val="0"/>
          <w:numId w:val="9"/>
        </w:numPr>
        <w:spacing w:after="0" w:line="276" w:lineRule="auto"/>
        <w:ind w:left="714" w:hanging="357"/>
        <w:contextualSpacing w:val="0"/>
      </w:pPr>
      <w:r w:rsidRPr="00946AE8">
        <w:t xml:space="preserve">One (one per cent) neither agreed nor </w:t>
      </w:r>
      <w:proofErr w:type="gramStart"/>
      <w:r w:rsidRPr="00946AE8">
        <w:t>disagreed</w:t>
      </w:r>
      <w:proofErr w:type="gramEnd"/>
    </w:p>
    <w:p w14:paraId="6F2FE855" w14:textId="77777777" w:rsidR="00072BB1" w:rsidRDefault="00072BB1" w:rsidP="00644DDA">
      <w:pPr>
        <w:pStyle w:val="ListParagraph"/>
        <w:numPr>
          <w:ilvl w:val="0"/>
          <w:numId w:val="9"/>
        </w:numPr>
        <w:spacing w:after="200" w:line="276" w:lineRule="auto"/>
        <w:contextualSpacing w:val="0"/>
      </w:pPr>
      <w:r>
        <w:t>44 (54 per cent) did not specify a response</w:t>
      </w:r>
    </w:p>
    <w:p w14:paraId="1BF0E6BD" w14:textId="77777777" w:rsidR="00072BB1" w:rsidRDefault="00072BB1" w:rsidP="00072BB1">
      <w:r>
        <w:t>16 respondents who support the proposal noted that this c</w:t>
      </w:r>
      <w:r w:rsidRPr="00333F9F">
        <w:t xml:space="preserve">ost recovery </w:t>
      </w:r>
      <w:r>
        <w:t xml:space="preserve">should be dependent on </w:t>
      </w:r>
      <w:r w:rsidRPr="00333F9F">
        <w:t>industry maturity</w:t>
      </w:r>
      <w:r>
        <w:t xml:space="preserve"> and</w:t>
      </w:r>
      <w:r w:rsidRPr="00333F9F">
        <w:t xml:space="preserve"> adjusted over time.</w:t>
      </w:r>
    </w:p>
    <w:p w14:paraId="03D09CD5" w14:textId="77777777" w:rsidR="00072BB1" w:rsidRDefault="00072BB1" w:rsidP="00072BB1">
      <w:r>
        <w:t>Five respondents who did not specify a response commented that additional clarity is required around the proposed fee structure so an informed position can be adopted.</w:t>
      </w:r>
    </w:p>
    <w:p w14:paraId="2F7B67E4" w14:textId="1ABFBBB8" w:rsidR="005E3E07" w:rsidRDefault="001C01FD" w:rsidP="001C01FD">
      <w:pPr>
        <w:pStyle w:val="Heading3"/>
      </w:pPr>
      <w:r>
        <w:lastRenderedPageBreak/>
        <w:t>Scheme review</w:t>
      </w:r>
    </w:p>
    <w:p w14:paraId="3AA93632" w14:textId="77777777" w:rsidR="00D90765" w:rsidRPr="00D90765" w:rsidRDefault="00D90765" w:rsidP="00D90765">
      <w:pPr>
        <w:pStyle w:val="Calloutbox"/>
      </w:pPr>
      <w:r w:rsidRPr="00D90765">
        <w:rPr>
          <w:b/>
          <w:bCs/>
        </w:rPr>
        <w:t>Policy position proposal 5:</w:t>
      </w:r>
      <w:r w:rsidRPr="00D90765">
        <w:t xml:space="preserve"> The scheme will be reviewed in 2025 and every five years thereafter to ensure it is fit for purpose and able to support the industry.</w:t>
      </w:r>
    </w:p>
    <w:p w14:paraId="0890F5DB" w14:textId="77777777" w:rsidR="00D90765" w:rsidRDefault="00D90765" w:rsidP="00644DDA">
      <w:pPr>
        <w:pStyle w:val="ListParagraph"/>
        <w:numPr>
          <w:ilvl w:val="0"/>
          <w:numId w:val="10"/>
        </w:numPr>
        <w:spacing w:after="0" w:line="276" w:lineRule="auto"/>
        <w:ind w:left="714" w:hanging="357"/>
        <w:contextualSpacing w:val="0"/>
      </w:pPr>
      <w:r>
        <w:t xml:space="preserve">51 (63 per cent) of the respondents broadly agreed </w:t>
      </w:r>
      <w:r w:rsidRPr="000A3E3A">
        <w:t xml:space="preserve">with </w:t>
      </w:r>
      <w:r>
        <w:t xml:space="preserve">the </w:t>
      </w:r>
      <w:r w:rsidRPr="000A3E3A">
        <w:t xml:space="preserve">proposed </w:t>
      </w:r>
      <w:r>
        <w:t>review timeframes</w:t>
      </w:r>
    </w:p>
    <w:p w14:paraId="3C34964B" w14:textId="77777777" w:rsidR="00D90765" w:rsidRDefault="00D90765" w:rsidP="00644DDA">
      <w:pPr>
        <w:pStyle w:val="ListParagraph"/>
        <w:numPr>
          <w:ilvl w:val="0"/>
          <w:numId w:val="10"/>
        </w:numPr>
        <w:spacing w:after="0" w:line="276" w:lineRule="auto"/>
        <w:contextualSpacing w:val="0"/>
      </w:pPr>
      <w:r>
        <w:t xml:space="preserve">Two (two per cent) broadly </w:t>
      </w:r>
      <w:proofErr w:type="gramStart"/>
      <w:r>
        <w:t>disagreed</w:t>
      </w:r>
      <w:proofErr w:type="gramEnd"/>
      <w:r>
        <w:t xml:space="preserve"> </w:t>
      </w:r>
    </w:p>
    <w:p w14:paraId="48769CE1" w14:textId="77777777" w:rsidR="00D90765" w:rsidRDefault="00D90765" w:rsidP="00644DDA">
      <w:pPr>
        <w:pStyle w:val="ListParagraph"/>
        <w:numPr>
          <w:ilvl w:val="0"/>
          <w:numId w:val="10"/>
        </w:numPr>
        <w:spacing w:after="200" w:line="276" w:lineRule="auto"/>
        <w:contextualSpacing w:val="0"/>
      </w:pPr>
      <w:r>
        <w:t>28 (35 per cent) did not specify a response</w:t>
      </w:r>
    </w:p>
    <w:p w14:paraId="096D3138" w14:textId="77777777" w:rsidR="00D90765" w:rsidRDefault="00D90765" w:rsidP="00D90765">
      <w:r>
        <w:t>Among the respondents in support of this proposal, nine advocated for more frequent reviews while 15 respondents suggested reviews should be initiated in response to changes that impact the scheme and developments in the market.</w:t>
      </w:r>
    </w:p>
    <w:p w14:paraId="3D05DDC7" w14:textId="77777777" w:rsidR="00D90765" w:rsidRDefault="00D90765" w:rsidP="00D90765">
      <w:r>
        <w:t>The two respondents that disagreed with the proposal suggested more frequent reviews.</w:t>
      </w:r>
    </w:p>
    <w:p w14:paraId="257D2413" w14:textId="468954C1" w:rsidR="001C01FD" w:rsidRDefault="00CD1F8D" w:rsidP="00CD1F8D">
      <w:pPr>
        <w:pStyle w:val="Heading3"/>
      </w:pPr>
      <w:r>
        <w:t xml:space="preserve">GO </w:t>
      </w:r>
      <w:proofErr w:type="gramStart"/>
      <w:r>
        <w:t>certificates</w:t>
      </w:r>
      <w:proofErr w:type="gramEnd"/>
    </w:p>
    <w:p w14:paraId="09A92FF4" w14:textId="77777777" w:rsidR="00C47D3E" w:rsidRPr="00C47D3E" w:rsidRDefault="00C47D3E" w:rsidP="00C47D3E">
      <w:pPr>
        <w:pStyle w:val="Calloutbox"/>
      </w:pPr>
      <w:r w:rsidRPr="00C47D3E">
        <w:rPr>
          <w:b/>
          <w:bCs/>
        </w:rPr>
        <w:t>Policy position proposal 6:</w:t>
      </w:r>
      <w:r w:rsidRPr="00C47D3E">
        <w:t xml:space="preserve"> Product GOs and REGOs will be housed on a publicly visible register with general information and the ability to share specific information with other scheme participants.</w:t>
      </w:r>
    </w:p>
    <w:p w14:paraId="3AA14C1A" w14:textId="77777777" w:rsidR="00C47D3E" w:rsidRDefault="00C47D3E" w:rsidP="00C47D3E">
      <w:r>
        <w:t xml:space="preserve">Feedback was sought on </w:t>
      </w:r>
      <w:r w:rsidRPr="00720183">
        <w:t>the information that should be publicly visible on REGOs (</w:t>
      </w:r>
      <w:proofErr w:type="gramStart"/>
      <w:r w:rsidRPr="00720183">
        <w:t>e.g.</w:t>
      </w:r>
      <w:proofErr w:type="gramEnd"/>
      <w:r w:rsidRPr="00720183">
        <w:t xml:space="preserve"> time of generation, grid location, commissioning date, end user, etc) and the information that should be publicly visible on Product GOs (emissions intensity, volume, relevant inputs, etc).</w:t>
      </w:r>
    </w:p>
    <w:p w14:paraId="58F15E94" w14:textId="77777777" w:rsidR="00C47D3E" w:rsidRDefault="00C47D3E" w:rsidP="00644DDA">
      <w:pPr>
        <w:pStyle w:val="ListParagraph"/>
        <w:numPr>
          <w:ilvl w:val="0"/>
          <w:numId w:val="11"/>
        </w:numPr>
        <w:spacing w:after="0" w:line="276" w:lineRule="auto"/>
        <w:ind w:left="714" w:hanging="357"/>
        <w:contextualSpacing w:val="0"/>
      </w:pPr>
      <w:r>
        <w:t xml:space="preserve">53 (65 per cent) </w:t>
      </w:r>
      <w:r w:rsidRPr="00D72014">
        <w:t>of respondents</w:t>
      </w:r>
      <w:r>
        <w:t xml:space="preserve"> broadly agreed that certificates be </w:t>
      </w:r>
      <w:r w:rsidRPr="00A70421">
        <w:t>housed on a publicly visible register</w:t>
      </w:r>
      <w:r>
        <w:t xml:space="preserve"> enabling information to be shared with other participants</w:t>
      </w:r>
    </w:p>
    <w:p w14:paraId="3EC64B80" w14:textId="77777777" w:rsidR="00C47D3E" w:rsidRDefault="00C47D3E" w:rsidP="00644DDA">
      <w:pPr>
        <w:pStyle w:val="ListParagraph"/>
        <w:numPr>
          <w:ilvl w:val="0"/>
          <w:numId w:val="11"/>
        </w:numPr>
        <w:spacing w:after="0" w:line="276" w:lineRule="auto"/>
        <w:ind w:left="714" w:hanging="357"/>
        <w:contextualSpacing w:val="0"/>
      </w:pPr>
      <w:r>
        <w:t xml:space="preserve">Two (two per cent) broadly </w:t>
      </w:r>
      <w:proofErr w:type="gramStart"/>
      <w:r>
        <w:t>disagreed</w:t>
      </w:r>
      <w:proofErr w:type="gramEnd"/>
      <w:r>
        <w:t xml:space="preserve"> </w:t>
      </w:r>
    </w:p>
    <w:p w14:paraId="584B5161" w14:textId="77777777" w:rsidR="00C47D3E" w:rsidRDefault="00C47D3E" w:rsidP="00644DDA">
      <w:pPr>
        <w:pStyle w:val="ListParagraph"/>
        <w:numPr>
          <w:ilvl w:val="0"/>
          <w:numId w:val="11"/>
        </w:numPr>
        <w:spacing w:after="200" w:line="276" w:lineRule="auto"/>
        <w:contextualSpacing w:val="0"/>
      </w:pPr>
      <w:r>
        <w:t>26 (32 per cent) did not specify a response</w:t>
      </w:r>
    </w:p>
    <w:p w14:paraId="75000BA8" w14:textId="5C7DD4F2" w:rsidR="00CD1F8D" w:rsidRDefault="00C47D3E" w:rsidP="00C47D3E">
      <w:r>
        <w:t>This proposal was strongly supported on the basis that publicly available information is critical to ensuring credibility and trust in the scheme. Among those expressing in principle support for this proposal, 19</w:t>
      </w:r>
      <w:r w:rsidRPr="00D72014">
        <w:t xml:space="preserve"> respondents</w:t>
      </w:r>
      <w:r>
        <w:t xml:space="preserve"> indicated more information is required, and 19 also highlighted the importance of balancing this with a regard to the commercial confidentiality of some data. The two respondents who disagreed cited the need to maintain commercial confidentiality.</w:t>
      </w:r>
    </w:p>
    <w:p w14:paraId="7FB54079" w14:textId="1D60F709" w:rsidR="00C47D3E" w:rsidRDefault="000C756F" w:rsidP="000C756F">
      <w:pPr>
        <w:pStyle w:val="Heading3"/>
      </w:pPr>
      <w:r>
        <w:t>Provenance approach for Product GOs</w:t>
      </w:r>
    </w:p>
    <w:p w14:paraId="0F89162E" w14:textId="77777777" w:rsidR="00203889" w:rsidRPr="00203889" w:rsidRDefault="00203889" w:rsidP="00203889">
      <w:pPr>
        <w:pStyle w:val="Calloutbox"/>
      </w:pPr>
      <w:r w:rsidRPr="00203889">
        <w:rPr>
          <w:b/>
          <w:bCs/>
        </w:rPr>
        <w:t>Policy position proposal 7:</w:t>
      </w:r>
      <w:r w:rsidRPr="00203889">
        <w:t xml:space="preserve"> Product GOs will use a provenance approach, while REGOs are able to be traded independently of the electricity they were created alongside.</w:t>
      </w:r>
    </w:p>
    <w:p w14:paraId="19249118" w14:textId="77777777" w:rsidR="00203889" w:rsidRDefault="00203889" w:rsidP="00644DDA">
      <w:pPr>
        <w:pStyle w:val="ListParagraph"/>
        <w:numPr>
          <w:ilvl w:val="0"/>
          <w:numId w:val="12"/>
        </w:numPr>
        <w:spacing w:after="0" w:line="276" w:lineRule="auto"/>
        <w:ind w:left="714" w:hanging="357"/>
        <w:contextualSpacing w:val="0"/>
      </w:pPr>
      <w:r>
        <w:t xml:space="preserve">38 (47 per cent) </w:t>
      </w:r>
      <w:r w:rsidRPr="00CE1F4B">
        <w:t xml:space="preserve">of respondents </w:t>
      </w:r>
      <w:r>
        <w:t xml:space="preserve">broadly agreed with the proposed separate approaches to each type of certificate </w:t>
      </w:r>
    </w:p>
    <w:p w14:paraId="2ADF09E8" w14:textId="77777777" w:rsidR="00203889" w:rsidRDefault="00203889" w:rsidP="00644DDA">
      <w:pPr>
        <w:pStyle w:val="ListParagraph"/>
        <w:numPr>
          <w:ilvl w:val="0"/>
          <w:numId w:val="12"/>
        </w:numPr>
        <w:spacing w:after="0" w:line="276" w:lineRule="auto"/>
        <w:ind w:left="714" w:hanging="357"/>
        <w:contextualSpacing w:val="0"/>
      </w:pPr>
      <w:r>
        <w:t xml:space="preserve">Five (six per cent) advocated for the provenance approach to also be applied to </w:t>
      </w:r>
      <w:proofErr w:type="gramStart"/>
      <w:r>
        <w:t>REGOs</w:t>
      </w:r>
      <w:proofErr w:type="gramEnd"/>
    </w:p>
    <w:p w14:paraId="498BC7FF" w14:textId="77777777" w:rsidR="00203889" w:rsidRDefault="00203889" w:rsidP="00644DDA">
      <w:pPr>
        <w:pStyle w:val="ListParagraph"/>
        <w:numPr>
          <w:ilvl w:val="0"/>
          <w:numId w:val="12"/>
        </w:numPr>
        <w:spacing w:after="0" w:line="276" w:lineRule="auto"/>
        <w:ind w:left="714" w:hanging="357"/>
        <w:contextualSpacing w:val="0"/>
      </w:pPr>
      <w:r>
        <w:t xml:space="preserve">13 (16 per cent) advocated for tradeable certificates across the board </w:t>
      </w:r>
    </w:p>
    <w:p w14:paraId="12845CC1" w14:textId="77777777" w:rsidR="00203889" w:rsidRDefault="00203889" w:rsidP="00644DDA">
      <w:pPr>
        <w:pStyle w:val="ListParagraph"/>
        <w:numPr>
          <w:ilvl w:val="0"/>
          <w:numId w:val="12"/>
        </w:numPr>
        <w:spacing w:after="200" w:line="276" w:lineRule="auto"/>
        <w:ind w:left="714" w:hanging="357"/>
        <w:contextualSpacing w:val="0"/>
      </w:pPr>
      <w:r>
        <w:t>25 (31 per cent) did not specify a response.</w:t>
      </w:r>
    </w:p>
    <w:p w14:paraId="7AE706CA" w14:textId="77777777" w:rsidR="00203889" w:rsidRDefault="00203889" w:rsidP="00203889">
      <w:r>
        <w:t>Respondents were broadly in favour of a provenance approach to Product GO certificates as having the certificates traded alongside the product would support greater transparency and scheme credibility and aligns with international approaches.</w:t>
      </w:r>
    </w:p>
    <w:p w14:paraId="0BFC79CF" w14:textId="77777777" w:rsidR="00203889" w:rsidRDefault="00203889" w:rsidP="00203889">
      <w:r>
        <w:lastRenderedPageBreak/>
        <w:t>The 13 respondents in favour of a tradeable approach to Product GO certificates considered this would create flexibility in market development. Some pointed out that allowing Product GOs to be traded in the same way as REGOs would not preclude a producer from meeting a preference for the certificate and product to be traded together. Some supported the provenance approach initially, but considered a tradeable approach would be needed in the future.</w:t>
      </w:r>
    </w:p>
    <w:p w14:paraId="6FD9A894" w14:textId="77777777" w:rsidR="00203889" w:rsidRDefault="00203889" w:rsidP="00203889">
      <w:r>
        <w:t xml:space="preserve">Gas operators considered a tradeable approach to Product GOs would more efficiently stimulate investment in renewable gas and support the purchase of renewable gas products. Note the proposal in the consultation document recognised that certificates could be decoupled from the underlying product where consumers and producers are on the same gas network. Some gas operators recognised </w:t>
      </w:r>
      <w:proofErr w:type="gramStart"/>
      <w:r>
        <w:t>this, but</w:t>
      </w:r>
      <w:proofErr w:type="gramEnd"/>
      <w:r>
        <w:t xml:space="preserve"> sought greater clarity over the definition of ‘physical link’ between product and certificate. </w:t>
      </w:r>
    </w:p>
    <w:p w14:paraId="78330CD8" w14:textId="0ED40843" w:rsidR="000C756F" w:rsidRDefault="00927BC8" w:rsidP="000C756F">
      <w:pPr>
        <w:rPr>
          <w:rFonts w:asciiTheme="majorHAnsi" w:eastAsiaTheme="majorEastAsia" w:hAnsiTheme="majorHAnsi" w:cstheme="majorBidi"/>
          <w:color w:val="005677" w:themeColor="text2"/>
          <w:sz w:val="40"/>
          <w:szCs w:val="48"/>
        </w:rPr>
      </w:pPr>
      <w:r w:rsidRPr="00561EC9">
        <w:rPr>
          <w:rFonts w:asciiTheme="majorHAnsi" w:eastAsiaTheme="majorEastAsia" w:hAnsiTheme="majorHAnsi" w:cstheme="majorBidi"/>
          <w:color w:val="005677" w:themeColor="text2"/>
          <w:sz w:val="40"/>
          <w:szCs w:val="48"/>
        </w:rPr>
        <w:t xml:space="preserve">Scheme </w:t>
      </w:r>
      <w:r>
        <w:rPr>
          <w:rFonts w:asciiTheme="majorHAnsi" w:eastAsiaTheme="majorEastAsia" w:hAnsiTheme="majorHAnsi" w:cstheme="majorBidi"/>
          <w:color w:val="005677" w:themeColor="text2"/>
          <w:sz w:val="40"/>
          <w:szCs w:val="48"/>
        </w:rPr>
        <w:t>participation</w:t>
      </w:r>
    </w:p>
    <w:p w14:paraId="775C75FD" w14:textId="7C45AD07" w:rsidR="00927BC8" w:rsidRDefault="00927BC8" w:rsidP="00927BC8">
      <w:pPr>
        <w:pStyle w:val="Heading3"/>
        <w:rPr>
          <w:rFonts w:eastAsiaTheme="majorEastAsia"/>
        </w:rPr>
      </w:pPr>
      <w:r>
        <w:rPr>
          <w:rFonts w:eastAsiaTheme="majorEastAsia"/>
        </w:rPr>
        <w:t>Upfront reporting model</w:t>
      </w:r>
    </w:p>
    <w:p w14:paraId="4EB54E95" w14:textId="77777777" w:rsidR="00170BBC" w:rsidRPr="00BD7E67" w:rsidRDefault="00170BBC" w:rsidP="00170BBC">
      <w:pPr>
        <w:pStyle w:val="Calloutbox"/>
        <w:rPr>
          <w:b/>
        </w:rPr>
      </w:pPr>
      <w:r w:rsidRPr="00170BBC">
        <w:rPr>
          <w:b/>
          <w:bCs/>
        </w:rPr>
        <w:t>Policy position proposal 8:</w:t>
      </w:r>
      <w:r w:rsidRPr="00BD7E67">
        <w:t xml:space="preserve"> An upfront data reporting model will be implemented to provide a practical reporting process.</w:t>
      </w:r>
    </w:p>
    <w:p w14:paraId="1C948B63" w14:textId="77777777" w:rsidR="00170BBC" w:rsidRDefault="00170BBC" w:rsidP="00644DDA">
      <w:pPr>
        <w:pStyle w:val="ListParagraph"/>
        <w:numPr>
          <w:ilvl w:val="0"/>
          <w:numId w:val="14"/>
        </w:numPr>
        <w:spacing w:after="0" w:line="276" w:lineRule="auto"/>
        <w:ind w:left="714" w:hanging="357"/>
        <w:contextualSpacing w:val="0"/>
      </w:pPr>
      <w:r>
        <w:t>48</w:t>
      </w:r>
      <w:r w:rsidRPr="002D45CB">
        <w:t xml:space="preserve"> (</w:t>
      </w:r>
      <w:r>
        <w:t>59 per cent</w:t>
      </w:r>
      <w:r w:rsidRPr="002D45CB">
        <w:t xml:space="preserve">) respondents broadly </w:t>
      </w:r>
      <w:r>
        <w:t xml:space="preserve">agreed with the proposed data reporting model </w:t>
      </w:r>
    </w:p>
    <w:p w14:paraId="09B425F7" w14:textId="77777777" w:rsidR="00170BBC" w:rsidRDefault="00170BBC" w:rsidP="00644DDA">
      <w:pPr>
        <w:pStyle w:val="ListParagraph"/>
        <w:numPr>
          <w:ilvl w:val="0"/>
          <w:numId w:val="14"/>
        </w:numPr>
        <w:spacing w:after="0" w:line="276" w:lineRule="auto"/>
        <w:ind w:left="714" w:hanging="357"/>
        <w:contextualSpacing w:val="0"/>
      </w:pPr>
      <w:r>
        <w:t xml:space="preserve">Nil </w:t>
      </w:r>
      <w:proofErr w:type="gramStart"/>
      <w:r>
        <w:t>disagreed</w:t>
      </w:r>
      <w:proofErr w:type="gramEnd"/>
    </w:p>
    <w:p w14:paraId="5F2135C4" w14:textId="77777777" w:rsidR="00170BBC" w:rsidRDefault="00170BBC" w:rsidP="00644DDA">
      <w:pPr>
        <w:pStyle w:val="ListParagraph"/>
        <w:numPr>
          <w:ilvl w:val="0"/>
          <w:numId w:val="14"/>
        </w:numPr>
        <w:spacing w:after="200" w:line="276" w:lineRule="auto"/>
        <w:contextualSpacing w:val="0"/>
      </w:pPr>
      <w:r>
        <w:t>33 (41 per cent) did not specify a response</w:t>
      </w:r>
    </w:p>
    <w:p w14:paraId="18189385" w14:textId="77777777" w:rsidR="00170BBC" w:rsidRDefault="00170BBC" w:rsidP="00170BBC">
      <w:r>
        <w:t xml:space="preserve">Respondents highlighted </w:t>
      </w:r>
      <w:proofErr w:type="gramStart"/>
      <w:r>
        <w:t>a number of</w:t>
      </w:r>
      <w:proofErr w:type="gramEnd"/>
      <w:r>
        <w:t xml:space="preserve"> points in relation to this proposal including five who commented that the data reporting model </w:t>
      </w:r>
      <w:r w:rsidRPr="00305010">
        <w:t xml:space="preserve">needs periodic reviews as part of </w:t>
      </w:r>
      <w:r>
        <w:t xml:space="preserve">the CER’s </w:t>
      </w:r>
      <w:r w:rsidRPr="00305010">
        <w:t>compliance</w:t>
      </w:r>
      <w:r>
        <w:t xml:space="preserve"> functions. </w:t>
      </w:r>
    </w:p>
    <w:p w14:paraId="01E01DB4" w14:textId="77777777" w:rsidR="00170BBC" w:rsidRDefault="00170BBC" w:rsidP="00170BBC">
      <w:r>
        <w:t xml:space="preserve">Four respondents indicated further information was required especially around how the model would work </w:t>
      </w:r>
      <w:proofErr w:type="gramStart"/>
      <w:r>
        <w:t>with regard to</w:t>
      </w:r>
      <w:proofErr w:type="gramEnd"/>
      <w:r>
        <w:t xml:space="preserve"> international exports. These points will be clarified and communicated to stakeholders.</w:t>
      </w:r>
    </w:p>
    <w:p w14:paraId="39959AD8" w14:textId="77777777" w:rsidR="006D3282" w:rsidRPr="00646439" w:rsidRDefault="006D3282" w:rsidP="006D3282">
      <w:pPr>
        <w:pStyle w:val="Heading3"/>
      </w:pPr>
      <w:r w:rsidRPr="00646439">
        <w:t>Participant roles and responsibilities</w:t>
      </w:r>
    </w:p>
    <w:p w14:paraId="3B6222E4" w14:textId="77777777" w:rsidR="006D3282" w:rsidRPr="006D3282" w:rsidRDefault="006D3282" w:rsidP="006D3282">
      <w:pPr>
        <w:pStyle w:val="Calloutbox"/>
      </w:pPr>
      <w:r w:rsidRPr="006D3282">
        <w:rPr>
          <w:b/>
          <w:bCs/>
        </w:rPr>
        <w:t>Policy position proposal 9:</w:t>
      </w:r>
      <w:r w:rsidRPr="006D3282">
        <w:t xml:space="preserve"> There will be four scheme participant roles with differing responsibilities and permissions.</w:t>
      </w:r>
    </w:p>
    <w:p w14:paraId="3EE1572D" w14:textId="77777777" w:rsidR="006D3282" w:rsidRDefault="006D3282" w:rsidP="00644DDA">
      <w:pPr>
        <w:pStyle w:val="ListParagraph"/>
        <w:numPr>
          <w:ilvl w:val="0"/>
          <w:numId w:val="15"/>
        </w:numPr>
        <w:spacing w:after="200" w:line="276" w:lineRule="auto"/>
        <w:ind w:left="714" w:hanging="357"/>
      </w:pPr>
      <w:r>
        <w:t>45</w:t>
      </w:r>
      <w:r w:rsidRPr="002D45CB">
        <w:t xml:space="preserve"> (</w:t>
      </w:r>
      <w:r>
        <w:t>55 per cent</w:t>
      </w:r>
      <w:r w:rsidRPr="002D45CB">
        <w:t xml:space="preserve">) respondents broadly </w:t>
      </w:r>
      <w:r w:rsidRPr="001B4360">
        <w:t>agreed with the proposed</w:t>
      </w:r>
      <w:r>
        <w:t xml:space="preserve"> GO ‘profiles’ categories</w:t>
      </w:r>
    </w:p>
    <w:p w14:paraId="65DA24B9" w14:textId="77777777" w:rsidR="006D3282" w:rsidRDefault="006D3282" w:rsidP="00644DDA">
      <w:pPr>
        <w:pStyle w:val="ListParagraph"/>
        <w:numPr>
          <w:ilvl w:val="0"/>
          <w:numId w:val="15"/>
        </w:numPr>
        <w:spacing w:after="200" w:line="276" w:lineRule="auto"/>
        <w:ind w:left="714" w:hanging="357"/>
      </w:pPr>
      <w:r>
        <w:t xml:space="preserve">Three (four per cent) broadly </w:t>
      </w:r>
      <w:proofErr w:type="gramStart"/>
      <w:r>
        <w:t>disagreed</w:t>
      </w:r>
      <w:proofErr w:type="gramEnd"/>
      <w:r>
        <w:t xml:space="preserve"> </w:t>
      </w:r>
    </w:p>
    <w:p w14:paraId="7CBFC311" w14:textId="77777777" w:rsidR="006D3282" w:rsidRDefault="006D3282" w:rsidP="00644DDA">
      <w:pPr>
        <w:pStyle w:val="ListParagraph"/>
        <w:numPr>
          <w:ilvl w:val="0"/>
          <w:numId w:val="15"/>
        </w:numPr>
        <w:spacing w:after="200" w:line="276" w:lineRule="auto"/>
        <w:ind w:left="714" w:hanging="357"/>
      </w:pPr>
      <w:r>
        <w:t>33 (41 per cent) did not specify a response</w:t>
      </w:r>
    </w:p>
    <w:p w14:paraId="63AB58A9" w14:textId="77777777" w:rsidR="006D3282" w:rsidRDefault="006D3282" w:rsidP="006D3282">
      <w:r>
        <w:t>Among respondents agreeing with the proposal, comments were made around the need for clarification of participant roles</w:t>
      </w:r>
      <w:r w:rsidRPr="00515E3D">
        <w:t xml:space="preserve"> for international consumers</w:t>
      </w:r>
      <w:r>
        <w:t xml:space="preserve">, clarification </w:t>
      </w:r>
      <w:r w:rsidRPr="00515E3D">
        <w:t>over who has ownership of the Product</w:t>
      </w:r>
      <w:r>
        <w:t xml:space="preserve"> </w:t>
      </w:r>
      <w:r w:rsidRPr="00515E3D">
        <w:t>GO certificate at each stage of the supply chain</w:t>
      </w:r>
      <w:r>
        <w:t xml:space="preserve"> and an overall need for </w:t>
      </w:r>
      <w:r w:rsidRPr="00515E3D">
        <w:t>outreach to support consumer understanding and engagement</w:t>
      </w:r>
      <w:r>
        <w:t>.</w:t>
      </w:r>
    </w:p>
    <w:p w14:paraId="40B3B84A" w14:textId="6B340104" w:rsidR="00927BC8" w:rsidRDefault="007162CF" w:rsidP="007162CF">
      <w:pPr>
        <w:pStyle w:val="Authoranddate"/>
        <w:rPr>
          <w:rFonts w:eastAsiaTheme="majorEastAsia"/>
        </w:rPr>
      </w:pPr>
      <w:r>
        <w:rPr>
          <w:rFonts w:asciiTheme="majorHAnsi" w:eastAsiaTheme="majorEastAsia" w:hAnsiTheme="majorHAnsi" w:cstheme="majorBidi"/>
          <w:color w:val="005677" w:themeColor="text2"/>
          <w:szCs w:val="48"/>
        </w:rPr>
        <w:t xml:space="preserve">GO creation </w:t>
      </w:r>
      <w:proofErr w:type="gramStart"/>
      <w:r>
        <w:rPr>
          <w:rFonts w:asciiTheme="majorHAnsi" w:eastAsiaTheme="majorEastAsia" w:hAnsiTheme="majorHAnsi" w:cstheme="majorBidi"/>
          <w:color w:val="005677" w:themeColor="text2"/>
          <w:szCs w:val="48"/>
        </w:rPr>
        <w:t>process</w:t>
      </w:r>
      <w:proofErr w:type="gramEnd"/>
    </w:p>
    <w:p w14:paraId="479C6842" w14:textId="77777777" w:rsidR="00367E7F" w:rsidRPr="00367E7F" w:rsidRDefault="00367E7F" w:rsidP="00367E7F">
      <w:pPr>
        <w:pStyle w:val="Calloutbox"/>
      </w:pPr>
      <w:r w:rsidRPr="00367E7F">
        <w:rPr>
          <w:b/>
          <w:bCs/>
        </w:rPr>
        <w:t>Policy position proposal 10:</w:t>
      </w:r>
      <w:r w:rsidRPr="00367E7F">
        <w:t xml:space="preserve"> The creation process will combine batch data with the upfront profiles to create certificates. The creation period for GOs can range from a single hour to a year. </w:t>
      </w:r>
    </w:p>
    <w:p w14:paraId="56588511" w14:textId="77777777" w:rsidR="00367E7F" w:rsidRDefault="00367E7F" w:rsidP="00367E7F">
      <w:r>
        <w:lastRenderedPageBreak/>
        <w:t>Feedback was sought on whether the certificate creation period range is suitably practical for businesses.</w:t>
      </w:r>
    </w:p>
    <w:p w14:paraId="1CF5B5E5" w14:textId="77777777" w:rsidR="00367E7F" w:rsidRDefault="00367E7F" w:rsidP="00644DDA">
      <w:pPr>
        <w:pStyle w:val="ListParagraph"/>
        <w:numPr>
          <w:ilvl w:val="0"/>
          <w:numId w:val="16"/>
        </w:numPr>
        <w:spacing w:after="200" w:line="276" w:lineRule="auto"/>
        <w:ind w:left="714" w:hanging="357"/>
      </w:pPr>
      <w:r>
        <w:t>47</w:t>
      </w:r>
      <w:r w:rsidRPr="002D45CB">
        <w:t xml:space="preserve"> (</w:t>
      </w:r>
      <w:r>
        <w:t>58 per cent</w:t>
      </w:r>
      <w:r w:rsidRPr="002D45CB">
        <w:t xml:space="preserve">) </w:t>
      </w:r>
      <w:r w:rsidRPr="00CE1F4B">
        <w:t xml:space="preserve">of respondents </w:t>
      </w:r>
      <w:r>
        <w:t xml:space="preserve">broadly agreed with the proposed GO creation process </w:t>
      </w:r>
    </w:p>
    <w:p w14:paraId="194FC811" w14:textId="77777777" w:rsidR="00367E7F" w:rsidRDefault="00367E7F" w:rsidP="00644DDA">
      <w:pPr>
        <w:pStyle w:val="ListParagraph"/>
        <w:numPr>
          <w:ilvl w:val="0"/>
          <w:numId w:val="17"/>
        </w:numPr>
        <w:spacing w:after="200" w:line="276" w:lineRule="auto"/>
      </w:pPr>
      <w:r>
        <w:t xml:space="preserve">Two (two per cent) broadly </w:t>
      </w:r>
      <w:proofErr w:type="gramStart"/>
      <w:r>
        <w:t>disagreed</w:t>
      </w:r>
      <w:proofErr w:type="gramEnd"/>
      <w:r>
        <w:t xml:space="preserve"> </w:t>
      </w:r>
    </w:p>
    <w:p w14:paraId="24BAFEA8" w14:textId="77777777" w:rsidR="00367E7F" w:rsidRDefault="00367E7F" w:rsidP="00644DDA">
      <w:pPr>
        <w:pStyle w:val="ListParagraph"/>
        <w:numPr>
          <w:ilvl w:val="0"/>
          <w:numId w:val="17"/>
        </w:numPr>
        <w:spacing w:after="200" w:line="276" w:lineRule="auto"/>
      </w:pPr>
      <w:r>
        <w:t>32 (40 per cent) did not specify a response</w:t>
      </w:r>
    </w:p>
    <w:p w14:paraId="34C83BA3" w14:textId="77777777" w:rsidR="00367E7F" w:rsidRDefault="00367E7F" w:rsidP="00367E7F">
      <w:r>
        <w:t xml:space="preserve">This proposal was broadly recognised as practical, and stakeholders acknowledged the flexibility it offers. However, stakeholders sought further engagement during the design phase. </w:t>
      </w:r>
    </w:p>
    <w:p w14:paraId="00A4B66F" w14:textId="77777777" w:rsidR="00367E7F" w:rsidRDefault="00367E7F" w:rsidP="00367E7F">
      <w:r>
        <w:t xml:space="preserve">Other variations on the creation period were suggested, </w:t>
      </w:r>
      <w:proofErr w:type="gramStart"/>
      <w:r>
        <w:t>e.g.</w:t>
      </w:r>
      <w:proofErr w:type="gramEnd"/>
      <w:r>
        <w:t xml:space="preserve"> monthly minimum and smaller intervals.</w:t>
      </w:r>
    </w:p>
    <w:p w14:paraId="6DB3FEFC" w14:textId="53B10CBC" w:rsidR="00D303EA" w:rsidRDefault="00C51C26" w:rsidP="00927BC8">
      <w:pPr>
        <w:rPr>
          <w:rFonts w:asciiTheme="majorHAnsi" w:eastAsiaTheme="majorEastAsia" w:hAnsiTheme="majorHAnsi" w:cstheme="majorBidi"/>
          <w:color w:val="005677" w:themeColor="text2"/>
          <w:sz w:val="40"/>
          <w:szCs w:val="48"/>
        </w:rPr>
      </w:pPr>
      <w:r w:rsidRPr="00C51C26">
        <w:rPr>
          <w:rFonts w:asciiTheme="majorHAnsi" w:eastAsiaTheme="majorEastAsia" w:hAnsiTheme="majorHAnsi" w:cstheme="majorBidi"/>
          <w:color w:val="005677" w:themeColor="text2"/>
          <w:sz w:val="40"/>
          <w:szCs w:val="48"/>
        </w:rPr>
        <w:t>Completing and surrendering GO certificates</w:t>
      </w:r>
    </w:p>
    <w:p w14:paraId="223FAAA9" w14:textId="77777777" w:rsidR="003E3282" w:rsidRPr="003E3282" w:rsidRDefault="003E3282" w:rsidP="003E3282">
      <w:pPr>
        <w:pStyle w:val="Heading3"/>
        <w:rPr>
          <w:rStyle w:val="Strong"/>
          <w:b w:val="0"/>
          <w:bCs w:val="0"/>
        </w:rPr>
      </w:pPr>
      <w:r w:rsidRPr="003E3282">
        <w:rPr>
          <w:rStyle w:val="Strong"/>
          <w:b w:val="0"/>
          <w:bCs w:val="0"/>
        </w:rPr>
        <w:t>Product GOs</w:t>
      </w:r>
    </w:p>
    <w:p w14:paraId="7F82DC20" w14:textId="1B9E2B93" w:rsidR="003E3282" w:rsidRPr="003E3282" w:rsidRDefault="003E3282" w:rsidP="003E3282">
      <w:pPr>
        <w:pStyle w:val="Calloutbox"/>
        <w:rPr>
          <w:b/>
          <w:bCs/>
        </w:rPr>
      </w:pPr>
      <w:r w:rsidRPr="003E3282">
        <w:rPr>
          <w:rStyle w:val="Strong"/>
          <w:u w:val="single"/>
        </w:rPr>
        <w:t xml:space="preserve">Policy position proposal </w:t>
      </w:r>
      <w:r w:rsidRPr="003E3282">
        <w:fldChar w:fldCharType="begin"/>
      </w:r>
      <w:r w:rsidRPr="003E3282">
        <w:rPr>
          <w:rStyle w:val="Strong"/>
          <w:u w:val="single"/>
        </w:rPr>
        <w:instrText xml:space="preserve"> SEQ PPP \* ARABIC </w:instrText>
      </w:r>
      <w:r w:rsidRPr="003E3282">
        <w:fldChar w:fldCharType="separate"/>
      </w:r>
      <w:r w:rsidR="00457024">
        <w:rPr>
          <w:rStyle w:val="Strong"/>
          <w:noProof/>
          <w:u w:val="single"/>
        </w:rPr>
        <w:t>2</w:t>
      </w:r>
      <w:r w:rsidRPr="003E3282">
        <w:fldChar w:fldCharType="end"/>
      </w:r>
      <w:r w:rsidRPr="003E3282">
        <w:rPr>
          <w:rStyle w:val="Strong"/>
          <w:u w:val="single"/>
        </w:rPr>
        <w:t>:</w:t>
      </w:r>
      <w:r w:rsidRPr="003E3282">
        <w:rPr>
          <w:rStyle w:val="Strong"/>
          <w:b w:val="0"/>
          <w:bCs w:val="0"/>
        </w:rPr>
        <w:t xml:space="preserve"> Product GOs will require creation and transport and storage information to be complete. Product GOs can then be surrendered and report consumption information.</w:t>
      </w:r>
    </w:p>
    <w:p w14:paraId="5A43A372" w14:textId="77777777" w:rsidR="003E3282" w:rsidRDefault="003E3282" w:rsidP="00644DDA">
      <w:pPr>
        <w:pStyle w:val="ListParagraph"/>
        <w:numPr>
          <w:ilvl w:val="0"/>
          <w:numId w:val="19"/>
        </w:numPr>
        <w:spacing w:after="200" w:line="276" w:lineRule="auto"/>
        <w:ind w:left="714" w:hanging="357"/>
      </w:pPr>
      <w:r>
        <w:t>44</w:t>
      </w:r>
      <w:r w:rsidRPr="002D45CB">
        <w:t xml:space="preserve"> (</w:t>
      </w:r>
      <w:r>
        <w:t>54 per cent</w:t>
      </w:r>
      <w:r w:rsidRPr="002D45CB">
        <w:t xml:space="preserve">) </w:t>
      </w:r>
      <w:r w:rsidRPr="00CE1F4B">
        <w:t xml:space="preserve">respondents </w:t>
      </w:r>
      <w:r>
        <w:t xml:space="preserve">broadly agreed with </w:t>
      </w:r>
      <w:r w:rsidRPr="004D5318">
        <w:t xml:space="preserve">the proposed </w:t>
      </w:r>
      <w:r>
        <w:t xml:space="preserve">approach to </w:t>
      </w:r>
      <w:r w:rsidRPr="004D5318">
        <w:t xml:space="preserve">GO </w:t>
      </w:r>
      <w:r>
        <w:t>completion and surrender</w:t>
      </w:r>
    </w:p>
    <w:p w14:paraId="6FE234F0" w14:textId="77777777" w:rsidR="003E3282" w:rsidRDefault="003E3282" w:rsidP="00644DDA">
      <w:pPr>
        <w:pStyle w:val="ListParagraph"/>
        <w:numPr>
          <w:ilvl w:val="0"/>
          <w:numId w:val="19"/>
        </w:numPr>
        <w:spacing w:after="200" w:line="276" w:lineRule="auto"/>
        <w:ind w:left="714" w:hanging="357"/>
      </w:pPr>
      <w:r>
        <w:t xml:space="preserve">Two (two per cent) broadly </w:t>
      </w:r>
      <w:proofErr w:type="gramStart"/>
      <w:r>
        <w:t>disagreed</w:t>
      </w:r>
      <w:proofErr w:type="gramEnd"/>
    </w:p>
    <w:p w14:paraId="5415C3F0" w14:textId="77777777" w:rsidR="003E3282" w:rsidRDefault="003E3282" w:rsidP="00644DDA">
      <w:pPr>
        <w:pStyle w:val="ListParagraph"/>
        <w:numPr>
          <w:ilvl w:val="0"/>
          <w:numId w:val="19"/>
        </w:numPr>
        <w:spacing w:after="200" w:line="276" w:lineRule="auto"/>
        <w:ind w:left="714" w:hanging="357"/>
      </w:pPr>
      <w:r w:rsidRPr="00E662B0">
        <w:t xml:space="preserve">One (one per cent) neither agreed nor </w:t>
      </w:r>
      <w:proofErr w:type="gramStart"/>
      <w:r w:rsidRPr="00E662B0">
        <w:t>disagreed</w:t>
      </w:r>
      <w:proofErr w:type="gramEnd"/>
    </w:p>
    <w:p w14:paraId="620AA5A1" w14:textId="77777777" w:rsidR="003E3282" w:rsidRDefault="003E3282" w:rsidP="00644DDA">
      <w:pPr>
        <w:pStyle w:val="ListParagraph"/>
        <w:numPr>
          <w:ilvl w:val="0"/>
          <w:numId w:val="19"/>
        </w:numPr>
        <w:spacing w:after="200" w:line="276" w:lineRule="auto"/>
        <w:ind w:left="714" w:hanging="357"/>
      </w:pPr>
      <w:r>
        <w:t>34 (42 per cent) did not specify a response</w:t>
      </w:r>
    </w:p>
    <w:p w14:paraId="4D80EA5A" w14:textId="77777777" w:rsidR="003E3282" w:rsidRDefault="003E3282" w:rsidP="003E3282">
      <w:r>
        <w:t xml:space="preserve">Respondents generally supported this proposal as it enhances transparency over the greenhouse gas emissions of activities and aligns with international approaches. </w:t>
      </w:r>
    </w:p>
    <w:p w14:paraId="65AB68DE" w14:textId="77777777" w:rsidR="003E3282" w:rsidRDefault="003E3282" w:rsidP="003E3282">
      <w:r>
        <w:t>Seven</w:t>
      </w:r>
      <w:r w:rsidRPr="00A54222">
        <w:t xml:space="preserve"> respondents commented that </w:t>
      </w:r>
      <w:r>
        <w:t xml:space="preserve">transport and storage information may be difficult to source and suggested </w:t>
      </w:r>
      <w:r w:rsidRPr="003D2DDD">
        <w:t>allowing batch certifica</w:t>
      </w:r>
      <w:r>
        <w:t xml:space="preserve">tions to be saved at each stage and/or </w:t>
      </w:r>
      <w:r w:rsidRPr="003D2DDD">
        <w:t>default factors be used</w:t>
      </w:r>
      <w:r>
        <w:t xml:space="preserve">. Respondents sought greater clarity over how this information would be reported. </w:t>
      </w:r>
    </w:p>
    <w:p w14:paraId="7BE2F53F" w14:textId="77777777" w:rsidR="003E3282" w:rsidRDefault="003E3282" w:rsidP="003E3282">
      <w:r>
        <w:t>Additionally, comments were made including:</w:t>
      </w:r>
    </w:p>
    <w:p w14:paraId="4CE7619B" w14:textId="77777777" w:rsidR="003E3282" w:rsidRDefault="003E3282" w:rsidP="00644DDA">
      <w:pPr>
        <w:pStyle w:val="ListParagraph"/>
        <w:numPr>
          <w:ilvl w:val="0"/>
          <w:numId w:val="18"/>
        </w:numPr>
        <w:spacing w:after="200" w:line="276" w:lineRule="auto"/>
        <w:ind w:left="714" w:hanging="357"/>
      </w:pPr>
      <w:r>
        <w:t xml:space="preserve">Consideration for </w:t>
      </w:r>
      <w:r w:rsidRPr="00AA5189">
        <w:t xml:space="preserve">information for transport and storage </w:t>
      </w:r>
      <w:r>
        <w:t>to</w:t>
      </w:r>
      <w:r w:rsidRPr="00AA5189">
        <w:t xml:space="preserve"> be </w:t>
      </w:r>
      <w:proofErr w:type="gramStart"/>
      <w:r w:rsidRPr="00AA5189">
        <w:t>optional</w:t>
      </w:r>
      <w:proofErr w:type="gramEnd"/>
    </w:p>
    <w:p w14:paraId="63984A8D" w14:textId="77777777" w:rsidR="003E3282" w:rsidRDefault="003E3282" w:rsidP="00644DDA">
      <w:pPr>
        <w:pStyle w:val="ListParagraph"/>
        <w:numPr>
          <w:ilvl w:val="0"/>
          <w:numId w:val="18"/>
        </w:numPr>
        <w:spacing w:after="200" w:line="276" w:lineRule="auto"/>
        <w:ind w:left="714" w:hanging="357"/>
      </w:pPr>
      <w:r>
        <w:t>The need for information over different segments of the supply chain to be visible, to enable integration with a variety of certification schemes that have different boundaries.</w:t>
      </w:r>
    </w:p>
    <w:p w14:paraId="6470FBDB" w14:textId="77777777" w:rsidR="003E3282" w:rsidRDefault="003E3282" w:rsidP="00644DDA">
      <w:pPr>
        <w:pStyle w:val="ListParagraph"/>
        <w:numPr>
          <w:ilvl w:val="0"/>
          <w:numId w:val="18"/>
        </w:numPr>
        <w:spacing w:after="200" w:line="276" w:lineRule="auto"/>
        <w:ind w:left="714" w:hanging="357"/>
      </w:pPr>
      <w:r>
        <w:t>Greater c</w:t>
      </w:r>
      <w:r w:rsidRPr="00AA5189">
        <w:t>larity over who has ownership of the Product</w:t>
      </w:r>
      <w:r>
        <w:t xml:space="preserve"> </w:t>
      </w:r>
      <w:r w:rsidRPr="00AA5189">
        <w:t>GO certificate at e</w:t>
      </w:r>
      <w:r>
        <w:t xml:space="preserve">ach stage of the supply chain. </w:t>
      </w:r>
    </w:p>
    <w:p w14:paraId="5D7AEB54" w14:textId="77777777" w:rsidR="003E3282" w:rsidRDefault="003E3282" w:rsidP="00644DDA">
      <w:pPr>
        <w:pStyle w:val="ListParagraph"/>
        <w:numPr>
          <w:ilvl w:val="0"/>
          <w:numId w:val="18"/>
        </w:numPr>
        <w:spacing w:after="200" w:line="276" w:lineRule="auto"/>
        <w:ind w:left="714" w:hanging="357"/>
      </w:pPr>
      <w:r>
        <w:t xml:space="preserve">The </w:t>
      </w:r>
      <w:r w:rsidRPr="00AA5189">
        <w:t xml:space="preserve">need </w:t>
      </w:r>
      <w:r>
        <w:t xml:space="preserve">for </w:t>
      </w:r>
      <w:r w:rsidRPr="00AA5189">
        <w:t>linkage</w:t>
      </w:r>
      <w:r>
        <w:t xml:space="preserve"> between the certificate and the</w:t>
      </w:r>
      <w:r w:rsidRPr="00AA5189">
        <w:t xml:space="preserve"> actual product</w:t>
      </w:r>
    </w:p>
    <w:p w14:paraId="4FA2EF80" w14:textId="77777777" w:rsidR="003E3282" w:rsidRPr="00A91171" w:rsidRDefault="003E3282" w:rsidP="00644DDA">
      <w:pPr>
        <w:pStyle w:val="ListParagraph"/>
        <w:numPr>
          <w:ilvl w:val="0"/>
          <w:numId w:val="18"/>
        </w:numPr>
        <w:spacing w:after="200" w:line="276" w:lineRule="auto"/>
        <w:ind w:left="714" w:hanging="357"/>
        <w:rPr>
          <w:rStyle w:val="Strong"/>
          <w:b w:val="0"/>
          <w:bCs w:val="0"/>
        </w:rPr>
      </w:pPr>
      <w:r>
        <w:t xml:space="preserve">Use of a custodianship mechanism to enable data to be </w:t>
      </w:r>
      <w:proofErr w:type="gramStart"/>
      <w:r>
        <w:t>completed</w:t>
      </w:r>
      <w:proofErr w:type="gramEnd"/>
    </w:p>
    <w:p w14:paraId="38CAD040" w14:textId="77777777" w:rsidR="003E3282" w:rsidRPr="003E3282" w:rsidRDefault="003E3282" w:rsidP="003E3282">
      <w:pPr>
        <w:pStyle w:val="Heading3"/>
        <w:rPr>
          <w:rStyle w:val="Strong"/>
          <w:b w:val="0"/>
          <w:bCs w:val="0"/>
        </w:rPr>
      </w:pPr>
      <w:r w:rsidRPr="003E3282">
        <w:rPr>
          <w:rStyle w:val="Strong"/>
          <w:b w:val="0"/>
          <w:bCs w:val="0"/>
        </w:rPr>
        <w:t>REGOs</w:t>
      </w:r>
    </w:p>
    <w:p w14:paraId="57A3FD6B" w14:textId="77777777" w:rsidR="003E3282" w:rsidRPr="003E3282" w:rsidRDefault="003E3282" w:rsidP="003E3282">
      <w:pPr>
        <w:pStyle w:val="Calloutbox"/>
        <w:rPr>
          <w:rStyle w:val="Strong"/>
          <w:b w:val="0"/>
          <w:bCs w:val="0"/>
        </w:rPr>
      </w:pPr>
      <w:r w:rsidRPr="003E3282">
        <w:rPr>
          <w:rStyle w:val="Strong"/>
          <w:u w:val="single"/>
        </w:rPr>
        <w:t>Policy position proposal 12:</w:t>
      </w:r>
      <w:r w:rsidRPr="003E3282">
        <w:rPr>
          <w:rStyle w:val="Strong"/>
          <w:b w:val="0"/>
          <w:bCs w:val="0"/>
        </w:rPr>
        <w:t xml:space="preserve"> REGOs are proposed to be available to be traded or surrendered after being validly created.</w:t>
      </w:r>
    </w:p>
    <w:p w14:paraId="493DC75D" w14:textId="77777777" w:rsidR="003E3282" w:rsidRDefault="003E3282" w:rsidP="00644DDA">
      <w:pPr>
        <w:pStyle w:val="ListParagraph"/>
        <w:numPr>
          <w:ilvl w:val="0"/>
          <w:numId w:val="20"/>
        </w:numPr>
        <w:spacing w:after="200" w:line="276" w:lineRule="auto"/>
        <w:ind w:left="714" w:hanging="357"/>
      </w:pPr>
      <w:r>
        <w:t>45</w:t>
      </w:r>
      <w:r w:rsidRPr="002D45CB">
        <w:t xml:space="preserve"> (</w:t>
      </w:r>
      <w:r>
        <w:t>56</w:t>
      </w:r>
      <w:r w:rsidRPr="00766AC6">
        <w:t xml:space="preserve"> </w:t>
      </w:r>
      <w:r>
        <w:t>per cent</w:t>
      </w:r>
      <w:r w:rsidRPr="002D45CB">
        <w:t xml:space="preserve">) </w:t>
      </w:r>
      <w:r w:rsidRPr="00CE1F4B">
        <w:t xml:space="preserve">respondents </w:t>
      </w:r>
      <w:r>
        <w:t xml:space="preserve">broadly agreed with </w:t>
      </w:r>
      <w:r w:rsidRPr="004D5318">
        <w:t xml:space="preserve">the proposed </w:t>
      </w:r>
      <w:r>
        <w:t>approach to RE</w:t>
      </w:r>
      <w:r w:rsidRPr="004D5318">
        <w:t xml:space="preserve">GO </w:t>
      </w:r>
      <w:r>
        <w:t>completion and surrender</w:t>
      </w:r>
    </w:p>
    <w:p w14:paraId="62161E4A" w14:textId="77777777" w:rsidR="003E3282" w:rsidRDefault="003E3282" w:rsidP="00644DDA">
      <w:pPr>
        <w:pStyle w:val="ListParagraph"/>
        <w:numPr>
          <w:ilvl w:val="0"/>
          <w:numId w:val="20"/>
        </w:numPr>
        <w:spacing w:after="200" w:line="276" w:lineRule="auto"/>
      </w:pPr>
      <w:r>
        <w:lastRenderedPageBreak/>
        <w:t>Two (two</w:t>
      </w:r>
      <w:r w:rsidRPr="00AA5189">
        <w:t xml:space="preserve"> per cent</w:t>
      </w:r>
      <w:r>
        <w:t xml:space="preserve">) broadly </w:t>
      </w:r>
      <w:proofErr w:type="gramStart"/>
      <w:r>
        <w:t>disagreed</w:t>
      </w:r>
      <w:proofErr w:type="gramEnd"/>
      <w:r>
        <w:t xml:space="preserve"> </w:t>
      </w:r>
    </w:p>
    <w:p w14:paraId="0594DF1E" w14:textId="77777777" w:rsidR="003E3282" w:rsidRDefault="003E3282" w:rsidP="00644DDA">
      <w:pPr>
        <w:pStyle w:val="ListParagraph"/>
        <w:numPr>
          <w:ilvl w:val="0"/>
          <w:numId w:val="20"/>
        </w:numPr>
        <w:spacing w:after="200" w:line="276" w:lineRule="auto"/>
      </w:pPr>
      <w:r>
        <w:t>Two</w:t>
      </w:r>
      <w:r w:rsidRPr="00AA5189">
        <w:t xml:space="preserve"> (</w:t>
      </w:r>
      <w:r>
        <w:t>two</w:t>
      </w:r>
      <w:r w:rsidRPr="00AA5189">
        <w:t xml:space="preserve"> per cent) neither agreed nor </w:t>
      </w:r>
      <w:proofErr w:type="gramStart"/>
      <w:r w:rsidRPr="00AA5189">
        <w:t>disagreed</w:t>
      </w:r>
      <w:proofErr w:type="gramEnd"/>
      <w:r>
        <w:t xml:space="preserve"> </w:t>
      </w:r>
    </w:p>
    <w:p w14:paraId="3B403A65" w14:textId="77777777" w:rsidR="003E3282" w:rsidRDefault="003E3282" w:rsidP="00644DDA">
      <w:pPr>
        <w:pStyle w:val="ListParagraph"/>
        <w:numPr>
          <w:ilvl w:val="0"/>
          <w:numId w:val="20"/>
        </w:numPr>
        <w:spacing w:after="200" w:line="276" w:lineRule="auto"/>
        <w:ind w:left="714" w:hanging="357"/>
        <w:contextualSpacing w:val="0"/>
      </w:pPr>
      <w:r>
        <w:t>32 (40</w:t>
      </w:r>
      <w:r w:rsidRPr="00766AC6">
        <w:t xml:space="preserve"> </w:t>
      </w:r>
      <w:r>
        <w:t>per cent) did not specify a response</w:t>
      </w:r>
    </w:p>
    <w:p w14:paraId="2A0D0CE2" w14:textId="77777777" w:rsidR="003E3282" w:rsidRPr="003E3282" w:rsidRDefault="003E3282" w:rsidP="003E3282">
      <w:pPr>
        <w:rPr>
          <w:rStyle w:val="Strong"/>
          <w:b w:val="0"/>
          <w:bCs w:val="0"/>
        </w:rPr>
      </w:pPr>
      <w:r w:rsidRPr="003E3282">
        <w:rPr>
          <w:rStyle w:val="Strong"/>
          <w:b w:val="0"/>
          <w:bCs w:val="0"/>
        </w:rPr>
        <w:t>This proposal was broadly supported. Three respondents suggested time-matching be required for surrender; two suggested an expiration date for REGOs.</w:t>
      </w:r>
    </w:p>
    <w:p w14:paraId="2BA4F078" w14:textId="6EB80859" w:rsidR="00C249F7" w:rsidRDefault="00C249F7" w:rsidP="00C249F7">
      <w:pPr>
        <w:pStyle w:val="Authoranddate"/>
        <w:rPr>
          <w:rFonts w:eastAsiaTheme="majorEastAsia"/>
        </w:rPr>
      </w:pPr>
      <w:r>
        <w:rPr>
          <w:rFonts w:asciiTheme="majorHAnsi" w:eastAsiaTheme="majorEastAsia" w:hAnsiTheme="majorHAnsi" w:cstheme="majorBidi"/>
          <w:color w:val="005677" w:themeColor="text2"/>
          <w:szCs w:val="48"/>
        </w:rPr>
        <w:t>Integrity controls</w:t>
      </w:r>
    </w:p>
    <w:p w14:paraId="5D045930" w14:textId="77777777" w:rsidR="009C2521" w:rsidRPr="00D71F71" w:rsidRDefault="009C2521" w:rsidP="009C2521">
      <w:pPr>
        <w:pStyle w:val="Heading3"/>
      </w:pPr>
      <w:r w:rsidRPr="00D71F71">
        <w:t>Managing compliance</w:t>
      </w:r>
    </w:p>
    <w:p w14:paraId="0ADE7F60" w14:textId="77777777" w:rsidR="009C2521" w:rsidRPr="009C2521" w:rsidRDefault="009C2521" w:rsidP="009C2521">
      <w:pPr>
        <w:pStyle w:val="Calloutbox"/>
      </w:pPr>
      <w:r w:rsidRPr="009C2521">
        <w:rPr>
          <w:b/>
          <w:bCs/>
        </w:rPr>
        <w:t>Policy position proposal 13:</w:t>
      </w:r>
      <w:r w:rsidRPr="009C2521">
        <w:t xml:space="preserve"> The CER will undertake compliance monitoring and will have regulatory powers to address non-compliance.</w:t>
      </w:r>
    </w:p>
    <w:p w14:paraId="14C93FCC" w14:textId="77777777" w:rsidR="009C2521" w:rsidRDefault="009C2521" w:rsidP="00644DDA">
      <w:pPr>
        <w:pStyle w:val="ListParagraph"/>
        <w:numPr>
          <w:ilvl w:val="0"/>
          <w:numId w:val="22"/>
        </w:numPr>
        <w:spacing w:after="200" w:line="276" w:lineRule="auto"/>
        <w:ind w:left="714" w:hanging="357"/>
      </w:pPr>
      <w:r>
        <w:t>49</w:t>
      </w:r>
      <w:r w:rsidRPr="002D45CB">
        <w:t xml:space="preserve"> (</w:t>
      </w:r>
      <w:r>
        <w:t>60 per cent</w:t>
      </w:r>
      <w:r w:rsidRPr="002D45CB">
        <w:t xml:space="preserve">) </w:t>
      </w:r>
      <w:r w:rsidRPr="00CE1F4B">
        <w:t xml:space="preserve">of respondents </w:t>
      </w:r>
      <w:r>
        <w:t>broadly agreed with the proposed compliance functions and regulatory powers of the</w:t>
      </w:r>
      <w:r w:rsidRPr="004D5318">
        <w:t xml:space="preserve"> </w:t>
      </w:r>
      <w:r>
        <w:t>CER under the scheme</w:t>
      </w:r>
    </w:p>
    <w:p w14:paraId="07A13840" w14:textId="77777777" w:rsidR="009C2521" w:rsidRDefault="009C2521" w:rsidP="00644DDA">
      <w:pPr>
        <w:pStyle w:val="ListParagraph"/>
        <w:numPr>
          <w:ilvl w:val="0"/>
          <w:numId w:val="22"/>
        </w:numPr>
        <w:spacing w:after="200" w:line="276" w:lineRule="auto"/>
      </w:pPr>
      <w:r>
        <w:t xml:space="preserve">Two (two per cent) broadly </w:t>
      </w:r>
      <w:proofErr w:type="gramStart"/>
      <w:r>
        <w:t>disagreed</w:t>
      </w:r>
      <w:proofErr w:type="gramEnd"/>
      <w:r>
        <w:t xml:space="preserve"> </w:t>
      </w:r>
    </w:p>
    <w:p w14:paraId="4EF79922" w14:textId="77777777" w:rsidR="009C2521" w:rsidRDefault="009C2521" w:rsidP="00644DDA">
      <w:pPr>
        <w:pStyle w:val="ListParagraph"/>
        <w:numPr>
          <w:ilvl w:val="0"/>
          <w:numId w:val="22"/>
        </w:numPr>
        <w:spacing w:after="200" w:line="276" w:lineRule="auto"/>
        <w:ind w:left="714" w:hanging="357"/>
      </w:pPr>
      <w:r>
        <w:t>30 (37 per cent) did not specify a response</w:t>
      </w:r>
    </w:p>
    <w:p w14:paraId="0BBA9BCD" w14:textId="77777777" w:rsidR="009C2521" w:rsidRDefault="009C2521" w:rsidP="009C2521">
      <w:pPr>
        <w:rPr>
          <w:rStyle w:val="Strong"/>
          <w:b w:val="0"/>
          <w:bCs w:val="0"/>
        </w:rPr>
      </w:pPr>
      <w:r w:rsidRPr="006E2209">
        <w:t>This proposal was broadly supported.</w:t>
      </w:r>
      <w:r>
        <w:rPr>
          <w:rStyle w:val="Strong"/>
        </w:rPr>
        <w:t xml:space="preserve"> </w:t>
      </w:r>
    </w:p>
    <w:p w14:paraId="10F7B0E9" w14:textId="77777777" w:rsidR="009C2521" w:rsidRPr="00EC6902" w:rsidRDefault="009C2521" w:rsidP="009C2521">
      <w:pPr>
        <w:rPr>
          <w:rStyle w:val="Strong"/>
          <w:b w:val="0"/>
          <w:bCs w:val="0"/>
        </w:rPr>
      </w:pPr>
      <w:r w:rsidRPr="00EC6902">
        <w:rPr>
          <w:rStyle w:val="Strong"/>
          <w:b w:val="0"/>
          <w:bCs w:val="0"/>
        </w:rPr>
        <w:t>Three respondents commented that</w:t>
      </w:r>
      <w:r w:rsidRPr="00EC6902">
        <w:rPr>
          <w:b/>
          <w:bCs/>
        </w:rPr>
        <w:t xml:space="preserve"> c</w:t>
      </w:r>
      <w:r w:rsidRPr="00EC6902">
        <w:rPr>
          <w:rStyle w:val="Strong"/>
          <w:b w:val="0"/>
          <w:bCs w:val="0"/>
        </w:rPr>
        <w:t xml:space="preserve">onsideration should be given to separating issuer and regulator to enhance credibility of the scheme. Other suggested changes include adopting a volumetric allocation-based audit program, using blockchain for compliance monitoring, leveraging NGER data to streamline reporting efforts, a mandatory scheme with stronger compliance mechanisms, penalties for fraud and intentional misinformation for participants. </w:t>
      </w:r>
    </w:p>
    <w:p w14:paraId="094A9F48" w14:textId="77777777" w:rsidR="009C2521" w:rsidRPr="002A421D" w:rsidRDefault="009C2521" w:rsidP="00EC6902">
      <w:pPr>
        <w:pStyle w:val="Heading3"/>
      </w:pPr>
      <w:r w:rsidRPr="002A421D">
        <w:t>Audits and third-party assurance</w:t>
      </w:r>
    </w:p>
    <w:p w14:paraId="0ECD4F52" w14:textId="77777777" w:rsidR="009C2521" w:rsidRDefault="009C2521" w:rsidP="00EC6902">
      <w:pPr>
        <w:pStyle w:val="Calloutbox"/>
      </w:pPr>
      <w:r w:rsidRPr="00EC6902">
        <w:rPr>
          <w:b/>
          <w:bCs/>
          <w:u w:val="single"/>
        </w:rPr>
        <w:t>Policy position proposal 14:</w:t>
      </w:r>
      <w:r w:rsidRPr="00F773DA">
        <w:t xml:space="preserve"> </w:t>
      </w:r>
      <w:r>
        <w:t>Limited Scope Technical Reviews (</w:t>
      </w:r>
      <w:r w:rsidRPr="00F773DA">
        <w:t>LSTR</w:t>
      </w:r>
      <w:r>
        <w:t>)</w:t>
      </w:r>
      <w:r w:rsidRPr="00F773DA">
        <w:t>s will provide third-party assurance of the information reported under the GO scheme. The need for LSTRs will be front-loaded requiring less as time goes on and participants demonstrate compliance with the requirements of the scheme.</w:t>
      </w:r>
    </w:p>
    <w:p w14:paraId="7568BF2C" w14:textId="77777777" w:rsidR="009C2521" w:rsidRDefault="009C2521" w:rsidP="00644DDA">
      <w:pPr>
        <w:pStyle w:val="ListParagraph"/>
        <w:numPr>
          <w:ilvl w:val="0"/>
          <w:numId w:val="21"/>
        </w:numPr>
        <w:spacing w:after="0" w:line="276" w:lineRule="auto"/>
        <w:ind w:left="714" w:hanging="357"/>
        <w:contextualSpacing w:val="0"/>
      </w:pPr>
      <w:r>
        <w:t>45</w:t>
      </w:r>
      <w:r w:rsidRPr="002D45CB">
        <w:t xml:space="preserve"> (</w:t>
      </w:r>
      <w:r>
        <w:t>56 per cent</w:t>
      </w:r>
      <w:r w:rsidRPr="002D45CB">
        <w:t xml:space="preserve">) </w:t>
      </w:r>
      <w:r w:rsidRPr="00CE1F4B">
        <w:t xml:space="preserve">of respondents </w:t>
      </w:r>
      <w:r>
        <w:t xml:space="preserve">broadly </w:t>
      </w:r>
      <w:r w:rsidRPr="00D50771">
        <w:t>agreed with the</w:t>
      </w:r>
      <w:r>
        <w:t xml:space="preserve"> proposed </w:t>
      </w:r>
      <w:r w:rsidRPr="00AE3817">
        <w:t>Limited Scope Technical Reviews (LSTRs)</w:t>
      </w:r>
      <w:r>
        <w:t>.</w:t>
      </w:r>
    </w:p>
    <w:p w14:paraId="4E7AF8A3" w14:textId="77777777" w:rsidR="009C2521" w:rsidRDefault="009C2521" w:rsidP="00644DDA">
      <w:pPr>
        <w:pStyle w:val="ListParagraph"/>
        <w:numPr>
          <w:ilvl w:val="0"/>
          <w:numId w:val="21"/>
        </w:numPr>
        <w:spacing w:after="0" w:line="276" w:lineRule="auto"/>
        <w:ind w:left="714" w:hanging="357"/>
        <w:contextualSpacing w:val="0"/>
      </w:pPr>
      <w:r>
        <w:t xml:space="preserve">Nil broadly </w:t>
      </w:r>
      <w:proofErr w:type="gramStart"/>
      <w:r>
        <w:t>disagreed</w:t>
      </w:r>
      <w:proofErr w:type="gramEnd"/>
    </w:p>
    <w:p w14:paraId="5EA17694" w14:textId="77777777" w:rsidR="009C2521" w:rsidRDefault="009C2521" w:rsidP="00644DDA">
      <w:pPr>
        <w:pStyle w:val="ListParagraph"/>
        <w:numPr>
          <w:ilvl w:val="0"/>
          <w:numId w:val="21"/>
        </w:numPr>
        <w:spacing w:after="0" w:line="276" w:lineRule="auto"/>
        <w:ind w:left="714" w:hanging="357"/>
        <w:contextualSpacing w:val="0"/>
      </w:pPr>
      <w:r>
        <w:t>One</w:t>
      </w:r>
      <w:r w:rsidRPr="00AA5189">
        <w:t xml:space="preserve"> (</w:t>
      </w:r>
      <w:r>
        <w:t>one</w:t>
      </w:r>
      <w:r w:rsidRPr="00AA5189">
        <w:t xml:space="preserve"> per cent) neither agreed nor </w:t>
      </w:r>
      <w:proofErr w:type="gramStart"/>
      <w:r w:rsidRPr="00AA5189">
        <w:t>disagreed</w:t>
      </w:r>
      <w:proofErr w:type="gramEnd"/>
      <w:r>
        <w:t xml:space="preserve"> </w:t>
      </w:r>
    </w:p>
    <w:p w14:paraId="734F0526" w14:textId="77777777" w:rsidR="009C2521" w:rsidRDefault="009C2521" w:rsidP="00644DDA">
      <w:pPr>
        <w:pStyle w:val="ListParagraph"/>
        <w:numPr>
          <w:ilvl w:val="0"/>
          <w:numId w:val="21"/>
        </w:numPr>
        <w:spacing w:after="200" w:line="276" w:lineRule="auto"/>
        <w:contextualSpacing w:val="0"/>
      </w:pPr>
      <w:r>
        <w:t>35 (43 per cent) did not specify a response</w:t>
      </w:r>
    </w:p>
    <w:p w14:paraId="39856689" w14:textId="77777777" w:rsidR="009C2521" w:rsidRDefault="009C2521" w:rsidP="009C2521">
      <w:pPr>
        <w:rPr>
          <w:rStyle w:val="Strong"/>
          <w:b w:val="0"/>
          <w:bCs w:val="0"/>
        </w:rPr>
      </w:pPr>
      <w:r w:rsidRPr="00EC6902">
        <w:rPr>
          <w:rStyle w:val="Strong"/>
          <w:b w:val="0"/>
          <w:bCs w:val="0"/>
        </w:rPr>
        <w:t>T</w:t>
      </w:r>
      <w:r w:rsidRPr="00EC6902">
        <w:t>his proposal was broadly supported. F</w:t>
      </w:r>
      <w:r w:rsidRPr="00EC6902">
        <w:rPr>
          <w:rStyle w:val="Strong"/>
          <w:b w:val="0"/>
          <w:bCs w:val="0"/>
        </w:rPr>
        <w:t>our respondents advocated for the consideration of onsite verification where appropriate. Two respondents commented that LSTRs appear to occur too infrequently.</w:t>
      </w:r>
    </w:p>
    <w:p w14:paraId="2AE5383A" w14:textId="77777777" w:rsidR="002B316D" w:rsidRDefault="002B316D" w:rsidP="009C2521">
      <w:pPr>
        <w:rPr>
          <w:rStyle w:val="Strong"/>
          <w:b w:val="0"/>
          <w:bCs w:val="0"/>
        </w:rPr>
      </w:pPr>
    </w:p>
    <w:p w14:paraId="50D0845B" w14:textId="77777777" w:rsidR="002B316D" w:rsidRDefault="002B316D" w:rsidP="009C2521">
      <w:pPr>
        <w:rPr>
          <w:rStyle w:val="Strong"/>
          <w:b w:val="0"/>
          <w:bCs w:val="0"/>
        </w:rPr>
      </w:pPr>
    </w:p>
    <w:p w14:paraId="44B529F7" w14:textId="77777777" w:rsidR="002B316D" w:rsidRDefault="002B316D" w:rsidP="009C2521">
      <w:pPr>
        <w:rPr>
          <w:rStyle w:val="Strong"/>
          <w:b w:val="0"/>
          <w:bCs w:val="0"/>
        </w:rPr>
      </w:pPr>
    </w:p>
    <w:p w14:paraId="2D5C1805" w14:textId="77777777" w:rsidR="002B316D" w:rsidRPr="00EC6902" w:rsidRDefault="002B316D" w:rsidP="009C2521">
      <w:pPr>
        <w:rPr>
          <w:rStyle w:val="Strong"/>
          <w:b w:val="0"/>
          <w:bCs w:val="0"/>
        </w:rPr>
      </w:pPr>
    </w:p>
    <w:p w14:paraId="2397AC7B" w14:textId="01BD4602" w:rsidR="000A11FE" w:rsidRDefault="000A11FE" w:rsidP="000A11FE">
      <w:pPr>
        <w:pStyle w:val="Authoranddate"/>
        <w:rPr>
          <w:rFonts w:eastAsiaTheme="majorEastAsia"/>
        </w:rPr>
      </w:pPr>
      <w:r>
        <w:rPr>
          <w:rFonts w:asciiTheme="majorHAnsi" w:eastAsiaTheme="majorEastAsia" w:hAnsiTheme="majorHAnsi" w:cstheme="majorBidi"/>
          <w:color w:val="005677" w:themeColor="text2"/>
          <w:szCs w:val="48"/>
        </w:rPr>
        <w:lastRenderedPageBreak/>
        <w:t>Corrections</w:t>
      </w:r>
    </w:p>
    <w:p w14:paraId="2E3E2741" w14:textId="77777777" w:rsidR="00DC020F" w:rsidRPr="00753795" w:rsidRDefault="00DC020F" w:rsidP="00DC020F">
      <w:pPr>
        <w:pStyle w:val="Heading3"/>
      </w:pPr>
      <w:r w:rsidRPr="00331E69">
        <w:t>Product GO certificate amendment</w:t>
      </w:r>
    </w:p>
    <w:p w14:paraId="2174B62B" w14:textId="77777777" w:rsidR="00DC020F" w:rsidRDefault="00DC020F" w:rsidP="00DC020F">
      <w:pPr>
        <w:pStyle w:val="Calloutbox"/>
      </w:pPr>
      <w:r w:rsidRPr="00DC020F">
        <w:rPr>
          <w:b/>
          <w:bCs/>
          <w:u w:val="single"/>
        </w:rPr>
        <w:t>Policy position proposal 15:</w:t>
      </w:r>
      <w:r w:rsidRPr="00051C17">
        <w:t xml:space="preserve"> Where Product GOs have incorrect information, they will be updated to reflect the most up to date information. After the ARC process, Product GOs will be finalised and not subject to further amendments.</w:t>
      </w:r>
    </w:p>
    <w:p w14:paraId="157D4306" w14:textId="77777777" w:rsidR="00DC020F" w:rsidRDefault="00DC020F" w:rsidP="00644DDA">
      <w:pPr>
        <w:pStyle w:val="ListParagraph"/>
        <w:numPr>
          <w:ilvl w:val="0"/>
          <w:numId w:val="23"/>
        </w:numPr>
        <w:spacing w:after="0" w:line="276" w:lineRule="auto"/>
        <w:ind w:left="714" w:hanging="357"/>
        <w:contextualSpacing w:val="0"/>
      </w:pPr>
      <w:r>
        <w:t>41</w:t>
      </w:r>
      <w:r w:rsidRPr="002D45CB">
        <w:t xml:space="preserve"> (</w:t>
      </w:r>
      <w:r>
        <w:t>51 per cent</w:t>
      </w:r>
      <w:r w:rsidRPr="002D45CB">
        <w:t xml:space="preserve">) </w:t>
      </w:r>
      <w:r w:rsidRPr="00CE1F4B">
        <w:t xml:space="preserve">of respondents </w:t>
      </w:r>
      <w:r>
        <w:t>broadly agreed with the proposed process for amending GO certificates</w:t>
      </w:r>
    </w:p>
    <w:p w14:paraId="018107E3" w14:textId="77777777" w:rsidR="00DC020F" w:rsidRDefault="00DC020F" w:rsidP="00644DDA">
      <w:pPr>
        <w:pStyle w:val="ListParagraph"/>
        <w:numPr>
          <w:ilvl w:val="0"/>
          <w:numId w:val="23"/>
        </w:numPr>
        <w:spacing w:after="0" w:line="276" w:lineRule="auto"/>
        <w:ind w:left="714" w:hanging="357"/>
        <w:contextualSpacing w:val="0"/>
      </w:pPr>
      <w:r>
        <w:t xml:space="preserve">Four (5 per cent) broadly </w:t>
      </w:r>
      <w:proofErr w:type="gramStart"/>
      <w:r>
        <w:t>disagreed</w:t>
      </w:r>
      <w:proofErr w:type="gramEnd"/>
      <w:r>
        <w:t xml:space="preserve"> </w:t>
      </w:r>
    </w:p>
    <w:p w14:paraId="4E18469D" w14:textId="77777777" w:rsidR="00DC020F" w:rsidRDefault="00DC020F" w:rsidP="00644DDA">
      <w:pPr>
        <w:pStyle w:val="ListParagraph"/>
        <w:numPr>
          <w:ilvl w:val="0"/>
          <w:numId w:val="23"/>
        </w:numPr>
        <w:spacing w:after="200" w:line="276" w:lineRule="auto"/>
        <w:contextualSpacing w:val="0"/>
      </w:pPr>
      <w:r>
        <w:t>36 (44 per cent) did not specify a response</w:t>
      </w:r>
    </w:p>
    <w:p w14:paraId="1459C2E4" w14:textId="77777777" w:rsidR="00DC020F" w:rsidRPr="00DC020F" w:rsidRDefault="00DC020F" w:rsidP="00DC020F">
      <w:pPr>
        <w:rPr>
          <w:rStyle w:val="Strong"/>
          <w:b w:val="0"/>
          <w:bCs w:val="0"/>
        </w:rPr>
      </w:pPr>
      <w:r w:rsidRPr="00DC020F">
        <w:rPr>
          <w:rStyle w:val="Strong"/>
          <w:b w:val="0"/>
          <w:bCs w:val="0"/>
        </w:rPr>
        <w:t>Respondents broadly supported the ARC process and this proposal with five additionally suggesting that errors should be published.</w:t>
      </w:r>
    </w:p>
    <w:p w14:paraId="52965934" w14:textId="77777777" w:rsidR="00DC020F" w:rsidRPr="006B00F4" w:rsidRDefault="00DC020F" w:rsidP="00DC020F">
      <w:pPr>
        <w:pStyle w:val="Heading3"/>
      </w:pPr>
      <w:r w:rsidRPr="006B00F4">
        <w:t>REGO - amendment and reconciliation</w:t>
      </w:r>
    </w:p>
    <w:p w14:paraId="6CE8F874" w14:textId="77777777" w:rsidR="00DC020F" w:rsidRPr="00DC020F" w:rsidRDefault="00DC020F" w:rsidP="00DC020F">
      <w:pPr>
        <w:pStyle w:val="Calloutbox"/>
      </w:pPr>
      <w:r w:rsidRPr="00DC020F">
        <w:rPr>
          <w:b/>
          <w:bCs/>
        </w:rPr>
        <w:t>Policy position proposal 16:</w:t>
      </w:r>
      <w:r w:rsidRPr="00DC020F">
        <w:t xml:space="preserve"> Where REGOs have incorrect information, they will not be updated and instead will follow an ‘unders’ and ‘overs’ reconciliation process to minimise impacts on the renewable electricity certificate market.</w:t>
      </w:r>
    </w:p>
    <w:p w14:paraId="40906ECE" w14:textId="77777777" w:rsidR="00DC020F" w:rsidRDefault="00DC020F" w:rsidP="00644DDA">
      <w:pPr>
        <w:pStyle w:val="ListParagraph"/>
        <w:numPr>
          <w:ilvl w:val="0"/>
          <w:numId w:val="24"/>
        </w:numPr>
        <w:spacing w:after="0" w:line="276" w:lineRule="auto"/>
        <w:ind w:left="714" w:hanging="357"/>
        <w:contextualSpacing w:val="0"/>
      </w:pPr>
      <w:r>
        <w:t>41</w:t>
      </w:r>
      <w:r w:rsidRPr="002D45CB">
        <w:t xml:space="preserve"> (</w:t>
      </w:r>
      <w:r>
        <w:t>51 per cent</w:t>
      </w:r>
      <w:r w:rsidRPr="002D45CB">
        <w:t xml:space="preserve">) </w:t>
      </w:r>
      <w:r w:rsidRPr="00CE1F4B">
        <w:t xml:space="preserve">of respondents </w:t>
      </w:r>
      <w:r>
        <w:t>broadly agreed with the proposed process for amending REGO certificates</w:t>
      </w:r>
    </w:p>
    <w:p w14:paraId="7FF7A7A1" w14:textId="77777777" w:rsidR="00DC020F" w:rsidRDefault="00DC020F" w:rsidP="00644DDA">
      <w:pPr>
        <w:pStyle w:val="ListParagraph"/>
        <w:numPr>
          <w:ilvl w:val="0"/>
          <w:numId w:val="24"/>
        </w:numPr>
        <w:spacing w:after="0" w:line="276" w:lineRule="auto"/>
        <w:ind w:left="714" w:hanging="357"/>
        <w:contextualSpacing w:val="0"/>
      </w:pPr>
      <w:r>
        <w:t xml:space="preserve">Four (5 per cent) broadly </w:t>
      </w:r>
      <w:proofErr w:type="gramStart"/>
      <w:r>
        <w:t>disagreed</w:t>
      </w:r>
      <w:proofErr w:type="gramEnd"/>
      <w:r>
        <w:t xml:space="preserve"> </w:t>
      </w:r>
    </w:p>
    <w:p w14:paraId="5AE6C0AD" w14:textId="77777777" w:rsidR="00DC020F" w:rsidRDefault="00DC020F" w:rsidP="00644DDA">
      <w:pPr>
        <w:pStyle w:val="ListParagraph"/>
        <w:numPr>
          <w:ilvl w:val="0"/>
          <w:numId w:val="24"/>
        </w:numPr>
        <w:spacing w:after="200" w:line="276" w:lineRule="auto"/>
        <w:contextualSpacing w:val="0"/>
      </w:pPr>
      <w:r>
        <w:t>36 (44 per cent) did not specify a response</w:t>
      </w:r>
    </w:p>
    <w:p w14:paraId="617A89FB" w14:textId="77777777" w:rsidR="00DC020F" w:rsidRPr="002B316D" w:rsidRDefault="00DC020F" w:rsidP="00DC020F">
      <w:pPr>
        <w:rPr>
          <w:rStyle w:val="Strong"/>
          <w:b w:val="0"/>
          <w:bCs w:val="0"/>
        </w:rPr>
      </w:pPr>
      <w:r w:rsidRPr="00CA0BB0">
        <w:t xml:space="preserve">Respondents broadly supported </w:t>
      </w:r>
      <w:r w:rsidRPr="002B316D">
        <w:t>the proposal.</w:t>
      </w:r>
      <w:r w:rsidRPr="002B316D">
        <w:rPr>
          <w:b/>
          <w:bCs/>
        </w:rPr>
        <w:t xml:space="preserve"> </w:t>
      </w:r>
      <w:r w:rsidRPr="002B316D">
        <w:rPr>
          <w:rStyle w:val="Strong"/>
          <w:b w:val="0"/>
          <w:bCs w:val="0"/>
        </w:rPr>
        <w:t>The four that disagreed considered that original and future REGOs may have different values. Two respondents commented that further clarification on the proposal is required.</w:t>
      </w:r>
    </w:p>
    <w:p w14:paraId="37D3BADD" w14:textId="661AB58D" w:rsidR="00735FCF" w:rsidRDefault="00475F4A" w:rsidP="00735FCF">
      <w:pPr>
        <w:pStyle w:val="Authoranddate"/>
        <w:rPr>
          <w:rFonts w:eastAsiaTheme="majorEastAsia"/>
        </w:rPr>
      </w:pPr>
      <w:r w:rsidRPr="00475F4A">
        <w:rPr>
          <w:rFonts w:asciiTheme="majorHAnsi" w:eastAsiaTheme="majorEastAsia" w:hAnsiTheme="majorHAnsi" w:cstheme="majorBidi"/>
          <w:color w:val="005677" w:themeColor="text2"/>
          <w:szCs w:val="48"/>
        </w:rPr>
        <w:t>Interactions with other schemes</w:t>
      </w:r>
    </w:p>
    <w:p w14:paraId="3E13FA92" w14:textId="77777777" w:rsidR="006A418C" w:rsidRPr="00C476E5" w:rsidRDefault="006A418C" w:rsidP="006A418C">
      <w:pPr>
        <w:pStyle w:val="Heading3"/>
      </w:pPr>
      <w:r w:rsidRPr="00C476E5">
        <w:t>National emissions accounting</w:t>
      </w:r>
    </w:p>
    <w:p w14:paraId="1F808A69" w14:textId="77777777" w:rsidR="006A418C" w:rsidRPr="006A418C" w:rsidRDefault="006A418C" w:rsidP="006A418C">
      <w:pPr>
        <w:pStyle w:val="Calloutbox"/>
      </w:pPr>
      <w:r w:rsidRPr="006A418C">
        <w:rPr>
          <w:b/>
          <w:bCs/>
        </w:rPr>
        <w:t>Policy position proposal 17:</w:t>
      </w:r>
      <w:r w:rsidRPr="006A418C">
        <w:t xml:space="preserve"> The Department proposes the GO scheme methodologies will align where possible with the NGER and the Safeguard mechanism.</w:t>
      </w:r>
    </w:p>
    <w:p w14:paraId="214AA0AF" w14:textId="77777777" w:rsidR="006A418C" w:rsidRDefault="006A418C" w:rsidP="00644DDA">
      <w:pPr>
        <w:pStyle w:val="ListParagraph"/>
        <w:numPr>
          <w:ilvl w:val="0"/>
          <w:numId w:val="26"/>
        </w:numPr>
        <w:spacing w:after="0" w:line="276" w:lineRule="auto"/>
        <w:ind w:left="714" w:hanging="357"/>
        <w:contextualSpacing w:val="0"/>
      </w:pPr>
      <w:r>
        <w:t>52</w:t>
      </w:r>
      <w:r w:rsidRPr="002D45CB">
        <w:t xml:space="preserve"> (</w:t>
      </w:r>
      <w:r>
        <w:t>64 per cent</w:t>
      </w:r>
      <w:r w:rsidRPr="002D45CB">
        <w:t xml:space="preserve">) </w:t>
      </w:r>
      <w:r w:rsidRPr="00CE1F4B">
        <w:t xml:space="preserve">of respondents </w:t>
      </w:r>
      <w:r>
        <w:t>broadly agreed that aligning the GO scheme with existing emissions accounting schemes was important.</w:t>
      </w:r>
    </w:p>
    <w:p w14:paraId="47031870" w14:textId="77777777" w:rsidR="006A418C" w:rsidRDefault="006A418C" w:rsidP="00644DDA">
      <w:pPr>
        <w:pStyle w:val="ListParagraph"/>
        <w:numPr>
          <w:ilvl w:val="0"/>
          <w:numId w:val="26"/>
        </w:numPr>
        <w:spacing w:after="0" w:line="276" w:lineRule="auto"/>
        <w:ind w:left="714" w:hanging="357"/>
        <w:contextualSpacing w:val="0"/>
      </w:pPr>
      <w:r>
        <w:t xml:space="preserve">One (one per cent) broadly </w:t>
      </w:r>
      <w:proofErr w:type="gramStart"/>
      <w:r>
        <w:t>disagreed</w:t>
      </w:r>
      <w:proofErr w:type="gramEnd"/>
    </w:p>
    <w:p w14:paraId="5CCD69BC" w14:textId="77777777" w:rsidR="006A418C" w:rsidRDefault="006A418C" w:rsidP="00644DDA">
      <w:pPr>
        <w:pStyle w:val="ListParagraph"/>
        <w:numPr>
          <w:ilvl w:val="0"/>
          <w:numId w:val="26"/>
        </w:numPr>
        <w:spacing w:after="200" w:line="276" w:lineRule="auto"/>
        <w:contextualSpacing w:val="0"/>
      </w:pPr>
      <w:r>
        <w:t>28 (35 per cent) did not specify a response</w:t>
      </w:r>
    </w:p>
    <w:p w14:paraId="4F5E4476" w14:textId="77777777" w:rsidR="006A418C" w:rsidRDefault="006A418C" w:rsidP="006A418C">
      <w:r w:rsidRPr="00AC7266">
        <w:t xml:space="preserve">Respondents </w:t>
      </w:r>
      <w:r>
        <w:t>broadly supported the proposal with nine</w:t>
      </w:r>
      <w:r w:rsidRPr="00890D9A">
        <w:t xml:space="preserve"> respondents </w:t>
      </w:r>
      <w:r>
        <w:t xml:space="preserve">citing reduced </w:t>
      </w:r>
      <w:r w:rsidRPr="00357CD8">
        <w:t>administrative burden</w:t>
      </w:r>
      <w:r>
        <w:t>. Three respondents commented that international alignment is also of importance; two more respondents mentioned alignment with similar domestic State and Territory based schemes.</w:t>
      </w:r>
    </w:p>
    <w:p w14:paraId="6E7543AC" w14:textId="77777777" w:rsidR="006A418C" w:rsidRPr="00384AC9" w:rsidRDefault="006A418C" w:rsidP="006A418C">
      <w:pPr>
        <w:pStyle w:val="Heading3"/>
      </w:pPr>
      <w:r w:rsidRPr="00384AC9">
        <w:lastRenderedPageBreak/>
        <w:t>Incentive schemes</w:t>
      </w:r>
    </w:p>
    <w:p w14:paraId="23B21167" w14:textId="77777777" w:rsidR="006A418C" w:rsidRPr="006A418C" w:rsidRDefault="006A418C" w:rsidP="006A418C">
      <w:pPr>
        <w:pStyle w:val="Calloutbox"/>
      </w:pPr>
      <w:r w:rsidRPr="006A418C">
        <w:rPr>
          <w:b/>
          <w:bCs/>
        </w:rPr>
        <w:t>Policy position proposal 18:</w:t>
      </w:r>
      <w:r w:rsidRPr="006A418C">
        <w:t xml:space="preserve"> The CER will be able to establish formal data sharing arrangements with the administrators of these schemes to streamline the creation process.</w:t>
      </w:r>
    </w:p>
    <w:p w14:paraId="01524FE6" w14:textId="77777777" w:rsidR="006A418C" w:rsidRDefault="006A418C" w:rsidP="006A418C">
      <w:pPr>
        <w:contextualSpacing/>
      </w:pPr>
      <w:r>
        <w:t>Feedback was sought on a range of other schemes and how the GO scheme would align with these schemes.</w:t>
      </w:r>
    </w:p>
    <w:p w14:paraId="4DCFD5DD" w14:textId="77777777" w:rsidR="006A418C" w:rsidRDefault="006A418C" w:rsidP="00644DDA">
      <w:pPr>
        <w:pStyle w:val="ListParagraph"/>
        <w:numPr>
          <w:ilvl w:val="0"/>
          <w:numId w:val="25"/>
        </w:numPr>
        <w:spacing w:after="200" w:line="276" w:lineRule="auto"/>
        <w:ind w:left="714" w:hanging="357"/>
      </w:pPr>
      <w:r>
        <w:t>48</w:t>
      </w:r>
      <w:r w:rsidRPr="002D45CB">
        <w:t xml:space="preserve"> (</w:t>
      </w:r>
      <w:r>
        <w:t>59 per cent</w:t>
      </w:r>
      <w:r w:rsidRPr="002D45CB">
        <w:t xml:space="preserve">) </w:t>
      </w:r>
      <w:r w:rsidRPr="00CE1F4B">
        <w:t xml:space="preserve">of respondents </w:t>
      </w:r>
      <w:r>
        <w:t>broadly agreed that the CER is best placed to work with the administrators of other schemes.</w:t>
      </w:r>
    </w:p>
    <w:p w14:paraId="394C58AD" w14:textId="77777777" w:rsidR="006A418C" w:rsidRDefault="006A418C" w:rsidP="00644DDA">
      <w:pPr>
        <w:pStyle w:val="ListParagraph"/>
        <w:numPr>
          <w:ilvl w:val="0"/>
          <w:numId w:val="25"/>
        </w:numPr>
        <w:spacing w:after="200" w:line="276" w:lineRule="auto"/>
        <w:ind w:left="714" w:hanging="357"/>
      </w:pPr>
      <w:r>
        <w:t xml:space="preserve">Nil broadly </w:t>
      </w:r>
      <w:proofErr w:type="gramStart"/>
      <w:r>
        <w:t>disagreed</w:t>
      </w:r>
      <w:proofErr w:type="gramEnd"/>
    </w:p>
    <w:p w14:paraId="40F2BE89" w14:textId="77777777" w:rsidR="006A418C" w:rsidRDefault="006A418C" w:rsidP="00644DDA">
      <w:pPr>
        <w:pStyle w:val="ListParagraph"/>
        <w:numPr>
          <w:ilvl w:val="0"/>
          <w:numId w:val="25"/>
        </w:numPr>
        <w:spacing w:after="200" w:line="276" w:lineRule="auto"/>
        <w:ind w:left="714" w:hanging="357"/>
      </w:pPr>
      <w:r>
        <w:t>33 (41 per cent) did not specify a response</w:t>
      </w:r>
    </w:p>
    <w:p w14:paraId="3B8477DE" w14:textId="77777777" w:rsidR="006A418C" w:rsidRDefault="006A418C" w:rsidP="006A418C">
      <w:r>
        <w:t>Among those who expressed support for this proposal, 11 respondents commented that such an approach will yield a s</w:t>
      </w:r>
      <w:r w:rsidRPr="001D46DF">
        <w:t>ingle source of truth to support other mechanisms</w:t>
      </w:r>
      <w:r>
        <w:t xml:space="preserve">. Some suggested participant approval would be </w:t>
      </w:r>
      <w:proofErr w:type="gramStart"/>
      <w:r>
        <w:t>required</w:t>
      </w:r>
      <w:proofErr w:type="gramEnd"/>
      <w:r>
        <w:t xml:space="preserve"> </w:t>
      </w:r>
    </w:p>
    <w:p w14:paraId="63F76147" w14:textId="77777777" w:rsidR="006A418C" w:rsidRPr="000E0678" w:rsidRDefault="006A418C" w:rsidP="006A418C">
      <w:pPr>
        <w:rPr>
          <w:u w:val="single"/>
        </w:rPr>
      </w:pPr>
      <w:r w:rsidRPr="000E0678">
        <w:rPr>
          <w:i/>
          <w:iCs/>
          <w:u w:val="single"/>
        </w:rPr>
        <w:t>Recommended position: CER to establish formal data sharing arrangements with the administrators of existing schemes.</w:t>
      </w:r>
    </w:p>
    <w:p w14:paraId="20A26246" w14:textId="273197C1" w:rsidR="0094749A" w:rsidRDefault="00FF3AD4" w:rsidP="0094749A">
      <w:pPr>
        <w:pStyle w:val="Authoranddate"/>
        <w:rPr>
          <w:rFonts w:eastAsiaTheme="majorEastAsia"/>
        </w:rPr>
      </w:pPr>
      <w:r w:rsidRPr="00FF3AD4">
        <w:rPr>
          <w:rFonts w:asciiTheme="majorHAnsi" w:eastAsiaTheme="majorEastAsia" w:hAnsiTheme="majorHAnsi" w:cstheme="majorBidi"/>
          <w:color w:val="005677" w:themeColor="text2"/>
          <w:szCs w:val="48"/>
        </w:rPr>
        <w:t>Emissions accounting</w:t>
      </w:r>
    </w:p>
    <w:p w14:paraId="1A44A316" w14:textId="77777777" w:rsidR="00FB09FE" w:rsidRPr="00FB09FE" w:rsidRDefault="00FB09FE" w:rsidP="00FB09FE">
      <w:pPr>
        <w:pStyle w:val="Calloutbox"/>
      </w:pPr>
      <w:r w:rsidRPr="00FB09FE">
        <w:rPr>
          <w:b/>
          <w:bCs/>
        </w:rPr>
        <w:t>Policy position proposal 19:</w:t>
      </w:r>
      <w:r w:rsidRPr="00FB09FE">
        <w:t xml:space="preserve"> Material emissions sources that must be measured for each product and production pathway will be specified in the methodologies. The sources will be selected based on materiality threshold of 2.5% of total emissions per source.</w:t>
      </w:r>
    </w:p>
    <w:p w14:paraId="563141A2" w14:textId="77777777" w:rsidR="00FB09FE" w:rsidRDefault="00FB09FE" w:rsidP="00644DDA">
      <w:pPr>
        <w:pStyle w:val="ListParagraph"/>
        <w:numPr>
          <w:ilvl w:val="0"/>
          <w:numId w:val="27"/>
        </w:numPr>
        <w:spacing w:after="0" w:line="276" w:lineRule="auto"/>
        <w:contextualSpacing w:val="0"/>
      </w:pPr>
      <w:r>
        <w:t>42</w:t>
      </w:r>
      <w:r w:rsidRPr="002D45CB">
        <w:t xml:space="preserve"> (</w:t>
      </w:r>
      <w:r>
        <w:t>52 per cent</w:t>
      </w:r>
      <w:r w:rsidRPr="002D45CB">
        <w:t xml:space="preserve">) </w:t>
      </w:r>
      <w:r w:rsidRPr="00CE1F4B">
        <w:t xml:space="preserve">of respondents </w:t>
      </w:r>
      <w:r>
        <w:t>broadly agreed.</w:t>
      </w:r>
    </w:p>
    <w:p w14:paraId="3AAFB7FF" w14:textId="77777777" w:rsidR="00FB09FE" w:rsidRDefault="00FB09FE" w:rsidP="00644DDA">
      <w:pPr>
        <w:pStyle w:val="ListParagraph"/>
        <w:numPr>
          <w:ilvl w:val="0"/>
          <w:numId w:val="27"/>
        </w:numPr>
        <w:spacing w:after="0" w:line="276" w:lineRule="auto"/>
        <w:contextualSpacing w:val="0"/>
      </w:pPr>
      <w:r>
        <w:t xml:space="preserve">One (one per cent) broadly </w:t>
      </w:r>
      <w:proofErr w:type="gramStart"/>
      <w:r>
        <w:t>disagreed</w:t>
      </w:r>
      <w:proofErr w:type="gramEnd"/>
      <w:r>
        <w:t xml:space="preserve"> </w:t>
      </w:r>
    </w:p>
    <w:p w14:paraId="02328ACE" w14:textId="77777777" w:rsidR="00FB09FE" w:rsidRDefault="00FB09FE" w:rsidP="00644DDA">
      <w:pPr>
        <w:pStyle w:val="ListParagraph"/>
        <w:numPr>
          <w:ilvl w:val="0"/>
          <w:numId w:val="27"/>
        </w:numPr>
        <w:spacing w:after="0" w:line="276" w:lineRule="auto"/>
        <w:contextualSpacing w:val="0"/>
      </w:pPr>
      <w:r>
        <w:t xml:space="preserve">Two (two per cent) neither agreed nor </w:t>
      </w:r>
      <w:proofErr w:type="gramStart"/>
      <w:r>
        <w:t>disagreed</w:t>
      </w:r>
      <w:proofErr w:type="gramEnd"/>
      <w:r>
        <w:t xml:space="preserve"> </w:t>
      </w:r>
    </w:p>
    <w:p w14:paraId="6803BA27" w14:textId="77777777" w:rsidR="00FB09FE" w:rsidRDefault="00FB09FE" w:rsidP="00644DDA">
      <w:pPr>
        <w:pStyle w:val="ListParagraph"/>
        <w:numPr>
          <w:ilvl w:val="0"/>
          <w:numId w:val="27"/>
        </w:numPr>
        <w:spacing w:after="200" w:line="276" w:lineRule="auto"/>
        <w:contextualSpacing w:val="0"/>
      </w:pPr>
      <w:r>
        <w:t>36 (44 per cent) did not specify a response</w:t>
      </w:r>
    </w:p>
    <w:p w14:paraId="720968A6" w14:textId="77777777" w:rsidR="00FB09FE" w:rsidRDefault="00FB09FE" w:rsidP="00FB09FE">
      <w:r>
        <w:t>Various suggestions related to methodologies were received in response to this proposal. Four respondents s</w:t>
      </w:r>
      <w:r w:rsidRPr="001B6528">
        <w:t>uggest</w:t>
      </w:r>
      <w:r>
        <w:t>ed</w:t>
      </w:r>
      <w:r w:rsidRPr="001B6528">
        <w:t xml:space="preserve"> ongoing reviews of </w:t>
      </w:r>
      <w:r>
        <w:t xml:space="preserve">the 2.5% materiality </w:t>
      </w:r>
      <w:r w:rsidRPr="001B6528">
        <w:t>threshold</w:t>
      </w:r>
      <w:r>
        <w:t>; three respondents suggested that immaterial emissions sources s</w:t>
      </w:r>
      <w:r w:rsidRPr="00856560">
        <w:t>hould be measured once and excluded ongoing until subject to review</w:t>
      </w:r>
      <w:r>
        <w:t>. Six respondents requested more detail on this proposal.</w:t>
      </w:r>
    </w:p>
    <w:p w14:paraId="6E008A29" w14:textId="77777777" w:rsidR="00FB09FE" w:rsidRDefault="00FB09FE" w:rsidP="00FB09FE">
      <w:r>
        <w:t xml:space="preserve">Another concern raised was the definition of CCS as ‘permanent storage’ </w:t>
      </w:r>
      <w:proofErr w:type="gramStart"/>
      <w:r>
        <w:t>in order to</w:t>
      </w:r>
      <w:proofErr w:type="gramEnd"/>
      <w:r>
        <w:t xml:space="preserve"> be considered an emissions removal. Demonstrating the permanence of CCS was considered as near impossible and as such, the current definition would eliminate possibility of CCS projects connected to hydrogen production facilities. An adjustment in language to ‘long-term storage’ would enable greater flexibility. The Department will continue to work with the Clean Energy Regulator and National Inventory teams to ensure consistent application of CCS emissions reduction values across Government schemes. </w:t>
      </w:r>
    </w:p>
    <w:p w14:paraId="321F04EE" w14:textId="0FAA9463" w:rsidR="00A76530" w:rsidRDefault="00B27652" w:rsidP="00A76530">
      <w:pPr>
        <w:pStyle w:val="Authoranddate"/>
        <w:rPr>
          <w:rFonts w:eastAsiaTheme="majorEastAsia"/>
        </w:rPr>
      </w:pPr>
      <w:r w:rsidRPr="00B27652">
        <w:rPr>
          <w:rFonts w:asciiTheme="majorHAnsi" w:eastAsiaTheme="majorEastAsia" w:hAnsiTheme="majorHAnsi" w:cstheme="majorBidi"/>
          <w:color w:val="005677" w:themeColor="text2"/>
          <w:szCs w:val="48"/>
        </w:rPr>
        <w:t>Treatment of offsets and double counting</w:t>
      </w:r>
    </w:p>
    <w:p w14:paraId="045C6714" w14:textId="77777777" w:rsidR="00F83DF7" w:rsidRPr="0099708D" w:rsidRDefault="00F83DF7" w:rsidP="00F83DF7">
      <w:pPr>
        <w:pStyle w:val="Calloutbox"/>
      </w:pPr>
      <w:r w:rsidRPr="006D7503">
        <w:rPr>
          <w:b/>
          <w:bCs/>
        </w:rPr>
        <w:t>Policy position proposal 20:</w:t>
      </w:r>
      <w:r w:rsidRPr="0099708D">
        <w:t xml:space="preserve"> ACCUs issued from within the system boundary will need to be surrendered for the emissions reductions to be recognised under the GO scheme. ACCUs or other </w:t>
      </w:r>
      <w:r w:rsidRPr="0099708D">
        <w:lastRenderedPageBreak/>
        <w:t>carbon offsets cannot be used to reduce the emissions intensity of products listed on GO certificates.</w:t>
      </w:r>
    </w:p>
    <w:p w14:paraId="67EB12F3" w14:textId="77777777" w:rsidR="00F83DF7" w:rsidRDefault="00F83DF7" w:rsidP="00644DDA">
      <w:pPr>
        <w:pStyle w:val="ListParagraph"/>
        <w:numPr>
          <w:ilvl w:val="0"/>
          <w:numId w:val="28"/>
        </w:numPr>
        <w:spacing w:after="200" w:line="276" w:lineRule="auto"/>
        <w:ind w:left="714" w:hanging="357"/>
      </w:pPr>
      <w:r>
        <w:t>46</w:t>
      </w:r>
      <w:r w:rsidRPr="002D45CB">
        <w:t xml:space="preserve"> (</w:t>
      </w:r>
      <w:r>
        <w:t>57 per cent</w:t>
      </w:r>
      <w:r w:rsidRPr="002D45CB">
        <w:t xml:space="preserve">) </w:t>
      </w:r>
      <w:r w:rsidRPr="00CE1F4B">
        <w:t xml:space="preserve">of respondents </w:t>
      </w:r>
      <w:r>
        <w:t>broadly agreed with the proposal.</w:t>
      </w:r>
    </w:p>
    <w:p w14:paraId="4042E652" w14:textId="77777777" w:rsidR="00F83DF7" w:rsidRDefault="00F83DF7" w:rsidP="00644DDA">
      <w:pPr>
        <w:pStyle w:val="ListParagraph"/>
        <w:numPr>
          <w:ilvl w:val="0"/>
          <w:numId w:val="28"/>
        </w:numPr>
        <w:spacing w:after="200" w:line="276" w:lineRule="auto"/>
        <w:ind w:left="714" w:hanging="357"/>
      </w:pPr>
      <w:r>
        <w:t xml:space="preserve">Seven (eight per cent) broadly </w:t>
      </w:r>
      <w:proofErr w:type="gramStart"/>
      <w:r>
        <w:t>disagreed</w:t>
      </w:r>
      <w:proofErr w:type="gramEnd"/>
    </w:p>
    <w:p w14:paraId="618A9CCC" w14:textId="77777777" w:rsidR="00F83DF7" w:rsidRDefault="00F83DF7" w:rsidP="00644DDA">
      <w:pPr>
        <w:pStyle w:val="ListParagraph"/>
        <w:keepNext/>
        <w:numPr>
          <w:ilvl w:val="0"/>
          <w:numId w:val="28"/>
        </w:numPr>
        <w:spacing w:after="200" w:line="276" w:lineRule="auto"/>
        <w:ind w:left="714" w:hanging="357"/>
      </w:pPr>
      <w:r>
        <w:t xml:space="preserve">One (once per cent) neither agreed nor </w:t>
      </w:r>
      <w:proofErr w:type="gramStart"/>
      <w:r>
        <w:t>disagreed</w:t>
      </w:r>
      <w:proofErr w:type="gramEnd"/>
      <w:r>
        <w:t xml:space="preserve"> </w:t>
      </w:r>
    </w:p>
    <w:p w14:paraId="1DAE231D" w14:textId="77777777" w:rsidR="00F83DF7" w:rsidRDefault="00F83DF7" w:rsidP="00644DDA">
      <w:pPr>
        <w:pStyle w:val="ListParagraph"/>
        <w:numPr>
          <w:ilvl w:val="0"/>
          <w:numId w:val="28"/>
        </w:numPr>
        <w:spacing w:after="200" w:line="276" w:lineRule="auto"/>
        <w:ind w:left="714" w:hanging="357"/>
      </w:pPr>
      <w:r>
        <w:t>28 (35 per cent) did not specify a response</w:t>
      </w:r>
    </w:p>
    <w:p w14:paraId="3C85E3AE" w14:textId="77777777" w:rsidR="00F83DF7" w:rsidRPr="00F83DF7" w:rsidRDefault="00F83DF7" w:rsidP="00F83DF7">
      <w:pPr>
        <w:rPr>
          <w:rStyle w:val="Advisorytext"/>
          <w:color w:val="auto"/>
        </w:rPr>
      </w:pPr>
      <w:r w:rsidRPr="00F83DF7">
        <w:rPr>
          <w:rStyle w:val="Advisorytext"/>
          <w:color w:val="auto"/>
        </w:rPr>
        <w:t xml:space="preserve">This proposal relates to the requirement for offsets generated within the system boundary, such as through CCS, to be surrendered to claim the emissions reduction. </w:t>
      </w:r>
      <w:proofErr w:type="gramStart"/>
      <w:r w:rsidRPr="00F83DF7">
        <w:rPr>
          <w:rStyle w:val="Advisorytext"/>
          <w:color w:val="auto"/>
        </w:rPr>
        <w:t>The vast majority of</w:t>
      </w:r>
      <w:proofErr w:type="gramEnd"/>
      <w:r w:rsidRPr="00F83DF7">
        <w:rPr>
          <w:rStyle w:val="Advisorytext"/>
          <w:color w:val="auto"/>
        </w:rPr>
        <w:t xml:space="preserve"> stakeholders supported this approach and considered it would help prevent double counting between the proposed GO scheme and the existing Emissions Reduction Fund.</w:t>
      </w:r>
    </w:p>
    <w:p w14:paraId="777C635F" w14:textId="77777777" w:rsidR="00F83DF7" w:rsidRPr="00F83DF7" w:rsidRDefault="00F83DF7" w:rsidP="00F83DF7">
      <w:pPr>
        <w:rPr>
          <w:rStyle w:val="Advisorytext"/>
          <w:color w:val="auto"/>
        </w:rPr>
      </w:pPr>
      <w:r w:rsidRPr="00F83DF7">
        <w:rPr>
          <w:rStyle w:val="Advisorytext"/>
          <w:color w:val="auto"/>
        </w:rPr>
        <w:t xml:space="preserve">The proposal also put forward </w:t>
      </w:r>
      <w:proofErr w:type="gramStart"/>
      <w:r w:rsidRPr="00F83DF7">
        <w:rPr>
          <w:rStyle w:val="Advisorytext"/>
          <w:color w:val="auto"/>
        </w:rPr>
        <w:t>that offsets</w:t>
      </w:r>
      <w:proofErr w:type="gramEnd"/>
      <w:r w:rsidRPr="00F83DF7">
        <w:rPr>
          <w:rStyle w:val="Advisorytext"/>
          <w:color w:val="auto"/>
        </w:rPr>
        <w:t xml:space="preserve"> generated outside of the system boundary, such as for afforestation, would not be able to be used in the scheme. </w:t>
      </w:r>
    </w:p>
    <w:p w14:paraId="79FD398E" w14:textId="77777777" w:rsidR="00F83DF7" w:rsidRPr="00F83DF7" w:rsidRDefault="00F83DF7" w:rsidP="00F83DF7">
      <w:pPr>
        <w:rPr>
          <w:rStyle w:val="Advisorytext"/>
          <w:color w:val="auto"/>
        </w:rPr>
      </w:pPr>
      <w:r w:rsidRPr="00F83DF7">
        <w:rPr>
          <w:rStyle w:val="Advisorytext"/>
          <w:color w:val="auto"/>
        </w:rPr>
        <w:t xml:space="preserve">Forty-three stakeholders agreed with this </w:t>
      </w:r>
      <w:proofErr w:type="gramStart"/>
      <w:r w:rsidRPr="00F83DF7">
        <w:rPr>
          <w:rStyle w:val="Advisorytext"/>
          <w:color w:val="auto"/>
        </w:rPr>
        <w:t>approach</w:t>
      </w:r>
      <w:proofErr w:type="gramEnd"/>
      <w:r w:rsidRPr="00F83DF7">
        <w:rPr>
          <w:rStyle w:val="Advisorytext"/>
          <w:color w:val="auto"/>
        </w:rPr>
        <w:t xml:space="preserve"> and many considered that the use of offsets generated outside of the boundary would risk the credibility of the scheme and its acceptance internationally. </w:t>
      </w:r>
    </w:p>
    <w:p w14:paraId="0295FB25" w14:textId="77777777" w:rsidR="00F83DF7" w:rsidRDefault="00F83DF7" w:rsidP="00F83DF7">
      <w:r w:rsidRPr="00CC1CFE">
        <w:t>Seven stakeholders c</w:t>
      </w:r>
      <w:r>
        <w:t xml:space="preserve">alled for the GO scheme to </w:t>
      </w:r>
      <w:r w:rsidRPr="00CC1CFE">
        <w:t>allow for offsets outside of the system boundary to be surrendered to claim further emissions reductions</w:t>
      </w:r>
      <w:r>
        <w:t xml:space="preserve">. </w:t>
      </w:r>
      <w:r w:rsidRPr="00CC1CFE">
        <w:t>This group broadly considered that the use of offsets outside the system boundary would increase the flexibility of business models and supporting greater investment</w:t>
      </w:r>
      <w:r>
        <w:t xml:space="preserve">. Three respondents advocated for </w:t>
      </w:r>
      <w:r w:rsidRPr="00A13BF6">
        <w:t>inclu</w:t>
      </w:r>
      <w:r>
        <w:t>sion of</w:t>
      </w:r>
      <w:r w:rsidRPr="00A13BF6">
        <w:t xml:space="preserve"> ACCUs </w:t>
      </w:r>
      <w:r>
        <w:t xml:space="preserve">from </w:t>
      </w:r>
      <w:r w:rsidRPr="00A13BF6">
        <w:t xml:space="preserve">outside </w:t>
      </w:r>
      <w:r>
        <w:t>the</w:t>
      </w:r>
      <w:r w:rsidRPr="00A13BF6">
        <w:t xml:space="preserve"> boundary</w:t>
      </w:r>
      <w:r>
        <w:t xml:space="preserve"> as to remain </w:t>
      </w:r>
      <w:r w:rsidRPr="00A13BF6">
        <w:t>consistent with Safeguard</w:t>
      </w:r>
      <w:r>
        <w:t xml:space="preserve"> Mechanism.</w:t>
      </w:r>
    </w:p>
    <w:p w14:paraId="4ED065F9" w14:textId="77777777" w:rsidR="00F83DF7" w:rsidRDefault="00F83DF7" w:rsidP="00F83DF7">
      <w:pPr>
        <w:rPr>
          <w:i/>
          <w:iCs/>
          <w:u w:val="single"/>
        </w:rPr>
      </w:pPr>
      <w:r>
        <w:t xml:space="preserve">Some submitters suggested the scheme should be adaptable to the inclusion of offsets in the future where emissions reductions are permanent. </w:t>
      </w:r>
    </w:p>
    <w:p w14:paraId="110F6223" w14:textId="3735CF97" w:rsidR="00E907E2" w:rsidRDefault="008B6F53" w:rsidP="00E907E2">
      <w:pPr>
        <w:pStyle w:val="Authoranddate"/>
        <w:rPr>
          <w:rFonts w:eastAsiaTheme="majorEastAsia"/>
        </w:rPr>
      </w:pPr>
      <w:r w:rsidRPr="008B6F53">
        <w:rPr>
          <w:rFonts w:asciiTheme="majorHAnsi" w:eastAsiaTheme="majorEastAsia" w:hAnsiTheme="majorHAnsi" w:cstheme="majorBidi"/>
          <w:color w:val="005677" w:themeColor="text2"/>
          <w:szCs w:val="48"/>
        </w:rPr>
        <w:t>Tracking renewable electricity</w:t>
      </w:r>
    </w:p>
    <w:p w14:paraId="02C52519" w14:textId="77777777" w:rsidR="009359D3" w:rsidRPr="009D3B09" w:rsidRDefault="009359D3" w:rsidP="009359D3">
      <w:pPr>
        <w:pStyle w:val="Heading3"/>
      </w:pPr>
      <w:r w:rsidRPr="009D3B09">
        <w:t>Market-based accounting</w:t>
      </w:r>
    </w:p>
    <w:p w14:paraId="602CEBA6" w14:textId="77777777" w:rsidR="009359D3" w:rsidRDefault="009359D3" w:rsidP="009359D3">
      <w:pPr>
        <w:pStyle w:val="Calloutbox"/>
      </w:pPr>
      <w:r w:rsidRPr="009359D3">
        <w:rPr>
          <w:b/>
          <w:bCs/>
        </w:rPr>
        <w:t>Policy position proposal 21:</w:t>
      </w:r>
      <w:r w:rsidRPr="00ED0A7F">
        <w:t xml:space="preserve"> LGCs and REGOs will be used to demonstrate renewable electricity use. Behind the meter or directly supplied renewable electricity will not require certificate surrender if none were created.</w:t>
      </w:r>
    </w:p>
    <w:p w14:paraId="365928A8" w14:textId="77777777" w:rsidR="009359D3" w:rsidRDefault="009359D3" w:rsidP="00644DDA">
      <w:pPr>
        <w:pStyle w:val="ListParagraph"/>
        <w:numPr>
          <w:ilvl w:val="0"/>
          <w:numId w:val="29"/>
        </w:numPr>
        <w:spacing w:after="200" w:line="276" w:lineRule="auto"/>
        <w:ind w:left="714" w:hanging="357"/>
      </w:pPr>
      <w:r>
        <w:t>48</w:t>
      </w:r>
      <w:r w:rsidRPr="002D45CB">
        <w:t xml:space="preserve"> (</w:t>
      </w:r>
      <w:r>
        <w:t>59 per cent</w:t>
      </w:r>
      <w:r w:rsidRPr="002D45CB">
        <w:t xml:space="preserve">) </w:t>
      </w:r>
      <w:r w:rsidRPr="00CE1F4B">
        <w:t xml:space="preserve">of respondents </w:t>
      </w:r>
      <w:r>
        <w:t>broadly agreed with the proposed market-based accounting approach.</w:t>
      </w:r>
    </w:p>
    <w:p w14:paraId="15798E59" w14:textId="77777777" w:rsidR="009359D3" w:rsidRDefault="009359D3" w:rsidP="00644DDA">
      <w:pPr>
        <w:pStyle w:val="ListParagraph"/>
        <w:numPr>
          <w:ilvl w:val="0"/>
          <w:numId w:val="29"/>
        </w:numPr>
        <w:spacing w:after="200" w:line="276" w:lineRule="auto"/>
        <w:ind w:left="714" w:hanging="357"/>
      </w:pPr>
      <w:r>
        <w:t xml:space="preserve">Five (six per cent) broadly </w:t>
      </w:r>
      <w:proofErr w:type="gramStart"/>
      <w:r>
        <w:t>disagreed</w:t>
      </w:r>
      <w:proofErr w:type="gramEnd"/>
      <w:r>
        <w:t xml:space="preserve"> </w:t>
      </w:r>
    </w:p>
    <w:p w14:paraId="7356B396" w14:textId="77777777" w:rsidR="009359D3" w:rsidRDefault="009359D3" w:rsidP="00644DDA">
      <w:pPr>
        <w:pStyle w:val="ListParagraph"/>
        <w:numPr>
          <w:ilvl w:val="0"/>
          <w:numId w:val="29"/>
        </w:numPr>
        <w:spacing w:after="200" w:line="276" w:lineRule="auto"/>
        <w:ind w:left="714" w:hanging="357"/>
      </w:pPr>
      <w:r>
        <w:t>28 (35 per cent) did not specify a response</w:t>
      </w:r>
    </w:p>
    <w:p w14:paraId="603477BA" w14:textId="77777777" w:rsidR="009359D3" w:rsidRDefault="009359D3" w:rsidP="009359D3">
      <w:r>
        <w:t xml:space="preserve">There was broad support for this proposal and many specifically supporting a market-based approach for renewable electricity accounting for clean products. Despite the broad support, respondents expressed a need for more detail on the mechanics in using both LGCs and REGOs for product GOs. </w:t>
      </w:r>
    </w:p>
    <w:p w14:paraId="57E20CAF" w14:textId="77777777" w:rsidR="009359D3" w:rsidRDefault="009359D3" w:rsidP="009359D3">
      <w:r>
        <w:t xml:space="preserve">This proposal suggests if the renewable energy generator never created LGCs or REGOs for the electricity that was directly connected to the H2 facility, then certificates don’t need to be created and the producer can simply provide meter data to claim the renewable electricity powering the facility. There were also some differing views presented on the coverage of the </w:t>
      </w:r>
      <w:r>
        <w:lastRenderedPageBreak/>
        <w:t>REGO to include behind the meter renewable electricity or generation from small-sized systems (less than 100kW). These views and the recommended policy position will be covered in the s</w:t>
      </w:r>
      <w:r w:rsidRPr="00736785">
        <w:t>ummary of REGO submissions.</w:t>
      </w:r>
      <w:r>
        <w:t xml:space="preserve"> </w:t>
      </w:r>
    </w:p>
    <w:p w14:paraId="3F6D4B02" w14:textId="093A31ED" w:rsidR="008C50A4" w:rsidRDefault="007A0478" w:rsidP="008C50A4">
      <w:pPr>
        <w:pStyle w:val="Authoranddate"/>
        <w:rPr>
          <w:rFonts w:eastAsiaTheme="majorEastAsia"/>
        </w:rPr>
      </w:pPr>
      <w:r w:rsidRPr="007A0478">
        <w:rPr>
          <w:rFonts w:asciiTheme="majorHAnsi" w:eastAsiaTheme="majorEastAsia" w:hAnsiTheme="majorHAnsi" w:cstheme="majorBidi"/>
          <w:color w:val="005677" w:themeColor="text2"/>
          <w:szCs w:val="48"/>
        </w:rPr>
        <w:t>Residual Mix Factor</w:t>
      </w:r>
    </w:p>
    <w:p w14:paraId="2CD28C1D" w14:textId="77777777" w:rsidR="00655300" w:rsidRPr="00D24A43" w:rsidRDefault="00655300" w:rsidP="00655300">
      <w:pPr>
        <w:pStyle w:val="Heading3"/>
      </w:pPr>
      <w:r w:rsidRPr="00D24A43">
        <w:t>Emissions factors and residual mix factors</w:t>
      </w:r>
    </w:p>
    <w:p w14:paraId="24560DB4" w14:textId="77777777" w:rsidR="00655300" w:rsidRPr="00997759" w:rsidRDefault="00655300" w:rsidP="00655300">
      <w:pPr>
        <w:pStyle w:val="Calloutbox"/>
      </w:pPr>
      <w:r w:rsidRPr="008C2CFB">
        <w:rPr>
          <w:b/>
          <w:bCs/>
        </w:rPr>
        <w:t>Policy position proposal 22:</w:t>
      </w:r>
      <w:r w:rsidRPr="00997759">
        <w:t xml:space="preserve"> A new RMF will be calculated for use within the GO scheme that is updated frequently and can be accessed by other market-based frameworks.</w:t>
      </w:r>
    </w:p>
    <w:p w14:paraId="14586BB7" w14:textId="77777777" w:rsidR="00655300" w:rsidRDefault="00655300" w:rsidP="00644DDA">
      <w:pPr>
        <w:pStyle w:val="ListParagraph"/>
        <w:numPr>
          <w:ilvl w:val="0"/>
          <w:numId w:val="32"/>
        </w:numPr>
        <w:spacing w:after="200" w:line="276" w:lineRule="auto"/>
        <w:ind w:left="714" w:hanging="357"/>
      </w:pPr>
      <w:r>
        <w:t>47</w:t>
      </w:r>
      <w:r w:rsidRPr="002D45CB">
        <w:t xml:space="preserve"> (</w:t>
      </w:r>
      <w:r>
        <w:t>58 per cent</w:t>
      </w:r>
      <w:r w:rsidRPr="002D45CB">
        <w:t xml:space="preserve">) </w:t>
      </w:r>
      <w:r w:rsidRPr="00CE1F4B">
        <w:t xml:space="preserve">of respondents </w:t>
      </w:r>
      <w:r>
        <w:t>broadly agreed with the proposed market-based accounting approach.</w:t>
      </w:r>
    </w:p>
    <w:p w14:paraId="1F28FD3C" w14:textId="77777777" w:rsidR="00655300" w:rsidRDefault="00655300" w:rsidP="00644DDA">
      <w:pPr>
        <w:pStyle w:val="ListParagraph"/>
        <w:numPr>
          <w:ilvl w:val="0"/>
          <w:numId w:val="32"/>
        </w:numPr>
        <w:spacing w:after="200" w:line="276" w:lineRule="auto"/>
        <w:ind w:left="714" w:hanging="357"/>
      </w:pPr>
      <w:r>
        <w:t xml:space="preserve">One (one per cent) broadly </w:t>
      </w:r>
      <w:proofErr w:type="gramStart"/>
      <w:r>
        <w:t>disagreed</w:t>
      </w:r>
      <w:proofErr w:type="gramEnd"/>
      <w:r>
        <w:t xml:space="preserve"> </w:t>
      </w:r>
    </w:p>
    <w:p w14:paraId="0287B1A8" w14:textId="77777777" w:rsidR="00655300" w:rsidRDefault="00655300" w:rsidP="00644DDA">
      <w:pPr>
        <w:pStyle w:val="ListParagraph"/>
        <w:numPr>
          <w:ilvl w:val="0"/>
          <w:numId w:val="32"/>
        </w:numPr>
        <w:spacing w:after="200" w:line="276" w:lineRule="auto"/>
      </w:pPr>
      <w:r>
        <w:t xml:space="preserve">One (one per cent) neither agreed nor </w:t>
      </w:r>
      <w:proofErr w:type="gramStart"/>
      <w:r>
        <w:t>disagreed</w:t>
      </w:r>
      <w:proofErr w:type="gramEnd"/>
      <w:r>
        <w:t xml:space="preserve"> </w:t>
      </w:r>
    </w:p>
    <w:p w14:paraId="2AB718C1" w14:textId="77777777" w:rsidR="00655300" w:rsidRDefault="00655300" w:rsidP="00644DDA">
      <w:pPr>
        <w:pStyle w:val="ListParagraph"/>
        <w:numPr>
          <w:ilvl w:val="0"/>
          <w:numId w:val="32"/>
        </w:numPr>
        <w:spacing w:after="200" w:line="276" w:lineRule="auto"/>
        <w:ind w:left="714" w:hanging="357"/>
      </w:pPr>
      <w:r>
        <w:t>32 (40 per cent) did not specify a response</w:t>
      </w:r>
    </w:p>
    <w:p w14:paraId="4D3D69B9" w14:textId="77777777" w:rsidR="00655300" w:rsidRDefault="00655300" w:rsidP="00655300">
      <w:r>
        <w:t xml:space="preserve">There was broad support for this proposal aligned with the level of support for a market-based approach for renewable electricity accounting. </w:t>
      </w:r>
      <w:proofErr w:type="gramStart"/>
      <w:r>
        <w:t>Again</w:t>
      </w:r>
      <w:proofErr w:type="gramEnd"/>
      <w:r>
        <w:t xml:space="preserve"> a general sentiment that further consultation is required on the details of the RMF, particularly in relation to geographic (national vs. state/territory level) and time-based (annual vs. hourly/monthly) coverage. Four respondents advocated for a </w:t>
      </w:r>
      <w:r w:rsidRPr="00483AE0">
        <w:t>Network-based RMF</w:t>
      </w:r>
      <w:r>
        <w:t xml:space="preserve">; three respondents suggested </w:t>
      </w:r>
      <w:r w:rsidRPr="00483AE0">
        <w:t>Higher RMF time granularity</w:t>
      </w:r>
      <w:r>
        <w:t>.</w:t>
      </w:r>
    </w:p>
    <w:p w14:paraId="480DC53C" w14:textId="77777777" w:rsidR="00655300" w:rsidRPr="00804815" w:rsidRDefault="00655300" w:rsidP="00AF3A86">
      <w:pPr>
        <w:pStyle w:val="Heading3"/>
      </w:pPr>
      <w:r w:rsidRPr="00804815">
        <w:t>REC eligibility requirements for the GO scheme</w:t>
      </w:r>
    </w:p>
    <w:p w14:paraId="53545F45" w14:textId="77777777" w:rsidR="00655300" w:rsidRPr="00486792" w:rsidRDefault="00655300" w:rsidP="00486792">
      <w:pPr>
        <w:pStyle w:val="Calloutbox"/>
      </w:pPr>
      <w:r w:rsidRPr="00486792">
        <w:rPr>
          <w:b/>
          <w:bCs/>
        </w:rPr>
        <w:t>Policy position proposal 23:</w:t>
      </w:r>
      <w:r w:rsidRPr="00486792">
        <w:t xml:space="preserve"> RECs used to demonstrate renewable electricity usage in production of a GO product must have been issued within the previous 12 months. Additional information will be captured on REGOs to allow for voluntary time matching at a more granular level.</w:t>
      </w:r>
    </w:p>
    <w:p w14:paraId="66D7B70D" w14:textId="77777777" w:rsidR="00655300" w:rsidRPr="00A80961" w:rsidRDefault="00655300" w:rsidP="00655300">
      <w:r>
        <w:t xml:space="preserve">There was broad support for a flexible approach (capped at 12-months) that would enable voluntary time-matching by producers able to demonstrate this. </w:t>
      </w:r>
    </w:p>
    <w:p w14:paraId="7C965785" w14:textId="77777777" w:rsidR="00655300" w:rsidRDefault="00655300" w:rsidP="00644DDA">
      <w:pPr>
        <w:pStyle w:val="ListParagraph"/>
        <w:numPr>
          <w:ilvl w:val="0"/>
          <w:numId w:val="30"/>
        </w:numPr>
        <w:spacing w:after="200" w:line="276" w:lineRule="auto"/>
        <w:ind w:left="714" w:hanging="357"/>
      </w:pPr>
      <w:r>
        <w:t>44</w:t>
      </w:r>
      <w:r w:rsidRPr="002D45CB">
        <w:t xml:space="preserve"> (</w:t>
      </w:r>
      <w:r>
        <w:t>54 per cent</w:t>
      </w:r>
      <w:r w:rsidRPr="002D45CB">
        <w:t xml:space="preserve">) </w:t>
      </w:r>
      <w:r w:rsidRPr="00CE1F4B">
        <w:t xml:space="preserve">of respondents </w:t>
      </w:r>
      <w:r>
        <w:t>broadly agreed with setting a 12-month vintage limit.</w:t>
      </w:r>
    </w:p>
    <w:p w14:paraId="2EA87570" w14:textId="77777777" w:rsidR="00655300" w:rsidRDefault="00655300" w:rsidP="00644DDA">
      <w:pPr>
        <w:pStyle w:val="ListParagraph"/>
        <w:numPr>
          <w:ilvl w:val="0"/>
          <w:numId w:val="30"/>
        </w:numPr>
        <w:spacing w:after="200" w:line="276" w:lineRule="auto"/>
        <w:ind w:left="714" w:hanging="357"/>
      </w:pPr>
      <w:r>
        <w:t xml:space="preserve">Four (five per cent) broadly </w:t>
      </w:r>
      <w:proofErr w:type="gramStart"/>
      <w:r>
        <w:t>disagreed</w:t>
      </w:r>
      <w:proofErr w:type="gramEnd"/>
      <w:r>
        <w:t xml:space="preserve"> </w:t>
      </w:r>
    </w:p>
    <w:p w14:paraId="0FAE27BA" w14:textId="77777777" w:rsidR="00655300" w:rsidRDefault="00655300" w:rsidP="00644DDA">
      <w:pPr>
        <w:pStyle w:val="ListParagraph"/>
        <w:numPr>
          <w:ilvl w:val="0"/>
          <w:numId w:val="30"/>
        </w:numPr>
        <w:spacing w:after="200" w:line="276" w:lineRule="auto"/>
        <w:ind w:left="714" w:hanging="357"/>
      </w:pPr>
      <w:r>
        <w:t xml:space="preserve">1 respondent (one per cent) broadly disagreed on the basis that time-matching should be mandatory from scheme implementation. </w:t>
      </w:r>
    </w:p>
    <w:p w14:paraId="2736BC79" w14:textId="77777777" w:rsidR="00655300" w:rsidRDefault="00655300" w:rsidP="00644DDA">
      <w:pPr>
        <w:pStyle w:val="ListParagraph"/>
        <w:numPr>
          <w:ilvl w:val="0"/>
          <w:numId w:val="30"/>
        </w:numPr>
        <w:spacing w:after="200" w:line="276" w:lineRule="auto"/>
        <w:ind w:left="714" w:hanging="357"/>
      </w:pPr>
      <w:r>
        <w:t>32 (40 per cent) did not specify a response</w:t>
      </w:r>
    </w:p>
    <w:p w14:paraId="79E946BE" w14:textId="77777777" w:rsidR="00655300" w:rsidRDefault="00655300" w:rsidP="00655300">
      <w:r>
        <w:t xml:space="preserve">There was a general sense that greater definition around the term “issued” was required but that an upper limit of 12 months was appropriate in recognition that global markets are likely to move towards greater granularity in time correlation between electricity generation and certificate surrender over time. Some expressed a need for more detail on the tracking and management of the vintage requirement was necessary to understand the administrative burden of this requirement. </w:t>
      </w:r>
    </w:p>
    <w:p w14:paraId="054BF098" w14:textId="77777777" w:rsidR="00655300" w:rsidRDefault="00655300" w:rsidP="00655300">
      <w:r>
        <w:t>Other comments received from respondents on this proposal included:</w:t>
      </w:r>
    </w:p>
    <w:p w14:paraId="4D59BD93" w14:textId="77777777" w:rsidR="00655300" w:rsidRDefault="00655300" w:rsidP="00644DDA">
      <w:pPr>
        <w:pStyle w:val="ListParagraph"/>
        <w:numPr>
          <w:ilvl w:val="0"/>
          <w:numId w:val="31"/>
        </w:numPr>
        <w:spacing w:after="200" w:line="276" w:lineRule="auto"/>
        <w:ind w:left="714" w:hanging="357"/>
      </w:pPr>
      <w:r>
        <w:t xml:space="preserve">10 respondents support </w:t>
      </w:r>
      <w:r w:rsidRPr="00D3073F">
        <w:t xml:space="preserve">voluntary time matching beyond </w:t>
      </w:r>
      <w:proofErr w:type="gramStart"/>
      <w:r w:rsidRPr="00D3073F">
        <w:t>vintage</w:t>
      </w:r>
      <w:proofErr w:type="gramEnd"/>
      <w:r>
        <w:t xml:space="preserve"> </w:t>
      </w:r>
    </w:p>
    <w:p w14:paraId="06CA9FC0" w14:textId="77777777" w:rsidR="00655300" w:rsidRPr="00E62B66" w:rsidRDefault="00655300" w:rsidP="00644DDA">
      <w:pPr>
        <w:pStyle w:val="ListParagraph"/>
        <w:numPr>
          <w:ilvl w:val="0"/>
          <w:numId w:val="31"/>
        </w:numPr>
        <w:spacing w:after="200" w:line="276" w:lineRule="auto"/>
        <w:ind w:left="714" w:hanging="357"/>
        <w:rPr>
          <w:i/>
          <w:iCs/>
          <w:u w:val="single"/>
        </w:rPr>
      </w:pPr>
      <w:r>
        <w:t xml:space="preserve">Four respondents suggested time match should be made </w:t>
      </w:r>
      <w:proofErr w:type="gramStart"/>
      <w:r>
        <w:t>mandatory</w:t>
      </w:r>
      <w:proofErr w:type="gramEnd"/>
      <w:r>
        <w:t xml:space="preserve"> </w:t>
      </w:r>
      <w:bookmarkStart w:id="157" w:name="_Hlk128409866"/>
    </w:p>
    <w:bookmarkEnd w:id="157"/>
    <w:p w14:paraId="0EEAB6F8" w14:textId="677F1247" w:rsidR="003C38F8" w:rsidRDefault="007826BF" w:rsidP="003C38F8">
      <w:pPr>
        <w:pStyle w:val="Authoranddate"/>
        <w:numPr>
          <w:ilvl w:val="0"/>
          <w:numId w:val="0"/>
        </w:numPr>
        <w:rPr>
          <w:rFonts w:eastAsiaTheme="majorEastAsia"/>
        </w:rPr>
      </w:pPr>
      <w:r w:rsidRPr="007826BF">
        <w:rPr>
          <w:rFonts w:asciiTheme="majorHAnsi" w:eastAsiaTheme="majorEastAsia" w:hAnsiTheme="majorHAnsi" w:cstheme="majorBidi"/>
          <w:color w:val="005677" w:themeColor="text2"/>
          <w:szCs w:val="48"/>
        </w:rPr>
        <w:lastRenderedPageBreak/>
        <w:t>Development of product-specific methodologies</w:t>
      </w:r>
    </w:p>
    <w:p w14:paraId="6723BF37" w14:textId="77777777" w:rsidR="001C086D" w:rsidRPr="004C198E" w:rsidRDefault="001C086D" w:rsidP="001C086D">
      <w:pPr>
        <w:pStyle w:val="Heading3"/>
      </w:pPr>
      <w:r w:rsidRPr="004C198E">
        <w:t>International alignment and review</w:t>
      </w:r>
    </w:p>
    <w:p w14:paraId="616B9B69" w14:textId="77777777" w:rsidR="001C086D" w:rsidRPr="00DC08AB" w:rsidRDefault="001C086D" w:rsidP="001C086D">
      <w:pPr>
        <w:pStyle w:val="Calloutbox"/>
      </w:pPr>
      <w:r w:rsidRPr="001C086D">
        <w:rPr>
          <w:b/>
          <w:bCs/>
        </w:rPr>
        <w:t>Policy position proposal 24:</w:t>
      </w:r>
      <w:r w:rsidRPr="00DC08AB">
        <w:t xml:space="preserve"> The GO scheme will expand over time by incorporating new product-specific methodologies. A prioritisation, development and review process with industry input and international engagement will be established to ensure domestic applicability, international alignment, and continued suitability of legislation.</w:t>
      </w:r>
    </w:p>
    <w:p w14:paraId="783603B3" w14:textId="77777777" w:rsidR="001C086D" w:rsidRDefault="001C086D" w:rsidP="00644DDA">
      <w:pPr>
        <w:pStyle w:val="ListParagraph"/>
        <w:numPr>
          <w:ilvl w:val="0"/>
          <w:numId w:val="33"/>
        </w:numPr>
        <w:spacing w:after="200" w:line="276" w:lineRule="auto"/>
        <w:ind w:left="714" w:hanging="357"/>
      </w:pPr>
      <w:r>
        <w:t>53</w:t>
      </w:r>
      <w:r w:rsidRPr="002D45CB">
        <w:t xml:space="preserve"> (</w:t>
      </w:r>
      <w:r>
        <w:t>65 per cent</w:t>
      </w:r>
      <w:r w:rsidRPr="002D45CB">
        <w:t xml:space="preserve">) </w:t>
      </w:r>
      <w:r w:rsidRPr="00CE1F4B">
        <w:t xml:space="preserve">of respondents </w:t>
      </w:r>
      <w:r>
        <w:t>broadly agreed with the expansion plans for the GO scheme.</w:t>
      </w:r>
    </w:p>
    <w:p w14:paraId="4B38F432" w14:textId="77777777" w:rsidR="001C086D" w:rsidRDefault="001C086D" w:rsidP="00644DDA">
      <w:pPr>
        <w:pStyle w:val="ListParagraph"/>
        <w:numPr>
          <w:ilvl w:val="0"/>
          <w:numId w:val="33"/>
        </w:numPr>
        <w:spacing w:after="200" w:line="276" w:lineRule="auto"/>
        <w:ind w:left="714" w:hanging="357"/>
      </w:pPr>
      <w:r>
        <w:t xml:space="preserve">One (one per cent) broadly </w:t>
      </w:r>
      <w:proofErr w:type="gramStart"/>
      <w:r>
        <w:t>disagreed</w:t>
      </w:r>
      <w:proofErr w:type="gramEnd"/>
      <w:r>
        <w:t xml:space="preserve"> </w:t>
      </w:r>
    </w:p>
    <w:p w14:paraId="62FCF9E7" w14:textId="77777777" w:rsidR="001C086D" w:rsidRDefault="001C086D" w:rsidP="00644DDA">
      <w:pPr>
        <w:pStyle w:val="ListParagraph"/>
        <w:numPr>
          <w:ilvl w:val="0"/>
          <w:numId w:val="33"/>
        </w:numPr>
        <w:spacing w:after="200" w:line="276" w:lineRule="auto"/>
        <w:ind w:left="714" w:hanging="357"/>
      </w:pPr>
      <w:r>
        <w:t>27 (34 per cent) did not specify a response</w:t>
      </w:r>
    </w:p>
    <w:p w14:paraId="1E0C07A9" w14:textId="77777777" w:rsidR="001C086D" w:rsidRDefault="001C086D" w:rsidP="001C086D">
      <w:r>
        <w:t>Among those in support of this proposal, seven respondents added that a formal mechanism and timeframe for new product-specific methodologies to be incorporated should be established.</w:t>
      </w:r>
    </w:p>
    <w:p w14:paraId="4E8E91B8" w14:textId="77777777" w:rsidR="001C086D" w:rsidRDefault="001C086D" w:rsidP="001C086D">
      <w:r>
        <w:t>Various suggestions for product-specific methodologies to be included in an expanded GO scheme were also received from stakeholders, including:</w:t>
      </w:r>
    </w:p>
    <w:p w14:paraId="4E7929F1" w14:textId="77777777" w:rsidR="001C086D" w:rsidRDefault="001C086D" w:rsidP="00644DDA">
      <w:pPr>
        <w:pStyle w:val="ListParagraph"/>
        <w:numPr>
          <w:ilvl w:val="0"/>
          <w:numId w:val="34"/>
        </w:numPr>
        <w:spacing w:after="200" w:line="276" w:lineRule="auto"/>
        <w:ind w:left="714" w:hanging="357"/>
      </w:pPr>
      <w:r>
        <w:t>Biomethane (5 respondents)</w:t>
      </w:r>
    </w:p>
    <w:p w14:paraId="194AE42F" w14:textId="77777777" w:rsidR="001C086D" w:rsidRDefault="001C086D" w:rsidP="00644DDA">
      <w:pPr>
        <w:pStyle w:val="ListParagraph"/>
        <w:numPr>
          <w:ilvl w:val="0"/>
          <w:numId w:val="34"/>
        </w:numPr>
        <w:spacing w:after="200" w:line="276" w:lineRule="auto"/>
        <w:ind w:left="714" w:hanging="357"/>
      </w:pPr>
      <w:r>
        <w:t>Methlocyclohexane (MCH) (2 respondents)</w:t>
      </w:r>
    </w:p>
    <w:p w14:paraId="6920AC8C" w14:textId="77777777" w:rsidR="001C086D" w:rsidRDefault="001C086D" w:rsidP="00644DDA">
      <w:pPr>
        <w:pStyle w:val="ListParagraph"/>
        <w:numPr>
          <w:ilvl w:val="0"/>
          <w:numId w:val="34"/>
        </w:numPr>
        <w:spacing w:after="200" w:line="276" w:lineRule="auto"/>
        <w:ind w:left="714" w:hanging="357"/>
      </w:pPr>
      <w:r>
        <w:t>I</w:t>
      </w:r>
      <w:r w:rsidRPr="007F1902">
        <w:t xml:space="preserve">ron ore, </w:t>
      </w:r>
      <w:proofErr w:type="gramStart"/>
      <w:r w:rsidRPr="007F1902">
        <w:t>steel</w:t>
      </w:r>
      <w:proofErr w:type="gramEnd"/>
      <w:r>
        <w:t xml:space="preserve"> and</w:t>
      </w:r>
      <w:r w:rsidRPr="007F1902">
        <w:t xml:space="preserve"> cement</w:t>
      </w:r>
      <w:r>
        <w:t xml:space="preserve"> (2 respondents) </w:t>
      </w:r>
    </w:p>
    <w:p w14:paraId="25887005" w14:textId="77777777" w:rsidR="001C086D" w:rsidRDefault="001C086D" w:rsidP="00644DDA">
      <w:pPr>
        <w:pStyle w:val="ListParagraph"/>
        <w:numPr>
          <w:ilvl w:val="0"/>
          <w:numId w:val="34"/>
        </w:numPr>
        <w:spacing w:after="200" w:line="276" w:lineRule="auto"/>
        <w:ind w:left="714" w:hanging="357"/>
      </w:pPr>
      <w:r>
        <w:t>A</w:t>
      </w:r>
      <w:r w:rsidRPr="007F1902">
        <w:t xml:space="preserve">mmonia, </w:t>
      </w:r>
      <w:proofErr w:type="gramStart"/>
      <w:r w:rsidRPr="007F1902">
        <w:t>methanol</w:t>
      </w:r>
      <w:proofErr w:type="gramEnd"/>
      <w:r>
        <w:t xml:space="preserve"> and</w:t>
      </w:r>
      <w:r w:rsidRPr="007F1902">
        <w:t xml:space="preserve"> synthetic methane</w:t>
      </w:r>
    </w:p>
    <w:p w14:paraId="7E3E3EA3" w14:textId="77777777" w:rsidR="001C086D" w:rsidRDefault="001C086D" w:rsidP="00644DDA">
      <w:pPr>
        <w:pStyle w:val="ListParagraph"/>
        <w:numPr>
          <w:ilvl w:val="0"/>
          <w:numId w:val="34"/>
        </w:numPr>
        <w:spacing w:after="200" w:line="276" w:lineRule="auto"/>
        <w:ind w:left="714" w:hanging="357"/>
      </w:pPr>
      <w:r>
        <w:t>B</w:t>
      </w:r>
      <w:r w:rsidRPr="007F1902">
        <w:t>uilt environment (timber, con</w:t>
      </w:r>
      <w:r>
        <w:t>c</w:t>
      </w:r>
      <w:r w:rsidRPr="007F1902">
        <w:t>rete, glass, steel)</w:t>
      </w:r>
    </w:p>
    <w:p w14:paraId="34F5F6B7" w14:textId="77777777" w:rsidR="001C086D" w:rsidRDefault="001C086D" w:rsidP="00644DDA">
      <w:pPr>
        <w:pStyle w:val="ListParagraph"/>
        <w:numPr>
          <w:ilvl w:val="0"/>
          <w:numId w:val="34"/>
        </w:numPr>
        <w:spacing w:after="200" w:line="276" w:lineRule="auto"/>
        <w:ind w:left="714" w:hanging="357"/>
      </w:pPr>
      <w:r>
        <w:t>C</w:t>
      </w:r>
      <w:r w:rsidRPr="007F1902">
        <w:t>ritical minerals (zinc)</w:t>
      </w:r>
    </w:p>
    <w:p w14:paraId="5B069BED" w14:textId="77777777" w:rsidR="001C086D" w:rsidRDefault="001C086D" w:rsidP="00644DDA">
      <w:pPr>
        <w:pStyle w:val="ListParagraph"/>
        <w:numPr>
          <w:ilvl w:val="0"/>
          <w:numId w:val="34"/>
        </w:numPr>
        <w:spacing w:after="200" w:line="276" w:lineRule="auto"/>
        <w:ind w:left="714" w:hanging="357"/>
      </w:pPr>
      <w:r>
        <w:t>Green metals</w:t>
      </w:r>
    </w:p>
    <w:p w14:paraId="2798BDF2" w14:textId="77777777" w:rsidR="001C086D" w:rsidRDefault="001C086D" w:rsidP="00644DDA">
      <w:pPr>
        <w:pStyle w:val="ListParagraph"/>
        <w:numPr>
          <w:ilvl w:val="0"/>
          <w:numId w:val="34"/>
        </w:numPr>
        <w:spacing w:after="200" w:line="276" w:lineRule="auto"/>
        <w:ind w:left="714" w:hanging="357"/>
      </w:pPr>
      <w:r>
        <w:t>Marine fuels</w:t>
      </w:r>
    </w:p>
    <w:p w14:paraId="29BBC781" w14:textId="77777777" w:rsidR="001C086D" w:rsidRDefault="001C086D" w:rsidP="00644DDA">
      <w:pPr>
        <w:pStyle w:val="ListParagraph"/>
        <w:numPr>
          <w:ilvl w:val="0"/>
          <w:numId w:val="34"/>
        </w:numPr>
        <w:spacing w:after="200" w:line="276" w:lineRule="auto"/>
        <w:ind w:left="714" w:hanging="357"/>
      </w:pPr>
      <w:r>
        <w:t>P</w:t>
      </w:r>
      <w:r w:rsidRPr="007F1902">
        <w:t xml:space="preserve">artial oxidation, </w:t>
      </w:r>
      <w:proofErr w:type="gramStart"/>
      <w:r w:rsidRPr="007F1902">
        <w:t>pyrolysis</w:t>
      </w:r>
      <w:proofErr w:type="gramEnd"/>
      <w:r>
        <w:t xml:space="preserve"> and </w:t>
      </w:r>
      <w:r w:rsidRPr="007F1902">
        <w:t>biomass</w:t>
      </w:r>
    </w:p>
    <w:p w14:paraId="23E16A7E" w14:textId="77777777" w:rsidR="001C086D" w:rsidRDefault="001C086D" w:rsidP="00644DDA">
      <w:pPr>
        <w:pStyle w:val="ListParagraph"/>
        <w:numPr>
          <w:ilvl w:val="0"/>
          <w:numId w:val="34"/>
        </w:numPr>
        <w:spacing w:after="200" w:line="276" w:lineRule="auto"/>
        <w:ind w:left="714" w:hanging="357"/>
      </w:pPr>
      <w:r>
        <w:t>R</w:t>
      </w:r>
      <w:r w:rsidRPr="007F1902">
        <w:t>enewable dies</w:t>
      </w:r>
      <w:r>
        <w:t>el.</w:t>
      </w:r>
    </w:p>
    <w:p w14:paraId="6EF27370" w14:textId="77777777" w:rsidR="00C51C26" w:rsidRPr="00927BC8" w:rsidRDefault="00C51C26" w:rsidP="00927BC8"/>
    <w:sectPr w:rsidR="00C51C26" w:rsidRPr="00927BC8" w:rsidSect="002F7F2E">
      <w:footerReference w:type="default" r:id="rId12"/>
      <w:headerReference w:type="first" r:id="rId13"/>
      <w:pgSz w:w="11906" w:h="16838" w:code="9"/>
      <w:pgMar w:top="1644" w:right="1474" w:bottom="851" w:left="1701" w:header="794" w:footer="284"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B3D8" w14:textId="77777777" w:rsidR="008624B2" w:rsidRDefault="008624B2" w:rsidP="00B251DB">
      <w:pPr>
        <w:spacing w:after="0" w:line="240" w:lineRule="auto"/>
      </w:pPr>
      <w:r>
        <w:separator/>
      </w:r>
    </w:p>
  </w:endnote>
  <w:endnote w:type="continuationSeparator" w:id="0">
    <w:p w14:paraId="22D6F42B" w14:textId="77777777" w:rsidR="008624B2" w:rsidRDefault="008624B2" w:rsidP="00B251DB">
      <w:pPr>
        <w:spacing w:after="0" w:line="240" w:lineRule="auto"/>
      </w:pPr>
      <w:r>
        <w:continuationSeparator/>
      </w:r>
    </w:p>
  </w:endnote>
  <w:endnote w:type="continuationNotice" w:id="1">
    <w:p w14:paraId="6637FE88" w14:textId="77777777" w:rsidR="008624B2" w:rsidRDefault="00862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FF9F" w14:textId="355E2B6E" w:rsidR="003A112E" w:rsidRDefault="002A6019" w:rsidP="00114BCD">
    <w:pPr>
      <w:pStyle w:val="Footer"/>
      <w:rPr>
        <w:noProof/>
      </w:rPr>
    </w:pPr>
    <w:r>
      <w:rPr>
        <w:noProof/>
      </w:rPr>
      <w:t>Consultation summary</w:t>
    </w:r>
    <w:r w:rsidR="003A112E">
      <w:rPr>
        <w:noProof/>
      </w:rPr>
      <w:tab/>
    </w:r>
    <w:r w:rsidR="00E416D3">
      <w:rPr>
        <w:noProof/>
      </w:rPr>
      <w:t>dcceew.gov.au</w:t>
    </w:r>
    <w:r w:rsidR="003A112E">
      <w:rPr>
        <w:noProof/>
      </w:rPr>
      <w:tab/>
    </w:r>
    <w:sdt>
      <w:sdtPr>
        <w:rPr>
          <w:noProof/>
        </w:rPr>
        <w:id w:val="888307417"/>
        <w:docPartObj>
          <w:docPartGallery w:val="Page Numbers (Bottom of Page)"/>
          <w:docPartUnique/>
        </w:docPartObj>
      </w:sdtPr>
      <w:sdtEndPr/>
      <w:sdtContent>
        <w:r w:rsidR="003A112E">
          <w:rPr>
            <w:noProof/>
          </w:rPr>
          <w:fldChar w:fldCharType="begin"/>
        </w:r>
        <w:r w:rsidR="003A112E">
          <w:rPr>
            <w:noProof/>
          </w:rPr>
          <w:instrText xml:space="preserve"> PAGE   \* MERGEFORMAT </w:instrText>
        </w:r>
        <w:r w:rsidR="003A112E">
          <w:rPr>
            <w:noProof/>
          </w:rPr>
          <w:fldChar w:fldCharType="separate"/>
        </w:r>
        <w:r w:rsidR="00A35162">
          <w:rPr>
            <w:noProof/>
          </w:rPr>
          <w:t>40</w:t>
        </w:r>
        <w:r w:rsidR="003A112E">
          <w:rPr>
            <w:noProof/>
          </w:rPr>
          <w:fldChar w:fldCharType="end"/>
        </w:r>
      </w:sdtContent>
    </w:sdt>
  </w:p>
  <w:p w14:paraId="388161FC" w14:textId="77777777" w:rsidR="003A112E" w:rsidRDefault="003A1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73D1" w14:textId="77777777" w:rsidR="008624B2" w:rsidRDefault="008624B2" w:rsidP="00B251DB">
      <w:pPr>
        <w:spacing w:after="0" w:line="240" w:lineRule="auto"/>
      </w:pPr>
      <w:r>
        <w:separator/>
      </w:r>
    </w:p>
  </w:footnote>
  <w:footnote w:type="continuationSeparator" w:id="0">
    <w:p w14:paraId="5D2FEE76" w14:textId="77777777" w:rsidR="008624B2" w:rsidRDefault="008624B2" w:rsidP="00B251DB">
      <w:pPr>
        <w:spacing w:after="0" w:line="240" w:lineRule="auto"/>
      </w:pPr>
      <w:r>
        <w:continuationSeparator/>
      </w:r>
    </w:p>
  </w:footnote>
  <w:footnote w:type="continuationNotice" w:id="1">
    <w:p w14:paraId="1E0928F2" w14:textId="77777777" w:rsidR="008624B2" w:rsidRDefault="00862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C0D0" w14:textId="26174C95" w:rsidR="003A112E" w:rsidRDefault="003A112E">
    <w:pPr>
      <w:pStyle w:val="Header"/>
    </w:pPr>
    <w:r w:rsidRPr="00180BF8">
      <w:rPr>
        <w:noProof/>
        <w:lang w:eastAsia="en-AU"/>
      </w:rPr>
      <w:drawing>
        <wp:inline distT="0" distB="0" distL="0" distR="0" wp14:anchorId="66E1C65F" wp14:editId="7E8406F8">
          <wp:extent cx="2896207" cy="601785"/>
          <wp:effectExtent l="0" t="0" r="0" b="8255"/>
          <wp:docPr id="6" name="Picture 6"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43550" cy="61162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580"/>
    <w:multiLevelType w:val="hybridMultilevel"/>
    <w:tmpl w:val="533A6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F1550"/>
    <w:multiLevelType w:val="hybridMultilevel"/>
    <w:tmpl w:val="C546A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F40E9"/>
    <w:multiLevelType w:val="hybridMultilevel"/>
    <w:tmpl w:val="C56E9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52759"/>
    <w:multiLevelType w:val="hybridMultilevel"/>
    <w:tmpl w:val="8530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82BD0"/>
    <w:multiLevelType w:val="hybridMultilevel"/>
    <w:tmpl w:val="19E23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A09C0"/>
    <w:multiLevelType w:val="hybridMultilevel"/>
    <w:tmpl w:val="580A0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B7F6C"/>
    <w:multiLevelType w:val="hybridMultilevel"/>
    <w:tmpl w:val="2C620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3914F5"/>
    <w:multiLevelType w:val="hybridMultilevel"/>
    <w:tmpl w:val="649AFB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E77AA3"/>
    <w:multiLevelType w:val="hybridMultilevel"/>
    <w:tmpl w:val="AB54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2712BA"/>
    <w:multiLevelType w:val="hybridMultilevel"/>
    <w:tmpl w:val="2AD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A01A0A"/>
    <w:multiLevelType w:val="hybridMultilevel"/>
    <w:tmpl w:val="974E3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6E6C59"/>
    <w:multiLevelType w:val="hybridMultilevel"/>
    <w:tmpl w:val="DBB43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23226"/>
    <w:multiLevelType w:val="hybridMultilevel"/>
    <w:tmpl w:val="47AAA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C22B3F"/>
    <w:multiLevelType w:val="hybridMultilevel"/>
    <w:tmpl w:val="7916C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FB4BCF"/>
    <w:multiLevelType w:val="hybridMultilevel"/>
    <w:tmpl w:val="239A4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0B6840"/>
    <w:multiLevelType w:val="hybridMultilevel"/>
    <w:tmpl w:val="6B587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715257"/>
    <w:multiLevelType w:val="hybridMultilevel"/>
    <w:tmpl w:val="196EE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620536"/>
    <w:multiLevelType w:val="hybridMultilevel"/>
    <w:tmpl w:val="34305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CC2A66"/>
    <w:multiLevelType w:val="hybridMultilevel"/>
    <w:tmpl w:val="A574C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83104B"/>
    <w:multiLevelType w:val="hybridMultilevel"/>
    <w:tmpl w:val="9F52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F9019F"/>
    <w:multiLevelType w:val="hybridMultilevel"/>
    <w:tmpl w:val="E548B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A501E9"/>
    <w:multiLevelType w:val="hybridMultilevel"/>
    <w:tmpl w:val="DBE6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354DD"/>
    <w:multiLevelType w:val="hybridMultilevel"/>
    <w:tmpl w:val="650CD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5118FA"/>
    <w:multiLevelType w:val="hybridMultilevel"/>
    <w:tmpl w:val="B90EC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456429"/>
    <w:multiLevelType w:val="multilevel"/>
    <w:tmpl w:val="CA246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6548560D"/>
    <w:multiLevelType w:val="hybridMultilevel"/>
    <w:tmpl w:val="297C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614994"/>
    <w:multiLevelType w:val="multilevel"/>
    <w:tmpl w:val="D71E35BE"/>
    <w:styleLink w:val="List-ListBullet"/>
    <w:lvl w:ilvl="0">
      <w:start w:val="1"/>
      <w:numFmt w:val="decimal"/>
      <w:lvlText w:val="%1."/>
      <w:lvlJc w:val="left"/>
      <w:pPr>
        <w:ind w:left="360" w:hanging="360"/>
      </w:pPr>
      <w:rPr>
        <w:rFonts w:hint="default"/>
      </w:rPr>
    </w:lvl>
    <w:lvl w:ilvl="1">
      <w:start w:val="1"/>
      <w:numFmt w:val="decimal"/>
      <w:isLgl/>
      <w:lvlText w:val="%1.%2"/>
      <w:lvlJc w:val="left"/>
      <w:pPr>
        <w:ind w:left="227" w:hanging="22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D1B7C82"/>
    <w:multiLevelType w:val="hybridMultilevel"/>
    <w:tmpl w:val="D9229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3D0AE5"/>
    <w:multiLevelType w:val="multilevel"/>
    <w:tmpl w:val="EA0EAD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F5C7C61"/>
    <w:multiLevelType w:val="hybridMultilevel"/>
    <w:tmpl w:val="D58E68B2"/>
    <w:styleLink w:val="Attach"/>
    <w:lvl w:ilvl="0" w:tplc="AF361914">
      <w:start w:val="1"/>
      <w:numFmt w:val="decimal"/>
      <w:lvlText w:val="%1."/>
      <w:lvlJc w:val="left"/>
      <w:pPr>
        <w:ind w:left="720" w:hanging="360"/>
      </w:pPr>
    </w:lvl>
    <w:lvl w:ilvl="1" w:tplc="69B4A72A">
      <w:start w:val="1"/>
      <w:numFmt w:val="lowerLetter"/>
      <w:lvlText w:val="%2."/>
      <w:lvlJc w:val="left"/>
      <w:pPr>
        <w:ind w:left="1440" w:hanging="360"/>
      </w:pPr>
    </w:lvl>
    <w:lvl w:ilvl="2" w:tplc="723CDBEA">
      <w:start w:val="1"/>
      <w:numFmt w:val="lowerRoman"/>
      <w:lvlText w:val="%3."/>
      <w:lvlJc w:val="right"/>
      <w:pPr>
        <w:ind w:left="2160" w:hanging="180"/>
      </w:pPr>
    </w:lvl>
    <w:lvl w:ilvl="3" w:tplc="5F7A2D4A" w:tentative="1">
      <w:start w:val="1"/>
      <w:numFmt w:val="decimal"/>
      <w:lvlText w:val="%4."/>
      <w:lvlJc w:val="left"/>
      <w:pPr>
        <w:ind w:left="2880" w:hanging="360"/>
      </w:pPr>
    </w:lvl>
    <w:lvl w:ilvl="4" w:tplc="F8849F90" w:tentative="1">
      <w:start w:val="1"/>
      <w:numFmt w:val="lowerLetter"/>
      <w:lvlText w:val="%5."/>
      <w:lvlJc w:val="left"/>
      <w:pPr>
        <w:ind w:left="3600" w:hanging="360"/>
      </w:pPr>
    </w:lvl>
    <w:lvl w:ilvl="5" w:tplc="EBC46726" w:tentative="1">
      <w:start w:val="1"/>
      <w:numFmt w:val="lowerRoman"/>
      <w:lvlText w:val="%6."/>
      <w:lvlJc w:val="right"/>
      <w:pPr>
        <w:ind w:left="4320" w:hanging="180"/>
      </w:pPr>
    </w:lvl>
    <w:lvl w:ilvl="6" w:tplc="9A8C827A" w:tentative="1">
      <w:start w:val="1"/>
      <w:numFmt w:val="decimal"/>
      <w:lvlText w:val="%7."/>
      <w:lvlJc w:val="left"/>
      <w:pPr>
        <w:ind w:left="5040" w:hanging="360"/>
      </w:pPr>
    </w:lvl>
    <w:lvl w:ilvl="7" w:tplc="E5744C1E" w:tentative="1">
      <w:start w:val="1"/>
      <w:numFmt w:val="lowerLetter"/>
      <w:lvlText w:val="%8."/>
      <w:lvlJc w:val="left"/>
      <w:pPr>
        <w:ind w:left="5760" w:hanging="360"/>
      </w:pPr>
    </w:lvl>
    <w:lvl w:ilvl="8" w:tplc="B352F27A" w:tentative="1">
      <w:start w:val="1"/>
      <w:numFmt w:val="lowerRoman"/>
      <w:lvlText w:val="%9."/>
      <w:lvlJc w:val="right"/>
      <w:pPr>
        <w:ind w:left="6480" w:hanging="180"/>
      </w:pPr>
    </w:lvl>
  </w:abstractNum>
  <w:abstractNum w:abstractNumId="30" w15:restartNumberingAfterBreak="0">
    <w:nsid w:val="70AC4919"/>
    <w:multiLevelType w:val="hybridMultilevel"/>
    <w:tmpl w:val="21F40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9D2F07"/>
    <w:multiLevelType w:val="hybridMultilevel"/>
    <w:tmpl w:val="BB98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DB23C0"/>
    <w:multiLevelType w:val="multilevel"/>
    <w:tmpl w:val="11A43BFC"/>
    <w:name w:val="CERBullets22"/>
    <w:lvl w:ilvl="0">
      <w:start w:val="1"/>
      <w:numFmt w:val="bullet"/>
      <w:lvlText w:val=""/>
      <w:lvlJc w:val="left"/>
      <w:pPr>
        <w:ind w:left="360" w:hanging="360"/>
      </w:pPr>
      <w:rPr>
        <w:rFonts w:ascii="Symbol" w:hAnsi="Symbol" w:hint="default"/>
        <w:color w:val="1B9590" w:themeColor="accent3"/>
      </w:rPr>
    </w:lvl>
    <w:lvl w:ilvl="1">
      <w:start w:val="1"/>
      <w:numFmt w:val="bullet"/>
      <w:lvlText w:val="»"/>
      <w:lvlJc w:val="left"/>
      <w:pPr>
        <w:ind w:left="720" w:hanging="360"/>
      </w:pPr>
      <w:rPr>
        <w:rFonts w:ascii="Arial" w:hAnsi="Arial" w:hint="default"/>
        <w:color w:val="1B9590" w:themeColor="accent3"/>
      </w:rPr>
    </w:lvl>
    <w:lvl w:ilvl="2">
      <w:start w:val="1"/>
      <w:numFmt w:val="bullet"/>
      <w:lvlText w:val="›"/>
      <w:lvlJc w:val="left"/>
      <w:pPr>
        <w:ind w:left="1080" w:hanging="360"/>
      </w:pPr>
      <w:rPr>
        <w:rFonts w:ascii="Arial" w:hAnsi="Arial" w:hint="default"/>
        <w:color w:val="1B9590"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0923E6"/>
    <w:multiLevelType w:val="hybridMultilevel"/>
    <w:tmpl w:val="B7306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5628B"/>
    <w:multiLevelType w:val="hybridMultilevel"/>
    <w:tmpl w:val="7A12A590"/>
    <w:styleLink w:val="List-ListBullet1"/>
    <w:lvl w:ilvl="0" w:tplc="FDA2EE36">
      <w:start w:val="1"/>
      <w:numFmt w:val="bullet"/>
      <w:lvlText w:val="•"/>
      <w:lvlJc w:val="left"/>
      <w:pPr>
        <w:tabs>
          <w:tab w:val="num" w:pos="720"/>
        </w:tabs>
        <w:ind w:left="720" w:hanging="360"/>
      </w:pPr>
      <w:rPr>
        <w:rFonts w:ascii="Arial" w:hAnsi="Arial" w:hint="default"/>
      </w:rPr>
    </w:lvl>
    <w:lvl w:ilvl="1" w:tplc="4AD66C20">
      <w:start w:val="1"/>
      <w:numFmt w:val="bullet"/>
      <w:lvlText w:val="•"/>
      <w:lvlJc w:val="left"/>
      <w:pPr>
        <w:tabs>
          <w:tab w:val="num" w:pos="1440"/>
        </w:tabs>
        <w:ind w:left="1440" w:hanging="360"/>
      </w:pPr>
      <w:rPr>
        <w:rFonts w:ascii="Arial" w:hAnsi="Arial" w:hint="default"/>
      </w:rPr>
    </w:lvl>
    <w:lvl w:ilvl="2" w:tplc="669E58F6" w:tentative="1">
      <w:start w:val="1"/>
      <w:numFmt w:val="bullet"/>
      <w:lvlText w:val="•"/>
      <w:lvlJc w:val="left"/>
      <w:pPr>
        <w:tabs>
          <w:tab w:val="num" w:pos="2160"/>
        </w:tabs>
        <w:ind w:left="2160" w:hanging="360"/>
      </w:pPr>
      <w:rPr>
        <w:rFonts w:ascii="Arial" w:hAnsi="Arial" w:hint="default"/>
      </w:rPr>
    </w:lvl>
    <w:lvl w:ilvl="3" w:tplc="5C1649A4" w:tentative="1">
      <w:start w:val="1"/>
      <w:numFmt w:val="bullet"/>
      <w:lvlText w:val="•"/>
      <w:lvlJc w:val="left"/>
      <w:pPr>
        <w:tabs>
          <w:tab w:val="num" w:pos="2880"/>
        </w:tabs>
        <w:ind w:left="2880" w:hanging="360"/>
      </w:pPr>
      <w:rPr>
        <w:rFonts w:ascii="Arial" w:hAnsi="Arial" w:hint="default"/>
      </w:rPr>
    </w:lvl>
    <w:lvl w:ilvl="4" w:tplc="6C0A50CC" w:tentative="1">
      <w:start w:val="1"/>
      <w:numFmt w:val="bullet"/>
      <w:lvlText w:val="•"/>
      <w:lvlJc w:val="left"/>
      <w:pPr>
        <w:tabs>
          <w:tab w:val="num" w:pos="3600"/>
        </w:tabs>
        <w:ind w:left="3600" w:hanging="360"/>
      </w:pPr>
      <w:rPr>
        <w:rFonts w:ascii="Arial" w:hAnsi="Arial" w:hint="default"/>
      </w:rPr>
    </w:lvl>
    <w:lvl w:ilvl="5" w:tplc="3CA03162" w:tentative="1">
      <w:start w:val="1"/>
      <w:numFmt w:val="bullet"/>
      <w:lvlText w:val="•"/>
      <w:lvlJc w:val="left"/>
      <w:pPr>
        <w:tabs>
          <w:tab w:val="num" w:pos="4320"/>
        </w:tabs>
        <w:ind w:left="4320" w:hanging="360"/>
      </w:pPr>
      <w:rPr>
        <w:rFonts w:ascii="Arial" w:hAnsi="Arial" w:hint="default"/>
      </w:rPr>
    </w:lvl>
    <w:lvl w:ilvl="6" w:tplc="051E8CA8" w:tentative="1">
      <w:start w:val="1"/>
      <w:numFmt w:val="bullet"/>
      <w:lvlText w:val="•"/>
      <w:lvlJc w:val="left"/>
      <w:pPr>
        <w:tabs>
          <w:tab w:val="num" w:pos="5040"/>
        </w:tabs>
        <w:ind w:left="5040" w:hanging="360"/>
      </w:pPr>
      <w:rPr>
        <w:rFonts w:ascii="Arial" w:hAnsi="Arial" w:hint="default"/>
      </w:rPr>
    </w:lvl>
    <w:lvl w:ilvl="7" w:tplc="6A5CC224" w:tentative="1">
      <w:start w:val="1"/>
      <w:numFmt w:val="bullet"/>
      <w:lvlText w:val="•"/>
      <w:lvlJc w:val="left"/>
      <w:pPr>
        <w:tabs>
          <w:tab w:val="num" w:pos="5760"/>
        </w:tabs>
        <w:ind w:left="5760" w:hanging="360"/>
      </w:pPr>
      <w:rPr>
        <w:rFonts w:ascii="Arial" w:hAnsi="Arial" w:hint="default"/>
      </w:rPr>
    </w:lvl>
    <w:lvl w:ilvl="8" w:tplc="96FA8020" w:tentative="1">
      <w:start w:val="1"/>
      <w:numFmt w:val="bullet"/>
      <w:lvlText w:val="•"/>
      <w:lvlJc w:val="left"/>
      <w:pPr>
        <w:tabs>
          <w:tab w:val="num" w:pos="6480"/>
        </w:tabs>
        <w:ind w:left="6480" w:hanging="360"/>
      </w:pPr>
      <w:rPr>
        <w:rFonts w:ascii="Arial" w:hAnsi="Arial" w:hint="default"/>
      </w:rPr>
    </w:lvl>
  </w:abstractNum>
  <w:num w:numId="1" w16cid:durableId="1085418456">
    <w:abstractNumId w:val="26"/>
  </w:num>
  <w:num w:numId="2" w16cid:durableId="2035111083">
    <w:abstractNumId w:val="24"/>
  </w:num>
  <w:num w:numId="3" w16cid:durableId="232469327">
    <w:abstractNumId w:val="28"/>
  </w:num>
  <w:num w:numId="4" w16cid:durableId="1345278549">
    <w:abstractNumId w:val="34"/>
  </w:num>
  <w:num w:numId="5" w16cid:durableId="931743014">
    <w:abstractNumId w:val="23"/>
  </w:num>
  <w:num w:numId="6" w16cid:durableId="1659571173">
    <w:abstractNumId w:val="4"/>
  </w:num>
  <w:num w:numId="7" w16cid:durableId="1866168536">
    <w:abstractNumId w:val="22"/>
  </w:num>
  <w:num w:numId="8" w16cid:durableId="2109546497">
    <w:abstractNumId w:val="2"/>
  </w:num>
  <w:num w:numId="9" w16cid:durableId="980621820">
    <w:abstractNumId w:val="9"/>
  </w:num>
  <w:num w:numId="10" w16cid:durableId="504129180">
    <w:abstractNumId w:val="14"/>
  </w:num>
  <w:num w:numId="11" w16cid:durableId="1928805867">
    <w:abstractNumId w:val="30"/>
  </w:num>
  <w:num w:numId="12" w16cid:durableId="1782874105">
    <w:abstractNumId w:val="15"/>
  </w:num>
  <w:num w:numId="13" w16cid:durableId="1030767252">
    <w:abstractNumId w:val="29"/>
  </w:num>
  <w:num w:numId="14" w16cid:durableId="2053068890">
    <w:abstractNumId w:val="12"/>
  </w:num>
  <w:num w:numId="15" w16cid:durableId="1888830350">
    <w:abstractNumId w:val="13"/>
  </w:num>
  <w:num w:numId="16" w16cid:durableId="1518353649">
    <w:abstractNumId w:val="31"/>
  </w:num>
  <w:num w:numId="17" w16cid:durableId="549003712">
    <w:abstractNumId w:val="25"/>
  </w:num>
  <w:num w:numId="18" w16cid:durableId="659499280">
    <w:abstractNumId w:val="17"/>
  </w:num>
  <w:num w:numId="19" w16cid:durableId="177547545">
    <w:abstractNumId w:val="18"/>
  </w:num>
  <w:num w:numId="20" w16cid:durableId="1577671589">
    <w:abstractNumId w:val="20"/>
  </w:num>
  <w:num w:numId="21" w16cid:durableId="217403192">
    <w:abstractNumId w:val="0"/>
  </w:num>
  <w:num w:numId="22" w16cid:durableId="1538395531">
    <w:abstractNumId w:val="27"/>
  </w:num>
  <w:num w:numId="23" w16cid:durableId="503934177">
    <w:abstractNumId w:val="33"/>
  </w:num>
  <w:num w:numId="24" w16cid:durableId="957445239">
    <w:abstractNumId w:val="21"/>
  </w:num>
  <w:num w:numId="25" w16cid:durableId="541946402">
    <w:abstractNumId w:val="10"/>
  </w:num>
  <w:num w:numId="26" w16cid:durableId="1662660215">
    <w:abstractNumId w:val="5"/>
  </w:num>
  <w:num w:numId="27" w16cid:durableId="175460723">
    <w:abstractNumId w:val="16"/>
  </w:num>
  <w:num w:numId="28" w16cid:durableId="936641051">
    <w:abstractNumId w:val="8"/>
  </w:num>
  <w:num w:numId="29" w16cid:durableId="1897230523">
    <w:abstractNumId w:val="6"/>
  </w:num>
  <w:num w:numId="30" w16cid:durableId="540896170">
    <w:abstractNumId w:val="11"/>
  </w:num>
  <w:num w:numId="31" w16cid:durableId="523448353">
    <w:abstractNumId w:val="7"/>
  </w:num>
  <w:num w:numId="32" w16cid:durableId="486438832">
    <w:abstractNumId w:val="1"/>
  </w:num>
  <w:num w:numId="33" w16cid:durableId="1346394758">
    <w:abstractNumId w:val="3"/>
  </w:num>
  <w:num w:numId="34" w16cid:durableId="15730900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09"/>
    <w:rsid w:val="0000048E"/>
    <w:rsid w:val="00001CE0"/>
    <w:rsid w:val="000023AA"/>
    <w:rsid w:val="0000274C"/>
    <w:rsid w:val="000029B9"/>
    <w:rsid w:val="00002DDD"/>
    <w:rsid w:val="00002E2F"/>
    <w:rsid w:val="000032D6"/>
    <w:rsid w:val="00003AAC"/>
    <w:rsid w:val="00003ED8"/>
    <w:rsid w:val="00003F20"/>
    <w:rsid w:val="000040D0"/>
    <w:rsid w:val="0000413C"/>
    <w:rsid w:val="000046E3"/>
    <w:rsid w:val="0000489E"/>
    <w:rsid w:val="00004DFD"/>
    <w:rsid w:val="000055F0"/>
    <w:rsid w:val="000056D9"/>
    <w:rsid w:val="000058B2"/>
    <w:rsid w:val="00005B3A"/>
    <w:rsid w:val="00005B44"/>
    <w:rsid w:val="0000663F"/>
    <w:rsid w:val="000068D0"/>
    <w:rsid w:val="00007473"/>
    <w:rsid w:val="000077E7"/>
    <w:rsid w:val="00007D1C"/>
    <w:rsid w:val="00011167"/>
    <w:rsid w:val="000113F7"/>
    <w:rsid w:val="000114C5"/>
    <w:rsid w:val="00011566"/>
    <w:rsid w:val="00011650"/>
    <w:rsid w:val="0001192F"/>
    <w:rsid w:val="0001314F"/>
    <w:rsid w:val="00013301"/>
    <w:rsid w:val="000137BA"/>
    <w:rsid w:val="00013B1F"/>
    <w:rsid w:val="000151A3"/>
    <w:rsid w:val="0001534C"/>
    <w:rsid w:val="000157CD"/>
    <w:rsid w:val="000167D3"/>
    <w:rsid w:val="0001795E"/>
    <w:rsid w:val="00017D8C"/>
    <w:rsid w:val="0002091B"/>
    <w:rsid w:val="000209D3"/>
    <w:rsid w:val="000216ED"/>
    <w:rsid w:val="0002190B"/>
    <w:rsid w:val="00021C9A"/>
    <w:rsid w:val="000220DE"/>
    <w:rsid w:val="000221E4"/>
    <w:rsid w:val="0002221A"/>
    <w:rsid w:val="00022488"/>
    <w:rsid w:val="000227FF"/>
    <w:rsid w:val="00023957"/>
    <w:rsid w:val="00023FB1"/>
    <w:rsid w:val="00024E14"/>
    <w:rsid w:val="000252A9"/>
    <w:rsid w:val="000256B4"/>
    <w:rsid w:val="000257B7"/>
    <w:rsid w:val="00025A01"/>
    <w:rsid w:val="00025C1B"/>
    <w:rsid w:val="00025D1B"/>
    <w:rsid w:val="00025E06"/>
    <w:rsid w:val="0002638D"/>
    <w:rsid w:val="0002658A"/>
    <w:rsid w:val="00026767"/>
    <w:rsid w:val="00026B06"/>
    <w:rsid w:val="00026D1B"/>
    <w:rsid w:val="00027000"/>
    <w:rsid w:val="00027731"/>
    <w:rsid w:val="00027A79"/>
    <w:rsid w:val="00027EA5"/>
    <w:rsid w:val="00030E1A"/>
    <w:rsid w:val="00030F3D"/>
    <w:rsid w:val="0003118A"/>
    <w:rsid w:val="000313F6"/>
    <w:rsid w:val="000326DD"/>
    <w:rsid w:val="00032995"/>
    <w:rsid w:val="00032EC4"/>
    <w:rsid w:val="00033B97"/>
    <w:rsid w:val="0003418E"/>
    <w:rsid w:val="0003539D"/>
    <w:rsid w:val="00035421"/>
    <w:rsid w:val="00035934"/>
    <w:rsid w:val="00036135"/>
    <w:rsid w:val="000367AF"/>
    <w:rsid w:val="00036A5E"/>
    <w:rsid w:val="00036F87"/>
    <w:rsid w:val="00037316"/>
    <w:rsid w:val="000373C0"/>
    <w:rsid w:val="00037894"/>
    <w:rsid w:val="00037B5B"/>
    <w:rsid w:val="00037F9A"/>
    <w:rsid w:val="00040E1B"/>
    <w:rsid w:val="00041183"/>
    <w:rsid w:val="000411D0"/>
    <w:rsid w:val="00041225"/>
    <w:rsid w:val="0004123A"/>
    <w:rsid w:val="000421E4"/>
    <w:rsid w:val="000422CA"/>
    <w:rsid w:val="000424A9"/>
    <w:rsid w:val="00043176"/>
    <w:rsid w:val="00043C46"/>
    <w:rsid w:val="00043D2C"/>
    <w:rsid w:val="0004478E"/>
    <w:rsid w:val="00044DA3"/>
    <w:rsid w:val="00045176"/>
    <w:rsid w:val="000462C2"/>
    <w:rsid w:val="000463FA"/>
    <w:rsid w:val="00046564"/>
    <w:rsid w:val="00046649"/>
    <w:rsid w:val="00046B86"/>
    <w:rsid w:val="00047814"/>
    <w:rsid w:val="00050AA6"/>
    <w:rsid w:val="00053456"/>
    <w:rsid w:val="00053A97"/>
    <w:rsid w:val="00053BAC"/>
    <w:rsid w:val="00054A4B"/>
    <w:rsid w:val="000552B3"/>
    <w:rsid w:val="000556B7"/>
    <w:rsid w:val="00055C21"/>
    <w:rsid w:val="00056944"/>
    <w:rsid w:val="00056F39"/>
    <w:rsid w:val="00057FCF"/>
    <w:rsid w:val="000604C9"/>
    <w:rsid w:val="00060528"/>
    <w:rsid w:val="00060C20"/>
    <w:rsid w:val="00060D87"/>
    <w:rsid w:val="0006129B"/>
    <w:rsid w:val="0006178F"/>
    <w:rsid w:val="00062844"/>
    <w:rsid w:val="00062DA3"/>
    <w:rsid w:val="00062EB2"/>
    <w:rsid w:val="00063738"/>
    <w:rsid w:val="00063A2B"/>
    <w:rsid w:val="0006420C"/>
    <w:rsid w:val="000646DB"/>
    <w:rsid w:val="00064A10"/>
    <w:rsid w:val="00065128"/>
    <w:rsid w:val="000653AD"/>
    <w:rsid w:val="00065805"/>
    <w:rsid w:val="00065D76"/>
    <w:rsid w:val="0006602A"/>
    <w:rsid w:val="00066512"/>
    <w:rsid w:val="00066AEB"/>
    <w:rsid w:val="00067422"/>
    <w:rsid w:val="000700BD"/>
    <w:rsid w:val="000704D9"/>
    <w:rsid w:val="0007067B"/>
    <w:rsid w:val="00070F86"/>
    <w:rsid w:val="00071925"/>
    <w:rsid w:val="00072213"/>
    <w:rsid w:val="00072220"/>
    <w:rsid w:val="000722CB"/>
    <w:rsid w:val="000726BE"/>
    <w:rsid w:val="00072BB1"/>
    <w:rsid w:val="0007388D"/>
    <w:rsid w:val="00073EAA"/>
    <w:rsid w:val="00074572"/>
    <w:rsid w:val="00074F2A"/>
    <w:rsid w:val="000756B7"/>
    <w:rsid w:val="000773B2"/>
    <w:rsid w:val="000775E6"/>
    <w:rsid w:val="000775FB"/>
    <w:rsid w:val="0007793C"/>
    <w:rsid w:val="00077AA5"/>
    <w:rsid w:val="0008016F"/>
    <w:rsid w:val="00080250"/>
    <w:rsid w:val="000805C8"/>
    <w:rsid w:val="00080881"/>
    <w:rsid w:val="00081266"/>
    <w:rsid w:val="000814D4"/>
    <w:rsid w:val="00081752"/>
    <w:rsid w:val="000817D5"/>
    <w:rsid w:val="00081806"/>
    <w:rsid w:val="0008183A"/>
    <w:rsid w:val="00081D07"/>
    <w:rsid w:val="00081E80"/>
    <w:rsid w:val="00081F20"/>
    <w:rsid w:val="00082814"/>
    <w:rsid w:val="0008396A"/>
    <w:rsid w:val="00083EBD"/>
    <w:rsid w:val="0008411E"/>
    <w:rsid w:val="00084C45"/>
    <w:rsid w:val="000854AC"/>
    <w:rsid w:val="00086041"/>
    <w:rsid w:val="000866FB"/>
    <w:rsid w:val="00086E4D"/>
    <w:rsid w:val="00086E90"/>
    <w:rsid w:val="00086F1C"/>
    <w:rsid w:val="000871C0"/>
    <w:rsid w:val="000872ED"/>
    <w:rsid w:val="00087AE1"/>
    <w:rsid w:val="00087B35"/>
    <w:rsid w:val="00087C62"/>
    <w:rsid w:val="000900FB"/>
    <w:rsid w:val="0009060B"/>
    <w:rsid w:val="000906B2"/>
    <w:rsid w:val="00090CF2"/>
    <w:rsid w:val="000916EA"/>
    <w:rsid w:val="0009199A"/>
    <w:rsid w:val="00091B9A"/>
    <w:rsid w:val="00091E16"/>
    <w:rsid w:val="00091F42"/>
    <w:rsid w:val="0009206B"/>
    <w:rsid w:val="00092747"/>
    <w:rsid w:val="00092757"/>
    <w:rsid w:val="00092798"/>
    <w:rsid w:val="000934AB"/>
    <w:rsid w:val="000934FE"/>
    <w:rsid w:val="00093E40"/>
    <w:rsid w:val="00094386"/>
    <w:rsid w:val="000943CD"/>
    <w:rsid w:val="00094436"/>
    <w:rsid w:val="0009445B"/>
    <w:rsid w:val="00095BB4"/>
    <w:rsid w:val="00095C4D"/>
    <w:rsid w:val="00095ECC"/>
    <w:rsid w:val="000964C4"/>
    <w:rsid w:val="00097D64"/>
    <w:rsid w:val="000A0231"/>
    <w:rsid w:val="000A025D"/>
    <w:rsid w:val="000A06C1"/>
    <w:rsid w:val="000A11C2"/>
    <w:rsid w:val="000A11FE"/>
    <w:rsid w:val="000A15E2"/>
    <w:rsid w:val="000A1808"/>
    <w:rsid w:val="000A1946"/>
    <w:rsid w:val="000A21D4"/>
    <w:rsid w:val="000A2344"/>
    <w:rsid w:val="000A2A56"/>
    <w:rsid w:val="000A3291"/>
    <w:rsid w:val="000A3485"/>
    <w:rsid w:val="000A3943"/>
    <w:rsid w:val="000A39E4"/>
    <w:rsid w:val="000A3F3D"/>
    <w:rsid w:val="000A3FA7"/>
    <w:rsid w:val="000A4100"/>
    <w:rsid w:val="000A429C"/>
    <w:rsid w:val="000A4B70"/>
    <w:rsid w:val="000A4EB2"/>
    <w:rsid w:val="000A620D"/>
    <w:rsid w:val="000A6281"/>
    <w:rsid w:val="000A63A6"/>
    <w:rsid w:val="000A6609"/>
    <w:rsid w:val="000A6911"/>
    <w:rsid w:val="000A7461"/>
    <w:rsid w:val="000A748B"/>
    <w:rsid w:val="000A7E07"/>
    <w:rsid w:val="000A7FD2"/>
    <w:rsid w:val="000B0361"/>
    <w:rsid w:val="000B05EB"/>
    <w:rsid w:val="000B0F10"/>
    <w:rsid w:val="000B12C3"/>
    <w:rsid w:val="000B163E"/>
    <w:rsid w:val="000B18C9"/>
    <w:rsid w:val="000B1D87"/>
    <w:rsid w:val="000B224E"/>
    <w:rsid w:val="000B269E"/>
    <w:rsid w:val="000B2EA7"/>
    <w:rsid w:val="000B2F44"/>
    <w:rsid w:val="000B35B2"/>
    <w:rsid w:val="000B3928"/>
    <w:rsid w:val="000B39F7"/>
    <w:rsid w:val="000B3C7C"/>
    <w:rsid w:val="000B3FA2"/>
    <w:rsid w:val="000B42EC"/>
    <w:rsid w:val="000B44A8"/>
    <w:rsid w:val="000B483D"/>
    <w:rsid w:val="000B4850"/>
    <w:rsid w:val="000B4CF1"/>
    <w:rsid w:val="000B5932"/>
    <w:rsid w:val="000B5BA2"/>
    <w:rsid w:val="000B5BB5"/>
    <w:rsid w:val="000B6704"/>
    <w:rsid w:val="000B69DA"/>
    <w:rsid w:val="000B6BA6"/>
    <w:rsid w:val="000B7411"/>
    <w:rsid w:val="000B7C75"/>
    <w:rsid w:val="000B7E84"/>
    <w:rsid w:val="000C05D8"/>
    <w:rsid w:val="000C0CE7"/>
    <w:rsid w:val="000C0DA0"/>
    <w:rsid w:val="000C1A43"/>
    <w:rsid w:val="000C1FF3"/>
    <w:rsid w:val="000C2195"/>
    <w:rsid w:val="000C21C2"/>
    <w:rsid w:val="000C250F"/>
    <w:rsid w:val="000C2936"/>
    <w:rsid w:val="000C2A22"/>
    <w:rsid w:val="000C2B16"/>
    <w:rsid w:val="000C32A3"/>
    <w:rsid w:val="000C3494"/>
    <w:rsid w:val="000C3F5F"/>
    <w:rsid w:val="000C43D4"/>
    <w:rsid w:val="000C45B2"/>
    <w:rsid w:val="000C46F4"/>
    <w:rsid w:val="000C4A3F"/>
    <w:rsid w:val="000C4D07"/>
    <w:rsid w:val="000C5274"/>
    <w:rsid w:val="000C54D9"/>
    <w:rsid w:val="000C554A"/>
    <w:rsid w:val="000C5644"/>
    <w:rsid w:val="000C63DC"/>
    <w:rsid w:val="000C6754"/>
    <w:rsid w:val="000C756F"/>
    <w:rsid w:val="000C7BD5"/>
    <w:rsid w:val="000D01C9"/>
    <w:rsid w:val="000D0732"/>
    <w:rsid w:val="000D0C83"/>
    <w:rsid w:val="000D0CEB"/>
    <w:rsid w:val="000D0CFA"/>
    <w:rsid w:val="000D0DA0"/>
    <w:rsid w:val="000D128E"/>
    <w:rsid w:val="000D16F9"/>
    <w:rsid w:val="000D1893"/>
    <w:rsid w:val="000D1C1A"/>
    <w:rsid w:val="000D248B"/>
    <w:rsid w:val="000D27E3"/>
    <w:rsid w:val="000D2AF1"/>
    <w:rsid w:val="000D2EA0"/>
    <w:rsid w:val="000D315E"/>
    <w:rsid w:val="000D3732"/>
    <w:rsid w:val="000D403C"/>
    <w:rsid w:val="000D4A42"/>
    <w:rsid w:val="000D4F70"/>
    <w:rsid w:val="000D5A97"/>
    <w:rsid w:val="000D5CDD"/>
    <w:rsid w:val="000D5FD4"/>
    <w:rsid w:val="000D60C9"/>
    <w:rsid w:val="000D65DD"/>
    <w:rsid w:val="000D6C88"/>
    <w:rsid w:val="000D6E38"/>
    <w:rsid w:val="000D6F3C"/>
    <w:rsid w:val="000D72E3"/>
    <w:rsid w:val="000D779C"/>
    <w:rsid w:val="000D799B"/>
    <w:rsid w:val="000D7C51"/>
    <w:rsid w:val="000E06A2"/>
    <w:rsid w:val="000E12B4"/>
    <w:rsid w:val="000E1EEB"/>
    <w:rsid w:val="000E2727"/>
    <w:rsid w:val="000E2D06"/>
    <w:rsid w:val="000E2E59"/>
    <w:rsid w:val="000E2F53"/>
    <w:rsid w:val="000E338E"/>
    <w:rsid w:val="000E3846"/>
    <w:rsid w:val="000E3957"/>
    <w:rsid w:val="000E3A3B"/>
    <w:rsid w:val="000E3BCB"/>
    <w:rsid w:val="000E3EBA"/>
    <w:rsid w:val="000E42D3"/>
    <w:rsid w:val="000E4964"/>
    <w:rsid w:val="000E555D"/>
    <w:rsid w:val="000E56E6"/>
    <w:rsid w:val="000E58B0"/>
    <w:rsid w:val="000E58DA"/>
    <w:rsid w:val="000E599A"/>
    <w:rsid w:val="000E5BAD"/>
    <w:rsid w:val="000E65CC"/>
    <w:rsid w:val="000E68F5"/>
    <w:rsid w:val="000E70DC"/>
    <w:rsid w:val="000E71BE"/>
    <w:rsid w:val="000E73BE"/>
    <w:rsid w:val="000E780E"/>
    <w:rsid w:val="000E79ED"/>
    <w:rsid w:val="000E7D57"/>
    <w:rsid w:val="000F041F"/>
    <w:rsid w:val="000F073F"/>
    <w:rsid w:val="000F0DC4"/>
    <w:rsid w:val="000F133E"/>
    <w:rsid w:val="000F1AC5"/>
    <w:rsid w:val="000F1BF1"/>
    <w:rsid w:val="000F2564"/>
    <w:rsid w:val="000F2615"/>
    <w:rsid w:val="000F306E"/>
    <w:rsid w:val="000F31D5"/>
    <w:rsid w:val="000F36AF"/>
    <w:rsid w:val="000F380C"/>
    <w:rsid w:val="000F3D14"/>
    <w:rsid w:val="000F437A"/>
    <w:rsid w:val="000F460C"/>
    <w:rsid w:val="000F4A07"/>
    <w:rsid w:val="000F4FC8"/>
    <w:rsid w:val="000F6362"/>
    <w:rsid w:val="000F685E"/>
    <w:rsid w:val="000F70F0"/>
    <w:rsid w:val="00100284"/>
    <w:rsid w:val="0010047F"/>
    <w:rsid w:val="00100DA5"/>
    <w:rsid w:val="001019D1"/>
    <w:rsid w:val="00101B35"/>
    <w:rsid w:val="00101D32"/>
    <w:rsid w:val="00102180"/>
    <w:rsid w:val="00102550"/>
    <w:rsid w:val="00102F40"/>
    <w:rsid w:val="00103382"/>
    <w:rsid w:val="00103ADD"/>
    <w:rsid w:val="00103DEB"/>
    <w:rsid w:val="0010445B"/>
    <w:rsid w:val="00104E44"/>
    <w:rsid w:val="0010536D"/>
    <w:rsid w:val="00105435"/>
    <w:rsid w:val="00105D08"/>
    <w:rsid w:val="0010600C"/>
    <w:rsid w:val="00107025"/>
    <w:rsid w:val="001073D5"/>
    <w:rsid w:val="00110088"/>
    <w:rsid w:val="00111781"/>
    <w:rsid w:val="00111CE2"/>
    <w:rsid w:val="0011221B"/>
    <w:rsid w:val="00112533"/>
    <w:rsid w:val="00112FBC"/>
    <w:rsid w:val="00113AD5"/>
    <w:rsid w:val="00113E9D"/>
    <w:rsid w:val="00113EE8"/>
    <w:rsid w:val="00113F81"/>
    <w:rsid w:val="00114BCD"/>
    <w:rsid w:val="001150F1"/>
    <w:rsid w:val="00115234"/>
    <w:rsid w:val="00116C07"/>
    <w:rsid w:val="00116D03"/>
    <w:rsid w:val="00116E8B"/>
    <w:rsid w:val="00117510"/>
    <w:rsid w:val="0011760F"/>
    <w:rsid w:val="00117A9A"/>
    <w:rsid w:val="00117AD1"/>
    <w:rsid w:val="00117ADD"/>
    <w:rsid w:val="00117B63"/>
    <w:rsid w:val="00117B83"/>
    <w:rsid w:val="00120CBD"/>
    <w:rsid w:val="001211BD"/>
    <w:rsid w:val="0012157D"/>
    <w:rsid w:val="00121A79"/>
    <w:rsid w:val="00122DE0"/>
    <w:rsid w:val="00122E1C"/>
    <w:rsid w:val="00123B37"/>
    <w:rsid w:val="00124144"/>
    <w:rsid w:val="00124363"/>
    <w:rsid w:val="0012496C"/>
    <w:rsid w:val="00124A3E"/>
    <w:rsid w:val="00124F1D"/>
    <w:rsid w:val="00125280"/>
    <w:rsid w:val="00125C4A"/>
    <w:rsid w:val="00125F96"/>
    <w:rsid w:val="00126123"/>
    <w:rsid w:val="001261C1"/>
    <w:rsid w:val="001265F0"/>
    <w:rsid w:val="00126D5D"/>
    <w:rsid w:val="00126FC6"/>
    <w:rsid w:val="00127325"/>
    <w:rsid w:val="00127607"/>
    <w:rsid w:val="00127EDB"/>
    <w:rsid w:val="00127F23"/>
    <w:rsid w:val="0013044B"/>
    <w:rsid w:val="001304A0"/>
    <w:rsid w:val="00130A4A"/>
    <w:rsid w:val="00131522"/>
    <w:rsid w:val="0013175F"/>
    <w:rsid w:val="00132BDE"/>
    <w:rsid w:val="00132FD4"/>
    <w:rsid w:val="00133053"/>
    <w:rsid w:val="001334D5"/>
    <w:rsid w:val="00133844"/>
    <w:rsid w:val="001350B0"/>
    <w:rsid w:val="00135389"/>
    <w:rsid w:val="00135457"/>
    <w:rsid w:val="0013545E"/>
    <w:rsid w:val="001356CC"/>
    <w:rsid w:val="00135B9C"/>
    <w:rsid w:val="001369ED"/>
    <w:rsid w:val="00136BCF"/>
    <w:rsid w:val="00137093"/>
    <w:rsid w:val="00137878"/>
    <w:rsid w:val="00137889"/>
    <w:rsid w:val="00137BED"/>
    <w:rsid w:val="001403AB"/>
    <w:rsid w:val="0014078C"/>
    <w:rsid w:val="00140790"/>
    <w:rsid w:val="001407DA"/>
    <w:rsid w:val="0014114B"/>
    <w:rsid w:val="001415B0"/>
    <w:rsid w:val="00141C80"/>
    <w:rsid w:val="00141E39"/>
    <w:rsid w:val="00142009"/>
    <w:rsid w:val="00142263"/>
    <w:rsid w:val="00142B97"/>
    <w:rsid w:val="00142D14"/>
    <w:rsid w:val="00143318"/>
    <w:rsid w:val="001435CF"/>
    <w:rsid w:val="00143AB0"/>
    <w:rsid w:val="00143CFA"/>
    <w:rsid w:val="00143F47"/>
    <w:rsid w:val="00144787"/>
    <w:rsid w:val="001448A4"/>
    <w:rsid w:val="001448E7"/>
    <w:rsid w:val="00144BD1"/>
    <w:rsid w:val="001451E7"/>
    <w:rsid w:val="001459B6"/>
    <w:rsid w:val="00145DFB"/>
    <w:rsid w:val="001464F6"/>
    <w:rsid w:val="001468D2"/>
    <w:rsid w:val="00146D19"/>
    <w:rsid w:val="00146D64"/>
    <w:rsid w:val="0014720F"/>
    <w:rsid w:val="00147411"/>
    <w:rsid w:val="00150117"/>
    <w:rsid w:val="00150689"/>
    <w:rsid w:val="0015080C"/>
    <w:rsid w:val="00150925"/>
    <w:rsid w:val="00150D27"/>
    <w:rsid w:val="00152C19"/>
    <w:rsid w:val="00152F2D"/>
    <w:rsid w:val="001530CC"/>
    <w:rsid w:val="00153603"/>
    <w:rsid w:val="00153C15"/>
    <w:rsid w:val="0015400F"/>
    <w:rsid w:val="00154236"/>
    <w:rsid w:val="001545C8"/>
    <w:rsid w:val="001549A7"/>
    <w:rsid w:val="0015515A"/>
    <w:rsid w:val="001553B8"/>
    <w:rsid w:val="0015607D"/>
    <w:rsid w:val="00156DE6"/>
    <w:rsid w:val="00157BC2"/>
    <w:rsid w:val="001600B9"/>
    <w:rsid w:val="00160176"/>
    <w:rsid w:val="001603B2"/>
    <w:rsid w:val="0016062F"/>
    <w:rsid w:val="00161488"/>
    <w:rsid w:val="001615A2"/>
    <w:rsid w:val="00161F06"/>
    <w:rsid w:val="0016268C"/>
    <w:rsid w:val="00162915"/>
    <w:rsid w:val="00162CCB"/>
    <w:rsid w:val="00163668"/>
    <w:rsid w:val="00163DBA"/>
    <w:rsid w:val="00163FC2"/>
    <w:rsid w:val="0016454B"/>
    <w:rsid w:val="001646A9"/>
    <w:rsid w:val="00164B64"/>
    <w:rsid w:val="00164F49"/>
    <w:rsid w:val="00165088"/>
    <w:rsid w:val="00165617"/>
    <w:rsid w:val="001656DC"/>
    <w:rsid w:val="001661BC"/>
    <w:rsid w:val="00166303"/>
    <w:rsid w:val="001663A6"/>
    <w:rsid w:val="00166AC8"/>
    <w:rsid w:val="0016704F"/>
    <w:rsid w:val="001675A5"/>
    <w:rsid w:val="00167B3B"/>
    <w:rsid w:val="00170BBC"/>
    <w:rsid w:val="001714A1"/>
    <w:rsid w:val="00171DB6"/>
    <w:rsid w:val="0017277A"/>
    <w:rsid w:val="00172A3E"/>
    <w:rsid w:val="00173108"/>
    <w:rsid w:val="001735A5"/>
    <w:rsid w:val="00173752"/>
    <w:rsid w:val="00173A09"/>
    <w:rsid w:val="001747C9"/>
    <w:rsid w:val="001747FF"/>
    <w:rsid w:val="00174C3D"/>
    <w:rsid w:val="0017590F"/>
    <w:rsid w:val="00175A37"/>
    <w:rsid w:val="00175E69"/>
    <w:rsid w:val="00175EDB"/>
    <w:rsid w:val="001764BB"/>
    <w:rsid w:val="00176D14"/>
    <w:rsid w:val="00177278"/>
    <w:rsid w:val="00177280"/>
    <w:rsid w:val="00177435"/>
    <w:rsid w:val="00177768"/>
    <w:rsid w:val="00177F4E"/>
    <w:rsid w:val="00180453"/>
    <w:rsid w:val="0018075C"/>
    <w:rsid w:val="00180A34"/>
    <w:rsid w:val="001813B4"/>
    <w:rsid w:val="00181469"/>
    <w:rsid w:val="00181556"/>
    <w:rsid w:val="001819BB"/>
    <w:rsid w:val="00181A54"/>
    <w:rsid w:val="00182A43"/>
    <w:rsid w:val="00182C62"/>
    <w:rsid w:val="001830F5"/>
    <w:rsid w:val="001841F7"/>
    <w:rsid w:val="00184392"/>
    <w:rsid w:val="001849E3"/>
    <w:rsid w:val="00184A1F"/>
    <w:rsid w:val="0018521B"/>
    <w:rsid w:val="0018583B"/>
    <w:rsid w:val="001858B1"/>
    <w:rsid w:val="0018694C"/>
    <w:rsid w:val="00186AFD"/>
    <w:rsid w:val="001870F9"/>
    <w:rsid w:val="001873DF"/>
    <w:rsid w:val="00187525"/>
    <w:rsid w:val="00187954"/>
    <w:rsid w:val="00187A2A"/>
    <w:rsid w:val="00187B48"/>
    <w:rsid w:val="00187FD6"/>
    <w:rsid w:val="00190EF4"/>
    <w:rsid w:val="0019123E"/>
    <w:rsid w:val="00191CF6"/>
    <w:rsid w:val="00192056"/>
    <w:rsid w:val="001929D1"/>
    <w:rsid w:val="00192EEB"/>
    <w:rsid w:val="00192FAF"/>
    <w:rsid w:val="001930BB"/>
    <w:rsid w:val="001935E5"/>
    <w:rsid w:val="00193634"/>
    <w:rsid w:val="00193BC7"/>
    <w:rsid w:val="00194619"/>
    <w:rsid w:val="00194B06"/>
    <w:rsid w:val="0019541B"/>
    <w:rsid w:val="0019543B"/>
    <w:rsid w:val="001954FA"/>
    <w:rsid w:val="001956A6"/>
    <w:rsid w:val="00195AA4"/>
    <w:rsid w:val="001965F0"/>
    <w:rsid w:val="00196FD5"/>
    <w:rsid w:val="001972F2"/>
    <w:rsid w:val="0019749D"/>
    <w:rsid w:val="00197678"/>
    <w:rsid w:val="00197FB1"/>
    <w:rsid w:val="001A109C"/>
    <w:rsid w:val="001A14D5"/>
    <w:rsid w:val="001A16EE"/>
    <w:rsid w:val="001A194A"/>
    <w:rsid w:val="001A1B4D"/>
    <w:rsid w:val="001A1B83"/>
    <w:rsid w:val="001A24C2"/>
    <w:rsid w:val="001A254B"/>
    <w:rsid w:val="001A2DA1"/>
    <w:rsid w:val="001A2DB0"/>
    <w:rsid w:val="001A455E"/>
    <w:rsid w:val="001A492F"/>
    <w:rsid w:val="001A599C"/>
    <w:rsid w:val="001A5D8D"/>
    <w:rsid w:val="001A601A"/>
    <w:rsid w:val="001A610B"/>
    <w:rsid w:val="001A61F0"/>
    <w:rsid w:val="001A6396"/>
    <w:rsid w:val="001A65EF"/>
    <w:rsid w:val="001A67E8"/>
    <w:rsid w:val="001A6A94"/>
    <w:rsid w:val="001A7722"/>
    <w:rsid w:val="001A7957"/>
    <w:rsid w:val="001A79C0"/>
    <w:rsid w:val="001A7F49"/>
    <w:rsid w:val="001B0517"/>
    <w:rsid w:val="001B0A80"/>
    <w:rsid w:val="001B0D26"/>
    <w:rsid w:val="001B0FB1"/>
    <w:rsid w:val="001B1594"/>
    <w:rsid w:val="001B194D"/>
    <w:rsid w:val="001B2431"/>
    <w:rsid w:val="001B3FBB"/>
    <w:rsid w:val="001B4029"/>
    <w:rsid w:val="001B4677"/>
    <w:rsid w:val="001B46DE"/>
    <w:rsid w:val="001B5356"/>
    <w:rsid w:val="001B5841"/>
    <w:rsid w:val="001B5A67"/>
    <w:rsid w:val="001B6274"/>
    <w:rsid w:val="001B6E8C"/>
    <w:rsid w:val="001B7A53"/>
    <w:rsid w:val="001B7F87"/>
    <w:rsid w:val="001C01FD"/>
    <w:rsid w:val="001C0787"/>
    <w:rsid w:val="001C086D"/>
    <w:rsid w:val="001C1288"/>
    <w:rsid w:val="001C144E"/>
    <w:rsid w:val="001C260F"/>
    <w:rsid w:val="001C270A"/>
    <w:rsid w:val="001C2804"/>
    <w:rsid w:val="001C2902"/>
    <w:rsid w:val="001C332C"/>
    <w:rsid w:val="001C39CC"/>
    <w:rsid w:val="001C410B"/>
    <w:rsid w:val="001C4262"/>
    <w:rsid w:val="001C42BF"/>
    <w:rsid w:val="001C6043"/>
    <w:rsid w:val="001C6479"/>
    <w:rsid w:val="001C6724"/>
    <w:rsid w:val="001C68A4"/>
    <w:rsid w:val="001C6B4F"/>
    <w:rsid w:val="001C7459"/>
    <w:rsid w:val="001C7893"/>
    <w:rsid w:val="001C7A18"/>
    <w:rsid w:val="001C7F06"/>
    <w:rsid w:val="001D0405"/>
    <w:rsid w:val="001D089E"/>
    <w:rsid w:val="001D1D23"/>
    <w:rsid w:val="001D216A"/>
    <w:rsid w:val="001D27F7"/>
    <w:rsid w:val="001D2906"/>
    <w:rsid w:val="001D2A30"/>
    <w:rsid w:val="001D2B53"/>
    <w:rsid w:val="001D2E82"/>
    <w:rsid w:val="001D2F15"/>
    <w:rsid w:val="001D3630"/>
    <w:rsid w:val="001D3D16"/>
    <w:rsid w:val="001D4799"/>
    <w:rsid w:val="001D48C0"/>
    <w:rsid w:val="001D49BF"/>
    <w:rsid w:val="001D506E"/>
    <w:rsid w:val="001D51DA"/>
    <w:rsid w:val="001D52DF"/>
    <w:rsid w:val="001D5E5A"/>
    <w:rsid w:val="001D6BAE"/>
    <w:rsid w:val="001D6E64"/>
    <w:rsid w:val="001D7D29"/>
    <w:rsid w:val="001E0DC9"/>
    <w:rsid w:val="001E17C6"/>
    <w:rsid w:val="001E2CEB"/>
    <w:rsid w:val="001E2DFF"/>
    <w:rsid w:val="001E32EF"/>
    <w:rsid w:val="001E35A5"/>
    <w:rsid w:val="001E3FE3"/>
    <w:rsid w:val="001E4965"/>
    <w:rsid w:val="001E4A06"/>
    <w:rsid w:val="001E4B55"/>
    <w:rsid w:val="001E4DA2"/>
    <w:rsid w:val="001E4ED0"/>
    <w:rsid w:val="001E5638"/>
    <w:rsid w:val="001E5D0A"/>
    <w:rsid w:val="001E6162"/>
    <w:rsid w:val="001E6428"/>
    <w:rsid w:val="001E6AB7"/>
    <w:rsid w:val="001E7271"/>
    <w:rsid w:val="001E73AF"/>
    <w:rsid w:val="001E73DF"/>
    <w:rsid w:val="001E74C6"/>
    <w:rsid w:val="001E7759"/>
    <w:rsid w:val="001E77EC"/>
    <w:rsid w:val="001E78B1"/>
    <w:rsid w:val="001E7DFC"/>
    <w:rsid w:val="001F1263"/>
    <w:rsid w:val="001F1AB6"/>
    <w:rsid w:val="001F2DCC"/>
    <w:rsid w:val="001F2EAC"/>
    <w:rsid w:val="001F32BA"/>
    <w:rsid w:val="001F332F"/>
    <w:rsid w:val="001F3726"/>
    <w:rsid w:val="001F3D8C"/>
    <w:rsid w:val="001F44D6"/>
    <w:rsid w:val="001F5538"/>
    <w:rsid w:val="001F56D7"/>
    <w:rsid w:val="001F5AB1"/>
    <w:rsid w:val="001F5B63"/>
    <w:rsid w:val="001F5B6B"/>
    <w:rsid w:val="001F635C"/>
    <w:rsid w:val="001F65B8"/>
    <w:rsid w:val="001F68EB"/>
    <w:rsid w:val="001F6CC9"/>
    <w:rsid w:val="001F71F3"/>
    <w:rsid w:val="001F724E"/>
    <w:rsid w:val="001F7397"/>
    <w:rsid w:val="001F7567"/>
    <w:rsid w:val="002001EC"/>
    <w:rsid w:val="002002E2"/>
    <w:rsid w:val="00200406"/>
    <w:rsid w:val="002006B0"/>
    <w:rsid w:val="0020094B"/>
    <w:rsid w:val="002009C8"/>
    <w:rsid w:val="00200AF8"/>
    <w:rsid w:val="0020137C"/>
    <w:rsid w:val="0020148F"/>
    <w:rsid w:val="00201E19"/>
    <w:rsid w:val="00202838"/>
    <w:rsid w:val="00202E22"/>
    <w:rsid w:val="002030DE"/>
    <w:rsid w:val="00203133"/>
    <w:rsid w:val="00203889"/>
    <w:rsid w:val="00204030"/>
    <w:rsid w:val="00204090"/>
    <w:rsid w:val="002040A5"/>
    <w:rsid w:val="00204260"/>
    <w:rsid w:val="0020438D"/>
    <w:rsid w:val="002049CA"/>
    <w:rsid w:val="00204AA8"/>
    <w:rsid w:val="00204DC9"/>
    <w:rsid w:val="00205311"/>
    <w:rsid w:val="00205D67"/>
    <w:rsid w:val="00205DF3"/>
    <w:rsid w:val="00205EF5"/>
    <w:rsid w:val="0020603B"/>
    <w:rsid w:val="00206A98"/>
    <w:rsid w:val="00206AAC"/>
    <w:rsid w:val="00206B25"/>
    <w:rsid w:val="00207310"/>
    <w:rsid w:val="00210475"/>
    <w:rsid w:val="002107ED"/>
    <w:rsid w:val="00210C56"/>
    <w:rsid w:val="0021154B"/>
    <w:rsid w:val="0021193E"/>
    <w:rsid w:val="00211B87"/>
    <w:rsid w:val="00212AD2"/>
    <w:rsid w:val="002130AF"/>
    <w:rsid w:val="0021390E"/>
    <w:rsid w:val="00213990"/>
    <w:rsid w:val="00214254"/>
    <w:rsid w:val="002149F3"/>
    <w:rsid w:val="00215080"/>
    <w:rsid w:val="002157A0"/>
    <w:rsid w:val="002158AF"/>
    <w:rsid w:val="00215BCA"/>
    <w:rsid w:val="00216717"/>
    <w:rsid w:val="002167F8"/>
    <w:rsid w:val="00216B7B"/>
    <w:rsid w:val="00217274"/>
    <w:rsid w:val="0021727A"/>
    <w:rsid w:val="002172C9"/>
    <w:rsid w:val="00217911"/>
    <w:rsid w:val="00217C09"/>
    <w:rsid w:val="00217C17"/>
    <w:rsid w:val="00217E6B"/>
    <w:rsid w:val="00217ECC"/>
    <w:rsid w:val="0022083E"/>
    <w:rsid w:val="00220B96"/>
    <w:rsid w:val="00220C85"/>
    <w:rsid w:val="002211CC"/>
    <w:rsid w:val="0022133E"/>
    <w:rsid w:val="0022134B"/>
    <w:rsid w:val="00221643"/>
    <w:rsid w:val="00221669"/>
    <w:rsid w:val="00221850"/>
    <w:rsid w:val="00222105"/>
    <w:rsid w:val="00222268"/>
    <w:rsid w:val="0022294B"/>
    <w:rsid w:val="00222D0B"/>
    <w:rsid w:val="00223451"/>
    <w:rsid w:val="00223525"/>
    <w:rsid w:val="0022367D"/>
    <w:rsid w:val="002237AC"/>
    <w:rsid w:val="00224067"/>
    <w:rsid w:val="002240D2"/>
    <w:rsid w:val="0022429D"/>
    <w:rsid w:val="00224967"/>
    <w:rsid w:val="002249C6"/>
    <w:rsid w:val="00224E69"/>
    <w:rsid w:val="0022590D"/>
    <w:rsid w:val="00225A1E"/>
    <w:rsid w:val="00225CB4"/>
    <w:rsid w:val="002260D6"/>
    <w:rsid w:val="00226250"/>
    <w:rsid w:val="00226254"/>
    <w:rsid w:val="00226551"/>
    <w:rsid w:val="0022708D"/>
    <w:rsid w:val="002271F7"/>
    <w:rsid w:val="002275F6"/>
    <w:rsid w:val="00227AE5"/>
    <w:rsid w:val="0023015E"/>
    <w:rsid w:val="0023038B"/>
    <w:rsid w:val="00230D75"/>
    <w:rsid w:val="00230FFD"/>
    <w:rsid w:val="00231A2B"/>
    <w:rsid w:val="00231BEE"/>
    <w:rsid w:val="00231E43"/>
    <w:rsid w:val="00232786"/>
    <w:rsid w:val="00232C28"/>
    <w:rsid w:val="00232C44"/>
    <w:rsid w:val="00232D9F"/>
    <w:rsid w:val="00233C76"/>
    <w:rsid w:val="002340F3"/>
    <w:rsid w:val="00234C9B"/>
    <w:rsid w:val="00234DE3"/>
    <w:rsid w:val="00234FF2"/>
    <w:rsid w:val="002367C4"/>
    <w:rsid w:val="00236C84"/>
    <w:rsid w:val="00236C98"/>
    <w:rsid w:val="00236FF8"/>
    <w:rsid w:val="002373C0"/>
    <w:rsid w:val="00240114"/>
    <w:rsid w:val="00240CA4"/>
    <w:rsid w:val="00241D3D"/>
    <w:rsid w:val="00241ED6"/>
    <w:rsid w:val="00242220"/>
    <w:rsid w:val="00242EC3"/>
    <w:rsid w:val="0024368C"/>
    <w:rsid w:val="00243ECC"/>
    <w:rsid w:val="00244255"/>
    <w:rsid w:val="0024430E"/>
    <w:rsid w:val="00244DD5"/>
    <w:rsid w:val="00244E19"/>
    <w:rsid w:val="0024534E"/>
    <w:rsid w:val="002453D4"/>
    <w:rsid w:val="00245BAE"/>
    <w:rsid w:val="00245E4C"/>
    <w:rsid w:val="00245E54"/>
    <w:rsid w:val="00246724"/>
    <w:rsid w:val="00246739"/>
    <w:rsid w:val="002469BE"/>
    <w:rsid w:val="00247DE2"/>
    <w:rsid w:val="002506A1"/>
    <w:rsid w:val="00250BF2"/>
    <w:rsid w:val="00250F53"/>
    <w:rsid w:val="00252054"/>
    <w:rsid w:val="0025236D"/>
    <w:rsid w:val="002543E3"/>
    <w:rsid w:val="0025460A"/>
    <w:rsid w:val="00254DA8"/>
    <w:rsid w:val="002552BB"/>
    <w:rsid w:val="002557E4"/>
    <w:rsid w:val="00255E0B"/>
    <w:rsid w:val="00255FA7"/>
    <w:rsid w:val="00256047"/>
    <w:rsid w:val="00256054"/>
    <w:rsid w:val="00256776"/>
    <w:rsid w:val="00257213"/>
    <w:rsid w:val="0025728C"/>
    <w:rsid w:val="002572B0"/>
    <w:rsid w:val="002576CC"/>
    <w:rsid w:val="00257B38"/>
    <w:rsid w:val="00257B77"/>
    <w:rsid w:val="002603A3"/>
    <w:rsid w:val="002619E6"/>
    <w:rsid w:val="00262611"/>
    <w:rsid w:val="00262678"/>
    <w:rsid w:val="0026369B"/>
    <w:rsid w:val="00264954"/>
    <w:rsid w:val="002650C7"/>
    <w:rsid w:val="002651D7"/>
    <w:rsid w:val="0026579B"/>
    <w:rsid w:val="00265925"/>
    <w:rsid w:val="00265BE7"/>
    <w:rsid w:val="002670B6"/>
    <w:rsid w:val="00267187"/>
    <w:rsid w:val="0026783A"/>
    <w:rsid w:val="002678C1"/>
    <w:rsid w:val="002702BB"/>
    <w:rsid w:val="002702CF"/>
    <w:rsid w:val="00270DD0"/>
    <w:rsid w:val="0027114D"/>
    <w:rsid w:val="00271443"/>
    <w:rsid w:val="002718C8"/>
    <w:rsid w:val="00271C6F"/>
    <w:rsid w:val="00271FC7"/>
    <w:rsid w:val="00272B04"/>
    <w:rsid w:val="0027371A"/>
    <w:rsid w:val="002739DF"/>
    <w:rsid w:val="00273BA6"/>
    <w:rsid w:val="00274040"/>
    <w:rsid w:val="002749D4"/>
    <w:rsid w:val="00274B66"/>
    <w:rsid w:val="00274BE5"/>
    <w:rsid w:val="00274E8A"/>
    <w:rsid w:val="00275074"/>
    <w:rsid w:val="00275871"/>
    <w:rsid w:val="00275CB4"/>
    <w:rsid w:val="00275EAA"/>
    <w:rsid w:val="002761B3"/>
    <w:rsid w:val="002765E8"/>
    <w:rsid w:val="00276840"/>
    <w:rsid w:val="00276C51"/>
    <w:rsid w:val="00276DB7"/>
    <w:rsid w:val="00276FC2"/>
    <w:rsid w:val="00277663"/>
    <w:rsid w:val="002778E5"/>
    <w:rsid w:val="00277D18"/>
    <w:rsid w:val="0028113B"/>
    <w:rsid w:val="002816D9"/>
    <w:rsid w:val="00281EA5"/>
    <w:rsid w:val="00282942"/>
    <w:rsid w:val="0028367E"/>
    <w:rsid w:val="00283CD5"/>
    <w:rsid w:val="00284C7A"/>
    <w:rsid w:val="002853A0"/>
    <w:rsid w:val="002856F9"/>
    <w:rsid w:val="00285785"/>
    <w:rsid w:val="00285909"/>
    <w:rsid w:val="00285BD3"/>
    <w:rsid w:val="0028648F"/>
    <w:rsid w:val="00286D6F"/>
    <w:rsid w:val="00286F9F"/>
    <w:rsid w:val="002876EE"/>
    <w:rsid w:val="002901DB"/>
    <w:rsid w:val="002902B1"/>
    <w:rsid w:val="0029032F"/>
    <w:rsid w:val="0029073D"/>
    <w:rsid w:val="00290AF1"/>
    <w:rsid w:val="00290FA7"/>
    <w:rsid w:val="00291A26"/>
    <w:rsid w:val="00291F42"/>
    <w:rsid w:val="00292239"/>
    <w:rsid w:val="00292578"/>
    <w:rsid w:val="00292DDC"/>
    <w:rsid w:val="0029396B"/>
    <w:rsid w:val="002942F4"/>
    <w:rsid w:val="0029489B"/>
    <w:rsid w:val="002958E2"/>
    <w:rsid w:val="00295F45"/>
    <w:rsid w:val="00296615"/>
    <w:rsid w:val="002969F6"/>
    <w:rsid w:val="00296FFB"/>
    <w:rsid w:val="00297199"/>
    <w:rsid w:val="0029741F"/>
    <w:rsid w:val="00297D6D"/>
    <w:rsid w:val="002A015F"/>
    <w:rsid w:val="002A04C6"/>
    <w:rsid w:val="002A06A2"/>
    <w:rsid w:val="002A0B61"/>
    <w:rsid w:val="002A145E"/>
    <w:rsid w:val="002A168E"/>
    <w:rsid w:val="002A21E9"/>
    <w:rsid w:val="002A372E"/>
    <w:rsid w:val="002A3A1C"/>
    <w:rsid w:val="002A3ADE"/>
    <w:rsid w:val="002A421E"/>
    <w:rsid w:val="002A47E4"/>
    <w:rsid w:val="002A4F44"/>
    <w:rsid w:val="002A500E"/>
    <w:rsid w:val="002A6019"/>
    <w:rsid w:val="002A6D4B"/>
    <w:rsid w:val="002A6F8A"/>
    <w:rsid w:val="002A78EB"/>
    <w:rsid w:val="002B0178"/>
    <w:rsid w:val="002B0337"/>
    <w:rsid w:val="002B0418"/>
    <w:rsid w:val="002B0453"/>
    <w:rsid w:val="002B0481"/>
    <w:rsid w:val="002B0601"/>
    <w:rsid w:val="002B2091"/>
    <w:rsid w:val="002B22CF"/>
    <w:rsid w:val="002B25EC"/>
    <w:rsid w:val="002B2E95"/>
    <w:rsid w:val="002B316D"/>
    <w:rsid w:val="002B33C3"/>
    <w:rsid w:val="002B350D"/>
    <w:rsid w:val="002B3596"/>
    <w:rsid w:val="002B36FF"/>
    <w:rsid w:val="002B380A"/>
    <w:rsid w:val="002B3A3A"/>
    <w:rsid w:val="002B3E0C"/>
    <w:rsid w:val="002B4086"/>
    <w:rsid w:val="002B411A"/>
    <w:rsid w:val="002B44AC"/>
    <w:rsid w:val="002B49A0"/>
    <w:rsid w:val="002B4B6E"/>
    <w:rsid w:val="002B4F2D"/>
    <w:rsid w:val="002B5316"/>
    <w:rsid w:val="002B5A2C"/>
    <w:rsid w:val="002B5C69"/>
    <w:rsid w:val="002B6168"/>
    <w:rsid w:val="002B6897"/>
    <w:rsid w:val="002B753D"/>
    <w:rsid w:val="002B77F2"/>
    <w:rsid w:val="002B7808"/>
    <w:rsid w:val="002B7B64"/>
    <w:rsid w:val="002C0080"/>
    <w:rsid w:val="002C0A10"/>
    <w:rsid w:val="002C0E77"/>
    <w:rsid w:val="002C1D11"/>
    <w:rsid w:val="002C207D"/>
    <w:rsid w:val="002C2248"/>
    <w:rsid w:val="002C2355"/>
    <w:rsid w:val="002C23A0"/>
    <w:rsid w:val="002C3D7E"/>
    <w:rsid w:val="002C48B9"/>
    <w:rsid w:val="002C49CD"/>
    <w:rsid w:val="002C4F2F"/>
    <w:rsid w:val="002C555F"/>
    <w:rsid w:val="002C5568"/>
    <w:rsid w:val="002C57B3"/>
    <w:rsid w:val="002C5A50"/>
    <w:rsid w:val="002C5AAB"/>
    <w:rsid w:val="002C5B58"/>
    <w:rsid w:val="002C6D3B"/>
    <w:rsid w:val="002C7145"/>
    <w:rsid w:val="002C7434"/>
    <w:rsid w:val="002C7DAA"/>
    <w:rsid w:val="002D01EC"/>
    <w:rsid w:val="002D0E47"/>
    <w:rsid w:val="002D16E8"/>
    <w:rsid w:val="002D1C40"/>
    <w:rsid w:val="002D1CE1"/>
    <w:rsid w:val="002D1E6C"/>
    <w:rsid w:val="002D218F"/>
    <w:rsid w:val="002D230B"/>
    <w:rsid w:val="002D282D"/>
    <w:rsid w:val="002D37F7"/>
    <w:rsid w:val="002D3CB8"/>
    <w:rsid w:val="002D3E8C"/>
    <w:rsid w:val="002D3EE6"/>
    <w:rsid w:val="002D4BEC"/>
    <w:rsid w:val="002D4CB4"/>
    <w:rsid w:val="002D4E43"/>
    <w:rsid w:val="002D5821"/>
    <w:rsid w:val="002D5BFF"/>
    <w:rsid w:val="002D5C49"/>
    <w:rsid w:val="002D6135"/>
    <w:rsid w:val="002D634C"/>
    <w:rsid w:val="002D6461"/>
    <w:rsid w:val="002D65B9"/>
    <w:rsid w:val="002D669A"/>
    <w:rsid w:val="002D679B"/>
    <w:rsid w:val="002D6907"/>
    <w:rsid w:val="002D71EF"/>
    <w:rsid w:val="002D76C7"/>
    <w:rsid w:val="002D77C3"/>
    <w:rsid w:val="002D7AC7"/>
    <w:rsid w:val="002E04A5"/>
    <w:rsid w:val="002E0648"/>
    <w:rsid w:val="002E0CEE"/>
    <w:rsid w:val="002E0D6F"/>
    <w:rsid w:val="002E0FAA"/>
    <w:rsid w:val="002E11AE"/>
    <w:rsid w:val="002E11DC"/>
    <w:rsid w:val="002E131E"/>
    <w:rsid w:val="002E1575"/>
    <w:rsid w:val="002E16DC"/>
    <w:rsid w:val="002E1BE8"/>
    <w:rsid w:val="002E1DF5"/>
    <w:rsid w:val="002E290F"/>
    <w:rsid w:val="002E2A8D"/>
    <w:rsid w:val="002E3C2C"/>
    <w:rsid w:val="002E3D72"/>
    <w:rsid w:val="002E4DD6"/>
    <w:rsid w:val="002E4EFD"/>
    <w:rsid w:val="002E51DB"/>
    <w:rsid w:val="002E5A42"/>
    <w:rsid w:val="002E5A6D"/>
    <w:rsid w:val="002E5B92"/>
    <w:rsid w:val="002E5E55"/>
    <w:rsid w:val="002E6440"/>
    <w:rsid w:val="002E6720"/>
    <w:rsid w:val="002E7521"/>
    <w:rsid w:val="002E759F"/>
    <w:rsid w:val="002E7C52"/>
    <w:rsid w:val="002F0446"/>
    <w:rsid w:val="002F085A"/>
    <w:rsid w:val="002F095A"/>
    <w:rsid w:val="002F14E3"/>
    <w:rsid w:val="002F196A"/>
    <w:rsid w:val="002F1BD1"/>
    <w:rsid w:val="002F1D31"/>
    <w:rsid w:val="002F1E3A"/>
    <w:rsid w:val="002F1FD8"/>
    <w:rsid w:val="002F2185"/>
    <w:rsid w:val="002F2AA5"/>
    <w:rsid w:val="002F32C7"/>
    <w:rsid w:val="002F3FE9"/>
    <w:rsid w:val="002F452C"/>
    <w:rsid w:val="002F4607"/>
    <w:rsid w:val="002F46C2"/>
    <w:rsid w:val="002F4750"/>
    <w:rsid w:val="002F486F"/>
    <w:rsid w:val="002F4B30"/>
    <w:rsid w:val="002F4B90"/>
    <w:rsid w:val="002F4E0F"/>
    <w:rsid w:val="002F5195"/>
    <w:rsid w:val="002F5388"/>
    <w:rsid w:val="002F5401"/>
    <w:rsid w:val="002F5AA1"/>
    <w:rsid w:val="002F5BED"/>
    <w:rsid w:val="002F5D6E"/>
    <w:rsid w:val="002F5FDD"/>
    <w:rsid w:val="002F60C3"/>
    <w:rsid w:val="002F6306"/>
    <w:rsid w:val="002F6A58"/>
    <w:rsid w:val="002F6AF8"/>
    <w:rsid w:val="002F6F45"/>
    <w:rsid w:val="002F6F65"/>
    <w:rsid w:val="002F74BD"/>
    <w:rsid w:val="002F76D2"/>
    <w:rsid w:val="002F77C9"/>
    <w:rsid w:val="002F7F2E"/>
    <w:rsid w:val="002F7F93"/>
    <w:rsid w:val="003002B6"/>
    <w:rsid w:val="00300322"/>
    <w:rsid w:val="00300436"/>
    <w:rsid w:val="003005CF"/>
    <w:rsid w:val="00300734"/>
    <w:rsid w:val="00300939"/>
    <w:rsid w:val="00300A7E"/>
    <w:rsid w:val="00300D4C"/>
    <w:rsid w:val="003022DC"/>
    <w:rsid w:val="00302426"/>
    <w:rsid w:val="003024D2"/>
    <w:rsid w:val="00302576"/>
    <w:rsid w:val="00302639"/>
    <w:rsid w:val="0030264E"/>
    <w:rsid w:val="00303105"/>
    <w:rsid w:val="00303336"/>
    <w:rsid w:val="003036BF"/>
    <w:rsid w:val="0030391C"/>
    <w:rsid w:val="00303A9C"/>
    <w:rsid w:val="00303BBE"/>
    <w:rsid w:val="00303CDA"/>
    <w:rsid w:val="00303D20"/>
    <w:rsid w:val="00303FAF"/>
    <w:rsid w:val="003049BA"/>
    <w:rsid w:val="00304ACD"/>
    <w:rsid w:val="00304FA4"/>
    <w:rsid w:val="0030577D"/>
    <w:rsid w:val="00305E9A"/>
    <w:rsid w:val="003068FF"/>
    <w:rsid w:val="00307187"/>
    <w:rsid w:val="0030780E"/>
    <w:rsid w:val="00307DBD"/>
    <w:rsid w:val="00307E8B"/>
    <w:rsid w:val="003103F7"/>
    <w:rsid w:val="00310BCB"/>
    <w:rsid w:val="0031121E"/>
    <w:rsid w:val="00311827"/>
    <w:rsid w:val="00311843"/>
    <w:rsid w:val="00311DA3"/>
    <w:rsid w:val="003120D9"/>
    <w:rsid w:val="00312917"/>
    <w:rsid w:val="003133FD"/>
    <w:rsid w:val="00313925"/>
    <w:rsid w:val="003140BB"/>
    <w:rsid w:val="00314196"/>
    <w:rsid w:val="00314E69"/>
    <w:rsid w:val="00315123"/>
    <w:rsid w:val="00315B0A"/>
    <w:rsid w:val="00315B41"/>
    <w:rsid w:val="00315FBC"/>
    <w:rsid w:val="00316607"/>
    <w:rsid w:val="00316635"/>
    <w:rsid w:val="00316A38"/>
    <w:rsid w:val="00317331"/>
    <w:rsid w:val="00317503"/>
    <w:rsid w:val="003177A4"/>
    <w:rsid w:val="003177A8"/>
    <w:rsid w:val="003200A4"/>
    <w:rsid w:val="003202EB"/>
    <w:rsid w:val="00320510"/>
    <w:rsid w:val="00320663"/>
    <w:rsid w:val="00320878"/>
    <w:rsid w:val="00320C8F"/>
    <w:rsid w:val="00321004"/>
    <w:rsid w:val="0032127D"/>
    <w:rsid w:val="00321DF4"/>
    <w:rsid w:val="00321F86"/>
    <w:rsid w:val="0032246D"/>
    <w:rsid w:val="003228B3"/>
    <w:rsid w:val="00322F91"/>
    <w:rsid w:val="00323251"/>
    <w:rsid w:val="003247B5"/>
    <w:rsid w:val="00324BF1"/>
    <w:rsid w:val="00324F42"/>
    <w:rsid w:val="00325635"/>
    <w:rsid w:val="00325882"/>
    <w:rsid w:val="00325DF0"/>
    <w:rsid w:val="00325E41"/>
    <w:rsid w:val="003261F7"/>
    <w:rsid w:val="0032656A"/>
    <w:rsid w:val="0032693D"/>
    <w:rsid w:val="00326CBE"/>
    <w:rsid w:val="00327052"/>
    <w:rsid w:val="00327385"/>
    <w:rsid w:val="003278C9"/>
    <w:rsid w:val="00327C19"/>
    <w:rsid w:val="00327D5F"/>
    <w:rsid w:val="00330556"/>
    <w:rsid w:val="003306CC"/>
    <w:rsid w:val="00330B3F"/>
    <w:rsid w:val="00331B0A"/>
    <w:rsid w:val="00331B83"/>
    <w:rsid w:val="00331BEA"/>
    <w:rsid w:val="00332419"/>
    <w:rsid w:val="003327CA"/>
    <w:rsid w:val="00332A56"/>
    <w:rsid w:val="00333C4D"/>
    <w:rsid w:val="0033435A"/>
    <w:rsid w:val="003343EF"/>
    <w:rsid w:val="00334970"/>
    <w:rsid w:val="003349E6"/>
    <w:rsid w:val="00334EA3"/>
    <w:rsid w:val="0033518F"/>
    <w:rsid w:val="00335356"/>
    <w:rsid w:val="00335870"/>
    <w:rsid w:val="0033617F"/>
    <w:rsid w:val="003371F4"/>
    <w:rsid w:val="00337798"/>
    <w:rsid w:val="003400D5"/>
    <w:rsid w:val="003408C4"/>
    <w:rsid w:val="00341A14"/>
    <w:rsid w:val="00341FCF"/>
    <w:rsid w:val="0034278F"/>
    <w:rsid w:val="0034370E"/>
    <w:rsid w:val="00343B9D"/>
    <w:rsid w:val="003444D8"/>
    <w:rsid w:val="003445DD"/>
    <w:rsid w:val="00344A2F"/>
    <w:rsid w:val="00344C07"/>
    <w:rsid w:val="00345319"/>
    <w:rsid w:val="00345458"/>
    <w:rsid w:val="00345936"/>
    <w:rsid w:val="0034622B"/>
    <w:rsid w:val="00346505"/>
    <w:rsid w:val="0034684B"/>
    <w:rsid w:val="00346F08"/>
    <w:rsid w:val="00346F6D"/>
    <w:rsid w:val="00347015"/>
    <w:rsid w:val="00347027"/>
    <w:rsid w:val="0034716A"/>
    <w:rsid w:val="00347242"/>
    <w:rsid w:val="00347EAF"/>
    <w:rsid w:val="00350042"/>
    <w:rsid w:val="0035092F"/>
    <w:rsid w:val="00350E04"/>
    <w:rsid w:val="00350E52"/>
    <w:rsid w:val="00350FB8"/>
    <w:rsid w:val="00351129"/>
    <w:rsid w:val="003519C1"/>
    <w:rsid w:val="003534CA"/>
    <w:rsid w:val="00353B53"/>
    <w:rsid w:val="00354619"/>
    <w:rsid w:val="00354A31"/>
    <w:rsid w:val="00354E7C"/>
    <w:rsid w:val="00355351"/>
    <w:rsid w:val="0035559E"/>
    <w:rsid w:val="003555A2"/>
    <w:rsid w:val="00355EF3"/>
    <w:rsid w:val="00356300"/>
    <w:rsid w:val="00356806"/>
    <w:rsid w:val="00356C07"/>
    <w:rsid w:val="00357230"/>
    <w:rsid w:val="0035751C"/>
    <w:rsid w:val="003578C0"/>
    <w:rsid w:val="00357A67"/>
    <w:rsid w:val="00360152"/>
    <w:rsid w:val="00360156"/>
    <w:rsid w:val="00360460"/>
    <w:rsid w:val="00360CB8"/>
    <w:rsid w:val="00360DA5"/>
    <w:rsid w:val="0036134C"/>
    <w:rsid w:val="00361401"/>
    <w:rsid w:val="0036165D"/>
    <w:rsid w:val="00361684"/>
    <w:rsid w:val="00362029"/>
    <w:rsid w:val="003623A0"/>
    <w:rsid w:val="00363D86"/>
    <w:rsid w:val="00363E01"/>
    <w:rsid w:val="00364EB9"/>
    <w:rsid w:val="00365320"/>
    <w:rsid w:val="00365777"/>
    <w:rsid w:val="00365953"/>
    <w:rsid w:val="00365AA8"/>
    <w:rsid w:val="00365AE8"/>
    <w:rsid w:val="00365C07"/>
    <w:rsid w:val="00365FC4"/>
    <w:rsid w:val="00366149"/>
    <w:rsid w:val="003662F2"/>
    <w:rsid w:val="0036635D"/>
    <w:rsid w:val="0036697F"/>
    <w:rsid w:val="0036722E"/>
    <w:rsid w:val="0036760F"/>
    <w:rsid w:val="003679EE"/>
    <w:rsid w:val="00367A9B"/>
    <w:rsid w:val="00367E7F"/>
    <w:rsid w:val="00370B6F"/>
    <w:rsid w:val="00371145"/>
    <w:rsid w:val="003711EF"/>
    <w:rsid w:val="00371B53"/>
    <w:rsid w:val="00372425"/>
    <w:rsid w:val="00372450"/>
    <w:rsid w:val="00372529"/>
    <w:rsid w:val="00372C27"/>
    <w:rsid w:val="00372D83"/>
    <w:rsid w:val="00373140"/>
    <w:rsid w:val="00373717"/>
    <w:rsid w:val="003745B2"/>
    <w:rsid w:val="003757C7"/>
    <w:rsid w:val="003759C3"/>
    <w:rsid w:val="00375B37"/>
    <w:rsid w:val="00375E72"/>
    <w:rsid w:val="00375ED8"/>
    <w:rsid w:val="003762E4"/>
    <w:rsid w:val="003763BC"/>
    <w:rsid w:val="00376665"/>
    <w:rsid w:val="00376DC6"/>
    <w:rsid w:val="00377683"/>
    <w:rsid w:val="00377689"/>
    <w:rsid w:val="00377961"/>
    <w:rsid w:val="00377B11"/>
    <w:rsid w:val="00377F05"/>
    <w:rsid w:val="00380039"/>
    <w:rsid w:val="003803EB"/>
    <w:rsid w:val="00381149"/>
    <w:rsid w:val="00381508"/>
    <w:rsid w:val="0038178D"/>
    <w:rsid w:val="003824CA"/>
    <w:rsid w:val="0038250E"/>
    <w:rsid w:val="003825D0"/>
    <w:rsid w:val="00382A25"/>
    <w:rsid w:val="00382BFC"/>
    <w:rsid w:val="003835FD"/>
    <w:rsid w:val="00383A8E"/>
    <w:rsid w:val="00384097"/>
    <w:rsid w:val="00384DCC"/>
    <w:rsid w:val="003852F8"/>
    <w:rsid w:val="00385D17"/>
    <w:rsid w:val="00385EAD"/>
    <w:rsid w:val="00385EEC"/>
    <w:rsid w:val="00386141"/>
    <w:rsid w:val="00386A15"/>
    <w:rsid w:val="00386B6F"/>
    <w:rsid w:val="00386CD6"/>
    <w:rsid w:val="0038729C"/>
    <w:rsid w:val="00387CDE"/>
    <w:rsid w:val="00387D82"/>
    <w:rsid w:val="003900BD"/>
    <w:rsid w:val="00390738"/>
    <w:rsid w:val="00390D8D"/>
    <w:rsid w:val="00391127"/>
    <w:rsid w:val="0039117E"/>
    <w:rsid w:val="00392066"/>
    <w:rsid w:val="0039293C"/>
    <w:rsid w:val="00392993"/>
    <w:rsid w:val="00392FF1"/>
    <w:rsid w:val="00393771"/>
    <w:rsid w:val="00393D61"/>
    <w:rsid w:val="003940A6"/>
    <w:rsid w:val="00394A58"/>
    <w:rsid w:val="00394BFD"/>
    <w:rsid w:val="00394FB7"/>
    <w:rsid w:val="00395322"/>
    <w:rsid w:val="003953F0"/>
    <w:rsid w:val="00395513"/>
    <w:rsid w:val="0039553F"/>
    <w:rsid w:val="0039589F"/>
    <w:rsid w:val="00395FBE"/>
    <w:rsid w:val="00396AB8"/>
    <w:rsid w:val="00397224"/>
    <w:rsid w:val="0039723A"/>
    <w:rsid w:val="0039729A"/>
    <w:rsid w:val="003975FA"/>
    <w:rsid w:val="0039777A"/>
    <w:rsid w:val="00397AD3"/>
    <w:rsid w:val="00397B74"/>
    <w:rsid w:val="00397C53"/>
    <w:rsid w:val="003A112E"/>
    <w:rsid w:val="003A12C6"/>
    <w:rsid w:val="003A1733"/>
    <w:rsid w:val="003A1C40"/>
    <w:rsid w:val="003A1D0B"/>
    <w:rsid w:val="003A214B"/>
    <w:rsid w:val="003A2786"/>
    <w:rsid w:val="003A28B8"/>
    <w:rsid w:val="003A3561"/>
    <w:rsid w:val="003A379E"/>
    <w:rsid w:val="003A3B6E"/>
    <w:rsid w:val="003A3B7F"/>
    <w:rsid w:val="003A4509"/>
    <w:rsid w:val="003A4B5B"/>
    <w:rsid w:val="003A4D36"/>
    <w:rsid w:val="003A5494"/>
    <w:rsid w:val="003A56C7"/>
    <w:rsid w:val="003A5740"/>
    <w:rsid w:val="003A57DA"/>
    <w:rsid w:val="003A6331"/>
    <w:rsid w:val="003A6456"/>
    <w:rsid w:val="003A646D"/>
    <w:rsid w:val="003A712D"/>
    <w:rsid w:val="003A727F"/>
    <w:rsid w:val="003A740E"/>
    <w:rsid w:val="003A7994"/>
    <w:rsid w:val="003B0AA7"/>
    <w:rsid w:val="003B1C4A"/>
    <w:rsid w:val="003B2287"/>
    <w:rsid w:val="003B24F0"/>
    <w:rsid w:val="003B34FB"/>
    <w:rsid w:val="003B360C"/>
    <w:rsid w:val="003B3687"/>
    <w:rsid w:val="003B3BCF"/>
    <w:rsid w:val="003B3F20"/>
    <w:rsid w:val="003B3FE3"/>
    <w:rsid w:val="003B4294"/>
    <w:rsid w:val="003B42BE"/>
    <w:rsid w:val="003B478D"/>
    <w:rsid w:val="003B47A9"/>
    <w:rsid w:val="003B4BB1"/>
    <w:rsid w:val="003B512B"/>
    <w:rsid w:val="003B54B2"/>
    <w:rsid w:val="003B5542"/>
    <w:rsid w:val="003B5B51"/>
    <w:rsid w:val="003B5D91"/>
    <w:rsid w:val="003B5E59"/>
    <w:rsid w:val="003B5F01"/>
    <w:rsid w:val="003B65BF"/>
    <w:rsid w:val="003B6882"/>
    <w:rsid w:val="003B6A30"/>
    <w:rsid w:val="003B6AAA"/>
    <w:rsid w:val="003B6E23"/>
    <w:rsid w:val="003B73C5"/>
    <w:rsid w:val="003B7675"/>
    <w:rsid w:val="003B791B"/>
    <w:rsid w:val="003B7CF7"/>
    <w:rsid w:val="003C0259"/>
    <w:rsid w:val="003C0972"/>
    <w:rsid w:val="003C0997"/>
    <w:rsid w:val="003C13D9"/>
    <w:rsid w:val="003C2432"/>
    <w:rsid w:val="003C2584"/>
    <w:rsid w:val="003C2683"/>
    <w:rsid w:val="003C2A64"/>
    <w:rsid w:val="003C2C7B"/>
    <w:rsid w:val="003C2CB7"/>
    <w:rsid w:val="003C2E53"/>
    <w:rsid w:val="003C3670"/>
    <w:rsid w:val="003C376A"/>
    <w:rsid w:val="003C37E5"/>
    <w:rsid w:val="003C38F8"/>
    <w:rsid w:val="003C3F62"/>
    <w:rsid w:val="003C4361"/>
    <w:rsid w:val="003C527C"/>
    <w:rsid w:val="003C54D2"/>
    <w:rsid w:val="003C660A"/>
    <w:rsid w:val="003C71E1"/>
    <w:rsid w:val="003D00DE"/>
    <w:rsid w:val="003D06C6"/>
    <w:rsid w:val="003D085F"/>
    <w:rsid w:val="003D0C3B"/>
    <w:rsid w:val="003D141A"/>
    <w:rsid w:val="003D1B51"/>
    <w:rsid w:val="003D26D4"/>
    <w:rsid w:val="003D2920"/>
    <w:rsid w:val="003D2AF4"/>
    <w:rsid w:val="003D2B99"/>
    <w:rsid w:val="003D2FDD"/>
    <w:rsid w:val="003D3768"/>
    <w:rsid w:val="003D38ED"/>
    <w:rsid w:val="003D4279"/>
    <w:rsid w:val="003D4476"/>
    <w:rsid w:val="003D4D12"/>
    <w:rsid w:val="003D4D42"/>
    <w:rsid w:val="003D4D94"/>
    <w:rsid w:val="003D4E7A"/>
    <w:rsid w:val="003D4E98"/>
    <w:rsid w:val="003D56CE"/>
    <w:rsid w:val="003D5765"/>
    <w:rsid w:val="003D5B72"/>
    <w:rsid w:val="003D69A6"/>
    <w:rsid w:val="003D6E49"/>
    <w:rsid w:val="003D73FB"/>
    <w:rsid w:val="003D748B"/>
    <w:rsid w:val="003D7554"/>
    <w:rsid w:val="003D7958"/>
    <w:rsid w:val="003E005C"/>
    <w:rsid w:val="003E0C32"/>
    <w:rsid w:val="003E0D17"/>
    <w:rsid w:val="003E118E"/>
    <w:rsid w:val="003E1C94"/>
    <w:rsid w:val="003E23DB"/>
    <w:rsid w:val="003E2604"/>
    <w:rsid w:val="003E2DC4"/>
    <w:rsid w:val="003E3282"/>
    <w:rsid w:val="003E3287"/>
    <w:rsid w:val="003E3CC7"/>
    <w:rsid w:val="003E453C"/>
    <w:rsid w:val="003E458E"/>
    <w:rsid w:val="003E4936"/>
    <w:rsid w:val="003E4B06"/>
    <w:rsid w:val="003E5022"/>
    <w:rsid w:val="003E53A4"/>
    <w:rsid w:val="003E5EBD"/>
    <w:rsid w:val="003E601A"/>
    <w:rsid w:val="003E682C"/>
    <w:rsid w:val="003E6FBE"/>
    <w:rsid w:val="003E70D4"/>
    <w:rsid w:val="003E726A"/>
    <w:rsid w:val="003E7514"/>
    <w:rsid w:val="003E7BDB"/>
    <w:rsid w:val="003E7C92"/>
    <w:rsid w:val="003E7ECF"/>
    <w:rsid w:val="003F0201"/>
    <w:rsid w:val="003F1097"/>
    <w:rsid w:val="003F13AA"/>
    <w:rsid w:val="003F2164"/>
    <w:rsid w:val="003F219E"/>
    <w:rsid w:val="003F21F3"/>
    <w:rsid w:val="003F24F9"/>
    <w:rsid w:val="003F2BB7"/>
    <w:rsid w:val="003F34B5"/>
    <w:rsid w:val="003F3C99"/>
    <w:rsid w:val="003F45CB"/>
    <w:rsid w:val="003F461D"/>
    <w:rsid w:val="003F47FD"/>
    <w:rsid w:val="003F4F2F"/>
    <w:rsid w:val="003F55BD"/>
    <w:rsid w:val="003F5B3B"/>
    <w:rsid w:val="003F5C1B"/>
    <w:rsid w:val="003F6BCD"/>
    <w:rsid w:val="003F7089"/>
    <w:rsid w:val="003F711A"/>
    <w:rsid w:val="003F776C"/>
    <w:rsid w:val="00400646"/>
    <w:rsid w:val="00400933"/>
    <w:rsid w:val="00400974"/>
    <w:rsid w:val="00401529"/>
    <w:rsid w:val="004015D4"/>
    <w:rsid w:val="00401659"/>
    <w:rsid w:val="00401BB6"/>
    <w:rsid w:val="00401BEC"/>
    <w:rsid w:val="00402272"/>
    <w:rsid w:val="0040306A"/>
    <w:rsid w:val="004036FF"/>
    <w:rsid w:val="00403CB6"/>
    <w:rsid w:val="00403EFF"/>
    <w:rsid w:val="00404614"/>
    <w:rsid w:val="0040498B"/>
    <w:rsid w:val="00405083"/>
    <w:rsid w:val="00405365"/>
    <w:rsid w:val="00406449"/>
    <w:rsid w:val="00406A87"/>
    <w:rsid w:val="004073EB"/>
    <w:rsid w:val="004074EC"/>
    <w:rsid w:val="0040784E"/>
    <w:rsid w:val="00407959"/>
    <w:rsid w:val="00410173"/>
    <w:rsid w:val="0041116F"/>
    <w:rsid w:val="00411962"/>
    <w:rsid w:val="004124BB"/>
    <w:rsid w:val="00413503"/>
    <w:rsid w:val="00413507"/>
    <w:rsid w:val="004138C1"/>
    <w:rsid w:val="00413A5F"/>
    <w:rsid w:val="004140A8"/>
    <w:rsid w:val="00414505"/>
    <w:rsid w:val="0041451A"/>
    <w:rsid w:val="0041506F"/>
    <w:rsid w:val="00415081"/>
    <w:rsid w:val="004150DB"/>
    <w:rsid w:val="004151E5"/>
    <w:rsid w:val="004154C3"/>
    <w:rsid w:val="00415A45"/>
    <w:rsid w:val="00415CF3"/>
    <w:rsid w:val="00415EAC"/>
    <w:rsid w:val="0041617D"/>
    <w:rsid w:val="00416417"/>
    <w:rsid w:val="00420441"/>
    <w:rsid w:val="00420443"/>
    <w:rsid w:val="004209E4"/>
    <w:rsid w:val="00420A09"/>
    <w:rsid w:val="004220A1"/>
    <w:rsid w:val="00422559"/>
    <w:rsid w:val="00422A98"/>
    <w:rsid w:val="00422FA3"/>
    <w:rsid w:val="00423681"/>
    <w:rsid w:val="00423B41"/>
    <w:rsid w:val="0042469E"/>
    <w:rsid w:val="00424AC3"/>
    <w:rsid w:val="0042517C"/>
    <w:rsid w:val="0042526B"/>
    <w:rsid w:val="00425936"/>
    <w:rsid w:val="00425CDA"/>
    <w:rsid w:val="004260D7"/>
    <w:rsid w:val="004262B9"/>
    <w:rsid w:val="00426453"/>
    <w:rsid w:val="0042698E"/>
    <w:rsid w:val="00426D9F"/>
    <w:rsid w:val="004302C3"/>
    <w:rsid w:val="004306AF"/>
    <w:rsid w:val="00430CED"/>
    <w:rsid w:val="00431367"/>
    <w:rsid w:val="00431EC7"/>
    <w:rsid w:val="00432153"/>
    <w:rsid w:val="0043238E"/>
    <w:rsid w:val="0043246E"/>
    <w:rsid w:val="004326FD"/>
    <w:rsid w:val="00432A8A"/>
    <w:rsid w:val="00432E69"/>
    <w:rsid w:val="004333D0"/>
    <w:rsid w:val="004337A7"/>
    <w:rsid w:val="00433A12"/>
    <w:rsid w:val="00434B98"/>
    <w:rsid w:val="00434BF8"/>
    <w:rsid w:val="004402B6"/>
    <w:rsid w:val="00440359"/>
    <w:rsid w:val="00441170"/>
    <w:rsid w:val="004412D1"/>
    <w:rsid w:val="00441550"/>
    <w:rsid w:val="00441773"/>
    <w:rsid w:val="00441E1B"/>
    <w:rsid w:val="00442CE0"/>
    <w:rsid w:val="00442E9F"/>
    <w:rsid w:val="0044381B"/>
    <w:rsid w:val="004440B0"/>
    <w:rsid w:val="00444FF9"/>
    <w:rsid w:val="00445217"/>
    <w:rsid w:val="0044585B"/>
    <w:rsid w:val="00445F37"/>
    <w:rsid w:val="004465EE"/>
    <w:rsid w:val="00446781"/>
    <w:rsid w:val="00446846"/>
    <w:rsid w:val="004471D0"/>
    <w:rsid w:val="004472F2"/>
    <w:rsid w:val="004477F7"/>
    <w:rsid w:val="00447989"/>
    <w:rsid w:val="00447CD6"/>
    <w:rsid w:val="00450393"/>
    <w:rsid w:val="004504EC"/>
    <w:rsid w:val="00450550"/>
    <w:rsid w:val="00450A08"/>
    <w:rsid w:val="00450A9E"/>
    <w:rsid w:val="00450BD1"/>
    <w:rsid w:val="00450F44"/>
    <w:rsid w:val="00451D10"/>
    <w:rsid w:val="00451F19"/>
    <w:rsid w:val="00452285"/>
    <w:rsid w:val="00452E5B"/>
    <w:rsid w:val="0045328E"/>
    <w:rsid w:val="0045346B"/>
    <w:rsid w:val="00453697"/>
    <w:rsid w:val="00453803"/>
    <w:rsid w:val="00453D46"/>
    <w:rsid w:val="00453FC9"/>
    <w:rsid w:val="0045437A"/>
    <w:rsid w:val="00454A61"/>
    <w:rsid w:val="00455023"/>
    <w:rsid w:val="00455344"/>
    <w:rsid w:val="00455E21"/>
    <w:rsid w:val="00455EBE"/>
    <w:rsid w:val="004566EE"/>
    <w:rsid w:val="004567F6"/>
    <w:rsid w:val="00457024"/>
    <w:rsid w:val="00457F30"/>
    <w:rsid w:val="004600A1"/>
    <w:rsid w:val="0046070B"/>
    <w:rsid w:val="00460780"/>
    <w:rsid w:val="00460B3B"/>
    <w:rsid w:val="00460CBC"/>
    <w:rsid w:val="004615A8"/>
    <w:rsid w:val="0046185B"/>
    <w:rsid w:val="00461953"/>
    <w:rsid w:val="00461C26"/>
    <w:rsid w:val="00461C36"/>
    <w:rsid w:val="00461E29"/>
    <w:rsid w:val="0046235A"/>
    <w:rsid w:val="004632E9"/>
    <w:rsid w:val="004636AE"/>
    <w:rsid w:val="00463755"/>
    <w:rsid w:val="00463B5B"/>
    <w:rsid w:val="00463D36"/>
    <w:rsid w:val="00464466"/>
    <w:rsid w:val="004649C9"/>
    <w:rsid w:val="00465075"/>
    <w:rsid w:val="004655AA"/>
    <w:rsid w:val="00465C9E"/>
    <w:rsid w:val="004661CF"/>
    <w:rsid w:val="0046630D"/>
    <w:rsid w:val="004664F5"/>
    <w:rsid w:val="00466782"/>
    <w:rsid w:val="0046678C"/>
    <w:rsid w:val="00466B6A"/>
    <w:rsid w:val="00466C6D"/>
    <w:rsid w:val="00466CBC"/>
    <w:rsid w:val="004678AB"/>
    <w:rsid w:val="004679F7"/>
    <w:rsid w:val="004703F9"/>
    <w:rsid w:val="00470812"/>
    <w:rsid w:val="004711E0"/>
    <w:rsid w:val="004714C3"/>
    <w:rsid w:val="00471727"/>
    <w:rsid w:val="0047186B"/>
    <w:rsid w:val="00472011"/>
    <w:rsid w:val="004723D2"/>
    <w:rsid w:val="0047264C"/>
    <w:rsid w:val="00472873"/>
    <w:rsid w:val="0047287A"/>
    <w:rsid w:val="00472F71"/>
    <w:rsid w:val="00473128"/>
    <w:rsid w:val="0047320B"/>
    <w:rsid w:val="00473B64"/>
    <w:rsid w:val="00473CCD"/>
    <w:rsid w:val="004743E5"/>
    <w:rsid w:val="004745B3"/>
    <w:rsid w:val="004745ED"/>
    <w:rsid w:val="00474D7A"/>
    <w:rsid w:val="00474DC3"/>
    <w:rsid w:val="00474DCD"/>
    <w:rsid w:val="0047561E"/>
    <w:rsid w:val="00475955"/>
    <w:rsid w:val="00475F4A"/>
    <w:rsid w:val="00475FBF"/>
    <w:rsid w:val="00476F5D"/>
    <w:rsid w:val="0047761E"/>
    <w:rsid w:val="004778C4"/>
    <w:rsid w:val="00477E7E"/>
    <w:rsid w:val="00480EB3"/>
    <w:rsid w:val="00480EF3"/>
    <w:rsid w:val="0048109D"/>
    <w:rsid w:val="00481DED"/>
    <w:rsid w:val="00481E8E"/>
    <w:rsid w:val="0048248E"/>
    <w:rsid w:val="00482B89"/>
    <w:rsid w:val="00483819"/>
    <w:rsid w:val="00483AE6"/>
    <w:rsid w:val="0048432F"/>
    <w:rsid w:val="00484700"/>
    <w:rsid w:val="00485458"/>
    <w:rsid w:val="00485799"/>
    <w:rsid w:val="00485CD0"/>
    <w:rsid w:val="00486009"/>
    <w:rsid w:val="0048640D"/>
    <w:rsid w:val="00486792"/>
    <w:rsid w:val="0048682B"/>
    <w:rsid w:val="0048696F"/>
    <w:rsid w:val="00486A23"/>
    <w:rsid w:val="00487917"/>
    <w:rsid w:val="00487C9E"/>
    <w:rsid w:val="00490036"/>
    <w:rsid w:val="00490AF4"/>
    <w:rsid w:val="00490B90"/>
    <w:rsid w:val="00491299"/>
    <w:rsid w:val="004912F8"/>
    <w:rsid w:val="004922B8"/>
    <w:rsid w:val="004929EA"/>
    <w:rsid w:val="00492E92"/>
    <w:rsid w:val="00493049"/>
    <w:rsid w:val="004933BB"/>
    <w:rsid w:val="00493545"/>
    <w:rsid w:val="004935E8"/>
    <w:rsid w:val="00493EF4"/>
    <w:rsid w:val="00493F2C"/>
    <w:rsid w:val="0049436F"/>
    <w:rsid w:val="00494E41"/>
    <w:rsid w:val="004950E4"/>
    <w:rsid w:val="0049517E"/>
    <w:rsid w:val="0049550D"/>
    <w:rsid w:val="00495902"/>
    <w:rsid w:val="00496296"/>
    <w:rsid w:val="00496B7A"/>
    <w:rsid w:val="00497114"/>
    <w:rsid w:val="004973AC"/>
    <w:rsid w:val="0049783B"/>
    <w:rsid w:val="00497A69"/>
    <w:rsid w:val="00497CBE"/>
    <w:rsid w:val="004A0B59"/>
    <w:rsid w:val="004A0E5E"/>
    <w:rsid w:val="004A1356"/>
    <w:rsid w:val="004A1443"/>
    <w:rsid w:val="004A1B32"/>
    <w:rsid w:val="004A21A5"/>
    <w:rsid w:val="004A2C45"/>
    <w:rsid w:val="004A2C69"/>
    <w:rsid w:val="004A3730"/>
    <w:rsid w:val="004A3EEF"/>
    <w:rsid w:val="004A493F"/>
    <w:rsid w:val="004A4CD8"/>
    <w:rsid w:val="004A56E3"/>
    <w:rsid w:val="004A5BF4"/>
    <w:rsid w:val="004A5CD1"/>
    <w:rsid w:val="004A622C"/>
    <w:rsid w:val="004A62B5"/>
    <w:rsid w:val="004A676C"/>
    <w:rsid w:val="004A6978"/>
    <w:rsid w:val="004A6A14"/>
    <w:rsid w:val="004A71F7"/>
    <w:rsid w:val="004B1720"/>
    <w:rsid w:val="004B1D67"/>
    <w:rsid w:val="004B2053"/>
    <w:rsid w:val="004B2064"/>
    <w:rsid w:val="004B25A6"/>
    <w:rsid w:val="004B28C4"/>
    <w:rsid w:val="004B37EE"/>
    <w:rsid w:val="004B397F"/>
    <w:rsid w:val="004B3BD6"/>
    <w:rsid w:val="004B3D4E"/>
    <w:rsid w:val="004B3F23"/>
    <w:rsid w:val="004B4254"/>
    <w:rsid w:val="004B44BD"/>
    <w:rsid w:val="004B4771"/>
    <w:rsid w:val="004B47B4"/>
    <w:rsid w:val="004B613E"/>
    <w:rsid w:val="004B67FD"/>
    <w:rsid w:val="004B6982"/>
    <w:rsid w:val="004B7C5B"/>
    <w:rsid w:val="004C17C5"/>
    <w:rsid w:val="004C1A48"/>
    <w:rsid w:val="004C1E20"/>
    <w:rsid w:val="004C1FD0"/>
    <w:rsid w:val="004C235F"/>
    <w:rsid w:val="004C2980"/>
    <w:rsid w:val="004C29C6"/>
    <w:rsid w:val="004C2BD1"/>
    <w:rsid w:val="004C3969"/>
    <w:rsid w:val="004C3ADF"/>
    <w:rsid w:val="004C3C0A"/>
    <w:rsid w:val="004C50CE"/>
    <w:rsid w:val="004C5811"/>
    <w:rsid w:val="004C5B79"/>
    <w:rsid w:val="004C64FA"/>
    <w:rsid w:val="004C6697"/>
    <w:rsid w:val="004C68D5"/>
    <w:rsid w:val="004C6CA0"/>
    <w:rsid w:val="004C6F19"/>
    <w:rsid w:val="004C7EC7"/>
    <w:rsid w:val="004C7F70"/>
    <w:rsid w:val="004D0062"/>
    <w:rsid w:val="004D012D"/>
    <w:rsid w:val="004D0A80"/>
    <w:rsid w:val="004D0EA9"/>
    <w:rsid w:val="004D15D2"/>
    <w:rsid w:val="004D1868"/>
    <w:rsid w:val="004D1A1D"/>
    <w:rsid w:val="004D1FF5"/>
    <w:rsid w:val="004D2058"/>
    <w:rsid w:val="004D26E7"/>
    <w:rsid w:val="004D2875"/>
    <w:rsid w:val="004D2ECC"/>
    <w:rsid w:val="004D3372"/>
    <w:rsid w:val="004D359F"/>
    <w:rsid w:val="004D37EC"/>
    <w:rsid w:val="004D3B0F"/>
    <w:rsid w:val="004D3D49"/>
    <w:rsid w:val="004D4661"/>
    <w:rsid w:val="004D4E02"/>
    <w:rsid w:val="004D54C6"/>
    <w:rsid w:val="004D555D"/>
    <w:rsid w:val="004D60A2"/>
    <w:rsid w:val="004D630F"/>
    <w:rsid w:val="004D67F6"/>
    <w:rsid w:val="004D70F9"/>
    <w:rsid w:val="004D79C3"/>
    <w:rsid w:val="004D7EE7"/>
    <w:rsid w:val="004E0015"/>
    <w:rsid w:val="004E02CE"/>
    <w:rsid w:val="004E088A"/>
    <w:rsid w:val="004E09B5"/>
    <w:rsid w:val="004E0DA8"/>
    <w:rsid w:val="004E124A"/>
    <w:rsid w:val="004E1430"/>
    <w:rsid w:val="004E16A8"/>
    <w:rsid w:val="004E1EDE"/>
    <w:rsid w:val="004E223F"/>
    <w:rsid w:val="004E24C9"/>
    <w:rsid w:val="004E2665"/>
    <w:rsid w:val="004E2A14"/>
    <w:rsid w:val="004E2E0E"/>
    <w:rsid w:val="004E2EAE"/>
    <w:rsid w:val="004E3466"/>
    <w:rsid w:val="004E4178"/>
    <w:rsid w:val="004E4944"/>
    <w:rsid w:val="004E540E"/>
    <w:rsid w:val="004E5445"/>
    <w:rsid w:val="004E59B7"/>
    <w:rsid w:val="004E6508"/>
    <w:rsid w:val="004E6EF8"/>
    <w:rsid w:val="004E6F73"/>
    <w:rsid w:val="004E734C"/>
    <w:rsid w:val="004E7351"/>
    <w:rsid w:val="004E75D2"/>
    <w:rsid w:val="004E7C86"/>
    <w:rsid w:val="004F06C7"/>
    <w:rsid w:val="004F1DA9"/>
    <w:rsid w:val="004F24EC"/>
    <w:rsid w:val="004F280E"/>
    <w:rsid w:val="004F2AB7"/>
    <w:rsid w:val="004F2D34"/>
    <w:rsid w:val="004F4370"/>
    <w:rsid w:val="004F4444"/>
    <w:rsid w:val="004F4506"/>
    <w:rsid w:val="004F47A9"/>
    <w:rsid w:val="004F4E50"/>
    <w:rsid w:val="004F5E47"/>
    <w:rsid w:val="004F5F3C"/>
    <w:rsid w:val="004F5FDC"/>
    <w:rsid w:val="004F7900"/>
    <w:rsid w:val="004F7920"/>
    <w:rsid w:val="005001FF"/>
    <w:rsid w:val="005002C5"/>
    <w:rsid w:val="00500705"/>
    <w:rsid w:val="00500FE8"/>
    <w:rsid w:val="005012A7"/>
    <w:rsid w:val="00501AA5"/>
    <w:rsid w:val="00501ECF"/>
    <w:rsid w:val="0050222D"/>
    <w:rsid w:val="00502409"/>
    <w:rsid w:val="005025E1"/>
    <w:rsid w:val="00502CAC"/>
    <w:rsid w:val="00502E1A"/>
    <w:rsid w:val="00502FDB"/>
    <w:rsid w:val="005035A7"/>
    <w:rsid w:val="005038B5"/>
    <w:rsid w:val="00504F96"/>
    <w:rsid w:val="005057C8"/>
    <w:rsid w:val="00505D8C"/>
    <w:rsid w:val="00505E43"/>
    <w:rsid w:val="00505F06"/>
    <w:rsid w:val="005061C8"/>
    <w:rsid w:val="00506235"/>
    <w:rsid w:val="00506761"/>
    <w:rsid w:val="005069B0"/>
    <w:rsid w:val="005071F3"/>
    <w:rsid w:val="00507DBE"/>
    <w:rsid w:val="00507F1B"/>
    <w:rsid w:val="0051007B"/>
    <w:rsid w:val="00510653"/>
    <w:rsid w:val="005109F3"/>
    <w:rsid w:val="005110D6"/>
    <w:rsid w:val="00511A0D"/>
    <w:rsid w:val="00511D6F"/>
    <w:rsid w:val="00511EBC"/>
    <w:rsid w:val="00512BE6"/>
    <w:rsid w:val="005132AF"/>
    <w:rsid w:val="00513AEA"/>
    <w:rsid w:val="0051409D"/>
    <w:rsid w:val="005144F4"/>
    <w:rsid w:val="0051452F"/>
    <w:rsid w:val="005155EB"/>
    <w:rsid w:val="0051597C"/>
    <w:rsid w:val="00515BBF"/>
    <w:rsid w:val="00515C48"/>
    <w:rsid w:val="00516175"/>
    <w:rsid w:val="00516ADA"/>
    <w:rsid w:val="00516B0E"/>
    <w:rsid w:val="00516C76"/>
    <w:rsid w:val="00517157"/>
    <w:rsid w:val="0051753B"/>
    <w:rsid w:val="00517754"/>
    <w:rsid w:val="005178F7"/>
    <w:rsid w:val="005201C8"/>
    <w:rsid w:val="0052070D"/>
    <w:rsid w:val="0052097A"/>
    <w:rsid w:val="00520A0F"/>
    <w:rsid w:val="0052159E"/>
    <w:rsid w:val="00521E99"/>
    <w:rsid w:val="0052211D"/>
    <w:rsid w:val="005224F2"/>
    <w:rsid w:val="00522880"/>
    <w:rsid w:val="005229B9"/>
    <w:rsid w:val="00522C9E"/>
    <w:rsid w:val="00523CE8"/>
    <w:rsid w:val="00524476"/>
    <w:rsid w:val="0052458A"/>
    <w:rsid w:val="00524CE7"/>
    <w:rsid w:val="00525587"/>
    <w:rsid w:val="0052592D"/>
    <w:rsid w:val="00525A06"/>
    <w:rsid w:val="00525AB5"/>
    <w:rsid w:val="0052624A"/>
    <w:rsid w:val="00526A34"/>
    <w:rsid w:val="00526B07"/>
    <w:rsid w:val="00526E23"/>
    <w:rsid w:val="00526ED6"/>
    <w:rsid w:val="00527498"/>
    <w:rsid w:val="005279CB"/>
    <w:rsid w:val="00527F25"/>
    <w:rsid w:val="0053060B"/>
    <w:rsid w:val="00530625"/>
    <w:rsid w:val="00530B84"/>
    <w:rsid w:val="00530C12"/>
    <w:rsid w:val="00530DDE"/>
    <w:rsid w:val="00530F2B"/>
    <w:rsid w:val="00530FBE"/>
    <w:rsid w:val="005311E0"/>
    <w:rsid w:val="00531CC0"/>
    <w:rsid w:val="00531DBC"/>
    <w:rsid w:val="00531F85"/>
    <w:rsid w:val="00532F78"/>
    <w:rsid w:val="005330D2"/>
    <w:rsid w:val="00533773"/>
    <w:rsid w:val="00533C49"/>
    <w:rsid w:val="00533F71"/>
    <w:rsid w:val="0053400A"/>
    <w:rsid w:val="00534577"/>
    <w:rsid w:val="00534C37"/>
    <w:rsid w:val="00535463"/>
    <w:rsid w:val="005355B7"/>
    <w:rsid w:val="00535613"/>
    <w:rsid w:val="00535C08"/>
    <w:rsid w:val="00535CDB"/>
    <w:rsid w:val="005362C8"/>
    <w:rsid w:val="005364DA"/>
    <w:rsid w:val="0053762F"/>
    <w:rsid w:val="00537766"/>
    <w:rsid w:val="005401FE"/>
    <w:rsid w:val="005404F1"/>
    <w:rsid w:val="00540EE2"/>
    <w:rsid w:val="005426F1"/>
    <w:rsid w:val="005429DB"/>
    <w:rsid w:val="00543B09"/>
    <w:rsid w:val="00543D90"/>
    <w:rsid w:val="00543F0C"/>
    <w:rsid w:val="00544192"/>
    <w:rsid w:val="00544571"/>
    <w:rsid w:val="00544747"/>
    <w:rsid w:val="00544D07"/>
    <w:rsid w:val="00544DB7"/>
    <w:rsid w:val="00544E44"/>
    <w:rsid w:val="00544EFD"/>
    <w:rsid w:val="00545179"/>
    <w:rsid w:val="00545283"/>
    <w:rsid w:val="00545CB2"/>
    <w:rsid w:val="00545CEA"/>
    <w:rsid w:val="0054639E"/>
    <w:rsid w:val="005465F4"/>
    <w:rsid w:val="005467FC"/>
    <w:rsid w:val="00547171"/>
    <w:rsid w:val="005473D0"/>
    <w:rsid w:val="005479FF"/>
    <w:rsid w:val="00550A90"/>
    <w:rsid w:val="00550C61"/>
    <w:rsid w:val="005512C7"/>
    <w:rsid w:val="0055160D"/>
    <w:rsid w:val="00552081"/>
    <w:rsid w:val="005523FA"/>
    <w:rsid w:val="00552967"/>
    <w:rsid w:val="00552C71"/>
    <w:rsid w:val="00552E1B"/>
    <w:rsid w:val="005530BB"/>
    <w:rsid w:val="005535DE"/>
    <w:rsid w:val="005539D7"/>
    <w:rsid w:val="005549E0"/>
    <w:rsid w:val="00554A8A"/>
    <w:rsid w:val="00555051"/>
    <w:rsid w:val="00555484"/>
    <w:rsid w:val="005555B2"/>
    <w:rsid w:val="0055564C"/>
    <w:rsid w:val="00555830"/>
    <w:rsid w:val="00555DAA"/>
    <w:rsid w:val="005569BB"/>
    <w:rsid w:val="00556E9E"/>
    <w:rsid w:val="00557E90"/>
    <w:rsid w:val="005603CF"/>
    <w:rsid w:val="00560587"/>
    <w:rsid w:val="00560CAB"/>
    <w:rsid w:val="00560FDE"/>
    <w:rsid w:val="00561A17"/>
    <w:rsid w:val="00561EC9"/>
    <w:rsid w:val="00561ED3"/>
    <w:rsid w:val="0056231A"/>
    <w:rsid w:val="00562614"/>
    <w:rsid w:val="005628B2"/>
    <w:rsid w:val="0056298F"/>
    <w:rsid w:val="00563707"/>
    <w:rsid w:val="005638E8"/>
    <w:rsid w:val="00564369"/>
    <w:rsid w:val="00564DCF"/>
    <w:rsid w:val="005650B0"/>
    <w:rsid w:val="00565424"/>
    <w:rsid w:val="0056563F"/>
    <w:rsid w:val="005660C2"/>
    <w:rsid w:val="00566499"/>
    <w:rsid w:val="005664D2"/>
    <w:rsid w:val="005667A1"/>
    <w:rsid w:val="00566853"/>
    <w:rsid w:val="00566B99"/>
    <w:rsid w:val="00567316"/>
    <w:rsid w:val="00567FFC"/>
    <w:rsid w:val="005704EA"/>
    <w:rsid w:val="00570971"/>
    <w:rsid w:val="00570DFA"/>
    <w:rsid w:val="00570F34"/>
    <w:rsid w:val="0057121C"/>
    <w:rsid w:val="0057192D"/>
    <w:rsid w:val="00571CBB"/>
    <w:rsid w:val="00572393"/>
    <w:rsid w:val="005723FF"/>
    <w:rsid w:val="00572B50"/>
    <w:rsid w:val="0057313D"/>
    <w:rsid w:val="00573965"/>
    <w:rsid w:val="00573B28"/>
    <w:rsid w:val="00574145"/>
    <w:rsid w:val="0057538E"/>
    <w:rsid w:val="005757B8"/>
    <w:rsid w:val="00575894"/>
    <w:rsid w:val="005764E0"/>
    <w:rsid w:val="005767BB"/>
    <w:rsid w:val="005769C7"/>
    <w:rsid w:val="00576B00"/>
    <w:rsid w:val="00576BFD"/>
    <w:rsid w:val="00576D97"/>
    <w:rsid w:val="00576E43"/>
    <w:rsid w:val="005772C6"/>
    <w:rsid w:val="005774C7"/>
    <w:rsid w:val="00577AAC"/>
    <w:rsid w:val="005807BB"/>
    <w:rsid w:val="0058083E"/>
    <w:rsid w:val="00580CAF"/>
    <w:rsid w:val="00581154"/>
    <w:rsid w:val="005815C8"/>
    <w:rsid w:val="00581913"/>
    <w:rsid w:val="00581D06"/>
    <w:rsid w:val="00581F27"/>
    <w:rsid w:val="0058297B"/>
    <w:rsid w:val="00582B24"/>
    <w:rsid w:val="00583939"/>
    <w:rsid w:val="0058468B"/>
    <w:rsid w:val="00584B74"/>
    <w:rsid w:val="00584DAD"/>
    <w:rsid w:val="00585761"/>
    <w:rsid w:val="00586040"/>
    <w:rsid w:val="00586E22"/>
    <w:rsid w:val="005870A1"/>
    <w:rsid w:val="005875D1"/>
    <w:rsid w:val="005878F4"/>
    <w:rsid w:val="0058795A"/>
    <w:rsid w:val="00587D6F"/>
    <w:rsid w:val="0059087F"/>
    <w:rsid w:val="00590BE5"/>
    <w:rsid w:val="00590D0F"/>
    <w:rsid w:val="00591033"/>
    <w:rsid w:val="005918CE"/>
    <w:rsid w:val="005918E5"/>
    <w:rsid w:val="00591901"/>
    <w:rsid w:val="00591BAD"/>
    <w:rsid w:val="00592003"/>
    <w:rsid w:val="00592035"/>
    <w:rsid w:val="00592822"/>
    <w:rsid w:val="005929CE"/>
    <w:rsid w:val="00592C6E"/>
    <w:rsid w:val="00593227"/>
    <w:rsid w:val="00593243"/>
    <w:rsid w:val="00593280"/>
    <w:rsid w:val="005937A5"/>
    <w:rsid w:val="00593E71"/>
    <w:rsid w:val="00593F47"/>
    <w:rsid w:val="0059447D"/>
    <w:rsid w:val="005946D2"/>
    <w:rsid w:val="005946DC"/>
    <w:rsid w:val="005947D8"/>
    <w:rsid w:val="00594AF5"/>
    <w:rsid w:val="00594BC0"/>
    <w:rsid w:val="00594D31"/>
    <w:rsid w:val="00594F58"/>
    <w:rsid w:val="00594FAA"/>
    <w:rsid w:val="00595085"/>
    <w:rsid w:val="005956EB"/>
    <w:rsid w:val="00595813"/>
    <w:rsid w:val="00595CDE"/>
    <w:rsid w:val="00595E96"/>
    <w:rsid w:val="005961B9"/>
    <w:rsid w:val="00596358"/>
    <w:rsid w:val="00596928"/>
    <w:rsid w:val="00596D6D"/>
    <w:rsid w:val="00596E68"/>
    <w:rsid w:val="0059764A"/>
    <w:rsid w:val="00597725"/>
    <w:rsid w:val="005A0581"/>
    <w:rsid w:val="005A07D7"/>
    <w:rsid w:val="005A08A3"/>
    <w:rsid w:val="005A0BA9"/>
    <w:rsid w:val="005A0F27"/>
    <w:rsid w:val="005A1606"/>
    <w:rsid w:val="005A1B5C"/>
    <w:rsid w:val="005A1E2B"/>
    <w:rsid w:val="005A2286"/>
    <w:rsid w:val="005A23FB"/>
    <w:rsid w:val="005A3071"/>
    <w:rsid w:val="005A36E0"/>
    <w:rsid w:val="005A3E93"/>
    <w:rsid w:val="005A4A1E"/>
    <w:rsid w:val="005A5FC0"/>
    <w:rsid w:val="005A6001"/>
    <w:rsid w:val="005A612A"/>
    <w:rsid w:val="005A693B"/>
    <w:rsid w:val="005A6E05"/>
    <w:rsid w:val="005A7310"/>
    <w:rsid w:val="005A7E26"/>
    <w:rsid w:val="005B046B"/>
    <w:rsid w:val="005B065D"/>
    <w:rsid w:val="005B06CF"/>
    <w:rsid w:val="005B08EA"/>
    <w:rsid w:val="005B14D1"/>
    <w:rsid w:val="005B1527"/>
    <w:rsid w:val="005B1839"/>
    <w:rsid w:val="005B2263"/>
    <w:rsid w:val="005B2A80"/>
    <w:rsid w:val="005B2F60"/>
    <w:rsid w:val="005B3E22"/>
    <w:rsid w:val="005B45C8"/>
    <w:rsid w:val="005B499E"/>
    <w:rsid w:val="005B49AB"/>
    <w:rsid w:val="005B5264"/>
    <w:rsid w:val="005B526A"/>
    <w:rsid w:val="005B54CB"/>
    <w:rsid w:val="005B57DD"/>
    <w:rsid w:val="005B5989"/>
    <w:rsid w:val="005B76BA"/>
    <w:rsid w:val="005B7E78"/>
    <w:rsid w:val="005C03AE"/>
    <w:rsid w:val="005C18B0"/>
    <w:rsid w:val="005C29FF"/>
    <w:rsid w:val="005C2F4E"/>
    <w:rsid w:val="005C3116"/>
    <w:rsid w:val="005C3781"/>
    <w:rsid w:val="005C4874"/>
    <w:rsid w:val="005C49CA"/>
    <w:rsid w:val="005C5727"/>
    <w:rsid w:val="005C573C"/>
    <w:rsid w:val="005C58BB"/>
    <w:rsid w:val="005C5CE9"/>
    <w:rsid w:val="005C5D8E"/>
    <w:rsid w:val="005C5E59"/>
    <w:rsid w:val="005C6255"/>
    <w:rsid w:val="005C6A14"/>
    <w:rsid w:val="005C6C92"/>
    <w:rsid w:val="005C6D81"/>
    <w:rsid w:val="005C6FAE"/>
    <w:rsid w:val="005C7203"/>
    <w:rsid w:val="005C7444"/>
    <w:rsid w:val="005C775D"/>
    <w:rsid w:val="005C7B36"/>
    <w:rsid w:val="005D0052"/>
    <w:rsid w:val="005D0AFF"/>
    <w:rsid w:val="005D0B7E"/>
    <w:rsid w:val="005D0BB2"/>
    <w:rsid w:val="005D115D"/>
    <w:rsid w:val="005D17F7"/>
    <w:rsid w:val="005D1CA4"/>
    <w:rsid w:val="005D21C5"/>
    <w:rsid w:val="005D284F"/>
    <w:rsid w:val="005D2DF7"/>
    <w:rsid w:val="005D3334"/>
    <w:rsid w:val="005D3428"/>
    <w:rsid w:val="005D3B85"/>
    <w:rsid w:val="005D3ECC"/>
    <w:rsid w:val="005D41D8"/>
    <w:rsid w:val="005D45B0"/>
    <w:rsid w:val="005D46A8"/>
    <w:rsid w:val="005D4B89"/>
    <w:rsid w:val="005D577E"/>
    <w:rsid w:val="005D59B6"/>
    <w:rsid w:val="005D6561"/>
    <w:rsid w:val="005D6720"/>
    <w:rsid w:val="005D6AED"/>
    <w:rsid w:val="005D6D90"/>
    <w:rsid w:val="005D7041"/>
    <w:rsid w:val="005D7746"/>
    <w:rsid w:val="005D77B1"/>
    <w:rsid w:val="005D7861"/>
    <w:rsid w:val="005D7877"/>
    <w:rsid w:val="005D7908"/>
    <w:rsid w:val="005D79F7"/>
    <w:rsid w:val="005D7C87"/>
    <w:rsid w:val="005E0A4F"/>
    <w:rsid w:val="005E0FBC"/>
    <w:rsid w:val="005E10CE"/>
    <w:rsid w:val="005E1521"/>
    <w:rsid w:val="005E1588"/>
    <w:rsid w:val="005E15A6"/>
    <w:rsid w:val="005E21B0"/>
    <w:rsid w:val="005E2617"/>
    <w:rsid w:val="005E28A6"/>
    <w:rsid w:val="005E2944"/>
    <w:rsid w:val="005E2D04"/>
    <w:rsid w:val="005E385E"/>
    <w:rsid w:val="005E38E2"/>
    <w:rsid w:val="005E3E07"/>
    <w:rsid w:val="005E4957"/>
    <w:rsid w:val="005E4F64"/>
    <w:rsid w:val="005E4F7F"/>
    <w:rsid w:val="005E54B5"/>
    <w:rsid w:val="005E5535"/>
    <w:rsid w:val="005E5C6B"/>
    <w:rsid w:val="005E5D30"/>
    <w:rsid w:val="005E64DA"/>
    <w:rsid w:val="005E6B34"/>
    <w:rsid w:val="005E781A"/>
    <w:rsid w:val="005E78BA"/>
    <w:rsid w:val="005E78C3"/>
    <w:rsid w:val="005E7AD4"/>
    <w:rsid w:val="005E7C9C"/>
    <w:rsid w:val="005F00EA"/>
    <w:rsid w:val="005F0179"/>
    <w:rsid w:val="005F0A0B"/>
    <w:rsid w:val="005F0E46"/>
    <w:rsid w:val="005F166A"/>
    <w:rsid w:val="005F1768"/>
    <w:rsid w:val="005F1BB2"/>
    <w:rsid w:val="005F1D90"/>
    <w:rsid w:val="005F20F9"/>
    <w:rsid w:val="005F23E9"/>
    <w:rsid w:val="005F2C30"/>
    <w:rsid w:val="005F2EB1"/>
    <w:rsid w:val="005F308E"/>
    <w:rsid w:val="005F3615"/>
    <w:rsid w:val="005F3831"/>
    <w:rsid w:val="005F3AB0"/>
    <w:rsid w:val="005F3F74"/>
    <w:rsid w:val="005F45DC"/>
    <w:rsid w:val="005F477D"/>
    <w:rsid w:val="005F4C54"/>
    <w:rsid w:val="005F4F52"/>
    <w:rsid w:val="005F5034"/>
    <w:rsid w:val="005F551A"/>
    <w:rsid w:val="005F5A1B"/>
    <w:rsid w:val="005F5DCE"/>
    <w:rsid w:val="005F6089"/>
    <w:rsid w:val="005F64C0"/>
    <w:rsid w:val="005F6A2A"/>
    <w:rsid w:val="005F73F3"/>
    <w:rsid w:val="005F76CA"/>
    <w:rsid w:val="005F7900"/>
    <w:rsid w:val="006009F2"/>
    <w:rsid w:val="00600FCD"/>
    <w:rsid w:val="00601585"/>
    <w:rsid w:val="00601772"/>
    <w:rsid w:val="00601F15"/>
    <w:rsid w:val="00601FA1"/>
    <w:rsid w:val="00601FE6"/>
    <w:rsid w:val="006029AE"/>
    <w:rsid w:val="00603D2B"/>
    <w:rsid w:val="00603DDF"/>
    <w:rsid w:val="00604A8E"/>
    <w:rsid w:val="00604F6F"/>
    <w:rsid w:val="00605219"/>
    <w:rsid w:val="00605831"/>
    <w:rsid w:val="0060596B"/>
    <w:rsid w:val="00606066"/>
    <w:rsid w:val="00606236"/>
    <w:rsid w:val="006068C2"/>
    <w:rsid w:val="00606AD9"/>
    <w:rsid w:val="00606FED"/>
    <w:rsid w:val="00607188"/>
    <w:rsid w:val="006079F7"/>
    <w:rsid w:val="00607F6E"/>
    <w:rsid w:val="00610316"/>
    <w:rsid w:val="00610CC6"/>
    <w:rsid w:val="00611744"/>
    <w:rsid w:val="00611848"/>
    <w:rsid w:val="006118B6"/>
    <w:rsid w:val="006120AA"/>
    <w:rsid w:val="00612940"/>
    <w:rsid w:val="0061297E"/>
    <w:rsid w:val="0061321B"/>
    <w:rsid w:val="00613356"/>
    <w:rsid w:val="00615064"/>
    <w:rsid w:val="006157E9"/>
    <w:rsid w:val="00615D74"/>
    <w:rsid w:val="006160F9"/>
    <w:rsid w:val="006165AD"/>
    <w:rsid w:val="00616715"/>
    <w:rsid w:val="00616B7E"/>
    <w:rsid w:val="00616C9E"/>
    <w:rsid w:val="00617AFC"/>
    <w:rsid w:val="0062040E"/>
    <w:rsid w:val="00620C26"/>
    <w:rsid w:val="00620F6B"/>
    <w:rsid w:val="00620F89"/>
    <w:rsid w:val="00621793"/>
    <w:rsid w:val="006217A8"/>
    <w:rsid w:val="00621A32"/>
    <w:rsid w:val="00621F79"/>
    <w:rsid w:val="00622153"/>
    <w:rsid w:val="00622D38"/>
    <w:rsid w:val="006237F5"/>
    <w:rsid w:val="00623B33"/>
    <w:rsid w:val="006243D5"/>
    <w:rsid w:val="00624933"/>
    <w:rsid w:val="006251C0"/>
    <w:rsid w:val="00625E33"/>
    <w:rsid w:val="00626335"/>
    <w:rsid w:val="006265CB"/>
    <w:rsid w:val="006268B5"/>
    <w:rsid w:val="0062724F"/>
    <w:rsid w:val="006273DD"/>
    <w:rsid w:val="0062772A"/>
    <w:rsid w:val="0062792B"/>
    <w:rsid w:val="00627BA2"/>
    <w:rsid w:val="00630872"/>
    <w:rsid w:val="00630C72"/>
    <w:rsid w:val="00630DB4"/>
    <w:rsid w:val="00631517"/>
    <w:rsid w:val="006323B0"/>
    <w:rsid w:val="00632818"/>
    <w:rsid w:val="00632914"/>
    <w:rsid w:val="006348FF"/>
    <w:rsid w:val="00634A28"/>
    <w:rsid w:val="00634A8F"/>
    <w:rsid w:val="00634BC1"/>
    <w:rsid w:val="00635674"/>
    <w:rsid w:val="00636488"/>
    <w:rsid w:val="00636ED4"/>
    <w:rsid w:val="00637049"/>
    <w:rsid w:val="00637195"/>
    <w:rsid w:val="006371BF"/>
    <w:rsid w:val="0063786B"/>
    <w:rsid w:val="006409F1"/>
    <w:rsid w:val="00640B15"/>
    <w:rsid w:val="00640B81"/>
    <w:rsid w:val="00640F56"/>
    <w:rsid w:val="0064130E"/>
    <w:rsid w:val="00642038"/>
    <w:rsid w:val="006422FE"/>
    <w:rsid w:val="006426A3"/>
    <w:rsid w:val="006427F6"/>
    <w:rsid w:val="0064291A"/>
    <w:rsid w:val="00642CA2"/>
    <w:rsid w:val="00643FDA"/>
    <w:rsid w:val="0064498C"/>
    <w:rsid w:val="00644DDA"/>
    <w:rsid w:val="00644E76"/>
    <w:rsid w:val="00644EE8"/>
    <w:rsid w:val="0064531B"/>
    <w:rsid w:val="00645642"/>
    <w:rsid w:val="00645808"/>
    <w:rsid w:val="0064635F"/>
    <w:rsid w:val="00646431"/>
    <w:rsid w:val="00646A1A"/>
    <w:rsid w:val="00646AD8"/>
    <w:rsid w:val="0064712D"/>
    <w:rsid w:val="00647169"/>
    <w:rsid w:val="006472D7"/>
    <w:rsid w:val="00647357"/>
    <w:rsid w:val="006476F3"/>
    <w:rsid w:val="006477DF"/>
    <w:rsid w:val="006478D9"/>
    <w:rsid w:val="006479AF"/>
    <w:rsid w:val="00647A96"/>
    <w:rsid w:val="00647D24"/>
    <w:rsid w:val="00650045"/>
    <w:rsid w:val="0065031B"/>
    <w:rsid w:val="00650774"/>
    <w:rsid w:val="00651423"/>
    <w:rsid w:val="006526F6"/>
    <w:rsid w:val="00652967"/>
    <w:rsid w:val="006535DC"/>
    <w:rsid w:val="00653D16"/>
    <w:rsid w:val="006541BA"/>
    <w:rsid w:val="00654601"/>
    <w:rsid w:val="006547BD"/>
    <w:rsid w:val="00654985"/>
    <w:rsid w:val="00654BCF"/>
    <w:rsid w:val="00655300"/>
    <w:rsid w:val="00655951"/>
    <w:rsid w:val="006559D3"/>
    <w:rsid w:val="00656985"/>
    <w:rsid w:val="00656D66"/>
    <w:rsid w:val="00656FFE"/>
    <w:rsid w:val="00657991"/>
    <w:rsid w:val="00657C05"/>
    <w:rsid w:val="00660341"/>
    <w:rsid w:val="00660368"/>
    <w:rsid w:val="006603B1"/>
    <w:rsid w:val="006606F6"/>
    <w:rsid w:val="006609B5"/>
    <w:rsid w:val="00660E03"/>
    <w:rsid w:val="0066133D"/>
    <w:rsid w:val="006616A5"/>
    <w:rsid w:val="00662358"/>
    <w:rsid w:val="00662CDB"/>
    <w:rsid w:val="00662D0A"/>
    <w:rsid w:val="00663535"/>
    <w:rsid w:val="00663E10"/>
    <w:rsid w:val="0066417B"/>
    <w:rsid w:val="006647D1"/>
    <w:rsid w:val="00664B1B"/>
    <w:rsid w:val="00664BE9"/>
    <w:rsid w:val="00664FB4"/>
    <w:rsid w:val="006662C8"/>
    <w:rsid w:val="006666EA"/>
    <w:rsid w:val="006667EE"/>
    <w:rsid w:val="00666C8B"/>
    <w:rsid w:val="00666D90"/>
    <w:rsid w:val="006671A8"/>
    <w:rsid w:val="00667E00"/>
    <w:rsid w:val="00667EC3"/>
    <w:rsid w:val="006700E8"/>
    <w:rsid w:val="00671AF2"/>
    <w:rsid w:val="00671D1D"/>
    <w:rsid w:val="00672337"/>
    <w:rsid w:val="0067269F"/>
    <w:rsid w:val="00672762"/>
    <w:rsid w:val="00672C15"/>
    <w:rsid w:val="00673C4F"/>
    <w:rsid w:val="0067411A"/>
    <w:rsid w:val="0067476E"/>
    <w:rsid w:val="00675527"/>
    <w:rsid w:val="00675B0E"/>
    <w:rsid w:val="00676194"/>
    <w:rsid w:val="006764BD"/>
    <w:rsid w:val="006769A6"/>
    <w:rsid w:val="00676E66"/>
    <w:rsid w:val="0067727A"/>
    <w:rsid w:val="00677EEF"/>
    <w:rsid w:val="006807A3"/>
    <w:rsid w:val="00680BD7"/>
    <w:rsid w:val="006810F5"/>
    <w:rsid w:val="00681B33"/>
    <w:rsid w:val="00682359"/>
    <w:rsid w:val="00682438"/>
    <w:rsid w:val="0068286F"/>
    <w:rsid w:val="00682ECF"/>
    <w:rsid w:val="006831E5"/>
    <w:rsid w:val="00683516"/>
    <w:rsid w:val="006841B0"/>
    <w:rsid w:val="0068442D"/>
    <w:rsid w:val="00684AB5"/>
    <w:rsid w:val="00684B00"/>
    <w:rsid w:val="00684B11"/>
    <w:rsid w:val="00684BBF"/>
    <w:rsid w:val="00684D7F"/>
    <w:rsid w:val="00685302"/>
    <w:rsid w:val="006854ED"/>
    <w:rsid w:val="00685A51"/>
    <w:rsid w:val="006873EE"/>
    <w:rsid w:val="006877EF"/>
    <w:rsid w:val="00687883"/>
    <w:rsid w:val="006878DE"/>
    <w:rsid w:val="00690D99"/>
    <w:rsid w:val="00690E7F"/>
    <w:rsid w:val="00691677"/>
    <w:rsid w:val="00692B6D"/>
    <w:rsid w:val="00693D2B"/>
    <w:rsid w:val="00693D37"/>
    <w:rsid w:val="006943CA"/>
    <w:rsid w:val="00694B00"/>
    <w:rsid w:val="00694C85"/>
    <w:rsid w:val="00694E0B"/>
    <w:rsid w:val="006952A6"/>
    <w:rsid w:val="0069621D"/>
    <w:rsid w:val="00696767"/>
    <w:rsid w:val="0069677E"/>
    <w:rsid w:val="006969FC"/>
    <w:rsid w:val="00696E57"/>
    <w:rsid w:val="00697521"/>
    <w:rsid w:val="00697567"/>
    <w:rsid w:val="006976D0"/>
    <w:rsid w:val="006A01A2"/>
    <w:rsid w:val="006A0600"/>
    <w:rsid w:val="006A09AA"/>
    <w:rsid w:val="006A0B67"/>
    <w:rsid w:val="006A0DD5"/>
    <w:rsid w:val="006A0F44"/>
    <w:rsid w:val="006A1225"/>
    <w:rsid w:val="006A167C"/>
    <w:rsid w:val="006A22D8"/>
    <w:rsid w:val="006A2503"/>
    <w:rsid w:val="006A25E4"/>
    <w:rsid w:val="006A28AF"/>
    <w:rsid w:val="006A2F0F"/>
    <w:rsid w:val="006A3AD4"/>
    <w:rsid w:val="006A418C"/>
    <w:rsid w:val="006A4695"/>
    <w:rsid w:val="006A4B18"/>
    <w:rsid w:val="006A4E2F"/>
    <w:rsid w:val="006A6237"/>
    <w:rsid w:val="006A62A3"/>
    <w:rsid w:val="006A6816"/>
    <w:rsid w:val="006A6FE7"/>
    <w:rsid w:val="006A74AC"/>
    <w:rsid w:val="006A74D0"/>
    <w:rsid w:val="006A77E0"/>
    <w:rsid w:val="006A7AA3"/>
    <w:rsid w:val="006A7DD0"/>
    <w:rsid w:val="006B01BC"/>
    <w:rsid w:val="006B0671"/>
    <w:rsid w:val="006B0A73"/>
    <w:rsid w:val="006B0B17"/>
    <w:rsid w:val="006B0E86"/>
    <w:rsid w:val="006B1527"/>
    <w:rsid w:val="006B1900"/>
    <w:rsid w:val="006B228E"/>
    <w:rsid w:val="006B25BB"/>
    <w:rsid w:val="006B27E9"/>
    <w:rsid w:val="006B2878"/>
    <w:rsid w:val="006B2A5D"/>
    <w:rsid w:val="006B2C18"/>
    <w:rsid w:val="006B2F08"/>
    <w:rsid w:val="006B3C2B"/>
    <w:rsid w:val="006B3F26"/>
    <w:rsid w:val="006B4052"/>
    <w:rsid w:val="006B420F"/>
    <w:rsid w:val="006B4E57"/>
    <w:rsid w:val="006B501A"/>
    <w:rsid w:val="006B528B"/>
    <w:rsid w:val="006B5314"/>
    <w:rsid w:val="006B56D1"/>
    <w:rsid w:val="006B5D05"/>
    <w:rsid w:val="006B605F"/>
    <w:rsid w:val="006B62A9"/>
    <w:rsid w:val="006B6ABF"/>
    <w:rsid w:val="006B7280"/>
    <w:rsid w:val="006B7516"/>
    <w:rsid w:val="006B7764"/>
    <w:rsid w:val="006B781F"/>
    <w:rsid w:val="006B7ECF"/>
    <w:rsid w:val="006C05D3"/>
    <w:rsid w:val="006C09BF"/>
    <w:rsid w:val="006C0C1A"/>
    <w:rsid w:val="006C1132"/>
    <w:rsid w:val="006C1202"/>
    <w:rsid w:val="006C290E"/>
    <w:rsid w:val="006C303D"/>
    <w:rsid w:val="006C33D2"/>
    <w:rsid w:val="006C36CB"/>
    <w:rsid w:val="006C466A"/>
    <w:rsid w:val="006C4697"/>
    <w:rsid w:val="006C485B"/>
    <w:rsid w:val="006C4C9C"/>
    <w:rsid w:val="006C512C"/>
    <w:rsid w:val="006C5A3A"/>
    <w:rsid w:val="006C6A39"/>
    <w:rsid w:val="006C6B3D"/>
    <w:rsid w:val="006C704F"/>
    <w:rsid w:val="006C7588"/>
    <w:rsid w:val="006C76FD"/>
    <w:rsid w:val="006C79AD"/>
    <w:rsid w:val="006D033B"/>
    <w:rsid w:val="006D0342"/>
    <w:rsid w:val="006D0EE4"/>
    <w:rsid w:val="006D0F35"/>
    <w:rsid w:val="006D1AF2"/>
    <w:rsid w:val="006D2221"/>
    <w:rsid w:val="006D22AE"/>
    <w:rsid w:val="006D24A7"/>
    <w:rsid w:val="006D292F"/>
    <w:rsid w:val="006D2A2A"/>
    <w:rsid w:val="006D2EF8"/>
    <w:rsid w:val="006D31C2"/>
    <w:rsid w:val="006D31CB"/>
    <w:rsid w:val="006D3282"/>
    <w:rsid w:val="006D3744"/>
    <w:rsid w:val="006D395E"/>
    <w:rsid w:val="006D3BC8"/>
    <w:rsid w:val="006D4796"/>
    <w:rsid w:val="006D53E9"/>
    <w:rsid w:val="006D5485"/>
    <w:rsid w:val="006D561D"/>
    <w:rsid w:val="006D5BAB"/>
    <w:rsid w:val="006D5D53"/>
    <w:rsid w:val="006D5F59"/>
    <w:rsid w:val="006D6068"/>
    <w:rsid w:val="006D6BDF"/>
    <w:rsid w:val="006D6CCF"/>
    <w:rsid w:val="006D6DBC"/>
    <w:rsid w:val="006D6F7F"/>
    <w:rsid w:val="006D724E"/>
    <w:rsid w:val="006D7503"/>
    <w:rsid w:val="006E0588"/>
    <w:rsid w:val="006E085A"/>
    <w:rsid w:val="006E1203"/>
    <w:rsid w:val="006E1573"/>
    <w:rsid w:val="006E1E6A"/>
    <w:rsid w:val="006E241C"/>
    <w:rsid w:val="006E26EE"/>
    <w:rsid w:val="006E2B01"/>
    <w:rsid w:val="006E3573"/>
    <w:rsid w:val="006E3DE5"/>
    <w:rsid w:val="006E3FF0"/>
    <w:rsid w:val="006E4001"/>
    <w:rsid w:val="006E4477"/>
    <w:rsid w:val="006E499D"/>
    <w:rsid w:val="006E530E"/>
    <w:rsid w:val="006E531E"/>
    <w:rsid w:val="006E5BC7"/>
    <w:rsid w:val="006E5FF0"/>
    <w:rsid w:val="006E6749"/>
    <w:rsid w:val="006E67C5"/>
    <w:rsid w:val="006E72AC"/>
    <w:rsid w:val="006E7A05"/>
    <w:rsid w:val="006F075D"/>
    <w:rsid w:val="006F0AF9"/>
    <w:rsid w:val="006F0E78"/>
    <w:rsid w:val="006F1712"/>
    <w:rsid w:val="006F1733"/>
    <w:rsid w:val="006F1ECE"/>
    <w:rsid w:val="006F2104"/>
    <w:rsid w:val="006F291D"/>
    <w:rsid w:val="006F2EF2"/>
    <w:rsid w:val="006F3058"/>
    <w:rsid w:val="006F356D"/>
    <w:rsid w:val="006F3753"/>
    <w:rsid w:val="006F37CC"/>
    <w:rsid w:val="006F4107"/>
    <w:rsid w:val="006F4C14"/>
    <w:rsid w:val="006F4D44"/>
    <w:rsid w:val="006F4FC6"/>
    <w:rsid w:val="006F50B5"/>
    <w:rsid w:val="006F58A5"/>
    <w:rsid w:val="006F59D2"/>
    <w:rsid w:val="006F5BD0"/>
    <w:rsid w:val="006F5D51"/>
    <w:rsid w:val="006F659A"/>
    <w:rsid w:val="006F6CF0"/>
    <w:rsid w:val="006F6D19"/>
    <w:rsid w:val="006F6E6D"/>
    <w:rsid w:val="006F794E"/>
    <w:rsid w:val="006F79DA"/>
    <w:rsid w:val="006F7A95"/>
    <w:rsid w:val="006F7D22"/>
    <w:rsid w:val="006F7D33"/>
    <w:rsid w:val="00700266"/>
    <w:rsid w:val="007002A3"/>
    <w:rsid w:val="00700578"/>
    <w:rsid w:val="00700C1A"/>
    <w:rsid w:val="00700D70"/>
    <w:rsid w:val="00701204"/>
    <w:rsid w:val="00701510"/>
    <w:rsid w:val="0070166B"/>
    <w:rsid w:val="00701B8A"/>
    <w:rsid w:val="007021BD"/>
    <w:rsid w:val="0070240E"/>
    <w:rsid w:val="00703762"/>
    <w:rsid w:val="00703804"/>
    <w:rsid w:val="00704F98"/>
    <w:rsid w:val="007053B7"/>
    <w:rsid w:val="007054EE"/>
    <w:rsid w:val="00705BA3"/>
    <w:rsid w:val="0070641A"/>
    <w:rsid w:val="00707C1D"/>
    <w:rsid w:val="007102C9"/>
    <w:rsid w:val="00710BBE"/>
    <w:rsid w:val="00710F2D"/>
    <w:rsid w:val="00711349"/>
    <w:rsid w:val="007113E7"/>
    <w:rsid w:val="00712E56"/>
    <w:rsid w:val="0071340D"/>
    <w:rsid w:val="007138CF"/>
    <w:rsid w:val="00713BDC"/>
    <w:rsid w:val="00713C94"/>
    <w:rsid w:val="00714837"/>
    <w:rsid w:val="00715017"/>
    <w:rsid w:val="00715081"/>
    <w:rsid w:val="00715503"/>
    <w:rsid w:val="007155A4"/>
    <w:rsid w:val="00715631"/>
    <w:rsid w:val="00715A05"/>
    <w:rsid w:val="00715E97"/>
    <w:rsid w:val="0071603E"/>
    <w:rsid w:val="00716061"/>
    <w:rsid w:val="0071625D"/>
    <w:rsid w:val="007162CF"/>
    <w:rsid w:val="00716679"/>
    <w:rsid w:val="007169E9"/>
    <w:rsid w:val="00716B24"/>
    <w:rsid w:val="00717101"/>
    <w:rsid w:val="00717106"/>
    <w:rsid w:val="00717456"/>
    <w:rsid w:val="00717955"/>
    <w:rsid w:val="00717A54"/>
    <w:rsid w:val="00717B14"/>
    <w:rsid w:val="0072083F"/>
    <w:rsid w:val="0072092B"/>
    <w:rsid w:val="007222B5"/>
    <w:rsid w:val="0072251D"/>
    <w:rsid w:val="0072281F"/>
    <w:rsid w:val="007228DA"/>
    <w:rsid w:val="00722D6B"/>
    <w:rsid w:val="007236F7"/>
    <w:rsid w:val="00723C5D"/>
    <w:rsid w:val="007242D9"/>
    <w:rsid w:val="00724DFC"/>
    <w:rsid w:val="00724EE3"/>
    <w:rsid w:val="00725781"/>
    <w:rsid w:val="00725882"/>
    <w:rsid w:val="00725957"/>
    <w:rsid w:val="00725AA9"/>
    <w:rsid w:val="00725FF7"/>
    <w:rsid w:val="007260B5"/>
    <w:rsid w:val="00726D2F"/>
    <w:rsid w:val="00727EFC"/>
    <w:rsid w:val="007302A3"/>
    <w:rsid w:val="00730BA5"/>
    <w:rsid w:val="00731460"/>
    <w:rsid w:val="0073178A"/>
    <w:rsid w:val="00731D0F"/>
    <w:rsid w:val="00731FCA"/>
    <w:rsid w:val="007333E9"/>
    <w:rsid w:val="0073353A"/>
    <w:rsid w:val="00733C90"/>
    <w:rsid w:val="00733ED7"/>
    <w:rsid w:val="00733FA1"/>
    <w:rsid w:val="00734204"/>
    <w:rsid w:val="00734358"/>
    <w:rsid w:val="00734853"/>
    <w:rsid w:val="00734E35"/>
    <w:rsid w:val="0073545C"/>
    <w:rsid w:val="007355F2"/>
    <w:rsid w:val="00735718"/>
    <w:rsid w:val="00735D86"/>
    <w:rsid w:val="00735E41"/>
    <w:rsid w:val="00735FCF"/>
    <w:rsid w:val="007360FF"/>
    <w:rsid w:val="00736547"/>
    <w:rsid w:val="007365D6"/>
    <w:rsid w:val="007367BC"/>
    <w:rsid w:val="00736B1E"/>
    <w:rsid w:val="00736CD8"/>
    <w:rsid w:val="00736FEC"/>
    <w:rsid w:val="0073736E"/>
    <w:rsid w:val="00737BF6"/>
    <w:rsid w:val="00740089"/>
    <w:rsid w:val="00740602"/>
    <w:rsid w:val="0074072B"/>
    <w:rsid w:val="00740A52"/>
    <w:rsid w:val="00740CA4"/>
    <w:rsid w:val="0074120D"/>
    <w:rsid w:val="007414EB"/>
    <w:rsid w:val="0074199A"/>
    <w:rsid w:val="00741D59"/>
    <w:rsid w:val="00742742"/>
    <w:rsid w:val="00742E57"/>
    <w:rsid w:val="0074304F"/>
    <w:rsid w:val="007436DD"/>
    <w:rsid w:val="00744ACE"/>
    <w:rsid w:val="00744EAA"/>
    <w:rsid w:val="00745318"/>
    <w:rsid w:val="00745790"/>
    <w:rsid w:val="00745C88"/>
    <w:rsid w:val="00745FAE"/>
    <w:rsid w:val="00746069"/>
    <w:rsid w:val="00746223"/>
    <w:rsid w:val="007463ED"/>
    <w:rsid w:val="00746C1A"/>
    <w:rsid w:val="0074703F"/>
    <w:rsid w:val="007471DC"/>
    <w:rsid w:val="0074744D"/>
    <w:rsid w:val="00747814"/>
    <w:rsid w:val="00747BDC"/>
    <w:rsid w:val="00747BE8"/>
    <w:rsid w:val="00750032"/>
    <w:rsid w:val="00750459"/>
    <w:rsid w:val="00750580"/>
    <w:rsid w:val="007509A1"/>
    <w:rsid w:val="00750C33"/>
    <w:rsid w:val="007513AC"/>
    <w:rsid w:val="007513F4"/>
    <w:rsid w:val="00751948"/>
    <w:rsid w:val="00751BFB"/>
    <w:rsid w:val="00751DAA"/>
    <w:rsid w:val="00752723"/>
    <w:rsid w:val="00752D6A"/>
    <w:rsid w:val="00752DE3"/>
    <w:rsid w:val="0075302B"/>
    <w:rsid w:val="00753781"/>
    <w:rsid w:val="0075388B"/>
    <w:rsid w:val="007542D3"/>
    <w:rsid w:val="00754474"/>
    <w:rsid w:val="00755928"/>
    <w:rsid w:val="0075596D"/>
    <w:rsid w:val="007562B5"/>
    <w:rsid w:val="00756509"/>
    <w:rsid w:val="00756C88"/>
    <w:rsid w:val="00756DC5"/>
    <w:rsid w:val="00756DE6"/>
    <w:rsid w:val="007574D4"/>
    <w:rsid w:val="0075761A"/>
    <w:rsid w:val="00757D9C"/>
    <w:rsid w:val="00757DB8"/>
    <w:rsid w:val="00757DE2"/>
    <w:rsid w:val="007602AC"/>
    <w:rsid w:val="00760384"/>
    <w:rsid w:val="007604F2"/>
    <w:rsid w:val="007610B5"/>
    <w:rsid w:val="007612AB"/>
    <w:rsid w:val="00761336"/>
    <w:rsid w:val="00761E3D"/>
    <w:rsid w:val="0076206B"/>
    <w:rsid w:val="00762738"/>
    <w:rsid w:val="00762A3D"/>
    <w:rsid w:val="00762E0B"/>
    <w:rsid w:val="00762E23"/>
    <w:rsid w:val="00763BAA"/>
    <w:rsid w:val="00763D88"/>
    <w:rsid w:val="007642D4"/>
    <w:rsid w:val="007651DC"/>
    <w:rsid w:val="0076520E"/>
    <w:rsid w:val="00765369"/>
    <w:rsid w:val="0076576D"/>
    <w:rsid w:val="007659CE"/>
    <w:rsid w:val="00765AD7"/>
    <w:rsid w:val="00765CBE"/>
    <w:rsid w:val="00765F29"/>
    <w:rsid w:val="00766107"/>
    <w:rsid w:val="0076611C"/>
    <w:rsid w:val="007666BD"/>
    <w:rsid w:val="00766972"/>
    <w:rsid w:val="00766EC1"/>
    <w:rsid w:val="00767C90"/>
    <w:rsid w:val="00767DCC"/>
    <w:rsid w:val="00767F4E"/>
    <w:rsid w:val="00771DBC"/>
    <w:rsid w:val="00772D4F"/>
    <w:rsid w:val="00772D76"/>
    <w:rsid w:val="00772E04"/>
    <w:rsid w:val="007731AF"/>
    <w:rsid w:val="00773651"/>
    <w:rsid w:val="00773ACD"/>
    <w:rsid w:val="007741F2"/>
    <w:rsid w:val="00774F00"/>
    <w:rsid w:val="00775014"/>
    <w:rsid w:val="0077531E"/>
    <w:rsid w:val="0077587B"/>
    <w:rsid w:val="00775934"/>
    <w:rsid w:val="00775B20"/>
    <w:rsid w:val="007764D7"/>
    <w:rsid w:val="007764EA"/>
    <w:rsid w:val="00776D5C"/>
    <w:rsid w:val="00776F86"/>
    <w:rsid w:val="00777C8E"/>
    <w:rsid w:val="00780762"/>
    <w:rsid w:val="00780FCB"/>
    <w:rsid w:val="007813FA"/>
    <w:rsid w:val="0078154E"/>
    <w:rsid w:val="00781584"/>
    <w:rsid w:val="00781FB2"/>
    <w:rsid w:val="00782097"/>
    <w:rsid w:val="007824E9"/>
    <w:rsid w:val="007826BF"/>
    <w:rsid w:val="00782B49"/>
    <w:rsid w:val="00783014"/>
    <w:rsid w:val="0078336B"/>
    <w:rsid w:val="007833EE"/>
    <w:rsid w:val="00783BE1"/>
    <w:rsid w:val="00783D98"/>
    <w:rsid w:val="00784A11"/>
    <w:rsid w:val="00784BAB"/>
    <w:rsid w:val="0078555C"/>
    <w:rsid w:val="0078566D"/>
    <w:rsid w:val="00785A32"/>
    <w:rsid w:val="00786403"/>
    <w:rsid w:val="00786483"/>
    <w:rsid w:val="0078692C"/>
    <w:rsid w:val="00786BAF"/>
    <w:rsid w:val="00786BF9"/>
    <w:rsid w:val="007875EC"/>
    <w:rsid w:val="00787741"/>
    <w:rsid w:val="007879D7"/>
    <w:rsid w:val="00787F27"/>
    <w:rsid w:val="007901FA"/>
    <w:rsid w:val="0079029D"/>
    <w:rsid w:val="007908DD"/>
    <w:rsid w:val="00790D14"/>
    <w:rsid w:val="007911C4"/>
    <w:rsid w:val="007915AC"/>
    <w:rsid w:val="007915C6"/>
    <w:rsid w:val="00792110"/>
    <w:rsid w:val="00792690"/>
    <w:rsid w:val="007927C6"/>
    <w:rsid w:val="00792A93"/>
    <w:rsid w:val="00792C89"/>
    <w:rsid w:val="0079328C"/>
    <w:rsid w:val="00793366"/>
    <w:rsid w:val="007937CD"/>
    <w:rsid w:val="00793D10"/>
    <w:rsid w:val="007942B2"/>
    <w:rsid w:val="00794619"/>
    <w:rsid w:val="00794926"/>
    <w:rsid w:val="00794BFB"/>
    <w:rsid w:val="00794C67"/>
    <w:rsid w:val="0079567B"/>
    <w:rsid w:val="0079573F"/>
    <w:rsid w:val="00795BFE"/>
    <w:rsid w:val="00796735"/>
    <w:rsid w:val="0079676A"/>
    <w:rsid w:val="007969B9"/>
    <w:rsid w:val="0079745E"/>
    <w:rsid w:val="00797AFD"/>
    <w:rsid w:val="007A0478"/>
    <w:rsid w:val="007A077B"/>
    <w:rsid w:val="007A1E7E"/>
    <w:rsid w:val="007A23ED"/>
    <w:rsid w:val="007A295B"/>
    <w:rsid w:val="007A3FC7"/>
    <w:rsid w:val="007A40B0"/>
    <w:rsid w:val="007A42B3"/>
    <w:rsid w:val="007A4C4E"/>
    <w:rsid w:val="007A52DA"/>
    <w:rsid w:val="007A58BC"/>
    <w:rsid w:val="007A5F44"/>
    <w:rsid w:val="007A6123"/>
    <w:rsid w:val="007A6556"/>
    <w:rsid w:val="007A67CF"/>
    <w:rsid w:val="007A67F7"/>
    <w:rsid w:val="007A689E"/>
    <w:rsid w:val="007A7B21"/>
    <w:rsid w:val="007A7DFA"/>
    <w:rsid w:val="007B0905"/>
    <w:rsid w:val="007B0F81"/>
    <w:rsid w:val="007B14B9"/>
    <w:rsid w:val="007B14BB"/>
    <w:rsid w:val="007B2147"/>
    <w:rsid w:val="007B235C"/>
    <w:rsid w:val="007B239C"/>
    <w:rsid w:val="007B2560"/>
    <w:rsid w:val="007B25B9"/>
    <w:rsid w:val="007B2675"/>
    <w:rsid w:val="007B28BD"/>
    <w:rsid w:val="007B28D1"/>
    <w:rsid w:val="007B2955"/>
    <w:rsid w:val="007B2BE7"/>
    <w:rsid w:val="007B2E74"/>
    <w:rsid w:val="007B38DC"/>
    <w:rsid w:val="007B42AF"/>
    <w:rsid w:val="007B436D"/>
    <w:rsid w:val="007B47C3"/>
    <w:rsid w:val="007B4B47"/>
    <w:rsid w:val="007B4BEF"/>
    <w:rsid w:val="007B553F"/>
    <w:rsid w:val="007B579F"/>
    <w:rsid w:val="007B77D3"/>
    <w:rsid w:val="007B7D12"/>
    <w:rsid w:val="007C020B"/>
    <w:rsid w:val="007C062C"/>
    <w:rsid w:val="007C06F9"/>
    <w:rsid w:val="007C070E"/>
    <w:rsid w:val="007C0A0A"/>
    <w:rsid w:val="007C0BFB"/>
    <w:rsid w:val="007C1385"/>
    <w:rsid w:val="007C1FA6"/>
    <w:rsid w:val="007C2632"/>
    <w:rsid w:val="007C2867"/>
    <w:rsid w:val="007C2A9B"/>
    <w:rsid w:val="007C2B29"/>
    <w:rsid w:val="007C2D95"/>
    <w:rsid w:val="007C2F92"/>
    <w:rsid w:val="007C3176"/>
    <w:rsid w:val="007C3528"/>
    <w:rsid w:val="007C53DD"/>
    <w:rsid w:val="007C58B8"/>
    <w:rsid w:val="007C59A8"/>
    <w:rsid w:val="007C5AAB"/>
    <w:rsid w:val="007C6E44"/>
    <w:rsid w:val="007C72CC"/>
    <w:rsid w:val="007D063A"/>
    <w:rsid w:val="007D08DF"/>
    <w:rsid w:val="007D0C78"/>
    <w:rsid w:val="007D0EBD"/>
    <w:rsid w:val="007D1631"/>
    <w:rsid w:val="007D1650"/>
    <w:rsid w:val="007D1EDF"/>
    <w:rsid w:val="007D2266"/>
    <w:rsid w:val="007D2E6B"/>
    <w:rsid w:val="007D359E"/>
    <w:rsid w:val="007D3F23"/>
    <w:rsid w:val="007D4331"/>
    <w:rsid w:val="007D48F3"/>
    <w:rsid w:val="007D48F5"/>
    <w:rsid w:val="007D4E3E"/>
    <w:rsid w:val="007D4FE7"/>
    <w:rsid w:val="007D5967"/>
    <w:rsid w:val="007D5DCB"/>
    <w:rsid w:val="007D620B"/>
    <w:rsid w:val="007D654F"/>
    <w:rsid w:val="007D668B"/>
    <w:rsid w:val="007D6AED"/>
    <w:rsid w:val="007D6BB5"/>
    <w:rsid w:val="007D70B3"/>
    <w:rsid w:val="007D75EC"/>
    <w:rsid w:val="007D798A"/>
    <w:rsid w:val="007D7D65"/>
    <w:rsid w:val="007E00FE"/>
    <w:rsid w:val="007E056C"/>
    <w:rsid w:val="007E0692"/>
    <w:rsid w:val="007E0922"/>
    <w:rsid w:val="007E151D"/>
    <w:rsid w:val="007E1EB6"/>
    <w:rsid w:val="007E2FE4"/>
    <w:rsid w:val="007E3000"/>
    <w:rsid w:val="007E33FF"/>
    <w:rsid w:val="007E3535"/>
    <w:rsid w:val="007E3687"/>
    <w:rsid w:val="007E3B79"/>
    <w:rsid w:val="007E3C24"/>
    <w:rsid w:val="007E3E67"/>
    <w:rsid w:val="007E4529"/>
    <w:rsid w:val="007E46C4"/>
    <w:rsid w:val="007E4B19"/>
    <w:rsid w:val="007E6163"/>
    <w:rsid w:val="007E62A0"/>
    <w:rsid w:val="007E747F"/>
    <w:rsid w:val="007E7881"/>
    <w:rsid w:val="007F0B40"/>
    <w:rsid w:val="007F100D"/>
    <w:rsid w:val="007F132B"/>
    <w:rsid w:val="007F1865"/>
    <w:rsid w:val="007F1AB1"/>
    <w:rsid w:val="007F2403"/>
    <w:rsid w:val="007F2D21"/>
    <w:rsid w:val="007F30BD"/>
    <w:rsid w:val="007F31A3"/>
    <w:rsid w:val="007F31C9"/>
    <w:rsid w:val="007F39EB"/>
    <w:rsid w:val="007F47AC"/>
    <w:rsid w:val="007F4A45"/>
    <w:rsid w:val="007F4D03"/>
    <w:rsid w:val="007F4D26"/>
    <w:rsid w:val="007F4EF4"/>
    <w:rsid w:val="007F545B"/>
    <w:rsid w:val="007F5B00"/>
    <w:rsid w:val="007F5B11"/>
    <w:rsid w:val="007F5E10"/>
    <w:rsid w:val="007F5F25"/>
    <w:rsid w:val="007F670C"/>
    <w:rsid w:val="007F6F6E"/>
    <w:rsid w:val="007F7586"/>
    <w:rsid w:val="007F7FB6"/>
    <w:rsid w:val="00800092"/>
    <w:rsid w:val="00800CE3"/>
    <w:rsid w:val="00800DC8"/>
    <w:rsid w:val="0080129D"/>
    <w:rsid w:val="00801347"/>
    <w:rsid w:val="008013B4"/>
    <w:rsid w:val="00801944"/>
    <w:rsid w:val="00801E8D"/>
    <w:rsid w:val="00802324"/>
    <w:rsid w:val="0080236A"/>
    <w:rsid w:val="00802445"/>
    <w:rsid w:val="00802E0D"/>
    <w:rsid w:val="0080328D"/>
    <w:rsid w:val="00803720"/>
    <w:rsid w:val="00803B6B"/>
    <w:rsid w:val="00804328"/>
    <w:rsid w:val="008047B5"/>
    <w:rsid w:val="00805102"/>
    <w:rsid w:val="0080577C"/>
    <w:rsid w:val="00805C9F"/>
    <w:rsid w:val="00806473"/>
    <w:rsid w:val="008065AD"/>
    <w:rsid w:val="00807B53"/>
    <w:rsid w:val="00807E32"/>
    <w:rsid w:val="00807FDB"/>
    <w:rsid w:val="0081017F"/>
    <w:rsid w:val="008104F0"/>
    <w:rsid w:val="00810F77"/>
    <w:rsid w:val="008112E8"/>
    <w:rsid w:val="00811D23"/>
    <w:rsid w:val="00811FC2"/>
    <w:rsid w:val="008123E2"/>
    <w:rsid w:val="0081267B"/>
    <w:rsid w:val="00813077"/>
    <w:rsid w:val="0081316D"/>
    <w:rsid w:val="00813310"/>
    <w:rsid w:val="0081412D"/>
    <w:rsid w:val="00814275"/>
    <w:rsid w:val="00814281"/>
    <w:rsid w:val="0081448D"/>
    <w:rsid w:val="008150D9"/>
    <w:rsid w:val="008153AC"/>
    <w:rsid w:val="008154B9"/>
    <w:rsid w:val="00815EB8"/>
    <w:rsid w:val="00815EE8"/>
    <w:rsid w:val="00815FB7"/>
    <w:rsid w:val="0081675A"/>
    <w:rsid w:val="00816E22"/>
    <w:rsid w:val="0081712E"/>
    <w:rsid w:val="00817FA2"/>
    <w:rsid w:val="008208DC"/>
    <w:rsid w:val="00821719"/>
    <w:rsid w:val="00821BB2"/>
    <w:rsid w:val="00821D9C"/>
    <w:rsid w:val="00821DBF"/>
    <w:rsid w:val="0082222D"/>
    <w:rsid w:val="00822294"/>
    <w:rsid w:val="008225F2"/>
    <w:rsid w:val="00822A8F"/>
    <w:rsid w:val="00822C00"/>
    <w:rsid w:val="00822FF3"/>
    <w:rsid w:val="00823E42"/>
    <w:rsid w:val="008244AC"/>
    <w:rsid w:val="00824B11"/>
    <w:rsid w:val="0082628A"/>
    <w:rsid w:val="008263C1"/>
    <w:rsid w:val="008265A5"/>
    <w:rsid w:val="00826C69"/>
    <w:rsid w:val="00826E78"/>
    <w:rsid w:val="00827B73"/>
    <w:rsid w:val="008303A5"/>
    <w:rsid w:val="008307E5"/>
    <w:rsid w:val="00831350"/>
    <w:rsid w:val="00831620"/>
    <w:rsid w:val="008317F6"/>
    <w:rsid w:val="00832272"/>
    <w:rsid w:val="0083269B"/>
    <w:rsid w:val="0083312A"/>
    <w:rsid w:val="008332F7"/>
    <w:rsid w:val="008334D5"/>
    <w:rsid w:val="00833D3A"/>
    <w:rsid w:val="008341B7"/>
    <w:rsid w:val="00834327"/>
    <w:rsid w:val="0083461F"/>
    <w:rsid w:val="0083472E"/>
    <w:rsid w:val="00834AC0"/>
    <w:rsid w:val="00834E27"/>
    <w:rsid w:val="00834F83"/>
    <w:rsid w:val="00835ACF"/>
    <w:rsid w:val="008367F4"/>
    <w:rsid w:val="00836D11"/>
    <w:rsid w:val="00836F21"/>
    <w:rsid w:val="00836FB8"/>
    <w:rsid w:val="00837073"/>
    <w:rsid w:val="00837107"/>
    <w:rsid w:val="00837279"/>
    <w:rsid w:val="00837843"/>
    <w:rsid w:val="0083798E"/>
    <w:rsid w:val="00837D9F"/>
    <w:rsid w:val="00837DCD"/>
    <w:rsid w:val="00837FB9"/>
    <w:rsid w:val="00840737"/>
    <w:rsid w:val="00840F9C"/>
    <w:rsid w:val="00841060"/>
    <w:rsid w:val="008410FF"/>
    <w:rsid w:val="00841AC1"/>
    <w:rsid w:val="008430B3"/>
    <w:rsid w:val="008443D8"/>
    <w:rsid w:val="0084496D"/>
    <w:rsid w:val="00844D1F"/>
    <w:rsid w:val="00845ADE"/>
    <w:rsid w:val="00845DA7"/>
    <w:rsid w:val="00845EC7"/>
    <w:rsid w:val="00846190"/>
    <w:rsid w:val="008468BD"/>
    <w:rsid w:val="008476A9"/>
    <w:rsid w:val="00847B3D"/>
    <w:rsid w:val="00850769"/>
    <w:rsid w:val="00850C08"/>
    <w:rsid w:val="00851077"/>
    <w:rsid w:val="008510C7"/>
    <w:rsid w:val="008515AF"/>
    <w:rsid w:val="00851604"/>
    <w:rsid w:val="00851614"/>
    <w:rsid w:val="0085162F"/>
    <w:rsid w:val="00851777"/>
    <w:rsid w:val="00851A4F"/>
    <w:rsid w:val="0085206A"/>
    <w:rsid w:val="0085210A"/>
    <w:rsid w:val="008526C5"/>
    <w:rsid w:val="00852A4D"/>
    <w:rsid w:val="00852BFA"/>
    <w:rsid w:val="00853A7A"/>
    <w:rsid w:val="00853A87"/>
    <w:rsid w:val="008544D9"/>
    <w:rsid w:val="008554FE"/>
    <w:rsid w:val="008565D9"/>
    <w:rsid w:val="00856AA6"/>
    <w:rsid w:val="00857020"/>
    <w:rsid w:val="008573C5"/>
    <w:rsid w:val="00857737"/>
    <w:rsid w:val="008579F7"/>
    <w:rsid w:val="008607EC"/>
    <w:rsid w:val="008609EC"/>
    <w:rsid w:val="008614CA"/>
    <w:rsid w:val="008624B2"/>
    <w:rsid w:val="008631F6"/>
    <w:rsid w:val="00863579"/>
    <w:rsid w:val="0086367B"/>
    <w:rsid w:val="00863F43"/>
    <w:rsid w:val="008642EA"/>
    <w:rsid w:val="00864955"/>
    <w:rsid w:val="00864CFD"/>
    <w:rsid w:val="00864DAD"/>
    <w:rsid w:val="008652ED"/>
    <w:rsid w:val="0086543D"/>
    <w:rsid w:val="008660DE"/>
    <w:rsid w:val="00866131"/>
    <w:rsid w:val="0086637F"/>
    <w:rsid w:val="008666CB"/>
    <w:rsid w:val="00866AD8"/>
    <w:rsid w:val="00866CB1"/>
    <w:rsid w:val="0086703D"/>
    <w:rsid w:val="00867569"/>
    <w:rsid w:val="00867D9D"/>
    <w:rsid w:val="00867E6F"/>
    <w:rsid w:val="008703C1"/>
    <w:rsid w:val="00870924"/>
    <w:rsid w:val="008717E1"/>
    <w:rsid w:val="00871A1D"/>
    <w:rsid w:val="00871ECD"/>
    <w:rsid w:val="00871F75"/>
    <w:rsid w:val="008720FE"/>
    <w:rsid w:val="00872272"/>
    <w:rsid w:val="00872678"/>
    <w:rsid w:val="00872857"/>
    <w:rsid w:val="008732C2"/>
    <w:rsid w:val="00873440"/>
    <w:rsid w:val="00873895"/>
    <w:rsid w:val="00873B71"/>
    <w:rsid w:val="00873FCB"/>
    <w:rsid w:val="00874BBC"/>
    <w:rsid w:val="008758B6"/>
    <w:rsid w:val="00875901"/>
    <w:rsid w:val="008769EC"/>
    <w:rsid w:val="00876BEF"/>
    <w:rsid w:val="008778B5"/>
    <w:rsid w:val="00877A58"/>
    <w:rsid w:val="00877B06"/>
    <w:rsid w:val="008805D1"/>
    <w:rsid w:val="00880E67"/>
    <w:rsid w:val="0088100D"/>
    <w:rsid w:val="00881099"/>
    <w:rsid w:val="00881457"/>
    <w:rsid w:val="0088215C"/>
    <w:rsid w:val="00882218"/>
    <w:rsid w:val="00882A63"/>
    <w:rsid w:val="00882F9C"/>
    <w:rsid w:val="00883750"/>
    <w:rsid w:val="00883B54"/>
    <w:rsid w:val="00883BD4"/>
    <w:rsid w:val="00883EAD"/>
    <w:rsid w:val="008842A4"/>
    <w:rsid w:val="0088438C"/>
    <w:rsid w:val="00884484"/>
    <w:rsid w:val="00885128"/>
    <w:rsid w:val="00885157"/>
    <w:rsid w:val="0088557D"/>
    <w:rsid w:val="00885A12"/>
    <w:rsid w:val="00885B06"/>
    <w:rsid w:val="00885C2D"/>
    <w:rsid w:val="008861A8"/>
    <w:rsid w:val="0088647D"/>
    <w:rsid w:val="00886480"/>
    <w:rsid w:val="00887EE5"/>
    <w:rsid w:val="00890A11"/>
    <w:rsid w:val="00890D31"/>
    <w:rsid w:val="0089150B"/>
    <w:rsid w:val="00891787"/>
    <w:rsid w:val="0089221A"/>
    <w:rsid w:val="008928A3"/>
    <w:rsid w:val="00892AC3"/>
    <w:rsid w:val="00892B6E"/>
    <w:rsid w:val="00893E58"/>
    <w:rsid w:val="00894493"/>
    <w:rsid w:val="00894D1A"/>
    <w:rsid w:val="008952FC"/>
    <w:rsid w:val="008954A8"/>
    <w:rsid w:val="0089564F"/>
    <w:rsid w:val="008957BE"/>
    <w:rsid w:val="0089583B"/>
    <w:rsid w:val="00895BB1"/>
    <w:rsid w:val="00895CF3"/>
    <w:rsid w:val="00896046"/>
    <w:rsid w:val="00896CAB"/>
    <w:rsid w:val="00896DCE"/>
    <w:rsid w:val="00896F36"/>
    <w:rsid w:val="00897F0C"/>
    <w:rsid w:val="008A055C"/>
    <w:rsid w:val="008A06E6"/>
    <w:rsid w:val="008A079E"/>
    <w:rsid w:val="008A099C"/>
    <w:rsid w:val="008A0FBE"/>
    <w:rsid w:val="008A1404"/>
    <w:rsid w:val="008A19E2"/>
    <w:rsid w:val="008A1AD8"/>
    <w:rsid w:val="008A1CFD"/>
    <w:rsid w:val="008A2711"/>
    <w:rsid w:val="008A27A9"/>
    <w:rsid w:val="008A2961"/>
    <w:rsid w:val="008A32B4"/>
    <w:rsid w:val="008A3434"/>
    <w:rsid w:val="008A3F61"/>
    <w:rsid w:val="008A4062"/>
    <w:rsid w:val="008A42E7"/>
    <w:rsid w:val="008A43CD"/>
    <w:rsid w:val="008A4693"/>
    <w:rsid w:val="008A4F88"/>
    <w:rsid w:val="008A5B8D"/>
    <w:rsid w:val="008A5FC2"/>
    <w:rsid w:val="008A6098"/>
    <w:rsid w:val="008A65A2"/>
    <w:rsid w:val="008A66C7"/>
    <w:rsid w:val="008A6879"/>
    <w:rsid w:val="008A6A3A"/>
    <w:rsid w:val="008A6C31"/>
    <w:rsid w:val="008A72A3"/>
    <w:rsid w:val="008A73FD"/>
    <w:rsid w:val="008A791C"/>
    <w:rsid w:val="008A7CF2"/>
    <w:rsid w:val="008A7E6F"/>
    <w:rsid w:val="008B0B9A"/>
    <w:rsid w:val="008B0F53"/>
    <w:rsid w:val="008B0F7D"/>
    <w:rsid w:val="008B121F"/>
    <w:rsid w:val="008B3200"/>
    <w:rsid w:val="008B3BFA"/>
    <w:rsid w:val="008B3EBE"/>
    <w:rsid w:val="008B414B"/>
    <w:rsid w:val="008B427C"/>
    <w:rsid w:val="008B4577"/>
    <w:rsid w:val="008B47E1"/>
    <w:rsid w:val="008B4B1E"/>
    <w:rsid w:val="008B4C40"/>
    <w:rsid w:val="008B4D53"/>
    <w:rsid w:val="008B52A1"/>
    <w:rsid w:val="008B55D1"/>
    <w:rsid w:val="008B55DB"/>
    <w:rsid w:val="008B61DF"/>
    <w:rsid w:val="008B68A0"/>
    <w:rsid w:val="008B691D"/>
    <w:rsid w:val="008B6A31"/>
    <w:rsid w:val="008B6F53"/>
    <w:rsid w:val="008B7030"/>
    <w:rsid w:val="008B7A9C"/>
    <w:rsid w:val="008B7D25"/>
    <w:rsid w:val="008C05B2"/>
    <w:rsid w:val="008C06E0"/>
    <w:rsid w:val="008C0944"/>
    <w:rsid w:val="008C1131"/>
    <w:rsid w:val="008C11DB"/>
    <w:rsid w:val="008C2155"/>
    <w:rsid w:val="008C2580"/>
    <w:rsid w:val="008C2CFB"/>
    <w:rsid w:val="008C3954"/>
    <w:rsid w:val="008C3B21"/>
    <w:rsid w:val="008C3B2C"/>
    <w:rsid w:val="008C4A5A"/>
    <w:rsid w:val="008C50A4"/>
    <w:rsid w:val="008C5725"/>
    <w:rsid w:val="008C6A2A"/>
    <w:rsid w:val="008C754E"/>
    <w:rsid w:val="008C77B9"/>
    <w:rsid w:val="008C78A0"/>
    <w:rsid w:val="008C7B7A"/>
    <w:rsid w:val="008C7EA1"/>
    <w:rsid w:val="008D0284"/>
    <w:rsid w:val="008D0345"/>
    <w:rsid w:val="008D0C7F"/>
    <w:rsid w:val="008D131B"/>
    <w:rsid w:val="008D196C"/>
    <w:rsid w:val="008D2786"/>
    <w:rsid w:val="008D27B1"/>
    <w:rsid w:val="008D2A50"/>
    <w:rsid w:val="008D2DE6"/>
    <w:rsid w:val="008D3D99"/>
    <w:rsid w:val="008D3F64"/>
    <w:rsid w:val="008D4220"/>
    <w:rsid w:val="008D4878"/>
    <w:rsid w:val="008D49F9"/>
    <w:rsid w:val="008D4A33"/>
    <w:rsid w:val="008D4A50"/>
    <w:rsid w:val="008D4CF3"/>
    <w:rsid w:val="008D4E87"/>
    <w:rsid w:val="008D51C5"/>
    <w:rsid w:val="008D5802"/>
    <w:rsid w:val="008D5CC3"/>
    <w:rsid w:val="008D64B0"/>
    <w:rsid w:val="008D6BD9"/>
    <w:rsid w:val="008D6D94"/>
    <w:rsid w:val="008D7032"/>
    <w:rsid w:val="008D75F9"/>
    <w:rsid w:val="008E0D2D"/>
    <w:rsid w:val="008E0D58"/>
    <w:rsid w:val="008E1007"/>
    <w:rsid w:val="008E11F5"/>
    <w:rsid w:val="008E154A"/>
    <w:rsid w:val="008E16DA"/>
    <w:rsid w:val="008E1ADB"/>
    <w:rsid w:val="008E2138"/>
    <w:rsid w:val="008E234B"/>
    <w:rsid w:val="008E3DAC"/>
    <w:rsid w:val="008E3E2F"/>
    <w:rsid w:val="008E4A7D"/>
    <w:rsid w:val="008E4A9B"/>
    <w:rsid w:val="008E4C12"/>
    <w:rsid w:val="008E55E4"/>
    <w:rsid w:val="008E5995"/>
    <w:rsid w:val="008E5BB9"/>
    <w:rsid w:val="008E5E4B"/>
    <w:rsid w:val="008E62A1"/>
    <w:rsid w:val="008E6B0D"/>
    <w:rsid w:val="008E7465"/>
    <w:rsid w:val="008E7ED9"/>
    <w:rsid w:val="008F024A"/>
    <w:rsid w:val="008F025D"/>
    <w:rsid w:val="008F0365"/>
    <w:rsid w:val="008F07DF"/>
    <w:rsid w:val="008F0852"/>
    <w:rsid w:val="008F0FD9"/>
    <w:rsid w:val="008F159C"/>
    <w:rsid w:val="008F16B6"/>
    <w:rsid w:val="008F181D"/>
    <w:rsid w:val="008F1B78"/>
    <w:rsid w:val="008F223E"/>
    <w:rsid w:val="008F25B5"/>
    <w:rsid w:val="008F2BAB"/>
    <w:rsid w:val="008F2DEF"/>
    <w:rsid w:val="008F3AF1"/>
    <w:rsid w:val="008F4098"/>
    <w:rsid w:val="008F410E"/>
    <w:rsid w:val="008F4865"/>
    <w:rsid w:val="008F4ADD"/>
    <w:rsid w:val="008F4F8E"/>
    <w:rsid w:val="008F506B"/>
    <w:rsid w:val="008F539A"/>
    <w:rsid w:val="008F5FE0"/>
    <w:rsid w:val="008F6587"/>
    <w:rsid w:val="008F7205"/>
    <w:rsid w:val="008F7378"/>
    <w:rsid w:val="008F771C"/>
    <w:rsid w:val="008F798C"/>
    <w:rsid w:val="008F79D1"/>
    <w:rsid w:val="008F7B64"/>
    <w:rsid w:val="008F7C0A"/>
    <w:rsid w:val="008F7C88"/>
    <w:rsid w:val="008F7CD9"/>
    <w:rsid w:val="00900CD4"/>
    <w:rsid w:val="009011AA"/>
    <w:rsid w:val="00902169"/>
    <w:rsid w:val="00902DFD"/>
    <w:rsid w:val="009036A3"/>
    <w:rsid w:val="00903701"/>
    <w:rsid w:val="00904C43"/>
    <w:rsid w:val="00904F64"/>
    <w:rsid w:val="0090509B"/>
    <w:rsid w:val="00906D67"/>
    <w:rsid w:val="00906F19"/>
    <w:rsid w:val="00906FE8"/>
    <w:rsid w:val="00907416"/>
    <w:rsid w:val="00907C2C"/>
    <w:rsid w:val="00907DB8"/>
    <w:rsid w:val="00907ED7"/>
    <w:rsid w:val="009103A4"/>
    <w:rsid w:val="00910674"/>
    <w:rsid w:val="009106B8"/>
    <w:rsid w:val="009108D8"/>
    <w:rsid w:val="00910B80"/>
    <w:rsid w:val="00910BF5"/>
    <w:rsid w:val="00910CE4"/>
    <w:rsid w:val="009116EC"/>
    <w:rsid w:val="00911980"/>
    <w:rsid w:val="00911CCA"/>
    <w:rsid w:val="009123A6"/>
    <w:rsid w:val="0091278C"/>
    <w:rsid w:val="00913072"/>
    <w:rsid w:val="0091314E"/>
    <w:rsid w:val="00913370"/>
    <w:rsid w:val="00914486"/>
    <w:rsid w:val="0091498E"/>
    <w:rsid w:val="00914FE9"/>
    <w:rsid w:val="009151C3"/>
    <w:rsid w:val="009166A7"/>
    <w:rsid w:val="00916C30"/>
    <w:rsid w:val="00917B6E"/>
    <w:rsid w:val="00917EFB"/>
    <w:rsid w:val="0092002B"/>
    <w:rsid w:val="00920A07"/>
    <w:rsid w:val="00920C89"/>
    <w:rsid w:val="00920EE6"/>
    <w:rsid w:val="0092164D"/>
    <w:rsid w:val="00921F6F"/>
    <w:rsid w:val="0092211A"/>
    <w:rsid w:val="00922523"/>
    <w:rsid w:val="00922572"/>
    <w:rsid w:val="009232C1"/>
    <w:rsid w:val="009235E5"/>
    <w:rsid w:val="009236BC"/>
    <w:rsid w:val="00923952"/>
    <w:rsid w:val="00923F32"/>
    <w:rsid w:val="00925F9A"/>
    <w:rsid w:val="00926350"/>
    <w:rsid w:val="009268D4"/>
    <w:rsid w:val="009268EB"/>
    <w:rsid w:val="009271E9"/>
    <w:rsid w:val="0092787F"/>
    <w:rsid w:val="0092796A"/>
    <w:rsid w:val="00927BC8"/>
    <w:rsid w:val="00927D6A"/>
    <w:rsid w:val="00927E5E"/>
    <w:rsid w:val="00931396"/>
    <w:rsid w:val="00932050"/>
    <w:rsid w:val="009325AB"/>
    <w:rsid w:val="009326D5"/>
    <w:rsid w:val="00933450"/>
    <w:rsid w:val="009334BE"/>
    <w:rsid w:val="00933707"/>
    <w:rsid w:val="009338A8"/>
    <w:rsid w:val="00933D00"/>
    <w:rsid w:val="00933ECC"/>
    <w:rsid w:val="009341FB"/>
    <w:rsid w:val="00934FB6"/>
    <w:rsid w:val="009352A9"/>
    <w:rsid w:val="009359D3"/>
    <w:rsid w:val="00936DE7"/>
    <w:rsid w:val="00936EF0"/>
    <w:rsid w:val="009370B3"/>
    <w:rsid w:val="009372B5"/>
    <w:rsid w:val="0093776D"/>
    <w:rsid w:val="00937AB2"/>
    <w:rsid w:val="00937C23"/>
    <w:rsid w:val="00937D4E"/>
    <w:rsid w:val="009400D0"/>
    <w:rsid w:val="00940368"/>
    <w:rsid w:val="0094050D"/>
    <w:rsid w:val="00940C98"/>
    <w:rsid w:val="009415E3"/>
    <w:rsid w:val="00941F67"/>
    <w:rsid w:val="00941FEA"/>
    <w:rsid w:val="00942148"/>
    <w:rsid w:val="00942408"/>
    <w:rsid w:val="00942664"/>
    <w:rsid w:val="009431DE"/>
    <w:rsid w:val="0094391B"/>
    <w:rsid w:val="00944024"/>
    <w:rsid w:val="00944279"/>
    <w:rsid w:val="00944F7D"/>
    <w:rsid w:val="009453FA"/>
    <w:rsid w:val="009467B2"/>
    <w:rsid w:val="00947414"/>
    <w:rsid w:val="00947453"/>
    <w:rsid w:val="0094749A"/>
    <w:rsid w:val="00947B88"/>
    <w:rsid w:val="00950D36"/>
    <w:rsid w:val="00951EC8"/>
    <w:rsid w:val="00951ECA"/>
    <w:rsid w:val="009521EF"/>
    <w:rsid w:val="009521F9"/>
    <w:rsid w:val="00952494"/>
    <w:rsid w:val="009524B5"/>
    <w:rsid w:val="00952932"/>
    <w:rsid w:val="009529D7"/>
    <w:rsid w:val="00952EC1"/>
    <w:rsid w:val="00953762"/>
    <w:rsid w:val="00953E4D"/>
    <w:rsid w:val="00954045"/>
    <w:rsid w:val="00954180"/>
    <w:rsid w:val="009541F5"/>
    <w:rsid w:val="0095518D"/>
    <w:rsid w:val="009566A0"/>
    <w:rsid w:val="00956703"/>
    <w:rsid w:val="009567E0"/>
    <w:rsid w:val="00956C4F"/>
    <w:rsid w:val="00957043"/>
    <w:rsid w:val="009572C6"/>
    <w:rsid w:val="00957534"/>
    <w:rsid w:val="00957FA2"/>
    <w:rsid w:val="0096020F"/>
    <w:rsid w:val="009603A3"/>
    <w:rsid w:val="009606A4"/>
    <w:rsid w:val="009606AB"/>
    <w:rsid w:val="00960974"/>
    <w:rsid w:val="00960AB7"/>
    <w:rsid w:val="00960C7E"/>
    <w:rsid w:val="00961123"/>
    <w:rsid w:val="00961339"/>
    <w:rsid w:val="00961D48"/>
    <w:rsid w:val="00962004"/>
    <w:rsid w:val="00962428"/>
    <w:rsid w:val="0096333E"/>
    <w:rsid w:val="00963AD1"/>
    <w:rsid w:val="00963D61"/>
    <w:rsid w:val="00964367"/>
    <w:rsid w:val="00964D44"/>
    <w:rsid w:val="00964F8A"/>
    <w:rsid w:val="009658AF"/>
    <w:rsid w:val="00965981"/>
    <w:rsid w:val="00965B10"/>
    <w:rsid w:val="00965FDD"/>
    <w:rsid w:val="0096619F"/>
    <w:rsid w:val="00967411"/>
    <w:rsid w:val="0097013E"/>
    <w:rsid w:val="00970392"/>
    <w:rsid w:val="00970439"/>
    <w:rsid w:val="00970D44"/>
    <w:rsid w:val="0097147C"/>
    <w:rsid w:val="009715E1"/>
    <w:rsid w:val="00971B60"/>
    <w:rsid w:val="00971DF0"/>
    <w:rsid w:val="0097230A"/>
    <w:rsid w:val="00972F3F"/>
    <w:rsid w:val="0097333C"/>
    <w:rsid w:val="00973647"/>
    <w:rsid w:val="00973874"/>
    <w:rsid w:val="00973E16"/>
    <w:rsid w:val="00974580"/>
    <w:rsid w:val="009747CD"/>
    <w:rsid w:val="009748D0"/>
    <w:rsid w:val="00974E28"/>
    <w:rsid w:val="00974E4B"/>
    <w:rsid w:val="009753E3"/>
    <w:rsid w:val="009758F4"/>
    <w:rsid w:val="00975C58"/>
    <w:rsid w:val="00976539"/>
    <w:rsid w:val="00976EF4"/>
    <w:rsid w:val="00977B3A"/>
    <w:rsid w:val="00977B78"/>
    <w:rsid w:val="00977C64"/>
    <w:rsid w:val="00977D9A"/>
    <w:rsid w:val="009809C9"/>
    <w:rsid w:val="009813B5"/>
    <w:rsid w:val="00981600"/>
    <w:rsid w:val="00981712"/>
    <w:rsid w:val="0098282E"/>
    <w:rsid w:val="009831FD"/>
    <w:rsid w:val="00983387"/>
    <w:rsid w:val="00983873"/>
    <w:rsid w:val="00983F5C"/>
    <w:rsid w:val="00984663"/>
    <w:rsid w:val="00984D1F"/>
    <w:rsid w:val="00984F4E"/>
    <w:rsid w:val="00985050"/>
    <w:rsid w:val="009851C6"/>
    <w:rsid w:val="0098555F"/>
    <w:rsid w:val="0098575C"/>
    <w:rsid w:val="00985907"/>
    <w:rsid w:val="00985B75"/>
    <w:rsid w:val="00986279"/>
    <w:rsid w:val="00986B58"/>
    <w:rsid w:val="009875C9"/>
    <w:rsid w:val="00990172"/>
    <w:rsid w:val="00990374"/>
    <w:rsid w:val="009916A4"/>
    <w:rsid w:val="009919E0"/>
    <w:rsid w:val="00991EFB"/>
    <w:rsid w:val="009921AF"/>
    <w:rsid w:val="0099236E"/>
    <w:rsid w:val="00992AAE"/>
    <w:rsid w:val="00992C4C"/>
    <w:rsid w:val="00992C90"/>
    <w:rsid w:val="009937A6"/>
    <w:rsid w:val="0099464C"/>
    <w:rsid w:val="00994710"/>
    <w:rsid w:val="009954FE"/>
    <w:rsid w:val="009957EA"/>
    <w:rsid w:val="00995B68"/>
    <w:rsid w:val="00996064"/>
    <w:rsid w:val="009965C8"/>
    <w:rsid w:val="009A0C18"/>
    <w:rsid w:val="009A148D"/>
    <w:rsid w:val="009A2102"/>
    <w:rsid w:val="009A29BC"/>
    <w:rsid w:val="009A3833"/>
    <w:rsid w:val="009A430F"/>
    <w:rsid w:val="009A4D7B"/>
    <w:rsid w:val="009A511D"/>
    <w:rsid w:val="009A549D"/>
    <w:rsid w:val="009A5795"/>
    <w:rsid w:val="009A5B6B"/>
    <w:rsid w:val="009A64C5"/>
    <w:rsid w:val="009A6D19"/>
    <w:rsid w:val="009A72C7"/>
    <w:rsid w:val="009A7363"/>
    <w:rsid w:val="009A7C0D"/>
    <w:rsid w:val="009A7C7A"/>
    <w:rsid w:val="009A7CF1"/>
    <w:rsid w:val="009B0595"/>
    <w:rsid w:val="009B0A9A"/>
    <w:rsid w:val="009B0C4A"/>
    <w:rsid w:val="009B1B3B"/>
    <w:rsid w:val="009B21DC"/>
    <w:rsid w:val="009B243B"/>
    <w:rsid w:val="009B2F5E"/>
    <w:rsid w:val="009B32E9"/>
    <w:rsid w:val="009B36CB"/>
    <w:rsid w:val="009B38C9"/>
    <w:rsid w:val="009B3FA2"/>
    <w:rsid w:val="009B44B3"/>
    <w:rsid w:val="009B4D6B"/>
    <w:rsid w:val="009B4FFF"/>
    <w:rsid w:val="009B525D"/>
    <w:rsid w:val="009B5341"/>
    <w:rsid w:val="009B55ED"/>
    <w:rsid w:val="009B5A79"/>
    <w:rsid w:val="009B685A"/>
    <w:rsid w:val="009B756A"/>
    <w:rsid w:val="009B7DB6"/>
    <w:rsid w:val="009B7F92"/>
    <w:rsid w:val="009C035C"/>
    <w:rsid w:val="009C0840"/>
    <w:rsid w:val="009C0C49"/>
    <w:rsid w:val="009C0CC2"/>
    <w:rsid w:val="009C0CE0"/>
    <w:rsid w:val="009C0DAC"/>
    <w:rsid w:val="009C0EB7"/>
    <w:rsid w:val="009C1D43"/>
    <w:rsid w:val="009C1E31"/>
    <w:rsid w:val="009C212C"/>
    <w:rsid w:val="009C2521"/>
    <w:rsid w:val="009C34FB"/>
    <w:rsid w:val="009C34FF"/>
    <w:rsid w:val="009C3F00"/>
    <w:rsid w:val="009C46EB"/>
    <w:rsid w:val="009C48F0"/>
    <w:rsid w:val="009C4BA3"/>
    <w:rsid w:val="009C5075"/>
    <w:rsid w:val="009C5387"/>
    <w:rsid w:val="009C55A6"/>
    <w:rsid w:val="009C55D6"/>
    <w:rsid w:val="009C6AC5"/>
    <w:rsid w:val="009C7C4C"/>
    <w:rsid w:val="009C7D6D"/>
    <w:rsid w:val="009D0009"/>
    <w:rsid w:val="009D0DDA"/>
    <w:rsid w:val="009D19F9"/>
    <w:rsid w:val="009D1AE3"/>
    <w:rsid w:val="009D243A"/>
    <w:rsid w:val="009D24EE"/>
    <w:rsid w:val="009D253B"/>
    <w:rsid w:val="009D27B5"/>
    <w:rsid w:val="009D2899"/>
    <w:rsid w:val="009D2A66"/>
    <w:rsid w:val="009D2B03"/>
    <w:rsid w:val="009D36D5"/>
    <w:rsid w:val="009D39F8"/>
    <w:rsid w:val="009D3DBA"/>
    <w:rsid w:val="009D4630"/>
    <w:rsid w:val="009D4B0A"/>
    <w:rsid w:val="009D5222"/>
    <w:rsid w:val="009D54C9"/>
    <w:rsid w:val="009D60E9"/>
    <w:rsid w:val="009D631C"/>
    <w:rsid w:val="009D6507"/>
    <w:rsid w:val="009D6B64"/>
    <w:rsid w:val="009D7A4B"/>
    <w:rsid w:val="009D7C62"/>
    <w:rsid w:val="009E0329"/>
    <w:rsid w:val="009E0342"/>
    <w:rsid w:val="009E062B"/>
    <w:rsid w:val="009E0816"/>
    <w:rsid w:val="009E08F4"/>
    <w:rsid w:val="009E0979"/>
    <w:rsid w:val="009E106F"/>
    <w:rsid w:val="009E1930"/>
    <w:rsid w:val="009E1E28"/>
    <w:rsid w:val="009E2517"/>
    <w:rsid w:val="009E25B1"/>
    <w:rsid w:val="009E288C"/>
    <w:rsid w:val="009E2B1D"/>
    <w:rsid w:val="009E3661"/>
    <w:rsid w:val="009E3C72"/>
    <w:rsid w:val="009E3DB6"/>
    <w:rsid w:val="009E42BD"/>
    <w:rsid w:val="009E4393"/>
    <w:rsid w:val="009E4B62"/>
    <w:rsid w:val="009E50AA"/>
    <w:rsid w:val="009E543E"/>
    <w:rsid w:val="009E54C9"/>
    <w:rsid w:val="009E59C2"/>
    <w:rsid w:val="009E6319"/>
    <w:rsid w:val="009E6353"/>
    <w:rsid w:val="009E669D"/>
    <w:rsid w:val="009E67B2"/>
    <w:rsid w:val="009E6828"/>
    <w:rsid w:val="009E7175"/>
    <w:rsid w:val="009E755F"/>
    <w:rsid w:val="009E75A0"/>
    <w:rsid w:val="009E75AF"/>
    <w:rsid w:val="009E762D"/>
    <w:rsid w:val="009F0AC8"/>
    <w:rsid w:val="009F1834"/>
    <w:rsid w:val="009F1940"/>
    <w:rsid w:val="009F23DC"/>
    <w:rsid w:val="009F27DC"/>
    <w:rsid w:val="009F31B5"/>
    <w:rsid w:val="009F3581"/>
    <w:rsid w:val="009F36AD"/>
    <w:rsid w:val="009F3ED4"/>
    <w:rsid w:val="009F3F4C"/>
    <w:rsid w:val="009F40F8"/>
    <w:rsid w:val="009F461F"/>
    <w:rsid w:val="009F4B45"/>
    <w:rsid w:val="009F5CC2"/>
    <w:rsid w:val="009F5F5F"/>
    <w:rsid w:val="009F67CD"/>
    <w:rsid w:val="009F67FF"/>
    <w:rsid w:val="009F6C7E"/>
    <w:rsid w:val="009F6FF6"/>
    <w:rsid w:val="009F7167"/>
    <w:rsid w:val="009F786B"/>
    <w:rsid w:val="009F7C4C"/>
    <w:rsid w:val="009F7F08"/>
    <w:rsid w:val="00A003FE"/>
    <w:rsid w:val="00A00591"/>
    <w:rsid w:val="00A0106C"/>
    <w:rsid w:val="00A0147C"/>
    <w:rsid w:val="00A0232B"/>
    <w:rsid w:val="00A02615"/>
    <w:rsid w:val="00A02F18"/>
    <w:rsid w:val="00A037C0"/>
    <w:rsid w:val="00A03AC4"/>
    <w:rsid w:val="00A0407A"/>
    <w:rsid w:val="00A041BD"/>
    <w:rsid w:val="00A044F2"/>
    <w:rsid w:val="00A0505C"/>
    <w:rsid w:val="00A05292"/>
    <w:rsid w:val="00A0693E"/>
    <w:rsid w:val="00A07221"/>
    <w:rsid w:val="00A074B3"/>
    <w:rsid w:val="00A07958"/>
    <w:rsid w:val="00A07A3C"/>
    <w:rsid w:val="00A1089D"/>
    <w:rsid w:val="00A111FA"/>
    <w:rsid w:val="00A113D5"/>
    <w:rsid w:val="00A11BE3"/>
    <w:rsid w:val="00A11BFF"/>
    <w:rsid w:val="00A12298"/>
    <w:rsid w:val="00A1355B"/>
    <w:rsid w:val="00A13C60"/>
    <w:rsid w:val="00A13EF5"/>
    <w:rsid w:val="00A141EB"/>
    <w:rsid w:val="00A16AD3"/>
    <w:rsid w:val="00A16AFB"/>
    <w:rsid w:val="00A1719B"/>
    <w:rsid w:val="00A17741"/>
    <w:rsid w:val="00A179A8"/>
    <w:rsid w:val="00A17B7A"/>
    <w:rsid w:val="00A17BDB"/>
    <w:rsid w:val="00A2003A"/>
    <w:rsid w:val="00A2060A"/>
    <w:rsid w:val="00A209FC"/>
    <w:rsid w:val="00A20F15"/>
    <w:rsid w:val="00A20FC5"/>
    <w:rsid w:val="00A214E2"/>
    <w:rsid w:val="00A21891"/>
    <w:rsid w:val="00A21C5A"/>
    <w:rsid w:val="00A21F07"/>
    <w:rsid w:val="00A2245C"/>
    <w:rsid w:val="00A22934"/>
    <w:rsid w:val="00A22C49"/>
    <w:rsid w:val="00A22C5A"/>
    <w:rsid w:val="00A236CF"/>
    <w:rsid w:val="00A2372A"/>
    <w:rsid w:val="00A23884"/>
    <w:rsid w:val="00A23B96"/>
    <w:rsid w:val="00A24519"/>
    <w:rsid w:val="00A24663"/>
    <w:rsid w:val="00A24B54"/>
    <w:rsid w:val="00A26433"/>
    <w:rsid w:val="00A26524"/>
    <w:rsid w:val="00A26564"/>
    <w:rsid w:val="00A267BA"/>
    <w:rsid w:val="00A26973"/>
    <w:rsid w:val="00A275D4"/>
    <w:rsid w:val="00A278F9"/>
    <w:rsid w:val="00A279C3"/>
    <w:rsid w:val="00A30431"/>
    <w:rsid w:val="00A3062D"/>
    <w:rsid w:val="00A30C28"/>
    <w:rsid w:val="00A315DD"/>
    <w:rsid w:val="00A317B1"/>
    <w:rsid w:val="00A319EB"/>
    <w:rsid w:val="00A319F9"/>
    <w:rsid w:val="00A32CD0"/>
    <w:rsid w:val="00A32DE5"/>
    <w:rsid w:val="00A32EC1"/>
    <w:rsid w:val="00A33657"/>
    <w:rsid w:val="00A33C2F"/>
    <w:rsid w:val="00A33CB0"/>
    <w:rsid w:val="00A33FAD"/>
    <w:rsid w:val="00A348F5"/>
    <w:rsid w:val="00A34955"/>
    <w:rsid w:val="00A34F2A"/>
    <w:rsid w:val="00A35162"/>
    <w:rsid w:val="00A35272"/>
    <w:rsid w:val="00A35760"/>
    <w:rsid w:val="00A35D3B"/>
    <w:rsid w:val="00A36A2F"/>
    <w:rsid w:val="00A36A64"/>
    <w:rsid w:val="00A36C03"/>
    <w:rsid w:val="00A36EBC"/>
    <w:rsid w:val="00A3703D"/>
    <w:rsid w:val="00A372F7"/>
    <w:rsid w:val="00A3746E"/>
    <w:rsid w:val="00A378FB"/>
    <w:rsid w:val="00A37ED7"/>
    <w:rsid w:val="00A403C8"/>
    <w:rsid w:val="00A409E4"/>
    <w:rsid w:val="00A40E06"/>
    <w:rsid w:val="00A41C80"/>
    <w:rsid w:val="00A42681"/>
    <w:rsid w:val="00A42A3A"/>
    <w:rsid w:val="00A42F06"/>
    <w:rsid w:val="00A43784"/>
    <w:rsid w:val="00A44149"/>
    <w:rsid w:val="00A44937"/>
    <w:rsid w:val="00A44A3D"/>
    <w:rsid w:val="00A44E6C"/>
    <w:rsid w:val="00A44EBE"/>
    <w:rsid w:val="00A45462"/>
    <w:rsid w:val="00A45BB4"/>
    <w:rsid w:val="00A468E7"/>
    <w:rsid w:val="00A47398"/>
    <w:rsid w:val="00A474B0"/>
    <w:rsid w:val="00A475A3"/>
    <w:rsid w:val="00A4774A"/>
    <w:rsid w:val="00A47D42"/>
    <w:rsid w:val="00A501AB"/>
    <w:rsid w:val="00A50744"/>
    <w:rsid w:val="00A50955"/>
    <w:rsid w:val="00A50AAD"/>
    <w:rsid w:val="00A50BC9"/>
    <w:rsid w:val="00A50CE8"/>
    <w:rsid w:val="00A50E8C"/>
    <w:rsid w:val="00A51208"/>
    <w:rsid w:val="00A51AAA"/>
    <w:rsid w:val="00A51B48"/>
    <w:rsid w:val="00A51CA5"/>
    <w:rsid w:val="00A5248A"/>
    <w:rsid w:val="00A52B48"/>
    <w:rsid w:val="00A52F3D"/>
    <w:rsid w:val="00A538C0"/>
    <w:rsid w:val="00A548A2"/>
    <w:rsid w:val="00A54A07"/>
    <w:rsid w:val="00A54C2D"/>
    <w:rsid w:val="00A55DA1"/>
    <w:rsid w:val="00A561CC"/>
    <w:rsid w:val="00A561F4"/>
    <w:rsid w:val="00A5633F"/>
    <w:rsid w:val="00A56833"/>
    <w:rsid w:val="00A56FC4"/>
    <w:rsid w:val="00A6005F"/>
    <w:rsid w:val="00A61678"/>
    <w:rsid w:val="00A6171E"/>
    <w:rsid w:val="00A61B6A"/>
    <w:rsid w:val="00A620CE"/>
    <w:rsid w:val="00A62D91"/>
    <w:rsid w:val="00A6305A"/>
    <w:rsid w:val="00A635D7"/>
    <w:rsid w:val="00A63B8B"/>
    <w:rsid w:val="00A640FC"/>
    <w:rsid w:val="00A644CE"/>
    <w:rsid w:val="00A647F4"/>
    <w:rsid w:val="00A64CF6"/>
    <w:rsid w:val="00A65B81"/>
    <w:rsid w:val="00A65CFC"/>
    <w:rsid w:val="00A65F4D"/>
    <w:rsid w:val="00A660C8"/>
    <w:rsid w:val="00A66B7A"/>
    <w:rsid w:val="00A67819"/>
    <w:rsid w:val="00A707B9"/>
    <w:rsid w:val="00A708AE"/>
    <w:rsid w:val="00A70944"/>
    <w:rsid w:val="00A7097F"/>
    <w:rsid w:val="00A70FDF"/>
    <w:rsid w:val="00A71351"/>
    <w:rsid w:val="00A7192D"/>
    <w:rsid w:val="00A71BF4"/>
    <w:rsid w:val="00A71EA4"/>
    <w:rsid w:val="00A728CB"/>
    <w:rsid w:val="00A72F02"/>
    <w:rsid w:val="00A730D6"/>
    <w:rsid w:val="00A731BB"/>
    <w:rsid w:val="00A73370"/>
    <w:rsid w:val="00A746D2"/>
    <w:rsid w:val="00A75024"/>
    <w:rsid w:val="00A7507D"/>
    <w:rsid w:val="00A753F5"/>
    <w:rsid w:val="00A757D2"/>
    <w:rsid w:val="00A75BD1"/>
    <w:rsid w:val="00A75C7A"/>
    <w:rsid w:val="00A75F02"/>
    <w:rsid w:val="00A76530"/>
    <w:rsid w:val="00A76909"/>
    <w:rsid w:val="00A76A1F"/>
    <w:rsid w:val="00A76AB5"/>
    <w:rsid w:val="00A76F3A"/>
    <w:rsid w:val="00A777F2"/>
    <w:rsid w:val="00A77BDC"/>
    <w:rsid w:val="00A80278"/>
    <w:rsid w:val="00A80719"/>
    <w:rsid w:val="00A8147F"/>
    <w:rsid w:val="00A81ACA"/>
    <w:rsid w:val="00A82049"/>
    <w:rsid w:val="00A82CBB"/>
    <w:rsid w:val="00A8312B"/>
    <w:rsid w:val="00A831CF"/>
    <w:rsid w:val="00A836EF"/>
    <w:rsid w:val="00A83970"/>
    <w:rsid w:val="00A83A28"/>
    <w:rsid w:val="00A84011"/>
    <w:rsid w:val="00A8450A"/>
    <w:rsid w:val="00A84C11"/>
    <w:rsid w:val="00A84D7D"/>
    <w:rsid w:val="00A856F8"/>
    <w:rsid w:val="00A85A95"/>
    <w:rsid w:val="00A85DF3"/>
    <w:rsid w:val="00A86109"/>
    <w:rsid w:val="00A86603"/>
    <w:rsid w:val="00A86808"/>
    <w:rsid w:val="00A8690E"/>
    <w:rsid w:val="00A86F28"/>
    <w:rsid w:val="00A8714B"/>
    <w:rsid w:val="00A87471"/>
    <w:rsid w:val="00A8799A"/>
    <w:rsid w:val="00A87F8A"/>
    <w:rsid w:val="00A90318"/>
    <w:rsid w:val="00A90653"/>
    <w:rsid w:val="00A906EB"/>
    <w:rsid w:val="00A90DA7"/>
    <w:rsid w:val="00A91DF0"/>
    <w:rsid w:val="00A91F7C"/>
    <w:rsid w:val="00A9210D"/>
    <w:rsid w:val="00A9217C"/>
    <w:rsid w:val="00A9261D"/>
    <w:rsid w:val="00A93281"/>
    <w:rsid w:val="00A9340D"/>
    <w:rsid w:val="00A93A39"/>
    <w:rsid w:val="00A93BC9"/>
    <w:rsid w:val="00A93BE9"/>
    <w:rsid w:val="00A94155"/>
    <w:rsid w:val="00A94437"/>
    <w:rsid w:val="00A94538"/>
    <w:rsid w:val="00A94646"/>
    <w:rsid w:val="00A9466F"/>
    <w:rsid w:val="00A948A5"/>
    <w:rsid w:val="00A9500C"/>
    <w:rsid w:val="00A95B62"/>
    <w:rsid w:val="00A95DC9"/>
    <w:rsid w:val="00A95DFA"/>
    <w:rsid w:val="00A963FC"/>
    <w:rsid w:val="00A96957"/>
    <w:rsid w:val="00A9695C"/>
    <w:rsid w:val="00A96A89"/>
    <w:rsid w:val="00A96EEE"/>
    <w:rsid w:val="00A9783B"/>
    <w:rsid w:val="00AA02C3"/>
    <w:rsid w:val="00AA03C1"/>
    <w:rsid w:val="00AA0DE1"/>
    <w:rsid w:val="00AA115D"/>
    <w:rsid w:val="00AA1826"/>
    <w:rsid w:val="00AA1B6E"/>
    <w:rsid w:val="00AA1BF3"/>
    <w:rsid w:val="00AA1FAC"/>
    <w:rsid w:val="00AA2187"/>
    <w:rsid w:val="00AA2199"/>
    <w:rsid w:val="00AA25C9"/>
    <w:rsid w:val="00AA34D1"/>
    <w:rsid w:val="00AA3ACD"/>
    <w:rsid w:val="00AA472B"/>
    <w:rsid w:val="00AA4B8F"/>
    <w:rsid w:val="00AA5186"/>
    <w:rsid w:val="00AA5659"/>
    <w:rsid w:val="00AA5D66"/>
    <w:rsid w:val="00AA5E51"/>
    <w:rsid w:val="00AA5FCA"/>
    <w:rsid w:val="00AA60A7"/>
    <w:rsid w:val="00AA6694"/>
    <w:rsid w:val="00AA67C8"/>
    <w:rsid w:val="00AA69EA"/>
    <w:rsid w:val="00AA740C"/>
    <w:rsid w:val="00AA7653"/>
    <w:rsid w:val="00AA7693"/>
    <w:rsid w:val="00AB1239"/>
    <w:rsid w:val="00AB13EC"/>
    <w:rsid w:val="00AB1497"/>
    <w:rsid w:val="00AB14A8"/>
    <w:rsid w:val="00AB1D43"/>
    <w:rsid w:val="00AB21A0"/>
    <w:rsid w:val="00AB2624"/>
    <w:rsid w:val="00AB2693"/>
    <w:rsid w:val="00AB270B"/>
    <w:rsid w:val="00AB2AD9"/>
    <w:rsid w:val="00AB33F9"/>
    <w:rsid w:val="00AB460F"/>
    <w:rsid w:val="00AB475A"/>
    <w:rsid w:val="00AB485C"/>
    <w:rsid w:val="00AB4EF8"/>
    <w:rsid w:val="00AB5439"/>
    <w:rsid w:val="00AB5468"/>
    <w:rsid w:val="00AB603D"/>
    <w:rsid w:val="00AB61F8"/>
    <w:rsid w:val="00AB6B7D"/>
    <w:rsid w:val="00AB6D92"/>
    <w:rsid w:val="00AB79C5"/>
    <w:rsid w:val="00AB7D78"/>
    <w:rsid w:val="00AC1686"/>
    <w:rsid w:val="00AC1AF5"/>
    <w:rsid w:val="00AC1DAC"/>
    <w:rsid w:val="00AC446E"/>
    <w:rsid w:val="00AC476B"/>
    <w:rsid w:val="00AC4C40"/>
    <w:rsid w:val="00AC4D33"/>
    <w:rsid w:val="00AC4E13"/>
    <w:rsid w:val="00AC5553"/>
    <w:rsid w:val="00AC65FE"/>
    <w:rsid w:val="00AC6E9E"/>
    <w:rsid w:val="00AC752F"/>
    <w:rsid w:val="00AC7A73"/>
    <w:rsid w:val="00AC7FFE"/>
    <w:rsid w:val="00AD0168"/>
    <w:rsid w:val="00AD0254"/>
    <w:rsid w:val="00AD0902"/>
    <w:rsid w:val="00AD0A81"/>
    <w:rsid w:val="00AD0AF2"/>
    <w:rsid w:val="00AD0C49"/>
    <w:rsid w:val="00AD0F48"/>
    <w:rsid w:val="00AD1378"/>
    <w:rsid w:val="00AD1D0F"/>
    <w:rsid w:val="00AD1DD5"/>
    <w:rsid w:val="00AD1F81"/>
    <w:rsid w:val="00AD210A"/>
    <w:rsid w:val="00AD2F76"/>
    <w:rsid w:val="00AD385E"/>
    <w:rsid w:val="00AD3AF0"/>
    <w:rsid w:val="00AD42AB"/>
    <w:rsid w:val="00AD4506"/>
    <w:rsid w:val="00AD51A9"/>
    <w:rsid w:val="00AD64BB"/>
    <w:rsid w:val="00AD666A"/>
    <w:rsid w:val="00AD73A1"/>
    <w:rsid w:val="00AD7528"/>
    <w:rsid w:val="00AD7730"/>
    <w:rsid w:val="00AD7DDE"/>
    <w:rsid w:val="00AD7E34"/>
    <w:rsid w:val="00AD7E5B"/>
    <w:rsid w:val="00AE0554"/>
    <w:rsid w:val="00AE073D"/>
    <w:rsid w:val="00AE08D7"/>
    <w:rsid w:val="00AE096F"/>
    <w:rsid w:val="00AE0AC7"/>
    <w:rsid w:val="00AE13DF"/>
    <w:rsid w:val="00AE146A"/>
    <w:rsid w:val="00AE15D5"/>
    <w:rsid w:val="00AE2C2A"/>
    <w:rsid w:val="00AE3CAB"/>
    <w:rsid w:val="00AE3D43"/>
    <w:rsid w:val="00AE4884"/>
    <w:rsid w:val="00AE50D8"/>
    <w:rsid w:val="00AE5254"/>
    <w:rsid w:val="00AE5720"/>
    <w:rsid w:val="00AE58EF"/>
    <w:rsid w:val="00AE5F08"/>
    <w:rsid w:val="00AE6018"/>
    <w:rsid w:val="00AE63F8"/>
    <w:rsid w:val="00AE6460"/>
    <w:rsid w:val="00AE6631"/>
    <w:rsid w:val="00AE682B"/>
    <w:rsid w:val="00AE6BAF"/>
    <w:rsid w:val="00AE7986"/>
    <w:rsid w:val="00AE7C5D"/>
    <w:rsid w:val="00AF0653"/>
    <w:rsid w:val="00AF1BBC"/>
    <w:rsid w:val="00AF2663"/>
    <w:rsid w:val="00AF2A9F"/>
    <w:rsid w:val="00AF2B04"/>
    <w:rsid w:val="00AF2DA5"/>
    <w:rsid w:val="00AF2FE5"/>
    <w:rsid w:val="00AF30B0"/>
    <w:rsid w:val="00AF330A"/>
    <w:rsid w:val="00AF352A"/>
    <w:rsid w:val="00AF3A86"/>
    <w:rsid w:val="00AF3E39"/>
    <w:rsid w:val="00AF417F"/>
    <w:rsid w:val="00AF41F6"/>
    <w:rsid w:val="00AF4D4A"/>
    <w:rsid w:val="00AF5010"/>
    <w:rsid w:val="00AF52ED"/>
    <w:rsid w:val="00AF588D"/>
    <w:rsid w:val="00AF590A"/>
    <w:rsid w:val="00AF5D08"/>
    <w:rsid w:val="00AF5D76"/>
    <w:rsid w:val="00AF692A"/>
    <w:rsid w:val="00AF6F7A"/>
    <w:rsid w:val="00AF7154"/>
    <w:rsid w:val="00AF7E19"/>
    <w:rsid w:val="00B0083C"/>
    <w:rsid w:val="00B00846"/>
    <w:rsid w:val="00B00CCF"/>
    <w:rsid w:val="00B01525"/>
    <w:rsid w:val="00B01567"/>
    <w:rsid w:val="00B019FE"/>
    <w:rsid w:val="00B01C49"/>
    <w:rsid w:val="00B01C4D"/>
    <w:rsid w:val="00B03112"/>
    <w:rsid w:val="00B031A1"/>
    <w:rsid w:val="00B031B3"/>
    <w:rsid w:val="00B03A8F"/>
    <w:rsid w:val="00B03DB1"/>
    <w:rsid w:val="00B03F0F"/>
    <w:rsid w:val="00B04468"/>
    <w:rsid w:val="00B044D0"/>
    <w:rsid w:val="00B047A0"/>
    <w:rsid w:val="00B04A0E"/>
    <w:rsid w:val="00B04D06"/>
    <w:rsid w:val="00B051AB"/>
    <w:rsid w:val="00B053B8"/>
    <w:rsid w:val="00B058FA"/>
    <w:rsid w:val="00B05B09"/>
    <w:rsid w:val="00B05BDF"/>
    <w:rsid w:val="00B060D3"/>
    <w:rsid w:val="00B0610B"/>
    <w:rsid w:val="00B06159"/>
    <w:rsid w:val="00B06B96"/>
    <w:rsid w:val="00B073E5"/>
    <w:rsid w:val="00B077D1"/>
    <w:rsid w:val="00B07E93"/>
    <w:rsid w:val="00B102FA"/>
    <w:rsid w:val="00B10A8B"/>
    <w:rsid w:val="00B10DCB"/>
    <w:rsid w:val="00B112F4"/>
    <w:rsid w:val="00B113EE"/>
    <w:rsid w:val="00B118CE"/>
    <w:rsid w:val="00B11F46"/>
    <w:rsid w:val="00B12213"/>
    <w:rsid w:val="00B1231B"/>
    <w:rsid w:val="00B12451"/>
    <w:rsid w:val="00B125F2"/>
    <w:rsid w:val="00B12AEE"/>
    <w:rsid w:val="00B13042"/>
    <w:rsid w:val="00B130EB"/>
    <w:rsid w:val="00B1377A"/>
    <w:rsid w:val="00B13AD0"/>
    <w:rsid w:val="00B13D3C"/>
    <w:rsid w:val="00B15586"/>
    <w:rsid w:val="00B155B0"/>
    <w:rsid w:val="00B1620D"/>
    <w:rsid w:val="00B1622B"/>
    <w:rsid w:val="00B167E3"/>
    <w:rsid w:val="00B17010"/>
    <w:rsid w:val="00B17647"/>
    <w:rsid w:val="00B17D38"/>
    <w:rsid w:val="00B17DC1"/>
    <w:rsid w:val="00B20C4F"/>
    <w:rsid w:val="00B20C98"/>
    <w:rsid w:val="00B20DE1"/>
    <w:rsid w:val="00B211D0"/>
    <w:rsid w:val="00B2211A"/>
    <w:rsid w:val="00B222E2"/>
    <w:rsid w:val="00B22C29"/>
    <w:rsid w:val="00B22CDC"/>
    <w:rsid w:val="00B236AE"/>
    <w:rsid w:val="00B24494"/>
    <w:rsid w:val="00B24DDD"/>
    <w:rsid w:val="00B24EEF"/>
    <w:rsid w:val="00B24FB8"/>
    <w:rsid w:val="00B251DB"/>
    <w:rsid w:val="00B2539B"/>
    <w:rsid w:val="00B253D6"/>
    <w:rsid w:val="00B2596D"/>
    <w:rsid w:val="00B25A84"/>
    <w:rsid w:val="00B25D24"/>
    <w:rsid w:val="00B26005"/>
    <w:rsid w:val="00B260E3"/>
    <w:rsid w:val="00B264DC"/>
    <w:rsid w:val="00B26783"/>
    <w:rsid w:val="00B268E4"/>
    <w:rsid w:val="00B26928"/>
    <w:rsid w:val="00B26A05"/>
    <w:rsid w:val="00B26C25"/>
    <w:rsid w:val="00B2750D"/>
    <w:rsid w:val="00B27590"/>
    <w:rsid w:val="00B27652"/>
    <w:rsid w:val="00B279E3"/>
    <w:rsid w:val="00B27A30"/>
    <w:rsid w:val="00B3019F"/>
    <w:rsid w:val="00B303E1"/>
    <w:rsid w:val="00B306FE"/>
    <w:rsid w:val="00B308E2"/>
    <w:rsid w:val="00B30AE9"/>
    <w:rsid w:val="00B30E26"/>
    <w:rsid w:val="00B31CCB"/>
    <w:rsid w:val="00B334C4"/>
    <w:rsid w:val="00B3363B"/>
    <w:rsid w:val="00B33C20"/>
    <w:rsid w:val="00B34475"/>
    <w:rsid w:val="00B345DD"/>
    <w:rsid w:val="00B34832"/>
    <w:rsid w:val="00B34C4A"/>
    <w:rsid w:val="00B34D24"/>
    <w:rsid w:val="00B35C0C"/>
    <w:rsid w:val="00B361D9"/>
    <w:rsid w:val="00B364A1"/>
    <w:rsid w:val="00B3674A"/>
    <w:rsid w:val="00B36A3F"/>
    <w:rsid w:val="00B36ABF"/>
    <w:rsid w:val="00B36BF9"/>
    <w:rsid w:val="00B37458"/>
    <w:rsid w:val="00B375A6"/>
    <w:rsid w:val="00B37C0C"/>
    <w:rsid w:val="00B403F2"/>
    <w:rsid w:val="00B40606"/>
    <w:rsid w:val="00B409DC"/>
    <w:rsid w:val="00B40A35"/>
    <w:rsid w:val="00B40B44"/>
    <w:rsid w:val="00B411EF"/>
    <w:rsid w:val="00B419A7"/>
    <w:rsid w:val="00B41D76"/>
    <w:rsid w:val="00B41E95"/>
    <w:rsid w:val="00B4226F"/>
    <w:rsid w:val="00B425EB"/>
    <w:rsid w:val="00B428B4"/>
    <w:rsid w:val="00B44470"/>
    <w:rsid w:val="00B44E10"/>
    <w:rsid w:val="00B450D4"/>
    <w:rsid w:val="00B45832"/>
    <w:rsid w:val="00B45884"/>
    <w:rsid w:val="00B45E89"/>
    <w:rsid w:val="00B461E8"/>
    <w:rsid w:val="00B46A09"/>
    <w:rsid w:val="00B46AD3"/>
    <w:rsid w:val="00B46EAA"/>
    <w:rsid w:val="00B47160"/>
    <w:rsid w:val="00B4718B"/>
    <w:rsid w:val="00B50857"/>
    <w:rsid w:val="00B51615"/>
    <w:rsid w:val="00B51710"/>
    <w:rsid w:val="00B51E14"/>
    <w:rsid w:val="00B533D2"/>
    <w:rsid w:val="00B5445D"/>
    <w:rsid w:val="00B54F72"/>
    <w:rsid w:val="00B559E8"/>
    <w:rsid w:val="00B55C36"/>
    <w:rsid w:val="00B560BB"/>
    <w:rsid w:val="00B56626"/>
    <w:rsid w:val="00B5685D"/>
    <w:rsid w:val="00B572F3"/>
    <w:rsid w:val="00B5762F"/>
    <w:rsid w:val="00B60833"/>
    <w:rsid w:val="00B60AA6"/>
    <w:rsid w:val="00B60CA0"/>
    <w:rsid w:val="00B612BA"/>
    <w:rsid w:val="00B61AF0"/>
    <w:rsid w:val="00B61EB3"/>
    <w:rsid w:val="00B62737"/>
    <w:rsid w:val="00B62D58"/>
    <w:rsid w:val="00B63257"/>
    <w:rsid w:val="00B636C1"/>
    <w:rsid w:val="00B6395C"/>
    <w:rsid w:val="00B63A76"/>
    <w:rsid w:val="00B63AD3"/>
    <w:rsid w:val="00B63E05"/>
    <w:rsid w:val="00B63E59"/>
    <w:rsid w:val="00B64165"/>
    <w:rsid w:val="00B653A4"/>
    <w:rsid w:val="00B656F3"/>
    <w:rsid w:val="00B661B6"/>
    <w:rsid w:val="00B661EA"/>
    <w:rsid w:val="00B668B1"/>
    <w:rsid w:val="00B669D9"/>
    <w:rsid w:val="00B66B78"/>
    <w:rsid w:val="00B66DA2"/>
    <w:rsid w:val="00B66DB1"/>
    <w:rsid w:val="00B66E09"/>
    <w:rsid w:val="00B66F48"/>
    <w:rsid w:val="00B6743A"/>
    <w:rsid w:val="00B70923"/>
    <w:rsid w:val="00B711D0"/>
    <w:rsid w:val="00B7160C"/>
    <w:rsid w:val="00B71751"/>
    <w:rsid w:val="00B718B3"/>
    <w:rsid w:val="00B71A78"/>
    <w:rsid w:val="00B72153"/>
    <w:rsid w:val="00B727A8"/>
    <w:rsid w:val="00B72E38"/>
    <w:rsid w:val="00B738A7"/>
    <w:rsid w:val="00B73F2A"/>
    <w:rsid w:val="00B73FD2"/>
    <w:rsid w:val="00B744CA"/>
    <w:rsid w:val="00B75116"/>
    <w:rsid w:val="00B75876"/>
    <w:rsid w:val="00B75AC6"/>
    <w:rsid w:val="00B75E24"/>
    <w:rsid w:val="00B75EB0"/>
    <w:rsid w:val="00B75F4C"/>
    <w:rsid w:val="00B76057"/>
    <w:rsid w:val="00B7611D"/>
    <w:rsid w:val="00B763B2"/>
    <w:rsid w:val="00B76AAB"/>
    <w:rsid w:val="00B76DAB"/>
    <w:rsid w:val="00B76FA1"/>
    <w:rsid w:val="00B7720A"/>
    <w:rsid w:val="00B77400"/>
    <w:rsid w:val="00B7797D"/>
    <w:rsid w:val="00B77F61"/>
    <w:rsid w:val="00B80ADD"/>
    <w:rsid w:val="00B80D73"/>
    <w:rsid w:val="00B80DCA"/>
    <w:rsid w:val="00B80E8F"/>
    <w:rsid w:val="00B80F21"/>
    <w:rsid w:val="00B818A7"/>
    <w:rsid w:val="00B81AD6"/>
    <w:rsid w:val="00B81B2F"/>
    <w:rsid w:val="00B822FC"/>
    <w:rsid w:val="00B825E3"/>
    <w:rsid w:val="00B82660"/>
    <w:rsid w:val="00B83313"/>
    <w:rsid w:val="00B83A6E"/>
    <w:rsid w:val="00B8405B"/>
    <w:rsid w:val="00B84B69"/>
    <w:rsid w:val="00B865A2"/>
    <w:rsid w:val="00B86CF5"/>
    <w:rsid w:val="00B86D82"/>
    <w:rsid w:val="00B872DD"/>
    <w:rsid w:val="00B875BB"/>
    <w:rsid w:val="00B87E73"/>
    <w:rsid w:val="00B87E8D"/>
    <w:rsid w:val="00B90B54"/>
    <w:rsid w:val="00B9122C"/>
    <w:rsid w:val="00B915C0"/>
    <w:rsid w:val="00B92042"/>
    <w:rsid w:val="00B922A9"/>
    <w:rsid w:val="00B929ED"/>
    <w:rsid w:val="00B92C6D"/>
    <w:rsid w:val="00B931CF"/>
    <w:rsid w:val="00B9364D"/>
    <w:rsid w:val="00B93E78"/>
    <w:rsid w:val="00B93EE5"/>
    <w:rsid w:val="00B93FB0"/>
    <w:rsid w:val="00B94086"/>
    <w:rsid w:val="00B94509"/>
    <w:rsid w:val="00B94C92"/>
    <w:rsid w:val="00B9525E"/>
    <w:rsid w:val="00B95410"/>
    <w:rsid w:val="00B95452"/>
    <w:rsid w:val="00B958DB"/>
    <w:rsid w:val="00B95CE1"/>
    <w:rsid w:val="00B96459"/>
    <w:rsid w:val="00B968DE"/>
    <w:rsid w:val="00B969ED"/>
    <w:rsid w:val="00B96BB5"/>
    <w:rsid w:val="00B96ED3"/>
    <w:rsid w:val="00B977AD"/>
    <w:rsid w:val="00B97CEF"/>
    <w:rsid w:val="00BA055C"/>
    <w:rsid w:val="00BA0B0B"/>
    <w:rsid w:val="00BA0E6F"/>
    <w:rsid w:val="00BA11C7"/>
    <w:rsid w:val="00BA1318"/>
    <w:rsid w:val="00BA1889"/>
    <w:rsid w:val="00BA1ADA"/>
    <w:rsid w:val="00BA1BDF"/>
    <w:rsid w:val="00BA2595"/>
    <w:rsid w:val="00BA2B5C"/>
    <w:rsid w:val="00BA31D0"/>
    <w:rsid w:val="00BA416E"/>
    <w:rsid w:val="00BA451E"/>
    <w:rsid w:val="00BA471C"/>
    <w:rsid w:val="00BA481B"/>
    <w:rsid w:val="00BA5765"/>
    <w:rsid w:val="00BA59BD"/>
    <w:rsid w:val="00BA5A5B"/>
    <w:rsid w:val="00BA5E38"/>
    <w:rsid w:val="00BA67A6"/>
    <w:rsid w:val="00BA6A83"/>
    <w:rsid w:val="00BA777F"/>
    <w:rsid w:val="00BA7882"/>
    <w:rsid w:val="00BB00DE"/>
    <w:rsid w:val="00BB095D"/>
    <w:rsid w:val="00BB0AC3"/>
    <w:rsid w:val="00BB1266"/>
    <w:rsid w:val="00BB2364"/>
    <w:rsid w:val="00BB27CE"/>
    <w:rsid w:val="00BB2F35"/>
    <w:rsid w:val="00BB33F9"/>
    <w:rsid w:val="00BB38E9"/>
    <w:rsid w:val="00BB3AF2"/>
    <w:rsid w:val="00BB4903"/>
    <w:rsid w:val="00BB545E"/>
    <w:rsid w:val="00BB55D3"/>
    <w:rsid w:val="00BB6A3B"/>
    <w:rsid w:val="00BB6DA9"/>
    <w:rsid w:val="00BB717E"/>
    <w:rsid w:val="00BB724E"/>
    <w:rsid w:val="00BB7485"/>
    <w:rsid w:val="00BB77CB"/>
    <w:rsid w:val="00BB7A52"/>
    <w:rsid w:val="00BB7EEA"/>
    <w:rsid w:val="00BC0330"/>
    <w:rsid w:val="00BC0364"/>
    <w:rsid w:val="00BC0472"/>
    <w:rsid w:val="00BC0AC2"/>
    <w:rsid w:val="00BC0AD3"/>
    <w:rsid w:val="00BC0FD6"/>
    <w:rsid w:val="00BC14BB"/>
    <w:rsid w:val="00BC173C"/>
    <w:rsid w:val="00BC17BD"/>
    <w:rsid w:val="00BC1D82"/>
    <w:rsid w:val="00BC21DA"/>
    <w:rsid w:val="00BC221B"/>
    <w:rsid w:val="00BC2787"/>
    <w:rsid w:val="00BC2957"/>
    <w:rsid w:val="00BC2DDC"/>
    <w:rsid w:val="00BC3149"/>
    <w:rsid w:val="00BC3E51"/>
    <w:rsid w:val="00BC49C3"/>
    <w:rsid w:val="00BC4A4C"/>
    <w:rsid w:val="00BC4D9C"/>
    <w:rsid w:val="00BC6865"/>
    <w:rsid w:val="00BC70AF"/>
    <w:rsid w:val="00BC78BD"/>
    <w:rsid w:val="00BD00A4"/>
    <w:rsid w:val="00BD0252"/>
    <w:rsid w:val="00BD048C"/>
    <w:rsid w:val="00BD0912"/>
    <w:rsid w:val="00BD0C10"/>
    <w:rsid w:val="00BD0D6F"/>
    <w:rsid w:val="00BD0F24"/>
    <w:rsid w:val="00BD0F8A"/>
    <w:rsid w:val="00BD1052"/>
    <w:rsid w:val="00BD114D"/>
    <w:rsid w:val="00BD257F"/>
    <w:rsid w:val="00BD28C8"/>
    <w:rsid w:val="00BD2963"/>
    <w:rsid w:val="00BD2E13"/>
    <w:rsid w:val="00BD306F"/>
    <w:rsid w:val="00BD30E1"/>
    <w:rsid w:val="00BD344B"/>
    <w:rsid w:val="00BD3781"/>
    <w:rsid w:val="00BD38FF"/>
    <w:rsid w:val="00BD3F8E"/>
    <w:rsid w:val="00BD4030"/>
    <w:rsid w:val="00BD5742"/>
    <w:rsid w:val="00BD5F78"/>
    <w:rsid w:val="00BD6EF3"/>
    <w:rsid w:val="00BD710D"/>
    <w:rsid w:val="00BD760E"/>
    <w:rsid w:val="00BE0178"/>
    <w:rsid w:val="00BE0F63"/>
    <w:rsid w:val="00BE17FD"/>
    <w:rsid w:val="00BE1D64"/>
    <w:rsid w:val="00BE2405"/>
    <w:rsid w:val="00BE268E"/>
    <w:rsid w:val="00BE3193"/>
    <w:rsid w:val="00BE368E"/>
    <w:rsid w:val="00BE36CB"/>
    <w:rsid w:val="00BE3FD4"/>
    <w:rsid w:val="00BE4C29"/>
    <w:rsid w:val="00BE50D9"/>
    <w:rsid w:val="00BE6760"/>
    <w:rsid w:val="00BE693E"/>
    <w:rsid w:val="00BE6991"/>
    <w:rsid w:val="00BE6EAF"/>
    <w:rsid w:val="00BE6EEA"/>
    <w:rsid w:val="00BE70D1"/>
    <w:rsid w:val="00BE7F84"/>
    <w:rsid w:val="00BF037D"/>
    <w:rsid w:val="00BF04AA"/>
    <w:rsid w:val="00BF0D03"/>
    <w:rsid w:val="00BF179E"/>
    <w:rsid w:val="00BF2B0D"/>
    <w:rsid w:val="00BF2D14"/>
    <w:rsid w:val="00BF3654"/>
    <w:rsid w:val="00BF3B38"/>
    <w:rsid w:val="00BF45F9"/>
    <w:rsid w:val="00BF53A3"/>
    <w:rsid w:val="00BF5B68"/>
    <w:rsid w:val="00BF614F"/>
    <w:rsid w:val="00BF61EB"/>
    <w:rsid w:val="00BF6665"/>
    <w:rsid w:val="00BF7130"/>
    <w:rsid w:val="00BF725D"/>
    <w:rsid w:val="00BF7370"/>
    <w:rsid w:val="00BF775A"/>
    <w:rsid w:val="00BF79D1"/>
    <w:rsid w:val="00BF7F72"/>
    <w:rsid w:val="00C000B8"/>
    <w:rsid w:val="00C0097C"/>
    <w:rsid w:val="00C00ED4"/>
    <w:rsid w:val="00C01479"/>
    <w:rsid w:val="00C015BE"/>
    <w:rsid w:val="00C02A2A"/>
    <w:rsid w:val="00C03544"/>
    <w:rsid w:val="00C03B6C"/>
    <w:rsid w:val="00C04264"/>
    <w:rsid w:val="00C046C3"/>
    <w:rsid w:val="00C0499E"/>
    <w:rsid w:val="00C04C5A"/>
    <w:rsid w:val="00C04E7E"/>
    <w:rsid w:val="00C05958"/>
    <w:rsid w:val="00C05AF1"/>
    <w:rsid w:val="00C06384"/>
    <w:rsid w:val="00C06C6D"/>
    <w:rsid w:val="00C07577"/>
    <w:rsid w:val="00C07CC4"/>
    <w:rsid w:val="00C10082"/>
    <w:rsid w:val="00C1023B"/>
    <w:rsid w:val="00C10A31"/>
    <w:rsid w:val="00C10F75"/>
    <w:rsid w:val="00C11337"/>
    <w:rsid w:val="00C119F2"/>
    <w:rsid w:val="00C11DC2"/>
    <w:rsid w:val="00C1224E"/>
    <w:rsid w:val="00C12FA3"/>
    <w:rsid w:val="00C13B82"/>
    <w:rsid w:val="00C140AC"/>
    <w:rsid w:val="00C1413C"/>
    <w:rsid w:val="00C1422F"/>
    <w:rsid w:val="00C14464"/>
    <w:rsid w:val="00C14793"/>
    <w:rsid w:val="00C15036"/>
    <w:rsid w:val="00C15207"/>
    <w:rsid w:val="00C1537D"/>
    <w:rsid w:val="00C15881"/>
    <w:rsid w:val="00C15BCB"/>
    <w:rsid w:val="00C16306"/>
    <w:rsid w:val="00C1673A"/>
    <w:rsid w:val="00C16876"/>
    <w:rsid w:val="00C16898"/>
    <w:rsid w:val="00C16E5F"/>
    <w:rsid w:val="00C1767A"/>
    <w:rsid w:val="00C17B56"/>
    <w:rsid w:val="00C2016B"/>
    <w:rsid w:val="00C20203"/>
    <w:rsid w:val="00C2049D"/>
    <w:rsid w:val="00C20DB5"/>
    <w:rsid w:val="00C21EDC"/>
    <w:rsid w:val="00C220EE"/>
    <w:rsid w:val="00C22C1B"/>
    <w:rsid w:val="00C22D61"/>
    <w:rsid w:val="00C22FC1"/>
    <w:rsid w:val="00C2413C"/>
    <w:rsid w:val="00C2447F"/>
    <w:rsid w:val="00C2490D"/>
    <w:rsid w:val="00C249F7"/>
    <w:rsid w:val="00C24C33"/>
    <w:rsid w:val="00C255B2"/>
    <w:rsid w:val="00C25787"/>
    <w:rsid w:val="00C25E10"/>
    <w:rsid w:val="00C26BA7"/>
    <w:rsid w:val="00C2712D"/>
    <w:rsid w:val="00C27950"/>
    <w:rsid w:val="00C27EB3"/>
    <w:rsid w:val="00C30150"/>
    <w:rsid w:val="00C302DC"/>
    <w:rsid w:val="00C308EE"/>
    <w:rsid w:val="00C3099A"/>
    <w:rsid w:val="00C30E0B"/>
    <w:rsid w:val="00C311C1"/>
    <w:rsid w:val="00C31268"/>
    <w:rsid w:val="00C31AF4"/>
    <w:rsid w:val="00C31CED"/>
    <w:rsid w:val="00C32105"/>
    <w:rsid w:val="00C3218B"/>
    <w:rsid w:val="00C326D1"/>
    <w:rsid w:val="00C32AB6"/>
    <w:rsid w:val="00C32FBF"/>
    <w:rsid w:val="00C3305B"/>
    <w:rsid w:val="00C33223"/>
    <w:rsid w:val="00C332B9"/>
    <w:rsid w:val="00C336AF"/>
    <w:rsid w:val="00C33B23"/>
    <w:rsid w:val="00C340BB"/>
    <w:rsid w:val="00C34329"/>
    <w:rsid w:val="00C34766"/>
    <w:rsid w:val="00C34C6C"/>
    <w:rsid w:val="00C34D22"/>
    <w:rsid w:val="00C34EE0"/>
    <w:rsid w:val="00C35D6C"/>
    <w:rsid w:val="00C35DAA"/>
    <w:rsid w:val="00C35DC2"/>
    <w:rsid w:val="00C36820"/>
    <w:rsid w:val="00C368BE"/>
    <w:rsid w:val="00C36FE4"/>
    <w:rsid w:val="00C3746D"/>
    <w:rsid w:val="00C3789F"/>
    <w:rsid w:val="00C37DE5"/>
    <w:rsid w:val="00C40346"/>
    <w:rsid w:val="00C40DD6"/>
    <w:rsid w:val="00C4106E"/>
    <w:rsid w:val="00C4139C"/>
    <w:rsid w:val="00C41903"/>
    <w:rsid w:val="00C41F52"/>
    <w:rsid w:val="00C4220F"/>
    <w:rsid w:val="00C4236D"/>
    <w:rsid w:val="00C424CE"/>
    <w:rsid w:val="00C42A60"/>
    <w:rsid w:val="00C42DD8"/>
    <w:rsid w:val="00C43963"/>
    <w:rsid w:val="00C43AC1"/>
    <w:rsid w:val="00C44578"/>
    <w:rsid w:val="00C4465F"/>
    <w:rsid w:val="00C45091"/>
    <w:rsid w:val="00C4538C"/>
    <w:rsid w:val="00C4622B"/>
    <w:rsid w:val="00C468D4"/>
    <w:rsid w:val="00C469DB"/>
    <w:rsid w:val="00C46B77"/>
    <w:rsid w:val="00C46D83"/>
    <w:rsid w:val="00C46F49"/>
    <w:rsid w:val="00C471C5"/>
    <w:rsid w:val="00C47B42"/>
    <w:rsid w:val="00C47CF8"/>
    <w:rsid w:val="00C47D3E"/>
    <w:rsid w:val="00C50599"/>
    <w:rsid w:val="00C50DEB"/>
    <w:rsid w:val="00C510F7"/>
    <w:rsid w:val="00C5190E"/>
    <w:rsid w:val="00C51AC2"/>
    <w:rsid w:val="00C51C26"/>
    <w:rsid w:val="00C51D5F"/>
    <w:rsid w:val="00C525DA"/>
    <w:rsid w:val="00C52731"/>
    <w:rsid w:val="00C52839"/>
    <w:rsid w:val="00C52A43"/>
    <w:rsid w:val="00C52BB2"/>
    <w:rsid w:val="00C533EA"/>
    <w:rsid w:val="00C5384B"/>
    <w:rsid w:val="00C53E7D"/>
    <w:rsid w:val="00C540A0"/>
    <w:rsid w:val="00C5417E"/>
    <w:rsid w:val="00C54250"/>
    <w:rsid w:val="00C5472B"/>
    <w:rsid w:val="00C5472E"/>
    <w:rsid w:val="00C54A2A"/>
    <w:rsid w:val="00C55162"/>
    <w:rsid w:val="00C5517D"/>
    <w:rsid w:val="00C55313"/>
    <w:rsid w:val="00C55319"/>
    <w:rsid w:val="00C561F0"/>
    <w:rsid w:val="00C5646C"/>
    <w:rsid w:val="00C56479"/>
    <w:rsid w:val="00C56489"/>
    <w:rsid w:val="00C567BC"/>
    <w:rsid w:val="00C56EF0"/>
    <w:rsid w:val="00C57829"/>
    <w:rsid w:val="00C57900"/>
    <w:rsid w:val="00C60255"/>
    <w:rsid w:val="00C60909"/>
    <w:rsid w:val="00C60DDA"/>
    <w:rsid w:val="00C617F1"/>
    <w:rsid w:val="00C61816"/>
    <w:rsid w:val="00C62193"/>
    <w:rsid w:val="00C62531"/>
    <w:rsid w:val="00C6269C"/>
    <w:rsid w:val="00C629B2"/>
    <w:rsid w:val="00C62ABB"/>
    <w:rsid w:val="00C6307F"/>
    <w:rsid w:val="00C63562"/>
    <w:rsid w:val="00C64154"/>
    <w:rsid w:val="00C6437A"/>
    <w:rsid w:val="00C64742"/>
    <w:rsid w:val="00C648A5"/>
    <w:rsid w:val="00C64955"/>
    <w:rsid w:val="00C64A35"/>
    <w:rsid w:val="00C654C6"/>
    <w:rsid w:val="00C654F3"/>
    <w:rsid w:val="00C6562A"/>
    <w:rsid w:val="00C65F02"/>
    <w:rsid w:val="00C66590"/>
    <w:rsid w:val="00C66810"/>
    <w:rsid w:val="00C66A02"/>
    <w:rsid w:val="00C66D93"/>
    <w:rsid w:val="00C66EC3"/>
    <w:rsid w:val="00C67067"/>
    <w:rsid w:val="00C67237"/>
    <w:rsid w:val="00C673FC"/>
    <w:rsid w:val="00C67CCC"/>
    <w:rsid w:val="00C701B2"/>
    <w:rsid w:val="00C7025A"/>
    <w:rsid w:val="00C70276"/>
    <w:rsid w:val="00C702DF"/>
    <w:rsid w:val="00C704F9"/>
    <w:rsid w:val="00C70660"/>
    <w:rsid w:val="00C70E24"/>
    <w:rsid w:val="00C7128C"/>
    <w:rsid w:val="00C71B94"/>
    <w:rsid w:val="00C7311C"/>
    <w:rsid w:val="00C73742"/>
    <w:rsid w:val="00C7380D"/>
    <w:rsid w:val="00C7433A"/>
    <w:rsid w:val="00C7456D"/>
    <w:rsid w:val="00C7464D"/>
    <w:rsid w:val="00C750DF"/>
    <w:rsid w:val="00C751E3"/>
    <w:rsid w:val="00C75893"/>
    <w:rsid w:val="00C75D91"/>
    <w:rsid w:val="00C76753"/>
    <w:rsid w:val="00C76A5D"/>
    <w:rsid w:val="00C774A8"/>
    <w:rsid w:val="00C77778"/>
    <w:rsid w:val="00C778E1"/>
    <w:rsid w:val="00C803DF"/>
    <w:rsid w:val="00C814B4"/>
    <w:rsid w:val="00C81613"/>
    <w:rsid w:val="00C816A6"/>
    <w:rsid w:val="00C81DD6"/>
    <w:rsid w:val="00C81F4B"/>
    <w:rsid w:val="00C82ADA"/>
    <w:rsid w:val="00C82B2B"/>
    <w:rsid w:val="00C82BB7"/>
    <w:rsid w:val="00C82D2C"/>
    <w:rsid w:val="00C831FD"/>
    <w:rsid w:val="00C83448"/>
    <w:rsid w:val="00C834FD"/>
    <w:rsid w:val="00C8466B"/>
    <w:rsid w:val="00C85CC6"/>
    <w:rsid w:val="00C860B0"/>
    <w:rsid w:val="00C862AA"/>
    <w:rsid w:val="00C86D57"/>
    <w:rsid w:val="00C87156"/>
    <w:rsid w:val="00C87263"/>
    <w:rsid w:val="00C874DC"/>
    <w:rsid w:val="00C87515"/>
    <w:rsid w:val="00C87E16"/>
    <w:rsid w:val="00C903F0"/>
    <w:rsid w:val="00C91AFF"/>
    <w:rsid w:val="00C91EF8"/>
    <w:rsid w:val="00C9204D"/>
    <w:rsid w:val="00C9213C"/>
    <w:rsid w:val="00C92192"/>
    <w:rsid w:val="00C92679"/>
    <w:rsid w:val="00C92721"/>
    <w:rsid w:val="00C9274D"/>
    <w:rsid w:val="00C9286F"/>
    <w:rsid w:val="00C929F5"/>
    <w:rsid w:val="00C92B82"/>
    <w:rsid w:val="00C92D48"/>
    <w:rsid w:val="00C93524"/>
    <w:rsid w:val="00C93EDF"/>
    <w:rsid w:val="00C94213"/>
    <w:rsid w:val="00C942C3"/>
    <w:rsid w:val="00C943DF"/>
    <w:rsid w:val="00C94689"/>
    <w:rsid w:val="00C9473C"/>
    <w:rsid w:val="00C94DE2"/>
    <w:rsid w:val="00C94F40"/>
    <w:rsid w:val="00C952AB"/>
    <w:rsid w:val="00C95AD8"/>
    <w:rsid w:val="00C962A1"/>
    <w:rsid w:val="00C96F35"/>
    <w:rsid w:val="00C97240"/>
    <w:rsid w:val="00C97D4A"/>
    <w:rsid w:val="00CA05E3"/>
    <w:rsid w:val="00CA072C"/>
    <w:rsid w:val="00CA08FF"/>
    <w:rsid w:val="00CA09B1"/>
    <w:rsid w:val="00CA0D75"/>
    <w:rsid w:val="00CA11C5"/>
    <w:rsid w:val="00CA1210"/>
    <w:rsid w:val="00CA1301"/>
    <w:rsid w:val="00CA15EE"/>
    <w:rsid w:val="00CA177D"/>
    <w:rsid w:val="00CA1E69"/>
    <w:rsid w:val="00CA2035"/>
    <w:rsid w:val="00CA2290"/>
    <w:rsid w:val="00CA2FF4"/>
    <w:rsid w:val="00CA309F"/>
    <w:rsid w:val="00CA3146"/>
    <w:rsid w:val="00CA4451"/>
    <w:rsid w:val="00CA557D"/>
    <w:rsid w:val="00CA5691"/>
    <w:rsid w:val="00CA56BA"/>
    <w:rsid w:val="00CA5F20"/>
    <w:rsid w:val="00CA5F29"/>
    <w:rsid w:val="00CA6085"/>
    <w:rsid w:val="00CA6379"/>
    <w:rsid w:val="00CA6899"/>
    <w:rsid w:val="00CA7FE0"/>
    <w:rsid w:val="00CB0062"/>
    <w:rsid w:val="00CB00BC"/>
    <w:rsid w:val="00CB0504"/>
    <w:rsid w:val="00CB204E"/>
    <w:rsid w:val="00CB23D1"/>
    <w:rsid w:val="00CB288C"/>
    <w:rsid w:val="00CB2D90"/>
    <w:rsid w:val="00CB3DAB"/>
    <w:rsid w:val="00CB4F16"/>
    <w:rsid w:val="00CB53AC"/>
    <w:rsid w:val="00CB5AD2"/>
    <w:rsid w:val="00CB5DB0"/>
    <w:rsid w:val="00CB65FB"/>
    <w:rsid w:val="00CB7214"/>
    <w:rsid w:val="00CB7460"/>
    <w:rsid w:val="00CB7499"/>
    <w:rsid w:val="00CC015E"/>
    <w:rsid w:val="00CC07B3"/>
    <w:rsid w:val="00CC0C73"/>
    <w:rsid w:val="00CC1193"/>
    <w:rsid w:val="00CC1290"/>
    <w:rsid w:val="00CC12A6"/>
    <w:rsid w:val="00CC18B2"/>
    <w:rsid w:val="00CC202B"/>
    <w:rsid w:val="00CC20B8"/>
    <w:rsid w:val="00CC22B1"/>
    <w:rsid w:val="00CC30E4"/>
    <w:rsid w:val="00CC32AB"/>
    <w:rsid w:val="00CC33AB"/>
    <w:rsid w:val="00CC4A92"/>
    <w:rsid w:val="00CC4F29"/>
    <w:rsid w:val="00CC5D5C"/>
    <w:rsid w:val="00CC5E46"/>
    <w:rsid w:val="00CC5F85"/>
    <w:rsid w:val="00CC5F88"/>
    <w:rsid w:val="00CC61C8"/>
    <w:rsid w:val="00CC6769"/>
    <w:rsid w:val="00CC6E73"/>
    <w:rsid w:val="00CC7339"/>
    <w:rsid w:val="00CC790D"/>
    <w:rsid w:val="00CD008D"/>
    <w:rsid w:val="00CD00BE"/>
    <w:rsid w:val="00CD04BD"/>
    <w:rsid w:val="00CD07A9"/>
    <w:rsid w:val="00CD0B36"/>
    <w:rsid w:val="00CD11E1"/>
    <w:rsid w:val="00CD146A"/>
    <w:rsid w:val="00CD19FE"/>
    <w:rsid w:val="00CD1F8D"/>
    <w:rsid w:val="00CD24C5"/>
    <w:rsid w:val="00CD262C"/>
    <w:rsid w:val="00CD2960"/>
    <w:rsid w:val="00CD2A61"/>
    <w:rsid w:val="00CD2E16"/>
    <w:rsid w:val="00CD3096"/>
    <w:rsid w:val="00CD368E"/>
    <w:rsid w:val="00CD3E2C"/>
    <w:rsid w:val="00CD3F33"/>
    <w:rsid w:val="00CD5A13"/>
    <w:rsid w:val="00CD6A6C"/>
    <w:rsid w:val="00CD7EE6"/>
    <w:rsid w:val="00CE042A"/>
    <w:rsid w:val="00CE0F1A"/>
    <w:rsid w:val="00CE1112"/>
    <w:rsid w:val="00CE13E8"/>
    <w:rsid w:val="00CE1480"/>
    <w:rsid w:val="00CE15DF"/>
    <w:rsid w:val="00CE198D"/>
    <w:rsid w:val="00CE1FE3"/>
    <w:rsid w:val="00CE235F"/>
    <w:rsid w:val="00CE27EE"/>
    <w:rsid w:val="00CE311B"/>
    <w:rsid w:val="00CE33FB"/>
    <w:rsid w:val="00CE359E"/>
    <w:rsid w:val="00CE3A8F"/>
    <w:rsid w:val="00CE490E"/>
    <w:rsid w:val="00CE4DF2"/>
    <w:rsid w:val="00CE5C22"/>
    <w:rsid w:val="00CE5C5F"/>
    <w:rsid w:val="00CE5CA3"/>
    <w:rsid w:val="00CE5F4F"/>
    <w:rsid w:val="00CE601D"/>
    <w:rsid w:val="00CE6297"/>
    <w:rsid w:val="00CE6548"/>
    <w:rsid w:val="00CE65A3"/>
    <w:rsid w:val="00CE6E63"/>
    <w:rsid w:val="00CE7465"/>
    <w:rsid w:val="00CE77BE"/>
    <w:rsid w:val="00CF0050"/>
    <w:rsid w:val="00CF09EF"/>
    <w:rsid w:val="00CF0B2C"/>
    <w:rsid w:val="00CF0DD9"/>
    <w:rsid w:val="00CF0E1A"/>
    <w:rsid w:val="00CF1178"/>
    <w:rsid w:val="00CF2D7A"/>
    <w:rsid w:val="00CF351F"/>
    <w:rsid w:val="00CF3A4E"/>
    <w:rsid w:val="00CF3AE5"/>
    <w:rsid w:val="00CF4D35"/>
    <w:rsid w:val="00CF5C4A"/>
    <w:rsid w:val="00CF6B84"/>
    <w:rsid w:val="00CF6F13"/>
    <w:rsid w:val="00CF7786"/>
    <w:rsid w:val="00CF789A"/>
    <w:rsid w:val="00CF7C98"/>
    <w:rsid w:val="00D00060"/>
    <w:rsid w:val="00D006AD"/>
    <w:rsid w:val="00D00F2D"/>
    <w:rsid w:val="00D01BC6"/>
    <w:rsid w:val="00D02126"/>
    <w:rsid w:val="00D02BD4"/>
    <w:rsid w:val="00D02FED"/>
    <w:rsid w:val="00D03B83"/>
    <w:rsid w:val="00D0402E"/>
    <w:rsid w:val="00D04331"/>
    <w:rsid w:val="00D04400"/>
    <w:rsid w:val="00D04652"/>
    <w:rsid w:val="00D05338"/>
    <w:rsid w:val="00D054C8"/>
    <w:rsid w:val="00D059E6"/>
    <w:rsid w:val="00D05FED"/>
    <w:rsid w:val="00D06196"/>
    <w:rsid w:val="00D06884"/>
    <w:rsid w:val="00D06CBF"/>
    <w:rsid w:val="00D06D68"/>
    <w:rsid w:val="00D06FEA"/>
    <w:rsid w:val="00D071F0"/>
    <w:rsid w:val="00D07BA6"/>
    <w:rsid w:val="00D10026"/>
    <w:rsid w:val="00D10229"/>
    <w:rsid w:val="00D10480"/>
    <w:rsid w:val="00D1061A"/>
    <w:rsid w:val="00D1079C"/>
    <w:rsid w:val="00D115F5"/>
    <w:rsid w:val="00D11651"/>
    <w:rsid w:val="00D122A2"/>
    <w:rsid w:val="00D123BA"/>
    <w:rsid w:val="00D126A5"/>
    <w:rsid w:val="00D126D2"/>
    <w:rsid w:val="00D12824"/>
    <w:rsid w:val="00D1297C"/>
    <w:rsid w:val="00D129F0"/>
    <w:rsid w:val="00D13280"/>
    <w:rsid w:val="00D13E25"/>
    <w:rsid w:val="00D14658"/>
    <w:rsid w:val="00D146B5"/>
    <w:rsid w:val="00D14DE6"/>
    <w:rsid w:val="00D14F2D"/>
    <w:rsid w:val="00D15364"/>
    <w:rsid w:val="00D15531"/>
    <w:rsid w:val="00D15877"/>
    <w:rsid w:val="00D15BF9"/>
    <w:rsid w:val="00D15F02"/>
    <w:rsid w:val="00D15F89"/>
    <w:rsid w:val="00D16C28"/>
    <w:rsid w:val="00D16D82"/>
    <w:rsid w:val="00D172B7"/>
    <w:rsid w:val="00D172C5"/>
    <w:rsid w:val="00D17B32"/>
    <w:rsid w:val="00D17B6F"/>
    <w:rsid w:val="00D20104"/>
    <w:rsid w:val="00D202AB"/>
    <w:rsid w:val="00D2055C"/>
    <w:rsid w:val="00D206BB"/>
    <w:rsid w:val="00D209EE"/>
    <w:rsid w:val="00D20CF3"/>
    <w:rsid w:val="00D20F39"/>
    <w:rsid w:val="00D212CA"/>
    <w:rsid w:val="00D21309"/>
    <w:rsid w:val="00D21444"/>
    <w:rsid w:val="00D21F55"/>
    <w:rsid w:val="00D220CF"/>
    <w:rsid w:val="00D221C4"/>
    <w:rsid w:val="00D222EB"/>
    <w:rsid w:val="00D22554"/>
    <w:rsid w:val="00D2451E"/>
    <w:rsid w:val="00D254EC"/>
    <w:rsid w:val="00D25A00"/>
    <w:rsid w:val="00D25D14"/>
    <w:rsid w:val="00D261A7"/>
    <w:rsid w:val="00D2709B"/>
    <w:rsid w:val="00D270AD"/>
    <w:rsid w:val="00D2744D"/>
    <w:rsid w:val="00D27609"/>
    <w:rsid w:val="00D27E4C"/>
    <w:rsid w:val="00D302D3"/>
    <w:rsid w:val="00D303EA"/>
    <w:rsid w:val="00D3049F"/>
    <w:rsid w:val="00D304AC"/>
    <w:rsid w:val="00D307D1"/>
    <w:rsid w:val="00D30ABE"/>
    <w:rsid w:val="00D30BCC"/>
    <w:rsid w:val="00D30ECB"/>
    <w:rsid w:val="00D30EE9"/>
    <w:rsid w:val="00D31AD3"/>
    <w:rsid w:val="00D31CE7"/>
    <w:rsid w:val="00D31D8E"/>
    <w:rsid w:val="00D321BB"/>
    <w:rsid w:val="00D32647"/>
    <w:rsid w:val="00D33903"/>
    <w:rsid w:val="00D33A7D"/>
    <w:rsid w:val="00D352E4"/>
    <w:rsid w:val="00D354C6"/>
    <w:rsid w:val="00D35E60"/>
    <w:rsid w:val="00D35FC8"/>
    <w:rsid w:val="00D36120"/>
    <w:rsid w:val="00D364B2"/>
    <w:rsid w:val="00D37B24"/>
    <w:rsid w:val="00D4011C"/>
    <w:rsid w:val="00D40B43"/>
    <w:rsid w:val="00D412E4"/>
    <w:rsid w:val="00D41952"/>
    <w:rsid w:val="00D419A8"/>
    <w:rsid w:val="00D41C19"/>
    <w:rsid w:val="00D41CF6"/>
    <w:rsid w:val="00D42152"/>
    <w:rsid w:val="00D422A0"/>
    <w:rsid w:val="00D42331"/>
    <w:rsid w:val="00D42A95"/>
    <w:rsid w:val="00D42D8C"/>
    <w:rsid w:val="00D42DF8"/>
    <w:rsid w:val="00D43142"/>
    <w:rsid w:val="00D43170"/>
    <w:rsid w:val="00D43901"/>
    <w:rsid w:val="00D439E5"/>
    <w:rsid w:val="00D43E2B"/>
    <w:rsid w:val="00D44096"/>
    <w:rsid w:val="00D44545"/>
    <w:rsid w:val="00D44667"/>
    <w:rsid w:val="00D44C20"/>
    <w:rsid w:val="00D44EA7"/>
    <w:rsid w:val="00D455D4"/>
    <w:rsid w:val="00D461B8"/>
    <w:rsid w:val="00D4657E"/>
    <w:rsid w:val="00D46E31"/>
    <w:rsid w:val="00D46FB1"/>
    <w:rsid w:val="00D4736E"/>
    <w:rsid w:val="00D50613"/>
    <w:rsid w:val="00D50D23"/>
    <w:rsid w:val="00D51C3A"/>
    <w:rsid w:val="00D51E68"/>
    <w:rsid w:val="00D52184"/>
    <w:rsid w:val="00D52388"/>
    <w:rsid w:val="00D5239F"/>
    <w:rsid w:val="00D525B8"/>
    <w:rsid w:val="00D53125"/>
    <w:rsid w:val="00D5370E"/>
    <w:rsid w:val="00D537B2"/>
    <w:rsid w:val="00D540BB"/>
    <w:rsid w:val="00D54242"/>
    <w:rsid w:val="00D54630"/>
    <w:rsid w:val="00D547B6"/>
    <w:rsid w:val="00D5522D"/>
    <w:rsid w:val="00D55288"/>
    <w:rsid w:val="00D55379"/>
    <w:rsid w:val="00D5544D"/>
    <w:rsid w:val="00D5582F"/>
    <w:rsid w:val="00D55E57"/>
    <w:rsid w:val="00D5631C"/>
    <w:rsid w:val="00D563B2"/>
    <w:rsid w:val="00D56CF1"/>
    <w:rsid w:val="00D57199"/>
    <w:rsid w:val="00D57A2B"/>
    <w:rsid w:val="00D57AD3"/>
    <w:rsid w:val="00D57F0A"/>
    <w:rsid w:val="00D60226"/>
    <w:rsid w:val="00D60757"/>
    <w:rsid w:val="00D60C37"/>
    <w:rsid w:val="00D60CE3"/>
    <w:rsid w:val="00D60F8C"/>
    <w:rsid w:val="00D60FE1"/>
    <w:rsid w:val="00D61900"/>
    <w:rsid w:val="00D61C20"/>
    <w:rsid w:val="00D61DFC"/>
    <w:rsid w:val="00D62215"/>
    <w:rsid w:val="00D62518"/>
    <w:rsid w:val="00D63C7F"/>
    <w:rsid w:val="00D64520"/>
    <w:rsid w:val="00D64768"/>
    <w:rsid w:val="00D648CF"/>
    <w:rsid w:val="00D65433"/>
    <w:rsid w:val="00D65F8C"/>
    <w:rsid w:val="00D6665B"/>
    <w:rsid w:val="00D670FA"/>
    <w:rsid w:val="00D67133"/>
    <w:rsid w:val="00D67540"/>
    <w:rsid w:val="00D67784"/>
    <w:rsid w:val="00D67906"/>
    <w:rsid w:val="00D67EFD"/>
    <w:rsid w:val="00D7001B"/>
    <w:rsid w:val="00D70A2C"/>
    <w:rsid w:val="00D713D7"/>
    <w:rsid w:val="00D71442"/>
    <w:rsid w:val="00D7146E"/>
    <w:rsid w:val="00D715EE"/>
    <w:rsid w:val="00D7173C"/>
    <w:rsid w:val="00D71857"/>
    <w:rsid w:val="00D71E25"/>
    <w:rsid w:val="00D72117"/>
    <w:rsid w:val="00D731F2"/>
    <w:rsid w:val="00D73210"/>
    <w:rsid w:val="00D733DE"/>
    <w:rsid w:val="00D737AA"/>
    <w:rsid w:val="00D74847"/>
    <w:rsid w:val="00D74988"/>
    <w:rsid w:val="00D75239"/>
    <w:rsid w:val="00D7613E"/>
    <w:rsid w:val="00D761C2"/>
    <w:rsid w:val="00D769EA"/>
    <w:rsid w:val="00D77B66"/>
    <w:rsid w:val="00D77D3A"/>
    <w:rsid w:val="00D80AFA"/>
    <w:rsid w:val="00D8105A"/>
    <w:rsid w:val="00D811B8"/>
    <w:rsid w:val="00D812CF"/>
    <w:rsid w:val="00D8131B"/>
    <w:rsid w:val="00D815FE"/>
    <w:rsid w:val="00D8189B"/>
    <w:rsid w:val="00D81B7C"/>
    <w:rsid w:val="00D821BA"/>
    <w:rsid w:val="00D824FD"/>
    <w:rsid w:val="00D827BC"/>
    <w:rsid w:val="00D8298E"/>
    <w:rsid w:val="00D829DC"/>
    <w:rsid w:val="00D82BA6"/>
    <w:rsid w:val="00D82BE6"/>
    <w:rsid w:val="00D8401F"/>
    <w:rsid w:val="00D840FF"/>
    <w:rsid w:val="00D8410B"/>
    <w:rsid w:val="00D84158"/>
    <w:rsid w:val="00D841E9"/>
    <w:rsid w:val="00D84D9E"/>
    <w:rsid w:val="00D84EC3"/>
    <w:rsid w:val="00D8515C"/>
    <w:rsid w:val="00D857B4"/>
    <w:rsid w:val="00D857B6"/>
    <w:rsid w:val="00D85BDE"/>
    <w:rsid w:val="00D85E8E"/>
    <w:rsid w:val="00D8660F"/>
    <w:rsid w:val="00D86836"/>
    <w:rsid w:val="00D86AC3"/>
    <w:rsid w:val="00D87601"/>
    <w:rsid w:val="00D877B2"/>
    <w:rsid w:val="00D87A12"/>
    <w:rsid w:val="00D900EF"/>
    <w:rsid w:val="00D90765"/>
    <w:rsid w:val="00D90D1D"/>
    <w:rsid w:val="00D9101E"/>
    <w:rsid w:val="00D914E6"/>
    <w:rsid w:val="00D917C3"/>
    <w:rsid w:val="00D91ABE"/>
    <w:rsid w:val="00D924DA"/>
    <w:rsid w:val="00D92DE0"/>
    <w:rsid w:val="00D9351D"/>
    <w:rsid w:val="00D9382C"/>
    <w:rsid w:val="00D9394A"/>
    <w:rsid w:val="00D94C6E"/>
    <w:rsid w:val="00D94D9F"/>
    <w:rsid w:val="00D94DB9"/>
    <w:rsid w:val="00D95528"/>
    <w:rsid w:val="00D95694"/>
    <w:rsid w:val="00D95906"/>
    <w:rsid w:val="00D95CA3"/>
    <w:rsid w:val="00D96384"/>
    <w:rsid w:val="00D964E1"/>
    <w:rsid w:val="00D96648"/>
    <w:rsid w:val="00D96B79"/>
    <w:rsid w:val="00D9700A"/>
    <w:rsid w:val="00D97032"/>
    <w:rsid w:val="00D973F2"/>
    <w:rsid w:val="00D976B6"/>
    <w:rsid w:val="00D979CE"/>
    <w:rsid w:val="00D97AE0"/>
    <w:rsid w:val="00D97B6B"/>
    <w:rsid w:val="00D97DD1"/>
    <w:rsid w:val="00D97EEF"/>
    <w:rsid w:val="00DA05C2"/>
    <w:rsid w:val="00DA0A63"/>
    <w:rsid w:val="00DA0DDD"/>
    <w:rsid w:val="00DA1073"/>
    <w:rsid w:val="00DA1A01"/>
    <w:rsid w:val="00DA1B01"/>
    <w:rsid w:val="00DA283C"/>
    <w:rsid w:val="00DA28B1"/>
    <w:rsid w:val="00DA2D39"/>
    <w:rsid w:val="00DA32B2"/>
    <w:rsid w:val="00DA34CE"/>
    <w:rsid w:val="00DA36BF"/>
    <w:rsid w:val="00DA3C76"/>
    <w:rsid w:val="00DA50FC"/>
    <w:rsid w:val="00DA51EF"/>
    <w:rsid w:val="00DA5325"/>
    <w:rsid w:val="00DA58F7"/>
    <w:rsid w:val="00DA5C12"/>
    <w:rsid w:val="00DA66AF"/>
    <w:rsid w:val="00DA68CE"/>
    <w:rsid w:val="00DA729B"/>
    <w:rsid w:val="00DA72EE"/>
    <w:rsid w:val="00DB0AA0"/>
    <w:rsid w:val="00DB0EA1"/>
    <w:rsid w:val="00DB0F41"/>
    <w:rsid w:val="00DB1565"/>
    <w:rsid w:val="00DB15AC"/>
    <w:rsid w:val="00DB1835"/>
    <w:rsid w:val="00DB25F5"/>
    <w:rsid w:val="00DB2642"/>
    <w:rsid w:val="00DB2710"/>
    <w:rsid w:val="00DB286E"/>
    <w:rsid w:val="00DB2CE2"/>
    <w:rsid w:val="00DB2F82"/>
    <w:rsid w:val="00DB3042"/>
    <w:rsid w:val="00DB3221"/>
    <w:rsid w:val="00DB3308"/>
    <w:rsid w:val="00DB36E1"/>
    <w:rsid w:val="00DB381E"/>
    <w:rsid w:val="00DB3A7E"/>
    <w:rsid w:val="00DB3C65"/>
    <w:rsid w:val="00DB4138"/>
    <w:rsid w:val="00DB4193"/>
    <w:rsid w:val="00DB43DF"/>
    <w:rsid w:val="00DB49E1"/>
    <w:rsid w:val="00DB59BA"/>
    <w:rsid w:val="00DB626D"/>
    <w:rsid w:val="00DB677E"/>
    <w:rsid w:val="00DB6EE2"/>
    <w:rsid w:val="00DB76B3"/>
    <w:rsid w:val="00DC01FF"/>
    <w:rsid w:val="00DC020F"/>
    <w:rsid w:val="00DC02CE"/>
    <w:rsid w:val="00DC0355"/>
    <w:rsid w:val="00DC0514"/>
    <w:rsid w:val="00DC0A01"/>
    <w:rsid w:val="00DC13EE"/>
    <w:rsid w:val="00DC1BB5"/>
    <w:rsid w:val="00DC322F"/>
    <w:rsid w:val="00DC3CFE"/>
    <w:rsid w:val="00DC484A"/>
    <w:rsid w:val="00DC569C"/>
    <w:rsid w:val="00DC5C4E"/>
    <w:rsid w:val="00DC5EF3"/>
    <w:rsid w:val="00DC604B"/>
    <w:rsid w:val="00DC6BD3"/>
    <w:rsid w:val="00DC7209"/>
    <w:rsid w:val="00DC7573"/>
    <w:rsid w:val="00DD0A81"/>
    <w:rsid w:val="00DD1014"/>
    <w:rsid w:val="00DD1D64"/>
    <w:rsid w:val="00DD27C3"/>
    <w:rsid w:val="00DD310D"/>
    <w:rsid w:val="00DD318A"/>
    <w:rsid w:val="00DD3195"/>
    <w:rsid w:val="00DD3724"/>
    <w:rsid w:val="00DD38E0"/>
    <w:rsid w:val="00DD3B4B"/>
    <w:rsid w:val="00DD3B83"/>
    <w:rsid w:val="00DD3CE2"/>
    <w:rsid w:val="00DD3E76"/>
    <w:rsid w:val="00DD4008"/>
    <w:rsid w:val="00DD4590"/>
    <w:rsid w:val="00DD45FF"/>
    <w:rsid w:val="00DD4845"/>
    <w:rsid w:val="00DD598C"/>
    <w:rsid w:val="00DD5E24"/>
    <w:rsid w:val="00DD72C2"/>
    <w:rsid w:val="00DD7660"/>
    <w:rsid w:val="00DD7AA1"/>
    <w:rsid w:val="00DD7B2D"/>
    <w:rsid w:val="00DE128C"/>
    <w:rsid w:val="00DE1431"/>
    <w:rsid w:val="00DE1539"/>
    <w:rsid w:val="00DE1570"/>
    <w:rsid w:val="00DE1808"/>
    <w:rsid w:val="00DE2025"/>
    <w:rsid w:val="00DE2334"/>
    <w:rsid w:val="00DE284B"/>
    <w:rsid w:val="00DE295A"/>
    <w:rsid w:val="00DE2A33"/>
    <w:rsid w:val="00DE30EC"/>
    <w:rsid w:val="00DE310E"/>
    <w:rsid w:val="00DE3138"/>
    <w:rsid w:val="00DE4240"/>
    <w:rsid w:val="00DE4318"/>
    <w:rsid w:val="00DE470A"/>
    <w:rsid w:val="00DE47B8"/>
    <w:rsid w:val="00DE4B73"/>
    <w:rsid w:val="00DE4D6A"/>
    <w:rsid w:val="00DE5406"/>
    <w:rsid w:val="00DE59CB"/>
    <w:rsid w:val="00DE5B39"/>
    <w:rsid w:val="00DE5C55"/>
    <w:rsid w:val="00DE5EEA"/>
    <w:rsid w:val="00DE6182"/>
    <w:rsid w:val="00DE6CA9"/>
    <w:rsid w:val="00DE7388"/>
    <w:rsid w:val="00DE76FA"/>
    <w:rsid w:val="00DE77FE"/>
    <w:rsid w:val="00DF02EB"/>
    <w:rsid w:val="00DF0D09"/>
    <w:rsid w:val="00DF1316"/>
    <w:rsid w:val="00DF1412"/>
    <w:rsid w:val="00DF159E"/>
    <w:rsid w:val="00DF19CA"/>
    <w:rsid w:val="00DF1A06"/>
    <w:rsid w:val="00DF1CE0"/>
    <w:rsid w:val="00DF1EB8"/>
    <w:rsid w:val="00DF2A4F"/>
    <w:rsid w:val="00DF3370"/>
    <w:rsid w:val="00DF3A6A"/>
    <w:rsid w:val="00DF3E2D"/>
    <w:rsid w:val="00DF3E99"/>
    <w:rsid w:val="00DF4943"/>
    <w:rsid w:val="00DF49C9"/>
    <w:rsid w:val="00DF5B5F"/>
    <w:rsid w:val="00DF5E71"/>
    <w:rsid w:val="00DF61FE"/>
    <w:rsid w:val="00DF6624"/>
    <w:rsid w:val="00DF6AAC"/>
    <w:rsid w:val="00DF6E2C"/>
    <w:rsid w:val="00DF6F53"/>
    <w:rsid w:val="00DF7254"/>
    <w:rsid w:val="00DF7367"/>
    <w:rsid w:val="00DF763B"/>
    <w:rsid w:val="00DF7799"/>
    <w:rsid w:val="00DF79E0"/>
    <w:rsid w:val="00DF7F1A"/>
    <w:rsid w:val="00E003E9"/>
    <w:rsid w:val="00E00B8F"/>
    <w:rsid w:val="00E013A4"/>
    <w:rsid w:val="00E01CB3"/>
    <w:rsid w:val="00E01D7D"/>
    <w:rsid w:val="00E027BE"/>
    <w:rsid w:val="00E02F7D"/>
    <w:rsid w:val="00E031C2"/>
    <w:rsid w:val="00E031DF"/>
    <w:rsid w:val="00E03612"/>
    <w:rsid w:val="00E037DF"/>
    <w:rsid w:val="00E03A1C"/>
    <w:rsid w:val="00E03AC4"/>
    <w:rsid w:val="00E03B20"/>
    <w:rsid w:val="00E03E75"/>
    <w:rsid w:val="00E03F52"/>
    <w:rsid w:val="00E04CC7"/>
    <w:rsid w:val="00E04EA1"/>
    <w:rsid w:val="00E05105"/>
    <w:rsid w:val="00E05116"/>
    <w:rsid w:val="00E055AC"/>
    <w:rsid w:val="00E05A7C"/>
    <w:rsid w:val="00E07434"/>
    <w:rsid w:val="00E07487"/>
    <w:rsid w:val="00E07A31"/>
    <w:rsid w:val="00E07B15"/>
    <w:rsid w:val="00E07B65"/>
    <w:rsid w:val="00E07C2F"/>
    <w:rsid w:val="00E07C43"/>
    <w:rsid w:val="00E10295"/>
    <w:rsid w:val="00E10355"/>
    <w:rsid w:val="00E10470"/>
    <w:rsid w:val="00E10897"/>
    <w:rsid w:val="00E108E4"/>
    <w:rsid w:val="00E10A95"/>
    <w:rsid w:val="00E10E8F"/>
    <w:rsid w:val="00E10FA8"/>
    <w:rsid w:val="00E11274"/>
    <w:rsid w:val="00E11AB9"/>
    <w:rsid w:val="00E11C99"/>
    <w:rsid w:val="00E12905"/>
    <w:rsid w:val="00E12ACB"/>
    <w:rsid w:val="00E12CA4"/>
    <w:rsid w:val="00E13405"/>
    <w:rsid w:val="00E1396B"/>
    <w:rsid w:val="00E1433F"/>
    <w:rsid w:val="00E14A01"/>
    <w:rsid w:val="00E16793"/>
    <w:rsid w:val="00E16B35"/>
    <w:rsid w:val="00E17037"/>
    <w:rsid w:val="00E172A1"/>
    <w:rsid w:val="00E177FF"/>
    <w:rsid w:val="00E17849"/>
    <w:rsid w:val="00E17B67"/>
    <w:rsid w:val="00E17EDB"/>
    <w:rsid w:val="00E17FC2"/>
    <w:rsid w:val="00E20494"/>
    <w:rsid w:val="00E204D8"/>
    <w:rsid w:val="00E20D8F"/>
    <w:rsid w:val="00E214F7"/>
    <w:rsid w:val="00E226AE"/>
    <w:rsid w:val="00E226E3"/>
    <w:rsid w:val="00E22924"/>
    <w:rsid w:val="00E22E89"/>
    <w:rsid w:val="00E22F7E"/>
    <w:rsid w:val="00E23250"/>
    <w:rsid w:val="00E2363D"/>
    <w:rsid w:val="00E23A0B"/>
    <w:rsid w:val="00E23D44"/>
    <w:rsid w:val="00E24447"/>
    <w:rsid w:val="00E24AC9"/>
    <w:rsid w:val="00E25BA4"/>
    <w:rsid w:val="00E25C06"/>
    <w:rsid w:val="00E26CE9"/>
    <w:rsid w:val="00E27459"/>
    <w:rsid w:val="00E27A23"/>
    <w:rsid w:val="00E27FD5"/>
    <w:rsid w:val="00E3027E"/>
    <w:rsid w:val="00E30782"/>
    <w:rsid w:val="00E308DC"/>
    <w:rsid w:val="00E30E50"/>
    <w:rsid w:val="00E31039"/>
    <w:rsid w:val="00E31326"/>
    <w:rsid w:val="00E313B8"/>
    <w:rsid w:val="00E31A6A"/>
    <w:rsid w:val="00E31A79"/>
    <w:rsid w:val="00E31E14"/>
    <w:rsid w:val="00E32679"/>
    <w:rsid w:val="00E32842"/>
    <w:rsid w:val="00E328F6"/>
    <w:rsid w:val="00E32A3F"/>
    <w:rsid w:val="00E32CB3"/>
    <w:rsid w:val="00E336D5"/>
    <w:rsid w:val="00E346A1"/>
    <w:rsid w:val="00E347BC"/>
    <w:rsid w:val="00E34F00"/>
    <w:rsid w:val="00E3588E"/>
    <w:rsid w:val="00E358EA"/>
    <w:rsid w:val="00E35C3D"/>
    <w:rsid w:val="00E3630B"/>
    <w:rsid w:val="00E3632E"/>
    <w:rsid w:val="00E3640A"/>
    <w:rsid w:val="00E367C6"/>
    <w:rsid w:val="00E368E5"/>
    <w:rsid w:val="00E36A4F"/>
    <w:rsid w:val="00E36CB3"/>
    <w:rsid w:val="00E37DDD"/>
    <w:rsid w:val="00E401A7"/>
    <w:rsid w:val="00E40228"/>
    <w:rsid w:val="00E40689"/>
    <w:rsid w:val="00E4083A"/>
    <w:rsid w:val="00E41624"/>
    <w:rsid w:val="00E416D3"/>
    <w:rsid w:val="00E4171C"/>
    <w:rsid w:val="00E42223"/>
    <w:rsid w:val="00E426BD"/>
    <w:rsid w:val="00E437E9"/>
    <w:rsid w:val="00E445C5"/>
    <w:rsid w:val="00E4461A"/>
    <w:rsid w:val="00E447AF"/>
    <w:rsid w:val="00E44840"/>
    <w:rsid w:val="00E44BD4"/>
    <w:rsid w:val="00E44EC9"/>
    <w:rsid w:val="00E45517"/>
    <w:rsid w:val="00E45C46"/>
    <w:rsid w:val="00E45C70"/>
    <w:rsid w:val="00E45F6D"/>
    <w:rsid w:val="00E46218"/>
    <w:rsid w:val="00E47D86"/>
    <w:rsid w:val="00E505FF"/>
    <w:rsid w:val="00E50977"/>
    <w:rsid w:val="00E50F90"/>
    <w:rsid w:val="00E510ED"/>
    <w:rsid w:val="00E51120"/>
    <w:rsid w:val="00E51356"/>
    <w:rsid w:val="00E52DFF"/>
    <w:rsid w:val="00E53441"/>
    <w:rsid w:val="00E539A6"/>
    <w:rsid w:val="00E53AF2"/>
    <w:rsid w:val="00E53E40"/>
    <w:rsid w:val="00E54404"/>
    <w:rsid w:val="00E5490E"/>
    <w:rsid w:val="00E54956"/>
    <w:rsid w:val="00E55500"/>
    <w:rsid w:val="00E555FC"/>
    <w:rsid w:val="00E55A05"/>
    <w:rsid w:val="00E55E31"/>
    <w:rsid w:val="00E57EE9"/>
    <w:rsid w:val="00E57F85"/>
    <w:rsid w:val="00E6009C"/>
    <w:rsid w:val="00E6084A"/>
    <w:rsid w:val="00E6162B"/>
    <w:rsid w:val="00E61A83"/>
    <w:rsid w:val="00E61D6A"/>
    <w:rsid w:val="00E61D70"/>
    <w:rsid w:val="00E61F53"/>
    <w:rsid w:val="00E6214A"/>
    <w:rsid w:val="00E62616"/>
    <w:rsid w:val="00E6266C"/>
    <w:rsid w:val="00E62C8E"/>
    <w:rsid w:val="00E6301B"/>
    <w:rsid w:val="00E63620"/>
    <w:rsid w:val="00E63744"/>
    <w:rsid w:val="00E638FA"/>
    <w:rsid w:val="00E65196"/>
    <w:rsid w:val="00E65292"/>
    <w:rsid w:val="00E65F4C"/>
    <w:rsid w:val="00E660C3"/>
    <w:rsid w:val="00E663FC"/>
    <w:rsid w:val="00E66A80"/>
    <w:rsid w:val="00E66C21"/>
    <w:rsid w:val="00E675A9"/>
    <w:rsid w:val="00E678AE"/>
    <w:rsid w:val="00E6798D"/>
    <w:rsid w:val="00E67BC2"/>
    <w:rsid w:val="00E67DE8"/>
    <w:rsid w:val="00E7034D"/>
    <w:rsid w:val="00E7037D"/>
    <w:rsid w:val="00E70439"/>
    <w:rsid w:val="00E7061E"/>
    <w:rsid w:val="00E706C9"/>
    <w:rsid w:val="00E70A00"/>
    <w:rsid w:val="00E70B30"/>
    <w:rsid w:val="00E71963"/>
    <w:rsid w:val="00E72036"/>
    <w:rsid w:val="00E737E1"/>
    <w:rsid w:val="00E73B10"/>
    <w:rsid w:val="00E744FC"/>
    <w:rsid w:val="00E74EC8"/>
    <w:rsid w:val="00E75206"/>
    <w:rsid w:val="00E753C5"/>
    <w:rsid w:val="00E75473"/>
    <w:rsid w:val="00E756D9"/>
    <w:rsid w:val="00E75B9F"/>
    <w:rsid w:val="00E75BB5"/>
    <w:rsid w:val="00E75C8C"/>
    <w:rsid w:val="00E75D8B"/>
    <w:rsid w:val="00E76871"/>
    <w:rsid w:val="00E7709A"/>
    <w:rsid w:val="00E7766E"/>
    <w:rsid w:val="00E77A5E"/>
    <w:rsid w:val="00E81014"/>
    <w:rsid w:val="00E81221"/>
    <w:rsid w:val="00E81BDB"/>
    <w:rsid w:val="00E81F83"/>
    <w:rsid w:val="00E8216B"/>
    <w:rsid w:val="00E82175"/>
    <w:rsid w:val="00E829AC"/>
    <w:rsid w:val="00E82C86"/>
    <w:rsid w:val="00E8301A"/>
    <w:rsid w:val="00E83616"/>
    <w:rsid w:val="00E83C9A"/>
    <w:rsid w:val="00E8414C"/>
    <w:rsid w:val="00E841FE"/>
    <w:rsid w:val="00E8435A"/>
    <w:rsid w:val="00E8465E"/>
    <w:rsid w:val="00E84C3D"/>
    <w:rsid w:val="00E84E3E"/>
    <w:rsid w:val="00E856AD"/>
    <w:rsid w:val="00E85FB2"/>
    <w:rsid w:val="00E8613C"/>
    <w:rsid w:val="00E8661C"/>
    <w:rsid w:val="00E868F2"/>
    <w:rsid w:val="00E8697B"/>
    <w:rsid w:val="00E870A0"/>
    <w:rsid w:val="00E87304"/>
    <w:rsid w:val="00E87DD7"/>
    <w:rsid w:val="00E904FC"/>
    <w:rsid w:val="00E907E2"/>
    <w:rsid w:val="00E90D27"/>
    <w:rsid w:val="00E9117D"/>
    <w:rsid w:val="00E9140E"/>
    <w:rsid w:val="00E91F1D"/>
    <w:rsid w:val="00E9286E"/>
    <w:rsid w:val="00E92A36"/>
    <w:rsid w:val="00E92CB7"/>
    <w:rsid w:val="00E9318F"/>
    <w:rsid w:val="00E934C0"/>
    <w:rsid w:val="00E943D0"/>
    <w:rsid w:val="00E94826"/>
    <w:rsid w:val="00E958E7"/>
    <w:rsid w:val="00E95E3D"/>
    <w:rsid w:val="00E96052"/>
    <w:rsid w:val="00E97045"/>
    <w:rsid w:val="00E97532"/>
    <w:rsid w:val="00E97828"/>
    <w:rsid w:val="00E97900"/>
    <w:rsid w:val="00E97A0E"/>
    <w:rsid w:val="00E97ECC"/>
    <w:rsid w:val="00E97FF6"/>
    <w:rsid w:val="00EA0184"/>
    <w:rsid w:val="00EA0473"/>
    <w:rsid w:val="00EA05A1"/>
    <w:rsid w:val="00EA0BBD"/>
    <w:rsid w:val="00EA0F0F"/>
    <w:rsid w:val="00EA1095"/>
    <w:rsid w:val="00EA14DD"/>
    <w:rsid w:val="00EA17A0"/>
    <w:rsid w:val="00EA1C2E"/>
    <w:rsid w:val="00EA1E47"/>
    <w:rsid w:val="00EA3118"/>
    <w:rsid w:val="00EA3493"/>
    <w:rsid w:val="00EA39B6"/>
    <w:rsid w:val="00EA3D0A"/>
    <w:rsid w:val="00EA3F2B"/>
    <w:rsid w:val="00EA4787"/>
    <w:rsid w:val="00EA4D16"/>
    <w:rsid w:val="00EA5590"/>
    <w:rsid w:val="00EA57EB"/>
    <w:rsid w:val="00EA585B"/>
    <w:rsid w:val="00EA5993"/>
    <w:rsid w:val="00EA65CD"/>
    <w:rsid w:val="00EA6BDA"/>
    <w:rsid w:val="00EA6D9C"/>
    <w:rsid w:val="00EA76B6"/>
    <w:rsid w:val="00EA7977"/>
    <w:rsid w:val="00EB041D"/>
    <w:rsid w:val="00EB0B18"/>
    <w:rsid w:val="00EB0DA2"/>
    <w:rsid w:val="00EB172E"/>
    <w:rsid w:val="00EB187A"/>
    <w:rsid w:val="00EB2B24"/>
    <w:rsid w:val="00EB32AD"/>
    <w:rsid w:val="00EB3938"/>
    <w:rsid w:val="00EB3B64"/>
    <w:rsid w:val="00EB3DAE"/>
    <w:rsid w:val="00EB54B1"/>
    <w:rsid w:val="00EB5839"/>
    <w:rsid w:val="00EB5DD4"/>
    <w:rsid w:val="00EB5FF8"/>
    <w:rsid w:val="00EB67B5"/>
    <w:rsid w:val="00EB6B73"/>
    <w:rsid w:val="00EB7757"/>
    <w:rsid w:val="00EC0293"/>
    <w:rsid w:val="00EC0D17"/>
    <w:rsid w:val="00EC1545"/>
    <w:rsid w:val="00EC166E"/>
    <w:rsid w:val="00EC2214"/>
    <w:rsid w:val="00EC23C6"/>
    <w:rsid w:val="00EC2777"/>
    <w:rsid w:val="00EC27C1"/>
    <w:rsid w:val="00EC3332"/>
    <w:rsid w:val="00EC4DD4"/>
    <w:rsid w:val="00EC5155"/>
    <w:rsid w:val="00EC524A"/>
    <w:rsid w:val="00EC6309"/>
    <w:rsid w:val="00EC646A"/>
    <w:rsid w:val="00EC68E2"/>
    <w:rsid w:val="00EC6902"/>
    <w:rsid w:val="00EC6A89"/>
    <w:rsid w:val="00EC76F5"/>
    <w:rsid w:val="00ED02C1"/>
    <w:rsid w:val="00ED02D7"/>
    <w:rsid w:val="00ED044D"/>
    <w:rsid w:val="00ED097F"/>
    <w:rsid w:val="00ED0F46"/>
    <w:rsid w:val="00ED1086"/>
    <w:rsid w:val="00ED13DE"/>
    <w:rsid w:val="00ED1659"/>
    <w:rsid w:val="00ED1A52"/>
    <w:rsid w:val="00ED1D2F"/>
    <w:rsid w:val="00ED2624"/>
    <w:rsid w:val="00ED2E33"/>
    <w:rsid w:val="00ED3142"/>
    <w:rsid w:val="00ED3293"/>
    <w:rsid w:val="00ED32F8"/>
    <w:rsid w:val="00ED34C2"/>
    <w:rsid w:val="00ED35C1"/>
    <w:rsid w:val="00ED3AAE"/>
    <w:rsid w:val="00ED3B85"/>
    <w:rsid w:val="00ED3E2F"/>
    <w:rsid w:val="00ED419C"/>
    <w:rsid w:val="00ED457D"/>
    <w:rsid w:val="00ED46B3"/>
    <w:rsid w:val="00ED48F1"/>
    <w:rsid w:val="00ED4F5F"/>
    <w:rsid w:val="00ED54AD"/>
    <w:rsid w:val="00ED568D"/>
    <w:rsid w:val="00ED581D"/>
    <w:rsid w:val="00ED5D0A"/>
    <w:rsid w:val="00ED66C9"/>
    <w:rsid w:val="00ED6914"/>
    <w:rsid w:val="00ED6B56"/>
    <w:rsid w:val="00ED6E77"/>
    <w:rsid w:val="00ED746E"/>
    <w:rsid w:val="00ED7605"/>
    <w:rsid w:val="00ED7CC1"/>
    <w:rsid w:val="00EE01E2"/>
    <w:rsid w:val="00EE06C3"/>
    <w:rsid w:val="00EE0CF3"/>
    <w:rsid w:val="00EE0D4B"/>
    <w:rsid w:val="00EE0E18"/>
    <w:rsid w:val="00EE10A9"/>
    <w:rsid w:val="00EE10F3"/>
    <w:rsid w:val="00EE1E6E"/>
    <w:rsid w:val="00EE2399"/>
    <w:rsid w:val="00EE2A81"/>
    <w:rsid w:val="00EE2D14"/>
    <w:rsid w:val="00EE368E"/>
    <w:rsid w:val="00EE407B"/>
    <w:rsid w:val="00EE4BAC"/>
    <w:rsid w:val="00EE5BE7"/>
    <w:rsid w:val="00EE6854"/>
    <w:rsid w:val="00EE6A46"/>
    <w:rsid w:val="00EE6B34"/>
    <w:rsid w:val="00EE7559"/>
    <w:rsid w:val="00EE7AEB"/>
    <w:rsid w:val="00EF01A5"/>
    <w:rsid w:val="00EF0300"/>
    <w:rsid w:val="00EF0448"/>
    <w:rsid w:val="00EF0946"/>
    <w:rsid w:val="00EF0994"/>
    <w:rsid w:val="00EF1771"/>
    <w:rsid w:val="00EF1935"/>
    <w:rsid w:val="00EF1A3E"/>
    <w:rsid w:val="00EF1E6C"/>
    <w:rsid w:val="00EF2A46"/>
    <w:rsid w:val="00EF3472"/>
    <w:rsid w:val="00EF4476"/>
    <w:rsid w:val="00EF456E"/>
    <w:rsid w:val="00EF5113"/>
    <w:rsid w:val="00EF67C4"/>
    <w:rsid w:val="00EF7883"/>
    <w:rsid w:val="00EF7CB0"/>
    <w:rsid w:val="00F00107"/>
    <w:rsid w:val="00F00845"/>
    <w:rsid w:val="00F008B2"/>
    <w:rsid w:val="00F01605"/>
    <w:rsid w:val="00F01665"/>
    <w:rsid w:val="00F018BC"/>
    <w:rsid w:val="00F01BFA"/>
    <w:rsid w:val="00F01BFD"/>
    <w:rsid w:val="00F01CB6"/>
    <w:rsid w:val="00F02024"/>
    <w:rsid w:val="00F0206A"/>
    <w:rsid w:val="00F02132"/>
    <w:rsid w:val="00F02380"/>
    <w:rsid w:val="00F023B0"/>
    <w:rsid w:val="00F02582"/>
    <w:rsid w:val="00F02AB6"/>
    <w:rsid w:val="00F02BFC"/>
    <w:rsid w:val="00F02F3A"/>
    <w:rsid w:val="00F03611"/>
    <w:rsid w:val="00F03668"/>
    <w:rsid w:val="00F03722"/>
    <w:rsid w:val="00F03FB1"/>
    <w:rsid w:val="00F048C7"/>
    <w:rsid w:val="00F04F14"/>
    <w:rsid w:val="00F050EB"/>
    <w:rsid w:val="00F05CD9"/>
    <w:rsid w:val="00F05E2B"/>
    <w:rsid w:val="00F06489"/>
    <w:rsid w:val="00F06764"/>
    <w:rsid w:val="00F06C87"/>
    <w:rsid w:val="00F072D9"/>
    <w:rsid w:val="00F07630"/>
    <w:rsid w:val="00F07A7D"/>
    <w:rsid w:val="00F102C2"/>
    <w:rsid w:val="00F10308"/>
    <w:rsid w:val="00F1094A"/>
    <w:rsid w:val="00F10AB3"/>
    <w:rsid w:val="00F10B67"/>
    <w:rsid w:val="00F11363"/>
    <w:rsid w:val="00F1139B"/>
    <w:rsid w:val="00F11EA1"/>
    <w:rsid w:val="00F1222B"/>
    <w:rsid w:val="00F122AD"/>
    <w:rsid w:val="00F12492"/>
    <w:rsid w:val="00F12570"/>
    <w:rsid w:val="00F12A85"/>
    <w:rsid w:val="00F12AA9"/>
    <w:rsid w:val="00F12EF5"/>
    <w:rsid w:val="00F13746"/>
    <w:rsid w:val="00F13A7C"/>
    <w:rsid w:val="00F13DDE"/>
    <w:rsid w:val="00F13EFC"/>
    <w:rsid w:val="00F14358"/>
    <w:rsid w:val="00F1445C"/>
    <w:rsid w:val="00F146ED"/>
    <w:rsid w:val="00F14D84"/>
    <w:rsid w:val="00F1529D"/>
    <w:rsid w:val="00F15A1E"/>
    <w:rsid w:val="00F16411"/>
    <w:rsid w:val="00F16A61"/>
    <w:rsid w:val="00F16EEF"/>
    <w:rsid w:val="00F17502"/>
    <w:rsid w:val="00F17521"/>
    <w:rsid w:val="00F17638"/>
    <w:rsid w:val="00F17AC7"/>
    <w:rsid w:val="00F17C39"/>
    <w:rsid w:val="00F17EE7"/>
    <w:rsid w:val="00F200A7"/>
    <w:rsid w:val="00F20801"/>
    <w:rsid w:val="00F208C9"/>
    <w:rsid w:val="00F209EC"/>
    <w:rsid w:val="00F20E5C"/>
    <w:rsid w:val="00F21466"/>
    <w:rsid w:val="00F218A5"/>
    <w:rsid w:val="00F22BB9"/>
    <w:rsid w:val="00F23D77"/>
    <w:rsid w:val="00F24AF9"/>
    <w:rsid w:val="00F2556C"/>
    <w:rsid w:val="00F25580"/>
    <w:rsid w:val="00F25864"/>
    <w:rsid w:val="00F2669F"/>
    <w:rsid w:val="00F2690E"/>
    <w:rsid w:val="00F26957"/>
    <w:rsid w:val="00F26EEB"/>
    <w:rsid w:val="00F27060"/>
    <w:rsid w:val="00F270AB"/>
    <w:rsid w:val="00F2762C"/>
    <w:rsid w:val="00F27C24"/>
    <w:rsid w:val="00F27F24"/>
    <w:rsid w:val="00F30657"/>
    <w:rsid w:val="00F31303"/>
    <w:rsid w:val="00F3157A"/>
    <w:rsid w:val="00F317B5"/>
    <w:rsid w:val="00F327CE"/>
    <w:rsid w:val="00F32849"/>
    <w:rsid w:val="00F32A51"/>
    <w:rsid w:val="00F32B8B"/>
    <w:rsid w:val="00F337DF"/>
    <w:rsid w:val="00F3433F"/>
    <w:rsid w:val="00F34B6D"/>
    <w:rsid w:val="00F34E04"/>
    <w:rsid w:val="00F350C9"/>
    <w:rsid w:val="00F3516E"/>
    <w:rsid w:val="00F36019"/>
    <w:rsid w:val="00F36196"/>
    <w:rsid w:val="00F362E5"/>
    <w:rsid w:val="00F3644F"/>
    <w:rsid w:val="00F370DA"/>
    <w:rsid w:val="00F37482"/>
    <w:rsid w:val="00F3758E"/>
    <w:rsid w:val="00F402CD"/>
    <w:rsid w:val="00F40482"/>
    <w:rsid w:val="00F40E00"/>
    <w:rsid w:val="00F40EA9"/>
    <w:rsid w:val="00F417A0"/>
    <w:rsid w:val="00F41CC8"/>
    <w:rsid w:val="00F42374"/>
    <w:rsid w:val="00F426E9"/>
    <w:rsid w:val="00F42BB8"/>
    <w:rsid w:val="00F42DE4"/>
    <w:rsid w:val="00F444CF"/>
    <w:rsid w:val="00F44E25"/>
    <w:rsid w:val="00F450C1"/>
    <w:rsid w:val="00F453D6"/>
    <w:rsid w:val="00F45492"/>
    <w:rsid w:val="00F46499"/>
    <w:rsid w:val="00F4691D"/>
    <w:rsid w:val="00F50487"/>
    <w:rsid w:val="00F5050E"/>
    <w:rsid w:val="00F50ED5"/>
    <w:rsid w:val="00F5116A"/>
    <w:rsid w:val="00F516A7"/>
    <w:rsid w:val="00F518B7"/>
    <w:rsid w:val="00F51981"/>
    <w:rsid w:val="00F51B21"/>
    <w:rsid w:val="00F51F06"/>
    <w:rsid w:val="00F52A62"/>
    <w:rsid w:val="00F52C22"/>
    <w:rsid w:val="00F533B0"/>
    <w:rsid w:val="00F54045"/>
    <w:rsid w:val="00F5433A"/>
    <w:rsid w:val="00F54379"/>
    <w:rsid w:val="00F54E90"/>
    <w:rsid w:val="00F54FBA"/>
    <w:rsid w:val="00F55476"/>
    <w:rsid w:val="00F5553A"/>
    <w:rsid w:val="00F55563"/>
    <w:rsid w:val="00F55DF1"/>
    <w:rsid w:val="00F563CB"/>
    <w:rsid w:val="00F60399"/>
    <w:rsid w:val="00F6049E"/>
    <w:rsid w:val="00F6063F"/>
    <w:rsid w:val="00F60FED"/>
    <w:rsid w:val="00F619BE"/>
    <w:rsid w:val="00F6364E"/>
    <w:rsid w:val="00F6393E"/>
    <w:rsid w:val="00F63CE1"/>
    <w:rsid w:val="00F64169"/>
    <w:rsid w:val="00F648C0"/>
    <w:rsid w:val="00F655C3"/>
    <w:rsid w:val="00F658A2"/>
    <w:rsid w:val="00F65B17"/>
    <w:rsid w:val="00F669AD"/>
    <w:rsid w:val="00F67272"/>
    <w:rsid w:val="00F673DF"/>
    <w:rsid w:val="00F67E10"/>
    <w:rsid w:val="00F700A4"/>
    <w:rsid w:val="00F7088D"/>
    <w:rsid w:val="00F71590"/>
    <w:rsid w:val="00F716EF"/>
    <w:rsid w:val="00F71B75"/>
    <w:rsid w:val="00F724CE"/>
    <w:rsid w:val="00F72A6C"/>
    <w:rsid w:val="00F72DED"/>
    <w:rsid w:val="00F7347D"/>
    <w:rsid w:val="00F736A1"/>
    <w:rsid w:val="00F74554"/>
    <w:rsid w:val="00F74793"/>
    <w:rsid w:val="00F75972"/>
    <w:rsid w:val="00F76580"/>
    <w:rsid w:val="00F769CC"/>
    <w:rsid w:val="00F76CBD"/>
    <w:rsid w:val="00F77982"/>
    <w:rsid w:val="00F77BF8"/>
    <w:rsid w:val="00F77E02"/>
    <w:rsid w:val="00F80596"/>
    <w:rsid w:val="00F808CD"/>
    <w:rsid w:val="00F80E17"/>
    <w:rsid w:val="00F81213"/>
    <w:rsid w:val="00F81760"/>
    <w:rsid w:val="00F81E1D"/>
    <w:rsid w:val="00F82039"/>
    <w:rsid w:val="00F82637"/>
    <w:rsid w:val="00F82CCE"/>
    <w:rsid w:val="00F83309"/>
    <w:rsid w:val="00F83686"/>
    <w:rsid w:val="00F8391B"/>
    <w:rsid w:val="00F83DF7"/>
    <w:rsid w:val="00F84669"/>
    <w:rsid w:val="00F84753"/>
    <w:rsid w:val="00F84AB5"/>
    <w:rsid w:val="00F84CA4"/>
    <w:rsid w:val="00F84E02"/>
    <w:rsid w:val="00F850F3"/>
    <w:rsid w:val="00F85860"/>
    <w:rsid w:val="00F85EDE"/>
    <w:rsid w:val="00F86412"/>
    <w:rsid w:val="00F865E0"/>
    <w:rsid w:val="00F86E73"/>
    <w:rsid w:val="00F8726E"/>
    <w:rsid w:val="00F873C8"/>
    <w:rsid w:val="00F87475"/>
    <w:rsid w:val="00F877F4"/>
    <w:rsid w:val="00F87AD2"/>
    <w:rsid w:val="00F87E20"/>
    <w:rsid w:val="00F9006A"/>
    <w:rsid w:val="00F90297"/>
    <w:rsid w:val="00F9042E"/>
    <w:rsid w:val="00F907D9"/>
    <w:rsid w:val="00F9086A"/>
    <w:rsid w:val="00F90B4E"/>
    <w:rsid w:val="00F90CF5"/>
    <w:rsid w:val="00F920C2"/>
    <w:rsid w:val="00F92456"/>
    <w:rsid w:val="00F924DD"/>
    <w:rsid w:val="00F92557"/>
    <w:rsid w:val="00F92ABC"/>
    <w:rsid w:val="00F92B3D"/>
    <w:rsid w:val="00F92E71"/>
    <w:rsid w:val="00F93415"/>
    <w:rsid w:val="00F93DB0"/>
    <w:rsid w:val="00F93DC5"/>
    <w:rsid w:val="00F95020"/>
    <w:rsid w:val="00F9647C"/>
    <w:rsid w:val="00F964E6"/>
    <w:rsid w:val="00F96BC2"/>
    <w:rsid w:val="00F97068"/>
    <w:rsid w:val="00F97670"/>
    <w:rsid w:val="00F97FC9"/>
    <w:rsid w:val="00FA0442"/>
    <w:rsid w:val="00FA0A3E"/>
    <w:rsid w:val="00FA0BE1"/>
    <w:rsid w:val="00FA136B"/>
    <w:rsid w:val="00FA190C"/>
    <w:rsid w:val="00FA1E01"/>
    <w:rsid w:val="00FA21BE"/>
    <w:rsid w:val="00FA27C9"/>
    <w:rsid w:val="00FA2D3C"/>
    <w:rsid w:val="00FA3846"/>
    <w:rsid w:val="00FA3899"/>
    <w:rsid w:val="00FA3F50"/>
    <w:rsid w:val="00FA43C0"/>
    <w:rsid w:val="00FA48E2"/>
    <w:rsid w:val="00FA5259"/>
    <w:rsid w:val="00FA6AC6"/>
    <w:rsid w:val="00FA6C8D"/>
    <w:rsid w:val="00FA731A"/>
    <w:rsid w:val="00FA7625"/>
    <w:rsid w:val="00FA7D98"/>
    <w:rsid w:val="00FA7FF0"/>
    <w:rsid w:val="00FB0058"/>
    <w:rsid w:val="00FB09FE"/>
    <w:rsid w:val="00FB0B12"/>
    <w:rsid w:val="00FB0BBD"/>
    <w:rsid w:val="00FB11E2"/>
    <w:rsid w:val="00FB149B"/>
    <w:rsid w:val="00FB1E4F"/>
    <w:rsid w:val="00FB21DB"/>
    <w:rsid w:val="00FB2282"/>
    <w:rsid w:val="00FB261B"/>
    <w:rsid w:val="00FB290F"/>
    <w:rsid w:val="00FB3463"/>
    <w:rsid w:val="00FB387E"/>
    <w:rsid w:val="00FB3C53"/>
    <w:rsid w:val="00FB3E30"/>
    <w:rsid w:val="00FB57D1"/>
    <w:rsid w:val="00FB5C39"/>
    <w:rsid w:val="00FB5C93"/>
    <w:rsid w:val="00FB5FCA"/>
    <w:rsid w:val="00FB62B7"/>
    <w:rsid w:val="00FB6E10"/>
    <w:rsid w:val="00FB7449"/>
    <w:rsid w:val="00FB74EF"/>
    <w:rsid w:val="00FB76EC"/>
    <w:rsid w:val="00FB7C37"/>
    <w:rsid w:val="00FC01CF"/>
    <w:rsid w:val="00FC08E7"/>
    <w:rsid w:val="00FC1246"/>
    <w:rsid w:val="00FC1569"/>
    <w:rsid w:val="00FC1797"/>
    <w:rsid w:val="00FC184B"/>
    <w:rsid w:val="00FC1BEE"/>
    <w:rsid w:val="00FC22A6"/>
    <w:rsid w:val="00FC2530"/>
    <w:rsid w:val="00FC33CD"/>
    <w:rsid w:val="00FC35E3"/>
    <w:rsid w:val="00FC38C5"/>
    <w:rsid w:val="00FC3CA8"/>
    <w:rsid w:val="00FC3CF9"/>
    <w:rsid w:val="00FC4031"/>
    <w:rsid w:val="00FC40A3"/>
    <w:rsid w:val="00FC4DEB"/>
    <w:rsid w:val="00FC6B71"/>
    <w:rsid w:val="00FC6DF0"/>
    <w:rsid w:val="00FC6E0A"/>
    <w:rsid w:val="00FC747B"/>
    <w:rsid w:val="00FD0592"/>
    <w:rsid w:val="00FD11FD"/>
    <w:rsid w:val="00FD1FB4"/>
    <w:rsid w:val="00FD2340"/>
    <w:rsid w:val="00FD3959"/>
    <w:rsid w:val="00FD3D40"/>
    <w:rsid w:val="00FD4427"/>
    <w:rsid w:val="00FD4E20"/>
    <w:rsid w:val="00FD4FF8"/>
    <w:rsid w:val="00FD508D"/>
    <w:rsid w:val="00FD5109"/>
    <w:rsid w:val="00FD56F8"/>
    <w:rsid w:val="00FD5E74"/>
    <w:rsid w:val="00FD69E1"/>
    <w:rsid w:val="00FD6C72"/>
    <w:rsid w:val="00FD6E86"/>
    <w:rsid w:val="00FD7A30"/>
    <w:rsid w:val="00FE0B05"/>
    <w:rsid w:val="00FE1A8B"/>
    <w:rsid w:val="00FE1E86"/>
    <w:rsid w:val="00FE1E87"/>
    <w:rsid w:val="00FE1E90"/>
    <w:rsid w:val="00FE3DD4"/>
    <w:rsid w:val="00FE4982"/>
    <w:rsid w:val="00FE4CEF"/>
    <w:rsid w:val="00FE4DA3"/>
    <w:rsid w:val="00FE7DB2"/>
    <w:rsid w:val="00FF066C"/>
    <w:rsid w:val="00FF0714"/>
    <w:rsid w:val="00FF0C98"/>
    <w:rsid w:val="00FF0E24"/>
    <w:rsid w:val="00FF11CD"/>
    <w:rsid w:val="00FF14A8"/>
    <w:rsid w:val="00FF1821"/>
    <w:rsid w:val="00FF1C8F"/>
    <w:rsid w:val="00FF1C94"/>
    <w:rsid w:val="00FF1E7C"/>
    <w:rsid w:val="00FF20EF"/>
    <w:rsid w:val="00FF281E"/>
    <w:rsid w:val="00FF291C"/>
    <w:rsid w:val="00FF388D"/>
    <w:rsid w:val="00FF3A57"/>
    <w:rsid w:val="00FF3AD4"/>
    <w:rsid w:val="00FF3DD7"/>
    <w:rsid w:val="00FF3F1E"/>
    <w:rsid w:val="00FF49C8"/>
    <w:rsid w:val="00FF58B5"/>
    <w:rsid w:val="00FF5A19"/>
    <w:rsid w:val="00FF5BBF"/>
    <w:rsid w:val="00FF6029"/>
    <w:rsid w:val="00FF66CD"/>
    <w:rsid w:val="00FF6E5A"/>
    <w:rsid w:val="00FF6F1D"/>
    <w:rsid w:val="00FF6F2F"/>
    <w:rsid w:val="00FF703D"/>
    <w:rsid w:val="00FF732C"/>
    <w:rsid w:val="00FF7AA1"/>
    <w:rsid w:val="6E9EB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CE3194"/>
  <w15:chartTrackingRefBased/>
  <w15:docId w15:val="{300B3659-FC51-4363-9F72-013E65CB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85A"/>
    <w:pPr>
      <w:keepNext/>
      <w:keepLines/>
      <w:numPr>
        <w:numId w:val="3"/>
      </w:numPr>
      <w:spacing w:before="240" w:after="80"/>
      <w:outlineLvl w:val="0"/>
    </w:pPr>
    <w:rPr>
      <w:rFonts w:ascii="Calibri" w:eastAsia="Times New Roman" w:hAnsi="Calibri" w:cs="Times New Roman"/>
      <w:color w:val="083A42"/>
      <w:sz w:val="48"/>
      <w:szCs w:val="32"/>
    </w:rPr>
  </w:style>
  <w:style w:type="paragraph" w:styleId="Heading2">
    <w:name w:val="heading 2"/>
    <w:basedOn w:val="Normal"/>
    <w:next w:val="Normal"/>
    <w:link w:val="Heading2Char"/>
    <w:uiPriority w:val="9"/>
    <w:unhideWhenUsed/>
    <w:qFormat/>
    <w:rsid w:val="009B685A"/>
    <w:pPr>
      <w:keepNext/>
      <w:keepLines/>
      <w:numPr>
        <w:ilvl w:val="1"/>
        <w:numId w:val="3"/>
      </w:numPr>
      <w:spacing w:before="40" w:after="40"/>
      <w:outlineLvl w:val="1"/>
    </w:pPr>
    <w:rPr>
      <w:rFonts w:ascii="Calibri" w:eastAsia="Times New Roman" w:hAnsi="Calibri" w:cs="Times New Roman"/>
      <w:color w:val="BB4E06"/>
      <w:sz w:val="40"/>
      <w:szCs w:val="48"/>
    </w:rPr>
  </w:style>
  <w:style w:type="paragraph" w:styleId="Heading3">
    <w:name w:val="heading 3"/>
    <w:basedOn w:val="Normal"/>
    <w:next w:val="Normal"/>
    <w:link w:val="Heading3Char"/>
    <w:uiPriority w:val="9"/>
    <w:unhideWhenUsed/>
    <w:qFormat/>
    <w:rsid w:val="00892AC3"/>
    <w:pPr>
      <w:keepNext/>
      <w:keepLines/>
      <w:spacing w:before="40" w:after="0"/>
      <w:outlineLvl w:val="2"/>
    </w:pPr>
    <w:rPr>
      <w:rFonts w:ascii="Calibri" w:eastAsia="Times New Roman" w:hAnsi="Calibri" w:cs="Times New Roman"/>
      <w:color w:val="083A42"/>
      <w:sz w:val="32"/>
      <w:szCs w:val="40"/>
    </w:rPr>
  </w:style>
  <w:style w:type="paragraph" w:styleId="Heading4">
    <w:name w:val="heading 4"/>
    <w:basedOn w:val="Normal"/>
    <w:next w:val="Normal"/>
    <w:link w:val="Heading4Char"/>
    <w:uiPriority w:val="9"/>
    <w:unhideWhenUsed/>
    <w:qFormat/>
    <w:rsid w:val="00892AC3"/>
    <w:pPr>
      <w:keepNext/>
      <w:keepLines/>
      <w:spacing w:before="40" w:after="0"/>
      <w:outlineLvl w:val="3"/>
    </w:pPr>
    <w:rPr>
      <w:rFonts w:ascii="Calibri" w:eastAsia="Times New Roman" w:hAnsi="Calibri" w:cs="Times New Roman"/>
      <w:iCs/>
      <w:color w:val="BB4E06"/>
      <w:sz w:val="28"/>
      <w:szCs w:val="28"/>
    </w:rPr>
  </w:style>
  <w:style w:type="paragraph" w:styleId="Heading5">
    <w:name w:val="heading 5"/>
    <w:basedOn w:val="Normal"/>
    <w:next w:val="Normal"/>
    <w:link w:val="Heading5Char"/>
    <w:uiPriority w:val="9"/>
    <w:unhideWhenUsed/>
    <w:qFormat/>
    <w:rsid w:val="00892AC3"/>
    <w:pPr>
      <w:keepNext/>
      <w:keepLines/>
      <w:spacing w:before="40" w:after="0"/>
      <w:outlineLvl w:val="4"/>
    </w:pPr>
    <w:rPr>
      <w:rFonts w:ascii="Calibri" w:eastAsia="Times New Roman" w:hAnsi="Calibri" w:cs="Times New Roman"/>
      <w:color w:val="083A42"/>
      <w:sz w:val="26"/>
      <w:szCs w:val="26"/>
    </w:rPr>
  </w:style>
  <w:style w:type="paragraph" w:styleId="Heading6">
    <w:name w:val="heading 6"/>
    <w:basedOn w:val="Normal"/>
    <w:next w:val="Normal"/>
    <w:link w:val="Heading6Char"/>
    <w:uiPriority w:val="9"/>
    <w:unhideWhenUsed/>
    <w:qFormat/>
    <w:rsid w:val="00892AC3"/>
    <w:pPr>
      <w:keepNext/>
      <w:keepLines/>
      <w:spacing w:before="40" w:after="0"/>
      <w:outlineLvl w:val="5"/>
    </w:pPr>
    <w:rPr>
      <w:rFonts w:ascii="Calibri" w:eastAsia="Times New Roman" w:hAnsi="Calibri" w:cs="Times New Roman"/>
      <w:color w:val="562403"/>
    </w:rPr>
  </w:style>
  <w:style w:type="paragraph" w:styleId="Heading7">
    <w:name w:val="heading 7"/>
    <w:basedOn w:val="Normal"/>
    <w:next w:val="Normal"/>
    <w:link w:val="Heading7Char"/>
    <w:uiPriority w:val="9"/>
    <w:unhideWhenUsed/>
    <w:qFormat/>
    <w:rsid w:val="00892AC3"/>
    <w:pPr>
      <w:keepNext/>
      <w:keepLines/>
      <w:spacing w:before="40" w:after="0"/>
      <w:outlineLvl w:val="6"/>
    </w:pPr>
    <w:rPr>
      <w:rFonts w:ascii="Calibri" w:eastAsia="Times New Roman" w:hAnsi="Calibri" w:cs="Times New Roman"/>
      <w:i/>
      <w:iCs/>
      <w:color w:val="083A42"/>
    </w:rPr>
  </w:style>
  <w:style w:type="paragraph" w:styleId="Heading8">
    <w:name w:val="heading 8"/>
    <w:basedOn w:val="Normal"/>
    <w:next w:val="Normal"/>
    <w:link w:val="Heading8Char"/>
    <w:uiPriority w:val="9"/>
    <w:unhideWhenUsed/>
    <w:qFormat/>
    <w:rsid w:val="00E5550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5550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A0F0F"/>
    <w:rPr>
      <w:rFonts w:ascii="Calibri" w:eastAsia="Times New Roman" w:hAnsi="Calibri" w:cs="Times New Roman"/>
      <w:color w:val="083A42"/>
      <w:sz w:val="48"/>
      <w:szCs w:val="32"/>
    </w:rPr>
  </w:style>
  <w:style w:type="paragraph" w:styleId="Title">
    <w:name w:val="Title"/>
    <w:basedOn w:val="Normal"/>
    <w:next w:val="Normal"/>
    <w:link w:val="TitleChar"/>
    <w:uiPriority w:val="10"/>
    <w:qFormat/>
    <w:rsid w:val="00114BCD"/>
    <w:pPr>
      <w:pBdr>
        <w:bottom w:val="single" w:sz="8" w:space="1" w:color="083A42"/>
      </w:pBdr>
      <w:spacing w:before="3600" w:after="120" w:line="240" w:lineRule="auto"/>
      <w:contextualSpacing/>
      <w:outlineLvl w:val="0"/>
    </w:pPr>
    <w:rPr>
      <w:rFonts w:ascii="Calibri" w:eastAsia="Times New Roman" w:hAnsi="Calibri" w:cs="Times New Roman"/>
      <w:color w:val="083A42"/>
      <w:spacing w:val="-10"/>
      <w:kern w:val="28"/>
      <w:sz w:val="72"/>
      <w:szCs w:val="72"/>
    </w:rPr>
  </w:style>
  <w:style w:type="character" w:customStyle="1" w:styleId="TitleChar">
    <w:name w:val="Title Char"/>
    <w:basedOn w:val="DefaultParagraphFont"/>
    <w:link w:val="Title"/>
    <w:uiPriority w:val="10"/>
    <w:rsid w:val="00697567"/>
    <w:rPr>
      <w:rFonts w:ascii="Calibri" w:eastAsia="Times New Roman" w:hAnsi="Calibri" w:cs="Times New Roman"/>
      <w:color w:val="083A42"/>
      <w:spacing w:val="-10"/>
      <w:kern w:val="28"/>
      <w:sz w:val="72"/>
      <w:szCs w:val="72"/>
    </w:rPr>
  </w:style>
  <w:style w:type="paragraph" w:styleId="Subtitle">
    <w:name w:val="Subtitle"/>
    <w:basedOn w:val="Normal"/>
    <w:next w:val="Normal"/>
    <w:link w:val="SubtitleChar"/>
    <w:uiPriority w:val="11"/>
    <w:qFormat/>
    <w:rsid w:val="00114BCD"/>
    <w:pPr>
      <w:numPr>
        <w:ilvl w:val="1"/>
      </w:numPr>
    </w:pPr>
    <w:rPr>
      <w:rFonts w:ascii="Calibri" w:eastAsia="Times New Roman" w:hAnsi="Calibri" w:cs="Times New Roman"/>
      <w:color w:val="71BAAF"/>
      <w:sz w:val="40"/>
    </w:rPr>
  </w:style>
  <w:style w:type="character" w:customStyle="1" w:styleId="SubtitleChar">
    <w:name w:val="Subtitle Char"/>
    <w:basedOn w:val="DefaultParagraphFont"/>
    <w:link w:val="Subtitle"/>
    <w:uiPriority w:val="11"/>
    <w:rsid w:val="00697567"/>
    <w:rPr>
      <w:rFonts w:ascii="Calibri" w:eastAsia="Times New Roman" w:hAnsi="Calibri" w:cs="Times New Roman"/>
      <w:color w:val="71BAAF"/>
      <w:sz w:val="40"/>
    </w:rPr>
  </w:style>
  <w:style w:type="character" w:customStyle="1" w:styleId="Heading2Char">
    <w:name w:val="Heading 2 Char"/>
    <w:basedOn w:val="DefaultParagraphFont"/>
    <w:link w:val="Heading2"/>
    <w:uiPriority w:val="9"/>
    <w:rsid w:val="00EA0F0F"/>
    <w:rPr>
      <w:rFonts w:ascii="Calibri" w:eastAsia="Times New Roman" w:hAnsi="Calibri" w:cs="Times New Roman"/>
      <w:color w:val="BB4E06"/>
      <w:sz w:val="40"/>
      <w:szCs w:val="48"/>
    </w:rPr>
  </w:style>
  <w:style w:type="character" w:customStyle="1" w:styleId="Heading3Char">
    <w:name w:val="Heading 3 Char"/>
    <w:basedOn w:val="DefaultParagraphFont"/>
    <w:link w:val="Heading3"/>
    <w:uiPriority w:val="9"/>
    <w:rsid w:val="006E4001"/>
    <w:rPr>
      <w:rFonts w:ascii="Calibri" w:eastAsia="Times New Roman" w:hAnsi="Calibri" w:cs="Times New Roman"/>
      <w:color w:val="083A42"/>
      <w:sz w:val="32"/>
      <w:szCs w:val="40"/>
    </w:rPr>
  </w:style>
  <w:style w:type="character" w:customStyle="1" w:styleId="Heading4Char">
    <w:name w:val="Heading 4 Char"/>
    <w:basedOn w:val="DefaultParagraphFont"/>
    <w:link w:val="Heading4"/>
    <w:uiPriority w:val="9"/>
    <w:rsid w:val="006E4001"/>
    <w:rPr>
      <w:rFonts w:ascii="Calibri" w:eastAsia="Times New Roman" w:hAnsi="Calibri" w:cs="Times New Roman"/>
      <w:iCs/>
      <w:color w:val="BB4E06"/>
      <w:sz w:val="28"/>
      <w:szCs w:val="28"/>
    </w:rPr>
  </w:style>
  <w:style w:type="character" w:customStyle="1" w:styleId="Heading5Char">
    <w:name w:val="Heading 5 Char"/>
    <w:basedOn w:val="DefaultParagraphFont"/>
    <w:link w:val="Heading5"/>
    <w:uiPriority w:val="9"/>
    <w:rsid w:val="004632E9"/>
    <w:rPr>
      <w:rFonts w:ascii="Calibri" w:eastAsia="Times New Roman" w:hAnsi="Calibri" w:cs="Times New Roman"/>
      <w:color w:val="083A4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3E23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4632E9"/>
    <w:pPr>
      <w:ind w:left="720" w:hanging="360"/>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227AE5"/>
    <w:pPr>
      <w:keepNext/>
      <w:spacing w:after="120" w:line="240" w:lineRule="auto"/>
    </w:pPr>
    <w:rPr>
      <w:rFonts w:ascii="Calibri" w:eastAsia="Calibri" w:hAnsi="Calibri" w:cs="Times New Roman"/>
      <w:i/>
      <w:iCs/>
      <w:color w:val="408479"/>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ind w:left="360" w:hanging="360"/>
      <w:outlineLvl w:val="9"/>
    </w:pPr>
    <w:rPr>
      <w:lang w:val="en-US"/>
    </w:rPr>
  </w:style>
  <w:style w:type="paragraph" w:styleId="TOC1">
    <w:name w:val="toc 1"/>
    <w:basedOn w:val="Normal"/>
    <w:next w:val="Normal"/>
    <w:autoRedefine/>
    <w:uiPriority w:val="39"/>
    <w:unhideWhenUsed/>
    <w:rsid w:val="0099464C"/>
    <w:pPr>
      <w:tabs>
        <w:tab w:val="right" w:leader="dot" w:pos="9016"/>
      </w:tabs>
      <w:spacing w:after="100"/>
    </w:pPr>
  </w:style>
  <w:style w:type="paragraph" w:styleId="TOC2">
    <w:name w:val="toc 2"/>
    <w:basedOn w:val="Normal"/>
    <w:next w:val="Normal"/>
    <w:autoRedefine/>
    <w:uiPriority w:val="39"/>
    <w:unhideWhenUsed/>
    <w:rsid w:val="00DA50FC"/>
    <w:pPr>
      <w:tabs>
        <w:tab w:val="right" w:leader="dot" w:pos="8721"/>
      </w:tabs>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uiPriority w:val="99"/>
    <w:qFormat/>
    <w:rsid w:val="00B155B0"/>
    <w:pPr>
      <w:spacing w:after="0"/>
    </w:pPr>
    <w:rPr>
      <w:color w:val="1EAEFF" w:themeColor="accent2" w:themeTint="80"/>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114BCD"/>
    <w:pPr>
      <w:pBdr>
        <w:top w:val="single" w:sz="4" w:space="6" w:color="B8DCD7"/>
        <w:left w:val="single" w:sz="4" w:space="4" w:color="B8DCD7"/>
        <w:bottom w:val="single" w:sz="4" w:space="6" w:color="B8DCD7"/>
        <w:right w:val="single" w:sz="4" w:space="4" w:color="B8DCD7"/>
      </w:pBdr>
      <w:shd w:val="clear" w:color="auto" w:fill="B8DCD7"/>
      <w:contextualSpacing/>
    </w:pPr>
    <w:rPr>
      <w:rFonts w:ascii="Calibri" w:eastAsia="Calibri" w:hAnsi="Calibri" w:cs="Times New Roman"/>
    </w:rPr>
  </w:style>
  <w:style w:type="character" w:customStyle="1" w:styleId="Heading6Char">
    <w:name w:val="Heading 6 Char"/>
    <w:basedOn w:val="DefaultParagraphFont"/>
    <w:link w:val="Heading6"/>
    <w:uiPriority w:val="9"/>
    <w:rsid w:val="004632E9"/>
    <w:rPr>
      <w:rFonts w:ascii="Calibri" w:eastAsia="Times New Roman" w:hAnsi="Calibri" w:cs="Times New Roman"/>
      <w:color w:val="56240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Normal"/>
    <w:link w:val="AuthoranddateChar"/>
    <w:qFormat/>
    <w:rsid w:val="00114BCD"/>
    <w:pPr>
      <w:numPr>
        <w:ilvl w:val="1"/>
      </w:numPr>
    </w:pPr>
    <w:rPr>
      <w:rFonts w:ascii="Calibri" w:eastAsia="Times New Roman" w:hAnsi="Calibri" w:cs="Times New Roman"/>
      <w:color w:val="408479"/>
      <w:sz w:val="40"/>
      <w:szCs w:val="40"/>
    </w:rPr>
  </w:style>
  <w:style w:type="character" w:customStyle="1" w:styleId="AuthoranddateChar">
    <w:name w:val="Author and date Char"/>
    <w:basedOn w:val="SubtitleChar"/>
    <w:link w:val="Authoranddate"/>
    <w:rsid w:val="001D51DA"/>
    <w:rPr>
      <w:rFonts w:ascii="Calibri" w:eastAsia="Times New Roman" w:hAnsi="Calibri" w:cs="Times New Roman"/>
      <w:color w:val="408479"/>
      <w:sz w:val="40"/>
      <w:szCs w:val="40"/>
    </w:rPr>
  </w:style>
  <w:style w:type="paragraph" w:styleId="NormalWeb">
    <w:name w:val="Normal (Web)"/>
    <w:basedOn w:val="Normal"/>
    <w:uiPriority w:val="99"/>
    <w:unhideWhenUsed/>
    <w:rsid w:val="00DF6E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BookTitle">
    <w:name w:val="Book Title"/>
    <w:basedOn w:val="DefaultParagraphFont"/>
    <w:uiPriority w:val="33"/>
    <w:qFormat/>
    <w:rsid w:val="008E4C12"/>
    <w:rPr>
      <w:b/>
      <w:bCs/>
      <w:i/>
      <w:iCs/>
      <w:spacing w:val="5"/>
    </w:rPr>
  </w:style>
  <w:style w:type="character" w:customStyle="1" w:styleId="charsubscript">
    <w:name w:val="charsubscript"/>
    <w:basedOn w:val="DefaultParagraphFont"/>
    <w:rsid w:val="003B6E23"/>
  </w:style>
  <w:style w:type="paragraph" w:styleId="FootnoteText">
    <w:name w:val="footnote text"/>
    <w:basedOn w:val="Normal"/>
    <w:link w:val="FootnoteTextChar"/>
    <w:uiPriority w:val="99"/>
    <w:unhideWhenUsed/>
    <w:rsid w:val="004A3EEF"/>
    <w:pPr>
      <w:spacing w:after="0" w:line="240" w:lineRule="auto"/>
    </w:pPr>
    <w:rPr>
      <w:sz w:val="20"/>
      <w:szCs w:val="20"/>
    </w:rPr>
  </w:style>
  <w:style w:type="character" w:customStyle="1" w:styleId="FootnoteTextChar">
    <w:name w:val="Footnote Text Char"/>
    <w:basedOn w:val="DefaultParagraphFont"/>
    <w:link w:val="FootnoteText"/>
    <w:uiPriority w:val="99"/>
    <w:rsid w:val="004A3EEF"/>
    <w:rPr>
      <w:sz w:val="20"/>
      <w:szCs w:val="20"/>
    </w:rPr>
  </w:style>
  <w:style w:type="character" w:styleId="FootnoteReference">
    <w:name w:val="footnote reference"/>
    <w:basedOn w:val="DefaultParagraphFont"/>
    <w:uiPriority w:val="8"/>
    <w:unhideWhenUsed/>
    <w:rsid w:val="004A3EEF"/>
    <w:rPr>
      <w:vertAlign w:val="superscript"/>
    </w:rPr>
  </w:style>
  <w:style w:type="character" w:styleId="CommentReference">
    <w:name w:val="annotation reference"/>
    <w:basedOn w:val="DefaultParagraphFont"/>
    <w:uiPriority w:val="99"/>
    <w:semiHidden/>
    <w:unhideWhenUsed/>
    <w:rsid w:val="00E17EDB"/>
    <w:rPr>
      <w:sz w:val="16"/>
      <w:szCs w:val="16"/>
    </w:rPr>
  </w:style>
  <w:style w:type="paragraph" w:styleId="CommentText">
    <w:name w:val="annotation text"/>
    <w:basedOn w:val="Normal"/>
    <w:link w:val="CommentTextChar"/>
    <w:uiPriority w:val="99"/>
    <w:unhideWhenUsed/>
    <w:rsid w:val="00E17EDB"/>
    <w:pPr>
      <w:spacing w:line="240" w:lineRule="auto"/>
    </w:pPr>
    <w:rPr>
      <w:sz w:val="20"/>
      <w:szCs w:val="20"/>
    </w:rPr>
  </w:style>
  <w:style w:type="character" w:customStyle="1" w:styleId="CommentTextChar">
    <w:name w:val="Comment Text Char"/>
    <w:basedOn w:val="DefaultParagraphFont"/>
    <w:link w:val="CommentText"/>
    <w:uiPriority w:val="99"/>
    <w:rsid w:val="00E17EDB"/>
    <w:rPr>
      <w:sz w:val="20"/>
      <w:szCs w:val="20"/>
    </w:rPr>
  </w:style>
  <w:style w:type="paragraph" w:styleId="CommentSubject">
    <w:name w:val="annotation subject"/>
    <w:basedOn w:val="CommentText"/>
    <w:next w:val="CommentText"/>
    <w:link w:val="CommentSubjectChar"/>
    <w:uiPriority w:val="99"/>
    <w:semiHidden/>
    <w:unhideWhenUsed/>
    <w:rsid w:val="00E17EDB"/>
    <w:rPr>
      <w:b/>
      <w:bCs/>
    </w:rPr>
  </w:style>
  <w:style w:type="character" w:customStyle="1" w:styleId="CommentSubjectChar">
    <w:name w:val="Comment Subject Char"/>
    <w:basedOn w:val="CommentTextChar"/>
    <w:link w:val="CommentSubject"/>
    <w:uiPriority w:val="99"/>
    <w:semiHidden/>
    <w:rsid w:val="00E17EDB"/>
    <w:rPr>
      <w:b/>
      <w:bCs/>
      <w:sz w:val="20"/>
      <w:szCs w:val="20"/>
    </w:rPr>
  </w:style>
  <w:style w:type="paragraph" w:styleId="ListBullet">
    <w:name w:val="List Bullet"/>
    <w:basedOn w:val="Normal"/>
    <w:uiPriority w:val="4"/>
    <w:qFormat/>
    <w:rsid w:val="00736CD8"/>
    <w:pPr>
      <w:spacing w:after="280" w:line="280" w:lineRule="atLeast"/>
      <w:ind w:left="425" w:hanging="425"/>
      <w:contextualSpacing/>
    </w:pPr>
    <w:rPr>
      <w:rFonts w:ascii="Arial" w:hAnsi="Arial"/>
      <w:color w:val="000000" w:themeColor="text1" w:themeShade="80"/>
      <w:sz w:val="20"/>
    </w:rPr>
  </w:style>
  <w:style w:type="paragraph" w:styleId="ListBullet2">
    <w:name w:val="List Bullet 2"/>
    <w:basedOn w:val="ListBullet"/>
    <w:uiPriority w:val="4"/>
    <w:rsid w:val="00736CD8"/>
    <w:pPr>
      <w:ind w:left="850"/>
    </w:pPr>
  </w:style>
  <w:style w:type="paragraph" w:styleId="ListBullet3">
    <w:name w:val="List Bullet 3"/>
    <w:basedOn w:val="ListBullet2"/>
    <w:uiPriority w:val="4"/>
    <w:rsid w:val="00736CD8"/>
    <w:pPr>
      <w:tabs>
        <w:tab w:val="num" w:pos="360"/>
      </w:tabs>
      <w:ind w:left="1275"/>
    </w:pPr>
  </w:style>
  <w:style w:type="numbering" w:customStyle="1" w:styleId="List-ListBullet">
    <w:name w:val="List - List Bullet"/>
    <w:basedOn w:val="NoList"/>
    <w:uiPriority w:val="99"/>
    <w:rsid w:val="00F13A7C"/>
    <w:pPr>
      <w:numPr>
        <w:numId w:val="1"/>
      </w:numPr>
    </w:pPr>
  </w:style>
  <w:style w:type="paragraph" w:styleId="ListBullet4">
    <w:name w:val="List Bullet 4"/>
    <w:basedOn w:val="ListBullet3"/>
    <w:uiPriority w:val="4"/>
    <w:rsid w:val="00736CD8"/>
    <w:pPr>
      <w:ind w:left="1700"/>
    </w:pPr>
  </w:style>
  <w:style w:type="paragraph" w:styleId="ListBullet5">
    <w:name w:val="List Bullet 5"/>
    <w:basedOn w:val="ListBullet4"/>
    <w:uiPriority w:val="4"/>
    <w:rsid w:val="00736CD8"/>
    <w:pPr>
      <w:ind w:left="2125"/>
    </w:pPr>
  </w:style>
  <w:style w:type="table" w:customStyle="1" w:styleId="EPLTablePlain">
    <w:name w:val="EPL_Table_Plain"/>
    <w:basedOn w:val="TableNormal"/>
    <w:rsid w:val="00AE0AC7"/>
    <w:pPr>
      <w:spacing w:after="80" w:line="280" w:lineRule="atLeast"/>
      <w:contextualSpacing/>
    </w:pPr>
    <w:rPr>
      <w:rFonts w:ascii="Arial" w:eastAsia="Times New Roman" w:hAnsi="Arial" w:cs="Times New Roman"/>
      <w:sz w:val="18"/>
      <w:szCs w:val="20"/>
      <w:lang w:eastAsia="en-AU"/>
    </w:rPr>
    <w:tblPr>
      <w:tblCellSpacing w:w="28" w:type="dxa"/>
      <w:tblCellMar>
        <w:top w:w="57" w:type="dxa"/>
        <w:left w:w="142" w:type="dxa"/>
        <w:bottom w:w="57" w:type="dxa"/>
        <w:right w:w="142" w:type="dxa"/>
      </w:tblCellMar>
    </w:tblPr>
    <w:trPr>
      <w:tblCellSpacing w:w="28" w:type="dxa"/>
    </w:trPr>
    <w:tcPr>
      <w:shd w:val="clear" w:color="auto" w:fill="F3F3F3"/>
    </w:tcPr>
    <w:tblStylePr w:type="firstRow">
      <w:pPr>
        <w:wordWrap/>
        <w:jc w:val="center"/>
      </w:pPr>
      <w:rPr>
        <w:rFonts w:ascii="Arial Bold" w:hAnsi="Arial Bold"/>
        <w:b/>
        <w:color w:val="000000" w:themeColor="text1"/>
        <w:sz w:val="18"/>
      </w:rPr>
      <w:tblPr/>
      <w:tcPr>
        <w:tcBorders>
          <w:top w:val="single" w:sz="12" w:space="0" w:color="939598" w:themeColor="accent1"/>
          <w:left w:val="nil"/>
          <w:bottom w:val="nil"/>
          <w:right w:val="nil"/>
          <w:insideH w:val="nil"/>
          <w:insideV w:val="nil"/>
          <w:tl2br w:val="nil"/>
          <w:tr2bl w:val="nil"/>
        </w:tcBorders>
        <w:shd w:val="clear" w:color="auto" w:fill="FFFFFF"/>
        <w:vAlign w:val="center"/>
      </w:tcPr>
    </w:tblStylePr>
  </w:style>
  <w:style w:type="paragraph" w:styleId="BodyText">
    <w:name w:val="Body Text"/>
    <w:basedOn w:val="Normal"/>
    <w:link w:val="BodyTextChar"/>
    <w:uiPriority w:val="99"/>
    <w:unhideWhenUsed/>
    <w:rsid w:val="009715E1"/>
    <w:pPr>
      <w:spacing w:after="120" w:line="280" w:lineRule="atLeast"/>
    </w:pPr>
    <w:rPr>
      <w:rFonts w:ascii="Arial" w:hAnsi="Arial"/>
      <w:color w:val="000000" w:themeColor="text1" w:themeShade="80"/>
      <w:sz w:val="20"/>
    </w:rPr>
  </w:style>
  <w:style w:type="character" w:customStyle="1" w:styleId="BodyTextChar">
    <w:name w:val="Body Text Char"/>
    <w:basedOn w:val="DefaultParagraphFont"/>
    <w:link w:val="BodyText"/>
    <w:uiPriority w:val="99"/>
    <w:rsid w:val="009715E1"/>
    <w:rPr>
      <w:rFonts w:ascii="Arial" w:hAnsi="Arial"/>
      <w:color w:val="000000" w:themeColor="text1" w:themeShade="80"/>
      <w:sz w:val="20"/>
    </w:rPr>
  </w:style>
  <w:style w:type="table" w:customStyle="1" w:styleId="EPLTableStandard">
    <w:name w:val="EPL_Table_Standard"/>
    <w:basedOn w:val="TableNormal"/>
    <w:rsid w:val="00A856F8"/>
    <w:pPr>
      <w:spacing w:after="80" w:line="280" w:lineRule="atLeast"/>
      <w:contextualSpacing/>
    </w:pPr>
    <w:rPr>
      <w:rFonts w:ascii="Arial" w:eastAsia="Times New Roman" w:hAnsi="Arial" w:cs="Times New Roman"/>
      <w:sz w:val="18"/>
      <w:szCs w:val="18"/>
      <w:lang w:eastAsia="en-AU"/>
    </w:rPr>
    <w:tblPr>
      <w:tblStyleRowBandSize w:val="1"/>
      <w:tblStyleColBandSize w:val="1"/>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CellMar>
        <w:top w:w="57" w:type="dxa"/>
        <w:left w:w="142" w:type="dxa"/>
        <w:bottom w:w="57" w:type="dxa"/>
        <w:right w:w="142" w:type="dxa"/>
      </w:tblCellMar>
    </w:tblPr>
    <w:tblStylePr w:type="firstRow">
      <w:pPr>
        <w:wordWrap/>
        <w:jc w:val="center"/>
      </w:pPr>
      <w:rPr>
        <w:rFonts w:ascii="Arial Bold" w:hAnsi="Arial Bold"/>
        <w:b/>
        <w:i w:val="0"/>
        <w:color w:val="auto"/>
        <w:sz w:val="18"/>
        <w:szCs w:val="18"/>
      </w:rPr>
      <w:tblPr/>
      <w:tcPr>
        <w:tcBorders>
          <w:top w:val="single" w:sz="12" w:space="0" w:color="F48024"/>
          <w:left w:val="nil"/>
          <w:bottom w:val="nil"/>
          <w:right w:val="nil"/>
          <w:insideH w:val="nil"/>
          <w:insideV w:val="nil"/>
          <w:tl2br w:val="nil"/>
          <w:tr2bl w:val="nil"/>
        </w:tcBorders>
      </w:tcPr>
    </w:tblStylePr>
    <w:tblStylePr w:type="lastRow">
      <w:tblPr/>
      <w:tcPr>
        <w:tcBorders>
          <w:top w:val="nil"/>
          <w:left w:val="nil"/>
          <w:bottom w:val="single" w:sz="4" w:space="0" w:color="005677" w:themeColor="text2"/>
          <w:right w:val="nil"/>
          <w:insideH w:val="nil"/>
          <w:insideV w:val="nil"/>
          <w:tl2br w:val="nil"/>
          <w:tr2bl w:val="nil"/>
        </w:tcBorders>
      </w:tcPr>
    </w:tblStylePr>
    <w:tblStylePr w:type="firstCol">
      <w:pPr>
        <w:wordWrap/>
        <w:spacing w:beforeLines="0" w:before="0" w:beforeAutospacing="0" w:afterLines="0" w:after="0" w:afterAutospacing="0" w:line="280" w:lineRule="atLeast"/>
      </w:pPr>
      <w:tblPr/>
      <w:tcPr>
        <w:tcBorders>
          <w:top w:val="nil"/>
          <w:left w:val="nil"/>
          <w:bottom w:val="nil"/>
          <w:right w:val="single" w:sz="4" w:space="0" w:color="000000" w:themeColor="text1"/>
          <w:insideH w:val="nil"/>
          <w:insideV w:val="nil"/>
          <w:tl2br w:val="nil"/>
          <w:tr2bl w:val="nil"/>
        </w:tcBorders>
      </w:tcPr>
    </w:tblStylePr>
    <w:tblStylePr w:type="lastCol">
      <w:pPr>
        <w:wordWrap/>
        <w:spacing w:beforeLines="0" w:before="0" w:beforeAutospacing="0" w:afterLines="0" w:after="0" w:afterAutospacing="0" w:line="280" w:lineRule="atLeast"/>
      </w:pPr>
      <w:tblPr/>
      <w:tcPr>
        <w:tcBorders>
          <w:top w:val="nil"/>
          <w:left w:val="single" w:sz="4" w:space="0" w:color="000000" w:themeColor="text1"/>
          <w:bottom w:val="nil"/>
          <w:right w:val="nil"/>
          <w:insideH w:val="nil"/>
          <w:insideV w:val="nil"/>
          <w:tl2br w:val="nil"/>
          <w:tr2bl w:val="nil"/>
        </w:tcBorders>
      </w:tcPr>
    </w:tblStylePr>
    <w:tblStylePr w:type="band1Vert">
      <w:pPr>
        <w:wordWrap/>
        <w:spacing w:beforeLines="0" w:before="0" w:beforeAutospacing="0" w:afterLines="0" w:after="0" w:afterAutospacing="0" w:line="280" w:lineRule="atLeast"/>
      </w:pPr>
    </w:tblStylePr>
    <w:tblStylePr w:type="band2Vert">
      <w:pPr>
        <w:wordWrap/>
        <w:spacing w:beforeLines="0" w:before="0" w:beforeAutospacing="0" w:afterLines="0" w:after="0" w:afterAutospacing="0" w:line="280" w:lineRule="atLeast"/>
      </w:pPr>
    </w:tblStylePr>
    <w:tblStylePr w:type="band1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shd w:val="clear" w:color="auto" w:fill="E5E5E6"/>
      </w:tcPr>
    </w:tblStylePr>
    <w:tblStylePr w:type="band2Horz">
      <w:pPr>
        <w:wordWrap/>
        <w:spacing w:beforeLines="0" w:before="0" w:beforeAutospacing="0" w:afterLines="0" w:after="0" w:afterAutospacing="0" w:line="280" w:lineRule="atLeast"/>
      </w:pPr>
      <w:rPr>
        <w:sz w:val="18"/>
      </w:rPr>
      <w:tblPr/>
      <w:tcPr>
        <w:tcBorders>
          <w:top w:val="nil"/>
          <w:left w:val="nil"/>
          <w:bottom w:val="nil"/>
          <w:right w:val="nil"/>
          <w:insideH w:val="nil"/>
          <w:insideV w:val="single" w:sz="4" w:space="0" w:color="000000" w:themeColor="text1"/>
          <w:tl2br w:val="nil"/>
          <w:tr2bl w:val="nil"/>
        </w:tcBorders>
      </w:tcPr>
    </w:tblStylePr>
  </w:style>
  <w:style w:type="paragraph" w:customStyle="1" w:styleId="Default">
    <w:name w:val="Default"/>
    <w:uiPriority w:val="99"/>
    <w:rsid w:val="004D70F9"/>
    <w:pPr>
      <w:autoSpaceDE w:val="0"/>
      <w:autoSpaceDN w:val="0"/>
      <w:adjustRightInd w:val="0"/>
      <w:spacing w:after="0" w:line="240" w:lineRule="auto"/>
    </w:pPr>
    <w:rPr>
      <w:rFonts w:ascii="Arial" w:hAnsi="Arial" w:cs="Arial"/>
      <w:color w:val="000000"/>
      <w:sz w:val="24"/>
      <w:szCs w:val="24"/>
    </w:rPr>
  </w:style>
  <w:style w:type="character" w:customStyle="1" w:styleId="acopre">
    <w:name w:val="acopre"/>
    <w:basedOn w:val="DefaultParagraphFont"/>
    <w:rsid w:val="00E65F4C"/>
  </w:style>
  <w:style w:type="paragraph" w:styleId="Revision">
    <w:name w:val="Revision"/>
    <w:hidden/>
    <w:uiPriority w:val="99"/>
    <w:semiHidden/>
    <w:rsid w:val="007D5DCB"/>
    <w:pPr>
      <w:spacing w:after="0" w:line="240" w:lineRule="auto"/>
    </w:pPr>
  </w:style>
  <w:style w:type="character" w:customStyle="1" w:styleId="acopre1">
    <w:name w:val="acopre1"/>
    <w:basedOn w:val="DefaultParagraphFont"/>
    <w:rsid w:val="00171DB6"/>
  </w:style>
  <w:style w:type="table" w:styleId="ListTable3-Accent4">
    <w:name w:val="List Table 3 Accent 4"/>
    <w:basedOn w:val="TableNormal"/>
    <w:uiPriority w:val="48"/>
    <w:rsid w:val="006D6BDF"/>
    <w:pPr>
      <w:spacing w:after="0" w:line="240" w:lineRule="auto"/>
    </w:pPr>
    <w:tblPr>
      <w:tblStyleRowBandSize w:val="1"/>
      <w:tblStyleColBandSize w:val="1"/>
      <w:tblBorders>
        <w:top w:val="single" w:sz="4" w:space="0" w:color="61C6C6" w:themeColor="accent4"/>
        <w:left w:val="single" w:sz="4" w:space="0" w:color="61C6C6" w:themeColor="accent4"/>
        <w:bottom w:val="single" w:sz="4" w:space="0" w:color="61C6C6" w:themeColor="accent4"/>
        <w:right w:val="single" w:sz="4" w:space="0" w:color="61C6C6" w:themeColor="accent4"/>
      </w:tblBorders>
    </w:tblPr>
    <w:tblStylePr w:type="firstRow">
      <w:rPr>
        <w:b/>
        <w:bCs/>
        <w:color w:val="FFFFFF" w:themeColor="background1"/>
      </w:rPr>
      <w:tblPr/>
      <w:tcPr>
        <w:shd w:val="clear" w:color="auto" w:fill="61C6C6" w:themeFill="accent4"/>
      </w:tcPr>
    </w:tblStylePr>
    <w:tblStylePr w:type="lastRow">
      <w:rPr>
        <w:b/>
        <w:bCs/>
      </w:rPr>
      <w:tblPr/>
      <w:tcPr>
        <w:tcBorders>
          <w:top w:val="double" w:sz="4" w:space="0" w:color="61C6C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C6C6" w:themeColor="accent4"/>
          <w:right w:val="single" w:sz="4" w:space="0" w:color="61C6C6" w:themeColor="accent4"/>
        </w:tcBorders>
      </w:tcPr>
    </w:tblStylePr>
    <w:tblStylePr w:type="band1Horz">
      <w:tblPr/>
      <w:tcPr>
        <w:tcBorders>
          <w:top w:val="single" w:sz="4" w:space="0" w:color="61C6C6" w:themeColor="accent4"/>
          <w:bottom w:val="single" w:sz="4" w:space="0" w:color="61C6C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C6C6" w:themeColor="accent4"/>
          <w:left w:val="nil"/>
        </w:tcBorders>
      </w:tcPr>
    </w:tblStylePr>
    <w:tblStylePr w:type="swCell">
      <w:tblPr/>
      <w:tcPr>
        <w:tcBorders>
          <w:top w:val="double" w:sz="4" w:space="0" w:color="61C6C6" w:themeColor="accent4"/>
          <w:right w:val="nil"/>
        </w:tcBorders>
      </w:tcPr>
    </w:tblStylePr>
  </w:style>
  <w:style w:type="character" w:styleId="FollowedHyperlink">
    <w:name w:val="FollowedHyperlink"/>
    <w:basedOn w:val="DefaultParagraphFont"/>
    <w:uiPriority w:val="99"/>
    <w:semiHidden/>
    <w:unhideWhenUsed/>
    <w:rsid w:val="00731FCA"/>
    <w:rPr>
      <w:color w:val="551A8B" w:themeColor="followedHyperlink"/>
      <w:u w:val="single"/>
    </w:rPr>
  </w:style>
  <w:style w:type="paragraph" w:styleId="ListNumber">
    <w:name w:val="List Number"/>
    <w:basedOn w:val="Normal"/>
    <w:uiPriority w:val="99"/>
    <w:qFormat/>
    <w:rsid w:val="00B3674A"/>
    <w:pPr>
      <w:numPr>
        <w:numId w:val="2"/>
      </w:numPr>
      <w:spacing w:after="200" w:line="276" w:lineRule="auto"/>
    </w:pPr>
    <w:rPr>
      <w:rFonts w:ascii="Arial" w:eastAsia="Calibri" w:hAnsi="Arial" w:cs="Times New Roman"/>
    </w:rPr>
  </w:style>
  <w:style w:type="paragraph" w:styleId="ListNumber2">
    <w:name w:val="List Number 2"/>
    <w:basedOn w:val="Normal"/>
    <w:uiPriority w:val="99"/>
    <w:rsid w:val="00B3674A"/>
    <w:pPr>
      <w:numPr>
        <w:ilvl w:val="1"/>
        <w:numId w:val="2"/>
      </w:numPr>
      <w:spacing w:after="200" w:line="276" w:lineRule="auto"/>
    </w:pPr>
    <w:rPr>
      <w:rFonts w:ascii="Arial" w:eastAsia="Calibri" w:hAnsi="Arial" w:cs="Times New Roman"/>
    </w:rPr>
  </w:style>
  <w:style w:type="paragraph" w:styleId="ListNumber3">
    <w:name w:val="List Number 3"/>
    <w:basedOn w:val="Normal"/>
    <w:uiPriority w:val="99"/>
    <w:rsid w:val="00B3674A"/>
    <w:pPr>
      <w:numPr>
        <w:ilvl w:val="2"/>
        <w:numId w:val="2"/>
      </w:numPr>
      <w:spacing w:after="200" w:line="276" w:lineRule="auto"/>
    </w:pPr>
    <w:rPr>
      <w:rFonts w:ascii="Arial" w:eastAsia="Calibri" w:hAnsi="Arial" w:cs="Times New Roman"/>
    </w:rPr>
  </w:style>
  <w:style w:type="paragraph" w:styleId="ListNumber4">
    <w:name w:val="List Number 4"/>
    <w:basedOn w:val="Normal"/>
    <w:uiPriority w:val="99"/>
    <w:rsid w:val="00B3674A"/>
    <w:pPr>
      <w:numPr>
        <w:ilvl w:val="3"/>
        <w:numId w:val="2"/>
      </w:numPr>
      <w:spacing w:after="200" w:line="276" w:lineRule="auto"/>
    </w:pPr>
    <w:rPr>
      <w:rFonts w:ascii="Arial" w:eastAsia="Calibri" w:hAnsi="Arial" w:cs="Times New Roman"/>
    </w:rPr>
  </w:style>
  <w:style w:type="paragraph" w:styleId="ListNumber5">
    <w:name w:val="List Number 5"/>
    <w:basedOn w:val="Normal"/>
    <w:uiPriority w:val="99"/>
    <w:rsid w:val="00B3674A"/>
    <w:pPr>
      <w:numPr>
        <w:ilvl w:val="4"/>
        <w:numId w:val="2"/>
      </w:numPr>
      <w:spacing w:after="200" w:line="276" w:lineRule="auto"/>
    </w:pPr>
    <w:rPr>
      <w:rFonts w:ascii="Arial" w:eastAsia="Calibri" w:hAnsi="Arial" w:cs="Times New Roman"/>
    </w:rPr>
  </w:style>
  <w:style w:type="character" w:customStyle="1" w:styleId="Heading7Char">
    <w:name w:val="Heading 7 Char"/>
    <w:basedOn w:val="DefaultParagraphFont"/>
    <w:link w:val="Heading7"/>
    <w:uiPriority w:val="9"/>
    <w:rsid w:val="007C2F92"/>
    <w:rPr>
      <w:rFonts w:ascii="Calibri" w:eastAsia="Times New Roman" w:hAnsi="Calibri" w:cs="Times New Roman"/>
      <w:i/>
      <w:iCs/>
      <w:color w:val="083A42"/>
    </w:rPr>
  </w:style>
  <w:style w:type="table" w:customStyle="1" w:styleId="CERCallout">
    <w:name w:val="CER Callout"/>
    <w:basedOn w:val="TableNormal"/>
    <w:uiPriority w:val="99"/>
    <w:rsid w:val="007E3535"/>
    <w:pPr>
      <w:spacing w:before="100" w:beforeAutospacing="1" w:after="240" w:line="240" w:lineRule="auto"/>
      <w:ind w:left="284" w:right="284"/>
    </w:pPr>
    <w:rPr>
      <w:rFonts w:eastAsia="Cambria" w:cs="Times New Roman"/>
      <w:sz w:val="20"/>
      <w:szCs w:val="20"/>
      <w:lang w:eastAsia="en-AU"/>
    </w:rPr>
    <w:tblPr>
      <w:tblBorders>
        <w:left w:val="single" w:sz="24" w:space="0" w:color="939598"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39598" w:themeColor="accent1"/>
          <w:bottom w:val="nil"/>
          <w:right w:val="nil"/>
          <w:insideH w:val="nil"/>
          <w:insideV w:val="nil"/>
          <w:tl2br w:val="nil"/>
          <w:tr2bl w:val="nil"/>
        </w:tcBorders>
        <w:noWrap/>
      </w:tcPr>
    </w:tblStylePr>
  </w:style>
  <w:style w:type="character" w:customStyle="1" w:styleId="normaltextrun">
    <w:name w:val="normaltextrun"/>
    <w:basedOn w:val="DefaultParagraphFont"/>
    <w:rsid w:val="007E3535"/>
  </w:style>
  <w:style w:type="character" w:customStyle="1" w:styleId="Heading8Char">
    <w:name w:val="Heading 8 Char"/>
    <w:basedOn w:val="DefaultParagraphFont"/>
    <w:link w:val="Heading8"/>
    <w:uiPriority w:val="9"/>
    <w:rsid w:val="00E555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55500"/>
    <w:rPr>
      <w:rFonts w:asciiTheme="majorHAnsi" w:eastAsiaTheme="majorEastAsia" w:hAnsiTheme="majorHAnsi" w:cstheme="majorBidi"/>
      <w:i/>
      <w:iCs/>
      <w:color w:val="272727" w:themeColor="text1" w:themeTint="D8"/>
      <w:sz w:val="21"/>
      <w:szCs w:val="21"/>
    </w:rPr>
  </w:style>
  <w:style w:type="table" w:customStyle="1" w:styleId="CERTable">
    <w:name w:val="CER Table"/>
    <w:basedOn w:val="TableNormal"/>
    <w:uiPriority w:val="99"/>
    <w:rsid w:val="00145DFB"/>
    <w:pPr>
      <w:spacing w:before="120" w:after="0" w:line="240" w:lineRule="auto"/>
    </w:pPr>
    <w:rPr>
      <w:rFonts w:ascii="Calibri" w:eastAsia="Cambria" w:hAnsi="Calibri" w:cs="Times New Roman"/>
      <w:color w:val="000000" w:themeColor="text1"/>
      <w:kern w:val="2"/>
      <w:sz w:val="20"/>
      <w:szCs w:val="20"/>
      <w:lang w:eastAsia="en-AU"/>
    </w:rPr>
    <w:tblPr>
      <w:tblStyleRowBandSize w:val="1"/>
      <w:tblBorders>
        <w:top w:val="single" w:sz="8" w:space="0" w:color="00283E" w:themeColor="accent2"/>
        <w:bottom w:val="single" w:sz="8" w:space="0" w:color="00283E" w:themeColor="accent2"/>
        <w:insideH w:val="single" w:sz="8" w:space="0" w:color="58595B"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00283E" w:themeColor="accent2"/>
          <w:right w:val="nil"/>
          <w:insideH w:val="nil"/>
          <w:insideV w:val="nil"/>
          <w:tl2br w:val="nil"/>
          <w:tr2bl w:val="nil"/>
        </w:tcBorders>
        <w:shd w:val="clear" w:color="auto" w:fill="58595B"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4F505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locked/>
    <w:rsid w:val="005815C8"/>
  </w:style>
  <w:style w:type="paragraph" w:customStyle="1" w:styleId="ListParagraphs">
    <w:name w:val="List Paragraphs"/>
    <w:basedOn w:val="ListParagraph"/>
    <w:link w:val="ListParagraphsChar"/>
    <w:uiPriority w:val="7"/>
    <w:qFormat/>
    <w:rsid w:val="00BD38FF"/>
    <w:pPr>
      <w:ind w:left="360"/>
    </w:pPr>
  </w:style>
  <w:style w:type="character" w:customStyle="1" w:styleId="ListParagraphsChar">
    <w:name w:val="List Paragraphs Char"/>
    <w:basedOn w:val="DefaultParagraphFont"/>
    <w:link w:val="ListParagraphs"/>
    <w:uiPriority w:val="7"/>
    <w:rsid w:val="00BD38FF"/>
  </w:style>
  <w:style w:type="numbering" w:customStyle="1" w:styleId="List-ListBullet1">
    <w:name w:val="List - List Bullet1"/>
    <w:basedOn w:val="NoList"/>
    <w:uiPriority w:val="99"/>
    <w:rsid w:val="00007D1C"/>
    <w:pPr>
      <w:numPr>
        <w:numId w:val="4"/>
      </w:numPr>
    </w:pPr>
  </w:style>
  <w:style w:type="paragraph" w:customStyle="1" w:styleId="CERbullets">
    <w:name w:val="CER bullets"/>
    <w:basedOn w:val="Normal"/>
    <w:link w:val="CERbulletsChar"/>
    <w:uiPriority w:val="7"/>
    <w:qFormat/>
    <w:rsid w:val="00007D1C"/>
    <w:pPr>
      <w:spacing w:before="120" w:after="120" w:line="240" w:lineRule="auto"/>
      <w:ind w:left="360" w:hanging="360"/>
    </w:pPr>
    <w:rPr>
      <w:rFonts w:eastAsia="Cambria" w:cstheme="minorHAnsi"/>
      <w:szCs w:val="24"/>
    </w:rPr>
  </w:style>
  <w:style w:type="character" w:customStyle="1" w:styleId="CERbulletsChar">
    <w:name w:val="CER bullets Char"/>
    <w:basedOn w:val="DefaultParagraphFont"/>
    <w:link w:val="CERbullets"/>
    <w:uiPriority w:val="7"/>
    <w:rsid w:val="00007D1C"/>
    <w:rPr>
      <w:rFonts w:eastAsia="Cambria" w:cstheme="minorHAnsi"/>
      <w:szCs w:val="24"/>
    </w:rPr>
  </w:style>
  <w:style w:type="character" w:customStyle="1" w:styleId="UnresolvedMention1">
    <w:name w:val="Unresolved Mention1"/>
    <w:basedOn w:val="DefaultParagraphFont"/>
    <w:uiPriority w:val="99"/>
    <w:semiHidden/>
    <w:unhideWhenUsed/>
    <w:rsid w:val="00007D1C"/>
    <w:rPr>
      <w:color w:val="605E5C"/>
      <w:shd w:val="clear" w:color="auto" w:fill="E1DFDD"/>
    </w:rPr>
  </w:style>
  <w:style w:type="table" w:styleId="PlainTable3">
    <w:name w:val="Plain Table 3"/>
    <w:basedOn w:val="TableNormal"/>
    <w:uiPriority w:val="43"/>
    <w:rsid w:val="00A70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ield">
    <w:name w:val="field"/>
    <w:basedOn w:val="DefaultParagraphFont"/>
    <w:rsid w:val="00CC33AB"/>
  </w:style>
  <w:style w:type="character" w:customStyle="1" w:styleId="eop">
    <w:name w:val="eop"/>
    <w:basedOn w:val="DefaultParagraphFont"/>
    <w:rsid w:val="00814275"/>
  </w:style>
  <w:style w:type="table" w:customStyle="1" w:styleId="CERTable1">
    <w:name w:val="CER Table1"/>
    <w:basedOn w:val="TableNormal"/>
    <w:uiPriority w:val="99"/>
    <w:rsid w:val="00FC1569"/>
    <w:pPr>
      <w:spacing w:before="120" w:after="0" w:line="240" w:lineRule="auto"/>
    </w:pPr>
    <w:rPr>
      <w:rFonts w:ascii="Calibri" w:eastAsia="Cambria" w:hAnsi="Calibri" w:cs="Times New Roman"/>
      <w:color w:val="000000"/>
      <w:kern w:val="2"/>
      <w:sz w:val="20"/>
      <w:szCs w:val="20"/>
      <w:lang w:eastAsia="en-AU"/>
    </w:rPr>
    <w:tblPr>
      <w:tblStyleRowBandSize w:val="1"/>
      <w:tblInd w:w="0" w:type="nil"/>
      <w:tblBorders>
        <w:top w:val="single" w:sz="8" w:space="0" w:color="FCBA5C"/>
        <w:bottom w:val="single" w:sz="8" w:space="0" w:color="FCBA5C"/>
        <w:insideH w:val="single" w:sz="8" w:space="0" w:color="E8E8E8"/>
      </w:tblBorders>
    </w:tblPr>
    <w:tblStylePr w:type="firstRow">
      <w:pPr>
        <w:wordWrap/>
        <w:spacing w:beforeLines="0" w:before="100" w:beforeAutospacing="1" w:afterLines="0" w:after="100" w:afterAutospacing="1" w:line="240" w:lineRule="auto"/>
        <w:ind w:leftChars="0" w:left="0" w:rightChars="0" w:right="0"/>
        <w:mirrorIndents w:val="0"/>
        <w:jc w:val="left"/>
        <w:outlineLvl w:val="9"/>
      </w:pPr>
      <w:rPr>
        <w:rFonts w:ascii="Calibri" w:hAnsi="Calibri" w:cs="Calibri" w:hint="default"/>
        <w:b/>
        <w:color w:val="auto"/>
        <w:sz w:val="20"/>
        <w:szCs w:val="20"/>
      </w:rPr>
      <w:tblPr/>
      <w:tcPr>
        <w:tcBorders>
          <w:top w:val="nil"/>
          <w:left w:val="nil"/>
          <w:bottom w:val="single" w:sz="18" w:space="0" w:color="FCBA5C"/>
          <w:right w:val="nil"/>
          <w:insideH w:val="nil"/>
          <w:insideV w:val="nil"/>
          <w:tl2br w:val="nil"/>
          <w:tr2bl w:val="nil"/>
        </w:tcBorders>
        <w:shd w:val="clear" w:color="auto" w:fill="E8E8E8"/>
      </w:tcPr>
    </w:tblStylePr>
    <w:tblStylePr w:type="lastRow">
      <w:pPr>
        <w:wordWrap/>
        <w:spacing w:beforeLines="0" w:before="100" w:beforeAutospacing="1" w:afterLines="0" w:after="100" w:afterAutospacing="1"/>
      </w:pPr>
      <w:rPr>
        <w:rFonts w:ascii="Calibri" w:hAnsi="Calibri" w:cs="Calibri" w:hint="default"/>
        <w:b/>
      </w:rPr>
      <w:tblPr/>
      <w:tcPr>
        <w:vAlign w:val="center"/>
      </w:tcPr>
    </w:tblStylePr>
    <w:tblStylePr w:type="firstCol">
      <w:pPr>
        <w:wordWrap/>
        <w:ind w:leftChars="0" w:left="0" w:rightChars="0" w:right="0"/>
      </w:pPr>
      <w:rPr>
        <w:rFonts w:ascii="Calibri" w:hAnsi="Calibri" w:cs="Calibri" w:hint="default"/>
        <w:b/>
        <w:i w:val="0"/>
        <w:color w:val="000000"/>
      </w:rPr>
      <w:tblPr/>
      <w:tcPr>
        <w:shd w:val="clear" w:color="auto" w:fill="F2F2F2"/>
      </w:tcPr>
    </w:tblStylePr>
    <w:tblStylePr w:type="band1Horz">
      <w:rPr>
        <w:rFonts w:ascii="Calibri" w:hAnsi="Calibri" w:cs="Calibri" w:hint="default"/>
      </w:rPr>
      <w:tblPr/>
      <w:tcPr>
        <w:tcBorders>
          <w:top w:val="nil"/>
          <w:left w:val="nil"/>
          <w:bottom w:val="single" w:sz="4" w:space="0" w:color="D1D1D1"/>
          <w:right w:val="nil"/>
          <w:insideH w:val="nil"/>
          <w:insideV w:val="nil"/>
          <w:tl2br w:val="nil"/>
          <w:tr2bl w:val="nil"/>
        </w:tcBorders>
      </w:tcPr>
    </w:tblStylePr>
    <w:tblStylePr w:type="band2Horz">
      <w:rPr>
        <w:rFonts w:ascii="Calibri" w:hAnsi="Calibri" w:cs="Calibri" w:hint="default"/>
      </w:rPr>
      <w:tblPr/>
      <w:tcPr>
        <w:tcBorders>
          <w:insideH w:val="nil"/>
        </w:tcBorders>
      </w:tcPr>
    </w:tblStylePr>
  </w:style>
  <w:style w:type="paragraph" w:customStyle="1" w:styleId="BodyText1">
    <w:name w:val="Body Text1"/>
    <w:basedOn w:val="Normal"/>
    <w:uiPriority w:val="8"/>
    <w:qFormat/>
    <w:rsid w:val="00A87F8A"/>
    <w:pPr>
      <w:spacing w:before="200" w:after="200" w:line="240" w:lineRule="auto"/>
    </w:pPr>
    <w:rPr>
      <w:rFonts w:eastAsia="Cambria" w:cstheme="minorHAnsi"/>
      <w:color w:val="000000" w:themeColor="text1"/>
      <w:szCs w:val="24"/>
    </w:rPr>
  </w:style>
  <w:style w:type="paragraph" w:customStyle="1" w:styleId="paragraph">
    <w:name w:val="paragraph"/>
    <w:basedOn w:val="Normal"/>
    <w:rsid w:val="00A87F8A"/>
    <w:pPr>
      <w:spacing w:before="100" w:beforeAutospacing="1" w:after="100" w:afterAutospacing="1" w:line="240" w:lineRule="auto"/>
    </w:pPr>
    <w:rPr>
      <w:rFonts w:ascii="Times New Roman" w:eastAsia="Times New Roman" w:hAnsi="Times New Roman" w:cs="Times New Roman"/>
      <w:sz w:val="24"/>
      <w:szCs w:val="24"/>
      <w:lang w:eastAsia="zh-CN"/>
    </w:rPr>
  </w:style>
  <w:style w:type="numbering" w:customStyle="1" w:styleId="Attach">
    <w:name w:val="Attach"/>
    <w:basedOn w:val="NoList"/>
    <w:uiPriority w:val="99"/>
    <w:rsid w:val="00170BBC"/>
    <w:pPr>
      <w:numPr>
        <w:numId w:val="13"/>
      </w:numPr>
    </w:pPr>
  </w:style>
  <w:style w:type="character" w:customStyle="1" w:styleId="Advisorytext">
    <w:name w:val="Advisory text"/>
    <w:basedOn w:val="DefaultParagraphFont"/>
    <w:uiPriority w:val="99"/>
    <w:rsid w:val="00F83DF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642">
      <w:bodyDiv w:val="1"/>
      <w:marLeft w:val="0"/>
      <w:marRight w:val="0"/>
      <w:marTop w:val="0"/>
      <w:marBottom w:val="0"/>
      <w:divBdr>
        <w:top w:val="none" w:sz="0" w:space="0" w:color="auto"/>
        <w:left w:val="none" w:sz="0" w:space="0" w:color="auto"/>
        <w:bottom w:val="none" w:sz="0" w:space="0" w:color="auto"/>
        <w:right w:val="none" w:sz="0" w:space="0" w:color="auto"/>
      </w:divBdr>
    </w:div>
    <w:div w:id="19548272">
      <w:bodyDiv w:val="1"/>
      <w:marLeft w:val="0"/>
      <w:marRight w:val="0"/>
      <w:marTop w:val="0"/>
      <w:marBottom w:val="0"/>
      <w:divBdr>
        <w:top w:val="none" w:sz="0" w:space="0" w:color="auto"/>
        <w:left w:val="none" w:sz="0" w:space="0" w:color="auto"/>
        <w:bottom w:val="none" w:sz="0" w:space="0" w:color="auto"/>
        <w:right w:val="none" w:sz="0" w:space="0" w:color="auto"/>
      </w:divBdr>
    </w:div>
    <w:div w:id="30765319">
      <w:bodyDiv w:val="1"/>
      <w:marLeft w:val="0"/>
      <w:marRight w:val="0"/>
      <w:marTop w:val="0"/>
      <w:marBottom w:val="0"/>
      <w:divBdr>
        <w:top w:val="none" w:sz="0" w:space="0" w:color="auto"/>
        <w:left w:val="none" w:sz="0" w:space="0" w:color="auto"/>
        <w:bottom w:val="none" w:sz="0" w:space="0" w:color="auto"/>
        <w:right w:val="none" w:sz="0" w:space="0" w:color="auto"/>
      </w:divBdr>
    </w:div>
    <w:div w:id="54470329">
      <w:bodyDiv w:val="1"/>
      <w:marLeft w:val="0"/>
      <w:marRight w:val="0"/>
      <w:marTop w:val="0"/>
      <w:marBottom w:val="0"/>
      <w:divBdr>
        <w:top w:val="none" w:sz="0" w:space="0" w:color="auto"/>
        <w:left w:val="none" w:sz="0" w:space="0" w:color="auto"/>
        <w:bottom w:val="none" w:sz="0" w:space="0" w:color="auto"/>
        <w:right w:val="none" w:sz="0" w:space="0" w:color="auto"/>
      </w:divBdr>
    </w:div>
    <w:div w:id="76053274">
      <w:bodyDiv w:val="1"/>
      <w:marLeft w:val="0"/>
      <w:marRight w:val="0"/>
      <w:marTop w:val="0"/>
      <w:marBottom w:val="0"/>
      <w:divBdr>
        <w:top w:val="none" w:sz="0" w:space="0" w:color="auto"/>
        <w:left w:val="none" w:sz="0" w:space="0" w:color="auto"/>
        <w:bottom w:val="none" w:sz="0" w:space="0" w:color="auto"/>
        <w:right w:val="none" w:sz="0" w:space="0" w:color="auto"/>
      </w:divBdr>
    </w:div>
    <w:div w:id="76246691">
      <w:bodyDiv w:val="1"/>
      <w:marLeft w:val="0"/>
      <w:marRight w:val="0"/>
      <w:marTop w:val="0"/>
      <w:marBottom w:val="0"/>
      <w:divBdr>
        <w:top w:val="none" w:sz="0" w:space="0" w:color="auto"/>
        <w:left w:val="none" w:sz="0" w:space="0" w:color="auto"/>
        <w:bottom w:val="none" w:sz="0" w:space="0" w:color="auto"/>
        <w:right w:val="none" w:sz="0" w:space="0" w:color="auto"/>
      </w:divBdr>
    </w:div>
    <w:div w:id="116145269">
      <w:bodyDiv w:val="1"/>
      <w:marLeft w:val="0"/>
      <w:marRight w:val="0"/>
      <w:marTop w:val="0"/>
      <w:marBottom w:val="0"/>
      <w:divBdr>
        <w:top w:val="none" w:sz="0" w:space="0" w:color="auto"/>
        <w:left w:val="none" w:sz="0" w:space="0" w:color="auto"/>
        <w:bottom w:val="none" w:sz="0" w:space="0" w:color="auto"/>
        <w:right w:val="none" w:sz="0" w:space="0" w:color="auto"/>
      </w:divBdr>
    </w:div>
    <w:div w:id="125124162">
      <w:bodyDiv w:val="1"/>
      <w:marLeft w:val="0"/>
      <w:marRight w:val="0"/>
      <w:marTop w:val="0"/>
      <w:marBottom w:val="0"/>
      <w:divBdr>
        <w:top w:val="none" w:sz="0" w:space="0" w:color="auto"/>
        <w:left w:val="none" w:sz="0" w:space="0" w:color="auto"/>
        <w:bottom w:val="none" w:sz="0" w:space="0" w:color="auto"/>
        <w:right w:val="none" w:sz="0" w:space="0" w:color="auto"/>
      </w:divBdr>
    </w:div>
    <w:div w:id="132329623">
      <w:bodyDiv w:val="1"/>
      <w:marLeft w:val="0"/>
      <w:marRight w:val="0"/>
      <w:marTop w:val="0"/>
      <w:marBottom w:val="0"/>
      <w:divBdr>
        <w:top w:val="none" w:sz="0" w:space="0" w:color="auto"/>
        <w:left w:val="none" w:sz="0" w:space="0" w:color="auto"/>
        <w:bottom w:val="none" w:sz="0" w:space="0" w:color="auto"/>
        <w:right w:val="none" w:sz="0" w:space="0" w:color="auto"/>
      </w:divBdr>
    </w:div>
    <w:div w:id="178466969">
      <w:bodyDiv w:val="1"/>
      <w:marLeft w:val="0"/>
      <w:marRight w:val="0"/>
      <w:marTop w:val="0"/>
      <w:marBottom w:val="0"/>
      <w:divBdr>
        <w:top w:val="none" w:sz="0" w:space="0" w:color="auto"/>
        <w:left w:val="none" w:sz="0" w:space="0" w:color="auto"/>
        <w:bottom w:val="none" w:sz="0" w:space="0" w:color="auto"/>
        <w:right w:val="none" w:sz="0" w:space="0" w:color="auto"/>
      </w:divBdr>
    </w:div>
    <w:div w:id="179592494">
      <w:bodyDiv w:val="1"/>
      <w:marLeft w:val="0"/>
      <w:marRight w:val="0"/>
      <w:marTop w:val="0"/>
      <w:marBottom w:val="0"/>
      <w:divBdr>
        <w:top w:val="none" w:sz="0" w:space="0" w:color="auto"/>
        <w:left w:val="none" w:sz="0" w:space="0" w:color="auto"/>
        <w:bottom w:val="none" w:sz="0" w:space="0" w:color="auto"/>
        <w:right w:val="none" w:sz="0" w:space="0" w:color="auto"/>
      </w:divBdr>
      <w:divsChild>
        <w:div w:id="112137184">
          <w:marLeft w:val="0"/>
          <w:marRight w:val="0"/>
          <w:marTop w:val="0"/>
          <w:marBottom w:val="0"/>
          <w:divBdr>
            <w:top w:val="none" w:sz="0" w:space="0" w:color="auto"/>
            <w:left w:val="none" w:sz="0" w:space="0" w:color="auto"/>
            <w:bottom w:val="none" w:sz="0" w:space="0" w:color="auto"/>
            <w:right w:val="none" w:sz="0" w:space="0" w:color="auto"/>
          </w:divBdr>
          <w:divsChild>
            <w:div w:id="1045905816">
              <w:marLeft w:val="0"/>
              <w:marRight w:val="0"/>
              <w:marTop w:val="0"/>
              <w:marBottom w:val="0"/>
              <w:divBdr>
                <w:top w:val="none" w:sz="0" w:space="0" w:color="auto"/>
                <w:left w:val="none" w:sz="0" w:space="0" w:color="auto"/>
                <w:bottom w:val="none" w:sz="0" w:space="0" w:color="auto"/>
                <w:right w:val="none" w:sz="0" w:space="0" w:color="auto"/>
              </w:divBdr>
              <w:divsChild>
                <w:div w:id="1828323983">
                  <w:marLeft w:val="0"/>
                  <w:marRight w:val="0"/>
                  <w:marTop w:val="0"/>
                  <w:marBottom w:val="0"/>
                  <w:divBdr>
                    <w:top w:val="none" w:sz="0" w:space="0" w:color="auto"/>
                    <w:left w:val="none" w:sz="0" w:space="0" w:color="auto"/>
                    <w:bottom w:val="none" w:sz="0" w:space="0" w:color="auto"/>
                    <w:right w:val="none" w:sz="0" w:space="0" w:color="auto"/>
                  </w:divBdr>
                  <w:divsChild>
                    <w:div w:id="304241263">
                      <w:marLeft w:val="0"/>
                      <w:marRight w:val="0"/>
                      <w:marTop w:val="0"/>
                      <w:marBottom w:val="0"/>
                      <w:divBdr>
                        <w:top w:val="none" w:sz="0" w:space="0" w:color="auto"/>
                        <w:left w:val="none" w:sz="0" w:space="0" w:color="auto"/>
                        <w:bottom w:val="none" w:sz="0" w:space="0" w:color="auto"/>
                        <w:right w:val="none" w:sz="0" w:space="0" w:color="auto"/>
                      </w:divBdr>
                      <w:divsChild>
                        <w:div w:id="1192835980">
                          <w:marLeft w:val="-225"/>
                          <w:marRight w:val="-225"/>
                          <w:marTop w:val="0"/>
                          <w:marBottom w:val="0"/>
                          <w:divBdr>
                            <w:top w:val="none" w:sz="0" w:space="0" w:color="auto"/>
                            <w:left w:val="none" w:sz="0" w:space="0" w:color="auto"/>
                            <w:bottom w:val="none" w:sz="0" w:space="0" w:color="auto"/>
                            <w:right w:val="none" w:sz="0" w:space="0" w:color="auto"/>
                          </w:divBdr>
                          <w:divsChild>
                            <w:div w:id="650214681">
                              <w:marLeft w:val="0"/>
                              <w:marRight w:val="0"/>
                              <w:marTop w:val="0"/>
                              <w:marBottom w:val="0"/>
                              <w:divBdr>
                                <w:top w:val="none" w:sz="0" w:space="0" w:color="auto"/>
                                <w:left w:val="none" w:sz="0" w:space="0" w:color="auto"/>
                                <w:bottom w:val="none" w:sz="0" w:space="0" w:color="auto"/>
                                <w:right w:val="none" w:sz="0" w:space="0" w:color="auto"/>
                              </w:divBdr>
                              <w:divsChild>
                                <w:div w:id="737242431">
                                  <w:marLeft w:val="0"/>
                                  <w:marRight w:val="0"/>
                                  <w:marTop w:val="0"/>
                                  <w:marBottom w:val="0"/>
                                  <w:divBdr>
                                    <w:top w:val="none" w:sz="0" w:space="0" w:color="auto"/>
                                    <w:left w:val="none" w:sz="0" w:space="0" w:color="auto"/>
                                    <w:bottom w:val="none" w:sz="0" w:space="0" w:color="auto"/>
                                    <w:right w:val="none" w:sz="0" w:space="0" w:color="auto"/>
                                  </w:divBdr>
                                  <w:divsChild>
                                    <w:div w:id="417605345">
                                      <w:marLeft w:val="0"/>
                                      <w:marRight w:val="0"/>
                                      <w:marTop w:val="0"/>
                                      <w:marBottom w:val="0"/>
                                      <w:divBdr>
                                        <w:top w:val="none" w:sz="0" w:space="0" w:color="auto"/>
                                        <w:left w:val="none" w:sz="0" w:space="0" w:color="auto"/>
                                        <w:bottom w:val="none" w:sz="0" w:space="0" w:color="auto"/>
                                        <w:right w:val="none" w:sz="0" w:space="0" w:color="auto"/>
                                      </w:divBdr>
                                      <w:divsChild>
                                        <w:div w:id="1504127106">
                                          <w:marLeft w:val="-225"/>
                                          <w:marRight w:val="-225"/>
                                          <w:marTop w:val="0"/>
                                          <w:marBottom w:val="0"/>
                                          <w:divBdr>
                                            <w:top w:val="none" w:sz="0" w:space="0" w:color="auto"/>
                                            <w:left w:val="none" w:sz="0" w:space="0" w:color="auto"/>
                                            <w:bottom w:val="none" w:sz="0" w:space="0" w:color="auto"/>
                                            <w:right w:val="none" w:sz="0" w:space="0" w:color="auto"/>
                                          </w:divBdr>
                                          <w:divsChild>
                                            <w:div w:id="154491272">
                                              <w:marLeft w:val="0"/>
                                              <w:marRight w:val="0"/>
                                              <w:marTop w:val="0"/>
                                              <w:marBottom w:val="0"/>
                                              <w:divBdr>
                                                <w:top w:val="none" w:sz="0" w:space="0" w:color="auto"/>
                                                <w:left w:val="none" w:sz="0" w:space="0" w:color="auto"/>
                                                <w:bottom w:val="none" w:sz="0" w:space="0" w:color="auto"/>
                                                <w:right w:val="none" w:sz="0" w:space="0" w:color="auto"/>
                                              </w:divBdr>
                                              <w:divsChild>
                                                <w:div w:id="1250306298">
                                                  <w:marLeft w:val="0"/>
                                                  <w:marRight w:val="0"/>
                                                  <w:marTop w:val="0"/>
                                                  <w:marBottom w:val="0"/>
                                                  <w:divBdr>
                                                    <w:top w:val="none" w:sz="0" w:space="0" w:color="auto"/>
                                                    <w:left w:val="none" w:sz="0" w:space="0" w:color="auto"/>
                                                    <w:bottom w:val="none" w:sz="0" w:space="0" w:color="auto"/>
                                                    <w:right w:val="none" w:sz="0" w:space="0" w:color="auto"/>
                                                  </w:divBdr>
                                                  <w:divsChild>
                                                    <w:div w:id="249389185">
                                                      <w:marLeft w:val="0"/>
                                                      <w:marRight w:val="0"/>
                                                      <w:marTop w:val="0"/>
                                                      <w:marBottom w:val="0"/>
                                                      <w:divBdr>
                                                        <w:top w:val="none" w:sz="0" w:space="0" w:color="auto"/>
                                                        <w:left w:val="none" w:sz="0" w:space="0" w:color="auto"/>
                                                        <w:bottom w:val="none" w:sz="0" w:space="0" w:color="auto"/>
                                                        <w:right w:val="none" w:sz="0" w:space="0" w:color="auto"/>
                                                      </w:divBdr>
                                                      <w:divsChild>
                                                        <w:div w:id="1418360607">
                                                          <w:marLeft w:val="0"/>
                                                          <w:marRight w:val="0"/>
                                                          <w:marTop w:val="0"/>
                                                          <w:marBottom w:val="0"/>
                                                          <w:divBdr>
                                                            <w:top w:val="none" w:sz="0" w:space="0" w:color="auto"/>
                                                            <w:left w:val="none" w:sz="0" w:space="0" w:color="auto"/>
                                                            <w:bottom w:val="none" w:sz="0" w:space="0" w:color="auto"/>
                                                            <w:right w:val="none" w:sz="0" w:space="0" w:color="auto"/>
                                                          </w:divBdr>
                                                          <w:divsChild>
                                                            <w:div w:id="10464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323491">
      <w:bodyDiv w:val="1"/>
      <w:marLeft w:val="0"/>
      <w:marRight w:val="0"/>
      <w:marTop w:val="0"/>
      <w:marBottom w:val="0"/>
      <w:divBdr>
        <w:top w:val="none" w:sz="0" w:space="0" w:color="auto"/>
        <w:left w:val="none" w:sz="0" w:space="0" w:color="auto"/>
        <w:bottom w:val="none" w:sz="0" w:space="0" w:color="auto"/>
        <w:right w:val="none" w:sz="0" w:space="0" w:color="auto"/>
      </w:divBdr>
    </w:div>
    <w:div w:id="204874613">
      <w:bodyDiv w:val="1"/>
      <w:marLeft w:val="0"/>
      <w:marRight w:val="0"/>
      <w:marTop w:val="0"/>
      <w:marBottom w:val="0"/>
      <w:divBdr>
        <w:top w:val="none" w:sz="0" w:space="0" w:color="auto"/>
        <w:left w:val="none" w:sz="0" w:space="0" w:color="auto"/>
        <w:bottom w:val="none" w:sz="0" w:space="0" w:color="auto"/>
        <w:right w:val="none" w:sz="0" w:space="0" w:color="auto"/>
      </w:divBdr>
    </w:div>
    <w:div w:id="205916699">
      <w:bodyDiv w:val="1"/>
      <w:marLeft w:val="0"/>
      <w:marRight w:val="0"/>
      <w:marTop w:val="0"/>
      <w:marBottom w:val="0"/>
      <w:divBdr>
        <w:top w:val="none" w:sz="0" w:space="0" w:color="auto"/>
        <w:left w:val="none" w:sz="0" w:space="0" w:color="auto"/>
        <w:bottom w:val="none" w:sz="0" w:space="0" w:color="auto"/>
        <w:right w:val="none" w:sz="0" w:space="0" w:color="auto"/>
      </w:divBdr>
    </w:div>
    <w:div w:id="219633828">
      <w:bodyDiv w:val="1"/>
      <w:marLeft w:val="0"/>
      <w:marRight w:val="0"/>
      <w:marTop w:val="0"/>
      <w:marBottom w:val="0"/>
      <w:divBdr>
        <w:top w:val="none" w:sz="0" w:space="0" w:color="auto"/>
        <w:left w:val="none" w:sz="0" w:space="0" w:color="auto"/>
        <w:bottom w:val="none" w:sz="0" w:space="0" w:color="auto"/>
        <w:right w:val="none" w:sz="0" w:space="0" w:color="auto"/>
      </w:divBdr>
    </w:div>
    <w:div w:id="226653455">
      <w:bodyDiv w:val="1"/>
      <w:marLeft w:val="0"/>
      <w:marRight w:val="0"/>
      <w:marTop w:val="0"/>
      <w:marBottom w:val="0"/>
      <w:divBdr>
        <w:top w:val="none" w:sz="0" w:space="0" w:color="auto"/>
        <w:left w:val="none" w:sz="0" w:space="0" w:color="auto"/>
        <w:bottom w:val="none" w:sz="0" w:space="0" w:color="auto"/>
        <w:right w:val="none" w:sz="0" w:space="0" w:color="auto"/>
      </w:divBdr>
    </w:div>
    <w:div w:id="240796868">
      <w:bodyDiv w:val="1"/>
      <w:marLeft w:val="0"/>
      <w:marRight w:val="0"/>
      <w:marTop w:val="0"/>
      <w:marBottom w:val="0"/>
      <w:divBdr>
        <w:top w:val="none" w:sz="0" w:space="0" w:color="auto"/>
        <w:left w:val="none" w:sz="0" w:space="0" w:color="auto"/>
        <w:bottom w:val="none" w:sz="0" w:space="0" w:color="auto"/>
        <w:right w:val="none" w:sz="0" w:space="0" w:color="auto"/>
      </w:divBdr>
    </w:div>
    <w:div w:id="248079223">
      <w:bodyDiv w:val="1"/>
      <w:marLeft w:val="0"/>
      <w:marRight w:val="0"/>
      <w:marTop w:val="0"/>
      <w:marBottom w:val="0"/>
      <w:divBdr>
        <w:top w:val="none" w:sz="0" w:space="0" w:color="auto"/>
        <w:left w:val="none" w:sz="0" w:space="0" w:color="auto"/>
        <w:bottom w:val="none" w:sz="0" w:space="0" w:color="auto"/>
        <w:right w:val="none" w:sz="0" w:space="0" w:color="auto"/>
      </w:divBdr>
    </w:div>
    <w:div w:id="268395636">
      <w:bodyDiv w:val="1"/>
      <w:marLeft w:val="0"/>
      <w:marRight w:val="0"/>
      <w:marTop w:val="0"/>
      <w:marBottom w:val="0"/>
      <w:divBdr>
        <w:top w:val="none" w:sz="0" w:space="0" w:color="auto"/>
        <w:left w:val="none" w:sz="0" w:space="0" w:color="auto"/>
        <w:bottom w:val="none" w:sz="0" w:space="0" w:color="auto"/>
        <w:right w:val="none" w:sz="0" w:space="0" w:color="auto"/>
      </w:divBdr>
    </w:div>
    <w:div w:id="318189683">
      <w:bodyDiv w:val="1"/>
      <w:marLeft w:val="0"/>
      <w:marRight w:val="0"/>
      <w:marTop w:val="0"/>
      <w:marBottom w:val="0"/>
      <w:divBdr>
        <w:top w:val="none" w:sz="0" w:space="0" w:color="auto"/>
        <w:left w:val="none" w:sz="0" w:space="0" w:color="auto"/>
        <w:bottom w:val="none" w:sz="0" w:space="0" w:color="auto"/>
        <w:right w:val="none" w:sz="0" w:space="0" w:color="auto"/>
      </w:divBdr>
    </w:div>
    <w:div w:id="342054421">
      <w:bodyDiv w:val="1"/>
      <w:marLeft w:val="0"/>
      <w:marRight w:val="0"/>
      <w:marTop w:val="0"/>
      <w:marBottom w:val="0"/>
      <w:divBdr>
        <w:top w:val="none" w:sz="0" w:space="0" w:color="auto"/>
        <w:left w:val="none" w:sz="0" w:space="0" w:color="auto"/>
        <w:bottom w:val="none" w:sz="0" w:space="0" w:color="auto"/>
        <w:right w:val="none" w:sz="0" w:space="0" w:color="auto"/>
      </w:divBdr>
    </w:div>
    <w:div w:id="373510016">
      <w:bodyDiv w:val="1"/>
      <w:marLeft w:val="0"/>
      <w:marRight w:val="0"/>
      <w:marTop w:val="0"/>
      <w:marBottom w:val="0"/>
      <w:divBdr>
        <w:top w:val="none" w:sz="0" w:space="0" w:color="auto"/>
        <w:left w:val="none" w:sz="0" w:space="0" w:color="auto"/>
        <w:bottom w:val="none" w:sz="0" w:space="0" w:color="auto"/>
        <w:right w:val="none" w:sz="0" w:space="0" w:color="auto"/>
      </w:divBdr>
    </w:div>
    <w:div w:id="395711653">
      <w:bodyDiv w:val="1"/>
      <w:marLeft w:val="0"/>
      <w:marRight w:val="0"/>
      <w:marTop w:val="0"/>
      <w:marBottom w:val="0"/>
      <w:divBdr>
        <w:top w:val="none" w:sz="0" w:space="0" w:color="auto"/>
        <w:left w:val="none" w:sz="0" w:space="0" w:color="auto"/>
        <w:bottom w:val="none" w:sz="0" w:space="0" w:color="auto"/>
        <w:right w:val="none" w:sz="0" w:space="0" w:color="auto"/>
      </w:divBdr>
    </w:div>
    <w:div w:id="412237139">
      <w:bodyDiv w:val="1"/>
      <w:marLeft w:val="0"/>
      <w:marRight w:val="0"/>
      <w:marTop w:val="0"/>
      <w:marBottom w:val="0"/>
      <w:divBdr>
        <w:top w:val="none" w:sz="0" w:space="0" w:color="auto"/>
        <w:left w:val="none" w:sz="0" w:space="0" w:color="auto"/>
        <w:bottom w:val="none" w:sz="0" w:space="0" w:color="auto"/>
        <w:right w:val="none" w:sz="0" w:space="0" w:color="auto"/>
      </w:divBdr>
    </w:div>
    <w:div w:id="422261921">
      <w:bodyDiv w:val="1"/>
      <w:marLeft w:val="0"/>
      <w:marRight w:val="0"/>
      <w:marTop w:val="0"/>
      <w:marBottom w:val="0"/>
      <w:divBdr>
        <w:top w:val="none" w:sz="0" w:space="0" w:color="auto"/>
        <w:left w:val="none" w:sz="0" w:space="0" w:color="auto"/>
        <w:bottom w:val="none" w:sz="0" w:space="0" w:color="auto"/>
        <w:right w:val="none" w:sz="0" w:space="0" w:color="auto"/>
      </w:divBdr>
    </w:div>
    <w:div w:id="430274679">
      <w:bodyDiv w:val="1"/>
      <w:marLeft w:val="0"/>
      <w:marRight w:val="0"/>
      <w:marTop w:val="0"/>
      <w:marBottom w:val="0"/>
      <w:divBdr>
        <w:top w:val="none" w:sz="0" w:space="0" w:color="auto"/>
        <w:left w:val="none" w:sz="0" w:space="0" w:color="auto"/>
        <w:bottom w:val="none" w:sz="0" w:space="0" w:color="auto"/>
        <w:right w:val="none" w:sz="0" w:space="0" w:color="auto"/>
      </w:divBdr>
    </w:div>
    <w:div w:id="441612132">
      <w:bodyDiv w:val="1"/>
      <w:marLeft w:val="0"/>
      <w:marRight w:val="0"/>
      <w:marTop w:val="0"/>
      <w:marBottom w:val="0"/>
      <w:divBdr>
        <w:top w:val="none" w:sz="0" w:space="0" w:color="auto"/>
        <w:left w:val="none" w:sz="0" w:space="0" w:color="auto"/>
        <w:bottom w:val="none" w:sz="0" w:space="0" w:color="auto"/>
        <w:right w:val="none" w:sz="0" w:space="0" w:color="auto"/>
      </w:divBdr>
    </w:div>
    <w:div w:id="460656004">
      <w:bodyDiv w:val="1"/>
      <w:marLeft w:val="0"/>
      <w:marRight w:val="0"/>
      <w:marTop w:val="0"/>
      <w:marBottom w:val="0"/>
      <w:divBdr>
        <w:top w:val="none" w:sz="0" w:space="0" w:color="auto"/>
        <w:left w:val="none" w:sz="0" w:space="0" w:color="auto"/>
        <w:bottom w:val="none" w:sz="0" w:space="0" w:color="auto"/>
        <w:right w:val="none" w:sz="0" w:space="0" w:color="auto"/>
      </w:divBdr>
    </w:div>
    <w:div w:id="463734466">
      <w:bodyDiv w:val="1"/>
      <w:marLeft w:val="0"/>
      <w:marRight w:val="0"/>
      <w:marTop w:val="0"/>
      <w:marBottom w:val="0"/>
      <w:divBdr>
        <w:top w:val="none" w:sz="0" w:space="0" w:color="auto"/>
        <w:left w:val="none" w:sz="0" w:space="0" w:color="auto"/>
        <w:bottom w:val="none" w:sz="0" w:space="0" w:color="auto"/>
        <w:right w:val="none" w:sz="0" w:space="0" w:color="auto"/>
      </w:divBdr>
    </w:div>
    <w:div w:id="496506350">
      <w:bodyDiv w:val="1"/>
      <w:marLeft w:val="0"/>
      <w:marRight w:val="0"/>
      <w:marTop w:val="0"/>
      <w:marBottom w:val="0"/>
      <w:divBdr>
        <w:top w:val="none" w:sz="0" w:space="0" w:color="auto"/>
        <w:left w:val="none" w:sz="0" w:space="0" w:color="auto"/>
        <w:bottom w:val="none" w:sz="0" w:space="0" w:color="auto"/>
        <w:right w:val="none" w:sz="0" w:space="0" w:color="auto"/>
      </w:divBdr>
    </w:div>
    <w:div w:id="508063267">
      <w:bodyDiv w:val="1"/>
      <w:marLeft w:val="0"/>
      <w:marRight w:val="0"/>
      <w:marTop w:val="0"/>
      <w:marBottom w:val="0"/>
      <w:divBdr>
        <w:top w:val="none" w:sz="0" w:space="0" w:color="auto"/>
        <w:left w:val="none" w:sz="0" w:space="0" w:color="auto"/>
        <w:bottom w:val="none" w:sz="0" w:space="0" w:color="auto"/>
        <w:right w:val="none" w:sz="0" w:space="0" w:color="auto"/>
      </w:divBdr>
    </w:div>
    <w:div w:id="520316122">
      <w:bodyDiv w:val="1"/>
      <w:marLeft w:val="0"/>
      <w:marRight w:val="0"/>
      <w:marTop w:val="0"/>
      <w:marBottom w:val="0"/>
      <w:divBdr>
        <w:top w:val="none" w:sz="0" w:space="0" w:color="auto"/>
        <w:left w:val="none" w:sz="0" w:space="0" w:color="auto"/>
        <w:bottom w:val="none" w:sz="0" w:space="0" w:color="auto"/>
        <w:right w:val="none" w:sz="0" w:space="0" w:color="auto"/>
      </w:divBdr>
    </w:div>
    <w:div w:id="535241754">
      <w:bodyDiv w:val="1"/>
      <w:marLeft w:val="0"/>
      <w:marRight w:val="0"/>
      <w:marTop w:val="0"/>
      <w:marBottom w:val="0"/>
      <w:divBdr>
        <w:top w:val="none" w:sz="0" w:space="0" w:color="auto"/>
        <w:left w:val="none" w:sz="0" w:space="0" w:color="auto"/>
        <w:bottom w:val="none" w:sz="0" w:space="0" w:color="auto"/>
        <w:right w:val="none" w:sz="0" w:space="0" w:color="auto"/>
      </w:divBdr>
    </w:div>
    <w:div w:id="536546172">
      <w:bodyDiv w:val="1"/>
      <w:marLeft w:val="0"/>
      <w:marRight w:val="0"/>
      <w:marTop w:val="0"/>
      <w:marBottom w:val="0"/>
      <w:divBdr>
        <w:top w:val="none" w:sz="0" w:space="0" w:color="auto"/>
        <w:left w:val="none" w:sz="0" w:space="0" w:color="auto"/>
        <w:bottom w:val="none" w:sz="0" w:space="0" w:color="auto"/>
        <w:right w:val="none" w:sz="0" w:space="0" w:color="auto"/>
      </w:divBdr>
    </w:div>
    <w:div w:id="538780441">
      <w:bodyDiv w:val="1"/>
      <w:marLeft w:val="0"/>
      <w:marRight w:val="0"/>
      <w:marTop w:val="0"/>
      <w:marBottom w:val="0"/>
      <w:divBdr>
        <w:top w:val="none" w:sz="0" w:space="0" w:color="auto"/>
        <w:left w:val="none" w:sz="0" w:space="0" w:color="auto"/>
        <w:bottom w:val="none" w:sz="0" w:space="0" w:color="auto"/>
        <w:right w:val="none" w:sz="0" w:space="0" w:color="auto"/>
      </w:divBdr>
    </w:div>
    <w:div w:id="549150868">
      <w:bodyDiv w:val="1"/>
      <w:marLeft w:val="0"/>
      <w:marRight w:val="0"/>
      <w:marTop w:val="0"/>
      <w:marBottom w:val="0"/>
      <w:divBdr>
        <w:top w:val="none" w:sz="0" w:space="0" w:color="auto"/>
        <w:left w:val="none" w:sz="0" w:space="0" w:color="auto"/>
        <w:bottom w:val="none" w:sz="0" w:space="0" w:color="auto"/>
        <w:right w:val="none" w:sz="0" w:space="0" w:color="auto"/>
      </w:divBdr>
    </w:div>
    <w:div w:id="565337502">
      <w:bodyDiv w:val="1"/>
      <w:marLeft w:val="0"/>
      <w:marRight w:val="0"/>
      <w:marTop w:val="0"/>
      <w:marBottom w:val="0"/>
      <w:divBdr>
        <w:top w:val="none" w:sz="0" w:space="0" w:color="auto"/>
        <w:left w:val="none" w:sz="0" w:space="0" w:color="auto"/>
        <w:bottom w:val="none" w:sz="0" w:space="0" w:color="auto"/>
        <w:right w:val="none" w:sz="0" w:space="0" w:color="auto"/>
      </w:divBdr>
    </w:div>
    <w:div w:id="566769620">
      <w:bodyDiv w:val="1"/>
      <w:marLeft w:val="0"/>
      <w:marRight w:val="0"/>
      <w:marTop w:val="0"/>
      <w:marBottom w:val="0"/>
      <w:divBdr>
        <w:top w:val="none" w:sz="0" w:space="0" w:color="auto"/>
        <w:left w:val="none" w:sz="0" w:space="0" w:color="auto"/>
        <w:bottom w:val="none" w:sz="0" w:space="0" w:color="auto"/>
        <w:right w:val="none" w:sz="0" w:space="0" w:color="auto"/>
      </w:divBdr>
    </w:div>
    <w:div w:id="582956378">
      <w:bodyDiv w:val="1"/>
      <w:marLeft w:val="0"/>
      <w:marRight w:val="0"/>
      <w:marTop w:val="0"/>
      <w:marBottom w:val="0"/>
      <w:divBdr>
        <w:top w:val="none" w:sz="0" w:space="0" w:color="auto"/>
        <w:left w:val="none" w:sz="0" w:space="0" w:color="auto"/>
        <w:bottom w:val="none" w:sz="0" w:space="0" w:color="auto"/>
        <w:right w:val="none" w:sz="0" w:space="0" w:color="auto"/>
      </w:divBdr>
    </w:div>
    <w:div w:id="596133328">
      <w:bodyDiv w:val="1"/>
      <w:marLeft w:val="0"/>
      <w:marRight w:val="0"/>
      <w:marTop w:val="0"/>
      <w:marBottom w:val="0"/>
      <w:divBdr>
        <w:top w:val="none" w:sz="0" w:space="0" w:color="auto"/>
        <w:left w:val="none" w:sz="0" w:space="0" w:color="auto"/>
        <w:bottom w:val="none" w:sz="0" w:space="0" w:color="auto"/>
        <w:right w:val="none" w:sz="0" w:space="0" w:color="auto"/>
      </w:divBdr>
    </w:div>
    <w:div w:id="645277629">
      <w:bodyDiv w:val="1"/>
      <w:marLeft w:val="0"/>
      <w:marRight w:val="0"/>
      <w:marTop w:val="0"/>
      <w:marBottom w:val="0"/>
      <w:divBdr>
        <w:top w:val="none" w:sz="0" w:space="0" w:color="auto"/>
        <w:left w:val="none" w:sz="0" w:space="0" w:color="auto"/>
        <w:bottom w:val="none" w:sz="0" w:space="0" w:color="auto"/>
        <w:right w:val="none" w:sz="0" w:space="0" w:color="auto"/>
      </w:divBdr>
    </w:div>
    <w:div w:id="678895331">
      <w:bodyDiv w:val="1"/>
      <w:marLeft w:val="0"/>
      <w:marRight w:val="0"/>
      <w:marTop w:val="0"/>
      <w:marBottom w:val="0"/>
      <w:divBdr>
        <w:top w:val="none" w:sz="0" w:space="0" w:color="auto"/>
        <w:left w:val="none" w:sz="0" w:space="0" w:color="auto"/>
        <w:bottom w:val="none" w:sz="0" w:space="0" w:color="auto"/>
        <w:right w:val="none" w:sz="0" w:space="0" w:color="auto"/>
      </w:divBdr>
    </w:div>
    <w:div w:id="679817552">
      <w:bodyDiv w:val="1"/>
      <w:marLeft w:val="0"/>
      <w:marRight w:val="0"/>
      <w:marTop w:val="0"/>
      <w:marBottom w:val="0"/>
      <w:divBdr>
        <w:top w:val="none" w:sz="0" w:space="0" w:color="auto"/>
        <w:left w:val="none" w:sz="0" w:space="0" w:color="auto"/>
        <w:bottom w:val="none" w:sz="0" w:space="0" w:color="auto"/>
        <w:right w:val="none" w:sz="0" w:space="0" w:color="auto"/>
      </w:divBdr>
    </w:div>
    <w:div w:id="688524891">
      <w:bodyDiv w:val="1"/>
      <w:marLeft w:val="0"/>
      <w:marRight w:val="0"/>
      <w:marTop w:val="0"/>
      <w:marBottom w:val="0"/>
      <w:divBdr>
        <w:top w:val="none" w:sz="0" w:space="0" w:color="auto"/>
        <w:left w:val="none" w:sz="0" w:space="0" w:color="auto"/>
        <w:bottom w:val="none" w:sz="0" w:space="0" w:color="auto"/>
        <w:right w:val="none" w:sz="0" w:space="0" w:color="auto"/>
      </w:divBdr>
    </w:div>
    <w:div w:id="703794627">
      <w:bodyDiv w:val="1"/>
      <w:marLeft w:val="0"/>
      <w:marRight w:val="0"/>
      <w:marTop w:val="0"/>
      <w:marBottom w:val="0"/>
      <w:divBdr>
        <w:top w:val="none" w:sz="0" w:space="0" w:color="auto"/>
        <w:left w:val="none" w:sz="0" w:space="0" w:color="auto"/>
        <w:bottom w:val="none" w:sz="0" w:space="0" w:color="auto"/>
        <w:right w:val="none" w:sz="0" w:space="0" w:color="auto"/>
      </w:divBdr>
    </w:div>
    <w:div w:id="726992796">
      <w:bodyDiv w:val="1"/>
      <w:marLeft w:val="0"/>
      <w:marRight w:val="0"/>
      <w:marTop w:val="0"/>
      <w:marBottom w:val="0"/>
      <w:divBdr>
        <w:top w:val="none" w:sz="0" w:space="0" w:color="auto"/>
        <w:left w:val="none" w:sz="0" w:space="0" w:color="auto"/>
        <w:bottom w:val="none" w:sz="0" w:space="0" w:color="auto"/>
        <w:right w:val="none" w:sz="0" w:space="0" w:color="auto"/>
      </w:divBdr>
    </w:div>
    <w:div w:id="728765747">
      <w:bodyDiv w:val="1"/>
      <w:marLeft w:val="0"/>
      <w:marRight w:val="0"/>
      <w:marTop w:val="0"/>
      <w:marBottom w:val="0"/>
      <w:divBdr>
        <w:top w:val="none" w:sz="0" w:space="0" w:color="auto"/>
        <w:left w:val="none" w:sz="0" w:space="0" w:color="auto"/>
        <w:bottom w:val="none" w:sz="0" w:space="0" w:color="auto"/>
        <w:right w:val="none" w:sz="0" w:space="0" w:color="auto"/>
      </w:divBdr>
    </w:div>
    <w:div w:id="805006886">
      <w:bodyDiv w:val="1"/>
      <w:marLeft w:val="0"/>
      <w:marRight w:val="0"/>
      <w:marTop w:val="0"/>
      <w:marBottom w:val="0"/>
      <w:divBdr>
        <w:top w:val="none" w:sz="0" w:space="0" w:color="auto"/>
        <w:left w:val="none" w:sz="0" w:space="0" w:color="auto"/>
        <w:bottom w:val="none" w:sz="0" w:space="0" w:color="auto"/>
        <w:right w:val="none" w:sz="0" w:space="0" w:color="auto"/>
      </w:divBdr>
    </w:div>
    <w:div w:id="810362847">
      <w:bodyDiv w:val="1"/>
      <w:marLeft w:val="0"/>
      <w:marRight w:val="0"/>
      <w:marTop w:val="0"/>
      <w:marBottom w:val="0"/>
      <w:divBdr>
        <w:top w:val="none" w:sz="0" w:space="0" w:color="auto"/>
        <w:left w:val="none" w:sz="0" w:space="0" w:color="auto"/>
        <w:bottom w:val="none" w:sz="0" w:space="0" w:color="auto"/>
        <w:right w:val="none" w:sz="0" w:space="0" w:color="auto"/>
      </w:divBdr>
    </w:div>
    <w:div w:id="819662768">
      <w:bodyDiv w:val="1"/>
      <w:marLeft w:val="0"/>
      <w:marRight w:val="0"/>
      <w:marTop w:val="0"/>
      <w:marBottom w:val="0"/>
      <w:divBdr>
        <w:top w:val="none" w:sz="0" w:space="0" w:color="auto"/>
        <w:left w:val="none" w:sz="0" w:space="0" w:color="auto"/>
        <w:bottom w:val="none" w:sz="0" w:space="0" w:color="auto"/>
        <w:right w:val="none" w:sz="0" w:space="0" w:color="auto"/>
      </w:divBdr>
    </w:div>
    <w:div w:id="826168627">
      <w:bodyDiv w:val="1"/>
      <w:marLeft w:val="0"/>
      <w:marRight w:val="0"/>
      <w:marTop w:val="0"/>
      <w:marBottom w:val="0"/>
      <w:divBdr>
        <w:top w:val="none" w:sz="0" w:space="0" w:color="auto"/>
        <w:left w:val="none" w:sz="0" w:space="0" w:color="auto"/>
        <w:bottom w:val="none" w:sz="0" w:space="0" w:color="auto"/>
        <w:right w:val="none" w:sz="0" w:space="0" w:color="auto"/>
      </w:divBdr>
    </w:div>
    <w:div w:id="850219705">
      <w:bodyDiv w:val="1"/>
      <w:marLeft w:val="0"/>
      <w:marRight w:val="0"/>
      <w:marTop w:val="0"/>
      <w:marBottom w:val="0"/>
      <w:divBdr>
        <w:top w:val="none" w:sz="0" w:space="0" w:color="auto"/>
        <w:left w:val="none" w:sz="0" w:space="0" w:color="auto"/>
        <w:bottom w:val="none" w:sz="0" w:space="0" w:color="auto"/>
        <w:right w:val="none" w:sz="0" w:space="0" w:color="auto"/>
      </w:divBdr>
    </w:div>
    <w:div w:id="854155544">
      <w:bodyDiv w:val="1"/>
      <w:marLeft w:val="0"/>
      <w:marRight w:val="0"/>
      <w:marTop w:val="0"/>
      <w:marBottom w:val="0"/>
      <w:divBdr>
        <w:top w:val="none" w:sz="0" w:space="0" w:color="auto"/>
        <w:left w:val="none" w:sz="0" w:space="0" w:color="auto"/>
        <w:bottom w:val="none" w:sz="0" w:space="0" w:color="auto"/>
        <w:right w:val="none" w:sz="0" w:space="0" w:color="auto"/>
      </w:divBdr>
    </w:div>
    <w:div w:id="858273746">
      <w:bodyDiv w:val="1"/>
      <w:marLeft w:val="0"/>
      <w:marRight w:val="0"/>
      <w:marTop w:val="0"/>
      <w:marBottom w:val="0"/>
      <w:divBdr>
        <w:top w:val="none" w:sz="0" w:space="0" w:color="auto"/>
        <w:left w:val="none" w:sz="0" w:space="0" w:color="auto"/>
        <w:bottom w:val="none" w:sz="0" w:space="0" w:color="auto"/>
        <w:right w:val="none" w:sz="0" w:space="0" w:color="auto"/>
      </w:divBdr>
    </w:div>
    <w:div w:id="871461638">
      <w:bodyDiv w:val="1"/>
      <w:marLeft w:val="0"/>
      <w:marRight w:val="0"/>
      <w:marTop w:val="0"/>
      <w:marBottom w:val="0"/>
      <w:divBdr>
        <w:top w:val="none" w:sz="0" w:space="0" w:color="auto"/>
        <w:left w:val="none" w:sz="0" w:space="0" w:color="auto"/>
        <w:bottom w:val="none" w:sz="0" w:space="0" w:color="auto"/>
        <w:right w:val="none" w:sz="0" w:space="0" w:color="auto"/>
      </w:divBdr>
    </w:div>
    <w:div w:id="890767581">
      <w:bodyDiv w:val="1"/>
      <w:marLeft w:val="0"/>
      <w:marRight w:val="0"/>
      <w:marTop w:val="0"/>
      <w:marBottom w:val="0"/>
      <w:divBdr>
        <w:top w:val="none" w:sz="0" w:space="0" w:color="auto"/>
        <w:left w:val="none" w:sz="0" w:space="0" w:color="auto"/>
        <w:bottom w:val="none" w:sz="0" w:space="0" w:color="auto"/>
        <w:right w:val="none" w:sz="0" w:space="0" w:color="auto"/>
      </w:divBdr>
    </w:div>
    <w:div w:id="912203338">
      <w:bodyDiv w:val="1"/>
      <w:marLeft w:val="0"/>
      <w:marRight w:val="0"/>
      <w:marTop w:val="0"/>
      <w:marBottom w:val="0"/>
      <w:divBdr>
        <w:top w:val="none" w:sz="0" w:space="0" w:color="auto"/>
        <w:left w:val="none" w:sz="0" w:space="0" w:color="auto"/>
        <w:bottom w:val="none" w:sz="0" w:space="0" w:color="auto"/>
        <w:right w:val="none" w:sz="0" w:space="0" w:color="auto"/>
      </w:divBdr>
    </w:div>
    <w:div w:id="916864064">
      <w:bodyDiv w:val="1"/>
      <w:marLeft w:val="0"/>
      <w:marRight w:val="0"/>
      <w:marTop w:val="0"/>
      <w:marBottom w:val="0"/>
      <w:divBdr>
        <w:top w:val="none" w:sz="0" w:space="0" w:color="auto"/>
        <w:left w:val="none" w:sz="0" w:space="0" w:color="auto"/>
        <w:bottom w:val="none" w:sz="0" w:space="0" w:color="auto"/>
        <w:right w:val="none" w:sz="0" w:space="0" w:color="auto"/>
      </w:divBdr>
    </w:div>
    <w:div w:id="921912581">
      <w:bodyDiv w:val="1"/>
      <w:marLeft w:val="0"/>
      <w:marRight w:val="0"/>
      <w:marTop w:val="0"/>
      <w:marBottom w:val="0"/>
      <w:divBdr>
        <w:top w:val="none" w:sz="0" w:space="0" w:color="auto"/>
        <w:left w:val="none" w:sz="0" w:space="0" w:color="auto"/>
        <w:bottom w:val="none" w:sz="0" w:space="0" w:color="auto"/>
        <w:right w:val="none" w:sz="0" w:space="0" w:color="auto"/>
      </w:divBdr>
    </w:div>
    <w:div w:id="925698344">
      <w:bodyDiv w:val="1"/>
      <w:marLeft w:val="0"/>
      <w:marRight w:val="0"/>
      <w:marTop w:val="0"/>
      <w:marBottom w:val="0"/>
      <w:divBdr>
        <w:top w:val="none" w:sz="0" w:space="0" w:color="auto"/>
        <w:left w:val="none" w:sz="0" w:space="0" w:color="auto"/>
        <w:bottom w:val="none" w:sz="0" w:space="0" w:color="auto"/>
        <w:right w:val="none" w:sz="0" w:space="0" w:color="auto"/>
      </w:divBdr>
    </w:div>
    <w:div w:id="928929754">
      <w:bodyDiv w:val="1"/>
      <w:marLeft w:val="0"/>
      <w:marRight w:val="0"/>
      <w:marTop w:val="0"/>
      <w:marBottom w:val="0"/>
      <w:divBdr>
        <w:top w:val="none" w:sz="0" w:space="0" w:color="auto"/>
        <w:left w:val="none" w:sz="0" w:space="0" w:color="auto"/>
        <w:bottom w:val="none" w:sz="0" w:space="0" w:color="auto"/>
        <w:right w:val="none" w:sz="0" w:space="0" w:color="auto"/>
      </w:divBdr>
    </w:div>
    <w:div w:id="983968278">
      <w:bodyDiv w:val="1"/>
      <w:marLeft w:val="0"/>
      <w:marRight w:val="0"/>
      <w:marTop w:val="0"/>
      <w:marBottom w:val="0"/>
      <w:divBdr>
        <w:top w:val="none" w:sz="0" w:space="0" w:color="auto"/>
        <w:left w:val="none" w:sz="0" w:space="0" w:color="auto"/>
        <w:bottom w:val="none" w:sz="0" w:space="0" w:color="auto"/>
        <w:right w:val="none" w:sz="0" w:space="0" w:color="auto"/>
      </w:divBdr>
    </w:div>
    <w:div w:id="988365601">
      <w:bodyDiv w:val="1"/>
      <w:marLeft w:val="0"/>
      <w:marRight w:val="0"/>
      <w:marTop w:val="0"/>
      <w:marBottom w:val="0"/>
      <w:divBdr>
        <w:top w:val="none" w:sz="0" w:space="0" w:color="auto"/>
        <w:left w:val="none" w:sz="0" w:space="0" w:color="auto"/>
        <w:bottom w:val="none" w:sz="0" w:space="0" w:color="auto"/>
        <w:right w:val="none" w:sz="0" w:space="0" w:color="auto"/>
      </w:divBdr>
      <w:divsChild>
        <w:div w:id="1892304787">
          <w:marLeft w:val="1080"/>
          <w:marRight w:val="0"/>
          <w:marTop w:val="100"/>
          <w:marBottom w:val="0"/>
          <w:divBdr>
            <w:top w:val="none" w:sz="0" w:space="0" w:color="auto"/>
            <w:left w:val="none" w:sz="0" w:space="0" w:color="auto"/>
            <w:bottom w:val="none" w:sz="0" w:space="0" w:color="auto"/>
            <w:right w:val="none" w:sz="0" w:space="0" w:color="auto"/>
          </w:divBdr>
        </w:div>
        <w:div w:id="856623837">
          <w:marLeft w:val="1080"/>
          <w:marRight w:val="0"/>
          <w:marTop w:val="100"/>
          <w:marBottom w:val="0"/>
          <w:divBdr>
            <w:top w:val="none" w:sz="0" w:space="0" w:color="auto"/>
            <w:left w:val="none" w:sz="0" w:space="0" w:color="auto"/>
            <w:bottom w:val="none" w:sz="0" w:space="0" w:color="auto"/>
            <w:right w:val="none" w:sz="0" w:space="0" w:color="auto"/>
          </w:divBdr>
        </w:div>
      </w:divsChild>
    </w:div>
    <w:div w:id="991712544">
      <w:bodyDiv w:val="1"/>
      <w:marLeft w:val="0"/>
      <w:marRight w:val="0"/>
      <w:marTop w:val="0"/>
      <w:marBottom w:val="0"/>
      <w:divBdr>
        <w:top w:val="none" w:sz="0" w:space="0" w:color="auto"/>
        <w:left w:val="none" w:sz="0" w:space="0" w:color="auto"/>
        <w:bottom w:val="none" w:sz="0" w:space="0" w:color="auto"/>
        <w:right w:val="none" w:sz="0" w:space="0" w:color="auto"/>
      </w:divBdr>
    </w:div>
    <w:div w:id="1015771741">
      <w:bodyDiv w:val="1"/>
      <w:marLeft w:val="0"/>
      <w:marRight w:val="0"/>
      <w:marTop w:val="0"/>
      <w:marBottom w:val="0"/>
      <w:divBdr>
        <w:top w:val="none" w:sz="0" w:space="0" w:color="auto"/>
        <w:left w:val="none" w:sz="0" w:space="0" w:color="auto"/>
        <w:bottom w:val="none" w:sz="0" w:space="0" w:color="auto"/>
        <w:right w:val="none" w:sz="0" w:space="0" w:color="auto"/>
      </w:divBdr>
    </w:div>
    <w:div w:id="1019158128">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68458397">
      <w:bodyDiv w:val="1"/>
      <w:marLeft w:val="0"/>
      <w:marRight w:val="0"/>
      <w:marTop w:val="0"/>
      <w:marBottom w:val="0"/>
      <w:divBdr>
        <w:top w:val="none" w:sz="0" w:space="0" w:color="auto"/>
        <w:left w:val="none" w:sz="0" w:space="0" w:color="auto"/>
        <w:bottom w:val="none" w:sz="0" w:space="0" w:color="auto"/>
        <w:right w:val="none" w:sz="0" w:space="0" w:color="auto"/>
      </w:divBdr>
    </w:div>
    <w:div w:id="1094473052">
      <w:bodyDiv w:val="1"/>
      <w:marLeft w:val="0"/>
      <w:marRight w:val="0"/>
      <w:marTop w:val="0"/>
      <w:marBottom w:val="0"/>
      <w:divBdr>
        <w:top w:val="none" w:sz="0" w:space="0" w:color="auto"/>
        <w:left w:val="none" w:sz="0" w:space="0" w:color="auto"/>
        <w:bottom w:val="none" w:sz="0" w:space="0" w:color="auto"/>
        <w:right w:val="none" w:sz="0" w:space="0" w:color="auto"/>
      </w:divBdr>
      <w:divsChild>
        <w:div w:id="583297346">
          <w:marLeft w:val="360"/>
          <w:marRight w:val="0"/>
          <w:marTop w:val="200"/>
          <w:marBottom w:val="0"/>
          <w:divBdr>
            <w:top w:val="none" w:sz="0" w:space="0" w:color="auto"/>
            <w:left w:val="none" w:sz="0" w:space="0" w:color="auto"/>
            <w:bottom w:val="none" w:sz="0" w:space="0" w:color="auto"/>
            <w:right w:val="none" w:sz="0" w:space="0" w:color="auto"/>
          </w:divBdr>
        </w:div>
        <w:div w:id="2139640969">
          <w:marLeft w:val="1080"/>
          <w:marRight w:val="0"/>
          <w:marTop w:val="100"/>
          <w:marBottom w:val="0"/>
          <w:divBdr>
            <w:top w:val="none" w:sz="0" w:space="0" w:color="auto"/>
            <w:left w:val="none" w:sz="0" w:space="0" w:color="auto"/>
            <w:bottom w:val="none" w:sz="0" w:space="0" w:color="auto"/>
            <w:right w:val="none" w:sz="0" w:space="0" w:color="auto"/>
          </w:divBdr>
        </w:div>
        <w:div w:id="685837008">
          <w:marLeft w:val="1080"/>
          <w:marRight w:val="0"/>
          <w:marTop w:val="100"/>
          <w:marBottom w:val="0"/>
          <w:divBdr>
            <w:top w:val="none" w:sz="0" w:space="0" w:color="auto"/>
            <w:left w:val="none" w:sz="0" w:space="0" w:color="auto"/>
            <w:bottom w:val="none" w:sz="0" w:space="0" w:color="auto"/>
            <w:right w:val="none" w:sz="0" w:space="0" w:color="auto"/>
          </w:divBdr>
        </w:div>
        <w:div w:id="1669941387">
          <w:marLeft w:val="360"/>
          <w:marRight w:val="0"/>
          <w:marTop w:val="200"/>
          <w:marBottom w:val="0"/>
          <w:divBdr>
            <w:top w:val="none" w:sz="0" w:space="0" w:color="auto"/>
            <w:left w:val="none" w:sz="0" w:space="0" w:color="auto"/>
            <w:bottom w:val="none" w:sz="0" w:space="0" w:color="auto"/>
            <w:right w:val="none" w:sz="0" w:space="0" w:color="auto"/>
          </w:divBdr>
        </w:div>
        <w:div w:id="1282153282">
          <w:marLeft w:val="1080"/>
          <w:marRight w:val="0"/>
          <w:marTop w:val="100"/>
          <w:marBottom w:val="0"/>
          <w:divBdr>
            <w:top w:val="none" w:sz="0" w:space="0" w:color="auto"/>
            <w:left w:val="none" w:sz="0" w:space="0" w:color="auto"/>
            <w:bottom w:val="none" w:sz="0" w:space="0" w:color="auto"/>
            <w:right w:val="none" w:sz="0" w:space="0" w:color="auto"/>
          </w:divBdr>
        </w:div>
        <w:div w:id="1157502125">
          <w:marLeft w:val="1080"/>
          <w:marRight w:val="0"/>
          <w:marTop w:val="100"/>
          <w:marBottom w:val="0"/>
          <w:divBdr>
            <w:top w:val="none" w:sz="0" w:space="0" w:color="auto"/>
            <w:left w:val="none" w:sz="0" w:space="0" w:color="auto"/>
            <w:bottom w:val="none" w:sz="0" w:space="0" w:color="auto"/>
            <w:right w:val="none" w:sz="0" w:space="0" w:color="auto"/>
          </w:divBdr>
        </w:div>
        <w:div w:id="2103253520">
          <w:marLeft w:val="360"/>
          <w:marRight w:val="0"/>
          <w:marTop w:val="200"/>
          <w:marBottom w:val="0"/>
          <w:divBdr>
            <w:top w:val="none" w:sz="0" w:space="0" w:color="auto"/>
            <w:left w:val="none" w:sz="0" w:space="0" w:color="auto"/>
            <w:bottom w:val="none" w:sz="0" w:space="0" w:color="auto"/>
            <w:right w:val="none" w:sz="0" w:space="0" w:color="auto"/>
          </w:divBdr>
        </w:div>
        <w:div w:id="1111894698">
          <w:marLeft w:val="360"/>
          <w:marRight w:val="0"/>
          <w:marTop w:val="200"/>
          <w:marBottom w:val="0"/>
          <w:divBdr>
            <w:top w:val="none" w:sz="0" w:space="0" w:color="auto"/>
            <w:left w:val="none" w:sz="0" w:space="0" w:color="auto"/>
            <w:bottom w:val="none" w:sz="0" w:space="0" w:color="auto"/>
            <w:right w:val="none" w:sz="0" w:space="0" w:color="auto"/>
          </w:divBdr>
        </w:div>
      </w:divsChild>
    </w:div>
    <w:div w:id="1101222215">
      <w:bodyDiv w:val="1"/>
      <w:marLeft w:val="0"/>
      <w:marRight w:val="0"/>
      <w:marTop w:val="0"/>
      <w:marBottom w:val="0"/>
      <w:divBdr>
        <w:top w:val="none" w:sz="0" w:space="0" w:color="auto"/>
        <w:left w:val="none" w:sz="0" w:space="0" w:color="auto"/>
        <w:bottom w:val="none" w:sz="0" w:space="0" w:color="auto"/>
        <w:right w:val="none" w:sz="0" w:space="0" w:color="auto"/>
      </w:divBdr>
    </w:div>
    <w:div w:id="1106146893">
      <w:bodyDiv w:val="1"/>
      <w:marLeft w:val="0"/>
      <w:marRight w:val="0"/>
      <w:marTop w:val="0"/>
      <w:marBottom w:val="0"/>
      <w:divBdr>
        <w:top w:val="none" w:sz="0" w:space="0" w:color="auto"/>
        <w:left w:val="none" w:sz="0" w:space="0" w:color="auto"/>
        <w:bottom w:val="none" w:sz="0" w:space="0" w:color="auto"/>
        <w:right w:val="none" w:sz="0" w:space="0" w:color="auto"/>
      </w:divBdr>
    </w:div>
    <w:div w:id="1126897850">
      <w:bodyDiv w:val="1"/>
      <w:marLeft w:val="0"/>
      <w:marRight w:val="0"/>
      <w:marTop w:val="0"/>
      <w:marBottom w:val="0"/>
      <w:divBdr>
        <w:top w:val="none" w:sz="0" w:space="0" w:color="auto"/>
        <w:left w:val="none" w:sz="0" w:space="0" w:color="auto"/>
        <w:bottom w:val="none" w:sz="0" w:space="0" w:color="auto"/>
        <w:right w:val="none" w:sz="0" w:space="0" w:color="auto"/>
      </w:divBdr>
    </w:div>
    <w:div w:id="1129981241">
      <w:bodyDiv w:val="1"/>
      <w:marLeft w:val="0"/>
      <w:marRight w:val="0"/>
      <w:marTop w:val="0"/>
      <w:marBottom w:val="0"/>
      <w:divBdr>
        <w:top w:val="none" w:sz="0" w:space="0" w:color="auto"/>
        <w:left w:val="none" w:sz="0" w:space="0" w:color="auto"/>
        <w:bottom w:val="none" w:sz="0" w:space="0" w:color="auto"/>
        <w:right w:val="none" w:sz="0" w:space="0" w:color="auto"/>
      </w:divBdr>
    </w:div>
    <w:div w:id="1171918258">
      <w:bodyDiv w:val="1"/>
      <w:marLeft w:val="0"/>
      <w:marRight w:val="0"/>
      <w:marTop w:val="0"/>
      <w:marBottom w:val="0"/>
      <w:divBdr>
        <w:top w:val="none" w:sz="0" w:space="0" w:color="auto"/>
        <w:left w:val="none" w:sz="0" w:space="0" w:color="auto"/>
        <w:bottom w:val="none" w:sz="0" w:space="0" w:color="auto"/>
        <w:right w:val="none" w:sz="0" w:space="0" w:color="auto"/>
      </w:divBdr>
    </w:div>
    <w:div w:id="1194265103">
      <w:bodyDiv w:val="1"/>
      <w:marLeft w:val="0"/>
      <w:marRight w:val="0"/>
      <w:marTop w:val="0"/>
      <w:marBottom w:val="0"/>
      <w:divBdr>
        <w:top w:val="none" w:sz="0" w:space="0" w:color="auto"/>
        <w:left w:val="none" w:sz="0" w:space="0" w:color="auto"/>
        <w:bottom w:val="none" w:sz="0" w:space="0" w:color="auto"/>
        <w:right w:val="none" w:sz="0" w:space="0" w:color="auto"/>
      </w:divBdr>
      <w:divsChild>
        <w:div w:id="2041121114">
          <w:marLeft w:val="1440"/>
          <w:marRight w:val="0"/>
          <w:marTop w:val="100"/>
          <w:marBottom w:val="0"/>
          <w:divBdr>
            <w:top w:val="none" w:sz="0" w:space="0" w:color="auto"/>
            <w:left w:val="none" w:sz="0" w:space="0" w:color="auto"/>
            <w:bottom w:val="none" w:sz="0" w:space="0" w:color="auto"/>
            <w:right w:val="none" w:sz="0" w:space="0" w:color="auto"/>
          </w:divBdr>
        </w:div>
      </w:divsChild>
    </w:div>
    <w:div w:id="1214926734">
      <w:bodyDiv w:val="1"/>
      <w:marLeft w:val="0"/>
      <w:marRight w:val="0"/>
      <w:marTop w:val="0"/>
      <w:marBottom w:val="0"/>
      <w:divBdr>
        <w:top w:val="none" w:sz="0" w:space="0" w:color="auto"/>
        <w:left w:val="none" w:sz="0" w:space="0" w:color="auto"/>
        <w:bottom w:val="none" w:sz="0" w:space="0" w:color="auto"/>
        <w:right w:val="none" w:sz="0" w:space="0" w:color="auto"/>
      </w:divBdr>
    </w:div>
    <w:div w:id="1215117716">
      <w:bodyDiv w:val="1"/>
      <w:marLeft w:val="0"/>
      <w:marRight w:val="0"/>
      <w:marTop w:val="0"/>
      <w:marBottom w:val="0"/>
      <w:divBdr>
        <w:top w:val="none" w:sz="0" w:space="0" w:color="auto"/>
        <w:left w:val="none" w:sz="0" w:space="0" w:color="auto"/>
        <w:bottom w:val="none" w:sz="0" w:space="0" w:color="auto"/>
        <w:right w:val="none" w:sz="0" w:space="0" w:color="auto"/>
      </w:divBdr>
    </w:div>
    <w:div w:id="1238057289">
      <w:bodyDiv w:val="1"/>
      <w:marLeft w:val="0"/>
      <w:marRight w:val="0"/>
      <w:marTop w:val="0"/>
      <w:marBottom w:val="0"/>
      <w:divBdr>
        <w:top w:val="none" w:sz="0" w:space="0" w:color="auto"/>
        <w:left w:val="none" w:sz="0" w:space="0" w:color="auto"/>
        <w:bottom w:val="none" w:sz="0" w:space="0" w:color="auto"/>
        <w:right w:val="none" w:sz="0" w:space="0" w:color="auto"/>
      </w:divBdr>
    </w:div>
    <w:div w:id="1256593470">
      <w:bodyDiv w:val="1"/>
      <w:marLeft w:val="0"/>
      <w:marRight w:val="0"/>
      <w:marTop w:val="0"/>
      <w:marBottom w:val="0"/>
      <w:divBdr>
        <w:top w:val="none" w:sz="0" w:space="0" w:color="auto"/>
        <w:left w:val="none" w:sz="0" w:space="0" w:color="auto"/>
        <w:bottom w:val="none" w:sz="0" w:space="0" w:color="auto"/>
        <w:right w:val="none" w:sz="0" w:space="0" w:color="auto"/>
      </w:divBdr>
    </w:div>
    <w:div w:id="1261257265">
      <w:bodyDiv w:val="1"/>
      <w:marLeft w:val="0"/>
      <w:marRight w:val="0"/>
      <w:marTop w:val="0"/>
      <w:marBottom w:val="0"/>
      <w:divBdr>
        <w:top w:val="none" w:sz="0" w:space="0" w:color="auto"/>
        <w:left w:val="none" w:sz="0" w:space="0" w:color="auto"/>
        <w:bottom w:val="none" w:sz="0" w:space="0" w:color="auto"/>
        <w:right w:val="none" w:sz="0" w:space="0" w:color="auto"/>
      </w:divBdr>
    </w:div>
    <w:div w:id="1273592612">
      <w:bodyDiv w:val="1"/>
      <w:marLeft w:val="0"/>
      <w:marRight w:val="0"/>
      <w:marTop w:val="0"/>
      <w:marBottom w:val="0"/>
      <w:divBdr>
        <w:top w:val="none" w:sz="0" w:space="0" w:color="auto"/>
        <w:left w:val="none" w:sz="0" w:space="0" w:color="auto"/>
        <w:bottom w:val="none" w:sz="0" w:space="0" w:color="auto"/>
        <w:right w:val="none" w:sz="0" w:space="0" w:color="auto"/>
      </w:divBdr>
    </w:div>
    <w:div w:id="1280988458">
      <w:bodyDiv w:val="1"/>
      <w:marLeft w:val="0"/>
      <w:marRight w:val="0"/>
      <w:marTop w:val="0"/>
      <w:marBottom w:val="0"/>
      <w:divBdr>
        <w:top w:val="none" w:sz="0" w:space="0" w:color="auto"/>
        <w:left w:val="none" w:sz="0" w:space="0" w:color="auto"/>
        <w:bottom w:val="none" w:sz="0" w:space="0" w:color="auto"/>
        <w:right w:val="none" w:sz="0" w:space="0" w:color="auto"/>
      </w:divBdr>
    </w:div>
    <w:div w:id="1283877823">
      <w:bodyDiv w:val="1"/>
      <w:marLeft w:val="0"/>
      <w:marRight w:val="0"/>
      <w:marTop w:val="0"/>
      <w:marBottom w:val="0"/>
      <w:divBdr>
        <w:top w:val="none" w:sz="0" w:space="0" w:color="auto"/>
        <w:left w:val="none" w:sz="0" w:space="0" w:color="auto"/>
        <w:bottom w:val="none" w:sz="0" w:space="0" w:color="auto"/>
        <w:right w:val="none" w:sz="0" w:space="0" w:color="auto"/>
      </w:divBdr>
      <w:divsChild>
        <w:div w:id="976372464">
          <w:marLeft w:val="1080"/>
          <w:marRight w:val="0"/>
          <w:marTop w:val="100"/>
          <w:marBottom w:val="0"/>
          <w:divBdr>
            <w:top w:val="none" w:sz="0" w:space="0" w:color="auto"/>
            <w:left w:val="none" w:sz="0" w:space="0" w:color="auto"/>
            <w:bottom w:val="none" w:sz="0" w:space="0" w:color="auto"/>
            <w:right w:val="none" w:sz="0" w:space="0" w:color="auto"/>
          </w:divBdr>
        </w:div>
        <w:div w:id="778910448">
          <w:marLeft w:val="1080"/>
          <w:marRight w:val="0"/>
          <w:marTop w:val="100"/>
          <w:marBottom w:val="0"/>
          <w:divBdr>
            <w:top w:val="none" w:sz="0" w:space="0" w:color="auto"/>
            <w:left w:val="none" w:sz="0" w:space="0" w:color="auto"/>
            <w:bottom w:val="none" w:sz="0" w:space="0" w:color="auto"/>
            <w:right w:val="none" w:sz="0" w:space="0" w:color="auto"/>
          </w:divBdr>
        </w:div>
        <w:div w:id="1290626322">
          <w:marLeft w:val="1080"/>
          <w:marRight w:val="0"/>
          <w:marTop w:val="100"/>
          <w:marBottom w:val="0"/>
          <w:divBdr>
            <w:top w:val="none" w:sz="0" w:space="0" w:color="auto"/>
            <w:left w:val="none" w:sz="0" w:space="0" w:color="auto"/>
            <w:bottom w:val="none" w:sz="0" w:space="0" w:color="auto"/>
            <w:right w:val="none" w:sz="0" w:space="0" w:color="auto"/>
          </w:divBdr>
        </w:div>
        <w:div w:id="396052861">
          <w:marLeft w:val="1080"/>
          <w:marRight w:val="0"/>
          <w:marTop w:val="100"/>
          <w:marBottom w:val="0"/>
          <w:divBdr>
            <w:top w:val="none" w:sz="0" w:space="0" w:color="auto"/>
            <w:left w:val="none" w:sz="0" w:space="0" w:color="auto"/>
            <w:bottom w:val="none" w:sz="0" w:space="0" w:color="auto"/>
            <w:right w:val="none" w:sz="0" w:space="0" w:color="auto"/>
          </w:divBdr>
        </w:div>
        <w:div w:id="460077704">
          <w:marLeft w:val="1080"/>
          <w:marRight w:val="0"/>
          <w:marTop w:val="100"/>
          <w:marBottom w:val="0"/>
          <w:divBdr>
            <w:top w:val="none" w:sz="0" w:space="0" w:color="auto"/>
            <w:left w:val="none" w:sz="0" w:space="0" w:color="auto"/>
            <w:bottom w:val="none" w:sz="0" w:space="0" w:color="auto"/>
            <w:right w:val="none" w:sz="0" w:space="0" w:color="auto"/>
          </w:divBdr>
        </w:div>
        <w:div w:id="842086529">
          <w:marLeft w:val="1080"/>
          <w:marRight w:val="0"/>
          <w:marTop w:val="100"/>
          <w:marBottom w:val="0"/>
          <w:divBdr>
            <w:top w:val="none" w:sz="0" w:space="0" w:color="auto"/>
            <w:left w:val="none" w:sz="0" w:space="0" w:color="auto"/>
            <w:bottom w:val="none" w:sz="0" w:space="0" w:color="auto"/>
            <w:right w:val="none" w:sz="0" w:space="0" w:color="auto"/>
          </w:divBdr>
        </w:div>
      </w:divsChild>
    </w:div>
    <w:div w:id="1304769568">
      <w:bodyDiv w:val="1"/>
      <w:marLeft w:val="0"/>
      <w:marRight w:val="0"/>
      <w:marTop w:val="0"/>
      <w:marBottom w:val="0"/>
      <w:divBdr>
        <w:top w:val="none" w:sz="0" w:space="0" w:color="auto"/>
        <w:left w:val="none" w:sz="0" w:space="0" w:color="auto"/>
        <w:bottom w:val="none" w:sz="0" w:space="0" w:color="auto"/>
        <w:right w:val="none" w:sz="0" w:space="0" w:color="auto"/>
      </w:divBdr>
    </w:div>
    <w:div w:id="1333025344">
      <w:bodyDiv w:val="1"/>
      <w:marLeft w:val="0"/>
      <w:marRight w:val="0"/>
      <w:marTop w:val="0"/>
      <w:marBottom w:val="0"/>
      <w:divBdr>
        <w:top w:val="none" w:sz="0" w:space="0" w:color="auto"/>
        <w:left w:val="none" w:sz="0" w:space="0" w:color="auto"/>
        <w:bottom w:val="none" w:sz="0" w:space="0" w:color="auto"/>
        <w:right w:val="none" w:sz="0" w:space="0" w:color="auto"/>
      </w:divBdr>
    </w:div>
    <w:div w:id="1355308184">
      <w:bodyDiv w:val="1"/>
      <w:marLeft w:val="0"/>
      <w:marRight w:val="0"/>
      <w:marTop w:val="0"/>
      <w:marBottom w:val="0"/>
      <w:divBdr>
        <w:top w:val="none" w:sz="0" w:space="0" w:color="auto"/>
        <w:left w:val="none" w:sz="0" w:space="0" w:color="auto"/>
        <w:bottom w:val="none" w:sz="0" w:space="0" w:color="auto"/>
        <w:right w:val="none" w:sz="0" w:space="0" w:color="auto"/>
      </w:divBdr>
    </w:div>
    <w:div w:id="1380860699">
      <w:bodyDiv w:val="1"/>
      <w:marLeft w:val="0"/>
      <w:marRight w:val="0"/>
      <w:marTop w:val="0"/>
      <w:marBottom w:val="0"/>
      <w:divBdr>
        <w:top w:val="none" w:sz="0" w:space="0" w:color="auto"/>
        <w:left w:val="none" w:sz="0" w:space="0" w:color="auto"/>
        <w:bottom w:val="none" w:sz="0" w:space="0" w:color="auto"/>
        <w:right w:val="none" w:sz="0" w:space="0" w:color="auto"/>
      </w:divBdr>
    </w:div>
    <w:div w:id="1381132505">
      <w:bodyDiv w:val="1"/>
      <w:marLeft w:val="0"/>
      <w:marRight w:val="0"/>
      <w:marTop w:val="0"/>
      <w:marBottom w:val="0"/>
      <w:divBdr>
        <w:top w:val="none" w:sz="0" w:space="0" w:color="auto"/>
        <w:left w:val="none" w:sz="0" w:space="0" w:color="auto"/>
        <w:bottom w:val="none" w:sz="0" w:space="0" w:color="auto"/>
        <w:right w:val="none" w:sz="0" w:space="0" w:color="auto"/>
      </w:divBdr>
    </w:div>
    <w:div w:id="1386637116">
      <w:bodyDiv w:val="1"/>
      <w:marLeft w:val="0"/>
      <w:marRight w:val="0"/>
      <w:marTop w:val="0"/>
      <w:marBottom w:val="0"/>
      <w:divBdr>
        <w:top w:val="none" w:sz="0" w:space="0" w:color="auto"/>
        <w:left w:val="none" w:sz="0" w:space="0" w:color="auto"/>
        <w:bottom w:val="none" w:sz="0" w:space="0" w:color="auto"/>
        <w:right w:val="none" w:sz="0" w:space="0" w:color="auto"/>
      </w:divBdr>
    </w:div>
    <w:div w:id="1401707079">
      <w:bodyDiv w:val="1"/>
      <w:marLeft w:val="0"/>
      <w:marRight w:val="0"/>
      <w:marTop w:val="0"/>
      <w:marBottom w:val="0"/>
      <w:divBdr>
        <w:top w:val="none" w:sz="0" w:space="0" w:color="auto"/>
        <w:left w:val="none" w:sz="0" w:space="0" w:color="auto"/>
        <w:bottom w:val="none" w:sz="0" w:space="0" w:color="auto"/>
        <w:right w:val="none" w:sz="0" w:space="0" w:color="auto"/>
      </w:divBdr>
    </w:div>
    <w:div w:id="1408503447">
      <w:bodyDiv w:val="1"/>
      <w:marLeft w:val="0"/>
      <w:marRight w:val="0"/>
      <w:marTop w:val="0"/>
      <w:marBottom w:val="0"/>
      <w:divBdr>
        <w:top w:val="none" w:sz="0" w:space="0" w:color="auto"/>
        <w:left w:val="none" w:sz="0" w:space="0" w:color="auto"/>
        <w:bottom w:val="none" w:sz="0" w:space="0" w:color="auto"/>
        <w:right w:val="none" w:sz="0" w:space="0" w:color="auto"/>
      </w:divBdr>
    </w:div>
    <w:div w:id="1445879393">
      <w:bodyDiv w:val="1"/>
      <w:marLeft w:val="0"/>
      <w:marRight w:val="0"/>
      <w:marTop w:val="0"/>
      <w:marBottom w:val="0"/>
      <w:divBdr>
        <w:top w:val="none" w:sz="0" w:space="0" w:color="auto"/>
        <w:left w:val="none" w:sz="0" w:space="0" w:color="auto"/>
        <w:bottom w:val="none" w:sz="0" w:space="0" w:color="auto"/>
        <w:right w:val="none" w:sz="0" w:space="0" w:color="auto"/>
      </w:divBdr>
    </w:div>
    <w:div w:id="1447458334">
      <w:bodyDiv w:val="1"/>
      <w:marLeft w:val="0"/>
      <w:marRight w:val="0"/>
      <w:marTop w:val="0"/>
      <w:marBottom w:val="0"/>
      <w:divBdr>
        <w:top w:val="none" w:sz="0" w:space="0" w:color="auto"/>
        <w:left w:val="none" w:sz="0" w:space="0" w:color="auto"/>
        <w:bottom w:val="none" w:sz="0" w:space="0" w:color="auto"/>
        <w:right w:val="none" w:sz="0" w:space="0" w:color="auto"/>
      </w:divBdr>
    </w:div>
    <w:div w:id="1462308518">
      <w:bodyDiv w:val="1"/>
      <w:marLeft w:val="0"/>
      <w:marRight w:val="0"/>
      <w:marTop w:val="0"/>
      <w:marBottom w:val="0"/>
      <w:divBdr>
        <w:top w:val="none" w:sz="0" w:space="0" w:color="auto"/>
        <w:left w:val="none" w:sz="0" w:space="0" w:color="auto"/>
        <w:bottom w:val="none" w:sz="0" w:space="0" w:color="auto"/>
        <w:right w:val="none" w:sz="0" w:space="0" w:color="auto"/>
      </w:divBdr>
    </w:div>
    <w:div w:id="1483232415">
      <w:bodyDiv w:val="1"/>
      <w:marLeft w:val="0"/>
      <w:marRight w:val="0"/>
      <w:marTop w:val="0"/>
      <w:marBottom w:val="0"/>
      <w:divBdr>
        <w:top w:val="none" w:sz="0" w:space="0" w:color="auto"/>
        <w:left w:val="none" w:sz="0" w:space="0" w:color="auto"/>
        <w:bottom w:val="none" w:sz="0" w:space="0" w:color="auto"/>
        <w:right w:val="none" w:sz="0" w:space="0" w:color="auto"/>
      </w:divBdr>
    </w:div>
    <w:div w:id="1497383930">
      <w:bodyDiv w:val="1"/>
      <w:marLeft w:val="0"/>
      <w:marRight w:val="0"/>
      <w:marTop w:val="0"/>
      <w:marBottom w:val="0"/>
      <w:divBdr>
        <w:top w:val="none" w:sz="0" w:space="0" w:color="auto"/>
        <w:left w:val="none" w:sz="0" w:space="0" w:color="auto"/>
        <w:bottom w:val="none" w:sz="0" w:space="0" w:color="auto"/>
        <w:right w:val="none" w:sz="0" w:space="0" w:color="auto"/>
      </w:divBdr>
    </w:div>
    <w:div w:id="1514760395">
      <w:bodyDiv w:val="1"/>
      <w:marLeft w:val="0"/>
      <w:marRight w:val="0"/>
      <w:marTop w:val="0"/>
      <w:marBottom w:val="0"/>
      <w:divBdr>
        <w:top w:val="none" w:sz="0" w:space="0" w:color="auto"/>
        <w:left w:val="none" w:sz="0" w:space="0" w:color="auto"/>
        <w:bottom w:val="none" w:sz="0" w:space="0" w:color="auto"/>
        <w:right w:val="none" w:sz="0" w:space="0" w:color="auto"/>
      </w:divBdr>
    </w:div>
    <w:div w:id="1528180945">
      <w:bodyDiv w:val="1"/>
      <w:marLeft w:val="0"/>
      <w:marRight w:val="0"/>
      <w:marTop w:val="0"/>
      <w:marBottom w:val="0"/>
      <w:divBdr>
        <w:top w:val="none" w:sz="0" w:space="0" w:color="auto"/>
        <w:left w:val="none" w:sz="0" w:space="0" w:color="auto"/>
        <w:bottom w:val="none" w:sz="0" w:space="0" w:color="auto"/>
        <w:right w:val="none" w:sz="0" w:space="0" w:color="auto"/>
      </w:divBdr>
    </w:div>
    <w:div w:id="1555315031">
      <w:bodyDiv w:val="1"/>
      <w:marLeft w:val="0"/>
      <w:marRight w:val="0"/>
      <w:marTop w:val="0"/>
      <w:marBottom w:val="0"/>
      <w:divBdr>
        <w:top w:val="none" w:sz="0" w:space="0" w:color="auto"/>
        <w:left w:val="none" w:sz="0" w:space="0" w:color="auto"/>
        <w:bottom w:val="none" w:sz="0" w:space="0" w:color="auto"/>
        <w:right w:val="none" w:sz="0" w:space="0" w:color="auto"/>
      </w:divBdr>
    </w:div>
    <w:div w:id="1572809338">
      <w:bodyDiv w:val="1"/>
      <w:marLeft w:val="0"/>
      <w:marRight w:val="0"/>
      <w:marTop w:val="0"/>
      <w:marBottom w:val="0"/>
      <w:divBdr>
        <w:top w:val="none" w:sz="0" w:space="0" w:color="auto"/>
        <w:left w:val="none" w:sz="0" w:space="0" w:color="auto"/>
        <w:bottom w:val="none" w:sz="0" w:space="0" w:color="auto"/>
        <w:right w:val="none" w:sz="0" w:space="0" w:color="auto"/>
      </w:divBdr>
    </w:div>
    <w:div w:id="1579705163">
      <w:bodyDiv w:val="1"/>
      <w:marLeft w:val="0"/>
      <w:marRight w:val="0"/>
      <w:marTop w:val="0"/>
      <w:marBottom w:val="0"/>
      <w:divBdr>
        <w:top w:val="none" w:sz="0" w:space="0" w:color="auto"/>
        <w:left w:val="none" w:sz="0" w:space="0" w:color="auto"/>
        <w:bottom w:val="none" w:sz="0" w:space="0" w:color="auto"/>
        <w:right w:val="none" w:sz="0" w:space="0" w:color="auto"/>
      </w:divBdr>
    </w:div>
    <w:div w:id="1593389199">
      <w:bodyDiv w:val="1"/>
      <w:marLeft w:val="0"/>
      <w:marRight w:val="0"/>
      <w:marTop w:val="0"/>
      <w:marBottom w:val="0"/>
      <w:divBdr>
        <w:top w:val="none" w:sz="0" w:space="0" w:color="auto"/>
        <w:left w:val="none" w:sz="0" w:space="0" w:color="auto"/>
        <w:bottom w:val="none" w:sz="0" w:space="0" w:color="auto"/>
        <w:right w:val="none" w:sz="0" w:space="0" w:color="auto"/>
      </w:divBdr>
    </w:div>
    <w:div w:id="1596939329">
      <w:bodyDiv w:val="1"/>
      <w:marLeft w:val="0"/>
      <w:marRight w:val="0"/>
      <w:marTop w:val="0"/>
      <w:marBottom w:val="0"/>
      <w:divBdr>
        <w:top w:val="none" w:sz="0" w:space="0" w:color="auto"/>
        <w:left w:val="none" w:sz="0" w:space="0" w:color="auto"/>
        <w:bottom w:val="none" w:sz="0" w:space="0" w:color="auto"/>
        <w:right w:val="none" w:sz="0" w:space="0" w:color="auto"/>
      </w:divBdr>
    </w:div>
    <w:div w:id="1599369637">
      <w:bodyDiv w:val="1"/>
      <w:marLeft w:val="0"/>
      <w:marRight w:val="0"/>
      <w:marTop w:val="0"/>
      <w:marBottom w:val="0"/>
      <w:divBdr>
        <w:top w:val="none" w:sz="0" w:space="0" w:color="auto"/>
        <w:left w:val="none" w:sz="0" w:space="0" w:color="auto"/>
        <w:bottom w:val="none" w:sz="0" w:space="0" w:color="auto"/>
        <w:right w:val="none" w:sz="0" w:space="0" w:color="auto"/>
      </w:divBdr>
    </w:div>
    <w:div w:id="1606841105">
      <w:bodyDiv w:val="1"/>
      <w:marLeft w:val="0"/>
      <w:marRight w:val="0"/>
      <w:marTop w:val="0"/>
      <w:marBottom w:val="0"/>
      <w:divBdr>
        <w:top w:val="none" w:sz="0" w:space="0" w:color="auto"/>
        <w:left w:val="none" w:sz="0" w:space="0" w:color="auto"/>
        <w:bottom w:val="none" w:sz="0" w:space="0" w:color="auto"/>
        <w:right w:val="none" w:sz="0" w:space="0" w:color="auto"/>
      </w:divBdr>
    </w:div>
    <w:div w:id="1619723354">
      <w:bodyDiv w:val="1"/>
      <w:marLeft w:val="0"/>
      <w:marRight w:val="0"/>
      <w:marTop w:val="0"/>
      <w:marBottom w:val="0"/>
      <w:divBdr>
        <w:top w:val="none" w:sz="0" w:space="0" w:color="auto"/>
        <w:left w:val="none" w:sz="0" w:space="0" w:color="auto"/>
        <w:bottom w:val="none" w:sz="0" w:space="0" w:color="auto"/>
        <w:right w:val="none" w:sz="0" w:space="0" w:color="auto"/>
      </w:divBdr>
    </w:div>
    <w:div w:id="1622957059">
      <w:bodyDiv w:val="1"/>
      <w:marLeft w:val="0"/>
      <w:marRight w:val="0"/>
      <w:marTop w:val="0"/>
      <w:marBottom w:val="0"/>
      <w:divBdr>
        <w:top w:val="none" w:sz="0" w:space="0" w:color="auto"/>
        <w:left w:val="none" w:sz="0" w:space="0" w:color="auto"/>
        <w:bottom w:val="none" w:sz="0" w:space="0" w:color="auto"/>
        <w:right w:val="none" w:sz="0" w:space="0" w:color="auto"/>
      </w:divBdr>
    </w:div>
    <w:div w:id="1626618218">
      <w:bodyDiv w:val="1"/>
      <w:marLeft w:val="0"/>
      <w:marRight w:val="0"/>
      <w:marTop w:val="0"/>
      <w:marBottom w:val="0"/>
      <w:divBdr>
        <w:top w:val="none" w:sz="0" w:space="0" w:color="auto"/>
        <w:left w:val="none" w:sz="0" w:space="0" w:color="auto"/>
        <w:bottom w:val="none" w:sz="0" w:space="0" w:color="auto"/>
        <w:right w:val="none" w:sz="0" w:space="0" w:color="auto"/>
      </w:divBdr>
    </w:div>
    <w:div w:id="1631663876">
      <w:bodyDiv w:val="1"/>
      <w:marLeft w:val="0"/>
      <w:marRight w:val="0"/>
      <w:marTop w:val="0"/>
      <w:marBottom w:val="0"/>
      <w:divBdr>
        <w:top w:val="none" w:sz="0" w:space="0" w:color="auto"/>
        <w:left w:val="none" w:sz="0" w:space="0" w:color="auto"/>
        <w:bottom w:val="none" w:sz="0" w:space="0" w:color="auto"/>
        <w:right w:val="none" w:sz="0" w:space="0" w:color="auto"/>
      </w:divBdr>
    </w:div>
    <w:div w:id="1637492433">
      <w:bodyDiv w:val="1"/>
      <w:marLeft w:val="0"/>
      <w:marRight w:val="0"/>
      <w:marTop w:val="0"/>
      <w:marBottom w:val="0"/>
      <w:divBdr>
        <w:top w:val="none" w:sz="0" w:space="0" w:color="auto"/>
        <w:left w:val="none" w:sz="0" w:space="0" w:color="auto"/>
        <w:bottom w:val="none" w:sz="0" w:space="0" w:color="auto"/>
        <w:right w:val="none" w:sz="0" w:space="0" w:color="auto"/>
      </w:divBdr>
    </w:div>
    <w:div w:id="1655839848">
      <w:bodyDiv w:val="1"/>
      <w:marLeft w:val="0"/>
      <w:marRight w:val="0"/>
      <w:marTop w:val="0"/>
      <w:marBottom w:val="0"/>
      <w:divBdr>
        <w:top w:val="none" w:sz="0" w:space="0" w:color="auto"/>
        <w:left w:val="none" w:sz="0" w:space="0" w:color="auto"/>
        <w:bottom w:val="none" w:sz="0" w:space="0" w:color="auto"/>
        <w:right w:val="none" w:sz="0" w:space="0" w:color="auto"/>
      </w:divBdr>
    </w:div>
    <w:div w:id="1686714327">
      <w:bodyDiv w:val="1"/>
      <w:marLeft w:val="0"/>
      <w:marRight w:val="0"/>
      <w:marTop w:val="0"/>
      <w:marBottom w:val="0"/>
      <w:divBdr>
        <w:top w:val="none" w:sz="0" w:space="0" w:color="auto"/>
        <w:left w:val="none" w:sz="0" w:space="0" w:color="auto"/>
        <w:bottom w:val="none" w:sz="0" w:space="0" w:color="auto"/>
        <w:right w:val="none" w:sz="0" w:space="0" w:color="auto"/>
      </w:divBdr>
    </w:div>
    <w:div w:id="1731347075">
      <w:bodyDiv w:val="1"/>
      <w:marLeft w:val="0"/>
      <w:marRight w:val="0"/>
      <w:marTop w:val="0"/>
      <w:marBottom w:val="0"/>
      <w:divBdr>
        <w:top w:val="none" w:sz="0" w:space="0" w:color="auto"/>
        <w:left w:val="none" w:sz="0" w:space="0" w:color="auto"/>
        <w:bottom w:val="none" w:sz="0" w:space="0" w:color="auto"/>
        <w:right w:val="none" w:sz="0" w:space="0" w:color="auto"/>
      </w:divBdr>
    </w:div>
    <w:div w:id="1731609193">
      <w:bodyDiv w:val="1"/>
      <w:marLeft w:val="0"/>
      <w:marRight w:val="0"/>
      <w:marTop w:val="0"/>
      <w:marBottom w:val="0"/>
      <w:divBdr>
        <w:top w:val="none" w:sz="0" w:space="0" w:color="auto"/>
        <w:left w:val="none" w:sz="0" w:space="0" w:color="auto"/>
        <w:bottom w:val="none" w:sz="0" w:space="0" w:color="auto"/>
        <w:right w:val="none" w:sz="0" w:space="0" w:color="auto"/>
      </w:divBdr>
    </w:div>
    <w:div w:id="1731922207">
      <w:bodyDiv w:val="1"/>
      <w:marLeft w:val="0"/>
      <w:marRight w:val="0"/>
      <w:marTop w:val="0"/>
      <w:marBottom w:val="0"/>
      <w:divBdr>
        <w:top w:val="none" w:sz="0" w:space="0" w:color="auto"/>
        <w:left w:val="none" w:sz="0" w:space="0" w:color="auto"/>
        <w:bottom w:val="none" w:sz="0" w:space="0" w:color="auto"/>
        <w:right w:val="none" w:sz="0" w:space="0" w:color="auto"/>
      </w:divBdr>
    </w:div>
    <w:div w:id="1734037303">
      <w:bodyDiv w:val="1"/>
      <w:marLeft w:val="0"/>
      <w:marRight w:val="0"/>
      <w:marTop w:val="0"/>
      <w:marBottom w:val="0"/>
      <w:divBdr>
        <w:top w:val="none" w:sz="0" w:space="0" w:color="auto"/>
        <w:left w:val="none" w:sz="0" w:space="0" w:color="auto"/>
        <w:bottom w:val="none" w:sz="0" w:space="0" w:color="auto"/>
        <w:right w:val="none" w:sz="0" w:space="0" w:color="auto"/>
      </w:divBdr>
    </w:div>
    <w:div w:id="1751006081">
      <w:bodyDiv w:val="1"/>
      <w:marLeft w:val="0"/>
      <w:marRight w:val="0"/>
      <w:marTop w:val="0"/>
      <w:marBottom w:val="0"/>
      <w:divBdr>
        <w:top w:val="none" w:sz="0" w:space="0" w:color="auto"/>
        <w:left w:val="none" w:sz="0" w:space="0" w:color="auto"/>
        <w:bottom w:val="none" w:sz="0" w:space="0" w:color="auto"/>
        <w:right w:val="none" w:sz="0" w:space="0" w:color="auto"/>
      </w:divBdr>
    </w:div>
    <w:div w:id="1752577411">
      <w:bodyDiv w:val="1"/>
      <w:marLeft w:val="0"/>
      <w:marRight w:val="0"/>
      <w:marTop w:val="0"/>
      <w:marBottom w:val="0"/>
      <w:divBdr>
        <w:top w:val="none" w:sz="0" w:space="0" w:color="auto"/>
        <w:left w:val="none" w:sz="0" w:space="0" w:color="auto"/>
        <w:bottom w:val="none" w:sz="0" w:space="0" w:color="auto"/>
        <w:right w:val="none" w:sz="0" w:space="0" w:color="auto"/>
      </w:divBdr>
    </w:div>
    <w:div w:id="1758669080">
      <w:bodyDiv w:val="1"/>
      <w:marLeft w:val="0"/>
      <w:marRight w:val="0"/>
      <w:marTop w:val="0"/>
      <w:marBottom w:val="0"/>
      <w:divBdr>
        <w:top w:val="none" w:sz="0" w:space="0" w:color="auto"/>
        <w:left w:val="none" w:sz="0" w:space="0" w:color="auto"/>
        <w:bottom w:val="none" w:sz="0" w:space="0" w:color="auto"/>
        <w:right w:val="none" w:sz="0" w:space="0" w:color="auto"/>
      </w:divBdr>
    </w:div>
    <w:div w:id="1759908023">
      <w:bodyDiv w:val="1"/>
      <w:marLeft w:val="0"/>
      <w:marRight w:val="0"/>
      <w:marTop w:val="0"/>
      <w:marBottom w:val="0"/>
      <w:divBdr>
        <w:top w:val="none" w:sz="0" w:space="0" w:color="auto"/>
        <w:left w:val="none" w:sz="0" w:space="0" w:color="auto"/>
        <w:bottom w:val="none" w:sz="0" w:space="0" w:color="auto"/>
        <w:right w:val="none" w:sz="0" w:space="0" w:color="auto"/>
      </w:divBdr>
    </w:div>
    <w:div w:id="1760714010">
      <w:bodyDiv w:val="1"/>
      <w:marLeft w:val="0"/>
      <w:marRight w:val="0"/>
      <w:marTop w:val="0"/>
      <w:marBottom w:val="0"/>
      <w:divBdr>
        <w:top w:val="none" w:sz="0" w:space="0" w:color="auto"/>
        <w:left w:val="none" w:sz="0" w:space="0" w:color="auto"/>
        <w:bottom w:val="none" w:sz="0" w:space="0" w:color="auto"/>
        <w:right w:val="none" w:sz="0" w:space="0" w:color="auto"/>
      </w:divBdr>
    </w:div>
    <w:div w:id="1786732514">
      <w:bodyDiv w:val="1"/>
      <w:marLeft w:val="0"/>
      <w:marRight w:val="0"/>
      <w:marTop w:val="0"/>
      <w:marBottom w:val="0"/>
      <w:divBdr>
        <w:top w:val="none" w:sz="0" w:space="0" w:color="auto"/>
        <w:left w:val="none" w:sz="0" w:space="0" w:color="auto"/>
        <w:bottom w:val="none" w:sz="0" w:space="0" w:color="auto"/>
        <w:right w:val="none" w:sz="0" w:space="0" w:color="auto"/>
      </w:divBdr>
    </w:div>
    <w:div w:id="1791434795">
      <w:bodyDiv w:val="1"/>
      <w:marLeft w:val="0"/>
      <w:marRight w:val="0"/>
      <w:marTop w:val="0"/>
      <w:marBottom w:val="0"/>
      <w:divBdr>
        <w:top w:val="none" w:sz="0" w:space="0" w:color="auto"/>
        <w:left w:val="none" w:sz="0" w:space="0" w:color="auto"/>
        <w:bottom w:val="none" w:sz="0" w:space="0" w:color="auto"/>
        <w:right w:val="none" w:sz="0" w:space="0" w:color="auto"/>
      </w:divBdr>
    </w:div>
    <w:div w:id="1836677820">
      <w:bodyDiv w:val="1"/>
      <w:marLeft w:val="0"/>
      <w:marRight w:val="0"/>
      <w:marTop w:val="0"/>
      <w:marBottom w:val="0"/>
      <w:divBdr>
        <w:top w:val="none" w:sz="0" w:space="0" w:color="auto"/>
        <w:left w:val="none" w:sz="0" w:space="0" w:color="auto"/>
        <w:bottom w:val="none" w:sz="0" w:space="0" w:color="auto"/>
        <w:right w:val="none" w:sz="0" w:space="0" w:color="auto"/>
      </w:divBdr>
    </w:div>
    <w:div w:id="1861898022">
      <w:bodyDiv w:val="1"/>
      <w:marLeft w:val="0"/>
      <w:marRight w:val="0"/>
      <w:marTop w:val="0"/>
      <w:marBottom w:val="0"/>
      <w:divBdr>
        <w:top w:val="none" w:sz="0" w:space="0" w:color="auto"/>
        <w:left w:val="none" w:sz="0" w:space="0" w:color="auto"/>
        <w:bottom w:val="none" w:sz="0" w:space="0" w:color="auto"/>
        <w:right w:val="none" w:sz="0" w:space="0" w:color="auto"/>
      </w:divBdr>
    </w:div>
    <w:div w:id="1879704111">
      <w:bodyDiv w:val="1"/>
      <w:marLeft w:val="0"/>
      <w:marRight w:val="0"/>
      <w:marTop w:val="0"/>
      <w:marBottom w:val="0"/>
      <w:divBdr>
        <w:top w:val="none" w:sz="0" w:space="0" w:color="auto"/>
        <w:left w:val="none" w:sz="0" w:space="0" w:color="auto"/>
        <w:bottom w:val="none" w:sz="0" w:space="0" w:color="auto"/>
        <w:right w:val="none" w:sz="0" w:space="0" w:color="auto"/>
      </w:divBdr>
    </w:div>
    <w:div w:id="1881164725">
      <w:bodyDiv w:val="1"/>
      <w:marLeft w:val="0"/>
      <w:marRight w:val="0"/>
      <w:marTop w:val="0"/>
      <w:marBottom w:val="0"/>
      <w:divBdr>
        <w:top w:val="none" w:sz="0" w:space="0" w:color="auto"/>
        <w:left w:val="none" w:sz="0" w:space="0" w:color="auto"/>
        <w:bottom w:val="none" w:sz="0" w:space="0" w:color="auto"/>
        <w:right w:val="none" w:sz="0" w:space="0" w:color="auto"/>
      </w:divBdr>
    </w:div>
    <w:div w:id="1962490580">
      <w:bodyDiv w:val="1"/>
      <w:marLeft w:val="0"/>
      <w:marRight w:val="0"/>
      <w:marTop w:val="0"/>
      <w:marBottom w:val="0"/>
      <w:divBdr>
        <w:top w:val="none" w:sz="0" w:space="0" w:color="auto"/>
        <w:left w:val="none" w:sz="0" w:space="0" w:color="auto"/>
        <w:bottom w:val="none" w:sz="0" w:space="0" w:color="auto"/>
        <w:right w:val="none" w:sz="0" w:space="0" w:color="auto"/>
      </w:divBdr>
    </w:div>
    <w:div w:id="1979260955">
      <w:bodyDiv w:val="1"/>
      <w:marLeft w:val="0"/>
      <w:marRight w:val="0"/>
      <w:marTop w:val="0"/>
      <w:marBottom w:val="0"/>
      <w:divBdr>
        <w:top w:val="none" w:sz="0" w:space="0" w:color="auto"/>
        <w:left w:val="none" w:sz="0" w:space="0" w:color="auto"/>
        <w:bottom w:val="none" w:sz="0" w:space="0" w:color="auto"/>
        <w:right w:val="none" w:sz="0" w:space="0" w:color="auto"/>
      </w:divBdr>
    </w:div>
    <w:div w:id="1986860873">
      <w:bodyDiv w:val="1"/>
      <w:marLeft w:val="0"/>
      <w:marRight w:val="0"/>
      <w:marTop w:val="0"/>
      <w:marBottom w:val="0"/>
      <w:divBdr>
        <w:top w:val="none" w:sz="0" w:space="0" w:color="auto"/>
        <w:left w:val="none" w:sz="0" w:space="0" w:color="auto"/>
        <w:bottom w:val="none" w:sz="0" w:space="0" w:color="auto"/>
        <w:right w:val="none" w:sz="0" w:space="0" w:color="auto"/>
      </w:divBdr>
    </w:div>
    <w:div w:id="1989245917">
      <w:bodyDiv w:val="1"/>
      <w:marLeft w:val="0"/>
      <w:marRight w:val="0"/>
      <w:marTop w:val="0"/>
      <w:marBottom w:val="0"/>
      <w:divBdr>
        <w:top w:val="none" w:sz="0" w:space="0" w:color="auto"/>
        <w:left w:val="none" w:sz="0" w:space="0" w:color="auto"/>
        <w:bottom w:val="none" w:sz="0" w:space="0" w:color="auto"/>
        <w:right w:val="none" w:sz="0" w:space="0" w:color="auto"/>
      </w:divBdr>
    </w:div>
    <w:div w:id="2019769183">
      <w:bodyDiv w:val="1"/>
      <w:marLeft w:val="0"/>
      <w:marRight w:val="0"/>
      <w:marTop w:val="0"/>
      <w:marBottom w:val="0"/>
      <w:divBdr>
        <w:top w:val="none" w:sz="0" w:space="0" w:color="auto"/>
        <w:left w:val="none" w:sz="0" w:space="0" w:color="auto"/>
        <w:bottom w:val="none" w:sz="0" w:space="0" w:color="auto"/>
        <w:right w:val="none" w:sz="0" w:space="0" w:color="auto"/>
      </w:divBdr>
    </w:div>
    <w:div w:id="2023163608">
      <w:bodyDiv w:val="1"/>
      <w:marLeft w:val="0"/>
      <w:marRight w:val="0"/>
      <w:marTop w:val="0"/>
      <w:marBottom w:val="0"/>
      <w:divBdr>
        <w:top w:val="none" w:sz="0" w:space="0" w:color="auto"/>
        <w:left w:val="none" w:sz="0" w:space="0" w:color="auto"/>
        <w:bottom w:val="none" w:sz="0" w:space="0" w:color="auto"/>
        <w:right w:val="none" w:sz="0" w:space="0" w:color="auto"/>
      </w:divBdr>
    </w:div>
    <w:div w:id="2023586285">
      <w:bodyDiv w:val="1"/>
      <w:marLeft w:val="0"/>
      <w:marRight w:val="0"/>
      <w:marTop w:val="0"/>
      <w:marBottom w:val="0"/>
      <w:divBdr>
        <w:top w:val="none" w:sz="0" w:space="0" w:color="auto"/>
        <w:left w:val="none" w:sz="0" w:space="0" w:color="auto"/>
        <w:bottom w:val="none" w:sz="0" w:space="0" w:color="auto"/>
        <w:right w:val="none" w:sz="0" w:space="0" w:color="auto"/>
      </w:divBdr>
    </w:div>
    <w:div w:id="2036536631">
      <w:bodyDiv w:val="1"/>
      <w:marLeft w:val="0"/>
      <w:marRight w:val="0"/>
      <w:marTop w:val="0"/>
      <w:marBottom w:val="0"/>
      <w:divBdr>
        <w:top w:val="none" w:sz="0" w:space="0" w:color="auto"/>
        <w:left w:val="none" w:sz="0" w:space="0" w:color="auto"/>
        <w:bottom w:val="none" w:sz="0" w:space="0" w:color="auto"/>
        <w:right w:val="none" w:sz="0" w:space="0" w:color="auto"/>
      </w:divBdr>
    </w:div>
    <w:div w:id="2041587082">
      <w:bodyDiv w:val="1"/>
      <w:marLeft w:val="0"/>
      <w:marRight w:val="0"/>
      <w:marTop w:val="0"/>
      <w:marBottom w:val="0"/>
      <w:divBdr>
        <w:top w:val="none" w:sz="0" w:space="0" w:color="auto"/>
        <w:left w:val="none" w:sz="0" w:space="0" w:color="auto"/>
        <w:bottom w:val="none" w:sz="0" w:space="0" w:color="auto"/>
        <w:right w:val="none" w:sz="0" w:space="0" w:color="auto"/>
      </w:divBdr>
    </w:div>
    <w:div w:id="2063481211">
      <w:bodyDiv w:val="1"/>
      <w:marLeft w:val="0"/>
      <w:marRight w:val="0"/>
      <w:marTop w:val="0"/>
      <w:marBottom w:val="0"/>
      <w:divBdr>
        <w:top w:val="none" w:sz="0" w:space="0" w:color="auto"/>
        <w:left w:val="none" w:sz="0" w:space="0" w:color="auto"/>
        <w:bottom w:val="none" w:sz="0" w:space="0" w:color="auto"/>
        <w:right w:val="none" w:sz="0" w:space="0" w:color="auto"/>
      </w:divBdr>
    </w:div>
    <w:div w:id="2068795797">
      <w:bodyDiv w:val="1"/>
      <w:marLeft w:val="0"/>
      <w:marRight w:val="0"/>
      <w:marTop w:val="0"/>
      <w:marBottom w:val="0"/>
      <w:divBdr>
        <w:top w:val="none" w:sz="0" w:space="0" w:color="auto"/>
        <w:left w:val="none" w:sz="0" w:space="0" w:color="auto"/>
        <w:bottom w:val="none" w:sz="0" w:space="0" w:color="auto"/>
        <w:right w:val="none" w:sz="0" w:space="0" w:color="auto"/>
      </w:divBdr>
    </w:div>
    <w:div w:id="2077389537">
      <w:bodyDiv w:val="1"/>
      <w:marLeft w:val="0"/>
      <w:marRight w:val="0"/>
      <w:marTop w:val="0"/>
      <w:marBottom w:val="0"/>
      <w:divBdr>
        <w:top w:val="none" w:sz="0" w:space="0" w:color="auto"/>
        <w:left w:val="none" w:sz="0" w:space="0" w:color="auto"/>
        <w:bottom w:val="none" w:sz="0" w:space="0" w:color="auto"/>
        <w:right w:val="none" w:sz="0" w:space="0" w:color="auto"/>
      </w:divBdr>
    </w:div>
    <w:div w:id="2090538884">
      <w:bodyDiv w:val="1"/>
      <w:marLeft w:val="0"/>
      <w:marRight w:val="0"/>
      <w:marTop w:val="0"/>
      <w:marBottom w:val="0"/>
      <w:divBdr>
        <w:top w:val="none" w:sz="0" w:space="0" w:color="auto"/>
        <w:left w:val="none" w:sz="0" w:space="0" w:color="auto"/>
        <w:bottom w:val="none" w:sz="0" w:space="0" w:color="auto"/>
        <w:right w:val="none" w:sz="0" w:space="0" w:color="auto"/>
      </w:divBdr>
    </w:div>
    <w:div w:id="2127577130">
      <w:bodyDiv w:val="1"/>
      <w:marLeft w:val="0"/>
      <w:marRight w:val="0"/>
      <w:marTop w:val="0"/>
      <w:marBottom w:val="0"/>
      <w:divBdr>
        <w:top w:val="none" w:sz="0" w:space="0" w:color="auto"/>
        <w:left w:val="none" w:sz="0" w:space="0" w:color="auto"/>
        <w:bottom w:val="none" w:sz="0" w:space="0" w:color="auto"/>
        <w:right w:val="none" w:sz="0" w:space="0" w:color="auto"/>
      </w:divBdr>
    </w:div>
    <w:div w:id="21299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90610FEEF4CF6BA1DC8EFDE8FACF7"/>
        <w:category>
          <w:name w:val="General"/>
          <w:gallery w:val="placeholder"/>
        </w:category>
        <w:types>
          <w:type w:val="bbPlcHdr"/>
        </w:types>
        <w:behaviors>
          <w:behavior w:val="content"/>
        </w:behaviors>
        <w:guid w:val="{19BC62E6-C5AB-4DF8-83C0-D3FEFE2ED877}"/>
      </w:docPartPr>
      <w:docPartBody>
        <w:p w:rsidR="00E873CA" w:rsidRDefault="00BA0FBA" w:rsidP="00BA0FBA">
          <w:pPr>
            <w:pStyle w:val="89E90610FEEF4CF6BA1DC8EFDE8FACF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FE"/>
    <w:rsid w:val="0002607C"/>
    <w:rsid w:val="00030BEB"/>
    <w:rsid w:val="00036CE3"/>
    <w:rsid w:val="0004438E"/>
    <w:rsid w:val="0004730C"/>
    <w:rsid w:val="00060B20"/>
    <w:rsid w:val="00062FC5"/>
    <w:rsid w:val="000A499F"/>
    <w:rsid w:val="000C0FDE"/>
    <w:rsid w:val="000C26D4"/>
    <w:rsid w:val="000D4451"/>
    <w:rsid w:val="000D584A"/>
    <w:rsid w:val="000E2D49"/>
    <w:rsid w:val="000F3F16"/>
    <w:rsid w:val="000F46DA"/>
    <w:rsid w:val="00106A8F"/>
    <w:rsid w:val="00114226"/>
    <w:rsid w:val="00125D7B"/>
    <w:rsid w:val="00176255"/>
    <w:rsid w:val="00183AFF"/>
    <w:rsid w:val="001928A2"/>
    <w:rsid w:val="0019413D"/>
    <w:rsid w:val="001A419F"/>
    <w:rsid w:val="001B4438"/>
    <w:rsid w:val="001D2FA3"/>
    <w:rsid w:val="001E4366"/>
    <w:rsid w:val="002176B4"/>
    <w:rsid w:val="002208CA"/>
    <w:rsid w:val="00255B52"/>
    <w:rsid w:val="00271EB2"/>
    <w:rsid w:val="002901B3"/>
    <w:rsid w:val="002C0016"/>
    <w:rsid w:val="002C54B2"/>
    <w:rsid w:val="002C5CD3"/>
    <w:rsid w:val="003240E7"/>
    <w:rsid w:val="00337F4A"/>
    <w:rsid w:val="00342827"/>
    <w:rsid w:val="0035696D"/>
    <w:rsid w:val="0038593B"/>
    <w:rsid w:val="003C1829"/>
    <w:rsid w:val="00401F8E"/>
    <w:rsid w:val="004347F1"/>
    <w:rsid w:val="004404FA"/>
    <w:rsid w:val="00494D8E"/>
    <w:rsid w:val="00512374"/>
    <w:rsid w:val="00517322"/>
    <w:rsid w:val="005342A7"/>
    <w:rsid w:val="0056483A"/>
    <w:rsid w:val="00564E90"/>
    <w:rsid w:val="005774E5"/>
    <w:rsid w:val="005913A8"/>
    <w:rsid w:val="00595CA1"/>
    <w:rsid w:val="005A205D"/>
    <w:rsid w:val="005C0C8E"/>
    <w:rsid w:val="005F076A"/>
    <w:rsid w:val="005F2F04"/>
    <w:rsid w:val="00614A13"/>
    <w:rsid w:val="006538F2"/>
    <w:rsid w:val="00662FBD"/>
    <w:rsid w:val="00665CF4"/>
    <w:rsid w:val="006817E5"/>
    <w:rsid w:val="006F2F49"/>
    <w:rsid w:val="006F3413"/>
    <w:rsid w:val="006F4F09"/>
    <w:rsid w:val="00715B4D"/>
    <w:rsid w:val="00723907"/>
    <w:rsid w:val="0074028C"/>
    <w:rsid w:val="0075678F"/>
    <w:rsid w:val="00762B42"/>
    <w:rsid w:val="00772BD4"/>
    <w:rsid w:val="00797EE5"/>
    <w:rsid w:val="007A6628"/>
    <w:rsid w:val="007E0AB9"/>
    <w:rsid w:val="007F3F18"/>
    <w:rsid w:val="00803AC9"/>
    <w:rsid w:val="00836DCF"/>
    <w:rsid w:val="00855D9B"/>
    <w:rsid w:val="00887A3C"/>
    <w:rsid w:val="008C4A09"/>
    <w:rsid w:val="008D3C15"/>
    <w:rsid w:val="008D4D2E"/>
    <w:rsid w:val="00914052"/>
    <w:rsid w:val="00953DC2"/>
    <w:rsid w:val="00972031"/>
    <w:rsid w:val="00992F73"/>
    <w:rsid w:val="009A61F2"/>
    <w:rsid w:val="009B5E5A"/>
    <w:rsid w:val="009D0948"/>
    <w:rsid w:val="009F3959"/>
    <w:rsid w:val="00A029E0"/>
    <w:rsid w:val="00A1723B"/>
    <w:rsid w:val="00A43C06"/>
    <w:rsid w:val="00A9001A"/>
    <w:rsid w:val="00A95C2A"/>
    <w:rsid w:val="00AA6C13"/>
    <w:rsid w:val="00AD40C0"/>
    <w:rsid w:val="00B002ED"/>
    <w:rsid w:val="00B168E2"/>
    <w:rsid w:val="00B51E45"/>
    <w:rsid w:val="00B647FE"/>
    <w:rsid w:val="00B660BB"/>
    <w:rsid w:val="00B863A3"/>
    <w:rsid w:val="00B92246"/>
    <w:rsid w:val="00BA0FBA"/>
    <w:rsid w:val="00BA2768"/>
    <w:rsid w:val="00BC76AA"/>
    <w:rsid w:val="00BD7EAB"/>
    <w:rsid w:val="00BF5DA6"/>
    <w:rsid w:val="00C045DC"/>
    <w:rsid w:val="00C321D0"/>
    <w:rsid w:val="00C81D66"/>
    <w:rsid w:val="00CA19C4"/>
    <w:rsid w:val="00CB4E36"/>
    <w:rsid w:val="00CB53E8"/>
    <w:rsid w:val="00CC4DDF"/>
    <w:rsid w:val="00D10891"/>
    <w:rsid w:val="00D11972"/>
    <w:rsid w:val="00D149EA"/>
    <w:rsid w:val="00D20092"/>
    <w:rsid w:val="00D2674B"/>
    <w:rsid w:val="00D31E52"/>
    <w:rsid w:val="00D460C1"/>
    <w:rsid w:val="00D6567F"/>
    <w:rsid w:val="00D83BC9"/>
    <w:rsid w:val="00D87746"/>
    <w:rsid w:val="00D9356A"/>
    <w:rsid w:val="00DC1F95"/>
    <w:rsid w:val="00DF6918"/>
    <w:rsid w:val="00E65C11"/>
    <w:rsid w:val="00E670EA"/>
    <w:rsid w:val="00E8351F"/>
    <w:rsid w:val="00E873CA"/>
    <w:rsid w:val="00E95B03"/>
    <w:rsid w:val="00EA0AC1"/>
    <w:rsid w:val="00EA2E1B"/>
    <w:rsid w:val="00EC52B0"/>
    <w:rsid w:val="00ED3B87"/>
    <w:rsid w:val="00EF0A0B"/>
    <w:rsid w:val="00F301AD"/>
    <w:rsid w:val="00F72CED"/>
    <w:rsid w:val="00F76DD3"/>
    <w:rsid w:val="00FA0FB3"/>
    <w:rsid w:val="00FB2FA5"/>
    <w:rsid w:val="00FB42BD"/>
    <w:rsid w:val="00FC285E"/>
    <w:rsid w:val="00FE4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FBA"/>
  </w:style>
  <w:style w:type="paragraph" w:customStyle="1" w:styleId="89E90610FEEF4CF6BA1DC8EFDE8FACF7">
    <w:name w:val="89E90610FEEF4CF6BA1DC8EFDE8FACF7"/>
    <w:rsid w:val="00BA0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Guarantee of Origin</TermName>
          <TermId xmlns="http://schemas.microsoft.com/office/infopath/2007/PartnerControls">a8cda294-cbd8-450f-8636-f1f26db4120b</TermId>
        </TermInfo>
      </Term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Report</TermName>
          <TermId>116a9244-cef6-47ce-a9a5-088c9cf21292</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Policy Consultation</TermName>
          <TermId>2c1b3c96-ddbe-43b6-afb9-5596fa993eac</TermId>
        </TermInfo>
      </Terms>
    </g7bcb40ba23249a78edca7d43a67c1c9>
    <TaxCatchAll xmlns="a36bd50b-1532-4c22-b385-5c082c960938">
      <Value>160</Value>
      <Value>5</Value>
      <Value>2265</Value>
      <Value>1</Value>
      <Value>1624</Value>
    </TaxCatchAll>
    <Comments xmlns="http://schemas.microsoft.com/sharepoint/v3" xsi:nil="true"/>
    <j9475258f3624e468a1ef757d7ef1f9e xmlns="06a8ef23-3c56-433f-9e1a-931c6bc25665">
      <Terms xmlns="http://schemas.microsoft.com/office/infopath/2007/PartnerControls"/>
    </j9475258f3624e468a1ef757d7ef1f9e>
    <eac5ad3aaa544db993bf54d83b5f925a xmlns="06a8ef23-3c56-433f-9e1a-931c6bc25665">
      <Terms xmlns="http://schemas.microsoft.com/office/infopath/2007/PartnerControls">
        <TermInfo xmlns="http://schemas.microsoft.com/office/infopath/2007/PartnerControls">
          <TermName xmlns="http://schemas.microsoft.com/office/infopath/2007/PartnerControls">Guarantee of Origin</TermName>
          <TermId xmlns="http://schemas.microsoft.com/office/infopath/2007/PartnerControls">45f0fa80-ab55-4f90-a991-6b4ce6fd2ebc</TermId>
        </TermInfo>
      </Terms>
    </eac5ad3aaa544db993bf54d83b5f925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Dep14</b:Tag>
    <b:SourceType>Report</b:SourceType>
    <b:Guid>{6E28AAB3-7316-4A51-B8DD-0C40004E46EB}</b:Guid>
    <b:Author>
      <b:Author>
        <b:Corporate>Department of the Environment</b:Corporate>
      </b:Author>
    </b:Author>
    <b:Title>Subsidence from coal mining activities</b:Title>
    <b:Year>2014</b:Year>
    <b:Publisher>Deparment of the Environment</b:Publisher>
    <b:City>Canberra</b:City>
    <b:URL>https://www.environment.gov.au/system/files/resources/1ebc143e-e796-453d-b9d6-00cdbbabdee3/files/background-review-subsidence-coal-mining.pdf</b:URL>
    <b:RefOrder>6</b:RefOrder>
  </b:Source>
  <b:Source>
    <b:Tag>Raj20</b:Tag>
    <b:SourceType>InternetSite</b:SourceType>
    <b:Guid>{70822E9D-54DE-4D9A-B234-B25F8B146A85}</b:Guid>
    <b:Author>
      <b:Author>
        <b:NameList>
          <b:Person>
            <b:Last>Ramani</b:Last>
            <b:First>Raja</b:First>
            <b:Middle>Venkat</b:Middle>
          </b:Person>
        </b:NameList>
      </b:Author>
    </b:Author>
    <b:Title>Coal mining</b:Title>
    <b:InternetSiteTitle>Encyclopedia Brittannica</b:InternetSiteTitle>
    <b:Year>2020</b:Year>
    <b:Month>November</b:Month>
    <b:Day>2</b:Day>
    <b:URL>https://www.britannica.com/technology/coal-mining/Choosing-a-mining-method</b:URL>
    <b:RefOrder>7</b:RefOrder>
  </b:Source>
  <b:Source>
    <b:Tag>Lee83</b:Tag>
    <b:SourceType>Report</b:SourceType>
    <b:Guid>{D7D37F07-802E-4939-9B89-7FD0327018C9}</b:Guid>
    <b:Author>
      <b:Author>
        <b:NameList>
          <b:Person>
            <b:Last>Lee</b:Last>
            <b:First>F</b:First>
          </b:Person>
          <b:Person>
            <b:Last>Abel</b:Last>
            <b:First>J</b:First>
          </b:Person>
        </b:NameList>
      </b:Author>
    </b:Author>
    <b:Title>Subsidence from underground mining: environmental analysis and planning considerations</b:Title>
    <b:Year>1983</b:Year>
    <b:Publisher>United States Geological Survey</b:Publisher>
    <b:City>Alexandria</b:City>
    <b:RefOrder>8</b:RefOrder>
  </b:Source>
  <b:Source>
    <b:Tag>Cle20</b:Tag>
    <b:SourceType>Report</b:SourceType>
    <b:Guid>{01F15F60-11B6-43AC-B5BA-44E81A3CBB49}</b:Guid>
    <b:Title>Estimating emissions and energy from coal mining guideline</b:Title>
    <b:Year>2020</b:Year>
    <b:Author>
      <b:Author>
        <b:Corporate>Clean Energy Regulator</b:Corporate>
      </b:Author>
    </b:Author>
    <b:Publisher>Clean Energy Regulator</b:Publisher>
    <b:City>Canberra</b:City>
    <b:RefOrder>9</b:RefOrder>
  </b:Source>
  <b:Source>
    <b:Tag>Glo20</b:Tag>
    <b:SourceType>DocumentFromInternetSite</b:SourceType>
    <b:Guid>{72E87534-8E3C-42F0-AF5E-168C0E2F10E3}</b:Guid>
    <b:Author>
      <b:Author>
        <b:Corporate>Global Methane Initiative Coal Subcommittee</b:Corporate>
      </b:Author>
    </b:Author>
    <b:Title>Flaring of Coal Mine Methane: Assessing Appropriate Opportunities</b:Title>
    <b:Year>2020</b:Year>
    <b:Month>November</b:Month>
    <b:Day>6</b:Day>
    <b:URL>https://www.globalmethane.org/documents/GMICoalFlaringNov2013.pdf</b:URL>
    <b:RefOrder>10</b:RefOrder>
  </b:Source>
  <b:Source>
    <b:Tag>Lee14</b:Tag>
    <b:SourceType>Report</b:SourceType>
    <b:Guid>{80624E62-75C7-4BD3-A245-CCD0095DB120}</b:Guid>
    <b:Title>Sustainable Application of Reciprocating Gas Engines Operating On Coal Mine Methane Gas</b:Title>
    <b:Year>2014</b:Year>
    <b:URL>http://s7d2.scene7.com/is/content/Caterpillar/CM20160629-32522-55426</b:URL>
    <b:Publisher>Caterpillar</b:Publisher>
    <b:Author>
      <b:Author>
        <b:NameList>
          <b:Person>
            <b:Last>Lee</b:Last>
            <b:First>J</b:First>
          </b:Person>
          <b:Person>
            <b:Last>Teo</b:Last>
            <b:First>T</b:First>
          </b:Person>
          <b:Person>
            <b:Last>Tnay</b:Last>
            <b:First>C</b:First>
          </b:Person>
        </b:NameList>
      </b:Author>
    </b:Author>
    <b:RefOrder>11</b:RefOrder>
  </b:Source>
  <b:Source>
    <b:Tag>McP93</b:Tag>
    <b:SourceType>JournalArticle</b:SourceType>
    <b:Guid>{A18C588F-9C81-4F39-A684-44C44C2E15CC}</b:Guid>
    <b:Title>Refrigeration plant and mine air conditioning systems</b:Title>
    <b:Year>1993</b:Year>
    <b:Author>
      <b:Author>
        <b:NameList>
          <b:Person>
            <b:Last>McPherson</b:Last>
            <b:First>M</b:First>
          </b:Person>
        </b:NameList>
      </b:Author>
    </b:Author>
    <b:JournalName>Subsurface Ventilation and Environmental Engineering</b:JournalName>
    <b:Pages>651-738</b:Pages>
    <b:URL>https://www.mvsengineering.com/files/Subsurface-Book/MVS-SVE_Chapter18.pdf</b:URL>
    <b:RefOrder>12</b:RefOrder>
  </b:Source>
  <b:Source>
    <b:Tag>Vam00</b:Tag>
    <b:SourceType>BookSection</b:SourceType>
    <b:Guid>{75BFFC99-A9AE-447E-B483-A8ECB0814303}</b:Guid>
    <b:Author>
      <b:Author>
        <b:NameList>
          <b:Person>
            <b:Last>Vamvuka</b:Last>
            <b:First>D</b:First>
          </b:Person>
        </b:NameList>
      </b:Author>
    </b:Author>
    <b:Title>Gasification of coal</b:Title>
    <b:Year>2000</b:Year>
    <b:City>Brentwood</b:City>
    <b:Publisher>MultiScience Publishing Corporation Limited</b:Publisher>
    <b:BookTitle>Clean Use of Coals. Low-Rank Coal Technologies</b:BookTitle>
    <b:Pages>515-581</b:Pages>
    <b:URL>https://journals.sagepub.com/doi/pdf/10.1177/014459879901700603</b:URL>
    <b:RefOrder>13</b:RefOrder>
  </b:Source>
  <b:Source>
    <b:Tag>Nat20</b:Tag>
    <b:SourceType>InternetSite</b:SourceType>
    <b:Guid>{02B331C2-3C2C-4C24-AAD3-343FDA64155A}</b:Guid>
    <b:Title>Catalytic gasification</b:Title>
    <b:Year>2010</b:Year>
    <b:Author>
      <b:Author>
        <b:Corporate>National Energy Technology Laboratory</b:Corporate>
      </b:Author>
    </b:Author>
    <b:Month>November</b:Month>
    <b:Day>9</b:Day>
    <b:URL>https://netl.doe.gov/research/Coal/energy-systems/gasification/gasifipedia/catalytic</b:URL>
    <b:RefOrder>14</b:RefOrder>
  </b:Source>
  <b:Source>
    <b:Tag>Hig08</b:Tag>
    <b:SourceType>BookSection</b:SourceType>
    <b:Guid>{F03D7F0B-E9DD-48E4-B45E-F8264797B972}</b:Guid>
    <b:Author>
      <b:Author>
        <b:NameList>
          <b:Person>
            <b:Last>Higman</b:Last>
            <b:First>C.</b:First>
            <b:Middle>&amp; van der Burgt, M</b:Middle>
          </b:Person>
        </b:NameList>
      </b:Author>
    </b:Author>
    <b:Title>Chapter 5 - Gasification Processes</b:Title>
    <b:Year>2008</b:Year>
    <b:URL>http://www.sciencedirect.com/science/article/pii/B9780750685283000055</b:URL>
    <b:BookTitle>Gasification (second edition)</b:BookTitle>
    <b:Pages>91-191</b:Pages>
    <b:Publisher>Gulf Professional Publishing</b:Publisher>
    <b:DOI>https://doi.org/10.1016/B978-0-7506-8528-3.00005-5</b:DOI>
    <b:RefOrder>15</b:RefOrder>
  </b:Source>
  <b:Source>
    <b:Tag>htt07</b:Tag>
    <b:SourceType>Report</b:SourceType>
    <b:Guid>{09F84308-2E6A-4C36-A11F-85F05014946B}</b:Guid>
    <b:Title>Life Cycle Inventories of Chemicals</b:Title>
    <b:Year>2007</b:Year>
    <b:Publisher>EMPA</b:Publisher>
    <b:City>Dubendorf</b:City>
    <b:Institution>Swiss Centre for Life Cycle Inventories</b:Institution>
    <b:ShortTitle>ecoinvent report No. 9, v2.0</b:ShortTitle>
    <b:URL>https://db.ecoinvent.org/reports/08_Chemicals.pdf</b:URL>
    <b:Author>
      <b:Author>
        <b:NameList>
          <b:Person>
            <b:Last>Althaus</b:Last>
            <b:First>H.J.,</b:First>
            <b:Middle>Chudacoff, M., Hischier, R. Jungbluth, N., Osses, M. and Primas, A.</b:Middle>
          </b:Person>
        </b:NameList>
      </b:Author>
    </b:Author>
    <b:RefOrder>5</b:RefOrder>
  </b:Source>
  <b:Source>
    <b:Tag>Kop00</b:Tag>
    <b:SourceType>InternetSite</b:SourceType>
    <b:Guid>{02D3CDEB-139F-476E-A3D7-6F20D38EB9F3}</b:Guid>
    <b:Title>Coal utilization</b:Title>
    <b:Year>2000</b:Year>
    <b:Author>
      <b:Author>
        <b:NameList>
          <b:Person>
            <b:Last>Kopp</b:Last>
            <b:First>O</b:First>
          </b:Person>
        </b:NameList>
      </b:Author>
    </b:Author>
    <b:InternetSiteTitle>Encyclopedia Britannica</b:InternetSiteTitle>
    <b:Month>November</b:Month>
    <b:Day>3</b:Day>
    <b:URL>https://www.britannica.com/science/fossil-fuel</b:URL>
    <b:RefOrder>16</b:RefOrder>
  </b:Source>
  <b:Source>
    <b:Tag>Pal18</b:Tag>
    <b:SourceType>JournalArticle</b:SourceType>
    <b:Guid>{0304883B-AD1C-4735-80FB-A0D5231F9079}</b:Guid>
    <b:Title>Performance of water gas shift reaction catalysts: a review</b:Title>
    <b:Year>2018</b:Year>
    <b:Author>
      <b:Author>
        <b:NameList>
          <b:Person>
            <b:Last>Pal</b:Last>
            <b:First>D</b:First>
          </b:Person>
          <b:Person>
            <b:Last>Chand</b:Last>
            <b:First>R</b:First>
          </b:Person>
          <b:Person>
            <b:Last>Upadhyay</b:Last>
            <b:First>S</b:First>
          </b:Person>
          <b:Person>
            <b:Last>Mishra</b:Last>
            <b:First>P</b:First>
          </b:Person>
        </b:NameList>
      </b:Author>
    </b:Author>
    <b:JournalName>Renewable and Sustainable Energy Reviews</b:JournalName>
    <b:Pages>549-565</b:Pages>
    <b:Volume>93</b:Volume>
    <b:RefOrder>17</b:RefOrder>
  </b:Source>
  <b:Source>
    <b:Tag>Fer18</b:Tag>
    <b:SourceType>BookSection</b:SourceType>
    <b:Guid>{1DFC5689-168E-424F-AA62-178E4EF76774}</b:Guid>
    <b:Author>
      <b:Author>
        <b:NameList>
          <b:Person>
            <b:Last>Vega</b:Last>
            <b:First>F</b:First>
          </b:Person>
          <b:Person>
            <b:Last>Cano</b:Last>
            <b:First>M</b:First>
          </b:Person>
          <b:Person>
            <b:Last>Camino</b:Last>
            <b:First>S</b:First>
          </b:Person>
          <b:Person>
            <b:Last>Gallego Fernández</b:Last>
            <b:First>LM</b:First>
          </b:Person>
          <b:Person>
            <b:Last>Portillo</b:Last>
            <b:First>E</b:First>
          </b:Person>
          <b:Person>
            <b:Last>&amp; Navarrete</b:Last>
            <b:First>B</b:First>
          </b:Person>
        </b:NameList>
      </b:Author>
    </b:Author>
    <b:Title>Solvents for Carbon Dioxide Capture</b:Title>
    <b:Year>2018</b:Year>
    <b:URL>https://www.intechopen.com/books/carbon-dioxide-chemistry-capture-and-oil-recovery/solvents-for-carbon-dioxide-capture</b:URL>
    <b:BookTitle>Carbon Dioxide Chemistry Capture and Oil Recovery</b:BookTitle>
    <b:Publisher>https://www.intechopen.com/books/carbon-dioxide-chemistry-capture-and-oil-recovery/solvents-for-carbon-dioxide-capture</b:Publisher>
    <b:RefOrder>18</b:RefOrder>
  </b:Source>
  <b:Source>
    <b:Tag>Chi13</b:Tag>
    <b:SourceType>JournalArticle</b:SourceType>
    <b:Guid>{F75410FB-28EB-4460-9F85-B9208B7355E9}</b:Guid>
    <b:Author>
      <b:Author>
        <b:NameList>
          <b:Person>
            <b:Last>Chiche</b:Last>
            <b:First>D</b:First>
          </b:Person>
          <b:Person>
            <b:Last>Diverchy</b:Last>
            <b:First>C</b:First>
          </b:Person>
          <b:Person>
            <b:Last>Lucquin</b:Last>
            <b:First>A</b:First>
          </b:Person>
          <b:Person>
            <b:Last>Porcheron</b:Last>
            <b:First>F</b:First>
          </b:Person>
          <b:Person>
            <b:Last>Defoort</b:Last>
          </b:Person>
        </b:NameList>
      </b:Author>
    </b:Author>
    <b:Title>Synthesis Gas Purification</b:Title>
    <b:JournalName>Oil and Gas Science and Technology</b:JournalName>
    <b:Year>2013</b:Year>
    <b:Pages>707-723</b:Pages>
    <b:Volume>68</b:Volume>
    <b:URL>https://hal-ifp.archives-ouvertes.fr/hal-01936192/document</b:URL>
    <b:RefOrder>19</b:RefOrder>
  </b:Source>
  <b:Source>
    <b:Tag>Hof07</b:Tag>
    <b:SourceType>Report</b:SourceType>
    <b:Guid>{02920162-74DD-4E97-87AA-1DD22BA1915F}</b:Guid>
    <b:Author>
      <b:Author>
        <b:NameList>
          <b:Person>
            <b:Last>Hofbauer</b:Last>
            <b:First>H</b:First>
          </b:Person>
          <b:Person>
            <b:Last>Rauch</b:Last>
            <b:First>R</b:First>
          </b:Person>
          <b:Person>
            <b:Last>Ripfel-Nitsche</b:Last>
            <b:First>K</b:First>
          </b:Person>
        </b:NameList>
      </b:Author>
    </b:Author>
    <b:Title>Report on gas cleaning for synthesis applications</b:Title>
    <b:Year>2007</b:Year>
    <b:Publisher>Vienna University of Technology</b:Publisher>
    <b:City>Vienna</b:City>
    <b:RefOrder>20</b:RefOrder>
  </b:Source>
  <b:Source>
    <b:Tag>Rez20</b:Tag>
    <b:SourceType>JournalArticle</b:SourceType>
    <b:Guid>{556C6750-9934-4188-B27B-C9BBBF29D42A}</b:Guid>
    <b:Author>
      <b:Author>
        <b:NameList>
          <b:Person>
            <b:Last>Rezaee</b:Last>
            <b:First>P</b:First>
          </b:Person>
          <b:Person>
            <b:Last>Naeij</b:Last>
            <b:First>H</b:First>
          </b:Person>
        </b:NameList>
      </b:Author>
    </b:Author>
    <b:Title>A new approach to separate hydrogen from carbon dioxide using graphdiyne-like membrane</b:Title>
    <b:JournalName>Nature: Scientific Reports</b:JournalName>
    <b:Year>2020</b:Year>
    <b:Pages>13549</b:Pages>
    <b:Volume>10</b:Volume>
    <b:RefOrder>21</b:RefOrder>
  </b:Source>
  <b:Source>
    <b:Tag>Sch10</b:Tag>
    <b:SourceType>JournalArticle</b:SourceType>
    <b:Guid>{0265DA53-2398-470B-A95B-C3C8715BBA70}</b:Guid>
    <b:Author>
      <b:Author>
        <b:NameList>
          <b:Person>
            <b:Last>Scholes</b:Last>
            <b:First>C</b:First>
          </b:Person>
          <b:Person>
            <b:Last>Smith</b:Last>
            <b:First>K</b:First>
          </b:Person>
          <b:Person>
            <b:Last>Kentish</b:Last>
            <b:First>S</b:First>
          </b:Person>
          <b:Person>
            <b:Last>Stevens</b:Last>
            <b:First>G</b:First>
          </b:Person>
        </b:NameList>
      </b:Author>
    </b:Author>
    <b:Title>CO2 capture from pre-combustion processes - strategies for membrane gas separation</b:Title>
    <b:JournalName>International Journal of Greenhouse Gas Control</b:JournalName>
    <b:Year>2010</b:Year>
    <b:Pages>739-755</b:Pages>
    <b:Volume>4</b:Volume>
    <b:Issue>5</b:Issue>
    <b:RefOrder>22</b:RefOrder>
  </b:Source>
  <b:Source>
    <b:Tag>Mar16</b:Tag>
    <b:SourceType>JournalArticle</b:SourceType>
    <b:Guid>{5E82C7B9-CD7C-4769-A883-AC125CF43AAF}</b:Guid>
    <b:Title>Impact of stream impurities on compressor power requirements for CO2 pipeline transportation</b:Title>
    <b:Year>2016</b:Year>
    <b:URL>https://discovery.ucl.ac.uk/id/eprint/1522551/1/CO2%20Compression%20-%20%2030%20July%202016.pdf</b:URL>
    <b:JournalName>International Journal of Greenhouse Gas Control</b:JournalName>
    <b:Pages>652-661</b:Pages>
    <b:Volume>54</b:Volume>
    <b:Issue>2</b:Issue>
    <b:DOI>https://doi.org/10.1016/j.ijggc.2016.08.010</b:DOI>
    <b:Author>
      <b:Author>
        <b:NameList>
          <b:Person>
            <b:Last>Martynov</b:Last>
            <b:First>S</b:First>
          </b:Person>
          <b:Person>
            <b:Last>Daud</b:Last>
            <b:First>N</b:First>
          </b:Person>
          <b:Person>
            <b:Last>Mahgerefteh</b:Last>
            <b:First>H</b:First>
          </b:Person>
          <b:Person>
            <b:Last>Brown</b:Last>
            <b:First>S</b:First>
          </b:Person>
          <b:Person>
            <b:Last>Porter</b:Last>
            <b:First>R</b:First>
          </b:Person>
        </b:NameList>
      </b:Author>
    </b:Author>
    <b:RefOrder>23</b:RefOrder>
  </b:Source>
  <b:Source>
    <b:Tag>Nat07</b:Tag>
    <b:SourceType>Book</b:SourceType>
    <b:Guid>{C5B8E25B-5693-49BA-88B9-39C9B1E80A8C}</b:Guid>
    <b:Title>Coal: Research and Development to Support National Energy Policy</b:Title>
    <b:Year>2007</b:Year>
    <b:Author>
      <b:Author>
        <b:Corporate>National Research Council</b:Corporate>
      </b:Author>
    </b:Author>
    <b:City>Washington</b:City>
    <b:Publisher>The National Archives Press</b:Publisher>
    <b:RefOrder>24</b:RefOrder>
  </b:Source>
  <b:Source>
    <b:Tag>Env20</b:Tag>
    <b:SourceType>InternetSite</b:SourceType>
    <b:Guid>{F1592538-D884-47E2-A8E8-2E41710C45D5}</b:Guid>
    <b:Title>Carbon Capture and Storage (CCS)</b:Title>
    <b:Year>2020</b:Year>
    <b:Author>
      <b:Author>
        <b:Corporate>Environmental and Energy Study Institute</b:Corporate>
      </b:Author>
    </b:Author>
    <b:Month>November</b:Month>
    <b:Day>3</b:Day>
    <b:URL>https://www.eesi.org/topics/fossil-fuels/ccs</b:URL>
    <b:RefOrder>25</b:RefOrder>
  </b:Source>
  <b:Source>
    <b:Tag>HES20</b:Tag>
    <b:SourceType>InternetSite</b:SourceType>
    <b:Guid>{F663A27C-45BB-4479-ACD3-053A553D344F}</b:Guid>
    <b:Title>Community and Sustainability</b:Title>
    <b:InternetSiteTitle>Hydrogen Energy Supply Chain</b:InternetSiteTitle>
    <b:Year>2020</b:Year>
    <b:URL>https://hydrogenenergysupplychain.com/community-and-sustainability/</b:URL>
    <b:Author>
      <b:Author>
        <b:NameList>
          <b:Person>
            <b:Last>HESC</b:Last>
          </b:Person>
        </b:NameList>
      </b:Author>
    </b:Author>
    <b:RefOrder>26</b:RefOrder>
  </b:Source>
  <b:Source>
    <b:Tag>IEA201</b:Tag>
    <b:SourceType>InternetSite</b:SourceType>
    <b:Guid>{79002A4D-DF24-48B3-AA5A-D044C7410217}</b:Guid>
    <b:Author>
      <b:Author>
        <b:Corporate>IEA</b:Corporate>
      </b:Author>
    </b:Author>
    <b:Title>CCUS in Clean Energy Transitions</b:Title>
    <b:InternetSiteTitle>IEA</b:InternetSiteTitle>
    <b:Year>2020</b:Year>
    <b:URL>https://www.iea.org/reports/ccus-in-clean-energy-transitions/a-new-era-for-ccus#growing-ccus-momentum</b:URL>
    <b:RefOrder>46</b:RefOrder>
  </b:Source>
  <b:Source>
    <b:Tag>Mak16</b:Tag>
    <b:SourceType>BookSection</b:SourceType>
    <b:Guid>{B2779A34-4DC9-4BB6-8D7D-28F8F6802710}</b:Guid>
    <b:Author>
      <b:Author>
        <b:NameList>
          <b:Person>
            <b:Last>Makridis</b:Last>
            <b:First>S.</b:First>
          </b:Person>
        </b:NameList>
      </b:Author>
    </b:Author>
    <b:Title>Chapter 1: Hydrogen storage and compression,</b:Title>
    <b:Year>2016</b:Year>
    <b:BookTitle>Methane and Hydrogen for Energy Storage,</b:BookTitle>
    <b:URL>https://arxiv.org/ftp/arxiv/papers/1702/1702.06015.pdf</b:URL>
    <b:RefOrder>27</b:RefOrder>
  </b:Source>
  <b:Source>
    <b:Tag>Gha19</b:Tag>
    <b:SourceType>Report</b:SourceType>
    <b:Guid>{D1807262-6A12-4943-B591-087659702309}</b:Guid>
    <b:Title>Liquid Hydrogen in Australia: Requirements of Further Technical Research</b:Title>
    <b:Year>2019</b:Year>
    <b:Author>
      <b:Author>
        <b:NameList>
          <b:Person>
            <b:Last>Ghafri</b:Last>
            <b:First>S.</b:First>
            <b:Middle>&amp; Munro, S.</b:Middle>
          </b:Person>
        </b:NameList>
      </b:Author>
    </b:Author>
    <b:URL>https://lngfutures.edu.au/wp-content/uploads/2019/10/Munro-S.-Al-Ghafri-S.-Liquid-Hydrogen-in-Australia-requirements-of-futher-technical-research.pdf</b:URL>
    <b:RefOrder>28</b:RefOrder>
  </b:Source>
  <b:Source>
    <b:Tag>asd</b:Tag>
    <b:SourceType>InternetSite</b:SourceType>
    <b:Guid>{87A4FAA7-C6F7-4521-8607-8BCC1B2C22D7}</b:Guid>
    <b:URL>https://www.energy.gov/eere/fuelcells/hydrogen-storage#:~:text=This%20is%20less%20of%20an,and%20easily%20refuel%20the%20vehicle</b:URL>
    <b:Author>
      <b:Author>
        <b:Corporate>US Office of Energy Efficiency and Renewable Energy</b:Corporate>
      </b:Author>
    </b:Author>
    <b:Title>Hydrogen Storage</b:Title>
    <b:Year>n.d.</b:Year>
    <b:RefOrder>29</b:RefOrder>
  </b:Source>
  <b:Source>
    <b:Tag>ARE16</b:Tag>
    <b:SourceType>Report</b:SourceType>
    <b:Guid>{347B15B6-224C-44F4-9C19-C4F217AAB307}</b:Guid>
    <b:Author>
      <b:Author>
        <b:Corporate>ARENA</b:Corporate>
      </b:Author>
    </b:Author>
    <b:Title>Method and guidance for undertaking life cycle assessment (LCA) of bioenergy products and projects </b:Title>
    <b:Year>2016</b:Year>
    <b:Department>ARENA</b:Department>
    <b:URL>https://arena.gov.au/assets/2017/02/ARENA-LCA-Method-and-Guidance-FINAL-DRAFT-1-0.pdf </b:URL>
    <b:RefOrder>30</b:RefOrder>
  </b:Source>
  <b:Source>
    <b:Tag>Joh04</b:Tag>
    <b:SourceType>Report</b:SourceType>
    <b:Guid>{7EFECF8C-2236-448F-85B2-FF94D737BB5D}</b:Guid>
    <b:Author>
      <b:Author>
        <b:NameList>
          <b:Person>
            <b:Last>Johanna</b:Last>
            <b:First>I</b:First>
          </b:Person>
        </b:NameList>
      </b:Author>
    </b:Author>
    <b:Title>Summary of Electrolytic Hydrogen Production: Milestone Completion Report</b:Title>
    <b:Year>2004</b:Year>
    <b:Institution>National Renewable Energy Laboratory</b:Institution>
    <b:URL>https://www.nrel.gov/docs/fy04osti/36734.pdf</b:URL>
    <b:RefOrder>2</b:RefOrder>
  </b:Source>
  <b:Source>
    <b:Tag>COA19</b:Tag>
    <b:SourceType>Report</b:SourceType>
    <b:Guid>{C9CE5874-FB74-4FDA-B011-5C25043FE126}</b:Guid>
    <b:Author>
      <b:Author>
        <b:Corporate>COAG Energy Council</b:Corporate>
      </b:Author>
    </b:Author>
    <b:Title>Australia’s National Hydrogen Strategy</b:Title>
    <b:Year>2019</b:Year>
    <b:Department>Department of Industry, Innovation and Science</b:Department>
    <b:Institution>Commonwealth of Australia</b:Institution>
    <b:URL>https://www.industry.gov.au/sites/default/files/2019-11/australias-national-hydrogen-strategy.pdf</b:URL>
    <b:RefOrder>3</b:RefOrder>
  </b:Source>
  <b:Source>
    <b:Tag>CSI18</b:Tag>
    <b:SourceType>Report</b:SourceType>
    <b:Guid>{E0095CB9-5626-4C8A-84A1-E230410C4A18}</b:Guid>
    <b:Title>National Hydrogen Roadmap</b:Title>
    <b:Year> 2018</b:Year>
    <b:Author>
      <b:Author>
        <b:Corporate>CSIRO</b:Corporate>
      </b:Author>
    </b:Author>
    <b:URL>https://www.csiro.au/~/media/Do-Business/Files/Futures/18-00314_EN_NationalHydrogenRoadmap_WEB_180823.pdf?la=en&amp;hash=36839EEC2DE1BC38DC738F5AAE7B40895F3E15F4</b:URL>
    <b:RefOrder>4</b:RefOrder>
  </b:Source>
  <b:Source>
    <b:Tag>Env15</b:Tag>
    <b:SourceType>Report</b:SourceType>
    <b:Guid>{62BDFEEB-6D39-426C-9F1A-790763285CA8}</b:Guid>
    <b:Title>Conventional and unconventional gas</b:Title>
    <b:Year>2015</b:Year>
    <b:Publisher>NSW EPA</b:Publisher>
    <b:Author>
      <b:Author>
        <b:NameList>
          <b:Person>
            <b:Last>Environment Protection Authority</b:Last>
          </b:Person>
        </b:NameList>
      </b:Author>
    </b:Author>
    <b:RefOrder>31</b:RefOrder>
  </b:Source>
  <b:Source>
    <b:Tag>JLi19</b:Tag>
    <b:SourceType>Report</b:SourceType>
    <b:Guid>{2BE6CF29-75F5-4848-8D58-DE1C78CF01F2}</b:Guid>
    <b:Title>Life Cycle Analysis of Natural Gas Extraction and Power Generation</b:Title>
    <b:Year>2019</b:Year>
    <b:City>Pittsburgh</b:City>
    <b:Publisher>National Energy Technology Laboratory</b:Publisher>
    <b:Author>
      <b:Author>
        <b:NameList>
          <b:Person>
            <b:Last>Littlefield</b:Last>
            <b:First>J.,</b:First>
            <b:Middle>Roman-White, S., Augustine, D., Pegallapati, A., Zaimes, G. G. Rai, S., Cooney, G., Skone, T. J.</b:Middle>
          </b:Person>
        </b:NameList>
      </b:Author>
    </b:Author>
    <b:RefOrder>32</b:RefOrder>
  </b:Source>
  <b:Source>
    <b:Tag>Dep12</b:Tag>
    <b:SourceType>Report</b:SourceType>
    <b:Guid>{1BFA5DB8-C8DC-4CAB-9125-5989BA420B2F}</b:Guid>
    <b:Author>
      <b:Author>
        <b:NameList>
          <b:Person>
            <b:Last>Department of Environment and Heritage Protection</b:Last>
          </b:Person>
        </b:NameList>
      </b:Author>
    </b:Author>
    <b:Title>Coal Seam Gas Water Management Policy</b:Title>
    <b:Year>2012</b:Year>
    <b:Publisher>Queensland Government</b:Publisher>
    <b:City>Brisbane</b:City>
    <b:RefOrder>33</b:RefOrder>
  </b:Source>
  <b:Source>
    <b:Tag>Cla11</b:Tag>
    <b:SourceType>Report</b:SourceType>
    <b:Guid>{6FD82220-24C0-4D53-ADEB-783BDF781BF4}</b:Guid>
    <b:Author>
      <b:Author>
        <b:NameList>
          <b:Person>
            <b:Last>Clark</b:Last>
            <b:First>C.E.,</b:First>
            <b:Middle>Han, J., Burnham, A., Dunn, J.B., Wang, M.</b:Middle>
          </b:Person>
        </b:NameList>
      </b:Author>
    </b:Author>
    <b:Title>Life-Cycle Analysis of Shale Gas and Natural Gas</b:Title>
    <b:Year>2011</b:Year>
    <b:Publisher>Center for Transportation Research Energy Systems Division</b:Publisher>
    <b:City>Argonne Naitonal Laboratory</b:City>
    <b:RefOrder>34</b:RefOrder>
  </b:Source>
  <b:Source>
    <b:Tag>Ste14</b:Tag>
    <b:SourceType>Report</b:SourceType>
    <b:Guid>{F5EF84AC-CE8E-4401-B5CB-B47AC1027E04}</b:Guid>
    <b:Author>
      <b:Author>
        <b:NameList>
          <b:Person>
            <b:Last>Stewart</b:Last>
            <b:First>M.</b:First>
          </b:Person>
        </b:NameList>
      </b:Author>
    </b:Author>
    <b:Title>Surface production operations. Volume two, Design of gas-handling systems and facilities (3rd edition.)</b:Title>
    <b:Year>2014</b:Year>
    <b:Publisher>Gulf Professional Publishing</b:Publisher>
    <b:RefOrder>35</b:RefOrder>
  </b:Source>
  <b:Source>
    <b:Tag>Isl07</b:Tag>
    <b:SourceType>Book</b:SourceType>
    <b:Guid>{9AA4101E-58A3-4B72-961E-F5339682E649}</b:Guid>
    <b:Title>The Petroleum Engineering Handbook: Sustainable Operations</b:Title>
    <b:Year>2007</b:Year>
    <b:Publisher>Austin: Gulf Publishing Company</b:Publisher>
    <b:Author>
      <b:Author>
        <b:NameList>
          <b:Person>
            <b:Last>Islam</b:Last>
            <b:First>M.R.</b:First>
          </b:Person>
          <b:Person>
            <b:Last>Khan</b:Last>
            <b:First>M.I.</b:First>
          </b:Person>
        </b:NameList>
      </b:Author>
    </b:Author>
    <b:RefOrder>36</b:RefOrder>
  </b:Source>
  <b:Source>
    <b:Tag>Mok12</b:Tag>
    <b:SourceType>Report</b:SourceType>
    <b:Guid>{F3DC4C6E-74AF-48BC-BF17-47D4C8C8C3BB}</b:Guid>
    <b:Author>
      <b:Author>
        <b:NameList>
          <b:Person>
            <b:Last>Mokhatab</b:Last>
            <b:First>S.</b:First>
          </b:Person>
        </b:NameList>
      </b:Author>
    </b:Author>
    <b:Title>Handbook of natural gas transmission and processing (2nd ed.)</b:Title>
    <b:Year>2012</b:Year>
    <b:Publisher>Elsevier/Gulf Professional Pub</b:Publisher>
    <b:RefOrder>37</b:RefOrder>
  </b:Source>
  <b:Source>
    <b:Tag>Nex06</b:Tag>
    <b:SourceType>Report</b:SourceType>
    <b:Guid>{875ADA81-42E3-40FE-80D8-AD3E6E4EEC98}</b:Guid>
    <b:Author>
      <b:Author>
        <b:Corporate>Nexant Incorporated</b:Corporate>
      </b:Author>
    </b:Author>
    <b:Title>Equipment Design and Cost Estimation for Small Modular Biomass Systems, Synthesis Gas Cleanup, and Oxygen Separation Equipment</b:Title>
    <b:Year>2006</b:Year>
    <b:Publisher>National Renewable Energy Laboratory</b:Publisher>
    <b:City>Colorado</b:City>
    <b:URL>https://www.nrel.gov/docs/fy06osti/39943.pdf</b:URL>
    <b:RefOrder>38</b:RefOrder>
  </b:Source>
  <b:Source>
    <b:Tag>Bos15</b:Tag>
    <b:SourceType>JournalArticle</b:SourceType>
    <b:Guid>{62F52CEC-7128-4F94-A94A-040C3019D8D5}</b:Guid>
    <b:Title>Design parameters for a hydrodesulfurization (HDS) unit for petroleum naphtha at 3500 barrels per day</b:Title>
    <b:Pages>99-111</b:Pages>
    <b:Year>2015</b:Year>
    <b:Author>
      <b:Author>
        <b:NameList>
          <b:Person>
            <b:Last>Bose</b:Last>
            <b:First>D</b:First>
          </b:Person>
        </b:NameList>
      </b:Author>
    </b:Author>
    <b:JournalName>World Scientific News</b:JournalName>
    <b:URL>http://www.worldscientificnews.com/wp-content/uploads/2012/11/WSN-3-2015-99-111.pdf</b:URL>
    <b:RefOrder>39</b:RefOrder>
  </b:Source>
  <b:Source>
    <b:Tag>Dut21</b:Tag>
    <b:SourceType>InternetSite</b:SourceType>
    <b:Guid>{FB87AF78-AB45-4D61-AD0D-B6A0D532261F}</b:Guid>
    <b:Author>
      <b:Author>
        <b:NameList>
          <b:Person>
            <b:Last>Dutton</b:Last>
            <b:First>J</b:First>
          </b:Person>
        </b:NameList>
      </b:Author>
    </b:Author>
    <b:Title>Hydrodesulfurization</b:Title>
    <b:InternetSiteTitle>FSC 432: Petroleum Processing</b:InternetSiteTitle>
    <b:Year>2021</b:Year>
    <b:Month>1</b:Month>
    <b:Day>12</b:Day>
    <b:URL>https://www.e-education.psu.edu/fsc432/content/hydrodesulfurization</b:URL>
    <b:RefOrder>40</b:RefOrder>
  </b:Source>
  <b:Source>
    <b:Tag>Sha17</b:Tag>
    <b:SourceType>JournalArticle</b:SourceType>
    <b:Guid>{BFE772FA-5F3B-4A62-8C67-B15BAB394FD2}</b:Guid>
    <b:Author>
      <b:Author>
        <b:NameList>
          <b:Person>
            <b:Last>Shah</b:Last>
            <b:First>M</b:First>
          </b:Person>
          <b:Person>
            <b:Last>Tsapatsis</b:Last>
            <b:First>M</b:First>
          </b:Person>
          <b:Person>
            <b:Last>Siepmann</b:Last>
            <b:First>J</b:First>
          </b:Person>
        </b:NameList>
      </b:Author>
    </b:Author>
    <b:Title>Hydrogen sulfide capture: from absorption in polar liquids to oxide, zeolite, and metal-organic framework adsorbents and membranes</b:Title>
    <b:JournalName>Chemical Reviews</b:JournalName>
    <b:Year>2017</b:Year>
    <b:Pages>9755-9803</b:Pages>
    <b:URL>http://www.cchem.berkeley.edu/co2efrc/downloads/pdfs/Shah17.pdf</b:URL>
    <b:RefOrder>41</b:RefOrder>
  </b:Source>
  <b:Source>
    <b:Tag>Zou01</b:Tag>
    <b:SourceType>JournalArticle</b:SourceType>
    <b:Guid>{451231DB-E15D-40B5-86D4-952F453AB1CE}</b:Guid>
    <b:Title>The separation enhanced reaction process (SERP) in the production of hydrogen from methane steam reforming</b:Title>
    <b:Year>2001</b:Year>
    <b:Author>
      <b:Author>
        <b:NameList>
          <b:Person>
            <b:Last>Zou</b:Last>
            <b:First>Y</b:First>
          </b:Person>
          <b:Person>
            <b:Last>Rodrigues</b:Last>
            <b:First>A</b:First>
          </b:Person>
        </b:NameList>
      </b:Author>
    </b:Author>
    <b:JournalName>Adsorption Science and Technology</b:JournalName>
    <b:Pages>655-671</b:Pages>
    <b:RefOrder>42</b:RefOrder>
  </b:Source>
  <b:Source>
    <b:Tag>Ben05</b:Tag>
    <b:SourceType>JournalArticle</b:SourceType>
    <b:Guid>{A1FBACD1-A2F1-49FA-84A7-12AF86264C06}</b:Guid>
    <b:Author>
      <b:Author>
        <b:NameList>
          <b:Person>
            <b:Last>Benito</b:Last>
            <b:First>M</b:First>
          </b:Person>
          <b:Person>
            <b:Last>Sanz</b:Last>
            <b:First>J</b:First>
          </b:Person>
        </b:NameList>
      </b:Author>
    </b:Author>
    <b:Title>New trends in reforming technologies: from hydrogen industrial plants to multifuel microreformers</b:Title>
    <b:JournalName>Catalysis Reviews</b:JournalName>
    <b:Year>2005</b:Year>
    <b:Pages>491-588</b:Pages>
    <b:RefOrder>43</b:RefOrder>
  </b:Source>
  <b:Source>
    <b:Tag>Ben11</b:Tag>
    <b:SourceType>JournalArticle</b:SourceType>
    <b:Guid>{48C2731E-8BE2-48DF-8572-CF99DAF04580}</b:Guid>
    <b:Title>A comparative life cycle assessment of marine fuels: liquefied natural gas and three other fossil fuels</b:Title>
    <b:Year>2011</b:Year>
    <b:Author>
      <b:Author>
        <b:NameList>
          <b:Person>
            <b:Last>Bengtsson</b:Last>
            <b:First>S.,</b:First>
            <b:Middle>Andersson, K. and Fridell, E.</b:Middle>
          </b:Person>
        </b:NameList>
      </b:Author>
    </b:Author>
    <b:JournalName>Proceedings of the Institution of Mechanical Engineers, Part M: Journal of Engineering for the Maritime</b:JournalName>
    <b:Volume>225</b:Volume>
    <b:Issue>2</b:Issue>
    <b:DOI>https://doi.org/10.1177/1475090211402136</b:DOI>
    <b:RefOrder>44</b:RefOrder>
  </b:Source>
  <b:Source>
    <b:Tag>Ekv01</b:Tag>
    <b:SourceType>JournalArticle</b:SourceType>
    <b:Guid>{9E80A8F6-DAC5-45B6-9E56-4F16CCF365D3}</b:Guid>
    <b:Author>
      <b:Author>
        <b:NameList>
          <b:Person>
            <b:Last>Ekvall</b:Last>
            <b:First>T</b:First>
            <b:Middle>&amp; Finnveden, G</b:Middle>
          </b:Person>
        </b:NameList>
      </b:Author>
    </b:Author>
    <b:Title>Allocation in ISO 14041—a critical review</b:Title>
    <b:Year>2001</b:Year>
    <b:JournalName>Journal of Cleaner Production</b:JournalName>
    <b:RefOrder>45</b:RefOrder>
  </b:Source>
  <b:Source>
    <b:Tag>GHG201</b:Tag>
    <b:SourceType>Report</b:SourceType>
    <b:Guid>{C81CBC1A-760F-4795-ADC0-57A392BA3417}</b:Guid>
    <b:Author>
      <b:Author>
        <b:Corporate>GHG Protocol</b:Corporate>
      </b:Author>
    </b:Author>
    <b:Title>Carbon Removals and Land Sector Initiative </b:Title>
    <b:Year>2020</b:Year>
    <b:URL>https://ghgprotocol.org/sites/default/files/GHG%20Protocol%20-%20Carbon%20Removals%20and%20Land%20Sector%20Initiative%20-%20Overview.pdf</b:URL>
    <b:RefOrder>1</b:RefOrder>
  </b:Source>
  <b:Source>
    <b:Tag>IPC06</b:Tag>
    <b:SourceType>Book</b:SourceType>
    <b:Guid>{9F363E5D-3A98-4BDD-BC26-FAA9B7B81697}</b:Guid>
    <b:Author>
      <b:Author>
        <b:Corporate>IPCC</b:Corporate>
      </b:Author>
    </b:Author>
    <b:Title>2006 IPCC Guidelines for National Greenhouse Gas Inventories</b:Title>
    <b:Year>2006</b:Year>
    <b:Publisher>IPCC</b:Publisher>
    <b:Volume>1</b:Volume>
    <b:RefOrder>2</b:RefOrder>
  </b:Source>
  <b:Source>
    <b:Tag>Cli21</b:Tag>
    <b:SourceType>Report</b:SourceType>
    <b:Guid>{AFE73044-678E-4818-8810-F27BDEF14AF8}</b:Guid>
    <b:Author>
      <b:Author>
        <b:Corporate>Climate Active</b:Corporate>
      </b:Author>
    </b:Author>
    <b:Title>Electricity Accounting Rules</b:Title>
    <b:Year>2021</b:Year>
    <b:Publisher>Climate Active</b:Publisher>
    <b:Comments>Copy provided by the Department of Industry, Science, Energy and Resources</b:Comments>
    <b:RefOrder>9</b:RefOrder>
  </b:Source>
  <b:Source>
    <b:Tag>GHG04</b:Tag>
    <b:SourceType>Report</b:SourceType>
    <b:Guid>{A24E04E4-D747-4E9C-A41F-74C50C27C164}</b:Guid>
    <b:Title>GHG Protocol Corporate Accounting and Reporting Standard</b:Title>
    <b:Year>2004</b:Year>
    <b:Author>
      <b:Author>
        <b:Corporate>GHG Protocol</b:Corporate>
      </b:Author>
    </b:Author>
    <b:Publisher>World Resources Institute and World Business Council</b:Publisher>
    <b:City>USA</b:City>
    <b:RefOrder>16</b:RefOrder>
  </b:Source>
  <b:Source>
    <b:Tag>IPC051</b:Tag>
    <b:SourceType>BookSection</b:SourceType>
    <b:Guid>{FE2EE975-2D8E-40CD-BEC3-51A82AC58AB3}</b:Guid>
    <b:Author>
      <b:Author>
        <b:Corporate>IPCC</b:Corporate>
      </b:Author>
      <b:BookAuthor>
        <b:NameList>
          <b:Person>
            <b:Last>IPCC</b:Last>
          </b:Person>
        </b:NameList>
      </b:BookAuthor>
    </b:Author>
    <b:Title>Chapter 9: Implications of carbon dioxide capture and storage for greenhouse gas inventories and accounting</b:Title>
    <b:Year>2005</b:Year>
    <b:BookTitle>IPCC Special Report on Carbon dioxide Capture and Storage</b:BookTitle>
    <b:RefOrder>17</b:RefOrder>
  </b:Source>
  <b:Source>
    <b:Tag>GHG11</b:Tag>
    <b:SourceType>Report</b:SourceType>
    <b:Guid>{8E58BF67-F0A4-4362-866C-91C6087E2748}</b:Guid>
    <b:Author>
      <b:Author>
        <b:Corporate>GHG Protocol</b:Corporate>
      </b:Author>
    </b:Author>
    <b:Title>Product Life Cycle Accounting and Reporting Standard</b:Title>
    <b:Year>2011</b:Year>
    <b:Publisher>WRI/WBCSD</b:Publisher>
    <b:URL>https://ghgprotocol.org/sites/default/files/standards/Product-Life-Cycle-Accounting-Reporting-Standard_041613.pdf </b:URL>
    <b:RefOrder>14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8" ma:contentTypeDescription="Create a new document." ma:contentTypeScope="" ma:versionID="19f008bb32c1a8f648d782c050514f93">
  <xsd:schema xmlns:xsd="http://www.w3.org/2001/XMLSchema" xmlns:xs="http://www.w3.org/2001/XMLSchema" xmlns:p="http://schemas.microsoft.com/office/2006/metadata/properties" xmlns:ns1="http://schemas.microsoft.com/sharepoint/v3" xmlns:ns2="a36bd50b-1532-4c22-b385-5c082c960938" xmlns:ns3="06a8ef23-3c56-433f-9e1a-931c6bc25665" xmlns:ns4="http://schemas.microsoft.com/sharepoint/v4" targetNamespace="http://schemas.microsoft.com/office/2006/metadata/properties" ma:root="true" ma:fieldsID="b9f6009bb618017cb92cc74d3f985c7a" ns1:_="" ns2:_="" ns3:_="" ns4:_="">
    <xsd:import namespace="http://schemas.microsoft.com/sharepoint/v3"/>
    <xsd:import namespace="a36bd50b-1532-4c22-b385-5c082c960938"/>
    <xsd:import namespace="06a8ef23-3c56-433f-9e1a-931c6bc2566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element ref="ns3:eac5ad3aaa544db993bf54d83b5f925a" minOccurs="0"/>
                <xsd:element ref="ns3:j9475258f3624e468a1ef757d7ef1f9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8ef23-3c56-433f-9e1a-931c6bc2566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c5ad3aaa544db993bf54d83b5f925a" ma:index="26" nillable="true" ma:taxonomy="true" ma:internalName="eac5ad3aaa544db993bf54d83b5f925a" ma:taxonomyFieldName="DocHub_HydrogenStrategyWorkStream" ma:displayName="Work Stream" ma:indexed="true" ma:default="" ma:fieldId="{eac5ad3a-aa54-4db9-93bf-54d83b5f925a}" ma:sspId="fb0313f7-9433-48c0-866e-9e0bbee59a50" ma:termSetId="226b140f-fd22-4670-aeb7-a9a0a0e74008" ma:anchorId="00000000-0000-0000-0000-000000000000" ma:open="false" ma:isKeyword="false">
      <xsd:complexType>
        <xsd:sequence>
          <xsd:element ref="pc:Terms" minOccurs="0" maxOccurs="1"/>
        </xsd:sequence>
      </xsd:complexType>
    </xsd:element>
    <xsd:element name="j9475258f3624e468a1ef757d7ef1f9e" ma:index="28" nillable="true" ma:taxonomy="true" ma:internalName="j9475258f3624e468a1ef757d7ef1f9e" ma:taxonomyFieldName="DocHub_HydrogenStrategyTeams" ma:displayName="Hydrogen Initiative Topic" ma:indexed="true" ma:default="" ma:fieldId="{39475258-f362-4e46-8a1e-f757d7ef1f9e}" ma:sspId="fb0313f7-9433-48c0-866e-9e0bbee59a50" ma:termSetId="c60ad1af-f515-403b-b88e-df53b126615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6BEEC-62CD-49DA-B953-5CC3B398B16B}">
  <ds:schemaRefs>
    <ds:schemaRef ds:uri="http://schemas.microsoft.com/sharepoint/events"/>
  </ds:schemaRefs>
</ds:datastoreItem>
</file>

<file path=customXml/itemProps2.xml><?xml version="1.0" encoding="utf-8"?>
<ds:datastoreItem xmlns:ds="http://schemas.openxmlformats.org/officeDocument/2006/customXml" ds:itemID="{F570BFDF-F1F2-418E-886F-699AC168CC46}">
  <ds:schemaRefs>
    <ds:schemaRef ds:uri="http://schemas.microsoft.com/office/2006/metadata/properties"/>
    <ds:schemaRef ds:uri="http://schemas.microsoft.com/office/infopath/2007/PartnerControls"/>
    <ds:schemaRef ds:uri="a36bd50b-1532-4c22-b385-5c082c960938"/>
    <ds:schemaRef ds:uri="http://schemas.microsoft.com/sharepoint/v4"/>
    <ds:schemaRef ds:uri="http://schemas.microsoft.com/sharepoint/v3"/>
    <ds:schemaRef ds:uri="06a8ef23-3c56-433f-9e1a-931c6bc25665"/>
  </ds:schemaRefs>
</ds:datastoreItem>
</file>

<file path=customXml/itemProps3.xml><?xml version="1.0" encoding="utf-8"?>
<ds:datastoreItem xmlns:ds="http://schemas.openxmlformats.org/officeDocument/2006/customXml" ds:itemID="{17813389-BB1D-4F8E-A6A1-2295B9CE42FF}">
  <ds:schemaRefs>
    <ds:schemaRef ds:uri="http://schemas.openxmlformats.org/officeDocument/2006/bibliography"/>
  </ds:schemaRefs>
</ds:datastoreItem>
</file>

<file path=customXml/itemProps4.xml><?xml version="1.0" encoding="utf-8"?>
<ds:datastoreItem xmlns:ds="http://schemas.openxmlformats.org/officeDocument/2006/customXml" ds:itemID="{CEAD882E-6B3A-4515-B789-7EE9006F5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06a8ef23-3c56-433f-9e1a-931c6bc256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30B683-A64F-4BB8-85EF-34029EBDEA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Australia’s Guarantee of Origin scheme</vt:lpstr>
    </vt:vector>
  </TitlesOfParts>
  <Manager/>
  <Company/>
  <LinksUpToDate>false</LinksUpToDate>
  <CharactersWithSpaces>25931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Guarantee of Origin scheme</dc:title>
  <dc:subject/>
  <dc:creator>Thomson, Rebecca</dc:creator>
  <cp:keywords/>
  <dc:description/>
  <cp:lastModifiedBy>Smith, Josh</cp:lastModifiedBy>
  <cp:revision>62</cp:revision>
  <cp:lastPrinted>2022-10-06T22:17:00Z</cp:lastPrinted>
  <dcterms:created xsi:type="dcterms:W3CDTF">2023-06-06T23:16:00Z</dcterms:created>
  <dcterms:modified xsi:type="dcterms:W3CDTF">2023-06-07T01:12:00Z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0x0101005BC986DFDE75994F940B8C539C91BA04</vt:lpwstr>
  </property>
  <property fmtid="{D5CDD505-2E9C-101B-9397-08002B2CF9AE}" pid="3" name="DocHub_Year">
    <vt:lpwstr/>
  </property>
  <property fmtid="{D5CDD505-2E9C-101B-9397-08002B2CF9AE}" pid="4" name="DocHub_DocumentType">
    <vt:lpwstr>5;#Report|116a9244-cef6-47ce-a9a5-088c9cf21292</vt:lpwstr>
  </property>
  <property fmtid="{D5CDD505-2E9C-101B-9397-08002B2CF9AE}" pid="5" name="DocHub_SecurityClassification">
    <vt:lpwstr>1;#OFFICIAL|6106d03b-a1a0-4e30-9d91-d5e9fb4314f9</vt:lpwstr>
  </property>
  <property fmtid="{D5CDD505-2E9C-101B-9397-08002B2CF9AE}" pid="6" name="DocHub_Keywords">
    <vt:lpwstr>2265;#Guarantee of Origin|a8cda294-cbd8-450f-8636-f1f26db4120b</vt:lpwstr>
  </property>
  <property fmtid="{D5CDD505-2E9C-101B-9397-08002B2CF9AE}" pid="7" name="DocHub_WorkActivity">
    <vt:lpwstr>160;#Policy Consultation|2c1b3c96-ddbe-43b6-afb9-5596fa993eac</vt:lpwstr>
  </property>
  <property fmtid="{D5CDD505-2E9C-101B-9397-08002B2CF9AE}" pid="8" name="DocHub_HydrogenStrategyTeams">
    <vt:lpwstr/>
  </property>
  <property fmtid="{D5CDD505-2E9C-101B-9397-08002B2CF9AE}" pid="9" name="DocHub_HydrogenStrategyWorkStream">
    <vt:lpwstr>1624;#Guarantee of Origin|45f0fa80-ab55-4f90-a991-6b4ce6fd2ebc</vt:lpwstr>
  </property>
</Properties>
</file>