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23AB" w14:textId="60BE0851" w:rsidR="00EC00A2" w:rsidRDefault="00A20C59" w:rsidP="007A4B34">
      <w:pPr>
        <w:pStyle w:val="Title"/>
        <w:spacing w:line="276" w:lineRule="auto"/>
      </w:pPr>
      <w:bookmarkStart w:id="0" w:name="_Toc19107846"/>
      <w:bookmarkStart w:id="1" w:name="_Toc19023741"/>
      <w:r>
        <w:rPr>
          <w:sz w:val="48"/>
        </w:rPr>
        <w:t>Marine Users, Interests and the Environment in the Hunter</w:t>
      </w:r>
      <w:r w:rsidR="00024D66">
        <w:rPr>
          <w:sz w:val="48"/>
        </w:rPr>
        <w:t xml:space="preserve"> Region</w:t>
      </w:r>
      <w:r>
        <w:rPr>
          <w:sz w:val="48"/>
        </w:rPr>
        <w:t>, New South Wales</w:t>
      </w:r>
    </w:p>
    <w:bookmarkEnd w:id="0"/>
    <w:bookmarkEnd w:id="1"/>
    <w:p w14:paraId="636911A3" w14:textId="1678096B" w:rsidR="00C06473" w:rsidRDefault="00C06473" w:rsidP="007A1682">
      <w:pPr>
        <w:spacing w:after="120" w:line="276" w:lineRule="auto"/>
      </w:pPr>
      <w:r w:rsidRPr="00662125">
        <w:t xml:space="preserve">The Minister </w:t>
      </w:r>
      <w:r>
        <w:t>for</w:t>
      </w:r>
      <w:r w:rsidRPr="00662125">
        <w:t xml:space="preserve"> Climate Change and Energy has proposed an area in the Commonwealth waters off</w:t>
      </w:r>
      <w:r w:rsidR="008164A1">
        <w:t xml:space="preserve"> the </w:t>
      </w:r>
      <w:r w:rsidR="0059369D">
        <w:t>Hunter</w:t>
      </w:r>
      <w:r w:rsidR="008164A1">
        <w:t xml:space="preserve"> region of </w:t>
      </w:r>
      <w:r w:rsidR="0059369D">
        <w:t>New South Wales</w:t>
      </w:r>
      <w:r w:rsidRPr="00662125">
        <w:t xml:space="preserve"> for </w:t>
      </w:r>
      <w:r w:rsidR="007A1682">
        <w:t>considered for offshore wind and other renewable energy projects</w:t>
      </w:r>
      <w:r>
        <w:t>.</w:t>
      </w:r>
      <w:r w:rsidR="006B4251" w:rsidRPr="006B4251">
        <w:t xml:space="preserve"> </w:t>
      </w:r>
      <w:r w:rsidR="006B4251">
        <w:t xml:space="preserve">This </w:t>
      </w:r>
      <w:r w:rsidR="006B4251" w:rsidRPr="005B6395">
        <w:rPr>
          <w:iCs/>
          <w:szCs w:val="26"/>
        </w:rPr>
        <w:t xml:space="preserve">initial area is a </w:t>
      </w:r>
      <w:r w:rsidR="00936CD8" w:rsidRPr="005B6395">
        <w:rPr>
          <w:b/>
          <w:iCs/>
          <w:szCs w:val="26"/>
          <w:u w:val="single"/>
        </w:rPr>
        <w:t>p</w:t>
      </w:r>
      <w:r w:rsidR="0098625D" w:rsidRPr="005B6395">
        <w:rPr>
          <w:b/>
          <w:iCs/>
          <w:szCs w:val="26"/>
          <w:u w:val="single"/>
        </w:rPr>
        <w:t>roposal</w:t>
      </w:r>
      <w:r w:rsidR="006B4251" w:rsidRPr="005B6395">
        <w:rPr>
          <w:iCs/>
          <w:szCs w:val="26"/>
        </w:rPr>
        <w:t xml:space="preserve">. It is </w:t>
      </w:r>
      <w:r w:rsidR="0098625D" w:rsidRPr="005B6395">
        <w:rPr>
          <w:b/>
          <w:iCs/>
          <w:szCs w:val="26"/>
          <w:u w:val="single"/>
        </w:rPr>
        <w:t>not</w:t>
      </w:r>
      <w:r w:rsidR="0098625D" w:rsidRPr="005B6395">
        <w:rPr>
          <w:b/>
          <w:i/>
          <w:iCs/>
          <w:szCs w:val="26"/>
        </w:rPr>
        <w:t xml:space="preserve"> </w:t>
      </w:r>
      <w:r w:rsidR="006B4251" w:rsidRPr="005B6395">
        <w:rPr>
          <w:iCs/>
          <w:szCs w:val="26"/>
        </w:rPr>
        <w:t>the final declaration.</w:t>
      </w:r>
      <w:r w:rsidR="006B4251" w:rsidRPr="005B6395">
        <w:t xml:space="preserve"> I</w:t>
      </w:r>
      <w:r w:rsidR="006B4251" w:rsidRPr="005B6395">
        <w:rPr>
          <w:iCs/>
          <w:szCs w:val="26"/>
        </w:rPr>
        <w:t>t acts as a starting po</w:t>
      </w:r>
      <w:r w:rsidR="00874EF3" w:rsidRPr="005B6395">
        <w:rPr>
          <w:iCs/>
          <w:szCs w:val="26"/>
        </w:rPr>
        <w:t>int for further consultation.</w:t>
      </w:r>
      <w:r w:rsidR="00874EF3" w:rsidRPr="00874EF3">
        <w:t xml:space="preserve"> </w:t>
      </w:r>
    </w:p>
    <w:p w14:paraId="21E8BD62" w14:textId="7C93BC04" w:rsidR="00C06473" w:rsidRDefault="00C06473" w:rsidP="00C06473">
      <w:pPr>
        <w:spacing w:after="120" w:line="276" w:lineRule="auto"/>
        <w:rPr>
          <w:shd w:val="clear" w:color="auto" w:fill="FFFFFF"/>
        </w:rPr>
      </w:pPr>
      <w:r>
        <w:t>The</w:t>
      </w:r>
      <w:r w:rsidRPr="00AA374C">
        <w:t xml:space="preserve"> </w:t>
      </w:r>
      <w:r>
        <w:t xml:space="preserve">Australian </w:t>
      </w:r>
      <w:r w:rsidRPr="00AA374C">
        <w:t xml:space="preserve">Government </w:t>
      </w:r>
      <w:r>
        <w:t xml:space="preserve">wants </w:t>
      </w:r>
      <w:r w:rsidRPr="00AA374C">
        <w:t>to manage the offshore marine environment in a way that recognises all users an</w:t>
      </w:r>
      <w:r>
        <w:t>d balances competing interests.</w:t>
      </w:r>
      <w:r w:rsidR="005008DE">
        <w:t xml:space="preserve"> </w:t>
      </w:r>
      <w:r w:rsidR="00566748" w:rsidRPr="00566748">
        <w:rPr>
          <w:b/>
        </w:rPr>
        <w:t>Future</w:t>
      </w:r>
      <w:r w:rsidR="00566748">
        <w:t xml:space="preserve"> </w:t>
      </w:r>
      <w:r w:rsidR="00566748">
        <w:rPr>
          <w:b/>
        </w:rPr>
        <w:t>o</w:t>
      </w:r>
      <w:r w:rsidRPr="004B7B9B">
        <w:rPr>
          <w:b/>
        </w:rPr>
        <w:t xml:space="preserve">ffshore renewable energy </w:t>
      </w:r>
      <w:r w:rsidRPr="005B6395">
        <w:rPr>
          <w:b/>
        </w:rPr>
        <w:t xml:space="preserve">projects </w:t>
      </w:r>
      <w:r w:rsidR="00434EF3" w:rsidRPr="005B6395">
        <w:rPr>
          <w:b/>
        </w:rPr>
        <w:t>must work with existing users and interests to ensure the area is shared while maintaining a safe marine space during construction, operation and maintenance phases.</w:t>
      </w:r>
      <w:r w:rsidR="00434EF3" w:rsidRPr="00434EF3">
        <w:rPr>
          <w:b/>
        </w:rPr>
        <w:t xml:space="preserve"> </w:t>
      </w:r>
    </w:p>
    <w:p w14:paraId="63B9541D" w14:textId="5663A92F" w:rsidR="00F230BB" w:rsidRDefault="00F230BB" w:rsidP="00F230BB">
      <w:pPr>
        <w:spacing w:line="276" w:lineRule="auto"/>
      </w:pPr>
      <w:r w:rsidRPr="00323FEE">
        <w:t xml:space="preserve">Understanding existing users and interests in, and near, the </w:t>
      </w:r>
      <w:r>
        <w:t>area under consideration</w:t>
      </w:r>
      <w:r w:rsidRPr="00323FEE">
        <w:t xml:space="preserve"> is important and will help inform the Minister for Climate Change and Energy’s decision on whether the area is suitable for offshore renewable energy developments, like offshore wind projects. </w:t>
      </w:r>
    </w:p>
    <w:p w14:paraId="6DB7A032" w14:textId="41666EAC" w:rsidR="000D392B" w:rsidRPr="003C71B3" w:rsidRDefault="000D392B" w:rsidP="007A1682">
      <w:pPr>
        <w:spacing w:after="120" w:line="276" w:lineRule="auto"/>
      </w:pPr>
      <w:r w:rsidRPr="003C71B3">
        <w:rPr>
          <w:b/>
        </w:rPr>
        <w:t>This is your first opportunity to provide feedback</w:t>
      </w:r>
      <w:r w:rsidR="001A48F4">
        <w:rPr>
          <w:b/>
        </w:rPr>
        <w:t>.</w:t>
      </w:r>
      <w:r w:rsidR="007B6CA6">
        <w:t xml:space="preserve"> </w:t>
      </w:r>
      <w:r w:rsidR="007A1682">
        <w:t>If a declaration is made in the future, developers will also be required to seek feedback on any proposed projects and demonstrate how they will share the area with existing users.</w:t>
      </w:r>
    </w:p>
    <w:p w14:paraId="6D594FE0" w14:textId="10245B86" w:rsidR="002874A7" w:rsidRDefault="0064012F">
      <w:pPr>
        <w:rPr>
          <w:rFonts w:asciiTheme="majorHAnsi" w:eastAsiaTheme="majorEastAsia" w:hAnsiTheme="majorHAnsi" w:cstheme="majorBidi"/>
          <w:color w:val="7D3404" w:themeColor="accent3" w:themeTint="E6"/>
          <w:sz w:val="28"/>
          <w:szCs w:val="28"/>
        </w:rPr>
      </w:pPr>
      <w:r>
        <w:rPr>
          <w:noProof/>
          <w:sz w:val="28"/>
          <w:szCs w:val="28"/>
          <w:lang w:eastAsia="en-AU"/>
        </w:rPr>
        <w:drawing>
          <wp:anchor distT="0" distB="0" distL="114300" distR="114300" simplePos="0" relativeHeight="251658240" behindDoc="1" locked="0" layoutInCell="1" allowOverlap="1" wp14:anchorId="1CD044A3" wp14:editId="40172AFF">
            <wp:simplePos x="0" y="0"/>
            <wp:positionH relativeFrom="margin">
              <wp:posOffset>-18214</wp:posOffset>
            </wp:positionH>
            <wp:positionV relativeFrom="paragraph">
              <wp:posOffset>236228</wp:posOffset>
            </wp:positionV>
            <wp:extent cx="5702320" cy="3533775"/>
            <wp:effectExtent l="19050" t="19050" r="1270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d5.jpg"/>
                    <pic:cNvPicPr/>
                  </pic:nvPicPr>
                  <pic:blipFill>
                    <a:blip r:embed="rId8">
                      <a:extLst>
                        <a:ext uri="{28A0092B-C50C-407E-A947-70E740481C1C}">
                          <a14:useLocalDpi xmlns:a14="http://schemas.microsoft.com/office/drawing/2010/main" val="0"/>
                        </a:ext>
                      </a:extLst>
                    </a:blip>
                    <a:stretch>
                      <a:fillRect/>
                    </a:stretch>
                  </pic:blipFill>
                  <pic:spPr>
                    <a:xfrm>
                      <a:off x="0" y="0"/>
                      <a:ext cx="5702320" cy="353377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2874A7">
        <w:rPr>
          <w:sz w:val="28"/>
          <w:szCs w:val="28"/>
        </w:rPr>
        <w:br w:type="page"/>
      </w:r>
    </w:p>
    <w:p w14:paraId="30A43E1A" w14:textId="27C50EB0" w:rsidR="007A4B34" w:rsidRPr="001B0D73" w:rsidRDefault="004F1A10" w:rsidP="00FD2204">
      <w:pPr>
        <w:pStyle w:val="Heading2"/>
        <w:spacing w:line="276" w:lineRule="auto"/>
        <w:rPr>
          <w:sz w:val="28"/>
          <w:szCs w:val="28"/>
        </w:rPr>
      </w:pPr>
      <w:r w:rsidRPr="001B0D73">
        <w:rPr>
          <w:sz w:val="28"/>
          <w:szCs w:val="28"/>
        </w:rPr>
        <w:lastRenderedPageBreak/>
        <w:t xml:space="preserve">Users </w:t>
      </w:r>
      <w:r w:rsidR="00584AE9" w:rsidRPr="001B0D73">
        <w:rPr>
          <w:sz w:val="28"/>
          <w:szCs w:val="28"/>
        </w:rPr>
        <w:t>and i</w:t>
      </w:r>
      <w:r w:rsidRPr="001B0D73">
        <w:rPr>
          <w:sz w:val="28"/>
          <w:szCs w:val="28"/>
        </w:rPr>
        <w:t>nterests</w:t>
      </w:r>
    </w:p>
    <w:p w14:paraId="60CAF028" w14:textId="6B5ED6AB" w:rsidR="008137D3" w:rsidRDefault="001B6E4B" w:rsidP="009F3F0E">
      <w:pPr>
        <w:shd w:val="clear" w:color="auto" w:fill="FFFFFF" w:themeFill="background1"/>
        <w:spacing w:after="120" w:line="276" w:lineRule="auto"/>
      </w:pPr>
      <w:r>
        <w:t xml:space="preserve">We have undertaken preliminary consultation with Commonwealth and </w:t>
      </w:r>
      <w:r w:rsidR="0059369D">
        <w:t>New South Wales</w:t>
      </w:r>
      <w:r>
        <w:t xml:space="preserve"> Government agencies to identify interests in the vicinity of the area. </w:t>
      </w:r>
      <w:r w:rsidR="00C959B0" w:rsidRPr="007A4B34">
        <w:t>Be</w:t>
      </w:r>
      <w:r w:rsidR="00E64511" w:rsidRPr="007A4B34">
        <w:t>low is a list of</w:t>
      </w:r>
      <w:r w:rsidR="00D73617" w:rsidRPr="007A4B34">
        <w:t xml:space="preserve"> </w:t>
      </w:r>
      <w:r>
        <w:t xml:space="preserve">identified </w:t>
      </w:r>
      <w:r w:rsidR="00C959B0" w:rsidRPr="007A4B34">
        <w:t>interests</w:t>
      </w:r>
      <w:r w:rsidR="00E64511" w:rsidRPr="007A4B34">
        <w:t xml:space="preserve"> </w:t>
      </w:r>
      <w:r w:rsidR="001A48F4">
        <w:t xml:space="preserve">that may </w:t>
      </w:r>
      <w:r w:rsidR="00C959B0" w:rsidRPr="00323FEE">
        <w:t xml:space="preserve">facilitate conversations about the potential suitability of the area for offshore renewable energy. </w:t>
      </w:r>
    </w:p>
    <w:p w14:paraId="11A7AF12" w14:textId="437ECDB6" w:rsidR="008137D3" w:rsidRPr="00492B21" w:rsidRDefault="008137D3" w:rsidP="008137D3">
      <w:pPr>
        <w:shd w:val="clear" w:color="auto" w:fill="FFFFFF" w:themeFill="background1"/>
        <w:spacing w:after="120" w:line="276" w:lineRule="auto"/>
      </w:pPr>
      <w:r>
        <w:t>We have also developed a</w:t>
      </w:r>
      <w:r w:rsidR="00D47761">
        <w:t xml:space="preserve"> map t</w:t>
      </w:r>
      <w:r>
        <w:t xml:space="preserve">hat allows users to interact with the </w:t>
      </w:r>
      <w:r w:rsidR="0059369D">
        <w:t xml:space="preserve">Hunter </w:t>
      </w:r>
      <w:r>
        <w:t xml:space="preserve">area under consideration and geographic information relevant to other users and interests in the area. </w:t>
      </w:r>
      <w:r w:rsidR="00D47761">
        <w:t>The map, o</w:t>
      </w:r>
      <w:r>
        <w:t xml:space="preserve">ther </w:t>
      </w:r>
      <w:r w:rsidRPr="0020493C">
        <w:t>to</w:t>
      </w:r>
      <w:r>
        <w:t xml:space="preserve">ols, </w:t>
      </w:r>
      <w:r w:rsidR="00F81931">
        <w:t>visualisations,</w:t>
      </w:r>
      <w:r>
        <w:t xml:space="preserve"> and data relevant to </w:t>
      </w:r>
      <w:r w:rsidRPr="0020493C">
        <w:t>Offshore Renewable Energy in Australian waters</w:t>
      </w:r>
      <w:r>
        <w:t xml:space="preserve"> are also available on the </w:t>
      </w:r>
      <w:hyperlink r:id="rId9" w:history="1">
        <w:r>
          <w:rPr>
            <w:rStyle w:val="Hyperlink"/>
          </w:rPr>
          <w:t>Australian Marine Spatial Information System</w:t>
        </w:r>
      </w:hyperlink>
      <w:r>
        <w:t xml:space="preserve"> portal.</w:t>
      </w:r>
    </w:p>
    <w:p w14:paraId="0309A6AF" w14:textId="39CAF3BF" w:rsidR="0098625D" w:rsidRPr="001B0D73" w:rsidRDefault="00A879CA" w:rsidP="002A0984">
      <w:pPr>
        <w:pStyle w:val="Heading3"/>
        <w:spacing w:before="200"/>
        <w:rPr>
          <w:sz w:val="26"/>
          <w:szCs w:val="26"/>
        </w:rPr>
      </w:pPr>
      <w:r>
        <w:rPr>
          <w:sz w:val="26"/>
          <w:szCs w:val="26"/>
        </w:rPr>
        <w:t xml:space="preserve">Traditional Owners, </w:t>
      </w:r>
      <w:r w:rsidR="0098625D" w:rsidRPr="00B56BBB">
        <w:rPr>
          <w:sz w:val="26"/>
          <w:szCs w:val="26"/>
        </w:rPr>
        <w:t>Native Title and Sea Country</w:t>
      </w:r>
    </w:p>
    <w:p w14:paraId="244C3D4D" w14:textId="3D754994" w:rsidR="0098625D" w:rsidRDefault="007571F7" w:rsidP="0098625D">
      <w:pPr>
        <w:spacing w:line="276" w:lineRule="auto"/>
      </w:pPr>
      <w:r>
        <w:t xml:space="preserve">The proposed area </w:t>
      </w:r>
      <w:r w:rsidR="00A879CA">
        <w:t>is adjacent to</w:t>
      </w:r>
      <w:r>
        <w:t xml:space="preserve"> the</w:t>
      </w:r>
      <w:r w:rsidR="0098625D">
        <w:t xml:space="preserve"> traditional lands </w:t>
      </w:r>
      <w:r>
        <w:t>and sea</w:t>
      </w:r>
      <w:r w:rsidR="0098625D">
        <w:t xml:space="preserve"> </w:t>
      </w:r>
      <w:r w:rsidR="0098625D" w:rsidRPr="00381C77">
        <w:t xml:space="preserve">of the </w:t>
      </w:r>
      <w:r w:rsidR="00F81931">
        <w:t>Awabakal,</w:t>
      </w:r>
      <w:r w:rsidR="00F81931" w:rsidRPr="00F81931">
        <w:t xml:space="preserve"> </w:t>
      </w:r>
      <w:r w:rsidR="00F81931">
        <w:t xml:space="preserve">Bahtabah, </w:t>
      </w:r>
      <w:r w:rsidR="00CD64AA">
        <w:t xml:space="preserve">Biraban, </w:t>
      </w:r>
      <w:r w:rsidR="00F81931">
        <w:t>Darkinjung</w:t>
      </w:r>
      <w:r w:rsidR="00FE008B">
        <w:t>,</w:t>
      </w:r>
      <w:r w:rsidR="0098625D">
        <w:t xml:space="preserve"> </w:t>
      </w:r>
      <w:r w:rsidR="00F81931">
        <w:t>Karuah</w:t>
      </w:r>
      <w:r w:rsidR="00CD64AA">
        <w:t>, Mindaribba,</w:t>
      </w:r>
      <w:r w:rsidR="0098625D">
        <w:t xml:space="preserve"> and </w:t>
      </w:r>
      <w:r w:rsidR="00F81931">
        <w:t>Worimi</w:t>
      </w:r>
      <w:r w:rsidR="00F81931" w:rsidRPr="00381C77">
        <w:t xml:space="preserve"> </w:t>
      </w:r>
      <w:r w:rsidR="0098625D" w:rsidRPr="00381C77">
        <w:t>people</w:t>
      </w:r>
      <w:r w:rsidR="0098625D" w:rsidRPr="00323FEE">
        <w:t xml:space="preserve">. While no Native Title claims overlap the proposed offshore area, Traditional Owners have </w:t>
      </w:r>
      <w:r w:rsidR="00512F78">
        <w:t xml:space="preserve">significant </w:t>
      </w:r>
      <w:r w:rsidR="0098625D" w:rsidRPr="00323FEE">
        <w:t>interest</w:t>
      </w:r>
      <w:r w:rsidR="00512F78">
        <w:t>s</w:t>
      </w:r>
      <w:r w:rsidR="0098625D" w:rsidRPr="00323FEE">
        <w:t xml:space="preserve"> in the </w:t>
      </w:r>
      <w:r w:rsidR="00512F78">
        <w:t xml:space="preserve">marine </w:t>
      </w:r>
      <w:r w:rsidR="0098625D" w:rsidRPr="00323FEE">
        <w:t xml:space="preserve">region, </w:t>
      </w:r>
      <w:r w:rsidR="00512F78">
        <w:t xml:space="preserve">as part of their </w:t>
      </w:r>
      <w:r w:rsidR="0098625D" w:rsidRPr="00323FEE">
        <w:t xml:space="preserve">cultural heritage. </w:t>
      </w:r>
    </w:p>
    <w:p w14:paraId="1BD86F85" w14:textId="77777777" w:rsidR="0098625D" w:rsidRPr="00CE6CF5" w:rsidRDefault="0098625D" w:rsidP="0098625D">
      <w:pPr>
        <w:spacing w:line="276" w:lineRule="auto"/>
        <w:rPr>
          <w:shd w:val="clear" w:color="auto" w:fill="FFFFFF"/>
        </w:rPr>
      </w:pPr>
      <w:r>
        <w:t>D</w:t>
      </w:r>
      <w:r w:rsidRPr="00323FEE">
        <w:t xml:space="preserve">evelopers will need to understand their obligations if land-based transmission infrastructure is proposed and requirements under the </w:t>
      </w:r>
      <w:hyperlink r:id="rId10" w:history="1">
        <w:r w:rsidRPr="006B1C5F">
          <w:rPr>
            <w:rStyle w:val="Hyperlink"/>
            <w:i/>
          </w:rPr>
          <w:t>Native Title Act 1993</w:t>
        </w:r>
      </w:hyperlink>
      <w:r>
        <w:rPr>
          <w:i/>
        </w:rPr>
        <w:t xml:space="preserve"> </w:t>
      </w:r>
      <w:r w:rsidRPr="00323FEE">
        <w:t xml:space="preserve">may apply. </w:t>
      </w:r>
    </w:p>
    <w:p w14:paraId="678A6140" w14:textId="77777777" w:rsidR="00387443" w:rsidRPr="001B0D73" w:rsidRDefault="00387443" w:rsidP="002A0984">
      <w:pPr>
        <w:pStyle w:val="Heading3"/>
        <w:spacing w:before="200"/>
        <w:rPr>
          <w:sz w:val="26"/>
          <w:szCs w:val="26"/>
        </w:rPr>
      </w:pPr>
      <w:r w:rsidRPr="005B6395">
        <w:rPr>
          <w:sz w:val="26"/>
          <w:szCs w:val="26"/>
        </w:rPr>
        <w:t>Natural Environment</w:t>
      </w:r>
    </w:p>
    <w:p w14:paraId="42C1B4FC" w14:textId="2E504977" w:rsidR="00387443" w:rsidRDefault="00387443" w:rsidP="00387443">
      <w:pPr>
        <w:spacing w:line="276" w:lineRule="auto"/>
      </w:pPr>
      <w:r>
        <w:t>The Hunter region is made up of many natural environments including large coastal areas and lakes, along with expansive bushland</w:t>
      </w:r>
      <w:r w:rsidR="00512F78">
        <w:t>,</w:t>
      </w:r>
      <w:r>
        <w:t xml:space="preserve"> including the Barrington Tops and Wollemi national parks. The region is also home to a range of marine ecosystems protected by a series of Commonwealth and </w:t>
      </w:r>
      <w:r w:rsidR="00512F78">
        <w:t xml:space="preserve">NSW </w:t>
      </w:r>
      <w:r>
        <w:t xml:space="preserve">Marine Parks. </w:t>
      </w:r>
    </w:p>
    <w:p w14:paraId="1C48EE22" w14:textId="5BF47DE9" w:rsidR="00387443" w:rsidRDefault="00EE204B" w:rsidP="00671AD8">
      <w:pPr>
        <w:spacing w:line="276" w:lineRule="auto"/>
      </w:pPr>
      <w:r w:rsidRPr="00EE204B">
        <w:t xml:space="preserve">The </w:t>
      </w:r>
      <w:r w:rsidR="00186E79">
        <w:t>area</w:t>
      </w:r>
      <w:r w:rsidRPr="00EE204B">
        <w:t xml:space="preserve"> contains designated biologically important area</w:t>
      </w:r>
      <w:r w:rsidR="00186E79">
        <w:t>s</w:t>
      </w:r>
      <w:r w:rsidRPr="00EE204B">
        <w:t xml:space="preserve"> (BIAs) for migrating humpback whales and foraging seabirds and is close to a BIA for Indo-Pacific bottlenose dolphins.</w:t>
      </w:r>
      <w:r>
        <w:t xml:space="preserve"> </w:t>
      </w:r>
      <w:r w:rsidR="00F4403C">
        <w:t>G</w:t>
      </w:r>
      <w:r w:rsidR="00387443">
        <w:t>rey nurse sharks also use the area. Over 50 of the fish species that live in this area are endemic.</w:t>
      </w:r>
      <w:r w:rsidR="00387443" w:rsidRPr="0027494A">
        <w:t xml:space="preserve"> </w:t>
      </w:r>
      <w:r w:rsidR="00671AD8">
        <w:t>The Port Stephens – Great Lakes Marine Park is located immediately adjacent to the northwest boundary of the preliminary area and extends from Cape Hawke near Forster to the northern end of Stockton Beach</w:t>
      </w:r>
      <w:r w:rsidR="00387443" w:rsidRPr="0027494A">
        <w:t xml:space="preserve">. The Director of National Parks will determine if development activities may have an impact on the values of the </w:t>
      </w:r>
      <w:proofErr w:type="gramStart"/>
      <w:r w:rsidR="00387443" w:rsidRPr="0027494A">
        <w:t>Park</w:t>
      </w:r>
      <w:proofErr w:type="gramEnd"/>
      <w:r w:rsidR="00387443" w:rsidRPr="0027494A">
        <w:t xml:space="preserve"> and whether effective mitigation measures may be required.</w:t>
      </w:r>
    </w:p>
    <w:p w14:paraId="34E445E0" w14:textId="4009B010" w:rsidR="00387443" w:rsidRPr="00952A84" w:rsidRDefault="00387443" w:rsidP="00387443">
      <w:pPr>
        <w:spacing w:line="276" w:lineRule="auto"/>
      </w:pPr>
      <w:r w:rsidRPr="00952A84">
        <w:t xml:space="preserve">There are </w:t>
      </w:r>
      <w:proofErr w:type="gramStart"/>
      <w:r w:rsidRPr="00952A84">
        <w:t>a number of</w:t>
      </w:r>
      <w:proofErr w:type="gramEnd"/>
      <w:r w:rsidRPr="00952A84">
        <w:t xml:space="preserve"> Matters of National Environmental Significance (MNES) in and near the area. </w:t>
      </w:r>
      <w:r w:rsidR="00EE204B" w:rsidRPr="00952A84">
        <w:t xml:space="preserve">These </w:t>
      </w:r>
      <w:proofErr w:type="gramStart"/>
      <w:r w:rsidR="00EE204B" w:rsidRPr="00952A84">
        <w:t>include:</w:t>
      </w:r>
      <w:proofErr w:type="gramEnd"/>
      <w:r w:rsidR="00EE204B" w:rsidRPr="00952A84">
        <w:t xml:space="preserve"> birds (Gould’s Petrel, petrels, albatross, curlews, frigatebirds, shearwaters and penguins); cetaceans (whales, </w:t>
      </w:r>
      <w:r w:rsidR="00671AD8" w:rsidRPr="00952A84">
        <w:t>dolphins</w:t>
      </w:r>
      <w:r w:rsidR="00EE204B" w:rsidRPr="00952A84">
        <w:t>, sharks, dugongs); rays; turtles; and R</w:t>
      </w:r>
      <w:r w:rsidR="009D1753">
        <w:t>amsar</w:t>
      </w:r>
      <w:r w:rsidR="00EE204B" w:rsidRPr="00952A84">
        <w:t xml:space="preserve"> sites (Hunter Estuary Wetlands). </w:t>
      </w:r>
      <w:r>
        <w:t xml:space="preserve">Proposals must not </w:t>
      </w:r>
      <w:proofErr w:type="gramStart"/>
      <w:r>
        <w:t>be:</w:t>
      </w:r>
      <w:proofErr w:type="gramEnd"/>
      <w:r>
        <w:t xml:space="preserve"> </w:t>
      </w:r>
      <w:r w:rsidRPr="00952A84">
        <w:t>inconsistent with recovery plans for relevant MNES; be likely to change the ecological character of a Ramsar wetland; be likely to interfere with the long-term conservation of threatened or migratory seabird species; or be inconsistent with the requirements of migratory species treaties.</w:t>
      </w:r>
    </w:p>
    <w:p w14:paraId="3DBFB5C5" w14:textId="77777777" w:rsidR="00186E79" w:rsidRDefault="00387443" w:rsidP="00387443">
      <w:pPr>
        <w:spacing w:line="276" w:lineRule="auto"/>
      </w:pPr>
      <w:r>
        <w:t xml:space="preserve">The </w:t>
      </w:r>
      <w:hyperlink r:id="rId11" w:history="1">
        <w:r w:rsidR="00105899" w:rsidRPr="00E840C4">
          <w:rPr>
            <w:rStyle w:val="Hyperlink"/>
            <w:i/>
          </w:rPr>
          <w:t>Offshore Electricity Infrastructure Act 2021</w:t>
        </w:r>
      </w:hyperlink>
      <w:r w:rsidR="00105899" w:rsidRPr="00105899">
        <w:t xml:space="preserve"> (OEI Act) </w:t>
      </w:r>
      <w:r>
        <w:t xml:space="preserve">has been designed to operate in conjunction with other applicable regulatory regimes. Specifically, offshore infrastructure activities are subject to environmental approval requirements under environmental legislation, including the </w:t>
      </w:r>
      <w:hyperlink r:id="rId12" w:history="1">
        <w:r w:rsidR="00105899" w:rsidRPr="00672421">
          <w:rPr>
            <w:rStyle w:val="Hyperlink"/>
            <w:i/>
          </w:rPr>
          <w:t>Environment Protection and Biodiversity Conservation Act 1999</w:t>
        </w:r>
      </w:hyperlink>
      <w:r>
        <w:t xml:space="preserve"> </w:t>
      </w:r>
      <w:r w:rsidR="00105899">
        <w:t xml:space="preserve">(EPBC Act) </w:t>
      </w:r>
      <w:r>
        <w:t xml:space="preserve">administered by </w:t>
      </w:r>
      <w:r w:rsidR="00671AD8">
        <w:t>the Department</w:t>
      </w:r>
      <w:r>
        <w:t xml:space="preserve">. </w:t>
      </w:r>
      <w:r w:rsidR="00EE204B" w:rsidRPr="00323FEE">
        <w:rPr>
          <w:shd w:val="clear" w:color="auto" w:fill="FFFFFF"/>
        </w:rPr>
        <w:t>Approval under the</w:t>
      </w:r>
      <w:r w:rsidR="00105899">
        <w:rPr>
          <w:shd w:val="clear" w:color="auto" w:fill="FFFFFF"/>
        </w:rPr>
        <w:t xml:space="preserve"> EPBC Act</w:t>
      </w:r>
      <w:r w:rsidR="00EE204B" w:rsidRPr="00323FEE">
        <w:rPr>
          <w:shd w:val="clear" w:color="auto" w:fill="FFFFFF"/>
        </w:rPr>
        <w:t xml:space="preserve"> </w:t>
      </w:r>
      <w:r w:rsidR="00EE204B">
        <w:rPr>
          <w:shd w:val="clear" w:color="auto" w:fill="FFFFFF"/>
        </w:rPr>
        <w:t>will be</w:t>
      </w:r>
      <w:r w:rsidR="00EE204B" w:rsidRPr="00323FEE">
        <w:rPr>
          <w:shd w:val="clear" w:color="auto" w:fill="FFFFFF"/>
        </w:rPr>
        <w:t xml:space="preserve"> required for all prospective projects. This includes an assessment of the relevant impacts and proposed avoidance, management, mitigation and</w:t>
      </w:r>
      <w:r w:rsidR="00EE204B">
        <w:rPr>
          <w:shd w:val="clear" w:color="auto" w:fill="FFFFFF"/>
        </w:rPr>
        <w:t>,</w:t>
      </w:r>
      <w:r w:rsidR="00EE204B" w:rsidRPr="00323FEE">
        <w:rPr>
          <w:shd w:val="clear" w:color="auto" w:fill="FFFFFF"/>
        </w:rPr>
        <w:t xml:space="preserve"> where appropriate, offset measures, to demonstrate appropriate environmental outcomes can be achieved.</w:t>
      </w:r>
      <w:r w:rsidR="00105899" w:rsidRPr="00105899">
        <w:t xml:space="preserve"> </w:t>
      </w:r>
    </w:p>
    <w:p w14:paraId="6648532D" w14:textId="18941C76" w:rsidR="00960C80" w:rsidRDefault="00105899" w:rsidP="00387443">
      <w:pPr>
        <w:spacing w:line="276" w:lineRule="auto"/>
      </w:pPr>
      <w:r w:rsidRPr="00105899">
        <w:rPr>
          <w:shd w:val="clear" w:color="auto" w:fill="FFFFFF"/>
        </w:rPr>
        <w:lastRenderedPageBreak/>
        <w:t xml:space="preserve">Obtaining environmental approvals under the EPBC Act (and other relevant </w:t>
      </w:r>
      <w:r w:rsidR="00512F78">
        <w:rPr>
          <w:shd w:val="clear" w:color="auto" w:fill="FFFFFF"/>
        </w:rPr>
        <w:t xml:space="preserve">NSW </w:t>
      </w:r>
      <w:r w:rsidRPr="00105899">
        <w:rPr>
          <w:shd w:val="clear" w:color="auto" w:fill="FFFFFF"/>
        </w:rPr>
        <w:t>and Commonwealth legislation) provides no guarantee that a proposed project location will be included in a declared area or that a proponent will be successful in obtaining a relevant OEI Act licence in the area.</w:t>
      </w:r>
      <w:r w:rsidR="00960C80">
        <w:rPr>
          <w:shd w:val="clear" w:color="auto" w:fill="FFFFFF"/>
        </w:rPr>
        <w:t xml:space="preserve"> </w:t>
      </w:r>
      <w:r w:rsidR="00387443">
        <w:t xml:space="preserve">Developers must ensure they receive all other relevant approvals and undertake any required consultation processes before they can apply for a commercial licence. </w:t>
      </w:r>
    </w:p>
    <w:p w14:paraId="651E3E4A" w14:textId="05149D2F" w:rsidR="00387443" w:rsidRPr="00323FEE" w:rsidRDefault="00105899" w:rsidP="00387443">
      <w:pPr>
        <w:spacing w:line="276" w:lineRule="auto"/>
        <w:rPr>
          <w:shd w:val="clear" w:color="auto" w:fill="FFFFFF"/>
        </w:rPr>
      </w:pPr>
      <w:r>
        <w:rPr>
          <w:shd w:val="clear" w:color="auto" w:fill="FFFFFF"/>
        </w:rPr>
        <w:t>Work is ongoing with</w:t>
      </w:r>
      <w:r w:rsidR="00387443" w:rsidRPr="007E22AE">
        <w:rPr>
          <w:shd w:val="clear" w:color="auto" w:fill="FFFFFF"/>
        </w:rPr>
        <w:t xml:space="preserve"> environmental teams within the Department to ensure environmental concerns are</w:t>
      </w:r>
      <w:r w:rsidR="00387443">
        <w:rPr>
          <w:shd w:val="clear" w:color="auto" w:fill="FFFFFF"/>
        </w:rPr>
        <w:t xml:space="preserve"> thoroughly examined and </w:t>
      </w:r>
      <w:r w:rsidR="00387443" w:rsidRPr="007E22AE">
        <w:rPr>
          <w:shd w:val="clear" w:color="auto" w:fill="FFFFFF"/>
        </w:rPr>
        <w:t>carefully considered.</w:t>
      </w:r>
    </w:p>
    <w:p w14:paraId="69D8E83D" w14:textId="4B5BE50F" w:rsidR="0098625D" w:rsidRPr="001B0D73" w:rsidRDefault="00693ED3" w:rsidP="002A0984">
      <w:pPr>
        <w:pStyle w:val="Heading3"/>
        <w:spacing w:before="200"/>
        <w:rPr>
          <w:sz w:val="26"/>
          <w:szCs w:val="26"/>
        </w:rPr>
      </w:pPr>
      <w:r>
        <w:rPr>
          <w:sz w:val="26"/>
          <w:szCs w:val="26"/>
        </w:rPr>
        <w:t>Airports and D</w:t>
      </w:r>
      <w:r w:rsidR="0098625D" w:rsidRPr="005B6395">
        <w:rPr>
          <w:sz w:val="26"/>
          <w:szCs w:val="26"/>
        </w:rPr>
        <w:t>efence</w:t>
      </w:r>
    </w:p>
    <w:p w14:paraId="0D0397C9" w14:textId="66125D67" w:rsidR="0098625D" w:rsidRPr="00952A84" w:rsidRDefault="007B3162" w:rsidP="0098625D">
      <w:pPr>
        <w:spacing w:line="276" w:lineRule="auto"/>
        <w:rPr>
          <w:shd w:val="clear" w:color="auto" w:fill="FFFFFF"/>
        </w:rPr>
      </w:pPr>
      <w:r w:rsidRPr="00952A84">
        <w:rPr>
          <w:shd w:val="clear" w:color="auto" w:fill="FFFFFF"/>
        </w:rPr>
        <w:t xml:space="preserve">The area is </w:t>
      </w:r>
      <w:proofErr w:type="gramStart"/>
      <w:r w:rsidRPr="00952A84">
        <w:rPr>
          <w:shd w:val="clear" w:color="auto" w:fill="FFFFFF"/>
        </w:rPr>
        <w:t>in close proximity to</w:t>
      </w:r>
      <w:proofErr w:type="gramEnd"/>
      <w:r w:rsidRPr="00952A84">
        <w:rPr>
          <w:shd w:val="clear" w:color="auto" w:fill="FFFFFF"/>
        </w:rPr>
        <w:t xml:space="preserve"> the Royal Australian Air Force (RAAF) Base William</w:t>
      </w:r>
      <w:r w:rsidR="00CB0B82">
        <w:rPr>
          <w:shd w:val="clear" w:color="auto" w:fill="FFFFFF"/>
        </w:rPr>
        <w:t>town and the Newcastle Airport.</w:t>
      </w:r>
      <w:r w:rsidRPr="00952A84">
        <w:rPr>
          <w:shd w:val="clear" w:color="auto" w:fill="FFFFFF"/>
        </w:rPr>
        <w:t xml:space="preserve"> The </w:t>
      </w:r>
      <w:r w:rsidR="001E2C0A">
        <w:rPr>
          <w:shd w:val="clear" w:color="auto" w:fill="FFFFFF"/>
        </w:rPr>
        <w:t xml:space="preserve">proposed </w:t>
      </w:r>
      <w:r w:rsidRPr="00952A84">
        <w:rPr>
          <w:shd w:val="clear" w:color="auto" w:fill="FFFFFF"/>
        </w:rPr>
        <w:t xml:space="preserve">area is </w:t>
      </w:r>
      <w:r w:rsidR="001E2C0A">
        <w:rPr>
          <w:shd w:val="clear" w:color="auto" w:fill="FFFFFF"/>
        </w:rPr>
        <w:t>used for Defence activities</w:t>
      </w:r>
      <w:r w:rsidR="00F3456C" w:rsidRPr="00952A84">
        <w:rPr>
          <w:shd w:val="clear" w:color="auto" w:fill="FFFFFF"/>
        </w:rPr>
        <w:t>.</w:t>
      </w:r>
      <w:r w:rsidR="00330550">
        <w:rPr>
          <w:shd w:val="clear" w:color="auto" w:fill="FFFFFF"/>
        </w:rPr>
        <w:t xml:space="preserve"> </w:t>
      </w:r>
      <w:r w:rsidR="00CB0B82">
        <w:rPr>
          <w:shd w:val="clear" w:color="auto" w:fill="FFFFFF"/>
        </w:rPr>
        <w:t>In accordance with</w:t>
      </w:r>
      <w:r w:rsidR="001E2C0A">
        <w:rPr>
          <w:shd w:val="clear" w:color="auto" w:fill="FFFFFF"/>
        </w:rPr>
        <w:t xml:space="preserve"> Department of</w:t>
      </w:r>
      <w:r w:rsidR="00CB0B82">
        <w:rPr>
          <w:shd w:val="clear" w:color="auto" w:fill="FFFFFF"/>
        </w:rPr>
        <w:t xml:space="preserve"> Defence advice, </w:t>
      </w:r>
      <w:r w:rsidR="00CD13E2">
        <w:rPr>
          <w:shd w:val="clear" w:color="auto" w:fill="FFFFFF"/>
        </w:rPr>
        <w:t xml:space="preserve">developers of </w:t>
      </w:r>
      <w:r w:rsidR="00CB0B82">
        <w:rPr>
          <w:shd w:val="clear" w:color="auto" w:fill="FFFFFF"/>
        </w:rPr>
        <w:t>wind turbines</w:t>
      </w:r>
      <w:r w:rsidR="001E2C0A">
        <w:rPr>
          <w:shd w:val="clear" w:color="auto" w:fill="FFFFFF"/>
        </w:rPr>
        <w:t xml:space="preserve"> and other infrastructure</w:t>
      </w:r>
      <w:r w:rsidR="00CB0B82">
        <w:rPr>
          <w:shd w:val="clear" w:color="auto" w:fill="FFFFFF"/>
        </w:rPr>
        <w:t xml:space="preserve"> in the area under consideration </w:t>
      </w:r>
      <w:r w:rsidR="00E23918">
        <w:rPr>
          <w:shd w:val="clear" w:color="auto" w:fill="FFFFFF"/>
        </w:rPr>
        <w:t>will likely have to</w:t>
      </w:r>
      <w:r w:rsidR="00330550">
        <w:rPr>
          <w:shd w:val="clear" w:color="auto" w:fill="FFFFFF"/>
        </w:rPr>
        <w:t xml:space="preserve"> consult</w:t>
      </w:r>
      <w:r w:rsidR="00CB0B82">
        <w:rPr>
          <w:shd w:val="clear" w:color="auto" w:fill="FFFFFF"/>
        </w:rPr>
        <w:t xml:space="preserve"> with the Department of Defence</w:t>
      </w:r>
      <w:r w:rsidR="00330550">
        <w:rPr>
          <w:shd w:val="clear" w:color="auto" w:fill="FFFFFF"/>
        </w:rPr>
        <w:t xml:space="preserve"> through the licen</w:t>
      </w:r>
      <w:r w:rsidR="00512F78">
        <w:rPr>
          <w:shd w:val="clear" w:color="auto" w:fill="FFFFFF"/>
        </w:rPr>
        <w:t>s</w:t>
      </w:r>
      <w:r w:rsidR="00330550">
        <w:rPr>
          <w:shd w:val="clear" w:color="auto" w:fill="FFFFFF"/>
        </w:rPr>
        <w:t xml:space="preserve">ing stages to determine potential impacts </w:t>
      </w:r>
      <w:r w:rsidR="00CD13E2">
        <w:rPr>
          <w:shd w:val="clear" w:color="auto" w:fill="FFFFFF"/>
        </w:rPr>
        <w:t xml:space="preserve">of their proposed project </w:t>
      </w:r>
      <w:r w:rsidR="00330550">
        <w:rPr>
          <w:shd w:val="clear" w:color="auto" w:fill="FFFFFF"/>
        </w:rPr>
        <w:t xml:space="preserve">on restricted airspace. </w:t>
      </w:r>
    </w:p>
    <w:p w14:paraId="5DE2BE34" w14:textId="77777777" w:rsidR="0098625D" w:rsidRPr="001B0D73" w:rsidRDefault="0098625D" w:rsidP="002A0984">
      <w:pPr>
        <w:pStyle w:val="Heading3"/>
        <w:spacing w:before="200"/>
        <w:rPr>
          <w:sz w:val="26"/>
          <w:szCs w:val="26"/>
        </w:rPr>
      </w:pPr>
      <w:r w:rsidRPr="00EA44DC">
        <w:rPr>
          <w:sz w:val="26"/>
          <w:szCs w:val="26"/>
        </w:rPr>
        <w:t>Vessel Traffic</w:t>
      </w:r>
    </w:p>
    <w:p w14:paraId="4DF0D7F3" w14:textId="33C94BC1" w:rsidR="005B6395" w:rsidRPr="005B6395" w:rsidRDefault="008E6004" w:rsidP="005B6395">
      <w:r>
        <w:rPr>
          <w:shd w:val="clear" w:color="auto" w:fill="FFFFFF"/>
        </w:rPr>
        <w:t xml:space="preserve">The </w:t>
      </w:r>
      <w:r w:rsidR="00DD5AAC" w:rsidRPr="00DD5AAC">
        <w:rPr>
          <w:shd w:val="clear" w:color="auto" w:fill="FFFFFF"/>
        </w:rPr>
        <w:t>Port of Newcastle is the largest port on the east coast of Australia</w:t>
      </w:r>
      <w:r>
        <w:rPr>
          <w:shd w:val="clear" w:color="auto" w:fill="FFFFFF"/>
        </w:rPr>
        <w:t xml:space="preserve"> with </w:t>
      </w:r>
      <w:r w:rsidR="00DD5AAC" w:rsidRPr="00DD5AAC">
        <w:rPr>
          <w:shd w:val="clear" w:color="auto" w:fill="FFFFFF"/>
        </w:rPr>
        <w:t>2,200 trade vessels annually</w:t>
      </w:r>
      <w:r>
        <w:rPr>
          <w:shd w:val="clear" w:color="auto" w:fill="FFFFFF"/>
        </w:rPr>
        <w:t xml:space="preserve"> that transport</w:t>
      </w:r>
      <w:r w:rsidR="00DD5AAC" w:rsidRPr="00DD5AAC">
        <w:rPr>
          <w:shd w:val="clear" w:color="auto" w:fill="FFFFFF"/>
        </w:rPr>
        <w:t xml:space="preserve"> 166 million tonnes of cargo</w:t>
      </w:r>
      <w:r>
        <w:rPr>
          <w:shd w:val="clear" w:color="auto" w:fill="FFFFFF"/>
        </w:rPr>
        <w:t>. The port is a</w:t>
      </w:r>
      <w:r w:rsidR="00DD5AAC" w:rsidRPr="00DD5AAC">
        <w:rPr>
          <w:shd w:val="clear" w:color="auto" w:fill="FFFFFF"/>
        </w:rPr>
        <w:t xml:space="preserve"> vital economic gateway to the Hunter Valley and </w:t>
      </w:r>
      <w:r w:rsidRPr="008E6004">
        <w:rPr>
          <w:shd w:val="clear" w:color="auto" w:fill="FFFFFF"/>
        </w:rPr>
        <w:t>to</w:t>
      </w:r>
      <w:r w:rsidR="00DD5AAC" w:rsidRPr="008E6004">
        <w:rPr>
          <w:shd w:val="clear" w:color="auto" w:fill="FFFFFF"/>
        </w:rPr>
        <w:t xml:space="preserve"> </w:t>
      </w:r>
      <w:r w:rsidR="00DD5AAC" w:rsidRPr="005B6395">
        <w:rPr>
          <w:rFonts w:asciiTheme="majorHAnsi" w:eastAsiaTheme="majorEastAsia" w:hAnsiTheme="majorHAnsi" w:cstheme="majorBidi"/>
        </w:rPr>
        <w:t>NSW</w:t>
      </w:r>
      <w:r w:rsidRPr="005B6395">
        <w:rPr>
          <w:rFonts w:asciiTheme="majorHAnsi" w:eastAsiaTheme="majorEastAsia" w:hAnsiTheme="majorHAnsi" w:cstheme="majorBidi"/>
        </w:rPr>
        <w:t xml:space="preserve">. </w:t>
      </w:r>
      <w:r>
        <w:t>The development</w:t>
      </w:r>
      <w:r w:rsidR="00DD5AAC">
        <w:t xml:space="preserve"> of </w:t>
      </w:r>
      <w:r>
        <w:t>offshore electricity infrastructure</w:t>
      </w:r>
      <w:r w:rsidR="00DD5AAC">
        <w:t xml:space="preserve"> </w:t>
      </w:r>
      <w:r w:rsidR="00DD5AAC" w:rsidRPr="005B6395">
        <w:t>needs to ensure that it does not disrupt vessel traffic and port operations</w:t>
      </w:r>
      <w:r>
        <w:t>.</w:t>
      </w:r>
    </w:p>
    <w:p w14:paraId="5EA7B5F8" w14:textId="61597FC3" w:rsidR="0098625D" w:rsidRDefault="0098625D" w:rsidP="0098625D">
      <w:pPr>
        <w:widowControl w:val="0"/>
        <w:spacing w:line="276" w:lineRule="auto"/>
        <w:ind w:right="170"/>
        <w:rPr>
          <w:shd w:val="clear" w:color="auto" w:fill="FFFFFF"/>
        </w:rPr>
      </w:pPr>
      <w:r w:rsidRPr="00323FEE">
        <w:rPr>
          <w:shd w:val="clear" w:color="auto" w:fill="FFFFFF"/>
        </w:rPr>
        <w:t xml:space="preserve">The shipping sector plays a significant role in the global </w:t>
      </w:r>
      <w:r w:rsidR="00F81931" w:rsidRPr="00323FEE">
        <w:rPr>
          <w:shd w:val="clear" w:color="auto" w:fill="FFFFFF"/>
        </w:rPr>
        <w:t>economy and</w:t>
      </w:r>
      <w:r w:rsidRPr="00323FEE">
        <w:rPr>
          <w:shd w:val="clear" w:color="auto" w:fill="FFFFFF"/>
        </w:rPr>
        <w:t xml:space="preserve"> is critical to Australia as an island economy. Over 90% of Australia’s exports depend on sea transport and the combined value of Australia’s seagoing international imports and exports was over $400 billion in 2015/16 — equal to 25% of Australia’s gross domestic product. </w:t>
      </w:r>
    </w:p>
    <w:p w14:paraId="62FCC634" w14:textId="4E30FA84" w:rsidR="0098625D" w:rsidRPr="00A465E6" w:rsidRDefault="0098625D" w:rsidP="0098625D">
      <w:pPr>
        <w:widowControl w:val="0"/>
        <w:spacing w:line="276" w:lineRule="auto"/>
        <w:ind w:right="170"/>
        <w:rPr>
          <w:shd w:val="clear" w:color="auto" w:fill="FFFFFF"/>
        </w:rPr>
      </w:pPr>
      <w:r>
        <w:rPr>
          <w:shd w:val="clear" w:color="auto" w:fill="FFFFFF"/>
        </w:rPr>
        <w:t>T</w:t>
      </w:r>
      <w:r w:rsidRPr="00323FEE">
        <w:rPr>
          <w:shd w:val="clear" w:color="auto" w:fill="FFFFFF"/>
        </w:rPr>
        <w:t xml:space="preserve">he area off </w:t>
      </w:r>
      <w:r>
        <w:rPr>
          <w:shd w:val="clear" w:color="auto" w:fill="FFFFFF"/>
        </w:rPr>
        <w:t>the Hunter</w:t>
      </w:r>
      <w:r w:rsidRPr="00323FEE">
        <w:rPr>
          <w:shd w:val="clear" w:color="auto" w:fill="FFFFFF"/>
        </w:rPr>
        <w:t xml:space="preserve"> sees a high volume of </w:t>
      </w:r>
      <w:r>
        <w:rPr>
          <w:shd w:val="clear" w:color="auto" w:fill="FFFFFF"/>
        </w:rPr>
        <w:t xml:space="preserve">domestic and international </w:t>
      </w:r>
      <w:r w:rsidRPr="00323FEE">
        <w:rPr>
          <w:shd w:val="clear" w:color="auto" w:fill="FFFFFF"/>
        </w:rPr>
        <w:t>shipping traffic heading to</w:t>
      </w:r>
      <w:r>
        <w:rPr>
          <w:shd w:val="clear" w:color="auto" w:fill="FFFFFF"/>
        </w:rPr>
        <w:t xml:space="preserve"> a</w:t>
      </w:r>
      <w:r w:rsidRPr="00323FEE">
        <w:rPr>
          <w:shd w:val="clear" w:color="auto" w:fill="FFFFFF"/>
        </w:rPr>
        <w:t xml:space="preserve"> variety of locations</w:t>
      </w:r>
      <w:r>
        <w:rPr>
          <w:shd w:val="clear" w:color="auto" w:fill="FFFFFF"/>
        </w:rPr>
        <w:t>.</w:t>
      </w:r>
      <w:r w:rsidR="00693ED3">
        <w:rPr>
          <w:shd w:val="clear" w:color="auto" w:fill="FFFFFF"/>
        </w:rPr>
        <w:t xml:space="preserve"> </w:t>
      </w:r>
      <w:r w:rsidRPr="00A465E6">
        <w:rPr>
          <w:shd w:val="clear" w:color="auto" w:fill="FFFFFF"/>
        </w:rPr>
        <w:t xml:space="preserve">To </w:t>
      </w:r>
      <w:r w:rsidR="00CA020E">
        <w:rPr>
          <w:shd w:val="clear" w:color="auto" w:fill="FFFFFF"/>
        </w:rPr>
        <w:t xml:space="preserve">ensure there is adequate space for </w:t>
      </w:r>
      <w:r w:rsidRPr="00A465E6">
        <w:rPr>
          <w:shd w:val="clear" w:color="auto" w:fill="FFFFFF"/>
        </w:rPr>
        <w:t xml:space="preserve">vessel traffic in the vicinity of the area, high volume shipping channels, including traffic separation </w:t>
      </w:r>
      <w:r w:rsidR="00F81931" w:rsidRPr="00A465E6">
        <w:rPr>
          <w:shd w:val="clear" w:color="auto" w:fill="FFFFFF"/>
        </w:rPr>
        <w:t>schemes,</w:t>
      </w:r>
      <w:r w:rsidRPr="00A465E6">
        <w:rPr>
          <w:shd w:val="clear" w:color="auto" w:fill="FFFFFF"/>
        </w:rPr>
        <w:t xml:space="preserve"> and drifting areas</w:t>
      </w:r>
      <w:r w:rsidR="00CA020E">
        <w:rPr>
          <w:shd w:val="clear" w:color="auto" w:fill="FFFFFF"/>
        </w:rPr>
        <w:t xml:space="preserve">, will need to be </w:t>
      </w:r>
      <w:r w:rsidR="000C335E">
        <w:rPr>
          <w:shd w:val="clear" w:color="auto" w:fill="FFFFFF"/>
        </w:rPr>
        <w:t>considered by the Australian Maritime Safety Authority</w:t>
      </w:r>
      <w:r w:rsidR="009D1753">
        <w:rPr>
          <w:shd w:val="clear" w:color="auto" w:fill="FFFFFF"/>
        </w:rPr>
        <w:t xml:space="preserve"> and the Port Authority of New South Wales</w:t>
      </w:r>
      <w:r w:rsidRPr="00A465E6">
        <w:rPr>
          <w:shd w:val="clear" w:color="auto" w:fill="FFFFFF"/>
        </w:rPr>
        <w:t xml:space="preserve">. </w:t>
      </w:r>
    </w:p>
    <w:p w14:paraId="17ADA7AC" w14:textId="3722CD3D" w:rsidR="0098625D" w:rsidRPr="005B6395" w:rsidRDefault="0098625D" w:rsidP="002A0984">
      <w:pPr>
        <w:pStyle w:val="Heading3"/>
        <w:spacing w:before="200"/>
        <w:rPr>
          <w:sz w:val="26"/>
          <w:szCs w:val="26"/>
        </w:rPr>
      </w:pPr>
      <w:r w:rsidRPr="00636EBF">
        <w:rPr>
          <w:sz w:val="26"/>
          <w:szCs w:val="26"/>
        </w:rPr>
        <w:t>Weather Radars</w:t>
      </w:r>
    </w:p>
    <w:p w14:paraId="7C061FB6" w14:textId="2726C9F2" w:rsidR="0098625D" w:rsidRPr="00323FEE" w:rsidRDefault="0098625D" w:rsidP="00952A84">
      <w:pPr>
        <w:spacing w:line="276" w:lineRule="auto"/>
        <w:rPr>
          <w:shd w:val="clear" w:color="auto" w:fill="FFFFFF"/>
        </w:rPr>
      </w:pPr>
      <w:r w:rsidRPr="00323FEE">
        <w:rPr>
          <w:shd w:val="clear" w:color="auto" w:fill="FFFFFF"/>
        </w:rPr>
        <w:t>The Bureau of Meteorology</w:t>
      </w:r>
      <w:r>
        <w:rPr>
          <w:shd w:val="clear" w:color="auto" w:fill="FFFFFF"/>
        </w:rPr>
        <w:t xml:space="preserve"> (BOM)</w:t>
      </w:r>
      <w:r w:rsidRPr="00323FEE">
        <w:rPr>
          <w:shd w:val="clear" w:color="auto" w:fill="FFFFFF"/>
        </w:rPr>
        <w:t xml:space="preserve"> operates </w:t>
      </w:r>
      <w:r>
        <w:rPr>
          <w:shd w:val="clear" w:color="auto" w:fill="FFFFFF"/>
        </w:rPr>
        <w:t>the Newcastle weather</w:t>
      </w:r>
      <w:r w:rsidRPr="00C16781">
        <w:rPr>
          <w:shd w:val="clear" w:color="auto" w:fill="FFFFFF"/>
        </w:rPr>
        <w:t xml:space="preserve"> radar </w:t>
      </w:r>
      <w:r>
        <w:rPr>
          <w:shd w:val="clear" w:color="auto" w:fill="FFFFFF"/>
        </w:rPr>
        <w:t>at Lemon</w:t>
      </w:r>
      <w:r w:rsidR="00726400">
        <w:rPr>
          <w:shd w:val="clear" w:color="auto" w:fill="FFFFFF"/>
        </w:rPr>
        <w:t xml:space="preserve"> Tree Passage in Port Stephens.</w:t>
      </w:r>
      <w:r>
        <w:rPr>
          <w:shd w:val="clear" w:color="auto" w:fill="FFFFFF"/>
        </w:rPr>
        <w:t xml:space="preserve"> The radar </w:t>
      </w:r>
      <w:r w:rsidRPr="00C16781">
        <w:rPr>
          <w:shd w:val="clear" w:color="auto" w:fill="FFFFFF"/>
        </w:rPr>
        <w:t>has a very good view in all directions and is the primary weather radar for the populated area</w:t>
      </w:r>
      <w:r>
        <w:rPr>
          <w:shd w:val="clear" w:color="auto" w:fill="FFFFFF"/>
        </w:rPr>
        <w:t>s around Newcastle and the NSW Central C</w:t>
      </w:r>
      <w:r w:rsidRPr="00C16781">
        <w:rPr>
          <w:shd w:val="clear" w:color="auto" w:fill="FFFFFF"/>
        </w:rPr>
        <w:t>oast. It provide</w:t>
      </w:r>
      <w:r>
        <w:rPr>
          <w:shd w:val="clear" w:color="auto" w:fill="FFFFFF"/>
        </w:rPr>
        <w:t>s</w:t>
      </w:r>
      <w:r w:rsidRPr="00C16781">
        <w:rPr>
          <w:shd w:val="clear" w:color="auto" w:fill="FFFFFF"/>
        </w:rPr>
        <w:t xml:space="preserve"> weather information </w:t>
      </w:r>
      <w:r w:rsidRPr="00323FEE">
        <w:rPr>
          <w:shd w:val="clear" w:color="auto" w:fill="FFFFFF"/>
        </w:rPr>
        <w:t>and forecasting for the region</w:t>
      </w:r>
      <w:r>
        <w:rPr>
          <w:shd w:val="clear" w:color="auto" w:fill="FFFFFF"/>
        </w:rPr>
        <w:t xml:space="preserve"> north to </w:t>
      </w:r>
      <w:r w:rsidRPr="00C16781">
        <w:rPr>
          <w:shd w:val="clear" w:color="auto" w:fill="FFFFFF"/>
        </w:rPr>
        <w:t>Port Macquarie, wes</w:t>
      </w:r>
      <w:r>
        <w:rPr>
          <w:shd w:val="clear" w:color="auto" w:fill="FFFFFF"/>
        </w:rPr>
        <w:t>t to Wollemi National Park and s</w:t>
      </w:r>
      <w:r w:rsidRPr="00C16781">
        <w:rPr>
          <w:shd w:val="clear" w:color="auto" w:fill="FFFFFF"/>
        </w:rPr>
        <w:t>outh to Campbelltown.</w:t>
      </w:r>
      <w:r>
        <w:rPr>
          <w:shd w:val="clear" w:color="auto" w:fill="FFFFFF"/>
        </w:rPr>
        <w:t xml:space="preserve"> Developers </w:t>
      </w:r>
      <w:r w:rsidRPr="00323FEE">
        <w:rPr>
          <w:shd w:val="clear" w:color="auto" w:fill="FFFFFF"/>
        </w:rPr>
        <w:t xml:space="preserve">will need to work with </w:t>
      </w:r>
      <w:r>
        <w:rPr>
          <w:shd w:val="clear" w:color="auto" w:fill="FFFFFF"/>
        </w:rPr>
        <w:t>BOM</w:t>
      </w:r>
      <w:r w:rsidRPr="00323FEE">
        <w:rPr>
          <w:shd w:val="clear" w:color="auto" w:fill="FFFFFF"/>
        </w:rPr>
        <w:t xml:space="preserve"> to </w:t>
      </w:r>
      <w:r>
        <w:rPr>
          <w:shd w:val="clear" w:color="auto" w:fill="FFFFFF"/>
        </w:rPr>
        <w:t>ensure that their projects do not interfere with weather radars</w:t>
      </w:r>
      <w:r w:rsidRPr="00323FEE">
        <w:rPr>
          <w:shd w:val="clear" w:color="auto" w:fill="FFFFFF"/>
        </w:rPr>
        <w:t>.</w:t>
      </w:r>
      <w:r w:rsidRPr="00932A1F">
        <w:rPr>
          <w:shd w:val="clear" w:color="auto" w:fill="FFFFFF"/>
        </w:rPr>
        <w:t xml:space="preserve"> </w:t>
      </w:r>
    </w:p>
    <w:p w14:paraId="67D23C9D" w14:textId="0DAD4F6C" w:rsidR="00CC4C66" w:rsidRPr="001B0D73" w:rsidRDefault="004F6131" w:rsidP="002A0984">
      <w:pPr>
        <w:pStyle w:val="Heading3"/>
        <w:spacing w:before="200"/>
        <w:rPr>
          <w:sz w:val="26"/>
          <w:szCs w:val="26"/>
        </w:rPr>
      </w:pPr>
      <w:r w:rsidRPr="005B6395">
        <w:rPr>
          <w:sz w:val="26"/>
          <w:szCs w:val="26"/>
        </w:rPr>
        <w:t xml:space="preserve">Commercial </w:t>
      </w:r>
      <w:r w:rsidR="00E6496B">
        <w:rPr>
          <w:sz w:val="26"/>
          <w:szCs w:val="26"/>
        </w:rPr>
        <w:t xml:space="preserve">and Recreational </w:t>
      </w:r>
      <w:r w:rsidRPr="005B6395">
        <w:rPr>
          <w:sz w:val="26"/>
          <w:szCs w:val="26"/>
        </w:rPr>
        <w:t>Fishing</w:t>
      </w:r>
    </w:p>
    <w:p w14:paraId="6184E689" w14:textId="4446943F" w:rsidR="007A3F9C" w:rsidRPr="00952A84" w:rsidRDefault="006E4EA4" w:rsidP="00323FEE">
      <w:pPr>
        <w:spacing w:line="276" w:lineRule="auto"/>
        <w:rPr>
          <w:shd w:val="clear" w:color="auto" w:fill="FFFFFF"/>
        </w:rPr>
      </w:pPr>
      <w:r w:rsidRPr="00952A84">
        <w:rPr>
          <w:shd w:val="clear" w:color="auto" w:fill="FFFFFF"/>
        </w:rPr>
        <w:t xml:space="preserve">Commercial fishing </w:t>
      </w:r>
      <w:r w:rsidR="00111909" w:rsidRPr="00952A84">
        <w:rPr>
          <w:shd w:val="clear" w:color="auto" w:fill="FFFFFF"/>
        </w:rPr>
        <w:t>is an important industry</w:t>
      </w:r>
      <w:r w:rsidRPr="00952A84">
        <w:rPr>
          <w:shd w:val="clear" w:color="auto" w:fill="FFFFFF"/>
        </w:rPr>
        <w:t xml:space="preserve"> in the </w:t>
      </w:r>
      <w:r w:rsidR="008164A1" w:rsidRPr="00952A84">
        <w:rPr>
          <w:shd w:val="clear" w:color="auto" w:fill="FFFFFF"/>
        </w:rPr>
        <w:t>Hunter</w:t>
      </w:r>
      <w:r w:rsidRPr="00952A84">
        <w:rPr>
          <w:shd w:val="clear" w:color="auto" w:fill="FFFFFF"/>
        </w:rPr>
        <w:t xml:space="preserve"> region</w:t>
      </w:r>
      <w:r w:rsidR="002E7331" w:rsidRPr="00952A84">
        <w:rPr>
          <w:shd w:val="clear" w:color="auto" w:fill="FFFFFF"/>
        </w:rPr>
        <w:t xml:space="preserve"> and m</w:t>
      </w:r>
      <w:r w:rsidRPr="00952A84">
        <w:rPr>
          <w:shd w:val="clear" w:color="auto" w:fill="FFFFFF"/>
        </w:rPr>
        <w:t xml:space="preserve">any </w:t>
      </w:r>
      <w:r w:rsidR="002E7331" w:rsidRPr="00952A84">
        <w:rPr>
          <w:shd w:val="clear" w:color="auto" w:fill="FFFFFF"/>
        </w:rPr>
        <w:t>of the towns</w:t>
      </w:r>
      <w:r w:rsidRPr="00952A84">
        <w:rPr>
          <w:shd w:val="clear" w:color="auto" w:fill="FFFFFF"/>
        </w:rPr>
        <w:t xml:space="preserve"> originally developed to support the fishing </w:t>
      </w:r>
      <w:r w:rsidR="002B240E" w:rsidRPr="00952A84">
        <w:rPr>
          <w:shd w:val="clear" w:color="auto" w:fill="FFFFFF"/>
        </w:rPr>
        <w:t>industry in the area</w:t>
      </w:r>
      <w:r w:rsidRPr="00952A84">
        <w:rPr>
          <w:shd w:val="clear" w:color="auto" w:fill="FFFFFF"/>
        </w:rPr>
        <w:t>.</w:t>
      </w:r>
      <w:r w:rsidR="007B6494" w:rsidRPr="00952A84">
        <w:rPr>
          <w:shd w:val="clear" w:color="auto" w:fill="FFFFFF"/>
        </w:rPr>
        <w:t xml:space="preserve"> Commercial</w:t>
      </w:r>
      <w:r w:rsidRPr="00952A84">
        <w:rPr>
          <w:shd w:val="clear" w:color="auto" w:fill="FFFFFF"/>
        </w:rPr>
        <w:t xml:space="preserve"> fishers </w:t>
      </w:r>
      <w:r w:rsidR="007B6494" w:rsidRPr="00952A84">
        <w:rPr>
          <w:shd w:val="clear" w:color="auto" w:fill="FFFFFF"/>
        </w:rPr>
        <w:t>in the region</w:t>
      </w:r>
      <w:r w:rsidRPr="00952A84">
        <w:rPr>
          <w:shd w:val="clear" w:color="auto" w:fill="FFFFFF"/>
        </w:rPr>
        <w:t xml:space="preserve"> operate under a range of </w:t>
      </w:r>
      <w:r w:rsidR="0095054C" w:rsidRPr="00952A84">
        <w:rPr>
          <w:shd w:val="clear" w:color="auto" w:fill="FFFFFF"/>
        </w:rPr>
        <w:t>licensing systems</w:t>
      </w:r>
      <w:r w:rsidR="007B6494" w:rsidRPr="00952A84">
        <w:rPr>
          <w:shd w:val="clear" w:color="auto" w:fill="FFFFFF"/>
        </w:rPr>
        <w:t xml:space="preserve">, with many </w:t>
      </w:r>
      <w:r w:rsidRPr="00952A84">
        <w:rPr>
          <w:shd w:val="clear" w:color="auto" w:fill="FFFFFF"/>
        </w:rPr>
        <w:t>hold</w:t>
      </w:r>
      <w:r w:rsidR="009C6A30" w:rsidRPr="00952A84">
        <w:rPr>
          <w:shd w:val="clear" w:color="auto" w:fill="FFFFFF"/>
        </w:rPr>
        <w:t>ing</w:t>
      </w:r>
      <w:r w:rsidRPr="00952A84">
        <w:rPr>
          <w:shd w:val="clear" w:color="auto" w:fill="FFFFFF"/>
        </w:rPr>
        <w:t xml:space="preserve"> licences to fish in fisheries managed by </w:t>
      </w:r>
      <w:r w:rsidR="00512F78">
        <w:rPr>
          <w:shd w:val="clear" w:color="auto" w:fill="FFFFFF"/>
        </w:rPr>
        <w:t>NSW</w:t>
      </w:r>
      <w:r w:rsidR="00512F78" w:rsidRPr="00952A84">
        <w:rPr>
          <w:shd w:val="clear" w:color="auto" w:fill="FFFFFF"/>
        </w:rPr>
        <w:t xml:space="preserve"> </w:t>
      </w:r>
      <w:r w:rsidRPr="00952A84">
        <w:rPr>
          <w:shd w:val="clear" w:color="auto" w:fill="FFFFFF"/>
        </w:rPr>
        <w:t xml:space="preserve">and Commonwealth </w:t>
      </w:r>
      <w:r w:rsidR="001E1BD0">
        <w:rPr>
          <w:shd w:val="clear" w:color="auto" w:fill="FFFFFF"/>
        </w:rPr>
        <w:t>agencies</w:t>
      </w:r>
      <w:r w:rsidRPr="00952A84">
        <w:rPr>
          <w:shd w:val="clear" w:color="auto" w:fill="FFFFFF"/>
        </w:rPr>
        <w:t xml:space="preserve">. </w:t>
      </w:r>
      <w:proofErr w:type="gramStart"/>
      <w:r w:rsidR="00713DA4" w:rsidRPr="00952A84">
        <w:rPr>
          <w:shd w:val="clear" w:color="auto" w:fill="FFFFFF"/>
        </w:rPr>
        <w:t>A</w:t>
      </w:r>
      <w:r w:rsidR="00CC4C66" w:rsidRPr="00952A84">
        <w:rPr>
          <w:shd w:val="clear" w:color="auto" w:fill="FFFFFF"/>
        </w:rPr>
        <w:t xml:space="preserve"> number of</w:t>
      </w:r>
      <w:proofErr w:type="gramEnd"/>
      <w:r w:rsidR="00CC4C66" w:rsidRPr="00952A84">
        <w:rPr>
          <w:shd w:val="clear" w:color="auto" w:fill="FFFFFF"/>
        </w:rPr>
        <w:t xml:space="preserve"> Commonwealth fisheries </w:t>
      </w:r>
      <w:r w:rsidR="00713DA4" w:rsidRPr="00952A84">
        <w:rPr>
          <w:shd w:val="clear" w:color="auto" w:fill="FFFFFF"/>
        </w:rPr>
        <w:t xml:space="preserve">are located </w:t>
      </w:r>
      <w:r w:rsidR="00CC4C66" w:rsidRPr="00952A84">
        <w:rPr>
          <w:shd w:val="clear" w:color="auto" w:fill="FFFFFF"/>
        </w:rPr>
        <w:t xml:space="preserve">within the </w:t>
      </w:r>
      <w:r w:rsidR="00742C74" w:rsidRPr="00952A84">
        <w:rPr>
          <w:shd w:val="clear" w:color="auto" w:fill="FFFFFF"/>
        </w:rPr>
        <w:t>area</w:t>
      </w:r>
      <w:r w:rsidR="00713DA4" w:rsidRPr="00952A84">
        <w:rPr>
          <w:shd w:val="clear" w:color="auto" w:fill="FFFFFF"/>
        </w:rPr>
        <w:t xml:space="preserve">, including </w:t>
      </w:r>
      <w:r w:rsidR="00CC4C66" w:rsidRPr="00952A84">
        <w:rPr>
          <w:shd w:val="clear" w:color="auto" w:fill="FFFFFF"/>
        </w:rPr>
        <w:t>the</w:t>
      </w:r>
      <w:r w:rsidR="00B61C29" w:rsidRPr="00952A84">
        <w:rPr>
          <w:shd w:val="clear" w:color="auto" w:fill="FFFFFF"/>
        </w:rPr>
        <w:t xml:space="preserve"> </w:t>
      </w:r>
      <w:r w:rsidR="00386057" w:rsidRPr="00952A84">
        <w:rPr>
          <w:shd w:val="clear" w:color="auto" w:fill="FFFFFF"/>
        </w:rPr>
        <w:t>Eastern Tuna and Billfish Fishery, and the Small Pelagic Fishery.</w:t>
      </w:r>
      <w:r w:rsidR="00E6496B" w:rsidRPr="00952A84">
        <w:rPr>
          <w:shd w:val="clear" w:color="auto" w:fill="FFFFFF"/>
        </w:rPr>
        <w:t xml:space="preserve"> </w:t>
      </w:r>
      <w:r w:rsidR="00AD4AC1">
        <w:rPr>
          <w:shd w:val="clear" w:color="auto" w:fill="FFFFFF"/>
        </w:rPr>
        <w:t>The proposed area also contains a lobster, ocean trap and line, and ocea</w:t>
      </w:r>
      <w:r w:rsidR="00186E79">
        <w:rPr>
          <w:shd w:val="clear" w:color="auto" w:fill="FFFFFF"/>
        </w:rPr>
        <w:t>n trawl fishery, utilised by 40 </w:t>
      </w:r>
      <w:r w:rsidR="00AD4AC1">
        <w:rPr>
          <w:shd w:val="clear" w:color="auto" w:fill="FFFFFF"/>
        </w:rPr>
        <w:t xml:space="preserve">fishing businesses, and managed by the NSW government. </w:t>
      </w:r>
      <w:r w:rsidR="00E6496B" w:rsidRPr="00952A84">
        <w:rPr>
          <w:shd w:val="clear" w:color="auto" w:fill="FFFFFF"/>
        </w:rPr>
        <w:t>The Hunter coastline</w:t>
      </w:r>
      <w:r w:rsidR="007A3F9C" w:rsidRPr="00952A84">
        <w:rPr>
          <w:shd w:val="clear" w:color="auto" w:fill="FFFFFF"/>
        </w:rPr>
        <w:t xml:space="preserve"> also</w:t>
      </w:r>
      <w:r w:rsidR="00E6496B" w:rsidRPr="00952A84">
        <w:rPr>
          <w:shd w:val="clear" w:color="auto" w:fill="FFFFFF"/>
        </w:rPr>
        <w:t xml:space="preserve"> offers extensive recreational fishing opportunities which are enjoyed by </w:t>
      </w:r>
      <w:r w:rsidR="00B041F4" w:rsidRPr="00952A84">
        <w:rPr>
          <w:shd w:val="clear" w:color="auto" w:fill="FFFFFF"/>
        </w:rPr>
        <w:t>over a</w:t>
      </w:r>
      <w:r w:rsidR="00E6496B" w:rsidRPr="00952A84">
        <w:rPr>
          <w:shd w:val="clear" w:color="auto" w:fill="FFFFFF"/>
        </w:rPr>
        <w:t xml:space="preserve"> million anglers every year.</w:t>
      </w:r>
      <w:r w:rsidR="00CC4C66" w:rsidRPr="00952A84">
        <w:rPr>
          <w:shd w:val="clear" w:color="auto" w:fill="FFFFFF"/>
        </w:rPr>
        <w:t xml:space="preserve"> </w:t>
      </w:r>
    </w:p>
    <w:p w14:paraId="6C21CD6A" w14:textId="43553C65" w:rsidR="00CC4C66" w:rsidRPr="005B6395" w:rsidRDefault="007A3F9C" w:rsidP="00323FEE">
      <w:pPr>
        <w:spacing w:line="276" w:lineRule="auto"/>
        <w:rPr>
          <w:rFonts w:cstheme="minorHAnsi"/>
          <w:shd w:val="clear" w:color="auto" w:fill="FFFFFF"/>
        </w:rPr>
      </w:pPr>
      <w:r w:rsidRPr="007A3F9C">
        <w:rPr>
          <w:rFonts w:cstheme="minorHAnsi"/>
          <w:shd w:val="clear" w:color="auto" w:fill="FFFFFF"/>
        </w:rPr>
        <w:lastRenderedPageBreak/>
        <w:t>The interaction of offshore wind on recreational fishing has been examined overseas. Evidence from overseas, where offshore renewable energy projects have existed for many years, suggests that offshore wind and fishing can, in many cases, share the same space. The in</w:t>
      </w:r>
      <w:r w:rsidR="00A465E6">
        <w:rPr>
          <w:rFonts w:cstheme="minorHAnsi"/>
          <w:shd w:val="clear" w:color="auto" w:fill="FFFFFF"/>
        </w:rPr>
        <w:t xml:space="preserve">stallation of wind turbines may </w:t>
      </w:r>
      <w:r w:rsidRPr="007A3F9C">
        <w:rPr>
          <w:rFonts w:cstheme="minorHAnsi"/>
          <w:shd w:val="clear" w:color="auto" w:fill="FFFFFF"/>
        </w:rPr>
        <w:t>have long term local benefits as turbines may function as nurseries, potentially increasing fish stocks in surrounding areas.</w:t>
      </w:r>
    </w:p>
    <w:p w14:paraId="38FA6237" w14:textId="15807CFB" w:rsidR="007A3F9C" w:rsidRDefault="00DF00BE" w:rsidP="00AD13B6">
      <w:pPr>
        <w:spacing w:line="276" w:lineRule="auto"/>
      </w:pPr>
      <w:r>
        <w:rPr>
          <w:shd w:val="clear" w:color="auto" w:fill="FFFFFF"/>
        </w:rPr>
        <w:t>I</w:t>
      </w:r>
      <w:r w:rsidR="00323FEE" w:rsidRPr="00323FEE">
        <w:rPr>
          <w:shd w:val="clear" w:color="auto" w:fill="FFFFFF"/>
        </w:rPr>
        <w:t xml:space="preserve">n </w:t>
      </w:r>
      <w:r w:rsidR="0095054C">
        <w:rPr>
          <w:shd w:val="clear" w:color="auto" w:fill="FFFFFF"/>
        </w:rPr>
        <w:t>most</w:t>
      </w:r>
      <w:r w:rsidR="00323FEE" w:rsidRPr="00323FEE">
        <w:rPr>
          <w:shd w:val="clear" w:color="auto" w:fill="FFFFFF"/>
        </w:rPr>
        <w:t xml:space="preserve"> cases</w:t>
      </w:r>
      <w:r>
        <w:rPr>
          <w:shd w:val="clear" w:color="auto" w:fill="FFFFFF"/>
        </w:rPr>
        <w:t xml:space="preserve">, </w:t>
      </w:r>
      <w:r w:rsidR="00E84D01">
        <w:rPr>
          <w:shd w:val="clear" w:color="auto" w:fill="FFFFFF"/>
        </w:rPr>
        <w:t>commercial</w:t>
      </w:r>
      <w:r w:rsidR="007A3F9C">
        <w:rPr>
          <w:shd w:val="clear" w:color="auto" w:fill="FFFFFF"/>
        </w:rPr>
        <w:t xml:space="preserve"> and recreational</w:t>
      </w:r>
      <w:r w:rsidR="00E84D01">
        <w:rPr>
          <w:shd w:val="clear" w:color="auto" w:fill="FFFFFF"/>
        </w:rPr>
        <w:t xml:space="preserve"> </w:t>
      </w:r>
      <w:r>
        <w:rPr>
          <w:shd w:val="clear" w:color="auto" w:fill="FFFFFF"/>
        </w:rPr>
        <w:t>fishing activities</w:t>
      </w:r>
      <w:r w:rsidR="00323FEE" w:rsidRPr="00323FEE">
        <w:rPr>
          <w:shd w:val="clear" w:color="auto" w:fill="FFFFFF"/>
        </w:rPr>
        <w:t xml:space="preserve"> will be able to share the space with </w:t>
      </w:r>
      <w:r w:rsidR="00547CF4">
        <w:rPr>
          <w:shd w:val="clear" w:color="auto" w:fill="FFFFFF"/>
        </w:rPr>
        <w:t xml:space="preserve">future </w:t>
      </w:r>
      <w:r w:rsidR="00323FEE" w:rsidRPr="00323FEE">
        <w:rPr>
          <w:shd w:val="clear" w:color="auto" w:fill="FFFFFF"/>
        </w:rPr>
        <w:t>offshore renewable energy projects</w:t>
      </w:r>
      <w:r w:rsidR="00312CA4">
        <w:rPr>
          <w:shd w:val="clear" w:color="auto" w:fill="FFFFFF"/>
        </w:rPr>
        <w:t xml:space="preserve">. </w:t>
      </w:r>
      <w:r>
        <w:rPr>
          <w:shd w:val="clear" w:color="auto" w:fill="FFFFFF"/>
        </w:rPr>
        <w:t>However, the construction and operation of r</w:t>
      </w:r>
      <w:r w:rsidR="00547CF4">
        <w:rPr>
          <w:shd w:val="clear" w:color="auto" w:fill="FFFFFF"/>
        </w:rPr>
        <w:t xml:space="preserve">enewable energy projects in </w:t>
      </w:r>
      <w:r>
        <w:rPr>
          <w:shd w:val="clear" w:color="auto" w:fill="FFFFFF"/>
        </w:rPr>
        <w:t>the</w:t>
      </w:r>
      <w:r w:rsidR="00547CF4">
        <w:rPr>
          <w:shd w:val="clear" w:color="auto" w:fill="FFFFFF"/>
        </w:rPr>
        <w:t xml:space="preserve"> </w:t>
      </w:r>
      <w:r w:rsidR="000B0D7A">
        <w:rPr>
          <w:shd w:val="clear" w:color="auto" w:fill="FFFFFF"/>
        </w:rPr>
        <w:t xml:space="preserve">ocean </w:t>
      </w:r>
      <w:r>
        <w:rPr>
          <w:shd w:val="clear" w:color="auto" w:fill="FFFFFF"/>
        </w:rPr>
        <w:t>is a</w:t>
      </w:r>
      <w:r w:rsidR="00547CF4">
        <w:rPr>
          <w:shd w:val="clear" w:color="auto" w:fill="FFFFFF"/>
        </w:rPr>
        <w:t xml:space="preserve"> relatively new concept </w:t>
      </w:r>
      <w:r w:rsidR="000B0D7A">
        <w:rPr>
          <w:shd w:val="clear" w:color="auto" w:fill="FFFFFF"/>
        </w:rPr>
        <w:t>in Australia</w:t>
      </w:r>
      <w:r w:rsidR="00547CF4">
        <w:rPr>
          <w:shd w:val="clear" w:color="auto" w:fill="FFFFFF"/>
        </w:rPr>
        <w:t xml:space="preserve"> and there is further work</w:t>
      </w:r>
      <w:r w:rsidR="0095054C">
        <w:rPr>
          <w:shd w:val="clear" w:color="auto" w:fill="FFFFFF"/>
        </w:rPr>
        <w:t xml:space="preserve"> required</w:t>
      </w:r>
      <w:r w:rsidR="00547CF4">
        <w:rPr>
          <w:shd w:val="clear" w:color="auto" w:fill="FFFFFF"/>
        </w:rPr>
        <w:t xml:space="preserve"> to understand what arrangements </w:t>
      </w:r>
      <w:r w:rsidR="000B0D7A">
        <w:rPr>
          <w:shd w:val="clear" w:color="auto" w:fill="FFFFFF"/>
        </w:rPr>
        <w:t>may</w:t>
      </w:r>
      <w:r w:rsidR="00547CF4">
        <w:rPr>
          <w:shd w:val="clear" w:color="auto" w:fill="FFFFFF"/>
        </w:rPr>
        <w:t xml:space="preserve"> be needed </w:t>
      </w:r>
      <w:r w:rsidR="00786CE4">
        <w:rPr>
          <w:shd w:val="clear" w:color="auto" w:fill="FFFFFF"/>
        </w:rPr>
        <w:t>for</w:t>
      </w:r>
      <w:r w:rsidR="00547CF4">
        <w:rPr>
          <w:shd w:val="clear" w:color="auto" w:fill="FFFFFF"/>
        </w:rPr>
        <w:t xml:space="preserve"> fishing </w:t>
      </w:r>
      <w:r>
        <w:rPr>
          <w:shd w:val="clear" w:color="auto" w:fill="FFFFFF"/>
        </w:rPr>
        <w:t>activities</w:t>
      </w:r>
      <w:r w:rsidR="00AD13B6">
        <w:rPr>
          <w:shd w:val="clear" w:color="auto" w:fill="FFFFFF"/>
        </w:rPr>
        <w:t xml:space="preserve"> and these projects </w:t>
      </w:r>
      <w:r w:rsidR="00547CF4">
        <w:rPr>
          <w:shd w:val="clear" w:color="auto" w:fill="FFFFFF"/>
        </w:rPr>
        <w:t>to</w:t>
      </w:r>
      <w:r>
        <w:rPr>
          <w:shd w:val="clear" w:color="auto" w:fill="FFFFFF"/>
        </w:rPr>
        <w:t xml:space="preserve"> share</w:t>
      </w:r>
      <w:r w:rsidR="007F2CA2">
        <w:rPr>
          <w:shd w:val="clear" w:color="auto" w:fill="FFFFFF"/>
        </w:rPr>
        <w:t xml:space="preserve"> the same areas</w:t>
      </w:r>
      <w:r w:rsidR="00547CF4">
        <w:rPr>
          <w:shd w:val="clear" w:color="auto" w:fill="FFFFFF"/>
        </w:rPr>
        <w:t>.</w:t>
      </w:r>
      <w:r w:rsidR="00AD13B6">
        <w:rPr>
          <w:shd w:val="clear" w:color="auto" w:fill="FFFFFF"/>
        </w:rPr>
        <w:t xml:space="preserve"> </w:t>
      </w:r>
      <w:r>
        <w:rPr>
          <w:b/>
        </w:rPr>
        <w:t>D</w:t>
      </w:r>
      <w:r w:rsidRPr="00E22F45">
        <w:rPr>
          <w:b/>
        </w:rPr>
        <w:t>evelopers will need to undertake consultation with the local community</w:t>
      </w:r>
      <w:r>
        <w:t xml:space="preserve"> </w:t>
      </w:r>
      <w:r w:rsidRPr="00E22F45">
        <w:rPr>
          <w:b/>
        </w:rPr>
        <w:t>and demonstrate how they will share the area with other users</w:t>
      </w:r>
      <w:r>
        <w:t xml:space="preserve"> and will also need to have a plan for gathering and responding to ongoing feedback from stakeholders throughout the life of the project. </w:t>
      </w:r>
    </w:p>
    <w:p w14:paraId="1E5B895E" w14:textId="4B633FD5" w:rsidR="0095054C" w:rsidRDefault="0095054C" w:rsidP="0095054C">
      <w:pPr>
        <w:shd w:val="clear" w:color="auto" w:fill="FFFFFF" w:themeFill="background1"/>
        <w:spacing w:after="120" w:line="276" w:lineRule="auto"/>
      </w:pPr>
      <w:r w:rsidRPr="003C58D3">
        <w:t xml:space="preserve">There may be </w:t>
      </w:r>
      <w:r w:rsidR="00F81931">
        <w:t>small, restricted</w:t>
      </w:r>
      <w:r w:rsidRPr="003C58D3">
        <w:t xml:space="preserve"> areas around offshore renewable turbines and substations, as with other marine infrastructure such as navigation buoys and oil and gas platforms</w:t>
      </w:r>
      <w:r>
        <w:t xml:space="preserve">. These restricted areas are </w:t>
      </w:r>
      <w:r>
        <w:rPr>
          <w:color w:val="000000"/>
          <w:shd w:val="clear" w:color="auto" w:fill="FFFFFF"/>
        </w:rPr>
        <w:t xml:space="preserve">to ensure the safety of offshore workers and other users of the marine environment, and to protect the infrastructure from damage. </w:t>
      </w:r>
      <w:r w:rsidRPr="003C58D3">
        <w:rPr>
          <w:color w:val="000000"/>
          <w:shd w:val="clear" w:color="auto" w:fill="FFFFFF"/>
        </w:rPr>
        <w:t>There may be larger restricted areas while any approved offshore wind projects are under construction to ensure safety for marine users and construction workers.</w:t>
      </w:r>
      <w:r>
        <w:rPr>
          <w:color w:val="000000"/>
          <w:shd w:val="clear" w:color="auto" w:fill="FFFFFF"/>
        </w:rPr>
        <w:t xml:space="preserve"> </w:t>
      </w:r>
      <w:r>
        <w:t xml:space="preserve">The exact details of these restricted areas will be determined on a project-by-project basis. </w:t>
      </w:r>
    </w:p>
    <w:p w14:paraId="604E005A" w14:textId="77777777" w:rsidR="00C3196F" w:rsidRPr="00850259" w:rsidRDefault="00C3196F" w:rsidP="002A0984">
      <w:pPr>
        <w:pStyle w:val="Heading3"/>
        <w:spacing w:before="200"/>
        <w:rPr>
          <w:sz w:val="26"/>
          <w:szCs w:val="26"/>
        </w:rPr>
      </w:pPr>
      <w:r w:rsidRPr="005B6395">
        <w:rPr>
          <w:sz w:val="26"/>
          <w:szCs w:val="26"/>
        </w:rPr>
        <w:t>Existing Titles and Infrastructure</w:t>
      </w:r>
    </w:p>
    <w:p w14:paraId="4F064B42" w14:textId="11B098CD" w:rsidR="003F02B0" w:rsidRPr="00323FEE" w:rsidRDefault="003F02B0" w:rsidP="00323FEE">
      <w:pPr>
        <w:spacing w:line="276" w:lineRule="auto"/>
      </w:pPr>
      <w:r w:rsidRPr="00323FEE">
        <w:t xml:space="preserve">The </w:t>
      </w:r>
      <w:r w:rsidR="007E74DE">
        <w:t>Hunter</w:t>
      </w:r>
      <w:r w:rsidR="007E74DE" w:rsidRPr="00323FEE">
        <w:t xml:space="preserve"> </w:t>
      </w:r>
      <w:r w:rsidRPr="00323FEE">
        <w:t xml:space="preserve">region has </w:t>
      </w:r>
      <w:r w:rsidR="002B65BE" w:rsidRPr="00323FEE">
        <w:t xml:space="preserve">a </w:t>
      </w:r>
      <w:r w:rsidRPr="00323FEE">
        <w:t>significant association with coal mining and electricity generation, which has been</w:t>
      </w:r>
      <w:r w:rsidR="00844E27">
        <w:t>,</w:t>
      </w:r>
      <w:r w:rsidRPr="00323FEE">
        <w:t xml:space="preserve"> and remains</w:t>
      </w:r>
      <w:r w:rsidR="00844E27">
        <w:t>,</w:t>
      </w:r>
      <w:r w:rsidRPr="00323FEE">
        <w:t xml:space="preserve"> a large part of the region’s economy and employment. </w:t>
      </w:r>
      <w:r w:rsidR="00CD3649">
        <w:t>O</w:t>
      </w:r>
      <w:r w:rsidRPr="00323FEE">
        <w:t xml:space="preserve">ffshore resource extraction </w:t>
      </w:r>
      <w:r w:rsidR="00CD3649">
        <w:t xml:space="preserve">also </w:t>
      </w:r>
      <w:r w:rsidRPr="00323FEE">
        <w:t>has a significant</w:t>
      </w:r>
      <w:r w:rsidR="002B65BE" w:rsidRPr="00323FEE">
        <w:t xml:space="preserve"> presence in the area off</w:t>
      </w:r>
      <w:r w:rsidRPr="00323FEE">
        <w:t xml:space="preserve"> </w:t>
      </w:r>
      <w:r w:rsidR="007E74DE">
        <w:t>the Hunter region</w:t>
      </w:r>
      <w:r w:rsidRPr="00323FEE">
        <w:t xml:space="preserve">. </w:t>
      </w:r>
    </w:p>
    <w:p w14:paraId="211293AD" w14:textId="27B9ED55" w:rsidR="009C6A30" w:rsidRDefault="00C3196F" w:rsidP="00323FEE">
      <w:pPr>
        <w:spacing w:line="276" w:lineRule="auto"/>
      </w:pPr>
      <w:r w:rsidRPr="00850259">
        <w:t xml:space="preserve">There </w:t>
      </w:r>
      <w:r w:rsidR="0078732D" w:rsidRPr="005B6395">
        <w:t>is currently one exploratory</w:t>
      </w:r>
      <w:r w:rsidR="000C335E">
        <w:t xml:space="preserve"> </w:t>
      </w:r>
      <w:r w:rsidR="00B41C40">
        <w:t>gas and oil</w:t>
      </w:r>
      <w:r w:rsidR="0078732D" w:rsidRPr="005B6395">
        <w:t xml:space="preserve"> well within the proposed area. The location of this well should be considered by proponents when defining an area </w:t>
      </w:r>
      <w:r w:rsidR="006D0574" w:rsidRPr="005B6395">
        <w:t xml:space="preserve">for </w:t>
      </w:r>
      <w:r w:rsidR="001E1BD0">
        <w:t xml:space="preserve">an </w:t>
      </w:r>
      <w:r w:rsidR="006D0574" w:rsidRPr="005B6395">
        <w:t>offshore electricity infrastructure licence.</w:t>
      </w:r>
      <w:r w:rsidRPr="00850259">
        <w:t xml:space="preserve"> </w:t>
      </w:r>
      <w:r w:rsidR="006D0574" w:rsidRPr="005B6395">
        <w:t>T</w:t>
      </w:r>
      <w:r w:rsidRPr="00850259">
        <w:t xml:space="preserve">he </w:t>
      </w:r>
      <w:hyperlink r:id="rId13" w:history="1">
        <w:r w:rsidRPr="00850259">
          <w:rPr>
            <w:rStyle w:val="Hyperlink"/>
            <w:i/>
          </w:rPr>
          <w:t>Offshore Petroleum and Greenhouse Gas Storage Act 2006</w:t>
        </w:r>
      </w:hyperlink>
      <w:r w:rsidRPr="00850259">
        <w:rPr>
          <w:i/>
        </w:rPr>
        <w:t xml:space="preserve"> </w:t>
      </w:r>
      <w:r w:rsidRPr="00850259">
        <w:t xml:space="preserve">(OPGGS Act) </w:t>
      </w:r>
      <w:r w:rsidR="006D0574" w:rsidRPr="005B6395">
        <w:t>contains provisions requiring the titleholder or licence holder to consider other users when conducting activities, and not interfere to a greater extent than is necessary for the reasonable exercise of rights and obligations of the</w:t>
      </w:r>
      <w:r w:rsidR="006D0574">
        <w:t xml:space="preserve"> licence/title holder</w:t>
      </w:r>
      <w:r w:rsidR="006D0574" w:rsidRPr="005B6395">
        <w:t>.</w:t>
      </w:r>
    </w:p>
    <w:p w14:paraId="2B706333" w14:textId="5CBD38F5" w:rsidR="00C3196F" w:rsidRDefault="001E1BD0" w:rsidP="00323FEE">
      <w:pPr>
        <w:spacing w:line="276" w:lineRule="auto"/>
      </w:pPr>
      <w:r>
        <w:t>There are s</w:t>
      </w:r>
      <w:r w:rsidRPr="00323FEE">
        <w:t>everal subsea cables</w:t>
      </w:r>
      <w:r>
        <w:t xml:space="preserve"> which</w:t>
      </w:r>
      <w:r w:rsidRPr="00323FEE">
        <w:t xml:space="preserve"> </w:t>
      </w:r>
      <w:r>
        <w:t xml:space="preserve">pass around the proposed area, although </w:t>
      </w:r>
      <w:r w:rsidR="00B41C40">
        <w:t xml:space="preserve">none directly </w:t>
      </w:r>
      <w:r w:rsidR="002A0984">
        <w:br/>
      </w:r>
      <w:r w:rsidR="00B41C40">
        <w:t>within it</w:t>
      </w:r>
      <w:r w:rsidR="0081656A" w:rsidRPr="00323FEE">
        <w:t xml:space="preserve">. </w:t>
      </w:r>
    </w:p>
    <w:p w14:paraId="765A7B88" w14:textId="7B021064" w:rsidR="00CA020E" w:rsidRPr="00323FEE" w:rsidRDefault="00CA020E" w:rsidP="00CA020E">
      <w:pPr>
        <w:spacing w:line="276" w:lineRule="auto"/>
        <w:rPr>
          <w:shd w:val="clear" w:color="auto" w:fill="FFFFFF"/>
        </w:rPr>
      </w:pPr>
      <w:r w:rsidRPr="00CA020E">
        <w:rPr>
          <w:shd w:val="clear" w:color="auto" w:fill="FFFFFF"/>
        </w:rPr>
        <w:t xml:space="preserve">Crown Lands licences </w:t>
      </w:r>
      <w:proofErr w:type="gramStart"/>
      <w:r w:rsidRPr="00CA020E">
        <w:rPr>
          <w:shd w:val="clear" w:color="auto" w:fill="FFFFFF"/>
        </w:rPr>
        <w:t>a number of</w:t>
      </w:r>
      <w:proofErr w:type="gramEnd"/>
      <w:r w:rsidRPr="00CA020E">
        <w:rPr>
          <w:shd w:val="clear" w:color="auto" w:fill="FFFFFF"/>
        </w:rPr>
        <w:t xml:space="preserve"> existing dredging </w:t>
      </w:r>
      <w:r w:rsidR="001E1BD0">
        <w:rPr>
          <w:shd w:val="clear" w:color="auto" w:fill="FFFFFF"/>
        </w:rPr>
        <w:t xml:space="preserve">operations </w:t>
      </w:r>
      <w:r w:rsidRPr="00CA020E">
        <w:rPr>
          <w:shd w:val="clear" w:color="auto" w:fill="FFFFFF"/>
        </w:rPr>
        <w:t>within the investigation area</w:t>
      </w:r>
      <w:r w:rsidR="001E1BD0">
        <w:rPr>
          <w:shd w:val="clear" w:color="auto" w:fill="FFFFFF"/>
        </w:rPr>
        <w:t>,</w:t>
      </w:r>
      <w:r w:rsidRPr="00CA020E">
        <w:rPr>
          <w:shd w:val="clear" w:color="auto" w:fill="FFFFFF"/>
        </w:rPr>
        <w:t xml:space="preserve"> which aim to facilitate safe navigation and/or beach nourishment</w:t>
      </w:r>
      <w:r>
        <w:rPr>
          <w:shd w:val="clear" w:color="auto" w:fill="FFFFFF"/>
        </w:rPr>
        <w:t>.</w:t>
      </w:r>
      <w:r w:rsidRPr="00CA020E">
        <w:rPr>
          <w:shd w:val="clear" w:color="auto" w:fill="FFFFFF"/>
        </w:rPr>
        <w:t xml:space="preserve"> </w:t>
      </w:r>
      <w:r>
        <w:rPr>
          <w:shd w:val="clear" w:color="auto" w:fill="FFFFFF"/>
        </w:rPr>
        <w:t xml:space="preserve">The </w:t>
      </w:r>
      <w:r w:rsidRPr="00CA020E">
        <w:rPr>
          <w:shd w:val="clear" w:color="auto" w:fill="FFFFFF"/>
        </w:rPr>
        <w:t xml:space="preserve">location of potential offshore sand deposits and nourishment deposition areas being investigated for future sand nourishment </w:t>
      </w:r>
      <w:r w:rsidR="001E1BD0">
        <w:rPr>
          <w:shd w:val="clear" w:color="auto" w:fill="FFFFFF"/>
        </w:rPr>
        <w:t xml:space="preserve">operations </w:t>
      </w:r>
      <w:r>
        <w:rPr>
          <w:shd w:val="clear" w:color="auto" w:fill="FFFFFF"/>
        </w:rPr>
        <w:t>should be taken into consideration during consultation.</w:t>
      </w:r>
    </w:p>
    <w:p w14:paraId="119A6197" w14:textId="1932F46E" w:rsidR="00C3196F" w:rsidRPr="00323FEE" w:rsidRDefault="00C3196F" w:rsidP="00323FEE">
      <w:pPr>
        <w:spacing w:line="276" w:lineRule="auto"/>
      </w:pPr>
      <w:r w:rsidRPr="00323FEE">
        <w:t>Holders of existing titles</w:t>
      </w:r>
      <w:r w:rsidR="00370265">
        <w:t>,</w:t>
      </w:r>
      <w:r w:rsidRPr="00323FEE">
        <w:t xml:space="preserve"> and owners of existing infrastructure, including subsea cables, </w:t>
      </w:r>
      <w:r w:rsidR="00DF5882">
        <w:t>will continue to have</w:t>
      </w:r>
      <w:r w:rsidRPr="00323FEE">
        <w:t xml:space="preserve"> established legal rights within the area of their titles and in relation to their </w:t>
      </w:r>
      <w:r w:rsidR="001A2697" w:rsidRPr="00323FEE">
        <w:t>infrastructure</w:t>
      </w:r>
      <w:r w:rsidRPr="00323FEE">
        <w:t>. This may include rights to explore</w:t>
      </w:r>
      <w:r w:rsidR="002928B7" w:rsidRPr="00323FEE">
        <w:t xml:space="preserve"> or produce</w:t>
      </w:r>
      <w:r w:rsidRPr="00323FEE">
        <w:t xml:space="preserve">, and rights of access to </w:t>
      </w:r>
      <w:r w:rsidR="00370E3E">
        <w:t>inspect, maintain</w:t>
      </w:r>
      <w:r w:rsidRPr="00323FEE">
        <w:t xml:space="preserve"> and repair </w:t>
      </w:r>
      <w:r w:rsidR="00370E3E">
        <w:t>their</w:t>
      </w:r>
      <w:r w:rsidRPr="00323FEE">
        <w:t xml:space="preserve"> infrastructure</w:t>
      </w:r>
      <w:r w:rsidR="009674D4" w:rsidRPr="00323FEE">
        <w:t xml:space="preserve">. </w:t>
      </w:r>
      <w:r w:rsidR="00CD3649">
        <w:t>There may be r</w:t>
      </w:r>
      <w:r w:rsidRPr="00323FEE">
        <w:t xml:space="preserve">egular vessel and helicopter movements </w:t>
      </w:r>
      <w:r w:rsidR="002C716C" w:rsidRPr="00323FEE">
        <w:t>in the area.</w:t>
      </w:r>
    </w:p>
    <w:p w14:paraId="5FCAC833" w14:textId="63575CD3" w:rsidR="00D50494" w:rsidRPr="00323FEE" w:rsidRDefault="00DF5882" w:rsidP="00323FEE">
      <w:pPr>
        <w:spacing w:line="276" w:lineRule="auto"/>
      </w:pPr>
      <w:r>
        <w:rPr>
          <w:b/>
        </w:rPr>
        <w:t>D</w:t>
      </w:r>
      <w:r w:rsidRPr="00E22F45">
        <w:rPr>
          <w:b/>
        </w:rPr>
        <w:t>evelopers will need to undertake consultation and demonstrate how they will share the area with other users</w:t>
      </w:r>
      <w:r>
        <w:t xml:space="preserve"> and will also need to have a plan for gathering and responding to ongoing feedback from stakeholders throughout the life of the project. </w:t>
      </w:r>
    </w:p>
    <w:p w14:paraId="250F7A45" w14:textId="77777777" w:rsidR="002A0984" w:rsidRDefault="002A0984">
      <w:pPr>
        <w:rPr>
          <w:rFonts w:asciiTheme="majorHAnsi" w:eastAsiaTheme="majorEastAsia" w:hAnsiTheme="majorHAnsi" w:cstheme="majorBidi"/>
          <w:color w:val="083A42" w:themeColor="text2"/>
          <w:sz w:val="26"/>
          <w:szCs w:val="26"/>
        </w:rPr>
      </w:pPr>
      <w:r>
        <w:rPr>
          <w:sz w:val="26"/>
          <w:szCs w:val="26"/>
        </w:rPr>
        <w:br w:type="page"/>
      </w:r>
    </w:p>
    <w:p w14:paraId="4B30F6DA" w14:textId="623EFA26" w:rsidR="000E307A" w:rsidRPr="001B0D73" w:rsidRDefault="000E307A" w:rsidP="002A0984">
      <w:pPr>
        <w:pStyle w:val="Heading3"/>
        <w:spacing w:before="200"/>
        <w:rPr>
          <w:sz w:val="26"/>
          <w:szCs w:val="26"/>
        </w:rPr>
      </w:pPr>
      <w:r w:rsidRPr="005B6395">
        <w:rPr>
          <w:sz w:val="26"/>
          <w:szCs w:val="26"/>
        </w:rPr>
        <w:lastRenderedPageBreak/>
        <w:t>Tourism</w:t>
      </w:r>
    </w:p>
    <w:p w14:paraId="022A85D9" w14:textId="7E54BC30" w:rsidR="00FF6BED" w:rsidRDefault="00024D66" w:rsidP="00323FEE">
      <w:pPr>
        <w:spacing w:line="276" w:lineRule="auto"/>
        <w:rPr>
          <w:shd w:val="clear" w:color="auto" w:fill="FFFFFF"/>
        </w:rPr>
      </w:pPr>
      <w:r w:rsidRPr="00FF6BED">
        <w:rPr>
          <w:shd w:val="clear" w:color="auto" w:fill="FFFFFF"/>
        </w:rPr>
        <w:t xml:space="preserve">Commonly known as </w:t>
      </w:r>
      <w:r>
        <w:rPr>
          <w:shd w:val="clear" w:color="auto" w:fill="FFFFFF"/>
        </w:rPr>
        <w:t>'Wine Country', t</w:t>
      </w:r>
      <w:r w:rsidRPr="00FF6BED">
        <w:rPr>
          <w:shd w:val="clear" w:color="auto" w:fill="FFFFFF"/>
        </w:rPr>
        <w:t>he Hunter Valley is a major tourist destination in New South Wales and is the 6th most visited place in Australia attracting more than 2.5 million people annually.</w:t>
      </w:r>
      <w:r w:rsidRPr="00952A84">
        <w:rPr>
          <w:shd w:val="clear" w:color="auto" w:fill="FFFFFF"/>
        </w:rPr>
        <w:t xml:space="preserve"> </w:t>
      </w:r>
      <w:r w:rsidR="00BC6FE3" w:rsidRPr="00952A84">
        <w:rPr>
          <w:shd w:val="clear" w:color="auto" w:fill="FFFFFF"/>
        </w:rPr>
        <w:t xml:space="preserve">The coastline and beaches are also a major tourist attraction. </w:t>
      </w:r>
      <w:r w:rsidR="00754C8D">
        <w:rPr>
          <w:shd w:val="clear" w:color="auto" w:fill="FFFFFF"/>
        </w:rPr>
        <w:t xml:space="preserve">Tourism generates approximately </w:t>
      </w:r>
      <w:r w:rsidR="00FF6BED" w:rsidRPr="00FF6BED">
        <w:rPr>
          <w:shd w:val="clear" w:color="auto" w:fill="FFFFFF"/>
        </w:rPr>
        <w:t>$1.928 billion in</w:t>
      </w:r>
      <w:r w:rsidR="00754C8D">
        <w:rPr>
          <w:shd w:val="clear" w:color="auto" w:fill="FFFFFF"/>
        </w:rPr>
        <w:t xml:space="preserve"> the</w:t>
      </w:r>
      <w:r w:rsidR="00FF6BED" w:rsidRPr="00FF6BED">
        <w:rPr>
          <w:shd w:val="clear" w:color="auto" w:fill="FFFFFF"/>
        </w:rPr>
        <w:t xml:space="preserve"> Hunter Region</w:t>
      </w:r>
      <w:r w:rsidR="00754C8D">
        <w:rPr>
          <w:shd w:val="clear" w:color="auto" w:fill="FFFFFF"/>
        </w:rPr>
        <w:t xml:space="preserve"> with an estimated 8.8 million nights spent by visitors in the region annually.</w:t>
      </w:r>
    </w:p>
    <w:p w14:paraId="50D84C87" w14:textId="1FC8ED42" w:rsidR="000E307A" w:rsidRPr="00952A84" w:rsidRDefault="00B00C08" w:rsidP="00323FEE">
      <w:pPr>
        <w:spacing w:line="276" w:lineRule="auto"/>
        <w:rPr>
          <w:shd w:val="clear" w:color="auto" w:fill="FFFFFF"/>
        </w:rPr>
      </w:pPr>
      <w:r>
        <w:rPr>
          <w:shd w:val="clear" w:color="auto" w:fill="FFFFFF"/>
        </w:rPr>
        <w:t>The construction and operation of renewable energy projects in the ocean is a relatively new concept in Australia. H</w:t>
      </w:r>
      <w:r w:rsidR="00D64162" w:rsidRPr="00323FEE">
        <w:rPr>
          <w:shd w:val="clear" w:color="auto" w:fill="FFFFFF"/>
        </w:rPr>
        <w:t>owever</w:t>
      </w:r>
      <w:r>
        <w:rPr>
          <w:shd w:val="clear" w:color="auto" w:fill="FFFFFF"/>
        </w:rPr>
        <w:t>,</w:t>
      </w:r>
      <w:r w:rsidR="00D64162" w:rsidRPr="00323FEE">
        <w:rPr>
          <w:shd w:val="clear" w:color="auto" w:fill="FFFFFF"/>
        </w:rPr>
        <w:t xml:space="preserve"> </w:t>
      </w:r>
      <w:r w:rsidR="005E5170" w:rsidRPr="00323FEE">
        <w:rPr>
          <w:shd w:val="clear" w:color="auto" w:fill="FFFFFF"/>
        </w:rPr>
        <w:t>i</w:t>
      </w:r>
      <w:r w:rsidR="000E307A" w:rsidRPr="00323FEE">
        <w:rPr>
          <w:shd w:val="clear" w:color="auto" w:fill="FFFFFF"/>
        </w:rPr>
        <w:t xml:space="preserve">nsights from </w:t>
      </w:r>
      <w:r>
        <w:rPr>
          <w:shd w:val="clear" w:color="auto" w:fill="FFFFFF"/>
        </w:rPr>
        <w:t>research undertaken into the</w:t>
      </w:r>
      <w:r w:rsidR="000E307A" w:rsidRPr="00323FEE">
        <w:rPr>
          <w:shd w:val="clear" w:color="auto" w:fill="FFFFFF"/>
        </w:rPr>
        <w:t xml:space="preserve"> first offshore wind project in the United States</w:t>
      </w:r>
      <w:r w:rsidR="003654DE" w:rsidRPr="00323FEE">
        <w:rPr>
          <w:shd w:val="clear" w:color="auto" w:fill="FFFFFF"/>
        </w:rPr>
        <w:t xml:space="preserve"> </w:t>
      </w:r>
      <w:r w:rsidR="000E307A" w:rsidRPr="00323FEE">
        <w:rPr>
          <w:shd w:val="clear" w:color="auto" w:fill="FFFFFF"/>
        </w:rPr>
        <w:t xml:space="preserve">indicated that, overall, </w:t>
      </w:r>
      <w:r w:rsidR="003654DE" w:rsidRPr="00323FEE">
        <w:rPr>
          <w:shd w:val="clear" w:color="auto" w:fill="FFFFFF"/>
        </w:rPr>
        <w:t>tourism and recreational professionals</w:t>
      </w:r>
      <w:r w:rsidR="000E307A" w:rsidRPr="00323FEE">
        <w:rPr>
          <w:shd w:val="clear" w:color="auto" w:fill="FFFFFF"/>
        </w:rPr>
        <w:t xml:space="preserve"> had largely positive encounters with the project</w:t>
      </w:r>
      <w:r w:rsidR="00B9562B" w:rsidRPr="00323FEE">
        <w:rPr>
          <w:shd w:val="clear" w:color="auto" w:fill="FFFFFF"/>
        </w:rPr>
        <w:t xml:space="preserve">. The research suggested that people were curious about the project especially since it was the first one in the USA and </w:t>
      </w:r>
      <w:r w:rsidR="00570125" w:rsidRPr="00323FEE">
        <w:rPr>
          <w:shd w:val="clear" w:color="auto" w:fill="FFFFFF"/>
        </w:rPr>
        <w:t xml:space="preserve">that it </w:t>
      </w:r>
      <w:r w:rsidR="001C191E" w:rsidRPr="00323FEE">
        <w:rPr>
          <w:shd w:val="clear" w:color="auto" w:fill="FFFFFF"/>
        </w:rPr>
        <w:t>helped attract sightseers and recreational fishers</w:t>
      </w:r>
      <w:r w:rsidR="00570125" w:rsidRPr="00323FEE">
        <w:rPr>
          <w:shd w:val="clear" w:color="auto" w:fill="FFFFFF"/>
        </w:rPr>
        <w:t xml:space="preserve"> to the area.</w:t>
      </w:r>
      <w:r w:rsidR="00B9562B" w:rsidRPr="00323FEE">
        <w:rPr>
          <w:shd w:val="clear" w:color="auto" w:fill="FFFFFF"/>
        </w:rPr>
        <w:t xml:space="preserve"> Overall, </w:t>
      </w:r>
      <w:r>
        <w:rPr>
          <w:shd w:val="clear" w:color="auto" w:fill="FFFFFF"/>
        </w:rPr>
        <w:t>the researchers found</w:t>
      </w:r>
      <w:r w:rsidR="00B9562B" w:rsidRPr="00323FEE">
        <w:rPr>
          <w:shd w:val="clear" w:color="auto" w:fill="FFFFFF"/>
        </w:rPr>
        <w:t xml:space="preserve"> little evidence that the project</w:t>
      </w:r>
      <w:r>
        <w:rPr>
          <w:shd w:val="clear" w:color="auto" w:fill="FFFFFF"/>
        </w:rPr>
        <w:t xml:space="preserve"> had</w:t>
      </w:r>
      <w:r w:rsidR="00B9562B" w:rsidRPr="00323FEE">
        <w:rPr>
          <w:shd w:val="clear" w:color="auto" w:fill="FFFFFF"/>
        </w:rPr>
        <w:t xml:space="preserve"> adversely affected participation in tourism and recreation in the area.</w:t>
      </w:r>
    </w:p>
    <w:p w14:paraId="7C393D42" w14:textId="3DE4B4D8" w:rsidR="00B20612" w:rsidRPr="005B6395" w:rsidRDefault="005B6395" w:rsidP="002A0984">
      <w:pPr>
        <w:pStyle w:val="Heading3"/>
        <w:spacing w:before="200"/>
        <w:rPr>
          <w:sz w:val="26"/>
          <w:szCs w:val="26"/>
        </w:rPr>
      </w:pPr>
      <w:r w:rsidRPr="00387C4C">
        <w:rPr>
          <w:sz w:val="26"/>
          <w:szCs w:val="26"/>
        </w:rPr>
        <w:t xml:space="preserve">Next Steps for </w:t>
      </w:r>
      <w:r w:rsidR="00A070AB">
        <w:rPr>
          <w:sz w:val="26"/>
          <w:szCs w:val="26"/>
        </w:rPr>
        <w:t>Potential Projects</w:t>
      </w:r>
    </w:p>
    <w:p w14:paraId="2AEE6BFD" w14:textId="2046C9CC" w:rsidR="00B20612" w:rsidRDefault="00B20612" w:rsidP="00E840C4">
      <w:pPr>
        <w:spacing w:after="120" w:line="276" w:lineRule="auto"/>
        <w:rPr>
          <w:shd w:val="clear" w:color="auto" w:fill="FFFFFF"/>
        </w:rPr>
      </w:pPr>
      <w:r w:rsidRPr="005B1CE8">
        <w:rPr>
          <w:shd w:val="clear" w:color="auto" w:fill="FFFFFF"/>
        </w:rPr>
        <w:t>Prior to the construction of any infrastructure, developers must develop a management plan. As part of the preparation of these plans, developers will need to consult with the local community and show how they will share the area with other users. Developers will also need to have a plan for gathering and responding to ongoing feedback from stakeholders throughout the life of the project.</w:t>
      </w:r>
      <w:r w:rsidR="005B6395" w:rsidRPr="005B6395">
        <w:t xml:space="preserve"> </w:t>
      </w:r>
      <w:r w:rsidR="005B6395" w:rsidRPr="005B6395">
        <w:rPr>
          <w:shd w:val="clear" w:color="auto" w:fill="FFFFFF"/>
        </w:rPr>
        <w:t>Prospective proponents are</w:t>
      </w:r>
      <w:r w:rsidR="006E2B25">
        <w:rPr>
          <w:shd w:val="clear" w:color="auto" w:fill="FFFFFF"/>
        </w:rPr>
        <w:t xml:space="preserve"> also</w:t>
      </w:r>
      <w:r w:rsidR="005B6395" w:rsidRPr="005B6395">
        <w:rPr>
          <w:shd w:val="clear" w:color="auto" w:fill="FFFFFF"/>
        </w:rPr>
        <w:t xml:space="preserve"> required to consult with the appropriate government agencies to ensure constraints are thoroughly considered and addressed throughout their projects.</w:t>
      </w:r>
    </w:p>
    <w:p w14:paraId="49531DC5" w14:textId="759194D4" w:rsidR="00C3196F" w:rsidRPr="00323FEE" w:rsidRDefault="00B20612" w:rsidP="00E840C4">
      <w:pPr>
        <w:spacing w:after="120" w:line="276" w:lineRule="auto"/>
        <w:rPr>
          <w:shd w:val="clear" w:color="auto" w:fill="FFFFFF"/>
        </w:rPr>
      </w:pPr>
      <w:r w:rsidRPr="00952A84">
        <w:rPr>
          <w:shd w:val="clear" w:color="auto" w:fill="FFFFFF"/>
        </w:rPr>
        <w:t xml:space="preserve">Access by other marine users will not be restricted any more than is necessary to ensure safe navigation and operations, and the protection of infrastructure. This is consistent with the principle of shared use of the marine environment. As with any infrastructure in the marine environment (such as navigation buoys, and oil and gas wells), there may be restricted areas placed around offshore renewable infrastructure, such as individual wind turbines and offshore substations. There may be larger restricted areas required during construction of offshore infrastructure to ensure the safety of marine users and construction workers. </w:t>
      </w:r>
    </w:p>
    <w:sectPr w:rsidR="00C3196F" w:rsidRPr="00323FEE" w:rsidSect="00FD2204">
      <w:footerReference w:type="default" r:id="rId14"/>
      <w:headerReference w:type="first" r:id="rId15"/>
      <w:footerReference w:type="first" r:id="rId16"/>
      <w:pgSz w:w="11906" w:h="16838"/>
      <w:pgMar w:top="993" w:right="1440" w:bottom="851" w:left="1440" w:header="284" w:footer="2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3737" w14:textId="77777777" w:rsidR="00E834D0" w:rsidRDefault="00E834D0" w:rsidP="00B251DB">
      <w:pPr>
        <w:spacing w:after="0" w:line="240" w:lineRule="auto"/>
      </w:pPr>
      <w:r>
        <w:separator/>
      </w:r>
    </w:p>
  </w:endnote>
  <w:endnote w:type="continuationSeparator" w:id="0">
    <w:p w14:paraId="1C808356" w14:textId="77777777" w:rsidR="00E834D0" w:rsidRDefault="00E834D0" w:rsidP="00B251DB">
      <w:pPr>
        <w:spacing w:after="0" w:line="240" w:lineRule="auto"/>
      </w:pPr>
      <w:r>
        <w:continuationSeparator/>
      </w:r>
    </w:p>
  </w:endnote>
  <w:endnote w:type="continuationNotice" w:id="1">
    <w:p w14:paraId="40B72219" w14:textId="77777777" w:rsidR="00E834D0" w:rsidRDefault="00E83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D940" w14:textId="7169312D" w:rsidR="00AD4AC1" w:rsidRPr="00D74B9F" w:rsidRDefault="00AD4AC1" w:rsidP="00D74B9F">
    <w:pPr>
      <w:pStyle w:val="Footer"/>
      <w:tabs>
        <w:tab w:val="clear" w:pos="9026"/>
        <w:tab w:val="right" w:pos="9639"/>
      </w:tabs>
      <w:spacing w:after="120"/>
      <w:rPr>
        <w:noProof/>
      </w:rPr>
    </w:pPr>
    <w:r>
      <w:tab/>
      <w:t>DCCEEW.gov.au</w:t>
    </w:r>
    <w:r>
      <w:tab/>
    </w:r>
    <w:sdt>
      <w:sdtPr>
        <w:id w:val="11626594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7C4C">
          <w:rPr>
            <w:noProof/>
          </w:rPr>
          <w:t>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A6C4" w14:textId="1284EB90" w:rsidR="00AD4AC1" w:rsidRPr="00D74B9F" w:rsidRDefault="00AD4AC1" w:rsidP="00D74B9F">
    <w:pPr>
      <w:pStyle w:val="Footer"/>
      <w:tabs>
        <w:tab w:val="clear" w:pos="9026"/>
        <w:tab w:val="right" w:pos="9639"/>
      </w:tabs>
      <w:spacing w:after="120"/>
      <w:rPr>
        <w:noProof/>
      </w:rPr>
    </w:pPr>
    <w:r>
      <w:tab/>
      <w:t>DCCEEW.gov.au</w:t>
    </w:r>
    <w:r>
      <w:tab/>
    </w:r>
    <w:sdt>
      <w:sdtPr>
        <w:id w:val="2667437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7C4C">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A9F5" w14:textId="77777777" w:rsidR="00E834D0" w:rsidRDefault="00E834D0" w:rsidP="00B251DB">
      <w:pPr>
        <w:spacing w:after="0" w:line="240" w:lineRule="auto"/>
      </w:pPr>
      <w:r>
        <w:separator/>
      </w:r>
    </w:p>
  </w:footnote>
  <w:footnote w:type="continuationSeparator" w:id="0">
    <w:p w14:paraId="70F3A741" w14:textId="77777777" w:rsidR="00E834D0" w:rsidRDefault="00E834D0" w:rsidP="00B251DB">
      <w:pPr>
        <w:spacing w:after="0" w:line="240" w:lineRule="auto"/>
      </w:pPr>
      <w:r>
        <w:continuationSeparator/>
      </w:r>
    </w:p>
  </w:footnote>
  <w:footnote w:type="continuationNotice" w:id="1">
    <w:p w14:paraId="79671617" w14:textId="77777777" w:rsidR="00E834D0" w:rsidRDefault="00E834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05F" w14:textId="77777777" w:rsidR="00AD4AC1" w:rsidRDefault="00DF1F3A">
    <w:pPr>
      <w:pStyle w:val="Header"/>
    </w:pPr>
    <w:r w:rsidRPr="00180BF8">
      <w:rPr>
        <w:noProof/>
        <w:lang w:eastAsia="en-AU"/>
      </w:rPr>
      <w:drawing>
        <wp:inline distT="0" distB="0" distL="0" distR="0" wp14:anchorId="30CE0E74" wp14:editId="6C0D446A">
          <wp:extent cx="3019480" cy="627399"/>
          <wp:effectExtent l="0" t="0" r="0" b="1270"/>
          <wp:docPr id="3" name="Picture 3"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E71"/>
    <w:multiLevelType w:val="hybridMultilevel"/>
    <w:tmpl w:val="7BB8C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715924"/>
    <w:multiLevelType w:val="hybridMultilevel"/>
    <w:tmpl w:val="9AA8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7A590A4B"/>
    <w:multiLevelType w:val="hybridMultilevel"/>
    <w:tmpl w:val="4408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7407953">
    <w:abstractNumId w:val="6"/>
  </w:num>
  <w:num w:numId="2" w16cid:durableId="2043551673">
    <w:abstractNumId w:val="5"/>
  </w:num>
  <w:num w:numId="3" w16cid:durableId="2052267932">
    <w:abstractNumId w:val="10"/>
  </w:num>
  <w:num w:numId="4" w16cid:durableId="127549511">
    <w:abstractNumId w:val="8"/>
  </w:num>
  <w:num w:numId="5" w16cid:durableId="1580479931">
    <w:abstractNumId w:val="12"/>
  </w:num>
  <w:num w:numId="6" w16cid:durableId="1600025068">
    <w:abstractNumId w:val="3"/>
  </w:num>
  <w:num w:numId="7" w16cid:durableId="1010722046">
    <w:abstractNumId w:val="1"/>
  </w:num>
  <w:num w:numId="8" w16cid:durableId="177351067">
    <w:abstractNumId w:val="2"/>
  </w:num>
  <w:num w:numId="9" w16cid:durableId="884021064">
    <w:abstractNumId w:val="9"/>
  </w:num>
  <w:num w:numId="10" w16cid:durableId="1378432105">
    <w:abstractNumId w:val="11"/>
  </w:num>
  <w:num w:numId="11" w16cid:durableId="114980692">
    <w:abstractNumId w:val="4"/>
  </w:num>
  <w:num w:numId="12" w16cid:durableId="1551302769">
    <w:abstractNumId w:val="16"/>
  </w:num>
  <w:num w:numId="13" w16cid:durableId="1376008970">
    <w:abstractNumId w:val="13"/>
  </w:num>
  <w:num w:numId="14" w16cid:durableId="476918649">
    <w:abstractNumId w:val="7"/>
  </w:num>
  <w:num w:numId="15" w16cid:durableId="184759961">
    <w:abstractNumId w:val="14"/>
  </w:num>
  <w:num w:numId="16" w16cid:durableId="1138885533">
    <w:abstractNumId w:val="15"/>
  </w:num>
  <w:num w:numId="17" w16cid:durableId="1951859567">
    <w:abstractNumId w:val="0"/>
  </w:num>
  <w:num w:numId="18" w16cid:durableId="14019021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3F"/>
    <w:rsid w:val="00001EBA"/>
    <w:rsid w:val="00005127"/>
    <w:rsid w:val="00010914"/>
    <w:rsid w:val="00024D66"/>
    <w:rsid w:val="00031D39"/>
    <w:rsid w:val="00032027"/>
    <w:rsid w:val="00032995"/>
    <w:rsid w:val="000418B4"/>
    <w:rsid w:val="00046632"/>
    <w:rsid w:val="00046C20"/>
    <w:rsid w:val="000552B3"/>
    <w:rsid w:val="00055441"/>
    <w:rsid w:val="00055449"/>
    <w:rsid w:val="0006020E"/>
    <w:rsid w:val="0006496D"/>
    <w:rsid w:val="0007067B"/>
    <w:rsid w:val="000715E1"/>
    <w:rsid w:val="0007363A"/>
    <w:rsid w:val="00075219"/>
    <w:rsid w:val="000752A9"/>
    <w:rsid w:val="00081D07"/>
    <w:rsid w:val="00087692"/>
    <w:rsid w:val="00090BFA"/>
    <w:rsid w:val="00095179"/>
    <w:rsid w:val="000B0D7A"/>
    <w:rsid w:val="000B2EAB"/>
    <w:rsid w:val="000C335E"/>
    <w:rsid w:val="000C3494"/>
    <w:rsid w:val="000D392B"/>
    <w:rsid w:val="000E307A"/>
    <w:rsid w:val="000E544B"/>
    <w:rsid w:val="000E599A"/>
    <w:rsid w:val="000F2564"/>
    <w:rsid w:val="00100DE1"/>
    <w:rsid w:val="00105899"/>
    <w:rsid w:val="00111909"/>
    <w:rsid w:val="001138FE"/>
    <w:rsid w:val="00115582"/>
    <w:rsid w:val="00123A32"/>
    <w:rsid w:val="00130DB9"/>
    <w:rsid w:val="00132F28"/>
    <w:rsid w:val="00136F10"/>
    <w:rsid w:val="00141A40"/>
    <w:rsid w:val="0014507D"/>
    <w:rsid w:val="00153C15"/>
    <w:rsid w:val="001540A3"/>
    <w:rsid w:val="00156321"/>
    <w:rsid w:val="001607A9"/>
    <w:rsid w:val="001663FF"/>
    <w:rsid w:val="00186E79"/>
    <w:rsid w:val="00194DA8"/>
    <w:rsid w:val="001A2697"/>
    <w:rsid w:val="001A48F4"/>
    <w:rsid w:val="001A683A"/>
    <w:rsid w:val="001B0D73"/>
    <w:rsid w:val="001B6E4B"/>
    <w:rsid w:val="001C191E"/>
    <w:rsid w:val="001D216A"/>
    <w:rsid w:val="001D2E82"/>
    <w:rsid w:val="001E1BD0"/>
    <w:rsid w:val="001E2C0A"/>
    <w:rsid w:val="001E6F75"/>
    <w:rsid w:val="001F45F7"/>
    <w:rsid w:val="001F5AB1"/>
    <w:rsid w:val="002003DD"/>
    <w:rsid w:val="002012D3"/>
    <w:rsid w:val="00205DF3"/>
    <w:rsid w:val="00217905"/>
    <w:rsid w:val="0022083E"/>
    <w:rsid w:val="00222D0B"/>
    <w:rsid w:val="00233771"/>
    <w:rsid w:val="0023741B"/>
    <w:rsid w:val="00241D3D"/>
    <w:rsid w:val="00241FE8"/>
    <w:rsid w:val="002443B6"/>
    <w:rsid w:val="00244642"/>
    <w:rsid w:val="0025218F"/>
    <w:rsid w:val="00254DA8"/>
    <w:rsid w:val="00257001"/>
    <w:rsid w:val="00272B04"/>
    <w:rsid w:val="00273FB5"/>
    <w:rsid w:val="0027494A"/>
    <w:rsid w:val="002813F2"/>
    <w:rsid w:val="002874A7"/>
    <w:rsid w:val="0029165F"/>
    <w:rsid w:val="002928B7"/>
    <w:rsid w:val="00297588"/>
    <w:rsid w:val="00297B42"/>
    <w:rsid w:val="002A0205"/>
    <w:rsid w:val="002A0984"/>
    <w:rsid w:val="002A2838"/>
    <w:rsid w:val="002A51D0"/>
    <w:rsid w:val="002B0717"/>
    <w:rsid w:val="002B240E"/>
    <w:rsid w:val="002B5C69"/>
    <w:rsid w:val="002B65BE"/>
    <w:rsid w:val="002C6134"/>
    <w:rsid w:val="002C716C"/>
    <w:rsid w:val="002D01F7"/>
    <w:rsid w:val="002D230B"/>
    <w:rsid w:val="002D76F9"/>
    <w:rsid w:val="002E3E76"/>
    <w:rsid w:val="002E7331"/>
    <w:rsid w:val="002F7AC7"/>
    <w:rsid w:val="00305228"/>
    <w:rsid w:val="00310BB8"/>
    <w:rsid w:val="00312CA4"/>
    <w:rsid w:val="003137DE"/>
    <w:rsid w:val="00313C49"/>
    <w:rsid w:val="003224E4"/>
    <w:rsid w:val="00323FEE"/>
    <w:rsid w:val="00324FBD"/>
    <w:rsid w:val="00325BEF"/>
    <w:rsid w:val="00330550"/>
    <w:rsid w:val="00332089"/>
    <w:rsid w:val="00341D8A"/>
    <w:rsid w:val="00342ABF"/>
    <w:rsid w:val="00344A3F"/>
    <w:rsid w:val="00351C73"/>
    <w:rsid w:val="00353377"/>
    <w:rsid w:val="00364D38"/>
    <w:rsid w:val="003654DE"/>
    <w:rsid w:val="00370265"/>
    <w:rsid w:val="00370E3E"/>
    <w:rsid w:val="0037202B"/>
    <w:rsid w:val="00374F65"/>
    <w:rsid w:val="00376041"/>
    <w:rsid w:val="003765BF"/>
    <w:rsid w:val="00386057"/>
    <w:rsid w:val="00387443"/>
    <w:rsid w:val="00387C4C"/>
    <w:rsid w:val="00396538"/>
    <w:rsid w:val="00397982"/>
    <w:rsid w:val="003A066E"/>
    <w:rsid w:val="003B1C3A"/>
    <w:rsid w:val="003B546F"/>
    <w:rsid w:val="003C001F"/>
    <w:rsid w:val="003C0A98"/>
    <w:rsid w:val="003D301B"/>
    <w:rsid w:val="003D38ED"/>
    <w:rsid w:val="003D7475"/>
    <w:rsid w:val="003E1D7D"/>
    <w:rsid w:val="003E5BBB"/>
    <w:rsid w:val="003F02B0"/>
    <w:rsid w:val="00400B83"/>
    <w:rsid w:val="00401E0C"/>
    <w:rsid w:val="00417EF5"/>
    <w:rsid w:val="00423392"/>
    <w:rsid w:val="00423575"/>
    <w:rsid w:val="00432095"/>
    <w:rsid w:val="004326E4"/>
    <w:rsid w:val="00434EF3"/>
    <w:rsid w:val="00450CAD"/>
    <w:rsid w:val="00451A12"/>
    <w:rsid w:val="00455715"/>
    <w:rsid w:val="0045590F"/>
    <w:rsid w:val="0045688B"/>
    <w:rsid w:val="004632E9"/>
    <w:rsid w:val="004647F4"/>
    <w:rsid w:val="00465959"/>
    <w:rsid w:val="00465DD8"/>
    <w:rsid w:val="0046678C"/>
    <w:rsid w:val="004733AF"/>
    <w:rsid w:val="004735E6"/>
    <w:rsid w:val="00481DE1"/>
    <w:rsid w:val="00494621"/>
    <w:rsid w:val="004A1188"/>
    <w:rsid w:val="004A1701"/>
    <w:rsid w:val="004A4E5E"/>
    <w:rsid w:val="004A7650"/>
    <w:rsid w:val="004B2573"/>
    <w:rsid w:val="004B4254"/>
    <w:rsid w:val="004B5B49"/>
    <w:rsid w:val="004B6F8C"/>
    <w:rsid w:val="004C05FA"/>
    <w:rsid w:val="004C104E"/>
    <w:rsid w:val="004C7909"/>
    <w:rsid w:val="004D3B0F"/>
    <w:rsid w:val="004D537C"/>
    <w:rsid w:val="004F1A10"/>
    <w:rsid w:val="004F6131"/>
    <w:rsid w:val="004F75DD"/>
    <w:rsid w:val="005008DE"/>
    <w:rsid w:val="005011C4"/>
    <w:rsid w:val="00512F78"/>
    <w:rsid w:val="005134C1"/>
    <w:rsid w:val="00516B0E"/>
    <w:rsid w:val="00542B2E"/>
    <w:rsid w:val="005474FE"/>
    <w:rsid w:val="00547CF4"/>
    <w:rsid w:val="00554BE2"/>
    <w:rsid w:val="005609CC"/>
    <w:rsid w:val="00560F57"/>
    <w:rsid w:val="00566748"/>
    <w:rsid w:val="00570125"/>
    <w:rsid w:val="0057034D"/>
    <w:rsid w:val="00573541"/>
    <w:rsid w:val="005847CD"/>
    <w:rsid w:val="00584AE9"/>
    <w:rsid w:val="00584B74"/>
    <w:rsid w:val="00585E0D"/>
    <w:rsid w:val="00592B0D"/>
    <w:rsid w:val="0059369D"/>
    <w:rsid w:val="00595D96"/>
    <w:rsid w:val="005A31BF"/>
    <w:rsid w:val="005B6395"/>
    <w:rsid w:val="005B73EC"/>
    <w:rsid w:val="005C6872"/>
    <w:rsid w:val="005D1A0D"/>
    <w:rsid w:val="005D1DA9"/>
    <w:rsid w:val="005E06E5"/>
    <w:rsid w:val="005E5170"/>
    <w:rsid w:val="005E5407"/>
    <w:rsid w:val="005E6392"/>
    <w:rsid w:val="005F2353"/>
    <w:rsid w:val="005F23DA"/>
    <w:rsid w:val="005F4BA6"/>
    <w:rsid w:val="00601189"/>
    <w:rsid w:val="00603DDF"/>
    <w:rsid w:val="0060503F"/>
    <w:rsid w:val="00605A9D"/>
    <w:rsid w:val="00607188"/>
    <w:rsid w:val="00610B03"/>
    <w:rsid w:val="00616086"/>
    <w:rsid w:val="00626588"/>
    <w:rsid w:val="00631A7C"/>
    <w:rsid w:val="00635853"/>
    <w:rsid w:val="00636116"/>
    <w:rsid w:val="00636EBF"/>
    <w:rsid w:val="0064012F"/>
    <w:rsid w:val="0065637D"/>
    <w:rsid w:val="00663673"/>
    <w:rsid w:val="0067144C"/>
    <w:rsid w:val="00671AD8"/>
    <w:rsid w:val="00671D1D"/>
    <w:rsid w:val="006800E6"/>
    <w:rsid w:val="0068042F"/>
    <w:rsid w:val="0068286F"/>
    <w:rsid w:val="006833B5"/>
    <w:rsid w:val="0068481E"/>
    <w:rsid w:val="0068548B"/>
    <w:rsid w:val="00690CB8"/>
    <w:rsid w:val="00693ED3"/>
    <w:rsid w:val="00696807"/>
    <w:rsid w:val="006A03AC"/>
    <w:rsid w:val="006A2AF6"/>
    <w:rsid w:val="006A5784"/>
    <w:rsid w:val="006B0CEB"/>
    <w:rsid w:val="006B1C5F"/>
    <w:rsid w:val="006B4251"/>
    <w:rsid w:val="006B45CC"/>
    <w:rsid w:val="006B62A5"/>
    <w:rsid w:val="006C0396"/>
    <w:rsid w:val="006C4515"/>
    <w:rsid w:val="006C4C9C"/>
    <w:rsid w:val="006C5288"/>
    <w:rsid w:val="006D0574"/>
    <w:rsid w:val="006D2221"/>
    <w:rsid w:val="006D6953"/>
    <w:rsid w:val="006E1E6A"/>
    <w:rsid w:val="006E2B25"/>
    <w:rsid w:val="006E4001"/>
    <w:rsid w:val="006E4EA4"/>
    <w:rsid w:val="006F089B"/>
    <w:rsid w:val="006F58A5"/>
    <w:rsid w:val="006F5C26"/>
    <w:rsid w:val="00704554"/>
    <w:rsid w:val="00711349"/>
    <w:rsid w:val="00711C81"/>
    <w:rsid w:val="00712764"/>
    <w:rsid w:val="00713DA4"/>
    <w:rsid w:val="007141CD"/>
    <w:rsid w:val="00720DA2"/>
    <w:rsid w:val="00723C5D"/>
    <w:rsid w:val="00726400"/>
    <w:rsid w:val="00735DC4"/>
    <w:rsid w:val="0073681A"/>
    <w:rsid w:val="007425EE"/>
    <w:rsid w:val="00742C74"/>
    <w:rsid w:val="00742E25"/>
    <w:rsid w:val="00750E89"/>
    <w:rsid w:val="00754C8D"/>
    <w:rsid w:val="007571F7"/>
    <w:rsid w:val="00772DE8"/>
    <w:rsid w:val="00774808"/>
    <w:rsid w:val="00782A7D"/>
    <w:rsid w:val="007833EE"/>
    <w:rsid w:val="007835F9"/>
    <w:rsid w:val="007842E1"/>
    <w:rsid w:val="007862C8"/>
    <w:rsid w:val="00786CE4"/>
    <w:rsid w:val="0078732D"/>
    <w:rsid w:val="00791FE4"/>
    <w:rsid w:val="007A1682"/>
    <w:rsid w:val="007A3627"/>
    <w:rsid w:val="007A3F9C"/>
    <w:rsid w:val="007A4B34"/>
    <w:rsid w:val="007B0385"/>
    <w:rsid w:val="007B3162"/>
    <w:rsid w:val="007B387F"/>
    <w:rsid w:val="007B553F"/>
    <w:rsid w:val="007B6494"/>
    <w:rsid w:val="007B6CA6"/>
    <w:rsid w:val="007C0351"/>
    <w:rsid w:val="007D3C9C"/>
    <w:rsid w:val="007E22AE"/>
    <w:rsid w:val="007E74DE"/>
    <w:rsid w:val="007F179C"/>
    <w:rsid w:val="007F24A7"/>
    <w:rsid w:val="007F2CA2"/>
    <w:rsid w:val="008050EA"/>
    <w:rsid w:val="00805244"/>
    <w:rsid w:val="00806473"/>
    <w:rsid w:val="008137D3"/>
    <w:rsid w:val="008164A1"/>
    <w:rsid w:val="0081656A"/>
    <w:rsid w:val="00816AC4"/>
    <w:rsid w:val="00824D69"/>
    <w:rsid w:val="008271DD"/>
    <w:rsid w:val="00831700"/>
    <w:rsid w:val="0083392C"/>
    <w:rsid w:val="00834221"/>
    <w:rsid w:val="00844E27"/>
    <w:rsid w:val="0084524A"/>
    <w:rsid w:val="00850259"/>
    <w:rsid w:val="00853A7A"/>
    <w:rsid w:val="00874EF3"/>
    <w:rsid w:val="00885012"/>
    <w:rsid w:val="00892B6E"/>
    <w:rsid w:val="008A10DA"/>
    <w:rsid w:val="008A4804"/>
    <w:rsid w:val="008B5E8C"/>
    <w:rsid w:val="008C762C"/>
    <w:rsid w:val="008D0059"/>
    <w:rsid w:val="008D0C22"/>
    <w:rsid w:val="008D3769"/>
    <w:rsid w:val="008D45C9"/>
    <w:rsid w:val="008D5FB6"/>
    <w:rsid w:val="008E0921"/>
    <w:rsid w:val="008E1827"/>
    <w:rsid w:val="008E2D65"/>
    <w:rsid w:val="008E3572"/>
    <w:rsid w:val="008E45F6"/>
    <w:rsid w:val="008E48AA"/>
    <w:rsid w:val="008E5650"/>
    <w:rsid w:val="008E6004"/>
    <w:rsid w:val="008E7B96"/>
    <w:rsid w:val="008F4DB5"/>
    <w:rsid w:val="0090130A"/>
    <w:rsid w:val="0090159D"/>
    <w:rsid w:val="00905693"/>
    <w:rsid w:val="00907599"/>
    <w:rsid w:val="009217E5"/>
    <w:rsid w:val="00924046"/>
    <w:rsid w:val="0092611E"/>
    <w:rsid w:val="00930EAC"/>
    <w:rsid w:val="00932A1F"/>
    <w:rsid w:val="00932C88"/>
    <w:rsid w:val="00933093"/>
    <w:rsid w:val="00933F04"/>
    <w:rsid w:val="00936CD8"/>
    <w:rsid w:val="00947880"/>
    <w:rsid w:val="0095054C"/>
    <w:rsid w:val="00952A84"/>
    <w:rsid w:val="00960C80"/>
    <w:rsid w:val="00963586"/>
    <w:rsid w:val="00964872"/>
    <w:rsid w:val="00965AF1"/>
    <w:rsid w:val="00966615"/>
    <w:rsid w:val="009674D4"/>
    <w:rsid w:val="0098039C"/>
    <w:rsid w:val="00984D34"/>
    <w:rsid w:val="0098625D"/>
    <w:rsid w:val="00992499"/>
    <w:rsid w:val="0099581A"/>
    <w:rsid w:val="00996F12"/>
    <w:rsid w:val="009A549D"/>
    <w:rsid w:val="009C2112"/>
    <w:rsid w:val="009C5598"/>
    <w:rsid w:val="009C6A30"/>
    <w:rsid w:val="009D090D"/>
    <w:rsid w:val="009D1753"/>
    <w:rsid w:val="009D4175"/>
    <w:rsid w:val="009D47CA"/>
    <w:rsid w:val="009D7D17"/>
    <w:rsid w:val="009E20EF"/>
    <w:rsid w:val="009E2401"/>
    <w:rsid w:val="009E2A28"/>
    <w:rsid w:val="009E4A4C"/>
    <w:rsid w:val="009E6625"/>
    <w:rsid w:val="009E6739"/>
    <w:rsid w:val="009F3F0E"/>
    <w:rsid w:val="00A04B51"/>
    <w:rsid w:val="00A067F1"/>
    <w:rsid w:val="00A070AB"/>
    <w:rsid w:val="00A11A47"/>
    <w:rsid w:val="00A205D7"/>
    <w:rsid w:val="00A20C59"/>
    <w:rsid w:val="00A27860"/>
    <w:rsid w:val="00A35500"/>
    <w:rsid w:val="00A37024"/>
    <w:rsid w:val="00A44442"/>
    <w:rsid w:val="00A45914"/>
    <w:rsid w:val="00A465E6"/>
    <w:rsid w:val="00A47232"/>
    <w:rsid w:val="00A52F3D"/>
    <w:rsid w:val="00A56363"/>
    <w:rsid w:val="00A6488E"/>
    <w:rsid w:val="00A70731"/>
    <w:rsid w:val="00A731BB"/>
    <w:rsid w:val="00A84661"/>
    <w:rsid w:val="00A879CA"/>
    <w:rsid w:val="00A93C06"/>
    <w:rsid w:val="00A9499B"/>
    <w:rsid w:val="00AA6690"/>
    <w:rsid w:val="00AA740C"/>
    <w:rsid w:val="00AB05BE"/>
    <w:rsid w:val="00AB1003"/>
    <w:rsid w:val="00AB6138"/>
    <w:rsid w:val="00AB63EA"/>
    <w:rsid w:val="00AB68C6"/>
    <w:rsid w:val="00AC2AC6"/>
    <w:rsid w:val="00AC5993"/>
    <w:rsid w:val="00AD09D5"/>
    <w:rsid w:val="00AD13B6"/>
    <w:rsid w:val="00AD35C8"/>
    <w:rsid w:val="00AD4AC1"/>
    <w:rsid w:val="00AD5994"/>
    <w:rsid w:val="00AE3A41"/>
    <w:rsid w:val="00AE5892"/>
    <w:rsid w:val="00AF333F"/>
    <w:rsid w:val="00AF60CC"/>
    <w:rsid w:val="00B00791"/>
    <w:rsid w:val="00B00C08"/>
    <w:rsid w:val="00B00C30"/>
    <w:rsid w:val="00B041F4"/>
    <w:rsid w:val="00B058D2"/>
    <w:rsid w:val="00B20612"/>
    <w:rsid w:val="00B22B77"/>
    <w:rsid w:val="00B251DB"/>
    <w:rsid w:val="00B26C25"/>
    <w:rsid w:val="00B35C0C"/>
    <w:rsid w:val="00B37380"/>
    <w:rsid w:val="00B41C40"/>
    <w:rsid w:val="00B43274"/>
    <w:rsid w:val="00B43D91"/>
    <w:rsid w:val="00B47517"/>
    <w:rsid w:val="00B53F15"/>
    <w:rsid w:val="00B5569E"/>
    <w:rsid w:val="00B56BBB"/>
    <w:rsid w:val="00B61007"/>
    <w:rsid w:val="00B61C29"/>
    <w:rsid w:val="00B71194"/>
    <w:rsid w:val="00B73FE3"/>
    <w:rsid w:val="00B812B2"/>
    <w:rsid w:val="00B818F6"/>
    <w:rsid w:val="00B9562B"/>
    <w:rsid w:val="00B95707"/>
    <w:rsid w:val="00B95A40"/>
    <w:rsid w:val="00B961B2"/>
    <w:rsid w:val="00BB23DB"/>
    <w:rsid w:val="00BB7BD8"/>
    <w:rsid w:val="00BC0919"/>
    <w:rsid w:val="00BC38E8"/>
    <w:rsid w:val="00BC547D"/>
    <w:rsid w:val="00BC6FE3"/>
    <w:rsid w:val="00BD0F8A"/>
    <w:rsid w:val="00BD2876"/>
    <w:rsid w:val="00BD5EB8"/>
    <w:rsid w:val="00BE07F6"/>
    <w:rsid w:val="00BE6EEA"/>
    <w:rsid w:val="00C0099B"/>
    <w:rsid w:val="00C06254"/>
    <w:rsid w:val="00C06473"/>
    <w:rsid w:val="00C07D1B"/>
    <w:rsid w:val="00C16781"/>
    <w:rsid w:val="00C20E72"/>
    <w:rsid w:val="00C26EEC"/>
    <w:rsid w:val="00C3196F"/>
    <w:rsid w:val="00C32964"/>
    <w:rsid w:val="00C333CB"/>
    <w:rsid w:val="00C349D5"/>
    <w:rsid w:val="00C34B69"/>
    <w:rsid w:val="00C441F4"/>
    <w:rsid w:val="00C54466"/>
    <w:rsid w:val="00C548F9"/>
    <w:rsid w:val="00C6671E"/>
    <w:rsid w:val="00C7322F"/>
    <w:rsid w:val="00C76AB9"/>
    <w:rsid w:val="00C77C1F"/>
    <w:rsid w:val="00C81CFD"/>
    <w:rsid w:val="00C85BB3"/>
    <w:rsid w:val="00C90FAC"/>
    <w:rsid w:val="00C91765"/>
    <w:rsid w:val="00C920C4"/>
    <w:rsid w:val="00C947BA"/>
    <w:rsid w:val="00C959B0"/>
    <w:rsid w:val="00C975FC"/>
    <w:rsid w:val="00CA020E"/>
    <w:rsid w:val="00CA4FAE"/>
    <w:rsid w:val="00CA7B90"/>
    <w:rsid w:val="00CB070A"/>
    <w:rsid w:val="00CB0B82"/>
    <w:rsid w:val="00CB395E"/>
    <w:rsid w:val="00CB3F07"/>
    <w:rsid w:val="00CC14A5"/>
    <w:rsid w:val="00CC43AE"/>
    <w:rsid w:val="00CC4C66"/>
    <w:rsid w:val="00CD13E2"/>
    <w:rsid w:val="00CD3649"/>
    <w:rsid w:val="00CD4920"/>
    <w:rsid w:val="00CD64AA"/>
    <w:rsid w:val="00CE27B7"/>
    <w:rsid w:val="00CE70F2"/>
    <w:rsid w:val="00CF58E4"/>
    <w:rsid w:val="00D05CE5"/>
    <w:rsid w:val="00D14AB1"/>
    <w:rsid w:val="00D151AD"/>
    <w:rsid w:val="00D1653A"/>
    <w:rsid w:val="00D220CF"/>
    <w:rsid w:val="00D24B01"/>
    <w:rsid w:val="00D44C89"/>
    <w:rsid w:val="00D45959"/>
    <w:rsid w:val="00D47761"/>
    <w:rsid w:val="00D50494"/>
    <w:rsid w:val="00D557C7"/>
    <w:rsid w:val="00D55F38"/>
    <w:rsid w:val="00D61830"/>
    <w:rsid w:val="00D63114"/>
    <w:rsid w:val="00D64162"/>
    <w:rsid w:val="00D6469D"/>
    <w:rsid w:val="00D670B2"/>
    <w:rsid w:val="00D71AD8"/>
    <w:rsid w:val="00D73617"/>
    <w:rsid w:val="00D744E0"/>
    <w:rsid w:val="00D74B9F"/>
    <w:rsid w:val="00D81AF3"/>
    <w:rsid w:val="00D82B65"/>
    <w:rsid w:val="00D841E9"/>
    <w:rsid w:val="00DA30E3"/>
    <w:rsid w:val="00DA45A5"/>
    <w:rsid w:val="00DA65BD"/>
    <w:rsid w:val="00DA7A86"/>
    <w:rsid w:val="00DB504D"/>
    <w:rsid w:val="00DD12B4"/>
    <w:rsid w:val="00DD28E5"/>
    <w:rsid w:val="00DD5AAC"/>
    <w:rsid w:val="00DD6805"/>
    <w:rsid w:val="00DF00BE"/>
    <w:rsid w:val="00DF12AC"/>
    <w:rsid w:val="00DF1F3A"/>
    <w:rsid w:val="00DF4532"/>
    <w:rsid w:val="00DF5882"/>
    <w:rsid w:val="00DF6D98"/>
    <w:rsid w:val="00E01D7D"/>
    <w:rsid w:val="00E03325"/>
    <w:rsid w:val="00E051B2"/>
    <w:rsid w:val="00E1745F"/>
    <w:rsid w:val="00E21ABB"/>
    <w:rsid w:val="00E23918"/>
    <w:rsid w:val="00E3027E"/>
    <w:rsid w:val="00E318C1"/>
    <w:rsid w:val="00E326CF"/>
    <w:rsid w:val="00E5009C"/>
    <w:rsid w:val="00E5427C"/>
    <w:rsid w:val="00E635C2"/>
    <w:rsid w:val="00E64511"/>
    <w:rsid w:val="00E6496B"/>
    <w:rsid w:val="00E65ACC"/>
    <w:rsid w:val="00E72F96"/>
    <w:rsid w:val="00E73B8D"/>
    <w:rsid w:val="00E74B2F"/>
    <w:rsid w:val="00E75080"/>
    <w:rsid w:val="00E7512B"/>
    <w:rsid w:val="00E77783"/>
    <w:rsid w:val="00E834D0"/>
    <w:rsid w:val="00E840C4"/>
    <w:rsid w:val="00E8441D"/>
    <w:rsid w:val="00E84D01"/>
    <w:rsid w:val="00E912BA"/>
    <w:rsid w:val="00EA358C"/>
    <w:rsid w:val="00EB05C4"/>
    <w:rsid w:val="00EB3C29"/>
    <w:rsid w:val="00EB6401"/>
    <w:rsid w:val="00EC00A2"/>
    <w:rsid w:val="00EC3DFB"/>
    <w:rsid w:val="00ED1719"/>
    <w:rsid w:val="00ED2F58"/>
    <w:rsid w:val="00ED36D8"/>
    <w:rsid w:val="00EE204B"/>
    <w:rsid w:val="00EF44C6"/>
    <w:rsid w:val="00EF578C"/>
    <w:rsid w:val="00F016B0"/>
    <w:rsid w:val="00F0282D"/>
    <w:rsid w:val="00F05A65"/>
    <w:rsid w:val="00F0662F"/>
    <w:rsid w:val="00F11CEC"/>
    <w:rsid w:val="00F12E8A"/>
    <w:rsid w:val="00F20BD0"/>
    <w:rsid w:val="00F22BB9"/>
    <w:rsid w:val="00F230BB"/>
    <w:rsid w:val="00F3456C"/>
    <w:rsid w:val="00F36DA4"/>
    <w:rsid w:val="00F407DB"/>
    <w:rsid w:val="00F43850"/>
    <w:rsid w:val="00F4403C"/>
    <w:rsid w:val="00F45416"/>
    <w:rsid w:val="00F54AE9"/>
    <w:rsid w:val="00F65899"/>
    <w:rsid w:val="00F70305"/>
    <w:rsid w:val="00F746C5"/>
    <w:rsid w:val="00F81931"/>
    <w:rsid w:val="00F81F35"/>
    <w:rsid w:val="00F904B1"/>
    <w:rsid w:val="00F90FEA"/>
    <w:rsid w:val="00F9255E"/>
    <w:rsid w:val="00FB08BB"/>
    <w:rsid w:val="00FB11D9"/>
    <w:rsid w:val="00FC3075"/>
    <w:rsid w:val="00FD162A"/>
    <w:rsid w:val="00FD1791"/>
    <w:rsid w:val="00FD2204"/>
    <w:rsid w:val="00FD41BF"/>
    <w:rsid w:val="00FD722E"/>
    <w:rsid w:val="00FE008B"/>
    <w:rsid w:val="00FE0EB3"/>
    <w:rsid w:val="00FE1D68"/>
    <w:rsid w:val="00FE510E"/>
    <w:rsid w:val="00FF066F"/>
    <w:rsid w:val="00FF4C29"/>
    <w:rsid w:val="00FF6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C5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141A40"/>
    <w:pPr>
      <w:keepNext/>
      <w:keepLines/>
      <w:spacing w:before="40" w:after="40"/>
      <w:outlineLvl w:val="1"/>
    </w:pPr>
    <w:rPr>
      <w:rFonts w:asciiTheme="majorHAnsi" w:eastAsiaTheme="majorEastAsia" w:hAnsiTheme="majorHAnsi" w:cstheme="majorBidi"/>
      <w:color w:val="7D3404" w:themeColor="accent3" w:themeTint="E6"/>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141A40"/>
    <w:pPr>
      <w:keepNext/>
      <w:keepLines/>
      <w:spacing w:before="40" w:after="0"/>
      <w:outlineLvl w:val="3"/>
    </w:pPr>
    <w:rPr>
      <w:rFonts w:asciiTheme="majorHAnsi" w:eastAsiaTheme="majorEastAsia" w:hAnsiTheme="majorHAnsi" w:cstheme="majorBidi"/>
      <w:iCs/>
      <w:color w:val="408479" w:themeColor="accent2"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CA4FAE"/>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CA4FAE"/>
    <w:pPr>
      <w:keepNext/>
      <w:keepLines/>
      <w:spacing w:before="40" w:after="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CA4FAE"/>
    <w:pPr>
      <w:keepNext/>
      <w:keepLines/>
      <w:spacing w:before="40" w:after="0"/>
      <w:outlineLvl w:val="7"/>
    </w:pPr>
    <w:rPr>
      <w:rFonts w:asciiTheme="majorHAnsi" w:eastAsiaTheme="majorEastAsia" w:hAnsiTheme="majorHAnsi" w:cstheme="majorBidi"/>
      <w:color w:val="562403" w:themeColor="accent3"/>
      <w:sz w:val="21"/>
      <w:szCs w:val="21"/>
    </w:rPr>
  </w:style>
  <w:style w:type="paragraph" w:styleId="Heading9">
    <w:name w:val="heading 9"/>
    <w:basedOn w:val="Normal"/>
    <w:next w:val="Normal"/>
    <w:link w:val="Heading9Char"/>
    <w:uiPriority w:val="9"/>
    <w:unhideWhenUsed/>
    <w:qFormat/>
    <w:rsid w:val="00CA4FAE"/>
    <w:pPr>
      <w:keepNext/>
      <w:keepLines/>
      <w:spacing w:before="40" w:after="0"/>
      <w:outlineLvl w:val="8"/>
    </w:pPr>
    <w:rPr>
      <w:rFonts w:asciiTheme="majorHAnsi" w:eastAsiaTheme="majorEastAsia" w:hAnsiTheme="majorHAnsi" w:cstheme="majorBidi"/>
      <w:i/>
      <w:iCs/>
      <w:color w:val="083A42"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after="12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141A40"/>
    <w:pPr>
      <w:numPr>
        <w:ilvl w:val="1"/>
      </w:numPr>
    </w:pPr>
    <w:rPr>
      <w:rFonts w:eastAsiaTheme="minorEastAsia"/>
      <w:color w:val="0C5B68" w:themeColor="text2" w:themeTint="E6"/>
      <w:sz w:val="32"/>
    </w:rPr>
  </w:style>
  <w:style w:type="character" w:customStyle="1" w:styleId="SubtitleChar">
    <w:name w:val="Subtitle Char"/>
    <w:basedOn w:val="DefaultParagraphFont"/>
    <w:link w:val="Subtitle"/>
    <w:uiPriority w:val="11"/>
    <w:rsid w:val="00141A40"/>
    <w:rPr>
      <w:rFonts w:eastAsiaTheme="minorEastAsia"/>
      <w:color w:val="0C5B68" w:themeColor="text2" w:themeTint="E6"/>
      <w:sz w:val="32"/>
    </w:rPr>
  </w:style>
  <w:style w:type="character" w:customStyle="1" w:styleId="Heading2Char">
    <w:name w:val="Heading 2 Char"/>
    <w:basedOn w:val="DefaultParagraphFont"/>
    <w:link w:val="Heading2"/>
    <w:uiPriority w:val="9"/>
    <w:rsid w:val="00141A40"/>
    <w:rPr>
      <w:rFonts w:asciiTheme="majorHAnsi" w:eastAsiaTheme="majorEastAsia" w:hAnsiTheme="majorHAnsi" w:cstheme="majorBidi"/>
      <w:color w:val="7D3404" w:themeColor="accent3" w:themeTint="E6"/>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141A40"/>
    <w:rPr>
      <w:rFonts w:asciiTheme="majorHAnsi" w:eastAsiaTheme="majorEastAsia" w:hAnsiTheme="majorHAnsi" w:cstheme="majorBidi"/>
      <w:iCs/>
      <w:color w:val="408479" w:themeColor="accent2"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4632E9"/>
    <w:pPr>
      <w:numPr>
        <w:numId w:val="10"/>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41A40"/>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41A40"/>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6D3D3" w:themeColor="accent4" w:themeTint="33"/>
        <w:left w:val="single" w:sz="4" w:space="4" w:color="D6D3D3" w:themeColor="accent4" w:themeTint="33"/>
        <w:bottom w:val="single" w:sz="4" w:space="6" w:color="D6D3D3" w:themeColor="accent4" w:themeTint="33"/>
        <w:right w:val="single" w:sz="4" w:space="4" w:color="D6D3D3" w:themeColor="accent4" w:themeTint="33"/>
      </w:pBdr>
      <w:shd w:val="clear" w:color="auto" w:fill="D6D3D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6D3D3" w:themeFill="accent4" w:themeFillTint="33"/>
    </w:rPr>
  </w:style>
  <w:style w:type="paragraph" w:customStyle="1" w:styleId="Calloutbox">
    <w:name w:val="Call out box"/>
    <w:basedOn w:val="Normal"/>
    <w:qFormat/>
    <w:rsid w:val="00141A40"/>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CA4FA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83A42" w:themeColor="text2"/>
    </w:rPr>
  </w:style>
  <w:style w:type="character" w:customStyle="1" w:styleId="Heading8Char">
    <w:name w:val="Heading 8 Char"/>
    <w:basedOn w:val="DefaultParagraphFont"/>
    <w:link w:val="Heading8"/>
    <w:uiPriority w:val="9"/>
    <w:rsid w:val="00CA4FAE"/>
    <w:rPr>
      <w:rFonts w:asciiTheme="majorHAnsi" w:eastAsiaTheme="majorEastAsia" w:hAnsiTheme="majorHAnsi" w:cstheme="majorBidi"/>
      <w:color w:val="562403" w:themeColor="accent3"/>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83A42"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rsid w:val="007862C8"/>
    <w:rPr>
      <w:sz w:val="20"/>
      <w:szCs w:val="20"/>
    </w:rPr>
  </w:style>
  <w:style w:type="paragraph" w:styleId="CommentSubject">
    <w:name w:val="annotation subject"/>
    <w:basedOn w:val="CommentText"/>
    <w:next w:val="CommentText"/>
    <w:link w:val="CommentSubjectChar"/>
    <w:uiPriority w:val="99"/>
    <w:semiHidden/>
    <w:unhideWhenUsed/>
    <w:rsid w:val="00BD2876"/>
    <w:rPr>
      <w:b/>
      <w:bCs/>
    </w:rPr>
  </w:style>
  <w:style w:type="character" w:customStyle="1" w:styleId="CommentSubjectChar">
    <w:name w:val="Comment Subject Char"/>
    <w:basedOn w:val="CommentTextChar"/>
    <w:link w:val="CommentSubject"/>
    <w:uiPriority w:val="99"/>
    <w:semiHidden/>
    <w:rsid w:val="00BD2876"/>
    <w:rPr>
      <w:b/>
      <w:bCs/>
      <w:sz w:val="20"/>
      <w:szCs w:val="20"/>
    </w:rPr>
  </w:style>
  <w:style w:type="paragraph" w:styleId="Revision">
    <w:name w:val="Revision"/>
    <w:hidden/>
    <w:uiPriority w:val="99"/>
    <w:semiHidden/>
    <w:rsid w:val="0067144C"/>
    <w:pPr>
      <w:spacing w:after="0" w:line="240" w:lineRule="auto"/>
    </w:pPr>
  </w:style>
  <w:style w:type="paragraph" w:styleId="NormalWeb">
    <w:name w:val="Normal (Web)"/>
    <w:basedOn w:val="Normal"/>
    <w:uiPriority w:val="99"/>
    <w:semiHidden/>
    <w:unhideWhenUsed/>
    <w:rsid w:val="009478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C6A30"/>
    <w:rPr>
      <w:color w:val="954F72" w:themeColor="followedHyperlink"/>
      <w:u w:val="single"/>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274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3524">
      <w:bodyDiv w:val="1"/>
      <w:marLeft w:val="0"/>
      <w:marRight w:val="0"/>
      <w:marTop w:val="0"/>
      <w:marBottom w:val="0"/>
      <w:divBdr>
        <w:top w:val="none" w:sz="0" w:space="0" w:color="auto"/>
        <w:left w:val="none" w:sz="0" w:space="0" w:color="auto"/>
        <w:bottom w:val="none" w:sz="0" w:space="0" w:color="auto"/>
        <w:right w:val="none" w:sz="0" w:space="0" w:color="auto"/>
      </w:divBdr>
    </w:div>
    <w:div w:id="575936498">
      <w:bodyDiv w:val="1"/>
      <w:marLeft w:val="0"/>
      <w:marRight w:val="0"/>
      <w:marTop w:val="0"/>
      <w:marBottom w:val="0"/>
      <w:divBdr>
        <w:top w:val="none" w:sz="0" w:space="0" w:color="auto"/>
        <w:left w:val="none" w:sz="0" w:space="0" w:color="auto"/>
        <w:bottom w:val="none" w:sz="0" w:space="0" w:color="auto"/>
        <w:right w:val="none" w:sz="0" w:space="0" w:color="auto"/>
      </w:divBdr>
    </w:div>
    <w:div w:id="960722504">
      <w:bodyDiv w:val="1"/>
      <w:marLeft w:val="0"/>
      <w:marRight w:val="0"/>
      <w:marTop w:val="0"/>
      <w:marBottom w:val="0"/>
      <w:divBdr>
        <w:top w:val="none" w:sz="0" w:space="0" w:color="auto"/>
        <w:left w:val="none" w:sz="0" w:space="0" w:color="auto"/>
        <w:bottom w:val="none" w:sz="0" w:space="0" w:color="auto"/>
        <w:right w:val="none" w:sz="0" w:space="0" w:color="auto"/>
      </w:divBdr>
    </w:div>
    <w:div w:id="977148140">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499535199">
      <w:bodyDiv w:val="1"/>
      <w:marLeft w:val="0"/>
      <w:marRight w:val="0"/>
      <w:marTop w:val="0"/>
      <w:marBottom w:val="0"/>
      <w:divBdr>
        <w:top w:val="none" w:sz="0" w:space="0" w:color="auto"/>
        <w:left w:val="none" w:sz="0" w:space="0" w:color="auto"/>
        <w:bottom w:val="none" w:sz="0" w:space="0" w:color="auto"/>
        <w:right w:val="none" w:sz="0" w:space="0" w:color="auto"/>
      </w:divBdr>
    </w:div>
    <w:div w:id="1560823977">
      <w:bodyDiv w:val="1"/>
      <w:marLeft w:val="0"/>
      <w:marRight w:val="0"/>
      <w:marTop w:val="0"/>
      <w:marBottom w:val="0"/>
      <w:divBdr>
        <w:top w:val="none" w:sz="0" w:space="0" w:color="auto"/>
        <w:left w:val="none" w:sz="0" w:space="0" w:color="auto"/>
        <w:bottom w:val="none" w:sz="0" w:space="0" w:color="auto"/>
        <w:right w:val="none" w:sz="0" w:space="0" w:color="auto"/>
      </w:divBdr>
    </w:div>
    <w:div w:id="1590046395">
      <w:bodyDiv w:val="1"/>
      <w:marLeft w:val="0"/>
      <w:marRight w:val="0"/>
      <w:marTop w:val="0"/>
      <w:marBottom w:val="0"/>
      <w:divBdr>
        <w:top w:val="none" w:sz="0" w:space="0" w:color="auto"/>
        <w:left w:val="none" w:sz="0" w:space="0" w:color="auto"/>
        <w:bottom w:val="none" w:sz="0" w:space="0" w:color="auto"/>
        <w:right w:val="none" w:sz="0" w:space="0" w:color="auto"/>
      </w:divBdr>
    </w:div>
    <w:div w:id="1752002474">
      <w:bodyDiv w:val="1"/>
      <w:marLeft w:val="0"/>
      <w:marRight w:val="0"/>
      <w:marTop w:val="0"/>
      <w:marBottom w:val="0"/>
      <w:divBdr>
        <w:top w:val="none" w:sz="0" w:space="0" w:color="auto"/>
        <w:left w:val="none" w:sz="0" w:space="0" w:color="auto"/>
        <w:bottom w:val="none" w:sz="0" w:space="0" w:color="auto"/>
        <w:right w:val="none" w:sz="0" w:space="0" w:color="auto"/>
      </w:divBdr>
    </w:div>
    <w:div w:id="1815369595">
      <w:bodyDiv w:val="1"/>
      <w:marLeft w:val="0"/>
      <w:marRight w:val="0"/>
      <w:marTop w:val="0"/>
      <w:marBottom w:val="0"/>
      <w:divBdr>
        <w:top w:val="none" w:sz="0" w:space="0" w:color="auto"/>
        <w:left w:val="none" w:sz="0" w:space="0" w:color="auto"/>
        <w:bottom w:val="none" w:sz="0" w:space="0" w:color="auto"/>
        <w:right w:val="none" w:sz="0" w:space="0" w:color="auto"/>
      </w:divBdr>
    </w:div>
    <w:div w:id="189472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slation.gov.au/Series/C2006A000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cceew.gov.au/environment/epbc/referral-and-assessment-proc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21A001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au/Series/C2004A04665" TargetMode="External"/><Relationship Id="rId4" Type="http://schemas.openxmlformats.org/officeDocument/2006/relationships/settings" Target="settings.xml"/><Relationship Id="rId9" Type="http://schemas.openxmlformats.org/officeDocument/2006/relationships/hyperlink" Target="https://amsis-geoscience-au.hub.arcgis.com/pages/renewabl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19B00-1B66-4EFE-A185-249F8CA0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2023-02-21T00:48:00Z</dcterms:created>
  <dcterms:modified xsi:type="dcterms:W3CDTF">2023-02-21T00:48:00Z</dcterms:modified>
</cp:coreProperties>
</file>