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B0841" w14:textId="2766446A" w:rsidR="00B82095" w:rsidRPr="00F16496" w:rsidRDefault="00A80789" w:rsidP="007C0DF3">
      <w:pPr>
        <w:pStyle w:val="Heading1"/>
      </w:pPr>
      <w:r>
        <w:t xml:space="preserve">Proposed Lighting Regulations – Post </w:t>
      </w:r>
      <w:r w:rsidR="00376626">
        <w:t>P</w:t>
      </w:r>
      <w:r w:rsidR="002B762B">
        <w:t xml:space="preserve">ublic </w:t>
      </w:r>
      <w:r w:rsidR="00376626">
        <w:t>C</w:t>
      </w:r>
      <w:r w:rsidR="002B762B">
        <w:t xml:space="preserve">onsultation </w:t>
      </w:r>
      <w:r w:rsidR="00376626">
        <w:t>P</w:t>
      </w:r>
      <w:r w:rsidR="002B762B">
        <w:t xml:space="preserve">rocess </w:t>
      </w:r>
      <w:r w:rsidR="00376626">
        <w:t>U</w:t>
      </w:r>
      <w:r w:rsidR="002B762B">
        <w:t>pdate</w:t>
      </w:r>
    </w:p>
    <w:p w14:paraId="20015DC2" w14:textId="77777777" w:rsidR="004C00EC" w:rsidRDefault="004C00EC" w:rsidP="00745D4D"/>
    <w:p w14:paraId="7C663197" w14:textId="01D33E15" w:rsidR="00745D4D" w:rsidRDefault="00745D4D" w:rsidP="00745D4D">
      <w:pPr>
        <w:rPr>
          <w:rFonts w:asciiTheme="minorHAnsi" w:hAnsiTheme="minorHAnsi"/>
        </w:rPr>
      </w:pPr>
      <w:r>
        <w:t>Updates have been made to the two lighting determinations in response to feedback received in the public consultation process. Changes have been made to specifically reduce the administrative burden on suppliers (detailed below) in the proposed LED determination, however, the proposed scope and MEPS parameters remain the same.</w:t>
      </w:r>
    </w:p>
    <w:p w14:paraId="3B286508" w14:textId="77777777" w:rsidR="00745D4D" w:rsidRDefault="00745D4D" w:rsidP="00A8157A"/>
    <w:p w14:paraId="78AC4F44" w14:textId="04F6153D" w:rsidR="00F155EA" w:rsidRPr="00F155EA" w:rsidRDefault="004C00EC" w:rsidP="006614D7">
      <w:pPr>
        <w:pStyle w:val="Heading2"/>
      </w:pPr>
      <w:r>
        <w:t xml:space="preserve">Key </w:t>
      </w:r>
      <w:r w:rsidR="006871A1">
        <w:t>I</w:t>
      </w:r>
      <w:r>
        <w:t xml:space="preserve">ssues </w:t>
      </w:r>
      <w:r w:rsidR="006871A1">
        <w:t>Raised in Submissions</w:t>
      </w:r>
    </w:p>
    <w:p w14:paraId="33EB0F2A" w14:textId="77777777" w:rsidR="006614D7" w:rsidRDefault="006614D7" w:rsidP="00CB2389">
      <w:pPr>
        <w:pStyle w:val="ListBullet"/>
        <w:numPr>
          <w:ilvl w:val="0"/>
          <w:numId w:val="0"/>
        </w:numPr>
        <w:ind w:left="425" w:hanging="425"/>
        <w:rPr>
          <w:b/>
          <w:bCs/>
        </w:rPr>
      </w:pPr>
    </w:p>
    <w:p w14:paraId="2D78DFFB" w14:textId="4FC782A0" w:rsidR="00754CA3" w:rsidRDefault="000D480C" w:rsidP="00CB2389">
      <w:pPr>
        <w:pStyle w:val="ListBullet"/>
        <w:numPr>
          <w:ilvl w:val="0"/>
          <w:numId w:val="0"/>
        </w:numPr>
        <w:ind w:left="425" w:hanging="425"/>
        <w:rPr>
          <w:b/>
          <w:bCs/>
        </w:rPr>
      </w:pPr>
      <w:r>
        <w:rPr>
          <w:b/>
          <w:bCs/>
        </w:rPr>
        <w:t>Regulatory Burden</w:t>
      </w:r>
    </w:p>
    <w:p w14:paraId="0D43F5CE" w14:textId="30C749C4" w:rsidR="009A7883" w:rsidRDefault="009A7883" w:rsidP="00F155EA">
      <w:pPr>
        <w:pStyle w:val="ListBullet"/>
        <w:numPr>
          <w:ilvl w:val="0"/>
          <w:numId w:val="0"/>
        </w:numPr>
        <w:rPr>
          <w:rFonts w:asciiTheme="minorHAnsi" w:hAnsiTheme="minorHAnsi"/>
        </w:rPr>
      </w:pPr>
      <w:r>
        <w:t>The proposed LED determination was amended to reflect the objective of minimising regulatory burden</w:t>
      </w:r>
      <w:r w:rsidR="00F155EA">
        <w:t xml:space="preserve"> </w:t>
      </w:r>
      <w:r>
        <w:t xml:space="preserve">through lowering costs of registration, including through revisions to the family definition: </w:t>
      </w:r>
    </w:p>
    <w:p w14:paraId="38970EFC" w14:textId="77777777" w:rsidR="00CB2389" w:rsidRDefault="00CB2389" w:rsidP="00F62DC5">
      <w:pPr>
        <w:pStyle w:val="ListParagraph"/>
        <w:numPr>
          <w:ilvl w:val="0"/>
          <w:numId w:val="10"/>
        </w:numPr>
        <w:spacing w:after="0"/>
      </w:pPr>
      <w:r>
        <w:t xml:space="preserve">Increasing the maximum number of models allowed in a family registration from 50 to 100, </w:t>
      </w:r>
    </w:p>
    <w:p w14:paraId="1626B929" w14:textId="77777777" w:rsidR="00CB2389" w:rsidRDefault="00CB2389" w:rsidP="00F62DC5">
      <w:pPr>
        <w:pStyle w:val="ListParagraph"/>
        <w:numPr>
          <w:ilvl w:val="0"/>
          <w:numId w:val="10"/>
        </w:numPr>
        <w:spacing w:after="0"/>
      </w:pPr>
      <w:r>
        <w:t xml:space="preserve">Removing the requirement that glass bulb shapes be the same (for single capped), </w:t>
      </w:r>
    </w:p>
    <w:p w14:paraId="669A04AD" w14:textId="77777777" w:rsidR="00CB2389" w:rsidRDefault="00CB2389" w:rsidP="00F62DC5">
      <w:pPr>
        <w:pStyle w:val="ListParagraph"/>
        <w:numPr>
          <w:ilvl w:val="0"/>
          <w:numId w:val="10"/>
        </w:numPr>
        <w:spacing w:after="0"/>
      </w:pPr>
      <w:r>
        <w:t xml:space="preserve">Allowing models (that would otherwise qualify to be in the same family) to be included in the same family if their rated performance characteristics for the parameters of colour rendering index (CRI) and L70B50 lifetime fall within one of three specified ranges. </w:t>
      </w:r>
    </w:p>
    <w:p w14:paraId="35D265C4" w14:textId="77777777" w:rsidR="00DD40B3" w:rsidRDefault="00DD40B3" w:rsidP="00F62DC5">
      <w:pPr>
        <w:pStyle w:val="ListParagraph"/>
        <w:numPr>
          <w:ilvl w:val="0"/>
          <w:numId w:val="11"/>
        </w:numPr>
        <w:spacing w:after="0"/>
      </w:pPr>
      <w:r>
        <w:t xml:space="preserve">For CRI the ranges are: ≥ 70 and &lt; 80; ≥ 80 and &lt; 90; ≥ 90. </w:t>
      </w:r>
    </w:p>
    <w:p w14:paraId="6396D7AF" w14:textId="77777777" w:rsidR="00DD40B3" w:rsidRDefault="00DD40B3" w:rsidP="00F62DC5">
      <w:pPr>
        <w:pStyle w:val="ListParagraph"/>
        <w:numPr>
          <w:ilvl w:val="0"/>
          <w:numId w:val="11"/>
        </w:numPr>
        <w:spacing w:after="0"/>
      </w:pPr>
      <w:r>
        <w:t xml:space="preserve">For single capped lamps the L70B50 ranges are: ≤ 15,000 hrs; &gt; 15,000 and ≤ 30,000 hrs; &gt; 30,000 hrs. </w:t>
      </w:r>
    </w:p>
    <w:p w14:paraId="2CDD395B" w14:textId="77777777" w:rsidR="00DD40B3" w:rsidRDefault="00DD40B3" w:rsidP="00F62DC5">
      <w:pPr>
        <w:pStyle w:val="ListParagraph"/>
        <w:numPr>
          <w:ilvl w:val="0"/>
          <w:numId w:val="11"/>
        </w:numPr>
        <w:spacing w:after="0"/>
      </w:pPr>
      <w:r>
        <w:t xml:space="preserve">For double-capped G13 and G5 LED lamps the L70B50 ranges are: ≤ 30,000 hrs; &gt; 30,000 and ≤ 60,000 hrs, &gt; 60,000 hrs. </w:t>
      </w:r>
    </w:p>
    <w:p w14:paraId="59989AC1" w14:textId="77777777" w:rsidR="005C5607" w:rsidRPr="005C5607" w:rsidRDefault="005C5607" w:rsidP="00F62DC5">
      <w:pPr>
        <w:pStyle w:val="ListParagraph"/>
        <w:numPr>
          <w:ilvl w:val="0"/>
          <w:numId w:val="12"/>
        </w:numPr>
        <w:spacing w:after="0"/>
        <w:ind w:left="851" w:hanging="425"/>
      </w:pPr>
      <w:r>
        <w:t xml:space="preserve">Removing tube length requirements (for double-capped lamps) when registering models together in a family. </w:t>
      </w:r>
    </w:p>
    <w:p w14:paraId="4E75C54A" w14:textId="77777777" w:rsidR="005C5607" w:rsidRDefault="005C5607" w:rsidP="00F62DC5">
      <w:pPr>
        <w:pStyle w:val="ListParagraph"/>
        <w:numPr>
          <w:ilvl w:val="0"/>
          <w:numId w:val="12"/>
        </w:numPr>
        <w:spacing w:after="0"/>
        <w:ind w:left="851" w:hanging="425"/>
      </w:pPr>
      <w:r>
        <w:t xml:space="preserve">In addition, the option remains for each supplier to declare a special purpose family of up to ten models within a particular product class. </w:t>
      </w:r>
    </w:p>
    <w:p w14:paraId="171E864C" w14:textId="77777777" w:rsidR="005C5607" w:rsidRDefault="005C5607" w:rsidP="00F62DC5">
      <w:pPr>
        <w:pStyle w:val="ListParagraph"/>
        <w:numPr>
          <w:ilvl w:val="0"/>
          <w:numId w:val="12"/>
        </w:numPr>
        <w:spacing w:after="0"/>
        <w:ind w:left="851" w:hanging="425"/>
        <w:rPr>
          <w:rStyle w:val="Strong"/>
        </w:rPr>
      </w:pPr>
      <w:r>
        <w:t>The family definition also allows bulbs of different brands, wattages, efficacy, and shape to be registered in the same family provided they meet the general conditions. Compliance check testing tolerances for labelling requirements are included in the determination.</w:t>
      </w:r>
    </w:p>
    <w:p w14:paraId="664DD2BC" w14:textId="77777777" w:rsidR="006E2829" w:rsidRDefault="006E2829" w:rsidP="006E2829"/>
    <w:p w14:paraId="26B3CD90" w14:textId="0DAAA377" w:rsidR="006E2829" w:rsidRPr="006E2829" w:rsidRDefault="006E2829" w:rsidP="006E2829">
      <w:pPr>
        <w:rPr>
          <w:rStyle w:val="Strong"/>
          <w:rFonts w:asciiTheme="minorHAnsi" w:hAnsiTheme="minorHAnsi"/>
        </w:rPr>
      </w:pPr>
      <w:r>
        <w:t>The full revised product family definition is at Attachment A.</w:t>
      </w:r>
    </w:p>
    <w:p w14:paraId="778C4CEE" w14:textId="77777777" w:rsidR="006155B5" w:rsidRDefault="006155B5" w:rsidP="00377A1D">
      <w:pPr>
        <w:pStyle w:val="ListBullet"/>
        <w:numPr>
          <w:ilvl w:val="0"/>
          <w:numId w:val="0"/>
        </w:numPr>
        <w:ind w:left="425" w:hanging="425"/>
        <w:rPr>
          <w:b/>
          <w:bCs/>
        </w:rPr>
      </w:pPr>
    </w:p>
    <w:p w14:paraId="1E148CFA" w14:textId="77777777" w:rsidR="00D4500A" w:rsidRDefault="00D4500A" w:rsidP="00377A1D">
      <w:pPr>
        <w:pStyle w:val="ListBullet"/>
        <w:numPr>
          <w:ilvl w:val="0"/>
          <w:numId w:val="0"/>
        </w:numPr>
        <w:ind w:left="425" w:hanging="425"/>
        <w:rPr>
          <w:b/>
          <w:bCs/>
        </w:rPr>
      </w:pPr>
    </w:p>
    <w:p w14:paraId="110F8E4C" w14:textId="77777777" w:rsidR="00D4500A" w:rsidRDefault="00D4500A" w:rsidP="00D4500A">
      <w:pPr>
        <w:rPr>
          <w:rFonts w:asciiTheme="minorHAnsi" w:hAnsiTheme="minorHAnsi"/>
        </w:rPr>
      </w:pPr>
      <w:r>
        <w:lastRenderedPageBreak/>
        <w:t xml:space="preserve">The Department of Climate Change, Energy, the Environment and water (the department) understands that there continues to be concern on the level of regulatory burden the determinations may mean for suppliers. The department considers that the changes to the family of models section in the updated determination will significantly decrease the number of registrations required from suppliers. </w:t>
      </w:r>
    </w:p>
    <w:p w14:paraId="1CD2AC1D" w14:textId="77777777" w:rsidR="00D4500A" w:rsidRDefault="00D4500A" w:rsidP="00D4500A">
      <w:pPr>
        <w:rPr>
          <w:rStyle w:val="Strong"/>
        </w:rPr>
      </w:pPr>
      <w:r>
        <w:t>The proposed alignment of the MEPS requirements with European Union (EU) regulations also means that no additional testing is required for registration in Australia. The proposed determination allows additional more flexible/modern approaches to demonstrating compliance for some parameters including useful luminous flux and colour consistency (NOTE: EU method still accepted).</w:t>
      </w:r>
    </w:p>
    <w:p w14:paraId="2C2821FD" w14:textId="77777777" w:rsidR="00D4500A" w:rsidRDefault="00D4500A" w:rsidP="006614D7">
      <w:pPr>
        <w:pStyle w:val="ListBullet"/>
        <w:numPr>
          <w:ilvl w:val="0"/>
          <w:numId w:val="0"/>
        </w:numPr>
        <w:rPr>
          <w:b/>
          <w:bCs/>
        </w:rPr>
      </w:pPr>
    </w:p>
    <w:p w14:paraId="2296F184" w14:textId="5F0F2C27" w:rsidR="007B07CE" w:rsidRDefault="007B07CE" w:rsidP="007B07CE">
      <w:pPr>
        <w:pStyle w:val="ListBullet"/>
        <w:numPr>
          <w:ilvl w:val="0"/>
          <w:numId w:val="0"/>
        </w:numPr>
        <w:ind w:left="425" w:hanging="425"/>
        <w:rPr>
          <w:b/>
          <w:bCs/>
        </w:rPr>
      </w:pPr>
      <w:r>
        <w:rPr>
          <w:b/>
          <w:bCs/>
        </w:rPr>
        <w:t>Health Concerns</w:t>
      </w:r>
    </w:p>
    <w:p w14:paraId="66BC99F1" w14:textId="13C522A2" w:rsidR="007B07CE" w:rsidRDefault="007B07CE" w:rsidP="007B07CE">
      <w:pPr>
        <w:pStyle w:val="ListBullet"/>
        <w:numPr>
          <w:ilvl w:val="0"/>
          <w:numId w:val="0"/>
        </w:numPr>
        <w:rPr>
          <w:b/>
          <w:bCs/>
        </w:rPr>
      </w:pPr>
      <w:r>
        <w:rPr>
          <w:rStyle w:val="normaltextrun"/>
          <w:rFonts w:ascii="Calibri" w:hAnsi="Calibri" w:cs="Calibri"/>
          <w:color w:val="000000"/>
          <w:shd w:val="clear" w:color="auto" w:fill="FFFFFF"/>
        </w:rPr>
        <w:t>Some submissions raised concerns about health impacts of artificial lighting and in particular LED lighting. The proposed LED determination includes health related minimum performance requirements for:</w:t>
      </w:r>
      <w:r>
        <w:rPr>
          <w:rStyle w:val="eop"/>
          <w:rFonts w:cs="Calibri"/>
          <w:color w:val="000000"/>
          <w:shd w:val="clear" w:color="auto" w:fill="FFFFFF"/>
        </w:rPr>
        <w:t> </w:t>
      </w:r>
    </w:p>
    <w:p w14:paraId="0649458D" w14:textId="77777777" w:rsidR="00616384" w:rsidRDefault="00616384" w:rsidP="00F62DC5">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Blue Light Hazard – the potential for some lighting to impact upon retina from short term acute exposure. Studies have found that normal LED domestic and office lighting regulated under the determination are not a significant risk. A blue light hazard requirement exists for mains voltage LED lamps under state electrical safety regulation. The proposed LED Determination will extend this requirement (RG0 or RG1 unlimited) to low voltage LED lamps within scope. Ultra-violet and Violet Radiation - Almost all consumer LED lamps on the market today do not emit UV light. The proposed LED MEPS specified that all lamps within scope must be RG0 – the lowest level of UV radiation risk.</w:t>
      </w:r>
      <w:r>
        <w:rPr>
          <w:rStyle w:val="eop"/>
          <w:rFonts w:eastAsiaTheme="minorHAnsi" w:cs="Calibri"/>
          <w:sz w:val="22"/>
        </w:rPr>
        <w:t> </w:t>
      </w:r>
    </w:p>
    <w:p w14:paraId="056981BC" w14:textId="12CDFA4A" w:rsidR="00D808FB" w:rsidRPr="00120BD2" w:rsidRDefault="00616384" w:rsidP="00F62DC5">
      <w:pPr>
        <w:pStyle w:val="paragraph"/>
        <w:numPr>
          <w:ilvl w:val="0"/>
          <w:numId w:val="13"/>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Temporal Light Modulation (visible and non-visible flicker) – the proposed LED Determination sets limits for flicker – maximum levels for visible (P</w:t>
      </w:r>
      <w:r>
        <w:rPr>
          <w:rStyle w:val="normaltextrun"/>
          <w:rFonts w:ascii="Calibri" w:hAnsi="Calibri" w:cs="Calibri"/>
          <w:sz w:val="17"/>
          <w:szCs w:val="17"/>
          <w:vertAlign w:val="subscript"/>
        </w:rPr>
        <w:t>st</w:t>
      </w:r>
      <w:r>
        <w:rPr>
          <w:rStyle w:val="normaltextrun"/>
          <w:rFonts w:ascii="Calibri" w:hAnsi="Calibri" w:cs="Calibri"/>
          <w:sz w:val="17"/>
          <w:szCs w:val="17"/>
          <w:vertAlign w:val="superscript"/>
        </w:rPr>
        <w:t xml:space="preserve">LM </w:t>
      </w:r>
      <w:r>
        <w:rPr>
          <w:rStyle w:val="normaltextrun"/>
          <w:rFonts w:ascii="Calibri" w:hAnsi="Calibri" w:cs="Calibri"/>
          <w:sz w:val="22"/>
          <w:szCs w:val="22"/>
        </w:rPr>
        <w:t>≤ 1) and non-visible (SVM≤ 0.9 SVM). This aligns with current EU regulations (EU will revise SVM to ≤ 0.4 on 1 September 2024).</w:t>
      </w:r>
      <w:r>
        <w:rPr>
          <w:rStyle w:val="eop"/>
          <w:rFonts w:eastAsiaTheme="minorHAnsi" w:cs="Calibri"/>
          <w:sz w:val="22"/>
        </w:rPr>
        <w:t> </w:t>
      </w:r>
    </w:p>
    <w:p w14:paraId="6673AED4" w14:textId="47403622" w:rsidR="00FB4A58" w:rsidRDefault="001760F0" w:rsidP="001760F0">
      <w:pPr>
        <w:pStyle w:val="ListBullet"/>
        <w:numPr>
          <w:ilvl w:val="0"/>
          <w:numId w:val="0"/>
        </w:numPr>
        <w:rPr>
          <w:rStyle w:val="eop"/>
          <w:rFonts w:cs="Calibri"/>
          <w:color w:val="000000"/>
          <w:shd w:val="clear" w:color="auto" w:fill="FFFFFF"/>
        </w:rPr>
      </w:pPr>
      <w:r>
        <w:rPr>
          <w:rStyle w:val="normaltextrun"/>
          <w:rFonts w:ascii="Calibri" w:hAnsi="Calibri" w:cs="Calibri"/>
          <w:color w:val="000000"/>
          <w:shd w:val="clear" w:color="auto" w:fill="FFFFFF"/>
        </w:rPr>
        <w:t>No changes to these sections in the proposed determination have been made. Blue Light Hazard is an ongoing field of research which will be monitored, and further updates could be made if required if the determinations are finalised.  </w:t>
      </w:r>
      <w:r>
        <w:rPr>
          <w:rStyle w:val="eop"/>
          <w:rFonts w:cs="Calibri"/>
          <w:color w:val="000000"/>
          <w:shd w:val="clear" w:color="auto" w:fill="FFFFFF"/>
        </w:rPr>
        <w:t> </w:t>
      </w:r>
    </w:p>
    <w:p w14:paraId="40B7CBB9" w14:textId="77777777" w:rsidR="001760F0" w:rsidRDefault="001760F0" w:rsidP="001760F0">
      <w:pPr>
        <w:pStyle w:val="ListBullet"/>
        <w:numPr>
          <w:ilvl w:val="0"/>
          <w:numId w:val="0"/>
        </w:numPr>
        <w:rPr>
          <w:rStyle w:val="eop"/>
          <w:rFonts w:cs="Calibri"/>
          <w:color w:val="000000"/>
          <w:shd w:val="clear" w:color="auto" w:fill="FFFFFF"/>
        </w:rPr>
      </w:pPr>
    </w:p>
    <w:p w14:paraId="4332DD4C" w14:textId="31142429" w:rsidR="00D808FB" w:rsidRDefault="00684022" w:rsidP="00D808FB">
      <w:pPr>
        <w:pStyle w:val="ListBullet"/>
        <w:numPr>
          <w:ilvl w:val="0"/>
          <w:numId w:val="0"/>
        </w:numPr>
        <w:ind w:left="425" w:hanging="425"/>
        <w:rPr>
          <w:b/>
          <w:bCs/>
        </w:rPr>
      </w:pPr>
      <w:r>
        <w:rPr>
          <w:b/>
          <w:bCs/>
        </w:rPr>
        <w:t>Circadian Effects</w:t>
      </w:r>
    </w:p>
    <w:p w14:paraId="773F6FEA" w14:textId="77777777" w:rsidR="00197C60" w:rsidRPr="00197C60" w:rsidRDefault="00197C60" w:rsidP="00120BD2">
      <w:pPr>
        <w:pStyle w:val="ListBullet"/>
        <w:numPr>
          <w:ilvl w:val="0"/>
          <w:numId w:val="0"/>
        </w:numPr>
        <w:rPr>
          <w:rFonts w:cs="Calibri"/>
          <w:color w:val="000000"/>
          <w:shd w:val="clear" w:color="auto" w:fill="FFFFFF"/>
        </w:rPr>
      </w:pPr>
      <w:r w:rsidRPr="00197C60">
        <w:rPr>
          <w:rFonts w:cs="Calibri"/>
          <w:color w:val="000000"/>
          <w:shd w:val="clear" w:color="auto" w:fill="FFFFFF"/>
        </w:rPr>
        <w:t xml:space="preserve">Some submissions noted LED lamps have a detrimental effect on circadian rhythms.  The department notes the advice from the </w:t>
      </w:r>
      <w:hyperlink r:id="rId11" w:tgtFrame="_blank" w:history="1">
        <w:r w:rsidRPr="00197C60">
          <w:rPr>
            <w:rStyle w:val="Hyperlink"/>
            <w:rFonts w:cs="Calibri"/>
            <w:shd w:val="clear" w:color="auto" w:fill="FFFFFF"/>
          </w:rPr>
          <w:t>ICNIRP</w:t>
        </w:r>
      </w:hyperlink>
      <w:r w:rsidRPr="00197C60">
        <w:rPr>
          <w:rFonts w:cs="Calibri"/>
          <w:color w:val="000000"/>
          <w:shd w:val="clear" w:color="auto" w:fill="FFFFFF"/>
        </w:rPr>
        <w:t xml:space="preserve"> (International Commission on Non-Ionizing Radiation Protection) that these issues relate to lighting in general terms. Lighting can influence circadian rhythms, and our understanding of how lighting can influence circadian rhythms, and the pathways in the body through which this occurs has advanced significantly over the last 20 years.  The department notes the flexibility of LED lighting in delivering light at varying wavelengths, intensity and colour temperature offers the potential for tailored lighting solutions, varying throughout the 24-hour cycle. Education of lighting suppliers, designers and the public will be an important aspect in ensuring new discoveries result in improved quality of life.  </w:t>
      </w:r>
    </w:p>
    <w:p w14:paraId="57B55BAB" w14:textId="77777777" w:rsidR="00197C60" w:rsidRPr="00197C60" w:rsidRDefault="00197C60" w:rsidP="00120BD2">
      <w:pPr>
        <w:pStyle w:val="ListBullet"/>
        <w:numPr>
          <w:ilvl w:val="0"/>
          <w:numId w:val="0"/>
        </w:numPr>
        <w:rPr>
          <w:rFonts w:cs="Calibri"/>
          <w:color w:val="000000"/>
          <w:shd w:val="clear" w:color="auto" w:fill="FFFFFF"/>
        </w:rPr>
      </w:pPr>
      <w:r w:rsidRPr="00197C60">
        <w:rPr>
          <w:rFonts w:cs="Calibri"/>
          <w:color w:val="000000"/>
          <w:shd w:val="clear" w:color="auto" w:fill="FFFFFF"/>
        </w:rPr>
        <w:t>The department notes that specific advice and lighting design may be required for groups such as shift workers and the elderly.  No changes to the proposed LED determination have been made. </w:t>
      </w:r>
    </w:p>
    <w:p w14:paraId="3BE45F90" w14:textId="7F63305C" w:rsidR="00D808FB" w:rsidRDefault="007A369A" w:rsidP="001760F0">
      <w:pPr>
        <w:pStyle w:val="ListBullet"/>
        <w:numPr>
          <w:ilvl w:val="0"/>
          <w:numId w:val="0"/>
        </w:numPr>
        <w:rPr>
          <w:rStyle w:val="eop"/>
          <w:rFonts w:cs="Calibri"/>
          <w:color w:val="000000"/>
          <w:shd w:val="clear" w:color="auto" w:fill="FFFFFF"/>
        </w:rPr>
      </w:pPr>
      <w:r w:rsidRPr="007A369A">
        <w:rPr>
          <w:b/>
          <w:bCs/>
        </w:rPr>
        <w:lastRenderedPageBreak/>
        <w:t xml:space="preserve">Efficiency </w:t>
      </w:r>
      <w:r>
        <w:rPr>
          <w:b/>
          <w:bCs/>
        </w:rPr>
        <w:t>L</w:t>
      </w:r>
      <w:r w:rsidRPr="007A369A">
        <w:rPr>
          <w:b/>
          <w:bCs/>
        </w:rPr>
        <w:t xml:space="preserve">abelling on </w:t>
      </w:r>
      <w:r>
        <w:rPr>
          <w:b/>
          <w:bCs/>
        </w:rPr>
        <w:t>L</w:t>
      </w:r>
      <w:r w:rsidRPr="007A369A">
        <w:rPr>
          <w:b/>
          <w:bCs/>
        </w:rPr>
        <w:t xml:space="preserve">ighting </w:t>
      </w:r>
      <w:r>
        <w:rPr>
          <w:b/>
          <w:bCs/>
        </w:rPr>
        <w:t>P</w:t>
      </w:r>
      <w:r w:rsidRPr="007A369A">
        <w:rPr>
          <w:b/>
          <w:bCs/>
        </w:rPr>
        <w:t xml:space="preserve">roduct </w:t>
      </w:r>
      <w:r>
        <w:rPr>
          <w:b/>
          <w:bCs/>
        </w:rPr>
        <w:t>P</w:t>
      </w:r>
      <w:r w:rsidRPr="007A369A">
        <w:rPr>
          <w:b/>
          <w:bCs/>
        </w:rPr>
        <w:t>ackaging</w:t>
      </w:r>
    </w:p>
    <w:p w14:paraId="276A0858" w14:textId="753DB177" w:rsidR="00DA5B98" w:rsidRPr="00DA5B98" w:rsidRDefault="00DA5B98" w:rsidP="00363A23">
      <w:pPr>
        <w:pStyle w:val="ListBullet"/>
        <w:numPr>
          <w:ilvl w:val="0"/>
          <w:numId w:val="0"/>
        </w:numPr>
      </w:pPr>
      <w:r w:rsidRPr="00DA5B98">
        <w:t xml:space="preserve">Some submissions called for comparative efficiency labelling on product packaging to help consumers make informed choices, pointing out that not all LED lamps are equally efficient.  Given the small size of many lamp packages and the global nature of lighting products, it is challenging for energy labels to be included on packages. The proposed LED lamp determination requires the product efficiency expressed in lumens per Watt to be marked on the package.   </w:t>
      </w:r>
    </w:p>
    <w:p w14:paraId="721C66F0" w14:textId="29CED021" w:rsidR="001760F0" w:rsidRDefault="00DA5B98" w:rsidP="00DA5B98">
      <w:pPr>
        <w:pStyle w:val="ListBullet"/>
        <w:numPr>
          <w:ilvl w:val="0"/>
          <w:numId w:val="0"/>
        </w:numPr>
      </w:pPr>
      <w:r w:rsidRPr="00DA5B98">
        <w:t>No changes to the determination have been made. The department notes that if the determinations are agreed, educational resources will be provided to assist consumers in using this information to compare the efficiency of products and make informed choices.</w:t>
      </w:r>
    </w:p>
    <w:p w14:paraId="2EE1071B" w14:textId="77777777" w:rsidR="00363A23" w:rsidRDefault="00363A23" w:rsidP="00DA5B98">
      <w:pPr>
        <w:pStyle w:val="ListBullet"/>
        <w:numPr>
          <w:ilvl w:val="0"/>
          <w:numId w:val="0"/>
        </w:numPr>
      </w:pPr>
    </w:p>
    <w:p w14:paraId="6C2E8C94" w14:textId="26A1F2F9" w:rsidR="00A9602A" w:rsidRDefault="00B948C5" w:rsidP="00DA5B98">
      <w:pPr>
        <w:pStyle w:val="ListBullet"/>
        <w:numPr>
          <w:ilvl w:val="0"/>
          <w:numId w:val="0"/>
        </w:numPr>
      </w:pPr>
      <w:r w:rsidRPr="00B948C5">
        <w:rPr>
          <w:b/>
          <w:bCs/>
        </w:rPr>
        <w:t xml:space="preserve">Further </w:t>
      </w:r>
      <w:r>
        <w:rPr>
          <w:b/>
          <w:bCs/>
        </w:rPr>
        <w:t>P</w:t>
      </w:r>
      <w:r w:rsidRPr="00B948C5">
        <w:rPr>
          <w:b/>
          <w:bCs/>
        </w:rPr>
        <w:t>hase-out</w:t>
      </w:r>
    </w:p>
    <w:p w14:paraId="644F515A" w14:textId="77777777" w:rsidR="001458A4" w:rsidRPr="001458A4" w:rsidRDefault="001458A4" w:rsidP="00380EE9">
      <w:pPr>
        <w:pStyle w:val="ListBullet"/>
        <w:numPr>
          <w:ilvl w:val="0"/>
          <w:numId w:val="0"/>
        </w:numPr>
      </w:pPr>
      <w:r w:rsidRPr="001458A4">
        <w:t>Some submissions called for the phase-out of fluorescent and all incandescent lamps. The scope of the phase-out in the revised incandescent determination has been designed to allow the continued sale of some niche products where alternatives are not yet practical. Low voltage halogen products will continue to be available, but subject to MEPS as the cost of household dimmer conversion may be a barrier.   </w:t>
      </w:r>
    </w:p>
    <w:p w14:paraId="51F0C841" w14:textId="77777777" w:rsidR="001458A4" w:rsidRPr="001458A4" w:rsidRDefault="001458A4" w:rsidP="00380EE9">
      <w:pPr>
        <w:pStyle w:val="ListBullet"/>
        <w:numPr>
          <w:ilvl w:val="0"/>
          <w:numId w:val="0"/>
        </w:numPr>
      </w:pPr>
      <w:r w:rsidRPr="001458A4">
        <w:t>While no changes to the proposed update to the incandescent determination have been made, if the determination is agreed, the scope of the phase-out will continue to be monitored and considered in future reviews. </w:t>
      </w:r>
    </w:p>
    <w:p w14:paraId="1D3F484C" w14:textId="77777777" w:rsidR="001458A4" w:rsidRDefault="001458A4" w:rsidP="00380EE9">
      <w:pPr>
        <w:pStyle w:val="ListBullet"/>
        <w:numPr>
          <w:ilvl w:val="0"/>
          <w:numId w:val="0"/>
        </w:numPr>
      </w:pPr>
      <w:r w:rsidRPr="001458A4">
        <w:t>The department notes that consideration of next steps for compact and linear fluorescent lighting is being considered in the context of Australia’s obligations under the Minamata Convention on Mercury. </w:t>
      </w:r>
    </w:p>
    <w:p w14:paraId="04EB71CF" w14:textId="77777777" w:rsidR="00380EE9" w:rsidRDefault="00380EE9" w:rsidP="00380EE9">
      <w:pPr>
        <w:pStyle w:val="ListBullet"/>
        <w:numPr>
          <w:ilvl w:val="0"/>
          <w:numId w:val="0"/>
        </w:numPr>
      </w:pPr>
    </w:p>
    <w:p w14:paraId="4A1DB174" w14:textId="6ED4538E" w:rsidR="00380EE9" w:rsidRDefault="00380EE9" w:rsidP="00380EE9">
      <w:pPr>
        <w:pStyle w:val="ListBullet"/>
        <w:numPr>
          <w:ilvl w:val="0"/>
          <w:numId w:val="0"/>
        </w:numPr>
      </w:pPr>
      <w:r w:rsidRPr="001458A4">
        <w:rPr>
          <w:b/>
          <w:bCs/>
        </w:rPr>
        <w:t xml:space="preserve">Potential </w:t>
      </w:r>
      <w:r>
        <w:rPr>
          <w:b/>
          <w:bCs/>
        </w:rPr>
        <w:t>L</w:t>
      </w:r>
      <w:r w:rsidRPr="001458A4">
        <w:rPr>
          <w:b/>
          <w:bCs/>
        </w:rPr>
        <w:t>oophole in Incandescent Determination</w:t>
      </w:r>
    </w:p>
    <w:p w14:paraId="1FC5478E" w14:textId="62966FFC" w:rsidR="001458A4" w:rsidRDefault="001458A4" w:rsidP="00380EE9">
      <w:pPr>
        <w:pStyle w:val="ListBullet"/>
        <w:numPr>
          <w:ilvl w:val="0"/>
          <w:numId w:val="0"/>
        </w:numPr>
      </w:pPr>
      <w:r w:rsidRPr="001458A4">
        <w:t>A submission noted that it may be possible for lamps to be sold in Australia outside the scope identified for extra low voltage lamps by claiming to be 12 V dc.  The determination has been amended to refer to both ac and dc to close that loophole. </w:t>
      </w:r>
    </w:p>
    <w:p w14:paraId="00EEC7EA" w14:textId="77777777" w:rsidR="00070537" w:rsidRDefault="00070537" w:rsidP="00380EE9">
      <w:pPr>
        <w:pStyle w:val="ListBullet"/>
        <w:numPr>
          <w:ilvl w:val="0"/>
          <w:numId w:val="0"/>
        </w:numPr>
      </w:pPr>
    </w:p>
    <w:p w14:paraId="3F51CDB8" w14:textId="7372D59A" w:rsidR="00380EE9" w:rsidRDefault="00070537" w:rsidP="00380EE9">
      <w:pPr>
        <w:pStyle w:val="ListBullet"/>
        <w:numPr>
          <w:ilvl w:val="0"/>
          <w:numId w:val="0"/>
        </w:numPr>
      </w:pPr>
      <w:r w:rsidRPr="001458A4">
        <w:rPr>
          <w:b/>
          <w:bCs/>
        </w:rPr>
        <w:t>Need for LED MEPS</w:t>
      </w:r>
    </w:p>
    <w:p w14:paraId="6E56D20C" w14:textId="460BB702" w:rsidR="001458A4" w:rsidRPr="001458A4" w:rsidRDefault="001458A4" w:rsidP="006614D7">
      <w:pPr>
        <w:pStyle w:val="ListBullet"/>
        <w:numPr>
          <w:ilvl w:val="0"/>
          <w:numId w:val="0"/>
        </w:numPr>
      </w:pPr>
      <w:r w:rsidRPr="001458A4">
        <w:t>Some submissions questioned the need for regulation of LED lamps under the GEMS Act given their efficiency and market penetration. While the uptake of LED lighting has increased significantly over the past few years, some use of incandescent lamps remains. The department notes that the average efficiency of LED lamps has not increased in line with expectations in the 2018 RIS.   </w:t>
      </w:r>
    </w:p>
    <w:p w14:paraId="13C510CC" w14:textId="77777777" w:rsidR="001458A4" w:rsidRPr="001458A4" w:rsidRDefault="001458A4" w:rsidP="006614D7">
      <w:pPr>
        <w:pStyle w:val="ListBullet"/>
        <w:numPr>
          <w:ilvl w:val="0"/>
          <w:numId w:val="0"/>
        </w:numPr>
      </w:pPr>
      <w:r w:rsidRPr="001458A4">
        <w:t>The exposure draft LED determination proposed information be available on packaging to help consumers transition to or replace older less efficient LED lamps.  The department notes that the proposed LED MEPS performance requirements and monitoring and compliance could help remove poorer quality products from the market, increasing consumer confidence as the transition occurs.  </w:t>
      </w:r>
    </w:p>
    <w:p w14:paraId="0A220E19" w14:textId="77777777" w:rsidR="001458A4" w:rsidRPr="001458A4" w:rsidRDefault="001458A4" w:rsidP="006614D7">
      <w:pPr>
        <w:pStyle w:val="ListBullet"/>
        <w:numPr>
          <w:ilvl w:val="0"/>
          <w:numId w:val="0"/>
        </w:numPr>
      </w:pPr>
      <w:r w:rsidRPr="001458A4">
        <w:lastRenderedPageBreak/>
        <w:t>Some other submissions noted that with the increasing number of other countries putting LED MEPS in place (79% of the world population have MEPS in place or under development), without regulation, there is an increased risk for Australia to become a dumping ground for poor quality products. </w:t>
      </w:r>
    </w:p>
    <w:p w14:paraId="57837A18" w14:textId="77777777" w:rsidR="001458A4" w:rsidRPr="001458A4" w:rsidRDefault="001458A4" w:rsidP="006614D7">
      <w:pPr>
        <w:pStyle w:val="ListBullet"/>
        <w:numPr>
          <w:ilvl w:val="0"/>
          <w:numId w:val="0"/>
        </w:numPr>
      </w:pPr>
      <w:r w:rsidRPr="001458A4">
        <w:t>No changes to the proposed determination have been made in response to these issues. </w:t>
      </w:r>
    </w:p>
    <w:p w14:paraId="6C4CF8E2" w14:textId="77777777" w:rsidR="009865B8" w:rsidRDefault="009865B8" w:rsidP="009865B8">
      <w:pPr>
        <w:pStyle w:val="ListBullet"/>
        <w:numPr>
          <w:ilvl w:val="0"/>
          <w:numId w:val="0"/>
        </w:numPr>
        <w:rPr>
          <w:b/>
          <w:bCs/>
        </w:rPr>
      </w:pPr>
    </w:p>
    <w:p w14:paraId="06C5E413" w14:textId="6B0FADC5" w:rsidR="009865B8" w:rsidRDefault="009865B8" w:rsidP="009865B8">
      <w:pPr>
        <w:pStyle w:val="ListBullet"/>
        <w:numPr>
          <w:ilvl w:val="0"/>
          <w:numId w:val="0"/>
        </w:numPr>
      </w:pPr>
      <w:r>
        <w:rPr>
          <w:b/>
          <w:bCs/>
        </w:rPr>
        <w:t>Rebound Effect</w:t>
      </w:r>
    </w:p>
    <w:p w14:paraId="5E16978F" w14:textId="538A4418" w:rsidR="00363A23" w:rsidRDefault="009865B8" w:rsidP="00DA5B98">
      <w:pPr>
        <w:pStyle w:val="ListBullet"/>
        <w:numPr>
          <w:ilvl w:val="0"/>
          <w:numId w:val="0"/>
        </w:numPr>
      </w:pPr>
      <w:r>
        <w:rPr>
          <w:rStyle w:val="normaltextrun"/>
          <w:rFonts w:ascii="Calibri" w:hAnsi="Calibri" w:cs="Calibri"/>
          <w:color w:val="000000"/>
          <w:shd w:val="clear" w:color="auto" w:fill="FFFFFF"/>
        </w:rPr>
        <w:t xml:space="preserve">A submission noted the potential for energy and emissions gains achieved through the move to LED lighting to be lost again due to a proliferation of lighting. The scope of the proposed incandescent and LED determinations is likely to influence the nature of lighting most significantly in indoor residential, commercial and public spaces. In these spaces the amount and distribution of lighting devices in use will generally be limited by the amount of lighting services required at any one time, as well as the requirements of the National Construction Code. There may be a greater potential for proliferation in outdoor lighting. A significant portion of new outdoor lighting has already transitioned to integrated LED luminaires which are outside the scope of the proposed MEPS for LED lamps. The Department has developed </w:t>
      </w:r>
      <w:hyperlink r:id="rId12" w:tgtFrame="_blank" w:history="1">
        <w:r w:rsidRPr="009324F4">
          <w:rPr>
            <w:rStyle w:val="normaltextrun"/>
            <w:rFonts w:ascii="Calibri" w:hAnsi="Calibri" w:cs="Calibri"/>
            <w:color w:val="0070C0"/>
            <w:shd w:val="clear" w:color="auto" w:fill="FFFFFF"/>
          </w:rPr>
          <w:t>National Light Pollution Guidelines for Wildlife</w:t>
        </w:r>
      </w:hyperlink>
      <w:r w:rsidRPr="009324F4">
        <w:rPr>
          <w:rStyle w:val="normaltextrun"/>
          <w:rFonts w:ascii="Calibri" w:hAnsi="Calibri" w:cs="Calibri"/>
          <w:color w:val="0070C0"/>
          <w:shd w:val="clear" w:color="auto" w:fill="FFFFFF"/>
        </w:rPr>
        <w:t xml:space="preserve"> </w:t>
      </w:r>
      <w:r>
        <w:rPr>
          <w:rStyle w:val="normaltextrun"/>
          <w:rFonts w:ascii="Calibri" w:hAnsi="Calibri" w:cs="Calibri"/>
          <w:color w:val="000000"/>
          <w:shd w:val="clear" w:color="auto" w:fill="FFFFFF"/>
        </w:rPr>
        <w:t>that provides guidance on minimisation of the impact of artificial light upon the behaviour, survivorship or reproduction of wildlife. Outdoor lighting impacts are also being addressed at the state and local government level. </w:t>
      </w:r>
      <w:r>
        <w:rPr>
          <w:rStyle w:val="eop"/>
          <w:rFonts w:cs="Calibri"/>
          <w:color w:val="000000"/>
          <w:shd w:val="clear" w:color="auto" w:fill="FFFFFF"/>
        </w:rPr>
        <w:t> </w:t>
      </w:r>
    </w:p>
    <w:p w14:paraId="475163A9" w14:textId="77777777" w:rsidR="00363A23" w:rsidRDefault="00363A23" w:rsidP="00DA5B98">
      <w:pPr>
        <w:pStyle w:val="ListBullet"/>
        <w:numPr>
          <w:ilvl w:val="0"/>
          <w:numId w:val="0"/>
        </w:numPr>
      </w:pPr>
    </w:p>
    <w:p w14:paraId="0D391115" w14:textId="0F3630B0" w:rsidR="009324F4" w:rsidRDefault="009324F4" w:rsidP="009324F4">
      <w:pPr>
        <w:pStyle w:val="ListBullet"/>
        <w:numPr>
          <w:ilvl w:val="0"/>
          <w:numId w:val="0"/>
        </w:numPr>
      </w:pPr>
      <w:r>
        <w:rPr>
          <w:b/>
          <w:bCs/>
        </w:rPr>
        <w:t>End of Life Management</w:t>
      </w:r>
    </w:p>
    <w:p w14:paraId="183CC802" w14:textId="2CF68404" w:rsidR="009324F4" w:rsidRDefault="009324F4" w:rsidP="00DA5B98">
      <w:pPr>
        <w:pStyle w:val="ListBullet"/>
        <w:numPr>
          <w:ilvl w:val="0"/>
          <w:numId w:val="0"/>
        </w:numPr>
        <w:rPr>
          <w:rStyle w:val="eop"/>
          <w:rFonts w:cs="Calibri"/>
          <w:color w:val="000000"/>
          <w:shd w:val="clear" w:color="auto" w:fill="FFFFFF"/>
        </w:rPr>
      </w:pPr>
      <w:r>
        <w:rPr>
          <w:rStyle w:val="normaltextrun"/>
          <w:rFonts w:ascii="Calibri" w:hAnsi="Calibri" w:cs="Calibri"/>
          <w:color w:val="000000"/>
          <w:shd w:val="clear" w:color="auto" w:fill="FFFFFF"/>
        </w:rPr>
        <w:t xml:space="preserve">A submission also raised this issue.  The department notes a </w:t>
      </w:r>
      <w:hyperlink r:id="rId13" w:tgtFrame="_blank" w:history="1">
        <w:r w:rsidRPr="009324F4">
          <w:rPr>
            <w:rStyle w:val="normaltextrun"/>
            <w:rFonts w:ascii="Calibri" w:hAnsi="Calibri" w:cs="Calibri"/>
            <w:color w:val="0070C0"/>
            <w:shd w:val="clear" w:color="auto" w:fill="FFFFFF"/>
          </w:rPr>
          <w:t>Lifecycle assessment</w:t>
        </w:r>
      </w:hyperlink>
      <w:r>
        <w:rPr>
          <w:rStyle w:val="normaltextrun"/>
          <w:rFonts w:ascii="Calibri" w:hAnsi="Calibri" w:cs="Calibri"/>
          <w:color w:val="000000"/>
          <w:shd w:val="clear" w:color="auto" w:fill="FFFFFF"/>
        </w:rPr>
        <w:t xml:space="preserve"> of residential lighting in Australia that shows that most of the potential impacts of lighting are generated by the use phase, confirming that high efficacy lamps should be favoured in order to reduce energy consumption. End of life management for electronic devices is an increasingly important issue. The Australian Government is developing </w:t>
      </w:r>
      <w:hyperlink r:id="rId14" w:anchor="daff-page-main" w:tgtFrame="_blank" w:history="1">
        <w:r w:rsidRPr="009324F4">
          <w:rPr>
            <w:rStyle w:val="normaltextrun"/>
            <w:rFonts w:ascii="Calibri" w:hAnsi="Calibri" w:cs="Calibri"/>
            <w:color w:val="0070C0"/>
            <w:shd w:val="clear" w:color="auto" w:fill="FFFFFF"/>
          </w:rPr>
          <w:t>mandatory product stewardship scheme</w:t>
        </w:r>
      </w:hyperlink>
      <w:r w:rsidRPr="009324F4">
        <w:rPr>
          <w:rStyle w:val="normaltextrun"/>
          <w:rFonts w:ascii="Calibri" w:hAnsi="Calibri" w:cs="Calibri"/>
          <w:color w:val="0070C0"/>
          <w:shd w:val="clear" w:color="auto" w:fill="FFFFFF"/>
        </w:rPr>
        <w:t>s</w:t>
      </w:r>
      <w:r>
        <w:rPr>
          <w:rStyle w:val="normaltextrun"/>
          <w:rFonts w:ascii="Calibri" w:hAnsi="Calibri" w:cs="Calibri"/>
          <w:color w:val="000000"/>
          <w:shd w:val="clear" w:color="auto" w:fill="FFFFFF"/>
        </w:rPr>
        <w:t xml:space="preserve"> to reduce waste from small electrical products and solar photovoltaic systems. The proposed further phase-out of incandescent lamps will accelerate and result in a more complete transition to LED lighting, however it is a transition already underway.  The proposed minimum performance parameters include requirements for endurance testing (to minimise early failure) and lumen maintenance testing (related to lifetime performance).  Lamps that meet these requirements should increase the length of service life for LED lighting and reduce the annual volume of lighting waste.</w:t>
      </w:r>
      <w:r>
        <w:rPr>
          <w:rStyle w:val="eop"/>
          <w:rFonts w:cs="Calibri"/>
          <w:color w:val="000000"/>
          <w:shd w:val="clear" w:color="auto" w:fill="FFFFFF"/>
        </w:rPr>
        <w:t> </w:t>
      </w:r>
    </w:p>
    <w:p w14:paraId="4BBBF930" w14:textId="77777777" w:rsidR="009324F4" w:rsidRDefault="009324F4" w:rsidP="00DA5B98">
      <w:pPr>
        <w:pStyle w:val="ListBullet"/>
        <w:numPr>
          <w:ilvl w:val="0"/>
          <w:numId w:val="0"/>
        </w:numPr>
        <w:rPr>
          <w:rStyle w:val="eop"/>
          <w:rFonts w:cs="Calibri"/>
          <w:color w:val="000000"/>
          <w:shd w:val="clear" w:color="auto" w:fill="FFFFFF"/>
        </w:rPr>
      </w:pPr>
    </w:p>
    <w:p w14:paraId="5F0455CF" w14:textId="36DA9AB7" w:rsidR="005B3788" w:rsidRPr="00F155EA" w:rsidRDefault="005B3788" w:rsidP="005B3788">
      <w:pPr>
        <w:pStyle w:val="Heading2"/>
      </w:pPr>
      <w:r>
        <w:t>Next Steps</w:t>
      </w:r>
    </w:p>
    <w:p w14:paraId="14CED4EE" w14:textId="77777777" w:rsidR="006F1127" w:rsidRPr="006F1127" w:rsidRDefault="006F1127" w:rsidP="006F1127">
      <w:pPr>
        <w:pStyle w:val="ListBullet"/>
        <w:numPr>
          <w:ilvl w:val="0"/>
          <w:numId w:val="0"/>
        </w:numPr>
      </w:pPr>
      <w:r w:rsidRPr="006F1127">
        <w:t>This information has been incorporated into the process to finalise the determinations ahead of any consideration by Energy Ministers. </w:t>
      </w:r>
    </w:p>
    <w:p w14:paraId="5DCB7B43" w14:textId="77777777" w:rsidR="006F1127" w:rsidRDefault="006F1127" w:rsidP="006F1127">
      <w:pPr>
        <w:pStyle w:val="ListBullet"/>
        <w:numPr>
          <w:ilvl w:val="0"/>
          <w:numId w:val="0"/>
        </w:numPr>
      </w:pPr>
      <w:r w:rsidRPr="006F1127">
        <w:t>There will also be further collaboration with stakeholders during the development and testing of the online registration forms.   </w:t>
      </w:r>
    </w:p>
    <w:p w14:paraId="368E20E4" w14:textId="77777777" w:rsidR="00E73BE9" w:rsidRDefault="00E73BE9" w:rsidP="00E73BE9">
      <w:pPr>
        <w:pStyle w:val="Heading2"/>
      </w:pPr>
    </w:p>
    <w:p w14:paraId="00D9B572" w14:textId="77777777" w:rsidR="00A9171D" w:rsidRDefault="00A9171D" w:rsidP="00E73BE9">
      <w:pPr>
        <w:pStyle w:val="ListBullet"/>
        <w:numPr>
          <w:ilvl w:val="0"/>
          <w:numId w:val="0"/>
        </w:numPr>
        <w:ind w:left="425" w:hanging="425"/>
        <w:rPr>
          <w:rFonts w:ascii="Calibri" w:eastAsiaTheme="minorEastAsia" w:hAnsi="Calibri"/>
          <w:b/>
          <w:bCs/>
          <w:color w:val="083A42" w:themeColor="text1"/>
          <w:sz w:val="28"/>
          <w:szCs w:val="28"/>
          <w:lang w:eastAsia="ja-JP"/>
        </w:rPr>
      </w:pPr>
    </w:p>
    <w:p w14:paraId="709BEE8E" w14:textId="2BECF155" w:rsidR="005A2A59" w:rsidRPr="00440AC5" w:rsidRDefault="00E73BE9" w:rsidP="00440AC5">
      <w:pPr>
        <w:pStyle w:val="ListBullet"/>
        <w:numPr>
          <w:ilvl w:val="0"/>
          <w:numId w:val="0"/>
        </w:numPr>
        <w:ind w:left="425" w:hanging="425"/>
        <w:rPr>
          <w:rFonts w:ascii="Calibri" w:eastAsiaTheme="minorEastAsia" w:hAnsi="Calibri"/>
          <w:b/>
          <w:bCs/>
          <w:color w:val="083A42" w:themeColor="text1"/>
          <w:sz w:val="28"/>
          <w:szCs w:val="28"/>
          <w:lang w:eastAsia="ja-JP"/>
        </w:rPr>
      </w:pPr>
      <w:r w:rsidRPr="00E73BE9">
        <w:rPr>
          <w:rFonts w:ascii="Calibri" w:eastAsiaTheme="minorEastAsia" w:hAnsi="Calibri"/>
          <w:b/>
          <w:bCs/>
          <w:color w:val="083A42" w:themeColor="text1"/>
          <w:sz w:val="28"/>
          <w:szCs w:val="28"/>
          <w:lang w:eastAsia="ja-JP"/>
        </w:rPr>
        <w:lastRenderedPageBreak/>
        <w:t>Attachment A – Revised LED Family of Models Definition </w:t>
      </w:r>
    </w:p>
    <w:p w14:paraId="603770F0" w14:textId="6D7D2288" w:rsidR="00440AC5" w:rsidRDefault="00440AC5" w:rsidP="00440AC5">
      <w:pPr>
        <w:pStyle w:val="ListBullet"/>
        <w:numPr>
          <w:ilvl w:val="0"/>
          <w:numId w:val="0"/>
        </w:numPr>
      </w:pPr>
      <w:r>
        <w:rPr>
          <w:b/>
          <w:bCs/>
        </w:rPr>
        <w:t>Families of Models</w:t>
      </w:r>
    </w:p>
    <w:p w14:paraId="73C9FFF9" w14:textId="77777777" w:rsidR="00FD2A47" w:rsidRPr="00FD2A47" w:rsidRDefault="00FD2A47" w:rsidP="00743DB7">
      <w:pPr>
        <w:pStyle w:val="paragraph"/>
        <w:spacing w:before="0" w:beforeAutospacing="0" w:after="0" w:afterAutospacing="0"/>
        <w:ind w:left="284" w:hanging="284"/>
        <w:textAlignment w:val="baseline"/>
        <w:rPr>
          <w:rFonts w:asciiTheme="minorHAnsi" w:hAnsiTheme="minorHAnsi" w:cstheme="minorHAnsi"/>
          <w:sz w:val="18"/>
          <w:szCs w:val="18"/>
        </w:rPr>
      </w:pPr>
      <w:r w:rsidRPr="00FD2A47">
        <w:rPr>
          <w:rStyle w:val="normaltextrun"/>
          <w:rFonts w:asciiTheme="minorHAnsi" w:eastAsiaTheme="minorHAnsi" w:hAnsiTheme="minorHAnsi" w:cstheme="minorHAnsi"/>
          <w:sz w:val="22"/>
        </w:rPr>
        <w:t>(1)</w:t>
      </w:r>
      <w:r w:rsidRPr="00FD2A47">
        <w:rPr>
          <w:rStyle w:val="tabchar"/>
          <w:rFonts w:asciiTheme="minorHAnsi" w:eastAsiaTheme="minorHAnsi" w:hAnsiTheme="minorHAnsi" w:cstheme="minorHAnsi"/>
          <w:sz w:val="22"/>
        </w:rPr>
        <w:tab/>
      </w:r>
      <w:r w:rsidRPr="00FD2A47">
        <w:rPr>
          <w:rStyle w:val="normaltextrun"/>
          <w:rFonts w:asciiTheme="minorHAnsi" w:eastAsiaTheme="minorHAnsi" w:hAnsiTheme="minorHAnsi" w:cstheme="minorHAnsi"/>
          <w:sz w:val="22"/>
        </w:rPr>
        <w:t xml:space="preserve"> For the purposes of section 28 of the Act, for a particular product class covered by this instrument, 2 or more models are in the same family of models if:</w:t>
      </w:r>
      <w:r w:rsidRPr="00FD2A47">
        <w:rPr>
          <w:rStyle w:val="eop"/>
          <w:rFonts w:asciiTheme="minorHAnsi" w:hAnsiTheme="minorHAnsi" w:cstheme="minorHAnsi"/>
          <w:sz w:val="22"/>
          <w:szCs w:val="22"/>
        </w:rPr>
        <w:t> </w:t>
      </w:r>
    </w:p>
    <w:p w14:paraId="276DEAAB" w14:textId="77777777" w:rsidR="00FD2A47" w:rsidRPr="00FD2A47" w:rsidRDefault="00FD2A47" w:rsidP="00381BC8">
      <w:pPr>
        <w:pStyle w:val="paragraph"/>
        <w:spacing w:before="0" w:beforeAutospacing="0" w:after="0" w:afterAutospacing="0"/>
        <w:ind w:left="1134" w:hanging="425"/>
        <w:textAlignment w:val="baseline"/>
        <w:rPr>
          <w:rFonts w:asciiTheme="minorHAnsi" w:hAnsiTheme="minorHAnsi" w:cstheme="minorHAnsi"/>
          <w:sz w:val="18"/>
          <w:szCs w:val="18"/>
        </w:rPr>
      </w:pPr>
      <w:r w:rsidRPr="00FD2A47">
        <w:rPr>
          <w:rStyle w:val="normaltextrun"/>
          <w:rFonts w:asciiTheme="minorHAnsi" w:eastAsiaTheme="minorHAnsi" w:hAnsiTheme="minorHAnsi" w:cstheme="minorHAnsi"/>
          <w:sz w:val="22"/>
        </w:rPr>
        <w:t>(a)</w:t>
      </w:r>
      <w:r w:rsidRPr="00FD2A47">
        <w:rPr>
          <w:rStyle w:val="tabchar"/>
          <w:rFonts w:asciiTheme="minorHAnsi" w:eastAsiaTheme="minorHAnsi" w:hAnsiTheme="minorHAnsi" w:cstheme="minorHAnsi"/>
          <w:sz w:val="22"/>
        </w:rPr>
        <w:tab/>
      </w:r>
      <w:r w:rsidRPr="00FD2A47">
        <w:rPr>
          <w:rStyle w:val="normaltextrun"/>
          <w:rFonts w:asciiTheme="minorHAnsi" w:eastAsiaTheme="minorHAnsi" w:hAnsiTheme="minorHAnsi" w:cstheme="minorHAnsi"/>
          <w:sz w:val="22"/>
        </w:rPr>
        <w:t>they are members of a family that has been declared to the GEMS Regulator; and</w:t>
      </w:r>
      <w:r w:rsidRPr="00FD2A47">
        <w:rPr>
          <w:rStyle w:val="eop"/>
          <w:rFonts w:asciiTheme="minorHAnsi" w:hAnsiTheme="minorHAnsi" w:cstheme="minorHAnsi"/>
          <w:sz w:val="22"/>
          <w:szCs w:val="22"/>
        </w:rPr>
        <w:t> </w:t>
      </w:r>
    </w:p>
    <w:p w14:paraId="3ED07BA9" w14:textId="77777777" w:rsidR="00FD2A47" w:rsidRDefault="00FD2A47" w:rsidP="00381BC8">
      <w:pPr>
        <w:pStyle w:val="paragraph"/>
        <w:spacing w:before="0" w:beforeAutospacing="0" w:after="0" w:afterAutospacing="0"/>
        <w:ind w:left="1134" w:hanging="425"/>
        <w:textAlignment w:val="baseline"/>
        <w:rPr>
          <w:rStyle w:val="eop"/>
          <w:rFonts w:asciiTheme="minorHAnsi" w:hAnsiTheme="minorHAnsi" w:cstheme="minorHAnsi"/>
          <w:sz w:val="22"/>
          <w:szCs w:val="22"/>
        </w:rPr>
      </w:pPr>
      <w:r w:rsidRPr="00FD2A47">
        <w:rPr>
          <w:rStyle w:val="normaltextrun"/>
          <w:rFonts w:asciiTheme="minorHAnsi" w:eastAsiaTheme="minorHAnsi" w:hAnsiTheme="minorHAnsi" w:cstheme="minorHAnsi"/>
          <w:sz w:val="22"/>
        </w:rPr>
        <w:t>(b)</w:t>
      </w:r>
      <w:r w:rsidRPr="00FD2A47">
        <w:rPr>
          <w:rStyle w:val="tabchar"/>
          <w:rFonts w:asciiTheme="minorHAnsi" w:eastAsiaTheme="minorHAnsi" w:hAnsiTheme="minorHAnsi" w:cstheme="minorHAnsi"/>
          <w:sz w:val="22"/>
        </w:rPr>
        <w:tab/>
      </w:r>
      <w:r w:rsidRPr="00FD2A47">
        <w:rPr>
          <w:rStyle w:val="normaltextrun"/>
          <w:rFonts w:asciiTheme="minorHAnsi" w:eastAsiaTheme="minorHAnsi" w:hAnsiTheme="minorHAnsi" w:cstheme="minorHAnsi"/>
          <w:sz w:val="22"/>
        </w:rPr>
        <w:t>the requirements of this section are satisfied in relation to the models and the family.</w:t>
      </w:r>
      <w:r w:rsidRPr="00FD2A47">
        <w:rPr>
          <w:rStyle w:val="eop"/>
          <w:rFonts w:asciiTheme="minorHAnsi" w:hAnsiTheme="minorHAnsi" w:cstheme="minorHAnsi"/>
          <w:sz w:val="22"/>
          <w:szCs w:val="22"/>
        </w:rPr>
        <w:t> </w:t>
      </w:r>
    </w:p>
    <w:p w14:paraId="2466A766" w14:textId="77777777" w:rsidR="00381BC8" w:rsidRPr="00FD2A47" w:rsidRDefault="00381BC8" w:rsidP="00FD2A47">
      <w:pPr>
        <w:pStyle w:val="paragraph"/>
        <w:spacing w:before="0" w:beforeAutospacing="0" w:after="0" w:afterAutospacing="0"/>
        <w:ind w:left="1635" w:hanging="915"/>
        <w:textAlignment w:val="baseline"/>
        <w:rPr>
          <w:rFonts w:asciiTheme="minorHAnsi" w:hAnsiTheme="minorHAnsi" w:cstheme="minorHAnsi"/>
          <w:sz w:val="18"/>
          <w:szCs w:val="18"/>
        </w:rPr>
      </w:pPr>
    </w:p>
    <w:p w14:paraId="5F24DE8E" w14:textId="77777777" w:rsidR="00FD2A47" w:rsidRPr="00FD2A47" w:rsidRDefault="00FD2A47" w:rsidP="00743DB7">
      <w:pPr>
        <w:pStyle w:val="paragraph"/>
        <w:spacing w:before="0" w:beforeAutospacing="0" w:after="0" w:afterAutospacing="0"/>
        <w:ind w:left="284" w:hanging="284"/>
        <w:textAlignment w:val="baseline"/>
        <w:rPr>
          <w:rFonts w:asciiTheme="minorHAnsi" w:hAnsiTheme="minorHAnsi" w:cstheme="minorHAnsi"/>
          <w:sz w:val="18"/>
          <w:szCs w:val="18"/>
        </w:rPr>
      </w:pPr>
      <w:r w:rsidRPr="00FD2A47">
        <w:rPr>
          <w:rStyle w:val="normaltextrun"/>
          <w:rFonts w:asciiTheme="minorHAnsi" w:eastAsiaTheme="minorHAnsi" w:hAnsiTheme="minorHAnsi" w:cstheme="minorHAnsi"/>
          <w:sz w:val="22"/>
        </w:rPr>
        <w:t>(2)</w:t>
      </w:r>
      <w:r w:rsidRPr="00FD2A47">
        <w:rPr>
          <w:rStyle w:val="tabchar"/>
          <w:rFonts w:asciiTheme="minorHAnsi" w:eastAsiaTheme="minorHAnsi" w:hAnsiTheme="minorHAnsi" w:cstheme="minorHAnsi"/>
          <w:sz w:val="22"/>
        </w:rPr>
        <w:tab/>
      </w:r>
      <w:r w:rsidRPr="00FD2A47">
        <w:rPr>
          <w:rStyle w:val="normaltextrun"/>
          <w:rFonts w:asciiTheme="minorHAnsi" w:eastAsiaTheme="minorHAnsi" w:hAnsiTheme="minorHAnsi" w:cstheme="minorHAnsi"/>
          <w:sz w:val="22"/>
        </w:rPr>
        <w:t xml:space="preserve"> For the purposes of paragraph (1)(b):</w:t>
      </w:r>
      <w:r w:rsidRPr="00FD2A47">
        <w:rPr>
          <w:rStyle w:val="eop"/>
          <w:rFonts w:asciiTheme="minorHAnsi" w:hAnsiTheme="minorHAnsi" w:cstheme="minorHAnsi"/>
          <w:sz w:val="22"/>
          <w:szCs w:val="22"/>
        </w:rPr>
        <w:t> </w:t>
      </w:r>
    </w:p>
    <w:p w14:paraId="247AD776" w14:textId="77777777" w:rsidR="00FD2A47" w:rsidRPr="00FD2A47" w:rsidRDefault="00FD2A47" w:rsidP="002552D4">
      <w:pPr>
        <w:pStyle w:val="paragraph"/>
        <w:spacing w:before="0" w:beforeAutospacing="0" w:after="0" w:afterAutospacing="0"/>
        <w:ind w:left="1134" w:hanging="414"/>
        <w:textAlignment w:val="baseline"/>
        <w:rPr>
          <w:rFonts w:asciiTheme="minorHAnsi" w:hAnsiTheme="minorHAnsi" w:cstheme="minorHAnsi"/>
          <w:sz w:val="18"/>
          <w:szCs w:val="18"/>
        </w:rPr>
      </w:pPr>
      <w:r w:rsidRPr="00FD2A47">
        <w:rPr>
          <w:rStyle w:val="normaltextrun"/>
          <w:rFonts w:asciiTheme="minorHAnsi" w:eastAsiaTheme="minorHAnsi" w:hAnsiTheme="minorHAnsi" w:cstheme="minorHAnsi"/>
          <w:sz w:val="22"/>
        </w:rPr>
        <w:t>(a)</w:t>
      </w:r>
      <w:r w:rsidRPr="00FD2A47">
        <w:rPr>
          <w:rStyle w:val="tabchar"/>
          <w:rFonts w:asciiTheme="minorHAnsi" w:eastAsiaTheme="minorHAnsi" w:hAnsiTheme="minorHAnsi" w:cstheme="minorHAnsi"/>
          <w:sz w:val="22"/>
        </w:rPr>
        <w:tab/>
      </w:r>
      <w:r w:rsidRPr="00FD2A47">
        <w:rPr>
          <w:rStyle w:val="normaltextrun"/>
          <w:rFonts w:asciiTheme="minorHAnsi" w:eastAsiaTheme="minorHAnsi" w:hAnsiTheme="minorHAnsi" w:cstheme="minorHAnsi"/>
          <w:sz w:val="22"/>
        </w:rPr>
        <w:t>the models must be in the same product class; and </w:t>
      </w:r>
      <w:r w:rsidRPr="00FD2A47">
        <w:rPr>
          <w:rStyle w:val="eop"/>
          <w:rFonts w:asciiTheme="minorHAnsi" w:hAnsiTheme="minorHAnsi" w:cstheme="minorHAnsi"/>
          <w:sz w:val="22"/>
          <w:szCs w:val="22"/>
        </w:rPr>
        <w:t> </w:t>
      </w:r>
    </w:p>
    <w:p w14:paraId="17A89699" w14:textId="77777777" w:rsidR="00FD2A47" w:rsidRPr="00FD2A47" w:rsidRDefault="00FD2A47" w:rsidP="002552D4">
      <w:pPr>
        <w:pStyle w:val="paragraph"/>
        <w:spacing w:before="0" w:beforeAutospacing="0" w:after="0" w:afterAutospacing="0"/>
        <w:ind w:left="1134" w:hanging="414"/>
        <w:textAlignment w:val="baseline"/>
        <w:rPr>
          <w:rFonts w:asciiTheme="minorHAnsi" w:hAnsiTheme="minorHAnsi" w:cstheme="minorHAnsi"/>
          <w:sz w:val="18"/>
          <w:szCs w:val="18"/>
        </w:rPr>
      </w:pPr>
      <w:r w:rsidRPr="00FD2A47">
        <w:rPr>
          <w:rStyle w:val="normaltextrun"/>
          <w:rFonts w:asciiTheme="minorHAnsi" w:eastAsiaTheme="minorHAnsi" w:hAnsiTheme="minorHAnsi" w:cstheme="minorHAnsi"/>
          <w:sz w:val="22"/>
          <w:shd w:val="clear" w:color="auto" w:fill="FFFFFF"/>
        </w:rPr>
        <w:t>(b)</w:t>
      </w:r>
      <w:r w:rsidRPr="00FD2A47">
        <w:rPr>
          <w:rStyle w:val="tabchar"/>
          <w:rFonts w:asciiTheme="minorHAnsi" w:eastAsiaTheme="minorHAnsi" w:hAnsiTheme="minorHAnsi" w:cstheme="minorHAnsi"/>
          <w:sz w:val="22"/>
        </w:rPr>
        <w:tab/>
      </w:r>
      <w:r w:rsidRPr="00FD2A47">
        <w:rPr>
          <w:rStyle w:val="normaltextrun"/>
          <w:rFonts w:asciiTheme="minorHAnsi" w:eastAsiaTheme="minorHAnsi" w:hAnsiTheme="minorHAnsi" w:cstheme="minorHAnsi"/>
          <w:sz w:val="22"/>
          <w:shd w:val="clear" w:color="auto" w:fill="FFFFFF"/>
        </w:rPr>
        <w:t>subject to subsection (3)—evidence of a test report documenting the results of the testing required in accordance with section 22 must have been provided for at least one model in the family at the time an application was made for registration for the models under section 41 of the Act; and</w:t>
      </w:r>
      <w:r w:rsidRPr="00FD2A47">
        <w:rPr>
          <w:rStyle w:val="eop"/>
          <w:rFonts w:asciiTheme="minorHAnsi" w:hAnsiTheme="minorHAnsi" w:cstheme="minorHAnsi"/>
          <w:sz w:val="22"/>
          <w:szCs w:val="22"/>
        </w:rPr>
        <w:t> </w:t>
      </w:r>
    </w:p>
    <w:p w14:paraId="39A61F0F" w14:textId="77777777" w:rsidR="00FD2A47" w:rsidRPr="00FD2A47" w:rsidRDefault="00FD2A47" w:rsidP="002552D4">
      <w:pPr>
        <w:pStyle w:val="paragraph"/>
        <w:spacing w:before="0" w:beforeAutospacing="0" w:after="0" w:afterAutospacing="0"/>
        <w:ind w:left="1134" w:hanging="414"/>
        <w:textAlignment w:val="baseline"/>
        <w:rPr>
          <w:rFonts w:asciiTheme="minorHAnsi" w:hAnsiTheme="minorHAnsi" w:cstheme="minorHAnsi"/>
          <w:sz w:val="18"/>
          <w:szCs w:val="18"/>
        </w:rPr>
      </w:pPr>
      <w:r w:rsidRPr="00FD2A47">
        <w:rPr>
          <w:rStyle w:val="normaltextrun"/>
          <w:rFonts w:asciiTheme="minorHAnsi" w:eastAsiaTheme="minorHAnsi" w:hAnsiTheme="minorHAnsi" w:cstheme="minorHAnsi"/>
          <w:sz w:val="22"/>
          <w:shd w:val="clear" w:color="auto" w:fill="FFFFFF"/>
        </w:rPr>
        <w:t>(c)</w:t>
      </w:r>
      <w:r w:rsidRPr="00FD2A47">
        <w:rPr>
          <w:rStyle w:val="tabchar"/>
          <w:rFonts w:asciiTheme="minorHAnsi" w:eastAsiaTheme="minorHAnsi" w:hAnsiTheme="minorHAnsi" w:cstheme="minorHAnsi"/>
          <w:sz w:val="22"/>
        </w:rPr>
        <w:tab/>
      </w:r>
      <w:r w:rsidRPr="00FD2A47">
        <w:rPr>
          <w:rStyle w:val="normaltextrun"/>
          <w:rFonts w:asciiTheme="minorHAnsi" w:eastAsiaTheme="minorHAnsi" w:hAnsiTheme="minorHAnsi" w:cstheme="minorHAnsi"/>
          <w:sz w:val="22"/>
        </w:rPr>
        <w:t>the models must</w:t>
      </w:r>
      <w:r w:rsidRPr="00FD2A47">
        <w:rPr>
          <w:rStyle w:val="normaltextrun"/>
          <w:rFonts w:asciiTheme="minorHAnsi" w:eastAsiaTheme="minorHAnsi" w:hAnsiTheme="minorHAnsi" w:cstheme="minorHAnsi"/>
          <w:sz w:val="22"/>
          <w:shd w:val="clear" w:color="auto" w:fill="FFFFFF"/>
        </w:rPr>
        <w:t xml:space="preserve"> have the same rated </w:t>
      </w:r>
      <w:r w:rsidRPr="00FD2A47">
        <w:rPr>
          <w:rStyle w:val="normaltextrun"/>
          <w:rFonts w:asciiTheme="minorHAnsi" w:eastAsiaTheme="minorHAnsi" w:hAnsiTheme="minorHAnsi" w:cstheme="minorHAnsi"/>
          <w:sz w:val="22"/>
        </w:rPr>
        <w:t>voltage or voltage range; and</w:t>
      </w:r>
      <w:r w:rsidRPr="00FD2A47">
        <w:rPr>
          <w:rStyle w:val="eop"/>
          <w:rFonts w:asciiTheme="minorHAnsi" w:hAnsiTheme="minorHAnsi" w:cstheme="minorHAnsi"/>
          <w:sz w:val="22"/>
          <w:szCs w:val="22"/>
        </w:rPr>
        <w:t> </w:t>
      </w:r>
    </w:p>
    <w:p w14:paraId="3502541F" w14:textId="77777777" w:rsidR="00FD2A47" w:rsidRPr="00FD2A47" w:rsidRDefault="00FD2A47" w:rsidP="002552D4">
      <w:pPr>
        <w:pStyle w:val="paragraph"/>
        <w:spacing w:before="0" w:beforeAutospacing="0" w:after="0" w:afterAutospacing="0"/>
        <w:ind w:left="1134" w:hanging="414"/>
        <w:textAlignment w:val="baseline"/>
        <w:rPr>
          <w:rFonts w:asciiTheme="minorHAnsi" w:hAnsiTheme="minorHAnsi" w:cstheme="minorHAnsi"/>
          <w:sz w:val="18"/>
          <w:szCs w:val="18"/>
        </w:rPr>
      </w:pPr>
      <w:r w:rsidRPr="00FD2A47">
        <w:rPr>
          <w:rStyle w:val="normaltextrun"/>
          <w:rFonts w:asciiTheme="minorHAnsi" w:eastAsiaTheme="minorHAnsi" w:hAnsiTheme="minorHAnsi" w:cstheme="minorHAnsi"/>
          <w:sz w:val="22"/>
        </w:rPr>
        <w:t>(d)</w:t>
      </w:r>
      <w:r w:rsidRPr="00FD2A47">
        <w:rPr>
          <w:rStyle w:val="tabchar"/>
          <w:rFonts w:asciiTheme="minorHAnsi" w:eastAsiaTheme="minorHAnsi" w:hAnsiTheme="minorHAnsi" w:cstheme="minorHAnsi"/>
          <w:sz w:val="22"/>
        </w:rPr>
        <w:tab/>
      </w:r>
      <w:r w:rsidRPr="00FD2A47">
        <w:rPr>
          <w:rStyle w:val="normaltextrun"/>
          <w:rFonts w:asciiTheme="minorHAnsi" w:eastAsiaTheme="minorHAnsi" w:hAnsiTheme="minorHAnsi" w:cstheme="minorHAnsi"/>
          <w:sz w:val="22"/>
        </w:rPr>
        <w:t>the models must all have a rated CRI of either:</w:t>
      </w:r>
      <w:r w:rsidRPr="00FD2A47">
        <w:rPr>
          <w:rStyle w:val="eop"/>
          <w:rFonts w:asciiTheme="minorHAnsi" w:hAnsiTheme="minorHAnsi" w:cstheme="minorHAnsi"/>
          <w:sz w:val="22"/>
          <w:szCs w:val="22"/>
        </w:rPr>
        <w:t> </w:t>
      </w:r>
    </w:p>
    <w:p w14:paraId="356202A7" w14:textId="77777777" w:rsidR="00FD2A47" w:rsidRPr="00FD2A47" w:rsidRDefault="00FD2A47" w:rsidP="002552D4">
      <w:pPr>
        <w:pStyle w:val="paragraph"/>
        <w:spacing w:before="0" w:beforeAutospacing="0" w:after="0" w:afterAutospacing="0"/>
        <w:ind w:left="1843" w:hanging="403"/>
        <w:textAlignment w:val="baseline"/>
        <w:rPr>
          <w:rFonts w:asciiTheme="minorHAnsi" w:hAnsiTheme="minorHAnsi" w:cstheme="minorHAnsi"/>
          <w:sz w:val="18"/>
          <w:szCs w:val="18"/>
        </w:rPr>
      </w:pPr>
      <w:r w:rsidRPr="00FD2A47">
        <w:rPr>
          <w:rStyle w:val="normaltextrun"/>
          <w:rFonts w:asciiTheme="minorHAnsi" w:eastAsiaTheme="minorHAnsi" w:hAnsiTheme="minorHAnsi" w:cstheme="minorHAnsi"/>
          <w:sz w:val="22"/>
          <w:shd w:val="clear" w:color="auto" w:fill="FFFFFF"/>
        </w:rPr>
        <w:t>(i)</w:t>
      </w:r>
      <w:r w:rsidRPr="00FD2A47">
        <w:rPr>
          <w:rStyle w:val="tabchar"/>
          <w:rFonts w:asciiTheme="minorHAnsi" w:eastAsiaTheme="minorHAnsi" w:hAnsiTheme="minorHAnsi" w:cstheme="minorHAnsi"/>
          <w:sz w:val="22"/>
        </w:rPr>
        <w:tab/>
      </w:r>
      <w:r w:rsidRPr="00FD2A47">
        <w:rPr>
          <w:rStyle w:val="normaltextrun"/>
          <w:rFonts w:asciiTheme="minorHAnsi" w:eastAsiaTheme="minorHAnsi" w:hAnsiTheme="minorHAnsi" w:cstheme="minorHAnsi"/>
          <w:sz w:val="22"/>
          <w:shd w:val="clear" w:color="auto" w:fill="FFFFFF"/>
        </w:rPr>
        <w:t>no less than 70 but less than 80; or</w:t>
      </w:r>
      <w:r w:rsidRPr="00FD2A47">
        <w:rPr>
          <w:rStyle w:val="eop"/>
          <w:rFonts w:asciiTheme="minorHAnsi" w:hAnsiTheme="minorHAnsi" w:cstheme="minorHAnsi"/>
          <w:sz w:val="22"/>
          <w:szCs w:val="22"/>
        </w:rPr>
        <w:t> </w:t>
      </w:r>
    </w:p>
    <w:p w14:paraId="0C0C8EE6" w14:textId="77777777" w:rsidR="00FD2A47" w:rsidRPr="00FD2A47" w:rsidRDefault="00FD2A47" w:rsidP="002552D4">
      <w:pPr>
        <w:pStyle w:val="paragraph"/>
        <w:spacing w:before="0" w:beforeAutospacing="0" w:after="0" w:afterAutospacing="0"/>
        <w:ind w:left="1843" w:hanging="403"/>
        <w:textAlignment w:val="baseline"/>
        <w:rPr>
          <w:rFonts w:asciiTheme="minorHAnsi" w:hAnsiTheme="minorHAnsi" w:cstheme="minorHAnsi"/>
          <w:sz w:val="18"/>
          <w:szCs w:val="18"/>
        </w:rPr>
      </w:pPr>
      <w:r w:rsidRPr="00FD2A47">
        <w:rPr>
          <w:rStyle w:val="normaltextrun"/>
          <w:rFonts w:asciiTheme="minorHAnsi" w:eastAsiaTheme="minorHAnsi" w:hAnsiTheme="minorHAnsi" w:cstheme="minorHAnsi"/>
          <w:sz w:val="22"/>
          <w:shd w:val="clear" w:color="auto" w:fill="FFFFFF"/>
        </w:rPr>
        <w:t>(ii)</w:t>
      </w:r>
      <w:r w:rsidRPr="00FD2A47">
        <w:rPr>
          <w:rStyle w:val="tabchar"/>
          <w:rFonts w:asciiTheme="minorHAnsi" w:eastAsiaTheme="minorHAnsi" w:hAnsiTheme="minorHAnsi" w:cstheme="minorHAnsi"/>
          <w:sz w:val="22"/>
        </w:rPr>
        <w:tab/>
      </w:r>
      <w:r w:rsidRPr="00FD2A47">
        <w:rPr>
          <w:rStyle w:val="normaltextrun"/>
          <w:rFonts w:asciiTheme="minorHAnsi" w:eastAsiaTheme="minorHAnsi" w:hAnsiTheme="minorHAnsi" w:cstheme="minorHAnsi"/>
          <w:sz w:val="22"/>
          <w:shd w:val="clear" w:color="auto" w:fill="FFFFFF"/>
        </w:rPr>
        <w:t>no less than 80 but less than 90; or</w:t>
      </w:r>
      <w:r w:rsidRPr="00FD2A47">
        <w:rPr>
          <w:rStyle w:val="eop"/>
          <w:rFonts w:asciiTheme="minorHAnsi" w:hAnsiTheme="minorHAnsi" w:cstheme="minorHAnsi"/>
          <w:sz w:val="22"/>
          <w:szCs w:val="22"/>
        </w:rPr>
        <w:t> </w:t>
      </w:r>
    </w:p>
    <w:p w14:paraId="58D2B2F1" w14:textId="77777777" w:rsidR="00FD2A47" w:rsidRPr="00FD2A47" w:rsidRDefault="00FD2A47" w:rsidP="002552D4">
      <w:pPr>
        <w:pStyle w:val="paragraph"/>
        <w:spacing w:before="0" w:beforeAutospacing="0" w:after="0" w:afterAutospacing="0"/>
        <w:ind w:left="1843" w:hanging="403"/>
        <w:textAlignment w:val="baseline"/>
        <w:rPr>
          <w:rFonts w:asciiTheme="minorHAnsi" w:hAnsiTheme="minorHAnsi" w:cstheme="minorHAnsi"/>
          <w:sz w:val="18"/>
          <w:szCs w:val="18"/>
        </w:rPr>
      </w:pPr>
      <w:r w:rsidRPr="00FD2A47">
        <w:rPr>
          <w:rStyle w:val="normaltextrun"/>
          <w:rFonts w:asciiTheme="minorHAnsi" w:eastAsiaTheme="minorHAnsi" w:hAnsiTheme="minorHAnsi" w:cstheme="minorHAnsi"/>
          <w:sz w:val="22"/>
          <w:shd w:val="clear" w:color="auto" w:fill="FFFFFF"/>
        </w:rPr>
        <w:t>(iii)</w:t>
      </w:r>
      <w:r w:rsidRPr="00FD2A47">
        <w:rPr>
          <w:rStyle w:val="tabchar"/>
          <w:rFonts w:asciiTheme="minorHAnsi" w:eastAsiaTheme="minorHAnsi" w:hAnsiTheme="minorHAnsi" w:cstheme="minorHAnsi"/>
          <w:sz w:val="22"/>
        </w:rPr>
        <w:tab/>
      </w:r>
      <w:r w:rsidRPr="00FD2A47">
        <w:rPr>
          <w:rStyle w:val="normaltextrun"/>
          <w:rFonts w:asciiTheme="minorHAnsi" w:eastAsiaTheme="minorHAnsi" w:hAnsiTheme="minorHAnsi" w:cstheme="minorHAnsi"/>
          <w:sz w:val="22"/>
          <w:shd w:val="clear" w:color="auto" w:fill="FFFFFF"/>
        </w:rPr>
        <w:t>no less than 90; and</w:t>
      </w:r>
      <w:r w:rsidRPr="00FD2A47">
        <w:rPr>
          <w:rStyle w:val="eop"/>
          <w:rFonts w:asciiTheme="minorHAnsi" w:hAnsiTheme="minorHAnsi" w:cstheme="minorHAnsi"/>
          <w:sz w:val="22"/>
          <w:szCs w:val="22"/>
        </w:rPr>
        <w:t> </w:t>
      </w:r>
    </w:p>
    <w:p w14:paraId="2627B9E5" w14:textId="77777777" w:rsidR="00FD2A47" w:rsidRPr="00FD2A47" w:rsidRDefault="00FD2A47" w:rsidP="00AF10AE">
      <w:pPr>
        <w:pStyle w:val="paragraph"/>
        <w:spacing w:before="0" w:beforeAutospacing="0" w:after="0" w:afterAutospacing="0"/>
        <w:ind w:left="1134" w:hanging="425"/>
        <w:textAlignment w:val="baseline"/>
        <w:rPr>
          <w:rFonts w:asciiTheme="minorHAnsi" w:hAnsiTheme="minorHAnsi" w:cstheme="minorHAnsi"/>
          <w:sz w:val="18"/>
          <w:szCs w:val="18"/>
        </w:rPr>
      </w:pPr>
      <w:r w:rsidRPr="00FD2A47">
        <w:rPr>
          <w:rStyle w:val="normaltextrun"/>
          <w:rFonts w:asciiTheme="minorHAnsi" w:eastAsiaTheme="minorHAnsi" w:hAnsiTheme="minorHAnsi" w:cstheme="minorHAnsi"/>
          <w:sz w:val="22"/>
        </w:rPr>
        <w:t>(e)</w:t>
      </w:r>
      <w:r w:rsidRPr="00FD2A47">
        <w:rPr>
          <w:rStyle w:val="tabchar"/>
          <w:rFonts w:asciiTheme="minorHAnsi" w:eastAsiaTheme="minorHAnsi" w:hAnsiTheme="minorHAnsi" w:cstheme="minorHAnsi"/>
          <w:sz w:val="22"/>
        </w:rPr>
        <w:tab/>
      </w:r>
      <w:r w:rsidRPr="00FD2A47">
        <w:rPr>
          <w:rStyle w:val="normaltextrun"/>
          <w:rFonts w:asciiTheme="minorHAnsi" w:eastAsiaTheme="minorHAnsi" w:hAnsiTheme="minorHAnsi" w:cstheme="minorHAnsi"/>
          <w:sz w:val="22"/>
        </w:rPr>
        <w:t>for single-capped lamps—the models must all have a rated L</w:t>
      </w:r>
      <w:r w:rsidRPr="00FD2A47">
        <w:rPr>
          <w:rStyle w:val="normaltextrun"/>
          <w:rFonts w:asciiTheme="minorHAnsi" w:eastAsiaTheme="minorHAnsi" w:hAnsiTheme="minorHAnsi" w:cstheme="minorHAnsi"/>
          <w:sz w:val="19"/>
          <w:szCs w:val="19"/>
          <w:vertAlign w:val="subscript"/>
        </w:rPr>
        <w:t>70</w:t>
      </w:r>
      <w:r w:rsidRPr="00FD2A47">
        <w:rPr>
          <w:rStyle w:val="normaltextrun"/>
          <w:rFonts w:asciiTheme="minorHAnsi" w:eastAsiaTheme="minorHAnsi" w:hAnsiTheme="minorHAnsi" w:cstheme="minorHAnsi"/>
          <w:sz w:val="22"/>
        </w:rPr>
        <w:t>B</w:t>
      </w:r>
      <w:r w:rsidRPr="00FD2A47">
        <w:rPr>
          <w:rStyle w:val="normaltextrun"/>
          <w:rFonts w:asciiTheme="minorHAnsi" w:eastAsiaTheme="minorHAnsi" w:hAnsiTheme="minorHAnsi" w:cstheme="minorHAnsi"/>
          <w:sz w:val="19"/>
          <w:szCs w:val="19"/>
          <w:vertAlign w:val="subscript"/>
        </w:rPr>
        <w:t>50</w:t>
      </w:r>
      <w:r w:rsidRPr="00FD2A47">
        <w:rPr>
          <w:rStyle w:val="normaltextrun"/>
          <w:rFonts w:asciiTheme="minorHAnsi" w:eastAsiaTheme="minorHAnsi" w:hAnsiTheme="minorHAnsi" w:cstheme="minorHAnsi"/>
          <w:sz w:val="22"/>
        </w:rPr>
        <w:t xml:space="preserve"> lifetime of either:</w:t>
      </w:r>
      <w:r w:rsidRPr="00FD2A47">
        <w:rPr>
          <w:rStyle w:val="eop"/>
          <w:rFonts w:asciiTheme="minorHAnsi" w:hAnsiTheme="minorHAnsi" w:cstheme="minorHAnsi"/>
          <w:sz w:val="22"/>
          <w:szCs w:val="22"/>
        </w:rPr>
        <w:t> </w:t>
      </w:r>
    </w:p>
    <w:p w14:paraId="5D1340B5" w14:textId="77777777" w:rsidR="00FD2A47" w:rsidRPr="00FD2A47" w:rsidRDefault="00FD2A47" w:rsidP="001E3A39">
      <w:pPr>
        <w:pStyle w:val="paragraph"/>
        <w:spacing w:before="0" w:beforeAutospacing="0" w:after="0" w:afterAutospacing="0"/>
        <w:ind w:left="1843" w:hanging="425"/>
        <w:textAlignment w:val="baseline"/>
        <w:rPr>
          <w:rFonts w:asciiTheme="minorHAnsi" w:hAnsiTheme="minorHAnsi" w:cstheme="minorHAnsi"/>
          <w:sz w:val="18"/>
          <w:szCs w:val="18"/>
        </w:rPr>
      </w:pPr>
      <w:r w:rsidRPr="00FD2A47">
        <w:rPr>
          <w:rStyle w:val="normaltextrun"/>
          <w:rFonts w:asciiTheme="minorHAnsi" w:eastAsiaTheme="minorHAnsi" w:hAnsiTheme="minorHAnsi" w:cstheme="minorHAnsi"/>
          <w:sz w:val="22"/>
        </w:rPr>
        <w:t>(i)</w:t>
      </w:r>
      <w:r w:rsidRPr="00FD2A47">
        <w:rPr>
          <w:rStyle w:val="tabchar"/>
          <w:rFonts w:asciiTheme="minorHAnsi" w:eastAsiaTheme="minorHAnsi" w:hAnsiTheme="minorHAnsi" w:cstheme="minorHAnsi"/>
          <w:sz w:val="22"/>
        </w:rPr>
        <w:tab/>
      </w:r>
      <w:r w:rsidRPr="00FD2A47">
        <w:rPr>
          <w:rStyle w:val="normaltextrun"/>
          <w:rFonts w:asciiTheme="minorHAnsi" w:eastAsiaTheme="minorHAnsi" w:hAnsiTheme="minorHAnsi" w:cstheme="minorHAnsi"/>
          <w:sz w:val="22"/>
        </w:rPr>
        <w:t>no greater than 15,000 hours; or</w:t>
      </w:r>
      <w:r w:rsidRPr="00FD2A47">
        <w:rPr>
          <w:rStyle w:val="eop"/>
          <w:rFonts w:asciiTheme="minorHAnsi" w:hAnsiTheme="minorHAnsi" w:cstheme="minorHAnsi"/>
          <w:sz w:val="22"/>
          <w:szCs w:val="22"/>
        </w:rPr>
        <w:t> </w:t>
      </w:r>
    </w:p>
    <w:p w14:paraId="46A65AA3" w14:textId="77777777" w:rsidR="00FD2A47" w:rsidRPr="00FD2A47" w:rsidRDefault="00FD2A47" w:rsidP="001E3A39">
      <w:pPr>
        <w:pStyle w:val="paragraph"/>
        <w:spacing w:before="0" w:beforeAutospacing="0" w:after="0" w:afterAutospacing="0"/>
        <w:ind w:left="1843" w:hanging="425"/>
        <w:textAlignment w:val="baseline"/>
        <w:rPr>
          <w:rFonts w:asciiTheme="minorHAnsi" w:hAnsiTheme="minorHAnsi" w:cstheme="minorHAnsi"/>
          <w:sz w:val="18"/>
          <w:szCs w:val="18"/>
        </w:rPr>
      </w:pPr>
      <w:r w:rsidRPr="00FD2A47">
        <w:rPr>
          <w:rStyle w:val="normaltextrun"/>
          <w:rFonts w:asciiTheme="minorHAnsi" w:eastAsiaTheme="minorHAnsi" w:hAnsiTheme="minorHAnsi" w:cstheme="minorHAnsi"/>
          <w:sz w:val="22"/>
        </w:rPr>
        <w:t>(ii)</w:t>
      </w:r>
      <w:r w:rsidRPr="00FD2A47">
        <w:rPr>
          <w:rStyle w:val="tabchar"/>
          <w:rFonts w:asciiTheme="minorHAnsi" w:eastAsiaTheme="minorHAnsi" w:hAnsiTheme="minorHAnsi" w:cstheme="minorHAnsi"/>
          <w:sz w:val="22"/>
        </w:rPr>
        <w:tab/>
      </w:r>
      <w:r w:rsidRPr="00FD2A47">
        <w:rPr>
          <w:rStyle w:val="normaltextrun"/>
          <w:rFonts w:asciiTheme="minorHAnsi" w:eastAsiaTheme="minorHAnsi" w:hAnsiTheme="minorHAnsi" w:cstheme="minorHAnsi"/>
          <w:sz w:val="22"/>
        </w:rPr>
        <w:t>greater than 15,000 hours but no greater than 30,000 hours; or</w:t>
      </w:r>
      <w:r w:rsidRPr="00FD2A47">
        <w:rPr>
          <w:rStyle w:val="eop"/>
          <w:rFonts w:asciiTheme="minorHAnsi" w:hAnsiTheme="minorHAnsi" w:cstheme="minorHAnsi"/>
          <w:sz w:val="22"/>
          <w:szCs w:val="22"/>
        </w:rPr>
        <w:t> </w:t>
      </w:r>
    </w:p>
    <w:p w14:paraId="76EFF4DB" w14:textId="77777777" w:rsidR="00FD2A47" w:rsidRPr="00FD2A47" w:rsidRDefault="00FD2A47" w:rsidP="001E3A39">
      <w:pPr>
        <w:pStyle w:val="paragraph"/>
        <w:spacing w:before="0" w:beforeAutospacing="0" w:after="0" w:afterAutospacing="0"/>
        <w:ind w:left="1843" w:hanging="425"/>
        <w:textAlignment w:val="baseline"/>
        <w:rPr>
          <w:rFonts w:asciiTheme="minorHAnsi" w:hAnsiTheme="minorHAnsi" w:cstheme="minorHAnsi"/>
          <w:sz w:val="18"/>
          <w:szCs w:val="18"/>
        </w:rPr>
      </w:pPr>
      <w:r w:rsidRPr="00FD2A47">
        <w:rPr>
          <w:rStyle w:val="normaltextrun"/>
          <w:rFonts w:asciiTheme="minorHAnsi" w:eastAsiaTheme="minorHAnsi" w:hAnsiTheme="minorHAnsi" w:cstheme="minorHAnsi"/>
          <w:sz w:val="22"/>
          <w:shd w:val="clear" w:color="auto" w:fill="FFFFFF"/>
        </w:rPr>
        <w:t>(iii)</w:t>
      </w:r>
      <w:r w:rsidRPr="00FD2A47">
        <w:rPr>
          <w:rStyle w:val="tabchar"/>
          <w:rFonts w:asciiTheme="minorHAnsi" w:eastAsiaTheme="minorHAnsi" w:hAnsiTheme="minorHAnsi" w:cstheme="minorHAnsi"/>
          <w:sz w:val="22"/>
        </w:rPr>
        <w:tab/>
      </w:r>
      <w:r w:rsidRPr="00FD2A47">
        <w:rPr>
          <w:rStyle w:val="normaltextrun"/>
          <w:rFonts w:asciiTheme="minorHAnsi" w:eastAsiaTheme="minorHAnsi" w:hAnsiTheme="minorHAnsi" w:cstheme="minorHAnsi"/>
          <w:sz w:val="22"/>
          <w:shd w:val="clear" w:color="auto" w:fill="FFFFFF"/>
        </w:rPr>
        <w:t>greater</w:t>
      </w:r>
      <w:r w:rsidRPr="00FD2A47">
        <w:rPr>
          <w:rStyle w:val="normaltextrun"/>
          <w:rFonts w:asciiTheme="minorHAnsi" w:eastAsiaTheme="minorHAnsi" w:hAnsiTheme="minorHAnsi" w:cstheme="minorHAnsi"/>
          <w:sz w:val="22"/>
        </w:rPr>
        <w:t xml:space="preserve"> than 30,000 hours; and</w:t>
      </w:r>
      <w:r w:rsidRPr="00FD2A47">
        <w:rPr>
          <w:rStyle w:val="eop"/>
          <w:rFonts w:asciiTheme="minorHAnsi" w:hAnsiTheme="minorHAnsi" w:cstheme="minorHAnsi"/>
          <w:sz w:val="22"/>
          <w:szCs w:val="22"/>
        </w:rPr>
        <w:t> </w:t>
      </w:r>
    </w:p>
    <w:p w14:paraId="6E9166FF" w14:textId="77777777" w:rsidR="00FD2A47" w:rsidRPr="00FD2A47" w:rsidRDefault="00FD2A47" w:rsidP="002552D4">
      <w:pPr>
        <w:pStyle w:val="paragraph"/>
        <w:spacing w:before="0" w:beforeAutospacing="0" w:after="0" w:afterAutospacing="0"/>
        <w:ind w:left="1134" w:hanging="425"/>
        <w:textAlignment w:val="baseline"/>
        <w:rPr>
          <w:rFonts w:asciiTheme="minorHAnsi" w:hAnsiTheme="minorHAnsi" w:cstheme="minorHAnsi"/>
          <w:sz w:val="18"/>
          <w:szCs w:val="18"/>
        </w:rPr>
      </w:pPr>
      <w:r w:rsidRPr="00FD2A47">
        <w:rPr>
          <w:rStyle w:val="normaltextrun"/>
          <w:rFonts w:asciiTheme="minorHAnsi" w:eastAsiaTheme="minorHAnsi" w:hAnsiTheme="minorHAnsi" w:cstheme="minorHAnsi"/>
          <w:sz w:val="22"/>
        </w:rPr>
        <w:t xml:space="preserve">(f) </w:t>
      </w:r>
      <w:r w:rsidRPr="00FD2A47">
        <w:rPr>
          <w:rStyle w:val="tabchar"/>
          <w:rFonts w:asciiTheme="minorHAnsi" w:eastAsiaTheme="minorHAnsi" w:hAnsiTheme="minorHAnsi" w:cstheme="minorHAnsi"/>
          <w:sz w:val="22"/>
        </w:rPr>
        <w:tab/>
      </w:r>
      <w:r w:rsidRPr="00FD2A47">
        <w:rPr>
          <w:rStyle w:val="normaltextrun"/>
          <w:rFonts w:asciiTheme="minorHAnsi" w:eastAsiaTheme="minorHAnsi" w:hAnsiTheme="minorHAnsi" w:cstheme="minorHAnsi"/>
          <w:sz w:val="22"/>
        </w:rPr>
        <w:t>for double-capped G13 and G5 LED lamps—the models must all have a rated L70B50 lifetime of either:</w:t>
      </w:r>
      <w:r w:rsidRPr="00FD2A47">
        <w:rPr>
          <w:rStyle w:val="eop"/>
          <w:rFonts w:asciiTheme="minorHAnsi" w:hAnsiTheme="minorHAnsi" w:cstheme="minorHAnsi"/>
          <w:sz w:val="22"/>
          <w:szCs w:val="22"/>
        </w:rPr>
        <w:t> </w:t>
      </w:r>
    </w:p>
    <w:p w14:paraId="5B294523" w14:textId="77777777" w:rsidR="00FD2A47" w:rsidRPr="00FD2A47" w:rsidRDefault="00FD2A47" w:rsidP="00866BBB">
      <w:pPr>
        <w:pStyle w:val="paragraph"/>
        <w:spacing w:before="0" w:beforeAutospacing="0" w:after="0" w:afterAutospacing="0"/>
        <w:ind w:left="1843" w:hanging="425"/>
        <w:textAlignment w:val="baseline"/>
        <w:rPr>
          <w:rFonts w:asciiTheme="minorHAnsi" w:hAnsiTheme="minorHAnsi" w:cstheme="minorHAnsi"/>
          <w:sz w:val="18"/>
          <w:szCs w:val="18"/>
        </w:rPr>
      </w:pPr>
      <w:r w:rsidRPr="00FD2A47">
        <w:rPr>
          <w:rStyle w:val="normaltextrun"/>
          <w:rFonts w:asciiTheme="minorHAnsi" w:eastAsiaTheme="minorHAnsi" w:hAnsiTheme="minorHAnsi" w:cstheme="minorHAnsi"/>
          <w:sz w:val="22"/>
        </w:rPr>
        <w:t>(i)</w:t>
      </w:r>
      <w:r w:rsidRPr="00FD2A47">
        <w:rPr>
          <w:rStyle w:val="tabchar"/>
          <w:rFonts w:asciiTheme="minorHAnsi" w:eastAsiaTheme="minorHAnsi" w:hAnsiTheme="minorHAnsi" w:cstheme="minorHAnsi"/>
          <w:sz w:val="22"/>
        </w:rPr>
        <w:tab/>
      </w:r>
      <w:r w:rsidRPr="00FD2A47">
        <w:rPr>
          <w:rStyle w:val="normaltextrun"/>
          <w:rFonts w:asciiTheme="minorHAnsi" w:eastAsiaTheme="minorHAnsi" w:hAnsiTheme="minorHAnsi" w:cstheme="minorHAnsi"/>
          <w:sz w:val="22"/>
        </w:rPr>
        <w:t>no greater than 30,000 hours; or</w:t>
      </w:r>
      <w:r w:rsidRPr="00FD2A47">
        <w:rPr>
          <w:rStyle w:val="eop"/>
          <w:rFonts w:asciiTheme="minorHAnsi" w:hAnsiTheme="minorHAnsi" w:cstheme="minorHAnsi"/>
          <w:sz w:val="22"/>
          <w:szCs w:val="22"/>
        </w:rPr>
        <w:t> </w:t>
      </w:r>
    </w:p>
    <w:p w14:paraId="594E3D55" w14:textId="77777777" w:rsidR="00FD2A47" w:rsidRPr="00FD2A47" w:rsidRDefault="00FD2A47" w:rsidP="00866BBB">
      <w:pPr>
        <w:pStyle w:val="paragraph"/>
        <w:spacing w:before="0" w:beforeAutospacing="0" w:after="0" w:afterAutospacing="0"/>
        <w:ind w:left="1843" w:hanging="425"/>
        <w:textAlignment w:val="baseline"/>
        <w:rPr>
          <w:rFonts w:asciiTheme="minorHAnsi" w:hAnsiTheme="minorHAnsi" w:cstheme="minorHAnsi"/>
          <w:sz w:val="18"/>
          <w:szCs w:val="18"/>
        </w:rPr>
      </w:pPr>
      <w:r w:rsidRPr="00FD2A47">
        <w:rPr>
          <w:rStyle w:val="normaltextrun"/>
          <w:rFonts w:asciiTheme="minorHAnsi" w:eastAsiaTheme="minorHAnsi" w:hAnsiTheme="minorHAnsi" w:cstheme="minorHAnsi"/>
          <w:sz w:val="22"/>
        </w:rPr>
        <w:t>(ii)</w:t>
      </w:r>
      <w:r w:rsidRPr="00FD2A47">
        <w:rPr>
          <w:rStyle w:val="tabchar"/>
          <w:rFonts w:asciiTheme="minorHAnsi" w:eastAsiaTheme="minorHAnsi" w:hAnsiTheme="minorHAnsi" w:cstheme="minorHAnsi"/>
          <w:sz w:val="22"/>
        </w:rPr>
        <w:tab/>
      </w:r>
      <w:r w:rsidRPr="00FD2A47">
        <w:rPr>
          <w:rStyle w:val="normaltextrun"/>
          <w:rFonts w:asciiTheme="minorHAnsi" w:eastAsiaTheme="minorHAnsi" w:hAnsiTheme="minorHAnsi" w:cstheme="minorHAnsi"/>
          <w:sz w:val="22"/>
        </w:rPr>
        <w:t>greater than 30,000 hours but no greater than 60,000 hours; or</w:t>
      </w:r>
      <w:r w:rsidRPr="00FD2A47">
        <w:rPr>
          <w:rStyle w:val="eop"/>
          <w:rFonts w:asciiTheme="minorHAnsi" w:hAnsiTheme="minorHAnsi" w:cstheme="minorHAnsi"/>
          <w:sz w:val="22"/>
          <w:szCs w:val="22"/>
        </w:rPr>
        <w:t> </w:t>
      </w:r>
    </w:p>
    <w:p w14:paraId="2993DC1E" w14:textId="77777777" w:rsidR="00FD2A47" w:rsidRPr="00FD2A47" w:rsidRDefault="00FD2A47" w:rsidP="00866BBB">
      <w:pPr>
        <w:pStyle w:val="paragraph"/>
        <w:spacing w:before="0" w:beforeAutospacing="0" w:after="0" w:afterAutospacing="0"/>
        <w:ind w:left="1843" w:hanging="425"/>
        <w:textAlignment w:val="baseline"/>
        <w:rPr>
          <w:rFonts w:asciiTheme="minorHAnsi" w:hAnsiTheme="minorHAnsi" w:cstheme="minorHAnsi"/>
          <w:sz w:val="18"/>
          <w:szCs w:val="18"/>
        </w:rPr>
      </w:pPr>
      <w:r w:rsidRPr="00FD2A47">
        <w:rPr>
          <w:rStyle w:val="normaltextrun"/>
          <w:rFonts w:asciiTheme="minorHAnsi" w:eastAsiaTheme="minorHAnsi" w:hAnsiTheme="minorHAnsi" w:cstheme="minorHAnsi"/>
          <w:sz w:val="22"/>
        </w:rPr>
        <w:t>(iii)</w:t>
      </w:r>
      <w:r w:rsidRPr="00FD2A47">
        <w:rPr>
          <w:rStyle w:val="tabchar"/>
          <w:rFonts w:asciiTheme="minorHAnsi" w:eastAsiaTheme="minorHAnsi" w:hAnsiTheme="minorHAnsi" w:cstheme="minorHAnsi"/>
          <w:sz w:val="22"/>
        </w:rPr>
        <w:tab/>
      </w:r>
      <w:r w:rsidRPr="00FD2A47">
        <w:rPr>
          <w:rStyle w:val="normaltextrun"/>
          <w:rFonts w:asciiTheme="minorHAnsi" w:eastAsiaTheme="minorHAnsi" w:hAnsiTheme="minorHAnsi" w:cstheme="minorHAnsi"/>
          <w:sz w:val="22"/>
        </w:rPr>
        <w:t>greater than 60,000 hours; and</w:t>
      </w:r>
      <w:r w:rsidRPr="00FD2A47">
        <w:rPr>
          <w:rStyle w:val="eop"/>
          <w:rFonts w:asciiTheme="minorHAnsi" w:hAnsiTheme="minorHAnsi" w:cstheme="minorHAnsi"/>
          <w:sz w:val="22"/>
          <w:szCs w:val="22"/>
        </w:rPr>
        <w:t> </w:t>
      </w:r>
    </w:p>
    <w:p w14:paraId="28703681" w14:textId="77777777" w:rsidR="00FD2A47" w:rsidRPr="00FD2A47" w:rsidRDefault="00FD2A47" w:rsidP="00866BBB">
      <w:pPr>
        <w:pStyle w:val="paragraph"/>
        <w:spacing w:before="0" w:beforeAutospacing="0" w:after="0" w:afterAutospacing="0"/>
        <w:ind w:left="1134" w:hanging="425"/>
        <w:textAlignment w:val="baseline"/>
        <w:rPr>
          <w:rFonts w:asciiTheme="minorHAnsi" w:hAnsiTheme="minorHAnsi" w:cstheme="minorHAnsi"/>
          <w:sz w:val="18"/>
          <w:szCs w:val="18"/>
        </w:rPr>
      </w:pPr>
      <w:r w:rsidRPr="00FD2A47">
        <w:rPr>
          <w:rStyle w:val="normaltextrun"/>
          <w:rFonts w:asciiTheme="minorHAnsi" w:eastAsiaTheme="minorHAnsi" w:hAnsiTheme="minorHAnsi" w:cstheme="minorHAnsi"/>
          <w:sz w:val="22"/>
        </w:rPr>
        <w:t>(g)</w:t>
      </w:r>
      <w:r w:rsidRPr="00FD2A47">
        <w:rPr>
          <w:rStyle w:val="tabchar"/>
          <w:rFonts w:asciiTheme="minorHAnsi" w:eastAsiaTheme="minorHAnsi" w:hAnsiTheme="minorHAnsi" w:cstheme="minorHAnsi"/>
          <w:sz w:val="22"/>
        </w:rPr>
        <w:tab/>
      </w:r>
      <w:r w:rsidRPr="00FD2A47">
        <w:rPr>
          <w:rStyle w:val="normaltextrun"/>
          <w:rFonts w:asciiTheme="minorHAnsi" w:eastAsiaTheme="minorHAnsi" w:hAnsiTheme="minorHAnsi" w:cstheme="minorHAnsi"/>
          <w:sz w:val="22"/>
        </w:rPr>
        <w:t>for double-capped G13 and G5 LED lamps—the models must have the same cap size; and </w:t>
      </w:r>
      <w:r w:rsidRPr="00FD2A47">
        <w:rPr>
          <w:rStyle w:val="eop"/>
          <w:rFonts w:asciiTheme="minorHAnsi" w:hAnsiTheme="minorHAnsi" w:cstheme="minorHAnsi"/>
          <w:sz w:val="22"/>
          <w:szCs w:val="22"/>
        </w:rPr>
        <w:t> </w:t>
      </w:r>
    </w:p>
    <w:p w14:paraId="73E7B0E7" w14:textId="77777777" w:rsidR="00FD2A47" w:rsidRPr="00FD2A47" w:rsidRDefault="00FD2A47" w:rsidP="00866BBB">
      <w:pPr>
        <w:pStyle w:val="paragraph"/>
        <w:spacing w:before="0" w:beforeAutospacing="0" w:after="0" w:afterAutospacing="0"/>
        <w:ind w:left="1134" w:hanging="425"/>
        <w:textAlignment w:val="baseline"/>
        <w:rPr>
          <w:rFonts w:asciiTheme="minorHAnsi" w:hAnsiTheme="minorHAnsi" w:cstheme="minorHAnsi"/>
          <w:sz w:val="18"/>
          <w:szCs w:val="18"/>
        </w:rPr>
      </w:pPr>
      <w:r w:rsidRPr="00FD2A47">
        <w:rPr>
          <w:rStyle w:val="normaltextrun"/>
          <w:rFonts w:asciiTheme="minorHAnsi" w:eastAsiaTheme="minorHAnsi" w:hAnsiTheme="minorHAnsi" w:cstheme="minorHAnsi"/>
          <w:sz w:val="22"/>
        </w:rPr>
        <w:t>(h)</w:t>
      </w:r>
      <w:r w:rsidRPr="00FD2A47">
        <w:rPr>
          <w:rStyle w:val="tabchar"/>
          <w:rFonts w:asciiTheme="minorHAnsi" w:eastAsiaTheme="minorHAnsi" w:hAnsiTheme="minorHAnsi" w:cstheme="minorHAnsi"/>
          <w:sz w:val="22"/>
        </w:rPr>
        <w:tab/>
      </w:r>
      <w:r w:rsidRPr="00FD2A47">
        <w:rPr>
          <w:rStyle w:val="normaltextrun"/>
          <w:rFonts w:asciiTheme="minorHAnsi" w:eastAsiaTheme="minorHAnsi" w:hAnsiTheme="minorHAnsi" w:cstheme="minorHAnsi"/>
          <w:sz w:val="22"/>
        </w:rPr>
        <w:t>the models must have the same reference control settings (if applicable); and</w:t>
      </w:r>
      <w:r w:rsidRPr="00FD2A47">
        <w:rPr>
          <w:rStyle w:val="eop"/>
          <w:rFonts w:asciiTheme="minorHAnsi" w:hAnsiTheme="minorHAnsi" w:cstheme="minorHAnsi"/>
          <w:sz w:val="22"/>
          <w:szCs w:val="22"/>
        </w:rPr>
        <w:t> </w:t>
      </w:r>
    </w:p>
    <w:p w14:paraId="1A7A770C" w14:textId="77777777" w:rsidR="00FD2A47" w:rsidRPr="00FD2A47" w:rsidRDefault="00FD2A47" w:rsidP="00866BBB">
      <w:pPr>
        <w:pStyle w:val="paragraph"/>
        <w:spacing w:before="0" w:beforeAutospacing="0" w:after="0" w:afterAutospacing="0"/>
        <w:ind w:left="1134" w:hanging="425"/>
        <w:textAlignment w:val="baseline"/>
        <w:rPr>
          <w:rFonts w:asciiTheme="minorHAnsi" w:hAnsiTheme="minorHAnsi" w:cstheme="minorHAnsi"/>
          <w:sz w:val="18"/>
          <w:szCs w:val="18"/>
        </w:rPr>
      </w:pPr>
      <w:r w:rsidRPr="00FD2A47">
        <w:rPr>
          <w:rStyle w:val="normaltextrun"/>
          <w:rFonts w:asciiTheme="minorHAnsi" w:eastAsiaTheme="minorHAnsi" w:hAnsiTheme="minorHAnsi" w:cstheme="minorHAnsi"/>
          <w:sz w:val="22"/>
        </w:rPr>
        <w:t>(i)</w:t>
      </w:r>
      <w:r w:rsidRPr="00FD2A47">
        <w:rPr>
          <w:rStyle w:val="tabchar"/>
          <w:rFonts w:asciiTheme="minorHAnsi" w:eastAsiaTheme="minorHAnsi" w:hAnsiTheme="minorHAnsi" w:cstheme="minorHAnsi"/>
          <w:sz w:val="22"/>
        </w:rPr>
        <w:tab/>
      </w:r>
      <w:r w:rsidRPr="00FD2A47">
        <w:rPr>
          <w:rStyle w:val="normaltextrun"/>
          <w:rFonts w:asciiTheme="minorHAnsi" w:eastAsiaTheme="minorHAnsi" w:hAnsiTheme="minorHAnsi" w:cstheme="minorHAnsi"/>
          <w:sz w:val="22"/>
        </w:rPr>
        <w:t xml:space="preserve"> in relation to the following design features:</w:t>
      </w:r>
      <w:r w:rsidRPr="00FD2A47">
        <w:rPr>
          <w:rStyle w:val="eop"/>
          <w:rFonts w:asciiTheme="minorHAnsi" w:hAnsiTheme="minorHAnsi" w:cstheme="minorHAnsi"/>
          <w:sz w:val="22"/>
          <w:szCs w:val="22"/>
        </w:rPr>
        <w:t> </w:t>
      </w:r>
    </w:p>
    <w:p w14:paraId="6735B4D7" w14:textId="77777777" w:rsidR="00FD2A47" w:rsidRPr="00FD2A47" w:rsidRDefault="00FD2A47" w:rsidP="00866BBB">
      <w:pPr>
        <w:pStyle w:val="paragraph"/>
        <w:spacing w:before="0" w:beforeAutospacing="0" w:after="0" w:afterAutospacing="0"/>
        <w:ind w:left="1843" w:hanging="425"/>
        <w:textAlignment w:val="baseline"/>
        <w:rPr>
          <w:rFonts w:asciiTheme="minorHAnsi" w:hAnsiTheme="minorHAnsi" w:cstheme="minorHAnsi"/>
          <w:sz w:val="18"/>
          <w:szCs w:val="18"/>
        </w:rPr>
      </w:pPr>
      <w:r w:rsidRPr="00FD2A47">
        <w:rPr>
          <w:rStyle w:val="normaltextrun"/>
          <w:rFonts w:asciiTheme="minorHAnsi" w:eastAsiaTheme="minorHAnsi" w:hAnsiTheme="minorHAnsi" w:cstheme="minorHAnsi"/>
          <w:sz w:val="22"/>
        </w:rPr>
        <w:t>(i)</w:t>
      </w:r>
      <w:r w:rsidRPr="00FD2A47">
        <w:rPr>
          <w:rStyle w:val="tabchar"/>
          <w:rFonts w:asciiTheme="minorHAnsi" w:eastAsiaTheme="minorHAnsi" w:hAnsiTheme="minorHAnsi" w:cstheme="minorHAnsi"/>
          <w:sz w:val="22"/>
        </w:rPr>
        <w:tab/>
      </w:r>
      <w:r w:rsidRPr="00FD2A47">
        <w:rPr>
          <w:rStyle w:val="normaltextrun"/>
          <w:rFonts w:asciiTheme="minorHAnsi" w:eastAsiaTheme="minorHAnsi" w:hAnsiTheme="minorHAnsi" w:cstheme="minorHAnsi"/>
          <w:sz w:val="22"/>
        </w:rPr>
        <w:t>for dimmability—the models must be either all dimmable or all non-dimmable;</w:t>
      </w:r>
      <w:r w:rsidRPr="00FD2A47">
        <w:rPr>
          <w:rStyle w:val="eop"/>
          <w:rFonts w:asciiTheme="minorHAnsi" w:hAnsiTheme="minorHAnsi" w:cstheme="minorHAnsi"/>
          <w:sz w:val="22"/>
          <w:szCs w:val="22"/>
        </w:rPr>
        <w:t> </w:t>
      </w:r>
    </w:p>
    <w:p w14:paraId="12677FC3" w14:textId="77777777" w:rsidR="00FD2A47" w:rsidRPr="00FD2A47" w:rsidRDefault="00FD2A47" w:rsidP="00866BBB">
      <w:pPr>
        <w:pStyle w:val="paragraph"/>
        <w:spacing w:before="0" w:beforeAutospacing="0" w:after="0" w:afterAutospacing="0"/>
        <w:ind w:left="1843" w:hanging="425"/>
        <w:textAlignment w:val="baseline"/>
        <w:rPr>
          <w:rFonts w:asciiTheme="minorHAnsi" w:hAnsiTheme="minorHAnsi" w:cstheme="minorHAnsi"/>
          <w:sz w:val="18"/>
          <w:szCs w:val="18"/>
        </w:rPr>
      </w:pPr>
      <w:r w:rsidRPr="00FD2A47">
        <w:rPr>
          <w:rStyle w:val="normaltextrun"/>
          <w:rFonts w:asciiTheme="minorHAnsi" w:eastAsiaTheme="minorHAnsi" w:hAnsiTheme="minorHAnsi" w:cstheme="minorHAnsi"/>
          <w:sz w:val="22"/>
        </w:rPr>
        <w:t>(ii)</w:t>
      </w:r>
      <w:r w:rsidRPr="00FD2A47">
        <w:rPr>
          <w:rStyle w:val="tabchar"/>
          <w:rFonts w:asciiTheme="minorHAnsi" w:eastAsiaTheme="minorHAnsi" w:hAnsiTheme="minorHAnsi" w:cstheme="minorHAnsi"/>
          <w:sz w:val="22"/>
        </w:rPr>
        <w:tab/>
      </w:r>
      <w:r w:rsidRPr="00FD2A47">
        <w:rPr>
          <w:rStyle w:val="normaltextrun"/>
          <w:rFonts w:asciiTheme="minorHAnsi" w:eastAsiaTheme="minorHAnsi" w:hAnsiTheme="minorHAnsi" w:cstheme="minorHAnsi"/>
          <w:sz w:val="22"/>
        </w:rPr>
        <w:t>for light direction—the models must be either all directional or all non-directional;</w:t>
      </w:r>
      <w:r w:rsidRPr="00FD2A47">
        <w:rPr>
          <w:rStyle w:val="eop"/>
          <w:rFonts w:asciiTheme="minorHAnsi" w:hAnsiTheme="minorHAnsi" w:cstheme="minorHAnsi"/>
          <w:sz w:val="22"/>
          <w:szCs w:val="22"/>
        </w:rPr>
        <w:t> </w:t>
      </w:r>
    </w:p>
    <w:p w14:paraId="279D25A5" w14:textId="77777777" w:rsidR="00FD2A47" w:rsidRPr="00FD2A47" w:rsidRDefault="00FD2A47" w:rsidP="00866BBB">
      <w:pPr>
        <w:pStyle w:val="paragraph"/>
        <w:spacing w:before="0" w:beforeAutospacing="0" w:after="0" w:afterAutospacing="0"/>
        <w:ind w:left="1843" w:hanging="425"/>
        <w:textAlignment w:val="baseline"/>
        <w:rPr>
          <w:rFonts w:asciiTheme="minorHAnsi" w:hAnsiTheme="minorHAnsi" w:cstheme="minorHAnsi"/>
          <w:sz w:val="18"/>
          <w:szCs w:val="18"/>
        </w:rPr>
      </w:pPr>
      <w:r w:rsidRPr="00FD2A47">
        <w:rPr>
          <w:rStyle w:val="normaltextrun"/>
          <w:rFonts w:asciiTheme="minorHAnsi" w:eastAsiaTheme="minorHAnsi" w:hAnsiTheme="minorHAnsi" w:cstheme="minorHAnsi"/>
          <w:sz w:val="22"/>
        </w:rPr>
        <w:t>(iii)</w:t>
      </w:r>
      <w:r w:rsidRPr="00FD2A47">
        <w:rPr>
          <w:rStyle w:val="tabchar"/>
          <w:rFonts w:asciiTheme="minorHAnsi" w:eastAsiaTheme="minorHAnsi" w:hAnsiTheme="minorHAnsi" w:cstheme="minorHAnsi"/>
          <w:sz w:val="22"/>
        </w:rPr>
        <w:tab/>
      </w:r>
      <w:r w:rsidRPr="00FD2A47">
        <w:rPr>
          <w:rStyle w:val="normaltextrun"/>
          <w:rFonts w:asciiTheme="minorHAnsi" w:eastAsiaTheme="minorHAnsi" w:hAnsiTheme="minorHAnsi" w:cstheme="minorHAnsi"/>
          <w:sz w:val="22"/>
        </w:rPr>
        <w:t>for utilisation of LED filaments—the models must either all be designed with LED filaments or without LED filaments.</w:t>
      </w:r>
      <w:r w:rsidRPr="00FD2A47">
        <w:rPr>
          <w:rStyle w:val="eop"/>
          <w:rFonts w:asciiTheme="minorHAnsi" w:hAnsiTheme="minorHAnsi" w:cstheme="minorHAnsi"/>
          <w:sz w:val="22"/>
          <w:szCs w:val="22"/>
        </w:rPr>
        <w:t> </w:t>
      </w:r>
    </w:p>
    <w:p w14:paraId="74C8C081" w14:textId="6855DFD9" w:rsidR="00866BBB" w:rsidRPr="00F64D31" w:rsidRDefault="00FD2A47" w:rsidP="00F64D31">
      <w:pPr>
        <w:pStyle w:val="paragraph"/>
        <w:spacing w:before="0" w:beforeAutospacing="0" w:after="0" w:afterAutospacing="0"/>
        <w:ind w:left="1843" w:hanging="425"/>
        <w:textAlignment w:val="baseline"/>
        <w:rPr>
          <w:rStyle w:val="normaltextrun"/>
          <w:rFonts w:asciiTheme="minorHAnsi" w:hAnsiTheme="minorHAnsi" w:cstheme="minorHAnsi"/>
          <w:sz w:val="18"/>
          <w:szCs w:val="18"/>
        </w:rPr>
      </w:pPr>
      <w:r w:rsidRPr="00FD2A47">
        <w:rPr>
          <w:rStyle w:val="normaltextrun"/>
          <w:rFonts w:asciiTheme="minorHAnsi" w:eastAsiaTheme="minorHAnsi" w:hAnsiTheme="minorHAnsi" w:cstheme="minorHAnsi"/>
          <w:sz w:val="22"/>
        </w:rPr>
        <w:t>(iv)</w:t>
      </w:r>
      <w:r w:rsidRPr="00FD2A47">
        <w:rPr>
          <w:rStyle w:val="tabchar"/>
          <w:rFonts w:asciiTheme="minorHAnsi" w:eastAsiaTheme="minorHAnsi" w:hAnsiTheme="minorHAnsi" w:cstheme="minorHAnsi"/>
          <w:sz w:val="22"/>
        </w:rPr>
        <w:tab/>
      </w:r>
      <w:r w:rsidRPr="00FD2A47">
        <w:rPr>
          <w:rStyle w:val="normaltextrun"/>
          <w:rFonts w:asciiTheme="minorHAnsi" w:eastAsiaTheme="minorHAnsi" w:hAnsiTheme="minorHAnsi" w:cstheme="minorHAnsi"/>
          <w:sz w:val="22"/>
        </w:rPr>
        <w:t>for CRI—models with CRI less than 80 must meet the requirements under item 1 of the table in section 19.</w:t>
      </w:r>
      <w:r w:rsidRPr="00FD2A47">
        <w:rPr>
          <w:rStyle w:val="eop"/>
          <w:rFonts w:asciiTheme="minorHAnsi" w:hAnsiTheme="minorHAnsi" w:cstheme="minorHAnsi"/>
          <w:sz w:val="22"/>
          <w:szCs w:val="22"/>
        </w:rPr>
        <w:t> </w:t>
      </w:r>
    </w:p>
    <w:p w14:paraId="2E146A1C" w14:textId="43397B6F" w:rsidR="00440AC5" w:rsidRDefault="00FD2A47" w:rsidP="00C84C7B">
      <w:pPr>
        <w:pStyle w:val="paragraph"/>
        <w:spacing w:before="0" w:beforeAutospacing="0" w:after="0" w:afterAutospacing="0"/>
        <w:textAlignment w:val="baseline"/>
        <w:rPr>
          <w:rStyle w:val="eop"/>
          <w:rFonts w:asciiTheme="minorHAnsi" w:hAnsiTheme="minorHAnsi" w:cstheme="minorHAnsi"/>
          <w:sz w:val="20"/>
          <w:szCs w:val="20"/>
        </w:rPr>
      </w:pPr>
      <w:r w:rsidRPr="00866BBB">
        <w:rPr>
          <w:rStyle w:val="normaltextrun"/>
          <w:rFonts w:asciiTheme="minorHAnsi" w:eastAsiaTheme="minorHAnsi" w:hAnsiTheme="minorHAnsi" w:cstheme="minorHAnsi"/>
          <w:sz w:val="20"/>
          <w:szCs w:val="20"/>
        </w:rPr>
        <w:t>Note:</w:t>
      </w:r>
      <w:r w:rsidRPr="00866BBB">
        <w:rPr>
          <w:rStyle w:val="tabchar"/>
          <w:rFonts w:asciiTheme="minorHAnsi" w:eastAsiaTheme="minorHAnsi" w:hAnsiTheme="minorHAnsi" w:cstheme="minorHAnsi"/>
          <w:sz w:val="20"/>
          <w:szCs w:val="20"/>
        </w:rPr>
        <w:tab/>
      </w:r>
      <w:r w:rsidRPr="00866BBB">
        <w:rPr>
          <w:rStyle w:val="normaltextrun"/>
          <w:rFonts w:asciiTheme="minorHAnsi" w:eastAsiaTheme="minorHAnsi" w:hAnsiTheme="minorHAnsi" w:cstheme="minorHAnsi"/>
          <w:sz w:val="20"/>
          <w:szCs w:val="20"/>
        </w:rPr>
        <w:t>Test reports and other evidence of performance of models can be provided at the time of registration on a voluntary basis.</w:t>
      </w:r>
      <w:r w:rsidRPr="00866BBB">
        <w:rPr>
          <w:rStyle w:val="eop"/>
          <w:rFonts w:asciiTheme="minorHAnsi" w:hAnsiTheme="minorHAnsi" w:cstheme="minorHAnsi"/>
          <w:sz w:val="20"/>
          <w:szCs w:val="20"/>
        </w:rPr>
        <w:t> </w:t>
      </w:r>
    </w:p>
    <w:p w14:paraId="51C5C011" w14:textId="77777777" w:rsidR="00C84C7B" w:rsidRPr="00C84C7B" w:rsidRDefault="00C84C7B" w:rsidP="00C84C7B">
      <w:pPr>
        <w:pStyle w:val="paragraph"/>
        <w:spacing w:before="0" w:beforeAutospacing="0" w:after="0" w:afterAutospacing="0"/>
        <w:textAlignment w:val="baseline"/>
        <w:rPr>
          <w:rFonts w:asciiTheme="minorHAnsi" w:hAnsiTheme="minorHAnsi" w:cstheme="minorHAnsi"/>
          <w:sz w:val="20"/>
          <w:szCs w:val="20"/>
        </w:rPr>
      </w:pPr>
    </w:p>
    <w:p w14:paraId="55D70462" w14:textId="77777777" w:rsidR="00C84C7B" w:rsidRPr="00C84C7B" w:rsidRDefault="00C84C7B" w:rsidP="00C84C7B">
      <w:pPr>
        <w:pStyle w:val="paragraph"/>
        <w:spacing w:before="0" w:beforeAutospacing="0" w:after="0" w:afterAutospacing="0"/>
        <w:ind w:left="284" w:hanging="284"/>
        <w:textAlignment w:val="baseline"/>
        <w:rPr>
          <w:rFonts w:asciiTheme="minorHAnsi" w:hAnsiTheme="minorHAnsi" w:cstheme="minorHAnsi"/>
          <w:sz w:val="18"/>
          <w:szCs w:val="18"/>
        </w:rPr>
      </w:pPr>
      <w:r w:rsidRPr="00C84C7B">
        <w:rPr>
          <w:rStyle w:val="normaltextrun"/>
          <w:rFonts w:asciiTheme="minorHAnsi" w:eastAsiaTheme="minorHAnsi" w:hAnsiTheme="minorHAnsi" w:cstheme="minorHAnsi"/>
          <w:sz w:val="22"/>
        </w:rPr>
        <w:t>(3)</w:t>
      </w:r>
      <w:r w:rsidRPr="00C84C7B">
        <w:rPr>
          <w:rStyle w:val="tabchar"/>
          <w:rFonts w:asciiTheme="minorHAnsi" w:eastAsiaTheme="minorHAnsi" w:hAnsiTheme="minorHAnsi" w:cstheme="minorHAnsi"/>
          <w:sz w:val="22"/>
        </w:rPr>
        <w:tab/>
      </w:r>
      <w:r w:rsidRPr="00C84C7B">
        <w:rPr>
          <w:rStyle w:val="normaltextrun"/>
          <w:rFonts w:asciiTheme="minorHAnsi" w:eastAsiaTheme="minorHAnsi" w:hAnsiTheme="minorHAnsi" w:cstheme="minorHAnsi"/>
          <w:sz w:val="22"/>
        </w:rPr>
        <w:t>For paragraph (2)(b):</w:t>
      </w:r>
      <w:r w:rsidRPr="00C84C7B">
        <w:rPr>
          <w:rStyle w:val="eop"/>
          <w:rFonts w:asciiTheme="minorHAnsi" w:hAnsiTheme="minorHAnsi" w:cstheme="minorHAnsi"/>
          <w:sz w:val="22"/>
          <w:szCs w:val="22"/>
        </w:rPr>
        <w:t> </w:t>
      </w:r>
    </w:p>
    <w:p w14:paraId="34D01438" w14:textId="77777777" w:rsidR="00C84C7B" w:rsidRPr="00C84C7B" w:rsidRDefault="00C84C7B" w:rsidP="00F64D31">
      <w:pPr>
        <w:pStyle w:val="paragraph"/>
        <w:spacing w:before="0" w:beforeAutospacing="0" w:after="0" w:afterAutospacing="0"/>
        <w:ind w:left="1134" w:hanging="425"/>
        <w:textAlignment w:val="baseline"/>
        <w:rPr>
          <w:rFonts w:asciiTheme="minorHAnsi" w:hAnsiTheme="minorHAnsi" w:cstheme="minorHAnsi"/>
          <w:sz w:val="18"/>
          <w:szCs w:val="18"/>
        </w:rPr>
      </w:pPr>
      <w:r w:rsidRPr="00C84C7B">
        <w:rPr>
          <w:rStyle w:val="normaltextrun"/>
          <w:rFonts w:asciiTheme="minorHAnsi" w:eastAsiaTheme="minorHAnsi" w:hAnsiTheme="minorHAnsi" w:cstheme="minorHAnsi"/>
          <w:sz w:val="22"/>
        </w:rPr>
        <w:t>(a)</w:t>
      </w:r>
      <w:r w:rsidRPr="00C84C7B">
        <w:rPr>
          <w:rStyle w:val="tabchar"/>
          <w:rFonts w:asciiTheme="minorHAnsi" w:eastAsiaTheme="minorHAnsi" w:hAnsiTheme="minorHAnsi" w:cstheme="minorHAnsi"/>
          <w:sz w:val="22"/>
        </w:rPr>
        <w:tab/>
      </w:r>
      <w:r w:rsidRPr="00C84C7B">
        <w:rPr>
          <w:rStyle w:val="normaltextrun"/>
          <w:rFonts w:asciiTheme="minorHAnsi" w:eastAsiaTheme="minorHAnsi" w:hAnsiTheme="minorHAnsi" w:cstheme="minorHAnsi"/>
          <w:sz w:val="22"/>
        </w:rPr>
        <w:t>the model used for UV hazard testing (where required) must be the model with the highest UV radiant power in the relevant family; and </w:t>
      </w:r>
      <w:r w:rsidRPr="00C84C7B">
        <w:rPr>
          <w:rStyle w:val="eop"/>
          <w:rFonts w:asciiTheme="minorHAnsi" w:hAnsiTheme="minorHAnsi" w:cstheme="minorHAnsi"/>
          <w:sz w:val="22"/>
          <w:szCs w:val="22"/>
        </w:rPr>
        <w:t> </w:t>
      </w:r>
    </w:p>
    <w:p w14:paraId="2DA48269" w14:textId="77777777" w:rsidR="00C84C7B" w:rsidRPr="00C84C7B" w:rsidRDefault="00C84C7B" w:rsidP="00F64D31">
      <w:pPr>
        <w:pStyle w:val="paragraph"/>
        <w:spacing w:before="0" w:beforeAutospacing="0" w:after="0" w:afterAutospacing="0"/>
        <w:ind w:left="1134" w:hanging="425"/>
        <w:textAlignment w:val="baseline"/>
        <w:rPr>
          <w:rFonts w:asciiTheme="minorHAnsi" w:hAnsiTheme="minorHAnsi" w:cstheme="minorHAnsi"/>
          <w:sz w:val="18"/>
          <w:szCs w:val="18"/>
        </w:rPr>
      </w:pPr>
      <w:r w:rsidRPr="00C84C7B">
        <w:rPr>
          <w:rStyle w:val="normaltextrun"/>
          <w:rFonts w:asciiTheme="minorHAnsi" w:eastAsiaTheme="minorHAnsi" w:hAnsiTheme="minorHAnsi" w:cstheme="minorHAnsi"/>
          <w:sz w:val="22"/>
        </w:rPr>
        <w:t>(b)</w:t>
      </w:r>
      <w:r w:rsidRPr="00C84C7B">
        <w:rPr>
          <w:rStyle w:val="tabchar"/>
          <w:rFonts w:asciiTheme="minorHAnsi" w:eastAsiaTheme="minorHAnsi" w:hAnsiTheme="minorHAnsi" w:cstheme="minorHAnsi"/>
          <w:sz w:val="22"/>
        </w:rPr>
        <w:tab/>
      </w:r>
      <w:r w:rsidRPr="00C84C7B">
        <w:rPr>
          <w:rStyle w:val="normaltextrun"/>
          <w:rFonts w:asciiTheme="minorHAnsi" w:eastAsiaTheme="minorHAnsi" w:hAnsiTheme="minorHAnsi" w:cstheme="minorHAnsi"/>
          <w:sz w:val="22"/>
        </w:rPr>
        <w:t>the model used for Blue Light hazard testing (where required) must be the model with the highest CCT in the relevant family; and </w:t>
      </w:r>
      <w:r w:rsidRPr="00C84C7B">
        <w:rPr>
          <w:rStyle w:val="eop"/>
          <w:rFonts w:asciiTheme="minorHAnsi" w:hAnsiTheme="minorHAnsi" w:cstheme="minorHAnsi"/>
          <w:sz w:val="22"/>
          <w:szCs w:val="22"/>
        </w:rPr>
        <w:t> </w:t>
      </w:r>
    </w:p>
    <w:p w14:paraId="1B2BB65C" w14:textId="77777777" w:rsidR="00C84C7B" w:rsidRPr="00C84C7B" w:rsidRDefault="00C84C7B" w:rsidP="00F64D31">
      <w:pPr>
        <w:pStyle w:val="paragraph"/>
        <w:spacing w:before="0" w:beforeAutospacing="0" w:after="0" w:afterAutospacing="0"/>
        <w:ind w:left="1134" w:hanging="425"/>
        <w:textAlignment w:val="baseline"/>
        <w:rPr>
          <w:rFonts w:asciiTheme="minorHAnsi" w:hAnsiTheme="minorHAnsi" w:cstheme="minorHAnsi"/>
          <w:sz w:val="18"/>
          <w:szCs w:val="18"/>
        </w:rPr>
      </w:pPr>
      <w:r w:rsidRPr="00C84C7B">
        <w:rPr>
          <w:rStyle w:val="normaltextrun"/>
          <w:rFonts w:asciiTheme="minorHAnsi" w:eastAsiaTheme="minorHAnsi" w:hAnsiTheme="minorHAnsi" w:cstheme="minorHAnsi"/>
          <w:sz w:val="22"/>
        </w:rPr>
        <w:t>(c)</w:t>
      </w:r>
      <w:r w:rsidRPr="00C84C7B">
        <w:rPr>
          <w:rStyle w:val="tabchar"/>
          <w:rFonts w:asciiTheme="minorHAnsi" w:eastAsiaTheme="minorHAnsi" w:hAnsiTheme="minorHAnsi" w:cstheme="minorHAnsi"/>
          <w:sz w:val="22"/>
        </w:rPr>
        <w:tab/>
      </w:r>
      <w:r w:rsidRPr="00C84C7B">
        <w:rPr>
          <w:rStyle w:val="normaltextrun"/>
          <w:rFonts w:asciiTheme="minorHAnsi" w:eastAsiaTheme="minorHAnsi" w:hAnsiTheme="minorHAnsi" w:cstheme="minorHAnsi"/>
          <w:sz w:val="22"/>
        </w:rPr>
        <w:t>the model used for all other testing must be the model with the lowest luminous efficacy (lm/W) in the relevant family, when measured in the reference control settings.</w:t>
      </w:r>
      <w:r w:rsidRPr="00C84C7B">
        <w:rPr>
          <w:rStyle w:val="eop"/>
          <w:rFonts w:asciiTheme="minorHAnsi" w:hAnsiTheme="minorHAnsi" w:cstheme="minorHAnsi"/>
          <w:sz w:val="22"/>
          <w:szCs w:val="22"/>
        </w:rPr>
        <w:t> </w:t>
      </w:r>
    </w:p>
    <w:p w14:paraId="42122316" w14:textId="77777777" w:rsidR="00F64D31" w:rsidRDefault="00F64D31" w:rsidP="00C84C7B">
      <w:pPr>
        <w:pStyle w:val="paragraph"/>
        <w:spacing w:before="0" w:beforeAutospacing="0" w:after="0" w:afterAutospacing="0"/>
        <w:textAlignment w:val="baseline"/>
        <w:rPr>
          <w:rStyle w:val="normaltextrun"/>
          <w:rFonts w:asciiTheme="minorHAnsi" w:eastAsiaTheme="minorHAnsi" w:hAnsiTheme="minorHAnsi" w:cstheme="minorHAnsi"/>
          <w:sz w:val="20"/>
          <w:szCs w:val="20"/>
        </w:rPr>
      </w:pPr>
    </w:p>
    <w:p w14:paraId="76FFB472" w14:textId="357AC631" w:rsidR="00C84C7B" w:rsidRPr="00F64D31" w:rsidRDefault="00C84C7B" w:rsidP="00C84C7B">
      <w:pPr>
        <w:pStyle w:val="paragraph"/>
        <w:spacing w:before="0" w:beforeAutospacing="0" w:after="0" w:afterAutospacing="0"/>
        <w:textAlignment w:val="baseline"/>
        <w:rPr>
          <w:rFonts w:asciiTheme="minorHAnsi" w:hAnsiTheme="minorHAnsi" w:cstheme="minorHAnsi"/>
          <w:sz w:val="20"/>
          <w:szCs w:val="20"/>
        </w:rPr>
      </w:pPr>
      <w:r w:rsidRPr="00F64D31">
        <w:rPr>
          <w:rStyle w:val="normaltextrun"/>
          <w:rFonts w:asciiTheme="minorHAnsi" w:eastAsiaTheme="minorHAnsi" w:hAnsiTheme="minorHAnsi" w:cstheme="minorHAnsi"/>
          <w:sz w:val="20"/>
          <w:szCs w:val="20"/>
        </w:rPr>
        <w:t>Note:</w:t>
      </w:r>
      <w:r w:rsidRPr="00F64D31">
        <w:rPr>
          <w:rStyle w:val="tabchar"/>
          <w:rFonts w:asciiTheme="minorHAnsi" w:eastAsiaTheme="minorHAnsi" w:hAnsiTheme="minorHAnsi" w:cstheme="minorHAnsi"/>
          <w:sz w:val="20"/>
          <w:szCs w:val="20"/>
        </w:rPr>
        <w:tab/>
      </w:r>
      <w:r w:rsidRPr="00F64D31">
        <w:rPr>
          <w:rStyle w:val="normaltextrun"/>
          <w:rFonts w:asciiTheme="minorHAnsi" w:eastAsiaTheme="minorHAnsi" w:hAnsiTheme="minorHAnsi" w:cstheme="minorHAnsi"/>
          <w:sz w:val="20"/>
          <w:szCs w:val="20"/>
        </w:rPr>
        <w:t>Subsection 20(1) contains UV and Blue Light hazard requirements. Subsections 20(4) and (5) set out circumstances in which UV and Blue Light hazard testing is not required.</w:t>
      </w:r>
      <w:r w:rsidRPr="00F64D31">
        <w:rPr>
          <w:rStyle w:val="eop"/>
          <w:rFonts w:asciiTheme="minorHAnsi" w:hAnsiTheme="minorHAnsi" w:cstheme="minorHAnsi"/>
          <w:sz w:val="20"/>
          <w:szCs w:val="20"/>
        </w:rPr>
        <w:t> </w:t>
      </w:r>
    </w:p>
    <w:p w14:paraId="0F96F495" w14:textId="7AC07F9B" w:rsidR="000A1068" w:rsidRPr="000A1068" w:rsidRDefault="000A1068" w:rsidP="00C15938">
      <w:pPr>
        <w:pStyle w:val="paragraph"/>
        <w:spacing w:before="0" w:beforeAutospacing="0" w:after="0" w:afterAutospacing="0"/>
        <w:ind w:left="284" w:hanging="284"/>
        <w:textAlignment w:val="baseline"/>
        <w:rPr>
          <w:rFonts w:asciiTheme="minorHAnsi" w:hAnsiTheme="minorHAnsi" w:cstheme="minorHAnsi"/>
          <w:sz w:val="18"/>
          <w:szCs w:val="18"/>
        </w:rPr>
      </w:pPr>
      <w:r w:rsidRPr="000A1068">
        <w:rPr>
          <w:rStyle w:val="normaltextrun"/>
          <w:rFonts w:asciiTheme="minorHAnsi" w:eastAsiaTheme="minorHAnsi" w:hAnsiTheme="minorHAnsi" w:cstheme="minorHAnsi"/>
          <w:sz w:val="22"/>
        </w:rPr>
        <w:lastRenderedPageBreak/>
        <w:t xml:space="preserve">(4) Despite subsections (2) and (3), </w:t>
      </w:r>
      <w:r w:rsidR="00C12AAA">
        <w:rPr>
          <w:rStyle w:val="normaltextrun"/>
          <w:rFonts w:asciiTheme="minorHAnsi" w:eastAsiaTheme="minorHAnsi" w:hAnsiTheme="minorHAnsi" w:cstheme="minorHAnsi"/>
          <w:sz w:val="22"/>
        </w:rPr>
        <w:t xml:space="preserve">an applicant </w:t>
      </w:r>
      <w:r w:rsidR="0007384F">
        <w:rPr>
          <w:rStyle w:val="normaltextrun"/>
          <w:rFonts w:asciiTheme="minorHAnsi" w:eastAsiaTheme="minorHAnsi" w:hAnsiTheme="minorHAnsi" w:cstheme="minorHAnsi"/>
          <w:sz w:val="22"/>
        </w:rPr>
        <w:t>under section 41 of the Act may, in their application,</w:t>
      </w:r>
      <w:r w:rsidRPr="000A1068">
        <w:rPr>
          <w:rStyle w:val="normaltextrun"/>
          <w:rFonts w:asciiTheme="minorHAnsi" w:eastAsiaTheme="minorHAnsi" w:hAnsiTheme="minorHAnsi" w:cstheme="minorHAnsi"/>
          <w:sz w:val="22"/>
        </w:rPr>
        <w:t xml:space="preserve"> declare a family for the purposes of this subsection (a </w:t>
      </w:r>
      <w:r w:rsidRPr="000A1068">
        <w:rPr>
          <w:rStyle w:val="normaltextrun"/>
          <w:rFonts w:asciiTheme="minorHAnsi" w:eastAsiaTheme="minorHAnsi" w:hAnsiTheme="minorHAnsi" w:cstheme="minorHAnsi"/>
          <w:b/>
          <w:bCs/>
          <w:i/>
          <w:iCs/>
          <w:sz w:val="22"/>
        </w:rPr>
        <w:t>special purpose family</w:t>
      </w:r>
      <w:r w:rsidRPr="000A1068">
        <w:rPr>
          <w:rStyle w:val="normaltextrun"/>
          <w:rFonts w:asciiTheme="minorHAnsi" w:eastAsiaTheme="minorHAnsi" w:hAnsiTheme="minorHAnsi" w:cstheme="minorHAnsi"/>
          <w:sz w:val="22"/>
        </w:rPr>
        <w:t>) consisting of up to 10 models within a particular product class, provided that:</w:t>
      </w:r>
      <w:r w:rsidRPr="000A1068">
        <w:rPr>
          <w:rStyle w:val="eop"/>
          <w:rFonts w:asciiTheme="minorHAnsi" w:hAnsiTheme="minorHAnsi" w:cstheme="minorHAnsi"/>
          <w:sz w:val="22"/>
          <w:szCs w:val="22"/>
        </w:rPr>
        <w:t> </w:t>
      </w:r>
    </w:p>
    <w:p w14:paraId="2D31C12F" w14:textId="77777777" w:rsidR="000A1068" w:rsidRPr="000A1068" w:rsidRDefault="000A1068" w:rsidP="00C15938">
      <w:pPr>
        <w:pStyle w:val="paragraph"/>
        <w:spacing w:before="0" w:beforeAutospacing="0" w:after="0" w:afterAutospacing="0"/>
        <w:ind w:left="1134" w:hanging="425"/>
        <w:textAlignment w:val="baseline"/>
        <w:rPr>
          <w:rFonts w:asciiTheme="minorHAnsi" w:hAnsiTheme="minorHAnsi" w:cstheme="minorHAnsi"/>
          <w:sz w:val="18"/>
          <w:szCs w:val="18"/>
        </w:rPr>
      </w:pPr>
      <w:r w:rsidRPr="000A1068">
        <w:rPr>
          <w:rStyle w:val="normaltextrun"/>
          <w:rFonts w:asciiTheme="minorHAnsi" w:eastAsiaTheme="minorHAnsi" w:hAnsiTheme="minorHAnsi" w:cstheme="minorHAnsi"/>
          <w:sz w:val="22"/>
        </w:rPr>
        <w:t xml:space="preserve">(a) </w:t>
      </w:r>
      <w:r w:rsidRPr="000A1068">
        <w:rPr>
          <w:rStyle w:val="tabchar"/>
          <w:rFonts w:asciiTheme="minorHAnsi" w:eastAsiaTheme="minorHAnsi" w:hAnsiTheme="minorHAnsi" w:cstheme="minorHAnsi"/>
          <w:sz w:val="22"/>
        </w:rPr>
        <w:tab/>
      </w:r>
      <w:r w:rsidRPr="000A1068">
        <w:rPr>
          <w:rStyle w:val="normaltextrun"/>
          <w:rFonts w:asciiTheme="minorHAnsi" w:eastAsiaTheme="minorHAnsi" w:hAnsiTheme="minorHAnsi" w:cstheme="minorHAnsi"/>
          <w:sz w:val="22"/>
        </w:rPr>
        <w:t>no more than 1 special purpose family is declared in any product class; and</w:t>
      </w:r>
      <w:r w:rsidRPr="000A1068">
        <w:rPr>
          <w:rStyle w:val="eop"/>
          <w:rFonts w:asciiTheme="minorHAnsi" w:hAnsiTheme="minorHAnsi" w:cstheme="minorHAnsi"/>
          <w:sz w:val="22"/>
          <w:szCs w:val="22"/>
        </w:rPr>
        <w:t> </w:t>
      </w:r>
    </w:p>
    <w:p w14:paraId="68CD05BB" w14:textId="77777777" w:rsidR="000A1068" w:rsidRPr="000A1068" w:rsidRDefault="000A1068" w:rsidP="00C15938">
      <w:pPr>
        <w:pStyle w:val="paragraph"/>
        <w:spacing w:before="0" w:beforeAutospacing="0" w:after="0" w:afterAutospacing="0"/>
        <w:ind w:left="1134" w:hanging="425"/>
        <w:textAlignment w:val="baseline"/>
        <w:rPr>
          <w:rFonts w:asciiTheme="minorHAnsi" w:hAnsiTheme="minorHAnsi" w:cstheme="minorHAnsi"/>
          <w:sz w:val="18"/>
          <w:szCs w:val="18"/>
        </w:rPr>
      </w:pPr>
      <w:r w:rsidRPr="000A1068">
        <w:rPr>
          <w:rStyle w:val="normaltextrun"/>
          <w:rFonts w:asciiTheme="minorHAnsi" w:eastAsiaTheme="minorHAnsi" w:hAnsiTheme="minorHAnsi" w:cstheme="minorHAnsi"/>
          <w:sz w:val="22"/>
        </w:rPr>
        <w:t>(b)</w:t>
      </w:r>
      <w:r w:rsidRPr="000A1068">
        <w:rPr>
          <w:rStyle w:val="tabchar"/>
          <w:rFonts w:asciiTheme="minorHAnsi" w:eastAsiaTheme="minorHAnsi" w:hAnsiTheme="minorHAnsi" w:cstheme="minorHAnsi"/>
          <w:sz w:val="22"/>
        </w:rPr>
        <w:tab/>
      </w:r>
      <w:r w:rsidRPr="000A1068">
        <w:rPr>
          <w:rStyle w:val="normaltextrun"/>
          <w:rFonts w:asciiTheme="minorHAnsi" w:eastAsiaTheme="minorHAnsi" w:hAnsiTheme="minorHAnsi" w:cstheme="minorHAnsi"/>
          <w:sz w:val="22"/>
        </w:rPr>
        <w:t xml:space="preserve"> a test report, documenting the results of the testing required in accordance with section 22, was provided for every model in the family, subject to the qualifications in subsections 20(4) and 20(5), at the time an application was made for registration for the models under section 41 of the Act.</w:t>
      </w:r>
      <w:r w:rsidRPr="000A1068">
        <w:rPr>
          <w:rStyle w:val="eop"/>
          <w:rFonts w:asciiTheme="minorHAnsi" w:hAnsiTheme="minorHAnsi" w:cstheme="minorHAnsi"/>
          <w:sz w:val="22"/>
          <w:szCs w:val="22"/>
        </w:rPr>
        <w:t> </w:t>
      </w:r>
    </w:p>
    <w:p w14:paraId="1C61D916" w14:textId="77777777" w:rsidR="000A1068" w:rsidRPr="00BE01AF" w:rsidRDefault="000A1068" w:rsidP="000A1068">
      <w:pPr>
        <w:pStyle w:val="paragraph"/>
        <w:spacing w:before="0" w:beforeAutospacing="0" w:after="0" w:afterAutospacing="0"/>
        <w:textAlignment w:val="baseline"/>
        <w:rPr>
          <w:rStyle w:val="eop"/>
          <w:rFonts w:asciiTheme="minorHAnsi" w:hAnsiTheme="minorHAnsi" w:cstheme="minorHAnsi"/>
          <w:sz w:val="20"/>
          <w:szCs w:val="20"/>
        </w:rPr>
      </w:pPr>
      <w:r w:rsidRPr="00BE01AF">
        <w:rPr>
          <w:rStyle w:val="normaltextrun"/>
          <w:rFonts w:asciiTheme="minorHAnsi" w:eastAsiaTheme="minorHAnsi" w:hAnsiTheme="minorHAnsi" w:cstheme="minorHAnsi"/>
          <w:sz w:val="20"/>
          <w:szCs w:val="20"/>
        </w:rPr>
        <w:t>Note:</w:t>
      </w:r>
      <w:r w:rsidRPr="00BE01AF">
        <w:rPr>
          <w:rStyle w:val="tabchar"/>
          <w:rFonts w:asciiTheme="minorHAnsi" w:eastAsiaTheme="minorHAnsi" w:hAnsiTheme="minorHAnsi" w:cstheme="minorHAnsi"/>
          <w:sz w:val="20"/>
          <w:szCs w:val="20"/>
        </w:rPr>
        <w:tab/>
      </w:r>
      <w:r w:rsidRPr="00BE01AF">
        <w:rPr>
          <w:rStyle w:val="normaltextrun"/>
          <w:rFonts w:asciiTheme="minorHAnsi" w:eastAsiaTheme="minorHAnsi" w:hAnsiTheme="minorHAnsi" w:cstheme="minorHAnsi"/>
          <w:sz w:val="20"/>
          <w:szCs w:val="20"/>
        </w:rPr>
        <w:t>This provision caters for products which are low volume specialist lamps, which are unlikely to be otherwise able to be grouped together in a family and for which individual registration might otherwise be cost prohibitive.</w:t>
      </w:r>
      <w:r w:rsidRPr="00BE01AF">
        <w:rPr>
          <w:rStyle w:val="eop"/>
          <w:rFonts w:asciiTheme="minorHAnsi" w:hAnsiTheme="minorHAnsi" w:cstheme="minorHAnsi"/>
          <w:sz w:val="20"/>
          <w:szCs w:val="20"/>
        </w:rPr>
        <w:t> </w:t>
      </w:r>
    </w:p>
    <w:p w14:paraId="344AAF3F" w14:textId="77777777" w:rsidR="00C15938" w:rsidRPr="000A1068" w:rsidRDefault="00C15938" w:rsidP="000A1068">
      <w:pPr>
        <w:pStyle w:val="paragraph"/>
        <w:spacing w:before="0" w:beforeAutospacing="0" w:after="0" w:afterAutospacing="0"/>
        <w:textAlignment w:val="baseline"/>
        <w:rPr>
          <w:rFonts w:asciiTheme="minorHAnsi" w:hAnsiTheme="minorHAnsi" w:cstheme="minorHAnsi"/>
          <w:sz w:val="18"/>
          <w:szCs w:val="18"/>
        </w:rPr>
      </w:pPr>
    </w:p>
    <w:p w14:paraId="70D1E806" w14:textId="77777777" w:rsidR="000A1068" w:rsidRPr="000A1068" w:rsidRDefault="000A1068" w:rsidP="00C15938">
      <w:pPr>
        <w:pStyle w:val="paragraph"/>
        <w:spacing w:before="0" w:beforeAutospacing="0" w:after="0" w:afterAutospacing="0"/>
        <w:ind w:left="284" w:hanging="284"/>
        <w:textAlignment w:val="baseline"/>
        <w:rPr>
          <w:rFonts w:asciiTheme="minorHAnsi" w:hAnsiTheme="minorHAnsi" w:cstheme="minorHAnsi"/>
          <w:sz w:val="18"/>
          <w:szCs w:val="18"/>
        </w:rPr>
      </w:pPr>
      <w:r w:rsidRPr="000A1068">
        <w:rPr>
          <w:rStyle w:val="normaltextrun"/>
          <w:rFonts w:asciiTheme="minorHAnsi" w:eastAsiaTheme="minorHAnsi" w:hAnsiTheme="minorHAnsi" w:cstheme="minorHAnsi"/>
          <w:sz w:val="22"/>
        </w:rPr>
        <w:t>(5)</w:t>
      </w:r>
      <w:r w:rsidRPr="000A1068">
        <w:rPr>
          <w:rStyle w:val="tabchar"/>
          <w:rFonts w:asciiTheme="minorHAnsi" w:eastAsiaTheme="minorHAnsi" w:hAnsiTheme="minorHAnsi" w:cstheme="minorHAnsi"/>
          <w:sz w:val="22"/>
        </w:rPr>
        <w:tab/>
      </w:r>
      <w:r w:rsidRPr="000A1068">
        <w:rPr>
          <w:rStyle w:val="normaltextrun"/>
          <w:rFonts w:asciiTheme="minorHAnsi" w:eastAsiaTheme="minorHAnsi" w:hAnsiTheme="minorHAnsi" w:cstheme="minorHAnsi"/>
          <w:sz w:val="22"/>
        </w:rPr>
        <w:t xml:space="preserve"> For paragraph (1)(b), a family must not contain more than 100 models.</w:t>
      </w:r>
      <w:r w:rsidRPr="000A1068">
        <w:rPr>
          <w:rStyle w:val="eop"/>
          <w:rFonts w:asciiTheme="minorHAnsi" w:hAnsiTheme="minorHAnsi" w:cstheme="minorHAnsi"/>
          <w:sz w:val="22"/>
          <w:szCs w:val="22"/>
        </w:rPr>
        <w:t> </w:t>
      </w:r>
    </w:p>
    <w:p w14:paraId="4538B957" w14:textId="77777777" w:rsidR="00A9171D" w:rsidRDefault="00A9171D" w:rsidP="006F1127">
      <w:pPr>
        <w:pStyle w:val="ListBullet"/>
        <w:numPr>
          <w:ilvl w:val="0"/>
          <w:numId w:val="0"/>
        </w:numPr>
      </w:pPr>
    </w:p>
    <w:p w14:paraId="0AAC323B" w14:textId="77777777" w:rsidR="00A9171D" w:rsidRDefault="00A9171D" w:rsidP="006F1127">
      <w:pPr>
        <w:pStyle w:val="ListBullet"/>
        <w:numPr>
          <w:ilvl w:val="0"/>
          <w:numId w:val="0"/>
        </w:numPr>
      </w:pPr>
    </w:p>
    <w:p w14:paraId="28B4F019" w14:textId="77777777" w:rsidR="001C6298" w:rsidRDefault="001C6298" w:rsidP="000A5BA0">
      <w:pPr>
        <w:pStyle w:val="Normalsmall"/>
        <w:rPr>
          <w:rStyle w:val="Strong"/>
        </w:rPr>
      </w:pPr>
    </w:p>
    <w:p w14:paraId="63FF4158" w14:textId="28F70CDB" w:rsidR="000A5BA0" w:rsidRDefault="000A5BA0" w:rsidP="000A5BA0">
      <w:pPr>
        <w:pStyle w:val="Normalsmall"/>
      </w:pPr>
      <w:r>
        <w:rPr>
          <w:rStyle w:val="Strong"/>
        </w:rPr>
        <w:t>Acknowledgement of Country</w:t>
      </w:r>
    </w:p>
    <w:p w14:paraId="527AC288" w14:textId="77777777" w:rsidR="000A5BA0" w:rsidRPr="000A5BA0" w:rsidRDefault="000A5BA0" w:rsidP="000A5BA0">
      <w:pPr>
        <w:pStyle w:val="Normalsmall"/>
        <w:rPr>
          <w:rStyle w:val="Hyperlink"/>
          <w:color w:val="auto"/>
          <w:u w:val="none"/>
        </w:rPr>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4A85B505" w14:textId="77777777" w:rsidR="00E9781D" w:rsidRDefault="00E9781D" w:rsidP="00E9781D">
      <w:pPr>
        <w:pStyle w:val="Normalsmall"/>
        <w:spacing w:before="360"/>
      </w:pPr>
      <w:r>
        <w:t>© Commonwealth of Australia 202</w:t>
      </w:r>
      <w:r w:rsidR="004F43CF">
        <w:t>4</w:t>
      </w:r>
    </w:p>
    <w:p w14:paraId="067E63F3"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39CD20AB" w14:textId="77777777" w:rsidR="00E9781D" w:rsidRDefault="00E9781D" w:rsidP="00E9781D">
      <w:pPr>
        <w:pStyle w:val="Normalsmall"/>
      </w:pPr>
      <w:r>
        <w:t xml:space="preserve">All material in this publication is licensed under a </w:t>
      </w:r>
      <w:hyperlink r:id="rId15" w:history="1">
        <w:r>
          <w:rPr>
            <w:rStyle w:val="Hyperlink"/>
          </w:rPr>
          <w:t>Creative Commons Attribution 4.0 International Licence</w:t>
        </w:r>
      </w:hyperlink>
      <w:r>
        <w:t xml:space="preserve"> except content supplied by third parties, logos and the Commonwealth Coat of Arms.</w:t>
      </w:r>
    </w:p>
    <w:p w14:paraId="0D6B0D3A" w14:textId="77777777" w:rsidR="00F21AF4" w:rsidRDefault="00E9781D" w:rsidP="00E9781D">
      <w:pPr>
        <w:pStyle w:val="Normalsmall"/>
      </w:pPr>
      <w:r>
        <w:t xml:space="preserve">The Australian Government acting through the </w:t>
      </w:r>
      <w:r w:rsidR="006371B7" w:rsidRPr="00D86640">
        <w:t>Department of Climate Change, Energy, the Environment and Water</w:t>
      </w:r>
      <w:r w:rsidR="006371B7">
        <w:t xml:space="preserve"> </w:t>
      </w:r>
      <w:r>
        <w:t xml:space="preserve">has exercised due care and skill in preparing and compiling the information and data in this publication. Notwithstanding, the </w:t>
      </w:r>
      <w:r w:rsidR="006371B7" w:rsidRPr="00D86640">
        <w:t>Department of Climate Change, Energy, the Environment and Water</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5EE71A06" w14:textId="77777777" w:rsidR="007C0DF3" w:rsidRDefault="007C0DF3" w:rsidP="00E9781D">
      <w:pPr>
        <w:pStyle w:val="Normalsmall"/>
      </w:pPr>
    </w:p>
    <w:p w14:paraId="62DE3B9C" w14:textId="77777777" w:rsidR="007C0DF3" w:rsidRDefault="007C0DF3" w:rsidP="00E9781D">
      <w:pPr>
        <w:pStyle w:val="Normalsmall"/>
      </w:pPr>
    </w:p>
    <w:p w14:paraId="02A1AAF0" w14:textId="77777777" w:rsidR="007C0DF3" w:rsidRDefault="007C0DF3" w:rsidP="00E9781D">
      <w:pPr>
        <w:pStyle w:val="Normalsmall"/>
      </w:pPr>
    </w:p>
    <w:sectPr w:rsidR="007C0DF3" w:rsidSect="009B5AF3">
      <w:headerReference w:type="even" r:id="rId16"/>
      <w:headerReference w:type="default" r:id="rId17"/>
      <w:footerReference w:type="even" r:id="rId18"/>
      <w:footerReference w:type="default" r:id="rId19"/>
      <w:headerReference w:type="first" r:id="rId20"/>
      <w:footerReference w:type="first" r:id="rId21"/>
      <w:pgSz w:w="11906" w:h="16838" w:code="9"/>
      <w:pgMar w:top="2269" w:right="1247" w:bottom="1134" w:left="1247" w:header="680"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446AB" w14:textId="77777777" w:rsidR="00DC11BB" w:rsidRDefault="00DC11BB">
      <w:r>
        <w:separator/>
      </w:r>
    </w:p>
    <w:p w14:paraId="70A7E26A" w14:textId="77777777" w:rsidR="00DC11BB" w:rsidRDefault="00DC11BB"/>
    <w:p w14:paraId="73A5E39B" w14:textId="77777777" w:rsidR="00DC11BB" w:rsidRDefault="00DC11BB"/>
  </w:endnote>
  <w:endnote w:type="continuationSeparator" w:id="0">
    <w:p w14:paraId="7A5FC479" w14:textId="77777777" w:rsidR="00DC11BB" w:rsidRDefault="00DC11BB">
      <w:r>
        <w:continuationSeparator/>
      </w:r>
    </w:p>
    <w:p w14:paraId="47014719" w14:textId="77777777" w:rsidR="00DC11BB" w:rsidRDefault="00DC11BB"/>
    <w:p w14:paraId="17116EB7" w14:textId="77777777" w:rsidR="00DC11BB" w:rsidRDefault="00DC11BB"/>
  </w:endnote>
  <w:endnote w:type="continuationNotice" w:id="1">
    <w:p w14:paraId="79F0CD6C" w14:textId="77777777" w:rsidR="00DC11BB" w:rsidRDefault="00DC11BB">
      <w:pPr>
        <w:pStyle w:val="Footer"/>
      </w:pPr>
    </w:p>
    <w:p w14:paraId="2605AC69" w14:textId="77777777" w:rsidR="00DC11BB" w:rsidRDefault="00DC11BB"/>
    <w:p w14:paraId="42B3FB81" w14:textId="77777777" w:rsidR="00DC11BB" w:rsidRDefault="00DC1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00F12" w14:textId="4A73E3E5" w:rsidR="009B5AF3" w:rsidRDefault="009B5AF3">
    <w:pPr>
      <w:pStyle w:val="Footer"/>
    </w:pPr>
    <w:r>
      <w:rPr>
        <w:noProof/>
      </w:rPr>
      <mc:AlternateContent>
        <mc:Choice Requires="wps">
          <w:drawing>
            <wp:anchor distT="0" distB="0" distL="0" distR="0" simplePos="0" relativeHeight="251663360" behindDoc="0" locked="0" layoutInCell="1" allowOverlap="1" wp14:anchorId="5AFAB06A" wp14:editId="6880194B">
              <wp:simplePos x="635" y="635"/>
              <wp:positionH relativeFrom="page">
                <wp:align>center</wp:align>
              </wp:positionH>
              <wp:positionV relativeFrom="page">
                <wp:align>bottom</wp:align>
              </wp:positionV>
              <wp:extent cx="551815" cy="404495"/>
              <wp:effectExtent l="0" t="0" r="635" b="0"/>
              <wp:wrapNone/>
              <wp:docPr id="130182853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17CCCB0" w14:textId="3BC55614" w:rsidR="009B5AF3" w:rsidRPr="009B5AF3" w:rsidRDefault="009B5AF3" w:rsidP="009B5AF3">
                          <w:pPr>
                            <w:spacing w:after="0"/>
                            <w:rPr>
                              <w:rFonts w:ascii="Calibri" w:eastAsia="Calibri" w:hAnsi="Calibri" w:cs="Calibri"/>
                              <w:noProof/>
                              <w:color w:val="FF0000"/>
                              <w:sz w:val="24"/>
                              <w:szCs w:val="24"/>
                            </w:rPr>
                          </w:pPr>
                          <w:r w:rsidRPr="009B5AF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FAB06A"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517CCCB0" w14:textId="3BC55614" w:rsidR="009B5AF3" w:rsidRPr="009B5AF3" w:rsidRDefault="009B5AF3" w:rsidP="009B5AF3">
                    <w:pPr>
                      <w:spacing w:after="0"/>
                      <w:rPr>
                        <w:rFonts w:ascii="Calibri" w:eastAsia="Calibri" w:hAnsi="Calibri" w:cs="Calibri"/>
                        <w:noProof/>
                        <w:color w:val="FF0000"/>
                        <w:sz w:val="24"/>
                        <w:szCs w:val="24"/>
                      </w:rPr>
                    </w:pPr>
                    <w:r w:rsidRPr="009B5AF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15EFE" w14:textId="678BC005" w:rsidR="000542B4" w:rsidRPr="007C0DF3" w:rsidRDefault="000542B4" w:rsidP="00CE0C2C">
    <w:pPr>
      <w:pStyle w:val="Footer"/>
      <w:pBdr>
        <w:top w:val="single" w:sz="8" w:space="1" w:color="197C7D" w:themeColor="text2"/>
      </w:pBdr>
      <w:rPr>
        <w:sz w:val="18"/>
        <w:szCs w:val="20"/>
      </w:rPr>
    </w:pPr>
    <w:r w:rsidRPr="007C0DF3">
      <w:rPr>
        <w:sz w:val="18"/>
        <w:szCs w:val="20"/>
      </w:rPr>
      <w:t xml:space="preserve">Department of </w:t>
    </w:r>
    <w:r w:rsidR="00EC4447" w:rsidRPr="007C0DF3">
      <w:rPr>
        <w:sz w:val="18"/>
        <w:szCs w:val="20"/>
      </w:rPr>
      <w:t>Climate Change, Energy, the Environment and Water</w:t>
    </w:r>
  </w:p>
  <w:p w14:paraId="61861E7F" w14:textId="77777777" w:rsidR="000542B4" w:rsidRDefault="00000000" w:rsidP="000542B4">
    <w:pPr>
      <w:pStyle w:val="Footer"/>
    </w:pP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43992" w14:textId="3B604EAA" w:rsidR="009B5AF3" w:rsidRDefault="009B5AF3" w:rsidP="00CE0C2C">
    <w:pPr>
      <w:pStyle w:val="Footer"/>
      <w:pBdr>
        <w:top w:val="single" w:sz="8" w:space="1" w:color="197C7D" w:themeColor="text2"/>
      </w:pBdr>
      <w:rPr>
        <w:sz w:val="18"/>
        <w:szCs w:val="20"/>
      </w:rPr>
    </w:pPr>
  </w:p>
  <w:sdt>
    <w:sdtPr>
      <w:rPr>
        <w:sz w:val="18"/>
        <w:szCs w:val="20"/>
      </w:rPr>
      <w:id w:val="-858040093"/>
      <w:docPartObj>
        <w:docPartGallery w:val="Page Numbers (Bottom of Page)"/>
        <w:docPartUnique/>
      </w:docPartObj>
    </w:sdtPr>
    <w:sdtEndPr>
      <w:rPr>
        <w:noProof/>
        <w:sz w:val="20"/>
        <w:szCs w:val="22"/>
      </w:rPr>
    </w:sdtEndPr>
    <w:sdtContent>
      <w:p w14:paraId="7556B829" w14:textId="7F640C2E" w:rsidR="000542B4" w:rsidRPr="007C0DF3" w:rsidRDefault="009C37F9" w:rsidP="00CE0C2C">
        <w:pPr>
          <w:pStyle w:val="Footer"/>
          <w:pBdr>
            <w:top w:val="single" w:sz="8" w:space="1" w:color="197C7D" w:themeColor="text2"/>
          </w:pBdr>
          <w:rPr>
            <w:sz w:val="18"/>
            <w:szCs w:val="20"/>
          </w:rPr>
        </w:pPr>
        <w:r w:rsidRPr="007C0DF3">
          <w:rPr>
            <w:sz w:val="18"/>
            <w:szCs w:val="20"/>
          </w:rPr>
          <w:t xml:space="preserve">Department of </w:t>
        </w:r>
        <w:r w:rsidR="006371B7" w:rsidRPr="007C0DF3">
          <w:rPr>
            <w:sz w:val="18"/>
            <w:szCs w:val="20"/>
          </w:rPr>
          <w:t>Climate Change, Energy, the Environment and Water</w:t>
        </w:r>
      </w:p>
      <w:p w14:paraId="1AE4050B" w14:textId="77777777" w:rsidR="00577F29" w:rsidRDefault="00A77E8E" w:rsidP="00A77E8E">
        <w:pPr>
          <w:pStyle w:val="Footer"/>
        </w:pPr>
        <w:r>
          <w:fldChar w:fldCharType="begin"/>
        </w:r>
        <w:r>
          <w:instrText xml:space="preserve"> PAGE   \* MERGEFORMAT </w:instrText>
        </w:r>
        <w:r>
          <w:fldChar w:fldCharType="separate"/>
        </w:r>
        <w:r w:rsidR="00A8157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688E8" w14:textId="77777777" w:rsidR="00DC11BB" w:rsidRDefault="00DC11BB">
      <w:r>
        <w:separator/>
      </w:r>
    </w:p>
    <w:p w14:paraId="59CF1900" w14:textId="77777777" w:rsidR="00DC11BB" w:rsidRDefault="00DC11BB"/>
    <w:p w14:paraId="78FF046A" w14:textId="77777777" w:rsidR="00DC11BB" w:rsidRDefault="00DC11BB"/>
  </w:footnote>
  <w:footnote w:type="continuationSeparator" w:id="0">
    <w:p w14:paraId="00F2EF59" w14:textId="77777777" w:rsidR="00DC11BB" w:rsidRDefault="00DC11BB">
      <w:r>
        <w:continuationSeparator/>
      </w:r>
    </w:p>
    <w:p w14:paraId="02D4D7F1" w14:textId="77777777" w:rsidR="00DC11BB" w:rsidRDefault="00DC11BB"/>
    <w:p w14:paraId="3A6CEB47" w14:textId="77777777" w:rsidR="00DC11BB" w:rsidRDefault="00DC11BB"/>
  </w:footnote>
  <w:footnote w:type="continuationNotice" w:id="1">
    <w:p w14:paraId="0ECD0BA6" w14:textId="77777777" w:rsidR="00DC11BB" w:rsidRDefault="00DC11BB">
      <w:pPr>
        <w:pStyle w:val="Footer"/>
      </w:pPr>
    </w:p>
    <w:p w14:paraId="6B44A390" w14:textId="77777777" w:rsidR="00DC11BB" w:rsidRDefault="00DC11BB"/>
    <w:p w14:paraId="4343B75C" w14:textId="77777777" w:rsidR="00DC11BB" w:rsidRDefault="00DC11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2F57" w14:textId="44104321" w:rsidR="009B5AF3" w:rsidRDefault="009B5AF3">
    <w:pPr>
      <w:pStyle w:val="Header"/>
    </w:pPr>
    <w:r>
      <w:rPr>
        <w:noProof/>
      </w:rPr>
      <mc:AlternateContent>
        <mc:Choice Requires="wps">
          <w:drawing>
            <wp:anchor distT="0" distB="0" distL="0" distR="0" simplePos="0" relativeHeight="251660288" behindDoc="0" locked="0" layoutInCell="1" allowOverlap="1" wp14:anchorId="3EEC217B" wp14:editId="0DFEB10B">
              <wp:simplePos x="635" y="635"/>
              <wp:positionH relativeFrom="page">
                <wp:align>center</wp:align>
              </wp:positionH>
              <wp:positionV relativeFrom="page">
                <wp:align>top</wp:align>
              </wp:positionV>
              <wp:extent cx="551815" cy="404495"/>
              <wp:effectExtent l="0" t="0" r="635" b="14605"/>
              <wp:wrapNone/>
              <wp:docPr id="2321384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55DE617" w14:textId="2E50E549" w:rsidR="009B5AF3" w:rsidRPr="009B5AF3" w:rsidRDefault="009B5AF3" w:rsidP="009B5AF3">
                          <w:pPr>
                            <w:spacing w:after="0"/>
                            <w:rPr>
                              <w:rFonts w:ascii="Calibri" w:eastAsia="Calibri" w:hAnsi="Calibri" w:cs="Calibri"/>
                              <w:noProof/>
                              <w:color w:val="FF0000"/>
                              <w:sz w:val="24"/>
                              <w:szCs w:val="24"/>
                            </w:rPr>
                          </w:pPr>
                          <w:r w:rsidRPr="009B5AF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EC217B"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55DE617" w14:textId="2E50E549" w:rsidR="009B5AF3" w:rsidRPr="009B5AF3" w:rsidRDefault="009B5AF3" w:rsidP="009B5AF3">
                    <w:pPr>
                      <w:spacing w:after="0"/>
                      <w:rPr>
                        <w:rFonts w:ascii="Calibri" w:eastAsia="Calibri" w:hAnsi="Calibri" w:cs="Calibri"/>
                        <w:noProof/>
                        <w:color w:val="FF0000"/>
                        <w:sz w:val="24"/>
                        <w:szCs w:val="24"/>
                      </w:rPr>
                    </w:pPr>
                    <w:r w:rsidRPr="009B5AF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FB772" w14:textId="2783DEFF" w:rsidR="000542B4" w:rsidRPr="007C0DF3" w:rsidRDefault="0074660D">
    <w:pPr>
      <w:pStyle w:val="Header"/>
      <w:rPr>
        <w:sz w:val="18"/>
        <w:szCs w:val="20"/>
      </w:rPr>
    </w:pPr>
    <w:r>
      <w:rPr>
        <w:sz w:val="18"/>
        <w:szCs w:val="20"/>
      </w:rPr>
      <w:t>Proposed Lighting Regulations</w:t>
    </w:r>
    <w:r w:rsidR="00680A25">
      <w:rPr>
        <w:sz w:val="18"/>
        <w:szCs w:val="20"/>
      </w:rPr>
      <w:t xml:space="preserve"> </w:t>
    </w:r>
    <w:r>
      <w:rPr>
        <w:sz w:val="18"/>
        <w:szCs w:val="20"/>
      </w:rPr>
      <w:t>_</w:t>
    </w:r>
    <w:r w:rsidR="00680A25">
      <w:rPr>
        <w:sz w:val="18"/>
        <w:szCs w:val="20"/>
      </w:rPr>
      <w:t xml:space="preserve"> </w:t>
    </w:r>
    <w:r>
      <w:rPr>
        <w:sz w:val="18"/>
        <w:szCs w:val="20"/>
      </w:rPr>
      <w:t xml:space="preserve">Post Public </w:t>
    </w:r>
    <w:r w:rsidR="00680A25">
      <w:rPr>
        <w:sz w:val="18"/>
        <w:szCs w:val="20"/>
      </w:rPr>
      <w:t>Consultation Process Update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1E786" w14:textId="7BD22366" w:rsidR="000E455C" w:rsidRDefault="007C0DF3" w:rsidP="007C0DF3">
    <w:pPr>
      <w:pStyle w:val="Footer"/>
      <w:jc w:val="left"/>
    </w:pPr>
    <w:r>
      <w:rPr>
        <w:noProof/>
      </w:rPr>
      <w:drawing>
        <wp:anchor distT="0" distB="0" distL="114300" distR="114300" simplePos="0" relativeHeight="251658240" behindDoc="0" locked="0" layoutInCell="1" allowOverlap="1" wp14:anchorId="0DD7547A" wp14:editId="47A4EDE6">
          <wp:simplePos x="0" y="0"/>
          <wp:positionH relativeFrom="column">
            <wp:posOffset>-839470</wp:posOffset>
          </wp:positionH>
          <wp:positionV relativeFrom="paragraph">
            <wp:posOffset>-431800</wp:posOffset>
          </wp:positionV>
          <wp:extent cx="7614920" cy="1146175"/>
          <wp:effectExtent l="0" t="0" r="5080" b="0"/>
          <wp:wrapSquare wrapText="bothSides"/>
          <wp:docPr id="1270646947" name="Picture 1270646947" descr="A picture containing text, screenshot, invertebrate, ctenoph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creenshot, invertebrate, ctenopho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14920" cy="1146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72723"/>
    <w:multiLevelType w:val="hybridMultilevel"/>
    <w:tmpl w:val="66BCB760"/>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1A328D5"/>
    <w:multiLevelType w:val="multilevel"/>
    <w:tmpl w:val="47AAA7EE"/>
    <w:numStyleLink w:val="Numberlist"/>
  </w:abstractNum>
  <w:abstractNum w:abstractNumId="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BC73C94"/>
    <w:multiLevelType w:val="hybridMultilevel"/>
    <w:tmpl w:val="513CB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5D57C0"/>
    <w:multiLevelType w:val="hybridMultilevel"/>
    <w:tmpl w:val="6ACA5E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52E10FD"/>
    <w:multiLevelType w:val="hybridMultilevel"/>
    <w:tmpl w:val="A154A084"/>
    <w:lvl w:ilvl="0" w:tplc="A6EACFDA">
      <w:numFmt w:val="bullet"/>
      <w:pStyle w:val="ListParagraph"/>
      <w:lvlText w:val=""/>
      <w:lvlJc w:val="left"/>
      <w:pPr>
        <w:ind w:left="720" w:hanging="360"/>
      </w:pPr>
      <w:rPr>
        <w:rFonts w:ascii="Symbol" w:eastAsiaTheme="minorHAnsi" w:hAnsi="Symbol" w:cstheme="minorBidi" w:hint="default"/>
      </w:rPr>
    </w:lvl>
    <w:lvl w:ilvl="1" w:tplc="E36889C0">
      <w:numFmt w:val="bullet"/>
      <w:lvlText w:val="-"/>
      <w:lvlJc w:val="left"/>
      <w:pPr>
        <w:ind w:left="1440" w:hanging="360"/>
      </w:pPr>
      <w:rPr>
        <w:rFonts w:ascii="Calibri" w:eastAsiaTheme="minorHAnsi" w:hAnsi="Calibri" w:cs="Calibri"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0"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7C6C0242"/>
    <w:multiLevelType w:val="hybridMultilevel"/>
    <w:tmpl w:val="7DEA15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91002950">
    <w:abstractNumId w:val="5"/>
  </w:num>
  <w:num w:numId="2" w16cid:durableId="1905025752">
    <w:abstractNumId w:val="10"/>
  </w:num>
  <w:num w:numId="3" w16cid:durableId="320934746">
    <w:abstractNumId w:val="11"/>
  </w:num>
  <w:num w:numId="4" w16cid:durableId="1728845122">
    <w:abstractNumId w:val="3"/>
  </w:num>
  <w:num w:numId="5" w16cid:durableId="595596255">
    <w:abstractNumId w:val="9"/>
  </w:num>
  <w:num w:numId="6" w16cid:durableId="1821801649">
    <w:abstractNumId w:val="6"/>
  </w:num>
  <w:num w:numId="7" w16cid:durableId="735130269">
    <w:abstractNumId w:val="1"/>
  </w:num>
  <w:num w:numId="8" w16cid:durableId="2145081121">
    <w:abstractNumId w:val="2"/>
  </w:num>
  <w:num w:numId="9" w16cid:durableId="1843273156">
    <w:abstractNumId w:val="8"/>
  </w:num>
  <w:num w:numId="10" w16cid:durableId="1754818839">
    <w:abstractNumId w:val="7"/>
  </w:num>
  <w:num w:numId="11" w16cid:durableId="528615428">
    <w:abstractNumId w:val="0"/>
  </w:num>
  <w:num w:numId="12" w16cid:durableId="635643815">
    <w:abstractNumId w:val="12"/>
  </w:num>
  <w:num w:numId="13" w16cid:durableId="7597693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8"/>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AF3"/>
    <w:rsid w:val="0000059E"/>
    <w:rsid w:val="0000066F"/>
    <w:rsid w:val="00021590"/>
    <w:rsid w:val="00025B81"/>
    <w:rsid w:val="00025D1B"/>
    <w:rsid w:val="000266C4"/>
    <w:rsid w:val="00036819"/>
    <w:rsid w:val="000542B4"/>
    <w:rsid w:val="000618F3"/>
    <w:rsid w:val="00066D0B"/>
    <w:rsid w:val="00070537"/>
    <w:rsid w:val="000717D2"/>
    <w:rsid w:val="0007384F"/>
    <w:rsid w:val="00074A56"/>
    <w:rsid w:val="00080827"/>
    <w:rsid w:val="0008277A"/>
    <w:rsid w:val="000904C1"/>
    <w:rsid w:val="000913B5"/>
    <w:rsid w:val="000A1068"/>
    <w:rsid w:val="000A5BA0"/>
    <w:rsid w:val="000B3924"/>
    <w:rsid w:val="000B3C44"/>
    <w:rsid w:val="000C0412"/>
    <w:rsid w:val="000C4558"/>
    <w:rsid w:val="000C5ECE"/>
    <w:rsid w:val="000D480C"/>
    <w:rsid w:val="000D736D"/>
    <w:rsid w:val="000E455C"/>
    <w:rsid w:val="000E5045"/>
    <w:rsid w:val="000E7803"/>
    <w:rsid w:val="000F0491"/>
    <w:rsid w:val="00106B7A"/>
    <w:rsid w:val="0011357E"/>
    <w:rsid w:val="00120BD2"/>
    <w:rsid w:val="001233A8"/>
    <w:rsid w:val="0013173D"/>
    <w:rsid w:val="001458A4"/>
    <w:rsid w:val="001760F0"/>
    <w:rsid w:val="00190D7E"/>
    <w:rsid w:val="001929D2"/>
    <w:rsid w:val="00197C60"/>
    <w:rsid w:val="001A14AE"/>
    <w:rsid w:val="001A6968"/>
    <w:rsid w:val="001B4C5D"/>
    <w:rsid w:val="001C6298"/>
    <w:rsid w:val="001D0EF3"/>
    <w:rsid w:val="001D6373"/>
    <w:rsid w:val="001E3A39"/>
    <w:rsid w:val="001F4DA1"/>
    <w:rsid w:val="001F6C6E"/>
    <w:rsid w:val="00203059"/>
    <w:rsid w:val="00203DE1"/>
    <w:rsid w:val="00220618"/>
    <w:rsid w:val="00237A69"/>
    <w:rsid w:val="00241BFB"/>
    <w:rsid w:val="0025113D"/>
    <w:rsid w:val="00251782"/>
    <w:rsid w:val="002552D4"/>
    <w:rsid w:val="00272D04"/>
    <w:rsid w:val="00275B58"/>
    <w:rsid w:val="00281B2A"/>
    <w:rsid w:val="00284B53"/>
    <w:rsid w:val="002B1FAF"/>
    <w:rsid w:val="002B7288"/>
    <w:rsid w:val="002B762B"/>
    <w:rsid w:val="002E3144"/>
    <w:rsid w:val="002E3FD4"/>
    <w:rsid w:val="002F4595"/>
    <w:rsid w:val="00300AFD"/>
    <w:rsid w:val="003032C0"/>
    <w:rsid w:val="00336B60"/>
    <w:rsid w:val="0035108D"/>
    <w:rsid w:val="003569F9"/>
    <w:rsid w:val="00363A23"/>
    <w:rsid w:val="00366721"/>
    <w:rsid w:val="00370990"/>
    <w:rsid w:val="00376626"/>
    <w:rsid w:val="0037698A"/>
    <w:rsid w:val="00377A1D"/>
    <w:rsid w:val="00380EE9"/>
    <w:rsid w:val="00381BC8"/>
    <w:rsid w:val="00392124"/>
    <w:rsid w:val="003937B8"/>
    <w:rsid w:val="003A5A3B"/>
    <w:rsid w:val="003C35C2"/>
    <w:rsid w:val="003D564D"/>
    <w:rsid w:val="003F73D7"/>
    <w:rsid w:val="00411260"/>
    <w:rsid w:val="00423610"/>
    <w:rsid w:val="00440344"/>
    <w:rsid w:val="00440AC5"/>
    <w:rsid w:val="00442630"/>
    <w:rsid w:val="0044304D"/>
    <w:rsid w:val="00446CB3"/>
    <w:rsid w:val="00474BB1"/>
    <w:rsid w:val="00475864"/>
    <w:rsid w:val="00477E80"/>
    <w:rsid w:val="00495068"/>
    <w:rsid w:val="004C00EC"/>
    <w:rsid w:val="004C2DA2"/>
    <w:rsid w:val="004D0888"/>
    <w:rsid w:val="004D41BE"/>
    <w:rsid w:val="004E21DE"/>
    <w:rsid w:val="004F43CF"/>
    <w:rsid w:val="005019C1"/>
    <w:rsid w:val="00503E8C"/>
    <w:rsid w:val="00515287"/>
    <w:rsid w:val="005157CF"/>
    <w:rsid w:val="00531712"/>
    <w:rsid w:val="00531B5A"/>
    <w:rsid w:val="005445B1"/>
    <w:rsid w:val="005457EA"/>
    <w:rsid w:val="00553E9D"/>
    <w:rsid w:val="0055447F"/>
    <w:rsid w:val="00567DFC"/>
    <w:rsid w:val="005726B9"/>
    <w:rsid w:val="00577F29"/>
    <w:rsid w:val="0058662A"/>
    <w:rsid w:val="005A2A59"/>
    <w:rsid w:val="005A48A6"/>
    <w:rsid w:val="005B3788"/>
    <w:rsid w:val="005B613F"/>
    <w:rsid w:val="005C2BFD"/>
    <w:rsid w:val="005C5607"/>
    <w:rsid w:val="00607A21"/>
    <w:rsid w:val="00607A36"/>
    <w:rsid w:val="006155B5"/>
    <w:rsid w:val="006156DF"/>
    <w:rsid w:val="00616384"/>
    <w:rsid w:val="00625D8D"/>
    <w:rsid w:val="006360F9"/>
    <w:rsid w:val="006371B7"/>
    <w:rsid w:val="00637A38"/>
    <w:rsid w:val="00642F36"/>
    <w:rsid w:val="00646917"/>
    <w:rsid w:val="00647148"/>
    <w:rsid w:val="00656587"/>
    <w:rsid w:val="00660B1A"/>
    <w:rsid w:val="006614D7"/>
    <w:rsid w:val="00680A25"/>
    <w:rsid w:val="00684022"/>
    <w:rsid w:val="006871A1"/>
    <w:rsid w:val="00696682"/>
    <w:rsid w:val="006B0030"/>
    <w:rsid w:val="006B7360"/>
    <w:rsid w:val="006D413F"/>
    <w:rsid w:val="006E2829"/>
    <w:rsid w:val="006F1127"/>
    <w:rsid w:val="006F6FE8"/>
    <w:rsid w:val="0070464B"/>
    <w:rsid w:val="00721291"/>
    <w:rsid w:val="007258B1"/>
    <w:rsid w:val="00725C8B"/>
    <w:rsid w:val="00743DB7"/>
    <w:rsid w:val="00745D4D"/>
    <w:rsid w:val="0074660D"/>
    <w:rsid w:val="00754CA3"/>
    <w:rsid w:val="0076549B"/>
    <w:rsid w:val="00793E18"/>
    <w:rsid w:val="007A369A"/>
    <w:rsid w:val="007B07CE"/>
    <w:rsid w:val="007C0010"/>
    <w:rsid w:val="007C0DF3"/>
    <w:rsid w:val="007E69AF"/>
    <w:rsid w:val="0080517C"/>
    <w:rsid w:val="00832638"/>
    <w:rsid w:val="00865130"/>
    <w:rsid w:val="00866BBB"/>
    <w:rsid w:val="00892F53"/>
    <w:rsid w:val="00895341"/>
    <w:rsid w:val="008E3B54"/>
    <w:rsid w:val="008F1712"/>
    <w:rsid w:val="008F382A"/>
    <w:rsid w:val="00902E92"/>
    <w:rsid w:val="0090743D"/>
    <w:rsid w:val="00911F4A"/>
    <w:rsid w:val="00916FC3"/>
    <w:rsid w:val="009324F4"/>
    <w:rsid w:val="0093586A"/>
    <w:rsid w:val="00943779"/>
    <w:rsid w:val="00970743"/>
    <w:rsid w:val="00974CD6"/>
    <w:rsid w:val="009844EA"/>
    <w:rsid w:val="009865B8"/>
    <w:rsid w:val="009A7883"/>
    <w:rsid w:val="009B5AF3"/>
    <w:rsid w:val="009C206F"/>
    <w:rsid w:val="009C37F9"/>
    <w:rsid w:val="009C3FA3"/>
    <w:rsid w:val="009C5CE4"/>
    <w:rsid w:val="009D7044"/>
    <w:rsid w:val="00A022A9"/>
    <w:rsid w:val="00A04AFD"/>
    <w:rsid w:val="00A051C3"/>
    <w:rsid w:val="00A1093C"/>
    <w:rsid w:val="00A130F7"/>
    <w:rsid w:val="00A32860"/>
    <w:rsid w:val="00A50CD9"/>
    <w:rsid w:val="00A62F99"/>
    <w:rsid w:val="00A65D84"/>
    <w:rsid w:val="00A77E8E"/>
    <w:rsid w:val="00A80789"/>
    <w:rsid w:val="00A8157A"/>
    <w:rsid w:val="00A9171D"/>
    <w:rsid w:val="00A9602A"/>
    <w:rsid w:val="00AA1D89"/>
    <w:rsid w:val="00AE1E6E"/>
    <w:rsid w:val="00AE4763"/>
    <w:rsid w:val="00AF10AE"/>
    <w:rsid w:val="00B0121B"/>
    <w:rsid w:val="00B0455B"/>
    <w:rsid w:val="00B11E02"/>
    <w:rsid w:val="00B2506E"/>
    <w:rsid w:val="00B3476F"/>
    <w:rsid w:val="00B43568"/>
    <w:rsid w:val="00B82095"/>
    <w:rsid w:val="00B84CF3"/>
    <w:rsid w:val="00B90975"/>
    <w:rsid w:val="00B90C93"/>
    <w:rsid w:val="00B93571"/>
    <w:rsid w:val="00B948C5"/>
    <w:rsid w:val="00B94CBD"/>
    <w:rsid w:val="00BA2806"/>
    <w:rsid w:val="00BB31F1"/>
    <w:rsid w:val="00BC321A"/>
    <w:rsid w:val="00BD4F8E"/>
    <w:rsid w:val="00BE01AF"/>
    <w:rsid w:val="00BE345B"/>
    <w:rsid w:val="00BF1A2A"/>
    <w:rsid w:val="00C12AAA"/>
    <w:rsid w:val="00C15938"/>
    <w:rsid w:val="00C33518"/>
    <w:rsid w:val="00C34408"/>
    <w:rsid w:val="00C6128D"/>
    <w:rsid w:val="00C73278"/>
    <w:rsid w:val="00C765C8"/>
    <w:rsid w:val="00C82029"/>
    <w:rsid w:val="00C84C7B"/>
    <w:rsid w:val="00C9283A"/>
    <w:rsid w:val="00C95039"/>
    <w:rsid w:val="00CA4615"/>
    <w:rsid w:val="00CA7C6F"/>
    <w:rsid w:val="00CB2389"/>
    <w:rsid w:val="00CC5A69"/>
    <w:rsid w:val="00CD3A6F"/>
    <w:rsid w:val="00CD6263"/>
    <w:rsid w:val="00CE0C2C"/>
    <w:rsid w:val="00CE7F36"/>
    <w:rsid w:val="00CF7D08"/>
    <w:rsid w:val="00D04A3C"/>
    <w:rsid w:val="00D22097"/>
    <w:rsid w:val="00D36C41"/>
    <w:rsid w:val="00D4039B"/>
    <w:rsid w:val="00D4500A"/>
    <w:rsid w:val="00D47D00"/>
    <w:rsid w:val="00D55A85"/>
    <w:rsid w:val="00D750D0"/>
    <w:rsid w:val="00D808FB"/>
    <w:rsid w:val="00D87480"/>
    <w:rsid w:val="00DA5B98"/>
    <w:rsid w:val="00DB71FD"/>
    <w:rsid w:val="00DC11BB"/>
    <w:rsid w:val="00DC453F"/>
    <w:rsid w:val="00DC57F0"/>
    <w:rsid w:val="00DC7040"/>
    <w:rsid w:val="00DD40B3"/>
    <w:rsid w:val="00DE546F"/>
    <w:rsid w:val="00DF241E"/>
    <w:rsid w:val="00E25A07"/>
    <w:rsid w:val="00E333DF"/>
    <w:rsid w:val="00E44E91"/>
    <w:rsid w:val="00E612D5"/>
    <w:rsid w:val="00E73BE9"/>
    <w:rsid w:val="00E83C41"/>
    <w:rsid w:val="00E9781D"/>
    <w:rsid w:val="00EA5D76"/>
    <w:rsid w:val="00EC2925"/>
    <w:rsid w:val="00EC43E0"/>
    <w:rsid w:val="00EC4447"/>
    <w:rsid w:val="00EC5579"/>
    <w:rsid w:val="00EC5C40"/>
    <w:rsid w:val="00EC6541"/>
    <w:rsid w:val="00ED668B"/>
    <w:rsid w:val="00ED774B"/>
    <w:rsid w:val="00EE0118"/>
    <w:rsid w:val="00EE24ED"/>
    <w:rsid w:val="00EE49CE"/>
    <w:rsid w:val="00EE7C8D"/>
    <w:rsid w:val="00EF24B1"/>
    <w:rsid w:val="00EF3918"/>
    <w:rsid w:val="00EF7DA4"/>
    <w:rsid w:val="00F155EA"/>
    <w:rsid w:val="00F16496"/>
    <w:rsid w:val="00F21AF4"/>
    <w:rsid w:val="00F25175"/>
    <w:rsid w:val="00F330C3"/>
    <w:rsid w:val="00F40745"/>
    <w:rsid w:val="00F62DC5"/>
    <w:rsid w:val="00F64D31"/>
    <w:rsid w:val="00F75F33"/>
    <w:rsid w:val="00F84236"/>
    <w:rsid w:val="00F9536E"/>
    <w:rsid w:val="00FA0094"/>
    <w:rsid w:val="00FB4A58"/>
    <w:rsid w:val="00FC2CE4"/>
    <w:rsid w:val="00FC379E"/>
    <w:rsid w:val="00FD2A47"/>
    <w:rsid w:val="00FD337C"/>
    <w:rsid w:val="00FD3BAE"/>
    <w:rsid w:val="00FD5236"/>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1DCA4"/>
  <w15:docId w15:val="{C64BB33F-C0A8-47F5-A562-E9423944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BE9"/>
    <w:pPr>
      <w:spacing w:after="120" w:line="276" w:lineRule="auto"/>
    </w:pPr>
    <w:rPr>
      <w:rFonts w:asciiTheme="majorHAnsi" w:eastAsiaTheme="minorHAnsi" w:hAnsiTheme="majorHAnsi" w:cstheme="minorBidi"/>
      <w:sz w:val="22"/>
      <w:szCs w:val="22"/>
      <w:lang w:eastAsia="en-US"/>
    </w:rPr>
  </w:style>
  <w:style w:type="paragraph" w:styleId="Heading1">
    <w:name w:val="heading 1"/>
    <w:next w:val="Normal"/>
    <w:link w:val="Heading1Char"/>
    <w:uiPriority w:val="1"/>
    <w:qFormat/>
    <w:rsid w:val="00F16496"/>
    <w:pPr>
      <w:widowControl w:val="0"/>
      <w:spacing w:before="360" w:after="240"/>
      <w:contextualSpacing/>
      <w:outlineLvl w:val="0"/>
    </w:pPr>
    <w:rPr>
      <w:rFonts w:ascii="Calibri" w:eastAsiaTheme="minorHAnsi" w:hAnsi="Calibri" w:cstheme="minorBidi"/>
      <w:b/>
      <w:bCs/>
      <w:color w:val="197C7D" w:themeColor="text2"/>
      <w:spacing w:val="5"/>
      <w:kern w:val="28"/>
      <w:sz w:val="48"/>
      <w:szCs w:val="48"/>
      <w:lang w:eastAsia="en-US"/>
    </w:rPr>
  </w:style>
  <w:style w:type="paragraph" w:styleId="Heading2">
    <w:name w:val="heading 2"/>
    <w:basedOn w:val="Normal"/>
    <w:next w:val="Normal"/>
    <w:link w:val="Heading2Char"/>
    <w:uiPriority w:val="3"/>
    <w:qFormat/>
    <w:rsid w:val="00F16496"/>
    <w:pPr>
      <w:keepNext/>
      <w:spacing w:before="120" w:line="240" w:lineRule="auto"/>
      <w:ind w:left="720" w:hanging="720"/>
      <w:outlineLvl w:val="1"/>
    </w:pPr>
    <w:rPr>
      <w:rFonts w:ascii="Calibri" w:eastAsiaTheme="minorEastAsia" w:hAnsi="Calibri"/>
      <w:b/>
      <w:bCs/>
      <w:color w:val="083A42" w:themeColor="text1"/>
      <w:sz w:val="28"/>
      <w:szCs w:val="28"/>
      <w:lang w:eastAsia="ja-JP"/>
    </w:rPr>
  </w:style>
  <w:style w:type="paragraph" w:styleId="Heading3">
    <w:name w:val="heading 3"/>
    <w:next w:val="Normal"/>
    <w:link w:val="Heading3Char"/>
    <w:uiPriority w:val="4"/>
    <w:qFormat/>
    <w:rsid w:val="006360F9"/>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1929D2"/>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474BB1"/>
    <w:pPr>
      <w:keepNext/>
      <w:keepLines/>
      <w:spacing w:after="0" w:line="240" w:lineRule="auto"/>
      <w:outlineLvl w:val="4"/>
    </w:pPr>
    <w:rPr>
      <w:rFonts w:ascii="Calibri" w:hAnsi="Calibri"/>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heme="minorHAnsi" w:cstheme="minorBidi"/>
      <w:lang w:eastAsia="en-US"/>
    </w:rPr>
  </w:style>
  <w:style w:type="paragraph" w:styleId="Header">
    <w:name w:val="header"/>
    <w:basedOn w:val="Normal"/>
    <w:link w:val="HeaderChar"/>
    <w:uiPriority w:val="99"/>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Pr>
      <w:rFonts w:ascii="Calibri" w:eastAsiaTheme="minorHAnsi" w:hAnsi="Calibri" w:cstheme="minorBidi"/>
      <w:szCs w:val="22"/>
      <w:lang w:eastAsia="en-US"/>
    </w:rPr>
  </w:style>
  <w:style w:type="paragraph" w:styleId="Footer">
    <w:name w:val="footer"/>
    <w:basedOn w:val="Normal"/>
    <w:link w:val="FooterChar"/>
    <w:uiPriority w:val="99"/>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sid w:val="00F16496"/>
    <w:rPr>
      <w:rFonts w:ascii="Calibri" w:eastAsiaTheme="minorHAnsi" w:hAnsi="Calibri" w:cstheme="minorBidi"/>
      <w:b/>
      <w:bCs/>
      <w:color w:val="197C7D" w:themeColor="text2"/>
      <w:spacing w:val="5"/>
      <w:kern w:val="28"/>
      <w:sz w:val="48"/>
      <w:szCs w:val="48"/>
      <w:lang w:eastAsia="en-US"/>
    </w:rPr>
  </w:style>
  <w:style w:type="character" w:customStyle="1" w:styleId="Heading2Char">
    <w:name w:val="Heading 2 Char"/>
    <w:basedOn w:val="DefaultParagraphFont"/>
    <w:link w:val="Heading2"/>
    <w:uiPriority w:val="3"/>
    <w:rsid w:val="00F16496"/>
    <w:rPr>
      <w:rFonts w:ascii="Calibri" w:eastAsiaTheme="minorEastAsia" w:hAnsi="Calibri" w:cstheme="minorBidi"/>
      <w:b/>
      <w:bCs/>
      <w:color w:val="083A42" w:themeColor="text1"/>
      <w:sz w:val="28"/>
      <w:szCs w:val="28"/>
      <w:lang w:eastAsia="ja-JP"/>
    </w:rPr>
  </w:style>
  <w:style w:type="character" w:customStyle="1" w:styleId="Heading3Char">
    <w:name w:val="Heading 3 Char"/>
    <w:basedOn w:val="DefaultParagraphFont"/>
    <w:link w:val="Heading3"/>
    <w:uiPriority w:val="4"/>
    <w:rsid w:val="006360F9"/>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1929D2"/>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474BB1"/>
    <w:rPr>
      <w:rFonts w:ascii="Calibri" w:eastAsiaTheme="minorHAnsi" w:hAnsi="Calibri" w:cstheme="minorBidi"/>
      <w:b/>
      <w:i/>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after="360"/>
    </w:pPr>
    <w:rPr>
      <w:sz w:val="32"/>
      <w:szCs w:val="22"/>
    </w:rPr>
  </w:style>
  <w:style w:type="character" w:customStyle="1" w:styleId="SubtitleChar">
    <w:name w:val="Subtitle Char"/>
    <w:basedOn w:val="DefaultParagraphFont"/>
    <w:link w:val="Subtitle"/>
    <w:uiPriority w:val="23"/>
    <w:rPr>
      <w:rFonts w:ascii="Calibri" w:eastAsiaTheme="minorHAnsi" w:hAnsi="Calibri" w:cstheme="minorBidi"/>
      <w:b/>
      <w:bCs/>
      <w:color w:val="000000"/>
      <w:spacing w:val="5"/>
      <w:kern w:val="28"/>
      <w:sz w:val="32"/>
      <w:szCs w:val="22"/>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pPr>
      <w:tabs>
        <w:tab w:val="right" w:leader="dot" w:pos="9060"/>
      </w:tabs>
      <w:spacing w:before="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2"/>
      </w:numPr>
      <w:spacing w:before="120"/>
    </w:pPr>
  </w:style>
  <w:style w:type="paragraph" w:styleId="ListBullet2">
    <w:name w:val="List Bullet 2"/>
    <w:basedOn w:val="Normal"/>
    <w:uiPriority w:val="8"/>
    <w:qFormat/>
    <w:pPr>
      <w:numPr>
        <w:ilvl w:val="1"/>
        <w:numId w:val="2"/>
      </w:numPr>
      <w:spacing w:before="120"/>
      <w:contextualSpacing/>
    </w:pPr>
  </w:style>
  <w:style w:type="paragraph" w:styleId="ListNumber">
    <w:name w:val="List Number"/>
    <w:basedOn w:val="Normal"/>
    <w:uiPriority w:val="9"/>
    <w:qFormat/>
    <w:pPr>
      <w:numPr>
        <w:numId w:val="8"/>
      </w:numPr>
      <w:tabs>
        <w:tab w:val="left" w:pos="142"/>
      </w:tabs>
      <w:spacing w:before="120"/>
    </w:pPr>
  </w:style>
  <w:style w:type="paragraph" w:styleId="ListNumber2">
    <w:name w:val="List Number 2"/>
    <w:uiPriority w:val="10"/>
    <w:qFormat/>
    <w:rsid w:val="00241BFB"/>
    <w:pPr>
      <w:numPr>
        <w:ilvl w:val="1"/>
        <w:numId w:val="8"/>
      </w:numPr>
      <w:tabs>
        <w:tab w:val="left" w:pos="567"/>
      </w:tabs>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pPr>
      <w:keepNext/>
      <w:spacing w:before="60" w:after="60" w:line="240" w:lineRule="auto"/>
    </w:pPr>
    <w:rPr>
      <w:b/>
      <w:sz w:val="19"/>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1"/>
      </w:numPr>
      <w:ind w:left="357" w:hanging="357"/>
    </w:pPr>
  </w:style>
  <w:style w:type="paragraph" w:customStyle="1" w:styleId="TableBullet1">
    <w:name w:val="Table Bullet 1"/>
    <w:basedOn w:val="Date"/>
    <w:uiPriority w:val="15"/>
    <w:qFormat/>
    <w:rsid w:val="002B1FAF"/>
    <w:rPr>
      <w:sz w:val="19"/>
    </w:r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2"/>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3"/>
      </w:numPr>
    </w:pPr>
  </w:style>
  <w:style w:type="numbering" w:customStyle="1" w:styleId="Headinglist">
    <w:name w:val="Heading list"/>
    <w:uiPriority w:val="99"/>
    <w:pPr>
      <w:numPr>
        <w:numId w:val="4"/>
      </w:numPr>
    </w:pPr>
  </w:style>
  <w:style w:type="paragraph" w:customStyle="1" w:styleId="Normalsmall">
    <w:name w:val="Normal small"/>
    <w:qFormat/>
    <w:rsid w:val="00B2506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pPr>
      <w:numPr>
        <w:ilvl w:val="2"/>
        <w:numId w:val="2"/>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1A14AE"/>
    <w:pPr>
      <w:numPr>
        <w:numId w:val="5"/>
      </w:numPr>
      <w:spacing w:before="60" w:after="60"/>
      <w:ind w:left="403"/>
      <w:contextualSpacing/>
    </w:pPr>
    <w:rPr>
      <w:rFonts w:asciiTheme="minorHAnsi" w:eastAsia="Calibri" w:hAnsiTheme="minorHAnsi"/>
      <w:color w:val="083A42" w:themeColor="text1"/>
      <w:sz w:val="19"/>
      <w:szCs w:val="22"/>
      <w:lang w:eastAsia="en-US"/>
    </w:rPr>
  </w:style>
  <w:style w:type="character" w:styleId="IntenseEmphasis">
    <w:name w:val="Intense Emphasis"/>
    <w:basedOn w:val="DefaultParagraphFont"/>
    <w:uiPriority w:val="21"/>
    <w:semiHidden/>
    <w:qFormat/>
    <w:locked/>
    <w:rPr>
      <w:i/>
      <w:iCs/>
      <w:color w:val="083A42" w:themeColor="accent1"/>
    </w:rPr>
  </w:style>
  <w:style w:type="paragraph" w:customStyle="1" w:styleId="TableBullet2">
    <w:name w:val="Table Bullet 2"/>
    <w:basedOn w:val="TableBullet1"/>
    <w:qFormat/>
    <w:rsid w:val="002B1FAF"/>
    <w:pPr>
      <w:numPr>
        <w:numId w:val="7"/>
      </w:numPr>
      <w:tabs>
        <w:tab w:val="num" w:pos="284"/>
      </w:tabs>
      <w:ind w:left="568" w:hanging="284"/>
    </w:pPr>
  </w:style>
  <w:style w:type="numbering" w:customStyle="1" w:styleId="TableBulletlist">
    <w:name w:val="Table Bullet list"/>
    <w:uiPriority w:val="99"/>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553E9D"/>
    <w:pPr>
      <w:spacing w:before="60" w:after="60"/>
    </w:pPr>
    <w:rPr>
      <w:rFonts w:asciiTheme="majorHAnsi" w:eastAsia="Times New Roman" w:hAnsiTheme="majorHAnsi" w:cs="Arial"/>
      <w:color w:val="000000"/>
      <w:sz w:val="19"/>
      <w:szCs w:val="22"/>
      <w:lang w:val="en-GB"/>
    </w:rPr>
  </w:style>
  <w:style w:type="paragraph" w:styleId="Date">
    <w:name w:val="Date"/>
    <w:aliases w:val="Reference"/>
    <w:basedOn w:val="Normal"/>
    <w:next w:val="Normal"/>
    <w:link w:val="DateChar"/>
    <w:uiPriority w:val="99"/>
    <w:unhideWhenUsed/>
    <w:rsid w:val="00F21AF4"/>
    <w:pPr>
      <w:spacing w:before="1560" w:after="160" w:line="360" w:lineRule="auto"/>
    </w:pPr>
  </w:style>
  <w:style w:type="character" w:customStyle="1" w:styleId="DateChar">
    <w:name w:val="Date Char"/>
    <w:aliases w:val="Reference Char"/>
    <w:basedOn w:val="DefaultParagraphFont"/>
    <w:link w:val="Date"/>
    <w:uiPriority w:val="99"/>
    <w:rsid w:val="00F21AF4"/>
    <w:rPr>
      <w:rFonts w:asciiTheme="majorHAnsi" w:eastAsiaTheme="minorHAnsi" w:hAnsiTheme="majorHAnsi" w:cstheme="minorBidi"/>
      <w:sz w:val="22"/>
      <w:szCs w:val="22"/>
      <w:lang w:eastAsia="en-US"/>
    </w:rPr>
  </w:style>
  <w:style w:type="paragraph" w:customStyle="1" w:styleId="Series">
    <w:name w:val="Series"/>
    <w:qFormat/>
    <w:rsid w:val="00B2506E"/>
    <w:pPr>
      <w:spacing w:before="120" w:after="120"/>
    </w:pPr>
    <w:rPr>
      <w:rFonts w:asciiTheme="minorHAnsi" w:eastAsiaTheme="minorHAnsi" w:hAnsiTheme="minorHAnsi" w:cstheme="minorBidi"/>
      <w:b/>
      <w:i/>
      <w:color w:val="197C7D" w:themeColor="text2"/>
      <w:sz w:val="32"/>
      <w:szCs w:val="22"/>
      <w:lang w:eastAsia="en-US"/>
    </w:rPr>
  </w:style>
  <w:style w:type="character" w:styleId="UnresolvedMention">
    <w:name w:val="Unresolved Mention"/>
    <w:basedOn w:val="DefaultParagraphFont"/>
    <w:uiPriority w:val="99"/>
    <w:semiHidden/>
    <w:unhideWhenUsed/>
    <w:rsid w:val="000E7803"/>
    <w:rPr>
      <w:color w:val="605E5C"/>
      <w:shd w:val="clear" w:color="auto" w:fill="E1DFDD"/>
    </w:rPr>
  </w:style>
  <w:style w:type="paragraph" w:styleId="ListNumber3">
    <w:name w:val="List Number 3"/>
    <w:uiPriority w:val="11"/>
    <w:qFormat/>
    <w:rsid w:val="001D6373"/>
    <w:pPr>
      <w:numPr>
        <w:ilvl w:val="2"/>
        <w:numId w:val="8"/>
      </w:numPr>
      <w:spacing w:before="120" w:after="120" w:line="264" w:lineRule="auto"/>
      <w:ind w:left="1247"/>
    </w:pPr>
    <w:rPr>
      <w:rFonts w:asciiTheme="minorHAnsi" w:eastAsia="Times New Roman" w:hAnsiTheme="minorHAnsi"/>
      <w:sz w:val="22"/>
      <w:szCs w:val="24"/>
      <w:lang w:eastAsia="en-US"/>
    </w:rPr>
  </w:style>
  <w:style w:type="paragraph" w:styleId="ListParagraph">
    <w:name w:val="List Paragraph"/>
    <w:basedOn w:val="Normal"/>
    <w:uiPriority w:val="34"/>
    <w:qFormat/>
    <w:rsid w:val="00CB2389"/>
    <w:pPr>
      <w:numPr>
        <w:numId w:val="9"/>
      </w:numPr>
      <w:contextualSpacing/>
    </w:pPr>
    <w:rPr>
      <w:rFonts w:asciiTheme="minorHAnsi" w:hAnsiTheme="minorHAnsi"/>
    </w:rPr>
  </w:style>
  <w:style w:type="character" w:customStyle="1" w:styleId="normaltextrun">
    <w:name w:val="normaltextrun"/>
    <w:basedOn w:val="DefaultParagraphFont"/>
    <w:rsid w:val="007B07CE"/>
  </w:style>
  <w:style w:type="character" w:customStyle="1" w:styleId="eop">
    <w:name w:val="eop"/>
    <w:basedOn w:val="DefaultParagraphFont"/>
    <w:rsid w:val="007B07CE"/>
  </w:style>
  <w:style w:type="paragraph" w:customStyle="1" w:styleId="paragraph">
    <w:name w:val="paragraph"/>
    <w:basedOn w:val="Normal"/>
    <w:rsid w:val="0061638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abchar">
    <w:name w:val="tabchar"/>
    <w:basedOn w:val="DefaultParagraphFont"/>
    <w:rsid w:val="00FD2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93862">
      <w:bodyDiv w:val="1"/>
      <w:marLeft w:val="0"/>
      <w:marRight w:val="0"/>
      <w:marTop w:val="0"/>
      <w:marBottom w:val="0"/>
      <w:divBdr>
        <w:top w:val="none" w:sz="0" w:space="0" w:color="auto"/>
        <w:left w:val="none" w:sz="0" w:space="0" w:color="auto"/>
        <w:bottom w:val="none" w:sz="0" w:space="0" w:color="auto"/>
        <w:right w:val="none" w:sz="0" w:space="0" w:color="auto"/>
      </w:divBdr>
      <w:divsChild>
        <w:div w:id="990867669">
          <w:marLeft w:val="0"/>
          <w:marRight w:val="0"/>
          <w:marTop w:val="0"/>
          <w:marBottom w:val="0"/>
          <w:divBdr>
            <w:top w:val="none" w:sz="0" w:space="0" w:color="auto"/>
            <w:left w:val="none" w:sz="0" w:space="0" w:color="auto"/>
            <w:bottom w:val="none" w:sz="0" w:space="0" w:color="auto"/>
            <w:right w:val="none" w:sz="0" w:space="0" w:color="auto"/>
          </w:divBdr>
        </w:div>
        <w:div w:id="841893583">
          <w:marLeft w:val="0"/>
          <w:marRight w:val="0"/>
          <w:marTop w:val="0"/>
          <w:marBottom w:val="0"/>
          <w:divBdr>
            <w:top w:val="none" w:sz="0" w:space="0" w:color="auto"/>
            <w:left w:val="none" w:sz="0" w:space="0" w:color="auto"/>
            <w:bottom w:val="none" w:sz="0" w:space="0" w:color="auto"/>
            <w:right w:val="none" w:sz="0" w:space="0" w:color="auto"/>
          </w:divBdr>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6937">
      <w:bodyDiv w:val="1"/>
      <w:marLeft w:val="0"/>
      <w:marRight w:val="0"/>
      <w:marTop w:val="0"/>
      <w:marBottom w:val="0"/>
      <w:divBdr>
        <w:top w:val="none" w:sz="0" w:space="0" w:color="auto"/>
        <w:left w:val="none" w:sz="0" w:space="0" w:color="auto"/>
        <w:bottom w:val="none" w:sz="0" w:space="0" w:color="auto"/>
        <w:right w:val="none" w:sz="0" w:space="0" w:color="auto"/>
      </w:divBdr>
      <w:divsChild>
        <w:div w:id="1492789442">
          <w:marLeft w:val="0"/>
          <w:marRight w:val="0"/>
          <w:marTop w:val="0"/>
          <w:marBottom w:val="0"/>
          <w:divBdr>
            <w:top w:val="none" w:sz="0" w:space="0" w:color="auto"/>
            <w:left w:val="none" w:sz="0" w:space="0" w:color="auto"/>
            <w:bottom w:val="none" w:sz="0" w:space="0" w:color="auto"/>
            <w:right w:val="none" w:sz="0" w:space="0" w:color="auto"/>
          </w:divBdr>
        </w:div>
        <w:div w:id="588781009">
          <w:marLeft w:val="0"/>
          <w:marRight w:val="0"/>
          <w:marTop w:val="0"/>
          <w:marBottom w:val="0"/>
          <w:divBdr>
            <w:top w:val="none" w:sz="0" w:space="0" w:color="auto"/>
            <w:left w:val="none" w:sz="0" w:space="0" w:color="auto"/>
            <w:bottom w:val="none" w:sz="0" w:space="0" w:color="auto"/>
            <w:right w:val="none" w:sz="0" w:space="0" w:color="auto"/>
          </w:divBdr>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10686481">
      <w:bodyDiv w:val="1"/>
      <w:marLeft w:val="0"/>
      <w:marRight w:val="0"/>
      <w:marTop w:val="0"/>
      <w:marBottom w:val="0"/>
      <w:divBdr>
        <w:top w:val="none" w:sz="0" w:space="0" w:color="auto"/>
        <w:left w:val="none" w:sz="0" w:space="0" w:color="auto"/>
        <w:bottom w:val="none" w:sz="0" w:space="0" w:color="auto"/>
        <w:right w:val="none" w:sz="0" w:space="0" w:color="auto"/>
      </w:divBdr>
      <w:divsChild>
        <w:div w:id="576670753">
          <w:marLeft w:val="0"/>
          <w:marRight w:val="0"/>
          <w:marTop w:val="0"/>
          <w:marBottom w:val="0"/>
          <w:divBdr>
            <w:top w:val="none" w:sz="0" w:space="0" w:color="auto"/>
            <w:left w:val="none" w:sz="0" w:space="0" w:color="auto"/>
            <w:bottom w:val="none" w:sz="0" w:space="0" w:color="auto"/>
            <w:right w:val="none" w:sz="0" w:space="0" w:color="auto"/>
          </w:divBdr>
        </w:div>
        <w:div w:id="856239348">
          <w:marLeft w:val="0"/>
          <w:marRight w:val="0"/>
          <w:marTop w:val="0"/>
          <w:marBottom w:val="0"/>
          <w:divBdr>
            <w:top w:val="none" w:sz="0" w:space="0" w:color="auto"/>
            <w:left w:val="none" w:sz="0" w:space="0" w:color="auto"/>
            <w:bottom w:val="none" w:sz="0" w:space="0" w:color="auto"/>
            <w:right w:val="none" w:sz="0" w:space="0" w:color="auto"/>
          </w:divBdr>
        </w:div>
        <w:div w:id="863981317">
          <w:marLeft w:val="0"/>
          <w:marRight w:val="0"/>
          <w:marTop w:val="0"/>
          <w:marBottom w:val="0"/>
          <w:divBdr>
            <w:top w:val="none" w:sz="0" w:space="0" w:color="auto"/>
            <w:left w:val="none" w:sz="0" w:space="0" w:color="auto"/>
            <w:bottom w:val="none" w:sz="0" w:space="0" w:color="auto"/>
            <w:right w:val="none" w:sz="0" w:space="0" w:color="auto"/>
          </w:divBdr>
        </w:div>
        <w:div w:id="553078980">
          <w:marLeft w:val="0"/>
          <w:marRight w:val="0"/>
          <w:marTop w:val="0"/>
          <w:marBottom w:val="0"/>
          <w:divBdr>
            <w:top w:val="none" w:sz="0" w:space="0" w:color="auto"/>
            <w:left w:val="none" w:sz="0" w:space="0" w:color="auto"/>
            <w:bottom w:val="none" w:sz="0" w:space="0" w:color="auto"/>
            <w:right w:val="none" w:sz="0" w:space="0" w:color="auto"/>
          </w:divBdr>
        </w:div>
        <w:div w:id="2102335400">
          <w:marLeft w:val="0"/>
          <w:marRight w:val="0"/>
          <w:marTop w:val="0"/>
          <w:marBottom w:val="0"/>
          <w:divBdr>
            <w:top w:val="none" w:sz="0" w:space="0" w:color="auto"/>
            <w:left w:val="none" w:sz="0" w:space="0" w:color="auto"/>
            <w:bottom w:val="none" w:sz="0" w:space="0" w:color="auto"/>
            <w:right w:val="none" w:sz="0" w:space="0" w:color="auto"/>
          </w:divBdr>
        </w:div>
        <w:div w:id="473451306">
          <w:marLeft w:val="0"/>
          <w:marRight w:val="0"/>
          <w:marTop w:val="0"/>
          <w:marBottom w:val="0"/>
          <w:divBdr>
            <w:top w:val="none" w:sz="0" w:space="0" w:color="auto"/>
            <w:left w:val="none" w:sz="0" w:space="0" w:color="auto"/>
            <w:bottom w:val="none" w:sz="0" w:space="0" w:color="auto"/>
            <w:right w:val="none" w:sz="0" w:space="0" w:color="auto"/>
          </w:divBdr>
        </w:div>
        <w:div w:id="791480855">
          <w:marLeft w:val="0"/>
          <w:marRight w:val="0"/>
          <w:marTop w:val="0"/>
          <w:marBottom w:val="0"/>
          <w:divBdr>
            <w:top w:val="none" w:sz="0" w:space="0" w:color="auto"/>
            <w:left w:val="none" w:sz="0" w:space="0" w:color="auto"/>
            <w:bottom w:val="none" w:sz="0" w:space="0" w:color="auto"/>
            <w:right w:val="none" w:sz="0" w:space="0" w:color="auto"/>
          </w:divBdr>
        </w:div>
        <w:div w:id="578368743">
          <w:marLeft w:val="0"/>
          <w:marRight w:val="0"/>
          <w:marTop w:val="0"/>
          <w:marBottom w:val="0"/>
          <w:divBdr>
            <w:top w:val="none" w:sz="0" w:space="0" w:color="auto"/>
            <w:left w:val="none" w:sz="0" w:space="0" w:color="auto"/>
            <w:bottom w:val="none" w:sz="0" w:space="0" w:color="auto"/>
            <w:right w:val="none" w:sz="0" w:space="0" w:color="auto"/>
          </w:divBdr>
        </w:div>
      </w:divsChild>
    </w:div>
    <w:div w:id="561133673">
      <w:bodyDiv w:val="1"/>
      <w:marLeft w:val="0"/>
      <w:marRight w:val="0"/>
      <w:marTop w:val="0"/>
      <w:marBottom w:val="0"/>
      <w:divBdr>
        <w:top w:val="none" w:sz="0" w:space="0" w:color="auto"/>
        <w:left w:val="none" w:sz="0" w:space="0" w:color="auto"/>
        <w:bottom w:val="none" w:sz="0" w:space="0" w:color="auto"/>
        <w:right w:val="none" w:sz="0" w:space="0" w:color="auto"/>
      </w:divBdr>
      <w:divsChild>
        <w:div w:id="1958682238">
          <w:marLeft w:val="0"/>
          <w:marRight w:val="0"/>
          <w:marTop w:val="0"/>
          <w:marBottom w:val="0"/>
          <w:divBdr>
            <w:top w:val="none" w:sz="0" w:space="0" w:color="auto"/>
            <w:left w:val="none" w:sz="0" w:space="0" w:color="auto"/>
            <w:bottom w:val="none" w:sz="0" w:space="0" w:color="auto"/>
            <w:right w:val="none" w:sz="0" w:space="0" w:color="auto"/>
          </w:divBdr>
        </w:div>
        <w:div w:id="1409959572">
          <w:marLeft w:val="0"/>
          <w:marRight w:val="0"/>
          <w:marTop w:val="0"/>
          <w:marBottom w:val="0"/>
          <w:divBdr>
            <w:top w:val="none" w:sz="0" w:space="0" w:color="auto"/>
            <w:left w:val="none" w:sz="0" w:space="0" w:color="auto"/>
            <w:bottom w:val="none" w:sz="0" w:space="0" w:color="auto"/>
            <w:right w:val="none" w:sz="0" w:space="0" w:color="auto"/>
          </w:divBdr>
        </w:div>
        <w:div w:id="894048257">
          <w:marLeft w:val="0"/>
          <w:marRight w:val="0"/>
          <w:marTop w:val="0"/>
          <w:marBottom w:val="0"/>
          <w:divBdr>
            <w:top w:val="none" w:sz="0" w:space="0" w:color="auto"/>
            <w:left w:val="none" w:sz="0" w:space="0" w:color="auto"/>
            <w:bottom w:val="none" w:sz="0" w:space="0" w:color="auto"/>
            <w:right w:val="none" w:sz="0" w:space="0" w:color="auto"/>
          </w:divBdr>
        </w:div>
        <w:div w:id="1914126132">
          <w:marLeft w:val="0"/>
          <w:marRight w:val="0"/>
          <w:marTop w:val="0"/>
          <w:marBottom w:val="0"/>
          <w:divBdr>
            <w:top w:val="none" w:sz="0" w:space="0" w:color="auto"/>
            <w:left w:val="none" w:sz="0" w:space="0" w:color="auto"/>
            <w:bottom w:val="none" w:sz="0" w:space="0" w:color="auto"/>
            <w:right w:val="none" w:sz="0" w:space="0" w:color="auto"/>
          </w:divBdr>
        </w:div>
        <w:div w:id="1464276290">
          <w:marLeft w:val="0"/>
          <w:marRight w:val="0"/>
          <w:marTop w:val="0"/>
          <w:marBottom w:val="0"/>
          <w:divBdr>
            <w:top w:val="none" w:sz="0" w:space="0" w:color="auto"/>
            <w:left w:val="none" w:sz="0" w:space="0" w:color="auto"/>
            <w:bottom w:val="none" w:sz="0" w:space="0" w:color="auto"/>
            <w:right w:val="none" w:sz="0" w:space="0" w:color="auto"/>
          </w:divBdr>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550076">
      <w:bodyDiv w:val="1"/>
      <w:marLeft w:val="0"/>
      <w:marRight w:val="0"/>
      <w:marTop w:val="0"/>
      <w:marBottom w:val="0"/>
      <w:divBdr>
        <w:top w:val="none" w:sz="0" w:space="0" w:color="auto"/>
        <w:left w:val="none" w:sz="0" w:space="0" w:color="auto"/>
        <w:bottom w:val="none" w:sz="0" w:space="0" w:color="auto"/>
        <w:right w:val="none" w:sz="0" w:space="0" w:color="auto"/>
      </w:divBdr>
      <w:divsChild>
        <w:div w:id="1110395997">
          <w:marLeft w:val="0"/>
          <w:marRight w:val="0"/>
          <w:marTop w:val="0"/>
          <w:marBottom w:val="0"/>
          <w:divBdr>
            <w:top w:val="none" w:sz="0" w:space="0" w:color="auto"/>
            <w:left w:val="none" w:sz="0" w:space="0" w:color="auto"/>
            <w:bottom w:val="none" w:sz="0" w:space="0" w:color="auto"/>
            <w:right w:val="none" w:sz="0" w:space="0" w:color="auto"/>
          </w:divBdr>
        </w:div>
        <w:div w:id="846410598">
          <w:marLeft w:val="0"/>
          <w:marRight w:val="0"/>
          <w:marTop w:val="0"/>
          <w:marBottom w:val="0"/>
          <w:divBdr>
            <w:top w:val="none" w:sz="0" w:space="0" w:color="auto"/>
            <w:left w:val="none" w:sz="0" w:space="0" w:color="auto"/>
            <w:bottom w:val="none" w:sz="0" w:space="0" w:color="auto"/>
            <w:right w:val="none" w:sz="0" w:space="0" w:color="auto"/>
          </w:divBdr>
        </w:div>
        <w:div w:id="1927882099">
          <w:marLeft w:val="0"/>
          <w:marRight w:val="0"/>
          <w:marTop w:val="0"/>
          <w:marBottom w:val="0"/>
          <w:divBdr>
            <w:top w:val="none" w:sz="0" w:space="0" w:color="auto"/>
            <w:left w:val="none" w:sz="0" w:space="0" w:color="auto"/>
            <w:bottom w:val="none" w:sz="0" w:space="0" w:color="auto"/>
            <w:right w:val="none" w:sz="0" w:space="0" w:color="auto"/>
          </w:divBdr>
        </w:div>
        <w:div w:id="983512816">
          <w:marLeft w:val="0"/>
          <w:marRight w:val="0"/>
          <w:marTop w:val="0"/>
          <w:marBottom w:val="0"/>
          <w:divBdr>
            <w:top w:val="none" w:sz="0" w:space="0" w:color="auto"/>
            <w:left w:val="none" w:sz="0" w:space="0" w:color="auto"/>
            <w:bottom w:val="none" w:sz="0" w:space="0" w:color="auto"/>
            <w:right w:val="none" w:sz="0" w:space="0" w:color="auto"/>
          </w:divBdr>
        </w:div>
        <w:div w:id="981692562">
          <w:marLeft w:val="0"/>
          <w:marRight w:val="0"/>
          <w:marTop w:val="0"/>
          <w:marBottom w:val="0"/>
          <w:divBdr>
            <w:top w:val="none" w:sz="0" w:space="0" w:color="auto"/>
            <w:left w:val="none" w:sz="0" w:space="0" w:color="auto"/>
            <w:bottom w:val="none" w:sz="0" w:space="0" w:color="auto"/>
            <w:right w:val="none" w:sz="0" w:space="0" w:color="auto"/>
          </w:divBdr>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460294">
      <w:bodyDiv w:val="1"/>
      <w:marLeft w:val="0"/>
      <w:marRight w:val="0"/>
      <w:marTop w:val="0"/>
      <w:marBottom w:val="0"/>
      <w:divBdr>
        <w:top w:val="none" w:sz="0" w:space="0" w:color="auto"/>
        <w:left w:val="none" w:sz="0" w:space="0" w:color="auto"/>
        <w:bottom w:val="none" w:sz="0" w:space="0" w:color="auto"/>
        <w:right w:val="none" w:sz="0" w:space="0" w:color="auto"/>
      </w:divBdr>
      <w:divsChild>
        <w:div w:id="1795709793">
          <w:marLeft w:val="0"/>
          <w:marRight w:val="0"/>
          <w:marTop w:val="0"/>
          <w:marBottom w:val="0"/>
          <w:divBdr>
            <w:top w:val="none" w:sz="0" w:space="0" w:color="auto"/>
            <w:left w:val="none" w:sz="0" w:space="0" w:color="auto"/>
            <w:bottom w:val="none" w:sz="0" w:space="0" w:color="auto"/>
            <w:right w:val="none" w:sz="0" w:space="0" w:color="auto"/>
          </w:divBdr>
        </w:div>
        <w:div w:id="934899290">
          <w:marLeft w:val="0"/>
          <w:marRight w:val="0"/>
          <w:marTop w:val="0"/>
          <w:marBottom w:val="0"/>
          <w:divBdr>
            <w:top w:val="none" w:sz="0" w:space="0" w:color="auto"/>
            <w:left w:val="none" w:sz="0" w:space="0" w:color="auto"/>
            <w:bottom w:val="none" w:sz="0" w:space="0" w:color="auto"/>
            <w:right w:val="none" w:sz="0" w:space="0" w:color="auto"/>
          </w:divBdr>
        </w:div>
        <w:div w:id="365258295">
          <w:marLeft w:val="0"/>
          <w:marRight w:val="0"/>
          <w:marTop w:val="0"/>
          <w:marBottom w:val="0"/>
          <w:divBdr>
            <w:top w:val="none" w:sz="0" w:space="0" w:color="auto"/>
            <w:left w:val="none" w:sz="0" w:space="0" w:color="auto"/>
            <w:bottom w:val="none" w:sz="0" w:space="0" w:color="auto"/>
            <w:right w:val="none" w:sz="0" w:space="0" w:color="auto"/>
          </w:divBdr>
        </w:div>
        <w:div w:id="2064593956">
          <w:marLeft w:val="0"/>
          <w:marRight w:val="0"/>
          <w:marTop w:val="0"/>
          <w:marBottom w:val="0"/>
          <w:divBdr>
            <w:top w:val="none" w:sz="0" w:space="0" w:color="auto"/>
            <w:left w:val="none" w:sz="0" w:space="0" w:color="auto"/>
            <w:bottom w:val="none" w:sz="0" w:space="0" w:color="auto"/>
            <w:right w:val="none" w:sz="0" w:space="0" w:color="auto"/>
          </w:divBdr>
        </w:div>
        <w:div w:id="1931766898">
          <w:marLeft w:val="0"/>
          <w:marRight w:val="0"/>
          <w:marTop w:val="0"/>
          <w:marBottom w:val="0"/>
          <w:divBdr>
            <w:top w:val="none" w:sz="0" w:space="0" w:color="auto"/>
            <w:left w:val="none" w:sz="0" w:space="0" w:color="auto"/>
            <w:bottom w:val="none" w:sz="0" w:space="0" w:color="auto"/>
            <w:right w:val="none" w:sz="0" w:space="0" w:color="auto"/>
          </w:divBdr>
        </w:div>
        <w:div w:id="2098940816">
          <w:marLeft w:val="0"/>
          <w:marRight w:val="0"/>
          <w:marTop w:val="0"/>
          <w:marBottom w:val="0"/>
          <w:divBdr>
            <w:top w:val="none" w:sz="0" w:space="0" w:color="auto"/>
            <w:left w:val="none" w:sz="0" w:space="0" w:color="auto"/>
            <w:bottom w:val="none" w:sz="0" w:space="0" w:color="auto"/>
            <w:right w:val="none" w:sz="0" w:space="0" w:color="auto"/>
          </w:divBdr>
        </w:div>
        <w:div w:id="1971862997">
          <w:marLeft w:val="0"/>
          <w:marRight w:val="0"/>
          <w:marTop w:val="0"/>
          <w:marBottom w:val="0"/>
          <w:divBdr>
            <w:top w:val="none" w:sz="0" w:space="0" w:color="auto"/>
            <w:left w:val="none" w:sz="0" w:space="0" w:color="auto"/>
            <w:bottom w:val="none" w:sz="0" w:space="0" w:color="auto"/>
            <w:right w:val="none" w:sz="0" w:space="0" w:color="auto"/>
          </w:divBdr>
        </w:div>
        <w:div w:id="483740728">
          <w:marLeft w:val="0"/>
          <w:marRight w:val="0"/>
          <w:marTop w:val="0"/>
          <w:marBottom w:val="0"/>
          <w:divBdr>
            <w:top w:val="none" w:sz="0" w:space="0" w:color="auto"/>
            <w:left w:val="none" w:sz="0" w:space="0" w:color="auto"/>
            <w:bottom w:val="none" w:sz="0" w:space="0" w:color="auto"/>
            <w:right w:val="none" w:sz="0" w:space="0" w:color="auto"/>
          </w:divBdr>
        </w:div>
      </w:divsChild>
    </w:div>
    <w:div w:id="745154146">
      <w:bodyDiv w:val="1"/>
      <w:marLeft w:val="0"/>
      <w:marRight w:val="0"/>
      <w:marTop w:val="0"/>
      <w:marBottom w:val="0"/>
      <w:divBdr>
        <w:top w:val="none" w:sz="0" w:space="0" w:color="auto"/>
        <w:left w:val="none" w:sz="0" w:space="0" w:color="auto"/>
        <w:bottom w:val="none" w:sz="0" w:space="0" w:color="auto"/>
        <w:right w:val="none" w:sz="0" w:space="0" w:color="auto"/>
      </w:divBdr>
      <w:divsChild>
        <w:div w:id="21054121">
          <w:marLeft w:val="0"/>
          <w:marRight w:val="0"/>
          <w:marTop w:val="0"/>
          <w:marBottom w:val="0"/>
          <w:divBdr>
            <w:top w:val="none" w:sz="0" w:space="0" w:color="auto"/>
            <w:left w:val="none" w:sz="0" w:space="0" w:color="auto"/>
            <w:bottom w:val="none" w:sz="0" w:space="0" w:color="auto"/>
            <w:right w:val="none" w:sz="0" w:space="0" w:color="auto"/>
          </w:divBdr>
        </w:div>
        <w:div w:id="1543205840">
          <w:marLeft w:val="0"/>
          <w:marRight w:val="0"/>
          <w:marTop w:val="0"/>
          <w:marBottom w:val="0"/>
          <w:divBdr>
            <w:top w:val="none" w:sz="0" w:space="0" w:color="auto"/>
            <w:left w:val="none" w:sz="0" w:space="0" w:color="auto"/>
            <w:bottom w:val="none" w:sz="0" w:space="0" w:color="auto"/>
            <w:right w:val="none" w:sz="0" w:space="0" w:color="auto"/>
          </w:divBdr>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589265">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3435784">
      <w:bodyDiv w:val="1"/>
      <w:marLeft w:val="0"/>
      <w:marRight w:val="0"/>
      <w:marTop w:val="0"/>
      <w:marBottom w:val="0"/>
      <w:divBdr>
        <w:top w:val="none" w:sz="0" w:space="0" w:color="auto"/>
        <w:left w:val="none" w:sz="0" w:space="0" w:color="auto"/>
        <w:bottom w:val="none" w:sz="0" w:space="0" w:color="auto"/>
        <w:right w:val="none" w:sz="0" w:space="0" w:color="auto"/>
      </w:divBdr>
      <w:divsChild>
        <w:div w:id="1791128272">
          <w:marLeft w:val="0"/>
          <w:marRight w:val="0"/>
          <w:marTop w:val="0"/>
          <w:marBottom w:val="0"/>
          <w:divBdr>
            <w:top w:val="none" w:sz="0" w:space="0" w:color="auto"/>
            <w:left w:val="none" w:sz="0" w:space="0" w:color="auto"/>
            <w:bottom w:val="none" w:sz="0" w:space="0" w:color="auto"/>
            <w:right w:val="none" w:sz="0" w:space="0" w:color="auto"/>
          </w:divBdr>
        </w:div>
        <w:div w:id="754667500">
          <w:marLeft w:val="0"/>
          <w:marRight w:val="0"/>
          <w:marTop w:val="0"/>
          <w:marBottom w:val="0"/>
          <w:divBdr>
            <w:top w:val="none" w:sz="0" w:space="0" w:color="auto"/>
            <w:left w:val="none" w:sz="0" w:space="0" w:color="auto"/>
            <w:bottom w:val="none" w:sz="0" w:space="0" w:color="auto"/>
            <w:right w:val="none" w:sz="0" w:space="0" w:color="auto"/>
          </w:divBdr>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288506">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194421">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284161">
      <w:bodyDiv w:val="1"/>
      <w:marLeft w:val="0"/>
      <w:marRight w:val="0"/>
      <w:marTop w:val="0"/>
      <w:marBottom w:val="0"/>
      <w:divBdr>
        <w:top w:val="none" w:sz="0" w:space="0" w:color="auto"/>
        <w:left w:val="none" w:sz="0" w:space="0" w:color="auto"/>
        <w:bottom w:val="none" w:sz="0" w:space="0" w:color="auto"/>
        <w:right w:val="none" w:sz="0" w:space="0" w:color="auto"/>
      </w:divBdr>
      <w:divsChild>
        <w:div w:id="1099376451">
          <w:marLeft w:val="0"/>
          <w:marRight w:val="0"/>
          <w:marTop w:val="0"/>
          <w:marBottom w:val="0"/>
          <w:divBdr>
            <w:top w:val="none" w:sz="0" w:space="0" w:color="auto"/>
            <w:left w:val="none" w:sz="0" w:space="0" w:color="auto"/>
            <w:bottom w:val="none" w:sz="0" w:space="0" w:color="auto"/>
            <w:right w:val="none" w:sz="0" w:space="0" w:color="auto"/>
          </w:divBdr>
        </w:div>
        <w:div w:id="1310280184">
          <w:marLeft w:val="0"/>
          <w:marRight w:val="0"/>
          <w:marTop w:val="0"/>
          <w:marBottom w:val="0"/>
          <w:divBdr>
            <w:top w:val="none" w:sz="0" w:space="0" w:color="auto"/>
            <w:left w:val="none" w:sz="0" w:space="0" w:color="auto"/>
            <w:bottom w:val="none" w:sz="0" w:space="0" w:color="auto"/>
            <w:right w:val="none" w:sz="0" w:space="0" w:color="auto"/>
          </w:divBdr>
        </w:div>
        <w:div w:id="1475374060">
          <w:marLeft w:val="0"/>
          <w:marRight w:val="0"/>
          <w:marTop w:val="0"/>
          <w:marBottom w:val="0"/>
          <w:divBdr>
            <w:top w:val="none" w:sz="0" w:space="0" w:color="auto"/>
            <w:left w:val="none" w:sz="0" w:space="0" w:color="auto"/>
            <w:bottom w:val="none" w:sz="0" w:space="0" w:color="auto"/>
            <w:right w:val="none" w:sz="0" w:space="0" w:color="auto"/>
          </w:divBdr>
        </w:div>
        <w:div w:id="1989626871">
          <w:marLeft w:val="0"/>
          <w:marRight w:val="0"/>
          <w:marTop w:val="0"/>
          <w:marBottom w:val="0"/>
          <w:divBdr>
            <w:top w:val="none" w:sz="0" w:space="0" w:color="auto"/>
            <w:left w:val="none" w:sz="0" w:space="0" w:color="auto"/>
            <w:bottom w:val="none" w:sz="0" w:space="0" w:color="auto"/>
            <w:right w:val="none" w:sz="0" w:space="0" w:color="auto"/>
          </w:divBdr>
        </w:div>
        <w:div w:id="1838418186">
          <w:marLeft w:val="0"/>
          <w:marRight w:val="0"/>
          <w:marTop w:val="0"/>
          <w:marBottom w:val="0"/>
          <w:divBdr>
            <w:top w:val="none" w:sz="0" w:space="0" w:color="auto"/>
            <w:left w:val="none" w:sz="0" w:space="0" w:color="auto"/>
            <w:bottom w:val="none" w:sz="0" w:space="0" w:color="auto"/>
            <w:right w:val="none" w:sz="0" w:space="0" w:color="auto"/>
          </w:divBdr>
        </w:div>
        <w:div w:id="1073164200">
          <w:marLeft w:val="0"/>
          <w:marRight w:val="0"/>
          <w:marTop w:val="0"/>
          <w:marBottom w:val="0"/>
          <w:divBdr>
            <w:top w:val="none" w:sz="0" w:space="0" w:color="auto"/>
            <w:left w:val="none" w:sz="0" w:space="0" w:color="auto"/>
            <w:bottom w:val="none" w:sz="0" w:space="0" w:color="auto"/>
            <w:right w:val="none" w:sz="0" w:space="0" w:color="auto"/>
          </w:divBdr>
        </w:div>
        <w:div w:id="1290547951">
          <w:marLeft w:val="0"/>
          <w:marRight w:val="0"/>
          <w:marTop w:val="0"/>
          <w:marBottom w:val="0"/>
          <w:divBdr>
            <w:top w:val="none" w:sz="0" w:space="0" w:color="auto"/>
            <w:left w:val="none" w:sz="0" w:space="0" w:color="auto"/>
            <w:bottom w:val="none" w:sz="0" w:space="0" w:color="auto"/>
            <w:right w:val="none" w:sz="0" w:space="0" w:color="auto"/>
          </w:divBdr>
        </w:div>
        <w:div w:id="199360522">
          <w:marLeft w:val="0"/>
          <w:marRight w:val="0"/>
          <w:marTop w:val="0"/>
          <w:marBottom w:val="0"/>
          <w:divBdr>
            <w:top w:val="none" w:sz="0" w:space="0" w:color="auto"/>
            <w:left w:val="none" w:sz="0" w:space="0" w:color="auto"/>
            <w:bottom w:val="none" w:sz="0" w:space="0" w:color="auto"/>
            <w:right w:val="none" w:sz="0" w:space="0" w:color="auto"/>
          </w:divBdr>
        </w:div>
        <w:div w:id="353767402">
          <w:marLeft w:val="0"/>
          <w:marRight w:val="0"/>
          <w:marTop w:val="0"/>
          <w:marBottom w:val="0"/>
          <w:divBdr>
            <w:top w:val="none" w:sz="0" w:space="0" w:color="auto"/>
            <w:left w:val="none" w:sz="0" w:space="0" w:color="auto"/>
            <w:bottom w:val="none" w:sz="0" w:space="0" w:color="auto"/>
            <w:right w:val="none" w:sz="0" w:space="0" w:color="auto"/>
          </w:divBdr>
        </w:div>
        <w:div w:id="430977689">
          <w:marLeft w:val="0"/>
          <w:marRight w:val="0"/>
          <w:marTop w:val="0"/>
          <w:marBottom w:val="0"/>
          <w:divBdr>
            <w:top w:val="none" w:sz="0" w:space="0" w:color="auto"/>
            <w:left w:val="none" w:sz="0" w:space="0" w:color="auto"/>
            <w:bottom w:val="none" w:sz="0" w:space="0" w:color="auto"/>
            <w:right w:val="none" w:sz="0" w:space="0" w:color="auto"/>
          </w:divBdr>
        </w:div>
        <w:div w:id="1021971758">
          <w:marLeft w:val="0"/>
          <w:marRight w:val="0"/>
          <w:marTop w:val="0"/>
          <w:marBottom w:val="0"/>
          <w:divBdr>
            <w:top w:val="none" w:sz="0" w:space="0" w:color="auto"/>
            <w:left w:val="none" w:sz="0" w:space="0" w:color="auto"/>
            <w:bottom w:val="none" w:sz="0" w:space="0" w:color="auto"/>
            <w:right w:val="none" w:sz="0" w:space="0" w:color="auto"/>
          </w:divBdr>
        </w:div>
        <w:div w:id="509297790">
          <w:marLeft w:val="0"/>
          <w:marRight w:val="0"/>
          <w:marTop w:val="0"/>
          <w:marBottom w:val="0"/>
          <w:divBdr>
            <w:top w:val="none" w:sz="0" w:space="0" w:color="auto"/>
            <w:left w:val="none" w:sz="0" w:space="0" w:color="auto"/>
            <w:bottom w:val="none" w:sz="0" w:space="0" w:color="auto"/>
            <w:right w:val="none" w:sz="0" w:space="0" w:color="auto"/>
          </w:divBdr>
        </w:div>
        <w:div w:id="825055750">
          <w:marLeft w:val="0"/>
          <w:marRight w:val="0"/>
          <w:marTop w:val="0"/>
          <w:marBottom w:val="0"/>
          <w:divBdr>
            <w:top w:val="none" w:sz="0" w:space="0" w:color="auto"/>
            <w:left w:val="none" w:sz="0" w:space="0" w:color="auto"/>
            <w:bottom w:val="none" w:sz="0" w:space="0" w:color="auto"/>
            <w:right w:val="none" w:sz="0" w:space="0" w:color="auto"/>
          </w:divBdr>
        </w:div>
        <w:div w:id="747270571">
          <w:marLeft w:val="0"/>
          <w:marRight w:val="0"/>
          <w:marTop w:val="0"/>
          <w:marBottom w:val="0"/>
          <w:divBdr>
            <w:top w:val="none" w:sz="0" w:space="0" w:color="auto"/>
            <w:left w:val="none" w:sz="0" w:space="0" w:color="auto"/>
            <w:bottom w:val="none" w:sz="0" w:space="0" w:color="auto"/>
            <w:right w:val="none" w:sz="0" w:space="0" w:color="auto"/>
          </w:divBdr>
        </w:div>
        <w:div w:id="1768382149">
          <w:marLeft w:val="0"/>
          <w:marRight w:val="0"/>
          <w:marTop w:val="0"/>
          <w:marBottom w:val="0"/>
          <w:divBdr>
            <w:top w:val="none" w:sz="0" w:space="0" w:color="auto"/>
            <w:left w:val="none" w:sz="0" w:space="0" w:color="auto"/>
            <w:bottom w:val="none" w:sz="0" w:space="0" w:color="auto"/>
            <w:right w:val="none" w:sz="0" w:space="0" w:color="auto"/>
          </w:divBdr>
        </w:div>
        <w:div w:id="1067343680">
          <w:marLeft w:val="0"/>
          <w:marRight w:val="0"/>
          <w:marTop w:val="0"/>
          <w:marBottom w:val="0"/>
          <w:divBdr>
            <w:top w:val="none" w:sz="0" w:space="0" w:color="auto"/>
            <w:left w:val="none" w:sz="0" w:space="0" w:color="auto"/>
            <w:bottom w:val="none" w:sz="0" w:space="0" w:color="auto"/>
            <w:right w:val="none" w:sz="0" w:space="0" w:color="auto"/>
          </w:divBdr>
        </w:div>
        <w:div w:id="1145776543">
          <w:marLeft w:val="0"/>
          <w:marRight w:val="0"/>
          <w:marTop w:val="0"/>
          <w:marBottom w:val="0"/>
          <w:divBdr>
            <w:top w:val="none" w:sz="0" w:space="0" w:color="auto"/>
            <w:left w:val="none" w:sz="0" w:space="0" w:color="auto"/>
            <w:bottom w:val="none" w:sz="0" w:space="0" w:color="auto"/>
            <w:right w:val="none" w:sz="0" w:space="0" w:color="auto"/>
          </w:divBdr>
        </w:div>
        <w:div w:id="1276477371">
          <w:marLeft w:val="0"/>
          <w:marRight w:val="0"/>
          <w:marTop w:val="0"/>
          <w:marBottom w:val="0"/>
          <w:divBdr>
            <w:top w:val="none" w:sz="0" w:space="0" w:color="auto"/>
            <w:left w:val="none" w:sz="0" w:space="0" w:color="auto"/>
            <w:bottom w:val="none" w:sz="0" w:space="0" w:color="auto"/>
            <w:right w:val="none" w:sz="0" w:space="0" w:color="auto"/>
          </w:divBdr>
        </w:div>
        <w:div w:id="1401561682">
          <w:marLeft w:val="0"/>
          <w:marRight w:val="0"/>
          <w:marTop w:val="0"/>
          <w:marBottom w:val="0"/>
          <w:divBdr>
            <w:top w:val="none" w:sz="0" w:space="0" w:color="auto"/>
            <w:left w:val="none" w:sz="0" w:space="0" w:color="auto"/>
            <w:bottom w:val="none" w:sz="0" w:space="0" w:color="auto"/>
            <w:right w:val="none" w:sz="0" w:space="0" w:color="auto"/>
          </w:divBdr>
        </w:div>
        <w:div w:id="937642868">
          <w:marLeft w:val="0"/>
          <w:marRight w:val="0"/>
          <w:marTop w:val="0"/>
          <w:marBottom w:val="0"/>
          <w:divBdr>
            <w:top w:val="none" w:sz="0" w:space="0" w:color="auto"/>
            <w:left w:val="none" w:sz="0" w:space="0" w:color="auto"/>
            <w:bottom w:val="none" w:sz="0" w:space="0" w:color="auto"/>
            <w:right w:val="none" w:sz="0" w:space="0" w:color="auto"/>
          </w:divBdr>
        </w:div>
        <w:div w:id="886142072">
          <w:marLeft w:val="0"/>
          <w:marRight w:val="0"/>
          <w:marTop w:val="0"/>
          <w:marBottom w:val="0"/>
          <w:divBdr>
            <w:top w:val="none" w:sz="0" w:space="0" w:color="auto"/>
            <w:left w:val="none" w:sz="0" w:space="0" w:color="auto"/>
            <w:bottom w:val="none" w:sz="0" w:space="0" w:color="auto"/>
            <w:right w:val="none" w:sz="0" w:space="0" w:color="auto"/>
          </w:divBdr>
        </w:div>
        <w:div w:id="1350794249">
          <w:marLeft w:val="0"/>
          <w:marRight w:val="0"/>
          <w:marTop w:val="0"/>
          <w:marBottom w:val="0"/>
          <w:divBdr>
            <w:top w:val="none" w:sz="0" w:space="0" w:color="auto"/>
            <w:left w:val="none" w:sz="0" w:space="0" w:color="auto"/>
            <w:bottom w:val="none" w:sz="0" w:space="0" w:color="auto"/>
            <w:right w:val="none" w:sz="0" w:space="0" w:color="auto"/>
          </w:divBdr>
        </w:div>
        <w:div w:id="2142726501">
          <w:marLeft w:val="0"/>
          <w:marRight w:val="0"/>
          <w:marTop w:val="0"/>
          <w:marBottom w:val="0"/>
          <w:divBdr>
            <w:top w:val="none" w:sz="0" w:space="0" w:color="auto"/>
            <w:left w:val="none" w:sz="0" w:space="0" w:color="auto"/>
            <w:bottom w:val="none" w:sz="0" w:space="0" w:color="auto"/>
            <w:right w:val="none" w:sz="0" w:space="0" w:color="auto"/>
          </w:divBdr>
        </w:div>
        <w:div w:id="1939365745">
          <w:marLeft w:val="0"/>
          <w:marRight w:val="0"/>
          <w:marTop w:val="0"/>
          <w:marBottom w:val="0"/>
          <w:divBdr>
            <w:top w:val="none" w:sz="0" w:space="0" w:color="auto"/>
            <w:left w:val="none" w:sz="0" w:space="0" w:color="auto"/>
            <w:bottom w:val="none" w:sz="0" w:space="0" w:color="auto"/>
            <w:right w:val="none" w:sz="0" w:space="0" w:color="auto"/>
          </w:divBdr>
        </w:div>
        <w:div w:id="690759251">
          <w:marLeft w:val="0"/>
          <w:marRight w:val="0"/>
          <w:marTop w:val="0"/>
          <w:marBottom w:val="0"/>
          <w:divBdr>
            <w:top w:val="none" w:sz="0" w:space="0" w:color="auto"/>
            <w:left w:val="none" w:sz="0" w:space="0" w:color="auto"/>
            <w:bottom w:val="none" w:sz="0" w:space="0" w:color="auto"/>
            <w:right w:val="none" w:sz="0" w:space="0" w:color="auto"/>
          </w:divBdr>
        </w:div>
        <w:div w:id="1475685003">
          <w:marLeft w:val="0"/>
          <w:marRight w:val="0"/>
          <w:marTop w:val="0"/>
          <w:marBottom w:val="0"/>
          <w:divBdr>
            <w:top w:val="none" w:sz="0" w:space="0" w:color="auto"/>
            <w:left w:val="none" w:sz="0" w:space="0" w:color="auto"/>
            <w:bottom w:val="none" w:sz="0" w:space="0" w:color="auto"/>
            <w:right w:val="none" w:sz="0" w:space="0" w:color="auto"/>
          </w:divBdr>
        </w:div>
        <w:div w:id="952859729">
          <w:marLeft w:val="0"/>
          <w:marRight w:val="0"/>
          <w:marTop w:val="0"/>
          <w:marBottom w:val="0"/>
          <w:divBdr>
            <w:top w:val="none" w:sz="0" w:space="0" w:color="auto"/>
            <w:left w:val="none" w:sz="0" w:space="0" w:color="auto"/>
            <w:bottom w:val="none" w:sz="0" w:space="0" w:color="auto"/>
            <w:right w:val="none" w:sz="0" w:space="0" w:color="auto"/>
          </w:divBdr>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438215356">
      <w:bodyDiv w:val="1"/>
      <w:marLeft w:val="0"/>
      <w:marRight w:val="0"/>
      <w:marTop w:val="0"/>
      <w:marBottom w:val="0"/>
      <w:divBdr>
        <w:top w:val="none" w:sz="0" w:space="0" w:color="auto"/>
        <w:left w:val="none" w:sz="0" w:space="0" w:color="auto"/>
        <w:bottom w:val="none" w:sz="0" w:space="0" w:color="auto"/>
        <w:right w:val="none" w:sz="0" w:space="0" w:color="auto"/>
      </w:divBdr>
    </w:div>
    <w:div w:id="1470248377">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207733">
      <w:bodyDiv w:val="1"/>
      <w:marLeft w:val="0"/>
      <w:marRight w:val="0"/>
      <w:marTop w:val="0"/>
      <w:marBottom w:val="0"/>
      <w:divBdr>
        <w:top w:val="none" w:sz="0" w:space="0" w:color="auto"/>
        <w:left w:val="none" w:sz="0" w:space="0" w:color="auto"/>
        <w:bottom w:val="none" w:sz="0" w:space="0" w:color="auto"/>
        <w:right w:val="none" w:sz="0" w:space="0" w:color="auto"/>
      </w:divBdr>
    </w:div>
    <w:div w:id="1740790382">
      <w:bodyDiv w:val="1"/>
      <w:marLeft w:val="0"/>
      <w:marRight w:val="0"/>
      <w:marTop w:val="0"/>
      <w:marBottom w:val="0"/>
      <w:divBdr>
        <w:top w:val="none" w:sz="0" w:space="0" w:color="auto"/>
        <w:left w:val="none" w:sz="0" w:space="0" w:color="auto"/>
        <w:bottom w:val="none" w:sz="0" w:space="0" w:color="auto"/>
        <w:right w:val="none" w:sz="0" w:space="0" w:color="auto"/>
      </w:divBdr>
      <w:divsChild>
        <w:div w:id="781613428">
          <w:marLeft w:val="0"/>
          <w:marRight w:val="0"/>
          <w:marTop w:val="0"/>
          <w:marBottom w:val="0"/>
          <w:divBdr>
            <w:top w:val="none" w:sz="0" w:space="0" w:color="auto"/>
            <w:left w:val="none" w:sz="0" w:space="0" w:color="auto"/>
            <w:bottom w:val="none" w:sz="0" w:space="0" w:color="auto"/>
            <w:right w:val="none" w:sz="0" w:space="0" w:color="auto"/>
          </w:divBdr>
        </w:div>
        <w:div w:id="2042632673">
          <w:marLeft w:val="0"/>
          <w:marRight w:val="0"/>
          <w:marTop w:val="0"/>
          <w:marBottom w:val="0"/>
          <w:divBdr>
            <w:top w:val="none" w:sz="0" w:space="0" w:color="auto"/>
            <w:left w:val="none" w:sz="0" w:space="0" w:color="auto"/>
            <w:bottom w:val="none" w:sz="0" w:space="0" w:color="auto"/>
            <w:right w:val="none" w:sz="0" w:space="0" w:color="auto"/>
          </w:divBdr>
        </w:div>
      </w:divsChild>
    </w:div>
    <w:div w:id="1827282757">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957329">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63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ca.govt.nz/assets/EECA-Resources/Research-papers-guides/Life-Cycle-Assessment-of-Indoor-Residential-Lightning-AU-NZ.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dcceew.gov.au/environment/biodiversity/publications/national-light-pollution-guidelines-wildlif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nirp.org/en/activities/news/news-article/short-wavelength-light-statement-2024.html" TargetMode="External"/><Relationship Id="rId5" Type="http://schemas.openxmlformats.org/officeDocument/2006/relationships/numbering" Target="numbering.xml"/><Relationship Id="rId15" Type="http://schemas.openxmlformats.org/officeDocument/2006/relationships/hyperlink" Target="https://creativecommons.org/licenses/by/4.0/legalco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cceew.gov.au/environment/protection/waste/e-wast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aniNISSANKA\Downloads\DCCEEW-A4-Factsheet-template.dotx" TargetMode="External"/></Relationships>
</file>

<file path=word/theme/theme1.xml><?xml version="1.0" encoding="utf-8"?>
<a:theme xmlns:a="http://schemas.openxmlformats.org/drawingml/2006/main" name="Office Theme">
  <a:themeElements>
    <a:clrScheme name="DCCEEW">
      <a:dk1>
        <a:srgbClr val="083A42"/>
      </a:dk1>
      <a:lt1>
        <a:srgbClr val="F5FFF5"/>
      </a:lt1>
      <a:dk2>
        <a:srgbClr val="197C7D"/>
      </a:dk2>
      <a:lt2>
        <a:srgbClr val="FFFFFF"/>
      </a:lt2>
      <a:accent1>
        <a:srgbClr val="083A42"/>
      </a:accent1>
      <a:accent2>
        <a:srgbClr val="197C7D"/>
      </a:accent2>
      <a:accent3>
        <a:srgbClr val="9AFFBE"/>
      </a:accent3>
      <a:accent4>
        <a:srgbClr val="F5FFF5"/>
      </a:accent4>
      <a:accent5>
        <a:srgbClr val="D8D8D8"/>
      </a:accent5>
      <a:accent6>
        <a:srgbClr val="191919"/>
      </a:accent6>
      <a:hlink>
        <a:srgbClr val="083A42"/>
      </a:hlink>
      <a:folHlink>
        <a:srgbClr val="33333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BD6DA3CAA945449D687BAD3204FB0C" ma:contentTypeVersion="5" ma:contentTypeDescription="Create a new document." ma:contentTypeScope="" ma:versionID="bf64f712c3aeea10410c71096c22fc2c">
  <xsd:schema xmlns:xsd="http://www.w3.org/2001/XMLSchema" xmlns:xs="http://www.w3.org/2001/XMLSchema" xmlns:p="http://schemas.microsoft.com/office/2006/metadata/properties" xmlns:ns2="2b794145-bd4f-4b1b-8468-504ab46632bf" xmlns:ns3="e12a46de-76a2-4a50-84ed-8d3092ee2372" targetNamespace="http://schemas.microsoft.com/office/2006/metadata/properties" ma:root="true" ma:fieldsID="48843f49a1066352988b7b6813c46795" ns2:_="" ns3:_="">
    <xsd:import namespace="2b794145-bd4f-4b1b-8468-504ab46632bf"/>
    <xsd:import namespace="e12a46de-76a2-4a50-84ed-8d3092ee2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94145-bd4f-4b1b-8468-504ab4663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2a46de-76a2-4a50-84ed-8d3092ee23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1C2A1-A0B6-417E-9655-2AD7058B7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94145-bd4f-4b1b-8468-504ab46632bf"/>
    <ds:schemaRef ds:uri="e12a46de-76a2-4a50-84ed-8d3092ee2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DCCEEW-A4-Factsheet-template</Template>
  <TotalTime>18</TotalTime>
  <Pages>6</Pages>
  <Words>2471</Words>
  <Characters>14086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Fact sheet template</vt:lpstr>
    </vt:vector>
  </TitlesOfParts>
  <Company/>
  <LinksUpToDate>false</LinksUpToDate>
  <CharactersWithSpaces>16524</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creator>Ramani NISSANKA</dc:creator>
  <cp:lastModifiedBy>David BOUGHEY</cp:lastModifiedBy>
  <cp:revision>9</cp:revision>
  <cp:lastPrinted>2022-05-11T23:44:00Z</cp:lastPrinted>
  <dcterms:created xsi:type="dcterms:W3CDTF">2024-07-24T05:20:00Z</dcterms:created>
  <dcterms:modified xsi:type="dcterms:W3CDTF">2024-08-15T06:41:00Z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0x010100F5BD6DA3CAA945449D687BAD3204FB0C</vt:lpwstr>
  </property>
  <property fmtid="{D5CDD505-2E9C-101B-9397-08002B2CF9AE}" pid="3" name="Order">
    <vt:r8>160900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lassificationContentMarkingHeaderShapeIds">
    <vt:lpwstr>1e34f42d,dd626bb,73b2a2da</vt:lpwstr>
  </property>
  <property fmtid="{D5CDD505-2E9C-101B-9397-08002B2CF9AE}" pid="11" name="ClassificationContentMarkingHeaderFontProps">
    <vt:lpwstr>#ff0000,12,Calibri</vt:lpwstr>
  </property>
  <property fmtid="{D5CDD505-2E9C-101B-9397-08002B2CF9AE}" pid="12" name="ClassificationContentMarkingHeaderText">
    <vt:lpwstr>OFFICIAL</vt:lpwstr>
  </property>
  <property fmtid="{D5CDD505-2E9C-101B-9397-08002B2CF9AE}" pid="13" name="ClassificationContentMarkingFooterShapeIds">
    <vt:lpwstr>3232849d,4d9853b7,61890683</vt:lpwstr>
  </property>
  <property fmtid="{D5CDD505-2E9C-101B-9397-08002B2CF9AE}" pid="14" name="ClassificationContentMarkingFooterFontProps">
    <vt:lpwstr>#ff0000,12,Calibri</vt:lpwstr>
  </property>
  <property fmtid="{D5CDD505-2E9C-101B-9397-08002B2CF9AE}" pid="15" name="ClassificationContentMarkingFooterText">
    <vt:lpwstr>OFFICIAL</vt:lpwstr>
  </property>
</Properties>
</file>