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9645621"/>
    <w:bookmarkStart w:id="1" w:name="_Toc109653330"/>
    <w:bookmarkStart w:id="2" w:name="_Toc109659377"/>
    <w:bookmarkStart w:id="3" w:name="_Toc109717157"/>
    <w:bookmarkStart w:id="4" w:name="_Toc109742665"/>
    <w:bookmarkStart w:id="5" w:name="_Toc109746049"/>
    <w:bookmarkStart w:id="6" w:name="_Toc109747113"/>
    <w:bookmarkStart w:id="7" w:name="_Toc109818489"/>
    <w:bookmarkStart w:id="8" w:name="_Toc110524015"/>
    <w:bookmarkStart w:id="9" w:name="_Toc110545543"/>
    <w:bookmarkStart w:id="10" w:name="_Toc110590726"/>
    <w:bookmarkStart w:id="11" w:name="_Toc110590781"/>
    <w:bookmarkStart w:id="12" w:name="_Toc110593185"/>
    <w:bookmarkStart w:id="13" w:name="_Toc110851738"/>
    <w:bookmarkStart w:id="14" w:name="_Toc111042127"/>
    <w:p w14:paraId="2B324C5E" w14:textId="77777777" w:rsidR="000A0B0B" w:rsidRDefault="00D4117C" w:rsidP="000A0B0B">
      <w:pPr>
        <w:pStyle w:val="Title"/>
        <w:pBdr>
          <w:bottom w:val="single" w:sz="4" w:space="1" w:color="auto"/>
        </w:pBdr>
        <w:tabs>
          <w:tab w:val="left" w:pos="3930"/>
        </w:tabs>
        <w:jc w:val="left"/>
        <w:rPr>
          <w:color w:val="083A42"/>
        </w:rPr>
      </w:pPr>
      <w:sdt>
        <w:sdtPr>
          <w:rPr>
            <w:color w:val="083A42"/>
          </w:rPr>
          <w:alias w:val="Title"/>
          <w:tag w:val=""/>
          <w:id w:val="1388293233"/>
          <w:placeholder>
            <w:docPart w:val="3060169F0CD04F0C99EAC6E8A8600801"/>
          </w:placeholder>
          <w:dataBinding w:prefixMappings="xmlns:ns0='http://purl.org/dc/elements/1.1/' xmlns:ns1='http://schemas.openxmlformats.org/package/2006/metadata/core-properties' " w:xpath="/ns1:coreProperties[1]/ns0:title[1]" w:storeItemID="{6C3C8BC8-F283-45AE-878A-BAB7291924A1}"/>
          <w:text/>
        </w:sdtPr>
        <w:sdtEndPr/>
        <w:sdtContent>
          <w:r w:rsidR="000A0B0B" w:rsidRPr="009306CE">
            <w:rPr>
              <w:color w:val="083A42"/>
            </w:rPr>
            <w:t>Safeguard Mechanism Reforms</w:t>
          </w:r>
        </w:sdtContent>
      </w:sdt>
    </w:p>
    <w:p w14:paraId="43A87A01" w14:textId="77777777" w:rsidR="000A0B0B" w:rsidRPr="006F0250" w:rsidRDefault="00E66614" w:rsidP="000A0B0B">
      <w:pPr>
        <w:pStyle w:val="Title"/>
        <w:tabs>
          <w:tab w:val="left" w:pos="3930"/>
        </w:tabs>
        <w:jc w:val="left"/>
        <w:rPr>
          <w:color w:val="71BAAF"/>
          <w:sz w:val="40"/>
          <w:szCs w:val="40"/>
        </w:rPr>
      </w:pPr>
      <w:r>
        <w:rPr>
          <w:color w:val="71BAAF"/>
          <w:sz w:val="40"/>
          <w:szCs w:val="40"/>
        </w:rPr>
        <w:t>Position</w:t>
      </w:r>
      <w:r w:rsidR="000A0B0B" w:rsidRPr="006F0250">
        <w:rPr>
          <w:color w:val="71BAAF"/>
          <w:sz w:val="40"/>
          <w:szCs w:val="40"/>
        </w:rPr>
        <w:t xml:space="preserve"> </w:t>
      </w:r>
      <w:r w:rsidR="00965537">
        <w:rPr>
          <w:color w:val="71BAAF"/>
          <w:sz w:val="40"/>
          <w:szCs w:val="40"/>
        </w:rPr>
        <w:t>P</w:t>
      </w:r>
      <w:r w:rsidR="00965537" w:rsidRPr="006F0250">
        <w:rPr>
          <w:color w:val="71BAAF"/>
          <w:sz w:val="40"/>
          <w:szCs w:val="40"/>
        </w:rPr>
        <w:t>aper</w:t>
      </w:r>
    </w:p>
    <w:p w14:paraId="315D599F" w14:textId="77777777" w:rsidR="000A0B0B" w:rsidRDefault="000A0B0B" w:rsidP="00744BCE"/>
    <w:p w14:paraId="6543F9C2" w14:textId="77777777" w:rsidR="000A0B0B" w:rsidRDefault="004E6A98">
      <w:pPr>
        <w:pStyle w:val="Title"/>
        <w:tabs>
          <w:tab w:val="left" w:pos="3930"/>
        </w:tabs>
        <w:jc w:val="left"/>
        <w:rPr>
          <w:color w:val="408479"/>
          <w:sz w:val="40"/>
          <w:szCs w:val="40"/>
        </w:rPr>
      </w:pPr>
      <w:r>
        <w:rPr>
          <w:color w:val="408479"/>
          <w:sz w:val="40"/>
          <w:szCs w:val="40"/>
        </w:rPr>
        <w:t>January</w:t>
      </w:r>
      <w:r w:rsidRPr="006F0250">
        <w:rPr>
          <w:color w:val="408479"/>
          <w:sz w:val="40"/>
          <w:szCs w:val="40"/>
        </w:rPr>
        <w:t xml:space="preserve"> </w:t>
      </w:r>
      <w:r w:rsidR="00B22B5A" w:rsidRPr="006F0250">
        <w:rPr>
          <w:color w:val="408479"/>
          <w:sz w:val="40"/>
          <w:szCs w:val="40"/>
        </w:rPr>
        <w:t>202</w:t>
      </w:r>
      <w:r w:rsidR="00B22B5A">
        <w:rPr>
          <w:color w:val="408479"/>
          <w:sz w:val="40"/>
          <w:szCs w:val="40"/>
        </w:rPr>
        <w:t>3</w:t>
      </w:r>
    </w:p>
    <w:p w14:paraId="4A4AA0C2" w14:textId="77777777" w:rsidR="00F57E2E" w:rsidRDefault="00F57E2E" w:rsidP="00F57E2E"/>
    <w:p w14:paraId="2C05FEC1" w14:textId="77777777" w:rsidR="00F57E2E" w:rsidRPr="00F57E2E" w:rsidRDefault="00F57E2E" w:rsidP="00F57E2E"/>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7D0B0881" w14:textId="77777777" w:rsidR="00291C2F" w:rsidRDefault="00291C2F" w:rsidP="00AD4A98">
      <w:r>
        <w:br w:type="page"/>
      </w:r>
    </w:p>
    <w:p w14:paraId="2B522743" w14:textId="77777777" w:rsidR="00A52D91" w:rsidRPr="00547654" w:rsidRDefault="00A52D91" w:rsidP="00547654">
      <w:pPr>
        <w:rPr>
          <w:color w:val="ED7D31" w:themeColor="accent2"/>
          <w:sz w:val="32"/>
          <w:szCs w:val="32"/>
        </w:rPr>
      </w:pPr>
      <w:bookmarkStart w:id="15" w:name="_Toc19023739"/>
      <w:bookmarkStart w:id="16" w:name="_Toc19289802"/>
      <w:bookmarkStart w:id="17" w:name="_Toc47966973"/>
      <w:bookmarkStart w:id="18" w:name="_Toc49184892"/>
      <w:bookmarkStart w:id="19" w:name="_Toc49374439"/>
      <w:bookmarkStart w:id="20" w:name="_Toc49855056"/>
      <w:bookmarkStart w:id="21" w:name="_Toc49855083"/>
      <w:bookmarkStart w:id="22" w:name="_Toc49893663"/>
      <w:bookmarkStart w:id="23" w:name="_Toc50062338"/>
      <w:bookmarkStart w:id="24" w:name="_Toc117176800"/>
      <w:bookmarkStart w:id="25" w:name="_Toc117255403"/>
      <w:bookmarkStart w:id="26" w:name="_Toc117263144"/>
      <w:bookmarkStart w:id="27" w:name="_Toc117437225"/>
      <w:bookmarkStart w:id="28" w:name="_Toc117499173"/>
      <w:bookmarkStart w:id="29" w:name="_Toc117521020"/>
      <w:bookmarkStart w:id="30" w:name="_Toc117524767"/>
      <w:bookmarkStart w:id="31" w:name="_Toc117543958"/>
      <w:bookmarkStart w:id="32" w:name="_Toc117548309"/>
      <w:bookmarkStart w:id="33" w:name="_Toc117588627"/>
      <w:bookmarkStart w:id="34" w:name="_Toc117588671"/>
      <w:bookmarkStart w:id="35" w:name="_Toc117604789"/>
      <w:bookmarkStart w:id="36" w:name="_Toc117612871"/>
      <w:bookmarkStart w:id="37" w:name="_Toc117627709"/>
      <w:bookmarkStart w:id="38" w:name="_Toc117630374"/>
      <w:bookmarkStart w:id="39" w:name="_Toc117867981"/>
      <w:bookmarkStart w:id="40" w:name="_Toc117887995"/>
      <w:bookmarkStart w:id="41" w:name="_Toc117951439"/>
      <w:bookmarkStart w:id="42" w:name="_Toc117960086"/>
      <w:bookmarkStart w:id="43" w:name="_Toc118040347"/>
      <w:bookmarkStart w:id="44" w:name="_Toc118196199"/>
      <w:bookmarkStart w:id="45" w:name="_Toc118198368"/>
      <w:bookmarkStart w:id="46" w:name="_Toc118198783"/>
      <w:bookmarkStart w:id="47" w:name="_Toc118198974"/>
      <w:bookmarkStart w:id="48" w:name="_Toc118199528"/>
      <w:bookmarkStart w:id="49" w:name="_Toc118304100"/>
      <w:bookmarkStart w:id="50" w:name="_Toc118304131"/>
      <w:bookmarkStart w:id="51" w:name="_Toc118306333"/>
      <w:bookmarkStart w:id="52" w:name="_Toc118308325"/>
      <w:bookmarkStart w:id="53" w:name="_Toc119500896"/>
      <w:bookmarkStart w:id="54" w:name="_Toc119572351"/>
      <w:r w:rsidRPr="00547654">
        <w:rPr>
          <w:color w:val="ED7D31" w:themeColor="accent2"/>
          <w:sz w:val="32"/>
          <w:szCs w:val="32"/>
        </w:rPr>
        <w:lastRenderedPageBreak/>
        <w:t>Copyright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9B90C7C" w14:textId="77777777" w:rsidR="00A52D91" w:rsidRPr="00EE2D4F" w:rsidRDefault="00A52D91" w:rsidP="00A52D91">
      <w:pPr>
        <w:rPr>
          <w:rStyle w:val="Strong"/>
        </w:rPr>
      </w:pPr>
      <w:r w:rsidRPr="00EE2D4F">
        <w:rPr>
          <w:rStyle w:val="Strong"/>
        </w:rPr>
        <w:t xml:space="preserve">© Commonwealth of Australia </w:t>
      </w:r>
      <w:r w:rsidR="00B22B5A" w:rsidRPr="00EE2D4F">
        <w:rPr>
          <w:rStyle w:val="Strong"/>
        </w:rPr>
        <w:t>202</w:t>
      </w:r>
      <w:r w:rsidR="00B22B5A">
        <w:rPr>
          <w:rStyle w:val="Strong"/>
        </w:rPr>
        <w:t>3</w:t>
      </w:r>
    </w:p>
    <w:p w14:paraId="1B20AE0B" w14:textId="77777777" w:rsidR="00A52D91" w:rsidRPr="00EE2D4F" w:rsidRDefault="00A52D91" w:rsidP="00A52D91">
      <w:pPr>
        <w:rPr>
          <w:rStyle w:val="Strong"/>
        </w:rPr>
      </w:pPr>
      <w:r w:rsidRPr="00EE2D4F">
        <w:rPr>
          <w:rStyle w:val="Strong"/>
        </w:rPr>
        <w:t>Ownership of intellectual property rights</w:t>
      </w:r>
    </w:p>
    <w:p w14:paraId="4FC189ED" w14:textId="77777777" w:rsidR="00A52D91" w:rsidRPr="00EE2D4F" w:rsidRDefault="00A52D91" w:rsidP="00A52D91">
      <w:r w:rsidRPr="00EE2D4F">
        <w:t>Unless otherwise noted, copyright (and any other intellectual property rights, if any) in this publication is owned by the Commonwealth of Australia.</w:t>
      </w:r>
    </w:p>
    <w:p w14:paraId="4ED53033" w14:textId="77777777" w:rsidR="00A52D91" w:rsidRPr="00EE2D4F" w:rsidRDefault="00A52D91" w:rsidP="00A52D91">
      <w:pPr>
        <w:rPr>
          <w:rStyle w:val="Strong"/>
        </w:rPr>
      </w:pPr>
      <w:r w:rsidRPr="00EE2D4F" w:rsidDel="001C1F08">
        <w:rPr>
          <w:rStyle w:val="Strong"/>
        </w:rPr>
        <w:t>Creative Commons licence</w:t>
      </w:r>
    </w:p>
    <w:p w14:paraId="63A6EBF8" w14:textId="77777777" w:rsidR="00A52D91" w:rsidRPr="00EE2D4F" w:rsidRDefault="00A52D91" w:rsidP="00A52D91">
      <w:pPr>
        <w:rPr>
          <w:rStyle w:val="Strong"/>
        </w:rPr>
      </w:pPr>
      <w:r w:rsidRPr="00EE2D4F">
        <w:rPr>
          <w:b/>
          <w:noProof/>
          <w:lang w:eastAsia="en-AU"/>
        </w:rPr>
        <w:drawing>
          <wp:inline distT="0" distB="0" distL="0" distR="0" wp14:anchorId="61F0FFD7" wp14:editId="7593D875">
            <wp:extent cx="1128889" cy="440267"/>
            <wp:effectExtent l="0" t="0" r="0" b="0"/>
            <wp:docPr id="4" name="Picture 4"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15B761F6" w14:textId="77777777" w:rsidR="00A52D91" w:rsidRPr="00EE2D4F" w:rsidRDefault="00A52D91" w:rsidP="00A52D91">
      <w:pPr>
        <w:rPr>
          <w:rStyle w:val="Strong"/>
        </w:rPr>
      </w:pPr>
      <w:r w:rsidRPr="00EE2D4F">
        <w:rPr>
          <w:rStyle w:val="Strong"/>
        </w:rPr>
        <w:t xml:space="preserve">Attribution </w:t>
      </w:r>
    </w:p>
    <w:p w14:paraId="3735DE2E" w14:textId="77777777" w:rsidR="00A52D91" w:rsidRPr="00EE2D4F" w:rsidRDefault="00A52D91" w:rsidP="00A52D91">
      <w:pPr>
        <w:rPr>
          <w:rStyle w:val="Strong"/>
        </w:rPr>
      </w:pPr>
      <w:r w:rsidRPr="00EE2D4F">
        <w:rPr>
          <w:rStyle w:val="Strong"/>
        </w:rPr>
        <w:t>CC BY</w:t>
      </w:r>
    </w:p>
    <w:p w14:paraId="28994CF3" w14:textId="77777777" w:rsidR="00A52D91" w:rsidRPr="00EE2D4F" w:rsidRDefault="00A52D91" w:rsidP="00A52D91">
      <w:r w:rsidRPr="00EE2D4F">
        <w:t>All material in this publication is licensed under a Creative Commons Attribution 4.0 International Licence, save for content supplied by third parties, logos, any material protected by trademark or otherwise noted in this publication, and the Commonwealth Coat of Arms.</w:t>
      </w:r>
    </w:p>
    <w:p w14:paraId="1C29CFA2" w14:textId="77777777" w:rsidR="00A52D91" w:rsidRPr="00EE2D4F" w:rsidRDefault="00A52D91" w:rsidP="00A52D91">
      <w:r w:rsidRPr="00EE2D4F">
        <w:t xml:space="preserve">Creative Commons Attribution 4.0 International Licence is a standard form licence agreement that allows you to copy, distribute, transmit and adapt this publication provided you attribute the work. A summary of the licence terms is available from </w:t>
      </w:r>
      <w:hyperlink r:id="rId13" w:history="1">
        <w:r w:rsidRPr="00EE2D4F">
          <w:rPr>
            <w:rStyle w:val="Hyperlink"/>
          </w:rPr>
          <w:t>https://creativecommons.org/licenses/by/4.0/</w:t>
        </w:r>
      </w:hyperlink>
    </w:p>
    <w:p w14:paraId="0B0F4D07" w14:textId="77777777" w:rsidR="00A52D91" w:rsidRPr="00EE2D4F" w:rsidRDefault="00A52D91" w:rsidP="00A52D91">
      <w:r w:rsidRPr="00EE2D4F">
        <w:t xml:space="preserve">The full licence terms are available from </w:t>
      </w:r>
      <w:hyperlink r:id="rId14" w:history="1">
        <w:r w:rsidRPr="00EE2D4F">
          <w:rPr>
            <w:rStyle w:val="Hyperlink"/>
          </w:rPr>
          <w:t>https://creativecommons.org/licenses/by/4.0/legalcode</w:t>
        </w:r>
      </w:hyperlink>
    </w:p>
    <w:p w14:paraId="650AAA7B" w14:textId="77777777" w:rsidR="00A52D91" w:rsidRPr="00EE2D4F" w:rsidRDefault="00A52D91" w:rsidP="00A52D91">
      <w:r w:rsidRPr="00EE2D4F">
        <w:t xml:space="preserve">Content contained herein should be attributed as </w:t>
      </w:r>
      <w:r w:rsidRPr="00EE2D4F">
        <w:rPr>
          <w:i/>
        </w:rPr>
        <w:t xml:space="preserve">Safeguard Mechanism </w:t>
      </w:r>
      <w:r>
        <w:rPr>
          <w:i/>
        </w:rPr>
        <w:t xml:space="preserve">Reforms – </w:t>
      </w:r>
      <w:r w:rsidR="00571C6D">
        <w:rPr>
          <w:i/>
        </w:rPr>
        <w:t>Position</w:t>
      </w:r>
      <w:r w:rsidR="00965537">
        <w:rPr>
          <w:i/>
        </w:rPr>
        <w:t xml:space="preserve"> Paper – </w:t>
      </w:r>
      <w:r w:rsidR="004E6A98">
        <w:rPr>
          <w:i/>
        </w:rPr>
        <w:t xml:space="preserve">January </w:t>
      </w:r>
      <w:r w:rsidR="00B22B5A">
        <w:rPr>
          <w:i/>
        </w:rPr>
        <w:t>2023</w:t>
      </w:r>
      <w:r w:rsidRPr="00EE2D4F">
        <w:rPr>
          <w:i/>
        </w:rPr>
        <w:t xml:space="preserve">, Australian Government Department of </w:t>
      </w:r>
      <w:r>
        <w:rPr>
          <w:i/>
        </w:rPr>
        <w:t xml:space="preserve">Climate Change, Energy, the Environment and Water. </w:t>
      </w:r>
    </w:p>
    <w:p w14:paraId="653B1F93" w14:textId="77777777" w:rsidR="00A52D91" w:rsidRPr="00547654" w:rsidRDefault="00A52D91" w:rsidP="00547654">
      <w:pPr>
        <w:rPr>
          <w:color w:val="ED7D31" w:themeColor="accent2"/>
          <w:sz w:val="32"/>
          <w:szCs w:val="32"/>
        </w:rPr>
      </w:pPr>
      <w:bookmarkStart w:id="55" w:name="_Toc19023740"/>
      <w:bookmarkStart w:id="56" w:name="_Toc19289803"/>
      <w:bookmarkStart w:id="57" w:name="_Toc47966974"/>
      <w:bookmarkStart w:id="58" w:name="_Toc49184893"/>
      <w:bookmarkStart w:id="59" w:name="_Toc49374440"/>
      <w:bookmarkStart w:id="60" w:name="_Toc49855057"/>
      <w:bookmarkStart w:id="61" w:name="_Toc49855084"/>
      <w:bookmarkStart w:id="62" w:name="_Toc49893664"/>
      <w:bookmarkStart w:id="63" w:name="_Toc50062339"/>
      <w:bookmarkStart w:id="64" w:name="_Toc117176801"/>
      <w:bookmarkStart w:id="65" w:name="_Toc117255404"/>
      <w:bookmarkStart w:id="66" w:name="_Toc117263145"/>
      <w:bookmarkStart w:id="67" w:name="_Toc117437226"/>
      <w:bookmarkStart w:id="68" w:name="_Toc117499174"/>
      <w:bookmarkStart w:id="69" w:name="_Toc117521021"/>
      <w:bookmarkStart w:id="70" w:name="_Toc117524768"/>
      <w:bookmarkStart w:id="71" w:name="_Toc117543959"/>
      <w:bookmarkStart w:id="72" w:name="_Toc117548310"/>
      <w:bookmarkStart w:id="73" w:name="_Toc117588628"/>
      <w:bookmarkStart w:id="74" w:name="_Toc117588672"/>
      <w:bookmarkStart w:id="75" w:name="_Toc117604790"/>
      <w:bookmarkStart w:id="76" w:name="_Toc117612872"/>
      <w:bookmarkStart w:id="77" w:name="_Toc117627710"/>
      <w:bookmarkStart w:id="78" w:name="_Toc117630375"/>
      <w:bookmarkStart w:id="79" w:name="_Toc117867982"/>
      <w:bookmarkStart w:id="80" w:name="_Toc117887996"/>
      <w:bookmarkStart w:id="81" w:name="_Toc117951440"/>
      <w:bookmarkStart w:id="82" w:name="_Toc117960087"/>
      <w:bookmarkStart w:id="83" w:name="_Toc118040348"/>
      <w:bookmarkStart w:id="84" w:name="_Toc118196200"/>
      <w:bookmarkStart w:id="85" w:name="_Toc118198369"/>
      <w:bookmarkStart w:id="86" w:name="_Toc118198784"/>
      <w:bookmarkStart w:id="87" w:name="_Toc118198975"/>
      <w:bookmarkStart w:id="88" w:name="_Toc118199529"/>
      <w:bookmarkStart w:id="89" w:name="_Toc118304101"/>
      <w:bookmarkStart w:id="90" w:name="_Toc118304132"/>
      <w:bookmarkStart w:id="91" w:name="_Toc118306334"/>
      <w:bookmarkStart w:id="92" w:name="_Toc118308326"/>
      <w:bookmarkStart w:id="93" w:name="_Toc119500897"/>
      <w:bookmarkStart w:id="94" w:name="_Toc119572352"/>
      <w:r w:rsidRPr="00547654">
        <w:rPr>
          <w:color w:val="ED7D31" w:themeColor="accent2"/>
          <w:sz w:val="32"/>
          <w:szCs w:val="32"/>
        </w:rPr>
        <w:t>Disclaimer</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8374403" w14:textId="77777777" w:rsidR="00A52D91" w:rsidRDefault="00A52D91" w:rsidP="00A52D91">
      <w:r w:rsidRPr="00EE2D4F">
        <w:t xml:space="preserve">The Australian Government as represented by the Department of </w:t>
      </w:r>
      <w:r w:rsidRPr="00A52D91">
        <w:t>Climate Change, En</w:t>
      </w:r>
      <w:r>
        <w:t>ergy, the Environment and Water h</w:t>
      </w:r>
      <w:r w:rsidRPr="00EE2D4F">
        <w:t>as exercised due care and skill in the preparation and compilation of the information and data in this publication. Notwithstanding, the Commonwealth of Australia, its officers, employees, or agents disclaim any liability, including liability for negligence, loss howsoever caused, damage, injury, expense or cost incurred by any person as a result of accessing, using or relying upon any of the information or data in this publication to the maximum extent permitted by law. No representation expressed or implied is made as to the currency, accuracy, reliability or completeness of the information contained in this publication. The reader should rely on their own inquiries to independently confirm the information and comment on which they intend to act. This publication does not indicate commitment by the Australian Government to a particular course of action.</w:t>
      </w:r>
    </w:p>
    <w:p w14:paraId="6B38F95C" w14:textId="77777777" w:rsidR="00291C2F" w:rsidRPr="00EE2D4F" w:rsidRDefault="00291C2F" w:rsidP="00A52D91"/>
    <w:p w14:paraId="03C32933" w14:textId="77777777" w:rsidR="000726E5" w:rsidRDefault="000726E5">
      <w:pPr>
        <w:rPr>
          <w:b/>
          <w:bCs/>
          <w:color w:val="4472C4" w:themeColor="accent1"/>
          <w:sz w:val="28"/>
          <w:szCs w:val="28"/>
        </w:rPr>
        <w:sectPr w:rsidR="000726E5" w:rsidSect="00291C2F">
          <w:headerReference w:type="default" r:id="rId15"/>
          <w:headerReference w:type="first" r:id="rId16"/>
          <w:footerReference w:type="first" r:id="rId17"/>
          <w:pgSz w:w="11906" w:h="16838" w:code="9"/>
          <w:pgMar w:top="1440" w:right="1440" w:bottom="1440" w:left="1440" w:header="709" w:footer="709" w:gutter="0"/>
          <w:cols w:space="708"/>
          <w:vAlign w:val="center"/>
          <w:titlePg/>
          <w:docGrid w:linePitch="360"/>
        </w:sectPr>
      </w:pPr>
    </w:p>
    <w:sdt>
      <w:sdtPr>
        <w:id w:val="721017063"/>
        <w:docPartObj>
          <w:docPartGallery w:val="Table of Contents"/>
          <w:docPartUnique/>
        </w:docPartObj>
      </w:sdtPr>
      <w:sdtEndPr>
        <w:rPr>
          <w:bCs/>
          <w:noProof/>
        </w:rPr>
      </w:sdtEndPr>
      <w:sdtContent>
        <w:p w14:paraId="711036DB" w14:textId="77777777" w:rsidR="0042134E" w:rsidRDefault="0042134E" w:rsidP="00336294"/>
        <w:p w14:paraId="16156BA5" w14:textId="77777777" w:rsidR="00913F76" w:rsidRPr="006F0250" w:rsidRDefault="00913F76" w:rsidP="00FB06D9">
          <w:pPr>
            <w:rPr>
              <w:color w:val="083A42"/>
              <w:sz w:val="32"/>
              <w:szCs w:val="32"/>
            </w:rPr>
          </w:pPr>
          <w:r w:rsidRPr="006F0250">
            <w:rPr>
              <w:color w:val="083A42"/>
              <w:sz w:val="32"/>
              <w:szCs w:val="32"/>
            </w:rPr>
            <w:t>Contents</w:t>
          </w:r>
        </w:p>
        <w:p w14:paraId="5314DF95" w14:textId="39449320" w:rsidR="00B15D38" w:rsidRDefault="0035497A">
          <w:pPr>
            <w:pStyle w:val="TOC2"/>
            <w:tabs>
              <w:tab w:val="right" w:leader="dot" w:pos="9016"/>
            </w:tabs>
            <w:rPr>
              <w:rFonts w:eastAsiaTheme="minorEastAsia"/>
              <w:noProof/>
              <w:lang w:eastAsia="en-AU"/>
            </w:rPr>
          </w:pPr>
          <w:r>
            <w:rPr>
              <w:b/>
              <w:bCs/>
              <w:noProof/>
            </w:rPr>
            <w:fldChar w:fldCharType="begin"/>
          </w:r>
          <w:r>
            <w:rPr>
              <w:b/>
              <w:bCs/>
              <w:noProof/>
            </w:rPr>
            <w:instrText xml:space="preserve"> TOC \o "1-2" \h \z \u </w:instrText>
          </w:r>
          <w:r>
            <w:rPr>
              <w:b/>
              <w:bCs/>
              <w:noProof/>
            </w:rPr>
            <w:fldChar w:fldCharType="separate"/>
          </w:r>
          <w:hyperlink w:anchor="_Toc124100678" w:history="1">
            <w:r w:rsidR="00B15D38" w:rsidRPr="009F71EC">
              <w:rPr>
                <w:rStyle w:val="Hyperlink"/>
                <w:noProof/>
              </w:rPr>
              <w:t>Executive summary</w:t>
            </w:r>
            <w:r w:rsidR="00B15D38">
              <w:rPr>
                <w:noProof/>
                <w:webHidden/>
              </w:rPr>
              <w:tab/>
            </w:r>
            <w:r w:rsidR="00B15D38">
              <w:rPr>
                <w:noProof/>
                <w:webHidden/>
              </w:rPr>
              <w:fldChar w:fldCharType="begin"/>
            </w:r>
            <w:r w:rsidR="00B15D38">
              <w:rPr>
                <w:noProof/>
                <w:webHidden/>
              </w:rPr>
              <w:instrText xml:space="preserve"> PAGEREF _Toc124100678 \h </w:instrText>
            </w:r>
            <w:r w:rsidR="00B15D38">
              <w:rPr>
                <w:noProof/>
                <w:webHidden/>
              </w:rPr>
            </w:r>
            <w:r w:rsidR="00B15D38">
              <w:rPr>
                <w:noProof/>
                <w:webHidden/>
              </w:rPr>
              <w:fldChar w:fldCharType="separate"/>
            </w:r>
            <w:r w:rsidR="00D4117C">
              <w:rPr>
                <w:noProof/>
                <w:webHidden/>
              </w:rPr>
              <w:t>1</w:t>
            </w:r>
            <w:r w:rsidR="00B15D38">
              <w:rPr>
                <w:noProof/>
                <w:webHidden/>
              </w:rPr>
              <w:fldChar w:fldCharType="end"/>
            </w:r>
          </w:hyperlink>
        </w:p>
        <w:p w14:paraId="62D22BDF" w14:textId="149885F0" w:rsidR="00B15D38" w:rsidRDefault="00D4117C">
          <w:pPr>
            <w:pStyle w:val="TOC2"/>
            <w:tabs>
              <w:tab w:val="right" w:leader="dot" w:pos="9016"/>
            </w:tabs>
            <w:rPr>
              <w:rFonts w:eastAsiaTheme="minorEastAsia"/>
              <w:noProof/>
              <w:lang w:eastAsia="en-AU"/>
            </w:rPr>
          </w:pPr>
          <w:hyperlink w:anchor="_Toc124100679" w:history="1">
            <w:r w:rsidR="00B15D38" w:rsidRPr="009F71EC">
              <w:rPr>
                <w:rStyle w:val="Hyperlink"/>
                <w:noProof/>
              </w:rPr>
              <w:t>Summary of proposed policy positions</w:t>
            </w:r>
            <w:r w:rsidR="00B15D38">
              <w:rPr>
                <w:noProof/>
                <w:webHidden/>
              </w:rPr>
              <w:tab/>
            </w:r>
            <w:r w:rsidR="00B15D38">
              <w:rPr>
                <w:noProof/>
                <w:webHidden/>
              </w:rPr>
              <w:fldChar w:fldCharType="begin"/>
            </w:r>
            <w:r w:rsidR="00B15D38">
              <w:rPr>
                <w:noProof/>
                <w:webHidden/>
              </w:rPr>
              <w:instrText xml:space="preserve"> PAGEREF _Toc124100679 \h </w:instrText>
            </w:r>
            <w:r w:rsidR="00B15D38">
              <w:rPr>
                <w:noProof/>
                <w:webHidden/>
              </w:rPr>
            </w:r>
            <w:r w:rsidR="00B15D38">
              <w:rPr>
                <w:noProof/>
                <w:webHidden/>
              </w:rPr>
              <w:fldChar w:fldCharType="separate"/>
            </w:r>
            <w:r>
              <w:rPr>
                <w:noProof/>
                <w:webHidden/>
              </w:rPr>
              <w:t>7</w:t>
            </w:r>
            <w:r w:rsidR="00B15D38">
              <w:rPr>
                <w:noProof/>
                <w:webHidden/>
              </w:rPr>
              <w:fldChar w:fldCharType="end"/>
            </w:r>
          </w:hyperlink>
        </w:p>
        <w:p w14:paraId="33E9F490" w14:textId="3588BFDD" w:rsidR="00B15D38" w:rsidRDefault="00D4117C">
          <w:pPr>
            <w:pStyle w:val="TOC1"/>
            <w:tabs>
              <w:tab w:val="left" w:pos="440"/>
            </w:tabs>
            <w:rPr>
              <w:rFonts w:eastAsiaTheme="minorEastAsia"/>
              <w:noProof/>
              <w:lang w:eastAsia="en-AU"/>
            </w:rPr>
          </w:pPr>
          <w:hyperlink w:anchor="_Toc124100680" w:history="1">
            <w:r w:rsidR="00B15D38" w:rsidRPr="009F71EC">
              <w:rPr>
                <w:rStyle w:val="Hyperlink"/>
                <w:noProof/>
              </w:rPr>
              <w:t>1</w:t>
            </w:r>
            <w:r w:rsidR="00B15D38">
              <w:rPr>
                <w:rFonts w:eastAsiaTheme="minorEastAsia"/>
                <w:noProof/>
                <w:lang w:eastAsia="en-AU"/>
              </w:rPr>
              <w:tab/>
            </w:r>
            <w:r w:rsidR="00B15D38" w:rsidRPr="009F71EC">
              <w:rPr>
                <w:rStyle w:val="Hyperlink"/>
                <w:noProof/>
              </w:rPr>
              <w:t>Introduction</w:t>
            </w:r>
            <w:r w:rsidR="00B15D38">
              <w:rPr>
                <w:noProof/>
                <w:webHidden/>
              </w:rPr>
              <w:tab/>
            </w:r>
            <w:r w:rsidR="00B15D38">
              <w:rPr>
                <w:noProof/>
                <w:webHidden/>
              </w:rPr>
              <w:fldChar w:fldCharType="begin"/>
            </w:r>
            <w:r w:rsidR="00B15D38">
              <w:rPr>
                <w:noProof/>
                <w:webHidden/>
              </w:rPr>
              <w:instrText xml:space="preserve"> PAGEREF _Toc124100680 \h </w:instrText>
            </w:r>
            <w:r w:rsidR="00B15D38">
              <w:rPr>
                <w:noProof/>
                <w:webHidden/>
              </w:rPr>
            </w:r>
            <w:r w:rsidR="00B15D38">
              <w:rPr>
                <w:noProof/>
                <w:webHidden/>
              </w:rPr>
              <w:fldChar w:fldCharType="separate"/>
            </w:r>
            <w:r>
              <w:rPr>
                <w:noProof/>
                <w:webHidden/>
              </w:rPr>
              <w:t>11</w:t>
            </w:r>
            <w:r w:rsidR="00B15D38">
              <w:rPr>
                <w:noProof/>
                <w:webHidden/>
              </w:rPr>
              <w:fldChar w:fldCharType="end"/>
            </w:r>
          </w:hyperlink>
        </w:p>
        <w:p w14:paraId="3157F707" w14:textId="4915CD67" w:rsidR="00B15D38" w:rsidRDefault="00D4117C">
          <w:pPr>
            <w:pStyle w:val="TOC2"/>
            <w:tabs>
              <w:tab w:val="left" w:pos="880"/>
              <w:tab w:val="right" w:leader="dot" w:pos="9016"/>
            </w:tabs>
            <w:rPr>
              <w:rFonts w:eastAsiaTheme="minorEastAsia"/>
              <w:noProof/>
              <w:lang w:eastAsia="en-AU"/>
            </w:rPr>
          </w:pPr>
          <w:hyperlink w:anchor="_Toc124100681" w:history="1">
            <w:r w:rsidR="00B15D38" w:rsidRPr="009F71EC">
              <w:rPr>
                <w:rStyle w:val="Hyperlink"/>
                <w:noProof/>
              </w:rPr>
              <w:t>1.1</w:t>
            </w:r>
            <w:r w:rsidR="00B15D38">
              <w:rPr>
                <w:rFonts w:eastAsiaTheme="minorEastAsia"/>
                <w:noProof/>
                <w:lang w:eastAsia="en-AU"/>
              </w:rPr>
              <w:tab/>
            </w:r>
            <w:r w:rsidR="00B15D38" w:rsidRPr="009F71EC">
              <w:rPr>
                <w:rStyle w:val="Hyperlink"/>
                <w:noProof/>
              </w:rPr>
              <w:t>Timing and process</w:t>
            </w:r>
            <w:r w:rsidR="00B15D38">
              <w:rPr>
                <w:noProof/>
                <w:webHidden/>
              </w:rPr>
              <w:tab/>
            </w:r>
            <w:r w:rsidR="00B15D38">
              <w:rPr>
                <w:noProof/>
                <w:webHidden/>
              </w:rPr>
              <w:fldChar w:fldCharType="begin"/>
            </w:r>
            <w:r w:rsidR="00B15D38">
              <w:rPr>
                <w:noProof/>
                <w:webHidden/>
              </w:rPr>
              <w:instrText xml:space="preserve"> PAGEREF _Toc124100681 \h </w:instrText>
            </w:r>
            <w:r w:rsidR="00B15D38">
              <w:rPr>
                <w:noProof/>
                <w:webHidden/>
              </w:rPr>
            </w:r>
            <w:r w:rsidR="00B15D38">
              <w:rPr>
                <w:noProof/>
                <w:webHidden/>
              </w:rPr>
              <w:fldChar w:fldCharType="separate"/>
            </w:r>
            <w:r>
              <w:rPr>
                <w:noProof/>
                <w:webHidden/>
              </w:rPr>
              <w:t>12</w:t>
            </w:r>
            <w:r w:rsidR="00B15D38">
              <w:rPr>
                <w:noProof/>
                <w:webHidden/>
              </w:rPr>
              <w:fldChar w:fldCharType="end"/>
            </w:r>
          </w:hyperlink>
        </w:p>
        <w:p w14:paraId="16ACA2A9" w14:textId="1778CF52" w:rsidR="00B15D38" w:rsidRDefault="00D4117C">
          <w:pPr>
            <w:pStyle w:val="TOC2"/>
            <w:tabs>
              <w:tab w:val="left" w:pos="880"/>
              <w:tab w:val="right" w:leader="dot" w:pos="9016"/>
            </w:tabs>
            <w:rPr>
              <w:rFonts w:eastAsiaTheme="minorEastAsia"/>
              <w:noProof/>
              <w:lang w:eastAsia="en-AU"/>
            </w:rPr>
          </w:pPr>
          <w:hyperlink w:anchor="_Toc124100682" w:history="1">
            <w:r w:rsidR="00B15D38" w:rsidRPr="009F71EC">
              <w:rPr>
                <w:rStyle w:val="Hyperlink"/>
                <w:noProof/>
              </w:rPr>
              <w:t>1.2</w:t>
            </w:r>
            <w:r w:rsidR="00B15D38">
              <w:rPr>
                <w:rFonts w:eastAsiaTheme="minorEastAsia"/>
                <w:noProof/>
                <w:lang w:eastAsia="en-AU"/>
              </w:rPr>
              <w:tab/>
            </w:r>
            <w:r w:rsidR="00B15D38" w:rsidRPr="009F71EC">
              <w:rPr>
                <w:rStyle w:val="Hyperlink"/>
                <w:noProof/>
              </w:rPr>
              <w:t>Objective and policy principles</w:t>
            </w:r>
            <w:r w:rsidR="00B15D38">
              <w:rPr>
                <w:noProof/>
                <w:webHidden/>
              </w:rPr>
              <w:tab/>
            </w:r>
            <w:r w:rsidR="00B15D38">
              <w:rPr>
                <w:noProof/>
                <w:webHidden/>
              </w:rPr>
              <w:fldChar w:fldCharType="begin"/>
            </w:r>
            <w:r w:rsidR="00B15D38">
              <w:rPr>
                <w:noProof/>
                <w:webHidden/>
              </w:rPr>
              <w:instrText xml:space="preserve"> PAGEREF _Toc124100682 \h </w:instrText>
            </w:r>
            <w:r w:rsidR="00B15D38">
              <w:rPr>
                <w:noProof/>
                <w:webHidden/>
              </w:rPr>
            </w:r>
            <w:r w:rsidR="00B15D38">
              <w:rPr>
                <w:noProof/>
                <w:webHidden/>
              </w:rPr>
              <w:fldChar w:fldCharType="separate"/>
            </w:r>
            <w:r>
              <w:rPr>
                <w:noProof/>
                <w:webHidden/>
              </w:rPr>
              <w:t>13</w:t>
            </w:r>
            <w:r w:rsidR="00B15D38">
              <w:rPr>
                <w:noProof/>
                <w:webHidden/>
              </w:rPr>
              <w:fldChar w:fldCharType="end"/>
            </w:r>
          </w:hyperlink>
        </w:p>
        <w:p w14:paraId="77E8DC12" w14:textId="3929E995" w:rsidR="00B15D38" w:rsidRDefault="00D4117C">
          <w:pPr>
            <w:pStyle w:val="TOC1"/>
            <w:tabs>
              <w:tab w:val="left" w:pos="440"/>
            </w:tabs>
            <w:rPr>
              <w:rFonts w:eastAsiaTheme="minorEastAsia"/>
              <w:noProof/>
              <w:lang w:eastAsia="en-AU"/>
            </w:rPr>
          </w:pPr>
          <w:hyperlink w:anchor="_Toc124100683" w:history="1">
            <w:r w:rsidR="00B15D38" w:rsidRPr="009F71EC">
              <w:rPr>
                <w:rStyle w:val="Hyperlink"/>
                <w:noProof/>
              </w:rPr>
              <w:t>2</w:t>
            </w:r>
            <w:r w:rsidR="00B15D38">
              <w:rPr>
                <w:rFonts w:eastAsiaTheme="minorEastAsia"/>
                <w:noProof/>
                <w:lang w:eastAsia="en-AU"/>
              </w:rPr>
              <w:tab/>
            </w:r>
            <w:r w:rsidR="00B15D38" w:rsidRPr="009F71EC">
              <w:rPr>
                <w:rStyle w:val="Hyperlink"/>
                <w:noProof/>
              </w:rPr>
              <w:t>The Safeguard Mechanism’s share of the national emissions reduction task</w:t>
            </w:r>
            <w:r w:rsidR="00B15D38">
              <w:rPr>
                <w:noProof/>
                <w:webHidden/>
              </w:rPr>
              <w:tab/>
            </w:r>
            <w:r w:rsidR="00B15D38">
              <w:rPr>
                <w:noProof/>
                <w:webHidden/>
              </w:rPr>
              <w:fldChar w:fldCharType="begin"/>
            </w:r>
            <w:r w:rsidR="00B15D38">
              <w:rPr>
                <w:noProof/>
                <w:webHidden/>
              </w:rPr>
              <w:instrText xml:space="preserve"> PAGEREF _Toc124100683 \h </w:instrText>
            </w:r>
            <w:r w:rsidR="00B15D38">
              <w:rPr>
                <w:noProof/>
                <w:webHidden/>
              </w:rPr>
            </w:r>
            <w:r w:rsidR="00B15D38">
              <w:rPr>
                <w:noProof/>
                <w:webHidden/>
              </w:rPr>
              <w:fldChar w:fldCharType="separate"/>
            </w:r>
            <w:r>
              <w:rPr>
                <w:noProof/>
                <w:webHidden/>
              </w:rPr>
              <w:t>13</w:t>
            </w:r>
            <w:r w:rsidR="00B15D38">
              <w:rPr>
                <w:noProof/>
                <w:webHidden/>
              </w:rPr>
              <w:fldChar w:fldCharType="end"/>
            </w:r>
          </w:hyperlink>
        </w:p>
        <w:p w14:paraId="3B4FA4F6" w14:textId="57C29AB7" w:rsidR="00B15D38" w:rsidRDefault="00D4117C">
          <w:pPr>
            <w:pStyle w:val="TOC1"/>
            <w:tabs>
              <w:tab w:val="left" w:pos="440"/>
            </w:tabs>
            <w:rPr>
              <w:rFonts w:eastAsiaTheme="minorEastAsia"/>
              <w:noProof/>
              <w:lang w:eastAsia="en-AU"/>
            </w:rPr>
          </w:pPr>
          <w:hyperlink w:anchor="_Toc124100684" w:history="1">
            <w:r w:rsidR="00B15D38" w:rsidRPr="009F71EC">
              <w:rPr>
                <w:rStyle w:val="Hyperlink"/>
                <w:noProof/>
              </w:rPr>
              <w:t>3</w:t>
            </w:r>
            <w:r w:rsidR="00B15D38">
              <w:rPr>
                <w:rFonts w:eastAsiaTheme="minorEastAsia"/>
                <w:noProof/>
                <w:lang w:eastAsia="en-AU"/>
              </w:rPr>
              <w:tab/>
            </w:r>
            <w:r w:rsidR="00B15D38" w:rsidRPr="009F71EC">
              <w:rPr>
                <w:rStyle w:val="Hyperlink"/>
                <w:noProof/>
              </w:rPr>
              <w:t>Setting baselines to achieve an equitable distribution of costs and benefits</w:t>
            </w:r>
            <w:r w:rsidR="00B15D38">
              <w:rPr>
                <w:noProof/>
                <w:webHidden/>
              </w:rPr>
              <w:tab/>
            </w:r>
            <w:r w:rsidR="00B15D38">
              <w:rPr>
                <w:noProof/>
                <w:webHidden/>
              </w:rPr>
              <w:fldChar w:fldCharType="begin"/>
            </w:r>
            <w:r w:rsidR="00B15D38">
              <w:rPr>
                <w:noProof/>
                <w:webHidden/>
              </w:rPr>
              <w:instrText xml:space="preserve"> PAGEREF _Toc124100684 \h </w:instrText>
            </w:r>
            <w:r w:rsidR="00B15D38">
              <w:rPr>
                <w:noProof/>
                <w:webHidden/>
              </w:rPr>
            </w:r>
            <w:r w:rsidR="00B15D38">
              <w:rPr>
                <w:noProof/>
                <w:webHidden/>
              </w:rPr>
              <w:fldChar w:fldCharType="separate"/>
            </w:r>
            <w:r>
              <w:rPr>
                <w:noProof/>
                <w:webHidden/>
              </w:rPr>
              <w:t>17</w:t>
            </w:r>
            <w:r w:rsidR="00B15D38">
              <w:rPr>
                <w:noProof/>
                <w:webHidden/>
              </w:rPr>
              <w:fldChar w:fldCharType="end"/>
            </w:r>
          </w:hyperlink>
        </w:p>
        <w:p w14:paraId="7978461C" w14:textId="6EDA5998" w:rsidR="00B15D38" w:rsidRDefault="00D4117C">
          <w:pPr>
            <w:pStyle w:val="TOC2"/>
            <w:tabs>
              <w:tab w:val="left" w:pos="880"/>
              <w:tab w:val="right" w:leader="dot" w:pos="9016"/>
            </w:tabs>
            <w:rPr>
              <w:rFonts w:eastAsiaTheme="minorEastAsia"/>
              <w:noProof/>
              <w:lang w:eastAsia="en-AU"/>
            </w:rPr>
          </w:pPr>
          <w:hyperlink w:anchor="_Toc124100685" w:history="1">
            <w:r w:rsidR="00B15D38" w:rsidRPr="009F71EC">
              <w:rPr>
                <w:rStyle w:val="Hyperlink"/>
                <w:noProof/>
              </w:rPr>
              <w:t>3.1</w:t>
            </w:r>
            <w:r w:rsidR="00B15D38">
              <w:rPr>
                <w:rFonts w:eastAsiaTheme="minorEastAsia"/>
                <w:noProof/>
                <w:lang w:eastAsia="en-AU"/>
              </w:rPr>
              <w:tab/>
            </w:r>
            <w:r w:rsidR="00B15D38" w:rsidRPr="009F71EC">
              <w:rPr>
                <w:rStyle w:val="Hyperlink"/>
                <w:noProof/>
              </w:rPr>
              <w:t>Overarching framework</w:t>
            </w:r>
            <w:r w:rsidR="00B15D38">
              <w:rPr>
                <w:noProof/>
                <w:webHidden/>
              </w:rPr>
              <w:tab/>
            </w:r>
            <w:r w:rsidR="00B15D38">
              <w:rPr>
                <w:noProof/>
                <w:webHidden/>
              </w:rPr>
              <w:fldChar w:fldCharType="begin"/>
            </w:r>
            <w:r w:rsidR="00B15D38">
              <w:rPr>
                <w:noProof/>
                <w:webHidden/>
              </w:rPr>
              <w:instrText xml:space="preserve"> PAGEREF _Toc124100685 \h </w:instrText>
            </w:r>
            <w:r w:rsidR="00B15D38">
              <w:rPr>
                <w:noProof/>
                <w:webHidden/>
              </w:rPr>
            </w:r>
            <w:r w:rsidR="00B15D38">
              <w:rPr>
                <w:noProof/>
                <w:webHidden/>
              </w:rPr>
              <w:fldChar w:fldCharType="separate"/>
            </w:r>
            <w:r>
              <w:rPr>
                <w:noProof/>
                <w:webHidden/>
              </w:rPr>
              <w:t>17</w:t>
            </w:r>
            <w:r w:rsidR="00B15D38">
              <w:rPr>
                <w:noProof/>
                <w:webHidden/>
              </w:rPr>
              <w:fldChar w:fldCharType="end"/>
            </w:r>
          </w:hyperlink>
        </w:p>
        <w:p w14:paraId="16268AB9" w14:textId="67F10DD4" w:rsidR="00B15D38" w:rsidRDefault="00D4117C">
          <w:pPr>
            <w:pStyle w:val="TOC2"/>
            <w:tabs>
              <w:tab w:val="left" w:pos="880"/>
              <w:tab w:val="right" w:leader="dot" w:pos="9016"/>
            </w:tabs>
            <w:rPr>
              <w:rFonts w:eastAsiaTheme="minorEastAsia"/>
              <w:noProof/>
              <w:lang w:eastAsia="en-AU"/>
            </w:rPr>
          </w:pPr>
          <w:hyperlink w:anchor="_Toc124100686" w:history="1">
            <w:r w:rsidR="00B15D38" w:rsidRPr="009F71EC">
              <w:rPr>
                <w:rStyle w:val="Hyperlink"/>
                <w:noProof/>
              </w:rPr>
              <w:t>3.2</w:t>
            </w:r>
            <w:r w:rsidR="00B15D38">
              <w:rPr>
                <w:rFonts w:eastAsiaTheme="minorEastAsia"/>
                <w:noProof/>
                <w:lang w:eastAsia="en-AU"/>
              </w:rPr>
              <w:tab/>
            </w:r>
            <w:r w:rsidR="00B15D38" w:rsidRPr="009F71EC">
              <w:rPr>
                <w:rStyle w:val="Hyperlink"/>
                <w:noProof/>
              </w:rPr>
              <w:t>Setting baselines for existing facilities</w:t>
            </w:r>
            <w:r w:rsidR="00B15D38">
              <w:rPr>
                <w:noProof/>
                <w:webHidden/>
              </w:rPr>
              <w:tab/>
            </w:r>
            <w:r w:rsidR="00B15D38">
              <w:rPr>
                <w:noProof/>
                <w:webHidden/>
              </w:rPr>
              <w:fldChar w:fldCharType="begin"/>
            </w:r>
            <w:r w:rsidR="00B15D38">
              <w:rPr>
                <w:noProof/>
                <w:webHidden/>
              </w:rPr>
              <w:instrText xml:space="preserve"> PAGEREF _Toc124100686 \h </w:instrText>
            </w:r>
            <w:r w:rsidR="00B15D38">
              <w:rPr>
                <w:noProof/>
                <w:webHidden/>
              </w:rPr>
            </w:r>
            <w:r w:rsidR="00B15D38">
              <w:rPr>
                <w:noProof/>
                <w:webHidden/>
              </w:rPr>
              <w:fldChar w:fldCharType="separate"/>
            </w:r>
            <w:r>
              <w:rPr>
                <w:noProof/>
                <w:webHidden/>
              </w:rPr>
              <w:t>19</w:t>
            </w:r>
            <w:r w:rsidR="00B15D38">
              <w:rPr>
                <w:noProof/>
                <w:webHidden/>
              </w:rPr>
              <w:fldChar w:fldCharType="end"/>
            </w:r>
          </w:hyperlink>
        </w:p>
        <w:p w14:paraId="5FA49A12" w14:textId="62510019" w:rsidR="00B15D38" w:rsidRDefault="00D4117C">
          <w:pPr>
            <w:pStyle w:val="TOC2"/>
            <w:tabs>
              <w:tab w:val="left" w:pos="880"/>
              <w:tab w:val="right" w:leader="dot" w:pos="9016"/>
            </w:tabs>
            <w:rPr>
              <w:rFonts w:eastAsiaTheme="minorEastAsia"/>
              <w:noProof/>
              <w:lang w:eastAsia="en-AU"/>
            </w:rPr>
          </w:pPr>
          <w:hyperlink w:anchor="_Toc124100687" w:history="1">
            <w:r w:rsidR="00B15D38" w:rsidRPr="009F71EC">
              <w:rPr>
                <w:rStyle w:val="Hyperlink"/>
                <w:noProof/>
              </w:rPr>
              <w:t>3.3</w:t>
            </w:r>
            <w:r w:rsidR="00B15D38">
              <w:rPr>
                <w:rFonts w:eastAsiaTheme="minorEastAsia"/>
                <w:noProof/>
                <w:lang w:eastAsia="en-AU"/>
              </w:rPr>
              <w:tab/>
            </w:r>
            <w:r w:rsidR="00B15D38" w:rsidRPr="009F71EC">
              <w:rPr>
                <w:rStyle w:val="Hyperlink"/>
                <w:noProof/>
              </w:rPr>
              <w:t>Implementing a hybrid model</w:t>
            </w:r>
            <w:r w:rsidR="00B15D38">
              <w:rPr>
                <w:noProof/>
                <w:webHidden/>
              </w:rPr>
              <w:tab/>
            </w:r>
            <w:r w:rsidR="00B15D38">
              <w:rPr>
                <w:noProof/>
                <w:webHidden/>
              </w:rPr>
              <w:fldChar w:fldCharType="begin"/>
            </w:r>
            <w:r w:rsidR="00B15D38">
              <w:rPr>
                <w:noProof/>
                <w:webHidden/>
              </w:rPr>
              <w:instrText xml:space="preserve"> PAGEREF _Toc124100687 \h </w:instrText>
            </w:r>
            <w:r w:rsidR="00B15D38">
              <w:rPr>
                <w:noProof/>
                <w:webHidden/>
              </w:rPr>
            </w:r>
            <w:r w:rsidR="00B15D38">
              <w:rPr>
                <w:noProof/>
                <w:webHidden/>
              </w:rPr>
              <w:fldChar w:fldCharType="separate"/>
            </w:r>
            <w:r>
              <w:rPr>
                <w:noProof/>
                <w:webHidden/>
              </w:rPr>
              <w:t>24</w:t>
            </w:r>
            <w:r w:rsidR="00B15D38">
              <w:rPr>
                <w:noProof/>
                <w:webHidden/>
              </w:rPr>
              <w:fldChar w:fldCharType="end"/>
            </w:r>
          </w:hyperlink>
        </w:p>
        <w:p w14:paraId="48B78D97" w14:textId="65240A1F" w:rsidR="00B15D38" w:rsidRDefault="00D4117C">
          <w:pPr>
            <w:pStyle w:val="TOC2"/>
            <w:tabs>
              <w:tab w:val="left" w:pos="880"/>
              <w:tab w:val="right" w:leader="dot" w:pos="9016"/>
            </w:tabs>
            <w:rPr>
              <w:rFonts w:eastAsiaTheme="minorEastAsia"/>
              <w:noProof/>
              <w:lang w:eastAsia="en-AU"/>
            </w:rPr>
          </w:pPr>
          <w:hyperlink w:anchor="_Toc124100688" w:history="1">
            <w:r w:rsidR="00B15D38" w:rsidRPr="009F71EC">
              <w:rPr>
                <w:rStyle w:val="Hyperlink"/>
                <w:noProof/>
              </w:rPr>
              <w:t>3.4</w:t>
            </w:r>
            <w:r w:rsidR="00B15D38">
              <w:rPr>
                <w:rFonts w:eastAsiaTheme="minorEastAsia"/>
                <w:noProof/>
                <w:lang w:eastAsia="en-AU"/>
              </w:rPr>
              <w:tab/>
            </w:r>
            <w:r w:rsidR="00B15D38" w:rsidRPr="009F71EC">
              <w:rPr>
                <w:rStyle w:val="Hyperlink"/>
                <w:noProof/>
              </w:rPr>
              <w:t>Setting baselines for new facilities</w:t>
            </w:r>
            <w:r w:rsidR="00B15D38">
              <w:rPr>
                <w:noProof/>
                <w:webHidden/>
              </w:rPr>
              <w:tab/>
            </w:r>
            <w:r w:rsidR="00B15D38">
              <w:rPr>
                <w:noProof/>
                <w:webHidden/>
              </w:rPr>
              <w:fldChar w:fldCharType="begin"/>
            </w:r>
            <w:r w:rsidR="00B15D38">
              <w:rPr>
                <w:noProof/>
                <w:webHidden/>
              </w:rPr>
              <w:instrText xml:space="preserve"> PAGEREF _Toc124100688 \h </w:instrText>
            </w:r>
            <w:r w:rsidR="00B15D38">
              <w:rPr>
                <w:noProof/>
                <w:webHidden/>
              </w:rPr>
            </w:r>
            <w:r w:rsidR="00B15D38">
              <w:rPr>
                <w:noProof/>
                <w:webHidden/>
              </w:rPr>
              <w:fldChar w:fldCharType="separate"/>
            </w:r>
            <w:r>
              <w:rPr>
                <w:noProof/>
                <w:webHidden/>
              </w:rPr>
              <w:t>28</w:t>
            </w:r>
            <w:r w:rsidR="00B15D38">
              <w:rPr>
                <w:noProof/>
                <w:webHidden/>
              </w:rPr>
              <w:fldChar w:fldCharType="end"/>
            </w:r>
          </w:hyperlink>
        </w:p>
        <w:p w14:paraId="44BFA6A8" w14:textId="055B03F5" w:rsidR="00B15D38" w:rsidRDefault="00D4117C">
          <w:pPr>
            <w:pStyle w:val="TOC1"/>
            <w:tabs>
              <w:tab w:val="left" w:pos="440"/>
            </w:tabs>
            <w:rPr>
              <w:rFonts w:eastAsiaTheme="minorEastAsia"/>
              <w:noProof/>
              <w:lang w:eastAsia="en-AU"/>
            </w:rPr>
          </w:pPr>
          <w:hyperlink w:anchor="_Toc124100689" w:history="1">
            <w:r w:rsidR="00B15D38" w:rsidRPr="009F71EC">
              <w:rPr>
                <w:rStyle w:val="Hyperlink"/>
                <w:noProof/>
              </w:rPr>
              <w:t>4</w:t>
            </w:r>
            <w:r w:rsidR="00B15D38">
              <w:rPr>
                <w:rFonts w:eastAsiaTheme="minorEastAsia"/>
                <w:noProof/>
                <w:lang w:eastAsia="en-AU"/>
              </w:rPr>
              <w:tab/>
            </w:r>
            <w:r w:rsidR="00B15D38" w:rsidRPr="009F71EC">
              <w:rPr>
                <w:rStyle w:val="Hyperlink"/>
                <w:noProof/>
              </w:rPr>
              <w:t>Flexible compliance options to lower costs</w:t>
            </w:r>
            <w:r w:rsidR="00B15D38">
              <w:rPr>
                <w:noProof/>
                <w:webHidden/>
              </w:rPr>
              <w:tab/>
            </w:r>
            <w:r w:rsidR="00B15D38">
              <w:rPr>
                <w:noProof/>
                <w:webHidden/>
              </w:rPr>
              <w:fldChar w:fldCharType="begin"/>
            </w:r>
            <w:r w:rsidR="00B15D38">
              <w:rPr>
                <w:noProof/>
                <w:webHidden/>
              </w:rPr>
              <w:instrText xml:space="preserve"> PAGEREF _Toc124100689 \h </w:instrText>
            </w:r>
            <w:r w:rsidR="00B15D38">
              <w:rPr>
                <w:noProof/>
                <w:webHidden/>
              </w:rPr>
            </w:r>
            <w:r w:rsidR="00B15D38">
              <w:rPr>
                <w:noProof/>
                <w:webHidden/>
              </w:rPr>
              <w:fldChar w:fldCharType="separate"/>
            </w:r>
            <w:r>
              <w:rPr>
                <w:noProof/>
                <w:webHidden/>
              </w:rPr>
              <w:t>29</w:t>
            </w:r>
            <w:r w:rsidR="00B15D38">
              <w:rPr>
                <w:noProof/>
                <w:webHidden/>
              </w:rPr>
              <w:fldChar w:fldCharType="end"/>
            </w:r>
          </w:hyperlink>
        </w:p>
        <w:p w14:paraId="07695BD8" w14:textId="71F45A73" w:rsidR="00B15D38" w:rsidRDefault="00D4117C">
          <w:pPr>
            <w:pStyle w:val="TOC2"/>
            <w:tabs>
              <w:tab w:val="left" w:pos="880"/>
              <w:tab w:val="right" w:leader="dot" w:pos="9016"/>
            </w:tabs>
            <w:rPr>
              <w:rFonts w:eastAsiaTheme="minorEastAsia"/>
              <w:noProof/>
              <w:lang w:eastAsia="en-AU"/>
            </w:rPr>
          </w:pPr>
          <w:hyperlink w:anchor="_Toc124100690" w:history="1">
            <w:r w:rsidR="00B15D38" w:rsidRPr="009F71EC">
              <w:rPr>
                <w:rStyle w:val="Hyperlink"/>
                <w:noProof/>
              </w:rPr>
              <w:t>4.1</w:t>
            </w:r>
            <w:r w:rsidR="00B15D38">
              <w:rPr>
                <w:rFonts w:eastAsiaTheme="minorEastAsia"/>
                <w:noProof/>
                <w:lang w:eastAsia="en-AU"/>
              </w:rPr>
              <w:tab/>
            </w:r>
            <w:r w:rsidR="00B15D38" w:rsidRPr="009F71EC">
              <w:rPr>
                <w:rStyle w:val="Hyperlink"/>
                <w:noProof/>
              </w:rPr>
              <w:t>Crediting and trading</w:t>
            </w:r>
            <w:r w:rsidR="00B15D38">
              <w:rPr>
                <w:noProof/>
                <w:webHidden/>
              </w:rPr>
              <w:tab/>
            </w:r>
            <w:r w:rsidR="00B15D38">
              <w:rPr>
                <w:noProof/>
                <w:webHidden/>
              </w:rPr>
              <w:fldChar w:fldCharType="begin"/>
            </w:r>
            <w:r w:rsidR="00B15D38">
              <w:rPr>
                <w:noProof/>
                <w:webHidden/>
              </w:rPr>
              <w:instrText xml:space="preserve"> PAGEREF _Toc124100690 \h </w:instrText>
            </w:r>
            <w:r w:rsidR="00B15D38">
              <w:rPr>
                <w:noProof/>
                <w:webHidden/>
              </w:rPr>
            </w:r>
            <w:r w:rsidR="00B15D38">
              <w:rPr>
                <w:noProof/>
                <w:webHidden/>
              </w:rPr>
              <w:fldChar w:fldCharType="separate"/>
            </w:r>
            <w:r>
              <w:rPr>
                <w:noProof/>
                <w:webHidden/>
              </w:rPr>
              <w:t>29</w:t>
            </w:r>
            <w:r w:rsidR="00B15D38">
              <w:rPr>
                <w:noProof/>
                <w:webHidden/>
              </w:rPr>
              <w:fldChar w:fldCharType="end"/>
            </w:r>
          </w:hyperlink>
        </w:p>
        <w:p w14:paraId="6FF514A7" w14:textId="78255D60" w:rsidR="00B15D38" w:rsidRDefault="00D4117C">
          <w:pPr>
            <w:pStyle w:val="TOC2"/>
            <w:tabs>
              <w:tab w:val="left" w:pos="880"/>
              <w:tab w:val="right" w:leader="dot" w:pos="9016"/>
            </w:tabs>
            <w:rPr>
              <w:rFonts w:eastAsiaTheme="minorEastAsia"/>
              <w:noProof/>
              <w:lang w:eastAsia="en-AU"/>
            </w:rPr>
          </w:pPr>
          <w:hyperlink w:anchor="_Toc124100691" w:history="1">
            <w:r w:rsidR="00B15D38" w:rsidRPr="009F71EC">
              <w:rPr>
                <w:rStyle w:val="Hyperlink"/>
                <w:noProof/>
              </w:rPr>
              <w:t>4.2</w:t>
            </w:r>
            <w:r w:rsidR="00B15D38">
              <w:rPr>
                <w:rFonts w:eastAsiaTheme="minorEastAsia"/>
                <w:noProof/>
                <w:lang w:eastAsia="en-AU"/>
              </w:rPr>
              <w:tab/>
            </w:r>
            <w:r w:rsidR="00B15D38" w:rsidRPr="009F71EC">
              <w:rPr>
                <w:rStyle w:val="Hyperlink"/>
                <w:noProof/>
              </w:rPr>
              <w:t>Implementation</w:t>
            </w:r>
            <w:r w:rsidR="00B15D38">
              <w:rPr>
                <w:noProof/>
                <w:webHidden/>
              </w:rPr>
              <w:tab/>
            </w:r>
            <w:r w:rsidR="00B15D38">
              <w:rPr>
                <w:noProof/>
                <w:webHidden/>
              </w:rPr>
              <w:fldChar w:fldCharType="begin"/>
            </w:r>
            <w:r w:rsidR="00B15D38">
              <w:rPr>
                <w:noProof/>
                <w:webHidden/>
              </w:rPr>
              <w:instrText xml:space="preserve"> PAGEREF _Toc124100691 \h </w:instrText>
            </w:r>
            <w:r w:rsidR="00B15D38">
              <w:rPr>
                <w:noProof/>
                <w:webHidden/>
              </w:rPr>
            </w:r>
            <w:r w:rsidR="00B15D38">
              <w:rPr>
                <w:noProof/>
                <w:webHidden/>
              </w:rPr>
              <w:fldChar w:fldCharType="separate"/>
            </w:r>
            <w:r>
              <w:rPr>
                <w:noProof/>
                <w:webHidden/>
              </w:rPr>
              <w:t>31</w:t>
            </w:r>
            <w:r w:rsidR="00B15D38">
              <w:rPr>
                <w:noProof/>
                <w:webHidden/>
              </w:rPr>
              <w:fldChar w:fldCharType="end"/>
            </w:r>
          </w:hyperlink>
        </w:p>
        <w:p w14:paraId="28264ACC" w14:textId="545A5A13" w:rsidR="00B15D38" w:rsidRDefault="00D4117C">
          <w:pPr>
            <w:pStyle w:val="TOC2"/>
            <w:tabs>
              <w:tab w:val="left" w:pos="880"/>
              <w:tab w:val="right" w:leader="dot" w:pos="9016"/>
            </w:tabs>
            <w:rPr>
              <w:rFonts w:eastAsiaTheme="minorEastAsia"/>
              <w:noProof/>
              <w:lang w:eastAsia="en-AU"/>
            </w:rPr>
          </w:pPr>
          <w:hyperlink w:anchor="_Toc124100692" w:history="1">
            <w:r w:rsidR="00B15D38" w:rsidRPr="009F71EC">
              <w:rPr>
                <w:rStyle w:val="Hyperlink"/>
                <w:noProof/>
              </w:rPr>
              <w:t>4.3</w:t>
            </w:r>
            <w:r w:rsidR="00B15D38">
              <w:rPr>
                <w:rFonts w:eastAsiaTheme="minorEastAsia"/>
                <w:noProof/>
                <w:lang w:eastAsia="en-AU"/>
              </w:rPr>
              <w:tab/>
            </w:r>
            <w:r w:rsidR="00B15D38" w:rsidRPr="009F71EC">
              <w:rPr>
                <w:rStyle w:val="Hyperlink"/>
                <w:noProof/>
              </w:rPr>
              <w:t>Domestic offsets</w:t>
            </w:r>
            <w:r w:rsidR="00B15D38">
              <w:rPr>
                <w:noProof/>
                <w:webHidden/>
              </w:rPr>
              <w:tab/>
            </w:r>
            <w:r w:rsidR="00B15D38">
              <w:rPr>
                <w:noProof/>
                <w:webHidden/>
              </w:rPr>
              <w:fldChar w:fldCharType="begin"/>
            </w:r>
            <w:r w:rsidR="00B15D38">
              <w:rPr>
                <w:noProof/>
                <w:webHidden/>
              </w:rPr>
              <w:instrText xml:space="preserve"> PAGEREF _Toc124100692 \h </w:instrText>
            </w:r>
            <w:r w:rsidR="00B15D38">
              <w:rPr>
                <w:noProof/>
                <w:webHidden/>
              </w:rPr>
            </w:r>
            <w:r w:rsidR="00B15D38">
              <w:rPr>
                <w:noProof/>
                <w:webHidden/>
              </w:rPr>
              <w:fldChar w:fldCharType="separate"/>
            </w:r>
            <w:r>
              <w:rPr>
                <w:noProof/>
                <w:webHidden/>
              </w:rPr>
              <w:t>32</w:t>
            </w:r>
            <w:r w:rsidR="00B15D38">
              <w:rPr>
                <w:noProof/>
                <w:webHidden/>
              </w:rPr>
              <w:fldChar w:fldCharType="end"/>
            </w:r>
          </w:hyperlink>
        </w:p>
        <w:p w14:paraId="60103EF6" w14:textId="5CE49994" w:rsidR="00B15D38" w:rsidRDefault="00D4117C">
          <w:pPr>
            <w:pStyle w:val="TOC2"/>
            <w:tabs>
              <w:tab w:val="left" w:pos="880"/>
              <w:tab w:val="right" w:leader="dot" w:pos="9016"/>
            </w:tabs>
            <w:rPr>
              <w:rFonts w:eastAsiaTheme="minorEastAsia"/>
              <w:noProof/>
              <w:lang w:eastAsia="en-AU"/>
            </w:rPr>
          </w:pPr>
          <w:hyperlink w:anchor="_Toc124100693" w:history="1">
            <w:r w:rsidR="00B15D38" w:rsidRPr="009F71EC">
              <w:rPr>
                <w:rStyle w:val="Hyperlink"/>
                <w:noProof/>
              </w:rPr>
              <w:t>4.4</w:t>
            </w:r>
            <w:r w:rsidR="00B15D38">
              <w:rPr>
                <w:rFonts w:eastAsiaTheme="minorEastAsia"/>
                <w:noProof/>
                <w:lang w:eastAsia="en-AU"/>
              </w:rPr>
              <w:tab/>
            </w:r>
            <w:r w:rsidR="00B15D38" w:rsidRPr="009F71EC">
              <w:rPr>
                <w:rStyle w:val="Hyperlink"/>
                <w:noProof/>
              </w:rPr>
              <w:t>International offsets</w:t>
            </w:r>
            <w:r w:rsidR="00B15D38">
              <w:rPr>
                <w:noProof/>
                <w:webHidden/>
              </w:rPr>
              <w:tab/>
            </w:r>
            <w:r w:rsidR="00B15D38">
              <w:rPr>
                <w:noProof/>
                <w:webHidden/>
              </w:rPr>
              <w:fldChar w:fldCharType="begin"/>
            </w:r>
            <w:r w:rsidR="00B15D38">
              <w:rPr>
                <w:noProof/>
                <w:webHidden/>
              </w:rPr>
              <w:instrText xml:space="preserve"> PAGEREF _Toc124100693 \h </w:instrText>
            </w:r>
            <w:r w:rsidR="00B15D38">
              <w:rPr>
                <w:noProof/>
                <w:webHidden/>
              </w:rPr>
            </w:r>
            <w:r w:rsidR="00B15D38">
              <w:rPr>
                <w:noProof/>
                <w:webHidden/>
              </w:rPr>
              <w:fldChar w:fldCharType="separate"/>
            </w:r>
            <w:r>
              <w:rPr>
                <w:noProof/>
                <w:webHidden/>
              </w:rPr>
              <w:t>33</w:t>
            </w:r>
            <w:r w:rsidR="00B15D38">
              <w:rPr>
                <w:noProof/>
                <w:webHidden/>
              </w:rPr>
              <w:fldChar w:fldCharType="end"/>
            </w:r>
          </w:hyperlink>
        </w:p>
        <w:p w14:paraId="6A4C4ED0" w14:textId="06418D82" w:rsidR="00B15D38" w:rsidRDefault="00D4117C">
          <w:pPr>
            <w:pStyle w:val="TOC2"/>
            <w:tabs>
              <w:tab w:val="left" w:pos="880"/>
              <w:tab w:val="right" w:leader="dot" w:pos="9016"/>
            </w:tabs>
            <w:rPr>
              <w:rFonts w:eastAsiaTheme="minorEastAsia"/>
              <w:noProof/>
              <w:lang w:eastAsia="en-AU"/>
            </w:rPr>
          </w:pPr>
          <w:hyperlink w:anchor="_Toc124100694" w:history="1">
            <w:r w:rsidR="00B15D38" w:rsidRPr="009F71EC">
              <w:rPr>
                <w:rStyle w:val="Hyperlink"/>
                <w:noProof/>
              </w:rPr>
              <w:t>4.5</w:t>
            </w:r>
            <w:r w:rsidR="00B15D38">
              <w:rPr>
                <w:rFonts w:eastAsiaTheme="minorEastAsia"/>
                <w:noProof/>
                <w:lang w:eastAsia="en-AU"/>
              </w:rPr>
              <w:tab/>
            </w:r>
            <w:r w:rsidR="00B15D38" w:rsidRPr="009F71EC">
              <w:rPr>
                <w:rStyle w:val="Hyperlink"/>
                <w:noProof/>
              </w:rPr>
              <w:t>Banking and borrowing</w:t>
            </w:r>
            <w:r w:rsidR="00B15D38">
              <w:rPr>
                <w:noProof/>
                <w:webHidden/>
              </w:rPr>
              <w:tab/>
            </w:r>
            <w:r w:rsidR="00B15D38">
              <w:rPr>
                <w:noProof/>
                <w:webHidden/>
              </w:rPr>
              <w:fldChar w:fldCharType="begin"/>
            </w:r>
            <w:r w:rsidR="00B15D38">
              <w:rPr>
                <w:noProof/>
                <w:webHidden/>
              </w:rPr>
              <w:instrText xml:space="preserve"> PAGEREF _Toc124100694 \h </w:instrText>
            </w:r>
            <w:r w:rsidR="00B15D38">
              <w:rPr>
                <w:noProof/>
                <w:webHidden/>
              </w:rPr>
            </w:r>
            <w:r w:rsidR="00B15D38">
              <w:rPr>
                <w:noProof/>
                <w:webHidden/>
              </w:rPr>
              <w:fldChar w:fldCharType="separate"/>
            </w:r>
            <w:r>
              <w:rPr>
                <w:noProof/>
                <w:webHidden/>
              </w:rPr>
              <w:t>34</w:t>
            </w:r>
            <w:r w:rsidR="00B15D38">
              <w:rPr>
                <w:noProof/>
                <w:webHidden/>
              </w:rPr>
              <w:fldChar w:fldCharType="end"/>
            </w:r>
          </w:hyperlink>
        </w:p>
        <w:p w14:paraId="0C786D8A" w14:textId="3FE3C30D" w:rsidR="00B15D38" w:rsidRDefault="00D4117C">
          <w:pPr>
            <w:pStyle w:val="TOC2"/>
            <w:tabs>
              <w:tab w:val="left" w:pos="880"/>
              <w:tab w:val="right" w:leader="dot" w:pos="9016"/>
            </w:tabs>
            <w:rPr>
              <w:rFonts w:eastAsiaTheme="minorEastAsia"/>
              <w:noProof/>
              <w:lang w:eastAsia="en-AU"/>
            </w:rPr>
          </w:pPr>
          <w:hyperlink w:anchor="_Toc124100695" w:history="1">
            <w:r w:rsidR="00B15D38" w:rsidRPr="009F71EC">
              <w:rPr>
                <w:rStyle w:val="Hyperlink"/>
                <w:noProof/>
              </w:rPr>
              <w:t>4.6</w:t>
            </w:r>
            <w:r w:rsidR="00B15D38">
              <w:rPr>
                <w:rFonts w:eastAsiaTheme="minorEastAsia"/>
                <w:noProof/>
                <w:lang w:eastAsia="en-AU"/>
              </w:rPr>
              <w:tab/>
            </w:r>
            <w:r w:rsidR="00B15D38" w:rsidRPr="009F71EC">
              <w:rPr>
                <w:rStyle w:val="Hyperlink"/>
                <w:noProof/>
              </w:rPr>
              <w:t>Taking account of emerging technologies</w:t>
            </w:r>
            <w:r w:rsidR="00B15D38">
              <w:rPr>
                <w:noProof/>
                <w:webHidden/>
              </w:rPr>
              <w:tab/>
            </w:r>
            <w:r w:rsidR="00B15D38">
              <w:rPr>
                <w:noProof/>
                <w:webHidden/>
              </w:rPr>
              <w:fldChar w:fldCharType="begin"/>
            </w:r>
            <w:r w:rsidR="00B15D38">
              <w:rPr>
                <w:noProof/>
                <w:webHidden/>
              </w:rPr>
              <w:instrText xml:space="preserve"> PAGEREF _Toc124100695 \h </w:instrText>
            </w:r>
            <w:r w:rsidR="00B15D38">
              <w:rPr>
                <w:noProof/>
                <w:webHidden/>
              </w:rPr>
            </w:r>
            <w:r w:rsidR="00B15D38">
              <w:rPr>
                <w:noProof/>
                <w:webHidden/>
              </w:rPr>
              <w:fldChar w:fldCharType="separate"/>
            </w:r>
            <w:r>
              <w:rPr>
                <w:noProof/>
                <w:webHidden/>
              </w:rPr>
              <w:t>37</w:t>
            </w:r>
            <w:r w:rsidR="00B15D38">
              <w:rPr>
                <w:noProof/>
                <w:webHidden/>
              </w:rPr>
              <w:fldChar w:fldCharType="end"/>
            </w:r>
          </w:hyperlink>
        </w:p>
        <w:p w14:paraId="030EF0CC" w14:textId="70B7EFEB" w:rsidR="00B15D38" w:rsidRDefault="00D4117C">
          <w:pPr>
            <w:pStyle w:val="TOC2"/>
            <w:tabs>
              <w:tab w:val="left" w:pos="880"/>
              <w:tab w:val="right" w:leader="dot" w:pos="9016"/>
            </w:tabs>
            <w:rPr>
              <w:rFonts w:eastAsiaTheme="minorEastAsia"/>
              <w:noProof/>
              <w:lang w:eastAsia="en-AU"/>
            </w:rPr>
          </w:pPr>
          <w:hyperlink w:anchor="_Toc124100696" w:history="1">
            <w:r w:rsidR="00B15D38" w:rsidRPr="009F71EC">
              <w:rPr>
                <w:rStyle w:val="Hyperlink"/>
                <w:noProof/>
              </w:rPr>
              <w:t>4.7</w:t>
            </w:r>
            <w:r w:rsidR="00B15D38">
              <w:rPr>
                <w:rFonts w:eastAsiaTheme="minorEastAsia"/>
                <w:noProof/>
                <w:lang w:eastAsia="en-AU"/>
              </w:rPr>
              <w:tab/>
            </w:r>
            <w:r w:rsidR="00B15D38" w:rsidRPr="009F71EC">
              <w:rPr>
                <w:rStyle w:val="Hyperlink"/>
                <w:noProof/>
              </w:rPr>
              <w:t>Cost containment measure</w:t>
            </w:r>
            <w:r w:rsidR="00B15D38">
              <w:rPr>
                <w:noProof/>
                <w:webHidden/>
              </w:rPr>
              <w:tab/>
            </w:r>
            <w:r w:rsidR="00B15D38">
              <w:rPr>
                <w:noProof/>
                <w:webHidden/>
              </w:rPr>
              <w:fldChar w:fldCharType="begin"/>
            </w:r>
            <w:r w:rsidR="00B15D38">
              <w:rPr>
                <w:noProof/>
                <w:webHidden/>
              </w:rPr>
              <w:instrText xml:space="preserve"> PAGEREF _Toc124100696 \h </w:instrText>
            </w:r>
            <w:r w:rsidR="00B15D38">
              <w:rPr>
                <w:noProof/>
                <w:webHidden/>
              </w:rPr>
            </w:r>
            <w:r w:rsidR="00B15D38">
              <w:rPr>
                <w:noProof/>
                <w:webHidden/>
              </w:rPr>
              <w:fldChar w:fldCharType="separate"/>
            </w:r>
            <w:r>
              <w:rPr>
                <w:noProof/>
                <w:webHidden/>
              </w:rPr>
              <w:t>39</w:t>
            </w:r>
            <w:r w:rsidR="00B15D38">
              <w:rPr>
                <w:noProof/>
                <w:webHidden/>
              </w:rPr>
              <w:fldChar w:fldCharType="end"/>
            </w:r>
          </w:hyperlink>
        </w:p>
        <w:p w14:paraId="6F387548" w14:textId="417A920B" w:rsidR="00B15D38" w:rsidRDefault="00D4117C">
          <w:pPr>
            <w:pStyle w:val="TOC2"/>
            <w:tabs>
              <w:tab w:val="left" w:pos="880"/>
              <w:tab w:val="right" w:leader="dot" w:pos="9016"/>
            </w:tabs>
            <w:rPr>
              <w:rFonts w:eastAsiaTheme="minorEastAsia"/>
              <w:noProof/>
              <w:lang w:eastAsia="en-AU"/>
            </w:rPr>
          </w:pPr>
          <w:hyperlink w:anchor="_Toc124100697" w:history="1">
            <w:r w:rsidR="00B15D38" w:rsidRPr="009F71EC">
              <w:rPr>
                <w:rStyle w:val="Hyperlink"/>
                <w:noProof/>
              </w:rPr>
              <w:t>4.8</w:t>
            </w:r>
            <w:r w:rsidR="00B15D38">
              <w:rPr>
                <w:rFonts w:eastAsiaTheme="minorEastAsia"/>
                <w:noProof/>
                <w:lang w:eastAsia="en-AU"/>
              </w:rPr>
              <w:tab/>
            </w:r>
            <w:r w:rsidR="00B15D38" w:rsidRPr="009F71EC">
              <w:rPr>
                <w:rStyle w:val="Hyperlink"/>
                <w:noProof/>
              </w:rPr>
              <w:t>Compliance dates</w:t>
            </w:r>
            <w:r w:rsidR="00B15D38">
              <w:rPr>
                <w:noProof/>
                <w:webHidden/>
              </w:rPr>
              <w:tab/>
            </w:r>
            <w:r w:rsidR="00B15D38">
              <w:rPr>
                <w:noProof/>
                <w:webHidden/>
              </w:rPr>
              <w:fldChar w:fldCharType="begin"/>
            </w:r>
            <w:r w:rsidR="00B15D38">
              <w:rPr>
                <w:noProof/>
                <w:webHidden/>
              </w:rPr>
              <w:instrText xml:space="preserve"> PAGEREF _Toc124100697 \h </w:instrText>
            </w:r>
            <w:r w:rsidR="00B15D38">
              <w:rPr>
                <w:noProof/>
                <w:webHidden/>
              </w:rPr>
            </w:r>
            <w:r w:rsidR="00B15D38">
              <w:rPr>
                <w:noProof/>
                <w:webHidden/>
              </w:rPr>
              <w:fldChar w:fldCharType="separate"/>
            </w:r>
            <w:r>
              <w:rPr>
                <w:noProof/>
                <w:webHidden/>
              </w:rPr>
              <w:t>40</w:t>
            </w:r>
            <w:r w:rsidR="00B15D38">
              <w:rPr>
                <w:noProof/>
                <w:webHidden/>
              </w:rPr>
              <w:fldChar w:fldCharType="end"/>
            </w:r>
          </w:hyperlink>
        </w:p>
        <w:p w14:paraId="63F84DAF" w14:textId="69BC5AA6" w:rsidR="00B15D38" w:rsidRDefault="00D4117C">
          <w:pPr>
            <w:pStyle w:val="TOC1"/>
            <w:tabs>
              <w:tab w:val="left" w:pos="440"/>
            </w:tabs>
            <w:rPr>
              <w:rFonts w:eastAsiaTheme="minorEastAsia"/>
              <w:noProof/>
              <w:lang w:eastAsia="en-AU"/>
            </w:rPr>
          </w:pPr>
          <w:hyperlink w:anchor="_Toc124100698" w:history="1">
            <w:r w:rsidR="00B15D38" w:rsidRPr="009F71EC">
              <w:rPr>
                <w:rStyle w:val="Hyperlink"/>
                <w:noProof/>
              </w:rPr>
              <w:t>5</w:t>
            </w:r>
            <w:r w:rsidR="00B15D38">
              <w:rPr>
                <w:rFonts w:eastAsiaTheme="minorEastAsia"/>
                <w:noProof/>
                <w:lang w:eastAsia="en-AU"/>
              </w:rPr>
              <w:tab/>
            </w:r>
            <w:r w:rsidR="00B15D38" w:rsidRPr="009F71EC">
              <w:rPr>
                <w:rStyle w:val="Hyperlink"/>
                <w:noProof/>
              </w:rPr>
              <w:t>Tailored treatment for emissions-intensive, trade-exposed businesses</w:t>
            </w:r>
            <w:r w:rsidR="00B15D38">
              <w:rPr>
                <w:noProof/>
                <w:webHidden/>
              </w:rPr>
              <w:tab/>
            </w:r>
            <w:r w:rsidR="00B15D38">
              <w:rPr>
                <w:noProof/>
                <w:webHidden/>
              </w:rPr>
              <w:fldChar w:fldCharType="begin"/>
            </w:r>
            <w:r w:rsidR="00B15D38">
              <w:rPr>
                <w:noProof/>
                <w:webHidden/>
              </w:rPr>
              <w:instrText xml:space="preserve"> PAGEREF _Toc124100698 \h </w:instrText>
            </w:r>
            <w:r w:rsidR="00B15D38">
              <w:rPr>
                <w:noProof/>
                <w:webHidden/>
              </w:rPr>
            </w:r>
            <w:r w:rsidR="00B15D38">
              <w:rPr>
                <w:noProof/>
                <w:webHidden/>
              </w:rPr>
              <w:fldChar w:fldCharType="separate"/>
            </w:r>
            <w:r>
              <w:rPr>
                <w:noProof/>
                <w:webHidden/>
              </w:rPr>
              <w:t>41</w:t>
            </w:r>
            <w:r w:rsidR="00B15D38">
              <w:rPr>
                <w:noProof/>
                <w:webHidden/>
              </w:rPr>
              <w:fldChar w:fldCharType="end"/>
            </w:r>
          </w:hyperlink>
        </w:p>
        <w:p w14:paraId="47C90D2A" w14:textId="4B7DF030" w:rsidR="00B15D38" w:rsidRDefault="00D4117C">
          <w:pPr>
            <w:pStyle w:val="TOC2"/>
            <w:tabs>
              <w:tab w:val="left" w:pos="880"/>
              <w:tab w:val="right" w:leader="dot" w:pos="9016"/>
            </w:tabs>
            <w:rPr>
              <w:rFonts w:eastAsiaTheme="minorEastAsia"/>
              <w:noProof/>
              <w:lang w:eastAsia="en-AU"/>
            </w:rPr>
          </w:pPr>
          <w:hyperlink w:anchor="_Toc124100699" w:history="1">
            <w:r w:rsidR="00B15D38" w:rsidRPr="009F71EC">
              <w:rPr>
                <w:rStyle w:val="Hyperlink"/>
                <w:noProof/>
              </w:rPr>
              <w:t>5.1</w:t>
            </w:r>
            <w:r w:rsidR="00B15D38">
              <w:rPr>
                <w:rFonts w:eastAsiaTheme="minorEastAsia"/>
                <w:noProof/>
                <w:lang w:eastAsia="en-AU"/>
              </w:rPr>
              <w:tab/>
            </w:r>
            <w:r w:rsidR="00B15D38" w:rsidRPr="009F71EC">
              <w:rPr>
                <w:rStyle w:val="Hyperlink"/>
                <w:noProof/>
              </w:rPr>
              <w:t>Defining emissions-intensive, trade-exposed facilities</w:t>
            </w:r>
            <w:r w:rsidR="00B15D38">
              <w:rPr>
                <w:noProof/>
                <w:webHidden/>
              </w:rPr>
              <w:tab/>
            </w:r>
            <w:r w:rsidR="00B15D38">
              <w:rPr>
                <w:noProof/>
                <w:webHidden/>
              </w:rPr>
              <w:fldChar w:fldCharType="begin"/>
            </w:r>
            <w:r w:rsidR="00B15D38">
              <w:rPr>
                <w:noProof/>
                <w:webHidden/>
              </w:rPr>
              <w:instrText xml:space="preserve"> PAGEREF _Toc124100699 \h </w:instrText>
            </w:r>
            <w:r w:rsidR="00B15D38">
              <w:rPr>
                <w:noProof/>
                <w:webHidden/>
              </w:rPr>
            </w:r>
            <w:r w:rsidR="00B15D38">
              <w:rPr>
                <w:noProof/>
                <w:webHidden/>
              </w:rPr>
              <w:fldChar w:fldCharType="separate"/>
            </w:r>
            <w:r>
              <w:rPr>
                <w:noProof/>
                <w:webHidden/>
              </w:rPr>
              <w:t>41</w:t>
            </w:r>
            <w:r w:rsidR="00B15D38">
              <w:rPr>
                <w:noProof/>
                <w:webHidden/>
              </w:rPr>
              <w:fldChar w:fldCharType="end"/>
            </w:r>
          </w:hyperlink>
        </w:p>
        <w:p w14:paraId="070ACEE4" w14:textId="3E65BE2F" w:rsidR="00B15D38" w:rsidRDefault="00D4117C">
          <w:pPr>
            <w:pStyle w:val="TOC2"/>
            <w:tabs>
              <w:tab w:val="left" w:pos="880"/>
              <w:tab w:val="right" w:leader="dot" w:pos="9016"/>
            </w:tabs>
            <w:rPr>
              <w:rFonts w:eastAsiaTheme="minorEastAsia"/>
              <w:noProof/>
              <w:lang w:eastAsia="en-AU"/>
            </w:rPr>
          </w:pPr>
          <w:hyperlink w:anchor="_Toc124100700" w:history="1">
            <w:r w:rsidR="00B15D38" w:rsidRPr="009F71EC">
              <w:rPr>
                <w:rStyle w:val="Hyperlink"/>
                <w:noProof/>
              </w:rPr>
              <w:t>5.2</w:t>
            </w:r>
            <w:r w:rsidR="00B15D38">
              <w:rPr>
                <w:rFonts w:eastAsiaTheme="minorEastAsia"/>
                <w:noProof/>
                <w:lang w:eastAsia="en-AU"/>
              </w:rPr>
              <w:tab/>
            </w:r>
            <w:r w:rsidR="00B15D38" w:rsidRPr="009F71EC">
              <w:rPr>
                <w:rStyle w:val="Hyperlink"/>
                <w:noProof/>
              </w:rPr>
              <w:t>Assistance for EITE facilities</w:t>
            </w:r>
            <w:r w:rsidR="00B15D38">
              <w:rPr>
                <w:noProof/>
                <w:webHidden/>
              </w:rPr>
              <w:tab/>
            </w:r>
            <w:r w:rsidR="00B15D38">
              <w:rPr>
                <w:noProof/>
                <w:webHidden/>
              </w:rPr>
              <w:fldChar w:fldCharType="begin"/>
            </w:r>
            <w:r w:rsidR="00B15D38">
              <w:rPr>
                <w:noProof/>
                <w:webHidden/>
              </w:rPr>
              <w:instrText xml:space="preserve"> PAGEREF _Toc124100700 \h </w:instrText>
            </w:r>
            <w:r w:rsidR="00B15D38">
              <w:rPr>
                <w:noProof/>
                <w:webHidden/>
              </w:rPr>
            </w:r>
            <w:r w:rsidR="00B15D38">
              <w:rPr>
                <w:noProof/>
                <w:webHidden/>
              </w:rPr>
              <w:fldChar w:fldCharType="separate"/>
            </w:r>
            <w:r>
              <w:rPr>
                <w:noProof/>
                <w:webHidden/>
              </w:rPr>
              <w:t>43</w:t>
            </w:r>
            <w:r w:rsidR="00B15D38">
              <w:rPr>
                <w:noProof/>
                <w:webHidden/>
              </w:rPr>
              <w:fldChar w:fldCharType="end"/>
            </w:r>
          </w:hyperlink>
        </w:p>
        <w:p w14:paraId="44AFB102" w14:textId="43839801" w:rsidR="00B15D38" w:rsidRDefault="00D4117C">
          <w:pPr>
            <w:pStyle w:val="TOC2"/>
            <w:tabs>
              <w:tab w:val="left" w:pos="880"/>
              <w:tab w:val="right" w:leader="dot" w:pos="9016"/>
            </w:tabs>
            <w:rPr>
              <w:rFonts w:eastAsiaTheme="minorEastAsia"/>
              <w:noProof/>
              <w:lang w:eastAsia="en-AU"/>
            </w:rPr>
          </w:pPr>
          <w:hyperlink w:anchor="_Toc124100701" w:history="1">
            <w:r w:rsidR="00B15D38" w:rsidRPr="009F71EC">
              <w:rPr>
                <w:rStyle w:val="Hyperlink"/>
                <w:noProof/>
              </w:rPr>
              <w:t>5.3</w:t>
            </w:r>
            <w:r w:rsidR="00B15D38">
              <w:rPr>
                <w:rFonts w:eastAsiaTheme="minorEastAsia"/>
                <w:noProof/>
                <w:lang w:eastAsia="en-AU"/>
              </w:rPr>
              <w:tab/>
            </w:r>
            <w:r w:rsidR="00B15D38" w:rsidRPr="009F71EC">
              <w:rPr>
                <w:rStyle w:val="Hyperlink"/>
                <w:noProof/>
              </w:rPr>
              <w:t>Applying for Trade Exposed Baseline Adjusted status</w:t>
            </w:r>
            <w:r w:rsidR="00B15D38">
              <w:rPr>
                <w:noProof/>
                <w:webHidden/>
              </w:rPr>
              <w:tab/>
            </w:r>
            <w:r w:rsidR="00B15D38">
              <w:rPr>
                <w:noProof/>
                <w:webHidden/>
              </w:rPr>
              <w:fldChar w:fldCharType="begin"/>
            </w:r>
            <w:r w:rsidR="00B15D38">
              <w:rPr>
                <w:noProof/>
                <w:webHidden/>
              </w:rPr>
              <w:instrText xml:space="preserve"> PAGEREF _Toc124100701 \h </w:instrText>
            </w:r>
            <w:r w:rsidR="00B15D38">
              <w:rPr>
                <w:noProof/>
                <w:webHidden/>
              </w:rPr>
            </w:r>
            <w:r w:rsidR="00B15D38">
              <w:rPr>
                <w:noProof/>
                <w:webHidden/>
              </w:rPr>
              <w:fldChar w:fldCharType="separate"/>
            </w:r>
            <w:r>
              <w:rPr>
                <w:noProof/>
                <w:webHidden/>
              </w:rPr>
              <w:t>47</w:t>
            </w:r>
            <w:r w:rsidR="00B15D38">
              <w:rPr>
                <w:noProof/>
                <w:webHidden/>
              </w:rPr>
              <w:fldChar w:fldCharType="end"/>
            </w:r>
          </w:hyperlink>
        </w:p>
        <w:p w14:paraId="23266BB3" w14:textId="70FE560A" w:rsidR="00B15D38" w:rsidRDefault="00D4117C">
          <w:pPr>
            <w:pStyle w:val="TOC2"/>
            <w:tabs>
              <w:tab w:val="left" w:pos="880"/>
              <w:tab w:val="right" w:leader="dot" w:pos="9016"/>
            </w:tabs>
            <w:rPr>
              <w:rFonts w:eastAsiaTheme="minorEastAsia"/>
              <w:noProof/>
              <w:lang w:eastAsia="en-AU"/>
            </w:rPr>
          </w:pPr>
          <w:hyperlink w:anchor="_Toc124100702" w:history="1">
            <w:r w:rsidR="00B15D38" w:rsidRPr="009F71EC">
              <w:rPr>
                <w:rStyle w:val="Hyperlink"/>
                <w:noProof/>
              </w:rPr>
              <w:t>5.4</w:t>
            </w:r>
            <w:r w:rsidR="00B15D38">
              <w:rPr>
                <w:rFonts w:eastAsiaTheme="minorEastAsia"/>
                <w:noProof/>
                <w:lang w:eastAsia="en-AU"/>
              </w:rPr>
              <w:tab/>
            </w:r>
            <w:r w:rsidR="00B15D38" w:rsidRPr="009F71EC">
              <w:rPr>
                <w:rStyle w:val="Hyperlink"/>
                <w:noProof/>
              </w:rPr>
              <w:t>Exploring additional policy options to address carbon leakage</w:t>
            </w:r>
            <w:r w:rsidR="00B15D38">
              <w:rPr>
                <w:noProof/>
                <w:webHidden/>
              </w:rPr>
              <w:tab/>
            </w:r>
            <w:r w:rsidR="00B15D38">
              <w:rPr>
                <w:noProof/>
                <w:webHidden/>
              </w:rPr>
              <w:fldChar w:fldCharType="begin"/>
            </w:r>
            <w:r w:rsidR="00B15D38">
              <w:rPr>
                <w:noProof/>
                <w:webHidden/>
              </w:rPr>
              <w:instrText xml:space="preserve"> PAGEREF _Toc124100702 \h </w:instrText>
            </w:r>
            <w:r w:rsidR="00B15D38">
              <w:rPr>
                <w:noProof/>
                <w:webHidden/>
              </w:rPr>
            </w:r>
            <w:r w:rsidR="00B15D38">
              <w:rPr>
                <w:noProof/>
                <w:webHidden/>
              </w:rPr>
              <w:fldChar w:fldCharType="separate"/>
            </w:r>
            <w:r>
              <w:rPr>
                <w:noProof/>
                <w:webHidden/>
              </w:rPr>
              <w:t>48</w:t>
            </w:r>
            <w:r w:rsidR="00B15D38">
              <w:rPr>
                <w:noProof/>
                <w:webHidden/>
              </w:rPr>
              <w:fldChar w:fldCharType="end"/>
            </w:r>
          </w:hyperlink>
        </w:p>
        <w:p w14:paraId="13FE80EE" w14:textId="3B63E48B" w:rsidR="00B15D38" w:rsidRDefault="00D4117C">
          <w:pPr>
            <w:pStyle w:val="TOC1"/>
            <w:tabs>
              <w:tab w:val="left" w:pos="440"/>
            </w:tabs>
            <w:rPr>
              <w:rFonts w:eastAsiaTheme="minorEastAsia"/>
              <w:noProof/>
              <w:lang w:eastAsia="en-AU"/>
            </w:rPr>
          </w:pPr>
          <w:hyperlink w:anchor="_Toc124100703" w:history="1">
            <w:r w:rsidR="00B15D38" w:rsidRPr="009F71EC">
              <w:rPr>
                <w:rStyle w:val="Hyperlink"/>
                <w:noProof/>
              </w:rPr>
              <w:t>6</w:t>
            </w:r>
            <w:r w:rsidR="00B15D38">
              <w:rPr>
                <w:rFonts w:eastAsiaTheme="minorEastAsia"/>
                <w:noProof/>
                <w:lang w:eastAsia="en-AU"/>
              </w:rPr>
              <w:tab/>
            </w:r>
            <w:r w:rsidR="00B15D38" w:rsidRPr="009F71EC">
              <w:rPr>
                <w:rStyle w:val="Hyperlink"/>
                <w:noProof/>
              </w:rPr>
              <w:t>Declining baselines to deliver the target</w:t>
            </w:r>
            <w:r w:rsidR="00B15D38">
              <w:rPr>
                <w:noProof/>
                <w:webHidden/>
              </w:rPr>
              <w:tab/>
            </w:r>
            <w:r w:rsidR="00B15D38">
              <w:rPr>
                <w:noProof/>
                <w:webHidden/>
              </w:rPr>
              <w:fldChar w:fldCharType="begin"/>
            </w:r>
            <w:r w:rsidR="00B15D38">
              <w:rPr>
                <w:noProof/>
                <w:webHidden/>
              </w:rPr>
              <w:instrText xml:space="preserve"> PAGEREF _Toc124100703 \h </w:instrText>
            </w:r>
            <w:r w:rsidR="00B15D38">
              <w:rPr>
                <w:noProof/>
                <w:webHidden/>
              </w:rPr>
            </w:r>
            <w:r w:rsidR="00B15D38">
              <w:rPr>
                <w:noProof/>
                <w:webHidden/>
              </w:rPr>
              <w:fldChar w:fldCharType="separate"/>
            </w:r>
            <w:r>
              <w:rPr>
                <w:noProof/>
                <w:webHidden/>
              </w:rPr>
              <w:t>49</w:t>
            </w:r>
            <w:r w:rsidR="00B15D38">
              <w:rPr>
                <w:noProof/>
                <w:webHidden/>
              </w:rPr>
              <w:fldChar w:fldCharType="end"/>
            </w:r>
          </w:hyperlink>
        </w:p>
        <w:p w14:paraId="25A4E834" w14:textId="73C944F4" w:rsidR="00B15D38" w:rsidRDefault="00D4117C">
          <w:pPr>
            <w:pStyle w:val="TOC1"/>
            <w:tabs>
              <w:tab w:val="left" w:pos="440"/>
            </w:tabs>
            <w:rPr>
              <w:rFonts w:eastAsiaTheme="minorEastAsia"/>
              <w:noProof/>
              <w:lang w:eastAsia="en-AU"/>
            </w:rPr>
          </w:pPr>
          <w:hyperlink w:anchor="_Toc124100704" w:history="1">
            <w:r w:rsidR="00B15D38" w:rsidRPr="009F71EC">
              <w:rPr>
                <w:rStyle w:val="Hyperlink"/>
                <w:noProof/>
              </w:rPr>
              <w:t>7</w:t>
            </w:r>
            <w:r w:rsidR="00B15D38">
              <w:rPr>
                <w:rFonts w:eastAsiaTheme="minorEastAsia"/>
                <w:noProof/>
                <w:lang w:eastAsia="en-AU"/>
              </w:rPr>
              <w:tab/>
            </w:r>
            <w:r w:rsidR="00B15D38" w:rsidRPr="009F71EC">
              <w:rPr>
                <w:rStyle w:val="Hyperlink"/>
                <w:noProof/>
              </w:rPr>
              <w:t>Strengthening enforcement</w:t>
            </w:r>
            <w:r w:rsidR="00B15D38">
              <w:rPr>
                <w:noProof/>
                <w:webHidden/>
              </w:rPr>
              <w:tab/>
            </w:r>
            <w:r w:rsidR="00B15D38">
              <w:rPr>
                <w:noProof/>
                <w:webHidden/>
              </w:rPr>
              <w:fldChar w:fldCharType="begin"/>
            </w:r>
            <w:r w:rsidR="00B15D38">
              <w:rPr>
                <w:noProof/>
                <w:webHidden/>
              </w:rPr>
              <w:instrText xml:space="preserve"> PAGEREF _Toc124100704 \h </w:instrText>
            </w:r>
            <w:r w:rsidR="00B15D38">
              <w:rPr>
                <w:noProof/>
                <w:webHidden/>
              </w:rPr>
            </w:r>
            <w:r w:rsidR="00B15D38">
              <w:rPr>
                <w:noProof/>
                <w:webHidden/>
              </w:rPr>
              <w:fldChar w:fldCharType="separate"/>
            </w:r>
            <w:r>
              <w:rPr>
                <w:noProof/>
                <w:webHidden/>
              </w:rPr>
              <w:t>51</w:t>
            </w:r>
            <w:r w:rsidR="00B15D38">
              <w:rPr>
                <w:noProof/>
                <w:webHidden/>
              </w:rPr>
              <w:fldChar w:fldCharType="end"/>
            </w:r>
          </w:hyperlink>
        </w:p>
        <w:p w14:paraId="426CE024" w14:textId="12282DF9" w:rsidR="00B15D38" w:rsidRDefault="00D4117C">
          <w:pPr>
            <w:pStyle w:val="TOC2"/>
            <w:tabs>
              <w:tab w:val="left" w:pos="880"/>
              <w:tab w:val="right" w:leader="dot" w:pos="9016"/>
            </w:tabs>
            <w:rPr>
              <w:rFonts w:eastAsiaTheme="minorEastAsia"/>
              <w:noProof/>
              <w:lang w:eastAsia="en-AU"/>
            </w:rPr>
          </w:pPr>
          <w:hyperlink w:anchor="_Toc124100705" w:history="1">
            <w:r w:rsidR="00B15D38" w:rsidRPr="009F71EC">
              <w:rPr>
                <w:rStyle w:val="Hyperlink"/>
                <w:noProof/>
              </w:rPr>
              <w:t>7.1</w:t>
            </w:r>
            <w:r w:rsidR="00B15D38">
              <w:rPr>
                <w:rFonts w:eastAsiaTheme="minorEastAsia"/>
                <w:noProof/>
                <w:lang w:eastAsia="en-AU"/>
              </w:rPr>
              <w:tab/>
            </w:r>
            <w:r w:rsidR="00B15D38" w:rsidRPr="009F71EC">
              <w:rPr>
                <w:rStyle w:val="Hyperlink"/>
                <w:noProof/>
              </w:rPr>
              <w:t>Civil penalty</w:t>
            </w:r>
            <w:r w:rsidR="00B15D38">
              <w:rPr>
                <w:noProof/>
                <w:webHidden/>
              </w:rPr>
              <w:tab/>
            </w:r>
            <w:r w:rsidR="00B15D38">
              <w:rPr>
                <w:noProof/>
                <w:webHidden/>
              </w:rPr>
              <w:fldChar w:fldCharType="begin"/>
            </w:r>
            <w:r w:rsidR="00B15D38">
              <w:rPr>
                <w:noProof/>
                <w:webHidden/>
              </w:rPr>
              <w:instrText xml:space="preserve"> PAGEREF _Toc124100705 \h </w:instrText>
            </w:r>
            <w:r w:rsidR="00B15D38">
              <w:rPr>
                <w:noProof/>
                <w:webHidden/>
              </w:rPr>
            </w:r>
            <w:r w:rsidR="00B15D38">
              <w:rPr>
                <w:noProof/>
                <w:webHidden/>
              </w:rPr>
              <w:fldChar w:fldCharType="separate"/>
            </w:r>
            <w:r>
              <w:rPr>
                <w:noProof/>
                <w:webHidden/>
              </w:rPr>
              <w:t>51</w:t>
            </w:r>
            <w:r w:rsidR="00B15D38">
              <w:rPr>
                <w:noProof/>
                <w:webHidden/>
              </w:rPr>
              <w:fldChar w:fldCharType="end"/>
            </w:r>
          </w:hyperlink>
        </w:p>
        <w:p w14:paraId="65DFA955" w14:textId="69804CBD" w:rsidR="00B15D38" w:rsidRDefault="00D4117C">
          <w:pPr>
            <w:pStyle w:val="TOC2"/>
            <w:tabs>
              <w:tab w:val="left" w:pos="880"/>
              <w:tab w:val="right" w:leader="dot" w:pos="9016"/>
            </w:tabs>
            <w:rPr>
              <w:rFonts w:eastAsiaTheme="minorEastAsia"/>
              <w:noProof/>
              <w:lang w:eastAsia="en-AU"/>
            </w:rPr>
          </w:pPr>
          <w:hyperlink w:anchor="_Toc124100706" w:history="1">
            <w:r w:rsidR="00B15D38" w:rsidRPr="009F71EC">
              <w:rPr>
                <w:rStyle w:val="Hyperlink"/>
                <w:noProof/>
              </w:rPr>
              <w:t>7.2</w:t>
            </w:r>
            <w:r w:rsidR="00B15D38">
              <w:rPr>
                <w:rFonts w:eastAsiaTheme="minorEastAsia"/>
                <w:noProof/>
                <w:lang w:eastAsia="en-AU"/>
              </w:rPr>
              <w:tab/>
            </w:r>
            <w:r w:rsidR="00B15D38" w:rsidRPr="009F71EC">
              <w:rPr>
                <w:rStyle w:val="Hyperlink"/>
                <w:noProof/>
              </w:rPr>
              <w:t>Anti-avoidance</w:t>
            </w:r>
            <w:r w:rsidR="00B15D38">
              <w:rPr>
                <w:noProof/>
                <w:webHidden/>
              </w:rPr>
              <w:tab/>
            </w:r>
            <w:r w:rsidR="00B15D38">
              <w:rPr>
                <w:noProof/>
                <w:webHidden/>
              </w:rPr>
              <w:fldChar w:fldCharType="begin"/>
            </w:r>
            <w:r w:rsidR="00B15D38">
              <w:rPr>
                <w:noProof/>
                <w:webHidden/>
              </w:rPr>
              <w:instrText xml:space="preserve"> PAGEREF _Toc124100706 \h </w:instrText>
            </w:r>
            <w:r w:rsidR="00B15D38">
              <w:rPr>
                <w:noProof/>
                <w:webHidden/>
              </w:rPr>
            </w:r>
            <w:r w:rsidR="00B15D38">
              <w:rPr>
                <w:noProof/>
                <w:webHidden/>
              </w:rPr>
              <w:fldChar w:fldCharType="separate"/>
            </w:r>
            <w:r>
              <w:rPr>
                <w:noProof/>
                <w:webHidden/>
              </w:rPr>
              <w:t>52</w:t>
            </w:r>
            <w:r w:rsidR="00B15D38">
              <w:rPr>
                <w:noProof/>
                <w:webHidden/>
              </w:rPr>
              <w:fldChar w:fldCharType="end"/>
            </w:r>
          </w:hyperlink>
        </w:p>
        <w:p w14:paraId="506FFD11" w14:textId="5CEC8930" w:rsidR="00B15D38" w:rsidRDefault="00D4117C">
          <w:pPr>
            <w:pStyle w:val="TOC1"/>
            <w:tabs>
              <w:tab w:val="left" w:pos="440"/>
            </w:tabs>
            <w:rPr>
              <w:rFonts w:eastAsiaTheme="minorEastAsia"/>
              <w:noProof/>
              <w:lang w:eastAsia="en-AU"/>
            </w:rPr>
          </w:pPr>
          <w:hyperlink w:anchor="_Toc124100707" w:history="1">
            <w:r w:rsidR="00B15D38" w:rsidRPr="009F71EC">
              <w:rPr>
                <w:rStyle w:val="Hyperlink"/>
                <w:noProof/>
              </w:rPr>
              <w:t>8</w:t>
            </w:r>
            <w:r w:rsidR="00B15D38">
              <w:rPr>
                <w:rFonts w:eastAsiaTheme="minorEastAsia"/>
                <w:noProof/>
                <w:lang w:eastAsia="en-AU"/>
              </w:rPr>
              <w:tab/>
            </w:r>
            <w:r w:rsidR="00B15D38" w:rsidRPr="009F71EC">
              <w:rPr>
                <w:rStyle w:val="Hyperlink"/>
                <w:noProof/>
              </w:rPr>
              <w:t>Landfills</w:t>
            </w:r>
            <w:r w:rsidR="00B15D38">
              <w:rPr>
                <w:noProof/>
                <w:webHidden/>
              </w:rPr>
              <w:tab/>
            </w:r>
            <w:r w:rsidR="00B15D38">
              <w:rPr>
                <w:noProof/>
                <w:webHidden/>
              </w:rPr>
              <w:fldChar w:fldCharType="begin"/>
            </w:r>
            <w:r w:rsidR="00B15D38">
              <w:rPr>
                <w:noProof/>
                <w:webHidden/>
              </w:rPr>
              <w:instrText xml:space="preserve"> PAGEREF _Toc124100707 \h </w:instrText>
            </w:r>
            <w:r w:rsidR="00B15D38">
              <w:rPr>
                <w:noProof/>
                <w:webHidden/>
              </w:rPr>
            </w:r>
            <w:r w:rsidR="00B15D38">
              <w:rPr>
                <w:noProof/>
                <w:webHidden/>
              </w:rPr>
              <w:fldChar w:fldCharType="separate"/>
            </w:r>
            <w:r>
              <w:rPr>
                <w:noProof/>
                <w:webHidden/>
              </w:rPr>
              <w:t>53</w:t>
            </w:r>
            <w:r w:rsidR="00B15D38">
              <w:rPr>
                <w:noProof/>
                <w:webHidden/>
              </w:rPr>
              <w:fldChar w:fldCharType="end"/>
            </w:r>
          </w:hyperlink>
        </w:p>
        <w:p w14:paraId="734C512F" w14:textId="3CC098B8" w:rsidR="00B15D38" w:rsidRDefault="00D4117C">
          <w:pPr>
            <w:pStyle w:val="TOC2"/>
            <w:tabs>
              <w:tab w:val="right" w:leader="dot" w:pos="9016"/>
            </w:tabs>
            <w:rPr>
              <w:rFonts w:eastAsiaTheme="minorEastAsia"/>
              <w:noProof/>
              <w:lang w:eastAsia="en-AU"/>
            </w:rPr>
          </w:pPr>
          <w:hyperlink w:anchor="_Toc124100708" w:history="1">
            <w:r w:rsidR="00B15D38" w:rsidRPr="009F71EC">
              <w:rPr>
                <w:rStyle w:val="Hyperlink"/>
                <w:noProof/>
              </w:rPr>
              <w:t>Attachment A: Table of legislative provisions</w:t>
            </w:r>
            <w:r w:rsidR="00B15D38">
              <w:rPr>
                <w:noProof/>
                <w:webHidden/>
              </w:rPr>
              <w:tab/>
            </w:r>
            <w:r w:rsidR="00B15D38">
              <w:rPr>
                <w:noProof/>
                <w:webHidden/>
              </w:rPr>
              <w:fldChar w:fldCharType="begin"/>
            </w:r>
            <w:r w:rsidR="00B15D38">
              <w:rPr>
                <w:noProof/>
                <w:webHidden/>
              </w:rPr>
              <w:instrText xml:space="preserve"> PAGEREF _Toc124100708 \h </w:instrText>
            </w:r>
            <w:r w:rsidR="00B15D38">
              <w:rPr>
                <w:noProof/>
                <w:webHidden/>
              </w:rPr>
            </w:r>
            <w:r w:rsidR="00B15D38">
              <w:rPr>
                <w:noProof/>
                <w:webHidden/>
              </w:rPr>
              <w:fldChar w:fldCharType="separate"/>
            </w:r>
            <w:r>
              <w:rPr>
                <w:noProof/>
                <w:webHidden/>
              </w:rPr>
              <w:t>55</w:t>
            </w:r>
            <w:r w:rsidR="00B15D38">
              <w:rPr>
                <w:noProof/>
                <w:webHidden/>
              </w:rPr>
              <w:fldChar w:fldCharType="end"/>
            </w:r>
          </w:hyperlink>
        </w:p>
        <w:p w14:paraId="48F54F97" w14:textId="5BEF7690" w:rsidR="00913F76" w:rsidRDefault="0035497A">
          <w:r>
            <w:rPr>
              <w:b/>
              <w:bCs/>
              <w:noProof/>
            </w:rPr>
            <w:fldChar w:fldCharType="end"/>
          </w:r>
        </w:p>
      </w:sdtContent>
    </w:sdt>
    <w:p w14:paraId="05FB345E" w14:textId="77777777" w:rsidR="00A10F9B" w:rsidRDefault="00A10F9B" w:rsidP="00547654">
      <w:pPr>
        <w:pStyle w:val="Heading2"/>
        <w:numPr>
          <w:ilvl w:val="0"/>
          <w:numId w:val="0"/>
        </w:numPr>
        <w:ind w:left="567" w:hanging="567"/>
      </w:pPr>
      <w:r>
        <w:br w:type="page"/>
      </w:r>
    </w:p>
    <w:p w14:paraId="1114ABD4" w14:textId="77777777" w:rsidR="003C53BA" w:rsidRDefault="00F37C65" w:rsidP="00922E63">
      <w:pPr>
        <w:pStyle w:val="Heading2"/>
        <w:numPr>
          <w:ilvl w:val="0"/>
          <w:numId w:val="0"/>
        </w:numPr>
      </w:pPr>
      <w:bookmarkStart w:id="95" w:name="_Toc111042129"/>
      <w:bookmarkStart w:id="96" w:name="_Toc117176802"/>
      <w:bookmarkStart w:id="97" w:name="_Toc117255405"/>
      <w:bookmarkStart w:id="98" w:name="_Toc117263146"/>
      <w:bookmarkStart w:id="99" w:name="_Toc117437227"/>
      <w:bookmarkStart w:id="100" w:name="_Toc117499175"/>
      <w:bookmarkStart w:id="101" w:name="_Toc117521022"/>
      <w:bookmarkStart w:id="102" w:name="_Toc117524769"/>
      <w:bookmarkStart w:id="103" w:name="_Toc117543960"/>
      <w:bookmarkStart w:id="104" w:name="_Toc117548311"/>
      <w:bookmarkStart w:id="105" w:name="_Toc117588629"/>
      <w:bookmarkStart w:id="106" w:name="_Toc117588673"/>
      <w:bookmarkStart w:id="107" w:name="_Toc117604791"/>
      <w:bookmarkStart w:id="108" w:name="_Toc117612873"/>
      <w:bookmarkStart w:id="109" w:name="_Toc117627711"/>
      <w:bookmarkStart w:id="110" w:name="_Toc117630376"/>
      <w:bookmarkStart w:id="111" w:name="_Toc117867983"/>
      <w:bookmarkStart w:id="112" w:name="_Toc117887997"/>
      <w:bookmarkStart w:id="113" w:name="_Toc117951441"/>
      <w:bookmarkStart w:id="114" w:name="_Toc117960088"/>
      <w:bookmarkStart w:id="115" w:name="_Toc118040349"/>
      <w:bookmarkStart w:id="116" w:name="_Toc118196201"/>
      <w:bookmarkStart w:id="117" w:name="_Toc118198370"/>
      <w:bookmarkStart w:id="118" w:name="_Toc118198785"/>
      <w:bookmarkStart w:id="119" w:name="_Toc118198976"/>
      <w:bookmarkStart w:id="120" w:name="_Toc118199530"/>
      <w:bookmarkStart w:id="121" w:name="_Toc118304102"/>
      <w:bookmarkStart w:id="122" w:name="_Toc118304133"/>
      <w:bookmarkStart w:id="123" w:name="_Toc118306335"/>
      <w:bookmarkStart w:id="124" w:name="_Toc118308327"/>
      <w:bookmarkStart w:id="125" w:name="_Toc119500898"/>
      <w:bookmarkStart w:id="126" w:name="_Toc119572353"/>
      <w:bookmarkStart w:id="127" w:name="_Toc120098948"/>
      <w:bookmarkStart w:id="128" w:name="_Toc122514428"/>
      <w:bookmarkStart w:id="129" w:name="_Toc124100678"/>
      <w:bookmarkStart w:id="130" w:name="_Toc109645623"/>
      <w:bookmarkStart w:id="131" w:name="_Toc109653332"/>
      <w:bookmarkStart w:id="132" w:name="_Toc109659379"/>
      <w:bookmarkStart w:id="133" w:name="_Toc109717159"/>
      <w:bookmarkStart w:id="134" w:name="_Toc109742667"/>
      <w:bookmarkStart w:id="135" w:name="_Toc109746051"/>
      <w:bookmarkStart w:id="136" w:name="_Toc109747115"/>
      <w:bookmarkStart w:id="137" w:name="_Toc109818491"/>
      <w:bookmarkStart w:id="138" w:name="_Toc110524017"/>
      <w:bookmarkStart w:id="139" w:name="_Toc110545545"/>
      <w:bookmarkStart w:id="140" w:name="_Toc110590728"/>
      <w:bookmarkStart w:id="141" w:name="_Toc110590783"/>
      <w:bookmarkStart w:id="142" w:name="_Toc110593187"/>
      <w:r>
        <w:lastRenderedPageBreak/>
        <w:t>Executive s</w:t>
      </w:r>
      <w:r w:rsidR="003C53BA">
        <w:t>ummary</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AED1949" w14:textId="35C7CB55" w:rsidR="00706F16" w:rsidRPr="00065494" w:rsidRDefault="006851BB" w:rsidP="00065494">
      <w:pPr>
        <w:rPr>
          <w:rStyle w:val="IntenseEmphasis"/>
          <w:color w:val="auto"/>
        </w:rPr>
      </w:pPr>
      <w:r w:rsidRPr="002154EE">
        <w:rPr>
          <w:rStyle w:val="IntenseEmphasis"/>
          <w:color w:val="4472C4" w:themeColor="accent1"/>
        </w:rPr>
        <w:t xml:space="preserve">This paper </w:t>
      </w:r>
      <w:r w:rsidR="00AB056E" w:rsidRPr="00B95A37">
        <w:rPr>
          <w:rStyle w:val="IntenseEmphasis"/>
          <w:color w:val="4472C4" w:themeColor="accent1"/>
        </w:rPr>
        <w:t>propose</w:t>
      </w:r>
      <w:r w:rsidR="00706F16" w:rsidRPr="00B95A37">
        <w:rPr>
          <w:rStyle w:val="IntenseEmphasis"/>
          <w:color w:val="4472C4" w:themeColor="accent1"/>
        </w:rPr>
        <w:t>s the</w:t>
      </w:r>
      <w:r w:rsidR="00AB056E" w:rsidRPr="00B95A37">
        <w:rPr>
          <w:rStyle w:val="IntenseEmphasis"/>
          <w:color w:val="4472C4" w:themeColor="accent1"/>
        </w:rPr>
        <w:t xml:space="preserve"> </w:t>
      </w:r>
      <w:r w:rsidR="000D7748" w:rsidRPr="00B95A37">
        <w:rPr>
          <w:rStyle w:val="IntenseEmphasis"/>
          <w:color w:val="4472C4" w:themeColor="accent1"/>
        </w:rPr>
        <w:t xml:space="preserve">design for </w:t>
      </w:r>
      <w:r w:rsidRPr="00B95A37">
        <w:rPr>
          <w:rStyle w:val="IntenseEmphasis"/>
          <w:color w:val="4472C4" w:themeColor="accent1"/>
        </w:rPr>
        <w:t xml:space="preserve">Safeguard Mechanism </w:t>
      </w:r>
      <w:r w:rsidR="000D7748" w:rsidRPr="00B95A37">
        <w:rPr>
          <w:rStyle w:val="IntenseEmphasis"/>
          <w:color w:val="4472C4" w:themeColor="accent1"/>
        </w:rPr>
        <w:t xml:space="preserve">reforms </w:t>
      </w:r>
      <w:r w:rsidR="00706F16" w:rsidRPr="00B95A37">
        <w:rPr>
          <w:rStyle w:val="IntenseEmphasis"/>
          <w:color w:val="4472C4" w:themeColor="accent1"/>
        </w:rPr>
        <w:t>based on extensive feedback</w:t>
      </w:r>
      <w:r w:rsidR="00706F16" w:rsidRPr="002154EE">
        <w:rPr>
          <w:rStyle w:val="IntenseEmphasis"/>
          <w:color w:val="4472C4" w:themeColor="accent1"/>
        </w:rPr>
        <w:t xml:space="preserve"> </w:t>
      </w:r>
      <w:r w:rsidR="002154EE" w:rsidRPr="002154EE">
        <w:rPr>
          <w:rStyle w:val="IntenseEmphasis"/>
          <w:color w:val="4472C4" w:themeColor="accent1"/>
        </w:rPr>
        <w:t xml:space="preserve">over nearly </w:t>
      </w:r>
      <w:r w:rsidR="002154EE" w:rsidRPr="00B95A37">
        <w:rPr>
          <w:rStyle w:val="IntenseEmphasis"/>
          <w:color w:val="4472C4" w:themeColor="accent1"/>
        </w:rPr>
        <w:t>six months</w:t>
      </w:r>
      <w:r w:rsidR="00B95A37">
        <w:rPr>
          <w:rStyle w:val="IntenseEmphasis"/>
          <w:color w:val="4472C4" w:themeColor="accent1"/>
        </w:rPr>
        <w:t xml:space="preserve"> of consultation with</w:t>
      </w:r>
      <w:r w:rsidR="002154EE" w:rsidRPr="00B95A37">
        <w:rPr>
          <w:rStyle w:val="IntenseEmphasis"/>
          <w:color w:val="4472C4" w:themeColor="accent1"/>
        </w:rPr>
        <w:t xml:space="preserve"> </w:t>
      </w:r>
      <w:r w:rsidR="002154EE" w:rsidRPr="00065494">
        <w:rPr>
          <w:rStyle w:val="IntenseEmphasis"/>
          <w:color w:val="4472C4" w:themeColor="accent1"/>
        </w:rPr>
        <w:t>Safeguard businesses, industry associations, environment and community groups, academics and private individuals.</w:t>
      </w:r>
      <w:r w:rsidR="002154EE" w:rsidRPr="00065494">
        <w:rPr>
          <w:i/>
        </w:rPr>
        <w:t xml:space="preserve"> </w:t>
      </w:r>
      <w:r w:rsidR="002154EE" w:rsidRPr="002154EE">
        <w:rPr>
          <w:rStyle w:val="IntenseEmphasis"/>
          <w:color w:val="4472C4" w:themeColor="accent1"/>
        </w:rPr>
        <w:t xml:space="preserve"> </w:t>
      </w:r>
    </w:p>
    <w:p w14:paraId="6110A7E6" w14:textId="57E72E6E" w:rsidR="006851BB" w:rsidRPr="0010515B" w:rsidRDefault="00706F16" w:rsidP="006851BB">
      <w:pPr>
        <w:spacing w:after="120"/>
        <w:rPr>
          <w:rStyle w:val="IntenseEmphasis"/>
          <w:color w:val="4472C4" w:themeColor="accent1"/>
        </w:rPr>
      </w:pPr>
      <w:r>
        <w:rPr>
          <w:rStyle w:val="IntenseEmphasis"/>
          <w:color w:val="4472C4" w:themeColor="accent1"/>
        </w:rPr>
        <w:t xml:space="preserve">The paper seeks further feedback on the proposed design </w:t>
      </w:r>
      <w:r w:rsidR="006851BB" w:rsidRPr="0010515B">
        <w:rPr>
          <w:rStyle w:val="IntenseEmphasis"/>
          <w:color w:val="4472C4" w:themeColor="accent1"/>
        </w:rPr>
        <w:t>to deliver emissions reductions consistent with Australia’s Nationally Determined Contribution under the Paris Agreement and strengthen Australia’s competitiveness in a decarbonising global economy.</w:t>
      </w:r>
    </w:p>
    <w:p w14:paraId="3B46D37C" w14:textId="77777777" w:rsidR="00334EDE" w:rsidRDefault="003C53BA" w:rsidP="003C53BA">
      <w:r>
        <w:t xml:space="preserve">The Government has increased the ambition of Australia’s </w:t>
      </w:r>
      <w:r w:rsidR="00A74D5C">
        <w:t xml:space="preserve">2030 emission reduction target </w:t>
      </w:r>
      <w:r>
        <w:t xml:space="preserve">to 43 </w:t>
      </w:r>
      <w:r w:rsidR="00FB3916">
        <w:t>per cent</w:t>
      </w:r>
      <w:r>
        <w:t xml:space="preserve"> below 2005 levels by 2030, and affirm</w:t>
      </w:r>
      <w:r w:rsidR="00A74D5C">
        <w:t>ed</w:t>
      </w:r>
      <w:r>
        <w:t xml:space="preserve"> Australia’s commitment to net zero emissions by 2050</w:t>
      </w:r>
      <w:r w:rsidR="00A74D5C">
        <w:t xml:space="preserve">. Parliament has enshrined these targets in law through the </w:t>
      </w:r>
      <w:r w:rsidR="00A74D5C" w:rsidRPr="00907B0C">
        <w:rPr>
          <w:i/>
        </w:rPr>
        <w:t>Climate Change Act 2022</w:t>
      </w:r>
      <w:r>
        <w:t xml:space="preserve">. </w:t>
      </w:r>
      <w:r w:rsidR="00334EDE">
        <w:t xml:space="preserve">This target was developed collaboratively with and welcomed by businesses, industry organisations, investor groups, trade unions and civil society groups and complements the ambitious targets already established by state and territory governments. </w:t>
      </w:r>
    </w:p>
    <w:p w14:paraId="5706121F" w14:textId="57BEB5A7" w:rsidR="003C53BA" w:rsidRDefault="003C53BA" w:rsidP="003C53BA">
      <w:r w:rsidRPr="00C4681F">
        <w:rPr>
          <w:i/>
          <w:iCs/>
        </w:rPr>
        <w:t>Powering Australia</w:t>
      </w:r>
      <w:r>
        <w:t xml:space="preserve"> sets out the Government’s plan to meet these targets</w:t>
      </w:r>
      <w:r w:rsidR="00334EDE">
        <w:t xml:space="preserve"> and to support industries and communities through the energy transition</w:t>
      </w:r>
      <w:r w:rsidR="00E3207D">
        <w:t>—</w:t>
      </w:r>
      <w:r w:rsidR="0000194F">
        <w:t>including</w:t>
      </w:r>
      <w:r w:rsidR="00E3207D">
        <w:t xml:space="preserve"> </w:t>
      </w:r>
      <w:r w:rsidR="00872EA0">
        <w:t>by</w:t>
      </w:r>
      <w:r>
        <w:t xml:space="preserve"> </w:t>
      </w:r>
      <w:r w:rsidRPr="009A1F5F">
        <w:t>build</w:t>
      </w:r>
      <w:r w:rsidR="00872EA0">
        <w:t>ing</w:t>
      </w:r>
      <w:r w:rsidRPr="009A1F5F">
        <w:t xml:space="preserve"> on the </w:t>
      </w:r>
      <w:r>
        <w:t xml:space="preserve">existing </w:t>
      </w:r>
      <w:r w:rsidRPr="009A1F5F">
        <w:t>Safeguard Mechanism</w:t>
      </w:r>
      <w:r>
        <w:t xml:space="preserve"> to reduce industrial sector emissions.</w:t>
      </w:r>
      <w:r w:rsidR="00B66015">
        <w:t xml:space="preserve"> Other elements of the Powering Australia plan are also underway, including the $20 billion investment in Rewiring the Nation and developing the National Electric Vehicle Strategy.</w:t>
      </w:r>
    </w:p>
    <w:p w14:paraId="1EF21ADC" w14:textId="77777777" w:rsidR="00D103BF" w:rsidRDefault="003C53BA" w:rsidP="003C53BA">
      <w:r>
        <w:t xml:space="preserve">The Safeguard Mechanism </w:t>
      </w:r>
      <w:r w:rsidR="00E3207D">
        <w:t xml:space="preserve">has been in place since 2016. It </w:t>
      </w:r>
      <w:r>
        <w:t>provides a legislated framework that limits the emissions of around 215 large industrial facilities</w:t>
      </w:r>
      <w:r w:rsidR="00C945BF">
        <w:t>—covering around</w:t>
      </w:r>
      <w:r w:rsidR="0000194F">
        <w:t xml:space="preserve"> 28 per cent of national em</w:t>
      </w:r>
      <w:r w:rsidR="00C945BF">
        <w:t>issions</w:t>
      </w:r>
      <w:r w:rsidR="0000194F">
        <w:t xml:space="preserve">. </w:t>
      </w:r>
      <w:r w:rsidR="0066486A">
        <w:t xml:space="preserve">Emissions limits for individual facilities are known as baselines. The sum of all facilities’ baselines form the overall emissions </w:t>
      </w:r>
      <w:r w:rsidR="007637AF">
        <w:t>constraint</w:t>
      </w:r>
      <w:r w:rsidR="0066486A">
        <w:t xml:space="preserve"> for the scheme. </w:t>
      </w:r>
      <w:r>
        <w:t>Building on this</w:t>
      </w:r>
      <w:r w:rsidR="0000194F">
        <w:t xml:space="preserve"> </w:t>
      </w:r>
      <w:r>
        <w:t>framework will promote p</w:t>
      </w:r>
      <w:r w:rsidR="00935A39">
        <w:t xml:space="preserve">olicy certainty and stability. </w:t>
      </w:r>
      <w:r>
        <w:t xml:space="preserve">The Government aims to deliver its climate targets in a </w:t>
      </w:r>
      <w:r w:rsidR="002A71B6">
        <w:t xml:space="preserve">cost-effective </w:t>
      </w:r>
      <w:r>
        <w:t xml:space="preserve">way that shares the effort </w:t>
      </w:r>
      <w:r w:rsidR="00E3207D">
        <w:t>across</w:t>
      </w:r>
      <w:r>
        <w:t xml:space="preserve"> </w:t>
      </w:r>
      <w:r w:rsidR="0000194F">
        <w:t>the economy</w:t>
      </w:r>
      <w:r>
        <w:t xml:space="preserve">. Safeguard Mechanism </w:t>
      </w:r>
      <w:r w:rsidR="00D103BF">
        <w:t>reforms</w:t>
      </w:r>
      <w:r>
        <w:t xml:space="preserve"> </w:t>
      </w:r>
      <w:r w:rsidR="0097220A">
        <w:t xml:space="preserve">have been designed to </w:t>
      </w:r>
      <w:r>
        <w:t>balance the principles of being effective, equitable, efficient, and simple.</w:t>
      </w:r>
      <w:r w:rsidR="000A4324">
        <w:t xml:space="preserve"> </w:t>
      </w:r>
    </w:p>
    <w:p w14:paraId="48FD3D77" w14:textId="77777777" w:rsidR="00806407" w:rsidRDefault="00806407" w:rsidP="00806407">
      <w:pPr>
        <w:pStyle w:val="Heading4"/>
      </w:pPr>
      <w:r>
        <w:t xml:space="preserve">Timing </w:t>
      </w:r>
    </w:p>
    <w:p w14:paraId="362BEC60" w14:textId="79E7B619" w:rsidR="008C2B67" w:rsidRDefault="008770F6" w:rsidP="003C53BA">
      <w:r>
        <w:t xml:space="preserve">The </w:t>
      </w:r>
      <w:r w:rsidR="00806407">
        <w:t xml:space="preserve">Safeguard </w:t>
      </w:r>
      <w:r>
        <w:t xml:space="preserve">Mechanism </w:t>
      </w:r>
      <w:r w:rsidR="00A74D5C">
        <w:t xml:space="preserve">reforms </w:t>
      </w:r>
      <w:r w:rsidR="00806407">
        <w:t xml:space="preserve">will </w:t>
      </w:r>
      <w:r w:rsidR="00806407" w:rsidRPr="00065494">
        <w:rPr>
          <w:b/>
        </w:rPr>
        <w:t>commence on 1 July 2023</w:t>
      </w:r>
      <w:r w:rsidR="00806407">
        <w:t xml:space="preserve">. </w:t>
      </w:r>
      <w:r w:rsidR="00987870">
        <w:t xml:space="preserve">The Government </w:t>
      </w:r>
      <w:r w:rsidR="00393F8C">
        <w:t>proposes</w:t>
      </w:r>
      <w:r w:rsidR="00987870">
        <w:t xml:space="preserve"> Sa</w:t>
      </w:r>
      <w:r w:rsidR="00647C5B">
        <w:t xml:space="preserve">feguard reforms that </w:t>
      </w:r>
      <w:r w:rsidR="00393F8C">
        <w:t xml:space="preserve">would </w:t>
      </w:r>
      <w:r w:rsidR="00647C5B">
        <w:t>deliver a strong investment signal</w:t>
      </w:r>
      <w:r w:rsidR="00987870">
        <w:t xml:space="preserve"> and a clear trajectory to net zero in 2050, while introducing </w:t>
      </w:r>
      <w:r w:rsidR="00A74D5C">
        <w:t xml:space="preserve">new obligations </w:t>
      </w:r>
      <w:r w:rsidR="00987870">
        <w:t>in manageable increments and giving businesses flexibility around the timing of their abatement investments.</w:t>
      </w:r>
    </w:p>
    <w:p w14:paraId="4E17F92A" w14:textId="77777777" w:rsidR="00806407" w:rsidRDefault="00987870" w:rsidP="003C53BA">
      <w:r>
        <w:t>T</w:t>
      </w:r>
      <w:r w:rsidR="006F197D">
        <w:t xml:space="preserve">he Government will </w:t>
      </w:r>
      <w:r w:rsidR="006F197D" w:rsidRPr="00123D02">
        <w:rPr>
          <w:b/>
        </w:rPr>
        <w:t>review Safeguard Mechanism</w:t>
      </w:r>
      <w:r w:rsidR="008C2B67" w:rsidRPr="00123D02">
        <w:rPr>
          <w:b/>
        </w:rPr>
        <w:t xml:space="preserve"> </w:t>
      </w:r>
      <w:r w:rsidR="00D65546" w:rsidRPr="00123D02">
        <w:rPr>
          <w:b/>
        </w:rPr>
        <w:t>policy</w:t>
      </w:r>
      <w:r w:rsidR="006F197D" w:rsidRPr="00123D02">
        <w:rPr>
          <w:b/>
        </w:rPr>
        <w:t xml:space="preserve"> settings in 2026</w:t>
      </w:r>
      <w:r w:rsidR="00F54AEC">
        <w:rPr>
          <w:b/>
        </w:rPr>
        <w:t>-27</w:t>
      </w:r>
      <w:r w:rsidR="008C2B67">
        <w:t xml:space="preserve">, to </w:t>
      </w:r>
      <w:r>
        <w:t xml:space="preserve">ensure </w:t>
      </w:r>
      <w:r w:rsidR="0010515B">
        <w:t>they</w:t>
      </w:r>
      <w:r>
        <w:t xml:space="preserve"> are appropriately calibrated. The review will </w:t>
      </w:r>
      <w:r w:rsidR="008C2B67">
        <w:t xml:space="preserve">consider, among other things, the initial impacts of resetting and declining baselines, including the </w:t>
      </w:r>
      <w:r w:rsidR="00C87912">
        <w:t>costs and availability of domestic offsets</w:t>
      </w:r>
      <w:r w:rsidR="0068150C">
        <w:t>;</w:t>
      </w:r>
      <w:r w:rsidR="008C2B67">
        <w:t xml:space="preserve"> the appropriate treatment of international units</w:t>
      </w:r>
      <w:r w:rsidR="0068150C">
        <w:t xml:space="preserve">; </w:t>
      </w:r>
      <w:r w:rsidR="00A56B78">
        <w:t xml:space="preserve">the suitability of </w:t>
      </w:r>
      <w:r w:rsidR="0068150C">
        <w:t>arrangements for emissions-intensive, trade-exposed activities;</w:t>
      </w:r>
      <w:r w:rsidR="008C2B67">
        <w:t xml:space="preserve"> whether </w:t>
      </w:r>
      <w:r w:rsidR="00DD2635">
        <w:t xml:space="preserve">the </w:t>
      </w:r>
      <w:r w:rsidR="000E35DD">
        <w:t>cost</w:t>
      </w:r>
      <w:r w:rsidR="008C2B67">
        <w:t xml:space="preserve"> containment measure is </w:t>
      </w:r>
      <w:r w:rsidR="00DD2635">
        <w:t>sufficient</w:t>
      </w:r>
      <w:r w:rsidR="008F2F77">
        <w:t xml:space="preserve">; and </w:t>
      </w:r>
      <w:r w:rsidR="00C87912">
        <w:t>treatment of flexibility mechanism</w:t>
      </w:r>
      <w:r w:rsidR="00647C5B">
        <w:t>s</w:t>
      </w:r>
      <w:r w:rsidR="00C87912">
        <w:t xml:space="preserve"> beyond 2030, such as</w:t>
      </w:r>
      <w:r w:rsidR="008F2F77">
        <w:t xml:space="preserve"> banking </w:t>
      </w:r>
      <w:r w:rsidR="00C87912">
        <w:t>and borrowing and multi-year monitoring periods</w:t>
      </w:r>
      <w:r w:rsidR="008C2B67">
        <w:t xml:space="preserve">. </w:t>
      </w:r>
    </w:p>
    <w:p w14:paraId="08BE9561" w14:textId="77777777" w:rsidR="00BB4D67" w:rsidRDefault="00E43B20" w:rsidP="00F37C65">
      <w:pPr>
        <w:pStyle w:val="Heading4"/>
        <w:keepNext w:val="0"/>
      </w:pPr>
      <w:r>
        <w:t>Targets and baselines</w:t>
      </w:r>
    </w:p>
    <w:p w14:paraId="12756AE8" w14:textId="1C6B9141" w:rsidR="006C71FD" w:rsidRDefault="00C945BF" w:rsidP="00F37C65">
      <w:r>
        <w:t>Nominating</w:t>
      </w:r>
      <w:r w:rsidR="00BB4D67">
        <w:t xml:space="preserve"> a </w:t>
      </w:r>
      <w:r>
        <w:t>specific emissions</w:t>
      </w:r>
      <w:r w:rsidR="00BB4D67">
        <w:t xml:space="preserve"> target for </w:t>
      </w:r>
      <w:r>
        <w:t xml:space="preserve">the Safeguard Mechanism in </w:t>
      </w:r>
      <w:r w:rsidR="00BB4D67">
        <w:t>2030</w:t>
      </w:r>
      <w:r>
        <w:t xml:space="preserve"> is </w:t>
      </w:r>
      <w:r w:rsidR="00DD2635">
        <w:t>an essential first step in policy design</w:t>
      </w:r>
      <w:r>
        <w:t xml:space="preserve">. It establishes a clearly-defined pathway for reducing emissions and </w:t>
      </w:r>
      <w:r w:rsidR="00BB4D67">
        <w:t xml:space="preserve">introduces an important discipline on other policy settings—they must be calibrated to meet the overall target. </w:t>
      </w:r>
      <w:r w:rsidR="002430E6">
        <w:lastRenderedPageBreak/>
        <w:t xml:space="preserve">Safeguard facilities will deliver </w:t>
      </w:r>
      <w:r w:rsidR="00C85FBB">
        <w:t>a</w:t>
      </w:r>
      <w:r w:rsidR="002430E6">
        <w:t xml:space="preserve"> </w:t>
      </w:r>
      <w:r w:rsidR="00BB4D67">
        <w:rPr>
          <w:b/>
        </w:rPr>
        <w:t>proportional share</w:t>
      </w:r>
      <w:r w:rsidR="00417C32">
        <w:rPr>
          <w:b/>
        </w:rPr>
        <w:t xml:space="preserve"> </w:t>
      </w:r>
      <w:r w:rsidR="002430E6" w:rsidRPr="002430E6">
        <w:rPr>
          <w:b/>
        </w:rPr>
        <w:t xml:space="preserve">of the national </w:t>
      </w:r>
      <w:r w:rsidR="00301ED4">
        <w:rPr>
          <w:b/>
        </w:rPr>
        <w:t xml:space="preserve">2030 </w:t>
      </w:r>
      <w:r w:rsidR="002430E6" w:rsidRPr="002430E6">
        <w:rPr>
          <w:b/>
        </w:rPr>
        <w:t>target</w:t>
      </w:r>
      <w:r w:rsidR="00F37C65">
        <w:rPr>
          <w:rStyle w:val="FootnoteReference"/>
          <w:b/>
        </w:rPr>
        <w:footnoteReference w:id="2"/>
      </w:r>
      <w:r w:rsidR="002430E6">
        <w:t>. Th</w:t>
      </w:r>
      <w:r w:rsidR="0010515B">
        <w:t xml:space="preserve">is will see </w:t>
      </w:r>
      <w:r w:rsidR="009A35C9">
        <w:t xml:space="preserve">net emissions covered by the Safeguard </w:t>
      </w:r>
      <w:r w:rsidR="002430E6">
        <w:t xml:space="preserve">fall from </w:t>
      </w:r>
      <w:r w:rsidR="00CA7CF0">
        <w:t xml:space="preserve">a projected </w:t>
      </w:r>
      <w:r w:rsidR="002430E6">
        <w:t>1</w:t>
      </w:r>
      <w:r w:rsidR="00CA7CF0">
        <w:t>4</w:t>
      </w:r>
      <w:r w:rsidR="009A35C9">
        <w:t>3</w:t>
      </w:r>
      <w:r w:rsidR="002430E6">
        <w:t> million tonnes in 202</w:t>
      </w:r>
      <w:r w:rsidR="009A35C9">
        <w:t>2-2</w:t>
      </w:r>
      <w:r w:rsidR="00CA7CF0">
        <w:t>3</w:t>
      </w:r>
      <w:r w:rsidR="009A35C9">
        <w:t xml:space="preserve"> before the</w:t>
      </w:r>
      <w:r w:rsidR="00F37C65">
        <w:t xml:space="preserve"> </w:t>
      </w:r>
      <w:r w:rsidR="009A35C9">
        <w:t>reforms start</w:t>
      </w:r>
      <w:r w:rsidR="009A35C9">
        <w:rPr>
          <w:rStyle w:val="FootnoteReference"/>
        </w:rPr>
        <w:footnoteReference w:id="3"/>
      </w:r>
      <w:r w:rsidR="009A35C9">
        <w:t xml:space="preserve"> </w:t>
      </w:r>
      <w:r w:rsidR="002430E6">
        <w:t xml:space="preserve">to </w:t>
      </w:r>
      <w:r w:rsidR="00E50A5D">
        <w:t xml:space="preserve">no more than </w:t>
      </w:r>
      <w:r w:rsidR="002430E6">
        <w:t>100 million tonnes by 2030</w:t>
      </w:r>
      <w:r w:rsidR="009A35C9">
        <w:rPr>
          <w:rStyle w:val="FootnoteReference"/>
        </w:rPr>
        <w:footnoteReference w:id="4"/>
      </w:r>
      <w:r w:rsidR="009243BE">
        <w:t xml:space="preserve"> and </w:t>
      </w:r>
      <w:r w:rsidR="000E5397">
        <w:t xml:space="preserve">capped at </w:t>
      </w:r>
      <w:r w:rsidR="009243BE">
        <w:t>1,23</w:t>
      </w:r>
      <w:r w:rsidR="00EA5063">
        <w:t>3</w:t>
      </w:r>
      <w:r w:rsidR="009243BE">
        <w:t xml:space="preserve"> million tonnes </w:t>
      </w:r>
      <w:r w:rsidR="000E5397">
        <w:t>between 2021 and 2030</w:t>
      </w:r>
      <w:r w:rsidR="00B66015">
        <w:t>. The reformed Safeguard Mechanism is expected to</w:t>
      </w:r>
      <w:r w:rsidR="001811DF">
        <w:t xml:space="preserve"> </w:t>
      </w:r>
      <w:r w:rsidR="00BB4D67">
        <w:t xml:space="preserve">deliver an estimated </w:t>
      </w:r>
      <w:r w:rsidR="007D2DB0">
        <w:t>2</w:t>
      </w:r>
      <w:r w:rsidR="00B62581">
        <w:t>0</w:t>
      </w:r>
      <w:r w:rsidR="00702533">
        <w:t>5</w:t>
      </w:r>
      <w:r w:rsidR="00B071F7">
        <w:t xml:space="preserve"> million tonnes </w:t>
      </w:r>
      <w:r w:rsidR="00BB4D67">
        <w:t xml:space="preserve">of abatement </w:t>
      </w:r>
      <w:r w:rsidR="00B071F7">
        <w:t>by the end of the decade</w:t>
      </w:r>
      <w:r w:rsidR="00527578">
        <w:rPr>
          <w:rStyle w:val="FootnoteReference"/>
        </w:rPr>
        <w:footnoteReference w:id="5"/>
      </w:r>
      <w:r w:rsidR="00B071F7">
        <w:t xml:space="preserve">. </w:t>
      </w:r>
    </w:p>
    <w:p w14:paraId="3D92F064" w14:textId="37100891" w:rsidR="008D3810" w:rsidRDefault="0010515B" w:rsidP="00F37C65">
      <w:pPr>
        <w:ind w:right="-45"/>
      </w:pPr>
      <w:r>
        <w:t xml:space="preserve">How baselines are set determines the individual emissions limit for each Safeguard </w:t>
      </w:r>
      <w:r w:rsidR="00C14C72">
        <w:t>facility</w:t>
      </w:r>
      <w:r>
        <w:t xml:space="preserve">. </w:t>
      </w:r>
      <w:r w:rsidR="008D3810">
        <w:t>The Government w</w:t>
      </w:r>
      <w:r w:rsidR="00063B5E">
        <w:t>ould</w:t>
      </w:r>
      <w:r w:rsidR="008D3810">
        <w:t xml:space="preserve"> retain the</w:t>
      </w:r>
      <w:r w:rsidR="00393F8C">
        <w:t xml:space="preserve"> existing</w:t>
      </w:r>
      <w:r w:rsidR="008D3810">
        <w:t xml:space="preserve"> </w:t>
      </w:r>
      <w:r w:rsidR="008D3810" w:rsidRPr="008D3810">
        <w:rPr>
          <w:b/>
        </w:rPr>
        <w:t>production-adjusted (intensity) baseline framework</w:t>
      </w:r>
      <w:r w:rsidR="008D3810">
        <w:t>, which</w:t>
      </w:r>
      <w:r>
        <w:t xml:space="preserve"> allows baseline</w:t>
      </w:r>
      <w:r w:rsidR="00BD5FDF">
        <w:t>s</w:t>
      </w:r>
      <w:r>
        <w:t xml:space="preserve"> to grow and fall with production. This</w:t>
      </w:r>
      <w:r w:rsidR="008D3810">
        <w:t xml:space="preserve"> </w:t>
      </w:r>
      <w:r w:rsidR="00393F8C">
        <w:t xml:space="preserve">provides </w:t>
      </w:r>
      <w:r w:rsidR="00C14C72">
        <w:t xml:space="preserve">policy </w:t>
      </w:r>
      <w:r w:rsidR="00393F8C">
        <w:t xml:space="preserve">stability while </w:t>
      </w:r>
      <w:r w:rsidR="008D3810">
        <w:t>help</w:t>
      </w:r>
      <w:r w:rsidR="00393F8C">
        <w:t>ing</w:t>
      </w:r>
      <w:r w:rsidR="008D3810">
        <w:t xml:space="preserve"> to decouple economic and emissions growth. It also helps to protect against carbon leakage</w:t>
      </w:r>
      <w:r w:rsidR="00723CB7">
        <w:t xml:space="preserve"> overseas</w:t>
      </w:r>
      <w:r w:rsidR="008D3810">
        <w:t xml:space="preserve"> by ensuring baselines cannot be met by reducing production. A reserve w</w:t>
      </w:r>
      <w:r w:rsidR="00063B5E">
        <w:t>ould</w:t>
      </w:r>
      <w:r w:rsidR="008D3810">
        <w:t xml:space="preserve"> be built into</w:t>
      </w:r>
      <w:r w:rsidR="00723CB7">
        <w:t xml:space="preserve"> the overall </w:t>
      </w:r>
      <w:r w:rsidR="00010ED1">
        <w:t xml:space="preserve">emissions </w:t>
      </w:r>
      <w:r w:rsidR="00723CB7">
        <w:t>constraint—</w:t>
      </w:r>
      <w:r w:rsidR="008D3810">
        <w:t>and applied equally to all fa</w:t>
      </w:r>
      <w:r w:rsidR="00723CB7">
        <w:t>cilities—</w:t>
      </w:r>
      <w:r w:rsidR="008D3810">
        <w:t>to ensure the 2030 target will be met.</w:t>
      </w:r>
      <w:r w:rsidR="00323F5D">
        <w:t xml:space="preserve"> The reserve </w:t>
      </w:r>
      <w:r w:rsidR="00540098">
        <w:t>account</w:t>
      </w:r>
      <w:r w:rsidR="000B4DE0">
        <w:t>s</w:t>
      </w:r>
      <w:r w:rsidR="00540098">
        <w:t xml:space="preserve"> for higher-than-expected production growth from existing and new facilities and trade exposed baseline adjustment</w:t>
      </w:r>
      <w:r w:rsidR="00260AA8">
        <w:t>s</w:t>
      </w:r>
      <w:r w:rsidR="00540098">
        <w:t>.</w:t>
      </w:r>
    </w:p>
    <w:p w14:paraId="491D0950" w14:textId="77777777" w:rsidR="00723CB7" w:rsidRDefault="00D61E0B" w:rsidP="003C53BA">
      <w:r>
        <w:t xml:space="preserve">Consultation revealed diverse views on </w:t>
      </w:r>
      <w:r w:rsidRPr="00A9325C">
        <w:t>how</w:t>
      </w:r>
      <w:r w:rsidRPr="00A9325C">
        <w:rPr>
          <w:b/>
        </w:rPr>
        <w:t xml:space="preserve"> baselines should be set for existing facilities</w:t>
      </w:r>
      <w:r>
        <w:t>, highlighting the complexity of legacy issues stemmi</w:t>
      </w:r>
      <w:r w:rsidR="00CA27CA">
        <w:t>ng from optionality in exis</w:t>
      </w:r>
      <w:r>
        <w:t xml:space="preserve">ting arrangements. </w:t>
      </w:r>
      <w:r w:rsidR="00922E63">
        <w:t>Some</w:t>
      </w:r>
      <w:r w:rsidR="00204551">
        <w:t xml:space="preserve"> prefer</w:t>
      </w:r>
      <w:r w:rsidR="00723CB7">
        <w:t xml:space="preserve"> site-spe</w:t>
      </w:r>
      <w:r w:rsidR="00243AEF">
        <w:t>cific baselines</w:t>
      </w:r>
      <w:r w:rsidR="00A9325C">
        <w:t>,</w:t>
      </w:r>
      <w:r w:rsidR="00723CB7">
        <w:t xml:space="preserve"> which recognise individual facility circumstances</w:t>
      </w:r>
      <w:r w:rsidR="00A9325C">
        <w:t xml:space="preserve"> and keep initial </w:t>
      </w:r>
      <w:r w:rsidR="006061EC">
        <w:t>costs (exceedance)</w:t>
      </w:r>
      <w:r w:rsidR="00A9325C">
        <w:t xml:space="preserve"> and </w:t>
      </w:r>
      <w:r w:rsidR="006061EC">
        <w:t>benefits (credits)</w:t>
      </w:r>
      <w:r w:rsidR="00A9325C">
        <w:t xml:space="preserve"> low.</w:t>
      </w:r>
      <w:r w:rsidR="00723CB7">
        <w:t xml:space="preserve"> </w:t>
      </w:r>
      <w:r w:rsidR="00922E63">
        <w:t>Others</w:t>
      </w:r>
      <w:r w:rsidR="00204551">
        <w:t xml:space="preserve"> support</w:t>
      </w:r>
      <w:r w:rsidR="00723CB7">
        <w:t xml:space="preserve"> industry average benchmarks</w:t>
      </w:r>
      <w:r w:rsidR="00A9325C">
        <w:t>,</w:t>
      </w:r>
      <w:r w:rsidR="00723CB7">
        <w:t xml:space="preserve"> which hold facilities </w:t>
      </w:r>
      <w:r w:rsidR="00EF65E4">
        <w:t>producing the same outputs</w:t>
      </w:r>
      <w:r w:rsidR="00723CB7">
        <w:t xml:space="preserve"> to a common standard</w:t>
      </w:r>
      <w:r w:rsidR="00A9325C">
        <w:t>, making low emitters more competitive and best supporting the primary policy objective to reduce emissions</w:t>
      </w:r>
      <w:r w:rsidR="00723CB7">
        <w:t>.</w:t>
      </w:r>
    </w:p>
    <w:p w14:paraId="79FB2BDC" w14:textId="3FB27368" w:rsidR="008D3810" w:rsidRDefault="00D61E0B" w:rsidP="00E00DB1">
      <w:r>
        <w:t xml:space="preserve">To balance these </w:t>
      </w:r>
      <w:r w:rsidR="00393F8C">
        <w:t>considerations</w:t>
      </w:r>
      <w:r>
        <w:t xml:space="preserve">, the Government </w:t>
      </w:r>
      <w:r w:rsidR="00334EDE">
        <w:t xml:space="preserve">is seeking to </w:t>
      </w:r>
      <w:r>
        <w:t xml:space="preserve">implement a </w:t>
      </w:r>
      <w:r w:rsidRPr="00723CB7">
        <w:rPr>
          <w:b/>
        </w:rPr>
        <w:t>hybrid approach</w:t>
      </w:r>
      <w:r w:rsidR="00393F8C">
        <w:t>. Baselines w</w:t>
      </w:r>
      <w:r w:rsidR="00063B5E">
        <w:t>ould</w:t>
      </w:r>
      <w:r w:rsidR="00393F8C">
        <w:t xml:space="preserve"> be </w:t>
      </w:r>
      <w:r w:rsidR="00A9325C">
        <w:t>heavily weighted towards site-sp</w:t>
      </w:r>
      <w:r w:rsidR="00243AEF">
        <w:t xml:space="preserve">ecific </w:t>
      </w:r>
      <w:r w:rsidR="00393F8C">
        <w:t xml:space="preserve">levels </w:t>
      </w:r>
      <w:r w:rsidR="00A9325C">
        <w:t xml:space="preserve">at scheme commencement, </w:t>
      </w:r>
      <w:r w:rsidR="00897784">
        <w:t>and</w:t>
      </w:r>
      <w:r w:rsidR="00A9325C">
        <w:t xml:space="preserve"> transition to industry average benchmarks by </w:t>
      </w:r>
      <w:r w:rsidR="00A9325C" w:rsidRPr="001811DF">
        <w:t xml:space="preserve">2030. </w:t>
      </w:r>
      <w:r w:rsidR="00723CB7" w:rsidRPr="001811DF">
        <w:t>This</w:t>
      </w:r>
      <w:r w:rsidRPr="001811DF">
        <w:t xml:space="preserve"> </w:t>
      </w:r>
      <w:r w:rsidRPr="007F654B">
        <w:t>ensure</w:t>
      </w:r>
      <w:r w:rsidR="00AF3E0D" w:rsidRPr="007F654B">
        <w:t>s</w:t>
      </w:r>
      <w:r w:rsidRPr="007F654B">
        <w:t xml:space="preserve"> </w:t>
      </w:r>
      <w:r w:rsidRPr="001811DF">
        <w:t xml:space="preserve">long term policy </w:t>
      </w:r>
      <w:r w:rsidR="00723CB7" w:rsidRPr="001811DF">
        <w:t>setting</w:t>
      </w:r>
      <w:r w:rsidR="006061EC" w:rsidRPr="001811DF">
        <w:t>s</w:t>
      </w:r>
      <w:r w:rsidR="00723CB7" w:rsidRPr="00DA55FA">
        <w:t xml:space="preserve"> are</w:t>
      </w:r>
      <w:r w:rsidRPr="007F654B">
        <w:t xml:space="preserve"> efficient—making use of all available abatement opportunities</w:t>
      </w:r>
      <w:r w:rsidR="002846F2" w:rsidRPr="007F654B">
        <w:t>—</w:t>
      </w:r>
      <w:r w:rsidR="006456B0" w:rsidRPr="007F654B">
        <w:t xml:space="preserve">while introducing obligations </w:t>
      </w:r>
      <w:r w:rsidR="00723CB7" w:rsidRPr="007F654B">
        <w:t>in manageable increments, giving businesses sufficient time to plan and implement emissions reduction projects.</w:t>
      </w:r>
      <w:r w:rsidR="00897784" w:rsidRPr="007F654B">
        <w:t xml:space="preserve"> The hybrid approach </w:t>
      </w:r>
      <w:r w:rsidR="002846F2" w:rsidRPr="007F654B">
        <w:t>reduce</w:t>
      </w:r>
      <w:r w:rsidR="00AF3E0D" w:rsidRPr="007F654B">
        <w:t>s</w:t>
      </w:r>
      <w:r w:rsidR="002846F2">
        <w:t xml:space="preserve"> emissions by the same amount a</w:t>
      </w:r>
      <w:r w:rsidR="00897784">
        <w:t xml:space="preserve">s other </w:t>
      </w:r>
      <w:r w:rsidR="006456B0">
        <w:t>approaches</w:t>
      </w:r>
      <w:r w:rsidR="002846F2">
        <w:t>—</w:t>
      </w:r>
      <w:r w:rsidR="00652030">
        <w:t xml:space="preserve">delivering a proportional share of national emissions </w:t>
      </w:r>
      <w:r w:rsidR="00652030" w:rsidRPr="001811DF">
        <w:t>targets</w:t>
      </w:r>
      <w:r w:rsidR="00952590" w:rsidRPr="001811DF">
        <w:t xml:space="preserve"> to 2030</w:t>
      </w:r>
      <w:r w:rsidR="002846F2" w:rsidRPr="001811DF">
        <w:t>.</w:t>
      </w:r>
      <w:r w:rsidR="00897784" w:rsidRPr="00DA55FA">
        <w:t xml:space="preserve"> </w:t>
      </w:r>
      <w:r w:rsidR="002846F2" w:rsidRPr="00DA55FA">
        <w:t xml:space="preserve">It </w:t>
      </w:r>
      <w:r w:rsidR="002846F2" w:rsidRPr="007F654B">
        <w:t>also</w:t>
      </w:r>
      <w:r w:rsidR="00897784" w:rsidRPr="007F654B">
        <w:t xml:space="preserve"> remove</w:t>
      </w:r>
      <w:r w:rsidR="00AF3E0D" w:rsidRPr="007F654B">
        <w:t>s</w:t>
      </w:r>
      <w:r w:rsidR="00897784">
        <w:t xml:space="preserve"> </w:t>
      </w:r>
      <w:r w:rsidR="00323F5D">
        <w:t>aggregate</w:t>
      </w:r>
      <w:r w:rsidR="00897784">
        <w:t xml:space="preserve"> headroom, allowing for crediting and trading to begin at scheme commencement. </w:t>
      </w:r>
    </w:p>
    <w:p w14:paraId="33CE830B" w14:textId="1F27BD11" w:rsidR="008949A5" w:rsidRDefault="008A15A9" w:rsidP="003C53BA">
      <w:r>
        <w:t xml:space="preserve">New facilities have the opportunity to use the latest technology and build world’s best practice emissions performance into their design. </w:t>
      </w:r>
      <w:r w:rsidR="003D69D7">
        <w:t>Their baselines</w:t>
      </w:r>
      <w:r w:rsidR="008949A5">
        <w:t xml:space="preserve"> w</w:t>
      </w:r>
      <w:r w:rsidR="00063B5E">
        <w:t>ould</w:t>
      </w:r>
      <w:r w:rsidR="008949A5">
        <w:t xml:space="preserve"> be set at </w:t>
      </w:r>
      <w:r w:rsidR="008949A5" w:rsidRPr="008949A5">
        <w:rPr>
          <w:b/>
        </w:rPr>
        <w:t>international best practice</w:t>
      </w:r>
      <w:r w:rsidR="00922E63">
        <w:rPr>
          <w:b/>
        </w:rPr>
        <w:t>,</w:t>
      </w:r>
      <w:r w:rsidR="00922E63" w:rsidRPr="00922E63">
        <w:t xml:space="preserve"> </w:t>
      </w:r>
      <w:r w:rsidR="00922E63">
        <w:t>adapted for an Australian context</w:t>
      </w:r>
      <w:r w:rsidR="008949A5">
        <w:t>.</w:t>
      </w:r>
      <w:r w:rsidR="00B67392">
        <w:t xml:space="preserve"> </w:t>
      </w:r>
      <w:r w:rsidR="00B25298">
        <w:t>This sends</w:t>
      </w:r>
      <w:r>
        <w:t xml:space="preserve"> a strong signal to investors </w:t>
      </w:r>
      <w:r w:rsidR="006456B0">
        <w:t xml:space="preserve">that </w:t>
      </w:r>
      <w:r>
        <w:t>Australia</w:t>
      </w:r>
      <w:r w:rsidR="006456B0">
        <w:t xml:space="preserve"> is serious about </w:t>
      </w:r>
      <w:r>
        <w:t>net zero</w:t>
      </w:r>
      <w:r w:rsidR="006456B0">
        <w:t>,</w:t>
      </w:r>
      <w:r>
        <w:t xml:space="preserve"> and new </w:t>
      </w:r>
      <w:r w:rsidR="00F72CF6">
        <w:t>investments</w:t>
      </w:r>
      <w:r>
        <w:t xml:space="preserve"> must support this goal. </w:t>
      </w:r>
      <w:r w:rsidR="00922E63">
        <w:t xml:space="preserve">Noting that international best practice emissions intensity values </w:t>
      </w:r>
      <w:r w:rsidR="002F07B0">
        <w:t>need further definition</w:t>
      </w:r>
      <w:r w:rsidR="00922E63">
        <w:t xml:space="preserve">, the Government </w:t>
      </w:r>
      <w:r w:rsidR="002E1350">
        <w:t>would</w:t>
      </w:r>
      <w:r w:rsidR="00922E63">
        <w:t xml:space="preserve"> </w:t>
      </w:r>
      <w:r w:rsidR="00135F96">
        <w:t xml:space="preserve">apply </w:t>
      </w:r>
      <w:r w:rsidR="002A7661">
        <w:t>the new entrant definition</w:t>
      </w:r>
      <w:r w:rsidR="00922E63">
        <w:t xml:space="preserve"> from 1 July 2023, consistent with </w:t>
      </w:r>
      <w:r w:rsidR="00700020">
        <w:t>commencement</w:t>
      </w:r>
      <w:r w:rsidR="00922E63">
        <w:t xml:space="preserve"> of other Safeguard Mechanism reforms. </w:t>
      </w:r>
    </w:p>
    <w:p w14:paraId="14861B09" w14:textId="77777777" w:rsidR="00204551" w:rsidRDefault="00DD7769" w:rsidP="00E00DB1">
      <w:pPr>
        <w:pStyle w:val="Heading4"/>
      </w:pPr>
      <w:r>
        <w:t>Flexible c</w:t>
      </w:r>
      <w:r w:rsidR="00204551">
        <w:t>ompliance</w:t>
      </w:r>
      <w:r>
        <w:t xml:space="preserve"> arrangement</w:t>
      </w:r>
      <w:r w:rsidR="00005EE1">
        <w:t>s</w:t>
      </w:r>
    </w:p>
    <w:p w14:paraId="77C7DA2B" w14:textId="77777777" w:rsidR="007426E4" w:rsidRDefault="00C9501E" w:rsidP="003C53BA">
      <w:r>
        <w:t xml:space="preserve">Ensuring businesses have a range of options available to them to meet their </w:t>
      </w:r>
      <w:r w:rsidR="00C409ED">
        <w:t>baseline</w:t>
      </w:r>
      <w:r>
        <w:t xml:space="preserve"> is</w:t>
      </w:r>
      <w:r w:rsidR="007426E4">
        <w:t xml:space="preserve"> important to scheme efficiency. </w:t>
      </w:r>
      <w:r>
        <w:t>It</w:t>
      </w:r>
      <w:r w:rsidR="007426E4">
        <w:t xml:space="preserve"> can help </w:t>
      </w:r>
      <w:r w:rsidR="00C409ED">
        <w:t xml:space="preserve">reduce compliance costs for </w:t>
      </w:r>
      <w:r w:rsidR="007426E4">
        <w:t>Safeguard facilities</w:t>
      </w:r>
      <w:r w:rsidR="00B92A00">
        <w:t>, without jeopa</w:t>
      </w:r>
      <w:r w:rsidR="007426E4">
        <w:t xml:space="preserve">rdising </w:t>
      </w:r>
      <w:r w:rsidR="007426E4">
        <w:lastRenderedPageBreak/>
        <w:t xml:space="preserve">scheme effectiveness—that is, while ensuring the emissions target is met. Under current arrangements, businesses can </w:t>
      </w:r>
      <w:r w:rsidR="006061EC">
        <w:t>meet their baseline by reducing</w:t>
      </w:r>
      <w:r w:rsidR="007426E4">
        <w:t xml:space="preserve"> emissions on-site or buy</w:t>
      </w:r>
      <w:r w:rsidR="006061EC">
        <w:t>ing</w:t>
      </w:r>
      <w:r w:rsidR="007426E4">
        <w:t xml:space="preserve"> and surrender</w:t>
      </w:r>
      <w:r w:rsidR="006061EC">
        <w:t>ing domestic</w:t>
      </w:r>
      <w:r w:rsidR="007426E4">
        <w:t xml:space="preserve"> offsets, in the form of Australian Carbon Credit Unit (ACCUs</w:t>
      </w:r>
      <w:r w:rsidR="006061EC">
        <w:t>)</w:t>
      </w:r>
      <w:r w:rsidR="007426E4">
        <w:t>. Multi-year monitoring is available on application to help facilities manage year-on-year fluctuations in emissions.</w:t>
      </w:r>
    </w:p>
    <w:p w14:paraId="4909A2C6" w14:textId="77777777" w:rsidR="000F4252" w:rsidRDefault="007426E4" w:rsidP="003C53BA">
      <w:r>
        <w:t xml:space="preserve">The </w:t>
      </w:r>
      <w:r w:rsidR="0097220A">
        <w:t xml:space="preserve">Government will expand access to flexible compliance </w:t>
      </w:r>
      <w:r w:rsidR="00756BB8">
        <w:t>arrangements</w:t>
      </w:r>
      <w:r w:rsidR="0097220A">
        <w:t xml:space="preserve"> by introducing </w:t>
      </w:r>
      <w:r w:rsidR="00C409ED" w:rsidRPr="00907B0C">
        <w:rPr>
          <w:b/>
        </w:rPr>
        <w:t>Safeguard</w:t>
      </w:r>
      <w:r w:rsidR="00C409ED">
        <w:t xml:space="preserve"> </w:t>
      </w:r>
      <w:r w:rsidR="0097220A" w:rsidRPr="0097220A">
        <w:rPr>
          <w:b/>
        </w:rPr>
        <w:t>crediting and trading</w:t>
      </w:r>
      <w:r w:rsidR="0097220A">
        <w:t xml:space="preserve"> from </w:t>
      </w:r>
      <w:r w:rsidR="009050C6">
        <w:t>1 July 2023</w:t>
      </w:r>
      <w:r w:rsidR="0097220A">
        <w:t xml:space="preserve">. </w:t>
      </w:r>
      <w:r w:rsidR="00C9501E">
        <w:t xml:space="preserve">Safeguard facilities </w:t>
      </w:r>
      <w:r w:rsidR="008F2F77">
        <w:t>will</w:t>
      </w:r>
      <w:r w:rsidR="00C9501E">
        <w:t xml:space="preserve"> earn </w:t>
      </w:r>
      <w:r w:rsidR="008F2F77">
        <w:t xml:space="preserve">tradable </w:t>
      </w:r>
      <w:r w:rsidR="00C9501E">
        <w:t xml:space="preserve">credits </w:t>
      </w:r>
      <w:r w:rsidR="00907B0C">
        <w:t>when</w:t>
      </w:r>
      <w:r w:rsidR="00C409ED">
        <w:t xml:space="preserve"> </w:t>
      </w:r>
      <w:r w:rsidR="00C9501E">
        <w:t xml:space="preserve">their emissions </w:t>
      </w:r>
      <w:r w:rsidR="00C409ED">
        <w:t xml:space="preserve">are </w:t>
      </w:r>
      <w:r w:rsidR="00C9501E">
        <w:t xml:space="preserve">below their baseline—that is, for over-performing on their individual </w:t>
      </w:r>
      <w:r w:rsidR="00907B0C">
        <w:t>emissions limit</w:t>
      </w:r>
      <w:r w:rsidR="00C9501E">
        <w:t xml:space="preserve">. </w:t>
      </w:r>
      <w:r w:rsidR="0097220A">
        <w:t xml:space="preserve">This will </w:t>
      </w:r>
      <w:r w:rsidR="00C9501E">
        <w:t>encourage facilities with lo</w:t>
      </w:r>
      <w:r w:rsidR="008F2F77">
        <w:t>w cost abatement to do more. A</w:t>
      </w:r>
      <w:r w:rsidR="00C9501E">
        <w:t>nd help</w:t>
      </w:r>
      <w:r w:rsidR="000F4252">
        <w:t xml:space="preserve"> businesses</w:t>
      </w:r>
      <w:r w:rsidR="0097220A">
        <w:t xml:space="preserve"> </w:t>
      </w:r>
      <w:r w:rsidR="00C9501E">
        <w:t>whose abatement i</w:t>
      </w:r>
      <w:r w:rsidR="008F2F77">
        <w:t>s more expensive—t</w:t>
      </w:r>
      <w:r w:rsidR="00C9501E">
        <w:t>hey can purchase credits</w:t>
      </w:r>
      <w:r w:rsidR="0097220A">
        <w:t xml:space="preserve"> from other Safeguard facilities</w:t>
      </w:r>
      <w:r>
        <w:t xml:space="preserve"> </w:t>
      </w:r>
      <w:r w:rsidR="00C9501E">
        <w:t>if it</w:t>
      </w:r>
      <w:r w:rsidR="00E00DB1">
        <w:t xml:space="preserve"> </w:t>
      </w:r>
      <w:r>
        <w:t xml:space="preserve">is cheaper </w:t>
      </w:r>
      <w:r w:rsidR="00C9501E">
        <w:t xml:space="preserve">than reducing </w:t>
      </w:r>
      <w:r w:rsidR="008F2F77">
        <w:t xml:space="preserve">their own </w:t>
      </w:r>
      <w:r w:rsidR="00C9501E">
        <w:t xml:space="preserve">emissions on-site. This </w:t>
      </w:r>
      <w:r w:rsidR="008F2F77">
        <w:t>lowers</w:t>
      </w:r>
      <w:r w:rsidR="00C9501E">
        <w:t xml:space="preserve"> </w:t>
      </w:r>
      <w:r>
        <w:t xml:space="preserve">the overall costs to the economy of meeting </w:t>
      </w:r>
      <w:r w:rsidR="000F4252">
        <w:t>Australia’s climate goals</w:t>
      </w:r>
      <w:r w:rsidR="00C9501E">
        <w:t>,</w:t>
      </w:r>
      <w:r w:rsidR="004866BC">
        <w:t xml:space="preserve"> while delivering the same volume of abatement</w:t>
      </w:r>
      <w:r>
        <w:t>.</w:t>
      </w:r>
      <w:r w:rsidR="00A21EE3">
        <w:t xml:space="preserve"> </w:t>
      </w:r>
      <w:r w:rsidR="005C596C">
        <w:t>Safeguard Mechanism Credits (SMCs)</w:t>
      </w:r>
      <w:r w:rsidR="003055DA">
        <w:t xml:space="preserve"> will be automatically generated when emissions are below baselines</w:t>
      </w:r>
      <w:r w:rsidR="00A21EE3">
        <w:t>.</w:t>
      </w:r>
      <w:r w:rsidR="00811E7B">
        <w:t xml:space="preserve"> </w:t>
      </w:r>
    </w:p>
    <w:p w14:paraId="11B66936" w14:textId="528CF311" w:rsidR="002F07B0" w:rsidRDefault="000F4252" w:rsidP="00BE7B10">
      <w:pPr>
        <w:keepNext/>
        <w:keepLines/>
      </w:pPr>
      <w:r>
        <w:t xml:space="preserve">Access to </w:t>
      </w:r>
      <w:r w:rsidRPr="000F4252">
        <w:rPr>
          <w:b/>
        </w:rPr>
        <w:t>domestic offsets (ACCUs)</w:t>
      </w:r>
      <w:r>
        <w:t xml:space="preserve"> w</w:t>
      </w:r>
      <w:r w:rsidR="00E34150">
        <w:t>ould</w:t>
      </w:r>
      <w:r>
        <w:t xml:space="preserve"> continue unchanged. This allows businesses to access cost</w:t>
      </w:r>
      <w:r w:rsidR="002A7661">
        <w:t>-effective</w:t>
      </w:r>
      <w:r>
        <w:t xml:space="preserve"> abatement outside the scheme—for example, in agriculture and land management. </w:t>
      </w:r>
      <w:r w:rsidR="00301ED4">
        <w:t xml:space="preserve">Implementing the recommendations of the independent review of ACCUs will ensure the integrity of this abatement. </w:t>
      </w:r>
    </w:p>
    <w:p w14:paraId="1DEF09F2" w14:textId="68C4CB0B" w:rsidR="000F4252" w:rsidRDefault="009050C6" w:rsidP="00BE7B10">
      <w:pPr>
        <w:keepNext/>
        <w:keepLines/>
      </w:pPr>
      <w:r w:rsidRPr="001811DF">
        <w:t>T</w:t>
      </w:r>
      <w:r w:rsidR="000F4252" w:rsidRPr="001811DF">
        <w:t>o avoid double counting</w:t>
      </w:r>
      <w:r w:rsidR="00404313" w:rsidRPr="001811DF">
        <w:t xml:space="preserve"> and integrity </w:t>
      </w:r>
      <w:r w:rsidR="00404313" w:rsidRPr="00DA55FA">
        <w:t>issues</w:t>
      </w:r>
      <w:r w:rsidR="00C409ED" w:rsidRPr="00DA55FA">
        <w:t>,</w:t>
      </w:r>
      <w:r w:rsidR="000F4252" w:rsidRPr="00DA55FA">
        <w:t xml:space="preserve"> </w:t>
      </w:r>
      <w:r w:rsidR="000F4252" w:rsidRPr="007F654B">
        <w:t xml:space="preserve">Safeguard facilities </w:t>
      </w:r>
      <w:r w:rsidR="00AF3E0D" w:rsidRPr="007F654B">
        <w:t xml:space="preserve">would </w:t>
      </w:r>
      <w:r w:rsidR="000F4252" w:rsidRPr="007F654B">
        <w:t>no l</w:t>
      </w:r>
      <w:r w:rsidR="00E00DB1" w:rsidRPr="007F654B">
        <w:t>onger</w:t>
      </w:r>
      <w:r w:rsidR="00E00DB1">
        <w:t xml:space="preserve"> </w:t>
      </w:r>
      <w:r w:rsidR="00B469B9">
        <w:t>generate</w:t>
      </w:r>
      <w:r w:rsidR="00E00DB1">
        <w:t xml:space="preserve"> </w:t>
      </w:r>
      <w:r w:rsidR="00C409ED">
        <w:t>ACCUs</w:t>
      </w:r>
      <w:r w:rsidR="00B469B9">
        <w:t xml:space="preserve"> in future</w:t>
      </w:r>
      <w:r w:rsidR="00E00DB1">
        <w:t>, subject to the following</w:t>
      </w:r>
      <w:r w:rsidR="000F4252">
        <w:t xml:space="preserve"> transitiona</w:t>
      </w:r>
      <w:r w:rsidR="00E00DB1">
        <w:t>l arrangements:</w:t>
      </w:r>
    </w:p>
    <w:p w14:paraId="765D4DC5" w14:textId="0BAF7710" w:rsidR="00E00DB1" w:rsidRDefault="00E00DB1" w:rsidP="0059378F">
      <w:pPr>
        <w:pStyle w:val="ListParagraph"/>
        <w:numPr>
          <w:ilvl w:val="0"/>
          <w:numId w:val="13"/>
        </w:numPr>
        <w:ind w:left="425" w:hanging="425"/>
        <w:contextualSpacing w:val="0"/>
      </w:pPr>
      <w:r>
        <w:rPr>
          <w:b/>
        </w:rPr>
        <w:t>N</w:t>
      </w:r>
      <w:r w:rsidRPr="00E00DB1">
        <w:rPr>
          <w:b/>
        </w:rPr>
        <w:t xml:space="preserve">ew </w:t>
      </w:r>
      <w:r w:rsidDel="001A6E82">
        <w:rPr>
          <w:b/>
        </w:rPr>
        <w:t xml:space="preserve">ERF </w:t>
      </w:r>
      <w:r w:rsidRPr="00E00DB1">
        <w:rPr>
          <w:b/>
        </w:rPr>
        <w:t>projects</w:t>
      </w:r>
      <w:r>
        <w:t xml:space="preserve">: </w:t>
      </w:r>
      <w:r w:rsidR="00782094" w:rsidDel="001A6E82">
        <w:t xml:space="preserve">Emissions Reduction Fund </w:t>
      </w:r>
      <w:r w:rsidR="000F4252" w:rsidRPr="00E00DB1" w:rsidDel="001A6E82">
        <w:t>p</w:t>
      </w:r>
      <w:r w:rsidR="000F4252" w:rsidRPr="00E00DB1" w:rsidDel="00782094">
        <w:t>rojects</w:t>
      </w:r>
      <w:r w:rsidR="000F4252" w:rsidDel="00782094">
        <w:t xml:space="preserve"> </w:t>
      </w:r>
      <w:r w:rsidR="000F4252">
        <w:t>that reduce covered emissions</w:t>
      </w:r>
      <w:r w:rsidR="00782094">
        <w:t xml:space="preserve"> at a Safeguard facility</w:t>
      </w:r>
      <w:r w:rsidR="00554C5F">
        <w:t xml:space="preserve"> </w:t>
      </w:r>
      <w:r w:rsidR="00065494">
        <w:t xml:space="preserve">will </w:t>
      </w:r>
      <w:r w:rsidR="000F4252">
        <w:t>no longer be able to</w:t>
      </w:r>
      <w:r w:rsidR="00782094">
        <w:t xml:space="preserve"> be</w:t>
      </w:r>
      <w:r w:rsidR="000F4252">
        <w:t xml:space="preserve"> register</w:t>
      </w:r>
      <w:r w:rsidR="00782094">
        <w:t>ed</w:t>
      </w:r>
      <w:r w:rsidR="001A6E82">
        <w:t xml:space="preserve"> to create ACCUs</w:t>
      </w:r>
      <w:r w:rsidR="000F4252">
        <w:t xml:space="preserve">. </w:t>
      </w:r>
      <w:r w:rsidR="00C14C72">
        <w:t>Safeguard facilities</w:t>
      </w:r>
      <w:r w:rsidR="000F4252">
        <w:t xml:space="preserve"> can still</w:t>
      </w:r>
      <w:r w:rsidR="00987870">
        <w:t xml:space="preserve"> register </w:t>
      </w:r>
      <w:r w:rsidR="006F1BD2">
        <w:t>projects which do not relate to covered emissions, for example</w:t>
      </w:r>
      <w:r w:rsidR="00987870">
        <w:t xml:space="preserve"> land sector projects </w:t>
      </w:r>
      <w:r w:rsidR="000F4252">
        <w:t xml:space="preserve">and projects that reduce electricity use (scope 2 emissions). </w:t>
      </w:r>
    </w:p>
    <w:p w14:paraId="747D7BFE" w14:textId="1CB24F9C" w:rsidR="00E00DB1" w:rsidRDefault="00E00DB1" w:rsidP="0059378F">
      <w:pPr>
        <w:pStyle w:val="ListParagraph"/>
        <w:numPr>
          <w:ilvl w:val="0"/>
          <w:numId w:val="13"/>
        </w:numPr>
        <w:ind w:left="425" w:hanging="425"/>
        <w:contextualSpacing w:val="0"/>
      </w:pPr>
      <w:r w:rsidRPr="00E00DB1">
        <w:rPr>
          <w:b/>
        </w:rPr>
        <w:t>Existing</w:t>
      </w:r>
      <w:r w:rsidR="001A6E82">
        <w:rPr>
          <w:b/>
        </w:rPr>
        <w:t xml:space="preserve"> </w:t>
      </w:r>
      <w:r w:rsidDel="001A6E82">
        <w:rPr>
          <w:b/>
        </w:rPr>
        <w:t xml:space="preserve">ERF </w:t>
      </w:r>
      <w:r w:rsidRPr="00E00DB1">
        <w:rPr>
          <w:b/>
        </w:rPr>
        <w:t>projects</w:t>
      </w:r>
      <w:r>
        <w:t xml:space="preserve">: </w:t>
      </w:r>
      <w:r w:rsidR="000F4252">
        <w:t>Projects that are already register</w:t>
      </w:r>
      <w:r w:rsidR="000D5159">
        <w:t>ed</w:t>
      </w:r>
      <w:r w:rsidR="000F4252">
        <w:t xml:space="preserve"> </w:t>
      </w:r>
      <w:r w:rsidR="00782094">
        <w:t xml:space="preserve">that reduce covered emissions at a Safeguard facility </w:t>
      </w:r>
      <w:r w:rsidR="00E14D81">
        <w:t xml:space="preserve">can continue to generate </w:t>
      </w:r>
      <w:r w:rsidR="00984750">
        <w:t xml:space="preserve">and sell </w:t>
      </w:r>
      <w:r w:rsidR="007864A8">
        <w:t xml:space="preserve">ACCUs </w:t>
      </w:r>
      <w:r w:rsidR="00E14D81">
        <w:t>for their existing crediting period,</w:t>
      </w:r>
      <w:r w:rsidR="00317E21">
        <w:t xml:space="preserve"> but </w:t>
      </w:r>
      <w:r w:rsidR="000F4252">
        <w:t>w</w:t>
      </w:r>
      <w:r w:rsidR="00E34150">
        <w:t>ould</w:t>
      </w:r>
      <w:r w:rsidR="000F4252">
        <w:t xml:space="preserve"> not be able to </w:t>
      </w:r>
      <w:r w:rsidR="00E14D81">
        <w:t xml:space="preserve">enter into </w:t>
      </w:r>
      <w:r w:rsidR="00005EE1">
        <w:t xml:space="preserve">new </w:t>
      </w:r>
      <w:r w:rsidR="00E14D81">
        <w:t>contracts for Government purchase of ACCUs</w:t>
      </w:r>
      <w:r w:rsidR="00C85FBB">
        <w:t xml:space="preserve"> or extend their crediting periods</w:t>
      </w:r>
      <w:r w:rsidR="000F4252">
        <w:t>.</w:t>
      </w:r>
      <w:r w:rsidR="00E14D81">
        <w:t xml:space="preserve"> </w:t>
      </w:r>
      <w:r w:rsidR="00984750">
        <w:t>‘</w:t>
      </w:r>
      <w:r w:rsidR="00317E21">
        <w:t>D</w:t>
      </w:r>
      <w:r w:rsidR="00E14D81">
        <w:t>ouble counting</w:t>
      </w:r>
      <w:r w:rsidR="00984750">
        <w:t>’</w:t>
      </w:r>
      <w:r w:rsidR="00E14D81">
        <w:t xml:space="preserve"> provisions will be retained to prevent </w:t>
      </w:r>
      <w:r w:rsidR="00984750">
        <w:t>the abatement</w:t>
      </w:r>
      <w:r w:rsidR="00E14D81">
        <w:t xml:space="preserve"> being counted twice.</w:t>
      </w:r>
      <w:r w:rsidR="000F4252">
        <w:t xml:space="preserve"> </w:t>
      </w:r>
    </w:p>
    <w:p w14:paraId="0D0AC22D" w14:textId="6F4DB06A" w:rsidR="000F4252" w:rsidRDefault="00E00DB1" w:rsidP="0059378F">
      <w:pPr>
        <w:pStyle w:val="ListParagraph"/>
        <w:numPr>
          <w:ilvl w:val="0"/>
          <w:numId w:val="13"/>
        </w:numPr>
        <w:ind w:left="425" w:hanging="425"/>
        <w:contextualSpacing w:val="0"/>
      </w:pPr>
      <w:r w:rsidRPr="00E00DB1">
        <w:rPr>
          <w:b/>
        </w:rPr>
        <w:t xml:space="preserve">Existing </w:t>
      </w:r>
      <w:r w:rsidR="007864A8">
        <w:rPr>
          <w:b/>
        </w:rPr>
        <w:t xml:space="preserve">government purchase </w:t>
      </w:r>
      <w:r w:rsidRPr="00E00DB1">
        <w:rPr>
          <w:b/>
        </w:rPr>
        <w:t>contracts</w:t>
      </w:r>
      <w:r>
        <w:t xml:space="preserve">: Existing </w:t>
      </w:r>
      <w:r w:rsidR="000F4252">
        <w:t xml:space="preserve">contracts </w:t>
      </w:r>
      <w:r w:rsidR="002A7661">
        <w:t xml:space="preserve">for Government purchase of ACCUs </w:t>
      </w:r>
      <w:r w:rsidR="000F4252">
        <w:t xml:space="preserve">will remain in place, and </w:t>
      </w:r>
      <w:r w:rsidR="00984750">
        <w:t>‘</w:t>
      </w:r>
      <w:r w:rsidR="000F4252">
        <w:t>deemed surrender</w:t>
      </w:r>
      <w:r w:rsidR="00984750">
        <w:t>’</w:t>
      </w:r>
      <w:r w:rsidR="000F4252">
        <w:t xml:space="preserve"> provisions w</w:t>
      </w:r>
      <w:r w:rsidR="00E34150">
        <w:t>ould</w:t>
      </w:r>
      <w:r w:rsidR="000F4252">
        <w:t xml:space="preserve"> be grandfathered </w:t>
      </w:r>
      <w:r w:rsidR="00102126">
        <w:t>for two years</w:t>
      </w:r>
      <w:r w:rsidR="000D5159">
        <w:t xml:space="preserve">. This means </w:t>
      </w:r>
      <w:r w:rsidR="000F4252">
        <w:t>facilities</w:t>
      </w:r>
      <w:r w:rsidR="000D5159">
        <w:t xml:space="preserve"> with existing contracts</w:t>
      </w:r>
      <w:r w:rsidR="000F4252">
        <w:t xml:space="preserve"> can continue to sell the</w:t>
      </w:r>
      <w:r w:rsidR="007864A8">
        <w:t>ir ACCUs</w:t>
      </w:r>
      <w:r w:rsidR="000F4252">
        <w:t xml:space="preserve"> to the Gover</w:t>
      </w:r>
      <w:r w:rsidR="000D5159">
        <w:t>nment for the contract duration, but c</w:t>
      </w:r>
      <w:r w:rsidR="007F654B">
        <w:t>ould</w:t>
      </w:r>
      <w:r w:rsidR="000D5159">
        <w:t xml:space="preserve"> only </w:t>
      </w:r>
      <w:r w:rsidR="000F4252">
        <w:t xml:space="preserve">count the </w:t>
      </w:r>
      <w:r w:rsidR="001A6E82">
        <w:t xml:space="preserve">associated </w:t>
      </w:r>
      <w:r w:rsidR="000F4252">
        <w:t>abatement towards their b</w:t>
      </w:r>
      <w:r w:rsidR="000D5159">
        <w:t xml:space="preserve">aseline for the first </w:t>
      </w:r>
      <w:r w:rsidR="00102126">
        <w:t>two</w:t>
      </w:r>
      <w:r w:rsidR="000D5159">
        <w:t xml:space="preserve"> years</w:t>
      </w:r>
      <w:r w:rsidR="000F4252">
        <w:t xml:space="preserve">. </w:t>
      </w:r>
    </w:p>
    <w:p w14:paraId="70C7F869" w14:textId="6537942D" w:rsidR="00FC1F07" w:rsidRDefault="009050C6" w:rsidP="00C53E5A">
      <w:pPr>
        <w:keepLines/>
      </w:pPr>
      <w:r>
        <w:t>Consultation revealed support</w:t>
      </w:r>
      <w:r w:rsidR="003055DA">
        <w:t xml:space="preserve"> from Safeguard facilities for access to high quality </w:t>
      </w:r>
      <w:r w:rsidR="003055DA" w:rsidRPr="003055DA">
        <w:rPr>
          <w:b/>
        </w:rPr>
        <w:t>international offsets</w:t>
      </w:r>
      <w:r w:rsidR="003055DA">
        <w:t xml:space="preserve">. </w:t>
      </w:r>
      <w:r w:rsidR="00935A39">
        <w:t xml:space="preserve">A key consideration for Safeguard reform is to drive the transformation of </w:t>
      </w:r>
      <w:r w:rsidR="00E2167B">
        <w:t xml:space="preserve">Australia’s </w:t>
      </w:r>
      <w:r w:rsidR="00935A39">
        <w:t xml:space="preserve">economy, </w:t>
      </w:r>
      <w:r w:rsidR="002F07B0">
        <w:t>including</w:t>
      </w:r>
      <w:r w:rsidR="00301ED4">
        <w:t xml:space="preserve"> through</w:t>
      </w:r>
      <w:r w:rsidR="002F07B0">
        <w:t xml:space="preserve"> the domestic carbon market, </w:t>
      </w:r>
      <w:r w:rsidR="009278B1">
        <w:t xml:space="preserve">delivering jobs and enhancing Australia’s competitiveness as the world moves to net zero. </w:t>
      </w:r>
      <w:r w:rsidR="00B469B9">
        <w:t xml:space="preserve">In response to feedback, </w:t>
      </w:r>
      <w:r w:rsidR="00935A39">
        <w:t xml:space="preserve">the Government </w:t>
      </w:r>
      <w:r w:rsidR="00984750">
        <w:t>will</w:t>
      </w:r>
      <w:r w:rsidR="00935A39">
        <w:t xml:space="preserve"> consider the use of international offsets that have high integrity and contribute to Australia’s international climate targets. </w:t>
      </w:r>
      <w:r w:rsidR="002F07B0">
        <w:t>I</w:t>
      </w:r>
      <w:r w:rsidR="00FC1F07">
        <w:t>n 2023</w:t>
      </w:r>
      <w:r w:rsidR="00FC0F35">
        <w:t xml:space="preserve"> the Government </w:t>
      </w:r>
      <w:r w:rsidR="00FC1F07">
        <w:t>will consult</w:t>
      </w:r>
      <w:r w:rsidR="00FC0F35">
        <w:t xml:space="preserve"> on amending legislation </w:t>
      </w:r>
      <w:r w:rsidR="00B469B9">
        <w:t xml:space="preserve">that enables </w:t>
      </w:r>
      <w:r w:rsidR="00FC0F35">
        <w:t xml:space="preserve">high integrity international units to be </w:t>
      </w:r>
      <w:r w:rsidR="00FC1F07">
        <w:t xml:space="preserve">included in the Australian National Registry of Emissions Units and provide a mechanism for such units </w:t>
      </w:r>
      <w:r w:rsidR="001254C1">
        <w:t xml:space="preserve">to be </w:t>
      </w:r>
      <w:r w:rsidR="00FC0F35">
        <w:t xml:space="preserve">used for compliance at </w:t>
      </w:r>
      <w:r w:rsidR="00FC1F07">
        <w:t>a</w:t>
      </w:r>
      <w:r w:rsidR="00FC0F35">
        <w:t xml:space="preserve"> future time</w:t>
      </w:r>
      <w:r w:rsidR="002A7661">
        <w:t xml:space="preserve"> if warranted</w:t>
      </w:r>
      <w:r w:rsidR="00FC0F35">
        <w:t>.</w:t>
      </w:r>
    </w:p>
    <w:p w14:paraId="4291B999" w14:textId="484A3C5B" w:rsidR="000842BC" w:rsidRDefault="00984750" w:rsidP="00323F5D">
      <w:pPr>
        <w:keepLines/>
      </w:pPr>
      <w:r>
        <w:lastRenderedPageBreak/>
        <w:t>Arrangements</w:t>
      </w:r>
      <w:r w:rsidR="00063DBD">
        <w:t xml:space="preserve"> that give businesses flexibility around the timing of their </w:t>
      </w:r>
      <w:r w:rsidR="00D82D64">
        <w:t>abatement activities</w:t>
      </w:r>
      <w:r w:rsidR="00063DBD">
        <w:t xml:space="preserve"> </w:t>
      </w:r>
      <w:r>
        <w:t>can</w:t>
      </w:r>
      <w:r w:rsidR="00756BB8">
        <w:t xml:space="preserve"> help</w:t>
      </w:r>
      <w:r w:rsidR="00063DBD">
        <w:t xml:space="preserve"> </w:t>
      </w:r>
      <w:r w:rsidR="002A7661">
        <w:t xml:space="preserve">reduce </w:t>
      </w:r>
      <w:r w:rsidR="00063DBD">
        <w:t xml:space="preserve">costs. The Government proposes to provide broad access </w:t>
      </w:r>
      <w:r w:rsidR="00063DBD" w:rsidRPr="005628F9">
        <w:t>to</w:t>
      </w:r>
      <w:r w:rsidR="00063DBD" w:rsidRPr="005628F9">
        <w:rPr>
          <w:b/>
        </w:rPr>
        <w:t xml:space="preserve"> b</w:t>
      </w:r>
      <w:r w:rsidR="000842BC" w:rsidRPr="005628F9">
        <w:rPr>
          <w:b/>
        </w:rPr>
        <w:t xml:space="preserve">anking and borrowing </w:t>
      </w:r>
      <w:r w:rsidR="00F0600F">
        <w:t>arrangements</w:t>
      </w:r>
      <w:r w:rsidR="005C596C">
        <w:t xml:space="preserve"> </w:t>
      </w:r>
      <w:r w:rsidR="00063DBD">
        <w:t xml:space="preserve">to </w:t>
      </w:r>
      <w:r w:rsidR="008F2F77">
        <w:t>support</w:t>
      </w:r>
      <w:r w:rsidR="00063DBD">
        <w:t xml:space="preserve"> inter-temporal flexibility. This includ</w:t>
      </w:r>
      <w:r w:rsidR="008F2F77">
        <w:t xml:space="preserve">es full banking to 2030 </w:t>
      </w:r>
      <w:r w:rsidR="00063DBD">
        <w:t>and borrowing up to 10 </w:t>
      </w:r>
      <w:r w:rsidR="00FB3916">
        <w:t>per cent</w:t>
      </w:r>
      <w:r w:rsidR="00063DBD">
        <w:t xml:space="preserve"> </w:t>
      </w:r>
      <w:r w:rsidR="00907B0C">
        <w:t xml:space="preserve">of their baseline </w:t>
      </w:r>
      <w:r w:rsidR="00063DBD">
        <w:t xml:space="preserve">each year. </w:t>
      </w:r>
      <w:r w:rsidR="008B1291">
        <w:t>A 10 </w:t>
      </w:r>
      <w:r w:rsidR="00FB3916">
        <w:t>per cent</w:t>
      </w:r>
      <w:r w:rsidR="008B1291">
        <w:t xml:space="preserve"> interest rate </w:t>
      </w:r>
      <w:r w:rsidR="00B469B9">
        <w:t>is proposed</w:t>
      </w:r>
      <w:r w:rsidR="008B1291">
        <w:t xml:space="preserve"> </w:t>
      </w:r>
      <w:r w:rsidR="00B469B9">
        <w:t xml:space="preserve">for such </w:t>
      </w:r>
      <w:r w:rsidR="008B1291">
        <w:t xml:space="preserve">borrowing to </w:t>
      </w:r>
      <w:r w:rsidR="003B6B6E">
        <w:t xml:space="preserve">encourage its use </w:t>
      </w:r>
      <w:r w:rsidR="00323F5D">
        <w:t xml:space="preserve">only </w:t>
      </w:r>
      <w:r w:rsidR="003B6B6E">
        <w:t>when</w:t>
      </w:r>
      <w:r w:rsidR="008B1291">
        <w:t xml:space="preserve"> it is genuinely needed. </w:t>
      </w:r>
      <w:r w:rsidR="00DD7769">
        <w:t xml:space="preserve">To help manage risks associated with </w:t>
      </w:r>
      <w:r w:rsidR="00C87912">
        <w:t xml:space="preserve">banking and </w:t>
      </w:r>
      <w:r w:rsidR="00DD7769">
        <w:t xml:space="preserve">borrowing beyond 2030, the Government will consider </w:t>
      </w:r>
      <w:r w:rsidR="00C87912">
        <w:t>post-2030 arrangements</w:t>
      </w:r>
      <w:r w:rsidR="00DD7769">
        <w:t xml:space="preserve"> in </w:t>
      </w:r>
      <w:r w:rsidR="006F1BD2">
        <w:t>the</w:t>
      </w:r>
      <w:r w:rsidR="00DD7769">
        <w:t xml:space="preserve"> review of the Safeguard Mechani</w:t>
      </w:r>
      <w:r w:rsidR="00C87912">
        <w:t>sm in 2026</w:t>
      </w:r>
      <w:r w:rsidR="00A93AC0">
        <w:t>-27</w:t>
      </w:r>
      <w:r w:rsidR="00DD7769">
        <w:t xml:space="preserve">. </w:t>
      </w:r>
    </w:p>
    <w:p w14:paraId="6B89FA52" w14:textId="0A5FDF79" w:rsidR="000842BC" w:rsidRPr="0097220A" w:rsidRDefault="00C53E5A" w:rsidP="000842BC">
      <w:pPr>
        <w:rPr>
          <w:b/>
        </w:rPr>
      </w:pPr>
      <w:r>
        <w:t>S</w:t>
      </w:r>
      <w:r w:rsidR="000842BC">
        <w:t>ome facilities may face delays in accessing cost effective abatement technologies</w:t>
      </w:r>
      <w:r w:rsidR="00467CFA">
        <w:t xml:space="preserve"> to reduce on-site emissions</w:t>
      </w:r>
      <w:r w:rsidR="000842BC" w:rsidRPr="00B634BC">
        <w:rPr>
          <w:b/>
        </w:rPr>
        <w:t>.</w:t>
      </w:r>
      <w:r w:rsidR="00B469B9">
        <w:rPr>
          <w:b/>
        </w:rPr>
        <w:t xml:space="preserve"> </w:t>
      </w:r>
      <w:r w:rsidR="00B469B9" w:rsidRPr="00065494">
        <w:t>To support their transition,</w:t>
      </w:r>
      <w:r w:rsidR="00B469B9">
        <w:t xml:space="preserve"> the Government </w:t>
      </w:r>
      <w:r w:rsidR="00B469B9" w:rsidRPr="001811DF">
        <w:t>proposes</w:t>
      </w:r>
      <w:r w:rsidR="003B6E66" w:rsidRPr="001811DF">
        <w:t xml:space="preserve"> making</w:t>
      </w:r>
      <w:r w:rsidR="000842BC" w:rsidRPr="007F654B">
        <w:rPr>
          <w:b/>
        </w:rPr>
        <w:t xml:space="preserve"> </w:t>
      </w:r>
      <w:r w:rsidR="007F654B" w:rsidRPr="007F654B">
        <w:rPr>
          <w:b/>
        </w:rPr>
        <w:t xml:space="preserve">extended </w:t>
      </w:r>
      <w:r w:rsidRPr="007F654B">
        <w:rPr>
          <w:b/>
        </w:rPr>
        <w:t>multi-year monitoring periods</w:t>
      </w:r>
      <w:r w:rsidRPr="007F654B">
        <w:t xml:space="preserve"> available, </w:t>
      </w:r>
      <w:r w:rsidR="000842BC" w:rsidRPr="007F654B">
        <w:t xml:space="preserve">on a facility-by-facility </w:t>
      </w:r>
      <w:r w:rsidRPr="007F654B">
        <w:t>basis</w:t>
      </w:r>
      <w:r w:rsidR="00B634BC" w:rsidRPr="007F654B">
        <w:t xml:space="preserve"> by application</w:t>
      </w:r>
      <w:r w:rsidRPr="007F654B">
        <w:t>,</w:t>
      </w:r>
      <w:r w:rsidR="000842BC" w:rsidRPr="007F654B">
        <w:t xml:space="preserve"> </w:t>
      </w:r>
      <w:r w:rsidRPr="007F654B">
        <w:t xml:space="preserve">to </w:t>
      </w:r>
      <w:r w:rsidR="000842BC" w:rsidRPr="007F654B">
        <w:t>allow a facility’s baseline trajectory to match available and emerging technologies within a multi-year compliance period</w:t>
      </w:r>
      <w:r w:rsidR="00F47913" w:rsidRPr="007F654B">
        <w:t>. This give</w:t>
      </w:r>
      <w:r w:rsidR="003B6E66" w:rsidRPr="007F654B">
        <w:t>s</w:t>
      </w:r>
      <w:r w:rsidR="00F47913" w:rsidRPr="007F654B">
        <w:t xml:space="preserve"> facilities flexibility around the timing of their abatement, without</w:t>
      </w:r>
      <w:r w:rsidR="00F47913">
        <w:t xml:space="preserve"> increasing emissions over the period</w:t>
      </w:r>
      <w:r w:rsidR="000842BC" w:rsidRPr="002443A6">
        <w:t>.</w:t>
      </w:r>
      <w:r w:rsidR="000842BC">
        <w:t xml:space="preserve"> </w:t>
      </w:r>
      <w:r w:rsidR="00B634BC">
        <w:t xml:space="preserve">Multi-year monitoring periods </w:t>
      </w:r>
      <w:r w:rsidR="001811DF">
        <w:t>would not</w:t>
      </w:r>
      <w:r w:rsidR="00B634BC">
        <w:t xml:space="preserve"> </w:t>
      </w:r>
      <w:r w:rsidR="00DC3570">
        <w:t>extend beyond</w:t>
      </w:r>
      <w:r w:rsidR="00B634BC">
        <w:t xml:space="preserve"> 2030, ensuring the 2030 target can reliably be met.</w:t>
      </w:r>
      <w:r w:rsidR="00701B88">
        <w:t xml:space="preserve"> Their availability</w:t>
      </w:r>
      <w:r w:rsidR="00240B0C">
        <w:t xml:space="preserve"> after 2030 w</w:t>
      </w:r>
      <w:r w:rsidR="001811DF">
        <w:t>ill</w:t>
      </w:r>
      <w:r w:rsidR="00240B0C">
        <w:t xml:space="preserve"> be part of the 2026</w:t>
      </w:r>
      <w:r w:rsidR="00A93AC0">
        <w:noBreakHyphen/>
        <w:t>27</w:t>
      </w:r>
      <w:r w:rsidR="00240B0C">
        <w:t xml:space="preserve"> review.</w:t>
      </w:r>
    </w:p>
    <w:p w14:paraId="27551087" w14:textId="3599EB22" w:rsidR="00204551" w:rsidRDefault="003055DA" w:rsidP="003C53BA">
      <w:r>
        <w:t xml:space="preserve">Consultation revealed widespread concerns about price risks, </w:t>
      </w:r>
      <w:r w:rsidR="00B645BA">
        <w:t>including</w:t>
      </w:r>
      <w:r>
        <w:t xml:space="preserve"> from possible supply constrain</w:t>
      </w:r>
      <w:r w:rsidR="00B92A00">
        <w:t>t</w:t>
      </w:r>
      <w:r>
        <w:t>s</w:t>
      </w:r>
      <w:r w:rsidR="00B645BA">
        <w:t xml:space="preserve"> in the ACCU market</w:t>
      </w:r>
      <w:r>
        <w:t xml:space="preserve">. The Government will introduce a </w:t>
      </w:r>
      <w:r w:rsidR="000E35DD">
        <w:rPr>
          <w:b/>
        </w:rPr>
        <w:t>cost</w:t>
      </w:r>
      <w:r w:rsidRPr="003055DA">
        <w:rPr>
          <w:b/>
        </w:rPr>
        <w:t xml:space="preserve"> containment measure</w:t>
      </w:r>
      <w:r>
        <w:t xml:space="preserve"> </w:t>
      </w:r>
      <w:r w:rsidR="002F07B0">
        <w:t xml:space="preserve">by selling Government-held ACCUs </w:t>
      </w:r>
      <w:r>
        <w:t xml:space="preserve">to give businesses certainty about maximum compliance costs. </w:t>
      </w:r>
      <w:r w:rsidR="00B67392">
        <w:t xml:space="preserve">Any funds received </w:t>
      </w:r>
      <w:r w:rsidR="002F07B0">
        <w:t xml:space="preserve">from the sale of ACCUs </w:t>
      </w:r>
      <w:r w:rsidR="00B67392">
        <w:t xml:space="preserve">would be used to support additional decarbonisation. </w:t>
      </w:r>
      <w:bookmarkStart w:id="143" w:name="_Hlk123733508"/>
      <w:bookmarkStart w:id="144" w:name="_Hlk123728725"/>
      <w:r w:rsidR="0034788A">
        <w:t xml:space="preserve">An effective price ceiling </w:t>
      </w:r>
      <w:r w:rsidR="00E34150">
        <w:t>would</w:t>
      </w:r>
      <w:r w:rsidR="0034788A">
        <w:t xml:space="preserve"> be created by making </w:t>
      </w:r>
      <w:r w:rsidR="00A64266">
        <w:t>ACCUs available for purchase by facilities that need them for compliance</w:t>
      </w:r>
      <w:r w:rsidR="00987870">
        <w:t xml:space="preserve"> at</w:t>
      </w:r>
      <w:r w:rsidR="00922E63">
        <w:t xml:space="preserve"> $</w:t>
      </w:r>
      <w:r w:rsidR="00FA6F2C">
        <w:t>75</w:t>
      </w:r>
      <w:r>
        <w:t xml:space="preserve"> per tonne of </w:t>
      </w:r>
      <w:r w:rsidR="00987870" w:rsidRPr="00B83BF6">
        <w:t>CO</w:t>
      </w:r>
      <w:r w:rsidR="00987870" w:rsidRPr="00B83BF6">
        <w:rPr>
          <w:vertAlign w:val="subscript"/>
        </w:rPr>
        <w:t>2</w:t>
      </w:r>
      <w:r w:rsidR="00987870" w:rsidRPr="00B83BF6">
        <w:noBreakHyphen/>
        <w:t>e</w:t>
      </w:r>
      <w:r w:rsidR="00987870">
        <w:t xml:space="preserve"> in 2023</w:t>
      </w:r>
      <w:r w:rsidR="00ED745D">
        <w:noBreakHyphen/>
      </w:r>
      <w:r w:rsidR="00987870">
        <w:t>24</w:t>
      </w:r>
      <w:r w:rsidR="00FA6F2C">
        <w:t xml:space="preserve">, increasing </w:t>
      </w:r>
      <w:r w:rsidR="00370AD6">
        <w:t>with the CPI</w:t>
      </w:r>
      <w:r w:rsidR="00271718">
        <w:t xml:space="preserve"> plus 2 per</w:t>
      </w:r>
      <w:r w:rsidR="00C93ECD">
        <w:t xml:space="preserve"> </w:t>
      </w:r>
      <w:r w:rsidR="00271718">
        <w:t>cent</w:t>
      </w:r>
      <w:r w:rsidR="009A652B">
        <w:t xml:space="preserve"> each year</w:t>
      </w:r>
      <w:bookmarkEnd w:id="143"/>
      <w:r w:rsidR="00FA6F2C">
        <w:t>.</w:t>
      </w:r>
      <w:r w:rsidR="00467CFA">
        <w:t xml:space="preserve"> </w:t>
      </w:r>
      <w:bookmarkEnd w:id="144"/>
      <w:r w:rsidR="00467CFA">
        <w:t xml:space="preserve">The </w:t>
      </w:r>
      <w:r w:rsidR="00FA6F2C">
        <w:t>cost containment measure</w:t>
      </w:r>
      <w:r w:rsidR="00143B8F">
        <w:t xml:space="preserve"> will be review</w:t>
      </w:r>
      <w:r w:rsidR="00987870">
        <w:t>ed in 2026</w:t>
      </w:r>
      <w:r w:rsidR="00A93AC0">
        <w:noBreakHyphen/>
        <w:t>27</w:t>
      </w:r>
      <w:r w:rsidR="00806407" w:rsidRPr="00A867EB">
        <w:t>.</w:t>
      </w:r>
      <w:r w:rsidR="00B67392" w:rsidRPr="00A867EB">
        <w:t xml:space="preserve"> </w:t>
      </w:r>
    </w:p>
    <w:p w14:paraId="0567E4E3" w14:textId="77777777" w:rsidR="005F4853" w:rsidRDefault="00500C72" w:rsidP="00500C72">
      <w:pPr>
        <w:pStyle w:val="Bullet"/>
        <w:numPr>
          <w:ilvl w:val="0"/>
          <w:numId w:val="0"/>
        </w:numPr>
        <w:rPr>
          <w:rFonts w:asciiTheme="minorHAnsi" w:hAnsiTheme="minorHAnsi" w:cstheme="minorBidi"/>
        </w:rPr>
      </w:pPr>
      <w:r w:rsidRPr="00262760">
        <w:rPr>
          <w:rFonts w:asciiTheme="minorHAnsi" w:hAnsiTheme="minorHAnsi" w:cstheme="minorBidi"/>
        </w:rPr>
        <w:t xml:space="preserve">Flexible compliance arrangements allow facilities to meet their baselines through a combination of on-site and external emission reductions. </w:t>
      </w:r>
      <w:r>
        <w:rPr>
          <w:rFonts w:asciiTheme="minorHAnsi" w:hAnsiTheme="minorHAnsi" w:cstheme="minorBidi"/>
        </w:rPr>
        <w:t>We expect</w:t>
      </w:r>
      <w:r w:rsidRPr="00262760">
        <w:rPr>
          <w:rFonts w:asciiTheme="minorHAnsi" w:hAnsiTheme="minorHAnsi" w:cstheme="minorBidi"/>
        </w:rPr>
        <w:t xml:space="preserve"> that between 2024 and 2030,</w:t>
      </w:r>
      <w:r w:rsidR="005B740B">
        <w:rPr>
          <w:rFonts w:asciiTheme="minorHAnsi" w:hAnsiTheme="minorHAnsi" w:cstheme="minorBidi"/>
        </w:rPr>
        <w:t xml:space="preserve"> there could be </w:t>
      </w:r>
      <w:r>
        <w:rPr>
          <w:rFonts w:asciiTheme="minorHAnsi" w:hAnsiTheme="minorHAnsi" w:cstheme="minorBidi"/>
        </w:rPr>
        <w:t>significant</w:t>
      </w:r>
      <w:r w:rsidRPr="00262760">
        <w:rPr>
          <w:rFonts w:asciiTheme="minorHAnsi" w:hAnsiTheme="minorHAnsi" w:cstheme="minorBidi"/>
        </w:rPr>
        <w:t xml:space="preserve"> </w:t>
      </w:r>
      <w:r w:rsidR="005B740B">
        <w:rPr>
          <w:rFonts w:asciiTheme="minorHAnsi" w:hAnsiTheme="minorHAnsi" w:cstheme="minorBidi"/>
        </w:rPr>
        <w:t xml:space="preserve">opportunities for </w:t>
      </w:r>
      <w:r w:rsidRPr="00262760">
        <w:rPr>
          <w:rFonts w:asciiTheme="minorHAnsi" w:hAnsiTheme="minorHAnsi" w:cstheme="minorBidi"/>
        </w:rPr>
        <w:t xml:space="preserve">on-site </w:t>
      </w:r>
      <w:r w:rsidR="005B740B">
        <w:rPr>
          <w:rFonts w:asciiTheme="minorHAnsi" w:hAnsiTheme="minorHAnsi" w:cstheme="minorBidi"/>
        </w:rPr>
        <w:t xml:space="preserve">emission reductions </w:t>
      </w:r>
      <w:r w:rsidRPr="00262760">
        <w:rPr>
          <w:rFonts w:asciiTheme="minorHAnsi" w:hAnsiTheme="minorHAnsi" w:cstheme="minorBidi"/>
        </w:rPr>
        <w:t>through incremental</w:t>
      </w:r>
      <w:r w:rsidR="005B740B">
        <w:rPr>
          <w:rFonts w:asciiTheme="minorHAnsi" w:hAnsiTheme="minorHAnsi" w:cstheme="minorBidi"/>
        </w:rPr>
        <w:t xml:space="preserve"> efficiency</w:t>
      </w:r>
      <w:r w:rsidRPr="00262760">
        <w:rPr>
          <w:rFonts w:asciiTheme="minorHAnsi" w:hAnsiTheme="minorHAnsi" w:cstheme="minorBidi"/>
        </w:rPr>
        <w:t xml:space="preserve"> improvements and new large-scale technologies.</w:t>
      </w:r>
      <w:r w:rsidRPr="00262760" w:rsidDel="005F4853">
        <w:rPr>
          <w:rFonts w:asciiTheme="minorHAnsi" w:hAnsiTheme="minorHAnsi" w:cstheme="minorBidi"/>
        </w:rPr>
        <w:t xml:space="preserve"> </w:t>
      </w:r>
      <w:r w:rsidR="005F4853">
        <w:rPr>
          <w:rFonts w:asciiTheme="minorHAnsi" w:hAnsiTheme="minorHAnsi" w:cstheme="minorBidi"/>
        </w:rPr>
        <w:t>While there is some uncertainty around technological developments and their associated costs, the pace of technological innovation and adoption is expected to gain momentum to 2030, driven by strong incentives provided by the Safeguard reforms as well as external global drivers.</w:t>
      </w:r>
    </w:p>
    <w:p w14:paraId="7DC483C5" w14:textId="77777777" w:rsidR="00500C72" w:rsidRPr="00262760" w:rsidRDefault="00500C72" w:rsidP="00500C72">
      <w:pPr>
        <w:pStyle w:val="Bullet"/>
        <w:numPr>
          <w:ilvl w:val="0"/>
          <w:numId w:val="0"/>
        </w:numPr>
        <w:rPr>
          <w:rFonts w:asciiTheme="minorHAnsi" w:hAnsiTheme="minorHAnsi" w:cstheme="minorBidi"/>
        </w:rPr>
      </w:pPr>
      <w:r w:rsidRPr="00262760">
        <w:rPr>
          <w:rFonts w:asciiTheme="minorHAnsi" w:hAnsiTheme="minorHAnsi" w:cstheme="minorBidi"/>
        </w:rPr>
        <w:t>For the remaining abatement task,</w:t>
      </w:r>
      <w:r w:rsidR="00386BA2">
        <w:rPr>
          <w:rFonts w:asciiTheme="minorHAnsi" w:hAnsiTheme="minorHAnsi" w:cstheme="minorBidi"/>
        </w:rPr>
        <w:t xml:space="preserve"> a sufficient supply of </w:t>
      </w:r>
      <w:r w:rsidRPr="00262760">
        <w:rPr>
          <w:rFonts w:asciiTheme="minorHAnsi" w:hAnsiTheme="minorHAnsi" w:cstheme="minorBidi"/>
        </w:rPr>
        <w:t>SMCs and ACCUs</w:t>
      </w:r>
      <w:r w:rsidR="00386BA2">
        <w:rPr>
          <w:rFonts w:asciiTheme="minorHAnsi" w:hAnsiTheme="minorHAnsi" w:cstheme="minorBidi"/>
        </w:rPr>
        <w:t xml:space="preserve"> </w:t>
      </w:r>
      <w:r w:rsidR="00E34AEE">
        <w:rPr>
          <w:rFonts w:asciiTheme="minorHAnsi" w:hAnsiTheme="minorHAnsi" w:cstheme="minorBidi"/>
        </w:rPr>
        <w:t>is</w:t>
      </w:r>
      <w:r w:rsidR="00386BA2">
        <w:rPr>
          <w:rFonts w:asciiTheme="minorHAnsi" w:hAnsiTheme="minorHAnsi" w:cstheme="minorBidi"/>
        </w:rPr>
        <w:t xml:space="preserve"> expected to be available</w:t>
      </w:r>
      <w:r w:rsidR="005F4853">
        <w:rPr>
          <w:rFonts w:asciiTheme="minorHAnsi" w:hAnsiTheme="minorHAnsi" w:cstheme="minorBidi"/>
        </w:rPr>
        <w:t xml:space="preserve"> to meet Safeguard demand, with Safeguard crediting, existing ACCU projects and new ACCU projects all expected to contribute to a growing, liquid market, supporting price stability. </w:t>
      </w:r>
      <w:r w:rsidRPr="00262760">
        <w:rPr>
          <w:rFonts w:asciiTheme="minorHAnsi" w:hAnsiTheme="minorHAnsi" w:cstheme="minorBidi"/>
        </w:rPr>
        <w:t xml:space="preserve"> </w:t>
      </w:r>
    </w:p>
    <w:p w14:paraId="77001C51" w14:textId="77777777" w:rsidR="00204551" w:rsidRPr="00E00DB1" w:rsidRDefault="00204551" w:rsidP="00E00DB1">
      <w:pPr>
        <w:pStyle w:val="Heading4"/>
      </w:pPr>
      <w:r w:rsidRPr="00E00DB1">
        <w:t>Treatment of emissions-intensive, trade</w:t>
      </w:r>
      <w:r w:rsidR="00B45237">
        <w:t>-</w:t>
      </w:r>
      <w:r w:rsidRPr="00E00DB1">
        <w:t xml:space="preserve">exposed </w:t>
      </w:r>
      <w:r w:rsidR="00406351">
        <w:t>facilities</w:t>
      </w:r>
    </w:p>
    <w:p w14:paraId="5A4B4416" w14:textId="77777777" w:rsidR="00D103BF" w:rsidRDefault="001D407F" w:rsidP="00BE7B10">
      <w:pPr>
        <w:keepLines/>
      </w:pPr>
      <w:r>
        <w:t xml:space="preserve">Tailored treatment for </w:t>
      </w:r>
      <w:r w:rsidRPr="0097220A">
        <w:rPr>
          <w:b/>
        </w:rPr>
        <w:t>emissions-intensive, trade-exposed</w:t>
      </w:r>
      <w:r>
        <w:rPr>
          <w:b/>
        </w:rPr>
        <w:t xml:space="preserve"> </w:t>
      </w:r>
      <w:r w:rsidR="00E579BB">
        <w:rPr>
          <w:b/>
        </w:rPr>
        <w:t>(EITE)</w:t>
      </w:r>
      <w:r w:rsidRPr="00882254">
        <w:t xml:space="preserve"> </w:t>
      </w:r>
      <w:r w:rsidR="00406351">
        <w:t>facilities</w:t>
      </w:r>
      <w:r w:rsidR="003E16F5">
        <w:t xml:space="preserve"> </w:t>
      </w:r>
      <w:r w:rsidRPr="00882254">
        <w:t>will be based on the pr</w:t>
      </w:r>
      <w:r>
        <w:t>inciple of comparative impact—</w:t>
      </w:r>
      <w:r w:rsidR="00EB32CD">
        <w:t>help</w:t>
      </w:r>
      <w:r w:rsidR="00B178C8">
        <w:t>ing</w:t>
      </w:r>
      <w:r w:rsidR="00EB32CD">
        <w:t xml:space="preserve"> to ensur</w:t>
      </w:r>
      <w:r w:rsidR="00B178C8">
        <w:t>e</w:t>
      </w:r>
      <w:r w:rsidRPr="00882254">
        <w:t xml:space="preserve"> </w:t>
      </w:r>
      <w:r w:rsidR="00E15029">
        <w:t>businesses</w:t>
      </w:r>
      <w:r w:rsidRPr="00882254">
        <w:t xml:space="preserve"> </w:t>
      </w:r>
      <w:r>
        <w:t xml:space="preserve">are not </w:t>
      </w:r>
      <w:r w:rsidRPr="00882254">
        <w:t>competitive</w:t>
      </w:r>
      <w:r>
        <w:t>ly disadvantaged</w:t>
      </w:r>
      <w:r w:rsidRPr="00882254">
        <w:t>, and that emissions do not ‘leak’ overseas</w:t>
      </w:r>
      <w:r w:rsidR="00EB32CD">
        <w:t>, n</w:t>
      </w:r>
      <w:r w:rsidR="009373B1">
        <w:t>oting that, in a decarbonising</w:t>
      </w:r>
      <w:r>
        <w:t xml:space="preserve"> world, competitiveness will increasingly depend on being a low emissions producer. </w:t>
      </w:r>
    </w:p>
    <w:p w14:paraId="147FF927" w14:textId="48190F96" w:rsidR="00CA22A7" w:rsidRDefault="00CA22A7" w:rsidP="00CA22A7">
      <w:r>
        <w:t xml:space="preserve">There will be two categories of </w:t>
      </w:r>
      <w:r w:rsidR="00ED745D">
        <w:t xml:space="preserve">EITE </w:t>
      </w:r>
      <w:r>
        <w:t xml:space="preserve">facilities </w:t>
      </w:r>
      <w:r w:rsidR="00B2297A">
        <w:t>eligible for</w:t>
      </w:r>
      <w:r>
        <w:t xml:space="preserve"> assistance. </w:t>
      </w:r>
      <w:bookmarkStart w:id="145" w:name="_Hlk123733744"/>
      <w:r>
        <w:t xml:space="preserve">The </w:t>
      </w:r>
      <w:r w:rsidRPr="009D4F7C">
        <w:t>first category—</w:t>
      </w:r>
      <w:r>
        <w:rPr>
          <w:b/>
        </w:rPr>
        <w:t>trade-exposed facilities</w:t>
      </w:r>
      <w:r>
        <w:t>—is broad</w:t>
      </w:r>
      <w:r w:rsidR="00323F5D">
        <w:t>. It covers</w:t>
      </w:r>
      <w:r>
        <w:t xml:space="preserve"> </w:t>
      </w:r>
      <w:r w:rsidR="000B0F02">
        <w:t>around 80%</w:t>
      </w:r>
      <w:r w:rsidR="00B2297A">
        <w:t xml:space="preserve"> </w:t>
      </w:r>
      <w:r>
        <w:t>of Safeguard participants</w:t>
      </w:r>
      <w:r w:rsidR="00BE218E">
        <w:t xml:space="preserve"> using a</w:t>
      </w:r>
      <w:r w:rsidR="00EC4010">
        <w:t>n</w:t>
      </w:r>
      <w:r w:rsidR="00BE218E">
        <w:t xml:space="preserve"> </w:t>
      </w:r>
      <w:r w:rsidR="00B35515">
        <w:t>activity</w:t>
      </w:r>
      <w:r w:rsidR="00B2297A">
        <w:t>-</w:t>
      </w:r>
      <w:r w:rsidR="00BE218E">
        <w:t>based assessment</w:t>
      </w:r>
      <w:r w:rsidR="0034788A">
        <w:t>—activities that relate to a commodity with a trade share above 10 per cent</w:t>
      </w:r>
      <w:r>
        <w:t xml:space="preserve">. </w:t>
      </w:r>
      <w:bookmarkEnd w:id="145"/>
      <w:r>
        <w:t xml:space="preserve">The </w:t>
      </w:r>
      <w:r w:rsidRPr="009D4F7C">
        <w:t>second category—</w:t>
      </w:r>
      <w:r w:rsidR="00A00F75">
        <w:rPr>
          <w:b/>
        </w:rPr>
        <w:t>trade-exposed</w:t>
      </w:r>
      <w:r w:rsidR="00ED745D">
        <w:rPr>
          <w:b/>
        </w:rPr>
        <w:t>,</w:t>
      </w:r>
      <w:r w:rsidR="00A00F75">
        <w:rPr>
          <w:b/>
        </w:rPr>
        <w:t xml:space="preserve"> ba</w:t>
      </w:r>
      <w:r>
        <w:rPr>
          <w:b/>
        </w:rPr>
        <w:t>s</w:t>
      </w:r>
      <w:r w:rsidR="00A00F75">
        <w:rPr>
          <w:b/>
        </w:rPr>
        <w:t>eline</w:t>
      </w:r>
      <w:r w:rsidR="00ED745D">
        <w:rPr>
          <w:b/>
        </w:rPr>
        <w:noBreakHyphen/>
      </w:r>
      <w:r w:rsidR="00A00F75">
        <w:rPr>
          <w:b/>
        </w:rPr>
        <w:t>adjusted</w:t>
      </w:r>
      <w:r w:rsidR="00100C41">
        <w:rPr>
          <w:b/>
        </w:rPr>
        <w:t xml:space="preserve"> facilities</w:t>
      </w:r>
      <w:r>
        <w:rPr>
          <w:b/>
        </w:rPr>
        <w:t>—</w:t>
      </w:r>
      <w:r>
        <w:t xml:space="preserve">provides assistance for </w:t>
      </w:r>
      <w:r w:rsidR="00B2297A">
        <w:t xml:space="preserve">specific </w:t>
      </w:r>
      <w:r>
        <w:t xml:space="preserve">facilities that </w:t>
      </w:r>
      <w:r w:rsidR="00C53A87">
        <w:t>are trade-exposed and</w:t>
      </w:r>
      <w:r>
        <w:t xml:space="preserve"> have a</w:t>
      </w:r>
      <w:r w:rsidR="00B2297A">
        <w:t>n elevated</w:t>
      </w:r>
      <w:r>
        <w:t xml:space="preserve"> risk of carbon leakage</w:t>
      </w:r>
      <w:r w:rsidR="00B2297A">
        <w:t xml:space="preserve"> due to </w:t>
      </w:r>
      <w:r>
        <w:t xml:space="preserve">estimated cost impacts </w:t>
      </w:r>
      <w:r w:rsidRPr="00643B92">
        <w:rPr>
          <w:i/>
        </w:rPr>
        <w:t>at the facility level</w:t>
      </w:r>
      <w:r>
        <w:t xml:space="preserve">. Facilities in the second category can apply for a lower baseline decline rate. The decline rate will reflect the specific impacts faced by each facility and </w:t>
      </w:r>
      <w:r w:rsidR="00010741">
        <w:t xml:space="preserve">will be locked in for 3 years. </w:t>
      </w:r>
      <w:r>
        <w:rPr>
          <w:b/>
        </w:rPr>
        <w:t>D</w:t>
      </w:r>
      <w:r w:rsidRPr="00AC2984">
        <w:rPr>
          <w:b/>
        </w:rPr>
        <w:t>edicated funding</w:t>
      </w:r>
      <w:r w:rsidRPr="00EF6494">
        <w:rPr>
          <w:b/>
        </w:rPr>
        <w:t xml:space="preserve"> </w:t>
      </w:r>
      <w:r w:rsidR="00ED745D" w:rsidRPr="00EF6494">
        <w:rPr>
          <w:b/>
        </w:rPr>
        <w:t xml:space="preserve">of </w:t>
      </w:r>
      <w:r w:rsidR="002154EE">
        <w:rPr>
          <w:b/>
        </w:rPr>
        <w:t xml:space="preserve">an initial </w:t>
      </w:r>
      <w:r w:rsidR="00ED745D" w:rsidRPr="00EF6494">
        <w:rPr>
          <w:b/>
        </w:rPr>
        <w:t>$600 million</w:t>
      </w:r>
      <w:r w:rsidRPr="00EF6494">
        <w:rPr>
          <w:b/>
        </w:rPr>
        <w:t xml:space="preserve"> </w:t>
      </w:r>
      <w:r>
        <w:t xml:space="preserve">will be available under the </w:t>
      </w:r>
      <w:r w:rsidR="00ED745D" w:rsidRPr="00EF6494">
        <w:rPr>
          <w:b/>
        </w:rPr>
        <w:t xml:space="preserve">Safeguard Transformation Stream </w:t>
      </w:r>
      <w:r w:rsidR="00ED745D" w:rsidRPr="00EF6494">
        <w:t xml:space="preserve">of the </w:t>
      </w:r>
      <w:r>
        <w:t xml:space="preserve">Powering the Regions Fund to support decarbonisation activities for both categories. </w:t>
      </w:r>
      <w:r w:rsidR="002F07B0">
        <w:t>O</w:t>
      </w:r>
      <w:r w:rsidR="00ED745D">
        <w:t xml:space="preserve">ther </w:t>
      </w:r>
      <w:r w:rsidR="00ED745D">
        <w:lastRenderedPageBreak/>
        <w:t>opportunities for Safeguard Facilities in the Powering the Regions Fund will be considered further during its design and implementation.</w:t>
      </w:r>
    </w:p>
    <w:p w14:paraId="0C861BFF" w14:textId="22E7050B" w:rsidR="004D355A" w:rsidRDefault="004D355A" w:rsidP="004D355A">
      <w:pPr>
        <w:rPr>
          <w:lang w:val="en-GB"/>
        </w:rPr>
      </w:pPr>
      <w:r>
        <w:rPr>
          <w:lang w:val="en-GB"/>
        </w:rPr>
        <w:t xml:space="preserve">Many </w:t>
      </w:r>
      <w:r w:rsidR="004D278F">
        <w:rPr>
          <w:lang w:val="en-GB"/>
        </w:rPr>
        <w:t>stakeholders</w:t>
      </w:r>
      <w:r w:rsidR="0018268C">
        <w:rPr>
          <w:lang w:val="en-GB"/>
        </w:rPr>
        <w:t xml:space="preserve"> raised the issue of carbon leakage and</w:t>
      </w:r>
      <w:r w:rsidR="004D278F">
        <w:rPr>
          <w:lang w:val="en-GB"/>
        </w:rPr>
        <w:t xml:space="preserve"> </w:t>
      </w:r>
      <w:r>
        <w:rPr>
          <w:lang w:val="en-GB"/>
        </w:rPr>
        <w:t>identified a</w:t>
      </w:r>
      <w:r w:rsidR="006F1BD2">
        <w:rPr>
          <w:lang w:val="en-GB"/>
        </w:rPr>
        <w:t xml:space="preserve"> </w:t>
      </w:r>
      <w:r w:rsidRPr="004D355A">
        <w:rPr>
          <w:b/>
          <w:lang w:val="en-GB"/>
        </w:rPr>
        <w:t>carbon border adjustment mechanism</w:t>
      </w:r>
      <w:r>
        <w:rPr>
          <w:lang w:val="en-GB"/>
        </w:rPr>
        <w:t xml:space="preserve"> (CBAM) as the</w:t>
      </w:r>
      <w:r w:rsidR="00135F96">
        <w:rPr>
          <w:lang w:val="en-GB"/>
        </w:rPr>
        <w:t>ir</w:t>
      </w:r>
      <w:r>
        <w:rPr>
          <w:lang w:val="en-GB"/>
        </w:rPr>
        <w:t xml:space="preserve"> preferred approach for </w:t>
      </w:r>
      <w:r w:rsidR="00987870">
        <w:rPr>
          <w:lang w:val="en-GB"/>
        </w:rPr>
        <w:t>managing</w:t>
      </w:r>
      <w:r>
        <w:rPr>
          <w:lang w:val="en-GB"/>
        </w:rPr>
        <w:t xml:space="preserve"> trade competitiveness impacts. </w:t>
      </w:r>
      <w:r w:rsidR="006B3C46" w:rsidRPr="006B3C46">
        <w:rPr>
          <w:lang w:val="en-GB"/>
        </w:rPr>
        <w:t xml:space="preserve">Some </w:t>
      </w:r>
      <w:r w:rsidR="00D0169F" w:rsidRPr="001811DF">
        <w:rPr>
          <w:lang w:val="en-GB"/>
        </w:rPr>
        <w:t xml:space="preserve">of Australia’s </w:t>
      </w:r>
      <w:r w:rsidR="006B3C46" w:rsidRPr="001811DF">
        <w:rPr>
          <w:lang w:val="en-GB"/>
        </w:rPr>
        <w:t>trading</w:t>
      </w:r>
      <w:r w:rsidR="006B3C46" w:rsidRPr="006B3C46">
        <w:rPr>
          <w:lang w:val="en-GB"/>
        </w:rPr>
        <w:t xml:space="preserve"> partners</w:t>
      </w:r>
      <w:r w:rsidR="00D0169F">
        <w:rPr>
          <w:lang w:val="en-GB"/>
        </w:rPr>
        <w:t xml:space="preserve"> </w:t>
      </w:r>
      <w:r w:rsidR="006B3C46" w:rsidRPr="006B3C46">
        <w:rPr>
          <w:lang w:val="en-GB"/>
        </w:rPr>
        <w:t xml:space="preserve">have proposed introducing CBAMs to </w:t>
      </w:r>
      <w:r w:rsidR="007F654B">
        <w:rPr>
          <w:lang w:val="en-GB"/>
        </w:rPr>
        <w:t xml:space="preserve">help </w:t>
      </w:r>
      <w:r w:rsidR="006B3C46" w:rsidRPr="006B3C46">
        <w:rPr>
          <w:lang w:val="en-GB"/>
        </w:rPr>
        <w:t xml:space="preserve">ensure trade competitiveness does not compete with decarbonisation objectives. </w:t>
      </w:r>
      <w:r w:rsidR="006032B2">
        <w:rPr>
          <w:lang w:val="en-GB"/>
        </w:rPr>
        <w:t>The</w:t>
      </w:r>
      <w:r>
        <w:rPr>
          <w:lang w:val="en-GB"/>
        </w:rPr>
        <w:t xml:space="preserve"> European Union </w:t>
      </w:r>
      <w:r w:rsidR="006032B2">
        <w:rPr>
          <w:lang w:val="en-GB"/>
        </w:rPr>
        <w:t xml:space="preserve">plans to introduce a CBAM </w:t>
      </w:r>
      <w:r>
        <w:rPr>
          <w:lang w:val="en-GB"/>
        </w:rPr>
        <w:t xml:space="preserve">from 2026. A CBAM </w:t>
      </w:r>
      <w:r w:rsidR="00010741">
        <w:rPr>
          <w:lang w:val="en-GB"/>
        </w:rPr>
        <w:t>works by imposing</w:t>
      </w:r>
      <w:r>
        <w:rPr>
          <w:lang w:val="en-GB"/>
        </w:rPr>
        <w:t xml:space="preserve"> an import tariff </w:t>
      </w:r>
      <w:r w:rsidR="00DC3570">
        <w:rPr>
          <w:lang w:val="en-GB"/>
        </w:rPr>
        <w:t>and</w:t>
      </w:r>
      <w:r w:rsidR="00100C41">
        <w:rPr>
          <w:lang w:val="en-GB"/>
        </w:rPr>
        <w:t xml:space="preserve"> potentially an</w:t>
      </w:r>
      <w:r>
        <w:rPr>
          <w:lang w:val="en-GB"/>
        </w:rPr>
        <w:t xml:space="preserve"> export rebate on trade with countries without equivalent climate policies. </w:t>
      </w:r>
      <w:r w:rsidR="00010741">
        <w:rPr>
          <w:lang w:val="en-GB"/>
        </w:rPr>
        <w:t>It</w:t>
      </w:r>
      <w:r>
        <w:rPr>
          <w:lang w:val="en-GB"/>
        </w:rPr>
        <w:t xml:space="preserve"> provide</w:t>
      </w:r>
      <w:r w:rsidR="00010741">
        <w:rPr>
          <w:lang w:val="en-GB"/>
        </w:rPr>
        <w:t>s</w:t>
      </w:r>
      <w:r>
        <w:rPr>
          <w:lang w:val="en-GB"/>
        </w:rPr>
        <w:t xml:space="preserve"> a targeted solution to ‘leakage’, but face</w:t>
      </w:r>
      <w:r w:rsidR="00010741">
        <w:rPr>
          <w:lang w:val="en-GB"/>
        </w:rPr>
        <w:t>s</w:t>
      </w:r>
      <w:r>
        <w:rPr>
          <w:lang w:val="en-GB"/>
        </w:rPr>
        <w:t xml:space="preserve"> many </w:t>
      </w:r>
      <w:r w:rsidR="0018268C">
        <w:rPr>
          <w:lang w:val="en-GB"/>
        </w:rPr>
        <w:t xml:space="preserve">design and </w:t>
      </w:r>
      <w:r w:rsidR="001811DF">
        <w:rPr>
          <w:lang w:val="en-GB"/>
        </w:rPr>
        <w:t>i</w:t>
      </w:r>
      <w:r>
        <w:rPr>
          <w:lang w:val="en-GB"/>
        </w:rPr>
        <w:t xml:space="preserve">mplementation challenges. </w:t>
      </w:r>
      <w:r w:rsidR="002B2B6D">
        <w:rPr>
          <w:lang w:val="en-GB"/>
        </w:rPr>
        <w:t xml:space="preserve">Recognising the strong stakeholder interest in the potential use of </w:t>
      </w:r>
      <w:r w:rsidR="00153CFB">
        <w:rPr>
          <w:lang w:val="en-GB"/>
        </w:rPr>
        <w:t>an Australian CBAM</w:t>
      </w:r>
      <w:r w:rsidR="002B2B6D">
        <w:rPr>
          <w:lang w:val="en-GB"/>
        </w:rPr>
        <w:t xml:space="preserve">, </w:t>
      </w:r>
      <w:r w:rsidR="002B2B6D">
        <w:t>t</w:t>
      </w:r>
      <w:r w:rsidR="009B2C70">
        <w:t xml:space="preserve">he Government </w:t>
      </w:r>
      <w:r w:rsidR="002B2B6D">
        <w:t>will</w:t>
      </w:r>
      <w:r w:rsidR="009B2C70">
        <w:t xml:space="preserve"> undertake a review to </w:t>
      </w:r>
      <w:r w:rsidR="00153CFB">
        <w:t xml:space="preserve">explore policy options to </w:t>
      </w:r>
      <w:r w:rsidR="004A7902">
        <w:t xml:space="preserve">further </w:t>
      </w:r>
      <w:r w:rsidR="00C03A90">
        <w:t xml:space="preserve">address </w:t>
      </w:r>
      <w:r w:rsidR="00153CFB">
        <w:t>carbon leakage</w:t>
      </w:r>
      <w:r w:rsidR="006B3C46">
        <w:t xml:space="preserve">. </w:t>
      </w:r>
      <w:r w:rsidR="006B3C46" w:rsidRPr="006B3C46">
        <w:t xml:space="preserve">The review will consider CBAMs as one of the potential responses to carbon leakage </w:t>
      </w:r>
      <w:r w:rsidR="00153CFB">
        <w:t>that</w:t>
      </w:r>
      <w:r w:rsidR="002B2B6D">
        <w:t xml:space="preserve"> could complement Safeguard Mechanism reforms</w:t>
      </w:r>
      <w:r w:rsidR="002154EE">
        <w:t xml:space="preserve"> and </w:t>
      </w:r>
      <w:r w:rsidR="0018268C">
        <w:t xml:space="preserve">will take into account </w:t>
      </w:r>
      <w:r w:rsidR="002154EE">
        <w:t>the interests of our key trading partners</w:t>
      </w:r>
      <w:r w:rsidR="009B2C70">
        <w:t>.</w:t>
      </w:r>
      <w:r>
        <w:rPr>
          <w:lang w:val="en-GB"/>
        </w:rPr>
        <w:t xml:space="preserve"> </w:t>
      </w:r>
      <w:r w:rsidR="0018268C">
        <w:rPr>
          <w:lang w:val="en-GB"/>
        </w:rPr>
        <w:t xml:space="preserve"> </w:t>
      </w:r>
    </w:p>
    <w:p w14:paraId="0FECBC6A" w14:textId="77777777" w:rsidR="00EF65E4" w:rsidRDefault="00EF65E4" w:rsidP="00EF65E4">
      <w:pPr>
        <w:pStyle w:val="Heading4"/>
      </w:pPr>
      <w:r>
        <w:t>Baseline decline rates</w:t>
      </w:r>
    </w:p>
    <w:p w14:paraId="0804D985" w14:textId="0DBC5211" w:rsidR="00EF65E4" w:rsidRDefault="00EF65E4" w:rsidP="00EF65E4">
      <w:r>
        <w:t xml:space="preserve">Baseline decline rates </w:t>
      </w:r>
      <w:r w:rsidR="002965C2">
        <w:t xml:space="preserve">are </w:t>
      </w:r>
      <w:r w:rsidR="002154EE">
        <w:t xml:space="preserve">one of </w:t>
      </w:r>
      <w:r w:rsidR="002965C2">
        <w:t xml:space="preserve">the most important design choice for </w:t>
      </w:r>
      <w:r>
        <w:t>deliver</w:t>
      </w:r>
      <w:r w:rsidR="002965C2">
        <w:t>ing</w:t>
      </w:r>
      <w:r>
        <w:t xml:space="preserve"> the emissions target. Baselines will fall in a predictable and gradual way from 1 July 2023, and limit emissions to </w:t>
      </w:r>
      <w:r w:rsidR="00E454DD">
        <w:t xml:space="preserve">meet the Safeguard Mechanism’s </w:t>
      </w:r>
      <w:r w:rsidR="00BE57CA">
        <w:t xml:space="preserve">proportional </w:t>
      </w:r>
      <w:r w:rsidR="00E454DD">
        <w:t>share of national emissions targets</w:t>
      </w:r>
      <w:r>
        <w:t xml:space="preserve">. The </w:t>
      </w:r>
      <w:r>
        <w:rPr>
          <w:b/>
        </w:rPr>
        <w:t xml:space="preserve">decline rate </w:t>
      </w:r>
      <w:r w:rsidR="002154EE">
        <w:rPr>
          <w:b/>
        </w:rPr>
        <w:t xml:space="preserve">is </w:t>
      </w:r>
      <w:r w:rsidR="004A7902">
        <w:rPr>
          <w:b/>
        </w:rPr>
        <w:t>proposed</w:t>
      </w:r>
      <w:r w:rsidR="002154EE">
        <w:rPr>
          <w:b/>
        </w:rPr>
        <w:t xml:space="preserve"> to </w:t>
      </w:r>
      <w:r>
        <w:rPr>
          <w:b/>
        </w:rPr>
        <w:t>be 4.9</w:t>
      </w:r>
      <w:r w:rsidRPr="00204551">
        <w:rPr>
          <w:b/>
        </w:rPr>
        <w:t> per</w:t>
      </w:r>
      <w:r>
        <w:rPr>
          <w:b/>
        </w:rPr>
        <w:t> </w:t>
      </w:r>
      <w:r w:rsidRPr="00204551">
        <w:rPr>
          <w:b/>
        </w:rPr>
        <w:t>cent each year</w:t>
      </w:r>
      <w:r>
        <w:rPr>
          <w:b/>
        </w:rPr>
        <w:t xml:space="preserve"> to 2030</w:t>
      </w:r>
      <w:r>
        <w:t xml:space="preserve">. </w:t>
      </w:r>
      <w:r w:rsidR="002154EE">
        <w:t>This would</w:t>
      </w:r>
      <w:r>
        <w:t xml:space="preserve"> apply to all Safeguard facilities, including existing and new facilities, unless a differential </w:t>
      </w:r>
      <w:r w:rsidR="00100C41">
        <w:t xml:space="preserve">trade exposed baseline adjusted facility </w:t>
      </w:r>
      <w:r>
        <w:t xml:space="preserve">rate has been approved for a facility. The baseline decline schedule will be set in the Safeguard Rule. </w:t>
      </w:r>
      <w:r w:rsidR="002154EE">
        <w:t xml:space="preserve">This </w:t>
      </w:r>
      <w:r>
        <w:t xml:space="preserve">baseline decline </w:t>
      </w:r>
      <w:r w:rsidR="002154EE">
        <w:t xml:space="preserve">approach </w:t>
      </w:r>
      <w:r>
        <w:t>ha</w:t>
      </w:r>
      <w:r w:rsidR="004A7902">
        <w:t>s</w:t>
      </w:r>
      <w:r>
        <w:t xml:space="preserve"> been determined in the context of the policy design settings proposed in this paper. </w:t>
      </w:r>
      <w:r w:rsidR="002154EE">
        <w:t xml:space="preserve">Should </w:t>
      </w:r>
      <w:r>
        <w:t>any policy elements change following this consultation process, t</w:t>
      </w:r>
      <w:r w:rsidR="0099565A">
        <w:t>he decline rates may need to be reassessed</w:t>
      </w:r>
      <w:r>
        <w:t xml:space="preserve">. </w:t>
      </w:r>
    </w:p>
    <w:p w14:paraId="3D1980D5" w14:textId="56EBDEBF" w:rsidR="00CE5C41" w:rsidRDefault="00EF65E4" w:rsidP="00CE5C41">
      <w:pPr>
        <w:rPr>
          <w:rFonts w:ascii="Times New Roman" w:hAnsi="Times New Roman" w:cs="Times New Roman"/>
          <w:sz w:val="24"/>
          <w:szCs w:val="24"/>
          <w:lang w:eastAsia="en-AU"/>
        </w:rPr>
      </w:pPr>
      <w:r w:rsidRPr="009D7133">
        <w:rPr>
          <w:b/>
        </w:rPr>
        <w:t xml:space="preserve">Post-2030 decline rates </w:t>
      </w:r>
      <w:r w:rsidR="00E34150">
        <w:t>would</w:t>
      </w:r>
      <w:r>
        <w:t xml:space="preserve"> be set in </w:t>
      </w:r>
      <w:proofErr w:type="spellStart"/>
      <w:r w:rsidR="002154EE">
        <w:t>predictablefive</w:t>
      </w:r>
      <w:proofErr w:type="spellEnd"/>
      <w:r w:rsidR="002154EE">
        <w:t>-</w:t>
      </w:r>
      <w:r>
        <w:t>year blocks, after updates to Australia’s Nationally Determined Contribution (NDC) under the Paris Agreement. Decline rates for 2030-31 to 2034-35 w</w:t>
      </w:r>
      <w:r w:rsidR="002E1350">
        <w:t>ould</w:t>
      </w:r>
      <w:r>
        <w:t xml:space="preserve"> be set by 1 July 2027. This </w:t>
      </w:r>
      <w:r w:rsidRPr="001139F3">
        <w:t>periodic baseline setting process</w:t>
      </w:r>
      <w:r>
        <w:t xml:space="preserve"> will include consideration of progress to the current 2030 target and potential adjustment to baseline decline rates for the final two years of the target period. </w:t>
      </w:r>
      <w:r w:rsidRPr="001139F3">
        <w:t xml:space="preserve">Periodic baseline setting </w:t>
      </w:r>
      <w:r>
        <w:t>would involve consultation and take advice from the Climate Change Authority and the latest Annual Climate Change Statements to Parliament.</w:t>
      </w:r>
      <w:r w:rsidR="002E42DB">
        <w:t xml:space="preserve"> </w:t>
      </w:r>
      <w:r w:rsidR="00CE5C41">
        <w:t>To maintain progress to net zero by 2050, indicative annual decline rate</w:t>
      </w:r>
      <w:r w:rsidR="00323F5D">
        <w:t xml:space="preserve">s </w:t>
      </w:r>
      <w:r w:rsidR="002154EE">
        <w:t xml:space="preserve">would </w:t>
      </w:r>
      <w:r w:rsidR="00323F5D">
        <w:t>be set</w:t>
      </w:r>
      <w:r w:rsidR="00CE5C41">
        <w:t xml:space="preserve"> </w:t>
      </w:r>
      <w:r w:rsidR="00323F5D">
        <w:t>for</w:t>
      </w:r>
      <w:r w:rsidR="00CE5C41">
        <w:t xml:space="preserve"> 2030-31 to 2049-50, noting that the actual rate will be set through the periodic baseline setting process.</w:t>
      </w:r>
      <w:r w:rsidR="00CE5C41">
        <w:rPr>
          <w:rFonts w:ascii="Times New Roman" w:hAnsi="Times New Roman" w:cs="Times New Roman"/>
          <w:sz w:val="24"/>
          <w:szCs w:val="24"/>
          <w:lang w:eastAsia="en-AU"/>
        </w:rPr>
        <w:t xml:space="preserve"> </w:t>
      </w:r>
    </w:p>
    <w:p w14:paraId="16704A17" w14:textId="77777777" w:rsidR="00204551" w:rsidRDefault="00B959F7" w:rsidP="004D355A">
      <w:pPr>
        <w:pStyle w:val="Heading4"/>
      </w:pPr>
      <w:r>
        <w:t>Process</w:t>
      </w:r>
    </w:p>
    <w:p w14:paraId="6CD71E9B" w14:textId="31CD316F" w:rsidR="00B97A68" w:rsidRDefault="00B97A68" w:rsidP="00B97A68">
      <w:r>
        <w:t xml:space="preserve">This position paper outlines the proposed design for Safeguard Mechanism reforms. </w:t>
      </w:r>
      <w:r w:rsidR="001E7029">
        <w:t>It</w:t>
      </w:r>
      <w:r>
        <w:t xml:space="preserve"> incorporates the views of Safeguard businesses, industry associations, environment and community groups, academics and private individuals. These views w</w:t>
      </w:r>
      <w:r w:rsidR="00F56EF3">
        <w:t>ere put forward in more than 280</w:t>
      </w:r>
      <w:r>
        <w:t xml:space="preserve"> submissions to the Safeguar</w:t>
      </w:r>
      <w:r w:rsidR="001E7029">
        <w:t xml:space="preserve">d Mechanism Consultation Paper and </w:t>
      </w:r>
      <w:r>
        <w:t xml:space="preserve">exposure draft </w:t>
      </w:r>
      <w:r w:rsidRPr="009D4F7C">
        <w:t>Act</w:t>
      </w:r>
      <w:r w:rsidR="0099565A">
        <w:t xml:space="preserve"> amendments;</w:t>
      </w:r>
      <w:r>
        <w:t xml:space="preserve"> and at workshops and seminars held </w:t>
      </w:r>
      <w:r w:rsidR="002F07B0">
        <w:t>nationally</w:t>
      </w:r>
      <w:r>
        <w:t xml:space="preserve"> in August and September</w:t>
      </w:r>
      <w:r w:rsidR="002965C2">
        <w:t xml:space="preserve"> 2022</w:t>
      </w:r>
      <w:r>
        <w:t xml:space="preserve">. </w:t>
      </w:r>
    </w:p>
    <w:p w14:paraId="13BE20BD" w14:textId="77777777" w:rsidR="00010741" w:rsidRDefault="00010741" w:rsidP="00010741">
      <w:r>
        <w:t>To facilitate the 1 July 2023 start date, consultation on legislative changes needed to implement the proposed design is being undertaken in parallel:</w:t>
      </w:r>
    </w:p>
    <w:p w14:paraId="7FFAB305" w14:textId="77777777" w:rsidR="00B97A68" w:rsidRPr="00B02578" w:rsidRDefault="00B97A68" w:rsidP="00B97A68">
      <w:pPr>
        <w:pStyle w:val="ListParagraph"/>
        <w:numPr>
          <w:ilvl w:val="0"/>
          <w:numId w:val="19"/>
        </w:numPr>
        <w:ind w:left="426" w:hanging="426"/>
        <w:contextualSpacing w:val="0"/>
        <w:rPr>
          <w:rFonts w:ascii="Calibri" w:hAnsi="Calibri" w:cs="Calibri"/>
          <w:i/>
        </w:rPr>
      </w:pPr>
      <w:r w:rsidRPr="00B02578">
        <w:rPr>
          <w:rFonts w:ascii="Calibri" w:hAnsi="Calibri" w:cs="Calibri"/>
          <w:b/>
        </w:rPr>
        <w:t>Primary legislation</w:t>
      </w:r>
      <w:r>
        <w:rPr>
          <w:rFonts w:ascii="Calibri" w:hAnsi="Calibri" w:cs="Calibri"/>
        </w:rPr>
        <w:t xml:space="preserve">: exposure draft </w:t>
      </w:r>
      <w:r w:rsidR="00F56EF3">
        <w:rPr>
          <w:rFonts w:ascii="Calibri" w:hAnsi="Calibri" w:cs="Calibri"/>
        </w:rPr>
        <w:t>primary legislat</w:t>
      </w:r>
      <w:r w:rsidR="008323C5">
        <w:rPr>
          <w:rFonts w:ascii="Calibri" w:hAnsi="Calibri" w:cs="Calibri"/>
        </w:rPr>
        <w:t>ive</w:t>
      </w:r>
      <w:r w:rsidR="00F56EF3">
        <w:rPr>
          <w:rFonts w:ascii="Calibri" w:hAnsi="Calibri" w:cs="Calibri"/>
        </w:rPr>
        <w:t xml:space="preserve"> </w:t>
      </w:r>
      <w:r>
        <w:rPr>
          <w:rFonts w:ascii="Calibri" w:hAnsi="Calibri" w:cs="Calibri"/>
        </w:rPr>
        <w:t xml:space="preserve">amendments in the form of the </w:t>
      </w:r>
      <w:r>
        <w:rPr>
          <w:i/>
        </w:rPr>
        <w:t>Safeguard Mechanism (Crediting) Amendment Bill 2022</w:t>
      </w:r>
      <w:r w:rsidRPr="00B97A68">
        <w:t>—</w:t>
      </w:r>
      <w:r>
        <w:rPr>
          <w:rFonts w:ascii="Calibri" w:hAnsi="Calibri" w:cs="Calibri"/>
        </w:rPr>
        <w:t xml:space="preserve">were released for consultation in October and the Bill was introduced to parliament on </w:t>
      </w:r>
      <w:r w:rsidRPr="004A2644">
        <w:t>30 November 2022</w:t>
      </w:r>
      <w:r>
        <w:rPr>
          <w:rFonts w:ascii="Calibri" w:hAnsi="Calibri" w:cs="Calibri"/>
        </w:rPr>
        <w:t xml:space="preserve">. </w:t>
      </w:r>
      <w:r>
        <w:rPr>
          <w:rFonts w:ascii="Calibri" w:hAnsi="Calibri" w:cs="Calibri"/>
          <w:i/>
        </w:rPr>
        <w:t xml:space="preserve"> </w:t>
      </w:r>
    </w:p>
    <w:p w14:paraId="4FB2C824" w14:textId="77777777" w:rsidR="0099565A" w:rsidRDefault="00B97A68" w:rsidP="00B97A68">
      <w:pPr>
        <w:pStyle w:val="ListParagraph"/>
        <w:numPr>
          <w:ilvl w:val="0"/>
          <w:numId w:val="19"/>
        </w:numPr>
        <w:ind w:left="426" w:hanging="426"/>
        <w:contextualSpacing w:val="0"/>
      </w:pPr>
      <w:r w:rsidRPr="00B02578">
        <w:rPr>
          <w:b/>
        </w:rPr>
        <w:lastRenderedPageBreak/>
        <w:t>Subordinate legislation</w:t>
      </w:r>
      <w:r>
        <w:t xml:space="preserve">: an exposure draft </w:t>
      </w:r>
      <w:r w:rsidR="00F56EF3">
        <w:t xml:space="preserve">of the new </w:t>
      </w:r>
      <w:r w:rsidR="001E7029">
        <w:t>subordinate legislation</w:t>
      </w:r>
      <w:r w:rsidR="00F56EF3">
        <w:t>—</w:t>
      </w:r>
      <w:r w:rsidR="00001FB4">
        <w:t>which will amend</w:t>
      </w:r>
      <w:r w:rsidR="001E7029">
        <w:t xml:space="preserve"> </w:t>
      </w:r>
      <w:r w:rsidR="00F56EF3">
        <w:t xml:space="preserve">the </w:t>
      </w:r>
      <w:r w:rsidRPr="006C26BD">
        <w:rPr>
          <w:rFonts w:ascii="Calibri" w:hAnsi="Calibri" w:cs="Calibri"/>
          <w:i/>
        </w:rPr>
        <w:t>National Greenhouse and Energy Reporting (Safeguard Mechanism) Rule</w:t>
      </w:r>
      <w:r w:rsidR="00F56EF3">
        <w:rPr>
          <w:rFonts w:ascii="Calibri" w:hAnsi="Calibri" w:cs="Calibri"/>
          <w:i/>
        </w:rPr>
        <w:t xml:space="preserve"> 20</w:t>
      </w:r>
      <w:r w:rsidR="00001FB4">
        <w:rPr>
          <w:rFonts w:ascii="Calibri" w:hAnsi="Calibri" w:cs="Calibri"/>
          <w:i/>
        </w:rPr>
        <w:t>15</w:t>
      </w:r>
      <w:r w:rsidRPr="006C26BD">
        <w:rPr>
          <w:rFonts w:ascii="Calibri" w:hAnsi="Calibri" w:cs="Calibri"/>
          <w:i/>
        </w:rPr>
        <w:t xml:space="preserve"> </w:t>
      </w:r>
      <w:r w:rsidR="00F56EF3">
        <w:rPr>
          <w:rFonts w:ascii="Calibri" w:hAnsi="Calibri" w:cs="Calibri"/>
        </w:rPr>
        <w:t>(the Safeguard Mechanism Rule</w:t>
      </w:r>
      <w:r w:rsidR="001E7029">
        <w:rPr>
          <w:rFonts w:ascii="Calibri" w:hAnsi="Calibri" w:cs="Calibri"/>
        </w:rPr>
        <w:t>)</w:t>
      </w:r>
      <w:r w:rsidR="001C39C6">
        <w:rPr>
          <w:rFonts w:ascii="Calibri" w:hAnsi="Calibri" w:cs="Calibri"/>
        </w:rPr>
        <w:t xml:space="preserve"> and other </w:t>
      </w:r>
      <w:r w:rsidR="004154D6">
        <w:rPr>
          <w:rFonts w:ascii="Calibri" w:hAnsi="Calibri" w:cs="Calibri"/>
        </w:rPr>
        <w:t>required</w:t>
      </w:r>
      <w:r w:rsidR="001C39C6">
        <w:rPr>
          <w:rFonts w:ascii="Calibri" w:hAnsi="Calibri" w:cs="Calibri"/>
        </w:rPr>
        <w:t xml:space="preserve"> subordinate legislati</w:t>
      </w:r>
      <w:r w:rsidR="004154D6">
        <w:rPr>
          <w:rFonts w:ascii="Calibri" w:hAnsi="Calibri" w:cs="Calibri"/>
        </w:rPr>
        <w:t>ve amendments</w:t>
      </w:r>
      <w:r w:rsidR="00F56EF3">
        <w:rPr>
          <w:rFonts w:ascii="Calibri" w:hAnsi="Calibri" w:cs="Calibri"/>
        </w:rPr>
        <w:t>—</w:t>
      </w:r>
      <w:r>
        <w:rPr>
          <w:rFonts w:ascii="Calibri" w:hAnsi="Calibri" w:cs="Calibri"/>
        </w:rPr>
        <w:t xml:space="preserve">has been released alongside this paper for stakeholder </w:t>
      </w:r>
      <w:r w:rsidR="002965C2">
        <w:rPr>
          <w:rFonts w:ascii="Calibri" w:hAnsi="Calibri" w:cs="Calibri"/>
        </w:rPr>
        <w:t>re</w:t>
      </w:r>
      <w:r>
        <w:rPr>
          <w:rFonts w:ascii="Calibri" w:hAnsi="Calibri" w:cs="Calibri"/>
        </w:rPr>
        <w:t>view</w:t>
      </w:r>
      <w:r w:rsidR="002965C2">
        <w:rPr>
          <w:rFonts w:ascii="Calibri" w:hAnsi="Calibri" w:cs="Calibri"/>
        </w:rPr>
        <w:t xml:space="preserve"> and comment</w:t>
      </w:r>
      <w:r>
        <w:t>.</w:t>
      </w:r>
      <w:r w:rsidR="0099565A">
        <w:t xml:space="preserve"> </w:t>
      </w:r>
    </w:p>
    <w:p w14:paraId="18B4FAB3" w14:textId="27EE4651" w:rsidR="0099565A" w:rsidRDefault="00B97A68" w:rsidP="0099565A">
      <w:r>
        <w:t xml:space="preserve">The Government </w:t>
      </w:r>
      <w:r w:rsidR="001E7029">
        <w:t>invites</w:t>
      </w:r>
      <w:r>
        <w:t xml:space="preserve"> views and feedback on the proposed design for Safeguard Mechanism reforms set out in this position paper and </w:t>
      </w:r>
      <w:r w:rsidR="00F56EF3">
        <w:t xml:space="preserve">accompanying </w:t>
      </w:r>
      <w:r>
        <w:t>exposure draft</w:t>
      </w:r>
      <w:r w:rsidR="002965C2">
        <w:t xml:space="preserve"> </w:t>
      </w:r>
      <w:r w:rsidR="001C39C6">
        <w:t>subordinate legislation</w:t>
      </w:r>
      <w:r w:rsidR="002965C2">
        <w:t>.</w:t>
      </w:r>
      <w:r>
        <w:t xml:space="preserve"> Feedback is open to </w:t>
      </w:r>
      <w:r w:rsidR="002356B0">
        <w:rPr>
          <w:b/>
        </w:rPr>
        <w:t>24</w:t>
      </w:r>
      <w:r w:rsidRPr="00010741">
        <w:rPr>
          <w:b/>
        </w:rPr>
        <w:t xml:space="preserve"> February 2023</w:t>
      </w:r>
      <w:r>
        <w:t>.</w:t>
      </w:r>
      <w:r w:rsidR="0099565A">
        <w:t xml:space="preserve"> Feedback on both documents can be provided in a single submission.  </w:t>
      </w:r>
    </w:p>
    <w:p w14:paraId="720274E6" w14:textId="66550455" w:rsidR="00A10F9B" w:rsidRDefault="001E7029">
      <w:r>
        <w:t xml:space="preserve">The Government </w:t>
      </w:r>
      <w:r w:rsidR="00B95A37">
        <w:t xml:space="preserve">will finalise legislative instruments to implement Safeguard Mechanism reforms </w:t>
      </w:r>
      <w:r>
        <w:t xml:space="preserve">by </w:t>
      </w:r>
      <w:r w:rsidR="00AF50CE" w:rsidRPr="0094181B">
        <w:t>April</w:t>
      </w:r>
      <w:r>
        <w:t xml:space="preserve"> 2023, so the reforms can commence on 1 July 2023.</w:t>
      </w:r>
      <w:r w:rsidR="00A10F9B">
        <w:br w:type="page"/>
      </w:r>
    </w:p>
    <w:p w14:paraId="634B8D85" w14:textId="77777777" w:rsidR="00DB1C35" w:rsidRDefault="00BC0781" w:rsidP="00A04173">
      <w:pPr>
        <w:pStyle w:val="Heading2"/>
        <w:numPr>
          <w:ilvl w:val="0"/>
          <w:numId w:val="0"/>
        </w:numPr>
      </w:pPr>
      <w:bookmarkStart w:id="146" w:name="_Toc117176803"/>
      <w:bookmarkStart w:id="147" w:name="_Toc117255406"/>
      <w:bookmarkStart w:id="148" w:name="_Toc117263147"/>
      <w:bookmarkStart w:id="149" w:name="_Toc117437228"/>
      <w:bookmarkStart w:id="150" w:name="_Toc117499176"/>
      <w:bookmarkStart w:id="151" w:name="_Toc117521023"/>
      <w:bookmarkStart w:id="152" w:name="_Toc117524770"/>
      <w:bookmarkStart w:id="153" w:name="_Toc117543961"/>
      <w:bookmarkStart w:id="154" w:name="_Toc117548312"/>
      <w:bookmarkStart w:id="155" w:name="_Toc117588630"/>
      <w:bookmarkStart w:id="156" w:name="_Toc117588674"/>
      <w:bookmarkStart w:id="157" w:name="_Toc117604792"/>
      <w:bookmarkStart w:id="158" w:name="_Toc117612874"/>
      <w:bookmarkStart w:id="159" w:name="_Toc117627712"/>
      <w:bookmarkStart w:id="160" w:name="_Toc117630377"/>
      <w:bookmarkStart w:id="161" w:name="_Toc117867984"/>
      <w:bookmarkStart w:id="162" w:name="_Toc117887998"/>
      <w:bookmarkStart w:id="163" w:name="_Toc117951442"/>
      <w:bookmarkStart w:id="164" w:name="_Toc117960089"/>
      <w:bookmarkStart w:id="165" w:name="_Toc118040350"/>
      <w:bookmarkStart w:id="166" w:name="_Toc118196202"/>
      <w:bookmarkStart w:id="167" w:name="_Toc118198371"/>
      <w:bookmarkStart w:id="168" w:name="_Toc118198786"/>
      <w:bookmarkStart w:id="169" w:name="_Toc118198977"/>
      <w:bookmarkStart w:id="170" w:name="_Toc118199531"/>
      <w:bookmarkStart w:id="171" w:name="_Toc118304103"/>
      <w:bookmarkStart w:id="172" w:name="_Toc118304134"/>
      <w:bookmarkStart w:id="173" w:name="_Toc118306336"/>
      <w:bookmarkStart w:id="174" w:name="_Toc118308328"/>
      <w:bookmarkStart w:id="175" w:name="_Toc119500899"/>
      <w:bookmarkStart w:id="176" w:name="_Toc119572354"/>
      <w:bookmarkStart w:id="177" w:name="_Toc120098949"/>
      <w:bookmarkStart w:id="178" w:name="_Toc122514429"/>
      <w:bookmarkStart w:id="179" w:name="_Toc124100679"/>
      <w:r>
        <w:lastRenderedPageBreak/>
        <w:t xml:space="preserve">Summary of </w:t>
      </w:r>
      <w:r w:rsidR="002336DF">
        <w:t xml:space="preserve">proposed </w:t>
      </w:r>
      <w:r>
        <w:t>p</w:t>
      </w:r>
      <w:r w:rsidR="00C16151">
        <w:t xml:space="preserve">olicy </w:t>
      </w:r>
      <w:bookmarkEnd w:id="146"/>
      <w:bookmarkEnd w:id="147"/>
      <w:bookmarkEnd w:id="148"/>
      <w:r w:rsidR="008932F8">
        <w:t>positions</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64810BCB" w14:textId="77777777" w:rsidR="001F2C89" w:rsidRDefault="001F2C89" w:rsidP="001F2C89">
      <w:pPr>
        <w:pStyle w:val="Heading3"/>
      </w:pPr>
      <w:r>
        <w:t>Targets and baselines</w:t>
      </w:r>
    </w:p>
    <w:p w14:paraId="45AE5AD7" w14:textId="77777777" w:rsidR="00A04173" w:rsidRPr="00BA53E0" w:rsidRDefault="00A04173" w:rsidP="001F2C89">
      <w:pPr>
        <w:pStyle w:val="Heading4"/>
      </w:pPr>
      <w:r w:rsidRPr="00BA53E0">
        <w:t xml:space="preserve">The </w:t>
      </w:r>
      <w:r w:rsidR="002B761D">
        <w:t>emissions reduction</w:t>
      </w:r>
      <w:r w:rsidRPr="00BA53E0">
        <w:t xml:space="preserve"> task</w:t>
      </w:r>
    </w:p>
    <w:p w14:paraId="4CDFB9C1" w14:textId="5A5D5024" w:rsidR="00A04173" w:rsidRPr="00AD474D" w:rsidRDefault="00A04173" w:rsidP="0059378F">
      <w:pPr>
        <w:pStyle w:val="ListParagraph"/>
        <w:numPr>
          <w:ilvl w:val="0"/>
          <w:numId w:val="9"/>
        </w:numPr>
        <w:spacing w:after="100"/>
        <w:ind w:left="357" w:hanging="357"/>
        <w:contextualSpacing w:val="0"/>
      </w:pPr>
      <w:r>
        <w:t>The Safeguard Mechanism’s 2030 tar</w:t>
      </w:r>
      <w:r w:rsidR="00A00188">
        <w:t>g</w:t>
      </w:r>
      <w:r>
        <w:t xml:space="preserve">et </w:t>
      </w:r>
      <w:r w:rsidR="00B95A37">
        <w:t xml:space="preserve">would </w:t>
      </w:r>
      <w:r>
        <w:t xml:space="preserve">be set at </w:t>
      </w:r>
      <w:r w:rsidR="00E50A5D">
        <w:t xml:space="preserve">no more than </w:t>
      </w:r>
      <w:r>
        <w:t>100 million tonnes</w:t>
      </w:r>
      <w:r w:rsidR="004C3B1D">
        <w:t xml:space="preserve"> (Mt)</w:t>
      </w:r>
      <w:r>
        <w:t xml:space="preserve"> in 2030</w:t>
      </w:r>
      <w:r w:rsidR="00BE57CA">
        <w:t xml:space="preserve"> and 1,23</w:t>
      </w:r>
      <w:r w:rsidR="004604FE">
        <w:t>3</w:t>
      </w:r>
      <w:r w:rsidR="00BE57CA">
        <w:t> </w:t>
      </w:r>
      <w:r w:rsidR="004C3B1D">
        <w:t>Mt</w:t>
      </w:r>
      <w:r w:rsidR="00BE57CA">
        <w:t xml:space="preserve"> between 2021 and 2030</w:t>
      </w:r>
      <w:r>
        <w:t xml:space="preserve">, representing a proportional share of the national </w:t>
      </w:r>
      <w:r w:rsidR="007F4A10">
        <w:t xml:space="preserve">2030 </w:t>
      </w:r>
      <w:r>
        <w:t>target and deli</w:t>
      </w:r>
      <w:r w:rsidR="00A566DC">
        <w:t xml:space="preserve">vering an estimated </w:t>
      </w:r>
      <w:r w:rsidR="0069665A">
        <w:t>2</w:t>
      </w:r>
      <w:r w:rsidR="00B62581">
        <w:t>0</w:t>
      </w:r>
      <w:r w:rsidR="0069665A">
        <w:t>5</w:t>
      </w:r>
      <w:r w:rsidR="00A566DC">
        <w:t> </w:t>
      </w:r>
      <w:r w:rsidR="004C3B1D">
        <w:t>million tonnes</w:t>
      </w:r>
      <w:r>
        <w:t xml:space="preserve"> of abatement </w:t>
      </w:r>
      <w:r w:rsidR="00BC0781">
        <w:t>(</w:t>
      </w:r>
      <w:r w:rsidR="004F04AE">
        <w:t>relative to current trends</w:t>
      </w:r>
      <w:r w:rsidR="00BC0781">
        <w:t xml:space="preserve">) </w:t>
      </w:r>
      <w:r>
        <w:t>by the end of the decade.</w:t>
      </w:r>
    </w:p>
    <w:p w14:paraId="3DE5FE2D" w14:textId="77777777" w:rsidR="001F2C89" w:rsidRDefault="00A04173" w:rsidP="001F2C89">
      <w:pPr>
        <w:pStyle w:val="Heading4"/>
      </w:pPr>
      <w:r>
        <w:t xml:space="preserve">Baseline setting </w:t>
      </w:r>
    </w:p>
    <w:p w14:paraId="3B54CEC1" w14:textId="77777777" w:rsidR="00A04173" w:rsidRPr="00BA53E0" w:rsidRDefault="001F2C89" w:rsidP="004D45FC">
      <w:pPr>
        <w:pStyle w:val="Heading5"/>
      </w:pPr>
      <w:r>
        <w:t xml:space="preserve">The </w:t>
      </w:r>
      <w:r w:rsidR="00A04173">
        <w:t>framework</w:t>
      </w:r>
    </w:p>
    <w:p w14:paraId="3F8C83C0" w14:textId="48D85E6D" w:rsidR="00470C57" w:rsidRDefault="00A04173" w:rsidP="00470C57">
      <w:pPr>
        <w:pStyle w:val="ListParagraph"/>
        <w:numPr>
          <w:ilvl w:val="0"/>
          <w:numId w:val="9"/>
        </w:numPr>
        <w:spacing w:after="100"/>
        <w:ind w:left="357" w:hanging="357"/>
        <w:contextualSpacing w:val="0"/>
      </w:pPr>
      <w:r>
        <w:t>The existing production-adjusted (intensity) baseline setting framework</w:t>
      </w:r>
      <w:r w:rsidR="00BC0781">
        <w:t xml:space="preserve"> </w:t>
      </w:r>
      <w:r w:rsidR="00B95A37">
        <w:t xml:space="preserve">would </w:t>
      </w:r>
      <w:r w:rsidR="00BC0781">
        <w:t>be retained</w:t>
      </w:r>
      <w:r>
        <w:t xml:space="preserve">. </w:t>
      </w:r>
      <w:r w:rsidR="00470C57">
        <w:t xml:space="preserve"> </w:t>
      </w:r>
    </w:p>
    <w:p w14:paraId="0CA73B17" w14:textId="7A743829" w:rsidR="00023C73" w:rsidRPr="008F2941" w:rsidRDefault="00023C73" w:rsidP="00023C73">
      <w:pPr>
        <w:pStyle w:val="ListParagraph"/>
        <w:numPr>
          <w:ilvl w:val="0"/>
          <w:numId w:val="9"/>
        </w:numPr>
        <w:spacing w:after="100"/>
        <w:ind w:left="357" w:hanging="357"/>
        <w:contextualSpacing w:val="0"/>
      </w:pPr>
      <w:r w:rsidRPr="008F2941">
        <w:t xml:space="preserve">A reserve </w:t>
      </w:r>
      <w:r w:rsidR="00B95A37">
        <w:t>would</w:t>
      </w:r>
      <w:r w:rsidR="00B95A37" w:rsidRPr="008F2941">
        <w:t xml:space="preserve"> </w:t>
      </w:r>
      <w:r w:rsidRPr="008F2941">
        <w:t xml:space="preserve">be built into baseline decline rate calculations to ensure the 2030 target is met. The reserve </w:t>
      </w:r>
      <w:r w:rsidR="00B95A37">
        <w:t xml:space="preserve">would </w:t>
      </w:r>
      <w:r w:rsidR="009A49F2">
        <w:t>account</w:t>
      </w:r>
      <w:r w:rsidRPr="008F2941">
        <w:t xml:space="preserve"> for</w:t>
      </w:r>
      <w:r w:rsidR="009C6D11">
        <w:t xml:space="preserve"> </w:t>
      </w:r>
      <w:r w:rsidRPr="008F2941">
        <w:t xml:space="preserve">higher-than-expected </w:t>
      </w:r>
      <w:r w:rsidR="00E642B9">
        <w:t>production</w:t>
      </w:r>
      <w:r w:rsidRPr="008F2941">
        <w:t xml:space="preserve"> growth</w:t>
      </w:r>
      <w:r w:rsidR="00260AA8">
        <w:t xml:space="preserve"> at new and existing facilities</w:t>
      </w:r>
      <w:r w:rsidR="009C6D11">
        <w:t xml:space="preserve"> and trade exposed baseline adjustments</w:t>
      </w:r>
      <w:r w:rsidRPr="008F2941">
        <w:t>.</w:t>
      </w:r>
    </w:p>
    <w:p w14:paraId="069288C6" w14:textId="77777777" w:rsidR="00A04173" w:rsidRPr="00BA53E0" w:rsidRDefault="00A04173" w:rsidP="00470C57">
      <w:pPr>
        <w:pStyle w:val="Heading5"/>
      </w:pPr>
      <w:r>
        <w:t>Setting baselines for existing facilities</w:t>
      </w:r>
    </w:p>
    <w:p w14:paraId="3E95B5DF" w14:textId="579B6EEF" w:rsidR="00A04173" w:rsidRDefault="00A04173" w:rsidP="0059378F">
      <w:pPr>
        <w:pStyle w:val="ListParagraph"/>
        <w:numPr>
          <w:ilvl w:val="0"/>
          <w:numId w:val="9"/>
        </w:numPr>
        <w:spacing w:after="100"/>
        <w:ind w:left="357" w:hanging="357"/>
        <w:contextualSpacing w:val="0"/>
      </w:pPr>
      <w:r>
        <w:t xml:space="preserve">Baselines for existing facilities </w:t>
      </w:r>
      <w:r w:rsidR="00B95A37">
        <w:t xml:space="preserve">would </w:t>
      </w:r>
      <w:r>
        <w:t xml:space="preserve">be set using a hybrid model </w:t>
      </w:r>
      <w:r w:rsidR="00D871A0">
        <w:t xml:space="preserve">initially </w:t>
      </w:r>
      <w:r>
        <w:t xml:space="preserve">weighted towards </w:t>
      </w:r>
      <w:r w:rsidR="00110A15">
        <w:t xml:space="preserve">the use of </w:t>
      </w:r>
      <w:r>
        <w:t xml:space="preserve">site-specific </w:t>
      </w:r>
      <w:r w:rsidR="00110A15">
        <w:t>emissions intensity values,</w:t>
      </w:r>
      <w:r w:rsidR="00907B0C">
        <w:t xml:space="preserve"> and</w:t>
      </w:r>
      <w:r>
        <w:t xml:space="preserve"> </w:t>
      </w:r>
      <w:r w:rsidR="00D871A0">
        <w:t>transitioning</w:t>
      </w:r>
      <w:r>
        <w:t xml:space="preserve"> to industry average </w:t>
      </w:r>
      <w:r w:rsidR="00110A15">
        <w:t>emissions intensity values</w:t>
      </w:r>
      <w:r>
        <w:t xml:space="preserve"> by 2030.</w:t>
      </w:r>
    </w:p>
    <w:p w14:paraId="106F10B8" w14:textId="77777777" w:rsidR="00F6655D" w:rsidRDefault="00F6655D" w:rsidP="00F6655D">
      <w:pPr>
        <w:pStyle w:val="Heading5"/>
      </w:pPr>
      <w:r>
        <w:t>Transition from existing arrangements</w:t>
      </w:r>
    </w:p>
    <w:p w14:paraId="0FE11B1E" w14:textId="77777777" w:rsidR="00A04173" w:rsidRDefault="00A04173" w:rsidP="0059378F">
      <w:pPr>
        <w:pStyle w:val="ListParagraph"/>
        <w:numPr>
          <w:ilvl w:val="0"/>
          <w:numId w:val="9"/>
        </w:numPr>
        <w:spacing w:after="100"/>
        <w:ind w:left="357" w:hanging="357"/>
        <w:contextualSpacing w:val="0"/>
      </w:pPr>
      <w:r>
        <w:t xml:space="preserve">From the commencement of Safeguard Mechanism reforms in 2023-24: </w:t>
      </w:r>
    </w:p>
    <w:p w14:paraId="49DA112F" w14:textId="00FBB25A" w:rsidR="00A04173" w:rsidRDefault="00A04173" w:rsidP="0059378F">
      <w:pPr>
        <w:pStyle w:val="ListParagraph"/>
        <w:numPr>
          <w:ilvl w:val="1"/>
          <w:numId w:val="9"/>
        </w:numPr>
        <w:spacing w:after="100"/>
        <w:ind w:left="709"/>
        <w:contextualSpacing w:val="0"/>
      </w:pPr>
      <w:r>
        <w:t xml:space="preserve">all facilities </w:t>
      </w:r>
      <w:r w:rsidR="00B95A37">
        <w:t xml:space="preserve">to </w:t>
      </w:r>
      <w:r>
        <w:t>be on production-adjusted baselines</w:t>
      </w:r>
      <w:r w:rsidR="00C66FB7">
        <w:t>—reported</w:t>
      </w:r>
      <w:r w:rsidR="00323F5D">
        <w:t xml:space="preserve">, </w:t>
      </w:r>
      <w:r w:rsidR="00FD13ED">
        <w:t xml:space="preserve">calculated </w:t>
      </w:r>
      <w:r w:rsidR="00323F5D">
        <w:t xml:space="preserve">and fixed </w:t>
      </w:r>
      <w:r w:rsidR="00FD13ED">
        <w:t>baselines will no longer be available</w:t>
      </w:r>
      <w:r w:rsidR="00C66FB7">
        <w:t>;</w:t>
      </w:r>
    </w:p>
    <w:p w14:paraId="4DD21642" w14:textId="52F5CCE8" w:rsidR="00A04173" w:rsidRDefault="00A04173" w:rsidP="0059378F">
      <w:pPr>
        <w:pStyle w:val="ListParagraph"/>
        <w:numPr>
          <w:ilvl w:val="1"/>
          <w:numId w:val="9"/>
        </w:numPr>
        <w:spacing w:after="100"/>
        <w:ind w:left="709"/>
        <w:contextualSpacing w:val="0"/>
      </w:pPr>
      <w:r>
        <w:t xml:space="preserve">all facilities </w:t>
      </w:r>
      <w:r w:rsidR="00B95A37">
        <w:t xml:space="preserve">to </w:t>
      </w:r>
      <w:r>
        <w:t>use published, Government-determined production variables</w:t>
      </w:r>
      <w:r w:rsidR="00323F5D">
        <w:t>.</w:t>
      </w:r>
    </w:p>
    <w:p w14:paraId="0FACC82F" w14:textId="3AC2D28C" w:rsidR="00C633CE" w:rsidRDefault="00C633CE" w:rsidP="00C633CE">
      <w:pPr>
        <w:pStyle w:val="ListParagraph"/>
        <w:numPr>
          <w:ilvl w:val="0"/>
          <w:numId w:val="9"/>
        </w:numPr>
        <w:spacing w:after="100"/>
        <w:ind w:left="357" w:hanging="357"/>
        <w:contextualSpacing w:val="0"/>
      </w:pPr>
      <w:r>
        <w:t xml:space="preserve">In consultation with Safeguard businesses, the Government </w:t>
      </w:r>
      <w:r w:rsidR="00B95A37">
        <w:t>would</w:t>
      </w:r>
      <w:r>
        <w:t xml:space="preserve">: </w:t>
      </w:r>
    </w:p>
    <w:p w14:paraId="72885D42" w14:textId="77777777" w:rsidR="00C633CE" w:rsidRDefault="00C633CE" w:rsidP="00C633CE">
      <w:pPr>
        <w:pStyle w:val="ListParagraph"/>
        <w:numPr>
          <w:ilvl w:val="1"/>
          <w:numId w:val="9"/>
        </w:numPr>
        <w:spacing w:after="100"/>
        <w:ind w:left="709"/>
        <w:contextualSpacing w:val="0"/>
      </w:pPr>
      <w:r>
        <w:t>finalise and publish remaining production variables and industry average emissions intensity values; and</w:t>
      </w:r>
    </w:p>
    <w:p w14:paraId="746E90EE" w14:textId="77777777" w:rsidR="00E91A83" w:rsidRPr="005B52DA" w:rsidRDefault="00E91A83" w:rsidP="00E91A83">
      <w:pPr>
        <w:pStyle w:val="ListParagraph"/>
        <w:numPr>
          <w:ilvl w:val="1"/>
          <w:numId w:val="9"/>
        </w:numPr>
        <w:spacing w:after="100"/>
        <w:ind w:left="709"/>
        <w:contextualSpacing w:val="0"/>
      </w:pPr>
      <w:r>
        <w:t>review existing production variable definitions to ensure a comprehensive set of suitable production variables is in place when reforms commence.</w:t>
      </w:r>
    </w:p>
    <w:p w14:paraId="50BAE04A" w14:textId="77777777" w:rsidR="00B2382D" w:rsidRPr="005B52DA" w:rsidRDefault="00B2382D" w:rsidP="00B2382D">
      <w:pPr>
        <w:pStyle w:val="Heading5"/>
      </w:pPr>
      <w:r>
        <w:t>Calculating site-specific emissions intensity values</w:t>
      </w:r>
    </w:p>
    <w:p w14:paraId="2C3B4B07" w14:textId="5F142A3C" w:rsidR="00A04173" w:rsidRDefault="00D871A0" w:rsidP="0059378F">
      <w:pPr>
        <w:pStyle w:val="ListParagraph"/>
        <w:numPr>
          <w:ilvl w:val="0"/>
          <w:numId w:val="9"/>
        </w:numPr>
        <w:spacing w:after="100"/>
        <w:ind w:left="357" w:hanging="357"/>
        <w:contextualSpacing w:val="0"/>
      </w:pPr>
      <w:r>
        <w:t>A</w:t>
      </w:r>
      <w:r w:rsidR="00A04173">
        <w:t xml:space="preserve">ll </w:t>
      </w:r>
      <w:r>
        <w:t xml:space="preserve">existing </w:t>
      </w:r>
      <w:r w:rsidR="00A04173">
        <w:t xml:space="preserve">facilities’ site-specific emissions-intensity values </w:t>
      </w:r>
      <w:r w:rsidR="00B95A37">
        <w:t xml:space="preserve">would </w:t>
      </w:r>
      <w:r>
        <w:t xml:space="preserve">be reset </w:t>
      </w:r>
      <w:r w:rsidR="00A04173">
        <w:t xml:space="preserve">using historic data. </w:t>
      </w:r>
    </w:p>
    <w:p w14:paraId="79BA24B4" w14:textId="16FEEC53" w:rsidR="006D7677" w:rsidRDefault="006D7677" w:rsidP="006D7677">
      <w:pPr>
        <w:pStyle w:val="ListParagraph"/>
        <w:numPr>
          <w:ilvl w:val="0"/>
          <w:numId w:val="9"/>
        </w:numPr>
        <w:spacing w:after="100"/>
        <w:ind w:left="357" w:hanging="357"/>
        <w:contextualSpacing w:val="0"/>
      </w:pPr>
      <w:r>
        <w:t xml:space="preserve">Facilities </w:t>
      </w:r>
      <w:r w:rsidR="00B95A37">
        <w:t xml:space="preserve">would need to </w:t>
      </w:r>
      <w:r>
        <w:t xml:space="preserve">apply </w:t>
      </w:r>
      <w:r w:rsidRPr="001811DF">
        <w:t xml:space="preserve">for site-specific emissions-intensity values by 30 April </w:t>
      </w:r>
      <w:r w:rsidR="006D42E0" w:rsidRPr="001811DF">
        <w:t>2024</w:t>
      </w:r>
      <w:r w:rsidR="00860D60" w:rsidRPr="00DA55FA">
        <w:t xml:space="preserve">, with </w:t>
      </w:r>
      <w:r w:rsidR="00860D60" w:rsidRPr="0018268C">
        <w:t>t</w:t>
      </w:r>
      <w:r w:rsidRPr="0018268C">
        <w:t>he application accompanied</w:t>
      </w:r>
      <w:r w:rsidRPr="001811DF">
        <w:t xml:space="preserve"> by an</w:t>
      </w:r>
      <w:r>
        <w:t xml:space="preserve"> audit. </w:t>
      </w:r>
    </w:p>
    <w:p w14:paraId="751F136F" w14:textId="4CBCF2A9" w:rsidR="006D7677" w:rsidRDefault="006D7677" w:rsidP="006D7677">
      <w:pPr>
        <w:pStyle w:val="ListParagraph"/>
        <w:numPr>
          <w:ilvl w:val="0"/>
          <w:numId w:val="9"/>
        </w:numPr>
        <w:spacing w:after="100"/>
        <w:ind w:left="357" w:hanging="357"/>
        <w:contextualSpacing w:val="0"/>
      </w:pPr>
      <w:r>
        <w:t xml:space="preserve">The values </w:t>
      </w:r>
      <w:r w:rsidR="00B95A37">
        <w:t xml:space="preserve">would </w:t>
      </w:r>
      <w:r>
        <w:t>be calculated using the middle two values from the four most recent years of data</w:t>
      </w:r>
      <w:r w:rsidR="00FC5665">
        <w:t xml:space="preserve"> </w:t>
      </w:r>
      <w:r w:rsidR="00FC5665">
        <w:rPr>
          <w:bCs/>
        </w:rPr>
        <w:t>(2018-19</w:t>
      </w:r>
      <w:r w:rsidR="00FC5665" w:rsidRPr="002A6182">
        <w:rPr>
          <w:bCs/>
        </w:rPr>
        <w:t xml:space="preserve"> to 2021</w:t>
      </w:r>
      <w:r w:rsidR="00FC5665" w:rsidRPr="002A6182">
        <w:rPr>
          <w:bCs/>
        </w:rPr>
        <w:noBreakHyphen/>
        <w:t>22)</w:t>
      </w:r>
      <w:r>
        <w:t xml:space="preserve">.  </w:t>
      </w:r>
    </w:p>
    <w:p w14:paraId="443987E1" w14:textId="6F360F83" w:rsidR="006D7677" w:rsidRDefault="006D7677" w:rsidP="006D7677">
      <w:pPr>
        <w:pStyle w:val="ListParagraph"/>
        <w:numPr>
          <w:ilvl w:val="0"/>
          <w:numId w:val="9"/>
        </w:numPr>
        <w:spacing w:after="100"/>
        <w:ind w:left="357" w:hanging="357"/>
        <w:contextualSpacing w:val="0"/>
      </w:pPr>
      <w:r w:rsidRPr="006D7677">
        <w:t xml:space="preserve">The two years of data </w:t>
      </w:r>
      <w:r w:rsidR="00B95A37">
        <w:t>would</w:t>
      </w:r>
      <w:r w:rsidR="00B95A37" w:rsidRPr="006D7677">
        <w:t xml:space="preserve"> </w:t>
      </w:r>
      <w:r w:rsidRPr="006D7677">
        <w:t>be used to calculate a production-weighted, average emissions</w:t>
      </w:r>
      <w:r w:rsidRPr="006D7677">
        <w:noBreakHyphen/>
        <w:t xml:space="preserve">intensity value(s) for the facility, </w:t>
      </w:r>
      <w:r>
        <w:t>noting that any emissions apportioning must be consistent with published production variable definitions.</w:t>
      </w:r>
    </w:p>
    <w:p w14:paraId="6E1E94A2" w14:textId="77777777" w:rsidR="00A04173" w:rsidRPr="00BA53E0" w:rsidRDefault="00A04173" w:rsidP="004D45FC">
      <w:pPr>
        <w:pStyle w:val="Heading5"/>
      </w:pPr>
      <w:r>
        <w:t>Setting baselines for new facilities</w:t>
      </w:r>
    </w:p>
    <w:p w14:paraId="2638F926" w14:textId="07FDF540" w:rsidR="00E96649" w:rsidRDefault="00D871A0" w:rsidP="00E96649">
      <w:pPr>
        <w:pStyle w:val="ListParagraph"/>
        <w:numPr>
          <w:ilvl w:val="0"/>
          <w:numId w:val="9"/>
        </w:numPr>
        <w:spacing w:after="100"/>
        <w:ind w:left="357" w:hanging="357"/>
        <w:contextualSpacing w:val="0"/>
      </w:pPr>
      <w:r>
        <w:t xml:space="preserve">New facility baselines </w:t>
      </w:r>
      <w:r w:rsidR="00B95A37">
        <w:t xml:space="preserve">would </w:t>
      </w:r>
      <w:r>
        <w:t xml:space="preserve">be based on </w:t>
      </w:r>
      <w:r w:rsidR="00E96649">
        <w:t xml:space="preserve">international best practice emissions-intensity benchmarks, adapted for Australian circumstances. </w:t>
      </w:r>
    </w:p>
    <w:p w14:paraId="72BAE8AA" w14:textId="525B5B08" w:rsidR="00E96649" w:rsidRPr="00350E95" w:rsidRDefault="00E96649" w:rsidP="00E96649">
      <w:pPr>
        <w:pStyle w:val="ListParagraph"/>
        <w:numPr>
          <w:ilvl w:val="0"/>
          <w:numId w:val="9"/>
        </w:numPr>
        <w:spacing w:after="100"/>
        <w:ind w:left="357" w:hanging="357"/>
        <w:contextualSpacing w:val="0"/>
      </w:pPr>
      <w:r>
        <w:lastRenderedPageBreak/>
        <w:t xml:space="preserve">International best practice </w:t>
      </w:r>
      <w:r w:rsidR="00B95A37">
        <w:t xml:space="preserve">would </w:t>
      </w:r>
      <w:r w:rsidR="003E5645">
        <w:t xml:space="preserve">also apply </w:t>
      </w:r>
      <w:r>
        <w:t xml:space="preserve">at existing Safeguard Mechanism facilities </w:t>
      </w:r>
      <w:r w:rsidR="003E5645">
        <w:t>if they begin producing</w:t>
      </w:r>
      <w:r w:rsidR="00702C00">
        <w:t xml:space="preserve"> </w:t>
      </w:r>
      <w:r w:rsidR="00966904">
        <w:t xml:space="preserve">new </w:t>
      </w:r>
      <w:r>
        <w:t>product</w:t>
      </w:r>
      <w:r w:rsidR="003E5645">
        <w:t>s</w:t>
      </w:r>
      <w:r>
        <w:t>.</w:t>
      </w:r>
    </w:p>
    <w:p w14:paraId="077CB500" w14:textId="0817677E" w:rsidR="00E96649" w:rsidRDefault="00E96649" w:rsidP="00E96649">
      <w:pPr>
        <w:pStyle w:val="ListParagraph"/>
        <w:numPr>
          <w:ilvl w:val="0"/>
          <w:numId w:val="9"/>
        </w:numPr>
        <w:spacing w:after="100"/>
        <w:ind w:left="357" w:hanging="357"/>
        <w:contextualSpacing w:val="0"/>
      </w:pPr>
      <w:r>
        <w:t xml:space="preserve">New entrant arrangements </w:t>
      </w:r>
      <w:r w:rsidR="00B95A37">
        <w:t xml:space="preserve">would </w:t>
      </w:r>
      <w:r>
        <w:t xml:space="preserve">commence from </w:t>
      </w:r>
      <w:r w:rsidR="00FD13ED">
        <w:t xml:space="preserve">1 July </w:t>
      </w:r>
      <w:r>
        <w:t xml:space="preserve">2023, consistent with broader Safeguard reforms. </w:t>
      </w:r>
    </w:p>
    <w:p w14:paraId="56388290" w14:textId="04E9F012" w:rsidR="00E96649" w:rsidRPr="0018268C" w:rsidRDefault="00E96649" w:rsidP="00E96649">
      <w:pPr>
        <w:pStyle w:val="ListParagraph"/>
        <w:numPr>
          <w:ilvl w:val="0"/>
          <w:numId w:val="9"/>
        </w:numPr>
        <w:spacing w:after="100"/>
        <w:ind w:left="357" w:hanging="357"/>
        <w:contextualSpacing w:val="0"/>
      </w:pPr>
      <w:r>
        <w:t>New facility baseline</w:t>
      </w:r>
      <w:r w:rsidRPr="001811DF">
        <w:t xml:space="preserve">s </w:t>
      </w:r>
      <w:r w:rsidR="00B95A37" w:rsidRPr="0018268C">
        <w:t xml:space="preserve">would </w:t>
      </w:r>
      <w:r w:rsidRPr="0018268C">
        <w:t>be subject to an annual decline rate, consistent with baselines for existing facilities.</w:t>
      </w:r>
    </w:p>
    <w:p w14:paraId="50F5A5AE" w14:textId="2B4D910E" w:rsidR="001F2C89" w:rsidRPr="001811DF" w:rsidRDefault="00334435" w:rsidP="001F2C89">
      <w:pPr>
        <w:pStyle w:val="Heading3"/>
      </w:pPr>
      <w:r w:rsidRPr="0018268C">
        <w:t xml:space="preserve">Flexible compliance arrangements </w:t>
      </w:r>
    </w:p>
    <w:p w14:paraId="7AE1D61B" w14:textId="77777777" w:rsidR="00A04173" w:rsidRPr="00DA55FA" w:rsidRDefault="00A04173" w:rsidP="001F2C89">
      <w:pPr>
        <w:pStyle w:val="Heading4"/>
      </w:pPr>
      <w:r w:rsidRPr="00DA55FA">
        <w:t>Crediting and trading</w:t>
      </w:r>
    </w:p>
    <w:p w14:paraId="44DFB81A" w14:textId="59C28B3E" w:rsidR="00C7274F" w:rsidRPr="0018268C" w:rsidRDefault="00C7274F" w:rsidP="0059378F">
      <w:pPr>
        <w:pStyle w:val="ListParagraph"/>
        <w:numPr>
          <w:ilvl w:val="0"/>
          <w:numId w:val="9"/>
        </w:numPr>
        <w:spacing w:after="100"/>
        <w:ind w:left="357" w:hanging="357"/>
        <w:contextualSpacing w:val="0"/>
      </w:pPr>
      <w:r w:rsidRPr="0018268C">
        <w:t xml:space="preserve">Crediting and trading </w:t>
      </w:r>
      <w:r w:rsidR="00B95A37" w:rsidRPr="0018268C">
        <w:t xml:space="preserve">would </w:t>
      </w:r>
      <w:r w:rsidRPr="0018268C">
        <w:t xml:space="preserve">commence on 1 July 2023, subject to passage of the </w:t>
      </w:r>
      <w:r w:rsidRPr="0018268C">
        <w:rPr>
          <w:i/>
        </w:rPr>
        <w:t xml:space="preserve">Safeguard Mechanism </w:t>
      </w:r>
      <w:r w:rsidR="00BF6246" w:rsidRPr="0018268C">
        <w:rPr>
          <w:i/>
        </w:rPr>
        <w:t>(</w:t>
      </w:r>
      <w:r w:rsidRPr="0018268C">
        <w:rPr>
          <w:i/>
        </w:rPr>
        <w:t>Credit</w:t>
      </w:r>
      <w:r w:rsidR="00BF6246" w:rsidRPr="0018268C">
        <w:rPr>
          <w:i/>
        </w:rPr>
        <w:t>ing)</w:t>
      </w:r>
      <w:r w:rsidRPr="0018268C">
        <w:rPr>
          <w:i/>
        </w:rPr>
        <w:t xml:space="preserve"> Amendment Bill 2022</w:t>
      </w:r>
      <w:r w:rsidRPr="0018268C">
        <w:t>.</w:t>
      </w:r>
    </w:p>
    <w:p w14:paraId="55A6A5AB" w14:textId="1764BC77" w:rsidR="00BE6359" w:rsidRPr="0018268C" w:rsidRDefault="00BE6359" w:rsidP="00BE6359">
      <w:pPr>
        <w:pStyle w:val="ListParagraph"/>
        <w:numPr>
          <w:ilvl w:val="0"/>
          <w:numId w:val="9"/>
        </w:numPr>
        <w:spacing w:after="100"/>
        <w:ind w:left="357" w:hanging="357"/>
        <w:contextualSpacing w:val="0"/>
      </w:pPr>
      <w:r w:rsidRPr="0018268C">
        <w:t xml:space="preserve">All Safeguard Mechanism facilities </w:t>
      </w:r>
      <w:r w:rsidR="00B645BA" w:rsidRPr="0018268C">
        <w:t>with emissions below their baseline</w:t>
      </w:r>
      <w:r w:rsidRPr="0018268C">
        <w:t xml:space="preserve"> </w:t>
      </w:r>
      <w:r w:rsidR="00B95A37" w:rsidRPr="0018268C">
        <w:t xml:space="preserve">would be able to </w:t>
      </w:r>
      <w:r w:rsidRPr="0018268C">
        <w:t xml:space="preserve">generate credits, except </w:t>
      </w:r>
      <w:r w:rsidR="00323F5D" w:rsidRPr="0018268C">
        <w:t xml:space="preserve">landfills and </w:t>
      </w:r>
      <w:r w:rsidRPr="0018268C">
        <w:t xml:space="preserve">facilities </w:t>
      </w:r>
      <w:r w:rsidR="00323F5D" w:rsidRPr="0018268C">
        <w:t>accessing</w:t>
      </w:r>
      <w:r w:rsidRPr="0018268C">
        <w:t xml:space="preserve"> multi-year monitoring periods</w:t>
      </w:r>
      <w:r w:rsidR="00102BF3" w:rsidRPr="0018268C">
        <w:t>, borrowing arrangements</w:t>
      </w:r>
      <w:r w:rsidR="00323F5D" w:rsidRPr="0018268C">
        <w:t xml:space="preserve">, </w:t>
      </w:r>
      <w:r w:rsidR="00194716" w:rsidRPr="0018268C">
        <w:t xml:space="preserve">and </w:t>
      </w:r>
      <w:r w:rsidR="00323F5D" w:rsidRPr="0018268C">
        <w:t>deemed surrender provisions</w:t>
      </w:r>
      <w:r w:rsidRPr="0018268C">
        <w:t xml:space="preserve">. </w:t>
      </w:r>
    </w:p>
    <w:p w14:paraId="752E845C" w14:textId="0E9EED23" w:rsidR="00BE6359" w:rsidRDefault="00BE6359" w:rsidP="00BE6359">
      <w:pPr>
        <w:pStyle w:val="ListParagraph"/>
        <w:numPr>
          <w:ilvl w:val="0"/>
          <w:numId w:val="9"/>
        </w:numPr>
        <w:spacing w:after="100"/>
        <w:ind w:left="357" w:hanging="357"/>
        <w:contextualSpacing w:val="0"/>
      </w:pPr>
      <w:r w:rsidRPr="0018268C">
        <w:t xml:space="preserve">Facilities that fall below the coverage threshold </w:t>
      </w:r>
      <w:r w:rsidR="00B95A37" w:rsidRPr="0018268C">
        <w:t xml:space="preserve">would </w:t>
      </w:r>
      <w:r w:rsidRPr="0018268C">
        <w:t xml:space="preserve">continue to </w:t>
      </w:r>
      <w:r w:rsidR="00A1715C" w:rsidRPr="0018268C">
        <w:t xml:space="preserve">be eligible to </w:t>
      </w:r>
      <w:r w:rsidRPr="001811DF">
        <w:t>receive</w:t>
      </w:r>
      <w:r>
        <w:t xml:space="preserve"> credits for </w:t>
      </w:r>
      <w:r w:rsidR="008E7B80">
        <w:t>five</w:t>
      </w:r>
      <w:r>
        <w:t xml:space="preserve"> years</w:t>
      </w:r>
      <w:r w:rsidR="00B83740">
        <w:t>, noting that their baseline will continue to decline</w:t>
      </w:r>
      <w:r>
        <w:t>.</w:t>
      </w:r>
    </w:p>
    <w:p w14:paraId="1498A533" w14:textId="77777777" w:rsidR="000F4985" w:rsidRDefault="000F4985" w:rsidP="001F2C89">
      <w:pPr>
        <w:pStyle w:val="Heading4"/>
      </w:pPr>
      <w:r>
        <w:t>Domestic offsets</w:t>
      </w:r>
      <w:r w:rsidR="00702C00">
        <w:t xml:space="preserve"> (ACCUs)</w:t>
      </w:r>
    </w:p>
    <w:p w14:paraId="3F065F08" w14:textId="3D490858" w:rsidR="004566D6" w:rsidRDefault="004566D6" w:rsidP="00FA3F22">
      <w:pPr>
        <w:pStyle w:val="ListParagraph"/>
        <w:numPr>
          <w:ilvl w:val="0"/>
          <w:numId w:val="9"/>
        </w:numPr>
        <w:spacing w:after="100"/>
        <w:ind w:left="357" w:hanging="357"/>
        <w:contextualSpacing w:val="0"/>
      </w:pPr>
      <w:r>
        <w:t xml:space="preserve">Safeguard Mechanism facilities </w:t>
      </w:r>
      <w:r w:rsidR="00B95A37">
        <w:t xml:space="preserve">would be able to </w:t>
      </w:r>
      <w:r>
        <w:t>continue surrender</w:t>
      </w:r>
      <w:r w:rsidR="00B95A37">
        <w:t>ing</w:t>
      </w:r>
      <w:r>
        <w:t xml:space="preserve"> domestic offsets—in the form of ACCUs—to meet their compliance obligations. </w:t>
      </w:r>
    </w:p>
    <w:p w14:paraId="72789703" w14:textId="65774BAB" w:rsidR="000F4985" w:rsidRDefault="00E04611" w:rsidP="00FA3F22">
      <w:pPr>
        <w:pStyle w:val="ListParagraph"/>
        <w:numPr>
          <w:ilvl w:val="0"/>
          <w:numId w:val="9"/>
        </w:numPr>
        <w:spacing w:after="100"/>
        <w:ind w:left="357" w:hanging="357"/>
        <w:contextualSpacing w:val="0"/>
      </w:pPr>
      <w:r>
        <w:t>ERF</w:t>
      </w:r>
      <w:r w:rsidR="00702C00">
        <w:t xml:space="preserve"> </w:t>
      </w:r>
      <w:r w:rsidR="000F4985" w:rsidRPr="00E00DB1">
        <w:t>projects</w:t>
      </w:r>
      <w:r w:rsidR="000F4985">
        <w:t xml:space="preserve"> that reduce covered emissions</w:t>
      </w:r>
      <w:r w:rsidR="009347D8">
        <w:t xml:space="preserve"> at Safeguard facilities </w:t>
      </w:r>
      <w:r w:rsidR="00065494">
        <w:t xml:space="preserve">will </w:t>
      </w:r>
      <w:r w:rsidR="009347D8">
        <w:t>no longer be able to be registered</w:t>
      </w:r>
      <w:r w:rsidR="000F4985">
        <w:t xml:space="preserve">. </w:t>
      </w:r>
    </w:p>
    <w:p w14:paraId="17463784" w14:textId="484D785E" w:rsidR="000F4985" w:rsidRDefault="000F4985" w:rsidP="000F4985">
      <w:pPr>
        <w:pStyle w:val="ListParagraph"/>
        <w:numPr>
          <w:ilvl w:val="0"/>
          <w:numId w:val="9"/>
        </w:numPr>
        <w:spacing w:after="100"/>
        <w:ind w:left="357" w:hanging="357"/>
        <w:contextualSpacing w:val="0"/>
      </w:pPr>
      <w:r>
        <w:t xml:space="preserve">Projects that are already registered </w:t>
      </w:r>
      <w:r w:rsidR="00B95A37">
        <w:t>w</w:t>
      </w:r>
      <w:r w:rsidR="004A7902">
        <w:t>o</w:t>
      </w:r>
      <w:r w:rsidR="00B95A37">
        <w:t xml:space="preserve">uld </w:t>
      </w:r>
      <w:r>
        <w:t xml:space="preserve">continue to generate and sell credits for their existing crediting period, but </w:t>
      </w:r>
      <w:r w:rsidR="00B95A37">
        <w:t xml:space="preserve">would </w:t>
      </w:r>
      <w:r>
        <w:t>not be able to enter into new contracts for Government purchase of ACCUs</w:t>
      </w:r>
      <w:r w:rsidR="009D3A6B">
        <w:t xml:space="preserve"> or extend their crediting period</w:t>
      </w:r>
      <w:r>
        <w:t xml:space="preserve">. </w:t>
      </w:r>
    </w:p>
    <w:p w14:paraId="7BCC8C4E" w14:textId="7A832AA0" w:rsidR="000F4985" w:rsidRDefault="000F4985" w:rsidP="000F4985">
      <w:pPr>
        <w:pStyle w:val="ListParagraph"/>
        <w:numPr>
          <w:ilvl w:val="0"/>
          <w:numId w:val="9"/>
        </w:numPr>
        <w:spacing w:after="100"/>
        <w:ind w:left="357" w:hanging="357"/>
        <w:contextualSpacing w:val="0"/>
      </w:pPr>
      <w:r>
        <w:t xml:space="preserve">Existing </w:t>
      </w:r>
      <w:r w:rsidR="00702C00">
        <w:t xml:space="preserve">government-purchase </w:t>
      </w:r>
      <w:r>
        <w:t xml:space="preserve">contracts </w:t>
      </w:r>
      <w:r w:rsidR="00B95A37">
        <w:t xml:space="preserve">would </w:t>
      </w:r>
      <w:r>
        <w:t xml:space="preserve">remain in place, </w:t>
      </w:r>
      <w:r w:rsidR="00B95A37">
        <w:t xml:space="preserve">with </w:t>
      </w:r>
      <w:r>
        <w:t>‘deemed surrender’ prov</w:t>
      </w:r>
      <w:r w:rsidR="00102126">
        <w:t>isions grandfathered for two years from scheme commencement</w:t>
      </w:r>
      <w:r w:rsidR="009D3A6B">
        <w:t>, then removed</w:t>
      </w:r>
      <w:r w:rsidR="00102126">
        <w:t>.</w:t>
      </w:r>
    </w:p>
    <w:p w14:paraId="712F85DE" w14:textId="77777777" w:rsidR="00CA5843" w:rsidRDefault="00CA5843" w:rsidP="00CA5843">
      <w:pPr>
        <w:pStyle w:val="Heading4"/>
      </w:pPr>
      <w:r>
        <w:t>Banking and borrowing</w:t>
      </w:r>
    </w:p>
    <w:p w14:paraId="472F8777" w14:textId="536E1F92" w:rsidR="008E7B80" w:rsidRDefault="00702C00" w:rsidP="003721EC">
      <w:pPr>
        <w:pStyle w:val="ListParagraph"/>
        <w:numPr>
          <w:ilvl w:val="0"/>
          <w:numId w:val="9"/>
        </w:numPr>
        <w:spacing w:after="100"/>
        <w:ind w:left="357" w:hanging="357"/>
        <w:contextualSpacing w:val="0"/>
      </w:pPr>
      <w:r>
        <w:t>U</w:t>
      </w:r>
      <w:r w:rsidR="003721EC">
        <w:t xml:space="preserve">nlimited banking </w:t>
      </w:r>
      <w:r w:rsidR="008E7B80">
        <w:t xml:space="preserve">of SMCs </w:t>
      </w:r>
      <w:r w:rsidR="00B95A37">
        <w:t xml:space="preserve">would </w:t>
      </w:r>
      <w:r>
        <w:t xml:space="preserve">be allowed </w:t>
      </w:r>
      <w:r w:rsidR="003721EC">
        <w:t>to 2030</w:t>
      </w:r>
      <w:r w:rsidR="008E7B80">
        <w:t xml:space="preserve">. </w:t>
      </w:r>
      <w:r w:rsidR="00056679">
        <w:t xml:space="preserve">In other words, SMCs </w:t>
      </w:r>
      <w:r w:rsidR="00B95A37">
        <w:t xml:space="preserve">could </w:t>
      </w:r>
      <w:r w:rsidR="00056679">
        <w:t xml:space="preserve">be used </w:t>
      </w:r>
      <w:r w:rsidR="002F49B5">
        <w:t>for Safeguard compliance</w:t>
      </w:r>
      <w:r w:rsidR="00056679">
        <w:t xml:space="preserve"> </w:t>
      </w:r>
      <w:r w:rsidR="002F49B5">
        <w:t xml:space="preserve">in any </w:t>
      </w:r>
      <w:r w:rsidR="00A6315B">
        <w:t>year</w:t>
      </w:r>
      <w:r w:rsidR="002F49B5">
        <w:t xml:space="preserve"> to 2030, </w:t>
      </w:r>
      <w:r w:rsidR="00B51E38">
        <w:t>irrespective</w:t>
      </w:r>
      <w:r w:rsidR="00056679">
        <w:t xml:space="preserve"> </w:t>
      </w:r>
      <w:r w:rsidR="002F49B5">
        <w:t>of when they are issued</w:t>
      </w:r>
      <w:r w:rsidR="00056679">
        <w:t>.</w:t>
      </w:r>
    </w:p>
    <w:p w14:paraId="056CB6C7" w14:textId="42BDFD34" w:rsidR="003721EC" w:rsidRDefault="008E7B80" w:rsidP="003721EC">
      <w:pPr>
        <w:pStyle w:val="ListParagraph"/>
        <w:numPr>
          <w:ilvl w:val="0"/>
          <w:numId w:val="9"/>
        </w:numPr>
        <w:spacing w:after="100"/>
        <w:ind w:left="357" w:hanging="357"/>
        <w:contextualSpacing w:val="0"/>
      </w:pPr>
      <w:r>
        <w:t>B</w:t>
      </w:r>
      <w:r w:rsidR="003721EC">
        <w:t>orrowing</w:t>
      </w:r>
      <w:r w:rsidR="00702C00">
        <w:t xml:space="preserve"> of</w:t>
      </w:r>
      <w:r w:rsidR="003721EC">
        <w:t xml:space="preserve"> up to 10 </w:t>
      </w:r>
      <w:r w:rsidR="00FB3916">
        <w:t>per cent</w:t>
      </w:r>
      <w:r w:rsidR="003721EC">
        <w:t xml:space="preserve"> </w:t>
      </w:r>
      <w:r>
        <w:t>of the baseline</w:t>
      </w:r>
      <w:r w:rsidR="003721EC">
        <w:t xml:space="preserve"> each year </w:t>
      </w:r>
      <w:r w:rsidR="00B95A37">
        <w:t xml:space="preserve">would </w:t>
      </w:r>
      <w:r w:rsidR="00702C00">
        <w:t xml:space="preserve">be allowed </w:t>
      </w:r>
      <w:r w:rsidR="003721EC">
        <w:t>to 2030, with a 10 </w:t>
      </w:r>
      <w:r w:rsidR="00FB3916">
        <w:t>per</w:t>
      </w:r>
      <w:r w:rsidR="002F49B5">
        <w:t> </w:t>
      </w:r>
      <w:r w:rsidR="00FB3916">
        <w:t>cent</w:t>
      </w:r>
      <w:r w:rsidR="003721EC">
        <w:t xml:space="preserve"> interest rate applied in the year</w:t>
      </w:r>
      <w:r>
        <w:t xml:space="preserve"> after borrowing </w:t>
      </w:r>
      <w:r w:rsidR="00056679">
        <w:t>occurs</w:t>
      </w:r>
      <w:r w:rsidR="003721EC">
        <w:t xml:space="preserve">. </w:t>
      </w:r>
    </w:p>
    <w:p w14:paraId="36AC9BE7" w14:textId="70D54684" w:rsidR="003721EC" w:rsidRDefault="0018268C" w:rsidP="003721EC">
      <w:pPr>
        <w:pStyle w:val="ListParagraph"/>
        <w:numPr>
          <w:ilvl w:val="0"/>
          <w:numId w:val="9"/>
        </w:numPr>
        <w:spacing w:after="100"/>
        <w:ind w:left="357" w:hanging="357"/>
        <w:contextualSpacing w:val="0"/>
      </w:pPr>
      <w:r>
        <w:t>The</w:t>
      </w:r>
      <w:r w:rsidR="00B95A37">
        <w:t xml:space="preserve"> </w:t>
      </w:r>
      <w:r w:rsidR="00B51E38">
        <w:t>2026</w:t>
      </w:r>
      <w:r w:rsidR="00A93AC0">
        <w:t>-27</w:t>
      </w:r>
      <w:r w:rsidR="00B51E38">
        <w:t xml:space="preserve"> Safeguard Mechanism review </w:t>
      </w:r>
      <w:r w:rsidR="003721EC">
        <w:t xml:space="preserve">will consider post-2030 arrangements </w:t>
      </w:r>
      <w:r w:rsidR="008E7B80">
        <w:t>for banking and borrowing</w:t>
      </w:r>
      <w:r w:rsidR="003721EC">
        <w:t xml:space="preserve">. </w:t>
      </w:r>
    </w:p>
    <w:p w14:paraId="16E5BBD2" w14:textId="77777777" w:rsidR="00D26C84" w:rsidRDefault="003721EC" w:rsidP="003721EC">
      <w:pPr>
        <w:pStyle w:val="Heading4"/>
      </w:pPr>
      <w:r>
        <w:t xml:space="preserve"> </w:t>
      </w:r>
      <w:r w:rsidR="000F4985">
        <w:t>International units</w:t>
      </w:r>
    </w:p>
    <w:p w14:paraId="06632509" w14:textId="40FF272C" w:rsidR="00916446" w:rsidRDefault="00A84AAF" w:rsidP="00916446">
      <w:pPr>
        <w:pStyle w:val="ListParagraph"/>
        <w:numPr>
          <w:ilvl w:val="0"/>
          <w:numId w:val="7"/>
        </w:numPr>
        <w:ind w:left="425" w:hanging="357"/>
        <w:contextualSpacing w:val="0"/>
      </w:pPr>
      <w:r>
        <w:t xml:space="preserve">International offsets are not proposed to be part of the initial reforms. </w:t>
      </w:r>
      <w:r w:rsidR="00916446">
        <w:t xml:space="preserve">The Government may consider allowing access to high integrity international offsets at </w:t>
      </w:r>
      <w:r w:rsidR="008E7B80">
        <w:t>some</w:t>
      </w:r>
      <w:r w:rsidR="006248EE">
        <w:t xml:space="preserve"> </w:t>
      </w:r>
      <w:r w:rsidR="00916446">
        <w:t xml:space="preserve">future time and will consult </w:t>
      </w:r>
      <w:r w:rsidR="00C76E2C">
        <w:t>in 2023</w:t>
      </w:r>
      <w:r w:rsidR="00916446">
        <w:t xml:space="preserve"> on the </w:t>
      </w:r>
      <w:r w:rsidR="008E7B80">
        <w:t>possibility of establishing the legislative framework</w:t>
      </w:r>
      <w:r w:rsidR="00916446">
        <w:t xml:space="preserve"> for international units. </w:t>
      </w:r>
    </w:p>
    <w:p w14:paraId="24907129" w14:textId="77777777" w:rsidR="00916446" w:rsidRDefault="001F2C89" w:rsidP="001F2C89">
      <w:pPr>
        <w:pStyle w:val="Heading4"/>
      </w:pPr>
      <w:r>
        <w:lastRenderedPageBreak/>
        <w:t>E</w:t>
      </w:r>
      <w:r w:rsidR="00916446" w:rsidRPr="00BA53E0">
        <w:t xml:space="preserve">merging technologies </w:t>
      </w:r>
    </w:p>
    <w:p w14:paraId="5451EFC9" w14:textId="178E8825" w:rsidR="00916446" w:rsidRDefault="00F47913" w:rsidP="00916446">
      <w:pPr>
        <w:pStyle w:val="ListParagraph"/>
        <w:numPr>
          <w:ilvl w:val="0"/>
          <w:numId w:val="7"/>
        </w:numPr>
        <w:ind w:left="425" w:hanging="357"/>
        <w:contextualSpacing w:val="0"/>
      </w:pPr>
      <w:r>
        <w:t>Five year m</w:t>
      </w:r>
      <w:r w:rsidR="00916446">
        <w:t xml:space="preserve">ulti-year monitoring periods </w:t>
      </w:r>
      <w:r w:rsidR="00A75092">
        <w:t xml:space="preserve">(up to 2030) </w:t>
      </w:r>
      <w:r w:rsidR="00B95A37">
        <w:t xml:space="preserve">would </w:t>
      </w:r>
      <w:r w:rsidR="00702C00">
        <w:t xml:space="preserve">be available </w:t>
      </w:r>
      <w:r w:rsidR="00916446">
        <w:t xml:space="preserve">where a facility has exceeded </w:t>
      </w:r>
      <w:r w:rsidR="006248EE">
        <w:t>its baseline</w:t>
      </w:r>
      <w:r w:rsidR="00916446">
        <w:t xml:space="preserve"> due to a lack of available </w:t>
      </w:r>
      <w:r w:rsidR="00702C00">
        <w:t>technology,</w:t>
      </w:r>
      <w:r w:rsidR="00916446">
        <w:t xml:space="preserve"> but has a </w:t>
      </w:r>
      <w:r w:rsidR="00D323D8">
        <w:t xml:space="preserve">firm and credible </w:t>
      </w:r>
      <w:r w:rsidR="00916446">
        <w:t xml:space="preserve">plan in place to reduce </w:t>
      </w:r>
      <w:r>
        <w:t xml:space="preserve">cumulative </w:t>
      </w:r>
      <w:r w:rsidR="00916446">
        <w:t xml:space="preserve">emissions before the end of the five year period.  </w:t>
      </w:r>
    </w:p>
    <w:p w14:paraId="6668CD35" w14:textId="77777777" w:rsidR="00916446" w:rsidRDefault="000E35DD" w:rsidP="001F2C89">
      <w:pPr>
        <w:pStyle w:val="Heading4"/>
      </w:pPr>
      <w:r>
        <w:t>Cost</w:t>
      </w:r>
      <w:r w:rsidR="00916446">
        <w:t xml:space="preserve"> containment measure</w:t>
      </w:r>
    </w:p>
    <w:p w14:paraId="5D954644" w14:textId="4E1DABC2" w:rsidR="00BF1359" w:rsidRPr="00350E95" w:rsidRDefault="006A442C" w:rsidP="00271718">
      <w:pPr>
        <w:pStyle w:val="ListParagraph"/>
        <w:numPr>
          <w:ilvl w:val="0"/>
          <w:numId w:val="7"/>
        </w:numPr>
        <w:ind w:left="425" w:hanging="357"/>
        <w:contextualSpacing w:val="0"/>
      </w:pPr>
      <w:r>
        <w:t>A</w:t>
      </w:r>
      <w:r w:rsidR="00BF1359">
        <w:t xml:space="preserve"> </w:t>
      </w:r>
      <w:r w:rsidR="000E35DD">
        <w:t>cost</w:t>
      </w:r>
      <w:r w:rsidR="00BF1359">
        <w:t xml:space="preserve"> containment measure</w:t>
      </w:r>
      <w:r>
        <w:t xml:space="preserve"> </w:t>
      </w:r>
      <w:r w:rsidR="00B95A37">
        <w:t xml:space="preserve">would </w:t>
      </w:r>
      <w:r w:rsidR="00A75092">
        <w:t>make</w:t>
      </w:r>
      <w:r w:rsidR="00301ED4">
        <w:t xml:space="preserve"> Government-held</w:t>
      </w:r>
      <w:r w:rsidR="00A75092">
        <w:t xml:space="preserve"> ACCUs available at</w:t>
      </w:r>
      <w:r w:rsidR="00BF1359">
        <w:t xml:space="preserve"> $</w:t>
      </w:r>
      <w:r w:rsidR="00FA6F2C">
        <w:t>75</w:t>
      </w:r>
      <w:r w:rsidR="00BF1359">
        <w:t xml:space="preserve"> per tonne of </w:t>
      </w:r>
      <w:r w:rsidR="00BF1359" w:rsidRPr="00B83BF6">
        <w:t>CO</w:t>
      </w:r>
      <w:r w:rsidR="00BF1359" w:rsidRPr="00706A5E">
        <w:rPr>
          <w:vertAlign w:val="subscript"/>
        </w:rPr>
        <w:t>2</w:t>
      </w:r>
      <w:r w:rsidR="00BF1359" w:rsidRPr="00B83BF6">
        <w:noBreakHyphen/>
        <w:t>e</w:t>
      </w:r>
      <w:r w:rsidR="00BF1359">
        <w:t xml:space="preserve"> in 2023-24, </w:t>
      </w:r>
      <w:r w:rsidR="00FA6F2C">
        <w:t xml:space="preserve">increasing </w:t>
      </w:r>
      <w:r w:rsidR="00370AD6">
        <w:t>with the CPI</w:t>
      </w:r>
      <w:r w:rsidR="00271718">
        <w:t xml:space="preserve"> plus 2 per</w:t>
      </w:r>
      <w:r w:rsidR="00E97D32">
        <w:t xml:space="preserve"> </w:t>
      </w:r>
      <w:r w:rsidR="00271718">
        <w:t>cent</w:t>
      </w:r>
      <w:r w:rsidR="00BF1359">
        <w:t xml:space="preserve">.  </w:t>
      </w:r>
    </w:p>
    <w:p w14:paraId="42B57AA4" w14:textId="77777777" w:rsidR="002A1509" w:rsidRDefault="002A1509" w:rsidP="002A1509">
      <w:pPr>
        <w:pStyle w:val="Heading4"/>
      </w:pPr>
      <w:r>
        <w:t>Compliance dates</w:t>
      </w:r>
    </w:p>
    <w:p w14:paraId="472EBA8C" w14:textId="63530A1D" w:rsidR="002A1509" w:rsidRDefault="006A442C" w:rsidP="002A1509">
      <w:pPr>
        <w:pStyle w:val="ListParagraph"/>
        <w:numPr>
          <w:ilvl w:val="0"/>
          <w:numId w:val="7"/>
        </w:numPr>
        <w:ind w:left="425" w:hanging="357"/>
        <w:contextualSpacing w:val="0"/>
      </w:pPr>
      <w:r>
        <w:t>A</w:t>
      </w:r>
      <w:r w:rsidR="002A1509">
        <w:t xml:space="preserve">dministrative dates </w:t>
      </w:r>
      <w:r w:rsidR="00C66FB7">
        <w:t>for baseline applications and compliance</w:t>
      </w:r>
      <w:r w:rsidR="002A1509">
        <w:t xml:space="preserve"> </w:t>
      </w:r>
      <w:r w:rsidR="00B95A37">
        <w:t xml:space="preserve">would </w:t>
      </w:r>
      <w:r>
        <w:t xml:space="preserve">be amended and added </w:t>
      </w:r>
      <w:r w:rsidR="002A1509">
        <w:t>to accommodate Safeguard Mechanism reforms.</w:t>
      </w:r>
    </w:p>
    <w:p w14:paraId="66B765F2" w14:textId="77777777" w:rsidR="00A04173" w:rsidRPr="00BA53E0" w:rsidRDefault="00A04173" w:rsidP="001F2C89">
      <w:pPr>
        <w:pStyle w:val="Heading3"/>
      </w:pPr>
      <w:r w:rsidRPr="00BA53E0">
        <w:t>Tailored treatment for emissions-intensive, trad</w:t>
      </w:r>
      <w:r>
        <w:t xml:space="preserve">e-exposed (EITE) </w:t>
      </w:r>
      <w:r w:rsidRPr="00BA53E0">
        <w:t xml:space="preserve">businesses </w:t>
      </w:r>
    </w:p>
    <w:p w14:paraId="24CEF3FF" w14:textId="12A1B8F1" w:rsidR="00D47E5E" w:rsidRDefault="00B95A37" w:rsidP="00D47E5E">
      <w:pPr>
        <w:pStyle w:val="ListParagraph"/>
        <w:numPr>
          <w:ilvl w:val="0"/>
          <w:numId w:val="7"/>
        </w:numPr>
        <w:ind w:left="425" w:hanging="357"/>
        <w:contextualSpacing w:val="0"/>
      </w:pPr>
      <w:r>
        <w:t>T</w:t>
      </w:r>
      <w:r w:rsidR="00D47E5E">
        <w:t xml:space="preserve">wo categories of facilities </w:t>
      </w:r>
      <w:r>
        <w:t>would be given</w:t>
      </w:r>
      <w:r w:rsidR="00D47E5E">
        <w:t xml:space="preserve"> access to tailored treatment to manage competitiveness and carbon leakage risks:</w:t>
      </w:r>
    </w:p>
    <w:p w14:paraId="32733383" w14:textId="6140ACEC" w:rsidR="00D47E5E" w:rsidRDefault="00D47E5E" w:rsidP="00D47E5E">
      <w:pPr>
        <w:pStyle w:val="ListParagraph"/>
        <w:numPr>
          <w:ilvl w:val="1"/>
          <w:numId w:val="7"/>
        </w:numPr>
        <w:ind w:left="851"/>
        <w:contextualSpacing w:val="0"/>
      </w:pPr>
      <w:r w:rsidRPr="00D47E5E">
        <w:t>Trade Exposed</w:t>
      </w:r>
      <w:r>
        <w:t xml:space="preserve"> facilities</w:t>
      </w:r>
      <w:r w:rsidR="00B95A37">
        <w:t>, which</w:t>
      </w:r>
      <w:r w:rsidR="0018268C">
        <w:t xml:space="preserve"> </w:t>
      </w:r>
      <w:r>
        <w:t xml:space="preserve">will include all facilities undertaking a trade exposed activity; </w:t>
      </w:r>
    </w:p>
    <w:p w14:paraId="088BF313" w14:textId="13E9F0B0" w:rsidR="00D47E5E" w:rsidRPr="00350E95" w:rsidRDefault="00772A98" w:rsidP="00D47E5E">
      <w:pPr>
        <w:pStyle w:val="ListParagraph"/>
        <w:numPr>
          <w:ilvl w:val="1"/>
          <w:numId w:val="7"/>
        </w:numPr>
        <w:ind w:left="851"/>
        <w:contextualSpacing w:val="0"/>
      </w:pPr>
      <w:r>
        <w:t>Trade Exposed Baseline Adjusted</w:t>
      </w:r>
      <w:r w:rsidR="00D47E5E">
        <w:t xml:space="preserve"> facilities</w:t>
      </w:r>
      <w:r w:rsidR="00C03A90">
        <w:t>, which</w:t>
      </w:r>
      <w:r w:rsidR="0018268C">
        <w:t xml:space="preserve"> </w:t>
      </w:r>
      <w:r w:rsidR="00D47E5E">
        <w:t xml:space="preserve">are </w:t>
      </w:r>
      <w:r w:rsidR="00C03A90">
        <w:t xml:space="preserve">a </w:t>
      </w:r>
      <w:r w:rsidR="00D47E5E">
        <w:t xml:space="preserve">subset </w:t>
      </w:r>
      <w:r w:rsidR="00C256FF">
        <w:t xml:space="preserve">of trade-exposed facilities </w:t>
      </w:r>
      <w:r w:rsidR="00D47E5E">
        <w:t xml:space="preserve">facing an elevated risk of carbon leakage.  </w:t>
      </w:r>
    </w:p>
    <w:p w14:paraId="7BF8C224" w14:textId="10C34B49" w:rsidR="00992E81" w:rsidRDefault="00A75092" w:rsidP="00992E81">
      <w:pPr>
        <w:pStyle w:val="ListParagraph"/>
        <w:numPr>
          <w:ilvl w:val="0"/>
          <w:numId w:val="7"/>
        </w:numPr>
        <w:ind w:left="425" w:hanging="357"/>
        <w:contextualSpacing w:val="0"/>
      </w:pPr>
      <w:r>
        <w:t>Both categories</w:t>
      </w:r>
      <w:r w:rsidR="00992E81" w:rsidRPr="00992E81">
        <w:t xml:space="preserve"> will have access to a</w:t>
      </w:r>
      <w:r w:rsidR="00C03A90">
        <w:t>n initial,</w:t>
      </w:r>
      <w:r w:rsidR="00992E81" w:rsidRPr="00992E81">
        <w:t xml:space="preserve"> dedicated $600 million Safeguard Transformation Stream of the </w:t>
      </w:r>
      <w:r w:rsidR="00992E81">
        <w:t>Powering the Regions Fund</w:t>
      </w:r>
      <w:r w:rsidR="00992E81" w:rsidRPr="00992E81">
        <w:t xml:space="preserve"> </w:t>
      </w:r>
      <w:r w:rsidR="00992E81">
        <w:t>(PRF)</w:t>
      </w:r>
      <w:r w:rsidR="009F1B14">
        <w:t xml:space="preserve">; </w:t>
      </w:r>
      <w:r w:rsidR="00992E81" w:rsidRPr="00992E81">
        <w:t xml:space="preserve">and all Safeguard Mechanism facilities will </w:t>
      </w:r>
      <w:r w:rsidR="009F1B14">
        <w:t xml:space="preserve">have </w:t>
      </w:r>
      <w:r w:rsidR="0035084D">
        <w:t xml:space="preserve">preferential treatment </w:t>
      </w:r>
      <w:r w:rsidR="009F1B14">
        <w:t xml:space="preserve">for access to other PRF streams, </w:t>
      </w:r>
      <w:r w:rsidR="0035084D">
        <w:t xml:space="preserve">where they are eligible, such as through additional weighting </w:t>
      </w:r>
      <w:r w:rsidR="009F1B14">
        <w:t xml:space="preserve">in the criteria for assessment. </w:t>
      </w:r>
    </w:p>
    <w:p w14:paraId="113CDFA9" w14:textId="40E12B9F" w:rsidR="00863199" w:rsidRPr="00350E95" w:rsidRDefault="00772A98" w:rsidP="00863199">
      <w:pPr>
        <w:pStyle w:val="ListParagraph"/>
        <w:numPr>
          <w:ilvl w:val="0"/>
          <w:numId w:val="7"/>
        </w:numPr>
        <w:ind w:left="425" w:hanging="357"/>
        <w:contextualSpacing w:val="0"/>
      </w:pPr>
      <w:r>
        <w:t>Trade Exposed Baseline Adjusted</w:t>
      </w:r>
      <w:r w:rsidR="00123A8C">
        <w:t xml:space="preserve"> f</w:t>
      </w:r>
      <w:r w:rsidR="00863199">
        <w:t>acilities</w:t>
      </w:r>
      <w:r w:rsidR="00863199" w:rsidDel="00123A8C">
        <w:t xml:space="preserve"> </w:t>
      </w:r>
      <w:r w:rsidR="00C03A90">
        <w:t xml:space="preserve">would </w:t>
      </w:r>
      <w:r w:rsidR="00863199">
        <w:t xml:space="preserve">be eligible to apply </w:t>
      </w:r>
      <w:r w:rsidR="00D323D8">
        <w:t xml:space="preserve">to the Clean Energy Regulator </w:t>
      </w:r>
      <w:r w:rsidR="00863199">
        <w:t xml:space="preserve">for a discounted decline rate set based on </w:t>
      </w:r>
      <w:r w:rsidR="00D323D8">
        <w:t xml:space="preserve">a </w:t>
      </w:r>
      <w:r w:rsidR="00863199">
        <w:t>scheme impact</w:t>
      </w:r>
      <w:r w:rsidR="00D323D8">
        <w:t xml:space="preserve"> metric</w:t>
      </w:r>
      <w:r w:rsidR="00863199">
        <w:t xml:space="preserve">. The minimum decline rate </w:t>
      </w:r>
      <w:r w:rsidR="00C03A90">
        <w:t xml:space="preserve">would </w:t>
      </w:r>
      <w:r w:rsidR="00863199">
        <w:t xml:space="preserve">be </w:t>
      </w:r>
      <w:r w:rsidR="00863199" w:rsidRPr="002E78E9">
        <w:t>two</w:t>
      </w:r>
      <w:r w:rsidR="00863199">
        <w:t xml:space="preserve"> per cent</w:t>
      </w:r>
      <w:r w:rsidR="006A442C">
        <w:t xml:space="preserve"> each year</w:t>
      </w:r>
      <w:r w:rsidR="00863199">
        <w:t>.</w:t>
      </w:r>
    </w:p>
    <w:p w14:paraId="675CFE2E" w14:textId="2A1653FC" w:rsidR="00863199" w:rsidRPr="00DA55FA" w:rsidRDefault="00863199" w:rsidP="00863199">
      <w:pPr>
        <w:pStyle w:val="ListParagraph"/>
        <w:numPr>
          <w:ilvl w:val="0"/>
          <w:numId w:val="7"/>
        </w:numPr>
        <w:ind w:left="425" w:hanging="357"/>
        <w:contextualSpacing w:val="0"/>
      </w:pPr>
      <w:r>
        <w:t xml:space="preserve">Costs </w:t>
      </w:r>
      <w:r w:rsidR="00C03A90">
        <w:t xml:space="preserve">would </w:t>
      </w:r>
      <w:r>
        <w:t>be determined by reference to the default certificate price published in J</w:t>
      </w:r>
      <w:r w:rsidRPr="001811DF">
        <w:t xml:space="preserve">une </w:t>
      </w:r>
      <w:r w:rsidR="00C06ACE" w:rsidRPr="001811DF">
        <w:t>of</w:t>
      </w:r>
      <w:r w:rsidR="00C06ACE" w:rsidRPr="00DA55FA">
        <w:t xml:space="preserve"> </w:t>
      </w:r>
      <w:r w:rsidRPr="00DA55FA">
        <w:t>each year.</w:t>
      </w:r>
    </w:p>
    <w:p w14:paraId="759015DB" w14:textId="77777777" w:rsidR="00A45157" w:rsidRPr="0018268C" w:rsidRDefault="00192B60" w:rsidP="005F6C50">
      <w:pPr>
        <w:ind w:left="68"/>
      </w:pPr>
      <w:r w:rsidRPr="0018268C">
        <w:rPr>
          <w:rFonts w:ascii="Calibri" w:hAnsi="Calibri"/>
          <w:color w:val="BB4E06"/>
          <w:sz w:val="26"/>
        </w:rPr>
        <w:t>Exploring additional policy options to address carbon leakage</w:t>
      </w:r>
      <w:r w:rsidRPr="0018268C" w:rsidDel="00192B60">
        <w:t xml:space="preserve"> </w:t>
      </w:r>
    </w:p>
    <w:p w14:paraId="33A36905" w14:textId="7DADDAEF" w:rsidR="00153CFB" w:rsidRPr="001811DF" w:rsidRDefault="00153CFB" w:rsidP="005F6C50">
      <w:pPr>
        <w:pStyle w:val="ListParagraph"/>
        <w:numPr>
          <w:ilvl w:val="0"/>
          <w:numId w:val="36"/>
        </w:numPr>
      </w:pPr>
      <w:r w:rsidRPr="0018268C">
        <w:t>The Government recognises the strong stakeholder interest in an Australian CBAM</w:t>
      </w:r>
      <w:r w:rsidR="00C03A90" w:rsidRPr="0018268C">
        <w:t>, as well as the design and implementation challenges,</w:t>
      </w:r>
      <w:r w:rsidR="0018268C">
        <w:t xml:space="preserve"> </w:t>
      </w:r>
      <w:r w:rsidRPr="0018268C">
        <w:t xml:space="preserve">and </w:t>
      </w:r>
      <w:r w:rsidRPr="001811DF">
        <w:t xml:space="preserve">will undertake a review commencing </w:t>
      </w:r>
      <w:r w:rsidRPr="001811DF" w:rsidDel="00262969">
        <w:t xml:space="preserve">in 2023 </w:t>
      </w:r>
      <w:r w:rsidRPr="00DA55FA">
        <w:t xml:space="preserve">to explore policy options to </w:t>
      </w:r>
      <w:r w:rsidR="004A7902" w:rsidRPr="0018268C">
        <w:t xml:space="preserve">further address </w:t>
      </w:r>
      <w:r w:rsidRPr="0018268C">
        <w:t>carbon leakage</w:t>
      </w:r>
      <w:r w:rsidRPr="001811DF">
        <w:t>.</w:t>
      </w:r>
    </w:p>
    <w:p w14:paraId="1F00C567" w14:textId="77777777" w:rsidR="00C66FB7" w:rsidRPr="00DA55FA" w:rsidRDefault="00153CFB" w:rsidP="00C66FB7">
      <w:pPr>
        <w:pStyle w:val="Heading4"/>
      </w:pPr>
      <w:r w:rsidRPr="00DA55FA">
        <w:t xml:space="preserve"> </w:t>
      </w:r>
      <w:r w:rsidR="00C66FB7" w:rsidRPr="00DA55FA">
        <w:t xml:space="preserve">Baseline decline rates </w:t>
      </w:r>
    </w:p>
    <w:p w14:paraId="7BA1B90F" w14:textId="76CBEF9B" w:rsidR="002771BD" w:rsidRDefault="002771BD" w:rsidP="002771BD">
      <w:pPr>
        <w:pStyle w:val="ListParagraph"/>
        <w:keepLines/>
        <w:numPr>
          <w:ilvl w:val="0"/>
          <w:numId w:val="9"/>
        </w:numPr>
        <w:spacing w:after="100"/>
        <w:ind w:left="357" w:hanging="357"/>
        <w:contextualSpacing w:val="0"/>
      </w:pPr>
      <w:r w:rsidRPr="0018268C">
        <w:t xml:space="preserve">In general, a uniform, 4.9 per cent decline rate </w:t>
      </w:r>
      <w:r w:rsidR="00C03A90" w:rsidRPr="0018268C">
        <w:t xml:space="preserve">would </w:t>
      </w:r>
      <w:r w:rsidRPr="0018268C">
        <w:t>apply to Safeguard Mechanism baselines each year to 2029-30. This deliver</w:t>
      </w:r>
      <w:r w:rsidR="00D719F5" w:rsidRPr="0018268C">
        <w:t>s</w:t>
      </w:r>
      <w:r w:rsidRPr="0018268C">
        <w:t xml:space="preserve"> an estimated 2</w:t>
      </w:r>
      <w:r w:rsidR="00B62581" w:rsidRPr="0018268C">
        <w:t>0</w:t>
      </w:r>
      <w:r w:rsidRPr="0018268C">
        <w:t>5 </w:t>
      </w:r>
      <w:r w:rsidR="004C3B1D" w:rsidRPr="0018268C">
        <w:t>million tonnes</w:t>
      </w:r>
      <w:r w:rsidRPr="0018268C">
        <w:t xml:space="preserve"> of abatement and </w:t>
      </w:r>
      <w:r w:rsidR="00D719F5" w:rsidRPr="0018268C">
        <w:t xml:space="preserve">is </w:t>
      </w:r>
      <w:r w:rsidR="00F03E3A" w:rsidRPr="00F03E3A">
        <w:t xml:space="preserve">calibrated to meet </w:t>
      </w:r>
      <w:r>
        <w:t>the 1,23</w:t>
      </w:r>
      <w:r w:rsidR="004604FE">
        <w:t>3</w:t>
      </w:r>
      <w:r>
        <w:t xml:space="preserve"> Mt </w:t>
      </w:r>
      <w:r w:rsidRPr="00B83BF6">
        <w:t>CO</w:t>
      </w:r>
      <w:r w:rsidRPr="00B944B3">
        <w:rPr>
          <w:vertAlign w:val="subscript"/>
        </w:rPr>
        <w:t>2</w:t>
      </w:r>
      <w:r w:rsidRPr="00B83BF6">
        <w:noBreakHyphen/>
        <w:t>e</w:t>
      </w:r>
      <w:r>
        <w:t xml:space="preserve"> emissions budget and 100 Mt </w:t>
      </w:r>
      <w:r w:rsidRPr="00B83BF6">
        <w:t>CO</w:t>
      </w:r>
      <w:r w:rsidRPr="006B1FC8">
        <w:rPr>
          <w:vertAlign w:val="subscript"/>
        </w:rPr>
        <w:t>2</w:t>
      </w:r>
      <w:r w:rsidRPr="00B83BF6">
        <w:noBreakHyphen/>
        <w:t>e</w:t>
      </w:r>
      <w:r>
        <w:t xml:space="preserve"> 2030 point target.</w:t>
      </w:r>
    </w:p>
    <w:p w14:paraId="064580F2" w14:textId="08B3F2FD" w:rsidR="00E46521" w:rsidRDefault="00C66FB7" w:rsidP="00CE5C41">
      <w:pPr>
        <w:pStyle w:val="ListParagraph"/>
        <w:keepLines/>
        <w:numPr>
          <w:ilvl w:val="0"/>
          <w:numId w:val="9"/>
        </w:numPr>
        <w:spacing w:after="100"/>
        <w:ind w:left="357" w:hanging="357"/>
        <w:contextualSpacing w:val="0"/>
      </w:pPr>
      <w:r>
        <w:t xml:space="preserve">Decline rates for 2030-31 to 2034-35 </w:t>
      </w:r>
      <w:r w:rsidR="00C03A90">
        <w:t xml:space="preserve">would </w:t>
      </w:r>
      <w:r>
        <w:t xml:space="preserve">be the subject of consultation in 2026-27 following Australia’s </w:t>
      </w:r>
      <w:r w:rsidR="00A75092">
        <w:t xml:space="preserve">required </w:t>
      </w:r>
      <w:r>
        <w:t xml:space="preserve">NDC update in 2025, and made by 1 July 2027. </w:t>
      </w:r>
    </w:p>
    <w:p w14:paraId="33706735" w14:textId="51F85945" w:rsidR="00CE5C41" w:rsidRPr="00CE5C41" w:rsidRDefault="00CE5C41" w:rsidP="00CE5C41">
      <w:pPr>
        <w:pStyle w:val="ListParagraph"/>
        <w:keepLines/>
        <w:numPr>
          <w:ilvl w:val="0"/>
          <w:numId w:val="9"/>
        </w:numPr>
        <w:spacing w:after="100"/>
        <w:ind w:left="357" w:hanging="357"/>
        <w:contextualSpacing w:val="0"/>
      </w:pPr>
      <w:r>
        <w:t xml:space="preserve">To maintain progress to net zero by 2050, indicative annual decline </w:t>
      </w:r>
      <w:r w:rsidR="00E46521">
        <w:t xml:space="preserve">rates </w:t>
      </w:r>
      <w:r w:rsidR="00C03A90">
        <w:t xml:space="preserve">would </w:t>
      </w:r>
      <w:r w:rsidR="00E46521">
        <w:t>be set for</w:t>
      </w:r>
      <w:r>
        <w:t xml:space="preserve"> 2030-31 to 2049-50, noting </w:t>
      </w:r>
      <w:r w:rsidR="00E46521">
        <w:t xml:space="preserve">that </w:t>
      </w:r>
      <w:r>
        <w:t xml:space="preserve">the actual rate </w:t>
      </w:r>
      <w:r w:rsidR="00C03A90">
        <w:t>w</w:t>
      </w:r>
      <w:r w:rsidR="0018268C">
        <w:t>ill</w:t>
      </w:r>
      <w:r w:rsidR="00C03A90">
        <w:t xml:space="preserve"> need to </w:t>
      </w:r>
      <w:r>
        <w:t>be set through the periodic baseline setting process.</w:t>
      </w:r>
    </w:p>
    <w:p w14:paraId="7A3424EE" w14:textId="3985AA57" w:rsidR="00C66FB7" w:rsidRDefault="00C66FB7" w:rsidP="00C66FB7">
      <w:pPr>
        <w:pStyle w:val="ListParagraph"/>
        <w:numPr>
          <w:ilvl w:val="0"/>
          <w:numId w:val="9"/>
        </w:numPr>
        <w:spacing w:after="100"/>
        <w:ind w:left="357" w:hanging="357"/>
        <w:contextualSpacing w:val="0"/>
      </w:pPr>
      <w:r>
        <w:lastRenderedPageBreak/>
        <w:t>Based on the latest information at that stage, baseline decline rates for 2028-29 and 2029-30 may be adjusted by 1 July 2027.</w:t>
      </w:r>
    </w:p>
    <w:p w14:paraId="3D79C602" w14:textId="77777777" w:rsidR="002C09FB" w:rsidRDefault="002C09FB" w:rsidP="002C09FB">
      <w:pPr>
        <w:pStyle w:val="Heading4"/>
      </w:pPr>
      <w:r>
        <w:t>Compliance and enforcement</w:t>
      </w:r>
    </w:p>
    <w:p w14:paraId="03AE04D6" w14:textId="3F858B3A" w:rsidR="002C09FB" w:rsidRDefault="002C09FB" w:rsidP="002C09FB">
      <w:pPr>
        <w:pStyle w:val="ListParagraph"/>
        <w:numPr>
          <w:ilvl w:val="0"/>
          <w:numId w:val="7"/>
        </w:numPr>
        <w:ind w:left="425" w:hanging="357"/>
        <w:contextualSpacing w:val="0"/>
      </w:pPr>
      <w:r>
        <w:t>The civil penalty</w:t>
      </w:r>
      <w:r w:rsidR="00F80E72">
        <w:t>, while not expected to be imposed</w:t>
      </w:r>
      <w:r w:rsidR="00A84AAF" w:rsidRPr="00A84AAF">
        <w:t xml:space="preserve"> </w:t>
      </w:r>
      <w:r w:rsidR="00A84AAF">
        <w:t>as it will be more expensive than the cost of compliance</w:t>
      </w:r>
      <w:r w:rsidR="00F80E72">
        <w:t>,</w:t>
      </w:r>
      <w:r>
        <w:t xml:space="preserve"> </w:t>
      </w:r>
      <w:r w:rsidR="00C03A90">
        <w:t xml:space="preserve">to </w:t>
      </w:r>
      <w:r>
        <w:t xml:space="preserve">be updated so it reflects both the number of days in exceedance </w:t>
      </w:r>
      <w:r w:rsidRPr="002C09FB">
        <w:rPr>
          <w:i/>
        </w:rPr>
        <w:t>and</w:t>
      </w:r>
      <w:r>
        <w:t xml:space="preserve"> the quantity of excess emissions.</w:t>
      </w:r>
    </w:p>
    <w:p w14:paraId="761DE2AE" w14:textId="4F265644" w:rsidR="00A75092" w:rsidRDefault="002C09FB" w:rsidP="002C09FB">
      <w:pPr>
        <w:pStyle w:val="ListParagraph"/>
        <w:numPr>
          <w:ilvl w:val="0"/>
          <w:numId w:val="7"/>
        </w:numPr>
        <w:ind w:left="425" w:hanging="357"/>
        <w:contextualSpacing w:val="0"/>
      </w:pPr>
      <w:r>
        <w:t xml:space="preserve">The maximum civil penalty </w:t>
      </w:r>
      <w:r w:rsidR="00C03A90">
        <w:t xml:space="preserve">to </w:t>
      </w:r>
      <w:r>
        <w:t>be set at 1 penalty unit per tonne of excess emissions per year and the infringement notice charge at one-third of the maximum civil penalty</w:t>
      </w:r>
      <w:r w:rsidR="000658D7">
        <w:t xml:space="preserve"> </w:t>
      </w:r>
      <w:r w:rsidR="000658D7" w:rsidRPr="000658D7">
        <w:t>to a maximum of 150,000 penalty units</w:t>
      </w:r>
      <w:r>
        <w:t xml:space="preserve">. </w:t>
      </w:r>
      <w:r w:rsidR="00A46206">
        <w:t>From 1 January 2023, a penalty unit will be $275.</w:t>
      </w:r>
    </w:p>
    <w:p w14:paraId="738E1FD9" w14:textId="0CC85788" w:rsidR="00C14C72" w:rsidRDefault="00C14C72" w:rsidP="00C14C72">
      <w:pPr>
        <w:pStyle w:val="ListParagraph"/>
        <w:numPr>
          <w:ilvl w:val="0"/>
          <w:numId w:val="7"/>
        </w:numPr>
        <w:ind w:left="425" w:hanging="357"/>
        <w:contextualSpacing w:val="0"/>
      </w:pPr>
      <w:r>
        <w:t xml:space="preserve">Anti-avoidance measures </w:t>
      </w:r>
      <w:r w:rsidR="00C03A90">
        <w:t xml:space="preserve">to </w:t>
      </w:r>
      <w:r>
        <w:t xml:space="preserve">be introduced to prevent a business from defining, or redefining, a facility with the intention of avoiding Safeguard Mechanism obligations. </w:t>
      </w:r>
    </w:p>
    <w:p w14:paraId="2E68C4BD" w14:textId="77777777" w:rsidR="00055183" w:rsidRDefault="00055183" w:rsidP="00055183">
      <w:pPr>
        <w:pStyle w:val="Heading4"/>
      </w:pPr>
      <w:r>
        <w:t xml:space="preserve">Landfills </w:t>
      </w:r>
    </w:p>
    <w:p w14:paraId="045058B6" w14:textId="3C13A75B" w:rsidR="00055183" w:rsidRDefault="00F80E72" w:rsidP="00055183">
      <w:pPr>
        <w:pStyle w:val="ListParagraph"/>
        <w:numPr>
          <w:ilvl w:val="0"/>
          <w:numId w:val="7"/>
        </w:numPr>
        <w:ind w:left="425" w:hanging="357"/>
        <w:contextualSpacing w:val="0"/>
      </w:pPr>
      <w:r>
        <w:t>Given the overlap with ERF projects, treatment of legacy waste and existing baseline arrangements, l</w:t>
      </w:r>
      <w:r w:rsidR="00055183">
        <w:t xml:space="preserve">andfills </w:t>
      </w:r>
      <w:r w:rsidR="00C03A90">
        <w:t xml:space="preserve">would </w:t>
      </w:r>
      <w:r w:rsidR="00055183">
        <w:t xml:space="preserve">not be eligible to </w:t>
      </w:r>
      <w:r w:rsidR="00055183" w:rsidRPr="00E32AC5">
        <w:t xml:space="preserve">generate Safeguard Mechanism Credits </w:t>
      </w:r>
      <w:r w:rsidR="00055183">
        <w:t>from 2023-24 to 2025-26</w:t>
      </w:r>
      <w:r w:rsidR="00055183" w:rsidRPr="00E32AC5">
        <w:t>.</w:t>
      </w:r>
    </w:p>
    <w:p w14:paraId="1967EDA0" w14:textId="2A3165BE" w:rsidR="00055183" w:rsidRDefault="00055183" w:rsidP="00055183">
      <w:pPr>
        <w:pStyle w:val="ListParagraph"/>
        <w:numPr>
          <w:ilvl w:val="0"/>
          <w:numId w:val="7"/>
        </w:numPr>
        <w:ind w:left="425" w:hanging="357"/>
        <w:contextualSpacing w:val="0"/>
      </w:pPr>
      <w:r>
        <w:t xml:space="preserve">Consistent with other Safeguard Mechanism facilities, landfills covered by the Safeguard Mechanism </w:t>
      </w:r>
      <w:r w:rsidR="00C03A90">
        <w:t xml:space="preserve">would </w:t>
      </w:r>
      <w:r>
        <w:t xml:space="preserve">continue existing </w:t>
      </w:r>
      <w:r w:rsidRPr="00E00DB1" w:rsidDel="001A6E82">
        <w:t xml:space="preserve">ERF </w:t>
      </w:r>
      <w:r w:rsidRPr="00E00DB1">
        <w:t>projects</w:t>
      </w:r>
      <w:r>
        <w:t xml:space="preserve"> that reduce covered emissions and existing </w:t>
      </w:r>
      <w:r w:rsidDel="001A6E82">
        <w:t xml:space="preserve">ERF </w:t>
      </w:r>
      <w:r>
        <w:t>contracts, but not register new projects</w:t>
      </w:r>
      <w:r w:rsidR="00983F83">
        <w:t xml:space="preserve"> that relate to covered emissions</w:t>
      </w:r>
      <w:r>
        <w:t xml:space="preserve">, </w:t>
      </w:r>
      <w:r w:rsidR="00301ED4">
        <w:t xml:space="preserve">nor </w:t>
      </w:r>
      <w:r>
        <w:t>extend existing crediting periods</w:t>
      </w:r>
      <w:r w:rsidR="00301ED4">
        <w:t>,</w:t>
      </w:r>
      <w:r>
        <w:t xml:space="preserve"> </w:t>
      </w:r>
      <w:r w:rsidR="00301ED4">
        <w:t>n</w:t>
      </w:r>
      <w:r>
        <w:t xml:space="preserve">or enter new government contracts during this period. Deemed surrender provisions </w:t>
      </w:r>
      <w:r w:rsidR="00C03A90">
        <w:t xml:space="preserve">would </w:t>
      </w:r>
      <w:r>
        <w:t>be grandfathered for two years, then removed.</w:t>
      </w:r>
    </w:p>
    <w:p w14:paraId="4313CCBF" w14:textId="44190237" w:rsidR="00055183" w:rsidRDefault="00055183" w:rsidP="00055183">
      <w:pPr>
        <w:pStyle w:val="ListParagraph"/>
        <w:numPr>
          <w:ilvl w:val="0"/>
          <w:numId w:val="7"/>
        </w:numPr>
        <w:ind w:left="425" w:hanging="357"/>
        <w:contextualSpacing w:val="0"/>
      </w:pPr>
      <w:r>
        <w:t>L</w:t>
      </w:r>
      <w:r w:rsidRPr="000A3EA4">
        <w:t xml:space="preserve">andfill baselines </w:t>
      </w:r>
      <w:r w:rsidR="00C03A90">
        <w:t xml:space="preserve">would </w:t>
      </w:r>
      <w:r w:rsidRPr="000A3EA4">
        <w:t>decline at the same rate as other facilities</w:t>
      </w:r>
      <w:r>
        <w:t xml:space="preserve">. </w:t>
      </w:r>
    </w:p>
    <w:p w14:paraId="69A28903" w14:textId="7E28A4CC" w:rsidR="00055183" w:rsidRDefault="00055183" w:rsidP="00055183">
      <w:pPr>
        <w:pStyle w:val="ListParagraph"/>
        <w:numPr>
          <w:ilvl w:val="0"/>
          <w:numId w:val="7"/>
        </w:numPr>
        <w:ind w:left="425" w:hanging="357"/>
        <w:contextualSpacing w:val="0"/>
      </w:pPr>
      <w:r>
        <w:t xml:space="preserve">The provision to add </w:t>
      </w:r>
      <w:r w:rsidRPr="00595B68">
        <w:t xml:space="preserve">ACCUs issued in relation to the </w:t>
      </w:r>
      <w:r w:rsidRPr="00595B68" w:rsidDel="001A6E82">
        <w:t xml:space="preserve">ERF </w:t>
      </w:r>
      <w:r w:rsidRPr="00595B68">
        <w:t>project back to the net emissions of the facility</w:t>
      </w:r>
      <w:r>
        <w:t xml:space="preserve"> </w:t>
      </w:r>
      <w:r w:rsidR="00C03A90">
        <w:t xml:space="preserve">would </w:t>
      </w:r>
      <w:r>
        <w:t>be amended to include only abatement of covered emissions.</w:t>
      </w:r>
    </w:p>
    <w:p w14:paraId="1B6F18D3" w14:textId="77777777" w:rsidR="00C16151" w:rsidRDefault="00C16151" w:rsidP="009D2AAA">
      <w:pPr>
        <w:pStyle w:val="Heading5"/>
      </w:pPr>
    </w:p>
    <w:p w14:paraId="10181D3D" w14:textId="77777777" w:rsidR="006428E8" w:rsidRPr="00BA7685" w:rsidRDefault="006428E8" w:rsidP="00BA7685">
      <w:pPr>
        <w:pStyle w:val="Calloutbox"/>
        <w:keepNext/>
        <w:keepLines/>
        <w:rPr>
          <w:b/>
          <w:color w:val="4472C4" w:themeColor="accent1"/>
        </w:rPr>
      </w:pPr>
      <w:r w:rsidRPr="00BA7685">
        <w:rPr>
          <w:b/>
          <w:color w:val="4472C4" w:themeColor="accent1"/>
        </w:rPr>
        <w:t>How to make a submission</w:t>
      </w:r>
    </w:p>
    <w:p w14:paraId="082664B0" w14:textId="77777777" w:rsidR="00B0655C" w:rsidRDefault="006428E8" w:rsidP="00BA7685">
      <w:pPr>
        <w:pStyle w:val="Calloutbox"/>
        <w:keepNext/>
        <w:keepLines/>
      </w:pPr>
      <w:r>
        <w:t xml:space="preserve">Submissions to this consultation paper </w:t>
      </w:r>
      <w:r w:rsidR="0099565A">
        <w:t xml:space="preserve">and the accompanying exposure draft </w:t>
      </w:r>
      <w:r w:rsidR="00001FB4">
        <w:t>amendments to the</w:t>
      </w:r>
      <w:r w:rsidR="0099565A">
        <w:t xml:space="preserve"> </w:t>
      </w:r>
      <w:r w:rsidR="0099565A" w:rsidRPr="006C26BD">
        <w:rPr>
          <w:rFonts w:ascii="Calibri" w:hAnsi="Calibri" w:cs="Calibri"/>
          <w:i/>
        </w:rPr>
        <w:t xml:space="preserve">National Greenhouse and Energy Reporting (Safeguard Mechanism) </w:t>
      </w:r>
      <w:r w:rsidR="00001FB4" w:rsidRPr="006C26BD">
        <w:rPr>
          <w:rFonts w:ascii="Calibri" w:hAnsi="Calibri" w:cs="Calibri"/>
          <w:i/>
        </w:rPr>
        <w:t>Rule</w:t>
      </w:r>
      <w:r w:rsidR="00001FB4">
        <w:rPr>
          <w:rFonts w:ascii="Calibri" w:hAnsi="Calibri" w:cs="Calibri"/>
          <w:i/>
        </w:rPr>
        <w:t xml:space="preserve"> 2015</w:t>
      </w:r>
      <w:r>
        <w:rPr>
          <w:rFonts w:ascii="Calibri" w:hAnsi="Calibri" w:cs="Calibri"/>
          <w:i/>
        </w:rPr>
        <w:t xml:space="preserve"> </w:t>
      </w:r>
      <w:r>
        <w:t xml:space="preserve">can be made via the </w:t>
      </w:r>
      <w:hyperlink r:id="rId18" w:history="1">
        <w:r w:rsidRPr="00B579F7">
          <w:rPr>
            <w:rStyle w:val="Hyperlink"/>
          </w:rPr>
          <w:t>Department’s Consultation Hub</w:t>
        </w:r>
      </w:hyperlink>
      <w:r>
        <w:t xml:space="preserve"> and by clicking the “Make a Submission” button. Submissions will be published online after the consultation closes, however stakeholders may request that their submission is kept confidential and not published. The Department will also publish information on the outcome of the consultation on the Consultation Hub.</w:t>
      </w:r>
      <w:r w:rsidR="00CC57A0">
        <w:t xml:space="preserve"> </w:t>
      </w:r>
    </w:p>
    <w:p w14:paraId="43F157E7" w14:textId="77777777" w:rsidR="006428E8" w:rsidRDefault="00CC57A0" w:rsidP="00BA7685">
      <w:pPr>
        <w:pStyle w:val="Calloutbox"/>
        <w:keepNext/>
        <w:keepLines/>
      </w:pPr>
      <w:r>
        <w:t xml:space="preserve">This consultation will close on </w:t>
      </w:r>
      <w:r w:rsidR="00731F09">
        <w:rPr>
          <w:b/>
        </w:rPr>
        <w:t>Friday</w:t>
      </w:r>
      <w:r w:rsidRPr="00744BCE">
        <w:rPr>
          <w:b/>
        </w:rPr>
        <w:t xml:space="preserve"> </w:t>
      </w:r>
      <w:r w:rsidR="00B22B5A">
        <w:rPr>
          <w:b/>
        </w:rPr>
        <w:t>2</w:t>
      </w:r>
      <w:r w:rsidR="004E6A98">
        <w:rPr>
          <w:b/>
        </w:rPr>
        <w:t>4</w:t>
      </w:r>
      <w:r w:rsidR="00731F09">
        <w:rPr>
          <w:b/>
        </w:rPr>
        <w:t xml:space="preserve"> February 2023</w:t>
      </w:r>
      <w:r w:rsidRPr="00CC57A0">
        <w:t>.</w:t>
      </w:r>
    </w:p>
    <w:p w14:paraId="1CC619F4" w14:textId="77777777" w:rsidR="002803A1" w:rsidRDefault="002803A1" w:rsidP="0059378F">
      <w:pPr>
        <w:pStyle w:val="ListParagraph"/>
        <w:numPr>
          <w:ilvl w:val="0"/>
          <w:numId w:val="9"/>
        </w:numPr>
        <w:rPr>
          <w:i/>
        </w:rPr>
      </w:pPr>
      <w:r>
        <w:rPr>
          <w:i/>
        </w:rPr>
        <w:br w:type="page"/>
      </w:r>
    </w:p>
    <w:p w14:paraId="76DE61BB" w14:textId="77777777" w:rsidR="00913F76" w:rsidRPr="005426A7" w:rsidRDefault="00913F76" w:rsidP="00A92587">
      <w:pPr>
        <w:pStyle w:val="Heading1"/>
      </w:pPr>
      <w:bookmarkStart w:id="180" w:name="_Toc110851740"/>
      <w:bookmarkStart w:id="181" w:name="_Toc111042131"/>
      <w:bookmarkStart w:id="182" w:name="_Toc117867985"/>
      <w:bookmarkStart w:id="183" w:name="_Toc117887999"/>
      <w:bookmarkStart w:id="184" w:name="_Toc117951443"/>
      <w:bookmarkStart w:id="185" w:name="_Toc117960090"/>
      <w:bookmarkStart w:id="186" w:name="_Toc118040351"/>
      <w:bookmarkStart w:id="187" w:name="_Toc118196203"/>
      <w:bookmarkStart w:id="188" w:name="_Toc118198372"/>
      <w:bookmarkStart w:id="189" w:name="_Toc118198787"/>
      <w:bookmarkStart w:id="190" w:name="_Toc118198978"/>
      <w:bookmarkStart w:id="191" w:name="_Toc118199532"/>
      <w:bookmarkStart w:id="192" w:name="_Toc118304104"/>
      <w:bookmarkStart w:id="193" w:name="_Toc118304135"/>
      <w:bookmarkStart w:id="194" w:name="_Toc118306337"/>
      <w:bookmarkStart w:id="195" w:name="_Toc118308329"/>
      <w:bookmarkStart w:id="196" w:name="_Toc119500900"/>
      <w:bookmarkStart w:id="197" w:name="_Toc119572355"/>
      <w:bookmarkStart w:id="198" w:name="_Toc120098950"/>
      <w:bookmarkStart w:id="199" w:name="_Toc122514430"/>
      <w:bookmarkStart w:id="200" w:name="_Toc124100680"/>
      <w:bookmarkStart w:id="201" w:name="_Toc117176804"/>
      <w:bookmarkStart w:id="202" w:name="_Toc117255407"/>
      <w:bookmarkStart w:id="203" w:name="_Toc117263148"/>
      <w:bookmarkStart w:id="204" w:name="_Toc117437229"/>
      <w:bookmarkStart w:id="205" w:name="_Toc117499177"/>
      <w:bookmarkStart w:id="206" w:name="_Toc117521024"/>
      <w:bookmarkStart w:id="207" w:name="_Toc117524771"/>
      <w:bookmarkStart w:id="208" w:name="_Toc117543962"/>
      <w:bookmarkStart w:id="209" w:name="_Toc117548313"/>
      <w:bookmarkStart w:id="210" w:name="_Toc117588631"/>
      <w:bookmarkStart w:id="211" w:name="_Toc117588675"/>
      <w:bookmarkStart w:id="212" w:name="_Toc117604793"/>
      <w:bookmarkStart w:id="213" w:name="_Toc117612875"/>
      <w:bookmarkStart w:id="214" w:name="_Toc117627713"/>
      <w:bookmarkStart w:id="215" w:name="_Toc117630378"/>
      <w:r w:rsidRPr="005426A7">
        <w:lastRenderedPageBreak/>
        <w:t>Introduction</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004A0674">
        <w:t xml:space="preserve"> </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C5836B3" w14:textId="77777777" w:rsidR="005C0399" w:rsidRDefault="00706A5E">
      <w:r>
        <w:t>Australia has committed</w:t>
      </w:r>
      <w:r w:rsidR="0083467C">
        <w:t xml:space="preserve"> </w:t>
      </w:r>
      <w:r w:rsidR="005C0399">
        <w:t>to reduce national emission</w:t>
      </w:r>
      <w:r w:rsidR="002B5A9E">
        <w:t>s</w:t>
      </w:r>
      <w:r w:rsidR="005C0399">
        <w:t xml:space="preserve"> to 43 </w:t>
      </w:r>
      <w:r w:rsidR="00FB3916">
        <w:t>per cent</w:t>
      </w:r>
      <w:r w:rsidR="005C0399">
        <w:t xml:space="preserve"> below 2005 levels by 2030</w:t>
      </w:r>
      <w:r w:rsidR="00C83498">
        <w:t>,</w:t>
      </w:r>
      <w:r w:rsidR="005C0399">
        <w:t xml:space="preserve"> and to net zero emissions by 2050. </w:t>
      </w:r>
      <w:r w:rsidR="008277C4">
        <w:t>These targets</w:t>
      </w:r>
      <w:r w:rsidR="005C0399">
        <w:t xml:space="preserve"> have been formalised in Australia’s updated </w:t>
      </w:r>
      <w:r w:rsidR="008C6729">
        <w:t>Nationally Determined Contribution (NDC)</w:t>
      </w:r>
      <w:r w:rsidR="005C0399">
        <w:t xml:space="preserve"> under the Paris Agreement</w:t>
      </w:r>
      <w:r w:rsidR="00AE11D6">
        <w:rPr>
          <w:rStyle w:val="FootnoteReference"/>
        </w:rPr>
        <w:footnoteReference w:id="6"/>
      </w:r>
      <w:r w:rsidR="005C0399">
        <w:t xml:space="preserve">, and </w:t>
      </w:r>
      <w:r w:rsidR="00DC1E0B">
        <w:t>e</w:t>
      </w:r>
      <w:r w:rsidR="00D97FC7">
        <w:t>nshrin</w:t>
      </w:r>
      <w:r w:rsidR="00DC1E0B">
        <w:t>ed</w:t>
      </w:r>
      <w:r w:rsidR="005C0399">
        <w:t xml:space="preserve"> in </w:t>
      </w:r>
      <w:r w:rsidR="00DC1E0B">
        <w:t>law</w:t>
      </w:r>
      <w:r w:rsidR="005C0399">
        <w:t xml:space="preserve"> in </w:t>
      </w:r>
      <w:r w:rsidR="00E004F1">
        <w:t>the</w:t>
      </w:r>
      <w:r w:rsidR="000078B4">
        <w:t xml:space="preserve"> </w:t>
      </w:r>
      <w:r w:rsidR="00E004F1" w:rsidRPr="00835BDF">
        <w:rPr>
          <w:i/>
        </w:rPr>
        <w:t>C</w:t>
      </w:r>
      <w:r w:rsidR="005C0399" w:rsidRPr="00835BDF">
        <w:rPr>
          <w:i/>
        </w:rPr>
        <w:t xml:space="preserve">limate </w:t>
      </w:r>
      <w:r w:rsidR="00E004F1" w:rsidRPr="00835BDF">
        <w:rPr>
          <w:i/>
        </w:rPr>
        <w:t xml:space="preserve">Change </w:t>
      </w:r>
      <w:r w:rsidR="00DC1E0B" w:rsidRPr="00835BDF">
        <w:rPr>
          <w:i/>
        </w:rPr>
        <w:t>Act</w:t>
      </w:r>
      <w:r w:rsidR="005C0399">
        <w:t>.</w:t>
      </w:r>
      <w:r w:rsidR="00DC1E0B">
        <w:t xml:space="preserve"> This places a new discipline and rigour on Australia’s climate goals, </w:t>
      </w:r>
      <w:r w:rsidR="00835BDF">
        <w:t xml:space="preserve">including by </w:t>
      </w:r>
      <w:r w:rsidR="00DC1E0B">
        <w:t>requiring annual updates to Parliament on prog</w:t>
      </w:r>
      <w:r w:rsidR="009D7133">
        <w:t>r</w:t>
      </w:r>
      <w:r w:rsidR="00DC1E0B">
        <w:t>ess</w:t>
      </w:r>
      <w:r w:rsidR="00D97FC7">
        <w:t xml:space="preserve"> towards achieving our targets</w:t>
      </w:r>
      <w:r w:rsidR="005C0399">
        <w:t>.</w:t>
      </w:r>
    </w:p>
    <w:p w14:paraId="6F373CED" w14:textId="30E6555A" w:rsidR="005B24FA" w:rsidRDefault="00FB6A61" w:rsidP="005B24FA">
      <w:r>
        <w:t>Australia’s new climate targets are achievable</w:t>
      </w:r>
      <w:r w:rsidR="00A75092">
        <w:t xml:space="preserve"> but ambitious</w:t>
      </w:r>
      <w:r>
        <w:t xml:space="preserve">, </w:t>
      </w:r>
      <w:r w:rsidR="00A75092">
        <w:t xml:space="preserve">and </w:t>
      </w:r>
      <w:r>
        <w:t xml:space="preserve">it will take deliberate and sustained effort to meet them. </w:t>
      </w:r>
      <w:r w:rsidR="00691F88">
        <w:t xml:space="preserve">All sectors must play their part. </w:t>
      </w:r>
      <w:r w:rsidR="00EA0328">
        <w:t xml:space="preserve">The Government’s plan for meeting </w:t>
      </w:r>
      <w:r w:rsidR="001D28EA">
        <w:t>these targets is set out in th</w:t>
      </w:r>
      <w:r w:rsidR="005B24FA">
        <w:t xml:space="preserve">e </w:t>
      </w:r>
      <w:r w:rsidR="005B24FA" w:rsidRPr="00C4681F">
        <w:rPr>
          <w:i/>
          <w:iCs/>
        </w:rPr>
        <w:t>Powering Australia</w:t>
      </w:r>
      <w:r w:rsidR="00691F88">
        <w:rPr>
          <w:i/>
          <w:iCs/>
        </w:rPr>
        <w:t xml:space="preserve"> </w:t>
      </w:r>
      <w:r w:rsidR="00691F88">
        <w:rPr>
          <w:iCs/>
        </w:rPr>
        <w:t>plan</w:t>
      </w:r>
      <w:r w:rsidR="001D28EA">
        <w:t>, which</w:t>
      </w:r>
      <w:r w:rsidR="005B24FA">
        <w:t xml:space="preserve"> includes Rewiring the Nation, the Powering the Regions Fund, </w:t>
      </w:r>
      <w:r w:rsidR="00A75092">
        <w:t xml:space="preserve">$3 billion from </w:t>
      </w:r>
      <w:r w:rsidR="005B24FA">
        <w:t xml:space="preserve">the National Reconstruction Fund and the National Electric Vehicle Strategy. Alongside new measures for electricity and transport, the plan commits to </w:t>
      </w:r>
      <w:r w:rsidR="005B24FA" w:rsidRPr="009A1F5F">
        <w:t xml:space="preserve">build on the </w:t>
      </w:r>
      <w:r w:rsidR="005B24FA">
        <w:t xml:space="preserve">existing </w:t>
      </w:r>
      <w:r w:rsidR="005B24FA" w:rsidRPr="009A1F5F">
        <w:t>Safeguard Mechanism</w:t>
      </w:r>
      <w:r w:rsidR="005B24FA">
        <w:t xml:space="preserve"> to reduce industrial sector emissions. </w:t>
      </w:r>
    </w:p>
    <w:p w14:paraId="35295060" w14:textId="77777777" w:rsidR="005B24FA" w:rsidRDefault="005B24FA" w:rsidP="005B24FA">
      <w:r>
        <w:t xml:space="preserve">The Safeguard Mechanism provides a legislated framework </w:t>
      </w:r>
      <w:r w:rsidR="00B959F7">
        <w:t>that</w:t>
      </w:r>
      <w:r>
        <w:t xml:space="preserve"> limit</w:t>
      </w:r>
      <w:r w:rsidR="00B959F7">
        <w:t>s</w:t>
      </w:r>
      <w:r>
        <w:t xml:space="preserve"> the emissions of large industrial facilities</w:t>
      </w:r>
      <w:r w:rsidRPr="00F2671A">
        <w:t xml:space="preserve"> </w:t>
      </w:r>
      <w:r w:rsidR="00B959F7">
        <w:t>producing</w:t>
      </w:r>
      <w:r>
        <w:t xml:space="preserve"> more than 100,000 tonnes carbon dioxide equivalent (t CO</w:t>
      </w:r>
      <w:r w:rsidRPr="00AD3D62">
        <w:rPr>
          <w:vertAlign w:val="subscript"/>
        </w:rPr>
        <w:t>2</w:t>
      </w:r>
      <w:r>
        <w:noBreakHyphen/>
        <w:t xml:space="preserve">e) each year, </w:t>
      </w:r>
      <w:r w:rsidR="001D28EA">
        <w:t>covering</w:t>
      </w:r>
      <w:r>
        <w:t xml:space="preserve"> around 215 facilities. Businesses are familiar with the scheme. It has been operating for six years. Building on the current framework promotes policy certainty and stability and has been identified by a broad coalition of business leaders and groups as the preferred approach to provide policy certainty for large industrial emitters.</w:t>
      </w:r>
    </w:p>
    <w:p w14:paraId="4E0ECA2C" w14:textId="5B472087" w:rsidR="00D01480" w:rsidRPr="00D01480" w:rsidRDefault="00D01480" w:rsidP="00D01480">
      <w:pPr>
        <w:pStyle w:val="Quote"/>
      </w:pPr>
      <w:r w:rsidRPr="00D01480">
        <w:t xml:space="preserve">Rio Tinto supports the use of a reformed Safeguard Mechanism as part of a suite of </w:t>
      </w:r>
      <w:r w:rsidR="00723331">
        <w:t>p</w:t>
      </w:r>
      <w:r w:rsidRPr="00D01480">
        <w:t>olicy measures to incentivise genuine industrial abatement.</w:t>
      </w:r>
    </w:p>
    <w:p w14:paraId="1725A705" w14:textId="22BDC5C6" w:rsidR="008F6BF0" w:rsidRDefault="00D01480" w:rsidP="008F6BF0">
      <w:pPr>
        <w:pStyle w:val="IntenseQuote"/>
      </w:pPr>
      <w:r>
        <w:t>Rio Tinto</w:t>
      </w:r>
    </w:p>
    <w:p w14:paraId="5410CEEB" w14:textId="2E459187" w:rsidR="00D01480" w:rsidRDefault="00D01480" w:rsidP="00065494">
      <w:pPr>
        <w:ind w:left="567" w:right="522"/>
        <w:rPr>
          <w:i/>
          <w:iCs/>
          <w:color w:val="404040" w:themeColor="text1" w:themeTint="BF"/>
        </w:rPr>
      </w:pPr>
      <w:r w:rsidRPr="00065494">
        <w:rPr>
          <w:i/>
          <w:iCs/>
          <w:color w:val="404040" w:themeColor="text1" w:themeTint="BF"/>
        </w:rPr>
        <w:t>We appreciate the Australian Government’s proactive efforts to adopt the Business Council of Australia’s recommendation for safeguard facilities to reduce emissions gradually and predictably over time to support international competitiveness and economic growth.</w:t>
      </w:r>
    </w:p>
    <w:p w14:paraId="3DECA9C1" w14:textId="50B5C54E" w:rsidR="00D01480" w:rsidRPr="00CF347C" w:rsidRDefault="00D01480" w:rsidP="00CF347C">
      <w:pPr>
        <w:pStyle w:val="IntenseQuote"/>
      </w:pPr>
      <w:r>
        <w:t>Fortescue Metals</w:t>
      </w:r>
    </w:p>
    <w:p w14:paraId="757B454E" w14:textId="77777777" w:rsidR="00FB6A61" w:rsidRDefault="00FB6A61">
      <w:r>
        <w:t xml:space="preserve">Australia is well </w:t>
      </w:r>
      <w:r w:rsidR="007A6D4A">
        <w:t>placed</w:t>
      </w:r>
      <w:r>
        <w:t xml:space="preserve"> to benefit from </w:t>
      </w:r>
      <w:r w:rsidR="007E3412">
        <w:t xml:space="preserve">a </w:t>
      </w:r>
      <w:r w:rsidR="0009680A">
        <w:t xml:space="preserve">more </w:t>
      </w:r>
      <w:r>
        <w:t>sustainable growth</w:t>
      </w:r>
      <w:r w:rsidR="007E3412">
        <w:t xml:space="preserve"> path</w:t>
      </w:r>
      <w:r w:rsidR="00181091">
        <w:t xml:space="preserve">. Green growth will </w:t>
      </w:r>
      <w:r w:rsidR="00CB2A53">
        <w:t>attract</w:t>
      </w:r>
      <w:r w:rsidR="003E68CB">
        <w:t xml:space="preserve"> new industries and jobs</w:t>
      </w:r>
      <w:r w:rsidR="00D30FE0">
        <w:t xml:space="preserve"> </w:t>
      </w:r>
      <w:r w:rsidR="00C82939">
        <w:t xml:space="preserve">and </w:t>
      </w:r>
      <w:r>
        <w:t xml:space="preserve">help to diversify the economy, </w:t>
      </w:r>
      <w:r w:rsidR="00D30FE0">
        <w:t>improving</w:t>
      </w:r>
      <w:r w:rsidR="00FA1478">
        <w:t xml:space="preserve"> energy security</w:t>
      </w:r>
      <w:r>
        <w:t xml:space="preserve"> and </w:t>
      </w:r>
      <w:r w:rsidR="00FA1478">
        <w:t xml:space="preserve">reducing Australia’s vulnerability to external price shocks. </w:t>
      </w:r>
    </w:p>
    <w:p w14:paraId="151EB002" w14:textId="77777777" w:rsidR="004C5AE6" w:rsidRDefault="004C5AE6" w:rsidP="004C5AE6">
      <w:pPr>
        <w:pStyle w:val="Quote"/>
      </w:pPr>
      <w:r w:rsidRPr="00060CFA">
        <w:t>A fair, robust and transparent Safeguard Mechanism (‘Mechanism’) can support a reduction in Australian emissions, as well as encourage businesses and industries to further innovate and adopt smarter practices and technologies in line with our collective emissions reduction targets.</w:t>
      </w:r>
    </w:p>
    <w:p w14:paraId="5552FB24" w14:textId="77777777" w:rsidR="004C5AE6" w:rsidRPr="00060CFA" w:rsidRDefault="004C5AE6" w:rsidP="004C5AE6">
      <w:pPr>
        <w:pStyle w:val="IntenseQuote"/>
      </w:pPr>
      <w:r>
        <w:t>Woodside</w:t>
      </w:r>
    </w:p>
    <w:p w14:paraId="6B7979AE" w14:textId="77777777" w:rsidR="00060CFA" w:rsidRPr="00060CFA" w:rsidRDefault="00D30FE0" w:rsidP="00060CFA">
      <w:r>
        <w:t>Reducing emissions</w:t>
      </w:r>
      <w:r w:rsidR="008879E5">
        <w:t xml:space="preserve"> could</w:t>
      </w:r>
      <w:r w:rsidR="00FB6A61">
        <w:t xml:space="preserve"> also help</w:t>
      </w:r>
      <w:r w:rsidR="00C82939">
        <w:t xml:space="preserve"> </w:t>
      </w:r>
      <w:r w:rsidR="00FB6A61">
        <w:t xml:space="preserve">to </w:t>
      </w:r>
      <w:r w:rsidR="00C82939">
        <w:t xml:space="preserve">protect </w:t>
      </w:r>
      <w:r w:rsidR="0083467C">
        <w:t xml:space="preserve">Australian industry </w:t>
      </w:r>
      <w:r w:rsidR="00C82939">
        <w:t>against transition risks</w:t>
      </w:r>
      <w:r w:rsidR="0083467C">
        <w:t xml:space="preserve"> arising from global climate action. These </w:t>
      </w:r>
      <w:r w:rsidR="00C82939">
        <w:t>includ</w:t>
      </w:r>
      <w:r w:rsidR="0083467C">
        <w:t>e</w:t>
      </w:r>
      <w:r w:rsidR="00C82939">
        <w:t xml:space="preserve"> potential trade measures</w:t>
      </w:r>
      <w:r w:rsidR="004D0573">
        <w:t xml:space="preserve">, </w:t>
      </w:r>
      <w:r w:rsidR="00C82939">
        <w:t xml:space="preserve">such as the </w:t>
      </w:r>
      <w:r w:rsidR="004D0573">
        <w:t>European Union’s</w:t>
      </w:r>
      <w:r w:rsidR="00C82939">
        <w:t xml:space="preserve"> </w:t>
      </w:r>
      <w:r w:rsidR="00342AFB">
        <w:t xml:space="preserve">proposed </w:t>
      </w:r>
      <w:r w:rsidR="00C82939">
        <w:t>Carbon Border Adjustment Mechanism</w:t>
      </w:r>
      <w:r w:rsidR="004D0573">
        <w:t>,</w:t>
      </w:r>
      <w:r w:rsidR="004D0573" w:rsidRPr="004D0573">
        <w:t xml:space="preserve"> </w:t>
      </w:r>
      <w:r w:rsidR="004D0573">
        <w:t>a</w:t>
      </w:r>
      <w:r w:rsidR="0083467C">
        <w:t xml:space="preserve">nd reduced access to </w:t>
      </w:r>
      <w:r w:rsidR="004D0573">
        <w:t xml:space="preserve">private </w:t>
      </w:r>
      <w:r w:rsidR="0083467C">
        <w:t xml:space="preserve">capital due to </w:t>
      </w:r>
      <w:r w:rsidR="004D0573">
        <w:t xml:space="preserve">investors </w:t>
      </w:r>
      <w:r w:rsidR="0083467C">
        <w:t xml:space="preserve">limiting their own exposure </w:t>
      </w:r>
      <w:r w:rsidR="004D0573">
        <w:t>to carbon risk</w:t>
      </w:r>
      <w:r w:rsidR="00F71128">
        <w:t>.</w:t>
      </w:r>
      <w:r w:rsidR="00060CFA">
        <w:t xml:space="preserve"> </w:t>
      </w:r>
    </w:p>
    <w:p w14:paraId="327B87FD" w14:textId="5E170032" w:rsidR="004C5AE6" w:rsidRDefault="00D97FC7">
      <w:r>
        <w:lastRenderedPageBreak/>
        <w:t xml:space="preserve">The Government </w:t>
      </w:r>
      <w:r w:rsidR="001A5B0D">
        <w:t xml:space="preserve">notes that a clear and credible investment signal is needed to support and accelerate the development of emerging abatement technologies. The proposed </w:t>
      </w:r>
      <w:r>
        <w:t xml:space="preserve">Safeguard reforms deliver </w:t>
      </w:r>
      <w:r w:rsidR="001A5B0D">
        <w:t xml:space="preserve">a </w:t>
      </w:r>
      <w:r>
        <w:t xml:space="preserve">strong investment signal </w:t>
      </w:r>
      <w:r w:rsidR="004C5AE6">
        <w:t>and a clear</w:t>
      </w:r>
      <w:r>
        <w:t xml:space="preserve"> trajectory to net zero in 2050, while ensuring businesses have sufficient time to prepare and adjust. </w:t>
      </w:r>
      <w:r w:rsidR="004C5AE6">
        <w:t>Key elements include:</w:t>
      </w:r>
    </w:p>
    <w:p w14:paraId="543CA427" w14:textId="77777777" w:rsidR="004C5AE6" w:rsidRDefault="004C5AE6" w:rsidP="0059378F">
      <w:pPr>
        <w:pStyle w:val="ListParagraph"/>
        <w:numPr>
          <w:ilvl w:val="0"/>
          <w:numId w:val="9"/>
        </w:numPr>
        <w:spacing w:after="100"/>
        <w:ind w:left="357" w:hanging="357"/>
        <w:contextualSpacing w:val="0"/>
      </w:pPr>
      <w:r>
        <w:t>a hybrid approach to baseline setting that</w:t>
      </w:r>
      <w:r w:rsidR="007D74B4">
        <w:t xml:space="preserve"> gradually</w:t>
      </w:r>
      <w:r>
        <w:t xml:space="preserve"> introduces costs and benefits </w:t>
      </w:r>
      <w:r w:rsidR="007D74B4">
        <w:t>from scheme commencement to 2030</w:t>
      </w:r>
      <w:r>
        <w:t>;</w:t>
      </w:r>
    </w:p>
    <w:p w14:paraId="357243C3" w14:textId="77777777" w:rsidR="004C5AE6" w:rsidRDefault="004C5AE6" w:rsidP="0059378F">
      <w:pPr>
        <w:pStyle w:val="ListParagraph"/>
        <w:numPr>
          <w:ilvl w:val="0"/>
          <w:numId w:val="9"/>
        </w:numPr>
        <w:spacing w:after="100"/>
        <w:ind w:left="357" w:hanging="357"/>
        <w:contextualSpacing w:val="0"/>
      </w:pPr>
      <w:r>
        <w:t xml:space="preserve">access to new </w:t>
      </w:r>
      <w:r w:rsidR="00571C6D">
        <w:t>flexibility</w:t>
      </w:r>
      <w:r>
        <w:t xml:space="preserve"> mechanisms</w:t>
      </w:r>
      <w:r w:rsidR="00A25FE7">
        <w:t>—</w:t>
      </w:r>
      <w:r>
        <w:t>such as crediting</w:t>
      </w:r>
      <w:r w:rsidR="00A25FE7">
        <w:t xml:space="preserve"> and</w:t>
      </w:r>
      <w:r>
        <w:t xml:space="preserve"> trading, banking and borrowing, </w:t>
      </w:r>
      <w:r w:rsidR="00A25FE7">
        <w:t>extended multi-year monitoring periods</w:t>
      </w:r>
      <w:r w:rsidR="007D74B4">
        <w:t xml:space="preserve">, and a </w:t>
      </w:r>
      <w:r w:rsidR="000E35DD">
        <w:t>cost containment</w:t>
      </w:r>
      <w:r w:rsidR="007D74B4">
        <w:t xml:space="preserve"> measure</w:t>
      </w:r>
      <w:r w:rsidR="00A25FE7">
        <w:t>—</w:t>
      </w:r>
      <w:r>
        <w:t>to reduce costs;</w:t>
      </w:r>
    </w:p>
    <w:p w14:paraId="7B9E5046" w14:textId="77777777" w:rsidR="00A25FE7" w:rsidRDefault="00A25FE7" w:rsidP="00A25FE7">
      <w:pPr>
        <w:pStyle w:val="ListParagraph"/>
        <w:numPr>
          <w:ilvl w:val="0"/>
          <w:numId w:val="9"/>
        </w:numPr>
        <w:spacing w:after="100"/>
        <w:ind w:left="357" w:hanging="357"/>
        <w:contextualSpacing w:val="0"/>
      </w:pPr>
      <w:r>
        <w:t xml:space="preserve">EITEs assistance—including dedicated funding to support low carbon investments and differentiated decline rates for facilities </w:t>
      </w:r>
      <w:r w:rsidR="00FC5665">
        <w:t>with an elevated risk of carbon leakage</w:t>
      </w:r>
      <w:r>
        <w:t xml:space="preserve">; </w:t>
      </w:r>
    </w:p>
    <w:p w14:paraId="037A95BA" w14:textId="77777777" w:rsidR="00A25FE7" w:rsidRDefault="00A25FE7" w:rsidP="00A25FE7">
      <w:pPr>
        <w:pStyle w:val="ListParagraph"/>
        <w:numPr>
          <w:ilvl w:val="0"/>
          <w:numId w:val="9"/>
        </w:numPr>
        <w:spacing w:after="100"/>
        <w:ind w:left="357" w:hanging="357"/>
        <w:contextualSpacing w:val="0"/>
      </w:pPr>
      <w:r>
        <w:t>a review in 202</w:t>
      </w:r>
      <w:r w:rsidR="00D57DBD">
        <w:t>6</w:t>
      </w:r>
      <w:r w:rsidR="00A93AC0">
        <w:t>-27</w:t>
      </w:r>
      <w:r>
        <w:t xml:space="preserve"> to </w:t>
      </w:r>
      <w:r w:rsidR="00D57DBD">
        <w:t>ensure</w:t>
      </w:r>
      <w:r>
        <w:t xml:space="preserve"> Safeguard Mechanism reforms</w:t>
      </w:r>
      <w:r w:rsidR="00D57DBD">
        <w:t xml:space="preserve"> are effectively delivering emissions reductions and that scheme settings are operating as intended</w:t>
      </w:r>
      <w:r>
        <w:t>.</w:t>
      </w:r>
    </w:p>
    <w:p w14:paraId="10CEC3A2" w14:textId="77777777" w:rsidR="004C5AE6" w:rsidRDefault="004C5AE6" w:rsidP="004C5AE6">
      <w:r>
        <w:t xml:space="preserve">Details of the proposed </w:t>
      </w:r>
      <w:r w:rsidR="00030357">
        <w:t>design are set out in this paper</w:t>
      </w:r>
      <w:r>
        <w:t xml:space="preserve">. </w:t>
      </w:r>
    </w:p>
    <w:p w14:paraId="6733E721" w14:textId="77777777" w:rsidR="00AD0BDF" w:rsidRPr="00565EE1" w:rsidRDefault="00565EE1" w:rsidP="00565EE1">
      <w:pPr>
        <w:pStyle w:val="Heading2"/>
      </w:pPr>
      <w:bookmarkStart w:id="216" w:name="_Toc109645624"/>
      <w:bookmarkStart w:id="217" w:name="_Toc109653333"/>
      <w:bookmarkStart w:id="218" w:name="_Toc109659380"/>
      <w:bookmarkStart w:id="219" w:name="_Toc109717160"/>
      <w:bookmarkStart w:id="220" w:name="_Toc109742668"/>
      <w:bookmarkStart w:id="221" w:name="_Toc109746052"/>
      <w:bookmarkStart w:id="222" w:name="_Toc109747116"/>
      <w:bookmarkStart w:id="223" w:name="_Toc109818492"/>
      <w:bookmarkStart w:id="224" w:name="_Toc110524018"/>
      <w:bookmarkStart w:id="225" w:name="_Toc110545546"/>
      <w:bookmarkStart w:id="226" w:name="_Toc110590729"/>
      <w:bookmarkStart w:id="227" w:name="_Toc110590784"/>
      <w:bookmarkStart w:id="228" w:name="_Toc110593188"/>
      <w:bookmarkStart w:id="229" w:name="_Toc110851741"/>
      <w:bookmarkStart w:id="230" w:name="_Toc111042132"/>
      <w:bookmarkStart w:id="231" w:name="_Toc117176805"/>
      <w:bookmarkStart w:id="232" w:name="_Toc117255408"/>
      <w:bookmarkStart w:id="233" w:name="_Toc117263149"/>
      <w:bookmarkStart w:id="234" w:name="_Toc117437230"/>
      <w:bookmarkStart w:id="235" w:name="_Toc117499178"/>
      <w:bookmarkStart w:id="236" w:name="_Toc117521025"/>
      <w:bookmarkStart w:id="237" w:name="_Toc117524772"/>
      <w:bookmarkStart w:id="238" w:name="_Toc117543963"/>
      <w:bookmarkStart w:id="239" w:name="_Toc117548314"/>
      <w:bookmarkStart w:id="240" w:name="_Toc117588632"/>
      <w:bookmarkStart w:id="241" w:name="_Toc117588676"/>
      <w:bookmarkStart w:id="242" w:name="_Toc117604794"/>
      <w:bookmarkStart w:id="243" w:name="_Toc117612876"/>
      <w:bookmarkStart w:id="244" w:name="_Toc117627714"/>
      <w:bookmarkStart w:id="245" w:name="_Toc117630379"/>
      <w:bookmarkStart w:id="246" w:name="_Toc117867986"/>
      <w:bookmarkStart w:id="247" w:name="_Toc117888000"/>
      <w:bookmarkStart w:id="248" w:name="_Toc117951444"/>
      <w:bookmarkStart w:id="249" w:name="_Toc117960091"/>
      <w:bookmarkStart w:id="250" w:name="_Toc118040352"/>
      <w:bookmarkStart w:id="251" w:name="_Toc118196204"/>
      <w:bookmarkStart w:id="252" w:name="_Toc118198373"/>
      <w:bookmarkStart w:id="253" w:name="_Toc118198788"/>
      <w:bookmarkStart w:id="254" w:name="_Toc118198979"/>
      <w:bookmarkStart w:id="255" w:name="_Toc118199533"/>
      <w:bookmarkStart w:id="256" w:name="_Toc118304105"/>
      <w:bookmarkStart w:id="257" w:name="_Toc118304136"/>
      <w:bookmarkStart w:id="258" w:name="_Toc118306338"/>
      <w:bookmarkStart w:id="259" w:name="_Toc118308330"/>
      <w:bookmarkStart w:id="260" w:name="_Toc119500901"/>
      <w:bookmarkStart w:id="261" w:name="_Toc119572356"/>
      <w:bookmarkStart w:id="262" w:name="_Toc120098951"/>
      <w:bookmarkStart w:id="263" w:name="_Toc122514431"/>
      <w:bookmarkStart w:id="264" w:name="_Toc124100681"/>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t>Timing</w:t>
      </w:r>
      <w:r w:rsidR="001D28EA">
        <w:t xml:space="preserve"> and process</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4D36CF8E" w14:textId="526A6635" w:rsidR="00E95FDC" w:rsidRDefault="001D28EA" w:rsidP="007E77AA">
      <w:r>
        <w:t>Safeguard Mechanism reforms will c</w:t>
      </w:r>
      <w:r w:rsidR="00A25FE7">
        <w:t xml:space="preserve">ommence on 1 July 2023. </w:t>
      </w:r>
      <w:r w:rsidR="00365F0A">
        <w:t>E</w:t>
      </w:r>
      <w:r w:rsidR="0083467C">
        <w:t xml:space="preserve">xisting </w:t>
      </w:r>
      <w:r w:rsidR="007E77AA">
        <w:t xml:space="preserve">governance arrangements are strong and Safeguard facilities </w:t>
      </w:r>
      <w:r w:rsidR="006327D9">
        <w:t xml:space="preserve">are </w:t>
      </w:r>
      <w:r w:rsidR="0083467C">
        <w:t xml:space="preserve">already </w:t>
      </w:r>
      <w:r w:rsidR="006327D9">
        <w:t>well prepared. They have</w:t>
      </w:r>
      <w:r w:rsidR="007E77AA">
        <w:t xml:space="preserve"> significant experience measuring and reporting emissions</w:t>
      </w:r>
      <w:r w:rsidR="006327D9">
        <w:t xml:space="preserve"> and are</w:t>
      </w:r>
      <w:r w:rsidR="005C522C">
        <w:t xml:space="preserve"> already</w:t>
      </w:r>
      <w:r w:rsidR="006327D9">
        <w:t xml:space="preserve"> familiar with the Safeguard Mechanism architecture</w:t>
      </w:r>
      <w:r w:rsidR="007E77AA">
        <w:t xml:space="preserve">. </w:t>
      </w:r>
    </w:p>
    <w:p w14:paraId="4AC54A02" w14:textId="63958B07" w:rsidR="007E77AA" w:rsidRDefault="00816B47" w:rsidP="007E77AA">
      <w:r>
        <w:t>Further, t</w:t>
      </w:r>
      <w:r w:rsidR="007E77AA">
        <w:t xml:space="preserve">he </w:t>
      </w:r>
      <w:r>
        <w:t xml:space="preserve">proposed </w:t>
      </w:r>
      <w:r w:rsidR="007E77AA">
        <w:t>Safeguard Mechanism policy settings have been designed to ensure co</w:t>
      </w:r>
      <w:r w:rsidR="0083467C">
        <w:t xml:space="preserve">mpliance obligations </w:t>
      </w:r>
      <w:r w:rsidR="00486D86">
        <w:t xml:space="preserve">are introduced </w:t>
      </w:r>
      <w:r w:rsidR="007E77AA">
        <w:t>in manageable increments</w:t>
      </w:r>
      <w:r w:rsidR="00740BF4">
        <w:t>,</w:t>
      </w:r>
      <w:r w:rsidR="007E77AA">
        <w:t xml:space="preserve"> giving businesses sufficient time to plan and act. </w:t>
      </w:r>
      <w:r w:rsidR="00030357">
        <w:t>A</w:t>
      </w:r>
      <w:r w:rsidR="006D0DE6">
        <w:t xml:space="preserve"> review </w:t>
      </w:r>
      <w:r w:rsidR="004A7902">
        <w:t>w</w:t>
      </w:r>
      <w:r w:rsidR="0018268C">
        <w:t>ill</w:t>
      </w:r>
      <w:r w:rsidR="00C03A90">
        <w:t xml:space="preserve"> </w:t>
      </w:r>
      <w:r w:rsidR="006D0DE6">
        <w:t>be undertaken in 2026</w:t>
      </w:r>
      <w:r w:rsidR="00A93AC0">
        <w:t>-27</w:t>
      </w:r>
      <w:r w:rsidR="006D0DE6">
        <w:t xml:space="preserve">—once two years of post-reform data are available—to assess reform impacts and provide an opportunity to build on and refine the design. </w:t>
      </w:r>
    </w:p>
    <w:p w14:paraId="0DB51D40" w14:textId="37E17C3C" w:rsidR="00252499" w:rsidRDefault="000362FD" w:rsidP="00252499">
      <w:r>
        <w:t>The timeline is set out below</w:t>
      </w:r>
      <w:r w:rsidR="00E95FDC">
        <w:t xml:space="preserve"> (see figure 1.1)</w:t>
      </w:r>
      <w:r>
        <w:t>. It includes two rounds of consultation</w:t>
      </w:r>
      <w:r w:rsidR="006D0DE6">
        <w:t xml:space="preserve"> on policy design</w:t>
      </w:r>
      <w:r w:rsidR="00E95FDC">
        <w:t xml:space="preserve">, and consultation on </w:t>
      </w:r>
      <w:r>
        <w:t>legislative changes</w:t>
      </w:r>
      <w:r w:rsidR="006D0DE6">
        <w:t xml:space="preserve"> </w:t>
      </w:r>
      <w:r w:rsidR="00C03A90">
        <w:t>over nearly six months</w:t>
      </w:r>
      <w:r w:rsidR="00E95FDC">
        <w:t>, including</w:t>
      </w:r>
      <w:r>
        <w:t xml:space="preserve">: </w:t>
      </w:r>
    </w:p>
    <w:p w14:paraId="782FD0A7" w14:textId="77777777" w:rsidR="00C66FB7" w:rsidRPr="00B02578" w:rsidRDefault="00C66FB7" w:rsidP="00C66FB7">
      <w:pPr>
        <w:pStyle w:val="ListParagraph"/>
        <w:numPr>
          <w:ilvl w:val="0"/>
          <w:numId w:val="19"/>
        </w:numPr>
        <w:ind w:left="426" w:hanging="426"/>
        <w:contextualSpacing w:val="0"/>
        <w:rPr>
          <w:rFonts w:ascii="Calibri" w:hAnsi="Calibri" w:cs="Calibri"/>
          <w:i/>
        </w:rPr>
      </w:pPr>
      <w:r w:rsidRPr="00B02578">
        <w:rPr>
          <w:rFonts w:ascii="Calibri" w:hAnsi="Calibri" w:cs="Calibri"/>
          <w:b/>
        </w:rPr>
        <w:t>Primary legislation</w:t>
      </w:r>
      <w:r>
        <w:rPr>
          <w:rFonts w:ascii="Calibri" w:hAnsi="Calibri" w:cs="Calibri"/>
        </w:rPr>
        <w:t xml:space="preserve">: exposure draft primary legislation amendments in the form of the </w:t>
      </w:r>
      <w:r>
        <w:rPr>
          <w:i/>
        </w:rPr>
        <w:t>Safeguard Mechanism (Crediting) Amendment Bill 2022</w:t>
      </w:r>
      <w:r w:rsidRPr="00B97A68">
        <w:t>—</w:t>
      </w:r>
      <w:r>
        <w:rPr>
          <w:rFonts w:ascii="Calibri" w:hAnsi="Calibri" w:cs="Calibri"/>
        </w:rPr>
        <w:t xml:space="preserve">were released for consultation in October and the Bill was introduced to </w:t>
      </w:r>
      <w:r w:rsidR="000C77A0">
        <w:rPr>
          <w:rFonts w:ascii="Calibri" w:hAnsi="Calibri" w:cs="Calibri"/>
        </w:rPr>
        <w:t>P</w:t>
      </w:r>
      <w:r w:rsidR="00191D0E">
        <w:rPr>
          <w:rFonts w:ascii="Calibri" w:hAnsi="Calibri" w:cs="Calibri"/>
        </w:rPr>
        <w:t xml:space="preserve">arliament on </w:t>
      </w:r>
      <w:r w:rsidRPr="00191D0E">
        <w:t>30 November 2022</w:t>
      </w:r>
      <w:r>
        <w:rPr>
          <w:rFonts w:ascii="Calibri" w:hAnsi="Calibri" w:cs="Calibri"/>
        </w:rPr>
        <w:t xml:space="preserve">. </w:t>
      </w:r>
      <w:r>
        <w:rPr>
          <w:rFonts w:ascii="Calibri" w:hAnsi="Calibri" w:cs="Calibri"/>
          <w:i/>
        </w:rPr>
        <w:t xml:space="preserve"> </w:t>
      </w:r>
    </w:p>
    <w:p w14:paraId="5D647D8B" w14:textId="77777777" w:rsidR="00C66FB7" w:rsidRDefault="00C66FB7" w:rsidP="00C66FB7">
      <w:pPr>
        <w:pStyle w:val="ListParagraph"/>
        <w:numPr>
          <w:ilvl w:val="0"/>
          <w:numId w:val="19"/>
        </w:numPr>
        <w:ind w:left="426" w:hanging="426"/>
        <w:contextualSpacing w:val="0"/>
      </w:pPr>
      <w:r w:rsidRPr="00B02578">
        <w:rPr>
          <w:b/>
        </w:rPr>
        <w:t>Subordinate legislation</w:t>
      </w:r>
      <w:r>
        <w:t>: an exposure draft of subordinate legislation</w:t>
      </w:r>
      <w:r w:rsidR="00611D99">
        <w:t xml:space="preserve"> </w:t>
      </w:r>
      <w:r>
        <w:rPr>
          <w:rFonts w:ascii="Calibri" w:hAnsi="Calibri" w:cs="Calibri"/>
        </w:rPr>
        <w:t>has been released alongside this paper for stakeholder views</w:t>
      </w:r>
      <w:r>
        <w:t xml:space="preserve">. </w:t>
      </w:r>
    </w:p>
    <w:p w14:paraId="73312678" w14:textId="77777777" w:rsidR="00C66FB7" w:rsidRDefault="00C66FB7" w:rsidP="00C66FB7">
      <w:r>
        <w:t xml:space="preserve">The Government is working to achieve passage of the </w:t>
      </w:r>
      <w:r>
        <w:rPr>
          <w:i/>
        </w:rPr>
        <w:t xml:space="preserve">Safeguard Mechanism (Crediting) Amendment Bill 2022 </w:t>
      </w:r>
      <w:r>
        <w:t xml:space="preserve">and make the Safeguard Mechanism Rule </w:t>
      </w:r>
      <w:r w:rsidR="00611D99">
        <w:t>and other subordinate legislative</w:t>
      </w:r>
      <w:r>
        <w:t xml:space="preserve"> amendments by </w:t>
      </w:r>
      <w:r w:rsidR="00ED220C" w:rsidRPr="0094181B">
        <w:t>April</w:t>
      </w:r>
      <w:r>
        <w:t xml:space="preserve"> 2023, so the reforms can commence on 1 July 2023.</w:t>
      </w:r>
    </w:p>
    <w:p w14:paraId="3F9DB5CA" w14:textId="77777777" w:rsidR="007E77AA" w:rsidRPr="00E95FDC" w:rsidRDefault="009C7226" w:rsidP="00835BDF">
      <w:pPr>
        <w:rPr>
          <w:sz w:val="10"/>
          <w:szCs w:val="10"/>
        </w:rPr>
      </w:pPr>
      <w:r w:rsidRPr="00E95FDC">
        <w:rPr>
          <w:noProof/>
          <w:sz w:val="10"/>
          <w:szCs w:val="10"/>
          <w:lang w:eastAsia="en-AU"/>
        </w:rPr>
        <mc:AlternateContent>
          <mc:Choice Requires="wps">
            <w:drawing>
              <wp:anchor distT="0" distB="0" distL="114300" distR="114300" simplePos="0" relativeHeight="251658240" behindDoc="0" locked="0" layoutInCell="1" allowOverlap="1" wp14:anchorId="43E3FC49" wp14:editId="1C52590F">
                <wp:simplePos x="0" y="0"/>
                <wp:positionH relativeFrom="column">
                  <wp:posOffset>9341</wp:posOffset>
                </wp:positionH>
                <wp:positionV relativeFrom="paragraph">
                  <wp:posOffset>15384</wp:posOffset>
                </wp:positionV>
                <wp:extent cx="5835015" cy="1744980"/>
                <wp:effectExtent l="0" t="0" r="0" b="7620"/>
                <wp:wrapTopAndBottom/>
                <wp:docPr id="10" name="Text Box 10"/>
                <wp:cNvGraphicFramePr/>
                <a:graphic xmlns:a="http://schemas.openxmlformats.org/drawingml/2006/main">
                  <a:graphicData uri="http://schemas.microsoft.com/office/word/2010/wordprocessingShape">
                    <wps:wsp>
                      <wps:cNvSpPr txBox="1"/>
                      <wps:spPr>
                        <a:xfrm>
                          <a:off x="0" y="0"/>
                          <a:ext cx="5835015" cy="17449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D9F40" w14:textId="77777777" w:rsidR="00706F16" w:rsidRDefault="00706F16" w:rsidP="002F49B5">
                            <w:pPr>
                              <w:pStyle w:val="Caption"/>
                            </w:pPr>
                            <w:r w:rsidRPr="002F49B5">
                              <w:t>Figure 1.1: Timeline for Safeguard Mechanism reforms</w:t>
                            </w:r>
                          </w:p>
                          <w:p w14:paraId="663309D4" w14:textId="77777777" w:rsidR="00706F16" w:rsidRPr="00330CDC" w:rsidRDefault="00706F16" w:rsidP="00330CDC">
                            <w:pPr>
                              <w:rPr>
                                <w:lang w:eastAsia="en-AU"/>
                              </w:rPr>
                            </w:pPr>
                            <w:r>
                              <w:rPr>
                                <w:noProof/>
                                <w:lang w:eastAsia="en-AU"/>
                              </w:rPr>
                              <w:drawing>
                                <wp:inline distT="0" distB="0" distL="0" distR="0" wp14:anchorId="5B8D9CCF" wp14:editId="62C588DD">
                                  <wp:extent cx="5645785" cy="13629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1.png"/>
                                          <pic:cNvPicPr/>
                                        </pic:nvPicPr>
                                        <pic:blipFill>
                                          <a:blip r:embed="rId19">
                                            <a:extLst>
                                              <a:ext uri="{28A0092B-C50C-407E-A947-70E740481C1C}">
                                                <a14:useLocalDpi xmlns:a14="http://schemas.microsoft.com/office/drawing/2010/main" val="0"/>
                                              </a:ext>
                                            </a:extLst>
                                          </a:blip>
                                          <a:stretch>
                                            <a:fillRect/>
                                          </a:stretch>
                                        </pic:blipFill>
                                        <pic:spPr>
                                          <a:xfrm>
                                            <a:off x="0" y="0"/>
                                            <a:ext cx="5667905" cy="1368314"/>
                                          </a:xfrm>
                                          <a:prstGeom prst="rect">
                                            <a:avLst/>
                                          </a:prstGeom>
                                        </pic:spPr>
                                      </pic:pic>
                                    </a:graphicData>
                                  </a:graphic>
                                </wp:inline>
                              </w:drawing>
                            </w:r>
                          </w:p>
                          <w:p w14:paraId="4F0CF0F7" w14:textId="77777777" w:rsidR="00706F16" w:rsidRDefault="00706F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E3FC49" id="_x0000_t202" coordsize="21600,21600" o:spt="202" path="m,l,21600r21600,l21600,xe">
                <v:stroke joinstyle="miter"/>
                <v:path gradientshapeok="t" o:connecttype="rect"/>
              </v:shapetype>
              <v:shape id="Text Box 10" o:spid="_x0000_s1026" type="#_x0000_t202" style="position:absolute;margin-left:.75pt;margin-top:1.2pt;width:459.45pt;height:137.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" fillcolor="white [3201]" stroked="f" strokeweight=".5pt">
                <v:textbox>
                  <w:txbxContent>
                    <w:p w14:paraId="19DD9F40" w14:textId="77777777" w:rsidR="00706F16" w:rsidRDefault="00706F16" w:rsidP="002F49B5">
                      <w:pPr>
                        <w:pStyle w:val="Caption"/>
                      </w:pPr>
                      <w:r w:rsidRPr="002F49B5">
                        <w:t>Figure 1.1: Timeline for Safeguard Mechanism reforms</w:t>
                      </w:r>
                    </w:p>
                    <w:p w14:paraId="663309D4" w14:textId="77777777" w:rsidR="00706F16" w:rsidRPr="00330CDC" w:rsidRDefault="00706F16" w:rsidP="00330CDC">
                      <w:pPr>
                        <w:rPr>
                          <w:lang w:eastAsia="en-AU"/>
                        </w:rPr>
                      </w:pPr>
                      <w:r>
                        <w:rPr>
                          <w:noProof/>
                          <w:lang w:eastAsia="en-AU"/>
                        </w:rPr>
                        <w:drawing>
                          <wp:inline distT="0" distB="0" distL="0" distR="0" wp14:anchorId="5B8D9CCF" wp14:editId="62C588DD">
                            <wp:extent cx="5645785" cy="13629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1.png"/>
                                    <pic:cNvPicPr/>
                                  </pic:nvPicPr>
                                  <pic:blipFill>
                                    <a:blip r:embed="rId19">
                                      <a:extLst>
                                        <a:ext uri="{28A0092B-C50C-407E-A947-70E740481C1C}">
                                          <a14:useLocalDpi xmlns:a14="http://schemas.microsoft.com/office/drawing/2010/main" val="0"/>
                                        </a:ext>
                                      </a:extLst>
                                    </a:blip>
                                    <a:stretch>
                                      <a:fillRect/>
                                    </a:stretch>
                                  </pic:blipFill>
                                  <pic:spPr>
                                    <a:xfrm>
                                      <a:off x="0" y="0"/>
                                      <a:ext cx="5667905" cy="1368314"/>
                                    </a:xfrm>
                                    <a:prstGeom prst="rect">
                                      <a:avLst/>
                                    </a:prstGeom>
                                  </pic:spPr>
                                </pic:pic>
                              </a:graphicData>
                            </a:graphic>
                          </wp:inline>
                        </w:drawing>
                      </w:r>
                    </w:p>
                    <w:p w14:paraId="4F0CF0F7" w14:textId="77777777" w:rsidR="00706F16" w:rsidRDefault="00706F16"/>
                  </w:txbxContent>
                </v:textbox>
                <w10:wrap type="topAndBottom"/>
              </v:shape>
            </w:pict>
          </mc:Fallback>
        </mc:AlternateContent>
      </w:r>
    </w:p>
    <w:p w14:paraId="2053EB50" w14:textId="77777777" w:rsidR="00DE7F26" w:rsidRDefault="000362FD" w:rsidP="000362FD">
      <w:r>
        <w:lastRenderedPageBreak/>
        <w:t xml:space="preserve">This paper sets out the detailed policy proposals for </w:t>
      </w:r>
      <w:r w:rsidR="005C373A">
        <w:t xml:space="preserve">reforming the </w:t>
      </w:r>
      <w:r>
        <w:t>Safeguard Mechanism. It reflects views received from stakeholders in response to the Safeguard Mechanism Consultation Paper released in August</w:t>
      </w:r>
      <w:r>
        <w:rPr>
          <w:rStyle w:val="FootnoteReference"/>
        </w:rPr>
        <w:footnoteReference w:id="7"/>
      </w:r>
      <w:r>
        <w:t>, and exposure draft Act changes</w:t>
      </w:r>
      <w:r>
        <w:rPr>
          <w:rStyle w:val="FootnoteReference"/>
        </w:rPr>
        <w:footnoteReference w:id="8"/>
      </w:r>
      <w:r>
        <w:t xml:space="preserve"> released in October. </w:t>
      </w:r>
    </w:p>
    <w:p w14:paraId="4E77293D" w14:textId="77777777" w:rsidR="000362FD" w:rsidRDefault="000362FD" w:rsidP="000362FD">
      <w:r>
        <w:t xml:space="preserve">The Government received over </w:t>
      </w:r>
      <w:r w:rsidR="00FD13ED" w:rsidRPr="00FD13ED">
        <w:t>28</w:t>
      </w:r>
      <w:r w:rsidRPr="00FD13ED">
        <w:t>0</w:t>
      </w:r>
      <w:r>
        <w:t xml:space="preserve"> submissions to these processes from Safeguard businesses, industry associations, environment and community groups, academics and private individuals. The </w:t>
      </w:r>
      <w:r w:rsidR="00E94663">
        <w:t>d</w:t>
      </w:r>
      <w:r>
        <w:t xml:space="preserve">epartment also received feedback at seminars and workshops held in a number of </w:t>
      </w:r>
      <w:r w:rsidR="00EC2BD6">
        <w:t>s</w:t>
      </w:r>
      <w:r>
        <w:t>tates during August and September</w:t>
      </w:r>
      <w:r w:rsidR="005C373A">
        <w:t xml:space="preserve"> 2022</w:t>
      </w:r>
      <w:r>
        <w:t xml:space="preserve">. </w:t>
      </w:r>
    </w:p>
    <w:p w14:paraId="4C75E672" w14:textId="08CC0179" w:rsidR="00C66FB7" w:rsidRDefault="00DE7F26" w:rsidP="00C66FB7">
      <w:r>
        <w:t xml:space="preserve">The Government invites views on </w:t>
      </w:r>
      <w:r w:rsidR="00C66FB7">
        <w:t xml:space="preserve">the proposed design for Safeguard Mechanism reforms set out in this position paper </w:t>
      </w:r>
      <w:r>
        <w:t>and accompanying exposure draft</w:t>
      </w:r>
      <w:r w:rsidR="00E94663">
        <w:t xml:space="preserve"> </w:t>
      </w:r>
      <w:r w:rsidR="00E94663">
        <w:rPr>
          <w:rFonts w:ascii="Calibri" w:hAnsi="Calibri" w:cs="Calibri"/>
        </w:rPr>
        <w:t>Safeguard Mechanism Rule</w:t>
      </w:r>
      <w:r w:rsidR="000F5EE5">
        <w:rPr>
          <w:rFonts w:ascii="Calibri" w:hAnsi="Calibri" w:cs="Calibri"/>
        </w:rPr>
        <w:t xml:space="preserve"> and other subordinate legislative amendments</w:t>
      </w:r>
      <w:r>
        <w:t>, with submission</w:t>
      </w:r>
      <w:r w:rsidR="00E94663">
        <w:t>s</w:t>
      </w:r>
      <w:r>
        <w:t xml:space="preserve"> sought by </w:t>
      </w:r>
      <w:r w:rsidR="002356B0">
        <w:rPr>
          <w:b/>
        </w:rPr>
        <w:t>24</w:t>
      </w:r>
      <w:r w:rsidR="002356B0" w:rsidRPr="00C66FB7">
        <w:rPr>
          <w:b/>
        </w:rPr>
        <w:t xml:space="preserve"> </w:t>
      </w:r>
      <w:r w:rsidRPr="00C66FB7">
        <w:rPr>
          <w:b/>
        </w:rPr>
        <w:t>February 2023</w:t>
      </w:r>
      <w:r>
        <w:t xml:space="preserve">. </w:t>
      </w:r>
      <w:r w:rsidR="00C66FB7">
        <w:t xml:space="preserve">Feedback on </w:t>
      </w:r>
      <w:r w:rsidR="000F5EE5">
        <w:t xml:space="preserve">all </w:t>
      </w:r>
      <w:r w:rsidR="00C66FB7">
        <w:t xml:space="preserve">documents can be provided in a single submission.  </w:t>
      </w:r>
      <w:r w:rsidR="00B15D38">
        <w:t xml:space="preserve">A table linking the main policy elements to the legislation is at </w:t>
      </w:r>
      <w:r w:rsidR="00B15D38" w:rsidRPr="00065494">
        <w:rPr>
          <w:b/>
          <w:bCs/>
        </w:rPr>
        <w:t>Attachment A</w:t>
      </w:r>
      <w:r w:rsidR="00A853D4">
        <w:t>, followed by a glossary and list of acronyms</w:t>
      </w:r>
      <w:r w:rsidR="00B15D38">
        <w:t>.</w:t>
      </w:r>
    </w:p>
    <w:p w14:paraId="621682B9" w14:textId="77777777" w:rsidR="005B01D8" w:rsidRPr="00AD7F80" w:rsidRDefault="00064000" w:rsidP="005426A7">
      <w:pPr>
        <w:pStyle w:val="Heading2"/>
      </w:pPr>
      <w:bookmarkStart w:id="265" w:name="_Toc109645625"/>
      <w:bookmarkStart w:id="266" w:name="_Toc109653334"/>
      <w:bookmarkStart w:id="267" w:name="_Toc109659381"/>
      <w:bookmarkStart w:id="268" w:name="_Toc109717161"/>
      <w:bookmarkStart w:id="269" w:name="_Toc109742669"/>
      <w:bookmarkStart w:id="270" w:name="_Toc109746053"/>
      <w:bookmarkStart w:id="271" w:name="_Toc109747117"/>
      <w:bookmarkStart w:id="272" w:name="_Toc109818493"/>
      <w:bookmarkStart w:id="273" w:name="_Toc110524019"/>
      <w:bookmarkStart w:id="274" w:name="_Toc110545547"/>
      <w:bookmarkStart w:id="275" w:name="_Toc110590730"/>
      <w:bookmarkStart w:id="276" w:name="_Toc110590785"/>
      <w:bookmarkStart w:id="277" w:name="_Toc110593189"/>
      <w:bookmarkStart w:id="278" w:name="_Toc110851742"/>
      <w:bookmarkStart w:id="279" w:name="_Toc111042133"/>
      <w:bookmarkStart w:id="280" w:name="_Toc117176806"/>
      <w:bookmarkStart w:id="281" w:name="_Toc117255409"/>
      <w:bookmarkStart w:id="282" w:name="_Toc117263150"/>
      <w:bookmarkStart w:id="283" w:name="_Toc117437231"/>
      <w:bookmarkStart w:id="284" w:name="_Toc117499179"/>
      <w:bookmarkStart w:id="285" w:name="_Toc117521026"/>
      <w:bookmarkStart w:id="286" w:name="_Toc117524773"/>
      <w:bookmarkStart w:id="287" w:name="_Toc117543964"/>
      <w:bookmarkStart w:id="288" w:name="_Toc117548315"/>
      <w:bookmarkStart w:id="289" w:name="_Toc117588633"/>
      <w:bookmarkStart w:id="290" w:name="_Toc117588677"/>
      <w:bookmarkStart w:id="291" w:name="_Toc117604795"/>
      <w:bookmarkStart w:id="292" w:name="_Toc117612877"/>
      <w:bookmarkStart w:id="293" w:name="_Toc117627715"/>
      <w:bookmarkStart w:id="294" w:name="_Toc117630380"/>
      <w:bookmarkStart w:id="295" w:name="_Toc117867987"/>
      <w:bookmarkStart w:id="296" w:name="_Toc117888001"/>
      <w:bookmarkStart w:id="297" w:name="_Toc117951445"/>
      <w:bookmarkStart w:id="298" w:name="_Toc117960092"/>
      <w:bookmarkStart w:id="299" w:name="_Toc118040353"/>
      <w:bookmarkStart w:id="300" w:name="_Toc118196205"/>
      <w:bookmarkStart w:id="301" w:name="_Toc118198374"/>
      <w:bookmarkStart w:id="302" w:name="_Toc118198789"/>
      <w:bookmarkStart w:id="303" w:name="_Toc118198980"/>
      <w:bookmarkStart w:id="304" w:name="_Toc118199534"/>
      <w:bookmarkStart w:id="305" w:name="_Toc118304106"/>
      <w:bookmarkStart w:id="306" w:name="_Toc118304137"/>
      <w:bookmarkStart w:id="307" w:name="_Toc118306339"/>
      <w:bookmarkStart w:id="308" w:name="_Toc118308331"/>
      <w:bookmarkStart w:id="309" w:name="_Toc119500902"/>
      <w:bookmarkStart w:id="310" w:name="_Toc119572357"/>
      <w:bookmarkStart w:id="311" w:name="_Toc120098952"/>
      <w:bookmarkStart w:id="312" w:name="_Toc122514432"/>
      <w:bookmarkStart w:id="313" w:name="_Toc124100682"/>
      <w:r>
        <w:t>Objective and p</w:t>
      </w:r>
      <w:r w:rsidR="005B01D8" w:rsidRPr="00AD7F80">
        <w:t>olicy principles</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14A1CED9" w14:textId="77777777" w:rsidR="006D1457" w:rsidRDefault="003043B9" w:rsidP="006D1457">
      <w:r>
        <w:t>Consultation revealed a g</w:t>
      </w:r>
      <w:r w:rsidR="00644C4B">
        <w:t xml:space="preserve">eneral consensus that the following policy principles </w:t>
      </w:r>
      <w:r>
        <w:t xml:space="preserve">effectively balance the </w:t>
      </w:r>
      <w:r w:rsidR="00AD0BDF">
        <w:t>Government</w:t>
      </w:r>
      <w:r>
        <w:t>’s</w:t>
      </w:r>
      <w:r w:rsidR="00AD0BDF">
        <w:t xml:space="preserve"> </w:t>
      </w:r>
      <w:r>
        <w:t>objective</w:t>
      </w:r>
      <w:r w:rsidR="00F47D63">
        <w:t xml:space="preserve"> </w:t>
      </w:r>
      <w:r w:rsidR="00AD0BDF">
        <w:t>to deliver its climate targets</w:t>
      </w:r>
      <w:r w:rsidR="00535EC8">
        <w:t xml:space="preserve"> in a way that</w:t>
      </w:r>
      <w:r w:rsidR="00BE54BA" w:rsidRPr="00BE54BA">
        <w:t xml:space="preserve"> </w:t>
      </w:r>
      <w:r w:rsidR="00BE54BA">
        <w:t>maximises benefits,</w:t>
      </w:r>
      <w:r w:rsidR="00535EC8">
        <w:t xml:space="preserve"> minimises costs and sh</w:t>
      </w:r>
      <w:r w:rsidR="00F47D63">
        <w:t>ares the effort amon</w:t>
      </w:r>
      <w:r w:rsidR="00AD0BDF">
        <w:t>g participants</w:t>
      </w:r>
      <w:r>
        <w:t>, and provide</w:t>
      </w:r>
      <w:r w:rsidR="005C373A">
        <w:t>s</w:t>
      </w:r>
      <w:r>
        <w:t xml:space="preserve"> an appropriate basis for designing Safeguard Mechanism reforms:</w:t>
      </w:r>
    </w:p>
    <w:p w14:paraId="1E8913EE" w14:textId="77777777" w:rsidR="00FA4792" w:rsidRDefault="00FA4792" w:rsidP="00AD7F80">
      <w:pPr>
        <w:pStyle w:val="ListParagraph"/>
        <w:numPr>
          <w:ilvl w:val="0"/>
          <w:numId w:val="1"/>
        </w:numPr>
        <w:ind w:left="425" w:hanging="425"/>
        <w:contextualSpacing w:val="0"/>
      </w:pPr>
      <w:r w:rsidRPr="00E9746B">
        <w:rPr>
          <w:b/>
          <w:bCs/>
        </w:rPr>
        <w:t>Effective</w:t>
      </w:r>
      <w:r>
        <w:t xml:space="preserve">: reduces emissions consistent with </w:t>
      </w:r>
      <w:r w:rsidR="00BE54BA">
        <w:t>Australia’s greenhouse gas emissions reduction targets</w:t>
      </w:r>
      <w:r w:rsidR="009709BF">
        <w:t>.</w:t>
      </w:r>
    </w:p>
    <w:p w14:paraId="0BCE54AD" w14:textId="77777777" w:rsidR="005B09F1" w:rsidRDefault="00D11A46" w:rsidP="00AD7F80">
      <w:pPr>
        <w:pStyle w:val="ListParagraph"/>
        <w:numPr>
          <w:ilvl w:val="0"/>
          <w:numId w:val="1"/>
        </w:numPr>
        <w:ind w:left="425" w:hanging="425"/>
        <w:contextualSpacing w:val="0"/>
      </w:pPr>
      <w:r>
        <w:rPr>
          <w:b/>
          <w:bCs/>
        </w:rPr>
        <w:t>Equitable</w:t>
      </w:r>
      <w:r w:rsidR="00E9746B">
        <w:t>: baselines are set on a consistent</w:t>
      </w:r>
      <w:r w:rsidR="00123C69">
        <w:t xml:space="preserve"> and </w:t>
      </w:r>
      <w:r w:rsidR="00E9746B">
        <w:t xml:space="preserve">transparent basis </w:t>
      </w:r>
      <w:r w:rsidR="007C6413">
        <w:t xml:space="preserve">and achieve </w:t>
      </w:r>
      <w:r w:rsidR="0051377B">
        <w:t>an equitable</w:t>
      </w:r>
      <w:r w:rsidR="007C6413">
        <w:t xml:space="preserve"> distribution of the costs and benefits</w:t>
      </w:r>
      <w:r w:rsidR="009709BF">
        <w:t>.</w:t>
      </w:r>
    </w:p>
    <w:p w14:paraId="059321B4" w14:textId="77777777" w:rsidR="00E9746B" w:rsidRDefault="00E9746B" w:rsidP="00AD7F80">
      <w:pPr>
        <w:pStyle w:val="ListParagraph"/>
        <w:numPr>
          <w:ilvl w:val="0"/>
          <w:numId w:val="1"/>
        </w:numPr>
        <w:ind w:left="425" w:hanging="425"/>
        <w:contextualSpacing w:val="0"/>
      </w:pPr>
      <w:r w:rsidRPr="00E9746B">
        <w:rPr>
          <w:b/>
          <w:bCs/>
        </w:rPr>
        <w:t>Efficient</w:t>
      </w:r>
      <w:r>
        <w:t>: allows the market to find the lowest cost abatement</w:t>
      </w:r>
      <w:r w:rsidR="000B3169">
        <w:t xml:space="preserve"> </w:t>
      </w:r>
      <w:r>
        <w:t>wherever it occurs</w:t>
      </w:r>
      <w:r w:rsidR="00123C69">
        <w:t>, and encourages production where it is least emissions-intensive</w:t>
      </w:r>
      <w:r w:rsidR="009709BF">
        <w:t>.</w:t>
      </w:r>
    </w:p>
    <w:p w14:paraId="7880BA59" w14:textId="77777777" w:rsidR="00E9746B" w:rsidRDefault="00E9746B" w:rsidP="00AD7F80">
      <w:pPr>
        <w:pStyle w:val="ListParagraph"/>
        <w:numPr>
          <w:ilvl w:val="0"/>
          <w:numId w:val="1"/>
        </w:numPr>
        <w:ind w:left="425" w:hanging="425"/>
        <w:contextualSpacing w:val="0"/>
      </w:pPr>
      <w:r w:rsidRPr="00E9746B">
        <w:rPr>
          <w:b/>
          <w:bCs/>
        </w:rPr>
        <w:t>Simple</w:t>
      </w:r>
      <w:r>
        <w:t>: makes baseline setting arrangements, and administrative and reporting arrangements, as simple and low cost as possible.</w:t>
      </w:r>
    </w:p>
    <w:p w14:paraId="7D79DEDD" w14:textId="77777777" w:rsidR="002D6CEF" w:rsidRDefault="002139D7" w:rsidP="00A92587">
      <w:pPr>
        <w:pStyle w:val="Heading1"/>
      </w:pPr>
      <w:bookmarkStart w:id="314" w:name="_Toc109645626"/>
      <w:bookmarkStart w:id="315" w:name="_Toc109653335"/>
      <w:bookmarkStart w:id="316" w:name="_Toc109659382"/>
      <w:bookmarkStart w:id="317" w:name="_Toc109717162"/>
      <w:bookmarkStart w:id="318" w:name="_Toc109742670"/>
      <w:bookmarkStart w:id="319" w:name="_Toc109746054"/>
      <w:bookmarkStart w:id="320" w:name="_Toc109747118"/>
      <w:bookmarkStart w:id="321" w:name="_Toc109818494"/>
      <w:bookmarkStart w:id="322" w:name="_Toc110524020"/>
      <w:bookmarkStart w:id="323" w:name="_Toc110545548"/>
      <w:bookmarkStart w:id="324" w:name="_Toc110590731"/>
      <w:bookmarkStart w:id="325" w:name="_Toc110590786"/>
      <w:bookmarkStart w:id="326" w:name="_Toc110593190"/>
      <w:bookmarkStart w:id="327" w:name="_Toc110851743"/>
      <w:bookmarkStart w:id="328" w:name="_Toc111042134"/>
      <w:bookmarkStart w:id="329" w:name="_Toc117437232"/>
      <w:bookmarkStart w:id="330" w:name="_Toc117499180"/>
      <w:bookmarkStart w:id="331" w:name="_Toc117521027"/>
      <w:bookmarkStart w:id="332" w:name="_Toc117524774"/>
      <w:bookmarkStart w:id="333" w:name="_Toc117543965"/>
      <w:bookmarkStart w:id="334" w:name="_Toc117548316"/>
      <w:bookmarkStart w:id="335" w:name="_Toc117588634"/>
      <w:bookmarkStart w:id="336" w:name="_Toc117588678"/>
      <w:bookmarkStart w:id="337" w:name="_Toc117604796"/>
      <w:bookmarkStart w:id="338" w:name="_Toc117612878"/>
      <w:bookmarkStart w:id="339" w:name="_Toc117627716"/>
      <w:bookmarkStart w:id="340" w:name="_Toc117630381"/>
      <w:bookmarkStart w:id="341" w:name="_Toc117867988"/>
      <w:bookmarkStart w:id="342" w:name="_Toc117888002"/>
      <w:bookmarkStart w:id="343" w:name="_Toc117951446"/>
      <w:bookmarkStart w:id="344" w:name="_Toc117960093"/>
      <w:bookmarkStart w:id="345" w:name="_Toc118040354"/>
      <w:bookmarkStart w:id="346" w:name="_Toc118196206"/>
      <w:bookmarkStart w:id="347" w:name="_Toc118198375"/>
      <w:bookmarkStart w:id="348" w:name="_Toc118198790"/>
      <w:bookmarkStart w:id="349" w:name="_Toc118198981"/>
      <w:bookmarkStart w:id="350" w:name="_Toc118199535"/>
      <w:bookmarkStart w:id="351" w:name="_Toc118304107"/>
      <w:bookmarkStart w:id="352" w:name="_Toc118304138"/>
      <w:bookmarkStart w:id="353" w:name="_Toc118306340"/>
      <w:bookmarkStart w:id="354" w:name="_Toc118308332"/>
      <w:bookmarkStart w:id="355" w:name="_Toc119500903"/>
      <w:bookmarkStart w:id="356" w:name="_Toc119572358"/>
      <w:bookmarkStart w:id="357" w:name="_Toc120098953"/>
      <w:bookmarkStart w:id="358" w:name="_Toc122514433"/>
      <w:bookmarkStart w:id="359" w:name="_Toc124100683"/>
      <w:bookmarkStart w:id="360" w:name="_Toc117176807"/>
      <w:bookmarkStart w:id="361" w:name="_Toc117255410"/>
      <w:bookmarkStart w:id="362" w:name="_Toc117263151"/>
      <w:r w:rsidRPr="00E26ED3">
        <w:t>The</w:t>
      </w:r>
      <w:r w:rsidR="00F52384" w:rsidRPr="00E26ED3">
        <w:t xml:space="preserve"> Safe</w:t>
      </w:r>
      <w:r w:rsidR="001B7296" w:rsidRPr="00E26ED3">
        <w:t>gua</w:t>
      </w:r>
      <w:r w:rsidR="00F52384" w:rsidRPr="00E26ED3">
        <w:t>rd Mechanism’s</w:t>
      </w:r>
      <w:r w:rsidR="002D6CEF" w:rsidRPr="00E26ED3">
        <w:t xml:space="preserve"> </w:t>
      </w:r>
      <w:r w:rsidR="00F52384" w:rsidRPr="00E26ED3">
        <w:t xml:space="preserve">share of the national </w:t>
      </w:r>
      <w:r w:rsidR="004A1BBE">
        <w:t>emissions reduction</w:t>
      </w:r>
      <w:r w:rsidR="004A1BBE" w:rsidRPr="00E26ED3">
        <w:t xml:space="preserve"> </w:t>
      </w:r>
      <w:r w:rsidR="00F52384" w:rsidRPr="00E26ED3">
        <w:t>task</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004A0674">
        <w:t xml:space="preserve"> </w:t>
      </w:r>
      <w:bookmarkEnd w:id="360"/>
      <w:bookmarkEnd w:id="361"/>
      <w:bookmarkEnd w:id="362"/>
    </w:p>
    <w:p w14:paraId="4767D246" w14:textId="77777777" w:rsidR="00FB3070" w:rsidRDefault="00F50ED5" w:rsidP="00336294">
      <w:pPr>
        <w:keepLines/>
      </w:pPr>
      <w:r>
        <w:t>The Government has legislated</w:t>
      </w:r>
      <w:r w:rsidR="002139D7" w:rsidRPr="009E7DF7">
        <w:t xml:space="preserve"> Australia’s </w:t>
      </w:r>
      <w:r>
        <w:t xml:space="preserve">new climate </w:t>
      </w:r>
      <w:r w:rsidR="002139D7" w:rsidRPr="009E7DF7">
        <w:t>commitment</w:t>
      </w:r>
      <w:r>
        <w:t>s</w:t>
      </w:r>
      <w:r w:rsidR="002139D7" w:rsidRPr="009E7DF7">
        <w:t xml:space="preserve"> to </w:t>
      </w:r>
      <w:r w:rsidR="008E02A7">
        <w:t>reduce national emissions to 43 per</w:t>
      </w:r>
      <w:r w:rsidR="00927BD8">
        <w:t> </w:t>
      </w:r>
      <w:r w:rsidR="008E02A7">
        <w:t>cent below 2005 levels by 2030</w:t>
      </w:r>
      <w:r>
        <w:t xml:space="preserve"> and </w:t>
      </w:r>
      <w:r w:rsidRPr="009E7DF7">
        <w:t>achieve net zero by 2050</w:t>
      </w:r>
      <w:r w:rsidR="008E02A7">
        <w:t xml:space="preserve">. </w:t>
      </w:r>
      <w:r w:rsidR="00BE54BA">
        <w:t xml:space="preserve">Safeguard reforms are intended to put facilities on a broad trajectory to net zero by 2050. </w:t>
      </w:r>
    </w:p>
    <w:p w14:paraId="74FAA95C" w14:textId="77777777" w:rsidR="00A31F0E" w:rsidRDefault="00A31F0E" w:rsidP="00A31F0E">
      <w:pPr>
        <w:keepLines/>
      </w:pPr>
      <w:r>
        <w:t xml:space="preserve">Assigning a corresponding target to the Safeguard Mechanism is an </w:t>
      </w:r>
      <w:r w:rsidR="008932F8">
        <w:t>essential</w:t>
      </w:r>
      <w:r>
        <w:t xml:space="preserve"> first </w:t>
      </w:r>
      <w:r w:rsidR="008932F8">
        <w:t>step in</w:t>
      </w:r>
      <w:r>
        <w:t xml:space="preserve"> policy design. It establishes a clearly defined pathway for reducing emissions and introduces an important discipline on other policy settings—they must be calibrated to meet the target. </w:t>
      </w:r>
    </w:p>
    <w:p w14:paraId="4F4017C5" w14:textId="18048D81" w:rsidR="008932F8" w:rsidRDefault="008932F8" w:rsidP="00A31F0E">
      <w:r>
        <w:t>The Government consulted on basing the Safeguard Mechanism target on its proportional share of national emissions in 2020-21, reducing emissions from 137 </w:t>
      </w:r>
      <w:r w:rsidR="004C3B1D">
        <w:t>Mt</w:t>
      </w:r>
      <w:r>
        <w:t xml:space="preserve"> in 2020-21 to 99 </w:t>
      </w:r>
      <w:r w:rsidR="003E2CB6">
        <w:t>Mt</w:t>
      </w:r>
      <w:r>
        <w:t xml:space="preserve"> in 2030</w:t>
      </w:r>
      <w:r w:rsidR="003E2CB6">
        <w:t>, and constraining total emissions to 1,2</w:t>
      </w:r>
      <w:r w:rsidR="00B727F9">
        <w:t>27</w:t>
      </w:r>
      <w:r w:rsidR="003E2CB6">
        <w:t> Mt</w:t>
      </w:r>
      <w:r w:rsidR="003E2CB6" w:rsidRPr="00FB128F">
        <w:t xml:space="preserve"> </w:t>
      </w:r>
      <w:r w:rsidR="003E2CB6" w:rsidRPr="00B83BF6">
        <w:t>CO</w:t>
      </w:r>
      <w:r w:rsidR="003E2CB6" w:rsidRPr="00B83BF6">
        <w:rPr>
          <w:vertAlign w:val="subscript"/>
        </w:rPr>
        <w:t>2</w:t>
      </w:r>
      <w:r w:rsidR="003E2CB6" w:rsidRPr="00B83BF6">
        <w:noBreakHyphen/>
        <w:t>e</w:t>
      </w:r>
      <w:r w:rsidR="003E2CB6">
        <w:t xml:space="preserve"> over the decade (2021-2030)</w:t>
      </w:r>
      <w:r>
        <w:t>.</w:t>
      </w:r>
      <w:r w:rsidR="00877D79">
        <w:t xml:space="preserve"> Consultation </w:t>
      </w:r>
      <w:r w:rsidR="00301ED4">
        <w:t>revealed</w:t>
      </w:r>
      <w:r w:rsidR="00877D79">
        <w:t xml:space="preserve"> a diversity of views</w:t>
      </w:r>
      <w:r w:rsidR="0057356E">
        <w:t>, including</w:t>
      </w:r>
      <w:r w:rsidR="00877D79">
        <w:t xml:space="preserve"> from those advocating less</w:t>
      </w:r>
      <w:r w:rsidR="00C03A90">
        <w:t>er</w:t>
      </w:r>
      <w:r w:rsidR="00877D79">
        <w:t>, to those arguing for greater reductions.</w:t>
      </w:r>
    </w:p>
    <w:p w14:paraId="6B91B5F7" w14:textId="77777777" w:rsidR="00A47113" w:rsidRDefault="00922D35" w:rsidP="00A31F0E">
      <w:r>
        <w:lastRenderedPageBreak/>
        <w:t xml:space="preserve">The Government acknowledges that the Safeguard Mechanism covers </w:t>
      </w:r>
      <w:r w:rsidR="00207EA7">
        <w:t>many ‘hard-to-abate’ s</w:t>
      </w:r>
      <w:r w:rsidR="0035607F">
        <w:t>ectors—</w:t>
      </w:r>
      <w:r w:rsidR="00207EA7">
        <w:t xml:space="preserve">including steel, cement and </w:t>
      </w:r>
      <w:r w:rsidR="0035607F">
        <w:t>aluminium—where a l</w:t>
      </w:r>
      <w:r w:rsidR="00207EA7">
        <w:t>arge proportion of emissions</w:t>
      </w:r>
      <w:r>
        <w:t xml:space="preserve"> </w:t>
      </w:r>
      <w:r w:rsidR="00FC5665">
        <w:t>arise</w:t>
      </w:r>
      <w:r w:rsidR="00207EA7">
        <w:t xml:space="preserve"> from chemical processes that are difficult to avoid. </w:t>
      </w:r>
    </w:p>
    <w:p w14:paraId="18745FCD" w14:textId="7FE3E00C" w:rsidR="0035607F" w:rsidRDefault="00FC5665" w:rsidP="0035607F">
      <w:r>
        <w:t>However, t</w:t>
      </w:r>
      <w:r w:rsidR="0035607F">
        <w:t xml:space="preserve">he </w:t>
      </w:r>
      <w:r w:rsidR="00E94663">
        <w:t xml:space="preserve">proposed reforms </w:t>
      </w:r>
      <w:r w:rsidR="0035607F">
        <w:t xml:space="preserve">do not mandate a regulated emissions outcome for individual facilities, but allow businesses to ‘trade’ their baselines </w:t>
      </w:r>
      <w:r w:rsidR="00003624">
        <w:t xml:space="preserve">to </w:t>
      </w:r>
      <w:r w:rsidR="0035607F">
        <w:t xml:space="preserve">access the lowest cost abatement among </w:t>
      </w:r>
      <w:r w:rsidR="00B3469F">
        <w:t>participants</w:t>
      </w:r>
      <w:r w:rsidR="0035607F">
        <w:t xml:space="preserve">. </w:t>
      </w:r>
      <w:r w:rsidR="00AE5FEF">
        <w:t>Together with access to the domestic offset market</w:t>
      </w:r>
      <w:r w:rsidR="005063A9">
        <w:t xml:space="preserve"> and other flexibility mechanisms</w:t>
      </w:r>
      <w:r w:rsidR="00AE5FEF">
        <w:t>, t</w:t>
      </w:r>
      <w:r w:rsidR="0035607F">
        <w:t xml:space="preserve">his </w:t>
      </w:r>
      <w:r w:rsidR="00AD693E">
        <w:t>reduces</w:t>
      </w:r>
      <w:r w:rsidR="0035607F">
        <w:t xml:space="preserve"> costs, </w:t>
      </w:r>
      <w:r w:rsidR="00003624">
        <w:t>while</w:t>
      </w:r>
      <w:r w:rsidR="0035607F">
        <w:t xml:space="preserve"> new technologies are being developed. </w:t>
      </w:r>
    </w:p>
    <w:p w14:paraId="438BF432" w14:textId="2C9DDBA7" w:rsidR="0035607F" w:rsidRDefault="0035607F" w:rsidP="00003624">
      <w:r>
        <w:t xml:space="preserve">Further, setting a clear decarbonisation path—with a 2030 target on a trajectory to net zero by 2050—will introduce a </w:t>
      </w:r>
      <w:r w:rsidR="00255095">
        <w:t xml:space="preserve">credible and </w:t>
      </w:r>
      <w:r>
        <w:t xml:space="preserve">stable investment signal to help drive research and development of new technologies and processes. </w:t>
      </w:r>
      <w:r w:rsidR="00003624">
        <w:t xml:space="preserve">Some </w:t>
      </w:r>
      <w:r>
        <w:t>are already showing promise. Rio Tinto and Alcoa have worked together to develop the world’s first carbon free aluminium smelt</w:t>
      </w:r>
      <w:r w:rsidR="005C373A">
        <w:t>er</w:t>
      </w:r>
      <w:r>
        <w:t xml:space="preserve"> in Canada</w:t>
      </w:r>
      <w:r w:rsidR="00DA01D0">
        <w:t>. While not yet commercial,</w:t>
      </w:r>
      <w:r w:rsidR="00301ED4">
        <w:t xml:space="preserve"> the technology</w:t>
      </w:r>
      <w:r w:rsidR="00DA01D0">
        <w:t xml:space="preserve"> h</w:t>
      </w:r>
      <w:r>
        <w:t xml:space="preserve">as </w:t>
      </w:r>
      <w:r w:rsidR="00DA01D0">
        <w:t xml:space="preserve">the </w:t>
      </w:r>
      <w:r>
        <w:t xml:space="preserve">potential </w:t>
      </w:r>
      <w:r w:rsidR="00DA01D0">
        <w:t xml:space="preserve">to be used </w:t>
      </w:r>
      <w:r>
        <w:t>at</w:t>
      </w:r>
      <w:r w:rsidR="00DA01D0">
        <w:t xml:space="preserve"> both</w:t>
      </w:r>
      <w:r>
        <w:t xml:space="preserve"> new and existing smelters. </w:t>
      </w:r>
    </w:p>
    <w:p w14:paraId="6B23E8E5" w14:textId="6EC1D2F6" w:rsidR="00E94663" w:rsidRDefault="0035607F" w:rsidP="00092DF0">
      <w:r>
        <w:t xml:space="preserve">Finally, </w:t>
      </w:r>
      <w:r w:rsidR="00BA17DC">
        <w:t>i</w:t>
      </w:r>
      <w:r w:rsidR="00922D35">
        <w:t>ndustrial sector emissions are</w:t>
      </w:r>
      <w:r w:rsidR="00BA17DC">
        <w:t xml:space="preserve"> among the fastest</w:t>
      </w:r>
      <w:r w:rsidR="00922D35">
        <w:t xml:space="preserve"> growing </w:t>
      </w:r>
      <w:r w:rsidR="00BA17DC">
        <w:t>across the economy</w:t>
      </w:r>
      <w:r w:rsidR="00815ADC">
        <w:t>.</w:t>
      </w:r>
      <w:r w:rsidR="00520FE6" w:rsidRPr="00520FE6">
        <w:t xml:space="preserve"> </w:t>
      </w:r>
      <w:r w:rsidR="00414A1B">
        <w:t xml:space="preserve"> </w:t>
      </w:r>
      <w:r w:rsidR="00815ADC">
        <w:t>E</w:t>
      </w:r>
      <w:r w:rsidR="00414A1B">
        <w:t>missions  across the</w:t>
      </w:r>
      <w:r w:rsidR="00520FE6" w:rsidRPr="00520FE6">
        <w:t xml:space="preserve"> stationary energy, fugitive</w:t>
      </w:r>
      <w:r w:rsidR="00FA2B87">
        <w:t xml:space="preserve"> emissions</w:t>
      </w:r>
      <w:r w:rsidR="00520FE6" w:rsidRPr="00520FE6">
        <w:t>, transport</w:t>
      </w:r>
      <w:r w:rsidR="00BA17DC">
        <w:t xml:space="preserve"> </w:t>
      </w:r>
      <w:r w:rsidR="00FA2B87">
        <w:t xml:space="preserve">and </w:t>
      </w:r>
      <w:r w:rsidR="00520FE6" w:rsidRPr="00520FE6">
        <w:t xml:space="preserve">industrial processes and product use </w:t>
      </w:r>
      <w:r w:rsidR="00414A1B">
        <w:t>sectors</w:t>
      </w:r>
      <w:r w:rsidR="003B4EA3">
        <w:t>—which contain the majority of Safeguard facilities—</w:t>
      </w:r>
      <w:r w:rsidR="00815ADC">
        <w:t>have all grown since 2005</w:t>
      </w:r>
      <w:r w:rsidR="00520FE6" w:rsidRPr="00520FE6">
        <w:t xml:space="preserve"> (Figure 2.1)</w:t>
      </w:r>
      <w:r w:rsidR="00815ADC">
        <w:t xml:space="preserve">. In contrast, </w:t>
      </w:r>
      <w:r w:rsidR="00F31C9A">
        <w:t>e</w:t>
      </w:r>
      <w:r w:rsidR="00F31C9A" w:rsidRPr="00F31C9A">
        <w:t xml:space="preserve">missions from the electricity sector peaked in 2009 and are now around </w:t>
      </w:r>
      <w:r w:rsidR="005A703C">
        <w:t>20</w:t>
      </w:r>
      <w:r w:rsidR="00F31C9A" w:rsidRPr="00F31C9A">
        <w:t xml:space="preserve"> per cent below 2005 levels.</w:t>
      </w:r>
      <w:r w:rsidR="00F31C9A">
        <w:t xml:space="preserve"> </w:t>
      </w:r>
      <w:r w:rsidR="00182CBF">
        <w:t>Like the Safeguard sectors</w:t>
      </w:r>
      <w:r w:rsidR="00182CBF" w:rsidRPr="00F31C9A">
        <w:t>,</w:t>
      </w:r>
      <w:r w:rsidR="003F5FEB">
        <w:t xml:space="preserve"> </w:t>
      </w:r>
      <w:r w:rsidR="00182CBF">
        <w:t>the electricity sector</w:t>
      </w:r>
      <w:r w:rsidR="00182CBF" w:rsidRPr="00F31C9A">
        <w:t xml:space="preserve"> is characterised by large facilities</w:t>
      </w:r>
      <w:r w:rsidR="00182CBF">
        <w:t xml:space="preserve"> and</w:t>
      </w:r>
      <w:r w:rsidR="00182CBF" w:rsidRPr="00F31C9A">
        <w:t xml:space="preserve"> big capital investments</w:t>
      </w:r>
      <w:r w:rsidR="00182CBF">
        <w:t>,</w:t>
      </w:r>
      <w:r w:rsidR="00182CBF" w:rsidRPr="00F31C9A">
        <w:t xml:space="preserve"> </w:t>
      </w:r>
      <w:r w:rsidR="00182CBF">
        <w:t xml:space="preserve">with technology change required to realise emissions reductions. </w:t>
      </w:r>
      <w:r w:rsidR="003B4EA3">
        <w:t>While there are various reasons for the difference between sectors</w:t>
      </w:r>
      <w:r w:rsidR="00B43EF3">
        <w:t>,</w:t>
      </w:r>
      <w:r w:rsidR="003B4EA3">
        <w:t xml:space="preserve"> </w:t>
      </w:r>
      <w:r w:rsidR="00B2186B">
        <w:t>it shows the importance of the Safeguard Mechanism reforms</w:t>
      </w:r>
      <w:r w:rsidR="00182CBF">
        <w:t xml:space="preserve"> </w:t>
      </w:r>
      <w:r w:rsidR="00B2186B">
        <w:t xml:space="preserve">providing a policy signal to reduce emissions from these industrial sectors, which is aligned with Australia’s national targets. </w:t>
      </w:r>
    </w:p>
    <w:p w14:paraId="5BAA8503" w14:textId="77777777" w:rsidR="004051FD" w:rsidRPr="001D24A2" w:rsidRDefault="004051FD" w:rsidP="001D24A2">
      <w:pPr>
        <w:pStyle w:val="Caption"/>
        <w:rPr>
          <w:rStyle w:val="IntenseEmphasis"/>
          <w:i/>
          <w:color w:val="408479"/>
        </w:rPr>
      </w:pPr>
      <w:r w:rsidRPr="001D24A2">
        <w:rPr>
          <w:rStyle w:val="IntenseEmphasis"/>
          <w:i/>
          <w:color w:val="408479"/>
        </w:rPr>
        <w:t xml:space="preserve">Figure </w:t>
      </w:r>
      <w:r w:rsidR="003F3CE4" w:rsidRPr="001D24A2">
        <w:rPr>
          <w:rStyle w:val="IntenseEmphasis"/>
          <w:i/>
          <w:color w:val="408479"/>
        </w:rPr>
        <w:t>2.1</w:t>
      </w:r>
      <w:r w:rsidRPr="001D24A2">
        <w:rPr>
          <w:rStyle w:val="IntenseEmphasis"/>
          <w:i/>
          <w:color w:val="408479"/>
        </w:rPr>
        <w:t xml:space="preserve">: Change in </w:t>
      </w:r>
      <w:r w:rsidR="00DC011F" w:rsidRPr="001D24A2">
        <w:rPr>
          <w:rStyle w:val="IntenseEmphasis"/>
          <w:i/>
          <w:color w:val="408479"/>
        </w:rPr>
        <w:t>Australia’s</w:t>
      </w:r>
      <w:r w:rsidRPr="001D24A2">
        <w:rPr>
          <w:rStyle w:val="IntenseEmphasis"/>
          <w:i/>
          <w:color w:val="408479"/>
        </w:rPr>
        <w:t xml:space="preserve"> emissions between 2005 and 2022 by s</w:t>
      </w:r>
      <w:r w:rsidR="006920E0" w:rsidRPr="001D24A2">
        <w:rPr>
          <w:rStyle w:val="IntenseEmphasis"/>
          <w:i/>
          <w:color w:val="408479"/>
        </w:rPr>
        <w:t>ector</w:t>
      </w:r>
    </w:p>
    <w:p w14:paraId="37BDAC9E" w14:textId="71651BF2" w:rsidR="004051FD" w:rsidRDefault="00B83859" w:rsidP="007346E1">
      <w:r>
        <w:rPr>
          <w:noProof/>
          <w:lang w:eastAsia="en-AU"/>
        </w:rPr>
        <w:drawing>
          <wp:inline distT="0" distB="0" distL="0" distR="0" wp14:anchorId="01D897EE" wp14:editId="742DDCAE">
            <wp:extent cx="5731510" cy="2612806"/>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2612806"/>
                    </a:xfrm>
                    <a:prstGeom prst="rect">
                      <a:avLst/>
                    </a:prstGeom>
                    <a:noFill/>
                  </pic:spPr>
                </pic:pic>
              </a:graphicData>
            </a:graphic>
          </wp:inline>
        </w:drawing>
      </w:r>
    </w:p>
    <w:p w14:paraId="0293EBCA" w14:textId="45B72165" w:rsidR="00B42CB2" w:rsidRPr="00A867EB" w:rsidRDefault="00B42CB2" w:rsidP="007346E1">
      <w:pPr>
        <w:rPr>
          <w:i/>
          <w:sz w:val="18"/>
          <w:szCs w:val="18"/>
        </w:rPr>
      </w:pPr>
      <w:r w:rsidRPr="00A867EB">
        <w:rPr>
          <w:i/>
          <w:sz w:val="18"/>
          <w:szCs w:val="18"/>
        </w:rPr>
        <w:t xml:space="preserve">Source: </w:t>
      </w:r>
      <w:r w:rsidR="00DC011F" w:rsidRPr="00A867EB">
        <w:rPr>
          <w:i/>
          <w:sz w:val="18"/>
          <w:szCs w:val="18"/>
        </w:rPr>
        <w:t xml:space="preserve">Quarterly update of the Australian National Greenhouse Gas Inventory, </w:t>
      </w:r>
      <w:r w:rsidR="00B83859">
        <w:rPr>
          <w:i/>
          <w:sz w:val="18"/>
          <w:szCs w:val="18"/>
        </w:rPr>
        <w:t>June</w:t>
      </w:r>
      <w:r w:rsidR="00DC011F" w:rsidRPr="00A867EB">
        <w:rPr>
          <w:i/>
          <w:sz w:val="18"/>
          <w:szCs w:val="18"/>
        </w:rPr>
        <w:t xml:space="preserve"> 2022</w:t>
      </w:r>
      <w:r w:rsidR="00DC011F" w:rsidRPr="00A867EB">
        <w:rPr>
          <w:i/>
          <w:sz w:val="18"/>
          <w:szCs w:val="18"/>
        </w:rPr>
        <w:br/>
        <w:t xml:space="preserve">Notes: </w:t>
      </w:r>
      <w:r w:rsidR="009804A4" w:rsidRPr="00A867EB">
        <w:rPr>
          <w:i/>
          <w:sz w:val="18"/>
          <w:szCs w:val="18"/>
        </w:rPr>
        <w:t xml:space="preserve">Data is for year to </w:t>
      </w:r>
      <w:r w:rsidR="00B83859">
        <w:rPr>
          <w:i/>
          <w:sz w:val="18"/>
          <w:szCs w:val="18"/>
        </w:rPr>
        <w:t>June</w:t>
      </w:r>
      <w:r w:rsidR="009804A4" w:rsidRPr="00A867EB">
        <w:rPr>
          <w:i/>
          <w:sz w:val="18"/>
          <w:szCs w:val="18"/>
        </w:rPr>
        <w:t xml:space="preserve"> 2005 to year to </w:t>
      </w:r>
      <w:r w:rsidR="00B83859">
        <w:rPr>
          <w:i/>
          <w:sz w:val="18"/>
          <w:szCs w:val="18"/>
        </w:rPr>
        <w:t>June</w:t>
      </w:r>
      <w:r w:rsidR="009804A4" w:rsidRPr="00A867EB">
        <w:rPr>
          <w:i/>
          <w:sz w:val="18"/>
          <w:szCs w:val="18"/>
        </w:rPr>
        <w:t xml:space="preserve"> 2022. </w:t>
      </w:r>
      <w:r w:rsidR="00DC011F" w:rsidRPr="00A867EB">
        <w:rPr>
          <w:i/>
          <w:sz w:val="18"/>
          <w:szCs w:val="18"/>
        </w:rPr>
        <w:t>Land use, land us</w:t>
      </w:r>
      <w:r w:rsidR="009804A4" w:rsidRPr="00A867EB">
        <w:rPr>
          <w:i/>
          <w:sz w:val="18"/>
          <w:szCs w:val="18"/>
        </w:rPr>
        <w:t>e change and forestry (LULUCF) — estimated t</w:t>
      </w:r>
      <w:r w:rsidR="00DC011F" w:rsidRPr="00A867EB">
        <w:rPr>
          <w:i/>
          <w:sz w:val="18"/>
          <w:szCs w:val="18"/>
        </w:rPr>
        <w:t>o</w:t>
      </w:r>
      <w:r w:rsidR="009804A4" w:rsidRPr="00A867EB">
        <w:rPr>
          <w:i/>
          <w:sz w:val="18"/>
          <w:szCs w:val="18"/>
        </w:rPr>
        <w:t xml:space="preserve"> have</w:t>
      </w:r>
      <w:r w:rsidR="00DC011F" w:rsidRPr="00A867EB">
        <w:rPr>
          <w:i/>
          <w:sz w:val="18"/>
          <w:szCs w:val="18"/>
        </w:rPr>
        <w:t xml:space="preserve"> decline</w:t>
      </w:r>
      <w:r w:rsidR="009804A4" w:rsidRPr="00A867EB">
        <w:rPr>
          <w:i/>
          <w:sz w:val="18"/>
          <w:szCs w:val="18"/>
        </w:rPr>
        <w:t>d</w:t>
      </w:r>
      <w:r w:rsidR="00DC011F" w:rsidRPr="00A867EB">
        <w:rPr>
          <w:i/>
          <w:sz w:val="18"/>
          <w:szCs w:val="18"/>
        </w:rPr>
        <w:t xml:space="preserve"> by 14</w:t>
      </w:r>
      <w:r w:rsidR="00B83859">
        <w:rPr>
          <w:i/>
          <w:sz w:val="18"/>
          <w:szCs w:val="18"/>
        </w:rPr>
        <w:t>6</w:t>
      </w:r>
      <w:r w:rsidR="00DC011F" w:rsidRPr="00A867EB">
        <w:rPr>
          <w:i/>
          <w:sz w:val="18"/>
          <w:szCs w:val="18"/>
        </w:rPr>
        <w:t>% over the same period</w:t>
      </w:r>
      <w:r w:rsidR="009804A4" w:rsidRPr="00A867EB">
        <w:rPr>
          <w:i/>
          <w:sz w:val="18"/>
          <w:szCs w:val="18"/>
        </w:rPr>
        <w:t xml:space="preserve"> —</w:t>
      </w:r>
      <w:r w:rsidR="00DC011F" w:rsidRPr="00A867EB">
        <w:rPr>
          <w:i/>
          <w:sz w:val="18"/>
          <w:szCs w:val="18"/>
        </w:rPr>
        <w:t xml:space="preserve"> has been excluded from the chart.</w:t>
      </w:r>
    </w:p>
    <w:p w14:paraId="496C5DAE" w14:textId="014ED9B0" w:rsidR="00301ED4" w:rsidRDefault="00AD693E" w:rsidP="009D58CF">
      <w:pPr>
        <w:keepLines/>
      </w:pPr>
      <w:r>
        <w:lastRenderedPageBreak/>
        <w:t xml:space="preserve">The Government proposes to assign a Safeguard Mechanism target based on its proportional share of national </w:t>
      </w:r>
      <w:r w:rsidR="007346E1">
        <w:t>emissions in 2020-21, which was 28 per</w:t>
      </w:r>
      <w:r w:rsidR="00FB3916">
        <w:t xml:space="preserve"> </w:t>
      </w:r>
      <w:r w:rsidR="007346E1">
        <w:t>cent</w:t>
      </w:r>
      <w:r w:rsidR="00D905D7">
        <w:t>.</w:t>
      </w:r>
      <w:r w:rsidR="007346E1">
        <w:rPr>
          <w:rStyle w:val="FootnoteReference"/>
        </w:rPr>
        <w:footnoteReference w:id="9"/>
      </w:r>
      <w:r>
        <w:t xml:space="preserve"> </w:t>
      </w:r>
      <w:r w:rsidR="00F31C9A">
        <w:t xml:space="preserve">This means that facilities covered by the Safeguard Mechanism will be </w:t>
      </w:r>
      <w:r w:rsidR="003B4EA3">
        <w:t>asked to</w:t>
      </w:r>
      <w:r w:rsidR="00F31C9A">
        <w:t xml:space="preserve"> reduce their net emissions at the same pace</w:t>
      </w:r>
      <w:r w:rsidR="003B4EA3">
        <w:t xml:space="preserve"> as the economy as a whole will need to reduce its emissions to meet the national 2030 target.</w:t>
      </w:r>
    </w:p>
    <w:p w14:paraId="7FC9554F" w14:textId="2E9FF450" w:rsidR="00FA2B87" w:rsidRDefault="00AD693E" w:rsidP="007346E1">
      <w:r>
        <w:t>Some</w:t>
      </w:r>
      <w:r w:rsidR="00FA2B87">
        <w:t xml:space="preserve"> businesses </w:t>
      </w:r>
      <w:r w:rsidR="007346E1">
        <w:t>felt</w:t>
      </w:r>
      <w:r w:rsidR="00FA2B87">
        <w:t xml:space="preserve"> that </w:t>
      </w:r>
      <w:r w:rsidR="007346E1">
        <w:t xml:space="preserve">2020-21 data </w:t>
      </w:r>
      <w:r w:rsidR="00FA2B87">
        <w:t xml:space="preserve">may not be representative due to the effects of the pandemic. </w:t>
      </w:r>
      <w:r w:rsidR="007346E1">
        <w:t>The Government considered this and found that th</w:t>
      </w:r>
      <w:r w:rsidR="00FA2B87">
        <w:t>e Safeguard Mechanism’s share of national emissions has stayed relativel</w:t>
      </w:r>
      <w:r w:rsidR="005657CB">
        <w:t>y stable during the pandemic as</w:t>
      </w:r>
      <w:r w:rsidR="00FA2B87">
        <w:t xml:space="preserve"> national emissions have fallen at a corresponding rate. For example, </w:t>
      </w:r>
      <w:r w:rsidR="00EC2BD6">
        <w:t>Safeguard</w:t>
      </w:r>
      <w:r w:rsidR="007346E1">
        <w:t xml:space="preserve"> Mechanism’s</w:t>
      </w:r>
      <w:r w:rsidR="00EC2BD6">
        <w:t xml:space="preserve"> share of</w:t>
      </w:r>
      <w:r w:rsidR="00FA2B87">
        <w:t xml:space="preserve"> national emissions in 2018</w:t>
      </w:r>
      <w:r w:rsidR="007346E1">
        <w:t>-19—the latest full year of pre</w:t>
      </w:r>
      <w:r w:rsidR="007346E1">
        <w:noBreakHyphen/>
      </w:r>
      <w:r w:rsidR="00FA2B87">
        <w:t>pandemic data—was 27.9 </w:t>
      </w:r>
      <w:r w:rsidR="00FB3916">
        <w:t>per c</w:t>
      </w:r>
      <w:r w:rsidR="00FA2B87">
        <w:t>ent.</w:t>
      </w:r>
    </w:p>
    <w:p w14:paraId="69DAA8FE" w14:textId="77777777" w:rsidR="00A31F0E" w:rsidRDefault="00A31F0E" w:rsidP="00A31F0E">
      <w:r>
        <w:t xml:space="preserve">Based on </w:t>
      </w:r>
      <w:r w:rsidR="008F7B87">
        <w:t>the</w:t>
      </w:r>
      <w:r>
        <w:t xml:space="preserve"> most recent National Greenhouse Gas Inventory data, whic</w:t>
      </w:r>
      <w:r w:rsidR="007346E1">
        <w:t>h is updated every quarter, a 28 </w:t>
      </w:r>
      <w:r w:rsidR="00FB3916">
        <w:t>per cent</w:t>
      </w:r>
      <w:r w:rsidR="007346E1">
        <w:t xml:space="preserve"> share</w:t>
      </w:r>
      <w:r>
        <w:t xml:space="preserve"> corresponds to 100 </w:t>
      </w:r>
      <w:r w:rsidR="004C3B1D">
        <w:t>Mt</w:t>
      </w:r>
      <w:r>
        <w:t xml:space="preserve"> of </w:t>
      </w:r>
      <w:r w:rsidRPr="00B83BF6">
        <w:t>CO</w:t>
      </w:r>
      <w:r w:rsidRPr="00B83BF6">
        <w:rPr>
          <w:vertAlign w:val="subscript"/>
        </w:rPr>
        <w:t>2</w:t>
      </w:r>
      <w:r w:rsidRPr="00B83BF6">
        <w:noBreakHyphen/>
        <w:t>e</w:t>
      </w:r>
      <w:r>
        <w:t xml:space="preserve"> in 2030</w:t>
      </w:r>
      <w:r w:rsidR="00A802EA">
        <w:t>.</w:t>
      </w:r>
      <w:r w:rsidR="008F7B87">
        <w:rPr>
          <w:rStyle w:val="FootnoteReference"/>
        </w:rPr>
        <w:footnoteReference w:id="10"/>
      </w:r>
      <w:r>
        <w:t xml:space="preserve"> This compares with covered emissions of 137 </w:t>
      </w:r>
      <w:r w:rsidR="004C3B1D">
        <w:t>Mt</w:t>
      </w:r>
      <w:r>
        <w:t xml:space="preserve"> </w:t>
      </w:r>
      <w:r w:rsidRPr="00B83BF6">
        <w:t>CO</w:t>
      </w:r>
      <w:r w:rsidRPr="00B83BF6">
        <w:rPr>
          <w:vertAlign w:val="subscript"/>
        </w:rPr>
        <w:t>2</w:t>
      </w:r>
      <w:r w:rsidRPr="00B83BF6">
        <w:noBreakHyphen/>
        <w:t>e</w:t>
      </w:r>
      <w:r>
        <w:t xml:space="preserve"> in 2020</w:t>
      </w:r>
      <w:r>
        <w:noBreakHyphen/>
        <w:t>21</w:t>
      </w:r>
      <w:r w:rsidR="00CA7CF0">
        <w:t xml:space="preserve"> and projected Safeguard emissions of 14</w:t>
      </w:r>
      <w:r w:rsidR="00AE5FEF">
        <w:t>3</w:t>
      </w:r>
      <w:r w:rsidR="0087137A">
        <w:t> </w:t>
      </w:r>
      <w:r w:rsidR="004C3B1D">
        <w:t>Mt</w:t>
      </w:r>
      <w:r w:rsidR="00CA7CF0">
        <w:t xml:space="preserve"> </w:t>
      </w:r>
      <w:r w:rsidR="00CA7CF0" w:rsidRPr="00B83BF6">
        <w:t>CO</w:t>
      </w:r>
      <w:r w:rsidR="00CA7CF0" w:rsidRPr="00B83BF6">
        <w:rPr>
          <w:vertAlign w:val="subscript"/>
        </w:rPr>
        <w:t>2</w:t>
      </w:r>
      <w:r w:rsidR="00CA7CF0" w:rsidRPr="00B83BF6">
        <w:noBreakHyphen/>
        <w:t>e</w:t>
      </w:r>
      <w:r w:rsidR="00CA7CF0">
        <w:t xml:space="preserve"> in 202</w:t>
      </w:r>
      <w:r w:rsidR="00AE5FEF">
        <w:t>2-2</w:t>
      </w:r>
      <w:r w:rsidR="00CA7CF0">
        <w:t>3</w:t>
      </w:r>
      <w:r w:rsidR="004170E3">
        <w:t xml:space="preserve">, </w:t>
      </w:r>
      <w:r w:rsidR="00AE5FEF">
        <w:t xml:space="preserve">the </w:t>
      </w:r>
      <w:r w:rsidR="00414A1B">
        <w:t>year</w:t>
      </w:r>
      <w:r w:rsidR="00AE5FEF">
        <w:t xml:space="preserve"> prior to the start of the reforms</w:t>
      </w:r>
      <w:r>
        <w:t>. Setting and</w:t>
      </w:r>
      <w:r w:rsidRPr="00465791">
        <w:t xml:space="preserve"> </w:t>
      </w:r>
      <w:r>
        <w:t>achieving this 2030 target will ensure that Safeguard emission reductions are on track and aligned with the broad trajectory to reach net zero by 2050 (Figure 2.</w:t>
      </w:r>
      <w:r w:rsidR="003F3CE4">
        <w:t>2</w:t>
      </w:r>
      <w:r>
        <w:t>)</w:t>
      </w:r>
      <w:r w:rsidR="00E7568E">
        <w:rPr>
          <w:rStyle w:val="FootnoteReference"/>
        </w:rPr>
        <w:footnoteReference w:id="11"/>
      </w:r>
      <w:r>
        <w:t xml:space="preserve">.  </w:t>
      </w:r>
    </w:p>
    <w:p w14:paraId="0491FB68" w14:textId="77777777" w:rsidR="00E26ED3" w:rsidRPr="0061270C" w:rsidRDefault="00E26ED3" w:rsidP="00A13D58">
      <w:pPr>
        <w:pStyle w:val="Caption"/>
        <w:rPr>
          <w:rStyle w:val="IntenseEmphasis"/>
          <w:i/>
          <w:color w:val="408479"/>
        </w:rPr>
      </w:pPr>
      <w:r w:rsidRPr="0061270C">
        <w:rPr>
          <w:rStyle w:val="IntenseEmphasis"/>
          <w:i/>
          <w:color w:val="408479"/>
        </w:rPr>
        <w:t>Figure 2.</w:t>
      </w:r>
      <w:r w:rsidR="003F3CE4">
        <w:rPr>
          <w:rStyle w:val="IntenseEmphasis"/>
          <w:i/>
          <w:color w:val="408479"/>
        </w:rPr>
        <w:t>2</w:t>
      </w:r>
      <w:r w:rsidRPr="0061270C">
        <w:rPr>
          <w:rStyle w:val="IntenseEmphasis"/>
          <w:i/>
          <w:color w:val="408479"/>
        </w:rPr>
        <w:t xml:space="preserve"> Indicative emissions decline trajectory to net zero by 2050</w:t>
      </w:r>
    </w:p>
    <w:p w14:paraId="6F66842B" w14:textId="77777777" w:rsidR="00F02B9E" w:rsidRDefault="00D31CF9" w:rsidP="00174679">
      <w:r>
        <w:rPr>
          <w:noProof/>
          <w:lang w:eastAsia="en-AU"/>
        </w:rPr>
        <w:drawing>
          <wp:inline distT="0" distB="0" distL="0" distR="0" wp14:anchorId="2BD012B3" wp14:editId="686A1D17">
            <wp:extent cx="4488007" cy="2195804"/>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28835" cy="2215780"/>
                    </a:xfrm>
                    <a:prstGeom prst="rect">
                      <a:avLst/>
                    </a:prstGeom>
                    <a:noFill/>
                  </pic:spPr>
                </pic:pic>
              </a:graphicData>
            </a:graphic>
          </wp:inline>
        </w:drawing>
      </w:r>
    </w:p>
    <w:p w14:paraId="4AE95916" w14:textId="77777777" w:rsidR="00894C00" w:rsidRDefault="006C68AA" w:rsidP="006032B2">
      <w:pPr>
        <w:keepLines/>
      </w:pPr>
      <w:r>
        <w:t xml:space="preserve">Australia’s 2030 target is also implemented as an emissions budget for the period 2021 </w:t>
      </w:r>
      <w:r w:rsidR="00A802EA">
        <w:t>to</w:t>
      </w:r>
      <w:r>
        <w:t xml:space="preserve"> 2030. </w:t>
      </w:r>
      <w:r w:rsidR="00894C00">
        <w:t xml:space="preserve">The emissions budget is important. Global warming impacts are linked to cumulative greenhouse gas concentrations, so the total volume of emissions released over the decade better represents Australia’s contribution to global warming than emissions in a single year. </w:t>
      </w:r>
    </w:p>
    <w:p w14:paraId="750B7762" w14:textId="77777777" w:rsidR="005A5FC5" w:rsidRDefault="006C68AA" w:rsidP="006032B2">
      <w:pPr>
        <w:keepLines/>
      </w:pPr>
      <w:r>
        <w:lastRenderedPageBreak/>
        <w:t>Applying the Safeguard Mechanism’s proportional share to the national budget gives a Safeguard emissions budget of 1,23</w:t>
      </w:r>
      <w:r w:rsidR="004604FE">
        <w:t>3</w:t>
      </w:r>
      <w:r>
        <w:t> </w:t>
      </w:r>
      <w:r w:rsidR="004C3B1D">
        <w:t>Mt</w:t>
      </w:r>
      <w:r w:rsidRPr="00FB128F">
        <w:t xml:space="preserve"> </w:t>
      </w:r>
      <w:r>
        <w:t>CO</w:t>
      </w:r>
      <w:r w:rsidRPr="00FB128F">
        <w:rPr>
          <w:vertAlign w:val="subscript"/>
        </w:rPr>
        <w:t>2</w:t>
      </w:r>
      <w:r>
        <w:noBreakHyphen/>
        <w:t>e</w:t>
      </w:r>
      <w:r w:rsidR="00207D2F">
        <w:t xml:space="preserve"> </w:t>
      </w:r>
      <w:r w:rsidR="00255095">
        <w:t>between 2021 and</w:t>
      </w:r>
      <w:r w:rsidR="00207D2F">
        <w:t xml:space="preserve"> 2030</w:t>
      </w:r>
      <w:r w:rsidR="00AE4D33">
        <w:t>.</w:t>
      </w:r>
      <w:r w:rsidR="00B03709">
        <w:rPr>
          <w:rStyle w:val="FootnoteReference"/>
        </w:rPr>
        <w:footnoteReference w:id="12"/>
      </w:r>
      <w:r w:rsidR="00207D2F">
        <w:t xml:space="preserve"> Figure 2.</w:t>
      </w:r>
      <w:r w:rsidR="003F3CE4">
        <w:t>3</w:t>
      </w:r>
      <w:r w:rsidR="00207D2F">
        <w:t xml:space="preserve"> presents the Safeguard Mechanism’s emissions budget and potential abatement task</w:t>
      </w:r>
      <w:r w:rsidR="00B03709">
        <w:t xml:space="preserve">. </w:t>
      </w:r>
      <w:r w:rsidR="003E2CB6">
        <w:t>From the estimated starting point in 2023-24, the baseline trajectory needed to satisfy both the 1,23</w:t>
      </w:r>
      <w:r w:rsidR="00E00E33">
        <w:t>3</w:t>
      </w:r>
      <w:r w:rsidR="004C3B1D">
        <w:t> Mt</w:t>
      </w:r>
      <w:r w:rsidR="003E2CB6">
        <w:t xml:space="preserve"> emissions budget and 100 </w:t>
      </w:r>
      <w:r w:rsidR="004C3B1D">
        <w:t>Mt</w:t>
      </w:r>
      <w:r w:rsidR="003E2CB6">
        <w:t xml:space="preserve"> point target will see net emissions fall to </w:t>
      </w:r>
      <w:r w:rsidR="00C30D5B">
        <w:t>around</w:t>
      </w:r>
      <w:r w:rsidR="003E2CB6">
        <w:t xml:space="preserve"> 9</w:t>
      </w:r>
      <w:r w:rsidR="002344EF">
        <w:t>5</w:t>
      </w:r>
      <w:r w:rsidR="003E2CB6">
        <w:t> </w:t>
      </w:r>
      <w:r w:rsidR="004C3B1D">
        <w:t>Mt</w:t>
      </w:r>
      <w:r w:rsidR="003E2CB6">
        <w:t xml:space="preserve"> in 2030. </w:t>
      </w:r>
      <w:r w:rsidR="008721F5">
        <w:t xml:space="preserve">The </w:t>
      </w:r>
      <w:r w:rsidR="00E84C39">
        <w:t>reforms are estimated to</w:t>
      </w:r>
      <w:r w:rsidR="008721F5">
        <w:t xml:space="preserve"> deliver </w:t>
      </w:r>
      <w:r w:rsidR="00B62581">
        <w:t>total cumulative abatement of 20</w:t>
      </w:r>
      <w:r w:rsidR="001A7219">
        <w:t>5</w:t>
      </w:r>
      <w:r w:rsidR="003E2CB6">
        <w:t> million tonnes</w:t>
      </w:r>
      <w:r w:rsidR="00BD6C16">
        <w:t xml:space="preserve"> for existing Safeguard facilities and anticipated new facilities</w:t>
      </w:r>
      <w:r w:rsidR="009479A4">
        <w:t>.</w:t>
      </w:r>
      <w:r w:rsidR="00BD6C16">
        <w:rPr>
          <w:rStyle w:val="FootnoteReference"/>
        </w:rPr>
        <w:footnoteReference w:id="13"/>
      </w:r>
      <w:r w:rsidR="00BD6C16">
        <w:t xml:space="preserve"> </w:t>
      </w:r>
    </w:p>
    <w:p w14:paraId="53EFD500" w14:textId="77777777" w:rsidR="004F32B5" w:rsidRPr="0061270C" w:rsidRDefault="004F32B5" w:rsidP="004F32B5">
      <w:pPr>
        <w:pStyle w:val="Caption"/>
        <w:rPr>
          <w:rStyle w:val="IntenseEmphasis"/>
          <w:i/>
          <w:color w:val="408479"/>
        </w:rPr>
      </w:pPr>
      <w:r w:rsidRPr="0061270C">
        <w:rPr>
          <w:rStyle w:val="IntenseEmphasis"/>
          <w:i/>
          <w:color w:val="408479"/>
        </w:rPr>
        <w:t>Figure 2.</w:t>
      </w:r>
      <w:r>
        <w:rPr>
          <w:rStyle w:val="IntenseEmphasis"/>
          <w:i/>
          <w:color w:val="408479"/>
        </w:rPr>
        <w:t>3</w:t>
      </w:r>
      <w:r w:rsidRPr="0061270C">
        <w:rPr>
          <w:rStyle w:val="IntenseEmphasis"/>
          <w:i/>
          <w:color w:val="408479"/>
        </w:rPr>
        <w:t>: Proposed emissions budget and indicative abatement task for Safeguard facilities</w:t>
      </w:r>
    </w:p>
    <w:p w14:paraId="32CB3825" w14:textId="77777777" w:rsidR="00E00E33" w:rsidRDefault="00B62581" w:rsidP="004F32B5">
      <w:r>
        <w:rPr>
          <w:noProof/>
          <w:lang w:eastAsia="en-AU"/>
        </w:rPr>
        <w:drawing>
          <wp:inline distT="0" distB="0" distL="0" distR="0" wp14:anchorId="49EAE0CF" wp14:editId="52BF3CCA">
            <wp:extent cx="5732090" cy="330471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41386" cy="3310070"/>
                    </a:xfrm>
                    <a:prstGeom prst="rect">
                      <a:avLst/>
                    </a:prstGeom>
                    <a:noFill/>
                  </pic:spPr>
                </pic:pic>
              </a:graphicData>
            </a:graphic>
          </wp:inline>
        </w:drawing>
      </w:r>
    </w:p>
    <w:p w14:paraId="3935A06F" w14:textId="5A98A1FE" w:rsidR="004F32B5" w:rsidRDefault="004F32B5" w:rsidP="004F32B5">
      <w:r>
        <w:t>The abatement task is estimated relative to projected emissions in the absence of the Safeguard reforms. Without the reforms, emissions from existing and new Safeguard facilities are expected to increase at an annual average rate of 0.7 per cent between 2020-21 and 2029-30</w:t>
      </w:r>
      <w:r>
        <w:rPr>
          <w:rStyle w:val="FootnoteReference"/>
        </w:rPr>
        <w:footnoteReference w:id="14"/>
      </w:r>
      <w:r>
        <w:t>. Stronger than expected business-as-usual growth would increase the abatement task. For example, annual average emissions growth of 1.5 per cent would increase the estimated abatement task to 2</w:t>
      </w:r>
      <w:r w:rsidR="00544F91">
        <w:t>3</w:t>
      </w:r>
      <w:r>
        <w:t>7 Mt.</w:t>
      </w:r>
    </w:p>
    <w:p w14:paraId="5958969E" w14:textId="77777777" w:rsidR="004F32B5" w:rsidRDefault="004F32B5" w:rsidP="004F32B5">
      <w:r>
        <w:t>Aggregate emissions projections for existing Safeguard facilities are consistent with Australia’s 2022 national emissions projections</w:t>
      </w:r>
      <w:r>
        <w:rPr>
          <w:rStyle w:val="FootnoteReference"/>
        </w:rPr>
        <w:footnoteReference w:id="15"/>
      </w:r>
      <w:r>
        <w:t xml:space="preserve">. Emissions from Safeguard facilities are projected to increase from 2020-21 to 2023-24 due to increased emissions from coal mines and domestic aviation. Emissions from a number of coal mines were low in 2020-21 and 2021-22 due to temporary outages, including </w:t>
      </w:r>
      <w:r>
        <w:lastRenderedPageBreak/>
        <w:t>from flooding events. Those coal mines are projected to return to normal production levels over 2022-23 and 2023-24. Emissions from domestic aviation reduced as transport activity was impacted by the COVID pandemic. Emissions from domestic aviation are projected to return to historical average levels from 2022-23 onwards.</w:t>
      </w:r>
    </w:p>
    <w:p w14:paraId="36971280" w14:textId="77777777" w:rsidR="00326A41" w:rsidRDefault="008721F5" w:rsidP="00326A41">
      <w:r>
        <w:t>In the absence of the reforms</w:t>
      </w:r>
      <w:r w:rsidR="001845D4">
        <w:t>, e</w:t>
      </w:r>
      <w:r w:rsidR="00326A41">
        <w:t xml:space="preserve">missions from </w:t>
      </w:r>
      <w:r w:rsidR="00CF5722">
        <w:t>S</w:t>
      </w:r>
      <w:r w:rsidR="00326A41">
        <w:t xml:space="preserve">afeguard facilities are projected to remain relatively </w:t>
      </w:r>
      <w:r w:rsidR="00CF5722">
        <w:t>stable</w:t>
      </w:r>
      <w:r w:rsidR="00326A41">
        <w:t xml:space="preserve"> from </w:t>
      </w:r>
      <w:r w:rsidR="00CF5722">
        <w:t>2023-</w:t>
      </w:r>
      <w:r w:rsidR="00326A41">
        <w:t>24 to 2029</w:t>
      </w:r>
      <w:r w:rsidR="00CF5722">
        <w:t>-</w:t>
      </w:r>
      <w:r w:rsidR="00326A41">
        <w:t>30 as increased emissions from LNG production are offset by projected declines in emissions from coal mining, manufacturing and other mining sectors. Emissions from LNG production are projected to increase as capacity increases and gas from higher CO</w:t>
      </w:r>
      <w:r w:rsidR="00326A41" w:rsidRPr="00CF5722">
        <w:rPr>
          <w:vertAlign w:val="subscript"/>
        </w:rPr>
        <w:t>2</w:t>
      </w:r>
      <w:r w:rsidR="00326A41">
        <w:t xml:space="preserve"> fields </w:t>
      </w:r>
      <w:r w:rsidR="005C0077">
        <w:t xml:space="preserve">is </w:t>
      </w:r>
      <w:r w:rsidR="00326A41">
        <w:t>used to backfill existing LNG plants. Emissions from coal mines are projected to decline as total production falls and some gassy underground mines are projected to close</w:t>
      </w:r>
      <w:r>
        <w:t>,</w:t>
      </w:r>
      <w:r w:rsidR="00326A41">
        <w:t xml:space="preserve"> while emissions from manufacturing and other mining decline due to fuel switching and energy efficiency.</w:t>
      </w:r>
      <w:r w:rsidR="00E91D35">
        <w:t xml:space="preserve"> </w:t>
      </w:r>
    </w:p>
    <w:p w14:paraId="5CAD8FF1" w14:textId="77777777" w:rsidR="008822EC" w:rsidRDefault="005C0077" w:rsidP="00326A41">
      <w:r>
        <w:t>Without the reforms, a</w:t>
      </w:r>
      <w:r w:rsidR="00E91D35">
        <w:t xml:space="preserve">ggregate emissions for existing </w:t>
      </w:r>
      <w:r w:rsidR="00CF5722">
        <w:t>S</w:t>
      </w:r>
      <w:r w:rsidR="00E91D35">
        <w:t xml:space="preserve">afeguard facilities </w:t>
      </w:r>
      <w:r w:rsidR="000D065C">
        <w:t xml:space="preserve">are projected to </w:t>
      </w:r>
      <w:r w:rsidR="00E91D35">
        <w:t>reach a peak of 136 Mt by 2030</w:t>
      </w:r>
      <w:r>
        <w:t xml:space="preserve">, and </w:t>
      </w:r>
      <w:r w:rsidR="00E91D35">
        <w:t xml:space="preserve">total emissions </w:t>
      </w:r>
      <w:r w:rsidR="008721F5">
        <w:t xml:space="preserve">including for new entrant Safeguard facilities </w:t>
      </w:r>
      <w:r w:rsidR="00E91D35">
        <w:t>are projected to reach</w:t>
      </w:r>
      <w:r w:rsidR="008D2859">
        <w:t xml:space="preserve"> 146 Mt by 2030. </w:t>
      </w:r>
    </w:p>
    <w:p w14:paraId="0977E96B" w14:textId="1EE26432" w:rsidR="00A31F0E" w:rsidRPr="00AD474D" w:rsidRDefault="00A31F0E" w:rsidP="00FF5D77">
      <w:pPr>
        <w:pStyle w:val="Calloutbox"/>
      </w:pPr>
      <w:r>
        <w:t xml:space="preserve">The </w:t>
      </w:r>
      <w:r w:rsidR="00786951">
        <w:t xml:space="preserve">Safeguard Mechanism’s </w:t>
      </w:r>
      <w:r w:rsidR="00786951" w:rsidRPr="001811DF">
        <w:t xml:space="preserve">2030 target </w:t>
      </w:r>
      <w:r w:rsidR="00451088" w:rsidRPr="001811DF">
        <w:t xml:space="preserve">would </w:t>
      </w:r>
      <w:r w:rsidR="00786951" w:rsidRPr="001811DF">
        <w:t>be</w:t>
      </w:r>
      <w:r w:rsidR="00786951">
        <w:t xml:space="preserve"> set at</w:t>
      </w:r>
      <w:r w:rsidR="0032222E">
        <w:t xml:space="preserve"> no more than</w:t>
      </w:r>
      <w:r w:rsidR="00786951">
        <w:t xml:space="preserve"> 100 </w:t>
      </w:r>
      <w:r w:rsidR="004C3B1D">
        <w:t>Mt</w:t>
      </w:r>
      <w:r w:rsidR="00786951">
        <w:t xml:space="preserve"> in 2030</w:t>
      </w:r>
      <w:r w:rsidR="00BE57CA">
        <w:t xml:space="preserve"> and 1,23</w:t>
      </w:r>
      <w:r w:rsidR="00EA5063">
        <w:t>3</w:t>
      </w:r>
      <w:r w:rsidR="00BE57CA">
        <w:t> </w:t>
      </w:r>
      <w:r w:rsidR="004C3B1D">
        <w:t>Mt</w:t>
      </w:r>
      <w:r w:rsidR="00BE57CA">
        <w:t xml:space="preserve"> between 2021 and 2030</w:t>
      </w:r>
      <w:r w:rsidR="00786951">
        <w:t>, representing a proportional share of the national target and delivering an estimated 2</w:t>
      </w:r>
      <w:r w:rsidR="00B62581">
        <w:t>0</w:t>
      </w:r>
      <w:r w:rsidR="00786951">
        <w:t>5 million tonnes of abatement (</w:t>
      </w:r>
      <w:r w:rsidR="004F5D33">
        <w:t>relative to current trends</w:t>
      </w:r>
      <w:r w:rsidR="00786951">
        <w:t>) by the end of the decade</w:t>
      </w:r>
      <w:r>
        <w:t>.</w:t>
      </w:r>
    </w:p>
    <w:p w14:paraId="584271AE" w14:textId="77777777" w:rsidR="00ED685F" w:rsidRPr="00F73F73" w:rsidRDefault="00575C9A" w:rsidP="00A92587">
      <w:pPr>
        <w:pStyle w:val="Heading1"/>
      </w:pPr>
      <w:bookmarkStart w:id="363" w:name="_Toc109645627"/>
      <w:bookmarkStart w:id="364" w:name="_Toc109653336"/>
      <w:bookmarkStart w:id="365" w:name="_Toc109659383"/>
      <w:bookmarkStart w:id="366" w:name="_Toc109717163"/>
      <w:bookmarkStart w:id="367" w:name="_Toc109742671"/>
      <w:bookmarkStart w:id="368" w:name="_Toc109746055"/>
      <w:bookmarkStart w:id="369" w:name="_Toc109747119"/>
      <w:bookmarkStart w:id="370" w:name="_Toc109818495"/>
      <w:bookmarkStart w:id="371" w:name="_Toc110524021"/>
      <w:bookmarkStart w:id="372" w:name="_Toc110545549"/>
      <w:bookmarkStart w:id="373" w:name="_Toc110590732"/>
      <w:bookmarkStart w:id="374" w:name="_Toc110590787"/>
      <w:bookmarkStart w:id="375" w:name="_Toc110593191"/>
      <w:bookmarkStart w:id="376" w:name="_Toc110851744"/>
      <w:bookmarkStart w:id="377" w:name="_Toc111042135"/>
      <w:bookmarkStart w:id="378" w:name="_Toc117176808"/>
      <w:bookmarkStart w:id="379" w:name="_Toc117255411"/>
      <w:bookmarkStart w:id="380" w:name="_Toc117263152"/>
      <w:bookmarkStart w:id="381" w:name="_Toc117437233"/>
      <w:bookmarkStart w:id="382" w:name="_Toc117499181"/>
      <w:bookmarkStart w:id="383" w:name="_Toc117521028"/>
      <w:bookmarkStart w:id="384" w:name="_Toc117524775"/>
      <w:bookmarkStart w:id="385" w:name="_Toc117543966"/>
      <w:bookmarkStart w:id="386" w:name="_Toc117548317"/>
      <w:bookmarkStart w:id="387" w:name="_Toc117588635"/>
      <w:bookmarkStart w:id="388" w:name="_Toc117588679"/>
      <w:bookmarkStart w:id="389" w:name="_Toc117604797"/>
      <w:bookmarkStart w:id="390" w:name="_Toc117612879"/>
      <w:bookmarkStart w:id="391" w:name="_Toc117627717"/>
      <w:bookmarkStart w:id="392" w:name="_Toc117630382"/>
      <w:bookmarkStart w:id="393" w:name="_Toc117867989"/>
      <w:bookmarkStart w:id="394" w:name="_Toc117888003"/>
      <w:bookmarkStart w:id="395" w:name="_Toc117951447"/>
      <w:bookmarkStart w:id="396" w:name="_Toc117960094"/>
      <w:bookmarkStart w:id="397" w:name="_Toc118040355"/>
      <w:bookmarkStart w:id="398" w:name="_Toc118196207"/>
      <w:bookmarkStart w:id="399" w:name="_Toc118198376"/>
      <w:bookmarkStart w:id="400" w:name="_Toc118198791"/>
      <w:bookmarkStart w:id="401" w:name="_Toc118198982"/>
      <w:bookmarkStart w:id="402" w:name="_Toc118199536"/>
      <w:bookmarkStart w:id="403" w:name="_Toc118304108"/>
      <w:bookmarkStart w:id="404" w:name="_Toc118304139"/>
      <w:bookmarkStart w:id="405" w:name="_Toc118306341"/>
      <w:bookmarkStart w:id="406" w:name="_Toc118308333"/>
      <w:bookmarkStart w:id="407" w:name="_Toc119500904"/>
      <w:bookmarkStart w:id="408" w:name="_Toc119572359"/>
      <w:bookmarkStart w:id="409" w:name="_Toc120098954"/>
      <w:bookmarkStart w:id="410" w:name="_Toc122514434"/>
      <w:bookmarkStart w:id="411" w:name="_Toc124100684"/>
      <w:r>
        <w:t>Setting baselines</w:t>
      </w:r>
      <w:r w:rsidR="008A1517" w:rsidRPr="00F73F73">
        <w:t xml:space="preserve"> to </w:t>
      </w:r>
      <w:r>
        <w:t xml:space="preserve">achieve </w:t>
      </w:r>
      <w:r w:rsidR="0051377B">
        <w:t>an equitable</w:t>
      </w:r>
      <w:r>
        <w:t xml:space="preserve"> distribution of</w:t>
      </w:r>
      <w:r w:rsidR="008A1517" w:rsidRPr="00F73F73">
        <w:t xml:space="preserve"> costs and </w:t>
      </w:r>
      <w:bookmarkEnd w:id="363"/>
      <w:bookmarkEnd w:id="364"/>
      <w:bookmarkEnd w:id="365"/>
      <w:bookmarkEnd w:id="366"/>
      <w:bookmarkEnd w:id="367"/>
      <w:bookmarkEnd w:id="368"/>
      <w:bookmarkEnd w:id="369"/>
      <w:r w:rsidR="007C6413">
        <w:t>benefits</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081008D1" w14:textId="77777777" w:rsidR="008A1517" w:rsidRDefault="005657CB" w:rsidP="00867CDF">
      <w:pPr>
        <w:keepLines/>
      </w:pPr>
      <w:r>
        <w:t>Baseline setting</w:t>
      </w:r>
      <w:r w:rsidR="00867CDF">
        <w:t xml:space="preserve"> is</w:t>
      </w:r>
      <w:r w:rsidR="00350E95">
        <w:t xml:space="preserve"> </w:t>
      </w:r>
      <w:r w:rsidR="00867CDF">
        <w:t xml:space="preserve">a key </w:t>
      </w:r>
      <w:r w:rsidR="00301433">
        <w:t>policy</w:t>
      </w:r>
      <w:r>
        <w:t xml:space="preserve"> </w:t>
      </w:r>
      <w:r w:rsidR="00867CDF">
        <w:t xml:space="preserve">element </w:t>
      </w:r>
      <w:r w:rsidR="002769A6">
        <w:t xml:space="preserve">that </w:t>
      </w:r>
      <w:r w:rsidR="00350E95">
        <w:t>determines the cost</w:t>
      </w:r>
      <w:r w:rsidR="007C6413">
        <w:t>s and benefits</w:t>
      </w:r>
      <w:r w:rsidR="00350E95">
        <w:t xml:space="preserve"> faced by</w:t>
      </w:r>
      <w:r w:rsidR="00867CDF">
        <w:t xml:space="preserve"> each facility</w:t>
      </w:r>
      <w:r w:rsidR="00350E95">
        <w:t xml:space="preserve"> </w:t>
      </w:r>
      <w:r w:rsidR="002769A6">
        <w:t xml:space="preserve">to meet its </w:t>
      </w:r>
      <w:r w:rsidR="00350E95">
        <w:t xml:space="preserve">Safeguard obligations. </w:t>
      </w:r>
      <w:r w:rsidR="005D291F">
        <w:t>The aim is</w:t>
      </w:r>
      <w:r w:rsidR="00350E95">
        <w:t xml:space="preserve"> to design policy in a way that shares </w:t>
      </w:r>
      <w:r w:rsidR="00105BD3">
        <w:t>these</w:t>
      </w:r>
      <w:r w:rsidR="00350E95">
        <w:t xml:space="preserve"> </w:t>
      </w:r>
      <w:r w:rsidR="007C6413">
        <w:t xml:space="preserve">impacts </w:t>
      </w:r>
      <w:r w:rsidR="005D291F">
        <w:t>equitably</w:t>
      </w:r>
      <w:r w:rsidR="00350E95">
        <w:t xml:space="preserve">. </w:t>
      </w:r>
      <w:r w:rsidR="00B30EBB">
        <w:t xml:space="preserve">This </w:t>
      </w:r>
      <w:r w:rsidR="004842A5">
        <w:t>section</w:t>
      </w:r>
      <w:r w:rsidR="00B30EBB">
        <w:t xml:space="preserve"> considers the</w:t>
      </w:r>
      <w:r w:rsidR="00350E95">
        <w:t xml:space="preserve"> </w:t>
      </w:r>
      <w:r w:rsidR="00B30EBB">
        <w:t>following</w:t>
      </w:r>
      <w:r w:rsidR="003E7E29">
        <w:t xml:space="preserve"> baseline setting issues</w:t>
      </w:r>
      <w:r w:rsidR="00350E95">
        <w:t xml:space="preserve">: </w:t>
      </w:r>
    </w:p>
    <w:p w14:paraId="6A2EDCEA" w14:textId="77777777" w:rsidR="000A190B" w:rsidRDefault="003608BD" w:rsidP="0059378F">
      <w:pPr>
        <w:pStyle w:val="ListParagraph"/>
        <w:keepNext/>
        <w:numPr>
          <w:ilvl w:val="0"/>
          <w:numId w:val="3"/>
        </w:numPr>
        <w:spacing w:after="100"/>
        <w:ind w:left="425" w:hanging="425"/>
        <w:contextualSpacing w:val="0"/>
      </w:pPr>
      <w:r>
        <w:t>overarching</w:t>
      </w:r>
      <w:r w:rsidR="000A190B">
        <w:t xml:space="preserve"> framework; </w:t>
      </w:r>
    </w:p>
    <w:p w14:paraId="22DDF68B" w14:textId="77777777" w:rsidR="00350E95" w:rsidRPr="00F73F73" w:rsidRDefault="00F73F73" w:rsidP="0059378F">
      <w:pPr>
        <w:pStyle w:val="ListParagraph"/>
        <w:numPr>
          <w:ilvl w:val="0"/>
          <w:numId w:val="3"/>
        </w:numPr>
        <w:spacing w:after="100"/>
        <w:ind w:left="425" w:hanging="425"/>
        <w:contextualSpacing w:val="0"/>
      </w:pPr>
      <w:r w:rsidRPr="00F73F73">
        <w:t>setting baselines for existing facilities</w:t>
      </w:r>
      <w:r w:rsidR="00B30EBB" w:rsidRPr="00F73F73">
        <w:t>; and</w:t>
      </w:r>
    </w:p>
    <w:p w14:paraId="3847FDCD" w14:textId="77777777" w:rsidR="00B30EBB" w:rsidRPr="00F73F73" w:rsidRDefault="00F73F73" w:rsidP="0059378F">
      <w:pPr>
        <w:pStyle w:val="ListParagraph"/>
        <w:numPr>
          <w:ilvl w:val="0"/>
          <w:numId w:val="3"/>
        </w:numPr>
        <w:spacing w:after="100"/>
        <w:ind w:left="425" w:hanging="425"/>
        <w:contextualSpacing w:val="0"/>
      </w:pPr>
      <w:r w:rsidRPr="00F73F73">
        <w:t>setting</w:t>
      </w:r>
      <w:r w:rsidR="00003898" w:rsidRPr="00F73F73">
        <w:t xml:space="preserve"> </w:t>
      </w:r>
      <w:r w:rsidR="00B30EBB" w:rsidRPr="00F73F73">
        <w:t>baselines for new facilities.</w:t>
      </w:r>
    </w:p>
    <w:p w14:paraId="3CE06A01" w14:textId="77777777" w:rsidR="000A190B" w:rsidRPr="005426A7" w:rsidRDefault="00FD0CC0" w:rsidP="00D15216">
      <w:pPr>
        <w:pStyle w:val="Heading2"/>
      </w:pPr>
      <w:bookmarkStart w:id="412" w:name="_Toc109645628"/>
      <w:bookmarkStart w:id="413" w:name="_Toc109653337"/>
      <w:bookmarkStart w:id="414" w:name="_Toc109659384"/>
      <w:bookmarkStart w:id="415" w:name="_Toc109717164"/>
      <w:bookmarkStart w:id="416" w:name="_Toc109742672"/>
      <w:bookmarkStart w:id="417" w:name="_Toc109746056"/>
      <w:bookmarkStart w:id="418" w:name="_Toc109747120"/>
      <w:bookmarkStart w:id="419" w:name="_Toc109818496"/>
      <w:bookmarkStart w:id="420" w:name="_Toc110524022"/>
      <w:bookmarkStart w:id="421" w:name="_Toc110545550"/>
      <w:bookmarkStart w:id="422" w:name="_Toc110593192"/>
      <w:bookmarkStart w:id="423" w:name="_Toc110590733"/>
      <w:bookmarkStart w:id="424" w:name="_Toc110590788"/>
      <w:bookmarkStart w:id="425" w:name="_Toc110851745"/>
      <w:bookmarkStart w:id="426" w:name="_Toc111042136"/>
      <w:bookmarkStart w:id="427" w:name="_Toc117176809"/>
      <w:bookmarkStart w:id="428" w:name="_Toc117255412"/>
      <w:bookmarkStart w:id="429" w:name="_Toc117263153"/>
      <w:bookmarkStart w:id="430" w:name="_Toc117437234"/>
      <w:bookmarkStart w:id="431" w:name="_Toc117499182"/>
      <w:bookmarkStart w:id="432" w:name="_Toc117521029"/>
      <w:bookmarkStart w:id="433" w:name="_Toc117524776"/>
      <w:bookmarkStart w:id="434" w:name="_Toc117543967"/>
      <w:bookmarkStart w:id="435" w:name="_Toc117548318"/>
      <w:bookmarkStart w:id="436" w:name="_Toc117588636"/>
      <w:bookmarkStart w:id="437" w:name="_Toc117588680"/>
      <w:bookmarkStart w:id="438" w:name="_Toc117604798"/>
      <w:bookmarkStart w:id="439" w:name="_Toc117612880"/>
      <w:bookmarkStart w:id="440" w:name="_Toc117627718"/>
      <w:bookmarkStart w:id="441" w:name="_Toc117630383"/>
      <w:bookmarkStart w:id="442" w:name="_Toc117867990"/>
      <w:bookmarkStart w:id="443" w:name="_Toc117888004"/>
      <w:bookmarkStart w:id="444" w:name="_Toc117951448"/>
      <w:bookmarkStart w:id="445" w:name="_Toc117960095"/>
      <w:bookmarkStart w:id="446" w:name="_Toc118040356"/>
      <w:bookmarkStart w:id="447" w:name="_Toc118196208"/>
      <w:bookmarkStart w:id="448" w:name="_Toc118198377"/>
      <w:bookmarkStart w:id="449" w:name="_Toc118198792"/>
      <w:bookmarkStart w:id="450" w:name="_Toc118198983"/>
      <w:bookmarkStart w:id="451" w:name="_Toc118199537"/>
      <w:bookmarkStart w:id="452" w:name="_Toc118304109"/>
      <w:bookmarkStart w:id="453" w:name="_Toc118304140"/>
      <w:bookmarkStart w:id="454" w:name="_Toc118306342"/>
      <w:bookmarkStart w:id="455" w:name="_Toc118308334"/>
      <w:bookmarkStart w:id="456" w:name="_Toc119500905"/>
      <w:bookmarkStart w:id="457" w:name="_Toc119572360"/>
      <w:bookmarkStart w:id="458" w:name="_Toc120098955"/>
      <w:bookmarkStart w:id="459" w:name="_Toc122514435"/>
      <w:bookmarkStart w:id="460" w:name="_Toc124100685"/>
      <w:r>
        <w:t>Overarching</w:t>
      </w:r>
      <w:r w:rsidR="00F73F73" w:rsidRPr="005426A7">
        <w:t xml:space="preserve"> framework</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084F7B9D" w14:textId="77777777" w:rsidR="00E8489E" w:rsidRDefault="00E8489E" w:rsidP="007B661A">
      <w:pPr>
        <w:keepNext/>
      </w:pPr>
      <w:r>
        <w:t>The Government consulted on a fixed (absolute) or production-adjusted (intensity) baseline setting framework.</w:t>
      </w:r>
    </w:p>
    <w:p w14:paraId="6C45E1F1" w14:textId="77777777" w:rsidR="008F6BF0" w:rsidRDefault="008F6BF0" w:rsidP="0059378F">
      <w:pPr>
        <w:pStyle w:val="ListParagraph"/>
        <w:numPr>
          <w:ilvl w:val="0"/>
          <w:numId w:val="3"/>
        </w:numPr>
        <w:ind w:left="425" w:hanging="425"/>
        <w:contextualSpacing w:val="0"/>
      </w:pPr>
      <w:r w:rsidRPr="000A190B">
        <w:rPr>
          <w:b/>
        </w:rPr>
        <w:t xml:space="preserve">Fixed </w:t>
      </w:r>
      <w:r w:rsidRPr="000A190B">
        <w:t xml:space="preserve">(absolute) </w:t>
      </w:r>
      <w:r>
        <w:t xml:space="preserve">baselines place an absolute limit on covered emissions. They can be met by reducing output and/or improving emissions-intensity. </w:t>
      </w:r>
    </w:p>
    <w:p w14:paraId="4FF9C553" w14:textId="77777777" w:rsidR="008F6BF0" w:rsidRDefault="008F6BF0" w:rsidP="0059378F">
      <w:pPr>
        <w:pStyle w:val="ListParagraph"/>
        <w:numPr>
          <w:ilvl w:val="0"/>
          <w:numId w:val="3"/>
        </w:numPr>
        <w:ind w:left="425" w:hanging="425"/>
        <w:contextualSpacing w:val="0"/>
      </w:pPr>
      <w:r w:rsidRPr="000A190B">
        <w:rPr>
          <w:b/>
        </w:rPr>
        <w:t>Production-adjusted</w:t>
      </w:r>
      <w:r>
        <w:t xml:space="preserve"> (intensity) baselines rise and fall annually with production. They can only be met by improving the emissions-intensity of production.</w:t>
      </w:r>
    </w:p>
    <w:p w14:paraId="3C13D4D9" w14:textId="77777777" w:rsidR="003608BD" w:rsidRPr="003608BD" w:rsidRDefault="007B661A" w:rsidP="003608BD">
      <w:r>
        <w:t xml:space="preserve">Consultation revealed </w:t>
      </w:r>
      <w:r w:rsidR="003608BD">
        <w:t>widespread</w:t>
      </w:r>
      <w:r>
        <w:t xml:space="preserve"> support for retaining the production</w:t>
      </w:r>
      <w:r w:rsidR="008F6BF0">
        <w:t>-</w:t>
      </w:r>
      <w:r>
        <w:t>adjusted framework. It helps to</w:t>
      </w:r>
      <w:r w:rsidR="003608BD">
        <w:t xml:space="preserve"> decouple emissions from growth</w:t>
      </w:r>
      <w:r w:rsidR="008F6BF0">
        <w:t>, supporting business competitiveness</w:t>
      </w:r>
      <w:r w:rsidR="003608BD">
        <w:t xml:space="preserve"> and grow</w:t>
      </w:r>
      <w:r w:rsidR="008F6BF0">
        <w:t>ing</w:t>
      </w:r>
      <w:r w:rsidR="003608BD">
        <w:t xml:space="preserve"> jobs as the world continues to decarbonise.</w:t>
      </w:r>
    </w:p>
    <w:p w14:paraId="5FD95E8C" w14:textId="77777777" w:rsidR="008F6BF0" w:rsidRDefault="008F6BF0" w:rsidP="008F6BF0">
      <w:pPr>
        <w:pStyle w:val="Quote"/>
      </w:pPr>
      <w:r w:rsidRPr="00FD0CC0">
        <w:lastRenderedPageBreak/>
        <w:t>Recognising that the quantum of emissions reduction for the Safeguard Mechanism sector will remain constant, AIGN members have indicated a preference for production-adjusted baselines to decouple emissions from economic growth.</w:t>
      </w:r>
    </w:p>
    <w:p w14:paraId="310D1945" w14:textId="77777777" w:rsidR="0035084D" w:rsidRPr="00FF5A00" w:rsidRDefault="0035084D" w:rsidP="0035084D">
      <w:pPr>
        <w:pStyle w:val="IntenseQuote"/>
      </w:pPr>
      <w:r w:rsidRPr="00FF5A00">
        <w:t>Australian Industry Greenhouse Network</w:t>
      </w:r>
    </w:p>
    <w:p w14:paraId="5E8F41EF" w14:textId="77777777" w:rsidR="008E4449" w:rsidRDefault="008E4449" w:rsidP="008E4449">
      <w:pPr>
        <w:pStyle w:val="Quote"/>
      </w:pPr>
      <w:r>
        <w:t>As Australia rapidly moves toward becoming a renewable export superpower, WWF-Australia would like to see facilities reduce their emissions intensity of production to net-zero. Therefore, building on the production adjusted (intensity) baseline setting framework would be preferred.</w:t>
      </w:r>
    </w:p>
    <w:p w14:paraId="38E14DCF" w14:textId="77777777" w:rsidR="008E4449" w:rsidRDefault="008E4449" w:rsidP="008E4449">
      <w:pPr>
        <w:pStyle w:val="IntenseQuote"/>
      </w:pPr>
      <w:r w:rsidRPr="008E4449">
        <w:t>World Wide Fund for Nature-Australia</w:t>
      </w:r>
      <w:r>
        <w:t xml:space="preserve"> (WWF-Australia)</w:t>
      </w:r>
      <w:r w:rsidRPr="008E4449">
        <w:t xml:space="preserve"> </w:t>
      </w:r>
    </w:p>
    <w:p w14:paraId="11F992B3" w14:textId="25A7C7EB" w:rsidR="003608BD" w:rsidRPr="003608BD" w:rsidRDefault="008F6BF0" w:rsidP="003608BD">
      <w:r>
        <w:t>A production-adjusted framework</w:t>
      </w:r>
      <w:r w:rsidR="003608BD">
        <w:t xml:space="preserve"> also helps to protect against carbon leakage as baselines cannot be met through reduced production. Instead, effort is tightly focussed on improving the emissions intensity of production, so there is a reduced</w:t>
      </w:r>
      <w:r w:rsidR="003608BD" w:rsidDel="0005505B">
        <w:t xml:space="preserve"> </w:t>
      </w:r>
      <w:r w:rsidR="003608BD">
        <w:t xml:space="preserve">risk of businesses moving production offshore. </w:t>
      </w:r>
    </w:p>
    <w:p w14:paraId="0DDA32E6" w14:textId="77777777" w:rsidR="002B6A69" w:rsidRDefault="002B6A69" w:rsidP="002B6A69">
      <w:pPr>
        <w:pStyle w:val="Quote"/>
      </w:pPr>
      <w:r>
        <w:t>BHP prefers an intensity approach for reasons that are articulated in the Consultation Paper (i.e., it does not penalise business output, has a lower impact on production costs and consumer prices, and is less likely to incentivise carbon leakage).</w:t>
      </w:r>
    </w:p>
    <w:p w14:paraId="06DF5376" w14:textId="77777777" w:rsidR="002B6A69" w:rsidRDefault="002B6A69" w:rsidP="002B6A69">
      <w:pPr>
        <w:pStyle w:val="IntenseQuote"/>
      </w:pPr>
      <w:r>
        <w:t>BHP</w:t>
      </w:r>
    </w:p>
    <w:p w14:paraId="4091884B" w14:textId="77777777" w:rsidR="002B6A69" w:rsidRDefault="002B6A69" w:rsidP="002B6A69">
      <w:pPr>
        <w:pStyle w:val="Quote"/>
      </w:pPr>
      <w:r>
        <w:t>INPEX concurs with the benefits of an intensity-based framework as outlined in the consultation paper, namely … facilities with EITE activities are not unduly encumbered by an inability to pass on increases in compliance costs that would occur in relation to growth under the absolute framework.</w:t>
      </w:r>
    </w:p>
    <w:p w14:paraId="2A268874" w14:textId="77777777" w:rsidR="002B6A69" w:rsidRPr="002B6A69" w:rsidRDefault="002B6A69" w:rsidP="002B6A69">
      <w:pPr>
        <w:pStyle w:val="IntenseQuote"/>
      </w:pPr>
      <w:r>
        <w:t>INPEX</w:t>
      </w:r>
    </w:p>
    <w:p w14:paraId="234D9080" w14:textId="50345AE5" w:rsidR="007B661A" w:rsidRDefault="00C938D1" w:rsidP="007B661A">
      <w:pPr>
        <w:keepNext/>
      </w:pPr>
      <w:r>
        <w:t>Some</w:t>
      </w:r>
      <w:r w:rsidR="007B661A">
        <w:t xml:space="preserve"> commentators preferred a fixed approach, because it places an absolute cap on emissions, delivering greater certainty around meeting the target. </w:t>
      </w:r>
    </w:p>
    <w:p w14:paraId="71AD477A" w14:textId="430162AD" w:rsidR="008E4449" w:rsidRDefault="008E4449" w:rsidP="008E4449">
      <w:pPr>
        <w:pStyle w:val="Quote"/>
      </w:pPr>
      <w:r>
        <w:t>Fixed baselines will provide more certainty for meeting the 2030 target, because they cannot fluctuate with production. We note the Government’s concerns about constraining growth via fixed baselines if facilities choose to forego increasing production in order to avoid breaching a baseline. Yet, the fundamental objective of the policy is to constrain growth of high-emission activities and support growth of low-emitting activities.</w:t>
      </w:r>
    </w:p>
    <w:p w14:paraId="1F9C1061" w14:textId="760334C8" w:rsidR="008E4449" w:rsidRPr="008E4449" w:rsidRDefault="008E4449" w:rsidP="008E4449">
      <w:pPr>
        <w:pStyle w:val="IntenseQuote"/>
      </w:pPr>
      <w:r>
        <w:t>Grattan Institute</w:t>
      </w:r>
    </w:p>
    <w:p w14:paraId="412D12DC" w14:textId="77777777" w:rsidR="00135EF9" w:rsidRDefault="00557794" w:rsidP="00E57CEF">
      <w:pPr>
        <w:keepLines/>
      </w:pPr>
      <w:r>
        <w:t xml:space="preserve">The Government acknowledges </w:t>
      </w:r>
      <w:r w:rsidR="00FC1F07">
        <w:t>arguments in favour of</w:t>
      </w:r>
      <w:r>
        <w:t xml:space="preserve"> fixed baselines. However, </w:t>
      </w:r>
      <w:r w:rsidR="003A686E">
        <w:t>aggregate baselines determine the emissions constraint and either framework can be ca</w:t>
      </w:r>
      <w:r>
        <w:t>librated to meet a given target</w:t>
      </w:r>
      <w:r w:rsidR="0000462A">
        <w:t xml:space="preserve">. The Government prefers </w:t>
      </w:r>
      <w:r w:rsidR="00C938D1">
        <w:t>an approach that supports economic growth while delivering emissions reductions.</w:t>
      </w:r>
      <w:r w:rsidR="003A686E">
        <w:t xml:space="preserve"> </w:t>
      </w:r>
    </w:p>
    <w:p w14:paraId="79394F8B" w14:textId="77777777" w:rsidR="00135EF9" w:rsidRDefault="00135EF9" w:rsidP="009C4A88">
      <w:pPr>
        <w:keepNext/>
      </w:pPr>
      <w:r>
        <w:lastRenderedPageBreak/>
        <w:t>Some feedback favoured retaining the ability for a facility to choose a production-adjusting baseline or a fixed baseline.</w:t>
      </w:r>
    </w:p>
    <w:p w14:paraId="26AD8E98" w14:textId="77777777" w:rsidR="00135EF9" w:rsidRDefault="00135EF9" w:rsidP="00135EF9">
      <w:pPr>
        <w:pStyle w:val="Quote"/>
      </w:pPr>
      <w:r w:rsidRPr="00135EF9">
        <w:t xml:space="preserve">Given the range of different facilities covered by the SGM, it is difficult to establish a single approach that treats all facilities equitably. The SGM design should be flexible enough to cater for the characteristics of individual </w:t>
      </w:r>
      <w:r w:rsidR="00470C57">
        <w:t>facilities</w:t>
      </w:r>
      <w:r w:rsidRPr="00135EF9">
        <w:t xml:space="preserve"> and they shoul</w:t>
      </w:r>
      <w:r>
        <w:t>d</w:t>
      </w:r>
      <w:r w:rsidRPr="00135EF9">
        <w:t xml:space="preserve"> be permitted to elect, based on their specific cir</w:t>
      </w:r>
      <w:r w:rsidR="00470C57">
        <w:t>c</w:t>
      </w:r>
      <w:r w:rsidRPr="00135EF9">
        <w:t>umstances, to have either a fixed baseline or a production-adjusted baseline.</w:t>
      </w:r>
    </w:p>
    <w:p w14:paraId="6B4423E0" w14:textId="77777777" w:rsidR="00135EF9" w:rsidRPr="00135EF9" w:rsidRDefault="00135EF9" w:rsidP="00135EF9">
      <w:pPr>
        <w:pStyle w:val="IntenseQuote"/>
      </w:pPr>
      <w:r>
        <w:t>Glencore</w:t>
      </w:r>
    </w:p>
    <w:p w14:paraId="30212D3B" w14:textId="77777777" w:rsidR="00135EF9" w:rsidRDefault="00AE6AC3" w:rsidP="009C4A88">
      <w:pPr>
        <w:keepNext/>
      </w:pPr>
      <w:r>
        <w:t xml:space="preserve">Allowing optionality would mean businesses with falling output would choose fixed baselines and </w:t>
      </w:r>
      <w:r w:rsidR="00D276E7">
        <w:t>receive credits</w:t>
      </w:r>
      <w:r>
        <w:t xml:space="preserve"> for reducing production, while growing businesses would choose production-adjusted baselines which would increase over time. The credits would not be balanced by demand and overall baseline decline rates would need to be higher than under other models. This would shift costs to growing businesses.  </w:t>
      </w:r>
    </w:p>
    <w:p w14:paraId="03D0F6CC" w14:textId="77777777" w:rsidR="009C4A88" w:rsidRDefault="009C4A88" w:rsidP="009C4A88">
      <w:pPr>
        <w:keepNext/>
      </w:pPr>
      <w:r>
        <w:t xml:space="preserve">The Government proposes to retain the existing production-adjusted (intensity) framework, noting the need to ensure </w:t>
      </w:r>
      <w:r w:rsidR="007F227D">
        <w:t xml:space="preserve">the 2030 target </w:t>
      </w:r>
      <w:r w:rsidR="00D50A39">
        <w:t xml:space="preserve">and Safeguard emissions budget </w:t>
      </w:r>
      <w:r w:rsidR="007F227D">
        <w:t xml:space="preserve">can be reliably </w:t>
      </w:r>
      <w:r>
        <w:t xml:space="preserve">met. This will be achieved </w:t>
      </w:r>
      <w:r w:rsidR="00470C57">
        <w:t>by</w:t>
      </w:r>
      <w:r w:rsidR="00A534F5">
        <w:t xml:space="preserve"> build</w:t>
      </w:r>
      <w:r w:rsidR="00D50A39">
        <w:t>ing</w:t>
      </w:r>
      <w:r w:rsidR="00A534F5">
        <w:t xml:space="preserve"> a</w:t>
      </w:r>
      <w:r w:rsidR="00D50A39">
        <w:t xml:space="preserve"> </w:t>
      </w:r>
      <w:r w:rsidR="00A534F5">
        <w:t>‘reserve’ into decline rate calculations</w:t>
      </w:r>
      <w:r>
        <w:t xml:space="preserve">. The reserve will </w:t>
      </w:r>
      <w:r w:rsidR="007F227D">
        <w:t xml:space="preserve">have the effect of </w:t>
      </w:r>
      <w:r>
        <w:t>‘hold</w:t>
      </w:r>
      <w:r w:rsidR="007F227D">
        <w:t>ing</w:t>
      </w:r>
      <w:r>
        <w:t xml:space="preserve"> back’ some of the emissions budget to take account of</w:t>
      </w:r>
      <w:r w:rsidR="00D50A39">
        <w:t xml:space="preserve"> uncertainty </w:t>
      </w:r>
      <w:r w:rsidR="00462268">
        <w:t>about</w:t>
      </w:r>
      <w:r>
        <w:t>:</w:t>
      </w:r>
    </w:p>
    <w:p w14:paraId="029892BB" w14:textId="77777777" w:rsidR="009C4A88" w:rsidRDefault="009C4A88" w:rsidP="0059378F">
      <w:pPr>
        <w:pStyle w:val="ListParagraph"/>
        <w:keepNext/>
        <w:numPr>
          <w:ilvl w:val="0"/>
          <w:numId w:val="15"/>
        </w:numPr>
        <w:ind w:left="425" w:hanging="357"/>
        <w:contextualSpacing w:val="0"/>
      </w:pPr>
      <w:r>
        <w:t xml:space="preserve">the volume of baselines </w:t>
      </w:r>
      <w:r w:rsidR="0000462A">
        <w:t xml:space="preserve">for </w:t>
      </w:r>
      <w:r>
        <w:t xml:space="preserve">new facilities </w:t>
      </w:r>
      <w:r w:rsidR="0000462A">
        <w:t xml:space="preserve">that </w:t>
      </w:r>
      <w:r w:rsidR="007F227D">
        <w:t>come</w:t>
      </w:r>
      <w:r>
        <w:t xml:space="preserve"> on-line</w:t>
      </w:r>
      <w:r w:rsidR="007F227D">
        <w:t xml:space="preserve"> before 2030</w:t>
      </w:r>
      <w:r w:rsidR="00FB3916">
        <w:t>;</w:t>
      </w:r>
    </w:p>
    <w:p w14:paraId="3241C043" w14:textId="77777777" w:rsidR="00D50A39" w:rsidRDefault="007F227D" w:rsidP="0059378F">
      <w:pPr>
        <w:pStyle w:val="ListParagraph"/>
        <w:keepNext/>
        <w:numPr>
          <w:ilvl w:val="0"/>
          <w:numId w:val="15"/>
        </w:numPr>
        <w:ind w:left="425" w:hanging="357"/>
        <w:contextualSpacing w:val="0"/>
      </w:pPr>
      <w:r>
        <w:t xml:space="preserve">the possibility that </w:t>
      </w:r>
      <w:r w:rsidR="004F5D33">
        <w:t>production</w:t>
      </w:r>
      <w:r>
        <w:t xml:space="preserve"> growth is higher than expected at existing facilities</w:t>
      </w:r>
      <w:r w:rsidR="00D50A39">
        <w:t>; and</w:t>
      </w:r>
    </w:p>
    <w:p w14:paraId="1F79AA41" w14:textId="77777777" w:rsidR="009C4A88" w:rsidRDefault="00462268" w:rsidP="0059378F">
      <w:pPr>
        <w:pStyle w:val="ListParagraph"/>
        <w:keepNext/>
        <w:numPr>
          <w:ilvl w:val="0"/>
          <w:numId w:val="15"/>
        </w:numPr>
        <w:ind w:left="425" w:hanging="357"/>
        <w:contextualSpacing w:val="0"/>
      </w:pPr>
      <w:r>
        <w:t xml:space="preserve">the level of </w:t>
      </w:r>
      <w:r w:rsidR="00D50A39">
        <w:t xml:space="preserve">differential decline rates for </w:t>
      </w:r>
      <w:r>
        <w:t xml:space="preserve">emissions-intensive, trade exposed facilities </w:t>
      </w:r>
      <w:r w:rsidR="009C6D11">
        <w:t>qualify for</w:t>
      </w:r>
      <w:r>
        <w:t xml:space="preserve"> (see Section 5.2 for more details)</w:t>
      </w:r>
      <w:r w:rsidR="009C4A88">
        <w:t>.</w:t>
      </w:r>
    </w:p>
    <w:p w14:paraId="198536EA" w14:textId="77777777" w:rsidR="007F227D" w:rsidRDefault="00470C57" w:rsidP="007B661A">
      <w:pPr>
        <w:keepNext/>
      </w:pPr>
      <w:r>
        <w:t xml:space="preserve">The reserve will apply equally to all Safeguard Mechanism facilities. </w:t>
      </w:r>
      <w:r w:rsidR="007F227D">
        <w:t>The level of the reserve and baseline decline rates are discussed in detail in section 6.</w:t>
      </w:r>
    </w:p>
    <w:p w14:paraId="2698646F" w14:textId="30AD3F5D" w:rsidR="0058684C" w:rsidRDefault="00FD0CC0" w:rsidP="00FF5D77">
      <w:pPr>
        <w:pStyle w:val="Calloutbox"/>
      </w:pPr>
      <w:r>
        <w:t>The</w:t>
      </w:r>
      <w:r w:rsidR="00472ECF">
        <w:t xml:space="preserve"> existing production-adjusted (intensity) baseline setting framework</w:t>
      </w:r>
      <w:r w:rsidR="00A43CEF">
        <w:t xml:space="preserve"> w</w:t>
      </w:r>
      <w:r w:rsidR="00156E49">
        <w:t>ould</w:t>
      </w:r>
      <w:r w:rsidR="00A43CEF">
        <w:t xml:space="preserve"> be retained</w:t>
      </w:r>
      <w:r w:rsidR="0058684C">
        <w:t xml:space="preserve">. </w:t>
      </w:r>
    </w:p>
    <w:p w14:paraId="3F51BD5B" w14:textId="40349821" w:rsidR="00472ECF" w:rsidRDefault="00897C66" w:rsidP="00FF5D77">
      <w:pPr>
        <w:pStyle w:val="Calloutbox"/>
      </w:pPr>
      <w:r>
        <w:t>A</w:t>
      </w:r>
      <w:r w:rsidR="00A534F5">
        <w:t xml:space="preserve"> reserve</w:t>
      </w:r>
      <w:r w:rsidR="00470C57">
        <w:t xml:space="preserve"> </w:t>
      </w:r>
      <w:r w:rsidR="00657FE3">
        <w:t xml:space="preserve">would </w:t>
      </w:r>
      <w:r w:rsidR="00A43CEF">
        <w:t>be built</w:t>
      </w:r>
      <w:r w:rsidR="00470C57">
        <w:t xml:space="preserve"> into baseline decline rate calculations</w:t>
      </w:r>
      <w:r w:rsidR="00A534F5">
        <w:t xml:space="preserve"> to </w:t>
      </w:r>
      <w:r w:rsidR="00052337">
        <w:t xml:space="preserve">help </w:t>
      </w:r>
      <w:r>
        <w:t xml:space="preserve">ensure the 2030 target is met. The reserve </w:t>
      </w:r>
      <w:r w:rsidR="00657FE3">
        <w:t xml:space="preserve">would </w:t>
      </w:r>
      <w:r>
        <w:t xml:space="preserve">hold </w:t>
      </w:r>
      <w:r w:rsidR="009A49F2">
        <w:t>account for</w:t>
      </w:r>
      <w:r w:rsidR="009C6D11">
        <w:t xml:space="preserve"> </w:t>
      </w:r>
      <w:r w:rsidR="00A534F5">
        <w:t>higher</w:t>
      </w:r>
      <w:r>
        <w:noBreakHyphen/>
      </w:r>
      <w:r w:rsidR="00A534F5">
        <w:t>than</w:t>
      </w:r>
      <w:r>
        <w:noBreakHyphen/>
      </w:r>
      <w:r w:rsidR="00A534F5">
        <w:t xml:space="preserve">expected </w:t>
      </w:r>
      <w:r w:rsidR="00A43CEF">
        <w:t>production</w:t>
      </w:r>
      <w:r w:rsidR="00A534F5">
        <w:t xml:space="preserve"> growth</w:t>
      </w:r>
      <w:r w:rsidR="009A49F2">
        <w:t xml:space="preserve"> at new and existing facilities,</w:t>
      </w:r>
      <w:r w:rsidR="009C6D11">
        <w:t xml:space="preserve"> and trade exposed baseline adjustments</w:t>
      </w:r>
      <w:r w:rsidR="00FD0CC0">
        <w:t>.</w:t>
      </w:r>
    </w:p>
    <w:p w14:paraId="3DDA2D64" w14:textId="77777777" w:rsidR="006F5649" w:rsidRPr="00CB08FF" w:rsidRDefault="006F5649" w:rsidP="00740BF4">
      <w:pPr>
        <w:pStyle w:val="Heading2"/>
      </w:pPr>
      <w:bookmarkStart w:id="461" w:name="_Toc110524990"/>
      <w:bookmarkStart w:id="462" w:name="_Toc110526259"/>
      <w:bookmarkStart w:id="463" w:name="_Toc111042138"/>
      <w:bookmarkStart w:id="464" w:name="_Toc117176810"/>
      <w:bookmarkStart w:id="465" w:name="_Toc117255413"/>
      <w:bookmarkStart w:id="466" w:name="_Toc117263154"/>
      <w:bookmarkStart w:id="467" w:name="_Toc117437235"/>
      <w:bookmarkStart w:id="468" w:name="_Toc117499183"/>
      <w:bookmarkStart w:id="469" w:name="_Toc117521030"/>
      <w:bookmarkStart w:id="470" w:name="_Toc117524777"/>
      <w:bookmarkStart w:id="471" w:name="_Toc117543968"/>
      <w:bookmarkStart w:id="472" w:name="_Toc117548319"/>
      <w:bookmarkStart w:id="473" w:name="_Toc117588637"/>
      <w:bookmarkStart w:id="474" w:name="_Toc117588681"/>
      <w:bookmarkStart w:id="475" w:name="_Toc117604799"/>
      <w:bookmarkStart w:id="476" w:name="_Toc117612881"/>
      <w:bookmarkStart w:id="477" w:name="_Toc117627719"/>
      <w:bookmarkStart w:id="478" w:name="_Toc117630384"/>
      <w:bookmarkStart w:id="479" w:name="_Toc117867991"/>
      <w:bookmarkStart w:id="480" w:name="_Toc117888005"/>
      <w:bookmarkStart w:id="481" w:name="_Toc117951449"/>
      <w:bookmarkStart w:id="482" w:name="_Toc117960096"/>
      <w:bookmarkStart w:id="483" w:name="_Toc118040357"/>
      <w:bookmarkStart w:id="484" w:name="_Toc118196209"/>
      <w:bookmarkStart w:id="485" w:name="_Toc118198378"/>
      <w:bookmarkStart w:id="486" w:name="_Toc118198793"/>
      <w:bookmarkStart w:id="487" w:name="_Toc118198984"/>
      <w:bookmarkStart w:id="488" w:name="_Toc118199538"/>
      <w:bookmarkStart w:id="489" w:name="_Toc118304110"/>
      <w:bookmarkStart w:id="490" w:name="_Toc118304141"/>
      <w:bookmarkStart w:id="491" w:name="_Toc118306343"/>
      <w:bookmarkStart w:id="492" w:name="_Toc118308335"/>
      <w:bookmarkStart w:id="493" w:name="_Toc119500906"/>
      <w:bookmarkStart w:id="494" w:name="_Toc119572361"/>
      <w:bookmarkStart w:id="495" w:name="_Toc120098956"/>
      <w:bookmarkStart w:id="496" w:name="_Toc122514436"/>
      <w:bookmarkStart w:id="497" w:name="_Toc124100686"/>
      <w:bookmarkStart w:id="498" w:name="_Toc109645630"/>
      <w:bookmarkStart w:id="499" w:name="_Toc109653339"/>
      <w:bookmarkStart w:id="500" w:name="_Toc109659386"/>
      <w:bookmarkStart w:id="501" w:name="_Toc109717166"/>
      <w:bookmarkStart w:id="502" w:name="_Toc109742674"/>
      <w:bookmarkStart w:id="503" w:name="_Toc109746058"/>
      <w:bookmarkStart w:id="504" w:name="_Toc109747122"/>
      <w:bookmarkStart w:id="505" w:name="_Toc109818498"/>
      <w:bookmarkStart w:id="506" w:name="_Toc110524024"/>
      <w:bookmarkStart w:id="507" w:name="_Toc110545552"/>
      <w:bookmarkStart w:id="508" w:name="_Toc110590735"/>
      <w:bookmarkStart w:id="509" w:name="_Toc110590790"/>
      <w:bookmarkStart w:id="510" w:name="_Toc110593194"/>
      <w:bookmarkStart w:id="511" w:name="_Toc110851747"/>
      <w:r>
        <w:t>Setting baselines for existing facilities</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14:paraId="760C2D4A" w14:textId="77777777" w:rsidR="007B661A" w:rsidRDefault="007B661A" w:rsidP="00076141">
      <w:r>
        <w:t xml:space="preserve">The Government consulted on two approaches for setting baselines for existing </w:t>
      </w:r>
      <w:r w:rsidR="00571C6D">
        <w:t>facilities</w:t>
      </w:r>
      <w:r>
        <w:t xml:space="preserve"> that remove </w:t>
      </w:r>
      <w:r w:rsidR="00EA10E7">
        <w:t xml:space="preserve">aggregate </w:t>
      </w:r>
      <w:r>
        <w:t>headroom</w:t>
      </w:r>
      <w:r w:rsidR="0008108C">
        <w:rPr>
          <w:rStyle w:val="FootnoteReference"/>
        </w:rPr>
        <w:footnoteReference w:id="16"/>
      </w:r>
      <w:r>
        <w:t xml:space="preserve"> and allow crediting</w:t>
      </w:r>
      <w:r w:rsidR="00B74293">
        <w:t xml:space="preserve"> and trading</w:t>
      </w:r>
      <w:r>
        <w:t xml:space="preserve"> to commence</w:t>
      </w:r>
      <w:r w:rsidR="00F96046">
        <w:t xml:space="preserve">, noting that hybrid options that remove </w:t>
      </w:r>
      <w:r w:rsidR="00EA10E7">
        <w:t>aggregate</w:t>
      </w:r>
      <w:r w:rsidR="00F96046">
        <w:t xml:space="preserve"> headroom would also be considered</w:t>
      </w:r>
      <w:r>
        <w:t xml:space="preserve">. </w:t>
      </w:r>
    </w:p>
    <w:p w14:paraId="4C327987" w14:textId="77777777" w:rsidR="00076141" w:rsidRPr="00037B40" w:rsidRDefault="00076141" w:rsidP="00076141">
      <w:pPr>
        <w:pStyle w:val="ListParagraph"/>
        <w:numPr>
          <w:ilvl w:val="0"/>
          <w:numId w:val="2"/>
        </w:numPr>
        <w:ind w:left="425" w:hanging="425"/>
        <w:contextualSpacing w:val="0"/>
        <w:rPr>
          <w:bCs/>
        </w:rPr>
      </w:pPr>
      <w:r>
        <w:rPr>
          <w:b/>
          <w:bCs/>
        </w:rPr>
        <w:t>Option 1: all baselines are set using benchmark (industry average) emissions-intensity values</w:t>
      </w:r>
      <w:r w:rsidR="009F0728" w:rsidRPr="00D17B42">
        <w:rPr>
          <w:bCs/>
        </w:rPr>
        <w:t>—</w:t>
      </w:r>
      <w:r>
        <w:rPr>
          <w:bCs/>
        </w:rPr>
        <w:t xml:space="preserve">they hold all facilities making the same product to the same standard and make the least emissions-intensive producers relatively better off. </w:t>
      </w:r>
    </w:p>
    <w:p w14:paraId="476CFD72" w14:textId="77777777" w:rsidR="00076141" w:rsidRDefault="00076141" w:rsidP="00076141">
      <w:pPr>
        <w:pStyle w:val="ListParagraph"/>
        <w:numPr>
          <w:ilvl w:val="0"/>
          <w:numId w:val="2"/>
        </w:numPr>
        <w:ind w:left="425" w:hanging="425"/>
        <w:contextualSpacing w:val="0"/>
        <w:rPr>
          <w:bCs/>
        </w:rPr>
      </w:pPr>
      <w:r>
        <w:rPr>
          <w:b/>
          <w:bCs/>
        </w:rPr>
        <w:t>Option 2: all baselines are set using site-specific emissions-intensity values</w:t>
      </w:r>
      <w:r w:rsidR="009F0728" w:rsidRPr="00D17B42">
        <w:rPr>
          <w:bCs/>
        </w:rPr>
        <w:t>—</w:t>
      </w:r>
      <w:r>
        <w:t>they approximate actual facility emissions levels—this is often referred to as ‘grandfathering’</w:t>
      </w:r>
      <w:r>
        <w:rPr>
          <w:bCs/>
        </w:rPr>
        <w:t>.</w:t>
      </w:r>
    </w:p>
    <w:p w14:paraId="3B43CA3E" w14:textId="77777777" w:rsidR="007B661A" w:rsidRDefault="00CD3276" w:rsidP="007B661A">
      <w:r>
        <w:lastRenderedPageBreak/>
        <w:t>Consultation revealed</w:t>
      </w:r>
      <w:r w:rsidR="007B661A">
        <w:t xml:space="preserve"> </w:t>
      </w:r>
      <w:r>
        <w:t>widespread support for removing</w:t>
      </w:r>
      <w:r w:rsidR="007B661A">
        <w:t xml:space="preserve"> headroom</w:t>
      </w:r>
      <w:r w:rsidR="00B74293">
        <w:t xml:space="preserve"> </w:t>
      </w:r>
      <w:r w:rsidR="007B661A">
        <w:t>so crediting and trading can commence</w:t>
      </w:r>
      <w:r w:rsidR="003C7F72">
        <w:t xml:space="preserve"> immediately</w:t>
      </w:r>
      <w:r w:rsidR="007B661A">
        <w:t xml:space="preserve">, </w:t>
      </w:r>
      <w:r>
        <w:t xml:space="preserve">but </w:t>
      </w:r>
      <w:r w:rsidR="007B661A">
        <w:t>divergen</w:t>
      </w:r>
      <w:r w:rsidR="003C7F72">
        <w:t>t</w:t>
      </w:r>
      <w:r w:rsidR="007B661A">
        <w:t xml:space="preserve"> views regarding the</w:t>
      </w:r>
      <w:r w:rsidR="003C7F72">
        <w:t>se</w:t>
      </w:r>
      <w:r w:rsidR="007B661A">
        <w:t xml:space="preserve"> two options. </w:t>
      </w:r>
      <w:r w:rsidR="003C6EBB">
        <w:t>Stak</w:t>
      </w:r>
      <w:r>
        <w:t>e</w:t>
      </w:r>
      <w:r w:rsidR="003C6EBB">
        <w:t>holders acknowledged that each has strengths and weaknesses</w:t>
      </w:r>
      <w:r>
        <w:t xml:space="preserve"> and an individual facility’s preference </w:t>
      </w:r>
      <w:r w:rsidR="00D17B42">
        <w:t>was</w:t>
      </w:r>
      <w:r>
        <w:t xml:space="preserve"> strongly influenced by its relative emissions-intensity. </w:t>
      </w:r>
    </w:p>
    <w:p w14:paraId="32B27F78" w14:textId="77777777" w:rsidR="003C6EBB" w:rsidRDefault="003C6EBB" w:rsidP="003C6EBB">
      <w:pPr>
        <w:pStyle w:val="Quote"/>
      </w:pPr>
      <w:r>
        <w:t>There are strengths and challenges posed by both site-specific and industry-average baselines.</w:t>
      </w:r>
    </w:p>
    <w:p w14:paraId="04D0FB5C" w14:textId="77777777" w:rsidR="0035084D" w:rsidRPr="00FF5A00" w:rsidRDefault="0035084D" w:rsidP="0035084D">
      <w:pPr>
        <w:pStyle w:val="IntenseQuote"/>
      </w:pPr>
      <w:r w:rsidRPr="00FF5A00">
        <w:t>Australian Industry Greenhouse Network</w:t>
      </w:r>
    </w:p>
    <w:p w14:paraId="6047A6F3" w14:textId="65F91CAF" w:rsidR="00E060E2" w:rsidRDefault="00F375FA" w:rsidP="007B661A">
      <w:r>
        <w:t>Some</w:t>
      </w:r>
      <w:r w:rsidR="00CD3276">
        <w:t xml:space="preserve"> </w:t>
      </w:r>
      <w:r>
        <w:t>facilities</w:t>
      </w:r>
      <w:r w:rsidR="00CD3276">
        <w:t xml:space="preserve"> </w:t>
      </w:r>
      <w:r w:rsidR="007F4A10">
        <w:t xml:space="preserve">and other stakeholders </w:t>
      </w:r>
      <w:r w:rsidR="00CD3276">
        <w:t xml:space="preserve">prefer </w:t>
      </w:r>
      <w:r w:rsidR="004A1FE8">
        <w:t>industry-</w:t>
      </w:r>
      <w:r w:rsidR="00CD3276">
        <w:t xml:space="preserve">average benchmarks (Option 1), </w:t>
      </w:r>
      <w:r w:rsidR="00E060E2">
        <w:t>because</w:t>
      </w:r>
      <w:r w:rsidR="000D4219">
        <w:t xml:space="preserve"> they</w:t>
      </w:r>
      <w:r w:rsidR="000573D6">
        <w:t xml:space="preserve"> </w:t>
      </w:r>
      <w:r w:rsidR="000D4219">
        <w:t>encourage</w:t>
      </w:r>
      <w:r w:rsidR="00E157DE">
        <w:t xml:space="preserve"> production to occur at the least</w:t>
      </w:r>
      <w:r w:rsidR="000573D6">
        <w:t xml:space="preserve"> emissions-intensive facilities;</w:t>
      </w:r>
      <w:r w:rsidR="00E157DE">
        <w:t xml:space="preserve"> </w:t>
      </w:r>
      <w:r w:rsidR="000D4219">
        <w:t>recognise</w:t>
      </w:r>
      <w:r w:rsidR="00E060E2">
        <w:t xml:space="preserve"> </w:t>
      </w:r>
      <w:r w:rsidR="00E157DE">
        <w:t>prior</w:t>
      </w:r>
      <w:r w:rsidR="00E060E2">
        <w:t xml:space="preserve"> action to reduce </w:t>
      </w:r>
      <w:r w:rsidR="00E157DE">
        <w:t>emissions or invest</w:t>
      </w:r>
      <w:r w:rsidR="00E060E2">
        <w:t xml:space="preserve"> in low emissions resources</w:t>
      </w:r>
      <w:r w:rsidR="000D4219">
        <w:t>; and hold</w:t>
      </w:r>
      <w:r w:rsidR="000573D6">
        <w:t xml:space="preserve"> all facilities</w:t>
      </w:r>
      <w:r w:rsidR="004F5D33">
        <w:t xml:space="preserve"> producing the same output</w:t>
      </w:r>
      <w:r w:rsidR="000573D6">
        <w:t xml:space="preserve"> to a common, transparent standard</w:t>
      </w:r>
      <w:r w:rsidR="00E060E2">
        <w:t xml:space="preserve">. </w:t>
      </w:r>
    </w:p>
    <w:p w14:paraId="37DCB0C3" w14:textId="77777777" w:rsidR="00632D4F" w:rsidRDefault="00632D4F" w:rsidP="003402B4">
      <w:pPr>
        <w:pStyle w:val="Quote"/>
      </w:pPr>
      <w:r>
        <w:t>… Alcoa agrees that setting all baselines to industry-average (benchmark), emission-intensity values encourages lowest emission production, is relatively simple and transparent, and creates an even playing field between existing facilities and new entrants.</w:t>
      </w:r>
    </w:p>
    <w:p w14:paraId="287605AE" w14:textId="77777777" w:rsidR="00632D4F" w:rsidRDefault="00632D4F" w:rsidP="00632D4F">
      <w:pPr>
        <w:pStyle w:val="IntenseQuote"/>
      </w:pPr>
      <w:r>
        <w:t>ALCOA</w:t>
      </w:r>
    </w:p>
    <w:p w14:paraId="52C499B5" w14:textId="77777777" w:rsidR="00E060E2" w:rsidRPr="002003E7" w:rsidRDefault="00E060E2" w:rsidP="003402B4">
      <w:pPr>
        <w:pStyle w:val="Quote"/>
      </w:pPr>
      <w:r w:rsidRPr="002003E7">
        <w:t>Industry average (intensity) benchmarks should also be applied to existing and new facilities, consistent with the default variables published in the c</w:t>
      </w:r>
      <w:r>
        <w:t>urrent Safeguard Mechanism Rule…</w:t>
      </w:r>
      <w:r w:rsidRPr="002003E7">
        <w:rPr>
          <w:sz w:val="13"/>
          <w:szCs w:val="13"/>
        </w:rPr>
        <w:t xml:space="preserve"> </w:t>
      </w:r>
      <w:r w:rsidRPr="002003E7">
        <w:t xml:space="preserve">This approach would hold all facilities making the same product to the same standard and therefore better incentivise least emissions intensive production. </w:t>
      </w:r>
    </w:p>
    <w:p w14:paraId="5B49A91E" w14:textId="77777777" w:rsidR="00E060E2" w:rsidRDefault="00E060E2" w:rsidP="00E060E2">
      <w:pPr>
        <w:pStyle w:val="IntenseQuote"/>
      </w:pPr>
      <w:r>
        <w:t>Origin</w:t>
      </w:r>
      <w:r w:rsidR="006032B2">
        <w:t xml:space="preserve"> Energy</w:t>
      </w:r>
    </w:p>
    <w:p w14:paraId="33E9C11C" w14:textId="77777777" w:rsidR="00632D4F" w:rsidRDefault="00632D4F" w:rsidP="003402B4">
      <w:pPr>
        <w:pStyle w:val="Quote"/>
      </w:pPr>
      <w:r>
        <w:rPr>
          <w:rFonts w:ascii="Calibri" w:hAnsi="Calibri" w:cs="Calibri"/>
        </w:rPr>
        <w:t xml:space="preserve">BlueScope’s preference is for industry-average intensity baselines… </w:t>
      </w:r>
      <w:r>
        <w:t>It is also efficient in that it incentivises production from facilities that are the least emissions intensive and has the effect of recognising past investments and activity to reduce emissions by facilities that perform better than the average.</w:t>
      </w:r>
    </w:p>
    <w:p w14:paraId="29A22784" w14:textId="77777777" w:rsidR="00632D4F" w:rsidRPr="007F4CD3" w:rsidRDefault="009726FC" w:rsidP="00632D4F">
      <w:pPr>
        <w:pStyle w:val="IntenseQuote"/>
      </w:pPr>
      <w:r>
        <w:t>BlueScope</w:t>
      </w:r>
    </w:p>
    <w:p w14:paraId="76A80C38" w14:textId="0D4E0DB4" w:rsidR="007F4A10" w:rsidRPr="00D17B42" w:rsidRDefault="007F4A10" w:rsidP="007F4A10">
      <w:pPr>
        <w:pStyle w:val="Quote"/>
      </w:pPr>
      <w:r w:rsidRPr="00D17B42">
        <w:t xml:space="preserve">… a Facility Baseline will reduce the incentive for abatement from substitution by providing a higher baseline to high emitters and low baseline to low emitters. </w:t>
      </w:r>
    </w:p>
    <w:p w14:paraId="27E9C006" w14:textId="77777777" w:rsidR="007F4A10" w:rsidRPr="00D17B42" w:rsidRDefault="007F4A10" w:rsidP="007F4A10">
      <w:pPr>
        <w:pStyle w:val="IntenseQuote"/>
      </w:pPr>
      <w:r>
        <w:tab/>
        <w:t>Frontier Economics</w:t>
      </w:r>
    </w:p>
    <w:p w14:paraId="7337F38B" w14:textId="77777777" w:rsidR="007B661A" w:rsidRDefault="00F375FA" w:rsidP="00CD3276">
      <w:r>
        <w:t>Others</w:t>
      </w:r>
      <w:r w:rsidR="00CD3276">
        <w:t xml:space="preserve"> prefer s</w:t>
      </w:r>
      <w:r w:rsidR="000573D6">
        <w:t>ite-specific baselines (Option 2</w:t>
      </w:r>
      <w:r w:rsidR="00CD3276">
        <w:t>), which</w:t>
      </w:r>
      <w:r w:rsidR="007B661A">
        <w:t xml:space="preserve"> </w:t>
      </w:r>
      <w:r w:rsidR="00CD3276">
        <w:t>recognise</w:t>
      </w:r>
      <w:r w:rsidR="00E060E2">
        <w:t xml:space="preserve"> individual facility circumstances</w:t>
      </w:r>
      <w:r w:rsidR="00B74293">
        <w:t xml:space="preserve">, </w:t>
      </w:r>
      <w:r w:rsidR="004A1FE8">
        <w:t>such as age,</w:t>
      </w:r>
      <w:r w:rsidR="00B74293">
        <w:t xml:space="preserve"> loc</w:t>
      </w:r>
      <w:r w:rsidR="004A1FE8">
        <w:t>ation,</w:t>
      </w:r>
      <w:r w:rsidR="00525887">
        <w:t xml:space="preserve"> </w:t>
      </w:r>
      <w:r w:rsidR="00B74293">
        <w:t xml:space="preserve">technology, fuel availability and geology. </w:t>
      </w:r>
      <w:r w:rsidR="00525887">
        <w:t xml:space="preserve">This means all facilities would start with enough baseline to cover their emissions, so </w:t>
      </w:r>
      <w:r w:rsidR="003C7F72">
        <w:t xml:space="preserve">compliance </w:t>
      </w:r>
      <w:r w:rsidR="00525887">
        <w:t xml:space="preserve">costs would be more evenly distributed. </w:t>
      </w:r>
    </w:p>
    <w:p w14:paraId="41872BC4" w14:textId="77777777" w:rsidR="008E6F2B" w:rsidRDefault="008E6F2B" w:rsidP="008E6F2B">
      <w:pPr>
        <w:pStyle w:val="Quote"/>
      </w:pPr>
      <w:r>
        <w:t>Therefore, the application of industry-average benchmarks to those sectors and facilities where emissions intensities are driven by inherent resource characteristics will lead to immediate and unresolvable inequalities in compliance costs, which is contrary to the principle of equitability stated in the consultation paper.</w:t>
      </w:r>
    </w:p>
    <w:p w14:paraId="79A6E6A6" w14:textId="77777777" w:rsidR="008E6F2B" w:rsidRPr="008E6F2B" w:rsidRDefault="008E6F2B" w:rsidP="00942580">
      <w:pPr>
        <w:pStyle w:val="IntenseQuote"/>
      </w:pPr>
      <w:r>
        <w:t>INPEX</w:t>
      </w:r>
    </w:p>
    <w:p w14:paraId="12EB7674" w14:textId="77777777" w:rsidR="00632D4F" w:rsidRDefault="00632D4F" w:rsidP="003402B4">
      <w:pPr>
        <w:pStyle w:val="Quote"/>
      </w:pPr>
      <w:r>
        <w:lastRenderedPageBreak/>
        <w:t>BHP does not support average industry benchmarks that would unfairly penalise older facilities and/or those in higher emissions intensity locations, given the inability to relocate assets in the sector. Established operations should not be advantaged or penalised based on their historical circumstances and for decisions made under former policy settings.</w:t>
      </w:r>
    </w:p>
    <w:p w14:paraId="6E2BF543" w14:textId="77777777" w:rsidR="00632D4F" w:rsidRDefault="00632D4F" w:rsidP="00632D4F">
      <w:pPr>
        <w:pStyle w:val="IntenseQuote"/>
      </w:pPr>
      <w:r>
        <w:t>BHP</w:t>
      </w:r>
    </w:p>
    <w:p w14:paraId="276D033A" w14:textId="77777777" w:rsidR="00871C87" w:rsidRDefault="00227C82" w:rsidP="00942580">
      <w:r>
        <w:t>Stakeholder</w:t>
      </w:r>
      <w:r w:rsidR="00F375FA">
        <w:t>s</w:t>
      </w:r>
      <w:r w:rsidR="003C6EBB">
        <w:t xml:space="preserve"> also </w:t>
      </w:r>
      <w:r w:rsidR="00D17B42">
        <w:t>identified</w:t>
      </w:r>
      <w:r w:rsidR="003C6EBB">
        <w:t xml:space="preserve"> risks </w:t>
      </w:r>
      <w:r w:rsidR="006257B4">
        <w:t>with</w:t>
      </w:r>
      <w:r w:rsidR="003C6EBB">
        <w:t xml:space="preserve"> moving directly to </w:t>
      </w:r>
      <w:r w:rsidR="004A1FE8">
        <w:t>industry average benchmarks (</w:t>
      </w:r>
      <w:r w:rsidR="003C6EBB">
        <w:t>Option 1</w:t>
      </w:r>
      <w:r w:rsidR="004A1FE8">
        <w:t>)</w:t>
      </w:r>
      <w:r w:rsidR="003C6EBB">
        <w:t xml:space="preserve">, </w:t>
      </w:r>
      <w:r>
        <w:t>including</w:t>
      </w:r>
      <w:r w:rsidR="003C6EBB">
        <w:t xml:space="preserve"> </w:t>
      </w:r>
      <w:r w:rsidR="00D17B42">
        <w:t>significant</w:t>
      </w:r>
      <w:r w:rsidR="003C6EBB">
        <w:t xml:space="preserve"> upfront costs</w:t>
      </w:r>
      <w:r w:rsidR="004A1FE8">
        <w:t xml:space="preserve"> for </w:t>
      </w:r>
      <w:r w:rsidR="00D17B42">
        <w:t xml:space="preserve">some </w:t>
      </w:r>
      <w:r w:rsidR="004A1FE8">
        <w:t>high emitters,</w:t>
      </w:r>
      <w:r w:rsidR="003C6EBB">
        <w:t xml:space="preserve"> with </w:t>
      </w:r>
      <w:r>
        <w:t>little</w:t>
      </w:r>
      <w:r w:rsidR="003C6EBB">
        <w:t xml:space="preserve"> </w:t>
      </w:r>
      <w:r w:rsidR="00462268">
        <w:t>time</w:t>
      </w:r>
      <w:r w:rsidR="003C6EBB">
        <w:t xml:space="preserve"> to prepare and adjust.</w:t>
      </w:r>
      <w:r w:rsidR="00C769CF">
        <w:t xml:space="preserve"> </w:t>
      </w:r>
      <w:r w:rsidR="00871C87">
        <w:t xml:space="preserve">And </w:t>
      </w:r>
      <w:r w:rsidR="00D17B42">
        <w:t>potential inefficiencies and inequities</w:t>
      </w:r>
      <w:r w:rsidR="00871C87">
        <w:t xml:space="preserve"> </w:t>
      </w:r>
      <w:r w:rsidR="003C7F72">
        <w:t xml:space="preserve">with </w:t>
      </w:r>
      <w:r w:rsidR="00871C87">
        <w:t>Option 2</w:t>
      </w:r>
      <w:r w:rsidR="00F375FA">
        <w:t xml:space="preserve">, including the potential for low emitters to face higher abatement costs because they have </w:t>
      </w:r>
      <w:r w:rsidR="00D17B42" w:rsidDel="003C7F72">
        <w:t>exhausted</w:t>
      </w:r>
      <w:r w:rsidR="00F375FA" w:rsidDel="003C7F72">
        <w:t xml:space="preserve"> the lowest </w:t>
      </w:r>
      <w:r w:rsidR="00F375FA">
        <w:t xml:space="preserve">cost abatement </w:t>
      </w:r>
      <w:r w:rsidR="006257B4" w:rsidDel="003C7F72">
        <w:t>opportunities</w:t>
      </w:r>
      <w:r w:rsidR="00871C87">
        <w:t>.</w:t>
      </w:r>
      <w:r w:rsidR="005A41F8">
        <w:t xml:space="preserve"> </w:t>
      </w:r>
    </w:p>
    <w:p w14:paraId="0CEB430A" w14:textId="77777777" w:rsidR="00871C87" w:rsidRDefault="00871C87" w:rsidP="00871C87">
      <w:pPr>
        <w:pStyle w:val="Quote"/>
        <w:rPr>
          <w:shd w:val="clear" w:color="auto" w:fill="FFFFFF"/>
        </w:rPr>
      </w:pPr>
      <w:r w:rsidRPr="00D65EAF">
        <w:t xml:space="preserve">South32 supports Option 2, setting all baselines using facility-specific emission-intensity values. </w:t>
      </w:r>
      <w:r w:rsidRPr="00D65EAF">
        <w:rPr>
          <w:shd w:val="clear" w:color="auto" w:fill="FFFFFF"/>
        </w:rPr>
        <w:t>However, it should be taken into consideration that facilities which have implemented the best practicable and available abatement solutions to date will have limited options to further reduce their hard-to-abate emissions given the maturity (or lack thereof) of technology to manage emissions.</w:t>
      </w:r>
    </w:p>
    <w:p w14:paraId="0F224639" w14:textId="77777777" w:rsidR="00871C87" w:rsidRDefault="00871C87" w:rsidP="00871C87">
      <w:pPr>
        <w:pStyle w:val="IntenseQuote"/>
      </w:pPr>
      <w:r>
        <w:t>South32</w:t>
      </w:r>
    </w:p>
    <w:p w14:paraId="30ECB613" w14:textId="77777777" w:rsidR="00227C82" w:rsidRDefault="00227C82" w:rsidP="00871C87">
      <w:r>
        <w:t xml:space="preserve">In summary, industry-average benchmarks (Option 1) deliver </w:t>
      </w:r>
      <w:r w:rsidR="00AD5188">
        <w:t>a well-aligned incentive</w:t>
      </w:r>
      <w:r>
        <w:t xml:space="preserve"> for production to occur at the least emissions-intensive facilities. </w:t>
      </w:r>
      <w:r w:rsidR="00AD5188">
        <w:t>This helps to</w:t>
      </w:r>
      <w:r>
        <w:t xml:space="preserve"> deliver Australia’s climate targets at lowest cost. </w:t>
      </w:r>
      <w:r w:rsidR="003F11BE">
        <w:t>However, they introduce</w:t>
      </w:r>
      <w:r>
        <w:t xml:space="preserve"> </w:t>
      </w:r>
      <w:r w:rsidR="00E3385F">
        <w:t xml:space="preserve">potentially </w:t>
      </w:r>
      <w:r w:rsidR="00472EF9">
        <w:t>significant</w:t>
      </w:r>
      <w:r w:rsidR="00D62404">
        <w:t xml:space="preserve"> upfront</w:t>
      </w:r>
      <w:r>
        <w:t xml:space="preserve"> costs </w:t>
      </w:r>
      <w:r w:rsidR="00D62404">
        <w:t>(exceedance) and benefit</w:t>
      </w:r>
      <w:r w:rsidR="00E3385F">
        <w:t>s</w:t>
      </w:r>
      <w:r w:rsidR="00D62404">
        <w:t xml:space="preserve"> (credits) </w:t>
      </w:r>
      <w:r w:rsidR="00472EF9">
        <w:t xml:space="preserve">for some facilities </w:t>
      </w:r>
      <w:r w:rsidR="00D62404">
        <w:t>at</w:t>
      </w:r>
      <w:r>
        <w:t xml:space="preserve"> relatively </w:t>
      </w:r>
      <w:r w:rsidR="00D62404">
        <w:t>short</w:t>
      </w:r>
      <w:r>
        <w:t xml:space="preserve"> notice</w:t>
      </w:r>
      <w:r w:rsidR="007F5EDA">
        <w:t xml:space="preserve">. </w:t>
      </w:r>
    </w:p>
    <w:p w14:paraId="0411C7AE" w14:textId="77777777" w:rsidR="00871C87" w:rsidRDefault="00472EF9" w:rsidP="00871C87">
      <w:r>
        <w:t>In contrast, s</w:t>
      </w:r>
      <w:r w:rsidR="00227C82">
        <w:t>ite-specific baselines (</w:t>
      </w:r>
      <w:r w:rsidR="007F5EDA">
        <w:t>Option 2</w:t>
      </w:r>
      <w:r w:rsidR="00227C82">
        <w:t>)</w:t>
      </w:r>
      <w:r w:rsidR="007F5EDA">
        <w:t xml:space="preserve"> more evenly </w:t>
      </w:r>
      <w:r w:rsidR="00A3637D">
        <w:t>distribute</w:t>
      </w:r>
      <w:r w:rsidR="007F5EDA">
        <w:t xml:space="preserve"> cos</w:t>
      </w:r>
      <w:r w:rsidR="00227C82">
        <w:t xml:space="preserve">ts in the short term, but </w:t>
      </w:r>
      <w:r w:rsidR="00D62404">
        <w:t>fail</w:t>
      </w:r>
      <w:r w:rsidR="00227C82">
        <w:t xml:space="preserve"> to encourage production to occur where it is least emissions intensive, </w:t>
      </w:r>
      <w:r w:rsidR="004F5D33">
        <w:t>increasing</w:t>
      </w:r>
      <w:r w:rsidR="00227C82">
        <w:t xml:space="preserve"> the overall costs of meeting Australia’s climate targets. </w:t>
      </w:r>
    </w:p>
    <w:p w14:paraId="39260A58" w14:textId="77777777" w:rsidR="00A84F02" w:rsidRDefault="00A84F02" w:rsidP="00A84F02">
      <w:r>
        <w:t>To balance these strengths and weaknesses, the Government will implement a hybrid model weighted towards site-specific baselines (Option 2) in the short term, transitioning to industry</w:t>
      </w:r>
      <w:r>
        <w:noBreakHyphen/>
        <w:t xml:space="preserve">average benchmarks (Option 1) by the end of the decade (see Box 3.1). </w:t>
      </w:r>
    </w:p>
    <w:p w14:paraId="0367AB4A" w14:textId="77777777" w:rsidR="001D412E" w:rsidRDefault="001D412E" w:rsidP="001D412E">
      <w:r>
        <w:t>The hybrid model delivers the medium to long term benefits of a benchmark approach, while giving businesses sufficient time to prepare.</w:t>
      </w:r>
      <w:r w:rsidRPr="00A84F02">
        <w:t xml:space="preserve"> </w:t>
      </w:r>
      <w:r>
        <w:t xml:space="preserve">It ensures incentives to reduce emissions will be well aligned from 2030, but that short term impacts are introduced in manageable increments. </w:t>
      </w:r>
    </w:p>
    <w:p w14:paraId="3B22D6C7" w14:textId="77777777" w:rsidR="00882DDC" w:rsidRPr="00C62B79" w:rsidRDefault="00882DDC" w:rsidP="00C62B7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0" w:line="384" w:lineRule="auto"/>
        <w:rPr>
          <w:i/>
          <w:color w:val="4472C4" w:themeColor="accent1"/>
        </w:rPr>
      </w:pPr>
      <w:r w:rsidRPr="00C62B79">
        <w:rPr>
          <w:i/>
          <w:color w:val="4472C4" w:themeColor="accent1"/>
        </w:rPr>
        <w:lastRenderedPageBreak/>
        <w:t>Box 3.1: Baseline setting under a hybrid approach</w:t>
      </w:r>
    </w:p>
    <w:p w14:paraId="4296602B" w14:textId="77777777" w:rsidR="00882DDC" w:rsidRPr="0071601F" w:rsidRDefault="001A1519" w:rsidP="001A151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0" w:line="240" w:lineRule="auto"/>
      </w:pPr>
      <w:r>
        <w:t>A simplified baseline setting formula for p</w:t>
      </w:r>
      <w:r w:rsidR="00882DDC">
        <w:t>roduction-adjusted b</w:t>
      </w:r>
      <w:r w:rsidR="00882DDC" w:rsidRPr="0071601F">
        <w:t xml:space="preserve">aselines </w:t>
      </w:r>
      <w:r>
        <w:t>using the hybrid approach is as follows</w:t>
      </w:r>
      <w:r w:rsidR="003A758D">
        <w:t xml:space="preserve"> (it doesn’t take account of some policy elements described below, such as borrowing)</w:t>
      </w:r>
      <w:r w:rsidR="00882DDC" w:rsidRPr="0071601F">
        <w:t>:</w:t>
      </w:r>
    </w:p>
    <w:p w14:paraId="1DF41D3A" w14:textId="77777777" w:rsidR="003A758D" w:rsidRDefault="00882DDC" w:rsidP="003A758D">
      <w:pPr>
        <w:keepNext/>
        <w:keepLines/>
        <w:pBdr>
          <w:top w:val="single" w:sz="4" w:space="1" w:color="auto"/>
          <w:left w:val="single" w:sz="4" w:space="4" w:color="auto"/>
          <w:bottom w:val="single" w:sz="4" w:space="1" w:color="auto"/>
          <w:right w:val="single" w:sz="4" w:space="4" w:color="auto"/>
        </w:pBdr>
        <w:shd w:val="clear" w:color="auto" w:fill="DEEAF6" w:themeFill="accent5" w:themeFillTint="33"/>
        <w:tabs>
          <w:tab w:val="left" w:pos="993"/>
        </w:tabs>
        <w:spacing w:after="0" w:line="240" w:lineRule="auto"/>
        <w:rPr>
          <w:color w:val="192F49"/>
        </w:rPr>
      </w:pPr>
      <w:r w:rsidRPr="0061270C">
        <w:rPr>
          <w:color w:val="192F49"/>
        </w:rPr>
        <w:tab/>
      </w:r>
    </w:p>
    <w:p w14:paraId="3911F81D" w14:textId="77777777" w:rsidR="00882DDC" w:rsidRPr="0061270C" w:rsidRDefault="00882DDC" w:rsidP="00882DDC">
      <w:pPr>
        <w:keepNext/>
        <w:keepLines/>
        <w:pBdr>
          <w:top w:val="single" w:sz="4" w:space="1" w:color="auto"/>
          <w:left w:val="single" w:sz="4" w:space="4" w:color="auto"/>
          <w:bottom w:val="single" w:sz="4" w:space="1" w:color="auto"/>
          <w:right w:val="single" w:sz="4" w:space="4" w:color="auto"/>
        </w:pBdr>
        <w:shd w:val="clear" w:color="auto" w:fill="DEEAF6" w:themeFill="accent5" w:themeFillTint="33"/>
        <w:tabs>
          <w:tab w:val="left" w:pos="993"/>
        </w:tabs>
        <w:spacing w:after="0" w:line="384" w:lineRule="auto"/>
        <w:rPr>
          <w:color w:val="192F49"/>
        </w:rPr>
      </w:pPr>
      <w:r w:rsidRPr="0061270C">
        <w:rPr>
          <w:color w:val="192F49"/>
        </w:rPr>
        <w:t xml:space="preserve">For all relevant production variables (or outputs): </w:t>
      </w:r>
    </w:p>
    <w:p w14:paraId="0168334D" w14:textId="77777777" w:rsidR="00882DDC" w:rsidRPr="0061270C" w:rsidRDefault="00882DDC" w:rsidP="00882DDC">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0" w:line="384" w:lineRule="auto"/>
        <w:jc w:val="center"/>
        <w:rPr>
          <w:b/>
          <w:color w:val="192F49"/>
        </w:rPr>
      </w:pPr>
      <w:r w:rsidRPr="0061270C">
        <w:rPr>
          <w:b/>
          <w:color w:val="192F49"/>
        </w:rPr>
        <w:t xml:space="preserve">Facility baseline = </w:t>
      </w:r>
      <w:r w:rsidRPr="0061270C">
        <w:rPr>
          <w:b/>
          <w:color w:val="192F49"/>
          <w:sz w:val="32"/>
        </w:rPr>
        <w:t>Ʃ</w:t>
      </w:r>
      <w:r w:rsidRPr="0061270C">
        <w:rPr>
          <w:b/>
          <w:color w:val="192F49"/>
        </w:rPr>
        <w:t xml:space="preserve"> </w:t>
      </w:r>
      <w:r>
        <w:rPr>
          <w:b/>
          <w:color w:val="192F49"/>
        </w:rPr>
        <w:t>Production</w:t>
      </w:r>
      <w:r w:rsidR="001A1519">
        <w:rPr>
          <w:b/>
          <w:color w:val="192F49"/>
        </w:rPr>
        <w:t xml:space="preserve"> </w:t>
      </w:r>
      <w:r>
        <w:rPr>
          <w:b/>
          <w:color w:val="192F49"/>
        </w:rPr>
        <w:t>[</w:t>
      </w:r>
      <w:r w:rsidRPr="0061270C">
        <w:rPr>
          <w:b/>
          <w:color w:val="192F49"/>
        </w:rPr>
        <w:t>(</w:t>
      </w:r>
      <w:r>
        <w:rPr>
          <w:b/>
          <w:color w:val="192F49"/>
        </w:rPr>
        <w:t xml:space="preserve">a </w:t>
      </w:r>
      <w:r w:rsidR="007B007A">
        <w:rPr>
          <w:rFonts w:cstheme="minorHAnsi"/>
          <w:b/>
          <w:color w:val="192F49"/>
        </w:rPr>
        <w:t>×</w:t>
      </w:r>
      <w:r>
        <w:rPr>
          <w:b/>
          <w:color w:val="192F49"/>
        </w:rPr>
        <w:t xml:space="preserve"> EI</w:t>
      </w:r>
      <w:r w:rsidRPr="00165104">
        <w:rPr>
          <w:b/>
          <w:color w:val="192F49"/>
          <w:vertAlign w:val="subscript"/>
        </w:rPr>
        <w:t>IA</w:t>
      </w:r>
      <w:r>
        <w:rPr>
          <w:b/>
          <w:color w:val="192F49"/>
        </w:rPr>
        <w:t>)</w:t>
      </w:r>
      <w:r w:rsidRPr="0061270C">
        <w:rPr>
          <w:b/>
          <w:color w:val="192F49"/>
        </w:rPr>
        <w:t xml:space="preserve"> </w:t>
      </w:r>
      <w:r w:rsidR="00DE6518">
        <w:rPr>
          <w:rFonts w:cstheme="minorHAnsi"/>
          <w:b/>
          <w:color w:val="192F49"/>
        </w:rPr>
        <w:t>+</w:t>
      </w:r>
      <w:r w:rsidRPr="0061270C">
        <w:rPr>
          <w:b/>
          <w:color w:val="192F49"/>
        </w:rPr>
        <w:t xml:space="preserve"> </w:t>
      </w:r>
      <w:r>
        <w:rPr>
          <w:b/>
          <w:color w:val="192F49"/>
        </w:rPr>
        <w:t xml:space="preserve">(b </w:t>
      </w:r>
      <w:r w:rsidR="007B007A">
        <w:rPr>
          <w:rFonts w:cstheme="minorHAnsi"/>
          <w:b/>
          <w:color w:val="192F49"/>
        </w:rPr>
        <w:t>×</w:t>
      </w:r>
      <w:r>
        <w:rPr>
          <w:b/>
          <w:color w:val="192F49"/>
        </w:rPr>
        <w:t xml:space="preserve"> EI</w:t>
      </w:r>
      <w:r w:rsidRPr="00165104">
        <w:rPr>
          <w:b/>
          <w:color w:val="192F49"/>
          <w:vertAlign w:val="subscript"/>
        </w:rPr>
        <w:t>SS</w:t>
      </w:r>
      <w:r w:rsidRPr="0061270C">
        <w:rPr>
          <w:b/>
          <w:color w:val="192F49"/>
        </w:rPr>
        <w:t>)</w:t>
      </w:r>
      <w:r>
        <w:rPr>
          <w:b/>
          <w:color w:val="192F49"/>
        </w:rPr>
        <w:t>]</w:t>
      </w:r>
      <w:r w:rsidRPr="0061270C">
        <w:rPr>
          <w:b/>
          <w:color w:val="192F49"/>
        </w:rPr>
        <w:t xml:space="preserve"> </w:t>
      </w:r>
      <w:r w:rsidR="00DE6518">
        <w:rPr>
          <w:rFonts w:cstheme="minorHAnsi"/>
          <w:b/>
          <w:color w:val="192F49"/>
        </w:rPr>
        <w:t>×</w:t>
      </w:r>
      <w:r>
        <w:rPr>
          <w:b/>
          <w:color w:val="192F49"/>
        </w:rPr>
        <w:t xml:space="preserve"> decline factor</w:t>
      </w:r>
    </w:p>
    <w:p w14:paraId="1584BE62" w14:textId="77777777" w:rsidR="00882DDC" w:rsidRPr="00881724" w:rsidRDefault="00882DDC" w:rsidP="00882DDC">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0" w:line="384" w:lineRule="auto"/>
        <w:rPr>
          <w:color w:val="000000" w:themeColor="text1"/>
        </w:rPr>
      </w:pPr>
      <w:r w:rsidRPr="00881724">
        <w:rPr>
          <w:color w:val="000000" w:themeColor="text1"/>
        </w:rPr>
        <w:t>Where</w:t>
      </w:r>
      <w:r>
        <w:rPr>
          <w:color w:val="000000" w:themeColor="text1"/>
        </w:rPr>
        <w:t xml:space="preserve"> the</w:t>
      </w:r>
      <w:r w:rsidRPr="00881724">
        <w:rPr>
          <w:color w:val="000000" w:themeColor="text1"/>
        </w:rPr>
        <w:t xml:space="preserve">: </w:t>
      </w:r>
    </w:p>
    <w:p w14:paraId="20886BEE" w14:textId="77777777" w:rsidR="00882DDC" w:rsidRDefault="00882DDC" w:rsidP="0059378F">
      <w:pPr>
        <w:pStyle w:val="ListParagraph"/>
        <w:keepNext/>
        <w:keepLines/>
        <w:numPr>
          <w:ilvl w:val="0"/>
          <w:numId w:val="6"/>
        </w:numPr>
        <w:pBdr>
          <w:top w:val="single" w:sz="4" w:space="1" w:color="auto"/>
          <w:left w:val="single" w:sz="4" w:space="4" w:color="auto"/>
          <w:bottom w:val="single" w:sz="4" w:space="1" w:color="auto"/>
          <w:right w:val="single" w:sz="4" w:space="4" w:color="auto"/>
        </w:pBdr>
        <w:shd w:val="clear" w:color="auto" w:fill="DEEAF6" w:themeFill="accent5" w:themeFillTint="33"/>
        <w:spacing w:after="0" w:line="300" w:lineRule="exact"/>
        <w:ind w:left="425" w:hanging="425"/>
        <w:contextualSpacing w:val="0"/>
        <w:rPr>
          <w:color w:val="000000" w:themeColor="text1"/>
        </w:rPr>
      </w:pPr>
      <w:r w:rsidRPr="00881724">
        <w:rPr>
          <w:b/>
          <w:color w:val="000000" w:themeColor="text1"/>
        </w:rPr>
        <w:t>production variable</w:t>
      </w:r>
      <w:r w:rsidRPr="00881724">
        <w:rPr>
          <w:color w:val="000000" w:themeColor="text1"/>
        </w:rPr>
        <w:t xml:space="preserve"> identifies the product </w:t>
      </w:r>
      <w:r w:rsidR="00947813" w:rsidRPr="00881724">
        <w:rPr>
          <w:color w:val="000000" w:themeColor="text1"/>
        </w:rPr>
        <w:t>o</w:t>
      </w:r>
      <w:r w:rsidR="00947813">
        <w:rPr>
          <w:color w:val="000000" w:themeColor="text1"/>
        </w:rPr>
        <w:t>r</w:t>
      </w:r>
      <w:r w:rsidR="00947813" w:rsidRPr="00881724">
        <w:rPr>
          <w:color w:val="000000" w:themeColor="text1"/>
        </w:rPr>
        <w:t xml:space="preserve"> </w:t>
      </w:r>
      <w:r w:rsidRPr="00881724">
        <w:rPr>
          <w:color w:val="000000" w:themeColor="text1"/>
        </w:rPr>
        <w:t xml:space="preserve">service being delivered, for example tonnes of </w:t>
      </w:r>
      <w:r>
        <w:rPr>
          <w:color w:val="000000" w:themeColor="text1"/>
        </w:rPr>
        <w:t>alumina or passenger kilometres</w:t>
      </w:r>
    </w:p>
    <w:p w14:paraId="2CA13C87" w14:textId="77777777" w:rsidR="00882DDC" w:rsidRDefault="00882DDC" w:rsidP="0059378F">
      <w:pPr>
        <w:pStyle w:val="ListParagraph"/>
        <w:keepNext/>
        <w:keepLines/>
        <w:numPr>
          <w:ilvl w:val="0"/>
          <w:numId w:val="6"/>
        </w:numPr>
        <w:pBdr>
          <w:top w:val="single" w:sz="4" w:space="1" w:color="auto"/>
          <w:left w:val="single" w:sz="4" w:space="4" w:color="auto"/>
          <w:bottom w:val="single" w:sz="4" w:space="1" w:color="auto"/>
          <w:right w:val="single" w:sz="4" w:space="4" w:color="auto"/>
        </w:pBdr>
        <w:shd w:val="clear" w:color="auto" w:fill="DEEAF6" w:themeFill="accent5" w:themeFillTint="33"/>
        <w:spacing w:after="0" w:line="300" w:lineRule="exact"/>
        <w:ind w:left="425" w:hanging="425"/>
        <w:rPr>
          <w:color w:val="000000" w:themeColor="text1"/>
        </w:rPr>
      </w:pPr>
      <w:r>
        <w:rPr>
          <w:b/>
          <w:color w:val="000000" w:themeColor="text1"/>
        </w:rPr>
        <w:t>EI</w:t>
      </w:r>
      <w:r w:rsidRPr="00165104">
        <w:rPr>
          <w:b/>
          <w:color w:val="000000" w:themeColor="text1"/>
          <w:vertAlign w:val="subscript"/>
        </w:rPr>
        <w:t>IA</w:t>
      </w:r>
      <w:r>
        <w:rPr>
          <w:b/>
          <w:color w:val="000000" w:themeColor="text1"/>
        </w:rPr>
        <w:t xml:space="preserve"> and EI</w:t>
      </w:r>
      <w:r w:rsidRPr="00165104">
        <w:rPr>
          <w:b/>
          <w:color w:val="000000" w:themeColor="text1"/>
          <w:vertAlign w:val="subscript"/>
        </w:rPr>
        <w:t>SS</w:t>
      </w:r>
      <w:r>
        <w:rPr>
          <w:b/>
          <w:color w:val="000000" w:themeColor="text1"/>
        </w:rPr>
        <w:t xml:space="preserve"> </w:t>
      </w:r>
      <w:r w:rsidRPr="00165104">
        <w:rPr>
          <w:color w:val="000000" w:themeColor="text1"/>
        </w:rPr>
        <w:t xml:space="preserve">are the industry average and site-specific emissions intensity </w:t>
      </w:r>
      <w:r w:rsidR="001A1519">
        <w:rPr>
          <w:color w:val="000000" w:themeColor="text1"/>
        </w:rPr>
        <w:t>of production, for example, emissions per tonne of alumina or emissions per passenger kilometre</w:t>
      </w:r>
      <w:r>
        <w:rPr>
          <w:color w:val="000000" w:themeColor="text1"/>
        </w:rPr>
        <w:t xml:space="preserve"> </w:t>
      </w:r>
    </w:p>
    <w:p w14:paraId="409BC592" w14:textId="77777777" w:rsidR="00882DDC" w:rsidRPr="00165104" w:rsidRDefault="00882DDC" w:rsidP="0059378F">
      <w:pPr>
        <w:pStyle w:val="ListParagraph"/>
        <w:keepNext/>
        <w:keepLines/>
        <w:numPr>
          <w:ilvl w:val="0"/>
          <w:numId w:val="6"/>
        </w:numPr>
        <w:pBdr>
          <w:top w:val="single" w:sz="4" w:space="1" w:color="auto"/>
          <w:left w:val="single" w:sz="4" w:space="4" w:color="auto"/>
          <w:bottom w:val="single" w:sz="4" w:space="1" w:color="auto"/>
          <w:right w:val="single" w:sz="4" w:space="4" w:color="auto"/>
        </w:pBdr>
        <w:shd w:val="clear" w:color="auto" w:fill="DEEAF6" w:themeFill="accent5" w:themeFillTint="33"/>
        <w:spacing w:after="0" w:line="300" w:lineRule="exact"/>
        <w:ind w:left="425" w:hanging="425"/>
        <w:rPr>
          <w:color w:val="000000" w:themeColor="text1"/>
        </w:rPr>
      </w:pPr>
      <w:r w:rsidRPr="00165104">
        <w:rPr>
          <w:b/>
          <w:color w:val="000000" w:themeColor="text1"/>
        </w:rPr>
        <w:t>a and b</w:t>
      </w:r>
      <w:r>
        <w:rPr>
          <w:color w:val="000000" w:themeColor="text1"/>
        </w:rPr>
        <w:t xml:space="preserve"> represent the ratio of industry average and site-specific emissions-intensity values (where a + b = 1)</w:t>
      </w:r>
    </w:p>
    <w:p w14:paraId="32F74EEA" w14:textId="77777777" w:rsidR="00882DDC" w:rsidRPr="00165104" w:rsidRDefault="00882DDC" w:rsidP="0059378F">
      <w:pPr>
        <w:pStyle w:val="ListParagraph"/>
        <w:keepNext/>
        <w:keepLines/>
        <w:numPr>
          <w:ilvl w:val="0"/>
          <w:numId w:val="6"/>
        </w:numPr>
        <w:pBdr>
          <w:top w:val="single" w:sz="4" w:space="1" w:color="auto"/>
          <w:left w:val="single" w:sz="4" w:space="4" w:color="auto"/>
          <w:bottom w:val="single" w:sz="4" w:space="1" w:color="auto"/>
          <w:right w:val="single" w:sz="4" w:space="4" w:color="auto"/>
        </w:pBdr>
        <w:shd w:val="clear" w:color="auto" w:fill="DEEAF6" w:themeFill="accent5" w:themeFillTint="33"/>
        <w:spacing w:after="0" w:line="300" w:lineRule="exact"/>
        <w:ind w:left="425" w:hanging="425"/>
      </w:pPr>
      <w:r>
        <w:rPr>
          <w:b/>
          <w:color w:val="000000" w:themeColor="text1"/>
        </w:rPr>
        <w:t>decline</w:t>
      </w:r>
      <w:r w:rsidRPr="00076141">
        <w:rPr>
          <w:b/>
          <w:color w:val="000000" w:themeColor="text1"/>
        </w:rPr>
        <w:t xml:space="preserve"> factor</w:t>
      </w:r>
      <w:r w:rsidRPr="00076141">
        <w:rPr>
          <w:color w:val="000000" w:themeColor="text1"/>
        </w:rPr>
        <w:t xml:space="preserve"> </w:t>
      </w:r>
      <w:r>
        <w:rPr>
          <w:color w:val="000000" w:themeColor="text1"/>
        </w:rPr>
        <w:t xml:space="preserve">reflects the cumulative </w:t>
      </w:r>
      <w:r w:rsidR="003A758D">
        <w:rPr>
          <w:color w:val="000000" w:themeColor="text1"/>
        </w:rPr>
        <w:t>decline rate (discussed in section 6)</w:t>
      </w:r>
    </w:p>
    <w:p w14:paraId="549B3322" w14:textId="77777777" w:rsidR="00882DDC" w:rsidRDefault="00882DDC" w:rsidP="00882DDC">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0" w:line="300" w:lineRule="exact"/>
      </w:pPr>
    </w:p>
    <w:p w14:paraId="61058E2B" w14:textId="77777777" w:rsidR="001A1519" w:rsidRDefault="00882DDC" w:rsidP="00A867EB">
      <w:pPr>
        <w:keepNext/>
        <w:keepLines/>
        <w:pBdr>
          <w:top w:val="single" w:sz="4" w:space="1" w:color="auto"/>
          <w:left w:val="single" w:sz="4" w:space="4" w:color="auto"/>
          <w:bottom w:val="single" w:sz="4" w:space="1" w:color="auto"/>
          <w:right w:val="single" w:sz="4" w:space="4" w:color="auto"/>
        </w:pBdr>
        <w:shd w:val="clear" w:color="auto" w:fill="DEEAF6" w:themeFill="accent5" w:themeFillTint="33"/>
        <w:tabs>
          <w:tab w:val="right" w:pos="8647"/>
        </w:tabs>
        <w:spacing w:after="0" w:line="300" w:lineRule="exact"/>
        <w:rPr>
          <w:u w:val="single"/>
        </w:rPr>
      </w:pPr>
      <w:r w:rsidRPr="00B923CA">
        <w:t xml:space="preserve">With the following </w:t>
      </w:r>
      <w:r w:rsidRPr="001A1519">
        <w:t>ratio of industry average to site-specific emissions-intensity values:</w:t>
      </w:r>
      <w:r w:rsidR="00A867EB">
        <w:rPr>
          <w:u w:val="single"/>
        </w:rPr>
        <w:t xml:space="preserve"> </w:t>
      </w:r>
    </w:p>
    <w:p w14:paraId="2D2BFA43" w14:textId="77777777" w:rsidR="00882DDC" w:rsidRPr="001A1519" w:rsidRDefault="00A867EB" w:rsidP="001A151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tabs>
          <w:tab w:val="right" w:pos="8647"/>
        </w:tabs>
        <w:spacing w:after="0" w:line="100" w:lineRule="exact"/>
        <w:rPr>
          <w:sz w:val="10"/>
          <w:szCs w:val="10"/>
        </w:rPr>
      </w:pPr>
      <w:r w:rsidRPr="001A1519">
        <w:rPr>
          <w:sz w:val="10"/>
          <w:szCs w:val="10"/>
        </w:rPr>
        <w:t xml:space="preserve"> </w:t>
      </w:r>
      <w:r w:rsidRPr="001A1519">
        <w:rPr>
          <w:sz w:val="10"/>
          <w:szCs w:val="10"/>
        </w:rPr>
        <w:tab/>
      </w:r>
    </w:p>
    <w:p w14:paraId="0B2CB2BC" w14:textId="77777777" w:rsidR="00882DDC" w:rsidRPr="001A1519" w:rsidRDefault="00882DDC" w:rsidP="001A1519">
      <w:pPr>
        <w:keepNext/>
        <w:keepLines/>
        <w:pBdr>
          <w:top w:val="single" w:sz="4" w:space="1" w:color="auto"/>
          <w:left w:val="single" w:sz="4" w:space="4" w:color="auto"/>
          <w:right w:val="single" w:sz="4" w:space="4" w:color="auto"/>
        </w:pBdr>
        <w:shd w:val="clear" w:color="auto" w:fill="DEEAF6" w:themeFill="accent5" w:themeFillTint="33"/>
        <w:tabs>
          <w:tab w:val="left" w:pos="0"/>
          <w:tab w:val="center" w:pos="2127"/>
          <w:tab w:val="center" w:pos="3119"/>
          <w:tab w:val="center" w:pos="4111"/>
          <w:tab w:val="center" w:pos="5103"/>
          <w:tab w:val="center" w:pos="6096"/>
          <w:tab w:val="center" w:pos="7088"/>
          <w:tab w:val="center" w:pos="8080"/>
        </w:tabs>
        <w:spacing w:after="0" w:line="300" w:lineRule="exact"/>
      </w:pPr>
      <w:r w:rsidRPr="00A867EB">
        <w:tab/>
      </w:r>
      <w:r w:rsidRPr="001A1519">
        <w:t>2023-24</w:t>
      </w:r>
      <w:r w:rsidRPr="001A1519">
        <w:tab/>
        <w:t>2024-25</w:t>
      </w:r>
      <w:r w:rsidRPr="001A1519">
        <w:tab/>
        <w:t>2025-26</w:t>
      </w:r>
      <w:r w:rsidRPr="001A1519">
        <w:tab/>
        <w:t>2026-27</w:t>
      </w:r>
      <w:r w:rsidRPr="001A1519">
        <w:tab/>
        <w:t>2027-28</w:t>
      </w:r>
      <w:r w:rsidRPr="001A1519">
        <w:tab/>
        <w:t>2028-29</w:t>
      </w:r>
      <w:r w:rsidRPr="001A1519">
        <w:tab/>
        <w:t>2029-30</w:t>
      </w:r>
      <w:r w:rsidR="00A867EB" w:rsidRPr="001A1519">
        <w:tab/>
      </w:r>
    </w:p>
    <w:p w14:paraId="4CD19A55" w14:textId="77777777" w:rsidR="00882DDC" w:rsidRPr="001A1519" w:rsidRDefault="00A867EB" w:rsidP="001A1519">
      <w:pPr>
        <w:keepNext/>
        <w:keepLines/>
        <w:pBdr>
          <w:top w:val="single" w:sz="4" w:space="1" w:color="auto"/>
          <w:left w:val="single" w:sz="4" w:space="4" w:color="auto"/>
          <w:right w:val="single" w:sz="4" w:space="4" w:color="auto"/>
        </w:pBdr>
        <w:shd w:val="clear" w:color="auto" w:fill="DEEAF6" w:themeFill="accent5" w:themeFillTint="33"/>
        <w:tabs>
          <w:tab w:val="left" w:pos="0"/>
          <w:tab w:val="center" w:pos="2127"/>
          <w:tab w:val="center" w:pos="3119"/>
          <w:tab w:val="center" w:pos="4111"/>
          <w:tab w:val="center" w:pos="5103"/>
          <w:tab w:val="center" w:pos="6096"/>
          <w:tab w:val="center" w:pos="7088"/>
          <w:tab w:val="center" w:pos="8080"/>
        </w:tabs>
        <w:spacing w:after="0" w:line="300" w:lineRule="exact"/>
      </w:pPr>
      <w:r w:rsidRPr="001A1519">
        <w:t>Weighting</w:t>
      </w:r>
      <w:r w:rsidR="00882DDC" w:rsidRPr="001A1519">
        <w:t xml:space="preserve"> </w:t>
      </w:r>
      <w:r w:rsidR="00882DDC" w:rsidRPr="001A1519">
        <w:rPr>
          <w:b/>
          <w:color w:val="000000" w:themeColor="text1"/>
        </w:rPr>
        <w:t>EI</w:t>
      </w:r>
      <w:r w:rsidR="00882DDC" w:rsidRPr="001A1519">
        <w:rPr>
          <w:b/>
          <w:color w:val="000000" w:themeColor="text1"/>
          <w:vertAlign w:val="subscript"/>
        </w:rPr>
        <w:t>IA</w:t>
      </w:r>
      <w:r w:rsidR="00882DDC" w:rsidRPr="001A1519">
        <w:rPr>
          <w:b/>
          <w:color w:val="000000" w:themeColor="text1"/>
        </w:rPr>
        <w:t>:EI</w:t>
      </w:r>
      <w:r w:rsidR="00882DDC" w:rsidRPr="001A1519">
        <w:rPr>
          <w:b/>
          <w:color w:val="000000" w:themeColor="text1"/>
          <w:vertAlign w:val="subscript"/>
        </w:rPr>
        <w:t>SS</w:t>
      </w:r>
      <w:r w:rsidR="00882DDC" w:rsidRPr="001A1519">
        <w:rPr>
          <w:b/>
          <w:color w:val="000000" w:themeColor="text1"/>
        </w:rPr>
        <w:tab/>
        <w:t>10:90</w:t>
      </w:r>
      <w:r w:rsidR="00882DDC" w:rsidRPr="001A1519">
        <w:tab/>
      </w:r>
      <w:r w:rsidR="00882DDC" w:rsidRPr="001A1519">
        <w:rPr>
          <w:b/>
        </w:rPr>
        <w:t>20:80</w:t>
      </w:r>
      <w:r w:rsidR="00882DDC" w:rsidRPr="001A1519">
        <w:rPr>
          <w:b/>
        </w:rPr>
        <w:tab/>
        <w:t>30:70</w:t>
      </w:r>
      <w:r w:rsidR="00882DDC" w:rsidRPr="001A1519">
        <w:rPr>
          <w:b/>
        </w:rPr>
        <w:tab/>
        <w:t>40:60</w:t>
      </w:r>
      <w:r w:rsidR="00882DDC" w:rsidRPr="001A1519">
        <w:rPr>
          <w:b/>
        </w:rPr>
        <w:tab/>
        <w:t>60:40</w:t>
      </w:r>
      <w:r w:rsidR="00882DDC" w:rsidRPr="001A1519">
        <w:rPr>
          <w:b/>
        </w:rPr>
        <w:tab/>
        <w:t>80:20</w:t>
      </w:r>
      <w:r w:rsidR="00882DDC" w:rsidRPr="001A1519">
        <w:rPr>
          <w:b/>
        </w:rPr>
        <w:tab/>
        <w:t>100:0</w:t>
      </w:r>
      <w:r w:rsidR="00882DDC" w:rsidRPr="001A1519">
        <w:tab/>
      </w:r>
    </w:p>
    <w:p w14:paraId="201A8606" w14:textId="77777777" w:rsidR="001A1519" w:rsidRPr="001A1519" w:rsidRDefault="001A1519" w:rsidP="001A151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tabs>
          <w:tab w:val="left" w:pos="0"/>
          <w:tab w:val="center" w:pos="2127"/>
          <w:tab w:val="center" w:pos="2977"/>
          <w:tab w:val="center" w:pos="3828"/>
          <w:tab w:val="center" w:pos="4536"/>
          <w:tab w:val="center" w:pos="5245"/>
          <w:tab w:val="center" w:pos="5954"/>
          <w:tab w:val="center" w:pos="6663"/>
        </w:tabs>
        <w:spacing w:after="0" w:line="200" w:lineRule="exact"/>
        <w:rPr>
          <w:sz w:val="10"/>
          <w:szCs w:val="10"/>
        </w:rPr>
      </w:pPr>
    </w:p>
    <w:p w14:paraId="3494512C" w14:textId="77777777" w:rsidR="00882DDC" w:rsidRDefault="00882DDC" w:rsidP="00882DDC">
      <w:pPr>
        <w:keepNext/>
        <w:keepLines/>
        <w:pBdr>
          <w:top w:val="single" w:sz="4" w:space="1" w:color="auto"/>
          <w:left w:val="single" w:sz="4" w:space="4" w:color="auto"/>
          <w:bottom w:val="single" w:sz="4" w:space="1" w:color="auto"/>
          <w:right w:val="single" w:sz="4" w:space="4" w:color="auto"/>
        </w:pBdr>
        <w:shd w:val="clear" w:color="auto" w:fill="DEEAF6" w:themeFill="accent5" w:themeFillTint="33"/>
        <w:tabs>
          <w:tab w:val="left" w:pos="0"/>
          <w:tab w:val="center" w:pos="2127"/>
          <w:tab w:val="center" w:pos="2977"/>
          <w:tab w:val="center" w:pos="3828"/>
          <w:tab w:val="center" w:pos="4536"/>
          <w:tab w:val="center" w:pos="5245"/>
          <w:tab w:val="center" w:pos="5954"/>
          <w:tab w:val="center" w:pos="6663"/>
        </w:tabs>
        <w:spacing w:after="0" w:line="300" w:lineRule="exact"/>
      </w:pPr>
      <w:r>
        <w:t xml:space="preserve">For example, </w:t>
      </w:r>
      <w:r w:rsidR="00763FBF">
        <w:t xml:space="preserve">using this simplified formula, </w:t>
      </w:r>
      <w:r>
        <w:t xml:space="preserve">in 2023-24: </w:t>
      </w:r>
    </w:p>
    <w:p w14:paraId="38FAD948" w14:textId="77777777" w:rsidR="00882DDC" w:rsidRDefault="00882DDC" w:rsidP="00882DDC">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0" w:line="384" w:lineRule="auto"/>
        <w:jc w:val="center"/>
        <w:rPr>
          <w:b/>
          <w:color w:val="192F49"/>
        </w:rPr>
      </w:pPr>
      <w:r w:rsidRPr="0061270C">
        <w:rPr>
          <w:b/>
          <w:color w:val="192F49"/>
        </w:rPr>
        <w:t xml:space="preserve">Facility baseline = </w:t>
      </w:r>
      <w:r w:rsidRPr="0061270C">
        <w:rPr>
          <w:b/>
          <w:color w:val="192F49"/>
          <w:sz w:val="32"/>
        </w:rPr>
        <w:t>Ʃ</w:t>
      </w:r>
      <w:r w:rsidRPr="0061270C">
        <w:rPr>
          <w:b/>
          <w:color w:val="192F49"/>
        </w:rPr>
        <w:t xml:space="preserve"> </w:t>
      </w:r>
      <w:r>
        <w:rPr>
          <w:b/>
          <w:color w:val="192F49"/>
        </w:rPr>
        <w:t>Production</w:t>
      </w:r>
      <w:r w:rsidR="001A1519">
        <w:rPr>
          <w:b/>
          <w:color w:val="192F49"/>
        </w:rPr>
        <w:t xml:space="preserve"> </w:t>
      </w:r>
      <w:r>
        <w:rPr>
          <w:b/>
          <w:color w:val="192F49"/>
        </w:rPr>
        <w:t>[</w:t>
      </w:r>
      <w:r w:rsidRPr="0061270C">
        <w:rPr>
          <w:b/>
          <w:color w:val="192F49"/>
        </w:rPr>
        <w:t>(</w:t>
      </w:r>
      <w:r>
        <w:rPr>
          <w:b/>
          <w:color w:val="192F49"/>
        </w:rPr>
        <w:t xml:space="preserve">.1 </w:t>
      </w:r>
      <w:r w:rsidR="00DE6518">
        <w:rPr>
          <w:rFonts w:cstheme="minorHAnsi"/>
          <w:b/>
          <w:color w:val="192F49"/>
        </w:rPr>
        <w:t>×</w:t>
      </w:r>
      <w:r>
        <w:rPr>
          <w:b/>
          <w:color w:val="192F49"/>
        </w:rPr>
        <w:t xml:space="preserve"> EI</w:t>
      </w:r>
      <w:r w:rsidRPr="00165104">
        <w:rPr>
          <w:b/>
          <w:color w:val="192F49"/>
          <w:vertAlign w:val="subscript"/>
        </w:rPr>
        <w:t>IA</w:t>
      </w:r>
      <w:r>
        <w:rPr>
          <w:b/>
          <w:color w:val="192F49"/>
        </w:rPr>
        <w:t>)</w:t>
      </w:r>
      <w:r w:rsidRPr="0061270C">
        <w:rPr>
          <w:b/>
          <w:color w:val="192F49"/>
        </w:rPr>
        <w:t xml:space="preserve"> </w:t>
      </w:r>
      <w:r w:rsidR="00DE6518">
        <w:rPr>
          <w:rFonts w:cstheme="minorHAnsi"/>
          <w:b/>
          <w:color w:val="192F49"/>
        </w:rPr>
        <w:t>+</w:t>
      </w:r>
      <w:r w:rsidRPr="0061270C">
        <w:rPr>
          <w:b/>
          <w:color w:val="192F49"/>
        </w:rPr>
        <w:t xml:space="preserve"> </w:t>
      </w:r>
      <w:r>
        <w:rPr>
          <w:b/>
          <w:color w:val="192F49"/>
        </w:rPr>
        <w:t xml:space="preserve">(.9 </w:t>
      </w:r>
      <w:r w:rsidR="00DE6518">
        <w:rPr>
          <w:rFonts w:cstheme="minorHAnsi"/>
          <w:b/>
          <w:color w:val="192F49"/>
        </w:rPr>
        <w:t>×</w:t>
      </w:r>
      <w:r>
        <w:rPr>
          <w:b/>
          <w:color w:val="192F49"/>
        </w:rPr>
        <w:t xml:space="preserve"> EI</w:t>
      </w:r>
      <w:r w:rsidRPr="00165104">
        <w:rPr>
          <w:b/>
          <w:color w:val="192F49"/>
          <w:vertAlign w:val="subscript"/>
        </w:rPr>
        <w:t>SS</w:t>
      </w:r>
      <w:r w:rsidRPr="0061270C">
        <w:rPr>
          <w:b/>
          <w:color w:val="192F49"/>
        </w:rPr>
        <w:t>)</w:t>
      </w:r>
      <w:r>
        <w:rPr>
          <w:b/>
          <w:color w:val="192F49"/>
        </w:rPr>
        <w:t>]</w:t>
      </w:r>
      <w:r w:rsidRPr="0061270C">
        <w:rPr>
          <w:b/>
          <w:color w:val="192F49"/>
        </w:rPr>
        <w:t xml:space="preserve"> </w:t>
      </w:r>
      <w:r w:rsidR="004E5B4B">
        <w:rPr>
          <w:rFonts w:cstheme="minorHAnsi"/>
          <w:b/>
          <w:color w:val="192F49"/>
        </w:rPr>
        <w:t>×</w:t>
      </w:r>
      <w:r>
        <w:rPr>
          <w:b/>
          <w:color w:val="192F49"/>
        </w:rPr>
        <w:t xml:space="preserve"> decline factor</w:t>
      </w:r>
    </w:p>
    <w:p w14:paraId="0A6E5FE6" w14:textId="77777777" w:rsidR="00882DDC" w:rsidRDefault="00882DDC" w:rsidP="00882DDC">
      <w:pPr>
        <w:keepNext/>
        <w:keepLines/>
        <w:pBdr>
          <w:top w:val="single" w:sz="4" w:space="1" w:color="auto"/>
          <w:left w:val="single" w:sz="4" w:space="4" w:color="auto"/>
          <w:bottom w:val="single" w:sz="4" w:space="1" w:color="auto"/>
          <w:right w:val="single" w:sz="4" w:space="4" w:color="auto"/>
        </w:pBdr>
        <w:shd w:val="clear" w:color="auto" w:fill="DEEAF6" w:themeFill="accent5" w:themeFillTint="33"/>
        <w:tabs>
          <w:tab w:val="left" w:pos="0"/>
          <w:tab w:val="center" w:pos="2127"/>
          <w:tab w:val="center" w:pos="2977"/>
          <w:tab w:val="center" w:pos="3828"/>
          <w:tab w:val="center" w:pos="4536"/>
          <w:tab w:val="center" w:pos="5245"/>
          <w:tab w:val="center" w:pos="5954"/>
          <w:tab w:val="center" w:pos="6663"/>
        </w:tabs>
        <w:spacing w:after="0" w:line="300" w:lineRule="exact"/>
      </w:pPr>
      <w:r>
        <w:t xml:space="preserve">Whereas, in 2028-29: </w:t>
      </w:r>
    </w:p>
    <w:p w14:paraId="4761ABA2" w14:textId="77777777" w:rsidR="00A76BB9" w:rsidRDefault="00882DDC" w:rsidP="00561AD2">
      <w:pPr>
        <w:keepLines/>
        <w:pBdr>
          <w:top w:val="single" w:sz="4" w:space="1" w:color="auto"/>
          <w:left w:val="single" w:sz="4" w:space="4" w:color="auto"/>
          <w:bottom w:val="single" w:sz="4" w:space="1" w:color="auto"/>
          <w:right w:val="single" w:sz="4" w:space="4" w:color="auto"/>
        </w:pBdr>
        <w:shd w:val="clear" w:color="auto" w:fill="DEEAF6" w:themeFill="accent5" w:themeFillTint="33"/>
        <w:spacing w:after="0" w:line="384" w:lineRule="auto"/>
        <w:jc w:val="center"/>
        <w:rPr>
          <w:b/>
          <w:color w:val="192F49"/>
        </w:rPr>
      </w:pPr>
      <w:r w:rsidRPr="0061270C">
        <w:rPr>
          <w:b/>
          <w:color w:val="192F49"/>
        </w:rPr>
        <w:t xml:space="preserve">Facility baseline = </w:t>
      </w:r>
      <w:r w:rsidRPr="0061270C">
        <w:rPr>
          <w:b/>
          <w:color w:val="192F49"/>
          <w:sz w:val="32"/>
        </w:rPr>
        <w:t>Ʃ</w:t>
      </w:r>
      <w:r w:rsidRPr="0061270C">
        <w:rPr>
          <w:b/>
          <w:color w:val="192F49"/>
        </w:rPr>
        <w:t xml:space="preserve"> </w:t>
      </w:r>
      <w:r>
        <w:rPr>
          <w:b/>
          <w:color w:val="192F49"/>
        </w:rPr>
        <w:t>Production</w:t>
      </w:r>
      <w:r w:rsidR="001A1519">
        <w:rPr>
          <w:b/>
          <w:color w:val="192F49"/>
        </w:rPr>
        <w:t xml:space="preserve"> </w:t>
      </w:r>
      <w:r>
        <w:rPr>
          <w:b/>
          <w:color w:val="192F49"/>
        </w:rPr>
        <w:t>[</w:t>
      </w:r>
      <w:r w:rsidRPr="0061270C">
        <w:rPr>
          <w:b/>
          <w:color w:val="192F49"/>
        </w:rPr>
        <w:t>(</w:t>
      </w:r>
      <w:r>
        <w:rPr>
          <w:b/>
          <w:color w:val="192F49"/>
        </w:rPr>
        <w:t xml:space="preserve">.8 </w:t>
      </w:r>
      <w:r w:rsidR="00DE6518">
        <w:rPr>
          <w:rFonts w:cstheme="minorHAnsi"/>
          <w:b/>
          <w:color w:val="192F49"/>
        </w:rPr>
        <w:t>×</w:t>
      </w:r>
      <w:r>
        <w:rPr>
          <w:b/>
          <w:color w:val="192F49"/>
        </w:rPr>
        <w:t xml:space="preserve"> EI</w:t>
      </w:r>
      <w:r w:rsidRPr="00165104">
        <w:rPr>
          <w:b/>
          <w:color w:val="192F49"/>
          <w:vertAlign w:val="subscript"/>
        </w:rPr>
        <w:t>IA</w:t>
      </w:r>
      <w:r>
        <w:rPr>
          <w:b/>
          <w:color w:val="192F49"/>
        </w:rPr>
        <w:t>)</w:t>
      </w:r>
      <w:r w:rsidRPr="0061270C">
        <w:rPr>
          <w:b/>
          <w:color w:val="192F49"/>
        </w:rPr>
        <w:t xml:space="preserve"> </w:t>
      </w:r>
      <w:r w:rsidR="00DE6518">
        <w:rPr>
          <w:rFonts w:cstheme="minorHAnsi"/>
          <w:b/>
          <w:color w:val="192F49"/>
        </w:rPr>
        <w:t>+</w:t>
      </w:r>
      <w:r w:rsidRPr="0061270C">
        <w:rPr>
          <w:b/>
          <w:color w:val="192F49"/>
        </w:rPr>
        <w:t xml:space="preserve"> </w:t>
      </w:r>
      <w:r>
        <w:rPr>
          <w:b/>
          <w:color w:val="192F49"/>
        </w:rPr>
        <w:t xml:space="preserve">(.2 </w:t>
      </w:r>
      <w:r w:rsidR="00DE6518">
        <w:rPr>
          <w:rFonts w:cstheme="minorHAnsi"/>
          <w:b/>
          <w:color w:val="192F49"/>
        </w:rPr>
        <w:t>×</w:t>
      </w:r>
      <w:r>
        <w:rPr>
          <w:b/>
          <w:color w:val="192F49"/>
        </w:rPr>
        <w:t xml:space="preserve"> EI</w:t>
      </w:r>
      <w:r w:rsidRPr="00165104">
        <w:rPr>
          <w:b/>
          <w:color w:val="192F49"/>
          <w:vertAlign w:val="subscript"/>
        </w:rPr>
        <w:t>SS</w:t>
      </w:r>
      <w:r w:rsidRPr="0061270C">
        <w:rPr>
          <w:b/>
          <w:color w:val="192F49"/>
        </w:rPr>
        <w:t>)</w:t>
      </w:r>
      <w:r>
        <w:rPr>
          <w:b/>
          <w:color w:val="192F49"/>
        </w:rPr>
        <w:t>]</w:t>
      </w:r>
      <w:r w:rsidRPr="0061270C">
        <w:rPr>
          <w:b/>
          <w:color w:val="192F49"/>
        </w:rPr>
        <w:t xml:space="preserve"> </w:t>
      </w:r>
      <w:r w:rsidR="004E5B4B">
        <w:rPr>
          <w:rFonts w:cstheme="minorHAnsi"/>
          <w:b/>
          <w:color w:val="192F49"/>
        </w:rPr>
        <w:t>×</w:t>
      </w:r>
      <w:r>
        <w:rPr>
          <w:b/>
          <w:color w:val="192F49"/>
        </w:rPr>
        <w:t xml:space="preserve"> decline factor</w:t>
      </w:r>
    </w:p>
    <w:p w14:paraId="09023EB8" w14:textId="77777777" w:rsidR="00A84F02" w:rsidRDefault="00A84F02" w:rsidP="001232EB">
      <w:pPr>
        <w:spacing w:after="0"/>
      </w:pPr>
    </w:p>
    <w:p w14:paraId="362CDCA8" w14:textId="77777777" w:rsidR="00541242" w:rsidRDefault="00541242" w:rsidP="00541242">
      <w:r>
        <w:t>By combining options 1 and 2 in ratios that always sum to 100 </w:t>
      </w:r>
      <w:r w:rsidR="00FB3916">
        <w:t>per cent</w:t>
      </w:r>
      <w:r>
        <w:t xml:space="preserve">, the hybrid model removes aggregate headroom from scheme commencement and delivers the same aggregate baselines as either option 1 or option 2 in every year to 2030. All three models deliver the same amount of abatement to 2030 for any given baseline decline rate. The key difference between the three models is which facilities see costs and benefits. </w:t>
      </w:r>
    </w:p>
    <w:p w14:paraId="7219DB44" w14:textId="77777777" w:rsidR="0072118B" w:rsidRDefault="00C62B79" w:rsidP="00541242">
      <w:r>
        <w:t xml:space="preserve">An illustrative example of the hybrid model </w:t>
      </w:r>
      <w:r w:rsidR="003A758D">
        <w:t>is provided in Box 3.2.</w:t>
      </w:r>
    </w:p>
    <w:p w14:paraId="64FDAF6B" w14:textId="77777777" w:rsidR="0072118B" w:rsidRDefault="0072118B">
      <w:r>
        <w:br w:type="page"/>
      </w:r>
    </w:p>
    <w:p w14:paraId="733F957A" w14:textId="77777777" w:rsidR="00A03D31" w:rsidRPr="00C62B79" w:rsidRDefault="00A03D31" w:rsidP="00EF462A">
      <w:pPr>
        <w:pBdr>
          <w:top w:val="single" w:sz="4" w:space="1" w:color="auto"/>
          <w:left w:val="single" w:sz="4" w:space="4" w:color="auto"/>
          <w:bottom w:val="single" w:sz="4" w:space="1" w:color="auto"/>
          <w:right w:val="single" w:sz="4" w:space="4" w:color="auto"/>
        </w:pBdr>
        <w:shd w:val="clear" w:color="auto" w:fill="DEEAF6" w:themeFill="accent5" w:themeFillTint="33"/>
        <w:rPr>
          <w:i/>
          <w:color w:val="4472C4" w:themeColor="accent1"/>
        </w:rPr>
      </w:pPr>
      <w:r w:rsidRPr="00C62B79">
        <w:rPr>
          <w:i/>
          <w:color w:val="4472C4" w:themeColor="accent1"/>
        </w:rPr>
        <w:lastRenderedPageBreak/>
        <w:t xml:space="preserve">Box </w:t>
      </w:r>
      <w:r w:rsidR="00C62B79" w:rsidRPr="00C62B79">
        <w:rPr>
          <w:i/>
          <w:color w:val="4472C4" w:themeColor="accent1"/>
        </w:rPr>
        <w:t xml:space="preserve">3.2: </w:t>
      </w:r>
      <w:r w:rsidR="00C62B79">
        <w:rPr>
          <w:i/>
          <w:color w:val="4472C4" w:themeColor="accent1"/>
        </w:rPr>
        <w:t>The hybrid baseline setting model</w:t>
      </w:r>
      <w:r w:rsidR="00DC0099">
        <w:rPr>
          <w:i/>
          <w:color w:val="4472C4" w:themeColor="accent1"/>
        </w:rPr>
        <w:t xml:space="preserve">—an illustrative </w:t>
      </w:r>
      <w:r w:rsidR="00C62B79" w:rsidRPr="00C62B79">
        <w:rPr>
          <w:i/>
          <w:color w:val="4472C4" w:themeColor="accent1"/>
        </w:rPr>
        <w:t>example</w:t>
      </w:r>
    </w:p>
    <w:p w14:paraId="695661F4" w14:textId="77777777" w:rsidR="0072118B" w:rsidRDefault="00C62B79" w:rsidP="00EF462A">
      <w:pPr>
        <w:pBdr>
          <w:top w:val="single" w:sz="4" w:space="1" w:color="auto"/>
          <w:left w:val="single" w:sz="4" w:space="4" w:color="auto"/>
          <w:bottom w:val="single" w:sz="4" w:space="1" w:color="auto"/>
          <w:right w:val="single" w:sz="4" w:space="4" w:color="auto"/>
        </w:pBdr>
        <w:shd w:val="clear" w:color="auto" w:fill="DEEAF6" w:themeFill="accent5" w:themeFillTint="33"/>
      </w:pPr>
      <w:r>
        <w:t>Two</w:t>
      </w:r>
      <w:r w:rsidR="0072118B">
        <w:t xml:space="preserve"> </w:t>
      </w:r>
      <w:r>
        <w:t xml:space="preserve">examples of </w:t>
      </w:r>
      <w:r w:rsidR="0072118B">
        <w:t xml:space="preserve">the hybrid baseline </w:t>
      </w:r>
      <w:r>
        <w:t xml:space="preserve">setting </w:t>
      </w:r>
      <w:r w:rsidR="0072118B">
        <w:t>model</w:t>
      </w:r>
      <w:r>
        <w:t xml:space="preserve"> </w:t>
      </w:r>
      <w:r w:rsidR="0072118B">
        <w:t xml:space="preserve">are provided below. </w:t>
      </w:r>
      <w:r>
        <w:t>They illustrate similar</w:t>
      </w:r>
      <w:r w:rsidR="0072118B">
        <w:t xml:space="preserve"> facilities </w:t>
      </w:r>
      <w:r>
        <w:t>produ</w:t>
      </w:r>
      <w:r w:rsidR="00DC0099">
        <w:t>cing a single product, but with different</w:t>
      </w:r>
      <w:r>
        <w:t xml:space="preserve"> </w:t>
      </w:r>
      <w:r w:rsidR="00DC0099">
        <w:t>emissions-</w:t>
      </w:r>
      <w:r w:rsidR="0072118B">
        <w:t>intensity</w:t>
      </w:r>
      <w:r>
        <w:t xml:space="preserve"> of production</w:t>
      </w:r>
      <w:r w:rsidR="0072118B">
        <w:t>. In these examples</w:t>
      </w:r>
      <w:r w:rsidR="00DC0099">
        <w:t>,</w:t>
      </w:r>
      <w:r w:rsidR="0072118B">
        <w:t xml:space="preserve"> the </w:t>
      </w:r>
      <w:r w:rsidR="00DC0099">
        <w:rPr>
          <w:b/>
        </w:rPr>
        <w:t>industry average</w:t>
      </w:r>
      <w:r w:rsidR="0072118B" w:rsidRPr="00A03D31">
        <w:rPr>
          <w:b/>
        </w:rPr>
        <w:t xml:space="preserve"> emissions intensity is 1.45 t</w:t>
      </w:r>
      <w:r w:rsidR="00A03D31" w:rsidRPr="00A03D31">
        <w:rPr>
          <w:b/>
        </w:rPr>
        <w:t>onnes</w:t>
      </w:r>
      <w:r w:rsidR="0072118B" w:rsidRPr="00A03D31">
        <w:rPr>
          <w:b/>
        </w:rPr>
        <w:t xml:space="preserve"> CO</w:t>
      </w:r>
      <w:r w:rsidR="0072118B" w:rsidRPr="00A03D31">
        <w:rPr>
          <w:b/>
          <w:vertAlign w:val="subscript"/>
        </w:rPr>
        <w:t>2</w:t>
      </w:r>
      <w:r w:rsidR="00A03D31" w:rsidRPr="00A03D31">
        <w:rPr>
          <w:b/>
        </w:rPr>
        <w:noBreakHyphen/>
      </w:r>
      <w:r w:rsidR="0072118B" w:rsidRPr="00A03D31">
        <w:rPr>
          <w:b/>
        </w:rPr>
        <w:t>e per tonne of output</w:t>
      </w:r>
      <w:r w:rsidR="0072118B">
        <w:t>.</w:t>
      </w:r>
    </w:p>
    <w:p w14:paraId="31F8B891" w14:textId="77777777" w:rsidR="0072118B" w:rsidRDefault="0072118B" w:rsidP="00EF462A">
      <w:pPr>
        <w:pBdr>
          <w:top w:val="single" w:sz="4" w:space="1" w:color="auto"/>
          <w:left w:val="single" w:sz="4" w:space="4" w:color="auto"/>
          <w:bottom w:val="single" w:sz="4" w:space="1" w:color="auto"/>
          <w:right w:val="single" w:sz="4" w:space="4" w:color="auto"/>
        </w:pBdr>
        <w:shd w:val="clear" w:color="auto" w:fill="DEEAF6" w:themeFill="accent5" w:themeFillTint="33"/>
      </w:pPr>
      <w:r w:rsidRPr="00A03D31">
        <w:rPr>
          <w:b/>
        </w:rPr>
        <w:t>Facility A has a site</w:t>
      </w:r>
      <w:r w:rsidR="00913E6C">
        <w:rPr>
          <w:b/>
        </w:rPr>
        <w:t>-</w:t>
      </w:r>
      <w:r w:rsidRPr="00A03D31">
        <w:rPr>
          <w:b/>
        </w:rPr>
        <w:t>specific emissions intensity of 1.7 tonnes CO</w:t>
      </w:r>
      <w:r w:rsidRPr="00A03D31">
        <w:rPr>
          <w:b/>
          <w:vertAlign w:val="subscript"/>
        </w:rPr>
        <w:t>2</w:t>
      </w:r>
      <w:r w:rsidR="00A03D31" w:rsidRPr="00A03D31">
        <w:rPr>
          <w:b/>
        </w:rPr>
        <w:noBreakHyphen/>
        <w:t>e</w:t>
      </w:r>
      <w:r w:rsidRPr="00A03D31">
        <w:rPr>
          <w:b/>
        </w:rPr>
        <w:t xml:space="preserve"> per tonne of output</w:t>
      </w:r>
      <w:r w:rsidR="00913E6C">
        <w:t>—</w:t>
      </w:r>
      <w:r>
        <w:t xml:space="preserve">above industry average. At the start of the transition period, the facility receives a baseline which is very close to </w:t>
      </w:r>
      <w:r w:rsidR="00DC0099">
        <w:t>its</w:t>
      </w:r>
      <w:r>
        <w:t xml:space="preserve"> </w:t>
      </w:r>
      <w:r w:rsidR="00913E6C">
        <w:t>actual</w:t>
      </w:r>
      <w:r>
        <w:t xml:space="preserve"> emissions</w:t>
      </w:r>
      <w:r w:rsidR="00DC0099">
        <w:t>—90 per cent of its baseline reflects its site-specific emissions intensity value</w:t>
      </w:r>
      <w:r>
        <w:t>. During the period to 2030</w:t>
      </w:r>
      <w:r w:rsidR="00913E6C">
        <w:t>,</w:t>
      </w:r>
      <w:r>
        <w:t xml:space="preserve"> the facility</w:t>
      </w:r>
      <w:r w:rsidR="00913E6C">
        <w:t>’s</w:t>
      </w:r>
      <w:r>
        <w:t xml:space="preserve"> baseline </w:t>
      </w:r>
      <w:r w:rsidR="00913E6C">
        <w:t xml:space="preserve">declines </w:t>
      </w:r>
      <w:r>
        <w:t xml:space="preserve">as it transitions from a baseline </w:t>
      </w:r>
      <w:r w:rsidR="00DC0099">
        <w:t>heavily</w:t>
      </w:r>
      <w:r>
        <w:t xml:space="preserve"> weighted to its site</w:t>
      </w:r>
      <w:r w:rsidR="00913E6C">
        <w:t>-</w:t>
      </w:r>
      <w:r>
        <w:t>specific emissions intensity</w:t>
      </w:r>
      <w:r w:rsidR="00913E6C">
        <w:t xml:space="preserve"> performance</w:t>
      </w:r>
      <w:r>
        <w:t xml:space="preserve">, to a baseline calculated using </w:t>
      </w:r>
      <w:r w:rsidR="00DC0099">
        <w:t>only</w:t>
      </w:r>
      <w:r w:rsidR="00913E6C">
        <w:t xml:space="preserve"> </w:t>
      </w:r>
      <w:r>
        <w:t>the industry</w:t>
      </w:r>
      <w:r w:rsidR="00913E6C">
        <w:t>-</w:t>
      </w:r>
      <w:r>
        <w:t xml:space="preserve">average </w:t>
      </w:r>
      <w:r w:rsidR="00913E6C">
        <w:t>benchmark</w:t>
      </w:r>
      <w:r>
        <w:t xml:space="preserve"> in 2030.</w:t>
      </w:r>
      <w:r w:rsidR="00A03D31">
        <w:t xml:space="preserve"> </w:t>
      </w:r>
    </w:p>
    <w:p w14:paraId="2DCD4DDF" w14:textId="77777777" w:rsidR="0072118B" w:rsidRDefault="0072118B" w:rsidP="00EF462A">
      <w:pPr>
        <w:pBdr>
          <w:top w:val="single" w:sz="4" w:space="1" w:color="auto"/>
          <w:left w:val="single" w:sz="4" w:space="4" w:color="auto"/>
          <w:bottom w:val="single" w:sz="4" w:space="1" w:color="auto"/>
          <w:right w:val="single" w:sz="4" w:space="4" w:color="auto"/>
        </w:pBdr>
        <w:shd w:val="clear" w:color="auto" w:fill="DEEAF6" w:themeFill="accent5" w:themeFillTint="33"/>
      </w:pPr>
      <w:r>
        <w:rPr>
          <w:noProof/>
          <w:lang w:eastAsia="en-AU"/>
        </w:rPr>
        <w:drawing>
          <wp:inline distT="0" distB="0" distL="0" distR="0" wp14:anchorId="0D8BF830" wp14:editId="4DBD0501">
            <wp:extent cx="5684791" cy="295585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43663" cy="2986462"/>
                    </a:xfrm>
                    <a:prstGeom prst="rect">
                      <a:avLst/>
                    </a:prstGeom>
                    <a:noFill/>
                  </pic:spPr>
                </pic:pic>
              </a:graphicData>
            </a:graphic>
          </wp:inline>
        </w:drawing>
      </w:r>
    </w:p>
    <w:p w14:paraId="38312A85" w14:textId="77777777" w:rsidR="0072118B" w:rsidRDefault="0072118B" w:rsidP="00DC0099">
      <w:pPr>
        <w:pBdr>
          <w:top w:val="single" w:sz="4" w:space="1" w:color="auto"/>
          <w:left w:val="single" w:sz="4" w:space="4" w:color="auto"/>
          <w:bottom w:val="single" w:sz="4" w:space="1" w:color="auto"/>
          <w:right w:val="single" w:sz="4" w:space="4" w:color="auto"/>
        </w:pBdr>
        <w:shd w:val="clear" w:color="auto" w:fill="DEEAF6" w:themeFill="accent5" w:themeFillTint="33"/>
        <w:spacing w:after="100"/>
      </w:pPr>
      <w:r w:rsidRPr="00A03D31">
        <w:rPr>
          <w:b/>
        </w:rPr>
        <w:t xml:space="preserve">Facility B has a site specific emissions intensity of 1.2 </w:t>
      </w:r>
      <w:r w:rsidR="00A03D31" w:rsidRPr="00A03D31">
        <w:rPr>
          <w:b/>
        </w:rPr>
        <w:t>tonnes</w:t>
      </w:r>
      <w:r w:rsidRPr="00A03D31">
        <w:rPr>
          <w:b/>
        </w:rPr>
        <w:t xml:space="preserve"> CO</w:t>
      </w:r>
      <w:r w:rsidRPr="00A03D31">
        <w:rPr>
          <w:b/>
          <w:vertAlign w:val="subscript"/>
        </w:rPr>
        <w:t>2</w:t>
      </w:r>
      <w:r w:rsidR="00A03D31" w:rsidRPr="00A03D31">
        <w:rPr>
          <w:b/>
        </w:rPr>
        <w:noBreakHyphen/>
      </w:r>
      <w:r w:rsidRPr="00A03D31">
        <w:rPr>
          <w:b/>
        </w:rPr>
        <w:t>e per tonne of output product</w:t>
      </w:r>
      <w:r w:rsidR="00913E6C">
        <w:t>—</w:t>
      </w:r>
      <w:r>
        <w:t xml:space="preserve">below industry average. The </w:t>
      </w:r>
      <w:r w:rsidR="00DC0099">
        <w:t xml:space="preserve">initial </w:t>
      </w:r>
      <w:r>
        <w:t xml:space="preserve">baseline </w:t>
      </w:r>
      <w:r w:rsidR="00DC0099">
        <w:t xml:space="preserve">is </w:t>
      </w:r>
      <w:r>
        <w:t xml:space="preserve">also </w:t>
      </w:r>
      <w:r w:rsidR="00DC0099">
        <w:t>heavily weighted towards its</w:t>
      </w:r>
      <w:r w:rsidR="00913E6C">
        <w:t xml:space="preserve"> </w:t>
      </w:r>
      <w:r>
        <w:t>site</w:t>
      </w:r>
      <w:r w:rsidR="00913E6C">
        <w:t>-</w:t>
      </w:r>
      <w:r>
        <w:t xml:space="preserve">specific </w:t>
      </w:r>
      <w:r w:rsidR="00DC0099">
        <w:t>emissions performance</w:t>
      </w:r>
      <w:r>
        <w:t xml:space="preserve">, </w:t>
      </w:r>
      <w:r w:rsidR="00DC0099">
        <w:t>moving</w:t>
      </w:r>
      <w:r>
        <w:t xml:space="preserve"> to the industry average </w:t>
      </w:r>
      <w:r w:rsidR="00913E6C">
        <w:t>benchmark</w:t>
      </w:r>
      <w:r w:rsidR="00DC0099">
        <w:t xml:space="preserve"> by</w:t>
      </w:r>
      <w:r>
        <w:t xml:space="preserve"> 2030. </w:t>
      </w:r>
      <w:r w:rsidR="00913E6C">
        <w:t>Both facilities have the same baseline from 2030 onwards</w:t>
      </w:r>
      <w:r>
        <w:t xml:space="preserve">, </w:t>
      </w:r>
      <w:r w:rsidR="00913E6C">
        <w:t>but</w:t>
      </w:r>
      <w:r>
        <w:t xml:space="preserve"> facility </w:t>
      </w:r>
      <w:r w:rsidR="00913E6C">
        <w:t>B</w:t>
      </w:r>
      <w:r>
        <w:t xml:space="preserve"> has a much flatter baseline trajectory to 2030.</w:t>
      </w:r>
    </w:p>
    <w:p w14:paraId="5139073C" w14:textId="77777777" w:rsidR="0072118B" w:rsidRPr="005B3574" w:rsidRDefault="0072118B" w:rsidP="00EF462A">
      <w:pPr>
        <w:pBdr>
          <w:top w:val="single" w:sz="4" w:space="1" w:color="auto"/>
          <w:left w:val="single" w:sz="4" w:space="4" w:color="auto"/>
          <w:bottom w:val="single" w:sz="4" w:space="1" w:color="auto"/>
          <w:right w:val="single" w:sz="4" w:space="4" w:color="auto"/>
        </w:pBdr>
        <w:shd w:val="clear" w:color="auto" w:fill="DEEAF6" w:themeFill="accent5" w:themeFillTint="33"/>
      </w:pPr>
      <w:r>
        <w:rPr>
          <w:noProof/>
          <w:lang w:eastAsia="en-AU"/>
        </w:rPr>
        <w:drawing>
          <wp:inline distT="0" distB="0" distL="0" distR="0" wp14:anchorId="6775E0B6" wp14:editId="303A8ECB">
            <wp:extent cx="5680772" cy="2817627"/>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0862" cy="2842471"/>
                    </a:xfrm>
                    <a:prstGeom prst="rect">
                      <a:avLst/>
                    </a:prstGeom>
                    <a:noFill/>
                  </pic:spPr>
                </pic:pic>
              </a:graphicData>
            </a:graphic>
          </wp:inline>
        </w:drawing>
      </w:r>
    </w:p>
    <w:p w14:paraId="13D75740" w14:textId="77777777" w:rsidR="00541242" w:rsidRDefault="00541242" w:rsidP="00541242">
      <w:r>
        <w:lastRenderedPageBreak/>
        <w:t>An assessment of the hybrid model against the policy principles is provided in Box 3.</w:t>
      </w:r>
      <w:r w:rsidR="00A03D31">
        <w:t>3</w:t>
      </w:r>
      <w:r>
        <w:t>.</w:t>
      </w:r>
    </w:p>
    <w:p w14:paraId="473AEC8B" w14:textId="77777777" w:rsidR="00F6279D" w:rsidRPr="00C62B79" w:rsidRDefault="00882DDC" w:rsidP="008323C5">
      <w:pPr>
        <w:pStyle w:val="Heading5"/>
        <w:pBdr>
          <w:top w:val="single" w:sz="4" w:space="1" w:color="auto"/>
          <w:left w:val="single" w:sz="4" w:space="4" w:color="auto"/>
          <w:bottom w:val="single" w:sz="4" w:space="1" w:color="auto"/>
          <w:right w:val="single" w:sz="4" w:space="4" w:color="auto"/>
        </w:pBdr>
        <w:shd w:val="clear" w:color="auto" w:fill="DEEAF6" w:themeFill="accent5" w:themeFillTint="33"/>
        <w:rPr>
          <w:b w:val="0"/>
          <w:color w:val="4472C4" w:themeColor="accent1"/>
        </w:rPr>
      </w:pPr>
      <w:r w:rsidRPr="00C62B79">
        <w:rPr>
          <w:b w:val="0"/>
          <w:color w:val="4472C4" w:themeColor="accent1"/>
        </w:rPr>
        <w:t>Box 3.</w:t>
      </w:r>
      <w:r w:rsidR="00A03D31" w:rsidRPr="00C62B79">
        <w:rPr>
          <w:b w:val="0"/>
          <w:color w:val="4472C4" w:themeColor="accent1"/>
        </w:rPr>
        <w:t>3</w:t>
      </w:r>
      <w:r w:rsidR="00F6279D" w:rsidRPr="00C62B79">
        <w:rPr>
          <w:b w:val="0"/>
          <w:color w:val="4472C4" w:themeColor="accent1"/>
        </w:rPr>
        <w:t xml:space="preserve"> Assessing the hybrid model against the policy principle</w:t>
      </w:r>
      <w:r w:rsidR="001D412E" w:rsidRPr="00C62B79">
        <w:rPr>
          <w:b w:val="0"/>
          <w:color w:val="4472C4" w:themeColor="accent1"/>
        </w:rPr>
        <w:t>s</w:t>
      </w:r>
    </w:p>
    <w:p w14:paraId="3A917679" w14:textId="77777777" w:rsidR="009D2AAA" w:rsidRDefault="009D2AAA" w:rsidP="008323C5">
      <w:pPr>
        <w:pStyle w:val="Heading5"/>
        <w:pBdr>
          <w:top w:val="single" w:sz="4" w:space="1" w:color="auto"/>
          <w:left w:val="single" w:sz="4" w:space="4" w:color="auto"/>
          <w:bottom w:val="single" w:sz="4" w:space="1" w:color="auto"/>
          <w:right w:val="single" w:sz="4" w:space="4" w:color="auto"/>
        </w:pBdr>
        <w:shd w:val="clear" w:color="auto" w:fill="DEEAF6" w:themeFill="accent5" w:themeFillTint="33"/>
        <w:spacing w:after="60"/>
      </w:pPr>
      <w:r>
        <w:t>Effective</w:t>
      </w:r>
    </w:p>
    <w:p w14:paraId="797AE1F6" w14:textId="77777777" w:rsidR="009D2AAA" w:rsidRPr="009D2AAA" w:rsidRDefault="00B975C8" w:rsidP="008323C5">
      <w:pPr>
        <w:keepNext/>
        <w:keepLines/>
        <w:pBdr>
          <w:top w:val="single" w:sz="4" w:space="1" w:color="auto"/>
          <w:left w:val="single" w:sz="4" w:space="4" w:color="auto"/>
          <w:bottom w:val="single" w:sz="4" w:space="1" w:color="auto"/>
          <w:right w:val="single" w:sz="4" w:space="4" w:color="auto"/>
        </w:pBdr>
        <w:shd w:val="clear" w:color="auto" w:fill="DEEAF6" w:themeFill="accent5" w:themeFillTint="33"/>
      </w:pPr>
      <w:r>
        <w:t xml:space="preserve">The hybrid model </w:t>
      </w:r>
      <w:r w:rsidR="009D2AAA">
        <w:t xml:space="preserve">can be calibrated to meet the 2030 target, so </w:t>
      </w:r>
      <w:r w:rsidR="003C7F72">
        <w:t xml:space="preserve">can be </w:t>
      </w:r>
      <w:r w:rsidR="009D2AAA">
        <w:t xml:space="preserve">effective in </w:t>
      </w:r>
      <w:r w:rsidR="003C7F72">
        <w:t xml:space="preserve">helping to </w:t>
      </w:r>
      <w:r w:rsidR="009D2AAA">
        <w:t xml:space="preserve">meet Australia’s 2030 </w:t>
      </w:r>
      <w:r w:rsidR="003C7F72">
        <w:t xml:space="preserve">and 2050 </w:t>
      </w:r>
      <w:r w:rsidR="009D2AAA">
        <w:t>emissions reduction target</w:t>
      </w:r>
      <w:r w:rsidR="003C7F72">
        <w:t>s</w:t>
      </w:r>
      <w:r w:rsidR="009D2AAA">
        <w:t xml:space="preserve">. </w:t>
      </w:r>
    </w:p>
    <w:p w14:paraId="7A3B8AAE" w14:textId="77777777" w:rsidR="009D2AAA" w:rsidRPr="009D2AAA" w:rsidRDefault="009D2AAA" w:rsidP="008323C5">
      <w:pPr>
        <w:pStyle w:val="Heading5"/>
        <w:pBdr>
          <w:top w:val="single" w:sz="4" w:space="1" w:color="auto"/>
          <w:left w:val="single" w:sz="4" w:space="4" w:color="auto"/>
          <w:bottom w:val="single" w:sz="4" w:space="1" w:color="auto"/>
          <w:right w:val="single" w:sz="4" w:space="4" w:color="auto"/>
        </w:pBdr>
        <w:shd w:val="clear" w:color="auto" w:fill="DEEAF6" w:themeFill="accent5" w:themeFillTint="33"/>
        <w:spacing w:after="60"/>
      </w:pPr>
      <w:r>
        <w:t>Equitable</w:t>
      </w:r>
    </w:p>
    <w:p w14:paraId="59444034" w14:textId="77777777" w:rsidR="009D2AAA" w:rsidRDefault="00276541" w:rsidP="008323C5">
      <w:pPr>
        <w:keepNext/>
        <w:pBdr>
          <w:top w:val="single" w:sz="4" w:space="1" w:color="auto"/>
          <w:left w:val="single" w:sz="4" w:space="4" w:color="auto"/>
          <w:bottom w:val="single" w:sz="4" w:space="1" w:color="auto"/>
          <w:right w:val="single" w:sz="4" w:space="4" w:color="auto"/>
        </w:pBdr>
        <w:shd w:val="clear" w:color="auto" w:fill="DEEAF6" w:themeFill="accent5" w:themeFillTint="33"/>
      </w:pPr>
      <w:r>
        <w:t>The hybrid model</w:t>
      </w:r>
      <w:r w:rsidR="009D2AAA">
        <w:t xml:space="preserve"> </w:t>
      </w:r>
      <w:r w:rsidR="003A09FB">
        <w:t xml:space="preserve">helps to manage </w:t>
      </w:r>
      <w:r w:rsidR="009D2AAA">
        <w:t>short term impacts, introducing costs (exceedance) and benefit (credits) in manageable increments. This gives businesses time to adjust</w:t>
      </w:r>
      <w:r w:rsidR="003A09FB">
        <w:t xml:space="preserve">, </w:t>
      </w:r>
      <w:r w:rsidR="009D2AAA">
        <w:t>prepare</w:t>
      </w:r>
      <w:r w:rsidR="003A09FB">
        <w:t xml:space="preserve"> for, and deliver the significant emissions reductions required to 2030 and 2050</w:t>
      </w:r>
      <w:r w:rsidR="009D2AAA">
        <w:t>.</w:t>
      </w:r>
    </w:p>
    <w:p w14:paraId="2A5FE2A2" w14:textId="77777777" w:rsidR="009D2AAA" w:rsidRDefault="009D2AAA" w:rsidP="00FF5D77">
      <w:pPr>
        <w:pStyle w:val="Heading5"/>
        <w:pBdr>
          <w:top w:val="single" w:sz="4" w:space="1" w:color="auto"/>
          <w:left w:val="single" w:sz="4" w:space="4" w:color="auto"/>
          <w:bottom w:val="single" w:sz="4" w:space="1" w:color="auto"/>
          <w:right w:val="single" w:sz="4" w:space="4" w:color="auto"/>
        </w:pBdr>
        <w:shd w:val="clear" w:color="auto" w:fill="DEEAF6" w:themeFill="accent5" w:themeFillTint="33"/>
        <w:spacing w:after="60"/>
      </w:pPr>
      <w:r>
        <w:t>Efficient</w:t>
      </w:r>
    </w:p>
    <w:p w14:paraId="3B862F3A" w14:textId="77777777" w:rsidR="0000429D" w:rsidRDefault="00276541" w:rsidP="00F6279D">
      <w:pPr>
        <w:pBdr>
          <w:top w:val="single" w:sz="4" w:space="1" w:color="auto"/>
          <w:left w:val="single" w:sz="4" w:space="4" w:color="auto"/>
          <w:bottom w:val="single" w:sz="4" w:space="1" w:color="auto"/>
          <w:right w:val="single" w:sz="4" w:space="4" w:color="auto"/>
        </w:pBdr>
        <w:shd w:val="clear" w:color="auto" w:fill="DEEAF6" w:themeFill="accent5" w:themeFillTint="33"/>
      </w:pPr>
      <w:r>
        <w:t>The hybrid model</w:t>
      </w:r>
      <w:r w:rsidR="009D2AAA">
        <w:t xml:space="preserve"> removes </w:t>
      </w:r>
      <w:r w:rsidR="0000429D">
        <w:t>headroom, allowing crediting and trading to commence</w:t>
      </w:r>
      <w:r w:rsidR="003C7F72">
        <w:t xml:space="preserve"> immediately</w:t>
      </w:r>
      <w:r w:rsidR="0000429D">
        <w:t>, which supports a least cost outcome. It also provides a medium to long-term incentive for production to occur where it is least emissions intensive, which further lowers the overall costs of meeting Australia’s climate targets.</w:t>
      </w:r>
    </w:p>
    <w:p w14:paraId="25CE9DC3" w14:textId="77777777" w:rsidR="009D2AAA" w:rsidRDefault="009D2AAA" w:rsidP="00FF5D77">
      <w:pPr>
        <w:pStyle w:val="Heading5"/>
        <w:pBdr>
          <w:top w:val="single" w:sz="4" w:space="1" w:color="auto"/>
          <w:left w:val="single" w:sz="4" w:space="4" w:color="auto"/>
          <w:bottom w:val="single" w:sz="4" w:space="1" w:color="auto"/>
          <w:right w:val="single" w:sz="4" w:space="4" w:color="auto"/>
        </w:pBdr>
        <w:shd w:val="clear" w:color="auto" w:fill="DEEAF6" w:themeFill="accent5" w:themeFillTint="33"/>
        <w:spacing w:after="60"/>
      </w:pPr>
      <w:r>
        <w:t>Simple</w:t>
      </w:r>
    </w:p>
    <w:p w14:paraId="02870594" w14:textId="77777777" w:rsidR="0000429D" w:rsidRDefault="009D2AAA" w:rsidP="00F6279D">
      <w:pPr>
        <w:pBdr>
          <w:top w:val="single" w:sz="4" w:space="1" w:color="auto"/>
          <w:left w:val="single" w:sz="4" w:space="4" w:color="auto"/>
          <w:bottom w:val="single" w:sz="4" w:space="1" w:color="auto"/>
          <w:right w:val="single" w:sz="4" w:space="4" w:color="auto"/>
        </w:pBdr>
        <w:shd w:val="clear" w:color="auto" w:fill="DEEAF6" w:themeFill="accent5" w:themeFillTint="33"/>
      </w:pPr>
      <w:r>
        <w:t xml:space="preserve">The hybrid model </w:t>
      </w:r>
      <w:r w:rsidR="00276541">
        <w:t>is more complex than</w:t>
      </w:r>
      <w:r>
        <w:t xml:space="preserve"> industry average benchmarks, which are already published. Using site-specific values (either for option 2 or a hybrid) means additional emissions-intensity values </w:t>
      </w:r>
      <w:r w:rsidR="00276541">
        <w:t>will</w:t>
      </w:r>
      <w:r>
        <w:t xml:space="preserve"> be </w:t>
      </w:r>
      <w:r w:rsidR="00276541">
        <w:t>needed</w:t>
      </w:r>
      <w:r>
        <w:t xml:space="preserve"> for facilities current</w:t>
      </w:r>
      <w:r w:rsidR="007D713C">
        <w:t>ly</w:t>
      </w:r>
      <w:r>
        <w:t xml:space="preserve"> using published industry average values. The Government believes this is a necessary trade-off to deliver a fair outcome in the short term. </w:t>
      </w:r>
    </w:p>
    <w:p w14:paraId="10EDBA09" w14:textId="1D4DC618" w:rsidR="00A54137" w:rsidRDefault="00A54137" w:rsidP="00A54137">
      <w:r>
        <w:t xml:space="preserve">The Government </w:t>
      </w:r>
      <w:r w:rsidR="007F442A">
        <w:t xml:space="preserve">acknowledges </w:t>
      </w:r>
      <w:r>
        <w:t>that the hybrid approach increases complexity</w:t>
      </w:r>
      <w:r w:rsidR="008323C5">
        <w:t xml:space="preserve"> compared with a simple industry-average approach</w:t>
      </w:r>
      <w:r>
        <w:t xml:space="preserve">. In particular, </w:t>
      </w:r>
      <w:r w:rsidR="00755C25">
        <w:t xml:space="preserve">new </w:t>
      </w:r>
      <w:r>
        <w:t xml:space="preserve">site-specific emissions-intensity values will be needed for facilities </w:t>
      </w:r>
      <w:r w:rsidR="008323C5">
        <w:t>that are currently using published industry-average values</w:t>
      </w:r>
      <w:r>
        <w:t>. Implementation details are discussed in more detail below.</w:t>
      </w:r>
    </w:p>
    <w:p w14:paraId="0B06B8C0" w14:textId="4BB53C24" w:rsidR="008D7282" w:rsidRDefault="001535AB" w:rsidP="00FF5D77">
      <w:pPr>
        <w:pStyle w:val="Calloutbox"/>
      </w:pPr>
      <w:r>
        <w:t xml:space="preserve">Baselines </w:t>
      </w:r>
      <w:r w:rsidR="008D7282">
        <w:t>for existing facilities w</w:t>
      </w:r>
      <w:r w:rsidR="00156E49">
        <w:t>ould</w:t>
      </w:r>
      <w:r w:rsidR="008D7282">
        <w:t xml:space="preserve"> be set using a hybrid model initially weighted towards the use of site-specific emissions intensity values, and transitioning to industry average emissions intensity values by 2030. </w:t>
      </w:r>
    </w:p>
    <w:p w14:paraId="1BEA6130" w14:textId="77777777" w:rsidR="00BF65A3" w:rsidRDefault="00BF65A3" w:rsidP="00242764">
      <w:pPr>
        <w:pStyle w:val="Heading2"/>
      </w:pPr>
      <w:bookmarkStart w:id="512" w:name="_Toc117627720"/>
      <w:bookmarkStart w:id="513" w:name="_Toc117630385"/>
      <w:bookmarkStart w:id="514" w:name="_Toc117867992"/>
      <w:bookmarkStart w:id="515" w:name="_Toc117888006"/>
      <w:bookmarkStart w:id="516" w:name="_Toc117951450"/>
      <w:bookmarkStart w:id="517" w:name="_Toc117960097"/>
      <w:bookmarkStart w:id="518" w:name="_Toc118040358"/>
      <w:bookmarkStart w:id="519" w:name="_Toc118196210"/>
      <w:bookmarkStart w:id="520" w:name="_Toc118198379"/>
      <w:bookmarkStart w:id="521" w:name="_Toc118198794"/>
      <w:bookmarkStart w:id="522" w:name="_Toc118198985"/>
      <w:bookmarkStart w:id="523" w:name="_Toc118199539"/>
      <w:bookmarkStart w:id="524" w:name="_Toc118304111"/>
      <w:bookmarkStart w:id="525" w:name="_Toc118304142"/>
      <w:bookmarkStart w:id="526" w:name="_Toc118306344"/>
      <w:bookmarkStart w:id="527" w:name="_Toc118308336"/>
      <w:bookmarkStart w:id="528" w:name="_Toc119500907"/>
      <w:bookmarkStart w:id="529" w:name="_Toc119572362"/>
      <w:bookmarkStart w:id="530" w:name="_Toc120098957"/>
      <w:bookmarkStart w:id="531" w:name="_Toc122514437"/>
      <w:bookmarkStart w:id="532" w:name="_Toc124100687"/>
      <w:bookmarkStart w:id="533" w:name="_Toc117437060"/>
      <w:bookmarkStart w:id="534" w:name="_Toc117499184"/>
      <w:bookmarkStart w:id="535" w:name="_Toc117521031"/>
      <w:bookmarkStart w:id="536" w:name="_Toc117524778"/>
      <w:bookmarkStart w:id="537" w:name="_Toc117543969"/>
      <w:bookmarkStart w:id="538" w:name="_Toc117548320"/>
      <w:bookmarkStart w:id="539" w:name="_Toc117588638"/>
      <w:bookmarkStart w:id="540" w:name="_Toc117588682"/>
      <w:bookmarkStart w:id="541" w:name="_Toc117604800"/>
      <w:bookmarkStart w:id="542" w:name="_Toc117612882"/>
      <w:bookmarkStart w:id="543" w:name="_Toc117255414"/>
      <w:bookmarkStart w:id="544" w:name="_Toc117263155"/>
      <w:bookmarkStart w:id="545" w:name="_Toc117437236"/>
      <w:r>
        <w:t>Implementing a hybrid model</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t xml:space="preserve"> </w:t>
      </w:r>
      <w:bookmarkEnd w:id="533"/>
      <w:bookmarkEnd w:id="534"/>
      <w:bookmarkEnd w:id="535"/>
      <w:bookmarkEnd w:id="536"/>
      <w:bookmarkEnd w:id="537"/>
      <w:bookmarkEnd w:id="538"/>
      <w:bookmarkEnd w:id="539"/>
      <w:bookmarkEnd w:id="540"/>
      <w:bookmarkEnd w:id="541"/>
      <w:bookmarkEnd w:id="542"/>
    </w:p>
    <w:bookmarkEnd w:id="543"/>
    <w:bookmarkEnd w:id="544"/>
    <w:bookmarkEnd w:id="545"/>
    <w:p w14:paraId="099F3433" w14:textId="77777777" w:rsidR="00BF65A3" w:rsidRDefault="00BF65A3" w:rsidP="00BF65A3">
      <w:pPr>
        <w:pStyle w:val="Heading3"/>
      </w:pPr>
      <w:r>
        <w:t xml:space="preserve">Transitioning from existing </w:t>
      </w:r>
      <w:r w:rsidR="00F56F6E">
        <w:t>arrangements</w:t>
      </w:r>
    </w:p>
    <w:p w14:paraId="3BA24020" w14:textId="77777777" w:rsidR="00BF65A3" w:rsidRDefault="00462268" w:rsidP="00BF65A3">
      <w:r>
        <w:t>T</w:t>
      </w:r>
      <w:r w:rsidR="00677F9E">
        <w:t>he</w:t>
      </w:r>
      <w:r w:rsidR="00BF65A3">
        <w:t xml:space="preserve"> hybrid approach adds complexity </w:t>
      </w:r>
      <w:r w:rsidR="00677F9E">
        <w:t>by combining site-specific and industry-average emissions-intensity values</w:t>
      </w:r>
      <w:r w:rsidR="00BF65A3">
        <w:t xml:space="preserve">, </w:t>
      </w:r>
      <w:r>
        <w:t>but</w:t>
      </w:r>
      <w:r w:rsidR="00AF0268">
        <w:t xml:space="preserve"> also presents an opportunity to make </w:t>
      </w:r>
      <w:r w:rsidR="00576F4C">
        <w:t>baseline</w:t>
      </w:r>
      <w:r w:rsidR="00BF65A3">
        <w:t xml:space="preserve"> setting arrangements simpler </w:t>
      </w:r>
      <w:r w:rsidR="00576F4C">
        <w:t>overall</w:t>
      </w:r>
      <w:r w:rsidR="001A74B0">
        <w:t xml:space="preserve">. In particular, the </w:t>
      </w:r>
      <w:r w:rsidR="00BF65A3">
        <w:t xml:space="preserve">optionality </w:t>
      </w:r>
      <w:r w:rsidR="001A74B0">
        <w:t xml:space="preserve">that currently exists </w:t>
      </w:r>
      <w:r w:rsidR="00BF65A3">
        <w:t xml:space="preserve">will be removed, so </w:t>
      </w:r>
      <w:r w:rsidR="001A74B0">
        <w:t xml:space="preserve">that all </w:t>
      </w:r>
      <w:r w:rsidR="00BF65A3">
        <w:t xml:space="preserve">Safeguard facilities </w:t>
      </w:r>
      <w:r w:rsidR="001A74B0">
        <w:t>are</w:t>
      </w:r>
      <w:r w:rsidR="00BF65A3">
        <w:t xml:space="preserve"> treated consistently. From </w:t>
      </w:r>
      <w:r w:rsidR="00246560">
        <w:t>the commencement of Safeguard Mechanism reforms</w:t>
      </w:r>
      <w:r w:rsidR="00BF65A3">
        <w:t>:</w:t>
      </w:r>
    </w:p>
    <w:p w14:paraId="5A82DCEC" w14:textId="77777777" w:rsidR="00BF65A3" w:rsidRDefault="00BF65A3" w:rsidP="00BF65A3">
      <w:pPr>
        <w:pStyle w:val="ListParagraph"/>
        <w:numPr>
          <w:ilvl w:val="0"/>
          <w:numId w:val="2"/>
        </w:numPr>
        <w:ind w:left="425" w:hanging="425"/>
        <w:contextualSpacing w:val="0"/>
        <w:rPr>
          <w:bCs/>
        </w:rPr>
      </w:pPr>
      <w:r w:rsidRPr="001E1025">
        <w:rPr>
          <w:b/>
          <w:bCs/>
        </w:rPr>
        <w:t>All facilities must use production-adjusted baselines</w:t>
      </w:r>
      <w:r w:rsidRPr="001E1025">
        <w:rPr>
          <w:bCs/>
        </w:rPr>
        <w:t xml:space="preserve">: </w:t>
      </w:r>
      <w:r>
        <w:rPr>
          <w:bCs/>
        </w:rPr>
        <w:t xml:space="preserve">Reported and calculated baselines will no longer be available—this includes the </w:t>
      </w:r>
      <w:r w:rsidR="00BE1C0E">
        <w:rPr>
          <w:bCs/>
        </w:rPr>
        <w:t xml:space="preserve">previous </w:t>
      </w:r>
      <w:r>
        <w:rPr>
          <w:bCs/>
        </w:rPr>
        <w:t xml:space="preserve">opportunity to apply for </w:t>
      </w:r>
      <w:r w:rsidR="00246560">
        <w:rPr>
          <w:bCs/>
        </w:rPr>
        <w:t xml:space="preserve">a new calculated baseline due to the </w:t>
      </w:r>
      <w:r>
        <w:rPr>
          <w:bCs/>
        </w:rPr>
        <w:t>inherent emission variability</w:t>
      </w:r>
      <w:r w:rsidR="00246560">
        <w:rPr>
          <w:bCs/>
        </w:rPr>
        <w:t xml:space="preserve"> of a natural resource</w:t>
      </w:r>
      <w:r w:rsidR="00462268">
        <w:rPr>
          <w:bCs/>
        </w:rPr>
        <w:t xml:space="preserve"> (see details below)</w:t>
      </w:r>
      <w:r>
        <w:rPr>
          <w:bCs/>
        </w:rPr>
        <w:t>.</w:t>
      </w:r>
    </w:p>
    <w:p w14:paraId="696226A5" w14:textId="77777777" w:rsidR="00BF65A3" w:rsidRPr="000C5FA4" w:rsidRDefault="0050306A" w:rsidP="0059378F">
      <w:pPr>
        <w:pStyle w:val="ListParagraph"/>
        <w:numPr>
          <w:ilvl w:val="1"/>
          <w:numId w:val="20"/>
        </w:numPr>
        <w:ind w:left="851"/>
        <w:contextualSpacing w:val="0"/>
        <w:rPr>
          <w:bCs/>
        </w:rPr>
      </w:pPr>
      <w:r w:rsidRPr="000C5FA4">
        <w:rPr>
          <w:bCs/>
        </w:rPr>
        <w:t>By 2023-24, m</w:t>
      </w:r>
      <w:r w:rsidR="00BF65A3" w:rsidRPr="000C5FA4">
        <w:rPr>
          <w:bCs/>
        </w:rPr>
        <w:t xml:space="preserve">ost </w:t>
      </w:r>
      <w:r w:rsidRPr="000C5FA4">
        <w:rPr>
          <w:bCs/>
        </w:rPr>
        <w:t xml:space="preserve">facilities </w:t>
      </w:r>
      <w:r w:rsidR="00BF65A3" w:rsidRPr="000C5FA4">
        <w:rPr>
          <w:bCs/>
        </w:rPr>
        <w:t xml:space="preserve">will </w:t>
      </w:r>
      <w:r w:rsidR="00755C25">
        <w:rPr>
          <w:bCs/>
        </w:rPr>
        <w:t xml:space="preserve">already </w:t>
      </w:r>
      <w:r w:rsidR="00035DB4">
        <w:rPr>
          <w:bCs/>
        </w:rPr>
        <w:t>have moved to</w:t>
      </w:r>
      <w:r w:rsidRPr="000C5FA4">
        <w:rPr>
          <w:bCs/>
        </w:rPr>
        <w:t xml:space="preserve"> production-adjusted baselines</w:t>
      </w:r>
      <w:r w:rsidR="00BF65A3" w:rsidRPr="000C5FA4">
        <w:rPr>
          <w:bCs/>
        </w:rPr>
        <w:t xml:space="preserve">. </w:t>
      </w:r>
      <w:r w:rsidRPr="000C5FA4">
        <w:rPr>
          <w:bCs/>
        </w:rPr>
        <w:t>A small number (less than 20)</w:t>
      </w:r>
      <w:r w:rsidR="00BF65A3" w:rsidRPr="000C5FA4">
        <w:rPr>
          <w:bCs/>
        </w:rPr>
        <w:t xml:space="preserve"> will be in their fina</w:t>
      </w:r>
      <w:r w:rsidRPr="000C5FA4">
        <w:rPr>
          <w:bCs/>
        </w:rPr>
        <w:t>l year of a calculated baseline</w:t>
      </w:r>
      <w:r w:rsidR="00BF65A3" w:rsidRPr="000C5FA4">
        <w:rPr>
          <w:bCs/>
        </w:rPr>
        <w:t>—</w:t>
      </w:r>
      <w:r w:rsidRPr="000C5FA4">
        <w:rPr>
          <w:bCs/>
        </w:rPr>
        <w:t>the new approach</w:t>
      </w:r>
      <w:r w:rsidR="00BF65A3" w:rsidRPr="000C5FA4">
        <w:rPr>
          <w:bCs/>
        </w:rPr>
        <w:t xml:space="preserve"> will bring forward </w:t>
      </w:r>
      <w:r w:rsidR="00035DB4">
        <w:rPr>
          <w:bCs/>
        </w:rPr>
        <w:t>this</w:t>
      </w:r>
      <w:r w:rsidR="00BF65A3" w:rsidRPr="000C5FA4">
        <w:rPr>
          <w:bCs/>
        </w:rPr>
        <w:t xml:space="preserve"> transition by 12 months.</w:t>
      </w:r>
    </w:p>
    <w:p w14:paraId="75716AC5" w14:textId="77777777" w:rsidR="00BF65A3" w:rsidRDefault="00BF65A3" w:rsidP="00BF65A3">
      <w:pPr>
        <w:pStyle w:val="ListParagraph"/>
        <w:numPr>
          <w:ilvl w:val="0"/>
          <w:numId w:val="2"/>
        </w:numPr>
        <w:ind w:left="425" w:hanging="425"/>
        <w:contextualSpacing w:val="0"/>
        <w:rPr>
          <w:bCs/>
        </w:rPr>
      </w:pPr>
      <w:r w:rsidRPr="001E1025">
        <w:rPr>
          <w:b/>
          <w:bCs/>
        </w:rPr>
        <w:lastRenderedPageBreak/>
        <w:t>All facilities must use Government-defined production variables</w:t>
      </w:r>
      <w:r>
        <w:rPr>
          <w:bCs/>
        </w:rPr>
        <w:t xml:space="preserve">: The hybrid model uses industry-average </w:t>
      </w:r>
      <w:r w:rsidR="0050306A">
        <w:rPr>
          <w:bCs/>
        </w:rPr>
        <w:t xml:space="preserve">emissions-intensity </w:t>
      </w:r>
      <w:r>
        <w:rPr>
          <w:bCs/>
        </w:rPr>
        <w:t>values</w:t>
      </w:r>
      <w:r w:rsidR="00035DB4">
        <w:rPr>
          <w:bCs/>
        </w:rPr>
        <w:t xml:space="preserve">. These values </w:t>
      </w:r>
      <w:r w:rsidR="00755C25">
        <w:rPr>
          <w:bCs/>
        </w:rPr>
        <w:t>can only be calculated</w:t>
      </w:r>
      <w:r w:rsidR="00035DB4">
        <w:rPr>
          <w:bCs/>
        </w:rPr>
        <w:t xml:space="preserve"> for Government-defined production variables</w:t>
      </w:r>
      <w:r w:rsidR="00035DB4">
        <w:rPr>
          <w:rStyle w:val="FootnoteReference"/>
          <w:bCs/>
        </w:rPr>
        <w:footnoteReference w:id="17"/>
      </w:r>
      <w:r>
        <w:rPr>
          <w:bCs/>
        </w:rPr>
        <w:t xml:space="preserve">, so all facilities must use </w:t>
      </w:r>
      <w:r w:rsidR="00035DB4">
        <w:rPr>
          <w:bCs/>
        </w:rPr>
        <w:t>them</w:t>
      </w:r>
      <w:r>
        <w:rPr>
          <w:bCs/>
        </w:rPr>
        <w:t>.</w:t>
      </w:r>
      <w:r w:rsidR="0050306A">
        <w:rPr>
          <w:bCs/>
        </w:rPr>
        <w:t xml:space="preserve"> </w:t>
      </w:r>
      <w:r>
        <w:rPr>
          <w:bCs/>
        </w:rPr>
        <w:t xml:space="preserve"> </w:t>
      </w:r>
    </w:p>
    <w:p w14:paraId="1B19F7D0" w14:textId="77777777" w:rsidR="0050306A" w:rsidRPr="0050306A" w:rsidRDefault="00BF65A3" w:rsidP="0050306A">
      <w:pPr>
        <w:pStyle w:val="ListParagraph"/>
        <w:numPr>
          <w:ilvl w:val="0"/>
          <w:numId w:val="2"/>
        </w:numPr>
        <w:ind w:left="425" w:hanging="425"/>
        <w:contextualSpacing w:val="0"/>
        <w:rPr>
          <w:bCs/>
        </w:rPr>
      </w:pPr>
      <w:r>
        <w:rPr>
          <w:b/>
          <w:bCs/>
        </w:rPr>
        <w:t>All production variables will be production</w:t>
      </w:r>
      <w:r w:rsidRPr="001E1025">
        <w:rPr>
          <w:b/>
          <w:bCs/>
        </w:rPr>
        <w:t>-adjusted</w:t>
      </w:r>
      <w:r>
        <w:rPr>
          <w:bCs/>
        </w:rPr>
        <w:t xml:space="preserve">: </w:t>
      </w:r>
      <w:r w:rsidR="00093779">
        <w:rPr>
          <w:bCs/>
        </w:rPr>
        <w:t>the petroleum refining production variable</w:t>
      </w:r>
      <w:r>
        <w:rPr>
          <w:bCs/>
        </w:rPr>
        <w:t xml:space="preserve"> will move </w:t>
      </w:r>
      <w:r w:rsidR="00093779">
        <w:rPr>
          <w:bCs/>
        </w:rPr>
        <w:t xml:space="preserve">from the fixed </w:t>
      </w:r>
      <w:r>
        <w:rPr>
          <w:bCs/>
        </w:rPr>
        <w:t xml:space="preserve">to </w:t>
      </w:r>
      <w:r w:rsidR="00093779">
        <w:rPr>
          <w:bCs/>
        </w:rPr>
        <w:t>production-adjusted framework</w:t>
      </w:r>
      <w:r w:rsidR="00462268">
        <w:rPr>
          <w:bCs/>
        </w:rPr>
        <w:t xml:space="preserve"> (see details below)</w:t>
      </w:r>
      <w:r>
        <w:rPr>
          <w:bCs/>
        </w:rPr>
        <w:t xml:space="preserve">. </w:t>
      </w:r>
    </w:p>
    <w:p w14:paraId="4E449DEF" w14:textId="77777777" w:rsidR="005C3C38" w:rsidRPr="005C3C38" w:rsidRDefault="00BF65A3" w:rsidP="002D7D41">
      <w:pPr>
        <w:pStyle w:val="Heading4"/>
      </w:pPr>
      <w:r>
        <w:t xml:space="preserve">Inherent emissions variability </w:t>
      </w:r>
    </w:p>
    <w:p w14:paraId="396BBC95" w14:textId="77777777" w:rsidR="00BF65A3" w:rsidRDefault="00BF65A3" w:rsidP="00BF65A3">
      <w:pPr>
        <w:keepLines/>
      </w:pPr>
      <w:r>
        <w:t xml:space="preserve">The Safeguard Mechanism was originally designed to set baselines to keep pace with business-as-usual emissions. To achieve this, mining, oil and gas facilities could reset their site-specific emissions-intensity value once before 1 July 2025 using an ‘inherent emissions variability’ calculated baseline application. </w:t>
      </w:r>
    </w:p>
    <w:p w14:paraId="752E6309" w14:textId="77777777" w:rsidR="00280D7D" w:rsidRDefault="00093779" w:rsidP="00BF65A3">
      <w:pPr>
        <w:keepLines/>
      </w:pPr>
      <w:r>
        <w:t>The</w:t>
      </w:r>
      <w:r w:rsidR="00280D7D">
        <w:t xml:space="preserve"> objective of the </w:t>
      </w:r>
      <w:r w:rsidR="00092C89">
        <w:t>Safeguard Mechanism has changed</w:t>
      </w:r>
      <w:r w:rsidR="00280D7D">
        <w:t xml:space="preserve"> and </w:t>
      </w:r>
      <w:r w:rsidR="008E53AC">
        <w:t xml:space="preserve">some </w:t>
      </w:r>
      <w:r w:rsidR="00280D7D">
        <w:t xml:space="preserve">businesses acknowledged </w:t>
      </w:r>
      <w:r>
        <w:t xml:space="preserve">that </w:t>
      </w:r>
      <w:r w:rsidR="00092C89">
        <w:t xml:space="preserve">retaining the </w:t>
      </w:r>
      <w:r w:rsidR="00280D7D">
        <w:t xml:space="preserve">natural resource variability </w:t>
      </w:r>
      <w:r w:rsidR="00092C89">
        <w:t xml:space="preserve">criteria </w:t>
      </w:r>
      <w:r w:rsidR="00280D7D">
        <w:t xml:space="preserve">would not be consistent with a net zero trajectory. </w:t>
      </w:r>
    </w:p>
    <w:p w14:paraId="0F9A5858" w14:textId="77777777" w:rsidR="00BF65A3" w:rsidRDefault="00BF65A3" w:rsidP="00BF65A3">
      <w:pPr>
        <w:pStyle w:val="Quote"/>
      </w:pPr>
      <w:r>
        <w:t>The inherent emissions variability criteria have been an important means by which Safeguard facilities are able to seek baseline adjustments for the uncontrollable effects of variable natural resource properties on their business-as-usual emissions. We acknowledge that the ongoing relevance of the criteria in the context of declining baselines is open to debate and suggest this be determined during Phase 1.</w:t>
      </w:r>
    </w:p>
    <w:p w14:paraId="2F3BD60D" w14:textId="77777777" w:rsidR="00BF65A3" w:rsidRDefault="00BF65A3" w:rsidP="00BF65A3">
      <w:pPr>
        <w:pStyle w:val="IntenseQuote"/>
      </w:pPr>
      <w:r>
        <w:t>BHP</w:t>
      </w:r>
    </w:p>
    <w:p w14:paraId="258F7F66" w14:textId="77777777" w:rsidR="00BF65A3" w:rsidRDefault="00BF65A3" w:rsidP="00BF65A3">
      <w:pPr>
        <w:pStyle w:val="Quote"/>
      </w:pPr>
      <w:r>
        <w:t>INPEX concedes that re-assessment of emissions intensities through the Inherent Emissions Variability clause is no longer aligned with net zero ambitions however the scenarios in which facilities would seek to employ this clause still exist.</w:t>
      </w:r>
    </w:p>
    <w:p w14:paraId="0D173B42" w14:textId="77777777" w:rsidR="00BF65A3" w:rsidRPr="008C6190" w:rsidRDefault="00BF65A3" w:rsidP="00BF65A3">
      <w:pPr>
        <w:pStyle w:val="IntenseQuote"/>
      </w:pPr>
      <w:r>
        <w:t>INPEX</w:t>
      </w:r>
    </w:p>
    <w:p w14:paraId="4F49063A" w14:textId="77777777" w:rsidR="006F22FD" w:rsidRDefault="00BE1C0E" w:rsidP="006F22FD">
      <w:r>
        <w:t>For this reason, t</w:t>
      </w:r>
      <w:r w:rsidR="008E53AC">
        <w:t xml:space="preserve">he Government proposes to remove the ‘inherent emissions variability’ criteria. Instead, all </w:t>
      </w:r>
      <w:r w:rsidR="006F22FD">
        <w:t xml:space="preserve">baselines </w:t>
      </w:r>
      <w:r w:rsidR="008E53AC">
        <w:t xml:space="preserve">will </w:t>
      </w:r>
      <w:r w:rsidR="00E6211B">
        <w:t>use</w:t>
      </w:r>
      <w:r w:rsidR="006F22FD">
        <w:t xml:space="preserve"> a site</w:t>
      </w:r>
      <w:r w:rsidR="008E53AC">
        <w:t>-</w:t>
      </w:r>
      <w:r w:rsidR="006F22FD">
        <w:t xml:space="preserve">specific emissions intensity </w:t>
      </w:r>
      <w:r w:rsidR="008E53AC">
        <w:t>value that reflects historic</w:t>
      </w:r>
      <w:r w:rsidR="006F22FD">
        <w:t xml:space="preserve"> data </w:t>
      </w:r>
      <w:r w:rsidR="008E53AC">
        <w:t>using a consistent calculation method—</w:t>
      </w:r>
      <w:r w:rsidR="006F22FD">
        <w:t xml:space="preserve">meaning all facilities </w:t>
      </w:r>
      <w:r w:rsidR="008E53AC">
        <w:t>will be</w:t>
      </w:r>
      <w:r w:rsidR="006F22FD">
        <w:t xml:space="preserve"> treated equally. </w:t>
      </w:r>
    </w:p>
    <w:p w14:paraId="3F80C233" w14:textId="77777777" w:rsidR="002D7D41" w:rsidRDefault="007A52E0" w:rsidP="002D7D41">
      <w:pPr>
        <w:pStyle w:val="Heading4"/>
      </w:pPr>
      <w:r>
        <w:t>Petroleum refining</w:t>
      </w:r>
    </w:p>
    <w:p w14:paraId="49A70448" w14:textId="77777777" w:rsidR="005B1038" w:rsidRDefault="005B1038" w:rsidP="002D7D41">
      <w:pPr>
        <w:rPr>
          <w:bCs/>
        </w:rPr>
      </w:pPr>
      <w:r>
        <w:rPr>
          <w:bCs/>
        </w:rPr>
        <w:t xml:space="preserve">In cases where output-based production variables are not feasible, an input or intermediate product </w:t>
      </w:r>
      <w:r w:rsidR="00462268">
        <w:rPr>
          <w:bCs/>
        </w:rPr>
        <w:t>is</w:t>
      </w:r>
      <w:r>
        <w:rPr>
          <w:bCs/>
        </w:rPr>
        <w:t xml:space="preserve"> used as a proxy. </w:t>
      </w:r>
      <w:r w:rsidR="00E57B4E">
        <w:rPr>
          <w:bCs/>
        </w:rPr>
        <w:t>Under current arrangements, these non-output based</w:t>
      </w:r>
      <w:r>
        <w:rPr>
          <w:bCs/>
        </w:rPr>
        <w:t xml:space="preserve"> production variables result in fixed baselines and are published in a separate schedule (Schedule 3</w:t>
      </w:r>
      <w:r w:rsidR="00E6211B">
        <w:rPr>
          <w:bCs/>
        </w:rPr>
        <w:t>)</w:t>
      </w:r>
      <w:r>
        <w:rPr>
          <w:bCs/>
        </w:rPr>
        <w:t xml:space="preserve"> of the Safeguard </w:t>
      </w:r>
      <w:r w:rsidR="00E6211B">
        <w:rPr>
          <w:bCs/>
        </w:rPr>
        <w:t xml:space="preserve">Mechanism </w:t>
      </w:r>
      <w:r>
        <w:rPr>
          <w:bCs/>
        </w:rPr>
        <w:t>Rule</w:t>
      </w:r>
      <w:r w:rsidR="00E6211B">
        <w:rPr>
          <w:bCs/>
        </w:rPr>
        <w:t>. P</w:t>
      </w:r>
      <w:r>
        <w:rPr>
          <w:bCs/>
        </w:rPr>
        <w:t xml:space="preserve">etroleum refining is the only production variable in this category. </w:t>
      </w:r>
    </w:p>
    <w:p w14:paraId="275C0B42" w14:textId="77777777" w:rsidR="002D7D41" w:rsidRPr="002D7D41" w:rsidRDefault="007A52E0" w:rsidP="002D7D41">
      <w:r>
        <w:t>The</w:t>
      </w:r>
      <w:r w:rsidR="00EF6CD8">
        <w:t xml:space="preserve"> Government </w:t>
      </w:r>
      <w:r>
        <w:t>proposes to move the petroleum r</w:t>
      </w:r>
      <w:r w:rsidR="00EF6CD8">
        <w:t xml:space="preserve">efining production variable to </w:t>
      </w:r>
      <w:r>
        <w:t>the production-adjusted framework</w:t>
      </w:r>
      <w:r w:rsidR="00E6211B">
        <w:t xml:space="preserve"> (Schedule 2)</w:t>
      </w:r>
      <w:r w:rsidR="00EF6CD8">
        <w:t>.</w:t>
      </w:r>
      <w:r>
        <w:t xml:space="preserve"> This will simplify the Safeguard Mechanism </w:t>
      </w:r>
      <w:r w:rsidR="00E6211B">
        <w:t>R</w:t>
      </w:r>
      <w:r>
        <w:t xml:space="preserve">ule, including by removing the need for </w:t>
      </w:r>
      <w:r w:rsidR="00CC6992">
        <w:t xml:space="preserve">the </w:t>
      </w:r>
      <w:r>
        <w:t>baseline setting framework to accommodate fixed baselines.</w:t>
      </w:r>
    </w:p>
    <w:p w14:paraId="1128B94C" w14:textId="77777777" w:rsidR="0007369C" w:rsidRDefault="007A52E0" w:rsidP="002D7D41">
      <w:r>
        <w:t>The Government recognises</w:t>
      </w:r>
      <w:r w:rsidR="00EF6CD8">
        <w:t xml:space="preserve"> that allowing an input</w:t>
      </w:r>
      <w:r>
        <w:t>-based</w:t>
      </w:r>
      <w:r w:rsidR="00EF6CD8">
        <w:t xml:space="preserve"> production variable to annually adjust carries the </w:t>
      </w:r>
      <w:r w:rsidR="00035DB4">
        <w:t>risk that a facility may</w:t>
      </w:r>
      <w:r w:rsidR="00EF6CD8">
        <w:t xml:space="preserve"> </w:t>
      </w:r>
      <w:r w:rsidR="00186051">
        <w:t>consume more inputs</w:t>
      </w:r>
      <w:r w:rsidR="00EF6CD8">
        <w:t xml:space="preserve"> to increase </w:t>
      </w:r>
      <w:r w:rsidR="00035DB4">
        <w:t>its</w:t>
      </w:r>
      <w:r w:rsidR="00EF6CD8">
        <w:t xml:space="preserve"> baseline. </w:t>
      </w:r>
      <w:r>
        <w:t>However,</w:t>
      </w:r>
      <w:r w:rsidR="00EF6CD8">
        <w:t xml:space="preserve"> the </w:t>
      </w:r>
      <w:r>
        <w:t>Government believes these risks are manageable</w:t>
      </w:r>
      <w:r w:rsidR="001F117B">
        <w:t xml:space="preserve"> in this specific case</w:t>
      </w:r>
      <w:r>
        <w:t xml:space="preserve">, noting that only two facilities use this production variable and there are </w:t>
      </w:r>
      <w:r w:rsidR="008C420B">
        <w:t>commercial incentive</w:t>
      </w:r>
      <w:r>
        <w:t>s</w:t>
      </w:r>
      <w:r w:rsidR="008C420B">
        <w:t xml:space="preserve"> to use input materials efficiently</w:t>
      </w:r>
      <w:r w:rsidR="0007369C">
        <w:t xml:space="preserve">. </w:t>
      </w:r>
    </w:p>
    <w:p w14:paraId="625955AD" w14:textId="6CA2C3E9" w:rsidR="00BF65A3" w:rsidRDefault="00BF65A3" w:rsidP="002E085D">
      <w:pPr>
        <w:pStyle w:val="Calloutbox"/>
        <w:keepNext/>
      </w:pPr>
      <w:r>
        <w:lastRenderedPageBreak/>
        <w:t xml:space="preserve">From the commencement of Safeguard Mechanism reforms in 2023-24: </w:t>
      </w:r>
    </w:p>
    <w:p w14:paraId="1838A91D" w14:textId="1548E61E" w:rsidR="00BF65A3" w:rsidRDefault="00BF65A3" w:rsidP="00FF5D77">
      <w:pPr>
        <w:pStyle w:val="Calloutbox"/>
      </w:pPr>
      <w:r>
        <w:t xml:space="preserve">- all facilities </w:t>
      </w:r>
      <w:r w:rsidR="00334435">
        <w:t xml:space="preserve">to be on </w:t>
      </w:r>
      <w:r>
        <w:t>production-adjusted baselines</w:t>
      </w:r>
      <w:r w:rsidR="00FB3916">
        <w:t>—reported</w:t>
      </w:r>
      <w:r w:rsidR="0011042C">
        <w:t xml:space="preserve">, </w:t>
      </w:r>
      <w:r w:rsidR="00FB3916">
        <w:t xml:space="preserve">calculated </w:t>
      </w:r>
      <w:r w:rsidR="0011042C">
        <w:t xml:space="preserve">and fixed </w:t>
      </w:r>
      <w:r w:rsidR="00FB3916">
        <w:t>baselines will no longer be available;</w:t>
      </w:r>
    </w:p>
    <w:p w14:paraId="50BC7A27" w14:textId="2254D794" w:rsidR="00BF65A3" w:rsidRDefault="00BF65A3" w:rsidP="00FF5D77">
      <w:pPr>
        <w:pStyle w:val="Calloutbox"/>
      </w:pPr>
      <w:r>
        <w:t>- all facilities</w:t>
      </w:r>
      <w:r w:rsidR="00334435">
        <w:t xml:space="preserve"> to </w:t>
      </w:r>
      <w:r>
        <w:t>use published, Government-determined production variables.</w:t>
      </w:r>
    </w:p>
    <w:p w14:paraId="69A701FB" w14:textId="77777777" w:rsidR="005B52DA" w:rsidRDefault="005B52DA" w:rsidP="005B52DA">
      <w:pPr>
        <w:pStyle w:val="Heading4"/>
      </w:pPr>
      <w:r>
        <w:t>Reviewing production variables</w:t>
      </w:r>
    </w:p>
    <w:p w14:paraId="4703F5E4" w14:textId="77777777" w:rsidR="003434F7" w:rsidRDefault="003434F7" w:rsidP="005B52DA">
      <w:r>
        <w:t xml:space="preserve">To ensure </w:t>
      </w:r>
      <w:r w:rsidR="005530F5">
        <w:t xml:space="preserve">baselines can be calculated for </w:t>
      </w:r>
      <w:r>
        <w:t>all facilities</w:t>
      </w:r>
      <w:r w:rsidR="006A568E">
        <w:t>,</w:t>
      </w:r>
      <w:r>
        <w:t xml:space="preserve"> the Department will work with </w:t>
      </w:r>
      <w:r w:rsidR="006A568E">
        <w:t>businesses</w:t>
      </w:r>
      <w:r>
        <w:t xml:space="preserve"> to ensure </w:t>
      </w:r>
      <w:r w:rsidR="00C633CE">
        <w:t>appropriate</w:t>
      </w:r>
      <w:r w:rsidR="006A568E">
        <w:t xml:space="preserve"> production variable</w:t>
      </w:r>
      <w:r>
        <w:t xml:space="preserve"> definitions and </w:t>
      </w:r>
      <w:r w:rsidR="00C633CE">
        <w:t>emissions-</w:t>
      </w:r>
      <w:r w:rsidR="006A568E">
        <w:t xml:space="preserve">intensity </w:t>
      </w:r>
      <w:r>
        <w:t xml:space="preserve">values are published </w:t>
      </w:r>
      <w:r w:rsidR="006A568E">
        <w:t>in</w:t>
      </w:r>
      <w:r>
        <w:t xml:space="preserve"> the Safeguard Rule</w:t>
      </w:r>
      <w:r w:rsidR="006A568E">
        <w:rPr>
          <w:rStyle w:val="FootnoteReference"/>
        </w:rPr>
        <w:footnoteReference w:id="18"/>
      </w:r>
      <w:r>
        <w:t>.</w:t>
      </w:r>
      <w:r w:rsidR="005530F5">
        <w:t xml:space="preserve"> Most are already published but a small number are still being finalised, and some may need to be revisited to ensure they are suitable in the context of crediting and declining baselines.</w:t>
      </w:r>
      <w:r w:rsidR="00C633CE">
        <w:t xml:space="preserve"> </w:t>
      </w:r>
      <w:r>
        <w:t>This will include:</w:t>
      </w:r>
    </w:p>
    <w:p w14:paraId="7DFD0165" w14:textId="77777777" w:rsidR="003434F7" w:rsidRPr="006A568E" w:rsidRDefault="005530F5" w:rsidP="006A568E">
      <w:pPr>
        <w:pStyle w:val="ListParagraph"/>
        <w:numPr>
          <w:ilvl w:val="0"/>
          <w:numId w:val="2"/>
        </w:numPr>
        <w:ind w:left="425" w:hanging="425"/>
        <w:contextualSpacing w:val="0"/>
        <w:rPr>
          <w:bCs/>
        </w:rPr>
      </w:pPr>
      <w:r w:rsidRPr="005530F5">
        <w:rPr>
          <w:b/>
          <w:bCs/>
        </w:rPr>
        <w:t>finalising emissions-intensity values</w:t>
      </w:r>
      <w:r>
        <w:rPr>
          <w:bCs/>
        </w:rPr>
        <w:t xml:space="preserve">: </w:t>
      </w:r>
      <w:r w:rsidR="006A568E">
        <w:rPr>
          <w:bCs/>
        </w:rPr>
        <w:t>c</w:t>
      </w:r>
      <w:r w:rsidR="003434F7" w:rsidRPr="006A568E">
        <w:rPr>
          <w:bCs/>
        </w:rPr>
        <w:t>alculating the remaining indust</w:t>
      </w:r>
      <w:r w:rsidR="006A568E">
        <w:rPr>
          <w:bCs/>
        </w:rPr>
        <w:t>ry average emissions intensity values</w:t>
      </w:r>
      <w:r w:rsidR="003434F7" w:rsidRPr="006A568E">
        <w:rPr>
          <w:bCs/>
        </w:rPr>
        <w:t xml:space="preserve"> fo</w:t>
      </w:r>
      <w:r w:rsidR="006A568E">
        <w:rPr>
          <w:bCs/>
        </w:rPr>
        <w:t>r existing production variables</w:t>
      </w:r>
      <w:r>
        <w:rPr>
          <w:bCs/>
        </w:rPr>
        <w:t xml:space="preserve">, including reservoir </w:t>
      </w:r>
      <w:r w:rsidRPr="005530F5">
        <w:rPr>
          <w:bCs/>
        </w:rPr>
        <w:t>CO</w:t>
      </w:r>
      <w:r w:rsidRPr="005530F5">
        <w:rPr>
          <w:bCs/>
          <w:vertAlign w:val="subscript"/>
        </w:rPr>
        <w:t>2</w:t>
      </w:r>
      <w:r w:rsidR="006A568E">
        <w:rPr>
          <w:bCs/>
        </w:rPr>
        <w:t>;</w:t>
      </w:r>
    </w:p>
    <w:p w14:paraId="6E2B6A29" w14:textId="77777777" w:rsidR="003434F7" w:rsidRPr="006A568E" w:rsidRDefault="005530F5" w:rsidP="006A568E">
      <w:pPr>
        <w:pStyle w:val="ListParagraph"/>
        <w:numPr>
          <w:ilvl w:val="0"/>
          <w:numId w:val="2"/>
        </w:numPr>
        <w:ind w:left="425" w:hanging="425"/>
        <w:contextualSpacing w:val="0"/>
        <w:rPr>
          <w:bCs/>
        </w:rPr>
      </w:pPr>
      <w:r w:rsidRPr="005530F5">
        <w:rPr>
          <w:b/>
          <w:bCs/>
        </w:rPr>
        <w:t>finalising production variables</w:t>
      </w:r>
      <w:r>
        <w:rPr>
          <w:bCs/>
        </w:rPr>
        <w:t xml:space="preserve">: </w:t>
      </w:r>
      <w:r w:rsidR="006A568E">
        <w:rPr>
          <w:bCs/>
        </w:rPr>
        <w:t>d</w:t>
      </w:r>
      <w:r w:rsidR="00050E6B" w:rsidRPr="006A568E">
        <w:rPr>
          <w:bCs/>
        </w:rPr>
        <w:t xml:space="preserve">efining </w:t>
      </w:r>
      <w:r>
        <w:rPr>
          <w:bCs/>
        </w:rPr>
        <w:t>outstanding</w:t>
      </w:r>
      <w:r w:rsidR="00050E6B" w:rsidRPr="006A568E">
        <w:rPr>
          <w:bCs/>
        </w:rPr>
        <w:t xml:space="preserve"> production variables (such as lithium hydroxide and </w:t>
      </w:r>
      <w:r>
        <w:rPr>
          <w:bCs/>
        </w:rPr>
        <w:t>mine-site rehabilitation</w:t>
      </w:r>
      <w:r w:rsidR="00050E6B" w:rsidRPr="006A568E">
        <w:rPr>
          <w:bCs/>
        </w:rPr>
        <w:t>)</w:t>
      </w:r>
      <w:r w:rsidR="006A568E">
        <w:rPr>
          <w:bCs/>
        </w:rPr>
        <w:t>; and</w:t>
      </w:r>
    </w:p>
    <w:p w14:paraId="1294AB72" w14:textId="77777777" w:rsidR="00050E6B" w:rsidRPr="006A568E" w:rsidRDefault="006A568E" w:rsidP="006A568E">
      <w:pPr>
        <w:pStyle w:val="ListParagraph"/>
        <w:numPr>
          <w:ilvl w:val="0"/>
          <w:numId w:val="2"/>
        </w:numPr>
        <w:ind w:left="425" w:hanging="425"/>
        <w:contextualSpacing w:val="0"/>
        <w:rPr>
          <w:bCs/>
        </w:rPr>
      </w:pPr>
      <w:r w:rsidRPr="005530F5">
        <w:rPr>
          <w:b/>
        </w:rPr>
        <w:t>r</w:t>
      </w:r>
      <w:r w:rsidR="00050E6B" w:rsidRPr="005530F5">
        <w:rPr>
          <w:b/>
        </w:rPr>
        <w:t>eview</w:t>
      </w:r>
      <w:r w:rsidRPr="005530F5">
        <w:rPr>
          <w:b/>
        </w:rPr>
        <w:t>ing</w:t>
      </w:r>
      <w:r w:rsidR="00050E6B" w:rsidRPr="005530F5">
        <w:rPr>
          <w:b/>
        </w:rPr>
        <w:t xml:space="preserve"> existing production </w:t>
      </w:r>
      <w:r w:rsidR="005530F5" w:rsidRPr="005530F5">
        <w:rPr>
          <w:b/>
          <w:bCs/>
        </w:rPr>
        <w:t>variables</w:t>
      </w:r>
      <w:r w:rsidR="005530F5">
        <w:rPr>
          <w:bCs/>
        </w:rPr>
        <w:t xml:space="preserve">: </w:t>
      </w:r>
      <w:r w:rsidR="00050E6B" w:rsidRPr="006A568E">
        <w:rPr>
          <w:bCs/>
        </w:rPr>
        <w:t xml:space="preserve">existing production variable definitions </w:t>
      </w:r>
      <w:r w:rsidR="005530F5">
        <w:rPr>
          <w:bCs/>
        </w:rPr>
        <w:t>will be reviewed</w:t>
      </w:r>
      <w:r w:rsidR="00050E6B" w:rsidRPr="006A568E">
        <w:rPr>
          <w:bCs/>
        </w:rPr>
        <w:t xml:space="preserve"> to ensure they remain </w:t>
      </w:r>
      <w:r w:rsidR="00C633CE">
        <w:rPr>
          <w:bCs/>
        </w:rPr>
        <w:t>applicable</w:t>
      </w:r>
      <w:r w:rsidR="00050E6B" w:rsidRPr="006A568E">
        <w:rPr>
          <w:bCs/>
        </w:rPr>
        <w:t xml:space="preserve"> to the range of industry participants.</w:t>
      </w:r>
    </w:p>
    <w:p w14:paraId="6C81F453" w14:textId="77777777" w:rsidR="005E1CAD" w:rsidRDefault="005E1CAD" w:rsidP="00050E6B">
      <w:r>
        <w:t>The review of production variables will be designed to ensure they are suitable for driving least-cost abatement. To do this, they should be output-based and broad enough to cover all relevant technologies, physical and chemical processes. The Department will review all production variable definitions, with a focus on those that are not output-based—such as coal mine waste gas and reservoir CO</w:t>
      </w:r>
      <w:r w:rsidRPr="005E1CAD">
        <w:rPr>
          <w:vertAlign w:val="subscript"/>
        </w:rPr>
        <w:t>2</w:t>
      </w:r>
      <w:r>
        <w:t xml:space="preserve">—to </w:t>
      </w:r>
      <w:r w:rsidR="00655A18">
        <w:t xml:space="preserve">ensure there is a comprehensive set of suitable production variables when reforms commence. </w:t>
      </w:r>
    </w:p>
    <w:p w14:paraId="50871208" w14:textId="29D22AE6" w:rsidR="00C633CE" w:rsidRDefault="00C633CE" w:rsidP="00C633CE">
      <w:pPr>
        <w:pStyle w:val="Calloutbox"/>
        <w:keepNext/>
        <w:keepLines/>
      </w:pPr>
      <w:r>
        <w:t xml:space="preserve">In consultation with Safeguard businesses, the Government </w:t>
      </w:r>
      <w:r w:rsidR="00334435">
        <w:t>would</w:t>
      </w:r>
      <w:r>
        <w:t xml:space="preserve">: </w:t>
      </w:r>
    </w:p>
    <w:p w14:paraId="68CB9CBD" w14:textId="77777777" w:rsidR="00C633CE" w:rsidRDefault="00C633CE" w:rsidP="00C633CE">
      <w:pPr>
        <w:pStyle w:val="Calloutbox"/>
        <w:keepNext/>
        <w:keepLines/>
      </w:pPr>
      <w:r>
        <w:t xml:space="preserve">- </w:t>
      </w:r>
      <w:r w:rsidR="00F6655D">
        <w:t>finalise and publish remaining</w:t>
      </w:r>
      <w:r w:rsidR="007927A8">
        <w:t xml:space="preserve"> production variables and industry average emissions </w:t>
      </w:r>
      <w:r w:rsidR="00F6655D">
        <w:t>intensity values</w:t>
      </w:r>
      <w:r>
        <w:t>; and</w:t>
      </w:r>
    </w:p>
    <w:p w14:paraId="6648E4B6" w14:textId="77777777" w:rsidR="007927A8" w:rsidRPr="005B52DA" w:rsidRDefault="00C633CE" w:rsidP="00C633CE">
      <w:pPr>
        <w:pStyle w:val="Calloutbox"/>
        <w:keepNext/>
        <w:keepLines/>
      </w:pPr>
      <w:r>
        <w:t xml:space="preserve">- </w:t>
      </w:r>
      <w:r w:rsidR="007927A8">
        <w:t>review existing production var</w:t>
      </w:r>
      <w:r w:rsidR="00655A18">
        <w:t xml:space="preserve">iable definitions to ensure a comprehensive set of </w:t>
      </w:r>
      <w:r w:rsidR="00F6655D">
        <w:t>suitable</w:t>
      </w:r>
      <w:r w:rsidR="007927A8">
        <w:t xml:space="preserve"> </w:t>
      </w:r>
      <w:r w:rsidR="00655A18">
        <w:t>production variables is in place when reforms commence</w:t>
      </w:r>
      <w:r w:rsidR="007927A8">
        <w:t>.</w:t>
      </w:r>
    </w:p>
    <w:p w14:paraId="157B0318" w14:textId="77777777" w:rsidR="00F56F6E" w:rsidRDefault="00F56F6E" w:rsidP="00BF65A3">
      <w:pPr>
        <w:pStyle w:val="Heading3"/>
      </w:pPr>
      <w:r>
        <w:t>Who will receive a new site-specific emissions-intensity value?</w:t>
      </w:r>
    </w:p>
    <w:p w14:paraId="2B32758E" w14:textId="77777777" w:rsidR="0036447B" w:rsidRDefault="00723378" w:rsidP="00723378">
      <w:pPr>
        <w:spacing w:after="240"/>
      </w:pPr>
      <w:r>
        <w:t xml:space="preserve">To implement the hybrid model each facility will need both a site-specific and industry-average emissions intensity value for all relevant production variables. </w:t>
      </w:r>
      <w:r w:rsidR="009470CD">
        <w:t>This means n</w:t>
      </w:r>
      <w:r w:rsidR="0036447B">
        <w:t xml:space="preserve">ew site-specific values will be needed for facilities that </w:t>
      </w:r>
      <w:r w:rsidR="009470CD">
        <w:t>currently use</w:t>
      </w:r>
      <w:r w:rsidR="0036447B">
        <w:t xml:space="preserve"> published industry-average values.</w:t>
      </w:r>
    </w:p>
    <w:p w14:paraId="49D48727" w14:textId="77777777" w:rsidR="009E672D" w:rsidRPr="005C3C38" w:rsidRDefault="00F56F6E" w:rsidP="005C3C38">
      <w:pPr>
        <w:rPr>
          <w:b/>
        </w:rPr>
      </w:pPr>
      <w:r>
        <w:t>Businesses highlighted the potential benefits</w:t>
      </w:r>
      <w:r w:rsidR="00825018">
        <w:rPr>
          <w:b/>
        </w:rPr>
        <w:t xml:space="preserve"> </w:t>
      </w:r>
      <w:r w:rsidR="00825018">
        <w:t xml:space="preserve">of resetting all site specific emissions </w:t>
      </w:r>
      <w:r w:rsidR="0036447B">
        <w:t>intensity values</w:t>
      </w:r>
      <w:r w:rsidR="00AE7C33">
        <w:t xml:space="preserve"> on a consistent basis, including facilities that already have them as part of a calculated baseline application</w:t>
      </w:r>
      <w:r w:rsidR="00825018">
        <w:t>.</w:t>
      </w:r>
      <w:r w:rsidR="00825018" w:rsidRPr="00825018">
        <w:t xml:space="preserve"> </w:t>
      </w:r>
    </w:p>
    <w:p w14:paraId="7951B057" w14:textId="77777777" w:rsidR="00632D4F" w:rsidRPr="00E30841" w:rsidRDefault="00632D4F" w:rsidP="003402B4">
      <w:pPr>
        <w:pStyle w:val="Quote"/>
      </w:pPr>
      <w:r>
        <w:lastRenderedPageBreak/>
        <w:t>BHP recommends that baselines be updated using actual facility-specific emission intensities. The Consultation Paper observes that this approach would not compromise the achievement of Australia’s emission reduction targets.</w:t>
      </w:r>
    </w:p>
    <w:p w14:paraId="4DE6FD41" w14:textId="77777777" w:rsidR="00632D4F" w:rsidRDefault="00632D4F" w:rsidP="00632D4F">
      <w:pPr>
        <w:pStyle w:val="IntenseQuote"/>
      </w:pPr>
      <w:r>
        <w:t>BHP</w:t>
      </w:r>
    </w:p>
    <w:p w14:paraId="318E8600" w14:textId="77777777" w:rsidR="00C102C3" w:rsidRDefault="0036447B" w:rsidP="009E672D">
      <w:r>
        <w:t>The Government proposes to reset all site-</w:t>
      </w:r>
      <w:r w:rsidR="00C102C3">
        <w:t>specific emiss</w:t>
      </w:r>
      <w:r>
        <w:t>ions intensity values</w:t>
      </w:r>
      <w:r w:rsidR="00C102C3">
        <w:t xml:space="preserve">. </w:t>
      </w:r>
      <w:r>
        <w:t xml:space="preserve">This will ensure they are all set on a consistent basis, using actual facility data, </w:t>
      </w:r>
      <w:r w:rsidR="001A368B">
        <w:t>instead of</w:t>
      </w:r>
      <w:r>
        <w:t xml:space="preserve"> </w:t>
      </w:r>
      <w:r w:rsidR="00AE7C33">
        <w:t xml:space="preserve">some being based on </w:t>
      </w:r>
      <w:r>
        <w:t xml:space="preserve">forecasts used </w:t>
      </w:r>
      <w:r w:rsidR="00AE7C33">
        <w:t>for</w:t>
      </w:r>
      <w:r>
        <w:t xml:space="preserve"> calculated baseline applications. </w:t>
      </w:r>
    </w:p>
    <w:p w14:paraId="43B76A3E" w14:textId="7EC46FB9" w:rsidR="00F56F6E" w:rsidRDefault="008D7282" w:rsidP="00FF5D77">
      <w:pPr>
        <w:pStyle w:val="Calloutbox"/>
      </w:pPr>
      <w:r>
        <w:t>All existing</w:t>
      </w:r>
      <w:r w:rsidR="00A04173">
        <w:t xml:space="preserve"> facilities’</w:t>
      </w:r>
      <w:r w:rsidR="00F56F6E">
        <w:t xml:space="preserve"> site-specific emissions-intensity values </w:t>
      </w:r>
      <w:r>
        <w:t>w</w:t>
      </w:r>
      <w:r w:rsidR="00156E49">
        <w:t>ould</w:t>
      </w:r>
      <w:r>
        <w:t xml:space="preserve"> be reset </w:t>
      </w:r>
      <w:r w:rsidR="00F56F6E">
        <w:t xml:space="preserve">using historic data. </w:t>
      </w:r>
    </w:p>
    <w:p w14:paraId="6E73A7DC" w14:textId="77777777" w:rsidR="00BF65A3" w:rsidRDefault="00BF65A3" w:rsidP="00BF65A3">
      <w:pPr>
        <w:pStyle w:val="Heading3"/>
      </w:pPr>
      <w:r>
        <w:t xml:space="preserve">How will new </w:t>
      </w:r>
      <w:r w:rsidR="00C862FA">
        <w:t xml:space="preserve">site-specific </w:t>
      </w:r>
      <w:r>
        <w:t>emissions-intensity values be calculated?</w:t>
      </w:r>
    </w:p>
    <w:p w14:paraId="65FB8CDE" w14:textId="77777777" w:rsidR="00691A31" w:rsidRDefault="00A05C26" w:rsidP="00BF65A3">
      <w:pPr>
        <w:spacing w:after="240"/>
      </w:pPr>
      <w:r>
        <w:t>All facilities must submit an application for site-specific emissions intensity values</w:t>
      </w:r>
      <w:r w:rsidR="00A86A1C">
        <w:t>, as they currently do for calculated baseline applications</w:t>
      </w:r>
      <w:r w:rsidR="00691A31">
        <w:t>.</w:t>
      </w:r>
      <w:r w:rsidR="00A86A1C">
        <w:t xml:space="preserve"> When calculating these values, emissions must be apportioned between outputs in a way that is consistent with published production variable definitions</w:t>
      </w:r>
      <w:r w:rsidR="00A86A1C">
        <w:rPr>
          <w:rStyle w:val="FootnoteReference"/>
        </w:rPr>
        <w:footnoteReference w:id="19"/>
      </w:r>
      <w:r w:rsidR="00A86A1C">
        <w:t xml:space="preserve">. </w:t>
      </w:r>
      <w:r w:rsidR="00AB0572">
        <w:t>Applications</w:t>
      </w:r>
      <w:r w:rsidR="00A86A1C">
        <w:t xml:space="preserve"> must be accompanied by an audit report.</w:t>
      </w:r>
      <w:r>
        <w:t xml:space="preserve"> This application will only be required once—to facilitate the hybrid baseline setting model. Applications will be due by 30</w:t>
      </w:r>
      <w:r w:rsidR="00100E54">
        <w:t> </w:t>
      </w:r>
      <w:r>
        <w:t>April</w:t>
      </w:r>
      <w:r w:rsidR="00100E54">
        <w:t> </w:t>
      </w:r>
      <w:r>
        <w:t>202</w:t>
      </w:r>
      <w:r w:rsidR="004E5B4B">
        <w:t>4</w:t>
      </w:r>
      <w:r>
        <w:t>.</w:t>
      </w:r>
    </w:p>
    <w:p w14:paraId="7E581ADA" w14:textId="77777777" w:rsidR="00BF65A3" w:rsidRPr="002A6182" w:rsidRDefault="00BF65A3" w:rsidP="00BF65A3">
      <w:r w:rsidRPr="002A6182">
        <w:t>The following method will be used to calculate new site-specific emissions intensity values:</w:t>
      </w:r>
    </w:p>
    <w:p w14:paraId="150B2737" w14:textId="77777777" w:rsidR="00BF65A3" w:rsidRPr="002A6182" w:rsidRDefault="00BF65A3" w:rsidP="00BF65A3">
      <w:pPr>
        <w:pStyle w:val="ListParagraph"/>
        <w:numPr>
          <w:ilvl w:val="0"/>
          <w:numId w:val="2"/>
        </w:numPr>
        <w:ind w:left="425" w:hanging="425"/>
        <w:contextualSpacing w:val="0"/>
        <w:rPr>
          <w:bCs/>
        </w:rPr>
      </w:pPr>
      <w:r w:rsidRPr="002A6182">
        <w:rPr>
          <w:b/>
          <w:bCs/>
        </w:rPr>
        <w:t>Step 1</w:t>
      </w:r>
      <w:r w:rsidRPr="002A6182">
        <w:rPr>
          <w:bCs/>
        </w:rPr>
        <w:t>: determine the emissions intensities for each of the previous 4</w:t>
      </w:r>
      <w:r w:rsidR="008A40F7">
        <w:rPr>
          <w:bCs/>
        </w:rPr>
        <w:t xml:space="preserve"> years (2018-19</w:t>
      </w:r>
      <w:r w:rsidR="006A568E" w:rsidRPr="002A6182">
        <w:rPr>
          <w:bCs/>
        </w:rPr>
        <w:t xml:space="preserve"> to 2021</w:t>
      </w:r>
      <w:r w:rsidR="006A568E" w:rsidRPr="002A6182">
        <w:rPr>
          <w:bCs/>
        </w:rPr>
        <w:noBreakHyphen/>
        <w:t>22</w:t>
      </w:r>
      <w:r w:rsidRPr="002A6182">
        <w:rPr>
          <w:bCs/>
        </w:rPr>
        <w:t>)</w:t>
      </w:r>
      <w:r w:rsidR="006A568E" w:rsidRPr="002A6182">
        <w:rPr>
          <w:bCs/>
        </w:rPr>
        <w:t>.</w:t>
      </w:r>
    </w:p>
    <w:p w14:paraId="67EC32EF" w14:textId="77777777" w:rsidR="00BF65A3" w:rsidRPr="002A6182" w:rsidRDefault="00BF65A3" w:rsidP="00BF65A3">
      <w:pPr>
        <w:pStyle w:val="ListParagraph"/>
        <w:numPr>
          <w:ilvl w:val="0"/>
          <w:numId w:val="2"/>
        </w:numPr>
        <w:ind w:left="425" w:hanging="425"/>
        <w:contextualSpacing w:val="0"/>
        <w:rPr>
          <w:bCs/>
        </w:rPr>
      </w:pPr>
      <w:r w:rsidRPr="002A6182">
        <w:rPr>
          <w:b/>
          <w:bCs/>
        </w:rPr>
        <w:t>Step 2</w:t>
      </w:r>
      <w:r w:rsidRPr="002A6182">
        <w:rPr>
          <w:bCs/>
        </w:rPr>
        <w:t>: exclude the highest and lowest emissions intensity years to address any significant anomalies</w:t>
      </w:r>
      <w:r w:rsidR="006A568E" w:rsidRPr="002A6182">
        <w:rPr>
          <w:bCs/>
        </w:rPr>
        <w:t>, including potential impacts from the pandemic</w:t>
      </w:r>
      <w:r w:rsidRPr="002A6182">
        <w:rPr>
          <w:bCs/>
        </w:rPr>
        <w:t>.</w:t>
      </w:r>
      <w:r w:rsidR="00A05C26">
        <w:rPr>
          <w:bCs/>
        </w:rPr>
        <w:t xml:space="preserve"> </w:t>
      </w:r>
    </w:p>
    <w:p w14:paraId="6B6ADF60" w14:textId="77777777" w:rsidR="00BF65A3" w:rsidRPr="00E66E75" w:rsidRDefault="00BF65A3" w:rsidP="00BF65A3">
      <w:pPr>
        <w:pStyle w:val="ListParagraph"/>
        <w:numPr>
          <w:ilvl w:val="0"/>
          <w:numId w:val="2"/>
        </w:numPr>
        <w:ind w:left="425" w:hanging="425"/>
        <w:contextualSpacing w:val="0"/>
        <w:rPr>
          <w:bCs/>
        </w:rPr>
      </w:pPr>
      <w:r w:rsidRPr="00E66E75">
        <w:rPr>
          <w:b/>
          <w:bCs/>
        </w:rPr>
        <w:t>Step 3</w:t>
      </w:r>
      <w:r>
        <w:rPr>
          <w:bCs/>
        </w:rPr>
        <w:t>: calculate a production-</w:t>
      </w:r>
      <w:r w:rsidRPr="00E66E75">
        <w:rPr>
          <w:bCs/>
        </w:rPr>
        <w:t>weighted</w:t>
      </w:r>
      <w:r>
        <w:rPr>
          <w:bCs/>
        </w:rPr>
        <w:t>, average emissions-</w:t>
      </w:r>
      <w:r w:rsidRPr="00E66E75">
        <w:rPr>
          <w:bCs/>
        </w:rPr>
        <w:t>intensity for the facility using the remaining two years.</w:t>
      </w:r>
    </w:p>
    <w:p w14:paraId="7E085CEF" w14:textId="77777777" w:rsidR="00A05C26" w:rsidRDefault="00A05C26" w:rsidP="00BF65A3">
      <w:r>
        <w:t>If a facility has:</w:t>
      </w:r>
    </w:p>
    <w:p w14:paraId="21E22ECB" w14:textId="77777777" w:rsidR="00A05C26" w:rsidRPr="00A05C26" w:rsidRDefault="00A05C26" w:rsidP="00A05C26">
      <w:pPr>
        <w:pStyle w:val="ListParagraph"/>
        <w:numPr>
          <w:ilvl w:val="0"/>
          <w:numId w:val="2"/>
        </w:numPr>
        <w:ind w:left="425" w:hanging="425"/>
        <w:contextualSpacing w:val="0"/>
        <w:rPr>
          <w:bCs/>
        </w:rPr>
      </w:pPr>
      <w:r w:rsidRPr="00A05C26">
        <w:rPr>
          <w:bCs/>
        </w:rPr>
        <w:t xml:space="preserve">only </w:t>
      </w:r>
      <w:r w:rsidR="002957C5" w:rsidRPr="00567E6F">
        <w:rPr>
          <w:b/>
          <w:bCs/>
        </w:rPr>
        <w:t>two or</w:t>
      </w:r>
      <w:r w:rsidRPr="00A05C26">
        <w:rPr>
          <w:bCs/>
        </w:rPr>
        <w:t xml:space="preserve"> </w:t>
      </w:r>
      <w:r w:rsidRPr="00A05C26">
        <w:rPr>
          <w:b/>
          <w:bCs/>
        </w:rPr>
        <w:t>three years</w:t>
      </w:r>
      <w:r w:rsidRPr="00A05C26">
        <w:rPr>
          <w:bCs/>
        </w:rPr>
        <w:t xml:space="preserve"> of data in the calculation period, the highest value will be excluded;</w:t>
      </w:r>
    </w:p>
    <w:p w14:paraId="7D29DFDC" w14:textId="77777777" w:rsidR="00A05C26" w:rsidRPr="00A05C26" w:rsidRDefault="00A13D1B" w:rsidP="00A05C26">
      <w:pPr>
        <w:pStyle w:val="ListParagraph"/>
        <w:numPr>
          <w:ilvl w:val="0"/>
          <w:numId w:val="2"/>
        </w:numPr>
        <w:ind w:left="425" w:hanging="425"/>
        <w:contextualSpacing w:val="0"/>
        <w:rPr>
          <w:bCs/>
        </w:rPr>
      </w:pPr>
      <w:r>
        <w:rPr>
          <w:b/>
          <w:bCs/>
        </w:rPr>
        <w:t xml:space="preserve">one year </w:t>
      </w:r>
      <w:r w:rsidR="00A05C26" w:rsidRPr="00A05C26">
        <w:rPr>
          <w:bCs/>
        </w:rPr>
        <w:t xml:space="preserve">of data in the calculation period, </w:t>
      </w:r>
      <w:r>
        <w:rPr>
          <w:bCs/>
        </w:rPr>
        <w:t>that year will be used</w:t>
      </w:r>
      <w:r w:rsidR="00A05C26" w:rsidRPr="00A05C26">
        <w:rPr>
          <w:bCs/>
        </w:rPr>
        <w:t xml:space="preserve">. </w:t>
      </w:r>
    </w:p>
    <w:p w14:paraId="4A7DEB04" w14:textId="77777777" w:rsidR="00BF65A3" w:rsidRDefault="00BF65A3" w:rsidP="00BF65A3">
      <w:r>
        <w:t>If a facility has more than one production variable</w:t>
      </w:r>
      <w:r w:rsidR="002A6182">
        <w:t xml:space="preserve">, emissions will </w:t>
      </w:r>
      <w:r w:rsidR="000F73BA">
        <w:t xml:space="preserve">be </w:t>
      </w:r>
      <w:r w:rsidR="002A6182">
        <w:t xml:space="preserve">apportioned between different outputs. </w:t>
      </w:r>
      <w:r w:rsidR="00695497">
        <w:t>The method for a</w:t>
      </w:r>
      <w:r>
        <w:t xml:space="preserve">pportioning </w:t>
      </w:r>
      <w:r w:rsidR="00695497">
        <w:t xml:space="preserve">emissions </w:t>
      </w:r>
      <w:r>
        <w:t xml:space="preserve">will be consistent with the production variable definitions </w:t>
      </w:r>
      <w:r w:rsidR="00B2382D">
        <w:t>published in the Safeguard Mechanism Rule (</w:t>
      </w:r>
      <w:r w:rsidR="00001FB4">
        <w:t>S</w:t>
      </w:r>
      <w:r w:rsidR="00B2382D">
        <w:t xml:space="preserve">chedule 2) </w:t>
      </w:r>
      <w:r>
        <w:t>and associated indust</w:t>
      </w:r>
      <w:r w:rsidR="009470CD">
        <w:t>ry-</w:t>
      </w:r>
      <w:r w:rsidR="00695497">
        <w:t>average emissions intensity values</w:t>
      </w:r>
      <w:r>
        <w:t xml:space="preserve">. </w:t>
      </w:r>
      <w:r w:rsidR="00695497">
        <w:t>Published</w:t>
      </w:r>
      <w:r>
        <w:t xml:space="preserve"> indust</w:t>
      </w:r>
      <w:r w:rsidR="009470CD">
        <w:t xml:space="preserve">ry-average emissions </w:t>
      </w:r>
      <w:r w:rsidR="00695497">
        <w:t>intensity values</w:t>
      </w:r>
      <w:r>
        <w:t xml:space="preserve"> will not be updated as part of this process.</w:t>
      </w:r>
    </w:p>
    <w:p w14:paraId="5BADC81A" w14:textId="77777777" w:rsidR="00F56F6E" w:rsidRDefault="00BF65A3" w:rsidP="00A05C26">
      <w:pPr>
        <w:keepLines/>
      </w:pPr>
      <w:r>
        <w:t>The site-specific and industry-average emissions intensities will then be used to calculate the facility baseline</w:t>
      </w:r>
      <w:r w:rsidR="009470CD">
        <w:t>—</w:t>
      </w:r>
      <w:r>
        <w:t xml:space="preserve">according to the ratios in </w:t>
      </w:r>
      <w:r w:rsidR="00695497">
        <w:t>section 3.2</w:t>
      </w:r>
      <w:r w:rsidR="009470CD">
        <w:t>—</w:t>
      </w:r>
      <w:r>
        <w:t>following the compliance period</w:t>
      </w:r>
      <w:r w:rsidR="009470CD">
        <w:t>,</w:t>
      </w:r>
      <w:r>
        <w:t xml:space="preserve"> once pro</w:t>
      </w:r>
      <w:r w:rsidR="009470CD">
        <w:t xml:space="preserve">duction data becomes available. This is </w:t>
      </w:r>
      <w:r>
        <w:t xml:space="preserve">consistent with the </w:t>
      </w:r>
      <w:r w:rsidR="00ED00FE">
        <w:t xml:space="preserve">existing timing </w:t>
      </w:r>
      <w:r w:rsidR="009470CD">
        <w:t xml:space="preserve">for determining </w:t>
      </w:r>
      <w:r>
        <w:t xml:space="preserve">current </w:t>
      </w:r>
      <w:r w:rsidR="009470CD">
        <w:t>production adjusted baselines</w:t>
      </w:r>
      <w:r>
        <w:t xml:space="preserve">. </w:t>
      </w:r>
    </w:p>
    <w:p w14:paraId="34E26A82" w14:textId="51B0CE86" w:rsidR="00A05C26" w:rsidRDefault="00A05C26" w:rsidP="00A05C26">
      <w:pPr>
        <w:pStyle w:val="Calloutbox"/>
        <w:keepNext/>
      </w:pPr>
      <w:r>
        <w:lastRenderedPageBreak/>
        <w:t xml:space="preserve">Facilities </w:t>
      </w:r>
      <w:r w:rsidR="00156E49">
        <w:t>would</w:t>
      </w:r>
      <w:r>
        <w:t xml:space="preserve"> </w:t>
      </w:r>
      <w:r w:rsidR="00334435">
        <w:t xml:space="preserve">need to </w:t>
      </w:r>
      <w:r>
        <w:t xml:space="preserve">apply for </w:t>
      </w:r>
      <w:r w:rsidR="00695497">
        <w:t xml:space="preserve">site-specific </w:t>
      </w:r>
      <w:r w:rsidR="00AE5812">
        <w:t>emissions-intensity values</w:t>
      </w:r>
      <w:r w:rsidR="003721EC">
        <w:t xml:space="preserve"> </w:t>
      </w:r>
      <w:r>
        <w:t>by 30 April 202</w:t>
      </w:r>
      <w:r w:rsidR="004E5B4B">
        <w:t>4</w:t>
      </w:r>
      <w:r w:rsidR="00334435">
        <w:t>, with t</w:t>
      </w:r>
      <w:r>
        <w:t xml:space="preserve">he application accompanied by an audit. </w:t>
      </w:r>
    </w:p>
    <w:p w14:paraId="6D1CC7A1" w14:textId="19C543EA" w:rsidR="00A05C26" w:rsidRDefault="00334435" w:rsidP="00A05C26">
      <w:pPr>
        <w:pStyle w:val="Calloutbox"/>
        <w:keepNext/>
      </w:pPr>
      <w:r>
        <w:t xml:space="preserve">The </w:t>
      </w:r>
      <w:r w:rsidR="00AE5812">
        <w:t>values</w:t>
      </w:r>
      <w:r w:rsidR="003721EC">
        <w:t xml:space="preserve"> </w:t>
      </w:r>
      <w:r w:rsidR="00657FE3">
        <w:t xml:space="preserve">would </w:t>
      </w:r>
      <w:r w:rsidR="00A05C26">
        <w:t xml:space="preserve">be calculated </w:t>
      </w:r>
      <w:r w:rsidR="003721EC">
        <w:t>using</w:t>
      </w:r>
      <w:r w:rsidR="00695497">
        <w:t xml:space="preserve"> the middle two values from the </w:t>
      </w:r>
      <w:r w:rsidR="009470CD">
        <w:t xml:space="preserve">four </w:t>
      </w:r>
      <w:r w:rsidR="00695497">
        <w:t>most recent years of data</w:t>
      </w:r>
      <w:r w:rsidR="00AB0572">
        <w:t xml:space="preserve"> (2018</w:t>
      </w:r>
      <w:r w:rsidR="00AB0572">
        <w:noBreakHyphen/>
        <w:t>19 to 2021</w:t>
      </w:r>
      <w:r w:rsidR="00AB0572">
        <w:noBreakHyphen/>
        <w:t>22)</w:t>
      </w:r>
      <w:r w:rsidR="00695497">
        <w:t xml:space="preserve">. </w:t>
      </w:r>
      <w:r w:rsidR="00A05C26">
        <w:t xml:space="preserve"> </w:t>
      </w:r>
    </w:p>
    <w:p w14:paraId="0423537E" w14:textId="3FCB2DD7" w:rsidR="00695497" w:rsidRDefault="00A05C26" w:rsidP="00A05C26">
      <w:pPr>
        <w:pStyle w:val="Calloutbox"/>
        <w:keepNext/>
      </w:pPr>
      <w:r>
        <w:rPr>
          <w:bCs/>
        </w:rPr>
        <w:t xml:space="preserve">The remaining two years of data </w:t>
      </w:r>
      <w:r w:rsidR="00657FE3">
        <w:rPr>
          <w:bCs/>
        </w:rPr>
        <w:t xml:space="preserve">would </w:t>
      </w:r>
      <w:r>
        <w:rPr>
          <w:bCs/>
        </w:rPr>
        <w:t>be used to calculate a production-</w:t>
      </w:r>
      <w:r w:rsidRPr="00E66E75">
        <w:rPr>
          <w:bCs/>
        </w:rPr>
        <w:t>weighted</w:t>
      </w:r>
      <w:r>
        <w:rPr>
          <w:bCs/>
        </w:rPr>
        <w:t>, average emissions</w:t>
      </w:r>
      <w:r>
        <w:rPr>
          <w:bCs/>
        </w:rPr>
        <w:noBreakHyphen/>
      </w:r>
      <w:r w:rsidRPr="00E66E75">
        <w:rPr>
          <w:bCs/>
        </w:rPr>
        <w:t>intensity</w:t>
      </w:r>
      <w:r>
        <w:rPr>
          <w:bCs/>
        </w:rPr>
        <w:t xml:space="preserve"> </w:t>
      </w:r>
      <w:r w:rsidR="006D7677">
        <w:rPr>
          <w:bCs/>
        </w:rPr>
        <w:t xml:space="preserve">value(s) </w:t>
      </w:r>
      <w:r>
        <w:rPr>
          <w:bCs/>
        </w:rPr>
        <w:t xml:space="preserve">for the facility, </w:t>
      </w:r>
      <w:r>
        <w:t>noting that any emissions apportioning must be consistent with published production variable definitions.</w:t>
      </w:r>
    </w:p>
    <w:p w14:paraId="5A46C0BE" w14:textId="77777777" w:rsidR="00037B40" w:rsidRPr="00AD7F80" w:rsidRDefault="00F73F73" w:rsidP="005426A7">
      <w:pPr>
        <w:pStyle w:val="Heading2"/>
      </w:pPr>
      <w:bookmarkStart w:id="546" w:name="_Toc109645631"/>
      <w:bookmarkStart w:id="547" w:name="_Toc109653340"/>
      <w:bookmarkStart w:id="548" w:name="_Toc109659387"/>
      <w:bookmarkStart w:id="549" w:name="_Toc109717167"/>
      <w:bookmarkStart w:id="550" w:name="_Toc109742675"/>
      <w:bookmarkStart w:id="551" w:name="_Toc109746059"/>
      <w:bookmarkStart w:id="552" w:name="_Toc109747123"/>
      <w:bookmarkStart w:id="553" w:name="_Toc109818499"/>
      <w:bookmarkStart w:id="554" w:name="_Toc110524025"/>
      <w:bookmarkStart w:id="555" w:name="_Toc110545553"/>
      <w:bookmarkStart w:id="556" w:name="_Toc110590736"/>
      <w:bookmarkStart w:id="557" w:name="_Toc110590791"/>
      <w:bookmarkStart w:id="558" w:name="_Toc110593195"/>
      <w:bookmarkStart w:id="559" w:name="_Toc110851748"/>
      <w:bookmarkStart w:id="560" w:name="_Toc111042139"/>
      <w:bookmarkStart w:id="561" w:name="_Toc117176812"/>
      <w:bookmarkStart w:id="562" w:name="_Toc117255415"/>
      <w:bookmarkStart w:id="563" w:name="_Toc117263156"/>
      <w:bookmarkStart w:id="564" w:name="_Toc117437237"/>
      <w:bookmarkStart w:id="565" w:name="_Toc117499185"/>
      <w:bookmarkStart w:id="566" w:name="_Toc117521032"/>
      <w:bookmarkStart w:id="567" w:name="_Toc117524779"/>
      <w:bookmarkStart w:id="568" w:name="_Toc117543970"/>
      <w:bookmarkStart w:id="569" w:name="_Toc117548321"/>
      <w:bookmarkStart w:id="570" w:name="_Toc117588639"/>
      <w:bookmarkStart w:id="571" w:name="_Toc117588683"/>
      <w:bookmarkStart w:id="572" w:name="_Toc117604801"/>
      <w:bookmarkStart w:id="573" w:name="_Toc117612883"/>
      <w:bookmarkStart w:id="574" w:name="_Toc117627721"/>
      <w:bookmarkStart w:id="575" w:name="_Toc117630386"/>
      <w:bookmarkStart w:id="576" w:name="_Toc117867993"/>
      <w:bookmarkStart w:id="577" w:name="_Toc117888007"/>
      <w:bookmarkStart w:id="578" w:name="_Toc117951451"/>
      <w:bookmarkStart w:id="579" w:name="_Toc117960098"/>
      <w:bookmarkStart w:id="580" w:name="_Toc118040359"/>
      <w:bookmarkStart w:id="581" w:name="_Toc118196211"/>
      <w:bookmarkStart w:id="582" w:name="_Toc118198380"/>
      <w:bookmarkStart w:id="583" w:name="_Toc118198795"/>
      <w:bookmarkStart w:id="584" w:name="_Toc118198986"/>
      <w:bookmarkStart w:id="585" w:name="_Toc118199540"/>
      <w:bookmarkStart w:id="586" w:name="_Toc118304112"/>
      <w:bookmarkStart w:id="587" w:name="_Toc118304143"/>
      <w:bookmarkStart w:id="588" w:name="_Toc118306345"/>
      <w:bookmarkStart w:id="589" w:name="_Toc118308337"/>
      <w:bookmarkStart w:id="590" w:name="_Toc119500908"/>
      <w:bookmarkStart w:id="591" w:name="_Toc119572363"/>
      <w:bookmarkStart w:id="592" w:name="_Toc120098958"/>
      <w:bookmarkStart w:id="593" w:name="_Toc122514438"/>
      <w:bookmarkStart w:id="594" w:name="_Toc124100688"/>
      <w:r w:rsidRPr="00AD7F80">
        <w:t>Setting b</w:t>
      </w:r>
      <w:r w:rsidR="00DE6EF2" w:rsidRPr="00AD7F80">
        <w:t xml:space="preserve">aselines for new </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007D2ABE">
        <w:t>facilities</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rsidR="00DE6EF2" w:rsidRPr="00AD7F80">
        <w:t xml:space="preserve"> </w:t>
      </w:r>
    </w:p>
    <w:p w14:paraId="675D2D29" w14:textId="32A5F67D" w:rsidR="00003898" w:rsidRDefault="005C7CC1" w:rsidP="00003898">
      <w:r>
        <w:t xml:space="preserve">Under </w:t>
      </w:r>
      <w:r w:rsidR="00AC7DE8">
        <w:t>current arrangements</w:t>
      </w:r>
      <w:r>
        <w:t xml:space="preserve">, </w:t>
      </w:r>
      <w:r w:rsidR="00EF462A">
        <w:t xml:space="preserve">baselines for </w:t>
      </w:r>
      <w:r>
        <w:t>n</w:t>
      </w:r>
      <w:r w:rsidR="00003898">
        <w:t>ew facilities</w:t>
      </w:r>
      <w:r w:rsidR="00EF462A">
        <w:t>—those</w:t>
      </w:r>
      <w:r w:rsidR="00003898">
        <w:t xml:space="preserve"> that </w:t>
      </w:r>
      <w:r w:rsidR="00EF462A">
        <w:t xml:space="preserve">are </w:t>
      </w:r>
      <w:r w:rsidR="00003898">
        <w:t xml:space="preserve">first </w:t>
      </w:r>
      <w:r w:rsidR="00EF462A">
        <w:t>covered under</w:t>
      </w:r>
      <w:r w:rsidR="00003898">
        <w:t xml:space="preserve"> the Safeguard Mechanism after 1 July 2021</w:t>
      </w:r>
      <w:r w:rsidR="00EF462A">
        <w:t>—are intended to</w:t>
      </w:r>
      <w:r w:rsidR="001A5F64">
        <w:t xml:space="preserve"> be set </w:t>
      </w:r>
      <w:r w:rsidR="00003898">
        <w:t xml:space="preserve">using </w:t>
      </w:r>
      <w:r w:rsidR="001A5F64">
        <w:t>emissions-intensity benchmarks</w:t>
      </w:r>
      <w:r w:rsidR="00EF462A">
        <w:t xml:space="preserve">, </w:t>
      </w:r>
      <w:r w:rsidR="001A5F64">
        <w:t xml:space="preserve">though </w:t>
      </w:r>
      <w:r w:rsidR="005D12E4">
        <w:t>the</w:t>
      </w:r>
      <w:r w:rsidR="001A5F64">
        <w:t xml:space="preserve"> </w:t>
      </w:r>
      <w:r w:rsidR="00F03968">
        <w:t xml:space="preserve">level </w:t>
      </w:r>
      <w:r w:rsidR="005D12E4">
        <w:t xml:space="preserve">of </w:t>
      </w:r>
      <w:r w:rsidR="001A5F64">
        <w:t xml:space="preserve">these </w:t>
      </w:r>
      <w:r w:rsidR="00003898">
        <w:t xml:space="preserve">benchmarks </w:t>
      </w:r>
      <w:r w:rsidR="005D12E4">
        <w:t>has not</w:t>
      </w:r>
      <w:r w:rsidR="00003898">
        <w:t xml:space="preserve"> </w:t>
      </w:r>
      <w:r w:rsidR="001A5F64">
        <w:t>be</w:t>
      </w:r>
      <w:r w:rsidR="005D12E4">
        <w:t>en</w:t>
      </w:r>
      <w:r w:rsidR="00F03968">
        <w:t xml:space="preserve"> set</w:t>
      </w:r>
      <w:r w:rsidR="00EF462A">
        <w:rPr>
          <w:rStyle w:val="FootnoteReference"/>
        </w:rPr>
        <w:footnoteReference w:id="20"/>
      </w:r>
      <w:r w:rsidR="00003898">
        <w:t xml:space="preserve">. </w:t>
      </w:r>
      <w:r w:rsidR="005D12E4">
        <w:t>C</w:t>
      </w:r>
      <w:r w:rsidR="00F03968">
        <w:t xml:space="preserve">onsultation </w:t>
      </w:r>
      <w:r w:rsidR="00CC14DB">
        <w:t>considered two</w:t>
      </w:r>
      <w:r w:rsidR="00F03968">
        <w:t xml:space="preserve"> </w:t>
      </w:r>
      <w:r w:rsidR="00196549">
        <w:t>options</w:t>
      </w:r>
      <w:r w:rsidR="00AC7DE8">
        <w:t xml:space="preserve"> </w:t>
      </w:r>
      <w:r w:rsidR="00881C86">
        <w:t>for</w:t>
      </w:r>
      <w:r w:rsidR="00AC7DE8">
        <w:t xml:space="preserve"> set</w:t>
      </w:r>
      <w:r w:rsidR="00881C86">
        <w:t>ting</w:t>
      </w:r>
      <w:r w:rsidR="00AC7DE8">
        <w:t xml:space="preserve"> new facility benchmarks</w:t>
      </w:r>
      <w:r w:rsidR="00881C86">
        <w:t>:</w:t>
      </w:r>
      <w:r w:rsidR="00AC7DE8">
        <w:t xml:space="preserve"> best practice or industry average emissions intensity values. </w:t>
      </w:r>
    </w:p>
    <w:p w14:paraId="7C9A6C8F" w14:textId="77777777" w:rsidR="00753DAB" w:rsidRDefault="00AC7DE8" w:rsidP="00F03968">
      <w:r>
        <w:t>Many</w:t>
      </w:r>
      <w:r w:rsidR="00753DAB">
        <w:t xml:space="preserve"> businesses supported setting new entrant baselines at industry average. </w:t>
      </w:r>
    </w:p>
    <w:p w14:paraId="4B43B504" w14:textId="77777777" w:rsidR="008C2A6C" w:rsidRDefault="008C2A6C" w:rsidP="008C2A6C">
      <w:pPr>
        <w:pStyle w:val="Quote"/>
      </w:pPr>
      <w:r>
        <w:t>BlueScope considers that new entrants should be subject to the same baseline-setting requirements as existing facilities, i.e. on an industry-average emissions intensity basis.</w:t>
      </w:r>
    </w:p>
    <w:p w14:paraId="7F843916" w14:textId="77777777" w:rsidR="008C2A6C" w:rsidRDefault="009726FC" w:rsidP="008C2A6C">
      <w:pPr>
        <w:pStyle w:val="IntenseQuote"/>
        <w:rPr>
          <w:b/>
        </w:rPr>
      </w:pPr>
      <w:r>
        <w:t>BlueScope</w:t>
      </w:r>
    </w:p>
    <w:p w14:paraId="385ADD7B" w14:textId="77777777" w:rsidR="00FC1F07" w:rsidRDefault="00FC1F07" w:rsidP="00FC1F07">
      <w:r>
        <w:t>Other business and community groups advocated for best practice</w:t>
      </w:r>
      <w:r w:rsidR="00773C4E">
        <w:t xml:space="preserve"> baselines</w:t>
      </w:r>
      <w:r>
        <w:t xml:space="preserve">. </w:t>
      </w:r>
    </w:p>
    <w:p w14:paraId="0D87A5C9" w14:textId="77777777" w:rsidR="00FC1F07" w:rsidRDefault="004753AA" w:rsidP="00FC1F07">
      <w:pPr>
        <w:pStyle w:val="Quote"/>
      </w:pPr>
      <w:r>
        <w:t xml:space="preserve">… </w:t>
      </w:r>
      <w:r w:rsidR="00FC1F07">
        <w:t>generous treatment of new facilities means substantially harsher baselines and decline rates for existing facilities … We propose that new facilities be subject to global best practice benchmarks for new facilities. This should be significantly tighter in most cases than a purely Australian focus. Any new facility benchmark should be technology-neutral, applying to any process on the basis of its ultimate product. It should also avoid distinctions on the basis of location or geology.</w:t>
      </w:r>
    </w:p>
    <w:p w14:paraId="27EFD854" w14:textId="77777777" w:rsidR="00FC1F07" w:rsidRPr="00CC425A" w:rsidRDefault="006E5B43" w:rsidP="00FC1F07">
      <w:pPr>
        <w:pStyle w:val="IntenseQuote"/>
      </w:pPr>
      <w:r>
        <w:t>Ai</w:t>
      </w:r>
      <w:r w:rsidR="00FC1F07">
        <w:t xml:space="preserve"> Group</w:t>
      </w:r>
    </w:p>
    <w:p w14:paraId="374ACCDB" w14:textId="52B41247" w:rsidR="00734272" w:rsidRDefault="00C76E2C" w:rsidP="009953DA">
      <w:pPr>
        <w:keepLines/>
      </w:pPr>
      <w:r>
        <w:t>B</w:t>
      </w:r>
      <w:r w:rsidR="00773C4E">
        <w:t>aselines determine</w:t>
      </w:r>
      <w:r w:rsidR="00AC7DE8">
        <w:t xml:space="preserve"> the relative share of costs among facilities—less stringent baselines for new facilities means more stringent baselines for existing facilities. </w:t>
      </w:r>
      <w:r w:rsidR="00301ED4">
        <w:t>While</w:t>
      </w:r>
      <w:r w:rsidR="00AC7DE8">
        <w:t xml:space="preserve"> applying</w:t>
      </w:r>
      <w:r w:rsidR="00753DAB">
        <w:t xml:space="preserve"> industry average </w:t>
      </w:r>
      <w:r w:rsidR="00AC7DE8">
        <w:t xml:space="preserve">benchmarks to </w:t>
      </w:r>
      <w:r w:rsidR="00753DAB">
        <w:t xml:space="preserve">new </w:t>
      </w:r>
      <w:r w:rsidR="00AC7DE8">
        <w:t>investments</w:t>
      </w:r>
      <w:r w:rsidR="00753DAB">
        <w:t xml:space="preserve"> </w:t>
      </w:r>
      <w:r w:rsidR="00382ADF">
        <w:t xml:space="preserve">would avoid potential </w:t>
      </w:r>
      <w:r w:rsidR="00365F0A">
        <w:t>differences</w:t>
      </w:r>
      <w:r w:rsidR="00382ADF">
        <w:t xml:space="preserve"> between ‘greenfield’ and ‘brownfield’ developments, it would </w:t>
      </w:r>
      <w:r w:rsidR="00753DAB">
        <w:t xml:space="preserve">risk locking-in </w:t>
      </w:r>
      <w:r w:rsidR="00C033C6">
        <w:t>long</w:t>
      </w:r>
      <w:r w:rsidR="006B5B93">
        <w:t xml:space="preserve"> lived assets that are as emissions-intensive as existing </w:t>
      </w:r>
      <w:r w:rsidR="00FA4B22">
        <w:t>production</w:t>
      </w:r>
      <w:r w:rsidR="006B5B93">
        <w:t xml:space="preserve"> and </w:t>
      </w:r>
      <w:r w:rsidR="00753DAB">
        <w:t xml:space="preserve">could operate for </w:t>
      </w:r>
      <w:r w:rsidR="00C033C6">
        <w:t>decades</w:t>
      </w:r>
      <w:r w:rsidR="00753DAB">
        <w:t xml:space="preserve">. </w:t>
      </w:r>
      <w:r w:rsidR="00AC7DE8">
        <w:t>This would be inconsistent with a ne</w:t>
      </w:r>
      <w:r w:rsidR="0009699C">
        <w:t>t</w:t>
      </w:r>
      <w:r w:rsidR="00AC7DE8">
        <w:t xml:space="preserve"> zero pathway. </w:t>
      </w:r>
    </w:p>
    <w:p w14:paraId="4BA1CC31" w14:textId="3EDD07E9" w:rsidR="00C47ACE" w:rsidRDefault="00AC7DE8" w:rsidP="00C47ACE">
      <w:pPr>
        <w:keepLines/>
      </w:pPr>
      <w:r>
        <w:lastRenderedPageBreak/>
        <w:t xml:space="preserve">New investments differ from existing production in that they have the opportunity to use the latest technology and build world’s best practice emissions performance into their design. The Government </w:t>
      </w:r>
      <w:r w:rsidR="005E40A2">
        <w:t xml:space="preserve">expects new facilities to take advantage of these technologies and practices and </w:t>
      </w:r>
      <w:r w:rsidR="00734272">
        <w:t xml:space="preserve">therefore </w:t>
      </w:r>
      <w:r>
        <w:t>proposes to set baselines for new facilities</w:t>
      </w:r>
      <w:r w:rsidRPr="004168E0">
        <w:t xml:space="preserve"> </w:t>
      </w:r>
      <w:r w:rsidRPr="008B0601">
        <w:t>at</w:t>
      </w:r>
      <w:r w:rsidRPr="00065494">
        <w:rPr>
          <w:b/>
          <w:bCs/>
        </w:rPr>
        <w:t xml:space="preserve"> international best practice</w:t>
      </w:r>
      <w:r w:rsidRPr="004168E0">
        <w:rPr>
          <w:b/>
          <w:bCs/>
        </w:rPr>
        <w:t>,</w:t>
      </w:r>
      <w:r w:rsidRPr="00065494">
        <w:rPr>
          <w:b/>
          <w:bCs/>
        </w:rPr>
        <w:t xml:space="preserve"> adapted for an Australian context</w:t>
      </w:r>
      <w:r>
        <w:t xml:space="preserve">. This sends a strong signal to investors </w:t>
      </w:r>
      <w:r w:rsidR="00734272">
        <w:t xml:space="preserve">that </w:t>
      </w:r>
      <w:r>
        <w:t>Australia</w:t>
      </w:r>
      <w:r w:rsidR="00734272">
        <w:t xml:space="preserve"> is </w:t>
      </w:r>
      <w:r>
        <w:t xml:space="preserve">on a pathway to net zero and new production must support this goal. </w:t>
      </w:r>
      <w:r w:rsidR="00C47ACE">
        <w:t xml:space="preserve">Adapting </w:t>
      </w:r>
      <w:r w:rsidR="00EF462A">
        <w:t>international best practice</w:t>
      </w:r>
      <w:r w:rsidR="00C47ACE">
        <w:t xml:space="preserve"> for an Australian context means</w:t>
      </w:r>
      <w:r w:rsidR="0018456F">
        <w:t>, for example, adjusting for energy sources</w:t>
      </w:r>
      <w:r w:rsidR="00640DBB">
        <w:t xml:space="preserve">, </w:t>
      </w:r>
      <w:r w:rsidR="00640DBB" w:rsidRPr="00640DBB">
        <w:t>the types of metal ores that are processed in Australia compared to overseas</w:t>
      </w:r>
      <w:r w:rsidR="00640DBB">
        <w:t xml:space="preserve">, </w:t>
      </w:r>
      <w:r w:rsidR="0018456F">
        <w:t>or other resources that are used overseas but are not available in Australia.</w:t>
      </w:r>
      <w:r w:rsidR="00C47ACE">
        <w:t xml:space="preserve"> </w:t>
      </w:r>
      <w:r w:rsidR="00640DBB">
        <w:t>It will take into account the effect of technologies implemented in Australia and overseas, including renewable energy, low emissions technologies and electrification.</w:t>
      </w:r>
      <w:r w:rsidR="00640DBB" w:rsidRPr="00640DBB">
        <w:rPr>
          <w:rFonts w:asciiTheme="majorHAnsi" w:hAnsiTheme="majorHAnsi"/>
          <w:lang w:eastAsia="ja-JP"/>
        </w:rPr>
        <w:t xml:space="preserve"> </w:t>
      </w:r>
      <w:r w:rsidR="004168E0">
        <w:t xml:space="preserve">The </w:t>
      </w:r>
      <w:r w:rsidR="00640DBB">
        <w:t xml:space="preserve">Government will begin developing a framework for determining international best practice, which </w:t>
      </w:r>
      <w:r w:rsidR="004168E0">
        <w:t>will be developed in consultation with stakeholders</w:t>
      </w:r>
      <w:r w:rsidR="00640DBB">
        <w:t>.</w:t>
      </w:r>
      <w:r w:rsidR="004168E0">
        <w:t xml:space="preserve"> </w:t>
      </w:r>
      <w:r w:rsidR="00640DBB" w:rsidRPr="00640DBB">
        <w:t>The process will include assessing available information and identifying comparable international producers</w:t>
      </w:r>
      <w:r w:rsidR="00640DBB">
        <w:t>.</w:t>
      </w:r>
    </w:p>
    <w:p w14:paraId="19235D74" w14:textId="77777777" w:rsidR="00CD1610" w:rsidRDefault="00AC7DE8" w:rsidP="005C2180">
      <w:pPr>
        <w:spacing w:after="100"/>
      </w:pPr>
      <w:r>
        <w:t xml:space="preserve">To </w:t>
      </w:r>
      <w:r w:rsidR="002E4D93">
        <w:t>reduce</w:t>
      </w:r>
      <w:r>
        <w:t xml:space="preserve"> competitive distortions between new and existing facilities, international best practice </w:t>
      </w:r>
      <w:r w:rsidR="005C2180">
        <w:t xml:space="preserve">will also apply at existing Safeguard Mechanism facilities if they begin producing new products. </w:t>
      </w:r>
      <w:r>
        <w:t xml:space="preserve">This means any </w:t>
      </w:r>
      <w:r w:rsidR="00F0411E">
        <w:t xml:space="preserve">Safeguard </w:t>
      </w:r>
      <w:r>
        <w:t xml:space="preserve">facility—whether new or </w:t>
      </w:r>
      <w:r w:rsidR="00F0411E">
        <w:t>existing</w:t>
      </w:r>
      <w:r>
        <w:t xml:space="preserve">—that invests in new plant and equipment </w:t>
      </w:r>
      <w:r w:rsidR="008A5E67">
        <w:t>resulting</w:t>
      </w:r>
      <w:r w:rsidR="009953DA">
        <w:t xml:space="preserve"> in</w:t>
      </w:r>
      <w:r w:rsidR="007D319B">
        <w:t xml:space="preserve"> the</w:t>
      </w:r>
      <w:r>
        <w:t xml:space="preserve"> </w:t>
      </w:r>
      <w:r w:rsidR="007D319B">
        <w:t>use of</w:t>
      </w:r>
      <w:r>
        <w:t xml:space="preserve"> a new </w:t>
      </w:r>
      <w:r w:rsidR="009953DA">
        <w:t xml:space="preserve">production variable </w:t>
      </w:r>
      <w:r>
        <w:t>will face the more stringent performance requirement.</w:t>
      </w:r>
      <w:r w:rsidR="00CD1610">
        <w:t xml:space="preserve"> New entrant baselines will not apply to facilities that </w:t>
      </w:r>
      <w:r w:rsidR="00BA0432" w:rsidRPr="00BA0432">
        <w:t xml:space="preserve">trigger the </w:t>
      </w:r>
      <w:r w:rsidR="004753AA">
        <w:t>coverage threshold after 1 July </w:t>
      </w:r>
      <w:r w:rsidR="00BA0432" w:rsidRPr="00BA0432">
        <w:t xml:space="preserve">2023, but </w:t>
      </w:r>
      <w:r w:rsidR="00CD1610">
        <w:t>have</w:t>
      </w:r>
      <w:r w:rsidR="00DF297D">
        <w:t xml:space="preserve"> b</w:t>
      </w:r>
      <w:r w:rsidR="00050A9F">
        <w:t>e</w:t>
      </w:r>
      <w:r w:rsidR="00DF297D">
        <w:t>e</w:t>
      </w:r>
      <w:r w:rsidR="004753AA">
        <w:t xml:space="preserve">n operating and reporting </w:t>
      </w:r>
      <w:r w:rsidR="00CD1610">
        <w:t>under NGERS for some time</w:t>
      </w:r>
      <w:r w:rsidR="00BA0432" w:rsidRPr="00BA0432">
        <w:t xml:space="preserve"> (unless they start producing a different product).</w:t>
      </w:r>
      <w:r w:rsidR="00CD1610">
        <w:t xml:space="preserve"> </w:t>
      </w:r>
    </w:p>
    <w:p w14:paraId="7CC4E2F5" w14:textId="40853B8E" w:rsidR="001439FE" w:rsidRDefault="002F4E36" w:rsidP="00FB3916">
      <w:pPr>
        <w:spacing w:after="100"/>
      </w:pPr>
      <w:r>
        <w:t>T</w:t>
      </w:r>
      <w:r w:rsidR="00AC7DE8">
        <w:t xml:space="preserve">he Government </w:t>
      </w:r>
      <w:r w:rsidR="00657FE3">
        <w:t xml:space="preserve">would </w:t>
      </w:r>
      <w:r w:rsidR="00AC7DE8">
        <w:t xml:space="preserve">apply new entrant baselines from 1 July 2023, consistent with commencement of other Safeguard Mechanism reforms. </w:t>
      </w:r>
      <w:r w:rsidR="00180507">
        <w:t xml:space="preserve">Any facilities that become covered by the Safeguard Mechanism in the current compliance year (2022-23) will have a baseline set using the published industry average emissions intensity values set in Schedule 2 of the Safeguard Rule. </w:t>
      </w:r>
    </w:p>
    <w:p w14:paraId="2843DD92" w14:textId="524A7C1E" w:rsidR="00C033C6" w:rsidRDefault="00FA4B22" w:rsidP="00C033C6">
      <w:r>
        <w:t xml:space="preserve">New facility baselines </w:t>
      </w:r>
      <w:r w:rsidR="00657FE3">
        <w:t xml:space="preserve">would </w:t>
      </w:r>
      <w:r>
        <w:t>be</w:t>
      </w:r>
      <w:r w:rsidR="00C033C6">
        <w:t xml:space="preserve"> subject to an annual decline rate, consistent with baselines for existing facilities. </w:t>
      </w:r>
    </w:p>
    <w:p w14:paraId="4E97FA96" w14:textId="5A854EC7" w:rsidR="000E0E2C" w:rsidRDefault="00966904" w:rsidP="00FF5D77">
      <w:pPr>
        <w:pStyle w:val="Calloutbox"/>
      </w:pPr>
      <w:r>
        <w:t xml:space="preserve">New facility baselines </w:t>
      </w:r>
      <w:r w:rsidR="00E252E4">
        <w:t>would</w:t>
      </w:r>
      <w:r w:rsidR="00657FE3">
        <w:t xml:space="preserve"> </w:t>
      </w:r>
      <w:r>
        <w:t>be based on</w:t>
      </w:r>
      <w:r w:rsidR="0039082F">
        <w:t xml:space="preserve"> </w:t>
      </w:r>
      <w:r w:rsidR="00C033C6">
        <w:t xml:space="preserve">international </w:t>
      </w:r>
      <w:r w:rsidR="009E672D">
        <w:t xml:space="preserve">best practice </w:t>
      </w:r>
      <w:r w:rsidR="00C033C6">
        <w:t>emissions-intensity</w:t>
      </w:r>
      <w:r w:rsidR="009E672D">
        <w:t xml:space="preserve"> benchmarks</w:t>
      </w:r>
      <w:r w:rsidR="008937E9">
        <w:t>, adapted for Australian circumstances</w:t>
      </w:r>
      <w:r w:rsidR="009E672D">
        <w:t xml:space="preserve">. </w:t>
      </w:r>
    </w:p>
    <w:p w14:paraId="37753073" w14:textId="472C15B0" w:rsidR="00E96649" w:rsidRPr="00350E95" w:rsidRDefault="005C2180" w:rsidP="00FF5D77">
      <w:pPr>
        <w:pStyle w:val="Calloutbox"/>
      </w:pPr>
      <w:r>
        <w:t xml:space="preserve">International best practice </w:t>
      </w:r>
      <w:r w:rsidR="00657FE3">
        <w:t xml:space="preserve">would </w:t>
      </w:r>
      <w:r>
        <w:t>also apply at existing Safeguard Mechanism facilities if they begin producing new products.</w:t>
      </w:r>
    </w:p>
    <w:p w14:paraId="25D06B18" w14:textId="0148E246" w:rsidR="00C033C6" w:rsidRDefault="00123D02" w:rsidP="00FF5D77">
      <w:pPr>
        <w:pStyle w:val="Calloutbox"/>
      </w:pPr>
      <w:r>
        <w:t>New entrant arrangements</w:t>
      </w:r>
      <w:r w:rsidR="00C033C6">
        <w:t xml:space="preserve"> </w:t>
      </w:r>
      <w:r w:rsidR="00657FE3">
        <w:t xml:space="preserve">would </w:t>
      </w:r>
      <w:r w:rsidR="00A12BDA">
        <w:t xml:space="preserve">commence from </w:t>
      </w:r>
      <w:r w:rsidR="002F4E36">
        <w:t xml:space="preserve">1 July </w:t>
      </w:r>
      <w:r w:rsidR="00A12BDA">
        <w:t>2023, consistent</w:t>
      </w:r>
      <w:r w:rsidR="00C033C6">
        <w:t xml:space="preserve"> with broader </w:t>
      </w:r>
      <w:r w:rsidR="00A12BDA">
        <w:t xml:space="preserve">Safeguard </w:t>
      </w:r>
      <w:r w:rsidR="00C033C6">
        <w:t xml:space="preserve">reforms. </w:t>
      </w:r>
    </w:p>
    <w:p w14:paraId="47A93DDA" w14:textId="641D4908" w:rsidR="002E20E6" w:rsidRDefault="002E20E6" w:rsidP="00FF5D77">
      <w:pPr>
        <w:pStyle w:val="Calloutbox"/>
      </w:pPr>
      <w:r>
        <w:t xml:space="preserve">New facility baselines </w:t>
      </w:r>
      <w:r w:rsidR="00657FE3">
        <w:t xml:space="preserve">would </w:t>
      </w:r>
      <w:r>
        <w:t>be subject to an annual decline rate, consistent with baselines for existing facilities.</w:t>
      </w:r>
    </w:p>
    <w:p w14:paraId="42B6AEA2" w14:textId="77777777" w:rsidR="00E56953" w:rsidRDefault="00DD7769" w:rsidP="00035686">
      <w:pPr>
        <w:pStyle w:val="Heading1"/>
      </w:pPr>
      <w:bookmarkStart w:id="595" w:name="_Toc117521033"/>
      <w:bookmarkStart w:id="596" w:name="_Toc117524780"/>
      <w:bookmarkStart w:id="597" w:name="_Toc117543971"/>
      <w:bookmarkStart w:id="598" w:name="_Toc117548322"/>
      <w:bookmarkStart w:id="599" w:name="_Toc117588640"/>
      <w:bookmarkStart w:id="600" w:name="_Toc117588684"/>
      <w:bookmarkStart w:id="601" w:name="_Toc117604802"/>
      <w:bookmarkStart w:id="602" w:name="_Toc117612884"/>
      <w:bookmarkStart w:id="603" w:name="_Toc117627722"/>
      <w:bookmarkStart w:id="604" w:name="_Toc117630387"/>
      <w:bookmarkStart w:id="605" w:name="_Toc117867994"/>
      <w:bookmarkStart w:id="606" w:name="_Toc117888008"/>
      <w:bookmarkStart w:id="607" w:name="_Toc117951452"/>
      <w:bookmarkStart w:id="608" w:name="_Toc117960099"/>
      <w:bookmarkStart w:id="609" w:name="_Toc118040360"/>
      <w:bookmarkStart w:id="610" w:name="_Toc118196212"/>
      <w:bookmarkStart w:id="611" w:name="_Toc118198381"/>
      <w:bookmarkStart w:id="612" w:name="_Toc118198796"/>
      <w:bookmarkStart w:id="613" w:name="_Toc118198987"/>
      <w:bookmarkStart w:id="614" w:name="_Toc118199541"/>
      <w:bookmarkStart w:id="615" w:name="_Toc118304113"/>
      <w:bookmarkStart w:id="616" w:name="_Toc118304144"/>
      <w:bookmarkStart w:id="617" w:name="_Toc118306346"/>
      <w:bookmarkStart w:id="618" w:name="_Toc118308338"/>
      <w:bookmarkStart w:id="619" w:name="_Toc109645632"/>
      <w:bookmarkStart w:id="620" w:name="_Toc109653341"/>
      <w:bookmarkStart w:id="621" w:name="_Toc109659388"/>
      <w:bookmarkStart w:id="622" w:name="_Toc109717168"/>
      <w:bookmarkStart w:id="623" w:name="_Toc109742676"/>
      <w:bookmarkStart w:id="624" w:name="_Toc109746060"/>
      <w:bookmarkStart w:id="625" w:name="_Toc109747124"/>
      <w:bookmarkStart w:id="626" w:name="_Toc109818500"/>
      <w:bookmarkStart w:id="627" w:name="_Toc110524026"/>
      <w:bookmarkStart w:id="628" w:name="_Toc110545554"/>
      <w:bookmarkStart w:id="629" w:name="_Toc110590737"/>
      <w:bookmarkStart w:id="630" w:name="_Toc110590792"/>
      <w:bookmarkStart w:id="631" w:name="_Toc110593196"/>
      <w:bookmarkStart w:id="632" w:name="_Toc110851749"/>
      <w:bookmarkStart w:id="633" w:name="_Toc111042140"/>
      <w:bookmarkStart w:id="634" w:name="_Toc117176813"/>
      <w:bookmarkStart w:id="635" w:name="_Toc117255416"/>
      <w:bookmarkStart w:id="636" w:name="_Toc117263157"/>
      <w:bookmarkStart w:id="637" w:name="_Toc117437238"/>
      <w:bookmarkStart w:id="638" w:name="_Toc117499186"/>
      <w:bookmarkStart w:id="639" w:name="_Toc117509876"/>
      <w:bookmarkStart w:id="640" w:name="_Toc117514057"/>
      <w:bookmarkStart w:id="641" w:name="_Toc119500909"/>
      <w:bookmarkStart w:id="642" w:name="_Toc119572364"/>
      <w:bookmarkStart w:id="643" w:name="_Toc120098959"/>
      <w:bookmarkStart w:id="644" w:name="_Toc122514439"/>
      <w:bookmarkStart w:id="645" w:name="_Toc124100689"/>
      <w:r>
        <w:t>Flexible compliance options</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sidR="00423A20">
        <w:t xml:space="preserve"> </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00FD03E2">
        <w:t>t</w:t>
      </w:r>
      <w:r w:rsidR="00C14C72">
        <w:t>o</w:t>
      </w:r>
      <w:r w:rsidR="00FD03E2">
        <w:t xml:space="preserve"> lower costs</w:t>
      </w:r>
      <w:bookmarkEnd w:id="641"/>
      <w:bookmarkEnd w:id="642"/>
      <w:bookmarkEnd w:id="643"/>
      <w:bookmarkEnd w:id="644"/>
      <w:bookmarkEnd w:id="645"/>
    </w:p>
    <w:p w14:paraId="75565FE7" w14:textId="77777777" w:rsidR="00DC6B0C" w:rsidRPr="005426A7" w:rsidRDefault="00DC6B0C" w:rsidP="005426A7">
      <w:pPr>
        <w:pStyle w:val="Heading2"/>
      </w:pPr>
      <w:bookmarkStart w:id="646" w:name="_Toc109645633"/>
      <w:bookmarkStart w:id="647" w:name="_Toc109653342"/>
      <w:bookmarkStart w:id="648" w:name="_Toc109659389"/>
      <w:bookmarkStart w:id="649" w:name="_Toc109717169"/>
      <w:bookmarkStart w:id="650" w:name="_Toc109742677"/>
      <w:bookmarkStart w:id="651" w:name="_Toc109746061"/>
      <w:bookmarkStart w:id="652" w:name="_Toc109747125"/>
      <w:bookmarkStart w:id="653" w:name="_Toc109818501"/>
      <w:bookmarkStart w:id="654" w:name="_Toc110524027"/>
      <w:bookmarkStart w:id="655" w:name="_Toc110545555"/>
      <w:bookmarkStart w:id="656" w:name="_Toc110590738"/>
      <w:bookmarkStart w:id="657" w:name="_Toc110590793"/>
      <w:bookmarkStart w:id="658" w:name="_Toc110593197"/>
      <w:bookmarkStart w:id="659" w:name="_Toc110851750"/>
      <w:bookmarkStart w:id="660" w:name="_Toc111042141"/>
      <w:bookmarkStart w:id="661" w:name="_Toc117176814"/>
      <w:bookmarkStart w:id="662" w:name="_Toc117255417"/>
      <w:bookmarkStart w:id="663" w:name="_Toc117263158"/>
      <w:bookmarkStart w:id="664" w:name="_Toc117437239"/>
      <w:bookmarkStart w:id="665" w:name="_Toc117499187"/>
      <w:bookmarkStart w:id="666" w:name="_Toc117627723"/>
      <w:bookmarkStart w:id="667" w:name="_Toc117630388"/>
      <w:bookmarkStart w:id="668" w:name="_Toc117867995"/>
      <w:bookmarkStart w:id="669" w:name="_Toc117888009"/>
      <w:bookmarkStart w:id="670" w:name="_Toc117951453"/>
      <w:bookmarkStart w:id="671" w:name="_Toc117960100"/>
      <w:bookmarkStart w:id="672" w:name="_Toc118040361"/>
      <w:bookmarkStart w:id="673" w:name="_Toc118196213"/>
      <w:bookmarkStart w:id="674" w:name="_Toc118198382"/>
      <w:bookmarkStart w:id="675" w:name="_Toc118198797"/>
      <w:bookmarkStart w:id="676" w:name="_Toc118198988"/>
      <w:bookmarkStart w:id="677" w:name="_Toc118199542"/>
      <w:bookmarkStart w:id="678" w:name="_Toc118304114"/>
      <w:bookmarkStart w:id="679" w:name="_Toc118304145"/>
      <w:bookmarkStart w:id="680" w:name="_Toc118306347"/>
      <w:bookmarkStart w:id="681" w:name="_Toc118308339"/>
      <w:bookmarkStart w:id="682" w:name="_Toc119500910"/>
      <w:bookmarkStart w:id="683" w:name="_Toc119572365"/>
      <w:bookmarkStart w:id="684" w:name="_Toc120098960"/>
      <w:bookmarkStart w:id="685" w:name="_Toc122514440"/>
      <w:bookmarkStart w:id="686" w:name="_Toc124100690"/>
      <w:bookmarkStart w:id="687" w:name="_Toc117521034"/>
      <w:bookmarkStart w:id="688" w:name="_Toc117524781"/>
      <w:bookmarkStart w:id="689" w:name="_Toc117543972"/>
      <w:bookmarkStart w:id="690" w:name="_Toc117548323"/>
      <w:bookmarkStart w:id="691" w:name="_Toc117588641"/>
      <w:bookmarkStart w:id="692" w:name="_Toc117588685"/>
      <w:bookmarkStart w:id="693" w:name="_Toc117604803"/>
      <w:bookmarkStart w:id="694" w:name="_Toc117612885"/>
      <w:r w:rsidRPr="005426A7">
        <w:t>Crediting and trading</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sidR="00652FDD">
        <w:t xml:space="preserve"> </w:t>
      </w:r>
      <w:bookmarkEnd w:id="687"/>
      <w:bookmarkEnd w:id="688"/>
      <w:bookmarkEnd w:id="689"/>
      <w:bookmarkEnd w:id="690"/>
      <w:bookmarkEnd w:id="691"/>
      <w:bookmarkEnd w:id="692"/>
      <w:bookmarkEnd w:id="693"/>
      <w:bookmarkEnd w:id="694"/>
    </w:p>
    <w:p w14:paraId="0DAA2612" w14:textId="77777777" w:rsidR="002071FB" w:rsidRDefault="00B30EBB" w:rsidP="00423A20">
      <w:pPr>
        <w:keepLines/>
      </w:pPr>
      <w:r>
        <w:t xml:space="preserve">The Safeguard Mechanism </w:t>
      </w:r>
      <w:r w:rsidR="0068051C">
        <w:t xml:space="preserve">already </w:t>
      </w:r>
      <w:r>
        <w:t>includes flexible compliance options to help businesses meet their compliance obligations</w:t>
      </w:r>
      <w:r w:rsidR="00C7274F">
        <w:t>, including the ability to</w:t>
      </w:r>
      <w:r w:rsidR="00E974A5">
        <w:t xml:space="preserve"> surrender carbon offsets</w:t>
      </w:r>
      <w:r w:rsidR="002E20E6">
        <w:t xml:space="preserve">—in the form of </w:t>
      </w:r>
      <w:r w:rsidR="00E974A5">
        <w:t xml:space="preserve">Australian </w:t>
      </w:r>
      <w:r w:rsidR="008C7122">
        <w:t>Carbon Credit Units (ACCUs</w:t>
      </w:r>
      <w:r w:rsidR="00E974A5">
        <w:t>)</w:t>
      </w:r>
      <w:r w:rsidR="002E20E6">
        <w:t>—</w:t>
      </w:r>
      <w:r w:rsidR="00E974A5">
        <w:t xml:space="preserve">as an alternative to reducing </w:t>
      </w:r>
      <w:r w:rsidR="008863DF">
        <w:t xml:space="preserve">their on-site </w:t>
      </w:r>
      <w:r w:rsidR="00E974A5">
        <w:t>emissions</w:t>
      </w:r>
      <w:r w:rsidR="00C7274F">
        <w:t>.</w:t>
      </w:r>
      <w:r w:rsidR="00AB0416">
        <w:t xml:space="preserve"> </w:t>
      </w:r>
      <w:r w:rsidR="00E974A5">
        <w:t xml:space="preserve"> </w:t>
      </w:r>
    </w:p>
    <w:p w14:paraId="53832B79" w14:textId="77777777" w:rsidR="00D61B89" w:rsidRDefault="00B17C03" w:rsidP="001A3F0D">
      <w:r>
        <w:t>Removing ‘headroom’ and declining baselines will unlock an</w:t>
      </w:r>
      <w:r w:rsidR="008C7122">
        <w:t xml:space="preserve"> additional </w:t>
      </w:r>
      <w:r>
        <w:t xml:space="preserve">source of </w:t>
      </w:r>
      <w:r w:rsidR="008C7122">
        <w:t>flexib</w:t>
      </w:r>
      <w:r w:rsidR="008863DF">
        <w:t>ility</w:t>
      </w:r>
      <w:r w:rsidR="008C7122">
        <w:t xml:space="preserve"> by </w:t>
      </w:r>
      <w:r w:rsidR="00E974A5">
        <w:t>allow</w:t>
      </w:r>
      <w:r w:rsidR="008C7122">
        <w:t>ing</w:t>
      </w:r>
      <w:r w:rsidR="00E974A5">
        <w:t xml:space="preserve"> facilities </w:t>
      </w:r>
      <w:r w:rsidR="002071FB">
        <w:t xml:space="preserve">to </w:t>
      </w:r>
      <w:r w:rsidR="008863DF">
        <w:t>generate tradable credits whe</w:t>
      </w:r>
      <w:r w:rsidR="006737D9">
        <w:t>re</w:t>
      </w:r>
      <w:r w:rsidR="008863DF">
        <w:t xml:space="preserve"> their emissions </w:t>
      </w:r>
      <w:r w:rsidR="006737D9">
        <w:t>are</w:t>
      </w:r>
      <w:r w:rsidR="008863DF">
        <w:t xml:space="preserve"> below their baseline</w:t>
      </w:r>
      <w:r w:rsidR="00E974A5">
        <w:t xml:space="preserve">. </w:t>
      </w:r>
      <w:r w:rsidR="00D61B89">
        <w:t xml:space="preserve">This </w:t>
      </w:r>
      <w:r w:rsidR="00D61B89">
        <w:lastRenderedPageBreak/>
        <w:t>means</w:t>
      </w:r>
      <w:r w:rsidR="001A3F0D">
        <w:t xml:space="preserve"> facilities with relatively low cost abatement can sell credits to facilities whose abatement options are more costly or limited</w:t>
      </w:r>
      <w:r w:rsidR="002B122B">
        <w:t>, without jeopardising the climate goal</w:t>
      </w:r>
      <w:r w:rsidR="001A3F0D">
        <w:t xml:space="preserve">. </w:t>
      </w:r>
    </w:p>
    <w:p w14:paraId="6A279DDE" w14:textId="5E39C142" w:rsidR="002B122B" w:rsidRDefault="002B122B" w:rsidP="002B122B">
      <w:r>
        <w:t xml:space="preserve">Crediting and trading </w:t>
      </w:r>
      <w:r w:rsidR="004753AA">
        <w:t>doesn’t</w:t>
      </w:r>
      <w:r>
        <w:t xml:space="preserve"> change the environmental outcome or the amount of abatement delivered by the Safeguard Mechanism. </w:t>
      </w:r>
      <w:r w:rsidR="004753AA">
        <w:t>It</w:t>
      </w:r>
      <w:r>
        <w:t xml:space="preserve"> </w:t>
      </w:r>
      <w:r w:rsidR="006737D9">
        <w:t xml:space="preserve">simply </w:t>
      </w:r>
      <w:r>
        <w:t>lower</w:t>
      </w:r>
      <w:r w:rsidR="004753AA">
        <w:t>s</w:t>
      </w:r>
      <w:r>
        <w:t xml:space="preserve"> the cost of reducing emissions—for any given climate goal—because the reductions occur where they are cheapest. </w:t>
      </w:r>
    </w:p>
    <w:p w14:paraId="0CE0307B" w14:textId="77777777" w:rsidR="00581994" w:rsidRDefault="00581994" w:rsidP="00B17C03">
      <w:r>
        <w:t xml:space="preserve">There was widespread support among Safeguard facilities for </w:t>
      </w:r>
      <w:r w:rsidR="001A3F0D">
        <w:t>access to crediting and trading</w:t>
      </w:r>
      <w:r w:rsidR="00317F8C">
        <w:t>—</w:t>
      </w:r>
      <w:r w:rsidR="00D61B89">
        <w:t>it will help businesses to manage compliance costs as baselines decline</w:t>
      </w:r>
      <w:r w:rsidR="001A3F0D">
        <w:t xml:space="preserve">. </w:t>
      </w:r>
    </w:p>
    <w:p w14:paraId="0FB0A891" w14:textId="77777777" w:rsidR="001A3F0D" w:rsidRDefault="001A3F0D" w:rsidP="001A3F0D">
      <w:pPr>
        <w:pStyle w:val="Quote"/>
      </w:pPr>
      <w:r>
        <w:t>Crediting and trading should commence from the start of the scheme. The administrative allocation of SMCs is very important as this encourages facilities that can reduce emissions by investing in abatement to do so, which is critical to achieving the 2030 target.</w:t>
      </w:r>
    </w:p>
    <w:p w14:paraId="073F79E7" w14:textId="77777777" w:rsidR="001A3F0D" w:rsidRPr="009C39D0" w:rsidRDefault="001A3F0D" w:rsidP="001A3F0D">
      <w:pPr>
        <w:pStyle w:val="IntenseQuote"/>
      </w:pPr>
      <w:r>
        <w:t>Minerals Council of Australia</w:t>
      </w:r>
    </w:p>
    <w:p w14:paraId="29344160" w14:textId="77777777" w:rsidR="001A3F0D" w:rsidRDefault="001A3F0D" w:rsidP="001A3F0D">
      <w:pPr>
        <w:pStyle w:val="Quote"/>
      </w:pPr>
      <w:r>
        <w:t>Crediting and trading of Safeguard Mechanism Credits (SMCs) will allow abatement to occur where it is cheapest.</w:t>
      </w:r>
    </w:p>
    <w:p w14:paraId="54BCCB07" w14:textId="77777777" w:rsidR="0035084D" w:rsidRPr="00FF5A00" w:rsidRDefault="0035084D" w:rsidP="0035084D">
      <w:pPr>
        <w:pStyle w:val="IntenseQuote"/>
      </w:pPr>
      <w:r w:rsidRPr="00FF5A00">
        <w:t>Australian Industry Greenhouse Network</w:t>
      </w:r>
    </w:p>
    <w:p w14:paraId="69C5AC7F" w14:textId="77777777" w:rsidR="002A6182" w:rsidRDefault="002A6182" w:rsidP="002A6182">
      <w:r>
        <w:t>A small number of commentators have incorrectly characterised SMCs a</w:t>
      </w:r>
      <w:r w:rsidR="006737D9">
        <w:t>s</w:t>
      </w:r>
      <w:r>
        <w:t xml:space="preserve"> </w:t>
      </w:r>
      <w:r w:rsidR="006737D9">
        <w:t>‘</w:t>
      </w:r>
      <w:r>
        <w:t>offsets</w:t>
      </w:r>
      <w:r w:rsidR="006737D9">
        <w:t>’,</w:t>
      </w:r>
      <w:r>
        <w:t xml:space="preserve"> and argue that they should be </w:t>
      </w:r>
      <w:r w:rsidR="006737D9">
        <w:t>‘</w:t>
      </w:r>
      <w:r>
        <w:t>additional</w:t>
      </w:r>
      <w:r w:rsidR="006737D9">
        <w:t>’</w:t>
      </w:r>
      <w:r>
        <w:t>. Others recognised that SMCs are generated under a regulated emissions limit, so they are not offsets and claims that they should be additional are erroneous (see Box 4.1):</w:t>
      </w:r>
    </w:p>
    <w:p w14:paraId="5F7785FC" w14:textId="77777777" w:rsidR="007A6EEA" w:rsidRDefault="007A6EEA" w:rsidP="000B7B69">
      <w:pPr>
        <w:pStyle w:val="Quote"/>
      </w:pPr>
      <w:r w:rsidRPr="000B7B69">
        <w:t>Provided Safeguard Mechanism baselines are complied with and the scheme’s overall emissions reductions objectives are being met, the absence of additionality requ</w:t>
      </w:r>
      <w:r w:rsidRPr="007A6EEA">
        <w:t>irements for SMCs is not a concern for their use within the Safeguard Mechanism scheme.</w:t>
      </w:r>
    </w:p>
    <w:p w14:paraId="075C0C70" w14:textId="77777777" w:rsidR="007A6EEA" w:rsidRDefault="002A6182" w:rsidP="002A6182">
      <w:pPr>
        <w:pStyle w:val="IntenseQuote"/>
      </w:pPr>
      <w:r>
        <w:t>Climate Change Authority</w:t>
      </w:r>
    </w:p>
    <w:p w14:paraId="7155C9C6" w14:textId="77777777" w:rsidR="007A6EEA" w:rsidRPr="000B7B69" w:rsidRDefault="007A6EEA" w:rsidP="000B7B69">
      <w:pPr>
        <w:pStyle w:val="Quote"/>
      </w:pPr>
      <w:r w:rsidRPr="000B7B69">
        <w:t>Provided that the baseline headroom is removed and they decline in line with the national target, Safeguard Mechanism Credits (SMC) will be hig</w:t>
      </w:r>
      <w:r w:rsidRPr="007A6EEA">
        <w:t>h integrity. In this scenario, SMCs should be issued and used by facilities to meet SGM obligations without limit, along with being traded with other facilities to meet their obligations.</w:t>
      </w:r>
    </w:p>
    <w:p w14:paraId="032AADC4" w14:textId="77777777" w:rsidR="007A6EEA" w:rsidRDefault="002A6182" w:rsidP="002A6182">
      <w:pPr>
        <w:pStyle w:val="IntenseQuote"/>
        <w:rPr>
          <w:rFonts w:ascii="Calibri" w:hAnsi="Calibri" w:cs="Calibri"/>
          <w:color w:val="000000"/>
          <w:lang w:val="en-US"/>
        </w:rPr>
      </w:pPr>
      <w:r>
        <w:t>Australian Centre for Corporate Responsibility</w:t>
      </w:r>
    </w:p>
    <w:p w14:paraId="1758DCFF" w14:textId="77777777" w:rsidR="00C47159" w:rsidRDefault="00581994" w:rsidP="00A20A63">
      <w:r>
        <w:t>The</w:t>
      </w:r>
      <w:r w:rsidR="00E9704D">
        <w:t xml:space="preserve"> Clean Energy Regulator will automatically issue Safeguard Mechanism Credits (SMCs) to facilities </w:t>
      </w:r>
      <w:r w:rsidR="0064678A">
        <w:t>with</w:t>
      </w:r>
      <w:r w:rsidR="00AF6115">
        <w:t xml:space="preserve"> </w:t>
      </w:r>
      <w:r w:rsidR="00E9704D">
        <w:t xml:space="preserve">emissions below their Safeguard </w:t>
      </w:r>
      <w:r w:rsidR="00196549">
        <w:t xml:space="preserve">Mechanism </w:t>
      </w:r>
      <w:r w:rsidR="004E38A6">
        <w:t>baseline</w:t>
      </w:r>
      <w:r w:rsidR="00AB1146">
        <w:rPr>
          <w:rStyle w:val="FootnoteReference"/>
        </w:rPr>
        <w:footnoteReference w:id="21"/>
      </w:r>
      <w:r w:rsidR="00E9704D">
        <w:t>. Those credits can be sold to other</w:t>
      </w:r>
      <w:r w:rsidR="00F47913">
        <w:t xml:space="preserve"> Safeguard Mechanism facilities, </w:t>
      </w:r>
      <w:r w:rsidR="00E9704D">
        <w:t>surrendered to meet compliance obligations</w:t>
      </w:r>
      <w:r w:rsidR="00F47913">
        <w:t xml:space="preserve"> or banked for future use (see section 4.5)</w:t>
      </w:r>
      <w:r w:rsidR="00E9704D">
        <w:t xml:space="preserve">. This is a </w:t>
      </w:r>
      <w:r w:rsidR="003D5AC5">
        <w:t xml:space="preserve">relatively </w:t>
      </w:r>
      <w:r w:rsidR="00E9704D">
        <w:t>simple approach to crediting that avoids the administrative costs of project-based offsets</w:t>
      </w:r>
      <w:r w:rsidR="00051FCA">
        <w:t xml:space="preserve"> </w:t>
      </w:r>
      <w:r w:rsidR="00E9704D">
        <w:t>(see Box </w:t>
      </w:r>
      <w:r w:rsidR="0064678A">
        <w:t>4.1)</w:t>
      </w:r>
      <w:r w:rsidR="00E9704D">
        <w:t>. Further</w:t>
      </w:r>
      <w:r w:rsidR="008863DF">
        <w:t>, t</w:t>
      </w:r>
      <w:r w:rsidR="002071FB">
        <w:t xml:space="preserve">he Government </w:t>
      </w:r>
      <w:r w:rsidR="008E02A7">
        <w:t xml:space="preserve">does not need to </w:t>
      </w:r>
      <w:r w:rsidR="00AF6115">
        <w:t xml:space="preserve">identify </w:t>
      </w:r>
      <w:r w:rsidR="002071FB">
        <w:t>which facilities have acce</w:t>
      </w:r>
      <w:r w:rsidR="00B30EBB">
        <w:t>ss</w:t>
      </w:r>
      <w:r w:rsidR="00C37880">
        <w:t xml:space="preserve"> to</w:t>
      </w:r>
      <w:r w:rsidR="00B30EBB">
        <w:t xml:space="preserve"> the low </w:t>
      </w:r>
      <w:r w:rsidR="002071FB">
        <w:t>cost abatement opportunities</w:t>
      </w:r>
      <w:r w:rsidR="004A3A43">
        <w:t xml:space="preserve"> as </w:t>
      </w:r>
      <w:r w:rsidR="002071FB">
        <w:t>this will be left to the market.</w:t>
      </w:r>
    </w:p>
    <w:p w14:paraId="4722DD3C" w14:textId="77777777" w:rsidR="00C47159" w:rsidRPr="00380C36" w:rsidRDefault="00C47159" w:rsidP="0011042C">
      <w:pPr>
        <w:pStyle w:val="PlainText"/>
        <w:keepNext/>
        <w:keepLines/>
        <w:pBdr>
          <w:top w:val="single" w:sz="4" w:space="1" w:color="auto"/>
          <w:left w:val="single" w:sz="4" w:space="4" w:color="auto"/>
          <w:bottom w:val="single" w:sz="4" w:space="1" w:color="auto"/>
          <w:right w:val="single" w:sz="4" w:space="4" w:color="auto"/>
        </w:pBdr>
        <w:shd w:val="clear" w:color="auto" w:fill="DEEAF6" w:themeFill="accent5" w:themeFillTint="33"/>
        <w:tabs>
          <w:tab w:val="center" w:pos="7655"/>
        </w:tabs>
        <w:spacing w:after="200"/>
        <w:rPr>
          <w:b/>
        </w:rPr>
      </w:pPr>
      <w:r>
        <w:rPr>
          <w:b/>
        </w:rPr>
        <w:lastRenderedPageBreak/>
        <w:t xml:space="preserve">Box 4.1: </w:t>
      </w:r>
      <w:r w:rsidR="00176F23">
        <w:rPr>
          <w:b/>
        </w:rPr>
        <w:t>Nature</w:t>
      </w:r>
      <w:r>
        <w:rPr>
          <w:b/>
        </w:rPr>
        <w:t xml:space="preserve"> </w:t>
      </w:r>
      <w:r w:rsidR="00176F23">
        <w:rPr>
          <w:b/>
        </w:rPr>
        <w:t xml:space="preserve">of </w:t>
      </w:r>
      <w:r>
        <w:rPr>
          <w:b/>
        </w:rPr>
        <w:t>crediting</w:t>
      </w:r>
    </w:p>
    <w:p w14:paraId="1F8E12ED" w14:textId="77777777" w:rsidR="00C47159" w:rsidRDefault="00C47159" w:rsidP="0011042C">
      <w:pPr>
        <w:pStyle w:val="PlainText"/>
        <w:keepNext/>
        <w:keepLines/>
        <w:pBdr>
          <w:top w:val="single" w:sz="4" w:space="1" w:color="auto"/>
          <w:left w:val="single" w:sz="4" w:space="4" w:color="auto"/>
          <w:bottom w:val="single" w:sz="4" w:space="1" w:color="auto"/>
          <w:right w:val="single" w:sz="4" w:space="4" w:color="auto"/>
        </w:pBdr>
        <w:shd w:val="clear" w:color="auto" w:fill="DEEAF6" w:themeFill="accent5" w:themeFillTint="33"/>
        <w:tabs>
          <w:tab w:val="center" w:pos="7655"/>
        </w:tabs>
        <w:spacing w:after="200"/>
      </w:pPr>
      <w:r>
        <w:t xml:space="preserve">Under the reformed Safeguard Mechanism, Safeguard Mechanism Credits (SMCs) will not be carbon “offsets”, because they are generated within a regulated emissions limit. The integrity of SMCs arises from the regulated emissions limit, which constrains the overall emissions of Safeguard participants. Aggregate baselines form the limit—they can be calibrated to meet the desired contribution to the 2030 target. </w:t>
      </w:r>
    </w:p>
    <w:p w14:paraId="2878D68E" w14:textId="77777777" w:rsidR="00C47159" w:rsidRDefault="00C47159" w:rsidP="0011042C">
      <w:pPr>
        <w:pStyle w:val="PlainText"/>
        <w:keepNext/>
        <w:keepLines/>
        <w:pBdr>
          <w:top w:val="single" w:sz="4" w:space="1" w:color="auto"/>
          <w:left w:val="single" w:sz="4" w:space="4" w:color="auto"/>
          <w:bottom w:val="single" w:sz="4" w:space="1" w:color="auto"/>
          <w:right w:val="single" w:sz="4" w:space="4" w:color="auto"/>
        </w:pBdr>
        <w:shd w:val="clear" w:color="auto" w:fill="DEEAF6" w:themeFill="accent5" w:themeFillTint="33"/>
        <w:tabs>
          <w:tab w:val="center" w:pos="7655"/>
        </w:tabs>
        <w:spacing w:after="200"/>
      </w:pPr>
      <w:r>
        <w:t xml:space="preserve">This means that, unlike ACCUs—which are offsets—SMCs will not need to be 'additional' as defined under the </w:t>
      </w:r>
      <w:r w:rsidRPr="00AF24DB">
        <w:rPr>
          <w:i/>
        </w:rPr>
        <w:t>Carbon Credits (Carbon Farming Initiative) Act</w:t>
      </w:r>
      <w:r>
        <w:t xml:space="preserve">. </w:t>
      </w:r>
    </w:p>
    <w:p w14:paraId="3ECBD1DD" w14:textId="77777777" w:rsidR="00C47159" w:rsidRDefault="00C47159" w:rsidP="0011042C">
      <w:pPr>
        <w:pStyle w:val="PlainText"/>
        <w:keepLines/>
        <w:pBdr>
          <w:top w:val="single" w:sz="4" w:space="1" w:color="auto"/>
          <w:left w:val="single" w:sz="4" w:space="4" w:color="auto"/>
          <w:bottom w:val="single" w:sz="4" w:space="1" w:color="auto"/>
          <w:right w:val="single" w:sz="4" w:space="4" w:color="auto"/>
        </w:pBdr>
        <w:shd w:val="clear" w:color="auto" w:fill="DEEAF6" w:themeFill="accent5" w:themeFillTint="33"/>
        <w:tabs>
          <w:tab w:val="center" w:pos="7655"/>
        </w:tabs>
        <w:spacing w:after="200"/>
      </w:pPr>
      <w:r>
        <w:t xml:space="preserve">The presence of the limit ensures that, in aggregate, Safeguard entities stay within their overall emissions budget. If one facility emits less than their baseline, they can sell a credit to another facility that emits more than its baseline. It is not necessary to know how or why a facility has reduced their emissions, or what </w:t>
      </w:r>
      <w:r w:rsidR="006737D9">
        <w:t xml:space="preserve">its hypothetical </w:t>
      </w:r>
      <w:r>
        <w:t xml:space="preserve">business-as-usual emissions would have </w:t>
      </w:r>
      <w:r w:rsidR="006737D9">
        <w:t>been</w:t>
      </w:r>
      <w:r>
        <w:t xml:space="preserve">. </w:t>
      </w:r>
    </w:p>
    <w:p w14:paraId="2C3EE1AE" w14:textId="77777777" w:rsidR="00C47159" w:rsidRDefault="00C47159" w:rsidP="0011042C">
      <w:pPr>
        <w:pStyle w:val="PlainText"/>
        <w:keepLines/>
        <w:pBdr>
          <w:top w:val="single" w:sz="4" w:space="1" w:color="auto"/>
          <w:left w:val="single" w:sz="4" w:space="4" w:color="auto"/>
          <w:bottom w:val="single" w:sz="4" w:space="1" w:color="auto"/>
          <w:right w:val="single" w:sz="4" w:space="4" w:color="auto"/>
        </w:pBdr>
        <w:shd w:val="clear" w:color="auto" w:fill="DEEAF6" w:themeFill="accent5" w:themeFillTint="33"/>
        <w:tabs>
          <w:tab w:val="center" w:pos="7655"/>
        </w:tabs>
        <w:spacing w:after="200"/>
      </w:pPr>
      <w:r>
        <w:t xml:space="preserve">This is a key benefit of the Safeguard Mechanism compared with an offsets scheme. It has lower administrative </w:t>
      </w:r>
      <w:r w:rsidRPr="008A6FA5">
        <w:t xml:space="preserve">costs and risks—because there is no need to assess </w:t>
      </w:r>
      <w:r>
        <w:t xml:space="preserve">the ‘additionality’ of </w:t>
      </w:r>
      <w:r w:rsidRPr="008A6FA5">
        <w:t>abatement</w:t>
      </w:r>
      <w:r>
        <w:t xml:space="preserve"> at the</w:t>
      </w:r>
      <w:r w:rsidRPr="008A6FA5">
        <w:t xml:space="preserve"> project level. </w:t>
      </w:r>
    </w:p>
    <w:p w14:paraId="03649440" w14:textId="77777777" w:rsidR="00C47159" w:rsidRPr="0011042C" w:rsidRDefault="00C47159" w:rsidP="0011042C">
      <w:pPr>
        <w:pStyle w:val="PlainText"/>
        <w:keepLines/>
        <w:pBdr>
          <w:top w:val="single" w:sz="4" w:space="1" w:color="auto"/>
          <w:left w:val="single" w:sz="4" w:space="4" w:color="auto"/>
          <w:bottom w:val="single" w:sz="4" w:space="1" w:color="auto"/>
          <w:right w:val="single" w:sz="4" w:space="4" w:color="auto"/>
        </w:pBdr>
        <w:shd w:val="clear" w:color="auto" w:fill="DEEAF6" w:themeFill="accent5" w:themeFillTint="33"/>
        <w:tabs>
          <w:tab w:val="center" w:pos="7655"/>
        </w:tabs>
        <w:spacing w:after="200"/>
        <w:rPr>
          <w:sz w:val="2"/>
          <w:szCs w:val="2"/>
        </w:rPr>
      </w:pPr>
    </w:p>
    <w:p w14:paraId="44980C07" w14:textId="77777777" w:rsidR="00B30EBB" w:rsidRDefault="007C20D2" w:rsidP="0011042C">
      <w:pPr>
        <w:keepLines/>
      </w:pPr>
      <w:r>
        <w:t>L</w:t>
      </w:r>
      <w:r w:rsidR="00E974A5">
        <w:t>egislation to give effect to crediting and trading</w:t>
      </w:r>
      <w:r>
        <w:t xml:space="preserve"> </w:t>
      </w:r>
      <w:r w:rsidR="00F73E63">
        <w:t>will be required</w:t>
      </w:r>
      <w:r w:rsidR="00B30EBB">
        <w:t>.</w:t>
      </w:r>
      <w:r w:rsidR="00947F7A">
        <w:t xml:space="preserve"> </w:t>
      </w:r>
      <w:r w:rsidR="001A3F0D">
        <w:t>Exposure draft Act changes were release</w:t>
      </w:r>
      <w:r w:rsidR="0019070E">
        <w:t>d</w:t>
      </w:r>
      <w:r w:rsidR="001A3F0D">
        <w:t xml:space="preserve"> for consultation in </w:t>
      </w:r>
      <w:r w:rsidR="00504944">
        <w:t>October</w:t>
      </w:r>
      <w:r w:rsidR="006737D9">
        <w:t xml:space="preserve"> 2022</w:t>
      </w:r>
      <w:r w:rsidR="00317F8C">
        <w:rPr>
          <w:rStyle w:val="FootnoteReference"/>
        </w:rPr>
        <w:footnoteReference w:id="22"/>
      </w:r>
      <w:r w:rsidR="001A3F0D">
        <w:t xml:space="preserve"> and the </w:t>
      </w:r>
      <w:r w:rsidR="00317F8C" w:rsidRPr="00317F8C">
        <w:rPr>
          <w:i/>
        </w:rPr>
        <w:t xml:space="preserve">Safeguard Mechanism </w:t>
      </w:r>
      <w:r w:rsidR="0036171D">
        <w:rPr>
          <w:i/>
        </w:rPr>
        <w:t>(</w:t>
      </w:r>
      <w:r w:rsidR="00317F8C" w:rsidRPr="00317F8C">
        <w:rPr>
          <w:i/>
        </w:rPr>
        <w:t>Credit</w:t>
      </w:r>
      <w:r w:rsidR="0036171D">
        <w:rPr>
          <w:i/>
        </w:rPr>
        <w:t>ing)</w:t>
      </w:r>
      <w:r w:rsidR="00317F8C" w:rsidRPr="00317F8C">
        <w:rPr>
          <w:i/>
        </w:rPr>
        <w:t xml:space="preserve"> Amendment </w:t>
      </w:r>
      <w:r w:rsidR="001A3F0D" w:rsidRPr="00317F8C">
        <w:rPr>
          <w:i/>
        </w:rPr>
        <w:t>Bill</w:t>
      </w:r>
      <w:r w:rsidR="001A3F0D">
        <w:t xml:space="preserve"> </w:t>
      </w:r>
      <w:r w:rsidR="00317F8C" w:rsidRPr="00317F8C">
        <w:rPr>
          <w:i/>
        </w:rPr>
        <w:t>2022</w:t>
      </w:r>
      <w:r w:rsidR="00317F8C">
        <w:t xml:space="preserve"> </w:t>
      </w:r>
      <w:r w:rsidR="00102126">
        <w:t>has been introduced to Parliament</w:t>
      </w:r>
      <w:r w:rsidR="001A3F0D">
        <w:t xml:space="preserve">. </w:t>
      </w:r>
      <w:r w:rsidR="006737D9">
        <w:t>Crediting and trading will commence on 1 July 2023, subject to passage of these legislative amendments.</w:t>
      </w:r>
    </w:p>
    <w:p w14:paraId="18124BE7" w14:textId="59030DA4" w:rsidR="008C7122" w:rsidRDefault="001A293B" w:rsidP="00AD474D">
      <w:pPr>
        <w:pStyle w:val="Calloutbox"/>
      </w:pPr>
      <w:r>
        <w:t>C</w:t>
      </w:r>
      <w:r w:rsidR="007C20D2">
        <w:t xml:space="preserve">rediting and trading </w:t>
      </w:r>
      <w:r w:rsidR="00E252E4">
        <w:t>would</w:t>
      </w:r>
      <w:r>
        <w:t xml:space="preserve"> </w:t>
      </w:r>
      <w:r w:rsidR="00C7274F">
        <w:t>commence</w:t>
      </w:r>
      <w:r w:rsidR="007C20D2">
        <w:t xml:space="preserve"> on 1 </w:t>
      </w:r>
      <w:r w:rsidR="007A538B">
        <w:t>July</w:t>
      </w:r>
      <w:r w:rsidR="007C20D2">
        <w:t> 2023</w:t>
      </w:r>
      <w:r w:rsidR="00C7274F">
        <w:t>,</w:t>
      </w:r>
      <w:r w:rsidR="00436A57">
        <w:t xml:space="preserve"> </w:t>
      </w:r>
      <w:r w:rsidR="005E40A2">
        <w:t>after</w:t>
      </w:r>
      <w:r w:rsidR="00436A57">
        <w:t xml:space="preserve"> </w:t>
      </w:r>
      <w:r w:rsidR="00C7274F">
        <w:t xml:space="preserve">passage of the </w:t>
      </w:r>
      <w:r w:rsidR="00C7274F" w:rsidRPr="00317F8C">
        <w:rPr>
          <w:i/>
        </w:rPr>
        <w:t xml:space="preserve">Safeguard Mechanism </w:t>
      </w:r>
      <w:r w:rsidR="0036171D">
        <w:rPr>
          <w:i/>
        </w:rPr>
        <w:t>(</w:t>
      </w:r>
      <w:r w:rsidR="00C7274F" w:rsidRPr="00317F8C">
        <w:rPr>
          <w:i/>
        </w:rPr>
        <w:t>Credit</w:t>
      </w:r>
      <w:r w:rsidR="0036171D">
        <w:rPr>
          <w:i/>
        </w:rPr>
        <w:t>ing)</w:t>
      </w:r>
      <w:r w:rsidR="00C7274F" w:rsidRPr="00317F8C">
        <w:rPr>
          <w:i/>
        </w:rPr>
        <w:t xml:space="preserve"> Amendment Bill</w:t>
      </w:r>
      <w:r w:rsidR="00C7274F">
        <w:t xml:space="preserve"> </w:t>
      </w:r>
      <w:r w:rsidR="00C7274F" w:rsidRPr="00317F8C">
        <w:rPr>
          <w:i/>
        </w:rPr>
        <w:t>2022</w:t>
      </w:r>
      <w:r w:rsidR="00C7274F">
        <w:rPr>
          <w:i/>
        </w:rPr>
        <w:t>.</w:t>
      </w:r>
    </w:p>
    <w:p w14:paraId="10F68ADA" w14:textId="77777777" w:rsidR="004A0674" w:rsidRDefault="001A3F0D" w:rsidP="00957BBF">
      <w:pPr>
        <w:pStyle w:val="Heading2"/>
      </w:pPr>
      <w:bookmarkStart w:id="695" w:name="_Toc117176815"/>
      <w:bookmarkStart w:id="696" w:name="_Toc117255418"/>
      <w:bookmarkStart w:id="697" w:name="_Toc117263159"/>
      <w:bookmarkStart w:id="698" w:name="_Toc117437240"/>
      <w:bookmarkStart w:id="699" w:name="_Toc117499188"/>
      <w:bookmarkStart w:id="700" w:name="_Toc117521035"/>
      <w:bookmarkStart w:id="701" w:name="_Toc117524782"/>
      <w:bookmarkStart w:id="702" w:name="_Toc117543973"/>
      <w:bookmarkStart w:id="703" w:name="_Toc117548324"/>
      <w:bookmarkStart w:id="704" w:name="_Toc117588642"/>
      <w:bookmarkStart w:id="705" w:name="_Toc117588686"/>
      <w:bookmarkStart w:id="706" w:name="_Toc117604804"/>
      <w:bookmarkStart w:id="707" w:name="_Toc117612886"/>
      <w:bookmarkStart w:id="708" w:name="_Toc117627724"/>
      <w:bookmarkStart w:id="709" w:name="_Toc117630389"/>
      <w:bookmarkStart w:id="710" w:name="_Toc117867996"/>
      <w:bookmarkStart w:id="711" w:name="_Toc117888010"/>
      <w:bookmarkStart w:id="712" w:name="_Toc117951454"/>
      <w:bookmarkStart w:id="713" w:name="_Toc117960101"/>
      <w:bookmarkStart w:id="714" w:name="_Toc118040362"/>
      <w:bookmarkStart w:id="715" w:name="_Toc118196214"/>
      <w:bookmarkStart w:id="716" w:name="_Toc118198383"/>
      <w:bookmarkStart w:id="717" w:name="_Toc118198798"/>
      <w:bookmarkStart w:id="718" w:name="_Toc118198989"/>
      <w:bookmarkStart w:id="719" w:name="_Toc118199543"/>
      <w:bookmarkStart w:id="720" w:name="_Toc118304115"/>
      <w:bookmarkStart w:id="721" w:name="_Toc118304146"/>
      <w:bookmarkStart w:id="722" w:name="_Toc118306348"/>
      <w:bookmarkStart w:id="723" w:name="_Toc118308340"/>
      <w:bookmarkStart w:id="724" w:name="_Toc119500911"/>
      <w:bookmarkStart w:id="725" w:name="_Toc119572366"/>
      <w:bookmarkStart w:id="726" w:name="_Toc120098961"/>
      <w:bookmarkStart w:id="727" w:name="_Toc122514441"/>
      <w:bookmarkStart w:id="728" w:name="_Toc124100691"/>
      <w:bookmarkStart w:id="729" w:name="_Toc109645634"/>
      <w:bookmarkStart w:id="730" w:name="_Toc109653343"/>
      <w:bookmarkStart w:id="731" w:name="_Toc109659390"/>
      <w:bookmarkStart w:id="732" w:name="_Toc109717170"/>
      <w:bookmarkStart w:id="733" w:name="_Toc109742678"/>
      <w:bookmarkStart w:id="734" w:name="_Toc109746062"/>
      <w:bookmarkStart w:id="735" w:name="_Toc109747126"/>
      <w:bookmarkStart w:id="736" w:name="_Toc109818502"/>
      <w:bookmarkStart w:id="737" w:name="_Toc110524028"/>
      <w:bookmarkStart w:id="738" w:name="_Toc110545556"/>
      <w:bookmarkStart w:id="739" w:name="_Toc110590739"/>
      <w:bookmarkStart w:id="740" w:name="_Toc110590794"/>
      <w:bookmarkStart w:id="741" w:name="_Toc110593198"/>
      <w:bookmarkStart w:id="742" w:name="_Toc110851751"/>
      <w:bookmarkStart w:id="743" w:name="_Toc111042142"/>
      <w:r>
        <w:t>Implementation</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5D398DEF" w14:textId="77777777" w:rsidR="00D61B89" w:rsidRDefault="003B4F85" w:rsidP="00D61B89">
      <w:pPr>
        <w:pStyle w:val="Heading4"/>
      </w:pPr>
      <w:r>
        <w:t>Who</w:t>
      </w:r>
      <w:r w:rsidR="0059378F">
        <w:t xml:space="preserve"> can generate credits</w:t>
      </w:r>
    </w:p>
    <w:p w14:paraId="0406E145" w14:textId="77777777" w:rsidR="0059378F" w:rsidRDefault="00BE6359" w:rsidP="0059378F">
      <w:r>
        <w:t>SMCs will be automatically generated when emissions are below baselines. They</w:t>
      </w:r>
      <w:r w:rsidR="001A3F0D">
        <w:t xml:space="preserve"> </w:t>
      </w:r>
      <w:r w:rsidR="0059378F">
        <w:t xml:space="preserve">will be available to all Safeguard Mechanism facilities, </w:t>
      </w:r>
      <w:r w:rsidR="00561AD2">
        <w:t>except under the following circumstances</w:t>
      </w:r>
      <w:r w:rsidR="0059378F">
        <w:t xml:space="preserve">: </w:t>
      </w:r>
    </w:p>
    <w:p w14:paraId="16FCC692" w14:textId="77777777" w:rsidR="00561AD2" w:rsidRDefault="00561AD2" w:rsidP="0059378F">
      <w:pPr>
        <w:pStyle w:val="ListParagraph"/>
        <w:numPr>
          <w:ilvl w:val="0"/>
          <w:numId w:val="21"/>
        </w:numPr>
        <w:ind w:left="425" w:hanging="357"/>
        <w:contextualSpacing w:val="0"/>
      </w:pPr>
      <w:bookmarkStart w:id="744" w:name="_Hlk122530947"/>
      <w:r w:rsidRPr="00561AD2">
        <w:rPr>
          <w:b/>
        </w:rPr>
        <w:t>Borrowing</w:t>
      </w:r>
      <w:r>
        <w:t>: a facility cannot earn credits in any year when its baseline has been increased due to borrowing arrangements</w:t>
      </w:r>
      <w:r w:rsidR="00802951">
        <w:t xml:space="preserve"> (section </w:t>
      </w:r>
      <w:r w:rsidR="00B83740">
        <w:t>4.5</w:t>
      </w:r>
      <w:r w:rsidR="00802951">
        <w:t>)</w:t>
      </w:r>
      <w:r>
        <w:t>.</w:t>
      </w:r>
    </w:p>
    <w:p w14:paraId="7A5A92D9" w14:textId="77777777" w:rsidR="0011042C" w:rsidRDefault="0011042C" w:rsidP="0011042C">
      <w:pPr>
        <w:pStyle w:val="ListParagraph"/>
        <w:numPr>
          <w:ilvl w:val="0"/>
          <w:numId w:val="21"/>
        </w:numPr>
        <w:ind w:left="425" w:hanging="357"/>
        <w:contextualSpacing w:val="0"/>
      </w:pPr>
      <w:r w:rsidRPr="0059378F">
        <w:rPr>
          <w:b/>
        </w:rPr>
        <w:t>Multi-year monitoring periods</w:t>
      </w:r>
      <w:r>
        <w:t>: facilities on multi-year monitoring periods cannot earn credits</w:t>
      </w:r>
      <w:r w:rsidR="00782094">
        <w:t xml:space="preserve"> </w:t>
      </w:r>
      <w:r>
        <w:t xml:space="preserve">(section 4.6). </w:t>
      </w:r>
    </w:p>
    <w:p w14:paraId="7FC0776E" w14:textId="77777777" w:rsidR="0059378F" w:rsidRDefault="0059378F" w:rsidP="0059378F">
      <w:pPr>
        <w:pStyle w:val="ListParagraph"/>
        <w:numPr>
          <w:ilvl w:val="0"/>
          <w:numId w:val="21"/>
        </w:numPr>
        <w:ind w:left="425" w:hanging="357"/>
        <w:contextualSpacing w:val="0"/>
      </w:pPr>
      <w:r w:rsidRPr="0059378F">
        <w:rPr>
          <w:b/>
        </w:rPr>
        <w:t>Landfills</w:t>
      </w:r>
      <w:r>
        <w:t>: landfills ope</w:t>
      </w:r>
      <w:r w:rsidR="00BE6359">
        <w:t xml:space="preserve">rate under unique circumstances, and only some portion of their emissions are covered by the Safeguard Mechanism </w:t>
      </w:r>
      <w:r>
        <w:t>(section</w:t>
      </w:r>
      <w:r w:rsidR="003B4F85">
        <w:t xml:space="preserve"> 7</w:t>
      </w:r>
      <w:r>
        <w:t>).</w:t>
      </w:r>
    </w:p>
    <w:bookmarkEnd w:id="744"/>
    <w:p w14:paraId="15B2A6AF" w14:textId="77777777" w:rsidR="0059378F" w:rsidRDefault="0059378F" w:rsidP="0011042C">
      <w:pPr>
        <w:keepLines/>
        <w:rPr>
          <w:color w:val="000000" w:themeColor="text1"/>
        </w:rPr>
      </w:pPr>
      <w:r w:rsidRPr="00034816">
        <w:rPr>
          <w:color w:val="000000" w:themeColor="text1"/>
        </w:rPr>
        <w:t>T</w:t>
      </w:r>
      <w:r w:rsidR="00BE6359">
        <w:rPr>
          <w:color w:val="000000" w:themeColor="text1"/>
        </w:rPr>
        <w:t>he Government</w:t>
      </w:r>
      <w:r w:rsidR="00BE6359" w:rsidDel="00B4725A">
        <w:rPr>
          <w:color w:val="000000" w:themeColor="text1"/>
        </w:rPr>
        <w:t xml:space="preserve"> </w:t>
      </w:r>
      <w:r w:rsidR="00B4725A">
        <w:rPr>
          <w:color w:val="000000" w:themeColor="text1"/>
        </w:rPr>
        <w:t>proposes</w:t>
      </w:r>
      <w:r w:rsidR="00BE6359">
        <w:rPr>
          <w:color w:val="000000" w:themeColor="text1"/>
        </w:rPr>
        <w:t xml:space="preserve"> to allow facilities to continue to receive SMCs for </w:t>
      </w:r>
      <w:r w:rsidR="008E7B80">
        <w:rPr>
          <w:color w:val="000000" w:themeColor="text1"/>
        </w:rPr>
        <w:t>five</w:t>
      </w:r>
      <w:r w:rsidR="00BE6359">
        <w:rPr>
          <w:color w:val="000000" w:themeColor="text1"/>
        </w:rPr>
        <w:t xml:space="preserve"> years after they fall below the coverage threshold of 100,000 tonnes </w:t>
      </w:r>
      <w:r w:rsidR="00BE6359" w:rsidRPr="00BE6359">
        <w:rPr>
          <w:color w:val="000000" w:themeColor="text1"/>
        </w:rPr>
        <w:t>CO</w:t>
      </w:r>
      <w:r w:rsidR="00BE6359" w:rsidRPr="00BE6359">
        <w:rPr>
          <w:color w:val="000000" w:themeColor="text1"/>
          <w:vertAlign w:val="subscript"/>
        </w:rPr>
        <w:t>2</w:t>
      </w:r>
      <w:r w:rsidR="00BE6359" w:rsidRPr="00BE6359">
        <w:rPr>
          <w:color w:val="000000" w:themeColor="text1"/>
        </w:rPr>
        <w:noBreakHyphen/>
        <w:t>e</w:t>
      </w:r>
      <w:r w:rsidR="00BE6359">
        <w:rPr>
          <w:color w:val="000000" w:themeColor="text1"/>
        </w:rPr>
        <w:t xml:space="preserve">. This will </w:t>
      </w:r>
      <w:r>
        <w:rPr>
          <w:color w:val="000000" w:themeColor="text1"/>
        </w:rPr>
        <w:t>retain</w:t>
      </w:r>
      <w:r w:rsidR="00BE6359">
        <w:rPr>
          <w:color w:val="000000" w:themeColor="text1"/>
        </w:rPr>
        <w:t xml:space="preserve"> the incentive for facilities t</w:t>
      </w:r>
      <w:r w:rsidRPr="00034816">
        <w:rPr>
          <w:color w:val="000000" w:themeColor="text1"/>
        </w:rPr>
        <w:t xml:space="preserve">o reduce </w:t>
      </w:r>
      <w:r w:rsidR="00BE6359">
        <w:rPr>
          <w:color w:val="000000" w:themeColor="text1"/>
        </w:rPr>
        <w:t xml:space="preserve">their </w:t>
      </w:r>
      <w:r w:rsidRPr="00034816">
        <w:rPr>
          <w:color w:val="000000" w:themeColor="text1"/>
        </w:rPr>
        <w:t>emissions</w:t>
      </w:r>
      <w:r w:rsidR="00BE6359">
        <w:rPr>
          <w:color w:val="000000" w:themeColor="text1"/>
        </w:rPr>
        <w:t xml:space="preserve"> when</w:t>
      </w:r>
      <w:r>
        <w:rPr>
          <w:color w:val="000000" w:themeColor="text1"/>
        </w:rPr>
        <w:t xml:space="preserve"> they are operating close to</w:t>
      </w:r>
      <w:r w:rsidRPr="00034816">
        <w:rPr>
          <w:color w:val="000000" w:themeColor="text1"/>
        </w:rPr>
        <w:t xml:space="preserve"> the threshold. </w:t>
      </w:r>
      <w:r w:rsidR="00BE6359">
        <w:rPr>
          <w:color w:val="000000" w:themeColor="text1"/>
        </w:rPr>
        <w:t xml:space="preserve">Facilities would need to continue </w:t>
      </w:r>
      <w:r w:rsidRPr="00034816">
        <w:rPr>
          <w:color w:val="000000" w:themeColor="text1"/>
        </w:rPr>
        <w:t xml:space="preserve">to report relevant information through </w:t>
      </w:r>
      <w:r>
        <w:rPr>
          <w:color w:val="000000" w:themeColor="text1"/>
        </w:rPr>
        <w:t>the National Greenhouse and Energy Reporting Scheme (</w:t>
      </w:r>
      <w:r w:rsidRPr="00034816">
        <w:rPr>
          <w:color w:val="000000" w:themeColor="text1"/>
        </w:rPr>
        <w:t>NGER</w:t>
      </w:r>
      <w:r>
        <w:rPr>
          <w:color w:val="000000" w:themeColor="text1"/>
        </w:rPr>
        <w:t>S)</w:t>
      </w:r>
      <w:r w:rsidRPr="00034816">
        <w:rPr>
          <w:color w:val="000000" w:themeColor="text1"/>
        </w:rPr>
        <w:t xml:space="preserve"> to enable them to be credited.</w:t>
      </w:r>
    </w:p>
    <w:p w14:paraId="01B13476" w14:textId="27491FFD" w:rsidR="0059378F" w:rsidRDefault="00BE6359" w:rsidP="0059378F">
      <w:pPr>
        <w:pStyle w:val="Calloutbox"/>
      </w:pPr>
      <w:r>
        <w:lastRenderedPageBreak/>
        <w:t xml:space="preserve">All Safeguard Mechanism facilities </w:t>
      </w:r>
      <w:r w:rsidR="00A1715C">
        <w:t xml:space="preserve">with emissions below their baseline would be able to </w:t>
      </w:r>
      <w:r>
        <w:t xml:space="preserve">generate credits, except </w:t>
      </w:r>
      <w:r w:rsidR="00A1715C">
        <w:t xml:space="preserve">landfills and </w:t>
      </w:r>
      <w:r>
        <w:t xml:space="preserve">facilities </w:t>
      </w:r>
      <w:r w:rsidR="00A1715C">
        <w:t xml:space="preserve">accessing </w:t>
      </w:r>
      <w:r>
        <w:t>multi-year monitoring periods</w:t>
      </w:r>
      <w:r w:rsidR="00915AD0">
        <w:t>, borrowing arrangements</w:t>
      </w:r>
      <w:r>
        <w:t xml:space="preserve"> and </w:t>
      </w:r>
      <w:r w:rsidR="00A1715C">
        <w:t>deemed surrender provisions</w:t>
      </w:r>
      <w:r>
        <w:t xml:space="preserve">. </w:t>
      </w:r>
    </w:p>
    <w:p w14:paraId="06363EC7" w14:textId="3B5D01E1" w:rsidR="00BE6359" w:rsidRDefault="00BE6359" w:rsidP="0059378F">
      <w:pPr>
        <w:pStyle w:val="Calloutbox"/>
      </w:pPr>
      <w:r>
        <w:t xml:space="preserve">Facilities that fall below the coverage threshold </w:t>
      </w:r>
      <w:r w:rsidR="005E40A2">
        <w:t xml:space="preserve">would </w:t>
      </w:r>
      <w:r>
        <w:t xml:space="preserve">continue to </w:t>
      </w:r>
      <w:r w:rsidR="00A1715C">
        <w:t xml:space="preserve">be eligible to </w:t>
      </w:r>
      <w:r>
        <w:t xml:space="preserve">receive credits for </w:t>
      </w:r>
      <w:r w:rsidR="008E7B80">
        <w:t>five</w:t>
      </w:r>
      <w:r>
        <w:t xml:space="preserve"> years</w:t>
      </w:r>
      <w:r w:rsidR="00B83740">
        <w:t>, noting that their baseline will continue to decline</w:t>
      </w:r>
      <w:r>
        <w:t>.</w:t>
      </w:r>
    </w:p>
    <w:p w14:paraId="6A131CB4" w14:textId="77777777" w:rsidR="00E10EA3" w:rsidRDefault="00461890" w:rsidP="005426A7">
      <w:pPr>
        <w:pStyle w:val="Heading2"/>
      </w:pPr>
      <w:bookmarkStart w:id="745" w:name="_Toc117176816"/>
      <w:bookmarkStart w:id="746" w:name="_Toc117255419"/>
      <w:bookmarkStart w:id="747" w:name="_Toc117263160"/>
      <w:bookmarkStart w:id="748" w:name="_Toc117437241"/>
      <w:bookmarkStart w:id="749" w:name="_Toc117499189"/>
      <w:bookmarkStart w:id="750" w:name="_Toc117867997"/>
      <w:bookmarkStart w:id="751" w:name="_Toc117888011"/>
      <w:bookmarkStart w:id="752" w:name="_Toc117951455"/>
      <w:bookmarkStart w:id="753" w:name="_Toc117960102"/>
      <w:bookmarkStart w:id="754" w:name="_Toc118040363"/>
      <w:bookmarkStart w:id="755" w:name="_Toc117521036"/>
      <w:bookmarkStart w:id="756" w:name="_Toc117524783"/>
      <w:bookmarkStart w:id="757" w:name="_Toc117543974"/>
      <w:bookmarkStart w:id="758" w:name="_Toc117548325"/>
      <w:bookmarkStart w:id="759" w:name="_Toc117588643"/>
      <w:bookmarkStart w:id="760" w:name="_Toc117588687"/>
      <w:bookmarkStart w:id="761" w:name="_Toc117604805"/>
      <w:bookmarkStart w:id="762" w:name="_Toc117612887"/>
      <w:bookmarkStart w:id="763" w:name="_Toc117627725"/>
      <w:bookmarkStart w:id="764" w:name="_Toc117630390"/>
      <w:bookmarkStart w:id="765" w:name="_Toc118196215"/>
      <w:bookmarkStart w:id="766" w:name="_Toc118198384"/>
      <w:bookmarkStart w:id="767" w:name="_Toc118198799"/>
      <w:bookmarkStart w:id="768" w:name="_Toc118198990"/>
      <w:bookmarkStart w:id="769" w:name="_Toc118199544"/>
      <w:bookmarkStart w:id="770" w:name="_Toc118304116"/>
      <w:bookmarkStart w:id="771" w:name="_Toc118304147"/>
      <w:bookmarkStart w:id="772" w:name="_Toc118306349"/>
      <w:bookmarkStart w:id="773" w:name="_Toc118308341"/>
      <w:bookmarkStart w:id="774" w:name="_Toc119500912"/>
      <w:bookmarkStart w:id="775" w:name="_Toc119572367"/>
      <w:bookmarkStart w:id="776" w:name="_Toc120098962"/>
      <w:bookmarkStart w:id="777" w:name="_Toc122514442"/>
      <w:bookmarkStart w:id="778" w:name="_Toc124100692"/>
      <w:r>
        <w:t>Domestic o</w:t>
      </w:r>
      <w:r w:rsidR="00E974A5">
        <w:t>ffsets</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7A411000" w14:textId="77777777" w:rsidR="004D45FC" w:rsidRDefault="00C7274F" w:rsidP="00F8186D">
      <w:pPr>
        <w:keepLines/>
      </w:pPr>
      <w:r>
        <w:t>Under current arrangements, Safeguard facilities can surrender domestic offsets</w:t>
      </w:r>
      <w:r w:rsidR="00802951">
        <w:t xml:space="preserve"> (</w:t>
      </w:r>
      <w:r>
        <w:t>Australian Carbon Credit Units (ACCUs)</w:t>
      </w:r>
      <w:r w:rsidR="00802951">
        <w:t>)</w:t>
      </w:r>
      <w:r>
        <w:t xml:space="preserve"> as an alternative to reducing their on-site emissions. </w:t>
      </w:r>
      <w:r w:rsidR="00FC1556">
        <w:t xml:space="preserve">Access to </w:t>
      </w:r>
      <w:r w:rsidR="00FC1556" w:rsidRPr="00FC1556">
        <w:t>ACCUs</w:t>
      </w:r>
      <w:r w:rsidR="00FC1556">
        <w:t xml:space="preserve"> will continue unchanged. </w:t>
      </w:r>
      <w:r w:rsidR="004D45FC">
        <w:t>It</w:t>
      </w:r>
      <w:r w:rsidR="00FC1556">
        <w:t xml:space="preserve"> allows businesses to access the lowest cost abatement outside the scheme—for example, in agriculture and land management. </w:t>
      </w:r>
    </w:p>
    <w:p w14:paraId="2D0FD320" w14:textId="4B0DF9BC" w:rsidR="00FA3F22" w:rsidRDefault="001445DB" w:rsidP="00FA3F22">
      <w:pPr>
        <w:pStyle w:val="Calloutbox"/>
      </w:pPr>
      <w:r>
        <w:t>Safeguard Mechanism facilities</w:t>
      </w:r>
      <w:r w:rsidR="00FC4DE0">
        <w:t xml:space="preserve"> would</w:t>
      </w:r>
      <w:r>
        <w:t xml:space="preserve"> </w:t>
      </w:r>
      <w:r w:rsidR="00A1715C">
        <w:t xml:space="preserve">be able to </w:t>
      </w:r>
      <w:r>
        <w:t>continue surrender</w:t>
      </w:r>
      <w:r w:rsidR="00A1715C">
        <w:t>ing</w:t>
      </w:r>
      <w:r>
        <w:t xml:space="preserve"> domestic offsets—in the form of ACCUs—to meet their compliance obligations</w:t>
      </w:r>
    </w:p>
    <w:p w14:paraId="532347AB" w14:textId="77777777" w:rsidR="00E448F3" w:rsidRDefault="00E448F3" w:rsidP="00E448F3">
      <w:pPr>
        <w:pStyle w:val="Heading3"/>
      </w:pPr>
      <w:r>
        <w:t xml:space="preserve">Interaction with </w:t>
      </w:r>
      <w:r w:rsidDel="001A2DED">
        <w:t>Emissions Reduction Fund</w:t>
      </w:r>
    </w:p>
    <w:p w14:paraId="0B814B2F" w14:textId="77777777" w:rsidR="001C480A" w:rsidRDefault="00E448F3" w:rsidP="00F8186D">
      <w:pPr>
        <w:keepLines/>
      </w:pPr>
      <w:r>
        <w:t>The consulta</w:t>
      </w:r>
      <w:r w:rsidR="008C7A92">
        <w:t>tion paper proposed that Safegua</w:t>
      </w:r>
      <w:r>
        <w:t xml:space="preserve">rd facilities should no longer be able to </w:t>
      </w:r>
      <w:r w:rsidR="00BD4AC6">
        <w:t>generate</w:t>
      </w:r>
      <w:r>
        <w:t xml:space="preserve"> </w:t>
      </w:r>
      <w:r w:rsidR="00540E42">
        <w:t xml:space="preserve">ACCUs </w:t>
      </w:r>
      <w:r>
        <w:t xml:space="preserve">for projects that reduce covered emissions. </w:t>
      </w:r>
      <w:r w:rsidR="001C480A">
        <w:t>Some businesses supported this approach:</w:t>
      </w:r>
    </w:p>
    <w:p w14:paraId="7A2DF84D" w14:textId="77777777" w:rsidR="001C480A" w:rsidRDefault="001C480A" w:rsidP="001C480A">
      <w:pPr>
        <w:pStyle w:val="Quote"/>
      </w:pPr>
      <w:r>
        <w:t>bp agrees it is important for the credibility of the safeguard mechanism and ACCUs that there is no double counting of emissions reductions. As proposed, a simple way to achieve this is to no longer allow for safeguard facilities to generate ACCUs for emissions covered by the baseline.</w:t>
      </w:r>
    </w:p>
    <w:p w14:paraId="509BA4F2" w14:textId="77777777" w:rsidR="001C480A" w:rsidRDefault="00D85D65" w:rsidP="001C480A">
      <w:pPr>
        <w:pStyle w:val="IntenseQuote"/>
        <w:rPr>
          <w:rStyle w:val="IntenseQuoteChar"/>
        </w:rPr>
      </w:pPr>
      <w:r w:rsidRPr="0094181B">
        <w:rPr>
          <w:rStyle w:val="IntenseQuoteChar"/>
        </w:rPr>
        <w:t>bp</w:t>
      </w:r>
    </w:p>
    <w:p w14:paraId="7E13C53B" w14:textId="77777777" w:rsidR="00E448F3" w:rsidRDefault="001C480A" w:rsidP="001C480A">
      <w:r>
        <w:t>Other</w:t>
      </w:r>
      <w:r w:rsidR="00DC2C54">
        <w:t xml:space="preserve">s </w:t>
      </w:r>
      <w:r w:rsidR="00B000D5" w:rsidRPr="001C480A">
        <w:t xml:space="preserve">argued that existing double-counting provisions would prevent abatement from being counted twice. </w:t>
      </w:r>
    </w:p>
    <w:p w14:paraId="57826929" w14:textId="77777777" w:rsidR="007411BC" w:rsidRDefault="007411BC" w:rsidP="007411BC">
      <w:pPr>
        <w:pStyle w:val="Quote"/>
      </w:pPr>
      <w:r>
        <w:t>INPEX considers prevailing double-counting provisions would typically ensure that SMCs are not issued for the same abatement that is achieved from the ERF projects generating ACCUs, and that if double-counting scenarios were discovered to remain that these could be addressed through the amendment of the exiting provisions.</w:t>
      </w:r>
    </w:p>
    <w:p w14:paraId="41092622" w14:textId="77777777" w:rsidR="007411BC" w:rsidRDefault="007411BC" w:rsidP="007411BC">
      <w:pPr>
        <w:pStyle w:val="IntenseQuote"/>
      </w:pPr>
      <w:r>
        <w:t>INPEX</w:t>
      </w:r>
    </w:p>
    <w:p w14:paraId="1708B0D5" w14:textId="77777777" w:rsidR="00BD4FFB" w:rsidRDefault="00BD4FFB" w:rsidP="00B000D5">
      <w:r>
        <w:t>While</w:t>
      </w:r>
      <w:r w:rsidR="001C480A">
        <w:t xml:space="preserve"> double counting provisions </w:t>
      </w:r>
      <w:r>
        <w:t xml:space="preserve">can </w:t>
      </w:r>
      <w:r w:rsidR="001C480A">
        <w:t>prevent both ACCUs and SMCs being issued for the same reductio</w:t>
      </w:r>
      <w:r>
        <w:t>n in emissions</w:t>
      </w:r>
      <w:r w:rsidR="001C480A">
        <w:t xml:space="preserve">, </w:t>
      </w:r>
      <w:r w:rsidR="00DC2C54">
        <w:t xml:space="preserve">it doesn’t make sense to allow projects that reduce regulated emissions </w:t>
      </w:r>
      <w:r>
        <w:t>to generate</w:t>
      </w:r>
      <w:r w:rsidR="00DC2C54">
        <w:t xml:space="preserve"> offsets</w:t>
      </w:r>
      <w:r>
        <w:t>. F</w:t>
      </w:r>
      <w:r w:rsidR="00DC2C54">
        <w:t xml:space="preserve">or all other project proponents, </w:t>
      </w:r>
      <w:r w:rsidR="001A2DED">
        <w:t xml:space="preserve">ACCU </w:t>
      </w:r>
      <w:r>
        <w:t xml:space="preserve">projects </w:t>
      </w:r>
      <w:r w:rsidR="00DC2C54">
        <w:t xml:space="preserve">are subject to strict additionality requirements. This includes a requirement that the reduction should not be required by law. </w:t>
      </w:r>
    </w:p>
    <w:p w14:paraId="4374A3FC" w14:textId="77777777" w:rsidR="00E448F3" w:rsidRDefault="00B000D5" w:rsidP="00E448F3">
      <w:r>
        <w:t xml:space="preserve">To </w:t>
      </w:r>
      <w:r w:rsidR="00DC2C54">
        <w:t>avoid</w:t>
      </w:r>
      <w:r>
        <w:t xml:space="preserve"> double count</w:t>
      </w:r>
      <w:r w:rsidR="00DC2C54">
        <w:t>ing and additionality concerns—and preserve the integrity of the Safeguard Mechanism—</w:t>
      </w:r>
      <w:r>
        <w:t xml:space="preserve">ACCUs will not be able to be generated for reducing covered emissions at Safeguard facilities once baselines begin to decline. </w:t>
      </w:r>
      <w:r w:rsidR="00E448F3">
        <w:t xml:space="preserve">Transitional arrangements will be put in place for Safeguard facilities that already have registered projects or </w:t>
      </w:r>
      <w:r w:rsidR="00D228E4">
        <w:t xml:space="preserve">have </w:t>
      </w:r>
      <w:r w:rsidR="00E448F3">
        <w:t xml:space="preserve">contracts to </w:t>
      </w:r>
      <w:r w:rsidR="00D228E4">
        <w:t xml:space="preserve">supply </w:t>
      </w:r>
      <w:r w:rsidR="00E448F3">
        <w:t xml:space="preserve">ACCUs to the Government.  </w:t>
      </w:r>
    </w:p>
    <w:p w14:paraId="6CC3D4C2" w14:textId="77777777" w:rsidR="004D45FC" w:rsidRPr="004D45FC" w:rsidRDefault="00FC1556" w:rsidP="004D45FC">
      <w:pPr>
        <w:pStyle w:val="Heading5"/>
      </w:pPr>
      <w:r w:rsidRPr="004D45FC">
        <w:t xml:space="preserve">New </w:t>
      </w:r>
      <w:r w:rsidRPr="004D45FC" w:rsidDel="001A2DED">
        <w:t xml:space="preserve">ERF </w:t>
      </w:r>
      <w:r w:rsidRPr="004D45FC">
        <w:t>projects</w:t>
      </w:r>
    </w:p>
    <w:p w14:paraId="2FC60AFE" w14:textId="77777777" w:rsidR="00E448F3" w:rsidRDefault="00FC1556" w:rsidP="004D45FC">
      <w:r>
        <w:t>Safeguard facilities</w:t>
      </w:r>
      <w:r w:rsidR="00AA73D1">
        <w:t>,</w:t>
      </w:r>
      <w:r>
        <w:t xml:space="preserve"> </w:t>
      </w:r>
      <w:r w:rsidR="00AA73D1">
        <w:t xml:space="preserve">and other project proponents, </w:t>
      </w:r>
      <w:r>
        <w:t xml:space="preserve">will no longer be able to register </w:t>
      </w:r>
      <w:r w:rsidRPr="00E00DB1" w:rsidDel="001A2DED">
        <w:t xml:space="preserve">ERF </w:t>
      </w:r>
      <w:r w:rsidRPr="00E00DB1">
        <w:t>projects</w:t>
      </w:r>
      <w:r w:rsidR="00A31970">
        <w:t xml:space="preserve"> that reduce covered emissions at Safeguard facilities. </w:t>
      </w:r>
      <w:r w:rsidR="00E448F3">
        <w:t xml:space="preserve">Instead, facilities that beat their baseline can </w:t>
      </w:r>
      <w:r w:rsidR="00E448F3">
        <w:lastRenderedPageBreak/>
        <w:t xml:space="preserve">generate SMCs—which can be sold to other Safeguard facilities, retaining the incentive for facilities to </w:t>
      </w:r>
      <w:r w:rsidR="00AA73D1">
        <w:t>reduce their</w:t>
      </w:r>
      <w:r w:rsidR="00E448F3">
        <w:t xml:space="preserve"> emissions.  </w:t>
      </w:r>
    </w:p>
    <w:p w14:paraId="5BA07722" w14:textId="77777777" w:rsidR="00FC1556" w:rsidRDefault="00FC1556" w:rsidP="004D45FC">
      <w:r>
        <w:t>They can still</w:t>
      </w:r>
      <w:r w:rsidR="000B7B69">
        <w:t xml:space="preserve"> register land sector projects</w:t>
      </w:r>
      <w:r>
        <w:t xml:space="preserve"> and projects that reduce electricity use (scope 2 emissions)</w:t>
      </w:r>
      <w:r w:rsidR="00D228E4">
        <w:t xml:space="preserve"> and generate ACCUs from these activities</w:t>
      </w:r>
      <w:r>
        <w:t xml:space="preserve">. </w:t>
      </w:r>
    </w:p>
    <w:p w14:paraId="36072A6B" w14:textId="77777777" w:rsidR="004D45FC" w:rsidRDefault="00FC1556" w:rsidP="004D45FC">
      <w:pPr>
        <w:pStyle w:val="Heading5"/>
      </w:pPr>
      <w:r w:rsidRPr="004D45FC">
        <w:t xml:space="preserve">Existing </w:t>
      </w:r>
      <w:r w:rsidRPr="004D45FC" w:rsidDel="001A2DED">
        <w:t xml:space="preserve">ERF </w:t>
      </w:r>
      <w:r w:rsidRPr="004D45FC">
        <w:t>projects</w:t>
      </w:r>
    </w:p>
    <w:p w14:paraId="4BF32742" w14:textId="77777777" w:rsidR="00E448F3" w:rsidRDefault="00E448F3" w:rsidP="004D45FC">
      <w:r>
        <w:t>Projects that are already registered can continue to generate and sell credits for their existing crediting period. However, they will not be able to enter into new contracts for the Government purchase of ACCUs</w:t>
      </w:r>
      <w:r w:rsidR="00D228E4">
        <w:t>,</w:t>
      </w:r>
      <w:r w:rsidR="003A251F">
        <w:t xml:space="preserve"> or extend their crediting periods</w:t>
      </w:r>
      <w:r>
        <w:t xml:space="preserve">. </w:t>
      </w:r>
    </w:p>
    <w:p w14:paraId="4A35E764" w14:textId="77777777" w:rsidR="000F4985" w:rsidRDefault="000F4985" w:rsidP="004D45FC">
      <w:r>
        <w:t xml:space="preserve">Existing double counting provisions </w:t>
      </w:r>
      <w:r w:rsidR="00D228E4">
        <w:t xml:space="preserve">will </w:t>
      </w:r>
      <w:r>
        <w:t>be retained, so any ACCUs generated from existing projects w</w:t>
      </w:r>
      <w:r w:rsidR="00D228E4">
        <w:t xml:space="preserve">ill </w:t>
      </w:r>
      <w:r>
        <w:t>be added back onto the facility’s net emissions number</w:t>
      </w:r>
      <w:r>
        <w:rPr>
          <w:rStyle w:val="FootnoteReference"/>
        </w:rPr>
        <w:footnoteReference w:id="23"/>
      </w:r>
      <w:r>
        <w:t>. This w</w:t>
      </w:r>
      <w:r w:rsidR="00D228E4">
        <w:t>ill</w:t>
      </w:r>
      <w:r w:rsidDel="00D228E4">
        <w:t xml:space="preserve"> </w:t>
      </w:r>
      <w:r>
        <w:t xml:space="preserve">prevent double counting of ACCUs and prevent Safeguard facilities with registered </w:t>
      </w:r>
      <w:r w:rsidR="001A2DED">
        <w:t xml:space="preserve">ACCU </w:t>
      </w:r>
      <w:r>
        <w:t>projects from generating both ACCUs and SMCs.</w:t>
      </w:r>
      <w:r w:rsidR="0004576F">
        <w:t xml:space="preserve"> </w:t>
      </w:r>
    </w:p>
    <w:p w14:paraId="10FACE0F" w14:textId="77777777" w:rsidR="004D45FC" w:rsidRDefault="00FC1556" w:rsidP="004D45FC">
      <w:pPr>
        <w:pStyle w:val="Heading5"/>
      </w:pPr>
      <w:r w:rsidRPr="004D45FC">
        <w:t xml:space="preserve">Existing </w:t>
      </w:r>
      <w:r w:rsidRPr="004D45FC" w:rsidDel="001A2DED">
        <w:t xml:space="preserve">ERF </w:t>
      </w:r>
      <w:r w:rsidR="001A2DED">
        <w:t>Government purchase</w:t>
      </w:r>
      <w:r w:rsidR="001A2DED" w:rsidRPr="004D45FC">
        <w:t xml:space="preserve"> </w:t>
      </w:r>
      <w:r w:rsidRPr="004D45FC">
        <w:t>contracts</w:t>
      </w:r>
    </w:p>
    <w:p w14:paraId="00BFCA0E" w14:textId="78B6B0DB" w:rsidR="00FC1556" w:rsidRDefault="00FC1556" w:rsidP="004D45FC">
      <w:r>
        <w:t>Existing contracts will remain in place, and ‘deemed surrender’</w:t>
      </w:r>
      <w:r w:rsidR="005063A9">
        <w:rPr>
          <w:rStyle w:val="FootnoteReference"/>
        </w:rPr>
        <w:footnoteReference w:id="24"/>
      </w:r>
      <w:r>
        <w:t xml:space="preserve"> provisions will be grandfathered for two years from commencement of the reforms. This means facilities with existing contracts can continue to sell the </w:t>
      </w:r>
      <w:r w:rsidR="001A2DED">
        <w:t xml:space="preserve">ACCUs </w:t>
      </w:r>
      <w:r>
        <w:t xml:space="preserve">to the Government for the contract duration, but can only count the </w:t>
      </w:r>
      <w:r w:rsidR="001A2DED">
        <w:t xml:space="preserve">associated </w:t>
      </w:r>
      <w:r>
        <w:t xml:space="preserve">abatement towards their baseline for the first two years. </w:t>
      </w:r>
    </w:p>
    <w:p w14:paraId="58B71BD4" w14:textId="071974C6" w:rsidR="005B212D" w:rsidRDefault="005B212D" w:rsidP="005B212D">
      <w:pPr>
        <w:pStyle w:val="Calloutbox"/>
      </w:pPr>
      <w:bookmarkStart w:id="779" w:name="_Toc118040364"/>
      <w:r w:rsidRPr="00E00DB1" w:rsidDel="001A2DED">
        <w:t>ERF</w:t>
      </w:r>
      <w:r w:rsidR="001A2DED" w:rsidRPr="00E00DB1">
        <w:t xml:space="preserve"> </w:t>
      </w:r>
      <w:r w:rsidRPr="00E00DB1">
        <w:t>projects</w:t>
      </w:r>
      <w:r>
        <w:t xml:space="preserve"> that reduce covered emissions at Safeguard facilities </w:t>
      </w:r>
      <w:r w:rsidR="00065494">
        <w:t xml:space="preserve">will </w:t>
      </w:r>
      <w:r>
        <w:t xml:space="preserve">no longer be able to be registered. </w:t>
      </w:r>
    </w:p>
    <w:p w14:paraId="03B37C52" w14:textId="44EE9BB2" w:rsidR="005B212D" w:rsidRDefault="005B212D" w:rsidP="005B212D">
      <w:pPr>
        <w:pStyle w:val="Calloutbox"/>
      </w:pPr>
      <w:r>
        <w:t xml:space="preserve">Projects that are already registered </w:t>
      </w:r>
      <w:r w:rsidR="005E40A2">
        <w:t xml:space="preserve">would </w:t>
      </w:r>
      <w:r>
        <w:t xml:space="preserve">continue to generate and sell credits for their existing crediting period, but </w:t>
      </w:r>
      <w:r w:rsidR="005E40A2">
        <w:t xml:space="preserve">would </w:t>
      </w:r>
      <w:r>
        <w:t>not be able to enter into new contracts for Government purchase of ACCUs</w:t>
      </w:r>
      <w:r w:rsidR="009D3A6B">
        <w:t xml:space="preserve"> or extend their crediting period</w:t>
      </w:r>
      <w:r>
        <w:t xml:space="preserve">. </w:t>
      </w:r>
    </w:p>
    <w:p w14:paraId="17B50EBD" w14:textId="3C93C5D2" w:rsidR="005B212D" w:rsidRDefault="005B212D" w:rsidP="005B212D">
      <w:pPr>
        <w:pStyle w:val="Calloutbox"/>
      </w:pPr>
      <w:r>
        <w:t xml:space="preserve">Existing </w:t>
      </w:r>
      <w:r w:rsidR="004121F4">
        <w:t xml:space="preserve">government-purchase </w:t>
      </w:r>
      <w:r>
        <w:t xml:space="preserve">contracts </w:t>
      </w:r>
      <w:r w:rsidR="005E40A2">
        <w:t xml:space="preserve">would </w:t>
      </w:r>
      <w:r>
        <w:t xml:space="preserve">remain in place, </w:t>
      </w:r>
      <w:r w:rsidR="005E40A2">
        <w:t xml:space="preserve">with </w:t>
      </w:r>
      <w:r>
        <w:t>‘deemed surrender’ provisions grandfathered for two years from scheme commencement</w:t>
      </w:r>
      <w:r w:rsidR="009D3A6B">
        <w:t>, then removed</w:t>
      </w:r>
      <w:r>
        <w:t>.</w:t>
      </w:r>
    </w:p>
    <w:p w14:paraId="18031DF0" w14:textId="77777777" w:rsidR="004E45D8" w:rsidRDefault="004E45D8" w:rsidP="004E45D8">
      <w:pPr>
        <w:pStyle w:val="Heading2"/>
      </w:pPr>
      <w:bookmarkStart w:id="780" w:name="_Toc117176817"/>
      <w:bookmarkStart w:id="781" w:name="_Toc117255420"/>
      <w:bookmarkStart w:id="782" w:name="_Toc117263161"/>
      <w:bookmarkStart w:id="783" w:name="_Toc117437242"/>
      <w:bookmarkStart w:id="784" w:name="_Toc117499190"/>
      <w:bookmarkStart w:id="785" w:name="_Toc117867998"/>
      <w:bookmarkStart w:id="786" w:name="_Toc117888012"/>
      <w:bookmarkStart w:id="787" w:name="_Toc117951456"/>
      <w:bookmarkStart w:id="788" w:name="_Toc117960103"/>
      <w:bookmarkStart w:id="789" w:name="_Toc118196216"/>
      <w:bookmarkStart w:id="790" w:name="_Toc118198385"/>
      <w:bookmarkStart w:id="791" w:name="_Toc118198800"/>
      <w:bookmarkStart w:id="792" w:name="_Toc118198991"/>
      <w:bookmarkStart w:id="793" w:name="_Toc118199545"/>
      <w:bookmarkStart w:id="794" w:name="_Toc118304117"/>
      <w:bookmarkStart w:id="795" w:name="_Toc118304148"/>
      <w:bookmarkStart w:id="796" w:name="_Toc118306350"/>
      <w:bookmarkStart w:id="797" w:name="_Toc118308342"/>
      <w:bookmarkStart w:id="798" w:name="_Toc119500913"/>
      <w:bookmarkStart w:id="799" w:name="_Toc119572368"/>
      <w:bookmarkStart w:id="800" w:name="_Toc120098963"/>
      <w:bookmarkStart w:id="801" w:name="_Toc122514443"/>
      <w:bookmarkStart w:id="802" w:name="_Toc124100693"/>
      <w:bookmarkStart w:id="803" w:name="_Toc117521037"/>
      <w:bookmarkStart w:id="804" w:name="_Toc117524784"/>
      <w:bookmarkStart w:id="805" w:name="_Toc117543975"/>
      <w:bookmarkStart w:id="806" w:name="_Toc117548326"/>
      <w:bookmarkStart w:id="807" w:name="_Toc117588644"/>
      <w:bookmarkStart w:id="808" w:name="_Toc117588688"/>
      <w:bookmarkStart w:id="809" w:name="_Toc117604806"/>
      <w:bookmarkStart w:id="810" w:name="_Toc117612888"/>
      <w:bookmarkStart w:id="811" w:name="_Toc117627726"/>
      <w:bookmarkStart w:id="812" w:name="_Toc117630391"/>
      <w:r>
        <w:t>International offsets</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r w:rsidR="00652FDD">
        <w:t xml:space="preserve"> </w:t>
      </w:r>
      <w:bookmarkEnd w:id="803"/>
      <w:bookmarkEnd w:id="804"/>
      <w:bookmarkEnd w:id="805"/>
      <w:bookmarkEnd w:id="806"/>
      <w:bookmarkEnd w:id="807"/>
      <w:bookmarkEnd w:id="808"/>
      <w:bookmarkEnd w:id="809"/>
      <w:bookmarkEnd w:id="810"/>
      <w:bookmarkEnd w:id="811"/>
      <w:bookmarkEnd w:id="812"/>
    </w:p>
    <w:p w14:paraId="4AA03948" w14:textId="47F05762" w:rsidR="002C2B42" w:rsidRDefault="00667D67" w:rsidP="002C2B42">
      <w:r>
        <w:t>Many s</w:t>
      </w:r>
      <w:r w:rsidR="00580274">
        <w:t xml:space="preserve">afeguard facilities </w:t>
      </w:r>
      <w:r w:rsidR="002C2B42">
        <w:t>strongly support access to</w:t>
      </w:r>
      <w:r w:rsidR="00580274">
        <w:t xml:space="preserve"> international units for compliance under the Safeguard Mechanism. </w:t>
      </w:r>
      <w:r w:rsidR="002C2B42">
        <w:t xml:space="preserve">They see international offsets as another opportunity for lowering the costs to Australian businesses of meeting Australia’s climate targets. </w:t>
      </w:r>
    </w:p>
    <w:p w14:paraId="7FC268BA" w14:textId="77777777" w:rsidR="00580274" w:rsidRDefault="00580274" w:rsidP="003402B4">
      <w:pPr>
        <w:pStyle w:val="Quote"/>
      </w:pPr>
      <w:r>
        <w:t>Provided international offsets are credible and the surrender can be accounted towards Australia’s emissions reduction efforts, there should be no arbitrary constraints placed on the use of international offsets.</w:t>
      </w:r>
    </w:p>
    <w:p w14:paraId="6038A526" w14:textId="77777777" w:rsidR="0035084D" w:rsidRPr="00FF5A00" w:rsidRDefault="0035084D" w:rsidP="0035084D">
      <w:pPr>
        <w:pStyle w:val="IntenseQuote"/>
      </w:pPr>
      <w:r w:rsidRPr="00FF5A00">
        <w:t>Australian Industry Greenhouse Network</w:t>
      </w:r>
    </w:p>
    <w:p w14:paraId="5C9CB269" w14:textId="77777777" w:rsidR="0005319C" w:rsidRDefault="00F6414E" w:rsidP="00E57CEF">
      <w:r>
        <w:t>T</w:t>
      </w:r>
      <w:r w:rsidR="002C2B42">
        <w:t>he Gover</w:t>
      </w:r>
      <w:r>
        <w:t xml:space="preserve">nment recognises these concerns, but notes that the primary purpose of the </w:t>
      </w:r>
      <w:r w:rsidRPr="00F6414E">
        <w:rPr>
          <w:i/>
        </w:rPr>
        <w:t>Powering Australia</w:t>
      </w:r>
      <w:r>
        <w:t xml:space="preserve"> policy is to transform the domestic economy, delivering jobs and enhancing Australia’s international co</w:t>
      </w:r>
      <w:r w:rsidR="001442F0">
        <w:t>mpetitiveness as the world moves</w:t>
      </w:r>
      <w:r>
        <w:t xml:space="preserve"> to net zero. </w:t>
      </w:r>
      <w:r w:rsidR="0005319C">
        <w:t xml:space="preserve">In addition, the market for </w:t>
      </w:r>
      <w:r w:rsidR="0005319C">
        <w:lastRenderedPageBreak/>
        <w:t>international offsets and details of the rules and accounting issues for cross-border transfers are still being developed.</w:t>
      </w:r>
    </w:p>
    <w:p w14:paraId="7DDE3F2B" w14:textId="4760981F" w:rsidR="002C2B42" w:rsidRDefault="0005319C" w:rsidP="00B000D5">
      <w:pPr>
        <w:keepLines/>
      </w:pPr>
      <w:r>
        <w:t>I</w:t>
      </w:r>
      <w:r w:rsidR="001442F0">
        <w:t xml:space="preserve">nternational offsets are not proposed to be part of the initial </w:t>
      </w:r>
      <w:r w:rsidR="009D2FF5">
        <w:t>reforms</w:t>
      </w:r>
      <w:r>
        <w:t>, but</w:t>
      </w:r>
      <w:r w:rsidR="00F6414E">
        <w:t xml:space="preserve"> the Government may consider </w:t>
      </w:r>
      <w:r>
        <w:t>including them</w:t>
      </w:r>
      <w:r w:rsidR="00F6414E">
        <w:t xml:space="preserve"> in the future, so long as they are of high integrity and can contribute to Australia’s Paris commitments. Limits on their use may be appropriate, to protect the transformation of our domestic economy. </w:t>
      </w:r>
      <w:r w:rsidR="00D26302">
        <w:t>I</w:t>
      </w:r>
      <w:r w:rsidR="00FC1F07">
        <w:t>n 2023</w:t>
      </w:r>
      <w:r w:rsidR="00F6414E">
        <w:t xml:space="preserve"> the Government will </w:t>
      </w:r>
      <w:r w:rsidR="00FC1F07">
        <w:t>consult on</w:t>
      </w:r>
      <w:r w:rsidR="00F6414E">
        <w:t xml:space="preserve"> amending </w:t>
      </w:r>
      <w:r w:rsidR="001442F0">
        <w:t>legislation</w:t>
      </w:r>
      <w:r w:rsidR="00F6414E">
        <w:t xml:space="preserve"> to allow </w:t>
      </w:r>
      <w:r w:rsidR="001442F0">
        <w:t xml:space="preserve">for high integrity </w:t>
      </w:r>
      <w:r w:rsidR="00F6414E">
        <w:t xml:space="preserve">international units to be </w:t>
      </w:r>
      <w:r w:rsidR="00FC1F07">
        <w:t xml:space="preserve">included in the Australian National Registry of Emissions Units and provide a mechanism for such units </w:t>
      </w:r>
      <w:r w:rsidR="001442F0">
        <w:t>used for compliance</w:t>
      </w:r>
      <w:r w:rsidR="00F6414E">
        <w:t xml:space="preserve"> at </w:t>
      </w:r>
      <w:r w:rsidR="00FC1F07">
        <w:t>a</w:t>
      </w:r>
      <w:r w:rsidR="00F6414E">
        <w:t xml:space="preserve"> future time. </w:t>
      </w:r>
    </w:p>
    <w:p w14:paraId="522A5D5D" w14:textId="5FB8BF6B" w:rsidR="004C63A4" w:rsidRDefault="0074689C" w:rsidP="00FF5D77">
      <w:pPr>
        <w:pStyle w:val="Calloutbox"/>
      </w:pPr>
      <w:r>
        <w:t xml:space="preserve">International offsets are not proposed to be part of the initial reforms. </w:t>
      </w:r>
      <w:r w:rsidR="007E6685">
        <w:t>The</w:t>
      </w:r>
      <w:r w:rsidR="009D2FF5">
        <w:t xml:space="preserve"> </w:t>
      </w:r>
      <w:r w:rsidR="00BC3007">
        <w:t xml:space="preserve">Government </w:t>
      </w:r>
      <w:r w:rsidR="009D2FF5">
        <w:t>may</w:t>
      </w:r>
      <w:r w:rsidR="00BC3007">
        <w:t xml:space="preserve"> consider </w:t>
      </w:r>
      <w:r w:rsidR="009D2FF5">
        <w:t xml:space="preserve">allowing access to </w:t>
      </w:r>
      <w:r w:rsidR="00BC3007">
        <w:t xml:space="preserve">high integrity international offsets </w:t>
      </w:r>
      <w:r w:rsidR="009D2FF5">
        <w:t>at some future time</w:t>
      </w:r>
      <w:r w:rsidR="007E6685">
        <w:t xml:space="preserve"> and</w:t>
      </w:r>
      <w:r w:rsidR="00BC3007">
        <w:t xml:space="preserve"> will consult </w:t>
      </w:r>
      <w:r w:rsidR="00C76E2C">
        <w:t>in 2023</w:t>
      </w:r>
      <w:r w:rsidR="007E6685">
        <w:t xml:space="preserve"> </w:t>
      </w:r>
      <w:r w:rsidR="00BC3007">
        <w:t xml:space="preserve">on </w:t>
      </w:r>
      <w:r w:rsidR="00916446">
        <w:t xml:space="preserve">the </w:t>
      </w:r>
      <w:r w:rsidR="008E7B80">
        <w:t>possibility of establishing</w:t>
      </w:r>
      <w:r w:rsidR="00BC3007">
        <w:t xml:space="preserve"> </w:t>
      </w:r>
      <w:r w:rsidR="00916446">
        <w:t xml:space="preserve">the </w:t>
      </w:r>
      <w:r w:rsidR="008E7B80">
        <w:t>legislative framework</w:t>
      </w:r>
      <w:r w:rsidR="00916446">
        <w:t xml:space="preserve"> for international units</w:t>
      </w:r>
      <w:r w:rsidR="00BC3007">
        <w:t xml:space="preserve">. </w:t>
      </w:r>
      <w:bookmarkStart w:id="813" w:name="_Toc109818504"/>
      <w:bookmarkStart w:id="814" w:name="_Toc110524030"/>
      <w:bookmarkStart w:id="815" w:name="_Toc110545558"/>
      <w:bookmarkStart w:id="816" w:name="_Toc110590741"/>
      <w:bookmarkStart w:id="817" w:name="_Toc110590796"/>
      <w:bookmarkStart w:id="818" w:name="_Toc110593200"/>
      <w:bookmarkStart w:id="819" w:name="_Toc110851753"/>
      <w:bookmarkStart w:id="820" w:name="_Toc111042144"/>
      <w:bookmarkStart w:id="821" w:name="_Toc109659392"/>
      <w:bookmarkStart w:id="822" w:name="_Toc109717172"/>
      <w:bookmarkStart w:id="823" w:name="_Toc109742680"/>
      <w:bookmarkStart w:id="824" w:name="_Toc109746064"/>
      <w:bookmarkStart w:id="825" w:name="_Toc109747128"/>
      <w:bookmarkStart w:id="826" w:name="_Toc109645636"/>
      <w:bookmarkStart w:id="827" w:name="_Toc109653345"/>
    </w:p>
    <w:p w14:paraId="3E4CA5A8" w14:textId="77777777" w:rsidR="00BC3007" w:rsidRDefault="00461890" w:rsidP="001442F0">
      <w:pPr>
        <w:pStyle w:val="Heading2"/>
      </w:pPr>
      <w:bookmarkStart w:id="828" w:name="_Toc118040365"/>
      <w:bookmarkStart w:id="829" w:name="_Toc118196217"/>
      <w:bookmarkStart w:id="830" w:name="_Toc118198386"/>
      <w:bookmarkStart w:id="831" w:name="_Toc118198801"/>
      <w:bookmarkStart w:id="832" w:name="_Toc118198992"/>
      <w:bookmarkStart w:id="833" w:name="_Toc118199546"/>
      <w:bookmarkStart w:id="834" w:name="_Toc118304118"/>
      <w:bookmarkStart w:id="835" w:name="_Toc118304149"/>
      <w:bookmarkStart w:id="836" w:name="_Toc118306351"/>
      <w:bookmarkStart w:id="837" w:name="_Toc118308343"/>
      <w:bookmarkStart w:id="838" w:name="_Toc119500914"/>
      <w:bookmarkStart w:id="839" w:name="_Toc119572369"/>
      <w:bookmarkStart w:id="840" w:name="_Toc120098964"/>
      <w:bookmarkStart w:id="841" w:name="_Toc122514444"/>
      <w:bookmarkStart w:id="842" w:name="_Toc124100694"/>
      <w:r>
        <w:t>Banking and borrowing</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1D7BF4F3" w14:textId="77777777" w:rsidR="004D33B3" w:rsidRDefault="00395C75" w:rsidP="004C63A4">
      <w:pPr>
        <w:keepLines/>
      </w:pPr>
      <w:r>
        <w:t>The consultation paper sought feedback on measures that provide flexibility regarding the timing of when emissions reductions take place. These include</w:t>
      </w:r>
      <w:r w:rsidR="004D33B3">
        <w:t>:</w:t>
      </w:r>
    </w:p>
    <w:p w14:paraId="3770DCBA" w14:textId="77777777" w:rsidR="004D33B3" w:rsidRPr="004D33B3" w:rsidRDefault="004D33B3" w:rsidP="004D33B3">
      <w:pPr>
        <w:pStyle w:val="ListParagraph"/>
        <w:numPr>
          <w:ilvl w:val="0"/>
          <w:numId w:val="21"/>
        </w:numPr>
        <w:ind w:left="425" w:hanging="357"/>
        <w:contextualSpacing w:val="0"/>
      </w:pPr>
      <w:r w:rsidRPr="004D33B3">
        <w:rPr>
          <w:b/>
        </w:rPr>
        <w:t>b</w:t>
      </w:r>
      <w:r w:rsidR="00395C75" w:rsidRPr="004D33B3">
        <w:rPr>
          <w:b/>
        </w:rPr>
        <w:t>anking</w:t>
      </w:r>
      <w:r w:rsidRPr="004D33B3">
        <w:t xml:space="preserve">: </w:t>
      </w:r>
      <w:r w:rsidR="00395C75" w:rsidRPr="004D33B3">
        <w:t xml:space="preserve">where SMCs created in the current year can be used for compliance in future years; and </w:t>
      </w:r>
    </w:p>
    <w:p w14:paraId="7FD0AC39" w14:textId="77777777" w:rsidR="00395C75" w:rsidRPr="004D33B3" w:rsidRDefault="00395C75" w:rsidP="004D33B3">
      <w:pPr>
        <w:pStyle w:val="ListParagraph"/>
        <w:numPr>
          <w:ilvl w:val="0"/>
          <w:numId w:val="21"/>
        </w:numPr>
        <w:ind w:left="425" w:hanging="357"/>
        <w:contextualSpacing w:val="0"/>
      </w:pPr>
      <w:r w:rsidRPr="004D33B3">
        <w:rPr>
          <w:b/>
        </w:rPr>
        <w:t>borrowing</w:t>
      </w:r>
      <w:r w:rsidR="004D33B3" w:rsidRPr="004D33B3">
        <w:t>:</w:t>
      </w:r>
      <w:r w:rsidRPr="004D33B3">
        <w:t xml:space="preserve"> where a facility’s </w:t>
      </w:r>
      <w:r w:rsidR="00B51E38">
        <w:t>baseline</w:t>
      </w:r>
      <w:r w:rsidRPr="004D33B3">
        <w:t xml:space="preserve"> is </w:t>
      </w:r>
      <w:r w:rsidR="00B51E38">
        <w:t>increased</w:t>
      </w:r>
      <w:r w:rsidRPr="004D33B3">
        <w:t xml:space="preserve"> in a particular year, but </w:t>
      </w:r>
      <w:r w:rsidR="00B51E38">
        <w:t>decreases</w:t>
      </w:r>
      <w:r w:rsidRPr="004D33B3">
        <w:t xml:space="preserve"> by a corresponding amount </w:t>
      </w:r>
      <w:r w:rsidR="00B51E38">
        <w:t>the following</w:t>
      </w:r>
      <w:r w:rsidRPr="004D33B3">
        <w:t xml:space="preserve"> year.</w:t>
      </w:r>
    </w:p>
    <w:p w14:paraId="036C130D" w14:textId="77777777" w:rsidR="00A9321D" w:rsidRDefault="00A9321D" w:rsidP="00A9321D">
      <w:pPr>
        <w:pStyle w:val="Heading3"/>
      </w:pPr>
      <w:r>
        <w:t xml:space="preserve">Banking </w:t>
      </w:r>
    </w:p>
    <w:p w14:paraId="64239570" w14:textId="77777777" w:rsidR="00C427B5" w:rsidRDefault="00F85C1E" w:rsidP="004C63A4">
      <w:pPr>
        <w:keepLines/>
      </w:pPr>
      <w:r>
        <w:t>Banking of SMCs would promote price stability</w:t>
      </w:r>
      <w:r w:rsidR="00C427B5">
        <w:t xml:space="preserve">. </w:t>
      </w:r>
      <w:r w:rsidR="009F4371">
        <w:t>P</w:t>
      </w:r>
      <w:r w:rsidR="00C427B5">
        <w:t>rice</w:t>
      </w:r>
      <w:r w:rsidR="009F4371">
        <w:t>s</w:t>
      </w:r>
      <w:r w:rsidR="00C427B5">
        <w:t xml:space="preserve"> would </w:t>
      </w:r>
      <w:r w:rsidR="004D33B3">
        <w:t xml:space="preserve">reflect </w:t>
      </w:r>
      <w:r w:rsidR="00C427B5">
        <w:t>not only present supply and demand, but also expectations</w:t>
      </w:r>
      <w:r w:rsidR="004D33B3">
        <w:t xml:space="preserve"> about future supply and demand</w:t>
      </w:r>
      <w:r w:rsidR="009F4371">
        <w:t>, smoothing the overall price path</w:t>
      </w:r>
      <w:r w:rsidR="00C427B5">
        <w:t xml:space="preserve">. </w:t>
      </w:r>
      <w:r>
        <w:t>SMCs</w:t>
      </w:r>
      <w:r w:rsidR="009F4371">
        <w:t xml:space="preserve"> could</w:t>
      </w:r>
      <w:r>
        <w:t xml:space="preserve"> be used when they are most needed, </w:t>
      </w:r>
      <w:r w:rsidR="009F4371">
        <w:t xml:space="preserve">reducing the </w:t>
      </w:r>
      <w:r>
        <w:t xml:space="preserve">overall costs for businesses. </w:t>
      </w:r>
    </w:p>
    <w:p w14:paraId="4428E0F9" w14:textId="77777777" w:rsidR="00395C75" w:rsidRDefault="00CF551B" w:rsidP="004C63A4">
      <w:pPr>
        <w:keepLines/>
      </w:pPr>
      <w:r>
        <w:t xml:space="preserve">The consultation paper </w:t>
      </w:r>
      <w:r w:rsidR="004D33B3">
        <w:t xml:space="preserve">proposed </w:t>
      </w:r>
      <w:r w:rsidR="009356BF">
        <w:t>to implement Safeguard Mechanism reforms in 2 phases—with transitional arrangement</w:t>
      </w:r>
      <w:r w:rsidR="00A71609">
        <w:t>s</w:t>
      </w:r>
      <w:r w:rsidR="009356BF">
        <w:t xml:space="preserve"> in phase 1 (2023-24 to 2024-25) and </w:t>
      </w:r>
      <w:r w:rsidR="004D33B3">
        <w:t>banking</w:t>
      </w:r>
      <w:r>
        <w:t xml:space="preserve"> within</w:t>
      </w:r>
      <w:r w:rsidR="004D33B3">
        <w:t>, but not between, phases</w:t>
      </w:r>
      <w:r>
        <w:t xml:space="preserve">. </w:t>
      </w:r>
      <w:r w:rsidR="00F85C1E">
        <w:t>Restricting</w:t>
      </w:r>
      <w:r>
        <w:t xml:space="preserve"> banking between phases </w:t>
      </w:r>
      <w:r w:rsidR="00B51E38">
        <w:t>was intended to</w:t>
      </w:r>
      <w:r>
        <w:t xml:space="preserve"> manage the risk that some </w:t>
      </w:r>
      <w:r w:rsidR="00B51E38">
        <w:t xml:space="preserve">aggregate </w:t>
      </w:r>
      <w:r w:rsidRPr="001E0232">
        <w:t xml:space="preserve">headroom </w:t>
      </w:r>
      <w:r w:rsidR="00B51E38">
        <w:t>may remain</w:t>
      </w:r>
      <w:r>
        <w:t xml:space="preserve"> in the initial years of the reformed Safeguard Mechanism.</w:t>
      </w:r>
    </w:p>
    <w:p w14:paraId="6F4B90E3" w14:textId="77777777" w:rsidR="00C7011B" w:rsidRDefault="00C7011B" w:rsidP="004C63A4">
      <w:pPr>
        <w:keepLines/>
      </w:pPr>
      <w:r>
        <w:t xml:space="preserve">A disadvantage of </w:t>
      </w:r>
      <w:r w:rsidR="00F85C1E">
        <w:t>restricting</w:t>
      </w:r>
      <w:r>
        <w:t xml:space="preserve"> banking between phases is that </w:t>
      </w:r>
      <w:r w:rsidR="00F85C1E">
        <w:t xml:space="preserve">SMC prices </w:t>
      </w:r>
      <w:r>
        <w:t>could become unstable at the end of a phase, and could become very low if enough SMCs are avail</w:t>
      </w:r>
      <w:r w:rsidR="004D33B3">
        <w:t xml:space="preserve">able to meet compliance needs. Uncertainty about SMC prices </w:t>
      </w:r>
      <w:r>
        <w:t>could increase</w:t>
      </w:r>
      <w:r w:rsidR="00CA434C">
        <w:t xml:space="preserve"> the</w:t>
      </w:r>
      <w:r>
        <w:t xml:space="preserve"> risks </w:t>
      </w:r>
      <w:r w:rsidR="004D33B3">
        <w:t xml:space="preserve">and financing costs </w:t>
      </w:r>
      <w:r>
        <w:t>associated with inv</w:t>
      </w:r>
      <w:r w:rsidR="00CA434C">
        <w:t>esting</w:t>
      </w:r>
      <w:r w:rsidR="004D33B3">
        <w:t xml:space="preserve"> in emissions reduction projects </w:t>
      </w:r>
      <w:r>
        <w:t>at Safeguard facilities.</w:t>
      </w:r>
    </w:p>
    <w:p w14:paraId="41024BE7" w14:textId="77777777" w:rsidR="005707A5" w:rsidRDefault="00CA434C" w:rsidP="004C63A4">
      <w:pPr>
        <w:keepLines/>
      </w:pPr>
      <w:r>
        <w:t>Many businesses</w:t>
      </w:r>
      <w:r w:rsidR="005707A5">
        <w:t xml:space="preserve"> support</w:t>
      </w:r>
      <w:r>
        <w:t>ed</w:t>
      </w:r>
      <w:r w:rsidR="005707A5">
        <w:t xml:space="preserve"> unlimited banking between phases.</w:t>
      </w:r>
    </w:p>
    <w:p w14:paraId="1026A514" w14:textId="77777777" w:rsidR="005707A5" w:rsidRPr="00973C7F" w:rsidRDefault="005707A5" w:rsidP="005707A5">
      <w:pPr>
        <w:pStyle w:val="Quote"/>
      </w:pPr>
      <w:r w:rsidRPr="00973C7F">
        <w:t xml:space="preserve">We are supportive of permitting banking and borrowing of SMCs to allow facilities to efficiently manage their emissions liability and any associated costs for customers. Unlimited banking of credits within the proposed phases is appropriate. Consideration should also be given to allowing some proportion of SMCs to be transferred between phases (and potentially post 2030) where this would not compromise the achievement of the 2030 emissions reduction target. </w:t>
      </w:r>
    </w:p>
    <w:p w14:paraId="3597A0AC" w14:textId="77777777" w:rsidR="005707A5" w:rsidRPr="00973C7F" w:rsidRDefault="005707A5" w:rsidP="005707A5">
      <w:pPr>
        <w:pStyle w:val="IntenseQuote"/>
      </w:pPr>
      <w:r>
        <w:t>Woodside</w:t>
      </w:r>
    </w:p>
    <w:p w14:paraId="14FBA700" w14:textId="77777777" w:rsidR="00C92826" w:rsidRDefault="00B51E38" w:rsidP="004C63A4">
      <w:pPr>
        <w:keepLines/>
      </w:pPr>
      <w:r>
        <w:lastRenderedPageBreak/>
        <w:t>Phases are unlikely to be needed under t</w:t>
      </w:r>
      <w:r w:rsidR="00C92826">
        <w:t xml:space="preserve">he </w:t>
      </w:r>
      <w:r>
        <w:t>policy setting</w:t>
      </w:r>
      <w:r w:rsidR="00DE10B3">
        <w:t>s</w:t>
      </w:r>
      <w:r>
        <w:t xml:space="preserve"> </w:t>
      </w:r>
      <w:r w:rsidR="00C92826">
        <w:t xml:space="preserve">proposed </w:t>
      </w:r>
      <w:r>
        <w:t>in this paper</w:t>
      </w:r>
      <w:r w:rsidR="00C92826">
        <w:t xml:space="preserve">, </w:t>
      </w:r>
      <w:r>
        <w:t>which include a baseline setting model that removes aggregate headroom and</w:t>
      </w:r>
      <w:r w:rsidR="005707A5">
        <w:t xml:space="preserve"> </w:t>
      </w:r>
      <w:r w:rsidR="00E02C0F">
        <w:t>declines baselines</w:t>
      </w:r>
      <w:r w:rsidR="00C92826">
        <w:t xml:space="preserve"> from 2023</w:t>
      </w:r>
      <w:r>
        <w:noBreakHyphen/>
      </w:r>
      <w:r w:rsidR="00C92826">
        <w:t>24</w:t>
      </w:r>
      <w:r>
        <w:t>.</w:t>
      </w:r>
      <w:r w:rsidR="00C92826">
        <w:t xml:space="preserve"> </w:t>
      </w:r>
      <w:r w:rsidR="009F4371">
        <w:t xml:space="preserve">As </w:t>
      </w:r>
      <w:r w:rsidR="001A6E82">
        <w:t>a result</w:t>
      </w:r>
      <w:r w:rsidR="009F4371">
        <w:t xml:space="preserve">, the Government will not proceed with implementing Safeguard reforms in phases, and will allow </w:t>
      </w:r>
      <w:r w:rsidR="00F85C1E">
        <w:t xml:space="preserve">unlimited banking </w:t>
      </w:r>
      <w:r w:rsidR="005707A5">
        <w:t>of SMCs</w:t>
      </w:r>
      <w:r w:rsidR="000B7B69">
        <w:t xml:space="preserve"> to</w:t>
      </w:r>
      <w:r w:rsidR="005707A5">
        <w:t xml:space="preserve"> 2030</w:t>
      </w:r>
      <w:r w:rsidR="00F85C1E">
        <w:t xml:space="preserve">. </w:t>
      </w:r>
      <w:r w:rsidR="000B7B69">
        <w:t xml:space="preserve">The </w:t>
      </w:r>
      <w:r w:rsidR="007A006A">
        <w:t>2026</w:t>
      </w:r>
      <w:r w:rsidR="00A93AC0">
        <w:t>-27</w:t>
      </w:r>
      <w:r w:rsidR="007A006A">
        <w:t xml:space="preserve"> review</w:t>
      </w:r>
      <w:r w:rsidR="000B7B69">
        <w:t xml:space="preserve"> will consider </w:t>
      </w:r>
      <w:r w:rsidR="007A006A">
        <w:t>whether SMCs can be banked for use after 2030</w:t>
      </w:r>
      <w:r w:rsidR="005707A5">
        <w:t xml:space="preserve">. </w:t>
      </w:r>
    </w:p>
    <w:p w14:paraId="15426D8A" w14:textId="77777777" w:rsidR="00CF551B" w:rsidRDefault="0002496C" w:rsidP="004C63A4">
      <w:pPr>
        <w:keepLines/>
      </w:pPr>
      <w:r>
        <w:t xml:space="preserve">Some submissions argued that there should be a time limit on banking of SMCs (based on their vintage) to </w:t>
      </w:r>
      <w:r w:rsidR="001D24A2">
        <w:t xml:space="preserve">deter </w:t>
      </w:r>
      <w:r>
        <w:t>opportunistic banking behaviour.</w:t>
      </w:r>
    </w:p>
    <w:p w14:paraId="30710600" w14:textId="77777777" w:rsidR="00D641D7" w:rsidRDefault="00D641D7" w:rsidP="00D641D7">
      <w:pPr>
        <w:pStyle w:val="Quote"/>
      </w:pPr>
      <w:r>
        <w:t xml:space="preserve">A rolling time limit on the compliance use of SMC vintages would be better than a system of phases; the latter would provide sharp reductions in the value of abatement activity as the end-of-phase approaches, and no guardrail at all once an indefinite phase is reached. The time limit on use of vintages should be aligned with the rolling five year time window suggested above for other tweaks to scheme settings to take effect. </w:t>
      </w:r>
    </w:p>
    <w:p w14:paraId="7AFFF0AF" w14:textId="77777777" w:rsidR="00D641D7" w:rsidRDefault="00D641D7" w:rsidP="00D641D7">
      <w:pPr>
        <w:pStyle w:val="IntenseQuote"/>
      </w:pPr>
      <w:r>
        <w:t>Ai Group</w:t>
      </w:r>
    </w:p>
    <w:p w14:paraId="47C15CBD" w14:textId="77777777" w:rsidR="0002496C" w:rsidRDefault="0002496C" w:rsidP="004C63A4">
      <w:pPr>
        <w:keepLines/>
      </w:pPr>
      <w:r w:rsidRPr="0002496C">
        <w:t>A</w:t>
      </w:r>
      <w:r>
        <w:t xml:space="preserve"> fixed time limit on bankin</w:t>
      </w:r>
      <w:r w:rsidR="00CA434C">
        <w:t>g of credits c</w:t>
      </w:r>
      <w:r>
        <w:t xml:space="preserve">ould encourage liquidity and </w:t>
      </w:r>
      <w:r w:rsidR="00A9321D">
        <w:t xml:space="preserve">help </w:t>
      </w:r>
      <w:r>
        <w:t xml:space="preserve">manage </w:t>
      </w:r>
      <w:r w:rsidR="00A9321D">
        <w:t>any</w:t>
      </w:r>
      <w:r>
        <w:t xml:space="preserve"> risk of the supply of credits being constrained. However, it would increase </w:t>
      </w:r>
      <w:r w:rsidR="00D641D7">
        <w:t>carbon</w:t>
      </w:r>
      <w:r w:rsidR="00B51E38">
        <w:t xml:space="preserve"> market </w:t>
      </w:r>
      <w:r>
        <w:t xml:space="preserve">complexity </w:t>
      </w:r>
      <w:r w:rsidR="00B51E38">
        <w:t xml:space="preserve">as </w:t>
      </w:r>
      <w:r w:rsidR="00D641D7">
        <w:t xml:space="preserve">ACCUs do not have time limits and </w:t>
      </w:r>
      <w:r>
        <w:t xml:space="preserve">different </w:t>
      </w:r>
      <w:r w:rsidR="00D641D7">
        <w:t xml:space="preserve">SMC </w:t>
      </w:r>
      <w:r>
        <w:t xml:space="preserve">vintages would likely trade at different prices. </w:t>
      </w:r>
      <w:r w:rsidR="00D641D7">
        <w:t>As such, the Government proposes to allow unlimited banking of SMCs to 2030, with arrangements reviewed in 2026</w:t>
      </w:r>
      <w:r w:rsidR="00A93AC0">
        <w:t>-27</w:t>
      </w:r>
      <w:r w:rsidR="00D641D7">
        <w:t xml:space="preserve">. </w:t>
      </w:r>
      <w:r w:rsidR="00A9321D">
        <w:t xml:space="preserve"> </w:t>
      </w:r>
    </w:p>
    <w:p w14:paraId="600F9F8A" w14:textId="77777777" w:rsidR="00A9321D" w:rsidRDefault="00A9321D" w:rsidP="00A9321D">
      <w:pPr>
        <w:pStyle w:val="Heading3"/>
      </w:pPr>
      <w:r>
        <w:t xml:space="preserve">Borrowing </w:t>
      </w:r>
      <w:r w:rsidR="00AF3A25">
        <w:t>arrangements</w:t>
      </w:r>
    </w:p>
    <w:p w14:paraId="52686C04" w14:textId="77777777" w:rsidR="00A9321D" w:rsidRDefault="00AF3A25" w:rsidP="00916446">
      <w:pPr>
        <w:keepLines/>
      </w:pPr>
      <w:r>
        <w:t xml:space="preserve">Borrowing </w:t>
      </w:r>
      <w:r w:rsidRPr="00AF3A25">
        <w:t>could be implemented by allowing a Safeguard facility to increase their baseline in a particular year</w:t>
      </w:r>
      <w:r w:rsidR="00CA434C">
        <w:t>,</w:t>
      </w:r>
      <w:r w:rsidRPr="00AF3A25">
        <w:t xml:space="preserve"> but decrease it in the following year.</w:t>
      </w:r>
      <w:r>
        <w:t xml:space="preserve"> </w:t>
      </w:r>
      <w:r w:rsidR="00C90422">
        <w:t>The consultation paper suggested that</w:t>
      </w:r>
      <w:r w:rsidRPr="00AF3A25">
        <w:t xml:space="preserve"> </w:t>
      </w:r>
      <w:r w:rsidR="00CA434C">
        <w:t xml:space="preserve">borrowing </w:t>
      </w:r>
      <w:r>
        <w:t xml:space="preserve">could </w:t>
      </w:r>
      <w:r w:rsidRPr="00AF3A25">
        <w:t xml:space="preserve">be limited—for example, </w:t>
      </w:r>
      <w:r>
        <w:t>to</w:t>
      </w:r>
      <w:r w:rsidR="007F379F">
        <w:t xml:space="preserve"> 5 </w:t>
      </w:r>
      <w:r w:rsidR="00FB3916">
        <w:t>per cent</w:t>
      </w:r>
      <w:r w:rsidR="006D4B29">
        <w:t xml:space="preserve"> of their baseline</w:t>
      </w:r>
      <w:r w:rsidRPr="00AF3A25">
        <w:t>—and borrowing beyond 2030 would not be allowed.</w:t>
      </w:r>
    </w:p>
    <w:p w14:paraId="0B04AB1A" w14:textId="77777777" w:rsidR="007F379F" w:rsidRDefault="007F379F" w:rsidP="00A9321D">
      <w:r>
        <w:t>Some businesses felt the 5 </w:t>
      </w:r>
      <w:r w:rsidR="00FB3916">
        <w:t>per cent</w:t>
      </w:r>
      <w:r>
        <w:t xml:space="preserve"> limit was too low.</w:t>
      </w:r>
    </w:p>
    <w:p w14:paraId="4D24A929" w14:textId="77777777" w:rsidR="007F379F" w:rsidRPr="00E30841" w:rsidRDefault="007F379F" w:rsidP="007F379F">
      <w:pPr>
        <w:pStyle w:val="Quote"/>
      </w:pPr>
      <w:r w:rsidRPr="00E30841">
        <w:t xml:space="preserve">We note the concerns raised in the Consultation Paper regarding the risk to emission target achievement posed by unlimited borrowing. However, we believe the suggested 5% upper limit may be too conservative – particularly for those sectors that will largely be reliant on ‘step-change’ technologies to reduce their emissions. </w:t>
      </w:r>
    </w:p>
    <w:p w14:paraId="127A63E3" w14:textId="77777777" w:rsidR="007F379F" w:rsidRDefault="007F379F" w:rsidP="007F379F">
      <w:pPr>
        <w:pStyle w:val="IntenseQuote"/>
      </w:pPr>
      <w:r>
        <w:t>BHP</w:t>
      </w:r>
    </w:p>
    <w:p w14:paraId="7C56B4B5" w14:textId="77777777" w:rsidR="0050380E" w:rsidRDefault="007F379F" w:rsidP="0050380E">
      <w:r>
        <w:t>Noting the benefits of inter-temporal flexibility, particularly given short lead times for businesses to plan and implement projects by 1 July 2023, the Government proposes to increase the borrowing allowance to 10 </w:t>
      </w:r>
      <w:r w:rsidR="00FB3916">
        <w:t>per cent</w:t>
      </w:r>
      <w:r>
        <w:t>. A 10 </w:t>
      </w:r>
      <w:r w:rsidR="00FB3916">
        <w:t>per cent</w:t>
      </w:r>
      <w:r>
        <w:t xml:space="preserve"> </w:t>
      </w:r>
      <w:r w:rsidR="00E02C0F">
        <w:t>‘</w:t>
      </w:r>
      <w:r>
        <w:t>interest rate</w:t>
      </w:r>
      <w:r w:rsidR="00E02C0F">
        <w:t>’</w:t>
      </w:r>
      <w:r>
        <w:t xml:space="preserve"> will be applied to ensure borrowing is only us</w:t>
      </w:r>
      <w:r w:rsidR="003B6B6E">
        <w:t>ed when there is a genuine need, rather than to delay abatement.</w:t>
      </w:r>
      <w:r w:rsidR="008F38BB">
        <w:t xml:space="preserve"> </w:t>
      </w:r>
      <w:r w:rsidR="004C3FC6">
        <w:t xml:space="preserve">This interest rate will be reviewed in 2026-27. </w:t>
      </w:r>
    </w:p>
    <w:p w14:paraId="02754768" w14:textId="77777777" w:rsidR="00042E21" w:rsidRDefault="00042E21" w:rsidP="00561AD2">
      <w:pPr>
        <w:pStyle w:val="Quote"/>
      </w:pPr>
      <w:r w:rsidRPr="00042E21">
        <w:t>An alternative to a true-up year is an ‘interest rate’, requiring additional emissions reductions to be paid back along with the amount borrowed. This would recognise that immediate emissions reductions have greater social value than future ones.</w:t>
      </w:r>
    </w:p>
    <w:p w14:paraId="3DA2CC4A" w14:textId="43B57009" w:rsidR="009A3FCC" w:rsidRPr="00042E21" w:rsidRDefault="00042E21" w:rsidP="00561AD2">
      <w:pPr>
        <w:jc w:val="right"/>
      </w:pPr>
      <w:r>
        <w:t>Grattan Institute</w:t>
      </w:r>
    </w:p>
    <w:p w14:paraId="7724EDCA" w14:textId="3AEDE8DA" w:rsidR="00097556" w:rsidRDefault="00690843" w:rsidP="004666AE">
      <w:pPr>
        <w:shd w:val="clear" w:color="auto" w:fill="FFFFFF" w:themeFill="background1"/>
        <w:spacing w:after="60"/>
      </w:pPr>
      <w:r>
        <w:t>A</w:t>
      </w:r>
      <w:r w:rsidR="001D1485">
        <w:t xml:space="preserve"> facility could only borrow for a single year at a time and the borrowed amount must be trued-up the following year.</w:t>
      </w:r>
      <w:r>
        <w:t xml:space="preserve"> An illustrative example is provided in </w:t>
      </w:r>
      <w:r w:rsidR="0050380E">
        <w:t>Box 4.2</w:t>
      </w:r>
      <w:r>
        <w:t>.</w:t>
      </w:r>
    </w:p>
    <w:p w14:paraId="0DD820D0" w14:textId="4AA35AF8" w:rsidR="005B7ADD" w:rsidRDefault="005B7ADD" w:rsidP="0087137A">
      <w:pPr>
        <w:keepNext/>
        <w:keepLines/>
        <w:spacing w:before="300"/>
      </w:pPr>
      <w:r>
        <w:rPr>
          <w:noProof/>
          <w:lang w:eastAsia="en-AU"/>
        </w:rPr>
        <w:lastRenderedPageBreak/>
        <mc:AlternateContent>
          <mc:Choice Requires="wps">
            <w:drawing>
              <wp:anchor distT="0" distB="0" distL="114300" distR="114300" simplePos="0" relativeHeight="251658241" behindDoc="0" locked="0" layoutInCell="1" allowOverlap="1" wp14:anchorId="0F1BF67E" wp14:editId="494CFE7C">
                <wp:simplePos x="0" y="0"/>
                <wp:positionH relativeFrom="margin">
                  <wp:posOffset>-114300</wp:posOffset>
                </wp:positionH>
                <wp:positionV relativeFrom="paragraph">
                  <wp:posOffset>0</wp:posOffset>
                </wp:positionV>
                <wp:extent cx="6076950" cy="9131300"/>
                <wp:effectExtent l="0" t="0" r="0" b="0"/>
                <wp:wrapTopAndBottom/>
                <wp:docPr id="8" name="Text Box 8"/>
                <wp:cNvGraphicFramePr/>
                <a:graphic xmlns:a="http://schemas.openxmlformats.org/drawingml/2006/main">
                  <a:graphicData uri="http://schemas.microsoft.com/office/word/2010/wordprocessingShape">
                    <wps:wsp>
                      <wps:cNvSpPr txBox="1"/>
                      <wps:spPr>
                        <a:xfrm>
                          <a:off x="0" y="0"/>
                          <a:ext cx="6076950" cy="9131300"/>
                        </a:xfrm>
                        <a:prstGeom prst="rect">
                          <a:avLst/>
                        </a:prstGeom>
                        <a:solidFill>
                          <a:schemeClr val="accent6">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2D231" w14:textId="77777777" w:rsidR="00706F16" w:rsidRDefault="00706F16" w:rsidP="005C2232">
                            <w:pPr>
                              <w:pStyle w:val="Caption"/>
                            </w:pPr>
                            <w:r>
                              <w:t>Box 4.2: Borrowing—an illustrative example</w:t>
                            </w:r>
                          </w:p>
                          <w:p w14:paraId="486685AE" w14:textId="77777777" w:rsidR="00706F16" w:rsidRPr="0050380E" w:rsidRDefault="00706F16" w:rsidP="005C2232">
                            <w:pPr>
                              <w:rPr>
                                <w:b/>
                                <w:lang w:eastAsia="en-AU"/>
                              </w:rPr>
                            </w:pPr>
                            <w:r w:rsidRPr="0050380E">
                              <w:rPr>
                                <w:b/>
                                <w:lang w:eastAsia="en-AU"/>
                              </w:rPr>
                              <w:t>Borrowing in a single year</w:t>
                            </w:r>
                          </w:p>
                          <w:p w14:paraId="202342FF" w14:textId="77777777" w:rsidR="00706F16" w:rsidRDefault="00706F16" w:rsidP="005C2232">
                            <w:pPr>
                              <w:rPr>
                                <w:lang w:eastAsia="en-AU"/>
                              </w:rPr>
                            </w:pPr>
                            <w:r>
                              <w:rPr>
                                <w:lang w:eastAsia="en-AU"/>
                              </w:rPr>
                              <w:t xml:space="preserve">Suppose a facility has an initial exceedance of 20 thousand tonnes in 2023-24, but plans to undertake a project in 2024-25 which will deliver ongoing emissions reductions of 40 thousand tonnes a year. </w:t>
                            </w:r>
                          </w:p>
                          <w:p w14:paraId="03CE01DD" w14:textId="77777777" w:rsidR="00706F16" w:rsidRDefault="00706F16" w:rsidP="005C2232">
                            <w:pPr>
                              <w:rPr>
                                <w:lang w:eastAsia="en-AU"/>
                              </w:rPr>
                            </w:pPr>
                            <w:r>
                              <w:t xml:space="preserve">The facility can borrow up to 10 per cent of its initial baseline. In this case, it could borrow up to 30 thousand tonnes in 2023-24, but only wants to borrow </w:t>
                            </w:r>
                            <w:r>
                              <w:rPr>
                                <w:color w:val="FF0000"/>
                              </w:rPr>
                              <w:t>20</w:t>
                            </w:r>
                            <w:r w:rsidRPr="0015547B">
                              <w:rPr>
                                <w:color w:val="FF0000"/>
                              </w:rPr>
                              <w:t xml:space="preserve"> thousand tonnes </w:t>
                            </w:r>
                            <w:r>
                              <w:t>to help avoid exceedance in 2023-24. It has no incentive to borrow more as it cannot receive credits while borrowing and will be charged interest.</w:t>
                            </w:r>
                          </w:p>
                          <w:p w14:paraId="112A2ADE" w14:textId="4EB96C68" w:rsidR="00706F16" w:rsidRPr="008F38BB" w:rsidRDefault="00706F16" w:rsidP="005C2232">
                            <w:pPr>
                              <w:rPr>
                                <w:lang w:eastAsia="en-AU"/>
                              </w:rPr>
                            </w:pPr>
                            <w:r>
                              <w:rPr>
                                <w:lang w:eastAsia="en-AU"/>
                              </w:rPr>
                              <w:t xml:space="preserve">In the simplest case—with a baseline decline of 4.9 per cent each year and production remaining constant—borrowing will increase the facility’s baseline by </w:t>
                            </w:r>
                            <w:r w:rsidRPr="00057626">
                              <w:rPr>
                                <w:color w:val="FF0000"/>
                                <w:lang w:eastAsia="en-AU"/>
                              </w:rPr>
                              <w:t xml:space="preserve">20 </w:t>
                            </w:r>
                            <w:r>
                              <w:rPr>
                                <w:color w:val="FF0000"/>
                                <w:lang w:eastAsia="en-AU"/>
                              </w:rPr>
                              <w:t>thousand</w:t>
                            </w:r>
                            <w:r w:rsidRPr="00057626">
                              <w:rPr>
                                <w:color w:val="FF0000"/>
                                <w:lang w:eastAsia="en-AU"/>
                              </w:rPr>
                              <w:t xml:space="preserve"> tonnes </w:t>
                            </w:r>
                            <w:r>
                              <w:rPr>
                                <w:lang w:eastAsia="en-AU"/>
                              </w:rPr>
                              <w:t xml:space="preserve">in 2023-24, with the liability paid back in full in 2024-25 plus </w:t>
                            </w:r>
                            <w:r w:rsidRPr="00057626">
                              <w:rPr>
                                <w:color w:val="FF0000"/>
                                <w:lang w:eastAsia="en-AU"/>
                              </w:rPr>
                              <w:t>2 thousand tonnes interest</w:t>
                            </w:r>
                            <w:r>
                              <w:rPr>
                                <w:color w:val="FF0000"/>
                                <w:lang w:eastAsia="en-AU"/>
                              </w:rPr>
                              <w:t xml:space="preserve"> (10 per cent interest)</w:t>
                            </w:r>
                            <w:r>
                              <w:rPr>
                                <w:lang w:eastAsia="en-AU"/>
                              </w:rPr>
                              <w:t xml:space="preserve">.  </w:t>
                            </w:r>
                          </w:p>
                          <w:tbl>
                            <w:tblPr>
                              <w:tblStyle w:val="TableGrid"/>
                              <w:tblW w:w="8865" w:type="dxa"/>
                              <w:tblLook w:val="04A0" w:firstRow="1" w:lastRow="0" w:firstColumn="1" w:lastColumn="0" w:noHBand="0" w:noVBand="1"/>
                            </w:tblPr>
                            <w:tblGrid>
                              <w:gridCol w:w="1555"/>
                              <w:gridCol w:w="1134"/>
                              <w:gridCol w:w="1120"/>
                              <w:gridCol w:w="1148"/>
                              <w:gridCol w:w="992"/>
                              <w:gridCol w:w="1650"/>
                              <w:gridCol w:w="1266"/>
                            </w:tblGrid>
                            <w:tr w:rsidR="00706F16" w14:paraId="3CF30793" w14:textId="77777777" w:rsidTr="00065494">
                              <w:tc>
                                <w:tcPr>
                                  <w:tcW w:w="1555" w:type="dxa"/>
                                  <w:shd w:val="clear" w:color="auto" w:fill="B4C6E7" w:themeFill="accent1" w:themeFillTint="66"/>
                                </w:tcPr>
                                <w:p w14:paraId="19BB473D" w14:textId="77777777" w:rsidR="00706F16" w:rsidRDefault="00706F16" w:rsidP="005C2232">
                                  <w:r>
                                    <w:t>‘000s</w:t>
                                  </w:r>
                                </w:p>
                              </w:tc>
                              <w:tc>
                                <w:tcPr>
                                  <w:tcW w:w="1134" w:type="dxa"/>
                                  <w:shd w:val="clear" w:color="auto" w:fill="B4C6E7" w:themeFill="accent1" w:themeFillTint="66"/>
                                </w:tcPr>
                                <w:p w14:paraId="40A8B8AA" w14:textId="77777777" w:rsidR="00706F16" w:rsidRDefault="00706F16" w:rsidP="005C2232">
                                  <w:pPr>
                                    <w:jc w:val="center"/>
                                  </w:pPr>
                                  <w:r>
                                    <w:t>Emissions</w:t>
                                  </w:r>
                                </w:p>
                              </w:tc>
                              <w:tc>
                                <w:tcPr>
                                  <w:tcW w:w="1120" w:type="dxa"/>
                                  <w:shd w:val="clear" w:color="auto" w:fill="B4C6E7" w:themeFill="accent1" w:themeFillTint="66"/>
                                </w:tcPr>
                                <w:p w14:paraId="23C132DE" w14:textId="3A80A7BA" w:rsidR="00706F16" w:rsidRDefault="00706F16" w:rsidP="005C2232">
                                  <w:pPr>
                                    <w:jc w:val="center"/>
                                  </w:pPr>
                                  <w:r>
                                    <w:t>Initial baseline</w:t>
                                  </w:r>
                                </w:p>
                              </w:tc>
                              <w:tc>
                                <w:tcPr>
                                  <w:tcW w:w="1148" w:type="dxa"/>
                                  <w:shd w:val="clear" w:color="auto" w:fill="B4C6E7" w:themeFill="accent1" w:themeFillTint="66"/>
                                </w:tcPr>
                                <w:p w14:paraId="45C931B6" w14:textId="77777777" w:rsidR="00706F16" w:rsidRDefault="00706F16" w:rsidP="005C2232">
                                  <w:pPr>
                                    <w:jc w:val="center"/>
                                  </w:pPr>
                                  <w:r>
                                    <w:t>Borrowing</w:t>
                                  </w:r>
                                </w:p>
                              </w:tc>
                              <w:tc>
                                <w:tcPr>
                                  <w:tcW w:w="992" w:type="dxa"/>
                                  <w:shd w:val="clear" w:color="auto" w:fill="B4C6E7" w:themeFill="accent1" w:themeFillTint="66"/>
                                </w:tcPr>
                                <w:p w14:paraId="5284DC65" w14:textId="77777777" w:rsidR="00706F16" w:rsidRDefault="00706F16" w:rsidP="005C2232">
                                  <w:pPr>
                                    <w:jc w:val="center"/>
                                  </w:pPr>
                                  <w:r>
                                    <w:t>Interest</w:t>
                                  </w:r>
                                </w:p>
                              </w:tc>
                              <w:tc>
                                <w:tcPr>
                                  <w:tcW w:w="1650" w:type="dxa"/>
                                  <w:shd w:val="clear" w:color="auto" w:fill="B4C6E7" w:themeFill="accent1" w:themeFillTint="66"/>
                                </w:tcPr>
                                <w:p w14:paraId="4E080142" w14:textId="77777777" w:rsidR="00706F16" w:rsidRDefault="00706F16" w:rsidP="005C2232">
                                  <w:pPr>
                                    <w:jc w:val="center"/>
                                  </w:pPr>
                                  <w:r>
                                    <w:t>Adjusted baseline</w:t>
                                  </w:r>
                                </w:p>
                              </w:tc>
                              <w:tc>
                                <w:tcPr>
                                  <w:tcW w:w="1266" w:type="dxa"/>
                                  <w:shd w:val="clear" w:color="auto" w:fill="B4C6E7" w:themeFill="accent1" w:themeFillTint="66"/>
                                </w:tcPr>
                                <w:p w14:paraId="24251067" w14:textId="77777777" w:rsidR="00706F16" w:rsidRDefault="00706F16" w:rsidP="005C2232">
                                  <w:pPr>
                                    <w:jc w:val="center"/>
                                  </w:pPr>
                                  <w:r>
                                    <w:t>Compliance obligation</w:t>
                                  </w:r>
                                </w:p>
                              </w:tc>
                            </w:tr>
                            <w:tr w:rsidR="00706F16" w14:paraId="308E5E84" w14:textId="77777777" w:rsidTr="00065494">
                              <w:tc>
                                <w:tcPr>
                                  <w:tcW w:w="1555" w:type="dxa"/>
                                  <w:shd w:val="clear" w:color="auto" w:fill="D9E2F3" w:themeFill="accent1" w:themeFillTint="33"/>
                                </w:tcPr>
                                <w:p w14:paraId="5276692B" w14:textId="77777777" w:rsidR="00706F16" w:rsidRDefault="00706F16" w:rsidP="005C2232">
                                  <w:r>
                                    <w:t>2023-24</w:t>
                                  </w:r>
                                </w:p>
                              </w:tc>
                              <w:tc>
                                <w:tcPr>
                                  <w:tcW w:w="1134" w:type="dxa"/>
                                  <w:shd w:val="clear" w:color="auto" w:fill="D9E2F3" w:themeFill="accent1" w:themeFillTint="33"/>
                                </w:tcPr>
                                <w:p w14:paraId="23AD7D80" w14:textId="77777777" w:rsidR="00706F16" w:rsidRDefault="00706F16" w:rsidP="005C2232">
                                  <w:pPr>
                                    <w:jc w:val="center"/>
                                  </w:pPr>
                                  <w:r>
                                    <w:t>320.0</w:t>
                                  </w:r>
                                </w:p>
                              </w:tc>
                              <w:tc>
                                <w:tcPr>
                                  <w:tcW w:w="1120" w:type="dxa"/>
                                  <w:shd w:val="clear" w:color="auto" w:fill="D9E2F3" w:themeFill="accent1" w:themeFillTint="33"/>
                                </w:tcPr>
                                <w:p w14:paraId="51B45A09" w14:textId="77777777" w:rsidR="00706F16" w:rsidRDefault="00706F16" w:rsidP="005C2232">
                                  <w:pPr>
                                    <w:jc w:val="center"/>
                                  </w:pPr>
                                  <w:r>
                                    <w:t>300.0</w:t>
                                  </w:r>
                                </w:p>
                              </w:tc>
                              <w:tc>
                                <w:tcPr>
                                  <w:tcW w:w="1148" w:type="dxa"/>
                                  <w:shd w:val="clear" w:color="auto" w:fill="D9E2F3" w:themeFill="accent1" w:themeFillTint="33"/>
                                </w:tcPr>
                                <w:p w14:paraId="0EEEF080" w14:textId="77777777" w:rsidR="00706F16" w:rsidRDefault="00706F16" w:rsidP="005C2232">
                                  <w:pPr>
                                    <w:jc w:val="center"/>
                                  </w:pPr>
                                  <w:r>
                                    <w:t>20.0</w:t>
                                  </w:r>
                                </w:p>
                              </w:tc>
                              <w:tc>
                                <w:tcPr>
                                  <w:tcW w:w="992" w:type="dxa"/>
                                  <w:shd w:val="clear" w:color="auto" w:fill="D9E2F3" w:themeFill="accent1" w:themeFillTint="33"/>
                                </w:tcPr>
                                <w:p w14:paraId="7F8D212F" w14:textId="77777777" w:rsidR="00706F16" w:rsidRDefault="00706F16" w:rsidP="005C2232">
                                  <w:pPr>
                                    <w:jc w:val="center"/>
                                  </w:pPr>
                                  <w:r>
                                    <w:t>2.0</w:t>
                                  </w:r>
                                </w:p>
                              </w:tc>
                              <w:tc>
                                <w:tcPr>
                                  <w:tcW w:w="1650" w:type="dxa"/>
                                  <w:shd w:val="clear" w:color="auto" w:fill="D9E2F3" w:themeFill="accent1" w:themeFillTint="33"/>
                                </w:tcPr>
                                <w:p w14:paraId="643EFB3D" w14:textId="77777777" w:rsidR="00706F16" w:rsidRDefault="00706F16" w:rsidP="005C2232">
                                  <w:pPr>
                                    <w:jc w:val="center"/>
                                  </w:pPr>
                                  <w:r>
                                    <w:t xml:space="preserve">300.0 + </w:t>
                                  </w:r>
                                  <w:r w:rsidRPr="00057626">
                                    <w:rPr>
                                      <w:color w:val="FF0000"/>
                                    </w:rPr>
                                    <w:t>20</w:t>
                                  </w:r>
                                  <w:r>
                                    <w:rPr>
                                      <w:color w:val="FF0000"/>
                                    </w:rPr>
                                    <w:t>.0</w:t>
                                  </w:r>
                                  <w:r>
                                    <w:t xml:space="preserve"> = 320.0</w:t>
                                  </w:r>
                                </w:p>
                              </w:tc>
                              <w:tc>
                                <w:tcPr>
                                  <w:tcW w:w="1266" w:type="dxa"/>
                                  <w:shd w:val="clear" w:color="auto" w:fill="D9E2F3" w:themeFill="accent1" w:themeFillTint="33"/>
                                </w:tcPr>
                                <w:p w14:paraId="5F39340A" w14:textId="77777777" w:rsidR="00706F16" w:rsidRDefault="00706F16" w:rsidP="005C2232">
                                  <w:pPr>
                                    <w:jc w:val="center"/>
                                  </w:pPr>
                                  <w:r>
                                    <w:t>0</w:t>
                                  </w:r>
                                </w:p>
                              </w:tc>
                            </w:tr>
                            <w:tr w:rsidR="00706F16" w14:paraId="797C221A" w14:textId="77777777" w:rsidTr="00065494">
                              <w:tc>
                                <w:tcPr>
                                  <w:tcW w:w="1555" w:type="dxa"/>
                                  <w:shd w:val="clear" w:color="auto" w:fill="D9E2F3" w:themeFill="accent1" w:themeFillTint="33"/>
                                </w:tcPr>
                                <w:p w14:paraId="60CCC398" w14:textId="77777777" w:rsidR="00706F16" w:rsidRDefault="00706F16" w:rsidP="005C2232">
                                  <w:r>
                                    <w:t>2024-25</w:t>
                                  </w:r>
                                </w:p>
                              </w:tc>
                              <w:tc>
                                <w:tcPr>
                                  <w:tcW w:w="1134" w:type="dxa"/>
                                  <w:shd w:val="clear" w:color="auto" w:fill="D9E2F3" w:themeFill="accent1" w:themeFillTint="33"/>
                                </w:tcPr>
                                <w:p w14:paraId="2A788FA9" w14:textId="77777777" w:rsidR="00706F16" w:rsidRDefault="00706F16" w:rsidP="005C2232">
                                  <w:pPr>
                                    <w:jc w:val="center"/>
                                  </w:pPr>
                                  <w:r>
                                    <w:t>280.0</w:t>
                                  </w:r>
                                </w:p>
                              </w:tc>
                              <w:tc>
                                <w:tcPr>
                                  <w:tcW w:w="1120" w:type="dxa"/>
                                  <w:shd w:val="clear" w:color="auto" w:fill="D9E2F3" w:themeFill="accent1" w:themeFillTint="33"/>
                                </w:tcPr>
                                <w:p w14:paraId="6E2C2062" w14:textId="74AF4B28" w:rsidR="00706F16" w:rsidRDefault="00706F16" w:rsidP="005C2232">
                                  <w:pPr>
                                    <w:jc w:val="center"/>
                                  </w:pPr>
                                  <w:r>
                                    <w:t>285.3</w:t>
                                  </w:r>
                                </w:p>
                              </w:tc>
                              <w:tc>
                                <w:tcPr>
                                  <w:tcW w:w="1148" w:type="dxa"/>
                                  <w:shd w:val="clear" w:color="auto" w:fill="D9E2F3" w:themeFill="accent1" w:themeFillTint="33"/>
                                </w:tcPr>
                                <w:p w14:paraId="2DE32F36" w14:textId="77777777" w:rsidR="00706F16" w:rsidRDefault="00706F16" w:rsidP="005C2232">
                                  <w:pPr>
                                    <w:jc w:val="center"/>
                                  </w:pPr>
                                  <w:r>
                                    <w:t>0.0</w:t>
                                  </w:r>
                                </w:p>
                              </w:tc>
                              <w:tc>
                                <w:tcPr>
                                  <w:tcW w:w="992" w:type="dxa"/>
                                  <w:shd w:val="clear" w:color="auto" w:fill="D9E2F3" w:themeFill="accent1" w:themeFillTint="33"/>
                                </w:tcPr>
                                <w:p w14:paraId="7F96FBC3" w14:textId="77777777" w:rsidR="00706F16" w:rsidRDefault="00706F16" w:rsidP="005C2232">
                                  <w:pPr>
                                    <w:jc w:val="center"/>
                                  </w:pPr>
                                  <w:r>
                                    <w:t>0.0</w:t>
                                  </w:r>
                                </w:p>
                              </w:tc>
                              <w:tc>
                                <w:tcPr>
                                  <w:tcW w:w="1650" w:type="dxa"/>
                                  <w:shd w:val="clear" w:color="auto" w:fill="D9E2F3" w:themeFill="accent1" w:themeFillTint="33"/>
                                </w:tcPr>
                                <w:p w14:paraId="5E455D2D" w14:textId="3D51833D" w:rsidR="00706F16" w:rsidRDefault="00706F16" w:rsidP="005C2232">
                                  <w:pPr>
                                    <w:jc w:val="center"/>
                                  </w:pPr>
                                  <w:r>
                                    <w:t xml:space="preserve">285.3 – (20.0 + </w:t>
                                  </w:r>
                                  <w:r w:rsidRPr="00DE49EA">
                                    <w:rPr>
                                      <w:color w:val="FF0000"/>
                                    </w:rPr>
                                    <w:t>2</w:t>
                                  </w:r>
                                  <w:r>
                                    <w:rPr>
                                      <w:color w:val="FF0000"/>
                                    </w:rPr>
                                    <w:t>.0</w:t>
                                  </w:r>
                                  <w:r>
                                    <w:t>) = 263.3</w:t>
                                  </w:r>
                                </w:p>
                              </w:tc>
                              <w:tc>
                                <w:tcPr>
                                  <w:tcW w:w="1266" w:type="dxa"/>
                                  <w:shd w:val="clear" w:color="auto" w:fill="D9E2F3" w:themeFill="accent1" w:themeFillTint="33"/>
                                </w:tcPr>
                                <w:p w14:paraId="26147292" w14:textId="7B248530" w:rsidR="00706F16" w:rsidRDefault="00706F16" w:rsidP="005C2232">
                                  <w:pPr>
                                    <w:jc w:val="center"/>
                                  </w:pPr>
                                  <w:r>
                                    <w:t>16.7</w:t>
                                  </w:r>
                                </w:p>
                              </w:tc>
                            </w:tr>
                            <w:tr w:rsidR="00706F16" w14:paraId="1B1C5791" w14:textId="77777777" w:rsidTr="00065494">
                              <w:tc>
                                <w:tcPr>
                                  <w:tcW w:w="1555" w:type="dxa"/>
                                  <w:shd w:val="clear" w:color="auto" w:fill="D9E2F3" w:themeFill="accent1" w:themeFillTint="33"/>
                                </w:tcPr>
                                <w:p w14:paraId="2A354232" w14:textId="77777777" w:rsidR="00706F16" w:rsidRPr="008F38BB" w:rsidRDefault="00706F16" w:rsidP="005C2232">
                                  <w:pPr>
                                    <w:rPr>
                                      <w:b/>
                                    </w:rPr>
                                  </w:pPr>
                                  <w:r w:rsidRPr="008F38BB">
                                    <w:rPr>
                                      <w:b/>
                                    </w:rPr>
                                    <w:t>Total</w:t>
                                  </w:r>
                                </w:p>
                              </w:tc>
                              <w:tc>
                                <w:tcPr>
                                  <w:tcW w:w="1134" w:type="dxa"/>
                                  <w:shd w:val="clear" w:color="auto" w:fill="D9E2F3" w:themeFill="accent1" w:themeFillTint="33"/>
                                </w:tcPr>
                                <w:p w14:paraId="583950A7" w14:textId="77777777" w:rsidR="00706F16" w:rsidRPr="008F38BB" w:rsidRDefault="00706F16" w:rsidP="005C2232">
                                  <w:pPr>
                                    <w:jc w:val="center"/>
                                    <w:rPr>
                                      <w:b/>
                                    </w:rPr>
                                  </w:pPr>
                                  <w:r w:rsidRPr="008F38BB">
                                    <w:rPr>
                                      <w:b/>
                                    </w:rPr>
                                    <w:t>600</w:t>
                                  </w:r>
                                  <w:r>
                                    <w:rPr>
                                      <w:b/>
                                    </w:rPr>
                                    <w:t>.0</w:t>
                                  </w:r>
                                </w:p>
                              </w:tc>
                              <w:tc>
                                <w:tcPr>
                                  <w:tcW w:w="1120" w:type="dxa"/>
                                  <w:shd w:val="clear" w:color="auto" w:fill="D9E2F3" w:themeFill="accent1" w:themeFillTint="33"/>
                                </w:tcPr>
                                <w:p w14:paraId="29D8045D" w14:textId="4E854305" w:rsidR="00706F16" w:rsidRPr="008F38BB" w:rsidRDefault="00706F16" w:rsidP="005C2232">
                                  <w:pPr>
                                    <w:jc w:val="center"/>
                                    <w:rPr>
                                      <w:b/>
                                    </w:rPr>
                                  </w:pPr>
                                  <w:r>
                                    <w:rPr>
                                      <w:b/>
                                    </w:rPr>
                                    <w:t>585.3</w:t>
                                  </w:r>
                                </w:p>
                              </w:tc>
                              <w:tc>
                                <w:tcPr>
                                  <w:tcW w:w="1148" w:type="dxa"/>
                                  <w:shd w:val="clear" w:color="auto" w:fill="D9E2F3" w:themeFill="accent1" w:themeFillTint="33"/>
                                </w:tcPr>
                                <w:p w14:paraId="5F2C3AA0" w14:textId="77777777" w:rsidR="00706F16" w:rsidRPr="008F38BB" w:rsidRDefault="00706F16" w:rsidP="005C2232">
                                  <w:pPr>
                                    <w:jc w:val="center"/>
                                    <w:rPr>
                                      <w:b/>
                                    </w:rPr>
                                  </w:pPr>
                                  <w:r w:rsidRPr="008F38BB">
                                    <w:rPr>
                                      <w:b/>
                                    </w:rPr>
                                    <w:t>20</w:t>
                                  </w:r>
                                  <w:r>
                                    <w:rPr>
                                      <w:b/>
                                    </w:rPr>
                                    <w:t>.0</w:t>
                                  </w:r>
                                </w:p>
                              </w:tc>
                              <w:tc>
                                <w:tcPr>
                                  <w:tcW w:w="992" w:type="dxa"/>
                                  <w:shd w:val="clear" w:color="auto" w:fill="D9E2F3" w:themeFill="accent1" w:themeFillTint="33"/>
                                </w:tcPr>
                                <w:p w14:paraId="3ED1F9F8" w14:textId="77777777" w:rsidR="00706F16" w:rsidRPr="008F38BB" w:rsidRDefault="00706F16" w:rsidP="005C2232">
                                  <w:pPr>
                                    <w:jc w:val="center"/>
                                    <w:rPr>
                                      <w:b/>
                                    </w:rPr>
                                  </w:pPr>
                                  <w:r>
                                    <w:rPr>
                                      <w:b/>
                                    </w:rPr>
                                    <w:t>2.0</w:t>
                                  </w:r>
                                </w:p>
                              </w:tc>
                              <w:tc>
                                <w:tcPr>
                                  <w:tcW w:w="1650" w:type="dxa"/>
                                  <w:shd w:val="clear" w:color="auto" w:fill="D9E2F3" w:themeFill="accent1" w:themeFillTint="33"/>
                                </w:tcPr>
                                <w:p w14:paraId="186F83E0" w14:textId="6968E9AF" w:rsidR="00706F16" w:rsidRPr="008F38BB" w:rsidRDefault="00706F16" w:rsidP="005C2232">
                                  <w:pPr>
                                    <w:jc w:val="center"/>
                                    <w:rPr>
                                      <w:b/>
                                    </w:rPr>
                                  </w:pPr>
                                  <w:r w:rsidRPr="008F38BB">
                                    <w:rPr>
                                      <w:b/>
                                    </w:rPr>
                                    <w:t>5</w:t>
                                  </w:r>
                                  <w:r>
                                    <w:rPr>
                                      <w:b/>
                                    </w:rPr>
                                    <w:t>83.3</w:t>
                                  </w:r>
                                </w:p>
                              </w:tc>
                              <w:tc>
                                <w:tcPr>
                                  <w:tcW w:w="1266" w:type="dxa"/>
                                  <w:shd w:val="clear" w:color="auto" w:fill="D9E2F3" w:themeFill="accent1" w:themeFillTint="33"/>
                                </w:tcPr>
                                <w:p w14:paraId="0922E79E" w14:textId="78D9DABA" w:rsidR="00706F16" w:rsidRPr="008F38BB" w:rsidRDefault="00706F16" w:rsidP="005C2232">
                                  <w:pPr>
                                    <w:jc w:val="center"/>
                                    <w:rPr>
                                      <w:b/>
                                    </w:rPr>
                                  </w:pPr>
                                  <w:r>
                                    <w:rPr>
                                      <w:b/>
                                    </w:rPr>
                                    <w:t>16.7</w:t>
                                  </w:r>
                                </w:p>
                              </w:tc>
                            </w:tr>
                          </w:tbl>
                          <w:p w14:paraId="29580DE0" w14:textId="58A910F2" w:rsidR="00706F16" w:rsidRDefault="00706F16" w:rsidP="005C2232">
                            <w:pPr>
                              <w:spacing w:before="160"/>
                              <w:rPr>
                                <w:b/>
                              </w:rPr>
                            </w:pPr>
                            <w:r w:rsidRPr="0050380E">
                              <w:rPr>
                                <w:b/>
                              </w:rPr>
                              <w:t>Borrowing in subsequent year</w:t>
                            </w:r>
                            <w:r>
                              <w:rPr>
                                <w:b/>
                              </w:rPr>
                              <w:t>s</w:t>
                            </w:r>
                          </w:p>
                          <w:p w14:paraId="321906B2" w14:textId="223FD899" w:rsidR="00706F16" w:rsidRDefault="00706F16" w:rsidP="005C2232">
                            <w:pPr>
                              <w:spacing w:before="160"/>
                            </w:pPr>
                            <w:r>
                              <w:t xml:space="preserve">Suppose the emissions reduction project is delayed. It commences half way through 2024-25 and only delivers 20 thousand tonnes of abatement in 2024-25. The 2024-25 baseline will be adjusted to account for the previous year’s borrowing, including interest, but the facility will face an exceedance of 37 thousand tonnes (300 – 263 = 37). However, the facility can borrow up to 10 percent of its initial baseline again. In this case, the facility borrows </w:t>
                            </w:r>
                            <w:r w:rsidRPr="00065494">
                              <w:rPr>
                                <w:color w:val="FF0000"/>
                              </w:rPr>
                              <w:t>28.5 thousand tonnes</w:t>
                            </w:r>
                            <w:r>
                              <w:t xml:space="preserve">, reducing the exceedance to 8.2 thousand tonnes. </w:t>
                            </w:r>
                          </w:p>
                          <w:p w14:paraId="0522969C" w14:textId="474FA437" w:rsidR="00706F16" w:rsidRDefault="00706F16" w:rsidP="005C2232">
                            <w:pPr>
                              <w:spacing w:before="160"/>
                            </w:pPr>
                            <w:r>
                              <w:t xml:space="preserve">In 2025-26, the amount borrowed in the previous year plus </w:t>
                            </w:r>
                            <w:r w:rsidRPr="00065494">
                              <w:rPr>
                                <w:color w:val="538135" w:themeColor="accent6" w:themeShade="BF"/>
                              </w:rPr>
                              <w:t xml:space="preserve">2.9 thousand tonnes </w:t>
                            </w:r>
                            <w:r>
                              <w:t xml:space="preserve">of interest will be subtracted from the adjusted baseline. The facility borrows </w:t>
                            </w:r>
                            <w:r w:rsidRPr="00065494">
                              <w:rPr>
                                <w:color w:val="538135" w:themeColor="accent6" w:themeShade="BF"/>
                              </w:rPr>
                              <w:t xml:space="preserve">20.8 thousand tonnes </w:t>
                            </w:r>
                            <w:r>
                              <w:t>to help avoid exceedance in 2025-26.</w:t>
                            </w:r>
                          </w:p>
                          <w:p w14:paraId="4ED778C9" w14:textId="3201E6F8" w:rsidR="00706F16" w:rsidRPr="0050380E" w:rsidRDefault="00706F16" w:rsidP="005C2232">
                            <w:pPr>
                              <w:spacing w:before="160"/>
                            </w:pPr>
                            <w:r>
                              <w:t xml:space="preserve">In 2026-27, the amount borrowed in the previous year plus </w:t>
                            </w:r>
                            <w:r w:rsidRPr="00065494">
                              <w:rPr>
                                <w:color w:val="7030A0"/>
                              </w:rPr>
                              <w:t xml:space="preserve">2.1 thousand tonnes </w:t>
                            </w:r>
                            <w:r>
                              <w:t xml:space="preserve">of interest will again be subtracted from the adjusted baseline. The facility is credited with </w:t>
                            </w:r>
                            <w:r w:rsidRPr="00065494">
                              <w:rPr>
                                <w:color w:val="4472C4" w:themeColor="accent1"/>
                              </w:rPr>
                              <w:t xml:space="preserve">13 thousand </w:t>
                            </w:r>
                            <w:r>
                              <w:t>SMCs as its emissions are now under its adjusted baseline. Over the four years, the facility’s adjusted baselines and compliance obligations are equal to its total emissions.</w:t>
                            </w:r>
                          </w:p>
                          <w:tbl>
                            <w:tblPr>
                              <w:tblStyle w:val="TableGrid"/>
                              <w:tblW w:w="8865" w:type="dxa"/>
                              <w:tblLook w:val="04A0" w:firstRow="1" w:lastRow="0" w:firstColumn="1" w:lastColumn="0" w:noHBand="0" w:noVBand="1"/>
                            </w:tblPr>
                            <w:tblGrid>
                              <w:gridCol w:w="967"/>
                              <w:gridCol w:w="1090"/>
                              <w:gridCol w:w="1509"/>
                              <w:gridCol w:w="1230"/>
                              <w:gridCol w:w="917"/>
                              <w:gridCol w:w="1886"/>
                              <w:gridCol w:w="1266"/>
                            </w:tblGrid>
                            <w:tr w:rsidR="00706F16" w14:paraId="33C60D4C" w14:textId="77777777" w:rsidTr="00065494">
                              <w:tc>
                                <w:tcPr>
                                  <w:tcW w:w="988" w:type="dxa"/>
                                  <w:shd w:val="clear" w:color="auto" w:fill="B4C6E7" w:themeFill="accent1" w:themeFillTint="66"/>
                                </w:tcPr>
                                <w:p w14:paraId="3B418937" w14:textId="77777777" w:rsidR="00706F16" w:rsidRDefault="00706F16" w:rsidP="005C2232">
                                  <w:r>
                                    <w:t>‘000s</w:t>
                                  </w:r>
                                </w:p>
                              </w:tc>
                              <w:tc>
                                <w:tcPr>
                                  <w:tcW w:w="931" w:type="dxa"/>
                                  <w:shd w:val="clear" w:color="auto" w:fill="B4C6E7" w:themeFill="accent1" w:themeFillTint="66"/>
                                </w:tcPr>
                                <w:p w14:paraId="5C39E6C9" w14:textId="77777777" w:rsidR="00706F16" w:rsidRDefault="00706F16" w:rsidP="005C2232">
                                  <w:pPr>
                                    <w:jc w:val="center"/>
                                  </w:pPr>
                                  <w:r>
                                    <w:t>Emissions</w:t>
                                  </w:r>
                                </w:p>
                              </w:tc>
                              <w:tc>
                                <w:tcPr>
                                  <w:tcW w:w="1559" w:type="dxa"/>
                                  <w:shd w:val="clear" w:color="auto" w:fill="B4C6E7" w:themeFill="accent1" w:themeFillTint="66"/>
                                </w:tcPr>
                                <w:p w14:paraId="345784C3" w14:textId="0E069409" w:rsidR="00706F16" w:rsidRDefault="00706F16" w:rsidP="005C2232">
                                  <w:pPr>
                                    <w:jc w:val="center"/>
                                  </w:pPr>
                                  <w:r>
                                    <w:t>Initial baseline</w:t>
                                  </w:r>
                                </w:p>
                              </w:tc>
                              <w:tc>
                                <w:tcPr>
                                  <w:tcW w:w="1238" w:type="dxa"/>
                                  <w:shd w:val="clear" w:color="auto" w:fill="B4C6E7" w:themeFill="accent1" w:themeFillTint="66"/>
                                </w:tcPr>
                                <w:p w14:paraId="1C8CFB38" w14:textId="77777777" w:rsidR="00706F16" w:rsidRDefault="00706F16" w:rsidP="005C2232">
                                  <w:pPr>
                                    <w:jc w:val="center"/>
                                  </w:pPr>
                                  <w:r>
                                    <w:t>Borrowing</w:t>
                                  </w:r>
                                </w:p>
                              </w:tc>
                              <w:tc>
                                <w:tcPr>
                                  <w:tcW w:w="917" w:type="dxa"/>
                                  <w:shd w:val="clear" w:color="auto" w:fill="B4C6E7" w:themeFill="accent1" w:themeFillTint="66"/>
                                </w:tcPr>
                                <w:p w14:paraId="678E46AB" w14:textId="77777777" w:rsidR="00706F16" w:rsidRDefault="00706F16" w:rsidP="005C2232">
                                  <w:pPr>
                                    <w:jc w:val="center"/>
                                  </w:pPr>
                                  <w:r>
                                    <w:t>Interest</w:t>
                                  </w:r>
                                </w:p>
                              </w:tc>
                              <w:tc>
                                <w:tcPr>
                                  <w:tcW w:w="1966" w:type="dxa"/>
                                  <w:shd w:val="clear" w:color="auto" w:fill="B4C6E7" w:themeFill="accent1" w:themeFillTint="66"/>
                                </w:tcPr>
                                <w:p w14:paraId="5839F838" w14:textId="77777777" w:rsidR="00706F16" w:rsidRDefault="00706F16" w:rsidP="005C2232">
                                  <w:pPr>
                                    <w:jc w:val="center"/>
                                  </w:pPr>
                                  <w:r>
                                    <w:t>Adjusted baseline</w:t>
                                  </w:r>
                                </w:p>
                              </w:tc>
                              <w:tc>
                                <w:tcPr>
                                  <w:tcW w:w="1266" w:type="dxa"/>
                                  <w:shd w:val="clear" w:color="auto" w:fill="B4C6E7" w:themeFill="accent1" w:themeFillTint="66"/>
                                </w:tcPr>
                                <w:p w14:paraId="42F45DFA" w14:textId="77777777" w:rsidR="00706F16" w:rsidRDefault="00706F16" w:rsidP="005C2232">
                                  <w:pPr>
                                    <w:jc w:val="center"/>
                                  </w:pPr>
                                  <w:r>
                                    <w:t>Compliance obligation</w:t>
                                  </w:r>
                                </w:p>
                              </w:tc>
                            </w:tr>
                            <w:tr w:rsidR="00706F16" w14:paraId="52286311" w14:textId="77777777" w:rsidTr="00065494">
                              <w:tc>
                                <w:tcPr>
                                  <w:tcW w:w="988" w:type="dxa"/>
                                  <w:shd w:val="clear" w:color="auto" w:fill="D9E2F3" w:themeFill="accent1" w:themeFillTint="33"/>
                                </w:tcPr>
                                <w:p w14:paraId="4FF8EF68" w14:textId="77777777" w:rsidR="00706F16" w:rsidRDefault="00706F16" w:rsidP="005C2232">
                                  <w:r>
                                    <w:t>2023-24</w:t>
                                  </w:r>
                                </w:p>
                              </w:tc>
                              <w:tc>
                                <w:tcPr>
                                  <w:tcW w:w="931" w:type="dxa"/>
                                  <w:shd w:val="clear" w:color="auto" w:fill="D9E2F3" w:themeFill="accent1" w:themeFillTint="33"/>
                                </w:tcPr>
                                <w:p w14:paraId="1C05379C" w14:textId="77777777" w:rsidR="00706F16" w:rsidRDefault="00706F16" w:rsidP="005C2232">
                                  <w:pPr>
                                    <w:jc w:val="center"/>
                                  </w:pPr>
                                  <w:r>
                                    <w:t>320.0</w:t>
                                  </w:r>
                                </w:p>
                              </w:tc>
                              <w:tc>
                                <w:tcPr>
                                  <w:tcW w:w="1559" w:type="dxa"/>
                                  <w:shd w:val="clear" w:color="auto" w:fill="D9E2F3" w:themeFill="accent1" w:themeFillTint="33"/>
                                </w:tcPr>
                                <w:p w14:paraId="0F331273" w14:textId="77777777" w:rsidR="00706F16" w:rsidRDefault="00706F16" w:rsidP="005C2232">
                                  <w:pPr>
                                    <w:jc w:val="center"/>
                                  </w:pPr>
                                  <w:r>
                                    <w:t>300.0</w:t>
                                  </w:r>
                                </w:p>
                              </w:tc>
                              <w:tc>
                                <w:tcPr>
                                  <w:tcW w:w="1238" w:type="dxa"/>
                                  <w:shd w:val="clear" w:color="auto" w:fill="D9E2F3" w:themeFill="accent1" w:themeFillTint="33"/>
                                </w:tcPr>
                                <w:p w14:paraId="355770CA" w14:textId="77777777" w:rsidR="00706F16" w:rsidRDefault="00706F16" w:rsidP="005C2232">
                                  <w:pPr>
                                    <w:jc w:val="center"/>
                                  </w:pPr>
                                  <w:r>
                                    <w:t>20.0</w:t>
                                  </w:r>
                                </w:p>
                              </w:tc>
                              <w:tc>
                                <w:tcPr>
                                  <w:tcW w:w="917" w:type="dxa"/>
                                  <w:shd w:val="clear" w:color="auto" w:fill="D9E2F3" w:themeFill="accent1" w:themeFillTint="33"/>
                                </w:tcPr>
                                <w:p w14:paraId="768EB2E5" w14:textId="77777777" w:rsidR="00706F16" w:rsidRDefault="00706F16" w:rsidP="005C2232">
                                  <w:pPr>
                                    <w:jc w:val="center"/>
                                  </w:pPr>
                                  <w:r>
                                    <w:t>2.0</w:t>
                                  </w:r>
                                </w:p>
                              </w:tc>
                              <w:tc>
                                <w:tcPr>
                                  <w:tcW w:w="1966" w:type="dxa"/>
                                  <w:shd w:val="clear" w:color="auto" w:fill="D9E2F3" w:themeFill="accent1" w:themeFillTint="33"/>
                                </w:tcPr>
                                <w:p w14:paraId="5B720043" w14:textId="77777777" w:rsidR="00706F16" w:rsidRDefault="00706F16" w:rsidP="005C2232">
                                  <w:pPr>
                                    <w:jc w:val="center"/>
                                  </w:pPr>
                                  <w:r>
                                    <w:t>300.0 + 20.0 = 320.0</w:t>
                                  </w:r>
                                </w:p>
                              </w:tc>
                              <w:tc>
                                <w:tcPr>
                                  <w:tcW w:w="1266" w:type="dxa"/>
                                  <w:shd w:val="clear" w:color="auto" w:fill="D9E2F3" w:themeFill="accent1" w:themeFillTint="33"/>
                                </w:tcPr>
                                <w:p w14:paraId="3F80FAF5" w14:textId="77777777" w:rsidR="00706F16" w:rsidRDefault="00706F16" w:rsidP="005C2232">
                                  <w:pPr>
                                    <w:jc w:val="center"/>
                                  </w:pPr>
                                  <w:r>
                                    <w:t>0.0</w:t>
                                  </w:r>
                                </w:p>
                              </w:tc>
                            </w:tr>
                            <w:tr w:rsidR="00706F16" w14:paraId="7B05DFBC" w14:textId="77777777" w:rsidTr="00065494">
                              <w:tc>
                                <w:tcPr>
                                  <w:tcW w:w="988" w:type="dxa"/>
                                  <w:shd w:val="clear" w:color="auto" w:fill="D9E2F3" w:themeFill="accent1" w:themeFillTint="33"/>
                                </w:tcPr>
                                <w:p w14:paraId="726D69C0" w14:textId="77777777" w:rsidR="00706F16" w:rsidRDefault="00706F16" w:rsidP="005C2232">
                                  <w:r>
                                    <w:t>2024-25</w:t>
                                  </w:r>
                                </w:p>
                              </w:tc>
                              <w:tc>
                                <w:tcPr>
                                  <w:tcW w:w="931" w:type="dxa"/>
                                  <w:shd w:val="clear" w:color="auto" w:fill="D9E2F3" w:themeFill="accent1" w:themeFillTint="33"/>
                                </w:tcPr>
                                <w:p w14:paraId="6A7EDE23" w14:textId="77777777" w:rsidR="00706F16" w:rsidRDefault="00706F16" w:rsidP="005C2232">
                                  <w:pPr>
                                    <w:jc w:val="center"/>
                                  </w:pPr>
                                  <w:r>
                                    <w:t>300.0</w:t>
                                  </w:r>
                                </w:p>
                              </w:tc>
                              <w:tc>
                                <w:tcPr>
                                  <w:tcW w:w="1559" w:type="dxa"/>
                                  <w:shd w:val="clear" w:color="auto" w:fill="D9E2F3" w:themeFill="accent1" w:themeFillTint="33"/>
                                </w:tcPr>
                                <w:p w14:paraId="201CDA6E" w14:textId="2D69CBE0" w:rsidR="00706F16" w:rsidRDefault="00706F16" w:rsidP="005C2232">
                                  <w:pPr>
                                    <w:jc w:val="center"/>
                                  </w:pPr>
                                  <w:r>
                                    <w:t>285.3</w:t>
                                  </w:r>
                                </w:p>
                              </w:tc>
                              <w:tc>
                                <w:tcPr>
                                  <w:tcW w:w="1238" w:type="dxa"/>
                                  <w:shd w:val="clear" w:color="auto" w:fill="D9E2F3" w:themeFill="accent1" w:themeFillTint="33"/>
                                </w:tcPr>
                                <w:p w14:paraId="0DF46F27" w14:textId="4EBF2977" w:rsidR="00706F16" w:rsidRDefault="00706F16" w:rsidP="005C2232">
                                  <w:pPr>
                                    <w:jc w:val="center"/>
                                  </w:pPr>
                                  <w:r w:rsidRPr="0050380E">
                                    <w:rPr>
                                      <w:color w:val="FF0000"/>
                                    </w:rPr>
                                    <w:t>2</w:t>
                                  </w:r>
                                  <w:r>
                                    <w:rPr>
                                      <w:color w:val="FF0000"/>
                                    </w:rPr>
                                    <w:t>8.5</w:t>
                                  </w:r>
                                </w:p>
                              </w:tc>
                              <w:tc>
                                <w:tcPr>
                                  <w:tcW w:w="917" w:type="dxa"/>
                                  <w:shd w:val="clear" w:color="auto" w:fill="D9E2F3" w:themeFill="accent1" w:themeFillTint="33"/>
                                </w:tcPr>
                                <w:p w14:paraId="7558DFB1" w14:textId="77777777" w:rsidR="00706F16" w:rsidRDefault="00706F16" w:rsidP="005C2232">
                                  <w:pPr>
                                    <w:jc w:val="center"/>
                                  </w:pPr>
                                  <w:r w:rsidRPr="00065494">
                                    <w:rPr>
                                      <w:color w:val="538135" w:themeColor="accent6" w:themeShade="BF"/>
                                    </w:rPr>
                                    <w:t>2.9</w:t>
                                  </w:r>
                                </w:p>
                              </w:tc>
                              <w:tc>
                                <w:tcPr>
                                  <w:tcW w:w="1966" w:type="dxa"/>
                                  <w:shd w:val="clear" w:color="auto" w:fill="D9E2F3" w:themeFill="accent1" w:themeFillTint="33"/>
                                </w:tcPr>
                                <w:p w14:paraId="6D8A6FCD" w14:textId="1C797CEA" w:rsidR="00706F16" w:rsidRDefault="00706F16" w:rsidP="005C2232">
                                  <w:pPr>
                                    <w:jc w:val="center"/>
                                  </w:pPr>
                                  <w:r>
                                    <w:t xml:space="preserve">285.3 – (20 + 2) </w:t>
                                  </w:r>
                                  <w:r w:rsidRPr="0050380E">
                                    <w:rPr>
                                      <w:color w:val="FF0000"/>
                                    </w:rPr>
                                    <w:t>+ 2</w:t>
                                  </w:r>
                                  <w:r>
                                    <w:rPr>
                                      <w:color w:val="FF0000"/>
                                    </w:rPr>
                                    <w:t>8.5</w:t>
                                  </w:r>
                                  <w:r w:rsidRPr="0050380E">
                                    <w:rPr>
                                      <w:color w:val="FF0000"/>
                                    </w:rPr>
                                    <w:t xml:space="preserve"> </w:t>
                                  </w:r>
                                  <w:r>
                                    <w:t>= 291.8</w:t>
                                  </w:r>
                                </w:p>
                              </w:tc>
                              <w:tc>
                                <w:tcPr>
                                  <w:tcW w:w="1266" w:type="dxa"/>
                                  <w:shd w:val="clear" w:color="auto" w:fill="D9E2F3" w:themeFill="accent1" w:themeFillTint="33"/>
                                </w:tcPr>
                                <w:p w14:paraId="72EFF7E4" w14:textId="229135F2" w:rsidR="00706F16" w:rsidRDefault="00706F16" w:rsidP="005C2232">
                                  <w:pPr>
                                    <w:jc w:val="center"/>
                                  </w:pPr>
                                  <w:r>
                                    <w:t>8.2</w:t>
                                  </w:r>
                                </w:p>
                              </w:tc>
                            </w:tr>
                            <w:tr w:rsidR="00706F16" w14:paraId="7F483583" w14:textId="77777777" w:rsidTr="00065494">
                              <w:tc>
                                <w:tcPr>
                                  <w:tcW w:w="988" w:type="dxa"/>
                                  <w:shd w:val="clear" w:color="auto" w:fill="D9E2F3" w:themeFill="accent1" w:themeFillTint="33"/>
                                </w:tcPr>
                                <w:p w14:paraId="2B651D85" w14:textId="77777777" w:rsidR="00706F16" w:rsidRDefault="00706F16" w:rsidP="005C2232">
                                  <w:r>
                                    <w:t>2025-26</w:t>
                                  </w:r>
                                </w:p>
                              </w:tc>
                              <w:tc>
                                <w:tcPr>
                                  <w:tcW w:w="931" w:type="dxa"/>
                                  <w:shd w:val="clear" w:color="auto" w:fill="D9E2F3" w:themeFill="accent1" w:themeFillTint="33"/>
                                </w:tcPr>
                                <w:p w14:paraId="612A3249" w14:textId="37CF4594" w:rsidR="00706F16" w:rsidRDefault="00706F16" w:rsidP="005C2232">
                                  <w:pPr>
                                    <w:jc w:val="center"/>
                                  </w:pPr>
                                  <w:r>
                                    <w:t>260.0</w:t>
                                  </w:r>
                                </w:p>
                              </w:tc>
                              <w:tc>
                                <w:tcPr>
                                  <w:tcW w:w="1559" w:type="dxa"/>
                                  <w:shd w:val="clear" w:color="auto" w:fill="D9E2F3" w:themeFill="accent1" w:themeFillTint="33"/>
                                </w:tcPr>
                                <w:p w14:paraId="2AD7F27D" w14:textId="25AD0F3E" w:rsidR="00706F16" w:rsidRDefault="00706F16" w:rsidP="005C2232">
                                  <w:pPr>
                                    <w:jc w:val="center"/>
                                  </w:pPr>
                                  <w:r>
                                    <w:t>270.6</w:t>
                                  </w:r>
                                </w:p>
                              </w:tc>
                              <w:tc>
                                <w:tcPr>
                                  <w:tcW w:w="1238" w:type="dxa"/>
                                  <w:shd w:val="clear" w:color="auto" w:fill="D9E2F3" w:themeFill="accent1" w:themeFillTint="33"/>
                                </w:tcPr>
                                <w:p w14:paraId="397E6254" w14:textId="7B2E7425" w:rsidR="00706F16" w:rsidRDefault="00706F16" w:rsidP="005C2232">
                                  <w:pPr>
                                    <w:jc w:val="center"/>
                                  </w:pPr>
                                  <w:r w:rsidRPr="00065494">
                                    <w:rPr>
                                      <w:color w:val="538135" w:themeColor="accent6" w:themeShade="BF"/>
                                    </w:rPr>
                                    <w:t>20.8</w:t>
                                  </w:r>
                                </w:p>
                              </w:tc>
                              <w:tc>
                                <w:tcPr>
                                  <w:tcW w:w="917" w:type="dxa"/>
                                  <w:shd w:val="clear" w:color="auto" w:fill="D9E2F3" w:themeFill="accent1" w:themeFillTint="33"/>
                                </w:tcPr>
                                <w:p w14:paraId="408EFDD8" w14:textId="77777777" w:rsidR="00706F16" w:rsidDel="00FA0DBF" w:rsidRDefault="00706F16" w:rsidP="005C2232">
                                  <w:pPr>
                                    <w:jc w:val="center"/>
                                  </w:pPr>
                                  <w:r w:rsidRPr="00065494">
                                    <w:rPr>
                                      <w:color w:val="7030A0"/>
                                    </w:rPr>
                                    <w:t>2.1</w:t>
                                  </w:r>
                                </w:p>
                              </w:tc>
                              <w:tc>
                                <w:tcPr>
                                  <w:tcW w:w="1966" w:type="dxa"/>
                                  <w:shd w:val="clear" w:color="auto" w:fill="D9E2F3" w:themeFill="accent1" w:themeFillTint="33"/>
                                </w:tcPr>
                                <w:p w14:paraId="48AD0C54" w14:textId="559397BB" w:rsidR="00706F16" w:rsidRDefault="00706F16" w:rsidP="005C2232">
                                  <w:pPr>
                                    <w:jc w:val="center"/>
                                  </w:pPr>
                                  <w:r>
                                    <w:t>270.6 – (</w:t>
                                  </w:r>
                                  <w:r w:rsidRPr="00065494">
                                    <w:rPr>
                                      <w:color w:val="FF0000"/>
                                    </w:rPr>
                                    <w:t xml:space="preserve">28.5 </w:t>
                                  </w:r>
                                  <w:r>
                                    <w:t xml:space="preserve">+ </w:t>
                                  </w:r>
                                  <w:r w:rsidRPr="00065494">
                                    <w:rPr>
                                      <w:color w:val="538135" w:themeColor="accent6" w:themeShade="BF"/>
                                    </w:rPr>
                                    <w:t>2.9</w:t>
                                  </w:r>
                                  <w:r>
                                    <w:t xml:space="preserve">) + </w:t>
                                  </w:r>
                                  <w:r w:rsidRPr="000949A4">
                                    <w:rPr>
                                      <w:color w:val="538135" w:themeColor="accent6" w:themeShade="BF"/>
                                    </w:rPr>
                                    <w:t>20.8</w:t>
                                  </w:r>
                                  <w:r>
                                    <w:rPr>
                                      <w:color w:val="538135" w:themeColor="accent6" w:themeShade="BF"/>
                                    </w:rPr>
                                    <w:t xml:space="preserve"> </w:t>
                                  </w:r>
                                  <w:r>
                                    <w:t>= 260.0</w:t>
                                  </w:r>
                                </w:p>
                              </w:tc>
                              <w:tc>
                                <w:tcPr>
                                  <w:tcW w:w="1266" w:type="dxa"/>
                                  <w:shd w:val="clear" w:color="auto" w:fill="D9E2F3" w:themeFill="accent1" w:themeFillTint="33"/>
                                </w:tcPr>
                                <w:p w14:paraId="31BEC995" w14:textId="5DD588EE" w:rsidR="00706F16" w:rsidRDefault="00706F16" w:rsidP="005C2232">
                                  <w:pPr>
                                    <w:jc w:val="center"/>
                                  </w:pPr>
                                  <w:r>
                                    <w:t>0.0</w:t>
                                  </w:r>
                                </w:p>
                              </w:tc>
                            </w:tr>
                            <w:tr w:rsidR="00706F16" w14:paraId="62057763" w14:textId="77777777" w:rsidTr="00065494">
                              <w:tc>
                                <w:tcPr>
                                  <w:tcW w:w="988" w:type="dxa"/>
                                  <w:shd w:val="clear" w:color="auto" w:fill="D9E2F3" w:themeFill="accent1" w:themeFillTint="33"/>
                                </w:tcPr>
                                <w:p w14:paraId="1039E15F" w14:textId="77777777" w:rsidR="00706F16" w:rsidRDefault="00706F16" w:rsidP="005C2232">
                                  <w:r>
                                    <w:t>2026-27</w:t>
                                  </w:r>
                                </w:p>
                              </w:tc>
                              <w:tc>
                                <w:tcPr>
                                  <w:tcW w:w="931" w:type="dxa"/>
                                  <w:shd w:val="clear" w:color="auto" w:fill="D9E2F3" w:themeFill="accent1" w:themeFillTint="33"/>
                                </w:tcPr>
                                <w:p w14:paraId="1787B9E1" w14:textId="77777777" w:rsidR="00706F16" w:rsidRDefault="00706F16" w:rsidP="005C2232">
                                  <w:pPr>
                                    <w:jc w:val="center"/>
                                  </w:pPr>
                                  <w:r>
                                    <w:t>220.0</w:t>
                                  </w:r>
                                </w:p>
                              </w:tc>
                              <w:tc>
                                <w:tcPr>
                                  <w:tcW w:w="1559" w:type="dxa"/>
                                  <w:shd w:val="clear" w:color="auto" w:fill="D9E2F3" w:themeFill="accent1" w:themeFillTint="33"/>
                                </w:tcPr>
                                <w:p w14:paraId="4CF2A156" w14:textId="77777777" w:rsidR="00706F16" w:rsidDel="008B0601" w:rsidRDefault="00706F16" w:rsidP="005C2232">
                                  <w:pPr>
                                    <w:jc w:val="center"/>
                                  </w:pPr>
                                  <w:r>
                                    <w:t>255.9</w:t>
                                  </w:r>
                                </w:p>
                              </w:tc>
                              <w:tc>
                                <w:tcPr>
                                  <w:tcW w:w="1238" w:type="dxa"/>
                                  <w:shd w:val="clear" w:color="auto" w:fill="D9E2F3" w:themeFill="accent1" w:themeFillTint="33"/>
                                </w:tcPr>
                                <w:p w14:paraId="13244DB7" w14:textId="77777777" w:rsidR="00706F16" w:rsidRDefault="00706F16" w:rsidP="005C2232">
                                  <w:pPr>
                                    <w:jc w:val="center"/>
                                  </w:pPr>
                                  <w:r>
                                    <w:t>0.0</w:t>
                                  </w:r>
                                </w:p>
                              </w:tc>
                              <w:tc>
                                <w:tcPr>
                                  <w:tcW w:w="917" w:type="dxa"/>
                                  <w:shd w:val="clear" w:color="auto" w:fill="D9E2F3" w:themeFill="accent1" w:themeFillTint="33"/>
                                </w:tcPr>
                                <w:p w14:paraId="72C6276A" w14:textId="77777777" w:rsidR="00706F16" w:rsidDel="00FA0DBF" w:rsidRDefault="00706F16" w:rsidP="005C2232">
                                  <w:pPr>
                                    <w:jc w:val="center"/>
                                  </w:pPr>
                                  <w:r>
                                    <w:t>0.0</w:t>
                                  </w:r>
                                </w:p>
                              </w:tc>
                              <w:tc>
                                <w:tcPr>
                                  <w:tcW w:w="1966" w:type="dxa"/>
                                  <w:shd w:val="clear" w:color="auto" w:fill="D9E2F3" w:themeFill="accent1" w:themeFillTint="33"/>
                                </w:tcPr>
                                <w:p w14:paraId="36E307B7" w14:textId="77777777" w:rsidR="00706F16" w:rsidDel="00FA0DBF" w:rsidRDefault="00706F16" w:rsidP="005C2232">
                                  <w:pPr>
                                    <w:jc w:val="center"/>
                                  </w:pPr>
                                  <w:r>
                                    <w:t>255.9 – (</w:t>
                                  </w:r>
                                  <w:r w:rsidRPr="00065494">
                                    <w:rPr>
                                      <w:color w:val="538135" w:themeColor="accent6" w:themeShade="BF"/>
                                    </w:rPr>
                                    <w:t xml:space="preserve">20.8 </w:t>
                                  </w:r>
                                  <w:r>
                                    <w:t xml:space="preserve">+ </w:t>
                                  </w:r>
                                  <w:r w:rsidRPr="00065494">
                                    <w:rPr>
                                      <w:color w:val="7030A0"/>
                                    </w:rPr>
                                    <w:t>2.1</w:t>
                                  </w:r>
                                  <w:r>
                                    <w:t>) = 233.0</w:t>
                                  </w:r>
                                </w:p>
                              </w:tc>
                              <w:tc>
                                <w:tcPr>
                                  <w:tcW w:w="1266" w:type="dxa"/>
                                  <w:shd w:val="clear" w:color="auto" w:fill="D9E2F3" w:themeFill="accent1" w:themeFillTint="33"/>
                                </w:tcPr>
                                <w:p w14:paraId="3EABDB36" w14:textId="77777777" w:rsidR="00706F16" w:rsidRDefault="00706F16" w:rsidP="005C2232">
                                  <w:pPr>
                                    <w:jc w:val="center"/>
                                  </w:pPr>
                                  <w:r w:rsidRPr="00065494">
                                    <w:rPr>
                                      <w:color w:val="4472C4" w:themeColor="accent1"/>
                                    </w:rPr>
                                    <w:t>-13.0</w:t>
                                  </w:r>
                                </w:p>
                              </w:tc>
                            </w:tr>
                            <w:tr w:rsidR="00706F16" w14:paraId="75F0F23B" w14:textId="77777777" w:rsidTr="00065494">
                              <w:tc>
                                <w:tcPr>
                                  <w:tcW w:w="988" w:type="dxa"/>
                                  <w:shd w:val="clear" w:color="auto" w:fill="D9E2F3" w:themeFill="accent1" w:themeFillTint="33"/>
                                </w:tcPr>
                                <w:p w14:paraId="06C209D4" w14:textId="77777777" w:rsidR="00706F16" w:rsidRPr="00097556" w:rsidRDefault="00706F16" w:rsidP="005C2232">
                                  <w:pPr>
                                    <w:rPr>
                                      <w:b/>
                                    </w:rPr>
                                  </w:pPr>
                                  <w:r w:rsidRPr="00097556">
                                    <w:rPr>
                                      <w:b/>
                                    </w:rPr>
                                    <w:t>Total</w:t>
                                  </w:r>
                                </w:p>
                              </w:tc>
                              <w:tc>
                                <w:tcPr>
                                  <w:tcW w:w="931" w:type="dxa"/>
                                  <w:shd w:val="clear" w:color="auto" w:fill="D9E2F3" w:themeFill="accent1" w:themeFillTint="33"/>
                                </w:tcPr>
                                <w:p w14:paraId="5CFFBCF7" w14:textId="63F30DA4" w:rsidR="00706F16" w:rsidRPr="00097556" w:rsidRDefault="00706F16" w:rsidP="005C2232">
                                  <w:pPr>
                                    <w:jc w:val="center"/>
                                    <w:rPr>
                                      <w:b/>
                                    </w:rPr>
                                  </w:pPr>
                                  <w:r>
                                    <w:rPr>
                                      <w:b/>
                                    </w:rPr>
                                    <w:t>1,1</w:t>
                                  </w:r>
                                  <w:r w:rsidRPr="00097556">
                                    <w:rPr>
                                      <w:b/>
                                    </w:rPr>
                                    <w:t>00</w:t>
                                  </w:r>
                                  <w:r>
                                    <w:rPr>
                                      <w:b/>
                                    </w:rPr>
                                    <w:t>.0</w:t>
                                  </w:r>
                                </w:p>
                              </w:tc>
                              <w:tc>
                                <w:tcPr>
                                  <w:tcW w:w="1559" w:type="dxa"/>
                                  <w:shd w:val="clear" w:color="auto" w:fill="D9E2F3" w:themeFill="accent1" w:themeFillTint="33"/>
                                </w:tcPr>
                                <w:p w14:paraId="5A013D59" w14:textId="26DDFFAE" w:rsidR="00706F16" w:rsidRPr="00097556" w:rsidRDefault="00706F16" w:rsidP="005C2232">
                                  <w:pPr>
                                    <w:jc w:val="center"/>
                                    <w:rPr>
                                      <w:b/>
                                    </w:rPr>
                                  </w:pPr>
                                  <w:r>
                                    <w:rPr>
                                      <w:b/>
                                    </w:rPr>
                                    <w:t>1,111.8</w:t>
                                  </w:r>
                                </w:p>
                              </w:tc>
                              <w:tc>
                                <w:tcPr>
                                  <w:tcW w:w="1238" w:type="dxa"/>
                                  <w:shd w:val="clear" w:color="auto" w:fill="D9E2F3" w:themeFill="accent1" w:themeFillTint="33"/>
                                </w:tcPr>
                                <w:p w14:paraId="7C9B7591" w14:textId="2DA66B7D" w:rsidR="00706F16" w:rsidRPr="00097556" w:rsidRDefault="00706F16" w:rsidP="005C2232">
                                  <w:pPr>
                                    <w:jc w:val="center"/>
                                    <w:rPr>
                                      <w:b/>
                                    </w:rPr>
                                  </w:pPr>
                                  <w:r>
                                    <w:rPr>
                                      <w:b/>
                                    </w:rPr>
                                    <w:t>69.3</w:t>
                                  </w:r>
                                </w:p>
                              </w:tc>
                              <w:tc>
                                <w:tcPr>
                                  <w:tcW w:w="917" w:type="dxa"/>
                                  <w:shd w:val="clear" w:color="auto" w:fill="D9E2F3" w:themeFill="accent1" w:themeFillTint="33"/>
                                </w:tcPr>
                                <w:p w14:paraId="72FA2DA4" w14:textId="77777777" w:rsidR="00706F16" w:rsidRDefault="00706F16" w:rsidP="005C2232">
                                  <w:pPr>
                                    <w:jc w:val="center"/>
                                    <w:rPr>
                                      <w:b/>
                                    </w:rPr>
                                  </w:pPr>
                                  <w:r w:rsidRPr="0013304D">
                                    <w:rPr>
                                      <w:b/>
                                    </w:rPr>
                                    <w:t>6.9</w:t>
                                  </w:r>
                                </w:p>
                              </w:tc>
                              <w:tc>
                                <w:tcPr>
                                  <w:tcW w:w="1966" w:type="dxa"/>
                                  <w:shd w:val="clear" w:color="auto" w:fill="D9E2F3" w:themeFill="accent1" w:themeFillTint="33"/>
                                </w:tcPr>
                                <w:p w14:paraId="02B5D110" w14:textId="06CA983F" w:rsidR="00706F16" w:rsidRPr="00097556" w:rsidRDefault="00706F16" w:rsidP="005C2232">
                                  <w:pPr>
                                    <w:jc w:val="center"/>
                                    <w:rPr>
                                      <w:b/>
                                    </w:rPr>
                                  </w:pPr>
                                  <w:r>
                                    <w:rPr>
                                      <w:b/>
                                    </w:rPr>
                                    <w:t>1,104.9</w:t>
                                  </w:r>
                                </w:p>
                              </w:tc>
                              <w:tc>
                                <w:tcPr>
                                  <w:tcW w:w="1266" w:type="dxa"/>
                                  <w:shd w:val="clear" w:color="auto" w:fill="D9E2F3" w:themeFill="accent1" w:themeFillTint="33"/>
                                </w:tcPr>
                                <w:p w14:paraId="1421F642" w14:textId="04AC5F00" w:rsidR="00706F16" w:rsidRPr="00097556" w:rsidRDefault="00706F16" w:rsidP="005C2232">
                                  <w:pPr>
                                    <w:jc w:val="center"/>
                                    <w:rPr>
                                      <w:b/>
                                    </w:rPr>
                                  </w:pPr>
                                  <w:r>
                                    <w:rPr>
                                      <w:b/>
                                    </w:rPr>
                                    <w:t>-4.9</w:t>
                                  </w:r>
                                </w:p>
                              </w:tc>
                            </w:tr>
                          </w:tbl>
                          <w:p w14:paraId="63BA641F" w14:textId="77777777" w:rsidR="00706F16" w:rsidRDefault="00706F16" w:rsidP="005B7A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BF67E" id="Text Box 8" o:spid="_x0000_s1027" type="#_x0000_t202" style="position:absolute;margin-left:-9pt;margin-top:0;width:478.5pt;height:71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" fillcolor="#e2efd9 [665]" stroked="f" strokeweight=".5pt">
                <v:textbox>
                  <w:txbxContent>
                    <w:p w14:paraId="73A2D231" w14:textId="77777777" w:rsidR="00706F16" w:rsidRDefault="00706F16" w:rsidP="005C2232">
                      <w:pPr>
                        <w:pStyle w:val="Caption"/>
                      </w:pPr>
                      <w:r>
                        <w:t>Box 4.2: Borrowing—an illustrative example</w:t>
                      </w:r>
                    </w:p>
                    <w:p w14:paraId="486685AE" w14:textId="77777777" w:rsidR="00706F16" w:rsidRPr="0050380E" w:rsidRDefault="00706F16" w:rsidP="005C2232">
                      <w:pPr>
                        <w:rPr>
                          <w:b/>
                          <w:lang w:eastAsia="en-AU"/>
                        </w:rPr>
                      </w:pPr>
                      <w:r w:rsidRPr="0050380E">
                        <w:rPr>
                          <w:b/>
                          <w:lang w:eastAsia="en-AU"/>
                        </w:rPr>
                        <w:t>Borrowing in a single year</w:t>
                      </w:r>
                    </w:p>
                    <w:p w14:paraId="202342FF" w14:textId="77777777" w:rsidR="00706F16" w:rsidRDefault="00706F16" w:rsidP="005C2232">
                      <w:pPr>
                        <w:rPr>
                          <w:lang w:eastAsia="en-AU"/>
                        </w:rPr>
                      </w:pPr>
                      <w:r>
                        <w:rPr>
                          <w:lang w:eastAsia="en-AU"/>
                        </w:rPr>
                        <w:t xml:space="preserve">Suppose a facility has an initial exceedance of 20 thousand tonnes in 2023-24, but plans to undertake a project in 2024-25 which will deliver ongoing emissions reductions of 40 thousand tonnes a year. </w:t>
                      </w:r>
                    </w:p>
                    <w:p w14:paraId="03CE01DD" w14:textId="77777777" w:rsidR="00706F16" w:rsidRDefault="00706F16" w:rsidP="005C2232">
                      <w:pPr>
                        <w:rPr>
                          <w:lang w:eastAsia="en-AU"/>
                        </w:rPr>
                      </w:pPr>
                      <w:r>
                        <w:t xml:space="preserve">The facility can borrow up to 10 per cent of its initial baseline. In this case, it could borrow up to 30 thousand tonnes in 2023-24, but only wants to borrow </w:t>
                      </w:r>
                      <w:r>
                        <w:rPr>
                          <w:color w:val="FF0000"/>
                        </w:rPr>
                        <w:t>20</w:t>
                      </w:r>
                      <w:r w:rsidRPr="0015547B">
                        <w:rPr>
                          <w:color w:val="FF0000"/>
                        </w:rPr>
                        <w:t xml:space="preserve"> thousand tonnes </w:t>
                      </w:r>
                      <w:r>
                        <w:t>to help avoid exceedance in 2023-24. It has no incentive to borrow more as it cannot receive credits while borrowing and will be charged interest.</w:t>
                      </w:r>
                    </w:p>
                    <w:p w14:paraId="112A2ADE" w14:textId="4EB96C68" w:rsidR="00706F16" w:rsidRPr="008F38BB" w:rsidRDefault="00706F16" w:rsidP="005C2232">
                      <w:pPr>
                        <w:rPr>
                          <w:lang w:eastAsia="en-AU"/>
                        </w:rPr>
                      </w:pPr>
                      <w:r>
                        <w:rPr>
                          <w:lang w:eastAsia="en-AU"/>
                        </w:rPr>
                        <w:t xml:space="preserve">In the simplest case—with a baseline decline of 4.9 per cent each year and production remaining constant—borrowing will increase the facility’s baseline by </w:t>
                      </w:r>
                      <w:r w:rsidRPr="00057626">
                        <w:rPr>
                          <w:color w:val="FF0000"/>
                          <w:lang w:eastAsia="en-AU"/>
                        </w:rPr>
                        <w:t xml:space="preserve">20 </w:t>
                      </w:r>
                      <w:r>
                        <w:rPr>
                          <w:color w:val="FF0000"/>
                          <w:lang w:eastAsia="en-AU"/>
                        </w:rPr>
                        <w:t>thousand</w:t>
                      </w:r>
                      <w:r w:rsidRPr="00057626">
                        <w:rPr>
                          <w:color w:val="FF0000"/>
                          <w:lang w:eastAsia="en-AU"/>
                        </w:rPr>
                        <w:t xml:space="preserve"> tonnes </w:t>
                      </w:r>
                      <w:r>
                        <w:rPr>
                          <w:lang w:eastAsia="en-AU"/>
                        </w:rPr>
                        <w:t xml:space="preserve">in 2023-24, with the liability paid back in full in 2024-25 plus </w:t>
                      </w:r>
                      <w:r w:rsidRPr="00057626">
                        <w:rPr>
                          <w:color w:val="FF0000"/>
                          <w:lang w:eastAsia="en-AU"/>
                        </w:rPr>
                        <w:t>2 thousand tonnes interest</w:t>
                      </w:r>
                      <w:r>
                        <w:rPr>
                          <w:color w:val="FF0000"/>
                          <w:lang w:eastAsia="en-AU"/>
                        </w:rPr>
                        <w:t xml:space="preserve"> (10 per cent interest)</w:t>
                      </w:r>
                      <w:r>
                        <w:rPr>
                          <w:lang w:eastAsia="en-AU"/>
                        </w:rPr>
                        <w:t xml:space="preserve">.  </w:t>
                      </w:r>
                    </w:p>
                    <w:tbl>
                      <w:tblPr>
                        <w:tblStyle w:val="TableGrid"/>
                        <w:tblW w:w="8865" w:type="dxa"/>
                        <w:tblLook w:val="04A0" w:firstRow="1" w:lastRow="0" w:firstColumn="1" w:lastColumn="0" w:noHBand="0" w:noVBand="1"/>
                      </w:tblPr>
                      <w:tblGrid>
                        <w:gridCol w:w="1555"/>
                        <w:gridCol w:w="1134"/>
                        <w:gridCol w:w="1120"/>
                        <w:gridCol w:w="1148"/>
                        <w:gridCol w:w="992"/>
                        <w:gridCol w:w="1650"/>
                        <w:gridCol w:w="1266"/>
                      </w:tblGrid>
                      <w:tr w:rsidR="00706F16" w14:paraId="3CF30793" w14:textId="77777777" w:rsidTr="00065494">
                        <w:tc>
                          <w:tcPr>
                            <w:tcW w:w="1555" w:type="dxa"/>
                            <w:shd w:val="clear" w:color="auto" w:fill="B4C6E7" w:themeFill="accent1" w:themeFillTint="66"/>
                          </w:tcPr>
                          <w:p w14:paraId="19BB473D" w14:textId="77777777" w:rsidR="00706F16" w:rsidRDefault="00706F16" w:rsidP="005C2232">
                            <w:r>
                              <w:t>‘000s</w:t>
                            </w:r>
                          </w:p>
                        </w:tc>
                        <w:tc>
                          <w:tcPr>
                            <w:tcW w:w="1134" w:type="dxa"/>
                            <w:shd w:val="clear" w:color="auto" w:fill="B4C6E7" w:themeFill="accent1" w:themeFillTint="66"/>
                          </w:tcPr>
                          <w:p w14:paraId="40A8B8AA" w14:textId="77777777" w:rsidR="00706F16" w:rsidRDefault="00706F16" w:rsidP="005C2232">
                            <w:pPr>
                              <w:jc w:val="center"/>
                            </w:pPr>
                            <w:r>
                              <w:t>Emissions</w:t>
                            </w:r>
                          </w:p>
                        </w:tc>
                        <w:tc>
                          <w:tcPr>
                            <w:tcW w:w="1120" w:type="dxa"/>
                            <w:shd w:val="clear" w:color="auto" w:fill="B4C6E7" w:themeFill="accent1" w:themeFillTint="66"/>
                          </w:tcPr>
                          <w:p w14:paraId="23C132DE" w14:textId="3A80A7BA" w:rsidR="00706F16" w:rsidRDefault="00706F16" w:rsidP="005C2232">
                            <w:pPr>
                              <w:jc w:val="center"/>
                            </w:pPr>
                            <w:r>
                              <w:t>Initial baseline</w:t>
                            </w:r>
                          </w:p>
                        </w:tc>
                        <w:tc>
                          <w:tcPr>
                            <w:tcW w:w="1148" w:type="dxa"/>
                            <w:shd w:val="clear" w:color="auto" w:fill="B4C6E7" w:themeFill="accent1" w:themeFillTint="66"/>
                          </w:tcPr>
                          <w:p w14:paraId="45C931B6" w14:textId="77777777" w:rsidR="00706F16" w:rsidRDefault="00706F16" w:rsidP="005C2232">
                            <w:pPr>
                              <w:jc w:val="center"/>
                            </w:pPr>
                            <w:r>
                              <w:t>Borrowing</w:t>
                            </w:r>
                          </w:p>
                        </w:tc>
                        <w:tc>
                          <w:tcPr>
                            <w:tcW w:w="992" w:type="dxa"/>
                            <w:shd w:val="clear" w:color="auto" w:fill="B4C6E7" w:themeFill="accent1" w:themeFillTint="66"/>
                          </w:tcPr>
                          <w:p w14:paraId="5284DC65" w14:textId="77777777" w:rsidR="00706F16" w:rsidRDefault="00706F16" w:rsidP="005C2232">
                            <w:pPr>
                              <w:jc w:val="center"/>
                            </w:pPr>
                            <w:r>
                              <w:t>Interest</w:t>
                            </w:r>
                          </w:p>
                        </w:tc>
                        <w:tc>
                          <w:tcPr>
                            <w:tcW w:w="1650" w:type="dxa"/>
                            <w:shd w:val="clear" w:color="auto" w:fill="B4C6E7" w:themeFill="accent1" w:themeFillTint="66"/>
                          </w:tcPr>
                          <w:p w14:paraId="4E080142" w14:textId="77777777" w:rsidR="00706F16" w:rsidRDefault="00706F16" w:rsidP="005C2232">
                            <w:pPr>
                              <w:jc w:val="center"/>
                            </w:pPr>
                            <w:r>
                              <w:t>Adjusted baseline</w:t>
                            </w:r>
                          </w:p>
                        </w:tc>
                        <w:tc>
                          <w:tcPr>
                            <w:tcW w:w="1266" w:type="dxa"/>
                            <w:shd w:val="clear" w:color="auto" w:fill="B4C6E7" w:themeFill="accent1" w:themeFillTint="66"/>
                          </w:tcPr>
                          <w:p w14:paraId="24251067" w14:textId="77777777" w:rsidR="00706F16" w:rsidRDefault="00706F16" w:rsidP="005C2232">
                            <w:pPr>
                              <w:jc w:val="center"/>
                            </w:pPr>
                            <w:r>
                              <w:t>Compliance obligation</w:t>
                            </w:r>
                          </w:p>
                        </w:tc>
                      </w:tr>
                      <w:tr w:rsidR="00706F16" w14:paraId="308E5E84" w14:textId="77777777" w:rsidTr="00065494">
                        <w:tc>
                          <w:tcPr>
                            <w:tcW w:w="1555" w:type="dxa"/>
                            <w:shd w:val="clear" w:color="auto" w:fill="D9E2F3" w:themeFill="accent1" w:themeFillTint="33"/>
                          </w:tcPr>
                          <w:p w14:paraId="5276692B" w14:textId="77777777" w:rsidR="00706F16" w:rsidRDefault="00706F16" w:rsidP="005C2232">
                            <w:r>
                              <w:t>2023-24</w:t>
                            </w:r>
                          </w:p>
                        </w:tc>
                        <w:tc>
                          <w:tcPr>
                            <w:tcW w:w="1134" w:type="dxa"/>
                            <w:shd w:val="clear" w:color="auto" w:fill="D9E2F3" w:themeFill="accent1" w:themeFillTint="33"/>
                          </w:tcPr>
                          <w:p w14:paraId="23AD7D80" w14:textId="77777777" w:rsidR="00706F16" w:rsidRDefault="00706F16" w:rsidP="005C2232">
                            <w:pPr>
                              <w:jc w:val="center"/>
                            </w:pPr>
                            <w:r>
                              <w:t>320.0</w:t>
                            </w:r>
                          </w:p>
                        </w:tc>
                        <w:tc>
                          <w:tcPr>
                            <w:tcW w:w="1120" w:type="dxa"/>
                            <w:shd w:val="clear" w:color="auto" w:fill="D9E2F3" w:themeFill="accent1" w:themeFillTint="33"/>
                          </w:tcPr>
                          <w:p w14:paraId="51B45A09" w14:textId="77777777" w:rsidR="00706F16" w:rsidRDefault="00706F16" w:rsidP="005C2232">
                            <w:pPr>
                              <w:jc w:val="center"/>
                            </w:pPr>
                            <w:r>
                              <w:t>300.0</w:t>
                            </w:r>
                          </w:p>
                        </w:tc>
                        <w:tc>
                          <w:tcPr>
                            <w:tcW w:w="1148" w:type="dxa"/>
                            <w:shd w:val="clear" w:color="auto" w:fill="D9E2F3" w:themeFill="accent1" w:themeFillTint="33"/>
                          </w:tcPr>
                          <w:p w14:paraId="0EEEF080" w14:textId="77777777" w:rsidR="00706F16" w:rsidRDefault="00706F16" w:rsidP="005C2232">
                            <w:pPr>
                              <w:jc w:val="center"/>
                            </w:pPr>
                            <w:r>
                              <w:t>20.0</w:t>
                            </w:r>
                          </w:p>
                        </w:tc>
                        <w:tc>
                          <w:tcPr>
                            <w:tcW w:w="992" w:type="dxa"/>
                            <w:shd w:val="clear" w:color="auto" w:fill="D9E2F3" w:themeFill="accent1" w:themeFillTint="33"/>
                          </w:tcPr>
                          <w:p w14:paraId="7F8D212F" w14:textId="77777777" w:rsidR="00706F16" w:rsidRDefault="00706F16" w:rsidP="005C2232">
                            <w:pPr>
                              <w:jc w:val="center"/>
                            </w:pPr>
                            <w:r>
                              <w:t>2.0</w:t>
                            </w:r>
                          </w:p>
                        </w:tc>
                        <w:tc>
                          <w:tcPr>
                            <w:tcW w:w="1650" w:type="dxa"/>
                            <w:shd w:val="clear" w:color="auto" w:fill="D9E2F3" w:themeFill="accent1" w:themeFillTint="33"/>
                          </w:tcPr>
                          <w:p w14:paraId="643EFB3D" w14:textId="77777777" w:rsidR="00706F16" w:rsidRDefault="00706F16" w:rsidP="005C2232">
                            <w:pPr>
                              <w:jc w:val="center"/>
                            </w:pPr>
                            <w:r>
                              <w:t xml:space="preserve">300.0 + </w:t>
                            </w:r>
                            <w:r w:rsidRPr="00057626">
                              <w:rPr>
                                <w:color w:val="FF0000"/>
                              </w:rPr>
                              <w:t>20</w:t>
                            </w:r>
                            <w:r>
                              <w:rPr>
                                <w:color w:val="FF0000"/>
                              </w:rPr>
                              <w:t>.0</w:t>
                            </w:r>
                            <w:r>
                              <w:t xml:space="preserve"> = 320.0</w:t>
                            </w:r>
                          </w:p>
                        </w:tc>
                        <w:tc>
                          <w:tcPr>
                            <w:tcW w:w="1266" w:type="dxa"/>
                            <w:shd w:val="clear" w:color="auto" w:fill="D9E2F3" w:themeFill="accent1" w:themeFillTint="33"/>
                          </w:tcPr>
                          <w:p w14:paraId="5F39340A" w14:textId="77777777" w:rsidR="00706F16" w:rsidRDefault="00706F16" w:rsidP="005C2232">
                            <w:pPr>
                              <w:jc w:val="center"/>
                            </w:pPr>
                            <w:r>
                              <w:t>0</w:t>
                            </w:r>
                          </w:p>
                        </w:tc>
                      </w:tr>
                      <w:tr w:rsidR="00706F16" w14:paraId="797C221A" w14:textId="77777777" w:rsidTr="00065494">
                        <w:tc>
                          <w:tcPr>
                            <w:tcW w:w="1555" w:type="dxa"/>
                            <w:shd w:val="clear" w:color="auto" w:fill="D9E2F3" w:themeFill="accent1" w:themeFillTint="33"/>
                          </w:tcPr>
                          <w:p w14:paraId="60CCC398" w14:textId="77777777" w:rsidR="00706F16" w:rsidRDefault="00706F16" w:rsidP="005C2232">
                            <w:r>
                              <w:t>2024-25</w:t>
                            </w:r>
                          </w:p>
                        </w:tc>
                        <w:tc>
                          <w:tcPr>
                            <w:tcW w:w="1134" w:type="dxa"/>
                            <w:shd w:val="clear" w:color="auto" w:fill="D9E2F3" w:themeFill="accent1" w:themeFillTint="33"/>
                          </w:tcPr>
                          <w:p w14:paraId="2A788FA9" w14:textId="77777777" w:rsidR="00706F16" w:rsidRDefault="00706F16" w:rsidP="005C2232">
                            <w:pPr>
                              <w:jc w:val="center"/>
                            </w:pPr>
                            <w:r>
                              <w:t>280.0</w:t>
                            </w:r>
                          </w:p>
                        </w:tc>
                        <w:tc>
                          <w:tcPr>
                            <w:tcW w:w="1120" w:type="dxa"/>
                            <w:shd w:val="clear" w:color="auto" w:fill="D9E2F3" w:themeFill="accent1" w:themeFillTint="33"/>
                          </w:tcPr>
                          <w:p w14:paraId="6E2C2062" w14:textId="74AF4B28" w:rsidR="00706F16" w:rsidRDefault="00706F16" w:rsidP="005C2232">
                            <w:pPr>
                              <w:jc w:val="center"/>
                            </w:pPr>
                            <w:r>
                              <w:t>285.3</w:t>
                            </w:r>
                          </w:p>
                        </w:tc>
                        <w:tc>
                          <w:tcPr>
                            <w:tcW w:w="1148" w:type="dxa"/>
                            <w:shd w:val="clear" w:color="auto" w:fill="D9E2F3" w:themeFill="accent1" w:themeFillTint="33"/>
                          </w:tcPr>
                          <w:p w14:paraId="2DE32F36" w14:textId="77777777" w:rsidR="00706F16" w:rsidRDefault="00706F16" w:rsidP="005C2232">
                            <w:pPr>
                              <w:jc w:val="center"/>
                            </w:pPr>
                            <w:r>
                              <w:t>0.0</w:t>
                            </w:r>
                          </w:p>
                        </w:tc>
                        <w:tc>
                          <w:tcPr>
                            <w:tcW w:w="992" w:type="dxa"/>
                            <w:shd w:val="clear" w:color="auto" w:fill="D9E2F3" w:themeFill="accent1" w:themeFillTint="33"/>
                          </w:tcPr>
                          <w:p w14:paraId="7F96FBC3" w14:textId="77777777" w:rsidR="00706F16" w:rsidRDefault="00706F16" w:rsidP="005C2232">
                            <w:pPr>
                              <w:jc w:val="center"/>
                            </w:pPr>
                            <w:r>
                              <w:t>0.0</w:t>
                            </w:r>
                          </w:p>
                        </w:tc>
                        <w:tc>
                          <w:tcPr>
                            <w:tcW w:w="1650" w:type="dxa"/>
                            <w:shd w:val="clear" w:color="auto" w:fill="D9E2F3" w:themeFill="accent1" w:themeFillTint="33"/>
                          </w:tcPr>
                          <w:p w14:paraId="5E455D2D" w14:textId="3D51833D" w:rsidR="00706F16" w:rsidRDefault="00706F16" w:rsidP="005C2232">
                            <w:pPr>
                              <w:jc w:val="center"/>
                            </w:pPr>
                            <w:r>
                              <w:t xml:space="preserve">285.3 – (20.0 + </w:t>
                            </w:r>
                            <w:r w:rsidRPr="00DE49EA">
                              <w:rPr>
                                <w:color w:val="FF0000"/>
                              </w:rPr>
                              <w:t>2</w:t>
                            </w:r>
                            <w:r>
                              <w:rPr>
                                <w:color w:val="FF0000"/>
                              </w:rPr>
                              <w:t>.0</w:t>
                            </w:r>
                            <w:r>
                              <w:t>) = 263.3</w:t>
                            </w:r>
                          </w:p>
                        </w:tc>
                        <w:tc>
                          <w:tcPr>
                            <w:tcW w:w="1266" w:type="dxa"/>
                            <w:shd w:val="clear" w:color="auto" w:fill="D9E2F3" w:themeFill="accent1" w:themeFillTint="33"/>
                          </w:tcPr>
                          <w:p w14:paraId="26147292" w14:textId="7B248530" w:rsidR="00706F16" w:rsidRDefault="00706F16" w:rsidP="005C2232">
                            <w:pPr>
                              <w:jc w:val="center"/>
                            </w:pPr>
                            <w:r>
                              <w:t>16.7</w:t>
                            </w:r>
                          </w:p>
                        </w:tc>
                      </w:tr>
                      <w:tr w:rsidR="00706F16" w14:paraId="1B1C5791" w14:textId="77777777" w:rsidTr="00065494">
                        <w:tc>
                          <w:tcPr>
                            <w:tcW w:w="1555" w:type="dxa"/>
                            <w:shd w:val="clear" w:color="auto" w:fill="D9E2F3" w:themeFill="accent1" w:themeFillTint="33"/>
                          </w:tcPr>
                          <w:p w14:paraId="2A354232" w14:textId="77777777" w:rsidR="00706F16" w:rsidRPr="008F38BB" w:rsidRDefault="00706F16" w:rsidP="005C2232">
                            <w:pPr>
                              <w:rPr>
                                <w:b/>
                              </w:rPr>
                            </w:pPr>
                            <w:r w:rsidRPr="008F38BB">
                              <w:rPr>
                                <w:b/>
                              </w:rPr>
                              <w:t>Total</w:t>
                            </w:r>
                          </w:p>
                        </w:tc>
                        <w:tc>
                          <w:tcPr>
                            <w:tcW w:w="1134" w:type="dxa"/>
                            <w:shd w:val="clear" w:color="auto" w:fill="D9E2F3" w:themeFill="accent1" w:themeFillTint="33"/>
                          </w:tcPr>
                          <w:p w14:paraId="583950A7" w14:textId="77777777" w:rsidR="00706F16" w:rsidRPr="008F38BB" w:rsidRDefault="00706F16" w:rsidP="005C2232">
                            <w:pPr>
                              <w:jc w:val="center"/>
                              <w:rPr>
                                <w:b/>
                              </w:rPr>
                            </w:pPr>
                            <w:r w:rsidRPr="008F38BB">
                              <w:rPr>
                                <w:b/>
                              </w:rPr>
                              <w:t>600</w:t>
                            </w:r>
                            <w:r>
                              <w:rPr>
                                <w:b/>
                              </w:rPr>
                              <w:t>.0</w:t>
                            </w:r>
                          </w:p>
                        </w:tc>
                        <w:tc>
                          <w:tcPr>
                            <w:tcW w:w="1120" w:type="dxa"/>
                            <w:shd w:val="clear" w:color="auto" w:fill="D9E2F3" w:themeFill="accent1" w:themeFillTint="33"/>
                          </w:tcPr>
                          <w:p w14:paraId="29D8045D" w14:textId="4E854305" w:rsidR="00706F16" w:rsidRPr="008F38BB" w:rsidRDefault="00706F16" w:rsidP="005C2232">
                            <w:pPr>
                              <w:jc w:val="center"/>
                              <w:rPr>
                                <w:b/>
                              </w:rPr>
                            </w:pPr>
                            <w:r>
                              <w:rPr>
                                <w:b/>
                              </w:rPr>
                              <w:t>585.3</w:t>
                            </w:r>
                          </w:p>
                        </w:tc>
                        <w:tc>
                          <w:tcPr>
                            <w:tcW w:w="1148" w:type="dxa"/>
                            <w:shd w:val="clear" w:color="auto" w:fill="D9E2F3" w:themeFill="accent1" w:themeFillTint="33"/>
                          </w:tcPr>
                          <w:p w14:paraId="5F2C3AA0" w14:textId="77777777" w:rsidR="00706F16" w:rsidRPr="008F38BB" w:rsidRDefault="00706F16" w:rsidP="005C2232">
                            <w:pPr>
                              <w:jc w:val="center"/>
                              <w:rPr>
                                <w:b/>
                              </w:rPr>
                            </w:pPr>
                            <w:r w:rsidRPr="008F38BB">
                              <w:rPr>
                                <w:b/>
                              </w:rPr>
                              <w:t>20</w:t>
                            </w:r>
                            <w:r>
                              <w:rPr>
                                <w:b/>
                              </w:rPr>
                              <w:t>.0</w:t>
                            </w:r>
                          </w:p>
                        </w:tc>
                        <w:tc>
                          <w:tcPr>
                            <w:tcW w:w="992" w:type="dxa"/>
                            <w:shd w:val="clear" w:color="auto" w:fill="D9E2F3" w:themeFill="accent1" w:themeFillTint="33"/>
                          </w:tcPr>
                          <w:p w14:paraId="3ED1F9F8" w14:textId="77777777" w:rsidR="00706F16" w:rsidRPr="008F38BB" w:rsidRDefault="00706F16" w:rsidP="005C2232">
                            <w:pPr>
                              <w:jc w:val="center"/>
                              <w:rPr>
                                <w:b/>
                              </w:rPr>
                            </w:pPr>
                            <w:r>
                              <w:rPr>
                                <w:b/>
                              </w:rPr>
                              <w:t>2.0</w:t>
                            </w:r>
                          </w:p>
                        </w:tc>
                        <w:tc>
                          <w:tcPr>
                            <w:tcW w:w="1650" w:type="dxa"/>
                            <w:shd w:val="clear" w:color="auto" w:fill="D9E2F3" w:themeFill="accent1" w:themeFillTint="33"/>
                          </w:tcPr>
                          <w:p w14:paraId="186F83E0" w14:textId="6968E9AF" w:rsidR="00706F16" w:rsidRPr="008F38BB" w:rsidRDefault="00706F16" w:rsidP="005C2232">
                            <w:pPr>
                              <w:jc w:val="center"/>
                              <w:rPr>
                                <w:b/>
                              </w:rPr>
                            </w:pPr>
                            <w:r w:rsidRPr="008F38BB">
                              <w:rPr>
                                <w:b/>
                              </w:rPr>
                              <w:t>5</w:t>
                            </w:r>
                            <w:r>
                              <w:rPr>
                                <w:b/>
                              </w:rPr>
                              <w:t>83.3</w:t>
                            </w:r>
                          </w:p>
                        </w:tc>
                        <w:tc>
                          <w:tcPr>
                            <w:tcW w:w="1266" w:type="dxa"/>
                            <w:shd w:val="clear" w:color="auto" w:fill="D9E2F3" w:themeFill="accent1" w:themeFillTint="33"/>
                          </w:tcPr>
                          <w:p w14:paraId="0922E79E" w14:textId="78D9DABA" w:rsidR="00706F16" w:rsidRPr="008F38BB" w:rsidRDefault="00706F16" w:rsidP="005C2232">
                            <w:pPr>
                              <w:jc w:val="center"/>
                              <w:rPr>
                                <w:b/>
                              </w:rPr>
                            </w:pPr>
                            <w:r>
                              <w:rPr>
                                <w:b/>
                              </w:rPr>
                              <w:t>16.7</w:t>
                            </w:r>
                          </w:p>
                        </w:tc>
                      </w:tr>
                    </w:tbl>
                    <w:p w14:paraId="29580DE0" w14:textId="58A910F2" w:rsidR="00706F16" w:rsidRDefault="00706F16" w:rsidP="005C2232">
                      <w:pPr>
                        <w:spacing w:before="160"/>
                        <w:rPr>
                          <w:b/>
                        </w:rPr>
                      </w:pPr>
                      <w:r w:rsidRPr="0050380E">
                        <w:rPr>
                          <w:b/>
                        </w:rPr>
                        <w:t>Borrowing in subsequent year</w:t>
                      </w:r>
                      <w:r>
                        <w:rPr>
                          <w:b/>
                        </w:rPr>
                        <w:t>s</w:t>
                      </w:r>
                    </w:p>
                    <w:p w14:paraId="321906B2" w14:textId="223FD899" w:rsidR="00706F16" w:rsidRDefault="00706F16" w:rsidP="005C2232">
                      <w:pPr>
                        <w:spacing w:before="160"/>
                      </w:pPr>
                      <w:r>
                        <w:t xml:space="preserve">Suppose the emissions reduction project is delayed. It commences half way through 2024-25 and only delivers 20 thousand tonnes of abatement in 2024-25. The 2024-25 baseline will be adjusted to account for the previous year’s borrowing, including interest, but the facility will face an exceedance of 37 thousand tonnes (300 – 263 = 37). However, the facility can borrow up to 10 percent of its initial baseline again. In this case, the facility borrows </w:t>
                      </w:r>
                      <w:r w:rsidRPr="00065494">
                        <w:rPr>
                          <w:color w:val="FF0000"/>
                        </w:rPr>
                        <w:t>28.5 thousand tonnes</w:t>
                      </w:r>
                      <w:r>
                        <w:t xml:space="preserve">, reducing the exceedance to 8.2 thousand tonnes. </w:t>
                      </w:r>
                    </w:p>
                    <w:p w14:paraId="0522969C" w14:textId="474FA437" w:rsidR="00706F16" w:rsidRDefault="00706F16" w:rsidP="005C2232">
                      <w:pPr>
                        <w:spacing w:before="160"/>
                      </w:pPr>
                      <w:r>
                        <w:t xml:space="preserve">In 2025-26, the amount borrowed in the previous year plus </w:t>
                      </w:r>
                      <w:r w:rsidRPr="00065494">
                        <w:rPr>
                          <w:color w:val="538135" w:themeColor="accent6" w:themeShade="BF"/>
                        </w:rPr>
                        <w:t xml:space="preserve">2.9 thousand tonnes </w:t>
                      </w:r>
                      <w:r>
                        <w:t xml:space="preserve">of interest will be subtracted from the adjusted baseline. The facility borrows </w:t>
                      </w:r>
                      <w:r w:rsidRPr="00065494">
                        <w:rPr>
                          <w:color w:val="538135" w:themeColor="accent6" w:themeShade="BF"/>
                        </w:rPr>
                        <w:t xml:space="preserve">20.8 thousand tonnes </w:t>
                      </w:r>
                      <w:r>
                        <w:t>to help avoid exceedance in 2025-26.</w:t>
                      </w:r>
                    </w:p>
                    <w:p w14:paraId="4ED778C9" w14:textId="3201E6F8" w:rsidR="00706F16" w:rsidRPr="0050380E" w:rsidRDefault="00706F16" w:rsidP="005C2232">
                      <w:pPr>
                        <w:spacing w:before="160"/>
                      </w:pPr>
                      <w:r>
                        <w:t xml:space="preserve">In 2026-27, the amount borrowed in the previous year plus </w:t>
                      </w:r>
                      <w:r w:rsidRPr="00065494">
                        <w:rPr>
                          <w:color w:val="7030A0"/>
                        </w:rPr>
                        <w:t xml:space="preserve">2.1 thousand tonnes </w:t>
                      </w:r>
                      <w:r>
                        <w:t xml:space="preserve">of interest will again be subtracted from the adjusted baseline. The facility is credited with </w:t>
                      </w:r>
                      <w:r w:rsidRPr="00065494">
                        <w:rPr>
                          <w:color w:val="4472C4" w:themeColor="accent1"/>
                        </w:rPr>
                        <w:t xml:space="preserve">13 thousand </w:t>
                      </w:r>
                      <w:r>
                        <w:t>SMCs as its emissions are now under its adjusted baseline. Over the four years, the facility’s adjusted baselines and compliance obligations are equal to its total emissions.</w:t>
                      </w:r>
                    </w:p>
                    <w:tbl>
                      <w:tblPr>
                        <w:tblStyle w:val="TableGrid"/>
                        <w:tblW w:w="8865" w:type="dxa"/>
                        <w:tblLook w:val="04A0" w:firstRow="1" w:lastRow="0" w:firstColumn="1" w:lastColumn="0" w:noHBand="0" w:noVBand="1"/>
                      </w:tblPr>
                      <w:tblGrid>
                        <w:gridCol w:w="967"/>
                        <w:gridCol w:w="1090"/>
                        <w:gridCol w:w="1509"/>
                        <w:gridCol w:w="1230"/>
                        <w:gridCol w:w="917"/>
                        <w:gridCol w:w="1886"/>
                        <w:gridCol w:w="1266"/>
                      </w:tblGrid>
                      <w:tr w:rsidR="00706F16" w14:paraId="33C60D4C" w14:textId="77777777" w:rsidTr="00065494">
                        <w:tc>
                          <w:tcPr>
                            <w:tcW w:w="988" w:type="dxa"/>
                            <w:shd w:val="clear" w:color="auto" w:fill="B4C6E7" w:themeFill="accent1" w:themeFillTint="66"/>
                          </w:tcPr>
                          <w:p w14:paraId="3B418937" w14:textId="77777777" w:rsidR="00706F16" w:rsidRDefault="00706F16" w:rsidP="005C2232">
                            <w:r>
                              <w:t>‘000s</w:t>
                            </w:r>
                          </w:p>
                        </w:tc>
                        <w:tc>
                          <w:tcPr>
                            <w:tcW w:w="931" w:type="dxa"/>
                            <w:shd w:val="clear" w:color="auto" w:fill="B4C6E7" w:themeFill="accent1" w:themeFillTint="66"/>
                          </w:tcPr>
                          <w:p w14:paraId="5C39E6C9" w14:textId="77777777" w:rsidR="00706F16" w:rsidRDefault="00706F16" w:rsidP="005C2232">
                            <w:pPr>
                              <w:jc w:val="center"/>
                            </w:pPr>
                            <w:r>
                              <w:t>Emissions</w:t>
                            </w:r>
                          </w:p>
                        </w:tc>
                        <w:tc>
                          <w:tcPr>
                            <w:tcW w:w="1559" w:type="dxa"/>
                            <w:shd w:val="clear" w:color="auto" w:fill="B4C6E7" w:themeFill="accent1" w:themeFillTint="66"/>
                          </w:tcPr>
                          <w:p w14:paraId="345784C3" w14:textId="0E069409" w:rsidR="00706F16" w:rsidRDefault="00706F16" w:rsidP="005C2232">
                            <w:pPr>
                              <w:jc w:val="center"/>
                            </w:pPr>
                            <w:r>
                              <w:t>Initial baseline</w:t>
                            </w:r>
                          </w:p>
                        </w:tc>
                        <w:tc>
                          <w:tcPr>
                            <w:tcW w:w="1238" w:type="dxa"/>
                            <w:shd w:val="clear" w:color="auto" w:fill="B4C6E7" w:themeFill="accent1" w:themeFillTint="66"/>
                          </w:tcPr>
                          <w:p w14:paraId="1C8CFB38" w14:textId="77777777" w:rsidR="00706F16" w:rsidRDefault="00706F16" w:rsidP="005C2232">
                            <w:pPr>
                              <w:jc w:val="center"/>
                            </w:pPr>
                            <w:r>
                              <w:t>Borrowing</w:t>
                            </w:r>
                          </w:p>
                        </w:tc>
                        <w:tc>
                          <w:tcPr>
                            <w:tcW w:w="917" w:type="dxa"/>
                            <w:shd w:val="clear" w:color="auto" w:fill="B4C6E7" w:themeFill="accent1" w:themeFillTint="66"/>
                          </w:tcPr>
                          <w:p w14:paraId="678E46AB" w14:textId="77777777" w:rsidR="00706F16" w:rsidRDefault="00706F16" w:rsidP="005C2232">
                            <w:pPr>
                              <w:jc w:val="center"/>
                            </w:pPr>
                            <w:r>
                              <w:t>Interest</w:t>
                            </w:r>
                          </w:p>
                        </w:tc>
                        <w:tc>
                          <w:tcPr>
                            <w:tcW w:w="1966" w:type="dxa"/>
                            <w:shd w:val="clear" w:color="auto" w:fill="B4C6E7" w:themeFill="accent1" w:themeFillTint="66"/>
                          </w:tcPr>
                          <w:p w14:paraId="5839F838" w14:textId="77777777" w:rsidR="00706F16" w:rsidRDefault="00706F16" w:rsidP="005C2232">
                            <w:pPr>
                              <w:jc w:val="center"/>
                            </w:pPr>
                            <w:r>
                              <w:t>Adjusted baseline</w:t>
                            </w:r>
                          </w:p>
                        </w:tc>
                        <w:tc>
                          <w:tcPr>
                            <w:tcW w:w="1266" w:type="dxa"/>
                            <w:shd w:val="clear" w:color="auto" w:fill="B4C6E7" w:themeFill="accent1" w:themeFillTint="66"/>
                          </w:tcPr>
                          <w:p w14:paraId="42F45DFA" w14:textId="77777777" w:rsidR="00706F16" w:rsidRDefault="00706F16" w:rsidP="005C2232">
                            <w:pPr>
                              <w:jc w:val="center"/>
                            </w:pPr>
                            <w:r>
                              <w:t>Compliance obligation</w:t>
                            </w:r>
                          </w:p>
                        </w:tc>
                      </w:tr>
                      <w:tr w:rsidR="00706F16" w14:paraId="52286311" w14:textId="77777777" w:rsidTr="00065494">
                        <w:tc>
                          <w:tcPr>
                            <w:tcW w:w="988" w:type="dxa"/>
                            <w:shd w:val="clear" w:color="auto" w:fill="D9E2F3" w:themeFill="accent1" w:themeFillTint="33"/>
                          </w:tcPr>
                          <w:p w14:paraId="4FF8EF68" w14:textId="77777777" w:rsidR="00706F16" w:rsidRDefault="00706F16" w:rsidP="005C2232">
                            <w:r>
                              <w:t>2023-24</w:t>
                            </w:r>
                          </w:p>
                        </w:tc>
                        <w:tc>
                          <w:tcPr>
                            <w:tcW w:w="931" w:type="dxa"/>
                            <w:shd w:val="clear" w:color="auto" w:fill="D9E2F3" w:themeFill="accent1" w:themeFillTint="33"/>
                          </w:tcPr>
                          <w:p w14:paraId="1C05379C" w14:textId="77777777" w:rsidR="00706F16" w:rsidRDefault="00706F16" w:rsidP="005C2232">
                            <w:pPr>
                              <w:jc w:val="center"/>
                            </w:pPr>
                            <w:r>
                              <w:t>320.0</w:t>
                            </w:r>
                          </w:p>
                        </w:tc>
                        <w:tc>
                          <w:tcPr>
                            <w:tcW w:w="1559" w:type="dxa"/>
                            <w:shd w:val="clear" w:color="auto" w:fill="D9E2F3" w:themeFill="accent1" w:themeFillTint="33"/>
                          </w:tcPr>
                          <w:p w14:paraId="0F331273" w14:textId="77777777" w:rsidR="00706F16" w:rsidRDefault="00706F16" w:rsidP="005C2232">
                            <w:pPr>
                              <w:jc w:val="center"/>
                            </w:pPr>
                            <w:r>
                              <w:t>300.0</w:t>
                            </w:r>
                          </w:p>
                        </w:tc>
                        <w:tc>
                          <w:tcPr>
                            <w:tcW w:w="1238" w:type="dxa"/>
                            <w:shd w:val="clear" w:color="auto" w:fill="D9E2F3" w:themeFill="accent1" w:themeFillTint="33"/>
                          </w:tcPr>
                          <w:p w14:paraId="355770CA" w14:textId="77777777" w:rsidR="00706F16" w:rsidRDefault="00706F16" w:rsidP="005C2232">
                            <w:pPr>
                              <w:jc w:val="center"/>
                            </w:pPr>
                            <w:r>
                              <w:t>20.0</w:t>
                            </w:r>
                          </w:p>
                        </w:tc>
                        <w:tc>
                          <w:tcPr>
                            <w:tcW w:w="917" w:type="dxa"/>
                            <w:shd w:val="clear" w:color="auto" w:fill="D9E2F3" w:themeFill="accent1" w:themeFillTint="33"/>
                          </w:tcPr>
                          <w:p w14:paraId="768EB2E5" w14:textId="77777777" w:rsidR="00706F16" w:rsidRDefault="00706F16" w:rsidP="005C2232">
                            <w:pPr>
                              <w:jc w:val="center"/>
                            </w:pPr>
                            <w:r>
                              <w:t>2.0</w:t>
                            </w:r>
                          </w:p>
                        </w:tc>
                        <w:tc>
                          <w:tcPr>
                            <w:tcW w:w="1966" w:type="dxa"/>
                            <w:shd w:val="clear" w:color="auto" w:fill="D9E2F3" w:themeFill="accent1" w:themeFillTint="33"/>
                          </w:tcPr>
                          <w:p w14:paraId="5B720043" w14:textId="77777777" w:rsidR="00706F16" w:rsidRDefault="00706F16" w:rsidP="005C2232">
                            <w:pPr>
                              <w:jc w:val="center"/>
                            </w:pPr>
                            <w:r>
                              <w:t>300.0 + 20.0 = 320.0</w:t>
                            </w:r>
                          </w:p>
                        </w:tc>
                        <w:tc>
                          <w:tcPr>
                            <w:tcW w:w="1266" w:type="dxa"/>
                            <w:shd w:val="clear" w:color="auto" w:fill="D9E2F3" w:themeFill="accent1" w:themeFillTint="33"/>
                          </w:tcPr>
                          <w:p w14:paraId="3F80FAF5" w14:textId="77777777" w:rsidR="00706F16" w:rsidRDefault="00706F16" w:rsidP="005C2232">
                            <w:pPr>
                              <w:jc w:val="center"/>
                            </w:pPr>
                            <w:r>
                              <w:t>0.0</w:t>
                            </w:r>
                          </w:p>
                        </w:tc>
                      </w:tr>
                      <w:tr w:rsidR="00706F16" w14:paraId="7B05DFBC" w14:textId="77777777" w:rsidTr="00065494">
                        <w:tc>
                          <w:tcPr>
                            <w:tcW w:w="988" w:type="dxa"/>
                            <w:shd w:val="clear" w:color="auto" w:fill="D9E2F3" w:themeFill="accent1" w:themeFillTint="33"/>
                          </w:tcPr>
                          <w:p w14:paraId="726D69C0" w14:textId="77777777" w:rsidR="00706F16" w:rsidRDefault="00706F16" w:rsidP="005C2232">
                            <w:r>
                              <w:t>2024-25</w:t>
                            </w:r>
                          </w:p>
                        </w:tc>
                        <w:tc>
                          <w:tcPr>
                            <w:tcW w:w="931" w:type="dxa"/>
                            <w:shd w:val="clear" w:color="auto" w:fill="D9E2F3" w:themeFill="accent1" w:themeFillTint="33"/>
                          </w:tcPr>
                          <w:p w14:paraId="6A7EDE23" w14:textId="77777777" w:rsidR="00706F16" w:rsidRDefault="00706F16" w:rsidP="005C2232">
                            <w:pPr>
                              <w:jc w:val="center"/>
                            </w:pPr>
                            <w:r>
                              <w:t>300.0</w:t>
                            </w:r>
                          </w:p>
                        </w:tc>
                        <w:tc>
                          <w:tcPr>
                            <w:tcW w:w="1559" w:type="dxa"/>
                            <w:shd w:val="clear" w:color="auto" w:fill="D9E2F3" w:themeFill="accent1" w:themeFillTint="33"/>
                          </w:tcPr>
                          <w:p w14:paraId="201CDA6E" w14:textId="2D69CBE0" w:rsidR="00706F16" w:rsidRDefault="00706F16" w:rsidP="005C2232">
                            <w:pPr>
                              <w:jc w:val="center"/>
                            </w:pPr>
                            <w:r>
                              <w:t>285.3</w:t>
                            </w:r>
                          </w:p>
                        </w:tc>
                        <w:tc>
                          <w:tcPr>
                            <w:tcW w:w="1238" w:type="dxa"/>
                            <w:shd w:val="clear" w:color="auto" w:fill="D9E2F3" w:themeFill="accent1" w:themeFillTint="33"/>
                          </w:tcPr>
                          <w:p w14:paraId="0DF46F27" w14:textId="4EBF2977" w:rsidR="00706F16" w:rsidRDefault="00706F16" w:rsidP="005C2232">
                            <w:pPr>
                              <w:jc w:val="center"/>
                            </w:pPr>
                            <w:r w:rsidRPr="0050380E">
                              <w:rPr>
                                <w:color w:val="FF0000"/>
                              </w:rPr>
                              <w:t>2</w:t>
                            </w:r>
                            <w:r>
                              <w:rPr>
                                <w:color w:val="FF0000"/>
                              </w:rPr>
                              <w:t>8.5</w:t>
                            </w:r>
                          </w:p>
                        </w:tc>
                        <w:tc>
                          <w:tcPr>
                            <w:tcW w:w="917" w:type="dxa"/>
                            <w:shd w:val="clear" w:color="auto" w:fill="D9E2F3" w:themeFill="accent1" w:themeFillTint="33"/>
                          </w:tcPr>
                          <w:p w14:paraId="7558DFB1" w14:textId="77777777" w:rsidR="00706F16" w:rsidRDefault="00706F16" w:rsidP="005C2232">
                            <w:pPr>
                              <w:jc w:val="center"/>
                            </w:pPr>
                            <w:r w:rsidRPr="00065494">
                              <w:rPr>
                                <w:color w:val="538135" w:themeColor="accent6" w:themeShade="BF"/>
                              </w:rPr>
                              <w:t>2.9</w:t>
                            </w:r>
                          </w:p>
                        </w:tc>
                        <w:tc>
                          <w:tcPr>
                            <w:tcW w:w="1966" w:type="dxa"/>
                            <w:shd w:val="clear" w:color="auto" w:fill="D9E2F3" w:themeFill="accent1" w:themeFillTint="33"/>
                          </w:tcPr>
                          <w:p w14:paraId="6D8A6FCD" w14:textId="1C797CEA" w:rsidR="00706F16" w:rsidRDefault="00706F16" w:rsidP="005C2232">
                            <w:pPr>
                              <w:jc w:val="center"/>
                            </w:pPr>
                            <w:r>
                              <w:t xml:space="preserve">285.3 – (20 + 2) </w:t>
                            </w:r>
                            <w:r w:rsidRPr="0050380E">
                              <w:rPr>
                                <w:color w:val="FF0000"/>
                              </w:rPr>
                              <w:t>+ 2</w:t>
                            </w:r>
                            <w:r>
                              <w:rPr>
                                <w:color w:val="FF0000"/>
                              </w:rPr>
                              <w:t>8.5</w:t>
                            </w:r>
                            <w:r w:rsidRPr="0050380E">
                              <w:rPr>
                                <w:color w:val="FF0000"/>
                              </w:rPr>
                              <w:t xml:space="preserve"> </w:t>
                            </w:r>
                            <w:r>
                              <w:t>= 291.8</w:t>
                            </w:r>
                          </w:p>
                        </w:tc>
                        <w:tc>
                          <w:tcPr>
                            <w:tcW w:w="1266" w:type="dxa"/>
                            <w:shd w:val="clear" w:color="auto" w:fill="D9E2F3" w:themeFill="accent1" w:themeFillTint="33"/>
                          </w:tcPr>
                          <w:p w14:paraId="72EFF7E4" w14:textId="229135F2" w:rsidR="00706F16" w:rsidRDefault="00706F16" w:rsidP="005C2232">
                            <w:pPr>
                              <w:jc w:val="center"/>
                            </w:pPr>
                            <w:r>
                              <w:t>8.2</w:t>
                            </w:r>
                          </w:p>
                        </w:tc>
                      </w:tr>
                      <w:tr w:rsidR="00706F16" w14:paraId="7F483583" w14:textId="77777777" w:rsidTr="00065494">
                        <w:tc>
                          <w:tcPr>
                            <w:tcW w:w="988" w:type="dxa"/>
                            <w:shd w:val="clear" w:color="auto" w:fill="D9E2F3" w:themeFill="accent1" w:themeFillTint="33"/>
                          </w:tcPr>
                          <w:p w14:paraId="2B651D85" w14:textId="77777777" w:rsidR="00706F16" w:rsidRDefault="00706F16" w:rsidP="005C2232">
                            <w:r>
                              <w:t>2025-26</w:t>
                            </w:r>
                          </w:p>
                        </w:tc>
                        <w:tc>
                          <w:tcPr>
                            <w:tcW w:w="931" w:type="dxa"/>
                            <w:shd w:val="clear" w:color="auto" w:fill="D9E2F3" w:themeFill="accent1" w:themeFillTint="33"/>
                          </w:tcPr>
                          <w:p w14:paraId="612A3249" w14:textId="37CF4594" w:rsidR="00706F16" w:rsidRDefault="00706F16" w:rsidP="005C2232">
                            <w:pPr>
                              <w:jc w:val="center"/>
                            </w:pPr>
                            <w:r>
                              <w:t>260.0</w:t>
                            </w:r>
                          </w:p>
                        </w:tc>
                        <w:tc>
                          <w:tcPr>
                            <w:tcW w:w="1559" w:type="dxa"/>
                            <w:shd w:val="clear" w:color="auto" w:fill="D9E2F3" w:themeFill="accent1" w:themeFillTint="33"/>
                          </w:tcPr>
                          <w:p w14:paraId="2AD7F27D" w14:textId="25AD0F3E" w:rsidR="00706F16" w:rsidRDefault="00706F16" w:rsidP="005C2232">
                            <w:pPr>
                              <w:jc w:val="center"/>
                            </w:pPr>
                            <w:r>
                              <w:t>270.6</w:t>
                            </w:r>
                          </w:p>
                        </w:tc>
                        <w:tc>
                          <w:tcPr>
                            <w:tcW w:w="1238" w:type="dxa"/>
                            <w:shd w:val="clear" w:color="auto" w:fill="D9E2F3" w:themeFill="accent1" w:themeFillTint="33"/>
                          </w:tcPr>
                          <w:p w14:paraId="397E6254" w14:textId="7B2E7425" w:rsidR="00706F16" w:rsidRDefault="00706F16" w:rsidP="005C2232">
                            <w:pPr>
                              <w:jc w:val="center"/>
                            </w:pPr>
                            <w:r w:rsidRPr="00065494">
                              <w:rPr>
                                <w:color w:val="538135" w:themeColor="accent6" w:themeShade="BF"/>
                              </w:rPr>
                              <w:t>20.8</w:t>
                            </w:r>
                          </w:p>
                        </w:tc>
                        <w:tc>
                          <w:tcPr>
                            <w:tcW w:w="917" w:type="dxa"/>
                            <w:shd w:val="clear" w:color="auto" w:fill="D9E2F3" w:themeFill="accent1" w:themeFillTint="33"/>
                          </w:tcPr>
                          <w:p w14:paraId="408EFDD8" w14:textId="77777777" w:rsidR="00706F16" w:rsidDel="00FA0DBF" w:rsidRDefault="00706F16" w:rsidP="005C2232">
                            <w:pPr>
                              <w:jc w:val="center"/>
                            </w:pPr>
                            <w:r w:rsidRPr="00065494">
                              <w:rPr>
                                <w:color w:val="7030A0"/>
                              </w:rPr>
                              <w:t>2.1</w:t>
                            </w:r>
                          </w:p>
                        </w:tc>
                        <w:tc>
                          <w:tcPr>
                            <w:tcW w:w="1966" w:type="dxa"/>
                            <w:shd w:val="clear" w:color="auto" w:fill="D9E2F3" w:themeFill="accent1" w:themeFillTint="33"/>
                          </w:tcPr>
                          <w:p w14:paraId="48AD0C54" w14:textId="559397BB" w:rsidR="00706F16" w:rsidRDefault="00706F16" w:rsidP="005C2232">
                            <w:pPr>
                              <w:jc w:val="center"/>
                            </w:pPr>
                            <w:r>
                              <w:t>270.6 – (</w:t>
                            </w:r>
                            <w:r w:rsidRPr="00065494">
                              <w:rPr>
                                <w:color w:val="FF0000"/>
                              </w:rPr>
                              <w:t xml:space="preserve">28.5 </w:t>
                            </w:r>
                            <w:r>
                              <w:t xml:space="preserve">+ </w:t>
                            </w:r>
                            <w:r w:rsidRPr="00065494">
                              <w:rPr>
                                <w:color w:val="538135" w:themeColor="accent6" w:themeShade="BF"/>
                              </w:rPr>
                              <w:t>2.9</w:t>
                            </w:r>
                            <w:r>
                              <w:t xml:space="preserve">) + </w:t>
                            </w:r>
                            <w:r w:rsidRPr="000949A4">
                              <w:rPr>
                                <w:color w:val="538135" w:themeColor="accent6" w:themeShade="BF"/>
                              </w:rPr>
                              <w:t>20.8</w:t>
                            </w:r>
                            <w:r>
                              <w:rPr>
                                <w:color w:val="538135" w:themeColor="accent6" w:themeShade="BF"/>
                              </w:rPr>
                              <w:t xml:space="preserve"> </w:t>
                            </w:r>
                            <w:r>
                              <w:t>= 260.0</w:t>
                            </w:r>
                          </w:p>
                        </w:tc>
                        <w:tc>
                          <w:tcPr>
                            <w:tcW w:w="1266" w:type="dxa"/>
                            <w:shd w:val="clear" w:color="auto" w:fill="D9E2F3" w:themeFill="accent1" w:themeFillTint="33"/>
                          </w:tcPr>
                          <w:p w14:paraId="31BEC995" w14:textId="5DD588EE" w:rsidR="00706F16" w:rsidRDefault="00706F16" w:rsidP="005C2232">
                            <w:pPr>
                              <w:jc w:val="center"/>
                            </w:pPr>
                            <w:r>
                              <w:t>0.0</w:t>
                            </w:r>
                          </w:p>
                        </w:tc>
                      </w:tr>
                      <w:tr w:rsidR="00706F16" w14:paraId="62057763" w14:textId="77777777" w:rsidTr="00065494">
                        <w:tc>
                          <w:tcPr>
                            <w:tcW w:w="988" w:type="dxa"/>
                            <w:shd w:val="clear" w:color="auto" w:fill="D9E2F3" w:themeFill="accent1" w:themeFillTint="33"/>
                          </w:tcPr>
                          <w:p w14:paraId="1039E15F" w14:textId="77777777" w:rsidR="00706F16" w:rsidRDefault="00706F16" w:rsidP="005C2232">
                            <w:r>
                              <w:t>2026-27</w:t>
                            </w:r>
                          </w:p>
                        </w:tc>
                        <w:tc>
                          <w:tcPr>
                            <w:tcW w:w="931" w:type="dxa"/>
                            <w:shd w:val="clear" w:color="auto" w:fill="D9E2F3" w:themeFill="accent1" w:themeFillTint="33"/>
                          </w:tcPr>
                          <w:p w14:paraId="1787B9E1" w14:textId="77777777" w:rsidR="00706F16" w:rsidRDefault="00706F16" w:rsidP="005C2232">
                            <w:pPr>
                              <w:jc w:val="center"/>
                            </w:pPr>
                            <w:r>
                              <w:t>220.0</w:t>
                            </w:r>
                          </w:p>
                        </w:tc>
                        <w:tc>
                          <w:tcPr>
                            <w:tcW w:w="1559" w:type="dxa"/>
                            <w:shd w:val="clear" w:color="auto" w:fill="D9E2F3" w:themeFill="accent1" w:themeFillTint="33"/>
                          </w:tcPr>
                          <w:p w14:paraId="4CF2A156" w14:textId="77777777" w:rsidR="00706F16" w:rsidDel="008B0601" w:rsidRDefault="00706F16" w:rsidP="005C2232">
                            <w:pPr>
                              <w:jc w:val="center"/>
                            </w:pPr>
                            <w:r>
                              <w:t>255.9</w:t>
                            </w:r>
                          </w:p>
                        </w:tc>
                        <w:tc>
                          <w:tcPr>
                            <w:tcW w:w="1238" w:type="dxa"/>
                            <w:shd w:val="clear" w:color="auto" w:fill="D9E2F3" w:themeFill="accent1" w:themeFillTint="33"/>
                          </w:tcPr>
                          <w:p w14:paraId="13244DB7" w14:textId="77777777" w:rsidR="00706F16" w:rsidRDefault="00706F16" w:rsidP="005C2232">
                            <w:pPr>
                              <w:jc w:val="center"/>
                            </w:pPr>
                            <w:r>
                              <w:t>0.0</w:t>
                            </w:r>
                          </w:p>
                        </w:tc>
                        <w:tc>
                          <w:tcPr>
                            <w:tcW w:w="917" w:type="dxa"/>
                            <w:shd w:val="clear" w:color="auto" w:fill="D9E2F3" w:themeFill="accent1" w:themeFillTint="33"/>
                          </w:tcPr>
                          <w:p w14:paraId="72C6276A" w14:textId="77777777" w:rsidR="00706F16" w:rsidDel="00FA0DBF" w:rsidRDefault="00706F16" w:rsidP="005C2232">
                            <w:pPr>
                              <w:jc w:val="center"/>
                            </w:pPr>
                            <w:r>
                              <w:t>0.0</w:t>
                            </w:r>
                          </w:p>
                        </w:tc>
                        <w:tc>
                          <w:tcPr>
                            <w:tcW w:w="1966" w:type="dxa"/>
                            <w:shd w:val="clear" w:color="auto" w:fill="D9E2F3" w:themeFill="accent1" w:themeFillTint="33"/>
                          </w:tcPr>
                          <w:p w14:paraId="36E307B7" w14:textId="77777777" w:rsidR="00706F16" w:rsidDel="00FA0DBF" w:rsidRDefault="00706F16" w:rsidP="005C2232">
                            <w:pPr>
                              <w:jc w:val="center"/>
                            </w:pPr>
                            <w:r>
                              <w:t>255.9 – (</w:t>
                            </w:r>
                            <w:r w:rsidRPr="00065494">
                              <w:rPr>
                                <w:color w:val="538135" w:themeColor="accent6" w:themeShade="BF"/>
                              </w:rPr>
                              <w:t xml:space="preserve">20.8 </w:t>
                            </w:r>
                            <w:r>
                              <w:t xml:space="preserve">+ </w:t>
                            </w:r>
                            <w:r w:rsidRPr="00065494">
                              <w:rPr>
                                <w:color w:val="7030A0"/>
                              </w:rPr>
                              <w:t>2.1</w:t>
                            </w:r>
                            <w:r>
                              <w:t>) = 233.0</w:t>
                            </w:r>
                          </w:p>
                        </w:tc>
                        <w:tc>
                          <w:tcPr>
                            <w:tcW w:w="1266" w:type="dxa"/>
                            <w:shd w:val="clear" w:color="auto" w:fill="D9E2F3" w:themeFill="accent1" w:themeFillTint="33"/>
                          </w:tcPr>
                          <w:p w14:paraId="3EABDB36" w14:textId="77777777" w:rsidR="00706F16" w:rsidRDefault="00706F16" w:rsidP="005C2232">
                            <w:pPr>
                              <w:jc w:val="center"/>
                            </w:pPr>
                            <w:r w:rsidRPr="00065494">
                              <w:rPr>
                                <w:color w:val="4472C4" w:themeColor="accent1"/>
                              </w:rPr>
                              <w:t>-13.0</w:t>
                            </w:r>
                          </w:p>
                        </w:tc>
                      </w:tr>
                      <w:tr w:rsidR="00706F16" w14:paraId="75F0F23B" w14:textId="77777777" w:rsidTr="00065494">
                        <w:tc>
                          <w:tcPr>
                            <w:tcW w:w="988" w:type="dxa"/>
                            <w:shd w:val="clear" w:color="auto" w:fill="D9E2F3" w:themeFill="accent1" w:themeFillTint="33"/>
                          </w:tcPr>
                          <w:p w14:paraId="06C209D4" w14:textId="77777777" w:rsidR="00706F16" w:rsidRPr="00097556" w:rsidRDefault="00706F16" w:rsidP="005C2232">
                            <w:pPr>
                              <w:rPr>
                                <w:b/>
                              </w:rPr>
                            </w:pPr>
                            <w:r w:rsidRPr="00097556">
                              <w:rPr>
                                <w:b/>
                              </w:rPr>
                              <w:t>Total</w:t>
                            </w:r>
                          </w:p>
                        </w:tc>
                        <w:tc>
                          <w:tcPr>
                            <w:tcW w:w="931" w:type="dxa"/>
                            <w:shd w:val="clear" w:color="auto" w:fill="D9E2F3" w:themeFill="accent1" w:themeFillTint="33"/>
                          </w:tcPr>
                          <w:p w14:paraId="5CFFBCF7" w14:textId="63F30DA4" w:rsidR="00706F16" w:rsidRPr="00097556" w:rsidRDefault="00706F16" w:rsidP="005C2232">
                            <w:pPr>
                              <w:jc w:val="center"/>
                              <w:rPr>
                                <w:b/>
                              </w:rPr>
                            </w:pPr>
                            <w:r>
                              <w:rPr>
                                <w:b/>
                              </w:rPr>
                              <w:t>1,1</w:t>
                            </w:r>
                            <w:r w:rsidRPr="00097556">
                              <w:rPr>
                                <w:b/>
                              </w:rPr>
                              <w:t>00</w:t>
                            </w:r>
                            <w:r>
                              <w:rPr>
                                <w:b/>
                              </w:rPr>
                              <w:t>.0</w:t>
                            </w:r>
                          </w:p>
                        </w:tc>
                        <w:tc>
                          <w:tcPr>
                            <w:tcW w:w="1559" w:type="dxa"/>
                            <w:shd w:val="clear" w:color="auto" w:fill="D9E2F3" w:themeFill="accent1" w:themeFillTint="33"/>
                          </w:tcPr>
                          <w:p w14:paraId="5A013D59" w14:textId="26DDFFAE" w:rsidR="00706F16" w:rsidRPr="00097556" w:rsidRDefault="00706F16" w:rsidP="005C2232">
                            <w:pPr>
                              <w:jc w:val="center"/>
                              <w:rPr>
                                <w:b/>
                              </w:rPr>
                            </w:pPr>
                            <w:r>
                              <w:rPr>
                                <w:b/>
                              </w:rPr>
                              <w:t>1,111.8</w:t>
                            </w:r>
                          </w:p>
                        </w:tc>
                        <w:tc>
                          <w:tcPr>
                            <w:tcW w:w="1238" w:type="dxa"/>
                            <w:shd w:val="clear" w:color="auto" w:fill="D9E2F3" w:themeFill="accent1" w:themeFillTint="33"/>
                          </w:tcPr>
                          <w:p w14:paraId="7C9B7591" w14:textId="2DA66B7D" w:rsidR="00706F16" w:rsidRPr="00097556" w:rsidRDefault="00706F16" w:rsidP="005C2232">
                            <w:pPr>
                              <w:jc w:val="center"/>
                              <w:rPr>
                                <w:b/>
                              </w:rPr>
                            </w:pPr>
                            <w:r>
                              <w:rPr>
                                <w:b/>
                              </w:rPr>
                              <w:t>69.3</w:t>
                            </w:r>
                          </w:p>
                        </w:tc>
                        <w:tc>
                          <w:tcPr>
                            <w:tcW w:w="917" w:type="dxa"/>
                            <w:shd w:val="clear" w:color="auto" w:fill="D9E2F3" w:themeFill="accent1" w:themeFillTint="33"/>
                          </w:tcPr>
                          <w:p w14:paraId="72FA2DA4" w14:textId="77777777" w:rsidR="00706F16" w:rsidRDefault="00706F16" w:rsidP="005C2232">
                            <w:pPr>
                              <w:jc w:val="center"/>
                              <w:rPr>
                                <w:b/>
                              </w:rPr>
                            </w:pPr>
                            <w:r w:rsidRPr="0013304D">
                              <w:rPr>
                                <w:b/>
                              </w:rPr>
                              <w:t>6.9</w:t>
                            </w:r>
                          </w:p>
                        </w:tc>
                        <w:tc>
                          <w:tcPr>
                            <w:tcW w:w="1966" w:type="dxa"/>
                            <w:shd w:val="clear" w:color="auto" w:fill="D9E2F3" w:themeFill="accent1" w:themeFillTint="33"/>
                          </w:tcPr>
                          <w:p w14:paraId="02B5D110" w14:textId="06CA983F" w:rsidR="00706F16" w:rsidRPr="00097556" w:rsidRDefault="00706F16" w:rsidP="005C2232">
                            <w:pPr>
                              <w:jc w:val="center"/>
                              <w:rPr>
                                <w:b/>
                              </w:rPr>
                            </w:pPr>
                            <w:r>
                              <w:rPr>
                                <w:b/>
                              </w:rPr>
                              <w:t>1,104.9</w:t>
                            </w:r>
                          </w:p>
                        </w:tc>
                        <w:tc>
                          <w:tcPr>
                            <w:tcW w:w="1266" w:type="dxa"/>
                            <w:shd w:val="clear" w:color="auto" w:fill="D9E2F3" w:themeFill="accent1" w:themeFillTint="33"/>
                          </w:tcPr>
                          <w:p w14:paraId="1421F642" w14:textId="04AC5F00" w:rsidR="00706F16" w:rsidRPr="00097556" w:rsidRDefault="00706F16" w:rsidP="005C2232">
                            <w:pPr>
                              <w:jc w:val="center"/>
                              <w:rPr>
                                <w:b/>
                              </w:rPr>
                            </w:pPr>
                            <w:r>
                              <w:rPr>
                                <w:b/>
                              </w:rPr>
                              <w:t>-4.9</w:t>
                            </w:r>
                          </w:p>
                        </w:tc>
                      </w:tr>
                    </w:tbl>
                    <w:p w14:paraId="63BA641F" w14:textId="77777777" w:rsidR="00706F16" w:rsidRDefault="00706F16" w:rsidP="005B7ADD"/>
                  </w:txbxContent>
                </v:textbox>
                <w10:wrap type="topAndBottom" anchorx="margin"/>
              </v:shape>
            </w:pict>
          </mc:Fallback>
        </mc:AlternateContent>
      </w:r>
    </w:p>
    <w:p w14:paraId="5EC349C1" w14:textId="77777777" w:rsidR="0087137A" w:rsidRDefault="0087137A" w:rsidP="0087137A">
      <w:pPr>
        <w:keepNext/>
        <w:keepLines/>
        <w:spacing w:before="300"/>
      </w:pPr>
      <w:r>
        <w:lastRenderedPageBreak/>
        <w:t>Borrowing arrangements are intended to help facilities manage their compliance obligations when doing so might otherwise be costly or difficult. To prevent the use of borrowing arrangements for market speculation, it is proposed that SMCs cannot be generated while a facility is accessing borrowing arrangements. In addition, borrowing cannot be used by facilities on a MYMP.</w:t>
      </w:r>
    </w:p>
    <w:p w14:paraId="04F15632" w14:textId="77777777" w:rsidR="007F379F" w:rsidRDefault="007F379F" w:rsidP="0087137A">
      <w:pPr>
        <w:keepNext/>
        <w:spacing w:before="300"/>
      </w:pPr>
      <w:r>
        <w:t>The Government notes there are risks to the 2030 target if borrowing is allowed in 2029-30. The Government will consider this in the 2026</w:t>
      </w:r>
      <w:r w:rsidR="00A93AC0">
        <w:t>-27</w:t>
      </w:r>
      <w:r>
        <w:t xml:space="preserve"> Safeguard Mechanism review. </w:t>
      </w:r>
    </w:p>
    <w:p w14:paraId="398470EA" w14:textId="4BF86C27" w:rsidR="003721EC" w:rsidRDefault="008E7B80" w:rsidP="0050380E">
      <w:pPr>
        <w:pStyle w:val="Calloutbox"/>
        <w:keepNext/>
        <w:keepLines/>
      </w:pPr>
      <w:r>
        <w:t>Unlimited banking of SMCs w</w:t>
      </w:r>
      <w:r w:rsidR="00FC4DE0">
        <w:t>ould</w:t>
      </w:r>
      <w:r>
        <w:t xml:space="preserve"> be allowed to 2030</w:t>
      </w:r>
      <w:r w:rsidR="00C17528">
        <w:t xml:space="preserve">. </w:t>
      </w:r>
      <w:r w:rsidR="00B51E38">
        <w:t>In other words, SMCs c</w:t>
      </w:r>
      <w:r w:rsidR="00FC4DE0">
        <w:t>ould</w:t>
      </w:r>
      <w:r w:rsidR="00B51E38">
        <w:t xml:space="preserve"> be used for Safeguard compliance in any year to 2030, irrespective of when they are issued. </w:t>
      </w:r>
    </w:p>
    <w:p w14:paraId="28EC960E" w14:textId="57CAA2E2" w:rsidR="004C63A4" w:rsidRDefault="008E7B80" w:rsidP="0050380E">
      <w:pPr>
        <w:pStyle w:val="Calloutbox"/>
        <w:keepLines/>
      </w:pPr>
      <w:r>
        <w:t>Borrowing of up to 10 per cent of the baseline each year w</w:t>
      </w:r>
      <w:r w:rsidR="00FC4DE0">
        <w:t>ould</w:t>
      </w:r>
      <w:r>
        <w:t xml:space="preserve"> be allowed to 2030, with a 10 per cent interest rate applied in the year after borrowing occur</w:t>
      </w:r>
      <w:r w:rsidR="00BF4FE1">
        <w:t>s</w:t>
      </w:r>
      <w:r w:rsidR="00CA434C">
        <w:t xml:space="preserve">. </w:t>
      </w:r>
    </w:p>
    <w:p w14:paraId="174550C9" w14:textId="1FF2D54B" w:rsidR="008E7B80" w:rsidRDefault="00634997" w:rsidP="0050380E">
      <w:pPr>
        <w:pStyle w:val="Calloutbox"/>
        <w:keepLines/>
      </w:pPr>
      <w:r>
        <w:t>The</w:t>
      </w:r>
      <w:r w:rsidR="00BF4FE1">
        <w:t xml:space="preserve"> </w:t>
      </w:r>
      <w:r w:rsidR="00B51E38">
        <w:t>2026</w:t>
      </w:r>
      <w:r w:rsidR="00A93AC0">
        <w:t>-27</w:t>
      </w:r>
      <w:r w:rsidR="00B51E38">
        <w:t xml:space="preserve"> Safeguard Mechanism review </w:t>
      </w:r>
      <w:r w:rsidR="00BF4FE1">
        <w:t xml:space="preserve">will </w:t>
      </w:r>
      <w:r w:rsidR="008E7B80">
        <w:t>consider post-2030 arrangements for banking and borrowing</w:t>
      </w:r>
      <w:r w:rsidR="00B51E38">
        <w:t>.</w:t>
      </w:r>
    </w:p>
    <w:p w14:paraId="5938DD40" w14:textId="77777777" w:rsidR="004A0674" w:rsidRDefault="004A0674" w:rsidP="004A0674">
      <w:pPr>
        <w:pStyle w:val="Heading2"/>
      </w:pPr>
      <w:bookmarkStart w:id="843" w:name="_Toc117868000"/>
      <w:bookmarkStart w:id="844" w:name="_Toc117888014"/>
      <w:bookmarkStart w:id="845" w:name="_Toc117951458"/>
      <w:bookmarkStart w:id="846" w:name="_Toc117960105"/>
      <w:bookmarkStart w:id="847" w:name="_Toc118040366"/>
      <w:bookmarkStart w:id="848" w:name="_Toc118196218"/>
      <w:bookmarkStart w:id="849" w:name="_Toc118198387"/>
      <w:bookmarkStart w:id="850" w:name="_Toc118198802"/>
      <w:bookmarkStart w:id="851" w:name="_Toc118198993"/>
      <w:bookmarkStart w:id="852" w:name="_Toc118199547"/>
      <w:bookmarkStart w:id="853" w:name="_Toc118304119"/>
      <w:bookmarkStart w:id="854" w:name="_Toc118304150"/>
      <w:bookmarkStart w:id="855" w:name="_Toc118306352"/>
      <w:bookmarkStart w:id="856" w:name="_Toc118308344"/>
      <w:bookmarkStart w:id="857" w:name="_Toc119500915"/>
      <w:bookmarkStart w:id="858" w:name="_Toc119572370"/>
      <w:bookmarkStart w:id="859" w:name="_Toc120098965"/>
      <w:bookmarkStart w:id="860" w:name="_Toc122514445"/>
      <w:bookmarkStart w:id="861" w:name="_Toc124100695"/>
      <w:bookmarkStart w:id="862" w:name="_Toc117176819"/>
      <w:bookmarkStart w:id="863" w:name="_Toc117255422"/>
      <w:bookmarkStart w:id="864" w:name="_Toc117263163"/>
      <w:bookmarkStart w:id="865" w:name="_Toc117437244"/>
      <w:bookmarkStart w:id="866" w:name="_Toc117499192"/>
      <w:bookmarkStart w:id="867" w:name="_Toc117521039"/>
      <w:bookmarkStart w:id="868" w:name="_Toc117524786"/>
      <w:bookmarkStart w:id="869" w:name="_Toc117543977"/>
      <w:bookmarkStart w:id="870" w:name="_Toc117548328"/>
      <w:bookmarkStart w:id="871" w:name="_Toc117588646"/>
      <w:bookmarkStart w:id="872" w:name="_Toc117588690"/>
      <w:bookmarkStart w:id="873" w:name="_Toc117604808"/>
      <w:bookmarkStart w:id="874" w:name="_Toc117612890"/>
      <w:bookmarkStart w:id="875" w:name="_Toc117627728"/>
      <w:bookmarkStart w:id="876" w:name="_Toc117630393"/>
      <w:r>
        <w:t>Taking account of emerging technologies</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r>
        <w:t xml:space="preserve"> </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14:paraId="758CBCDC" w14:textId="77777777" w:rsidR="004A0674" w:rsidRDefault="00CA48E0" w:rsidP="004A0674">
      <w:pPr>
        <w:keepLines/>
        <w:widowControl w:val="0"/>
      </w:pPr>
      <w:r>
        <w:t xml:space="preserve">A central theme across industry submissions was that </w:t>
      </w:r>
      <w:r w:rsidR="004A0674">
        <w:t xml:space="preserve">many Safeguard facilities </w:t>
      </w:r>
      <w:r>
        <w:t xml:space="preserve">consider there are limited abatement </w:t>
      </w:r>
      <w:r w:rsidR="004A0674">
        <w:t>technologies</w:t>
      </w:r>
      <w:r w:rsidR="001B03B1">
        <w:t xml:space="preserve"> currently</w:t>
      </w:r>
      <w:r w:rsidR="004A0674">
        <w:t xml:space="preserve"> </w:t>
      </w:r>
      <w:r>
        <w:t>available</w:t>
      </w:r>
      <w:r w:rsidR="003A251F">
        <w:t xml:space="preserve"> to them</w:t>
      </w:r>
      <w:r>
        <w:t xml:space="preserve">. </w:t>
      </w:r>
      <w:r w:rsidR="003A251F">
        <w:t>M</w:t>
      </w:r>
      <w:r>
        <w:t>any</w:t>
      </w:r>
      <w:r w:rsidR="00EA13BE">
        <w:t xml:space="preserve"> </w:t>
      </w:r>
      <w:r w:rsidR="00296948">
        <w:t xml:space="preserve">expect </w:t>
      </w:r>
      <w:r w:rsidR="004A0674">
        <w:t xml:space="preserve">prospective abatement opportunities </w:t>
      </w:r>
      <w:r w:rsidR="00296948">
        <w:t xml:space="preserve">will </w:t>
      </w:r>
      <w:r w:rsidR="004A0674">
        <w:t xml:space="preserve">come forward in coming years, but are not available in the short term. </w:t>
      </w:r>
    </w:p>
    <w:p w14:paraId="3336313E" w14:textId="77777777" w:rsidR="007819B2" w:rsidRDefault="001B03B1" w:rsidP="004A0674">
      <w:pPr>
        <w:keepLines/>
        <w:widowControl w:val="0"/>
      </w:pPr>
      <w:r>
        <w:t xml:space="preserve">The consultation paper acknowledged this issue and </w:t>
      </w:r>
      <w:r w:rsidR="0067234A">
        <w:t>suggested that a feature of the</w:t>
      </w:r>
      <w:r w:rsidR="00434765">
        <w:t xml:space="preserve"> existing Safeguard Mechanism</w:t>
      </w:r>
      <w:r w:rsidR="003A251F">
        <w:t>—</w:t>
      </w:r>
      <w:r w:rsidR="00434765">
        <w:t>the</w:t>
      </w:r>
      <w:r w:rsidR="0067234A">
        <w:t xml:space="preserve"> multi-year monitoring period (MYMP</w:t>
      </w:r>
      <w:r w:rsidR="003A251F">
        <w:t>)—</w:t>
      </w:r>
      <w:r w:rsidR="0067234A">
        <w:t xml:space="preserve">be adapted to provide facilities with an extended </w:t>
      </w:r>
      <w:r w:rsidR="007819B2">
        <w:t xml:space="preserve">five year </w:t>
      </w:r>
      <w:r w:rsidR="0067234A">
        <w:t xml:space="preserve">period to develop and implement longer term emissions reduction projects. MYMPs allow facilities to “smooth” out abatement trajectories by </w:t>
      </w:r>
      <w:r w:rsidR="003A251F">
        <w:t>allowing facilities</w:t>
      </w:r>
      <w:r w:rsidR="0067234A">
        <w:t xml:space="preserve"> to average out an exceedance in a</w:t>
      </w:r>
      <w:r w:rsidR="0021268C">
        <w:t>n initial year (or years) with</w:t>
      </w:r>
      <w:r w:rsidR="0067234A">
        <w:t xml:space="preserve"> </w:t>
      </w:r>
      <w:r w:rsidR="00296948">
        <w:t xml:space="preserve">below-baseline emissions in </w:t>
      </w:r>
      <w:r w:rsidR="0067234A">
        <w:t xml:space="preserve">later </w:t>
      </w:r>
      <w:r w:rsidR="0021268C">
        <w:t>years</w:t>
      </w:r>
      <w:r w:rsidR="001F6EC3">
        <w:t>,</w:t>
      </w:r>
      <w:r w:rsidR="0021268C">
        <w:t xml:space="preserve"> after a facility has implemented a project</w:t>
      </w:r>
      <w:r w:rsidR="007819B2">
        <w:t>. The paper considered that access to these extended MYMPs would be based on an assessment of emerging technologies for each facility.</w:t>
      </w:r>
    </w:p>
    <w:p w14:paraId="410BF1F6" w14:textId="77777777" w:rsidR="003A6650" w:rsidRDefault="0021268C" w:rsidP="0021268C">
      <w:pPr>
        <w:keepLines/>
        <w:widowControl w:val="0"/>
      </w:pPr>
      <w:r>
        <w:t xml:space="preserve">Industry submissions generally </w:t>
      </w:r>
      <w:r w:rsidR="003A251F">
        <w:t>supported</w:t>
      </w:r>
      <w:r>
        <w:t xml:space="preserve"> the concept, though some noted that five year</w:t>
      </w:r>
      <w:r w:rsidR="003A251F">
        <w:t>s</w:t>
      </w:r>
      <w:r>
        <w:t xml:space="preserve"> might not be </w:t>
      </w:r>
      <w:r w:rsidR="003A251F">
        <w:t>long enough</w:t>
      </w:r>
      <w:r>
        <w:t xml:space="preserve"> to </w:t>
      </w:r>
      <w:r w:rsidR="003A251F">
        <w:t>implement</w:t>
      </w:r>
      <w:r>
        <w:t xml:space="preserve"> less developed technologies. </w:t>
      </w:r>
    </w:p>
    <w:p w14:paraId="024E4D6D" w14:textId="77777777" w:rsidR="003A6650" w:rsidRDefault="003A6650" w:rsidP="004A0674">
      <w:pPr>
        <w:pStyle w:val="Quote"/>
      </w:pPr>
      <w:r>
        <w:t>The Council believes that a longer multi-year monitoring period (MYMP) such as 5 years for alumina refineries and longer than 5 years for aluminium smelters will be appropriate to account for short term variations in processes and technological solutions. It needs to match the timescale for major capital investments and contractual arrangements.</w:t>
      </w:r>
    </w:p>
    <w:p w14:paraId="10FD0706" w14:textId="77777777" w:rsidR="003A6650" w:rsidRDefault="003A6650" w:rsidP="003A6650">
      <w:pPr>
        <w:jc w:val="right"/>
      </w:pPr>
      <w:r>
        <w:t>Australian Aluminium Council</w:t>
      </w:r>
    </w:p>
    <w:p w14:paraId="56031C0A" w14:textId="77777777" w:rsidR="00430C2A" w:rsidRPr="0021268C" w:rsidRDefault="00430C2A" w:rsidP="00430C2A">
      <w:pPr>
        <w:ind w:left="567"/>
        <w:rPr>
          <w:i/>
          <w:iCs/>
          <w:color w:val="404040" w:themeColor="text1" w:themeTint="BF"/>
        </w:rPr>
      </w:pPr>
      <w:r w:rsidRPr="0021268C">
        <w:rPr>
          <w:i/>
          <w:iCs/>
          <w:color w:val="404040" w:themeColor="text1" w:themeTint="BF"/>
        </w:rPr>
        <w:t>Extended multi-year monitoring periods may be a useful for allowing facilities with limited near term abatement opportunities to manage their own abatement path. This approach would deliver the same emissions result at the end of the multi-year period, but provide flexibility within that period. Being able to benefit from this depends on technology availability within the period.</w:t>
      </w:r>
    </w:p>
    <w:p w14:paraId="50579894" w14:textId="77777777" w:rsidR="00430C2A" w:rsidRDefault="00430C2A" w:rsidP="00430C2A">
      <w:pPr>
        <w:ind w:left="567"/>
        <w:jc w:val="right"/>
      </w:pPr>
      <w:r>
        <w:t>Minerals Council of Australia</w:t>
      </w:r>
    </w:p>
    <w:p w14:paraId="4B8543A7" w14:textId="77777777" w:rsidR="00826367" w:rsidRPr="0021268C" w:rsidRDefault="00826367" w:rsidP="00E02C0F">
      <w:pPr>
        <w:keepNext/>
        <w:keepLines/>
        <w:ind w:left="567"/>
        <w:rPr>
          <w:i/>
          <w:iCs/>
          <w:color w:val="404040" w:themeColor="text1" w:themeTint="BF"/>
        </w:rPr>
      </w:pPr>
      <w:proofErr w:type="spellStart"/>
      <w:r w:rsidRPr="0021268C">
        <w:rPr>
          <w:i/>
          <w:iCs/>
          <w:color w:val="404040" w:themeColor="text1" w:themeTint="BF"/>
        </w:rPr>
        <w:lastRenderedPageBreak/>
        <w:t>Idemitsu</w:t>
      </w:r>
      <w:proofErr w:type="spellEnd"/>
      <w:r w:rsidRPr="0021268C">
        <w:rPr>
          <w:i/>
          <w:iCs/>
          <w:color w:val="404040" w:themeColor="text1" w:themeTint="BF"/>
        </w:rPr>
        <w:t xml:space="preserve"> Australia supports flexibility mechanisms that allow facilities to manage their abatement path ways at least cost. Allowing extended multi-year monitoring periods will assist certain facilities to better align baseline declines with the adoption of new technologies that reduce emissions.</w:t>
      </w:r>
    </w:p>
    <w:p w14:paraId="528127FF" w14:textId="77777777" w:rsidR="00826367" w:rsidRDefault="00826367" w:rsidP="00826367">
      <w:pPr>
        <w:ind w:left="567"/>
        <w:jc w:val="right"/>
      </w:pPr>
      <w:proofErr w:type="spellStart"/>
      <w:r>
        <w:t>Idemitsu</w:t>
      </w:r>
      <w:proofErr w:type="spellEnd"/>
      <w:r>
        <w:t xml:space="preserve"> Australia</w:t>
      </w:r>
    </w:p>
    <w:p w14:paraId="3FE842AB" w14:textId="77777777" w:rsidR="00E02C0F" w:rsidRDefault="00E02C0F" w:rsidP="00E02C0F">
      <w:pPr>
        <w:keepLines/>
        <w:widowControl w:val="0"/>
      </w:pPr>
      <w:r>
        <w:t xml:space="preserve">Other submissions argued that MYMPs should not be extended as this would allow facilities to delay abatement actions. Some also highlighted potential risks to the 2030 target if facilities are allowed to extend an MYMP over 2030, and that MYMPs might reduce demand for ACCUs. </w:t>
      </w:r>
    </w:p>
    <w:p w14:paraId="4C527C94" w14:textId="77777777" w:rsidR="00333A0D" w:rsidRPr="0021268C" w:rsidRDefault="00333A0D" w:rsidP="00333A0D">
      <w:pPr>
        <w:ind w:left="567"/>
        <w:rPr>
          <w:i/>
          <w:iCs/>
          <w:color w:val="404040" w:themeColor="text1" w:themeTint="BF"/>
        </w:rPr>
      </w:pPr>
      <w:r w:rsidRPr="0021268C">
        <w:rPr>
          <w:i/>
          <w:iCs/>
          <w:color w:val="404040" w:themeColor="text1" w:themeTint="BF"/>
        </w:rPr>
        <w:t>With these flexibility features of the incoming framework – crediting and trading, and banking and borrowing – the CEC considers that multi-year monitoring periods become unnecessary, and can be phased out.</w:t>
      </w:r>
    </w:p>
    <w:p w14:paraId="1382072B" w14:textId="77777777" w:rsidR="00333A0D" w:rsidRDefault="00333A0D" w:rsidP="00333A0D">
      <w:pPr>
        <w:ind w:left="567"/>
        <w:jc w:val="right"/>
      </w:pPr>
      <w:r>
        <w:t>Clean Energy Council</w:t>
      </w:r>
    </w:p>
    <w:p w14:paraId="7E59C872" w14:textId="77777777" w:rsidR="00FC0163" w:rsidRPr="0021268C" w:rsidRDefault="00FC0163" w:rsidP="00FC0163">
      <w:pPr>
        <w:ind w:left="567"/>
        <w:rPr>
          <w:i/>
          <w:iCs/>
          <w:color w:val="404040" w:themeColor="text1" w:themeTint="BF"/>
        </w:rPr>
      </w:pPr>
      <w:r w:rsidRPr="0021268C">
        <w:rPr>
          <w:i/>
          <w:iCs/>
          <w:color w:val="404040" w:themeColor="text1" w:themeTint="BF"/>
        </w:rPr>
        <w:t>While CMI recognises that many industrial facilities do not yet have technology that will allow them to structurally decarbonise, there are no limits on offsetting proposed for the scheme as yet – therefore it would be inappropriate to extend the multi-year monitoring period provision to facilities.</w:t>
      </w:r>
    </w:p>
    <w:p w14:paraId="556BB6B9" w14:textId="77777777" w:rsidR="00FC0163" w:rsidRPr="00430C2A" w:rsidRDefault="00FC0163" w:rsidP="00FC0163">
      <w:pPr>
        <w:ind w:left="567"/>
        <w:jc w:val="right"/>
        <w:rPr>
          <w:i/>
        </w:rPr>
      </w:pPr>
      <w:r>
        <w:t>Carbon Market Institute</w:t>
      </w:r>
    </w:p>
    <w:p w14:paraId="204DB40C" w14:textId="77777777" w:rsidR="004A0674" w:rsidRDefault="008E689E" w:rsidP="004A0674">
      <w:pPr>
        <w:keepLines/>
        <w:rPr>
          <w:noProof/>
          <w:lang w:eastAsia="en-AU"/>
        </w:rPr>
      </w:pPr>
      <w:r>
        <w:t>In responding to subm</w:t>
      </w:r>
      <w:r w:rsidR="00397AAD">
        <w:t xml:space="preserve">issions, we consider that the five year MYMP would be a useful approach to recognise the available and emerging technologies in each sector without compromising the abatement </w:t>
      </w:r>
      <w:r w:rsidR="00140370">
        <w:t>outcome</w:t>
      </w:r>
      <w:r w:rsidR="00397AAD">
        <w:t>. However, we consider that el</w:t>
      </w:r>
      <w:r w:rsidR="00923F12">
        <w:t>igibility for the MYMP should focus</w:t>
      </w:r>
      <w:r w:rsidR="00794F1F">
        <w:t xml:space="preserve"> on</w:t>
      </w:r>
      <w:r w:rsidR="00397AAD">
        <w:t xml:space="preserve"> </w:t>
      </w:r>
      <w:r w:rsidR="00923F12">
        <w:t>facilities that</w:t>
      </w:r>
      <w:r w:rsidR="00397AAD">
        <w:t xml:space="preserve"> </w:t>
      </w:r>
      <w:r w:rsidR="00794F1F">
        <w:t xml:space="preserve">do </w:t>
      </w:r>
      <w:r w:rsidR="00EA0A42">
        <w:t>not have</w:t>
      </w:r>
      <w:r w:rsidR="00C91474">
        <w:t xml:space="preserve"> </w:t>
      </w:r>
      <w:r w:rsidR="00EA0A42">
        <w:t xml:space="preserve">reasonably </w:t>
      </w:r>
      <w:r w:rsidR="00C91474">
        <w:t>available technological options</w:t>
      </w:r>
      <w:r w:rsidR="00EA0A42">
        <w:t xml:space="preserve"> to avoid the initial exceedance</w:t>
      </w:r>
      <w:r w:rsidR="00C91474">
        <w:t xml:space="preserve"> </w:t>
      </w:r>
      <w:r w:rsidR="003D1209">
        <w:t xml:space="preserve">and </w:t>
      </w:r>
      <w:r w:rsidR="00923F12">
        <w:t>reasonably anticipate</w:t>
      </w:r>
      <w:r w:rsidR="00C91474">
        <w:t xml:space="preserve"> that the </w:t>
      </w:r>
      <w:r w:rsidR="0034659A">
        <w:t>facility will be able to reduce its emissions within this period</w:t>
      </w:r>
      <w:r w:rsidR="004A0674">
        <w:t xml:space="preserve"> </w:t>
      </w:r>
      <w:r w:rsidR="00DC2A8E">
        <w:t>so it</w:t>
      </w:r>
      <w:r w:rsidR="00923F12">
        <w:t xml:space="preserve">s average emissions are </w:t>
      </w:r>
      <w:r w:rsidR="00DC2A8E">
        <w:t xml:space="preserve">below </w:t>
      </w:r>
      <w:r w:rsidR="00923F12">
        <w:t>the average</w:t>
      </w:r>
      <w:r w:rsidR="00DC2A8E">
        <w:t xml:space="preserve"> baseline </w:t>
      </w:r>
      <w:r w:rsidR="00923F12">
        <w:t>over the extended period (see f</w:t>
      </w:r>
      <w:r w:rsidR="004A0674">
        <w:t xml:space="preserve">igure </w:t>
      </w:r>
      <w:r w:rsidR="00A867EB">
        <w:t>4.1)</w:t>
      </w:r>
      <w:r w:rsidR="004A0674">
        <w:t>.</w:t>
      </w:r>
      <w:r w:rsidR="004A0674" w:rsidRPr="002D6512">
        <w:rPr>
          <w:noProof/>
          <w:lang w:eastAsia="en-AU"/>
        </w:rPr>
        <w:t xml:space="preserve"> </w:t>
      </w:r>
    </w:p>
    <w:p w14:paraId="6000E5DB" w14:textId="77777777" w:rsidR="004A0674" w:rsidRPr="00A867EB" w:rsidRDefault="004A0674" w:rsidP="00A867EB">
      <w:pPr>
        <w:pStyle w:val="Caption"/>
        <w:rPr>
          <w:rStyle w:val="IntenseEmphasis"/>
          <w:i/>
          <w:color w:val="4472C4" w:themeColor="accent1"/>
        </w:rPr>
      </w:pPr>
      <w:r w:rsidRPr="00A867EB">
        <w:rPr>
          <w:rStyle w:val="IntenseEmphasis"/>
          <w:i/>
          <w:color w:val="4472C4" w:themeColor="accent1"/>
        </w:rPr>
        <w:t xml:space="preserve">Figure </w:t>
      </w:r>
      <w:r w:rsidR="00A867EB" w:rsidRPr="00A867EB">
        <w:rPr>
          <w:rStyle w:val="IntenseEmphasis"/>
          <w:i/>
          <w:color w:val="4472C4" w:themeColor="accent1"/>
        </w:rPr>
        <w:t>4.1</w:t>
      </w:r>
      <w:r w:rsidRPr="00A867EB">
        <w:rPr>
          <w:rStyle w:val="IntenseEmphasis"/>
          <w:i/>
          <w:color w:val="4472C4" w:themeColor="accent1"/>
        </w:rPr>
        <w:t>: Extended multi-year monitoring to accommodate emerging technologies</w:t>
      </w:r>
    </w:p>
    <w:p w14:paraId="1D7EF6ED" w14:textId="77777777" w:rsidR="004A0674" w:rsidRDefault="004A0674" w:rsidP="004A0674">
      <w:r>
        <w:rPr>
          <w:noProof/>
          <w:lang w:eastAsia="en-AU"/>
        </w:rPr>
        <w:drawing>
          <wp:inline distT="0" distB="0" distL="0" distR="0" wp14:anchorId="7B3E2B88" wp14:editId="1B18EBEE">
            <wp:extent cx="5047615" cy="2889885"/>
            <wp:effectExtent l="0" t="0" r="635" b="5715"/>
            <wp:docPr id="16" name="Picture 16" descr="Example of how a multi-year monitoring period could be used: a new technology is introduced in 2027-28, after which the facility’s emissions declines sharply to below the baseline. " title="Fig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7615" cy="2889885"/>
                    </a:xfrm>
                    <a:prstGeom prst="rect">
                      <a:avLst/>
                    </a:prstGeom>
                    <a:noFill/>
                  </pic:spPr>
                </pic:pic>
              </a:graphicData>
            </a:graphic>
          </wp:inline>
        </w:drawing>
      </w:r>
    </w:p>
    <w:p w14:paraId="2AD398F2" w14:textId="77777777" w:rsidR="00944686" w:rsidRDefault="005F2A39" w:rsidP="00944686">
      <w:r>
        <w:t xml:space="preserve">There would be a risk </w:t>
      </w:r>
      <w:r w:rsidR="004803DC">
        <w:t xml:space="preserve">in allowing MYMPs </w:t>
      </w:r>
      <w:r w:rsidR="003C5181">
        <w:t xml:space="preserve">to straddle 2030 </w:t>
      </w:r>
      <w:r w:rsidR="00E02C0F">
        <w:t>in terms of achieving Australia’s</w:t>
      </w:r>
      <w:r w:rsidR="003C5181">
        <w:t xml:space="preserve"> 2030 target. It is prop</w:t>
      </w:r>
      <w:r w:rsidR="00EA0A42">
        <w:t xml:space="preserve">osed that </w:t>
      </w:r>
      <w:r w:rsidR="001B5017">
        <w:t xml:space="preserve">MYMPs could not </w:t>
      </w:r>
      <w:r w:rsidR="00E02C0F">
        <w:t>extend beyond</w:t>
      </w:r>
      <w:r w:rsidR="001B5017">
        <w:t xml:space="preserve"> 2029</w:t>
      </w:r>
      <w:r w:rsidR="004803DC">
        <w:t>-</w:t>
      </w:r>
      <w:r w:rsidR="00E02C0F">
        <w:t xml:space="preserve">30, </w:t>
      </w:r>
      <w:r w:rsidR="001B5017">
        <w:t xml:space="preserve">but this </w:t>
      </w:r>
      <w:r w:rsidR="00E02C0F">
        <w:t>will</w:t>
      </w:r>
      <w:r w:rsidR="00EA0A42">
        <w:t xml:space="preserve"> be</w:t>
      </w:r>
      <w:r w:rsidR="003C5181">
        <w:t xml:space="preserve"> reviewed </w:t>
      </w:r>
      <w:r w:rsidR="00A867EB">
        <w:t>in 2026</w:t>
      </w:r>
      <w:r w:rsidR="00A93AC0">
        <w:t>-27</w:t>
      </w:r>
      <w:r w:rsidR="00E02C0F">
        <w:t>—</w:t>
      </w:r>
      <w:r w:rsidR="00E27137">
        <w:t>the first starting year for which a</w:t>
      </w:r>
      <w:r w:rsidR="00923F12">
        <w:t xml:space="preserve"> five year MYMP would go past 20</w:t>
      </w:r>
      <w:r w:rsidR="00BB2FCD">
        <w:t>29</w:t>
      </w:r>
      <w:r w:rsidR="00BB2FCD">
        <w:noBreakHyphen/>
      </w:r>
      <w:r w:rsidR="00E02C0F">
        <w:t>30</w:t>
      </w:r>
      <w:r w:rsidR="00E27137">
        <w:t>.</w:t>
      </w:r>
      <w:r w:rsidR="00C27673">
        <w:t xml:space="preserve"> </w:t>
      </w:r>
      <w:r w:rsidR="00BB2FCD">
        <w:t xml:space="preserve">In addition, facilities on </w:t>
      </w:r>
      <w:r w:rsidR="00E02C0F">
        <w:t xml:space="preserve">an </w:t>
      </w:r>
      <w:r w:rsidR="00BB2FCD">
        <w:t>MYMP will not have access to borrowing.</w:t>
      </w:r>
    </w:p>
    <w:p w14:paraId="129F5442" w14:textId="77777777" w:rsidR="00180CC2" w:rsidRDefault="00180CC2" w:rsidP="00180CC2">
      <w:pPr>
        <w:pStyle w:val="Heading3"/>
      </w:pPr>
      <w:r>
        <w:lastRenderedPageBreak/>
        <w:t>Application process</w:t>
      </w:r>
    </w:p>
    <w:p w14:paraId="05702160" w14:textId="77777777" w:rsidR="00180CC2" w:rsidRDefault="00180CC2" w:rsidP="004A0674">
      <w:r>
        <w:t xml:space="preserve">The application process for an MYMP </w:t>
      </w:r>
      <w:r w:rsidR="00420B65">
        <w:t>c</w:t>
      </w:r>
      <w:r w:rsidR="00BB40E7">
        <w:t>ould be initiated when a facility exceeds its baseline in the fi</w:t>
      </w:r>
      <w:r w:rsidR="00923F12">
        <w:t xml:space="preserve">rst year of the proposed </w:t>
      </w:r>
      <w:r w:rsidR="006B1723">
        <w:t xml:space="preserve">MYMP </w:t>
      </w:r>
      <w:r w:rsidR="00923F12">
        <w:t>period. The application</w:t>
      </w:r>
      <w:r w:rsidR="00BB40E7">
        <w:t xml:space="preserve"> </w:t>
      </w:r>
      <w:r w:rsidR="00923F12">
        <w:t>must</w:t>
      </w:r>
      <w:r w:rsidR="006249A1">
        <w:t xml:space="preserve"> </w:t>
      </w:r>
      <w:r w:rsidR="00923F12">
        <w:t>include</w:t>
      </w:r>
      <w:r w:rsidR="006249A1">
        <w:t xml:space="preserve"> a </w:t>
      </w:r>
      <w:r w:rsidR="00923F12">
        <w:t>declaration—</w:t>
      </w:r>
      <w:r w:rsidR="006249A1">
        <w:t>signed by the responsible financial officer</w:t>
      </w:r>
      <w:r w:rsidR="00923F12">
        <w:t>—</w:t>
      </w:r>
      <w:r w:rsidR="006249A1">
        <w:t xml:space="preserve">stating </w:t>
      </w:r>
      <w:r>
        <w:t>that</w:t>
      </w:r>
      <w:r w:rsidR="00BB40E7">
        <w:t xml:space="preserve"> technology was not available to allow the facility to avoid the exceedance in that first year</w:t>
      </w:r>
      <w:r w:rsidR="00923F12">
        <w:t>,</w:t>
      </w:r>
      <w:r w:rsidR="004D293B">
        <w:t xml:space="preserve"> but that technology has either subsequently become available or will become available such that the facility can avoid a </w:t>
      </w:r>
      <w:r w:rsidR="00DC2A8E">
        <w:t xml:space="preserve">cumulative </w:t>
      </w:r>
      <w:r w:rsidR="004D293B">
        <w:t>liability at the end of the relevant period.</w:t>
      </w:r>
      <w:r w:rsidR="00DC2A8E">
        <w:t xml:space="preserve"> This means that a facility not only needs to be below its baseline in the final year, but that it needs to have been sufficiently below its baseline in one or more years </w:t>
      </w:r>
      <w:r w:rsidR="002B0547">
        <w:t xml:space="preserve">such </w:t>
      </w:r>
      <w:r w:rsidR="00DC2A8E">
        <w:t>that these below baseline years more than offset the years that the facility is over its baseline</w:t>
      </w:r>
      <w:r w:rsidR="00696F28">
        <w:t>.</w:t>
      </w:r>
      <w:r w:rsidR="00DC2A8E">
        <w:t xml:space="preserve"> </w:t>
      </w:r>
    </w:p>
    <w:p w14:paraId="39BD1899" w14:textId="77777777" w:rsidR="001F7736" w:rsidRDefault="001F7736" w:rsidP="004A0674">
      <w:r>
        <w:t xml:space="preserve">Facilities </w:t>
      </w:r>
      <w:r w:rsidR="00923F12">
        <w:t>must</w:t>
      </w:r>
      <w:r>
        <w:t xml:space="preserve"> demonstrate to the Clean Energy Regulator that they have a plan in place and a credible basis </w:t>
      </w:r>
      <w:r w:rsidR="00923F12">
        <w:t xml:space="preserve">for providing </w:t>
      </w:r>
      <w:r w:rsidR="001F6EC3">
        <w:t xml:space="preserve">a </w:t>
      </w:r>
      <w:r w:rsidR="00923F12">
        <w:t xml:space="preserve">declaration </w:t>
      </w:r>
      <w:r>
        <w:t xml:space="preserve">that the facility </w:t>
      </w:r>
      <w:r w:rsidR="00944686">
        <w:t xml:space="preserve">is </w:t>
      </w:r>
      <w:r w:rsidR="00420B65">
        <w:t>not expected</w:t>
      </w:r>
      <w:r w:rsidR="00944686">
        <w:t xml:space="preserve"> to</w:t>
      </w:r>
      <w:r>
        <w:t xml:space="preserve"> be in exceedance a</w:t>
      </w:r>
      <w:r w:rsidR="00944686">
        <w:t xml:space="preserve">t the end of the period. </w:t>
      </w:r>
      <w:r w:rsidR="006249A1">
        <w:t>I</w:t>
      </w:r>
      <w:r w:rsidR="00944686">
        <w:t>t is intended that SMCs would not be provid</w:t>
      </w:r>
      <w:r w:rsidR="00923F12">
        <w:t xml:space="preserve">ed at the end of the period. However, </w:t>
      </w:r>
      <w:r w:rsidR="00944686">
        <w:t xml:space="preserve">the facility may </w:t>
      </w:r>
      <w:r w:rsidR="00923F12">
        <w:t>choose</w:t>
      </w:r>
      <w:r w:rsidR="00944686">
        <w:t xml:space="preserve"> to reduce the period of the MYMP once the facility has offset the initial exceedance.</w:t>
      </w:r>
    </w:p>
    <w:p w14:paraId="26656C51" w14:textId="41ED69ED" w:rsidR="00923F12" w:rsidRDefault="00F47913" w:rsidP="00923F12">
      <w:pPr>
        <w:pStyle w:val="Calloutbox"/>
      </w:pPr>
      <w:r>
        <w:t xml:space="preserve">Five year multi-year monitoring periods </w:t>
      </w:r>
      <w:r w:rsidR="00BF4FE1">
        <w:t xml:space="preserve">(up to 2030) </w:t>
      </w:r>
      <w:r>
        <w:t>w</w:t>
      </w:r>
      <w:r w:rsidR="00FC4DE0">
        <w:t>ould</w:t>
      </w:r>
      <w:r>
        <w:t xml:space="preserve"> be available where a facility has exceeded its baseline due to a lack of available technology, but has a firm and credible plan in place to reduce cumulative emissions before the end of the five year period</w:t>
      </w:r>
      <w:r w:rsidR="00923F12">
        <w:t xml:space="preserve">.  </w:t>
      </w:r>
    </w:p>
    <w:p w14:paraId="1BF924E3" w14:textId="77777777" w:rsidR="004A0674" w:rsidRDefault="000E35DD" w:rsidP="004A0674">
      <w:pPr>
        <w:pStyle w:val="Heading2"/>
      </w:pPr>
      <w:bookmarkStart w:id="877" w:name="_Toc117868001"/>
      <w:bookmarkStart w:id="878" w:name="_Toc117888015"/>
      <w:bookmarkStart w:id="879" w:name="_Toc117951459"/>
      <w:bookmarkStart w:id="880" w:name="_Toc117960106"/>
      <w:bookmarkStart w:id="881" w:name="_Toc118040367"/>
      <w:bookmarkStart w:id="882" w:name="_Toc118196219"/>
      <w:bookmarkStart w:id="883" w:name="_Toc118198388"/>
      <w:bookmarkStart w:id="884" w:name="_Toc118198803"/>
      <w:bookmarkStart w:id="885" w:name="_Toc118198994"/>
      <w:bookmarkStart w:id="886" w:name="_Toc118199548"/>
      <w:bookmarkStart w:id="887" w:name="_Toc118304120"/>
      <w:bookmarkStart w:id="888" w:name="_Toc118304151"/>
      <w:bookmarkStart w:id="889" w:name="_Toc118306353"/>
      <w:bookmarkStart w:id="890" w:name="_Toc118308345"/>
      <w:bookmarkStart w:id="891" w:name="_Toc119500916"/>
      <w:bookmarkStart w:id="892" w:name="_Toc119572371"/>
      <w:bookmarkStart w:id="893" w:name="_Toc120098966"/>
      <w:bookmarkStart w:id="894" w:name="_Toc122514446"/>
      <w:bookmarkStart w:id="895" w:name="_Toc124100696"/>
      <w:bookmarkStart w:id="896" w:name="_Toc117176820"/>
      <w:bookmarkStart w:id="897" w:name="_Toc117255423"/>
      <w:bookmarkStart w:id="898" w:name="_Toc117263164"/>
      <w:bookmarkStart w:id="899" w:name="_Toc117437245"/>
      <w:bookmarkStart w:id="900" w:name="_Toc117499193"/>
      <w:bookmarkStart w:id="901" w:name="_Toc117521040"/>
      <w:bookmarkStart w:id="902" w:name="_Toc117524787"/>
      <w:bookmarkStart w:id="903" w:name="_Toc117543978"/>
      <w:bookmarkStart w:id="904" w:name="_Toc117548329"/>
      <w:bookmarkStart w:id="905" w:name="_Toc117588647"/>
      <w:bookmarkStart w:id="906" w:name="_Toc117588691"/>
      <w:bookmarkStart w:id="907" w:name="_Toc117604809"/>
      <w:bookmarkStart w:id="908" w:name="_Toc117612891"/>
      <w:bookmarkStart w:id="909" w:name="_Toc117627729"/>
      <w:bookmarkStart w:id="910" w:name="_Toc117630394"/>
      <w:r>
        <w:t>Cost containment</w:t>
      </w:r>
      <w:r w:rsidR="003D69E3">
        <w:t xml:space="preserve"> </w:t>
      </w:r>
      <w:bookmarkEnd w:id="877"/>
      <w:bookmarkEnd w:id="878"/>
      <w:bookmarkEnd w:id="879"/>
      <w:bookmarkEnd w:id="880"/>
      <w:r w:rsidR="00916446">
        <w:t>measure</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r w:rsidR="003D69E3">
        <w:t xml:space="preserve"> </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4008DA8D" w14:textId="77777777" w:rsidR="00334457" w:rsidRPr="00563A18" w:rsidRDefault="00334457" w:rsidP="00037E96">
      <w:pPr>
        <w:pStyle w:val="Quote"/>
        <w:ind w:left="0"/>
        <w:rPr>
          <w:rStyle w:val="QuoteChar"/>
          <w:color w:val="000000" w:themeColor="text1"/>
        </w:rPr>
      </w:pPr>
      <w:r w:rsidRPr="008F38BB">
        <w:rPr>
          <w:rStyle w:val="QuoteChar"/>
          <w:color w:val="000000" w:themeColor="text1"/>
        </w:rPr>
        <w:t xml:space="preserve">Consultation revealed widespread concerns about </w:t>
      </w:r>
      <w:r w:rsidR="00065850" w:rsidRPr="008F38BB">
        <w:rPr>
          <w:rStyle w:val="QuoteChar"/>
          <w:color w:val="000000" w:themeColor="text1"/>
        </w:rPr>
        <w:t xml:space="preserve">price risks, including due to potential </w:t>
      </w:r>
      <w:r w:rsidRPr="008F38BB">
        <w:rPr>
          <w:rStyle w:val="QuoteChar"/>
          <w:color w:val="000000" w:themeColor="text1"/>
        </w:rPr>
        <w:t xml:space="preserve">ACCU market supply constraints. Many </w:t>
      </w:r>
      <w:r w:rsidR="00BF1359" w:rsidRPr="008F38BB">
        <w:rPr>
          <w:rStyle w:val="QuoteChar"/>
          <w:color w:val="000000" w:themeColor="text1"/>
        </w:rPr>
        <w:t>want</w:t>
      </w:r>
      <w:r w:rsidRPr="008F38BB">
        <w:rPr>
          <w:rStyle w:val="QuoteChar"/>
          <w:color w:val="000000" w:themeColor="text1"/>
        </w:rPr>
        <w:t xml:space="preserve"> access to international units or </w:t>
      </w:r>
      <w:r w:rsidR="00BF1359" w:rsidRPr="008F38BB">
        <w:rPr>
          <w:rStyle w:val="QuoteChar"/>
          <w:color w:val="000000" w:themeColor="text1"/>
        </w:rPr>
        <w:t>a</w:t>
      </w:r>
      <w:r w:rsidRPr="008F38BB">
        <w:rPr>
          <w:rStyle w:val="QuoteChar"/>
          <w:color w:val="000000" w:themeColor="text1"/>
        </w:rPr>
        <w:t xml:space="preserve"> </w:t>
      </w:r>
      <w:r w:rsidR="000E35DD" w:rsidRPr="00A867EB">
        <w:rPr>
          <w:rStyle w:val="QuoteChar"/>
          <w:color w:val="000000" w:themeColor="text1"/>
        </w:rPr>
        <w:t>cost</w:t>
      </w:r>
      <w:r w:rsidR="000E35DD" w:rsidRPr="008F38BB">
        <w:rPr>
          <w:rStyle w:val="QuoteChar"/>
          <w:color w:val="000000" w:themeColor="text1"/>
        </w:rPr>
        <w:t xml:space="preserve"> containment</w:t>
      </w:r>
      <w:r w:rsidRPr="008F38BB">
        <w:rPr>
          <w:rStyle w:val="QuoteChar"/>
          <w:color w:val="000000" w:themeColor="text1"/>
        </w:rPr>
        <w:t xml:space="preserve"> measure to help manage these risks. </w:t>
      </w:r>
    </w:p>
    <w:p w14:paraId="2EB53501" w14:textId="77777777" w:rsidR="00F13A34" w:rsidRDefault="00F13A34" w:rsidP="00F13A34">
      <w:pPr>
        <w:pStyle w:val="Quote"/>
      </w:pPr>
      <w:r>
        <w:t>The government must include an additional pathway, similar to the Renewable Energy Target (RET) shortfall charge or price cap in other international schemes, for facilities to satisfy compliance obligations and manage upside price and scheme risks by paying per tonne of CO</w:t>
      </w:r>
      <w:r>
        <w:rPr>
          <w:sz w:val="13"/>
          <w:szCs w:val="13"/>
        </w:rPr>
        <w:t>2</w:t>
      </w:r>
      <w:r>
        <w:t xml:space="preserve">-e. This is in addition to safeguard mechanism credits, the existing official carbon credit systems (Australian Carbon Credit Units), and international credits. </w:t>
      </w:r>
    </w:p>
    <w:p w14:paraId="78BF42C6" w14:textId="77777777" w:rsidR="00F13A34" w:rsidRDefault="00F13A34" w:rsidP="00F13A34">
      <w:pPr>
        <w:pStyle w:val="IntenseQuote"/>
      </w:pPr>
      <w:r>
        <w:t>Minerals Council of Australia</w:t>
      </w:r>
    </w:p>
    <w:p w14:paraId="68F29C0A" w14:textId="075DE6D1" w:rsidR="00F37C65" w:rsidRDefault="00BF1359" w:rsidP="00550030">
      <w:r>
        <w:t>The</w:t>
      </w:r>
      <w:r w:rsidR="00B73FED">
        <w:t xml:space="preserve"> Government proposes to implement a </w:t>
      </w:r>
      <w:r w:rsidR="000E35DD">
        <w:t>cost containment</w:t>
      </w:r>
      <w:r w:rsidR="00B73FED">
        <w:t xml:space="preserve"> measure </w:t>
      </w:r>
      <w:r>
        <w:t xml:space="preserve">to prevent excessive prices. </w:t>
      </w:r>
      <w:r w:rsidR="000B084D">
        <w:t xml:space="preserve">We note the </w:t>
      </w:r>
      <w:r w:rsidR="00666F54">
        <w:t xml:space="preserve">existing </w:t>
      </w:r>
      <w:r w:rsidR="000B084D">
        <w:t>Safeguard Mechanism has a range of enforcement measures, including a penalty for non-comp</w:t>
      </w:r>
      <w:r w:rsidR="00F37C65">
        <w:t>liance (discussed in section 7</w:t>
      </w:r>
      <w:r w:rsidR="000B084D">
        <w:t xml:space="preserve">). However, Safeguard facilities made it clear in previous consultations that a penalty for non-compliance cannot function as a </w:t>
      </w:r>
      <w:r w:rsidR="000E35DD">
        <w:t>cost containment</w:t>
      </w:r>
      <w:r w:rsidR="000B084D">
        <w:t xml:space="preserve"> measure</w:t>
      </w:r>
      <w:r w:rsidR="00F37C65">
        <w:t>,</w:t>
      </w:r>
      <w:r w:rsidR="000B084D">
        <w:t xml:space="preserve"> because their reputation as good corporate citizens is paramount and they will always meet their legal obligations. </w:t>
      </w:r>
      <w:r w:rsidR="00666F54">
        <w:t>In addition, the Government does not expect to collect any penalty revenue from these Safeguard changes.</w:t>
      </w:r>
      <w:r w:rsidR="00667D67">
        <w:t xml:space="preserve"> </w:t>
      </w:r>
      <w:r w:rsidR="000B084D">
        <w:t xml:space="preserve">Instead, the </w:t>
      </w:r>
      <w:r w:rsidR="000E35DD">
        <w:t>cost</w:t>
      </w:r>
      <w:r w:rsidR="000B084D">
        <w:t xml:space="preserve"> containment measure </w:t>
      </w:r>
      <w:r>
        <w:t xml:space="preserve">will be implemented through </w:t>
      </w:r>
      <w:r w:rsidR="009B13E1">
        <w:t xml:space="preserve">the Government sale of ACCUs </w:t>
      </w:r>
      <w:r>
        <w:t xml:space="preserve">to </w:t>
      </w:r>
      <w:r w:rsidR="009B13E1">
        <w:t xml:space="preserve">Safeguard facilities at a fixed price </w:t>
      </w:r>
      <w:r w:rsidR="00F76BE4">
        <w:t xml:space="preserve">when </w:t>
      </w:r>
      <w:r w:rsidR="009B13E1">
        <w:t>they need them for compliance</w:t>
      </w:r>
      <w:r w:rsidR="00F76BE4">
        <w:t xml:space="preserve">. </w:t>
      </w:r>
      <w:r w:rsidR="003E75F6">
        <w:t xml:space="preserve">ACCUs </w:t>
      </w:r>
      <w:r w:rsidR="00D2485C">
        <w:t>can only be purchased by</w:t>
      </w:r>
      <w:r w:rsidR="003E75F6">
        <w:t xml:space="preserve"> </w:t>
      </w:r>
      <w:r w:rsidR="00D2485C">
        <w:t>liable entities</w:t>
      </w:r>
      <w:r w:rsidR="003E75F6">
        <w:t xml:space="preserve"> and will be automatically surrendered </w:t>
      </w:r>
      <w:r w:rsidR="00D2485C">
        <w:t xml:space="preserve">for Safeguard Mechanism compliance </w:t>
      </w:r>
      <w:r w:rsidR="003E75F6">
        <w:t xml:space="preserve">against a current or </w:t>
      </w:r>
      <w:r w:rsidR="00D2485C">
        <w:t>prior</w:t>
      </w:r>
      <w:r w:rsidR="003E75F6">
        <w:t xml:space="preserve"> year. ACCUs sold by the Government cannot be held and used in future years. </w:t>
      </w:r>
      <w:r w:rsidR="001E4C99">
        <w:t xml:space="preserve">ACCUs that have been delivered to the Government in the past would not be </w:t>
      </w:r>
      <w:r w:rsidR="00F37C65">
        <w:t>sold. T</w:t>
      </w:r>
      <w:r w:rsidR="001E4C99">
        <w:t xml:space="preserve">he Government would </w:t>
      </w:r>
      <w:r w:rsidR="00F37C65">
        <w:t>only</w:t>
      </w:r>
      <w:r w:rsidR="001E4C99">
        <w:t xml:space="preserve"> use ACCUs delivered under contract following the necessary legislative changes. </w:t>
      </w:r>
    </w:p>
    <w:p w14:paraId="0FFB95BF" w14:textId="0B567476" w:rsidR="00B73FED" w:rsidRDefault="009E46E3" w:rsidP="00550030">
      <w:r>
        <w:t>The</w:t>
      </w:r>
      <w:r w:rsidR="00B73FED">
        <w:t xml:space="preserve"> Government proposes a price of $</w:t>
      </w:r>
      <w:r w:rsidR="00FA6F2C">
        <w:t>75</w:t>
      </w:r>
      <w:r w:rsidR="00B73FED">
        <w:t xml:space="preserve"> </w:t>
      </w:r>
      <w:r>
        <w:t xml:space="preserve">per tonne </w:t>
      </w:r>
      <w:r w:rsidRPr="00B83BF6">
        <w:t>CO</w:t>
      </w:r>
      <w:r w:rsidRPr="00B83BF6">
        <w:rPr>
          <w:vertAlign w:val="subscript"/>
        </w:rPr>
        <w:t>2</w:t>
      </w:r>
      <w:r w:rsidRPr="00B83BF6">
        <w:noBreakHyphen/>
        <w:t>e</w:t>
      </w:r>
      <w:r>
        <w:t xml:space="preserve"> in 2023-24,</w:t>
      </w:r>
      <w:r w:rsidR="00B73FED">
        <w:t xml:space="preserve"> </w:t>
      </w:r>
      <w:r w:rsidR="00FA6F2C">
        <w:t xml:space="preserve">increasing </w:t>
      </w:r>
      <w:r w:rsidR="00370AD6">
        <w:t>with the CPI</w:t>
      </w:r>
      <w:r w:rsidR="00271718">
        <w:t xml:space="preserve"> plus 2 per</w:t>
      </w:r>
      <w:r w:rsidR="00C93ECD">
        <w:t xml:space="preserve"> </w:t>
      </w:r>
      <w:r w:rsidR="00271718">
        <w:t>cent</w:t>
      </w:r>
      <w:r w:rsidR="00884489">
        <w:t xml:space="preserve"> each year</w:t>
      </w:r>
      <w:r w:rsidR="00B73FED">
        <w:t xml:space="preserve">. </w:t>
      </w:r>
      <w:r w:rsidR="00FC4DE0">
        <w:t>This will prevent excessive price vo</w:t>
      </w:r>
      <w:r w:rsidR="009F7CDA">
        <w:t>latility</w:t>
      </w:r>
      <w:r w:rsidR="00667D67">
        <w:t xml:space="preserve"> and upside price risk</w:t>
      </w:r>
      <w:r w:rsidR="009F7CDA">
        <w:t xml:space="preserve"> without </w:t>
      </w:r>
      <w:r w:rsidR="009F7CDA">
        <w:lastRenderedPageBreak/>
        <w:t>impeding the development of the offset and SMC market.</w:t>
      </w:r>
      <w:r w:rsidR="00FC4DE0">
        <w:t xml:space="preserve"> </w:t>
      </w:r>
      <w:r w:rsidR="00271718">
        <w:t>Any</w:t>
      </w:r>
      <w:r w:rsidR="00F76BE4">
        <w:t xml:space="preserve"> funds received would be used to support additional </w:t>
      </w:r>
      <w:r w:rsidR="009B13E1">
        <w:t xml:space="preserve">abatement and </w:t>
      </w:r>
      <w:r w:rsidR="00F76BE4">
        <w:t>decarbonisation</w:t>
      </w:r>
      <w:r w:rsidR="009B13E1">
        <w:t xml:space="preserve"> to meet Australia’s targets</w:t>
      </w:r>
      <w:r w:rsidR="00F76BE4">
        <w:t xml:space="preserve">. </w:t>
      </w:r>
    </w:p>
    <w:p w14:paraId="41AC8ACA" w14:textId="77777777" w:rsidR="00F76BE4" w:rsidRDefault="00F76BE4" w:rsidP="00F76BE4">
      <w:r>
        <w:t xml:space="preserve">The Government will review </w:t>
      </w:r>
      <w:r w:rsidR="000E35DD">
        <w:t>cost containment</w:t>
      </w:r>
      <w:r w:rsidR="0041185E">
        <w:t xml:space="preserve"> arrangements in 2026-27</w:t>
      </w:r>
      <w:r>
        <w:t xml:space="preserve">. </w:t>
      </w:r>
    </w:p>
    <w:p w14:paraId="13554F63" w14:textId="62BD4920" w:rsidR="00B73FED" w:rsidRPr="00350E95" w:rsidRDefault="00634997" w:rsidP="00FF5D77">
      <w:pPr>
        <w:pStyle w:val="Calloutbox"/>
      </w:pPr>
      <w:r>
        <w:t xml:space="preserve">A cost containment measure would make Government-held ACCUs available at </w:t>
      </w:r>
      <w:r w:rsidR="00B73FED">
        <w:t>$</w:t>
      </w:r>
      <w:r w:rsidR="00FA6F2C">
        <w:t>75</w:t>
      </w:r>
      <w:r w:rsidR="00B73FED">
        <w:t xml:space="preserve"> per </w:t>
      </w:r>
      <w:r w:rsidR="00BF1359">
        <w:t xml:space="preserve">tonne of </w:t>
      </w:r>
      <w:r w:rsidR="00BF1359" w:rsidRPr="00B83BF6">
        <w:t>CO</w:t>
      </w:r>
      <w:r w:rsidR="00BF1359" w:rsidRPr="00B83BF6">
        <w:rPr>
          <w:vertAlign w:val="subscript"/>
        </w:rPr>
        <w:t>2</w:t>
      </w:r>
      <w:r w:rsidR="00BF1359" w:rsidRPr="00B83BF6">
        <w:noBreakHyphen/>
        <w:t>e</w:t>
      </w:r>
      <w:r w:rsidR="00BF1359">
        <w:t xml:space="preserve"> in 2023-24,</w:t>
      </w:r>
      <w:r w:rsidR="00B73FED">
        <w:t xml:space="preserve"> </w:t>
      </w:r>
      <w:r w:rsidR="00FA6F2C">
        <w:t xml:space="preserve">increasing </w:t>
      </w:r>
      <w:r w:rsidR="00370AD6">
        <w:t>with the CPI</w:t>
      </w:r>
      <w:r w:rsidR="00271718">
        <w:t xml:space="preserve"> plus 2 per</w:t>
      </w:r>
      <w:r w:rsidR="00C93ECD">
        <w:t xml:space="preserve"> </w:t>
      </w:r>
      <w:r w:rsidR="00271718">
        <w:t>cent</w:t>
      </w:r>
      <w:r w:rsidR="00884489">
        <w:t xml:space="preserve"> each year</w:t>
      </w:r>
      <w:r w:rsidR="00B73FED">
        <w:t xml:space="preserve">.  </w:t>
      </w:r>
    </w:p>
    <w:p w14:paraId="4AD340F0" w14:textId="77777777" w:rsidR="00DD779B" w:rsidRPr="001A3F0D" w:rsidRDefault="00DD779B" w:rsidP="002A1509">
      <w:pPr>
        <w:pStyle w:val="Heading2"/>
      </w:pPr>
      <w:bookmarkStart w:id="911" w:name="_Toc118040369"/>
      <w:bookmarkStart w:id="912" w:name="_Toc118196221"/>
      <w:bookmarkStart w:id="913" w:name="_Toc118198390"/>
      <w:bookmarkStart w:id="914" w:name="_Toc118198805"/>
      <w:bookmarkStart w:id="915" w:name="_Toc118198996"/>
      <w:bookmarkStart w:id="916" w:name="_Toc118199550"/>
      <w:bookmarkStart w:id="917" w:name="_Toc118304122"/>
      <w:bookmarkStart w:id="918" w:name="_Toc118304153"/>
      <w:bookmarkStart w:id="919" w:name="_Toc118306355"/>
      <w:bookmarkStart w:id="920" w:name="_Toc118308347"/>
      <w:bookmarkStart w:id="921" w:name="_Toc119500917"/>
      <w:bookmarkStart w:id="922" w:name="_Toc119572372"/>
      <w:bookmarkStart w:id="923" w:name="_Toc120098967"/>
      <w:bookmarkStart w:id="924" w:name="_Toc122514447"/>
      <w:bookmarkStart w:id="925" w:name="_Toc124100697"/>
      <w:bookmarkStart w:id="926" w:name="_Toc117176822"/>
      <w:bookmarkStart w:id="927" w:name="_Toc117255425"/>
      <w:bookmarkStart w:id="928" w:name="_Toc117263166"/>
      <w:bookmarkStart w:id="929" w:name="_Toc117437247"/>
      <w:bookmarkStart w:id="930" w:name="_Toc117499195"/>
      <w:bookmarkStart w:id="931" w:name="_Toc117521042"/>
      <w:bookmarkStart w:id="932" w:name="_Toc117524789"/>
      <w:bookmarkStart w:id="933" w:name="_Toc117543979"/>
      <w:bookmarkStart w:id="934" w:name="_Toc117548330"/>
      <w:bookmarkStart w:id="935" w:name="_Toc117588648"/>
      <w:bookmarkStart w:id="936" w:name="_Toc117588692"/>
      <w:bookmarkStart w:id="937" w:name="_Toc117604810"/>
      <w:bookmarkStart w:id="938" w:name="_Toc117612892"/>
      <w:bookmarkStart w:id="939" w:name="_Toc117627730"/>
      <w:bookmarkStart w:id="940" w:name="_Toc117630395"/>
      <w:bookmarkStart w:id="941" w:name="_Toc117868002"/>
      <w:bookmarkStart w:id="942" w:name="_Toc117888017"/>
      <w:bookmarkStart w:id="943" w:name="_Toc117951461"/>
      <w:bookmarkStart w:id="944" w:name="_Toc117960108"/>
      <w:r>
        <w:t>Compliance dates</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256F04F7" w14:textId="77777777" w:rsidR="00DD779B" w:rsidRDefault="00DD779B" w:rsidP="00DD779B">
      <w:pPr>
        <w:rPr>
          <w:lang w:val="en-GB"/>
        </w:rPr>
      </w:pPr>
      <w:r>
        <w:rPr>
          <w:lang w:val="en-GB"/>
        </w:rPr>
        <w:t>Some changes to compliance dates are needed to implement Safeguard Mechanism reforms. These changes are summarised in the below table and figure. The proposed compliance timing allows SMCs to be issued after emissions are verified, with sufficient time for facilities to trade them before the compliance surrender deadline.</w:t>
      </w:r>
    </w:p>
    <w:p w14:paraId="2F1E400A" w14:textId="77777777" w:rsidR="00DD779B" w:rsidRPr="00383299" w:rsidRDefault="00BF1359" w:rsidP="00996540">
      <w:pPr>
        <w:pStyle w:val="Caption"/>
        <w:rPr>
          <w:lang w:val="en-GB"/>
        </w:rPr>
      </w:pPr>
      <w:r>
        <w:rPr>
          <w:lang w:val="en-GB"/>
        </w:rPr>
        <w:t>Table 4</w:t>
      </w:r>
      <w:r w:rsidR="00DD779B">
        <w:rPr>
          <w:lang w:val="en-GB"/>
        </w:rPr>
        <w:t>.</w:t>
      </w:r>
      <w:r w:rsidR="007B2573">
        <w:rPr>
          <w:lang w:val="en-GB"/>
        </w:rPr>
        <w:t>1</w:t>
      </w:r>
      <w:r w:rsidR="00DD779B" w:rsidRPr="00383299">
        <w:rPr>
          <w:lang w:val="en-GB"/>
        </w:rPr>
        <w:t>: Key compliance dates</w:t>
      </w:r>
    </w:p>
    <w:tbl>
      <w:tblPr>
        <w:tblStyle w:val="GridTable4-Accent5"/>
        <w:tblW w:w="9209" w:type="dxa"/>
        <w:tblLook w:val="04A0" w:firstRow="1" w:lastRow="0" w:firstColumn="1" w:lastColumn="0" w:noHBand="0" w:noVBand="1"/>
      </w:tblPr>
      <w:tblGrid>
        <w:gridCol w:w="3375"/>
        <w:gridCol w:w="1413"/>
        <w:gridCol w:w="1444"/>
        <w:gridCol w:w="2977"/>
      </w:tblGrid>
      <w:tr w:rsidR="00DD779B" w14:paraId="16178911" w14:textId="77777777" w:rsidTr="00243DA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75" w:type="dxa"/>
          </w:tcPr>
          <w:p w14:paraId="368B7DF9" w14:textId="77777777" w:rsidR="00DD779B" w:rsidRDefault="00DD779B" w:rsidP="00243DA1">
            <w:pPr>
              <w:keepNext/>
              <w:keepLines/>
              <w:rPr>
                <w:color w:val="000000"/>
                <w:lang w:eastAsia="en-AU"/>
              </w:rPr>
            </w:pPr>
            <w:r>
              <w:rPr>
                <w:color w:val="000000"/>
                <w:lang w:eastAsia="en-AU"/>
              </w:rPr>
              <w:t>Timing Item</w:t>
            </w:r>
          </w:p>
        </w:tc>
        <w:tc>
          <w:tcPr>
            <w:tcW w:w="1413" w:type="dxa"/>
          </w:tcPr>
          <w:p w14:paraId="206C9818" w14:textId="77777777" w:rsidR="00DD779B" w:rsidRDefault="00DD779B" w:rsidP="00243DA1">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en-AU"/>
              </w:rPr>
            </w:pPr>
            <w:r>
              <w:rPr>
                <w:color w:val="000000"/>
                <w:lang w:eastAsia="en-AU"/>
              </w:rPr>
              <w:t>Current Date</w:t>
            </w:r>
          </w:p>
        </w:tc>
        <w:tc>
          <w:tcPr>
            <w:tcW w:w="1444" w:type="dxa"/>
          </w:tcPr>
          <w:p w14:paraId="01139402" w14:textId="77777777" w:rsidR="00DD779B" w:rsidRDefault="00DD779B" w:rsidP="00243DA1">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en-AU"/>
              </w:rPr>
            </w:pPr>
            <w:r>
              <w:rPr>
                <w:color w:val="000000"/>
                <w:lang w:eastAsia="en-AU"/>
              </w:rPr>
              <w:t>New Date</w:t>
            </w:r>
          </w:p>
        </w:tc>
        <w:tc>
          <w:tcPr>
            <w:tcW w:w="2977" w:type="dxa"/>
          </w:tcPr>
          <w:p w14:paraId="6721C88C" w14:textId="77777777" w:rsidR="00DD779B" w:rsidRDefault="00DD779B" w:rsidP="00243DA1">
            <w:pPr>
              <w:keepNext/>
              <w:keepLines/>
              <w:jc w:val="center"/>
              <w:cnfStyle w:val="100000000000" w:firstRow="1" w:lastRow="0" w:firstColumn="0" w:lastColumn="0" w:oddVBand="0" w:evenVBand="0" w:oddHBand="0" w:evenHBand="0" w:firstRowFirstColumn="0" w:firstRowLastColumn="0" w:lastRowFirstColumn="0" w:lastRowLastColumn="0"/>
              <w:rPr>
                <w:color w:val="000000"/>
                <w:lang w:eastAsia="en-AU"/>
              </w:rPr>
            </w:pPr>
            <w:r>
              <w:rPr>
                <w:color w:val="000000"/>
                <w:lang w:eastAsia="en-AU"/>
              </w:rPr>
              <w:t>Notes</w:t>
            </w:r>
          </w:p>
        </w:tc>
      </w:tr>
      <w:tr w:rsidR="00342DD5" w14:paraId="6561B1BD" w14:textId="77777777" w:rsidTr="00243DA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75" w:type="dxa"/>
          </w:tcPr>
          <w:p w14:paraId="1FF206D4" w14:textId="77777777" w:rsidR="00342DD5" w:rsidRDefault="00342DD5" w:rsidP="00243DA1">
            <w:pPr>
              <w:keepNext/>
              <w:keepLines/>
              <w:spacing w:before="60" w:after="60"/>
              <w:rPr>
                <w:color w:val="000000"/>
                <w:lang w:eastAsia="en-AU"/>
              </w:rPr>
            </w:pPr>
            <w:r>
              <w:t>Application for site-specific emissions intensity values</w:t>
            </w:r>
          </w:p>
        </w:tc>
        <w:tc>
          <w:tcPr>
            <w:tcW w:w="1413" w:type="dxa"/>
          </w:tcPr>
          <w:p w14:paraId="22FCA897" w14:textId="77777777" w:rsidR="00342DD5" w:rsidRDefault="00342DD5" w:rsidP="00243DA1">
            <w:pPr>
              <w:keepNext/>
              <w:keepLines/>
              <w:spacing w:before="60" w:after="60"/>
              <w:jc w:val="center"/>
              <w:cnfStyle w:val="000000100000" w:firstRow="0" w:lastRow="0" w:firstColumn="0" w:lastColumn="0" w:oddVBand="0" w:evenVBand="0" w:oddHBand="1" w:evenHBand="0" w:firstRowFirstColumn="0" w:firstRowLastColumn="0" w:lastRowFirstColumn="0" w:lastRowLastColumn="0"/>
              <w:rPr>
                <w:color w:val="000000"/>
                <w:lang w:eastAsia="en-AU"/>
              </w:rPr>
            </w:pPr>
          </w:p>
        </w:tc>
        <w:tc>
          <w:tcPr>
            <w:tcW w:w="1444" w:type="dxa"/>
          </w:tcPr>
          <w:p w14:paraId="51DC7DD3" w14:textId="77777777" w:rsidR="00342DD5" w:rsidRDefault="00342DD5" w:rsidP="00243DA1">
            <w:pPr>
              <w:keepNext/>
              <w:keepLines/>
              <w:spacing w:before="60" w:after="60"/>
              <w:jc w:val="center"/>
              <w:cnfStyle w:val="000000100000" w:firstRow="0" w:lastRow="0" w:firstColumn="0" w:lastColumn="0" w:oddVBand="0" w:evenVBand="0" w:oddHBand="1" w:evenHBand="0" w:firstRowFirstColumn="0" w:firstRowLastColumn="0" w:lastRowFirstColumn="0" w:lastRowLastColumn="0"/>
              <w:rPr>
                <w:color w:val="000000"/>
                <w:lang w:eastAsia="en-AU"/>
              </w:rPr>
            </w:pPr>
            <w:r>
              <w:rPr>
                <w:color w:val="000000"/>
                <w:lang w:eastAsia="en-AU"/>
              </w:rPr>
              <w:t>30 April 2024</w:t>
            </w:r>
          </w:p>
        </w:tc>
        <w:tc>
          <w:tcPr>
            <w:tcW w:w="2977" w:type="dxa"/>
          </w:tcPr>
          <w:p w14:paraId="12D3E0BF" w14:textId="77777777" w:rsidR="00342DD5" w:rsidRDefault="00342DD5" w:rsidP="00243DA1">
            <w:pPr>
              <w:keepNext/>
              <w:keepLines/>
              <w:spacing w:before="60" w:after="60"/>
              <w:jc w:val="center"/>
              <w:cnfStyle w:val="000000100000" w:firstRow="0" w:lastRow="0" w:firstColumn="0" w:lastColumn="0" w:oddVBand="0" w:evenVBand="0" w:oddHBand="1" w:evenHBand="0" w:firstRowFirstColumn="0" w:firstRowLastColumn="0" w:lastRowFirstColumn="0" w:lastRowLastColumn="0"/>
              <w:rPr>
                <w:color w:val="000000"/>
                <w:lang w:eastAsia="en-AU"/>
              </w:rPr>
            </w:pPr>
            <w:r>
              <w:rPr>
                <w:color w:val="000000"/>
                <w:lang w:eastAsia="en-AU"/>
              </w:rPr>
              <w:t>New item</w:t>
            </w:r>
          </w:p>
        </w:tc>
      </w:tr>
      <w:tr w:rsidR="00DD779B" w14:paraId="45EDBFC9" w14:textId="77777777" w:rsidTr="00243DA1">
        <w:trPr>
          <w:cantSplit/>
        </w:trPr>
        <w:tc>
          <w:tcPr>
            <w:cnfStyle w:val="001000000000" w:firstRow="0" w:lastRow="0" w:firstColumn="1" w:lastColumn="0" w:oddVBand="0" w:evenVBand="0" w:oddHBand="0" w:evenHBand="0" w:firstRowFirstColumn="0" w:firstRowLastColumn="0" w:lastRowFirstColumn="0" w:lastRowLastColumn="0"/>
            <w:tcW w:w="3375" w:type="dxa"/>
          </w:tcPr>
          <w:p w14:paraId="6FEC7BE5" w14:textId="77777777" w:rsidR="00DD779B" w:rsidRDefault="00DD779B" w:rsidP="00243DA1">
            <w:pPr>
              <w:keepNext/>
              <w:keepLines/>
              <w:spacing w:before="60" w:after="60"/>
              <w:rPr>
                <w:color w:val="000000"/>
                <w:lang w:eastAsia="en-AU"/>
              </w:rPr>
            </w:pPr>
            <w:r>
              <w:rPr>
                <w:color w:val="000000"/>
                <w:lang w:eastAsia="en-AU"/>
              </w:rPr>
              <w:t xml:space="preserve">NGERS reporting </w:t>
            </w:r>
            <w:r w:rsidR="00645EEE">
              <w:rPr>
                <w:color w:val="000000"/>
                <w:lang w:eastAsia="en-AU"/>
              </w:rPr>
              <w:t xml:space="preserve">(emissions </w:t>
            </w:r>
            <w:r>
              <w:rPr>
                <w:color w:val="000000"/>
                <w:lang w:eastAsia="en-AU"/>
              </w:rPr>
              <w:t xml:space="preserve">and </w:t>
            </w:r>
            <w:r w:rsidR="00645EEE">
              <w:rPr>
                <w:color w:val="000000"/>
                <w:lang w:eastAsia="en-AU"/>
              </w:rPr>
              <w:t>production)</w:t>
            </w:r>
          </w:p>
        </w:tc>
        <w:tc>
          <w:tcPr>
            <w:tcW w:w="1413" w:type="dxa"/>
          </w:tcPr>
          <w:p w14:paraId="5E59F108" w14:textId="77777777" w:rsidR="00DD779B" w:rsidRDefault="00DD779B" w:rsidP="00243DA1">
            <w:pPr>
              <w:keepNext/>
              <w:keepLines/>
              <w:spacing w:before="60" w:after="60"/>
              <w:jc w:val="center"/>
              <w:cnfStyle w:val="000000000000" w:firstRow="0" w:lastRow="0" w:firstColumn="0" w:lastColumn="0" w:oddVBand="0" w:evenVBand="0" w:oddHBand="0" w:evenHBand="0" w:firstRowFirstColumn="0" w:firstRowLastColumn="0" w:lastRowFirstColumn="0" w:lastRowLastColumn="0"/>
              <w:rPr>
                <w:color w:val="000000"/>
                <w:lang w:eastAsia="en-AU"/>
              </w:rPr>
            </w:pPr>
            <w:r>
              <w:rPr>
                <w:color w:val="000000"/>
                <w:lang w:eastAsia="en-AU"/>
              </w:rPr>
              <w:t>31 October</w:t>
            </w:r>
          </w:p>
        </w:tc>
        <w:tc>
          <w:tcPr>
            <w:tcW w:w="1444" w:type="dxa"/>
          </w:tcPr>
          <w:p w14:paraId="3B80AF07" w14:textId="77777777" w:rsidR="00DD779B" w:rsidRDefault="00DD779B" w:rsidP="00243DA1">
            <w:pPr>
              <w:keepNext/>
              <w:keepLines/>
              <w:spacing w:before="60" w:after="60"/>
              <w:jc w:val="center"/>
              <w:cnfStyle w:val="000000000000" w:firstRow="0" w:lastRow="0" w:firstColumn="0" w:lastColumn="0" w:oddVBand="0" w:evenVBand="0" w:oddHBand="0" w:evenHBand="0" w:firstRowFirstColumn="0" w:firstRowLastColumn="0" w:lastRowFirstColumn="0" w:lastRowLastColumn="0"/>
              <w:rPr>
                <w:color w:val="000000"/>
                <w:lang w:eastAsia="en-AU"/>
              </w:rPr>
            </w:pPr>
            <w:r>
              <w:rPr>
                <w:color w:val="000000"/>
                <w:lang w:eastAsia="en-AU"/>
              </w:rPr>
              <w:t>31 October</w:t>
            </w:r>
          </w:p>
        </w:tc>
        <w:tc>
          <w:tcPr>
            <w:tcW w:w="2977" w:type="dxa"/>
          </w:tcPr>
          <w:p w14:paraId="52C76154" w14:textId="77777777" w:rsidR="00DD779B" w:rsidRDefault="00645EEE" w:rsidP="00243DA1">
            <w:pPr>
              <w:keepNext/>
              <w:keepLines/>
              <w:spacing w:before="60" w:after="60"/>
              <w:jc w:val="center"/>
              <w:cnfStyle w:val="000000000000" w:firstRow="0" w:lastRow="0" w:firstColumn="0" w:lastColumn="0" w:oddVBand="0" w:evenVBand="0" w:oddHBand="0" w:evenHBand="0" w:firstRowFirstColumn="0" w:firstRowLastColumn="0" w:lastRowFirstColumn="0" w:lastRowLastColumn="0"/>
              <w:rPr>
                <w:color w:val="000000"/>
                <w:lang w:eastAsia="en-AU"/>
              </w:rPr>
            </w:pPr>
            <w:r>
              <w:rPr>
                <w:color w:val="000000"/>
                <w:lang w:eastAsia="en-AU"/>
              </w:rPr>
              <w:t>NGERS reporting deadline unchanged</w:t>
            </w:r>
          </w:p>
        </w:tc>
      </w:tr>
      <w:tr w:rsidR="00472D4F" w14:paraId="26D2913D" w14:textId="77777777" w:rsidTr="00243DA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75" w:type="dxa"/>
          </w:tcPr>
          <w:p w14:paraId="4CE36DEA" w14:textId="77777777" w:rsidR="00472D4F" w:rsidRDefault="00472D4F" w:rsidP="00243DA1">
            <w:pPr>
              <w:keepNext/>
              <w:keepLines/>
              <w:spacing w:before="60" w:after="60"/>
              <w:rPr>
                <w:color w:val="000000"/>
                <w:lang w:eastAsia="en-AU"/>
              </w:rPr>
            </w:pPr>
            <w:r>
              <w:rPr>
                <w:color w:val="000000"/>
                <w:lang w:eastAsia="en-AU"/>
              </w:rPr>
              <w:t>EITE status application due</w:t>
            </w:r>
          </w:p>
        </w:tc>
        <w:tc>
          <w:tcPr>
            <w:tcW w:w="1413" w:type="dxa"/>
          </w:tcPr>
          <w:p w14:paraId="4BFC996D" w14:textId="77777777" w:rsidR="00472D4F" w:rsidRDefault="00472D4F" w:rsidP="00243DA1">
            <w:pPr>
              <w:keepNext/>
              <w:keepLines/>
              <w:spacing w:before="60" w:after="60"/>
              <w:jc w:val="center"/>
              <w:cnfStyle w:val="000000100000" w:firstRow="0" w:lastRow="0" w:firstColumn="0" w:lastColumn="0" w:oddVBand="0" w:evenVBand="0" w:oddHBand="1" w:evenHBand="0" w:firstRowFirstColumn="0" w:firstRowLastColumn="0" w:lastRowFirstColumn="0" w:lastRowLastColumn="0"/>
              <w:rPr>
                <w:color w:val="000000"/>
                <w:lang w:eastAsia="en-AU"/>
              </w:rPr>
            </w:pPr>
          </w:p>
        </w:tc>
        <w:tc>
          <w:tcPr>
            <w:tcW w:w="1444" w:type="dxa"/>
          </w:tcPr>
          <w:p w14:paraId="3496C842" w14:textId="77777777" w:rsidR="00472D4F" w:rsidRDefault="00472D4F" w:rsidP="00243DA1">
            <w:pPr>
              <w:keepNext/>
              <w:keepLines/>
              <w:spacing w:before="60" w:after="60"/>
              <w:jc w:val="center"/>
              <w:cnfStyle w:val="000000100000" w:firstRow="0" w:lastRow="0" w:firstColumn="0" w:lastColumn="0" w:oddVBand="0" w:evenVBand="0" w:oddHBand="1" w:evenHBand="0" w:firstRowFirstColumn="0" w:firstRowLastColumn="0" w:lastRowFirstColumn="0" w:lastRowLastColumn="0"/>
              <w:rPr>
                <w:color w:val="000000"/>
                <w:lang w:eastAsia="en-AU"/>
              </w:rPr>
            </w:pPr>
            <w:r>
              <w:rPr>
                <w:color w:val="000000"/>
                <w:lang w:eastAsia="en-AU"/>
              </w:rPr>
              <w:t>31 October</w:t>
            </w:r>
          </w:p>
        </w:tc>
        <w:tc>
          <w:tcPr>
            <w:tcW w:w="2977" w:type="dxa"/>
          </w:tcPr>
          <w:p w14:paraId="178D67C4" w14:textId="77777777" w:rsidR="00472D4F" w:rsidRDefault="00472D4F" w:rsidP="00243DA1">
            <w:pPr>
              <w:keepNext/>
              <w:keepLines/>
              <w:spacing w:before="60" w:after="60"/>
              <w:jc w:val="center"/>
              <w:cnfStyle w:val="000000100000" w:firstRow="0" w:lastRow="0" w:firstColumn="0" w:lastColumn="0" w:oddVBand="0" w:evenVBand="0" w:oddHBand="1" w:evenHBand="0" w:firstRowFirstColumn="0" w:firstRowLastColumn="0" w:lastRowFirstColumn="0" w:lastRowLastColumn="0"/>
              <w:rPr>
                <w:color w:val="000000"/>
                <w:lang w:eastAsia="en-AU"/>
              </w:rPr>
            </w:pPr>
            <w:r>
              <w:rPr>
                <w:color w:val="000000"/>
                <w:lang w:eastAsia="en-AU"/>
              </w:rPr>
              <w:t>New Item</w:t>
            </w:r>
          </w:p>
        </w:tc>
      </w:tr>
      <w:tr w:rsidR="0056751A" w14:paraId="29992174" w14:textId="77777777" w:rsidTr="002F07B0">
        <w:trPr>
          <w:cantSplit/>
        </w:trPr>
        <w:tc>
          <w:tcPr>
            <w:cnfStyle w:val="001000000000" w:firstRow="0" w:lastRow="0" w:firstColumn="1" w:lastColumn="0" w:oddVBand="0" w:evenVBand="0" w:oddHBand="0" w:evenHBand="0" w:firstRowFirstColumn="0" w:firstRowLastColumn="0" w:lastRowFirstColumn="0" w:lastRowLastColumn="0"/>
            <w:tcW w:w="3375" w:type="dxa"/>
          </w:tcPr>
          <w:p w14:paraId="771A8C20" w14:textId="77777777" w:rsidR="0056751A" w:rsidRDefault="0056751A" w:rsidP="002F07B0">
            <w:pPr>
              <w:keepNext/>
              <w:keepLines/>
              <w:spacing w:before="60" w:after="60"/>
              <w:rPr>
                <w:color w:val="000000"/>
                <w:lang w:eastAsia="en-AU"/>
              </w:rPr>
            </w:pPr>
            <w:r>
              <w:rPr>
                <w:color w:val="000000"/>
                <w:lang w:eastAsia="en-AU"/>
              </w:rPr>
              <w:t>MYMP applications due</w:t>
            </w:r>
          </w:p>
        </w:tc>
        <w:tc>
          <w:tcPr>
            <w:tcW w:w="1413" w:type="dxa"/>
          </w:tcPr>
          <w:p w14:paraId="507EA5F4" w14:textId="77777777" w:rsidR="0056751A" w:rsidRDefault="0056751A" w:rsidP="002F07B0">
            <w:pPr>
              <w:keepNext/>
              <w:keepLines/>
              <w:spacing w:before="60" w:after="60"/>
              <w:jc w:val="center"/>
              <w:cnfStyle w:val="000000000000" w:firstRow="0" w:lastRow="0" w:firstColumn="0" w:lastColumn="0" w:oddVBand="0" w:evenVBand="0" w:oddHBand="0" w:evenHBand="0" w:firstRowFirstColumn="0" w:firstRowLastColumn="0" w:lastRowFirstColumn="0" w:lastRowLastColumn="0"/>
              <w:rPr>
                <w:color w:val="000000"/>
                <w:lang w:eastAsia="en-AU"/>
              </w:rPr>
            </w:pPr>
            <w:r>
              <w:rPr>
                <w:color w:val="000000"/>
                <w:lang w:eastAsia="en-AU"/>
              </w:rPr>
              <w:t>1 February</w:t>
            </w:r>
          </w:p>
        </w:tc>
        <w:tc>
          <w:tcPr>
            <w:tcW w:w="1444" w:type="dxa"/>
          </w:tcPr>
          <w:p w14:paraId="25B16513" w14:textId="77777777" w:rsidR="0056751A" w:rsidRDefault="0056751A" w:rsidP="002F07B0">
            <w:pPr>
              <w:keepNext/>
              <w:keepLines/>
              <w:spacing w:before="60" w:after="60"/>
              <w:jc w:val="center"/>
              <w:cnfStyle w:val="000000000000" w:firstRow="0" w:lastRow="0" w:firstColumn="0" w:lastColumn="0" w:oddVBand="0" w:evenVBand="0" w:oddHBand="0" w:evenHBand="0" w:firstRowFirstColumn="0" w:firstRowLastColumn="0" w:lastRowFirstColumn="0" w:lastRowLastColumn="0"/>
              <w:rPr>
                <w:color w:val="000000"/>
                <w:lang w:eastAsia="en-AU"/>
              </w:rPr>
            </w:pPr>
            <w:r>
              <w:rPr>
                <w:color w:val="000000"/>
                <w:lang w:eastAsia="en-AU"/>
              </w:rPr>
              <w:t>15 November</w:t>
            </w:r>
          </w:p>
        </w:tc>
        <w:tc>
          <w:tcPr>
            <w:tcW w:w="2977" w:type="dxa"/>
          </w:tcPr>
          <w:p w14:paraId="217F3ECE" w14:textId="77777777" w:rsidR="0056751A" w:rsidRDefault="0056751A" w:rsidP="002F07B0">
            <w:pPr>
              <w:keepNext/>
              <w:keepLines/>
              <w:spacing w:before="60" w:after="60"/>
              <w:jc w:val="center"/>
              <w:cnfStyle w:val="000000000000" w:firstRow="0" w:lastRow="0" w:firstColumn="0" w:lastColumn="0" w:oddVBand="0" w:evenVBand="0" w:oddHBand="0" w:evenHBand="0" w:firstRowFirstColumn="0" w:firstRowLastColumn="0" w:lastRowFirstColumn="0" w:lastRowLastColumn="0"/>
              <w:rPr>
                <w:color w:val="000000"/>
                <w:lang w:eastAsia="en-AU"/>
              </w:rPr>
            </w:pPr>
            <w:r>
              <w:rPr>
                <w:color w:val="000000"/>
                <w:lang w:eastAsia="en-AU"/>
              </w:rPr>
              <w:t>Brought forward 2.5 months</w:t>
            </w:r>
          </w:p>
        </w:tc>
      </w:tr>
      <w:tr w:rsidR="00DD779B" w14:paraId="1354838C" w14:textId="77777777" w:rsidTr="00243DA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75" w:type="dxa"/>
          </w:tcPr>
          <w:p w14:paraId="72A536F4" w14:textId="77777777" w:rsidR="00DD779B" w:rsidRDefault="00645EEE" w:rsidP="00243DA1">
            <w:pPr>
              <w:keepNext/>
              <w:keepLines/>
              <w:spacing w:before="60" w:after="60"/>
              <w:rPr>
                <w:color w:val="000000"/>
                <w:lang w:eastAsia="en-AU"/>
              </w:rPr>
            </w:pPr>
            <w:r>
              <w:rPr>
                <w:color w:val="000000"/>
                <w:lang w:eastAsia="en-AU"/>
              </w:rPr>
              <w:t xml:space="preserve">Position statement and </w:t>
            </w:r>
            <w:r w:rsidR="0005477E">
              <w:rPr>
                <w:color w:val="000000"/>
                <w:lang w:eastAsia="en-AU"/>
              </w:rPr>
              <w:t xml:space="preserve">final </w:t>
            </w:r>
            <w:r w:rsidR="00DD779B">
              <w:rPr>
                <w:color w:val="000000"/>
                <w:lang w:eastAsia="en-AU"/>
              </w:rPr>
              <w:t>SMCs issued</w:t>
            </w:r>
            <w:r w:rsidR="00A731F4">
              <w:rPr>
                <w:color w:val="000000"/>
                <w:lang w:eastAsia="en-AU"/>
              </w:rPr>
              <w:t xml:space="preserve">, MYMPs assigned </w:t>
            </w:r>
          </w:p>
        </w:tc>
        <w:tc>
          <w:tcPr>
            <w:tcW w:w="1413" w:type="dxa"/>
          </w:tcPr>
          <w:p w14:paraId="473A2A59" w14:textId="77777777" w:rsidR="00DD779B" w:rsidRDefault="00DD779B" w:rsidP="00243DA1">
            <w:pPr>
              <w:keepNext/>
              <w:keepLines/>
              <w:spacing w:before="60" w:after="60"/>
              <w:jc w:val="center"/>
              <w:cnfStyle w:val="000000100000" w:firstRow="0" w:lastRow="0" w:firstColumn="0" w:lastColumn="0" w:oddVBand="0" w:evenVBand="0" w:oddHBand="1" w:evenHBand="0" w:firstRowFirstColumn="0" w:firstRowLastColumn="0" w:lastRowFirstColumn="0" w:lastRowLastColumn="0"/>
              <w:rPr>
                <w:color w:val="000000"/>
                <w:lang w:eastAsia="en-AU"/>
              </w:rPr>
            </w:pPr>
          </w:p>
        </w:tc>
        <w:tc>
          <w:tcPr>
            <w:tcW w:w="1444" w:type="dxa"/>
          </w:tcPr>
          <w:p w14:paraId="1D776DFA" w14:textId="77777777" w:rsidR="00DD779B" w:rsidRDefault="00DD779B" w:rsidP="00243DA1">
            <w:pPr>
              <w:keepNext/>
              <w:keepLines/>
              <w:spacing w:before="60" w:after="60"/>
              <w:jc w:val="center"/>
              <w:cnfStyle w:val="000000100000" w:firstRow="0" w:lastRow="0" w:firstColumn="0" w:lastColumn="0" w:oddVBand="0" w:evenVBand="0" w:oddHBand="1" w:evenHBand="0" w:firstRowFirstColumn="0" w:firstRowLastColumn="0" w:lastRowFirstColumn="0" w:lastRowLastColumn="0"/>
              <w:rPr>
                <w:color w:val="000000"/>
                <w:lang w:eastAsia="en-AU"/>
              </w:rPr>
            </w:pPr>
            <w:r w:rsidRPr="00645EEE">
              <w:rPr>
                <w:color w:val="000000"/>
                <w:lang w:eastAsia="en-AU"/>
              </w:rPr>
              <w:t>31 January</w:t>
            </w:r>
            <w:r w:rsidR="00342DD5">
              <w:rPr>
                <w:color w:val="000000"/>
                <w:lang w:eastAsia="en-AU"/>
              </w:rPr>
              <w:t>*</w:t>
            </w:r>
          </w:p>
        </w:tc>
        <w:tc>
          <w:tcPr>
            <w:tcW w:w="2977" w:type="dxa"/>
          </w:tcPr>
          <w:p w14:paraId="09C2DAE7" w14:textId="77777777" w:rsidR="00DD779B" w:rsidRDefault="00DD779B" w:rsidP="00243DA1">
            <w:pPr>
              <w:keepNext/>
              <w:keepLines/>
              <w:spacing w:before="60" w:after="60"/>
              <w:jc w:val="center"/>
              <w:cnfStyle w:val="000000100000" w:firstRow="0" w:lastRow="0" w:firstColumn="0" w:lastColumn="0" w:oddVBand="0" w:evenVBand="0" w:oddHBand="1" w:evenHBand="0" w:firstRowFirstColumn="0" w:firstRowLastColumn="0" w:lastRowFirstColumn="0" w:lastRowLastColumn="0"/>
              <w:rPr>
                <w:color w:val="000000"/>
                <w:lang w:eastAsia="en-AU"/>
              </w:rPr>
            </w:pPr>
            <w:r>
              <w:rPr>
                <w:color w:val="000000"/>
                <w:lang w:eastAsia="en-AU"/>
              </w:rPr>
              <w:t>New item</w:t>
            </w:r>
          </w:p>
        </w:tc>
      </w:tr>
      <w:tr w:rsidR="00DD779B" w14:paraId="578A4B52" w14:textId="77777777" w:rsidTr="00243DA1">
        <w:trPr>
          <w:cantSplit/>
        </w:trPr>
        <w:tc>
          <w:tcPr>
            <w:cnfStyle w:val="001000000000" w:firstRow="0" w:lastRow="0" w:firstColumn="1" w:lastColumn="0" w:oddVBand="0" w:evenVBand="0" w:oddHBand="0" w:evenHBand="0" w:firstRowFirstColumn="0" w:firstRowLastColumn="0" w:lastRowFirstColumn="0" w:lastRowLastColumn="0"/>
            <w:tcW w:w="3375" w:type="dxa"/>
          </w:tcPr>
          <w:p w14:paraId="2C474B1B" w14:textId="77777777" w:rsidR="00DD779B" w:rsidRDefault="00DD779B" w:rsidP="00243DA1">
            <w:pPr>
              <w:keepNext/>
              <w:keepLines/>
              <w:spacing w:before="60" w:after="60"/>
              <w:rPr>
                <w:color w:val="000000"/>
                <w:lang w:eastAsia="en-AU"/>
              </w:rPr>
            </w:pPr>
            <w:r>
              <w:rPr>
                <w:color w:val="000000"/>
                <w:lang w:eastAsia="en-AU"/>
              </w:rPr>
              <w:t xml:space="preserve">Borrowing </w:t>
            </w:r>
            <w:r w:rsidR="00183CD7">
              <w:rPr>
                <w:color w:val="000000"/>
                <w:lang w:eastAsia="en-AU"/>
              </w:rPr>
              <w:t>application</w:t>
            </w:r>
          </w:p>
        </w:tc>
        <w:tc>
          <w:tcPr>
            <w:tcW w:w="1413" w:type="dxa"/>
          </w:tcPr>
          <w:p w14:paraId="46191BF5" w14:textId="77777777" w:rsidR="00DD779B" w:rsidRDefault="00DD779B" w:rsidP="00243DA1">
            <w:pPr>
              <w:keepNext/>
              <w:keepLines/>
              <w:spacing w:before="60" w:after="60"/>
              <w:jc w:val="center"/>
              <w:cnfStyle w:val="000000000000" w:firstRow="0" w:lastRow="0" w:firstColumn="0" w:lastColumn="0" w:oddVBand="0" w:evenVBand="0" w:oddHBand="0" w:evenHBand="0" w:firstRowFirstColumn="0" w:firstRowLastColumn="0" w:lastRowFirstColumn="0" w:lastRowLastColumn="0"/>
              <w:rPr>
                <w:color w:val="000000"/>
                <w:lang w:eastAsia="en-AU"/>
              </w:rPr>
            </w:pPr>
          </w:p>
        </w:tc>
        <w:tc>
          <w:tcPr>
            <w:tcW w:w="1444" w:type="dxa"/>
          </w:tcPr>
          <w:p w14:paraId="4C5254FA" w14:textId="77777777" w:rsidR="00DD779B" w:rsidRPr="00E000CF" w:rsidRDefault="00DD779B" w:rsidP="00243DA1">
            <w:pPr>
              <w:keepNext/>
              <w:keepLines/>
              <w:spacing w:before="60" w:after="60"/>
              <w:jc w:val="center"/>
              <w:cnfStyle w:val="000000000000" w:firstRow="0" w:lastRow="0" w:firstColumn="0" w:lastColumn="0" w:oddVBand="0" w:evenVBand="0" w:oddHBand="0" w:evenHBand="0" w:firstRowFirstColumn="0" w:firstRowLastColumn="0" w:lastRowFirstColumn="0" w:lastRowLastColumn="0"/>
              <w:rPr>
                <w:color w:val="000000"/>
                <w:lang w:eastAsia="en-AU"/>
              </w:rPr>
            </w:pPr>
            <w:r w:rsidRPr="00645EEE">
              <w:rPr>
                <w:color w:val="000000"/>
                <w:lang w:eastAsia="en-AU"/>
              </w:rPr>
              <w:t>28 February</w:t>
            </w:r>
          </w:p>
        </w:tc>
        <w:tc>
          <w:tcPr>
            <w:tcW w:w="2977" w:type="dxa"/>
          </w:tcPr>
          <w:p w14:paraId="0D92E5E5" w14:textId="77777777" w:rsidR="00DD779B" w:rsidRDefault="00DD779B" w:rsidP="00243DA1">
            <w:pPr>
              <w:keepNext/>
              <w:keepLines/>
              <w:spacing w:before="60" w:after="60"/>
              <w:jc w:val="center"/>
              <w:cnfStyle w:val="000000000000" w:firstRow="0" w:lastRow="0" w:firstColumn="0" w:lastColumn="0" w:oddVBand="0" w:evenVBand="0" w:oddHBand="0" w:evenHBand="0" w:firstRowFirstColumn="0" w:firstRowLastColumn="0" w:lastRowFirstColumn="0" w:lastRowLastColumn="0"/>
              <w:rPr>
                <w:color w:val="000000"/>
                <w:lang w:eastAsia="en-AU"/>
              </w:rPr>
            </w:pPr>
            <w:r>
              <w:rPr>
                <w:color w:val="000000"/>
                <w:lang w:eastAsia="en-AU"/>
              </w:rPr>
              <w:t>New item</w:t>
            </w:r>
          </w:p>
        </w:tc>
      </w:tr>
      <w:tr w:rsidR="00DD779B" w14:paraId="64F47400" w14:textId="77777777" w:rsidTr="00243DA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75" w:type="dxa"/>
          </w:tcPr>
          <w:p w14:paraId="6F786D6A" w14:textId="77777777" w:rsidR="00DD779B" w:rsidRDefault="00DD779B" w:rsidP="00243DA1">
            <w:pPr>
              <w:keepNext/>
              <w:keepLines/>
              <w:spacing w:before="60" w:after="60"/>
              <w:rPr>
                <w:color w:val="000000"/>
                <w:lang w:eastAsia="en-AU"/>
              </w:rPr>
            </w:pPr>
            <w:r>
              <w:rPr>
                <w:color w:val="000000"/>
                <w:lang w:eastAsia="en-AU"/>
              </w:rPr>
              <w:t>ACCU &amp; SMC surrender deadline</w:t>
            </w:r>
          </w:p>
        </w:tc>
        <w:tc>
          <w:tcPr>
            <w:tcW w:w="1413" w:type="dxa"/>
          </w:tcPr>
          <w:p w14:paraId="7A0A7989" w14:textId="77777777" w:rsidR="00DD779B" w:rsidRDefault="00DD779B" w:rsidP="00243DA1">
            <w:pPr>
              <w:keepNext/>
              <w:keepLines/>
              <w:spacing w:before="60" w:after="60"/>
              <w:jc w:val="center"/>
              <w:cnfStyle w:val="000000100000" w:firstRow="0" w:lastRow="0" w:firstColumn="0" w:lastColumn="0" w:oddVBand="0" w:evenVBand="0" w:oddHBand="1" w:evenHBand="0" w:firstRowFirstColumn="0" w:firstRowLastColumn="0" w:lastRowFirstColumn="0" w:lastRowLastColumn="0"/>
              <w:rPr>
                <w:color w:val="000000"/>
                <w:lang w:eastAsia="en-AU"/>
              </w:rPr>
            </w:pPr>
            <w:r>
              <w:rPr>
                <w:color w:val="000000"/>
                <w:lang w:eastAsia="en-AU"/>
              </w:rPr>
              <w:t>28 February</w:t>
            </w:r>
          </w:p>
        </w:tc>
        <w:tc>
          <w:tcPr>
            <w:tcW w:w="1444" w:type="dxa"/>
          </w:tcPr>
          <w:p w14:paraId="7EE56AB0" w14:textId="77777777" w:rsidR="00DD779B" w:rsidRPr="00E000CF" w:rsidRDefault="00DD779B" w:rsidP="00243DA1">
            <w:pPr>
              <w:keepNext/>
              <w:keepLines/>
              <w:spacing w:before="60" w:after="60"/>
              <w:jc w:val="center"/>
              <w:cnfStyle w:val="000000100000" w:firstRow="0" w:lastRow="0" w:firstColumn="0" w:lastColumn="0" w:oddVBand="0" w:evenVBand="0" w:oddHBand="1" w:evenHBand="0" w:firstRowFirstColumn="0" w:firstRowLastColumn="0" w:lastRowFirstColumn="0" w:lastRowLastColumn="0"/>
              <w:rPr>
                <w:color w:val="000000"/>
                <w:lang w:eastAsia="en-AU"/>
              </w:rPr>
            </w:pPr>
            <w:r>
              <w:rPr>
                <w:color w:val="000000"/>
                <w:lang w:eastAsia="en-AU"/>
              </w:rPr>
              <w:t>31</w:t>
            </w:r>
            <w:r w:rsidRPr="00E000CF">
              <w:rPr>
                <w:color w:val="000000"/>
                <w:lang w:eastAsia="en-AU"/>
              </w:rPr>
              <w:t xml:space="preserve"> March</w:t>
            </w:r>
          </w:p>
        </w:tc>
        <w:tc>
          <w:tcPr>
            <w:tcW w:w="2977" w:type="dxa"/>
          </w:tcPr>
          <w:p w14:paraId="423ACDC2" w14:textId="77777777" w:rsidR="00DD779B" w:rsidRDefault="00DD779B" w:rsidP="00243DA1">
            <w:pPr>
              <w:keepNext/>
              <w:keepLines/>
              <w:spacing w:before="60" w:after="60"/>
              <w:jc w:val="center"/>
              <w:cnfStyle w:val="000000100000" w:firstRow="0" w:lastRow="0" w:firstColumn="0" w:lastColumn="0" w:oddVBand="0" w:evenVBand="0" w:oddHBand="1" w:evenHBand="0" w:firstRowFirstColumn="0" w:firstRowLastColumn="0" w:lastRowFirstColumn="0" w:lastRowLastColumn="0"/>
              <w:rPr>
                <w:color w:val="000000"/>
                <w:lang w:eastAsia="en-AU"/>
              </w:rPr>
            </w:pPr>
            <w:r>
              <w:rPr>
                <w:color w:val="000000"/>
                <w:lang w:eastAsia="en-AU"/>
              </w:rPr>
              <w:t>1 month extension</w:t>
            </w:r>
          </w:p>
        </w:tc>
      </w:tr>
      <w:tr w:rsidR="00DD779B" w14:paraId="2A5E76A8" w14:textId="77777777" w:rsidTr="00243DA1">
        <w:trPr>
          <w:cantSplit/>
        </w:trPr>
        <w:tc>
          <w:tcPr>
            <w:cnfStyle w:val="001000000000" w:firstRow="0" w:lastRow="0" w:firstColumn="1" w:lastColumn="0" w:oddVBand="0" w:evenVBand="0" w:oddHBand="0" w:evenHBand="0" w:firstRowFirstColumn="0" w:firstRowLastColumn="0" w:lastRowFirstColumn="0" w:lastRowLastColumn="0"/>
            <w:tcW w:w="3375" w:type="dxa"/>
          </w:tcPr>
          <w:p w14:paraId="11130CC1" w14:textId="77777777" w:rsidR="00DD779B" w:rsidRDefault="00DD779B" w:rsidP="00243DA1">
            <w:pPr>
              <w:keepNext/>
              <w:keepLines/>
              <w:spacing w:before="60" w:after="60"/>
              <w:rPr>
                <w:color w:val="000000"/>
                <w:lang w:eastAsia="en-AU"/>
              </w:rPr>
            </w:pPr>
            <w:r>
              <w:rPr>
                <w:color w:val="000000"/>
                <w:lang w:eastAsia="en-AU"/>
              </w:rPr>
              <w:t>CER compliance publication</w:t>
            </w:r>
          </w:p>
        </w:tc>
        <w:tc>
          <w:tcPr>
            <w:tcW w:w="1413" w:type="dxa"/>
          </w:tcPr>
          <w:p w14:paraId="22DCF90B" w14:textId="77777777" w:rsidR="00DD779B" w:rsidRDefault="000B7B69" w:rsidP="00243DA1">
            <w:pPr>
              <w:keepNext/>
              <w:keepLines/>
              <w:spacing w:before="60" w:after="60"/>
              <w:jc w:val="center"/>
              <w:cnfStyle w:val="000000000000" w:firstRow="0" w:lastRow="0" w:firstColumn="0" w:lastColumn="0" w:oddVBand="0" w:evenVBand="0" w:oddHBand="0" w:evenHBand="0" w:firstRowFirstColumn="0" w:firstRowLastColumn="0" w:lastRowFirstColumn="0" w:lastRowLastColumn="0"/>
              <w:rPr>
                <w:color w:val="000000"/>
                <w:lang w:eastAsia="en-AU"/>
              </w:rPr>
            </w:pPr>
            <w:r>
              <w:rPr>
                <w:color w:val="000000"/>
                <w:lang w:eastAsia="en-AU"/>
              </w:rPr>
              <w:t>1 March</w:t>
            </w:r>
            <w:r w:rsidR="00645EEE">
              <w:rPr>
                <w:color w:val="000000"/>
                <w:lang w:eastAsia="en-AU"/>
              </w:rPr>
              <w:t>*</w:t>
            </w:r>
          </w:p>
        </w:tc>
        <w:tc>
          <w:tcPr>
            <w:tcW w:w="1444" w:type="dxa"/>
          </w:tcPr>
          <w:p w14:paraId="124AE5ED" w14:textId="77777777" w:rsidR="00DD779B" w:rsidRPr="00E000CF" w:rsidRDefault="000B7B69" w:rsidP="00243DA1">
            <w:pPr>
              <w:keepNext/>
              <w:keepLines/>
              <w:spacing w:before="60" w:after="60"/>
              <w:jc w:val="center"/>
              <w:cnfStyle w:val="000000000000" w:firstRow="0" w:lastRow="0" w:firstColumn="0" w:lastColumn="0" w:oddVBand="0" w:evenVBand="0" w:oddHBand="0" w:evenHBand="0" w:firstRowFirstColumn="0" w:firstRowLastColumn="0" w:lastRowFirstColumn="0" w:lastRowLastColumn="0"/>
              <w:rPr>
                <w:color w:val="000000"/>
                <w:lang w:eastAsia="en-AU"/>
              </w:rPr>
            </w:pPr>
            <w:r>
              <w:rPr>
                <w:color w:val="000000"/>
                <w:lang w:eastAsia="en-AU"/>
              </w:rPr>
              <w:t>1 April</w:t>
            </w:r>
            <w:r w:rsidR="00645EEE">
              <w:rPr>
                <w:color w:val="000000"/>
                <w:lang w:eastAsia="en-AU"/>
              </w:rPr>
              <w:t>*</w:t>
            </w:r>
          </w:p>
        </w:tc>
        <w:tc>
          <w:tcPr>
            <w:tcW w:w="2977" w:type="dxa"/>
          </w:tcPr>
          <w:p w14:paraId="5E638126" w14:textId="77777777" w:rsidR="00DD779B" w:rsidRPr="00E000CF" w:rsidRDefault="00DD779B" w:rsidP="00243DA1">
            <w:pPr>
              <w:keepNext/>
              <w:keepLines/>
              <w:spacing w:before="60" w:after="60"/>
              <w:jc w:val="center"/>
              <w:cnfStyle w:val="000000000000" w:firstRow="0" w:lastRow="0" w:firstColumn="0" w:lastColumn="0" w:oddVBand="0" w:evenVBand="0" w:oddHBand="0" w:evenHBand="0" w:firstRowFirstColumn="0" w:firstRowLastColumn="0" w:lastRowFirstColumn="0" w:lastRowLastColumn="0"/>
              <w:rPr>
                <w:color w:val="000000"/>
                <w:lang w:eastAsia="en-AU"/>
              </w:rPr>
            </w:pPr>
            <w:r>
              <w:rPr>
                <w:color w:val="000000"/>
                <w:lang w:eastAsia="en-AU"/>
              </w:rPr>
              <w:t>1 month extension</w:t>
            </w:r>
          </w:p>
        </w:tc>
      </w:tr>
    </w:tbl>
    <w:p w14:paraId="04FADB6F" w14:textId="77777777" w:rsidR="00DD779B" w:rsidRPr="00645EEE" w:rsidRDefault="00645EEE" w:rsidP="00996540">
      <w:pPr>
        <w:keepLines/>
        <w:rPr>
          <w:sz w:val="20"/>
          <w:szCs w:val="20"/>
          <w:lang w:val="en-GB"/>
        </w:rPr>
      </w:pPr>
      <w:r w:rsidRPr="00645EEE">
        <w:rPr>
          <w:sz w:val="20"/>
          <w:szCs w:val="20"/>
          <w:lang w:val="en-GB"/>
        </w:rPr>
        <w:t xml:space="preserve">* </w:t>
      </w:r>
      <w:r w:rsidR="00246C7F">
        <w:rPr>
          <w:sz w:val="20"/>
          <w:szCs w:val="20"/>
          <w:lang w:val="en-GB"/>
        </w:rPr>
        <w:t>Or a</w:t>
      </w:r>
      <w:r w:rsidRPr="00645EEE">
        <w:rPr>
          <w:sz w:val="20"/>
          <w:szCs w:val="20"/>
          <w:lang w:val="en-GB"/>
        </w:rPr>
        <w:t>s soon as practical after this date.</w:t>
      </w:r>
    </w:p>
    <w:p w14:paraId="26C0E0FB" w14:textId="77777777" w:rsidR="00DD779B" w:rsidRPr="00D22FD0" w:rsidRDefault="00DD779B" w:rsidP="00DD779B">
      <w:pPr>
        <w:pStyle w:val="Caption"/>
        <w:rPr>
          <w:lang w:val="en-GB"/>
        </w:rPr>
      </w:pPr>
      <w:r>
        <w:rPr>
          <w:lang w:val="en-GB"/>
        </w:rPr>
        <w:t xml:space="preserve">Figure </w:t>
      </w:r>
      <w:r w:rsidR="00B0297E">
        <w:rPr>
          <w:lang w:val="en-GB"/>
        </w:rPr>
        <w:t>4</w:t>
      </w:r>
      <w:r>
        <w:rPr>
          <w:lang w:val="en-GB"/>
        </w:rPr>
        <w:t>.</w:t>
      </w:r>
      <w:r w:rsidR="007B2573">
        <w:rPr>
          <w:lang w:val="en-GB"/>
        </w:rPr>
        <w:t>1</w:t>
      </w:r>
      <w:r>
        <w:rPr>
          <w:lang w:val="en-GB"/>
        </w:rPr>
        <w:t>: Key compliance dates</w:t>
      </w:r>
    </w:p>
    <w:p w14:paraId="5083C4BD" w14:textId="77777777" w:rsidR="00DD779B" w:rsidRDefault="0056751A" w:rsidP="00243DA1">
      <w:pPr>
        <w:keepNext/>
        <w:ind w:left="-709"/>
      </w:pPr>
      <w:r>
        <w:rPr>
          <w:noProof/>
          <w:lang w:eastAsia="en-AU"/>
        </w:rPr>
        <w:drawing>
          <wp:inline distT="0" distB="0" distL="0" distR="0" wp14:anchorId="261FD61D" wp14:editId="2E65E968">
            <wp:extent cx="6709438" cy="2193203"/>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43832" cy="2204446"/>
                    </a:xfrm>
                    <a:prstGeom prst="rect">
                      <a:avLst/>
                    </a:prstGeom>
                    <a:noFill/>
                  </pic:spPr>
                </pic:pic>
              </a:graphicData>
            </a:graphic>
          </wp:inline>
        </w:drawing>
      </w:r>
    </w:p>
    <w:p w14:paraId="6A1F7268" w14:textId="77777777" w:rsidR="00A55760" w:rsidRDefault="00A55760" w:rsidP="00DD779B"/>
    <w:p w14:paraId="5374E143" w14:textId="77777777" w:rsidR="00A55760" w:rsidRDefault="00A55760" w:rsidP="00065494">
      <w:pPr>
        <w:keepNext/>
        <w:keepLines/>
      </w:pPr>
    </w:p>
    <w:p w14:paraId="45F2AD3E" w14:textId="77777777" w:rsidR="00DD779B" w:rsidRDefault="00DD779B" w:rsidP="00065494">
      <w:pPr>
        <w:keepNext/>
        <w:keepLines/>
      </w:pPr>
      <w:r>
        <w:t xml:space="preserve">Key changes include: </w:t>
      </w:r>
    </w:p>
    <w:p w14:paraId="09ECFE91" w14:textId="77777777" w:rsidR="00DD779B" w:rsidRDefault="00DD779B" w:rsidP="00065494">
      <w:pPr>
        <w:pStyle w:val="ListParagraph"/>
        <w:keepNext/>
        <w:keepLines/>
        <w:numPr>
          <w:ilvl w:val="0"/>
          <w:numId w:val="24"/>
        </w:numPr>
        <w:ind w:left="425" w:hanging="425"/>
        <w:contextualSpacing w:val="0"/>
      </w:pPr>
      <w:r w:rsidRPr="00383299">
        <w:rPr>
          <w:b/>
        </w:rPr>
        <w:t>MYMP application</w:t>
      </w:r>
      <w:r>
        <w:t xml:space="preserve">: the deadline has been brought forward, as facilities on an MYMP cannot generate SMCs (see section 4.6). </w:t>
      </w:r>
    </w:p>
    <w:p w14:paraId="63EEA863" w14:textId="77777777" w:rsidR="00DD779B" w:rsidRDefault="00DD779B" w:rsidP="00DD779B">
      <w:pPr>
        <w:pStyle w:val="ListParagraph"/>
        <w:numPr>
          <w:ilvl w:val="1"/>
          <w:numId w:val="24"/>
        </w:numPr>
        <w:ind w:left="851"/>
        <w:contextualSpacing w:val="0"/>
      </w:pPr>
      <w:r>
        <w:t xml:space="preserve">This </w:t>
      </w:r>
      <w:r w:rsidR="00402C43">
        <w:t xml:space="preserve">means Safeguard Mechanism facilities must </w:t>
      </w:r>
      <w:r>
        <w:t xml:space="preserve">submit an MYMP application </w:t>
      </w:r>
      <w:r w:rsidR="00402C43">
        <w:t>t</w:t>
      </w:r>
      <w:r w:rsidR="0056751A">
        <w:t>wo weeks after</w:t>
      </w:r>
      <w:r w:rsidR="00402C43">
        <w:t xml:space="preserve"> they report their emissions and production</w:t>
      </w:r>
      <w:r>
        <w:t xml:space="preserve">. Typically, facilities will understand their emissions situation for the compliance period soon after 30 June, and can plan their compliance strategy. </w:t>
      </w:r>
    </w:p>
    <w:p w14:paraId="55BEC225" w14:textId="77777777" w:rsidR="00472D4F" w:rsidRPr="00472D4F" w:rsidRDefault="00472D4F" w:rsidP="00472D4F">
      <w:pPr>
        <w:pStyle w:val="ListParagraph"/>
        <w:numPr>
          <w:ilvl w:val="0"/>
          <w:numId w:val="24"/>
        </w:numPr>
        <w:ind w:left="425" w:hanging="425"/>
        <w:contextualSpacing w:val="0"/>
        <w:rPr>
          <w:b/>
        </w:rPr>
      </w:pPr>
      <w:r w:rsidRPr="00472D4F">
        <w:rPr>
          <w:b/>
        </w:rPr>
        <w:t xml:space="preserve">EITE status application: </w:t>
      </w:r>
      <w:r>
        <w:t>This will be a new application to be assessed in conjunction with any MYMP application that the facility may also submit.</w:t>
      </w:r>
    </w:p>
    <w:p w14:paraId="122AD9AA" w14:textId="77777777" w:rsidR="00472D4F" w:rsidRPr="00472D4F" w:rsidRDefault="00472D4F" w:rsidP="00243DA1">
      <w:pPr>
        <w:pStyle w:val="ListParagraph"/>
        <w:numPr>
          <w:ilvl w:val="1"/>
          <w:numId w:val="24"/>
        </w:numPr>
        <w:ind w:left="851"/>
        <w:contextualSpacing w:val="0"/>
      </w:pPr>
      <w:r w:rsidRPr="00472D4F">
        <w:t>Receiving an EITE status designation does not prevent a facility from also being on an MYMP. It will only affect the magnitude of any baseline exceedance.</w:t>
      </w:r>
    </w:p>
    <w:p w14:paraId="10ED0888" w14:textId="77777777" w:rsidR="00DD779B" w:rsidRDefault="00DD779B" w:rsidP="00DD779B">
      <w:pPr>
        <w:pStyle w:val="ListParagraph"/>
        <w:numPr>
          <w:ilvl w:val="0"/>
          <w:numId w:val="24"/>
        </w:numPr>
        <w:ind w:left="425" w:hanging="425"/>
        <w:contextualSpacing w:val="0"/>
      </w:pPr>
      <w:r w:rsidRPr="00383299">
        <w:rPr>
          <w:b/>
        </w:rPr>
        <w:t>Issuing SMCs</w:t>
      </w:r>
      <w:r>
        <w:t xml:space="preserve">: SMCs will be issued </w:t>
      </w:r>
      <w:r w:rsidR="00903B18">
        <w:t>by</w:t>
      </w:r>
      <w:r>
        <w:t xml:space="preserve"> 31 January, except where there are outstanding issues regarding an NGER report. </w:t>
      </w:r>
    </w:p>
    <w:p w14:paraId="706CFE9A" w14:textId="77777777" w:rsidR="00DD779B" w:rsidRDefault="00DD779B" w:rsidP="00DD779B">
      <w:pPr>
        <w:pStyle w:val="ListParagraph"/>
        <w:numPr>
          <w:ilvl w:val="1"/>
          <w:numId w:val="24"/>
        </w:numPr>
        <w:ind w:left="851"/>
        <w:contextualSpacing w:val="0"/>
      </w:pPr>
      <w:r>
        <w:t xml:space="preserve">Most NGER reports are validated by the end of January following the compliance year. </w:t>
      </w:r>
    </w:p>
    <w:p w14:paraId="207058CD" w14:textId="77777777" w:rsidR="00DD779B" w:rsidRDefault="00DD779B" w:rsidP="00DD779B">
      <w:pPr>
        <w:pStyle w:val="ListParagraph"/>
        <w:numPr>
          <w:ilvl w:val="0"/>
          <w:numId w:val="24"/>
        </w:numPr>
        <w:ind w:left="425" w:hanging="425"/>
        <w:contextualSpacing w:val="0"/>
      </w:pPr>
      <w:r w:rsidRPr="00383299">
        <w:rPr>
          <w:b/>
        </w:rPr>
        <w:t xml:space="preserve">Borrowing </w:t>
      </w:r>
      <w:r w:rsidR="00B4663C">
        <w:rPr>
          <w:b/>
        </w:rPr>
        <w:t>application</w:t>
      </w:r>
      <w:r>
        <w:t xml:space="preserve">: due 28 February, giving </w:t>
      </w:r>
      <w:r w:rsidRPr="00383299">
        <w:t xml:space="preserve">facilities an opportunity to source </w:t>
      </w:r>
      <w:r w:rsidR="00065850">
        <w:t xml:space="preserve">ACCUs or </w:t>
      </w:r>
      <w:r w:rsidRPr="00383299">
        <w:t xml:space="preserve">SMCs prior to </w:t>
      </w:r>
      <w:r w:rsidR="00F74552">
        <w:t>notification</w:t>
      </w:r>
      <w:r w:rsidRPr="00383299">
        <w:t xml:space="preserve">. </w:t>
      </w:r>
    </w:p>
    <w:p w14:paraId="110B77E2" w14:textId="77777777" w:rsidR="00DD779B" w:rsidRPr="00383299" w:rsidRDefault="00DD779B" w:rsidP="00DD779B">
      <w:pPr>
        <w:pStyle w:val="ListParagraph"/>
        <w:numPr>
          <w:ilvl w:val="1"/>
          <w:numId w:val="24"/>
        </w:numPr>
        <w:ind w:left="851"/>
        <w:contextualSpacing w:val="0"/>
      </w:pPr>
      <w:r w:rsidRPr="00383299">
        <w:t xml:space="preserve">The borrowing </w:t>
      </w:r>
      <w:r w:rsidR="00B4663C">
        <w:t>application</w:t>
      </w:r>
      <w:r w:rsidRPr="00383299">
        <w:t xml:space="preserve"> would be </w:t>
      </w:r>
      <w:r w:rsidR="00F74552">
        <w:t>settled by the CER</w:t>
      </w:r>
      <w:r w:rsidRPr="00383299">
        <w:t xml:space="preserve"> by </w:t>
      </w:r>
      <w:r>
        <w:t>31 March, taking account of</w:t>
      </w:r>
      <w:r w:rsidRPr="00383299">
        <w:t xml:space="preserve"> any SMCs and ACCUs surrendered by the facility (see section 4.5). </w:t>
      </w:r>
    </w:p>
    <w:p w14:paraId="0002D08D" w14:textId="77777777" w:rsidR="00DD779B" w:rsidRPr="00383299" w:rsidRDefault="00DD779B" w:rsidP="00DD779B">
      <w:pPr>
        <w:pStyle w:val="ListParagraph"/>
        <w:numPr>
          <w:ilvl w:val="0"/>
          <w:numId w:val="24"/>
        </w:numPr>
        <w:ind w:left="425" w:hanging="425"/>
        <w:contextualSpacing w:val="0"/>
      </w:pPr>
      <w:r w:rsidRPr="00383299">
        <w:rPr>
          <w:b/>
        </w:rPr>
        <w:t>ACCU and SMC surrender</w:t>
      </w:r>
      <w:r>
        <w:t xml:space="preserve">: </w:t>
      </w:r>
      <w:r w:rsidRPr="00383299">
        <w:t xml:space="preserve">extended by one month to enable sufficient time for SMCs to be traded prior to the compliance date. The CER compliance publication has </w:t>
      </w:r>
      <w:r>
        <w:t xml:space="preserve">also </w:t>
      </w:r>
      <w:r w:rsidRPr="00383299">
        <w:t>been extended.</w:t>
      </w:r>
    </w:p>
    <w:p w14:paraId="07077496" w14:textId="0E30CC21" w:rsidR="00DD779B" w:rsidRDefault="0080079D" w:rsidP="00DD779B">
      <w:pPr>
        <w:pStyle w:val="Calloutbox"/>
      </w:pPr>
      <w:r>
        <w:t>A</w:t>
      </w:r>
      <w:r w:rsidR="00DD779B">
        <w:t xml:space="preserve">dministrative dates </w:t>
      </w:r>
      <w:r w:rsidR="000B7B69">
        <w:t xml:space="preserve">for </w:t>
      </w:r>
      <w:r>
        <w:t xml:space="preserve">baseline </w:t>
      </w:r>
      <w:r w:rsidR="000B7B69">
        <w:t xml:space="preserve">applications and compliance </w:t>
      </w:r>
      <w:r>
        <w:t xml:space="preserve">would be amended and added </w:t>
      </w:r>
      <w:r w:rsidR="00DD779B">
        <w:t>to accommodate Safeguard Mechanism reforms.</w:t>
      </w:r>
    </w:p>
    <w:p w14:paraId="44105D49" w14:textId="77777777" w:rsidR="00716E03" w:rsidRPr="00A92587" w:rsidRDefault="00716E03" w:rsidP="00A92587">
      <w:pPr>
        <w:pStyle w:val="Heading1"/>
      </w:pPr>
      <w:bookmarkStart w:id="945" w:name="_Toc118040370"/>
      <w:bookmarkStart w:id="946" w:name="_Toc118196222"/>
      <w:bookmarkStart w:id="947" w:name="_Toc118198391"/>
      <w:bookmarkStart w:id="948" w:name="_Toc118198806"/>
      <w:bookmarkStart w:id="949" w:name="_Toc118198997"/>
      <w:bookmarkStart w:id="950" w:name="_Toc118199551"/>
      <w:bookmarkStart w:id="951" w:name="_Toc118304123"/>
      <w:bookmarkStart w:id="952" w:name="_Toc118304154"/>
      <w:bookmarkStart w:id="953" w:name="_Toc118306356"/>
      <w:bookmarkStart w:id="954" w:name="_Toc118308348"/>
      <w:bookmarkStart w:id="955" w:name="_Toc119500918"/>
      <w:bookmarkStart w:id="956" w:name="_Toc119572373"/>
      <w:bookmarkStart w:id="957" w:name="_Toc120098968"/>
      <w:bookmarkStart w:id="958" w:name="_Toc122514448"/>
      <w:bookmarkStart w:id="959" w:name="_Toc124100698"/>
      <w:r w:rsidRPr="00A92587">
        <w:t>Tailored treatment for emissions-intensive, trade-exposed businesses</w:t>
      </w:r>
      <w:bookmarkEnd w:id="813"/>
      <w:bookmarkEnd w:id="814"/>
      <w:bookmarkEnd w:id="815"/>
      <w:bookmarkEnd w:id="816"/>
      <w:bookmarkEnd w:id="817"/>
      <w:bookmarkEnd w:id="818"/>
      <w:bookmarkEnd w:id="819"/>
      <w:bookmarkEnd w:id="820"/>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42D78312" w14:textId="77777777" w:rsidR="00716E03" w:rsidRDefault="00716E03" w:rsidP="00716E03">
      <w:r w:rsidRPr="00882254">
        <w:t xml:space="preserve">The </w:t>
      </w:r>
      <w:r w:rsidR="00C91FA4">
        <w:t>treatment of emissions intensive, trade expose</w:t>
      </w:r>
      <w:r w:rsidR="00B67392">
        <w:t>d (EITE) facilities will be a</w:t>
      </w:r>
      <w:r w:rsidR="00C91FA4">
        <w:t xml:space="preserve"> </w:t>
      </w:r>
      <w:r w:rsidR="003E7B66">
        <w:t>significant</w:t>
      </w:r>
      <w:r w:rsidR="00C91FA4">
        <w:t xml:space="preserve"> aspect of the reformed Safeguard Mechanism. It is important to ensure that Aust</w:t>
      </w:r>
      <w:r w:rsidR="00DD3BAC">
        <w:t>ralian businesses</w:t>
      </w:r>
      <w:r w:rsidRPr="00882254">
        <w:t xml:space="preserve"> </w:t>
      </w:r>
      <w:r w:rsidR="004C3C92">
        <w:t xml:space="preserve">are not </w:t>
      </w:r>
      <w:r w:rsidR="00643B92" w:rsidRPr="00882254">
        <w:t>competitive</w:t>
      </w:r>
      <w:r w:rsidR="00643B92">
        <w:t xml:space="preserve">ly </w:t>
      </w:r>
      <w:r w:rsidR="004C3C92">
        <w:t>disadvantaged</w:t>
      </w:r>
      <w:r w:rsidR="009A481C">
        <w:t xml:space="preserve"> relative to international competitors</w:t>
      </w:r>
      <w:r w:rsidRPr="00882254">
        <w:t>, and that emissions do not ‘leak’ overseas</w:t>
      </w:r>
      <w:r>
        <w:t xml:space="preserve">. </w:t>
      </w:r>
      <w:r w:rsidR="00993C9C">
        <w:t xml:space="preserve">This is considered in the context of </w:t>
      </w:r>
      <w:r w:rsidR="00314AC6">
        <w:t xml:space="preserve">an increasingly decarbonised world, </w:t>
      </w:r>
      <w:r w:rsidR="00993C9C">
        <w:t xml:space="preserve">where </w:t>
      </w:r>
      <w:r w:rsidR="00314AC6">
        <w:t>competitiveness will increasingly depend on being a low emissions producer.</w:t>
      </w:r>
      <w:r>
        <w:t xml:space="preserve"> </w:t>
      </w:r>
    </w:p>
    <w:p w14:paraId="5905C677" w14:textId="79C6E7D3" w:rsidR="00A55760" w:rsidRDefault="00716E03" w:rsidP="00716E03">
      <w:r>
        <w:t xml:space="preserve">This section </w:t>
      </w:r>
      <w:r w:rsidR="00C91FA4">
        <w:t>sets out</w:t>
      </w:r>
      <w:r>
        <w:t xml:space="preserve"> how </w:t>
      </w:r>
      <w:r w:rsidR="00C91FA4">
        <w:t xml:space="preserve">it is proposed that </w:t>
      </w:r>
      <w:r w:rsidR="00FB6D20">
        <w:t>EITE</w:t>
      </w:r>
      <w:r w:rsidRPr="00882254">
        <w:t xml:space="preserve"> </w:t>
      </w:r>
      <w:r w:rsidR="00C91FA4">
        <w:t>facilities</w:t>
      </w:r>
      <w:r>
        <w:t xml:space="preserve"> will be defined (section 5.1) and </w:t>
      </w:r>
      <w:r w:rsidR="00DD3556">
        <w:t xml:space="preserve">provided tailored treatment </w:t>
      </w:r>
      <w:r>
        <w:t>(section 5.2).</w:t>
      </w:r>
    </w:p>
    <w:p w14:paraId="4D9BBA4B" w14:textId="77777777" w:rsidR="00716E03" w:rsidRPr="00617326" w:rsidRDefault="00716E03" w:rsidP="00716E03">
      <w:pPr>
        <w:pStyle w:val="Heading2"/>
      </w:pPr>
      <w:bookmarkStart w:id="960" w:name="_Toc109743764"/>
      <w:bookmarkStart w:id="961" w:name="_Toc109818505"/>
      <w:bookmarkStart w:id="962" w:name="_Toc110524031"/>
      <w:bookmarkStart w:id="963" w:name="_Toc110545559"/>
      <w:bookmarkStart w:id="964" w:name="_Toc110590742"/>
      <w:bookmarkStart w:id="965" w:name="_Toc110590797"/>
      <w:bookmarkStart w:id="966" w:name="_Toc110593201"/>
      <w:bookmarkStart w:id="967" w:name="_Toc110851754"/>
      <w:bookmarkStart w:id="968" w:name="_Toc111042145"/>
      <w:bookmarkStart w:id="969" w:name="_Toc117176823"/>
      <w:bookmarkStart w:id="970" w:name="_Toc117255426"/>
      <w:bookmarkStart w:id="971" w:name="_Toc117263167"/>
      <w:bookmarkStart w:id="972" w:name="_Toc117437248"/>
      <w:bookmarkStart w:id="973" w:name="_Toc117499196"/>
      <w:bookmarkStart w:id="974" w:name="_Toc117521043"/>
      <w:bookmarkStart w:id="975" w:name="_Toc117524790"/>
      <w:bookmarkStart w:id="976" w:name="_Toc117543980"/>
      <w:bookmarkStart w:id="977" w:name="_Toc117548331"/>
      <w:bookmarkStart w:id="978" w:name="_Toc117588649"/>
      <w:bookmarkStart w:id="979" w:name="_Toc117588693"/>
      <w:bookmarkStart w:id="980" w:name="_Toc117604811"/>
      <w:bookmarkStart w:id="981" w:name="_Toc117612893"/>
      <w:bookmarkStart w:id="982" w:name="_Toc117627731"/>
      <w:bookmarkStart w:id="983" w:name="_Toc117630396"/>
      <w:bookmarkStart w:id="984" w:name="_Toc117868003"/>
      <w:bookmarkStart w:id="985" w:name="_Toc117888018"/>
      <w:bookmarkStart w:id="986" w:name="_Toc117951462"/>
      <w:bookmarkStart w:id="987" w:name="_Toc117960109"/>
      <w:bookmarkStart w:id="988" w:name="_Toc118040371"/>
      <w:bookmarkStart w:id="989" w:name="_Toc118196223"/>
      <w:bookmarkStart w:id="990" w:name="_Toc118198392"/>
      <w:bookmarkStart w:id="991" w:name="_Toc118198807"/>
      <w:bookmarkStart w:id="992" w:name="_Toc118198998"/>
      <w:bookmarkStart w:id="993" w:name="_Toc118199552"/>
      <w:bookmarkStart w:id="994" w:name="_Toc118304124"/>
      <w:bookmarkStart w:id="995" w:name="_Toc118304155"/>
      <w:bookmarkStart w:id="996" w:name="_Toc118306357"/>
      <w:bookmarkStart w:id="997" w:name="_Toc118308349"/>
      <w:bookmarkStart w:id="998" w:name="_Toc119500919"/>
      <w:bookmarkStart w:id="999" w:name="_Toc119572374"/>
      <w:bookmarkStart w:id="1000" w:name="_Toc120098969"/>
      <w:bookmarkStart w:id="1001" w:name="_Toc122514449"/>
      <w:bookmarkStart w:id="1002" w:name="_Toc124100699"/>
      <w:r>
        <w:t>Defining emissions-intensive, trade-</w:t>
      </w:r>
      <w:r w:rsidRPr="00617326">
        <w:t>exposed facilities</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14:paraId="6A469AC6" w14:textId="77777777" w:rsidR="00FA675E" w:rsidRDefault="00FA675E" w:rsidP="00716E03">
      <w:r>
        <w:t xml:space="preserve">The Government consulted on two broad approaches to the designation of EITE facilities. </w:t>
      </w:r>
    </w:p>
    <w:p w14:paraId="31AC7B5E" w14:textId="77777777" w:rsidR="00AD419D" w:rsidRDefault="00FA675E" w:rsidP="00716E03">
      <w:r>
        <w:lastRenderedPageBreak/>
        <w:t>The first is an activity</w:t>
      </w:r>
      <w:r w:rsidR="00AA5BFF">
        <w:t>-</w:t>
      </w:r>
      <w:r>
        <w:t>based approach similar to that currently used under the Renewable Energy Target (RET)</w:t>
      </w:r>
      <w:r w:rsidR="00AA5BFF">
        <w:t>.</w:t>
      </w:r>
      <w:r>
        <w:rPr>
          <w:rStyle w:val="FootnoteReference"/>
        </w:rPr>
        <w:footnoteReference w:id="25"/>
      </w:r>
      <w:r w:rsidR="00AD419D">
        <w:t xml:space="preserve"> </w:t>
      </w:r>
      <w:r w:rsidR="00AA5BFF">
        <w:t>T</w:t>
      </w:r>
      <w:r w:rsidR="00AD419D">
        <w:t>he second is a facility</w:t>
      </w:r>
      <w:r w:rsidR="00AA5BFF">
        <w:t>-</w:t>
      </w:r>
      <w:r w:rsidR="00AD419D">
        <w:t>by</w:t>
      </w:r>
      <w:r w:rsidR="00AA5BFF">
        <w:t>-</w:t>
      </w:r>
      <w:r w:rsidR="00AD419D">
        <w:t xml:space="preserve">facility designation providing tailored treatment for trade exposed facilities that </w:t>
      </w:r>
      <w:r w:rsidR="00AA5BFF">
        <w:t xml:space="preserve">face </w:t>
      </w:r>
      <w:r w:rsidR="00AD419D">
        <w:t xml:space="preserve">material </w:t>
      </w:r>
      <w:r w:rsidR="00AA5BFF">
        <w:t xml:space="preserve">new </w:t>
      </w:r>
      <w:r w:rsidR="00AD419D">
        <w:t>cost</w:t>
      </w:r>
      <w:r w:rsidR="00AA5BFF">
        <w:t xml:space="preserve">s due to </w:t>
      </w:r>
      <w:r w:rsidR="00AD419D">
        <w:t>the reform</w:t>
      </w:r>
      <w:r w:rsidR="00AA5BFF">
        <w:t>s</w:t>
      </w:r>
      <w:r w:rsidR="00AD419D">
        <w:t xml:space="preserve">. </w:t>
      </w:r>
    </w:p>
    <w:p w14:paraId="41058C08" w14:textId="77777777" w:rsidR="00136E6F" w:rsidRDefault="00136E6F" w:rsidP="00716E03">
      <w:r>
        <w:t xml:space="preserve">Submissions were </w:t>
      </w:r>
      <w:r w:rsidR="00DD3439">
        <w:t>varied</w:t>
      </w:r>
      <w:r>
        <w:t xml:space="preserve"> on this question. </w:t>
      </w:r>
      <w:r w:rsidR="00DD3439">
        <w:t>Some supported a facility</w:t>
      </w:r>
      <w:r w:rsidR="00AA5BFF">
        <w:t>-</w:t>
      </w:r>
      <w:r w:rsidR="00DD3439">
        <w:t>specific approach</w:t>
      </w:r>
      <w:r w:rsidR="00E81122">
        <w:t>,</w:t>
      </w:r>
      <w:r w:rsidR="00DD3439">
        <w:t xml:space="preserve"> </w:t>
      </w:r>
      <w:r w:rsidR="00087EEC">
        <w:t xml:space="preserve">while </w:t>
      </w:r>
      <w:r w:rsidR="00E81122">
        <w:t>others</w:t>
      </w:r>
      <w:r>
        <w:t xml:space="preserve"> prefer</w:t>
      </w:r>
      <w:r w:rsidR="00AA5BFF">
        <w:t>red</w:t>
      </w:r>
      <w:r>
        <w:t xml:space="preserve"> an activity</w:t>
      </w:r>
      <w:r w:rsidR="00AA5BFF">
        <w:t>-</w:t>
      </w:r>
      <w:r>
        <w:t>based approach</w:t>
      </w:r>
      <w:r w:rsidR="00AA5BFF">
        <w:t>—</w:t>
      </w:r>
      <w:r>
        <w:t>in particular, simply using the list of activities currently used under the RET</w:t>
      </w:r>
      <w:r w:rsidR="00DD3439">
        <w:t>.</w:t>
      </w:r>
    </w:p>
    <w:p w14:paraId="1DCB842F" w14:textId="77777777" w:rsidR="005D55D5" w:rsidRDefault="005D55D5" w:rsidP="005D55D5">
      <w:pPr>
        <w:spacing w:after="120"/>
        <w:ind w:left="720"/>
        <w:rPr>
          <w:i/>
        </w:rPr>
      </w:pPr>
      <w:r w:rsidRPr="00B976FD">
        <w:rPr>
          <w:i/>
        </w:rPr>
        <w:t xml:space="preserve">A sector-wide approach to EITEs would have the benefit of providing business certainty sooner. However, it will not cater for the significant variability in the characteristics of individual facilities that operate within a sector, and has the potential to create significant winners and losers within each sector covered by the Safeguard Mechanism. A facility-specific approach to EITE assistance is therefore more appropriate. </w:t>
      </w:r>
    </w:p>
    <w:p w14:paraId="239ABB3E" w14:textId="77777777" w:rsidR="005D55D5" w:rsidRPr="00A42480" w:rsidRDefault="005D55D5" w:rsidP="005D55D5">
      <w:pPr>
        <w:spacing w:after="120"/>
        <w:ind w:left="720"/>
        <w:jc w:val="right"/>
      </w:pPr>
      <w:r w:rsidRPr="00A42480">
        <w:t>Glencore</w:t>
      </w:r>
    </w:p>
    <w:p w14:paraId="020E0DE6" w14:textId="77777777" w:rsidR="00D75740" w:rsidRDefault="00F020E8" w:rsidP="00F020E8">
      <w:pPr>
        <w:pStyle w:val="ListParagraph"/>
        <w:spacing w:after="120"/>
        <w:rPr>
          <w:i/>
        </w:rPr>
      </w:pPr>
      <w:r w:rsidRPr="007B67DE">
        <w:rPr>
          <w:i/>
        </w:rPr>
        <w:t xml:space="preserve">The current EITE assistance framework is not fit for purpose. The current list of EITEs was developed for the RET. The list focuses on activities that are significantly exposed to electricity costs. There should be no expectation that an activity eligible for EITEs assistance in the RET should also </w:t>
      </w:r>
      <w:r w:rsidR="00D75740">
        <w:rPr>
          <w:i/>
        </w:rPr>
        <w:t xml:space="preserve">be eligible in the Safeguard. </w:t>
      </w:r>
    </w:p>
    <w:p w14:paraId="7037D1E5" w14:textId="77777777" w:rsidR="00F020E8" w:rsidRPr="00D75740" w:rsidRDefault="00F020E8" w:rsidP="00D75740">
      <w:pPr>
        <w:pStyle w:val="ListParagraph"/>
        <w:spacing w:after="120"/>
        <w:jc w:val="right"/>
      </w:pPr>
      <w:r w:rsidRPr="00D75740">
        <w:t>Grattan Institute</w:t>
      </w:r>
    </w:p>
    <w:p w14:paraId="287C37E1" w14:textId="77777777" w:rsidR="00F020E8" w:rsidRDefault="00F020E8" w:rsidP="00F020E8">
      <w:pPr>
        <w:pStyle w:val="ListParagraph"/>
        <w:spacing w:after="120"/>
        <w:rPr>
          <w:b/>
          <w:i/>
        </w:rPr>
      </w:pPr>
    </w:p>
    <w:p w14:paraId="40787CB1" w14:textId="77777777" w:rsidR="00D75740" w:rsidRDefault="00F020E8" w:rsidP="00F020E8">
      <w:pPr>
        <w:pStyle w:val="ListParagraph"/>
        <w:spacing w:after="120"/>
        <w:rPr>
          <w:i/>
        </w:rPr>
      </w:pPr>
      <w:r w:rsidRPr="00CA525C">
        <w:rPr>
          <w:i/>
        </w:rPr>
        <w:t>bp agrees with the consultation paper that the definition of an EITE should reflect the specific design of the safeguard mechanism (which is different to the Renewable Energy Target and previ</w:t>
      </w:r>
      <w:r w:rsidR="00D75740">
        <w:rPr>
          <w:i/>
        </w:rPr>
        <w:t xml:space="preserve">ous carbon pricing policies). </w:t>
      </w:r>
    </w:p>
    <w:p w14:paraId="695476DA" w14:textId="77777777" w:rsidR="00F020E8" w:rsidRPr="00D75740" w:rsidRDefault="00D85D65" w:rsidP="00D75740">
      <w:pPr>
        <w:pStyle w:val="ListParagraph"/>
        <w:spacing w:after="120"/>
        <w:jc w:val="right"/>
      </w:pPr>
      <w:r w:rsidRPr="0094181B">
        <w:t>bp</w:t>
      </w:r>
    </w:p>
    <w:p w14:paraId="68608041" w14:textId="77777777" w:rsidR="00B959A2" w:rsidRDefault="00B959A2" w:rsidP="00B959A2">
      <w:pPr>
        <w:pStyle w:val="ListParagraph"/>
        <w:spacing w:after="120"/>
      </w:pPr>
    </w:p>
    <w:p w14:paraId="59252F81" w14:textId="77777777" w:rsidR="00B959A2" w:rsidRDefault="00B959A2" w:rsidP="00B959A2">
      <w:pPr>
        <w:pStyle w:val="ListParagraph"/>
        <w:spacing w:after="120"/>
        <w:rPr>
          <w:i/>
        </w:rPr>
      </w:pPr>
      <w:r w:rsidRPr="00B67D9A">
        <w:rPr>
          <w:i/>
        </w:rPr>
        <w:t>The ASI supports the continuation of the established methodology for defining EITEs, currently used for the Renewable Energy Target (RET), which combines trade exposure and emissions-intensity metrics at the industry level. This approach would be simple and would recognise the significant effort undertaken by facility operators and government to assess facilities when the methodology was originally established.</w:t>
      </w:r>
      <w:r>
        <w:rPr>
          <w:i/>
        </w:rPr>
        <w:t xml:space="preserve"> </w:t>
      </w:r>
    </w:p>
    <w:p w14:paraId="029C454E" w14:textId="77777777" w:rsidR="00B959A2" w:rsidRPr="00B67D9A" w:rsidRDefault="00B959A2" w:rsidP="00B959A2">
      <w:pPr>
        <w:pStyle w:val="ListParagraph"/>
        <w:spacing w:after="120"/>
        <w:jc w:val="right"/>
        <w:rPr>
          <w:b/>
          <w:i/>
        </w:rPr>
      </w:pPr>
      <w:r w:rsidRPr="00B959A2">
        <w:t>Australian Steel Institute</w:t>
      </w:r>
    </w:p>
    <w:p w14:paraId="401B61DB" w14:textId="77777777" w:rsidR="00B959A2" w:rsidRDefault="00B959A2" w:rsidP="00B959A2">
      <w:pPr>
        <w:pStyle w:val="ListParagraph"/>
        <w:spacing w:after="120"/>
        <w:rPr>
          <w:b/>
          <w:i/>
        </w:rPr>
      </w:pPr>
    </w:p>
    <w:p w14:paraId="7585E1F4" w14:textId="77777777" w:rsidR="00CD0FF1" w:rsidRDefault="00136E6F" w:rsidP="00716E03">
      <w:r>
        <w:t xml:space="preserve">The Government does not consider the RET activity list to be </w:t>
      </w:r>
      <w:r w:rsidR="00087EEC">
        <w:t xml:space="preserve">suitable for </w:t>
      </w:r>
      <w:r w:rsidR="00DD3439">
        <w:t>the Safeguard Mechanism</w:t>
      </w:r>
      <w:r w:rsidR="00087EEC">
        <w:t xml:space="preserve">, </w:t>
      </w:r>
      <w:r w:rsidR="00D47E5E">
        <w:t>due to</w:t>
      </w:r>
      <w:r w:rsidR="00CD0FF1">
        <w:t>:</w:t>
      </w:r>
    </w:p>
    <w:p w14:paraId="2C3A44DA" w14:textId="77777777" w:rsidR="00CD0FF1" w:rsidRDefault="00D47E5E" w:rsidP="004666AE">
      <w:pPr>
        <w:pStyle w:val="ListParagraph"/>
        <w:numPr>
          <w:ilvl w:val="0"/>
          <w:numId w:val="16"/>
        </w:numPr>
        <w:ind w:left="425" w:hanging="425"/>
        <w:contextualSpacing w:val="0"/>
      </w:pPr>
      <w:r w:rsidRPr="00D47E5E">
        <w:rPr>
          <w:b/>
        </w:rPr>
        <w:t>out-of-date</w:t>
      </w:r>
      <w:r>
        <w:t xml:space="preserve">: </w:t>
      </w:r>
      <w:r w:rsidR="00E81122">
        <w:t>t</w:t>
      </w:r>
      <w:r w:rsidR="00136E6F">
        <w:t>h</w:t>
      </w:r>
      <w:r w:rsidR="00087EEC">
        <w:t>e RET</w:t>
      </w:r>
      <w:r w:rsidR="00136E6F" w:rsidDel="00087EEC">
        <w:t xml:space="preserve"> </w:t>
      </w:r>
      <w:r w:rsidR="00136E6F">
        <w:t>list was finalised in 2009 and based on data</w:t>
      </w:r>
      <w:r w:rsidR="002C5E41">
        <w:t xml:space="preserve"> that will be between 15 and 20 </w:t>
      </w:r>
      <w:r w:rsidR="00136E6F">
        <w:t xml:space="preserve">years old by the </w:t>
      </w:r>
      <w:r>
        <w:t>time</w:t>
      </w:r>
      <w:r w:rsidR="00136E6F">
        <w:t xml:space="preserve"> Safeguard Mechanism </w:t>
      </w:r>
      <w:r>
        <w:t xml:space="preserve">reforms </w:t>
      </w:r>
      <w:r w:rsidR="00136E6F">
        <w:t>commences on 1 July 2023</w:t>
      </w:r>
      <w:r w:rsidR="00E81122">
        <w:t>; and</w:t>
      </w:r>
      <w:r w:rsidR="006B1193">
        <w:t xml:space="preserve"> </w:t>
      </w:r>
    </w:p>
    <w:p w14:paraId="527038BC" w14:textId="77777777" w:rsidR="00136E6F" w:rsidRDefault="00D47E5E" w:rsidP="004666AE">
      <w:pPr>
        <w:pStyle w:val="ListParagraph"/>
        <w:numPr>
          <w:ilvl w:val="0"/>
          <w:numId w:val="16"/>
        </w:numPr>
        <w:ind w:left="425" w:hanging="425"/>
        <w:contextualSpacing w:val="0"/>
      </w:pPr>
      <w:r w:rsidRPr="00D47E5E">
        <w:rPr>
          <w:b/>
        </w:rPr>
        <w:t>different emissions coverage</w:t>
      </w:r>
      <w:r>
        <w:t xml:space="preserve">: </w:t>
      </w:r>
      <w:r w:rsidR="00E81122">
        <w:t>it</w:t>
      </w:r>
      <w:r w:rsidR="00CD0FF1">
        <w:t xml:space="preserve"> </w:t>
      </w:r>
      <w:r w:rsidR="00DD3439">
        <w:t>included</w:t>
      </w:r>
      <w:r w:rsidR="00136E6F">
        <w:t xml:space="preserve"> </w:t>
      </w:r>
      <w:r w:rsidR="00CD0FF1">
        <w:t xml:space="preserve">the cost of </w:t>
      </w:r>
      <w:r w:rsidR="006B1193">
        <w:t>scope 2 (electricity use)</w:t>
      </w:r>
      <w:r w:rsidR="00CD0FF1">
        <w:t xml:space="preserve"> emissions</w:t>
      </w:r>
      <w:r w:rsidR="00087EEC">
        <w:t xml:space="preserve"> which are not covered by the Safeguard Mechanism</w:t>
      </w:r>
      <w:r w:rsidR="00E81122">
        <w:t xml:space="preserve"> and</w:t>
      </w:r>
      <w:r w:rsidR="00DD3439">
        <w:t xml:space="preserve"> were</w:t>
      </w:r>
      <w:r w:rsidR="005F6B86">
        <w:t xml:space="preserve"> based on a significantly more emissions intensive grid than </w:t>
      </w:r>
      <w:r w:rsidR="00E81122">
        <w:t>exists today</w:t>
      </w:r>
      <w:r w:rsidR="006B1193">
        <w:t>.</w:t>
      </w:r>
    </w:p>
    <w:p w14:paraId="363D6076" w14:textId="77777777" w:rsidR="000206CD" w:rsidRDefault="002C2B1A" w:rsidP="00716E03">
      <w:r>
        <w:t>The previous consultation paper</w:t>
      </w:r>
      <w:r w:rsidR="00EC7946">
        <w:t xml:space="preserve"> noted </w:t>
      </w:r>
      <w:r>
        <w:t>that the RET activity list could be updated</w:t>
      </w:r>
      <w:r w:rsidR="00EC7946">
        <w:t>,</w:t>
      </w:r>
      <w:r>
        <w:t xml:space="preserve"> however</w:t>
      </w:r>
      <w:r w:rsidR="00EC7946">
        <w:t xml:space="preserve"> we do not consider an </w:t>
      </w:r>
      <w:r w:rsidR="009973E7">
        <w:t xml:space="preserve">activity level </w:t>
      </w:r>
      <w:r w:rsidR="00EC7946">
        <w:t xml:space="preserve">assessment </w:t>
      </w:r>
      <w:r w:rsidR="00697F93">
        <w:t xml:space="preserve">to </w:t>
      </w:r>
      <w:r w:rsidR="006D27DB">
        <w:t xml:space="preserve">be a good proxy for scheme impact at each facility. Under </w:t>
      </w:r>
      <w:r w:rsidR="006849BF">
        <w:t xml:space="preserve">the </w:t>
      </w:r>
      <w:r w:rsidR="00D47E5E">
        <w:t>proposed design</w:t>
      </w:r>
      <w:r>
        <w:t xml:space="preserve"> </w:t>
      </w:r>
      <w:r w:rsidR="006849BF">
        <w:t xml:space="preserve">set out in </w:t>
      </w:r>
      <w:r w:rsidR="00D47E5E">
        <w:t>this paper</w:t>
      </w:r>
      <w:r w:rsidR="006849BF">
        <w:t>, impact</w:t>
      </w:r>
      <w:r w:rsidR="00D47E5E">
        <w:t>s</w:t>
      </w:r>
      <w:r w:rsidR="006849BF">
        <w:t xml:space="preserve"> will vary </w:t>
      </w:r>
      <w:r w:rsidR="009973E7">
        <w:t>among</w:t>
      </w:r>
      <w:r w:rsidR="006849BF">
        <w:t xml:space="preserve"> facilities both within </w:t>
      </w:r>
      <w:r w:rsidR="009973E7">
        <w:t xml:space="preserve">and between </w:t>
      </w:r>
      <w:r w:rsidR="00E76DB1">
        <w:t xml:space="preserve">sectors. </w:t>
      </w:r>
      <w:r w:rsidR="002C5E41">
        <w:t>Some</w:t>
      </w:r>
      <w:r w:rsidR="006849BF">
        <w:t xml:space="preserve"> will receive credits</w:t>
      </w:r>
      <w:r w:rsidR="002C5E41">
        <w:t xml:space="preserve"> and gain a financial benefit</w:t>
      </w:r>
      <w:r w:rsidR="006849BF">
        <w:t xml:space="preserve">, </w:t>
      </w:r>
      <w:r w:rsidR="002C5E41">
        <w:t>while</w:t>
      </w:r>
      <w:r w:rsidR="00E76DB1">
        <w:t xml:space="preserve"> others</w:t>
      </w:r>
      <w:r w:rsidR="006849BF">
        <w:t xml:space="preserve"> will </w:t>
      </w:r>
      <w:r w:rsidR="00E76DB1">
        <w:t>face</w:t>
      </w:r>
      <w:r w:rsidR="006849BF">
        <w:t xml:space="preserve"> </w:t>
      </w:r>
      <w:r w:rsidR="002C5E41">
        <w:lastRenderedPageBreak/>
        <w:t>exceedance and incur related costs</w:t>
      </w:r>
      <w:r w:rsidR="006849BF">
        <w:t xml:space="preserve">. </w:t>
      </w:r>
      <w:r w:rsidR="001D63B1">
        <w:t>T</w:t>
      </w:r>
      <w:r w:rsidR="00A67013">
        <w:t>h</w:t>
      </w:r>
      <w:r w:rsidR="00087EEC">
        <w:t>e</w:t>
      </w:r>
      <w:r w:rsidR="00A67013">
        <w:t>s</w:t>
      </w:r>
      <w:r w:rsidR="00087EEC">
        <w:t>e</w:t>
      </w:r>
      <w:r w:rsidR="00A67013">
        <w:t xml:space="preserve"> difference</w:t>
      </w:r>
      <w:r w:rsidR="00087EEC">
        <w:t>s</w:t>
      </w:r>
      <w:r w:rsidR="00A67013">
        <w:t xml:space="preserve"> </w:t>
      </w:r>
      <w:r w:rsidR="00087EEC">
        <w:t>are</w:t>
      </w:r>
      <w:r w:rsidR="001D63B1">
        <w:t xml:space="preserve"> likely to </w:t>
      </w:r>
      <w:r w:rsidR="00A67013">
        <w:t>increase through the transition period to 2030.</w:t>
      </w:r>
    </w:p>
    <w:p w14:paraId="6BAA5260" w14:textId="77777777" w:rsidR="00A67013" w:rsidRDefault="00A67013" w:rsidP="00716E03">
      <w:r>
        <w:t>Noting the</w:t>
      </w:r>
      <w:r w:rsidR="009D610C">
        <w:t>se</w:t>
      </w:r>
      <w:r>
        <w:t xml:space="preserve"> differential impacts between facilities and the strong preference from industry for assistance to recognise the challenges of trade exposure, we propose two categories of </w:t>
      </w:r>
      <w:r w:rsidR="00702E26">
        <w:t>facilities that will receive assistance to manage competitiveness issues and carbon leakage risks:</w:t>
      </w:r>
    </w:p>
    <w:p w14:paraId="00271FF8" w14:textId="367D9D17" w:rsidR="00E81122" w:rsidRPr="00E81122" w:rsidRDefault="00E81122" w:rsidP="00E81122">
      <w:pPr>
        <w:pStyle w:val="ListParagraph"/>
        <w:numPr>
          <w:ilvl w:val="0"/>
          <w:numId w:val="16"/>
        </w:numPr>
        <w:ind w:left="425" w:hanging="425"/>
        <w:contextualSpacing w:val="0"/>
        <w:rPr>
          <w:b/>
        </w:rPr>
      </w:pPr>
      <w:r w:rsidRPr="00E81122">
        <w:rPr>
          <w:b/>
        </w:rPr>
        <w:t xml:space="preserve">Category 1: </w:t>
      </w:r>
      <w:r w:rsidR="0082704A" w:rsidRPr="00E81122">
        <w:rPr>
          <w:b/>
        </w:rPr>
        <w:t>T</w:t>
      </w:r>
      <w:r w:rsidR="00894F9B" w:rsidRPr="00E81122">
        <w:rPr>
          <w:b/>
        </w:rPr>
        <w:t xml:space="preserve">rade </w:t>
      </w:r>
      <w:r w:rsidR="00C1118E" w:rsidRPr="00E81122">
        <w:rPr>
          <w:b/>
        </w:rPr>
        <w:t>E</w:t>
      </w:r>
      <w:r w:rsidR="00894F9B" w:rsidRPr="00E81122">
        <w:rPr>
          <w:b/>
        </w:rPr>
        <w:t>xposed facilities</w:t>
      </w:r>
      <w:r>
        <w:rPr>
          <w:b/>
        </w:rPr>
        <w:t xml:space="preserve">. </w:t>
      </w:r>
      <w:r w:rsidR="0032345D">
        <w:t xml:space="preserve">Trade </w:t>
      </w:r>
      <w:r w:rsidR="00702E26">
        <w:t xml:space="preserve">exposure </w:t>
      </w:r>
      <w:r w:rsidR="005F46AA">
        <w:t>status</w:t>
      </w:r>
      <w:r w:rsidR="00702E26">
        <w:t xml:space="preserve"> </w:t>
      </w:r>
      <w:r w:rsidR="00650669">
        <w:t>is</w:t>
      </w:r>
      <w:r w:rsidR="00702E26">
        <w:t xml:space="preserve"> </w:t>
      </w:r>
      <w:r w:rsidR="005F46AA">
        <w:t>determined at an activity level</w:t>
      </w:r>
      <w:r w:rsidR="00702E26">
        <w:t xml:space="preserve">. </w:t>
      </w:r>
      <w:r w:rsidR="00F52B79">
        <w:t>A</w:t>
      </w:r>
      <w:r w:rsidR="00702E26">
        <w:t xml:space="preserve"> Trade Exposed activity list is </w:t>
      </w:r>
      <w:r w:rsidR="005F46AA">
        <w:t>set out</w:t>
      </w:r>
      <w:r w:rsidR="00F52B79">
        <w:t xml:space="preserve"> in</w:t>
      </w:r>
      <w:r w:rsidR="005F46AA">
        <w:t xml:space="preserve"> the exposure draft</w:t>
      </w:r>
      <w:r w:rsidR="00702E26">
        <w:t xml:space="preserve"> </w:t>
      </w:r>
      <w:r>
        <w:t xml:space="preserve">Safeguard Mechanism </w:t>
      </w:r>
      <w:r w:rsidR="00702E26">
        <w:t>Rule</w:t>
      </w:r>
      <w:r w:rsidR="00C60645">
        <w:rPr>
          <w:rStyle w:val="FootnoteReference"/>
        </w:rPr>
        <w:footnoteReference w:id="26"/>
      </w:r>
      <w:r w:rsidRPr="00E81122">
        <w:t xml:space="preserve"> that accompanies this paper</w:t>
      </w:r>
      <w:r w:rsidR="0057356E">
        <w:t xml:space="preserve"> (covering around 80% of existing facilities)</w:t>
      </w:r>
      <w:r w:rsidR="00B35515">
        <w:t xml:space="preserve">. </w:t>
      </w:r>
    </w:p>
    <w:p w14:paraId="78022091" w14:textId="77777777" w:rsidR="00D47E5E" w:rsidRPr="00D47E5E" w:rsidRDefault="00B35515" w:rsidP="00E81122">
      <w:pPr>
        <w:pStyle w:val="ListParagraph"/>
        <w:numPr>
          <w:ilvl w:val="1"/>
          <w:numId w:val="16"/>
        </w:numPr>
        <w:ind w:left="851"/>
        <w:contextualSpacing w:val="0"/>
        <w:rPr>
          <w:b/>
        </w:rPr>
      </w:pPr>
      <w:r>
        <w:t xml:space="preserve">These are activities that </w:t>
      </w:r>
      <w:r w:rsidR="00654D8B">
        <w:t>relate</w:t>
      </w:r>
      <w:r>
        <w:t xml:space="preserve"> to a commod</w:t>
      </w:r>
      <w:r w:rsidR="00D47E5E">
        <w:t>ity with a trade share above 10 per cent, where:</w:t>
      </w:r>
    </w:p>
    <w:p w14:paraId="04A852B7" w14:textId="77777777" w:rsidR="005F46AA" w:rsidRPr="00D47E5E" w:rsidRDefault="00B35515" w:rsidP="00D47E5E">
      <w:pPr>
        <w:ind w:left="491"/>
        <w:jc w:val="center"/>
        <w:rPr>
          <w:b/>
        </w:rPr>
      </w:pPr>
      <w:r>
        <w:t xml:space="preserve">trade share = value of imports and exports </w:t>
      </w:r>
      <w:r w:rsidR="00D47E5E">
        <w:rPr>
          <w:rFonts w:cstheme="minorHAnsi"/>
        </w:rPr>
        <w:t>÷</w:t>
      </w:r>
      <w:r w:rsidR="00D47E5E">
        <w:t xml:space="preserve"> value of domestic production</w:t>
      </w:r>
    </w:p>
    <w:p w14:paraId="4879F7E5" w14:textId="77777777" w:rsidR="005F46AA" w:rsidRPr="00E81122" w:rsidRDefault="00E81122" w:rsidP="00E81122">
      <w:pPr>
        <w:pStyle w:val="ListParagraph"/>
        <w:numPr>
          <w:ilvl w:val="0"/>
          <w:numId w:val="16"/>
        </w:numPr>
        <w:ind w:left="425" w:hanging="425"/>
        <w:contextualSpacing w:val="0"/>
        <w:rPr>
          <w:b/>
        </w:rPr>
      </w:pPr>
      <w:r w:rsidRPr="00E81122">
        <w:rPr>
          <w:b/>
        </w:rPr>
        <w:t xml:space="preserve">Category 2: </w:t>
      </w:r>
      <w:r w:rsidR="00772A98" w:rsidRPr="00772A98">
        <w:rPr>
          <w:b/>
        </w:rPr>
        <w:t>Trade Exposed Baseline Adjusted</w:t>
      </w:r>
      <w:r w:rsidR="005F46AA" w:rsidRPr="00E81122">
        <w:rPr>
          <w:b/>
        </w:rPr>
        <w:t xml:space="preserve"> facilities</w:t>
      </w:r>
      <w:r>
        <w:rPr>
          <w:b/>
        </w:rPr>
        <w:t xml:space="preserve">. </w:t>
      </w:r>
      <w:r w:rsidR="00772A98">
        <w:t>Trade Exposed Baseline Adjusted</w:t>
      </w:r>
      <w:r w:rsidR="00650669">
        <w:t xml:space="preserve"> facilities are those </w:t>
      </w:r>
      <w:r>
        <w:t xml:space="preserve">with an elevated </w:t>
      </w:r>
      <w:r w:rsidR="00650669">
        <w:t xml:space="preserve">risk of carbon leakage. They will be assessed </w:t>
      </w:r>
      <w:r>
        <w:t>using</w:t>
      </w:r>
      <w:r w:rsidR="00650669">
        <w:t xml:space="preserve"> a t</w:t>
      </w:r>
      <w:r>
        <w:t>wo-</w:t>
      </w:r>
      <w:r w:rsidR="00283640">
        <w:t>step process</w:t>
      </w:r>
      <w:r w:rsidR="00650669">
        <w:t>:</w:t>
      </w:r>
    </w:p>
    <w:p w14:paraId="0A27D5A0" w14:textId="77777777" w:rsidR="00283640" w:rsidRDefault="00283640" w:rsidP="004666AE">
      <w:pPr>
        <w:pStyle w:val="ListParagraph"/>
        <w:numPr>
          <w:ilvl w:val="1"/>
          <w:numId w:val="24"/>
        </w:numPr>
        <w:ind w:left="851"/>
        <w:contextualSpacing w:val="0"/>
      </w:pPr>
      <w:r w:rsidRPr="004666AE">
        <w:rPr>
          <w:b/>
        </w:rPr>
        <w:t>Step 1:</w:t>
      </w:r>
      <w:r>
        <w:t xml:space="preserve"> </w:t>
      </w:r>
      <w:r w:rsidR="004C7E2F">
        <w:t>Confirm the facility i</w:t>
      </w:r>
      <w:r>
        <w:t>s</w:t>
      </w:r>
      <w:r w:rsidDel="004C7E2F">
        <w:t xml:space="preserve"> </w:t>
      </w:r>
      <w:r>
        <w:t xml:space="preserve">trade exposed </w:t>
      </w:r>
      <w:r w:rsidR="00650669">
        <w:t xml:space="preserve">(as per the Trade exposure </w:t>
      </w:r>
      <w:r w:rsidR="00B35515">
        <w:t>activity</w:t>
      </w:r>
      <w:r w:rsidR="00650669">
        <w:t xml:space="preserve"> list)</w:t>
      </w:r>
    </w:p>
    <w:p w14:paraId="353B0EE7" w14:textId="77777777" w:rsidR="00283640" w:rsidRDefault="00283640" w:rsidP="004666AE">
      <w:pPr>
        <w:pStyle w:val="ListParagraph"/>
        <w:numPr>
          <w:ilvl w:val="1"/>
          <w:numId w:val="24"/>
        </w:numPr>
        <w:ind w:left="851"/>
        <w:contextualSpacing w:val="0"/>
      </w:pPr>
      <w:r w:rsidRPr="004666AE">
        <w:rPr>
          <w:b/>
        </w:rPr>
        <w:t xml:space="preserve">Step 2: </w:t>
      </w:r>
      <w:r w:rsidR="00650669">
        <w:t xml:space="preserve">The effect of the reformed scheme on the facility </w:t>
      </w:r>
      <w:r>
        <w:t xml:space="preserve">exceeds </w:t>
      </w:r>
      <w:r w:rsidR="00846270">
        <w:t xml:space="preserve">a </w:t>
      </w:r>
      <w:r w:rsidR="00D90BBA">
        <w:t xml:space="preserve">cost impact threshold </w:t>
      </w:r>
      <w:r w:rsidR="00846270">
        <w:t>(</w:t>
      </w:r>
      <w:r w:rsidR="00D90BBA">
        <w:t xml:space="preserve">set out in </w:t>
      </w:r>
      <w:r w:rsidR="000945AC">
        <w:t>Section 5.2</w:t>
      </w:r>
      <w:r w:rsidR="00D90BBA">
        <w:t xml:space="preserve"> below</w:t>
      </w:r>
      <w:r w:rsidR="00846270">
        <w:t>)</w:t>
      </w:r>
    </w:p>
    <w:p w14:paraId="35B77B1A" w14:textId="40DCAC9A" w:rsidR="00E81122" w:rsidRDefault="0080079D" w:rsidP="004666AE">
      <w:pPr>
        <w:pStyle w:val="Calloutbox"/>
      </w:pPr>
      <w:r>
        <w:t>T</w:t>
      </w:r>
      <w:r w:rsidR="007B763E">
        <w:t xml:space="preserve">wo categories of </w:t>
      </w:r>
      <w:r w:rsidR="00785C0B">
        <w:t xml:space="preserve">facilities </w:t>
      </w:r>
      <w:r>
        <w:t xml:space="preserve">would be given </w:t>
      </w:r>
      <w:r w:rsidR="00785C0B">
        <w:t>access to tailored treatment to manage competitiveness and carbon leakage risks</w:t>
      </w:r>
      <w:r w:rsidR="00E81122">
        <w:t>:</w:t>
      </w:r>
    </w:p>
    <w:p w14:paraId="5AFA5D59" w14:textId="6CD665BC" w:rsidR="00E81122" w:rsidRDefault="00E81122" w:rsidP="004666AE">
      <w:pPr>
        <w:pStyle w:val="Calloutbox"/>
      </w:pPr>
      <w:r>
        <w:rPr>
          <w:i/>
        </w:rPr>
        <w:t xml:space="preserve">-  </w:t>
      </w:r>
      <w:r w:rsidR="00ED0450" w:rsidRPr="00D47E5E">
        <w:rPr>
          <w:b/>
        </w:rPr>
        <w:t>Trade Exposed</w:t>
      </w:r>
      <w:r w:rsidR="00ED0450">
        <w:t xml:space="preserve"> facilities</w:t>
      </w:r>
      <w:r w:rsidR="005E40A2">
        <w:t>, which</w:t>
      </w:r>
      <w:r w:rsidR="0080079D">
        <w:t xml:space="preserve"> </w:t>
      </w:r>
      <w:r w:rsidR="007B763E">
        <w:t>will include all facilities undertaking a trade exposed activity</w:t>
      </w:r>
      <w:r w:rsidR="00A07F8C">
        <w:t>;</w:t>
      </w:r>
      <w:r w:rsidR="007B763E">
        <w:t xml:space="preserve"> </w:t>
      </w:r>
    </w:p>
    <w:p w14:paraId="51DC156B" w14:textId="2D63AA99" w:rsidR="007B763E" w:rsidRPr="00350E95" w:rsidRDefault="00E81122" w:rsidP="004666AE">
      <w:pPr>
        <w:pStyle w:val="Calloutbox"/>
      </w:pPr>
      <w:r>
        <w:rPr>
          <w:i/>
        </w:rPr>
        <w:t xml:space="preserve">-  </w:t>
      </w:r>
      <w:r w:rsidR="00772A98" w:rsidRPr="00772A98">
        <w:rPr>
          <w:b/>
        </w:rPr>
        <w:t>Trade Exposed Baseline Adjusted</w:t>
      </w:r>
      <w:r w:rsidR="00ED0450">
        <w:t xml:space="preserve"> facilities</w:t>
      </w:r>
      <w:r w:rsidR="005E40A2">
        <w:t>, which</w:t>
      </w:r>
      <w:r w:rsidR="007B763E">
        <w:t xml:space="preserve"> </w:t>
      </w:r>
      <w:r w:rsidR="00A07F8C">
        <w:t xml:space="preserve">are </w:t>
      </w:r>
      <w:r w:rsidR="005E40A2">
        <w:t xml:space="preserve">a </w:t>
      </w:r>
      <w:r w:rsidR="00A07F8C">
        <w:t>subset</w:t>
      </w:r>
      <w:r w:rsidR="005E40A2">
        <w:t xml:space="preserve"> of </w:t>
      </w:r>
      <w:r w:rsidR="0080079D">
        <w:t>trade-exposed facilities</w:t>
      </w:r>
      <w:r w:rsidR="00A07F8C">
        <w:t xml:space="preserve"> </w:t>
      </w:r>
      <w:r w:rsidR="007B763E">
        <w:t xml:space="preserve">facing </w:t>
      </w:r>
      <w:r>
        <w:t>an elevated risk of carbon leakage</w:t>
      </w:r>
      <w:r w:rsidR="007B763E">
        <w:t xml:space="preserve">.  </w:t>
      </w:r>
    </w:p>
    <w:p w14:paraId="032E8DE8" w14:textId="77777777" w:rsidR="00F515C0" w:rsidRDefault="00F515C0" w:rsidP="00242764">
      <w:pPr>
        <w:pStyle w:val="Heading2"/>
      </w:pPr>
      <w:bookmarkStart w:id="1003" w:name="_Toc117437249"/>
      <w:bookmarkStart w:id="1004" w:name="_Toc117499197"/>
      <w:bookmarkStart w:id="1005" w:name="_Toc117521044"/>
      <w:bookmarkStart w:id="1006" w:name="_Toc117524791"/>
      <w:bookmarkStart w:id="1007" w:name="_Toc117543981"/>
      <w:bookmarkStart w:id="1008" w:name="_Toc117548332"/>
      <w:bookmarkStart w:id="1009" w:name="_Toc117588650"/>
      <w:bookmarkStart w:id="1010" w:name="_Toc117588694"/>
      <w:bookmarkStart w:id="1011" w:name="_Toc117604812"/>
      <w:bookmarkStart w:id="1012" w:name="_Toc117612894"/>
      <w:bookmarkStart w:id="1013" w:name="_Toc117627732"/>
      <w:bookmarkStart w:id="1014" w:name="_Toc117630397"/>
      <w:bookmarkStart w:id="1015" w:name="_Toc117868004"/>
      <w:bookmarkStart w:id="1016" w:name="_Toc117888019"/>
      <w:bookmarkStart w:id="1017" w:name="_Toc117951463"/>
      <w:bookmarkStart w:id="1018" w:name="_Toc117960110"/>
      <w:bookmarkStart w:id="1019" w:name="_Toc118040372"/>
      <w:bookmarkStart w:id="1020" w:name="_Toc118196224"/>
      <w:bookmarkStart w:id="1021" w:name="_Toc118198393"/>
      <w:bookmarkStart w:id="1022" w:name="_Toc118198808"/>
      <w:bookmarkStart w:id="1023" w:name="_Toc118198999"/>
      <w:bookmarkStart w:id="1024" w:name="_Toc118199553"/>
      <w:bookmarkStart w:id="1025" w:name="_Toc118304125"/>
      <w:bookmarkStart w:id="1026" w:name="_Toc118304156"/>
      <w:bookmarkStart w:id="1027" w:name="_Toc118306358"/>
      <w:bookmarkStart w:id="1028" w:name="_Toc118308350"/>
      <w:bookmarkStart w:id="1029" w:name="_Toc119500920"/>
      <w:bookmarkStart w:id="1030" w:name="_Toc119572375"/>
      <w:bookmarkStart w:id="1031" w:name="_Toc120098970"/>
      <w:bookmarkStart w:id="1032" w:name="_Toc122514450"/>
      <w:bookmarkStart w:id="1033" w:name="_Toc124100700"/>
      <w:r>
        <w:t xml:space="preserve">Assistance </w:t>
      </w:r>
      <w:r w:rsidR="00C14C72">
        <w:t>for</w:t>
      </w:r>
      <w:r>
        <w:t xml:space="preserve"> EITE facilities</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2C069D34" w14:textId="77777777" w:rsidR="00F515C0" w:rsidRDefault="00ED0450" w:rsidP="00F515C0">
      <w:pPr>
        <w:pStyle w:val="Heading3"/>
        <w:rPr>
          <w:lang w:val="en-GB"/>
        </w:rPr>
      </w:pPr>
      <w:r>
        <w:rPr>
          <w:lang w:val="en-GB"/>
        </w:rPr>
        <w:t>Trade Exposed</w:t>
      </w:r>
      <w:r w:rsidR="00F515C0">
        <w:rPr>
          <w:lang w:val="en-GB"/>
        </w:rPr>
        <w:t xml:space="preserve"> facilities</w:t>
      </w:r>
    </w:p>
    <w:p w14:paraId="14C995E8" w14:textId="4FA5FCBD" w:rsidR="00E26CA7" w:rsidRDefault="00F71C50" w:rsidP="00F515C0">
      <w:pPr>
        <w:rPr>
          <w:lang w:val="en-GB"/>
        </w:rPr>
      </w:pPr>
      <w:r>
        <w:rPr>
          <w:lang w:val="en-GB"/>
        </w:rPr>
        <w:t xml:space="preserve">Trade </w:t>
      </w:r>
      <w:r w:rsidR="00C1118E">
        <w:rPr>
          <w:lang w:val="en-GB"/>
        </w:rPr>
        <w:t>E</w:t>
      </w:r>
      <w:r>
        <w:rPr>
          <w:lang w:val="en-GB"/>
        </w:rPr>
        <w:t xml:space="preserve">xposed facilities will be </w:t>
      </w:r>
      <w:r w:rsidR="00382ADF">
        <w:rPr>
          <w:lang w:val="en-GB"/>
        </w:rPr>
        <w:t xml:space="preserve">supported </w:t>
      </w:r>
      <w:r>
        <w:rPr>
          <w:lang w:val="en-GB"/>
        </w:rPr>
        <w:t xml:space="preserve">through the formation of a </w:t>
      </w:r>
      <w:r w:rsidR="00EC7364">
        <w:rPr>
          <w:lang w:val="en-GB"/>
        </w:rPr>
        <w:t xml:space="preserve">dedicated $600 million </w:t>
      </w:r>
      <w:r w:rsidR="00AB73EF">
        <w:rPr>
          <w:lang w:val="en-GB"/>
        </w:rPr>
        <w:t xml:space="preserve">Safeguard </w:t>
      </w:r>
      <w:r w:rsidR="00FC1F07">
        <w:rPr>
          <w:lang w:val="en-GB"/>
        </w:rPr>
        <w:t>Transformation</w:t>
      </w:r>
      <w:r w:rsidR="008F3F39">
        <w:rPr>
          <w:lang w:val="en-GB"/>
        </w:rPr>
        <w:t xml:space="preserve"> </w:t>
      </w:r>
      <w:r w:rsidR="0087137A">
        <w:rPr>
          <w:lang w:val="en-GB"/>
        </w:rPr>
        <w:t>Stream</w:t>
      </w:r>
      <w:r w:rsidR="00961D0E">
        <w:rPr>
          <w:lang w:val="en-GB"/>
        </w:rPr>
        <w:t xml:space="preserve"> within </w:t>
      </w:r>
      <w:r>
        <w:rPr>
          <w:lang w:val="en-GB"/>
        </w:rPr>
        <w:t>the Powering the Regions Fund</w:t>
      </w:r>
      <w:r w:rsidR="00E26CA7">
        <w:rPr>
          <w:lang w:val="en-GB"/>
        </w:rPr>
        <w:t xml:space="preserve"> (PRF</w:t>
      </w:r>
      <w:r w:rsidR="00EC7364">
        <w:rPr>
          <w:lang w:val="en-GB"/>
        </w:rPr>
        <w:t>)</w:t>
      </w:r>
      <w:r w:rsidR="00AA7EFE">
        <w:rPr>
          <w:lang w:val="en-GB"/>
        </w:rPr>
        <w:t xml:space="preserve">. </w:t>
      </w:r>
    </w:p>
    <w:p w14:paraId="1488B0BD" w14:textId="310F74BD" w:rsidR="00E26CA7" w:rsidRDefault="00E26CA7" w:rsidP="00F515C0">
      <w:pPr>
        <w:rPr>
          <w:lang w:val="en-GB"/>
        </w:rPr>
      </w:pPr>
      <w:r>
        <w:rPr>
          <w:lang w:val="en-GB"/>
        </w:rPr>
        <w:t>This will be a competitive grants program link</w:t>
      </w:r>
      <w:r w:rsidR="00961D0E">
        <w:rPr>
          <w:lang w:val="en-GB"/>
        </w:rPr>
        <w:t>ed</w:t>
      </w:r>
      <w:r>
        <w:rPr>
          <w:lang w:val="en-GB"/>
        </w:rPr>
        <w:t xml:space="preserve"> to the reformed Safeguard Mechanism</w:t>
      </w:r>
      <w:r w:rsidR="00961D0E">
        <w:rPr>
          <w:lang w:val="en-GB"/>
        </w:rPr>
        <w:t>,</w:t>
      </w:r>
      <w:r>
        <w:rPr>
          <w:lang w:val="en-GB"/>
        </w:rPr>
        <w:t xml:space="preserve"> acknowledging the </w:t>
      </w:r>
      <w:r w:rsidR="00641030">
        <w:rPr>
          <w:lang w:val="en-GB"/>
        </w:rPr>
        <w:t>‘hard to abate’</w:t>
      </w:r>
      <w:r>
        <w:rPr>
          <w:lang w:val="en-GB"/>
        </w:rPr>
        <w:t xml:space="preserve"> nature of many Safeguard facilities. The </w:t>
      </w:r>
      <w:r w:rsidR="00961D0E">
        <w:rPr>
          <w:lang w:val="en-GB"/>
        </w:rPr>
        <w:t xml:space="preserve">program </w:t>
      </w:r>
      <w:r>
        <w:rPr>
          <w:lang w:val="en-GB"/>
        </w:rPr>
        <w:t xml:space="preserve">will provide a range of funding opportunities </w:t>
      </w:r>
      <w:r w:rsidR="001C0F54">
        <w:rPr>
          <w:lang w:val="en-GB"/>
        </w:rPr>
        <w:t xml:space="preserve">to support on-site decarbonisation activities </w:t>
      </w:r>
      <w:r>
        <w:rPr>
          <w:lang w:val="en-GB"/>
        </w:rPr>
        <w:t>across the full spectrum of technological maturity</w:t>
      </w:r>
      <w:r w:rsidR="001C0F54">
        <w:rPr>
          <w:lang w:val="en-GB"/>
        </w:rPr>
        <w:t xml:space="preserve"> on a technology neutral basis</w:t>
      </w:r>
      <w:r w:rsidR="00877D79">
        <w:rPr>
          <w:rStyle w:val="FootnoteReference"/>
          <w:lang w:val="en-GB"/>
        </w:rPr>
        <w:footnoteReference w:id="27"/>
      </w:r>
      <w:r>
        <w:rPr>
          <w:lang w:val="en-GB"/>
        </w:rPr>
        <w:t xml:space="preserve">. </w:t>
      </w:r>
    </w:p>
    <w:p w14:paraId="5AF0F2C3" w14:textId="77777777" w:rsidR="00F5467F" w:rsidRDefault="00E26CA7" w:rsidP="00F515C0">
      <w:pPr>
        <w:rPr>
          <w:lang w:val="en-GB"/>
        </w:rPr>
      </w:pPr>
      <w:r>
        <w:rPr>
          <w:lang w:val="en-GB"/>
        </w:rPr>
        <w:t xml:space="preserve">The broad application of this </w:t>
      </w:r>
      <w:r w:rsidR="00961D0E">
        <w:rPr>
          <w:lang w:val="en-GB"/>
        </w:rPr>
        <w:t xml:space="preserve">grant </w:t>
      </w:r>
      <w:r>
        <w:rPr>
          <w:lang w:val="en-GB"/>
        </w:rPr>
        <w:t>fund</w:t>
      </w:r>
      <w:r w:rsidR="00961D0E">
        <w:rPr>
          <w:lang w:val="en-GB"/>
        </w:rPr>
        <w:t>ing</w:t>
      </w:r>
      <w:r>
        <w:rPr>
          <w:lang w:val="en-GB"/>
        </w:rPr>
        <w:t xml:space="preserve"> across </w:t>
      </w:r>
      <w:r w:rsidR="007B57BD">
        <w:rPr>
          <w:lang w:val="en-GB"/>
        </w:rPr>
        <w:t>Trade Exposed facilities</w:t>
      </w:r>
      <w:r>
        <w:rPr>
          <w:lang w:val="en-GB"/>
        </w:rPr>
        <w:t xml:space="preserve"> is consistent with </w:t>
      </w:r>
      <w:r w:rsidR="0082704A">
        <w:rPr>
          <w:lang w:val="en-GB"/>
        </w:rPr>
        <w:t xml:space="preserve">feedback from a number </w:t>
      </w:r>
      <w:r w:rsidR="008C706A">
        <w:rPr>
          <w:lang w:val="en-GB"/>
        </w:rPr>
        <w:t xml:space="preserve">of </w:t>
      </w:r>
      <w:r w:rsidR="0082704A">
        <w:rPr>
          <w:lang w:val="en-GB"/>
        </w:rPr>
        <w:t>stakeholders</w:t>
      </w:r>
      <w:r>
        <w:rPr>
          <w:lang w:val="en-GB"/>
        </w:rPr>
        <w:t xml:space="preserve"> that it is preferable </w:t>
      </w:r>
      <w:r w:rsidR="00961D0E">
        <w:rPr>
          <w:lang w:val="en-GB"/>
        </w:rPr>
        <w:t xml:space="preserve">for EITE assistance </w:t>
      </w:r>
      <w:r>
        <w:rPr>
          <w:lang w:val="en-GB"/>
        </w:rPr>
        <w:t xml:space="preserve">to </w:t>
      </w:r>
      <w:r w:rsidR="00961D0E">
        <w:rPr>
          <w:lang w:val="en-GB"/>
        </w:rPr>
        <w:t xml:space="preserve">be </w:t>
      </w:r>
      <w:r>
        <w:rPr>
          <w:lang w:val="en-GB"/>
        </w:rPr>
        <w:t>provide</w:t>
      </w:r>
      <w:r w:rsidR="00961D0E">
        <w:rPr>
          <w:lang w:val="en-GB"/>
        </w:rPr>
        <w:t>d</w:t>
      </w:r>
      <w:r>
        <w:rPr>
          <w:lang w:val="en-GB"/>
        </w:rPr>
        <w:t xml:space="preserve"> </w:t>
      </w:r>
      <w:r w:rsidR="00961D0E">
        <w:rPr>
          <w:lang w:val="en-GB"/>
        </w:rPr>
        <w:t xml:space="preserve">in a way that is </w:t>
      </w:r>
      <w:r>
        <w:rPr>
          <w:lang w:val="en-GB"/>
        </w:rPr>
        <w:t>external to the scheme</w:t>
      </w:r>
      <w:r w:rsidR="00641030">
        <w:rPr>
          <w:lang w:val="en-GB"/>
        </w:rPr>
        <w:t>, as this</w:t>
      </w:r>
      <w:r>
        <w:rPr>
          <w:lang w:val="en-GB"/>
        </w:rPr>
        <w:t xml:space="preserve"> </w:t>
      </w:r>
      <w:r w:rsidR="00961D0E">
        <w:rPr>
          <w:lang w:val="en-GB"/>
        </w:rPr>
        <w:t xml:space="preserve">maintains </w:t>
      </w:r>
      <w:r w:rsidR="00641030">
        <w:rPr>
          <w:lang w:val="en-GB"/>
        </w:rPr>
        <w:t>an</w:t>
      </w:r>
      <w:r w:rsidR="00F5467F">
        <w:rPr>
          <w:lang w:val="en-GB"/>
        </w:rPr>
        <w:t xml:space="preserve"> incentive to reduce emissions.</w:t>
      </w:r>
    </w:p>
    <w:p w14:paraId="689E1434" w14:textId="77777777" w:rsidR="006C6595" w:rsidRDefault="006C6595" w:rsidP="008F3F39">
      <w:pPr>
        <w:pStyle w:val="Quote"/>
      </w:pPr>
      <w:r w:rsidRPr="00FD4E0C">
        <w:lastRenderedPageBreak/>
        <w:t xml:space="preserve">The MCA supports the use of the Powering the Regions Fund to support EITE facilities to uptake new low emissions technologies in mining and other sectors, which contribute to Australia’s emissions reduction ambitions. Specific consideration should be given to how to incentivise electrification as part of the implementation of transformative technology. </w:t>
      </w:r>
    </w:p>
    <w:p w14:paraId="137A0847" w14:textId="77777777" w:rsidR="006C6595" w:rsidRPr="006C6595" w:rsidRDefault="006C6595" w:rsidP="008F3F39">
      <w:pPr>
        <w:pStyle w:val="IntenseQuote"/>
      </w:pPr>
      <w:r w:rsidRPr="006C6595">
        <w:t>M</w:t>
      </w:r>
      <w:r>
        <w:t>inerals</w:t>
      </w:r>
      <w:r w:rsidRPr="006C6595">
        <w:t xml:space="preserve"> Council of Australi</w:t>
      </w:r>
      <w:r>
        <w:t>a</w:t>
      </w:r>
    </w:p>
    <w:p w14:paraId="4B9C4929" w14:textId="77777777" w:rsidR="00641030" w:rsidRDefault="00641030" w:rsidP="00641030">
      <w:pPr>
        <w:pStyle w:val="Quote"/>
      </w:pPr>
      <w:r w:rsidRPr="00FD4E0C">
        <w:t xml:space="preserve">Investment in low-emissions technology for EITE facilities assists them to meet their obligations while not endangering achievement of the SM target. </w:t>
      </w:r>
    </w:p>
    <w:p w14:paraId="45AF7AAB" w14:textId="77777777" w:rsidR="00641030" w:rsidRDefault="00641030" w:rsidP="00641030">
      <w:pPr>
        <w:pStyle w:val="IntenseQuote"/>
      </w:pPr>
      <w:r w:rsidRPr="004B04F3">
        <w:t>Energy Efficiency Council</w:t>
      </w:r>
    </w:p>
    <w:p w14:paraId="7801C49D" w14:textId="77777777" w:rsidR="00A12B9A" w:rsidRDefault="00A12B9A" w:rsidP="008F3F39">
      <w:pPr>
        <w:pStyle w:val="Quote"/>
      </w:pPr>
      <w:r w:rsidRPr="003C062B">
        <w:t xml:space="preserve">Rio Tinto supports the proposed low emissions technology funding as a complementary policy to the reformed Safeguard Mechanism, alongside levers within the reformed Safeguard mechanism to support the high levels of investment required in abatement and to manage the timetable for technology development and deployment. </w:t>
      </w:r>
    </w:p>
    <w:p w14:paraId="76E0BAB6" w14:textId="77777777" w:rsidR="00A12B9A" w:rsidRPr="00A12B9A" w:rsidRDefault="00A12B9A" w:rsidP="008F3F39">
      <w:pPr>
        <w:pStyle w:val="IntenseQuote"/>
      </w:pPr>
      <w:r w:rsidRPr="00A12B9A">
        <w:t>Rio Tinto</w:t>
      </w:r>
    </w:p>
    <w:p w14:paraId="2667C5BD" w14:textId="77777777" w:rsidR="00413D15" w:rsidRDefault="00413D15" w:rsidP="00413D15">
      <w:pPr>
        <w:rPr>
          <w:lang w:val="en-GB"/>
        </w:rPr>
      </w:pPr>
      <w:r w:rsidRPr="00413D15">
        <w:rPr>
          <w:lang w:val="en-GB"/>
        </w:rPr>
        <w:t>The Government will consult further on the design of the Safeguard Transformation Stream to ensure it is fit for purpose and best complements other government finance</w:t>
      </w:r>
      <w:r w:rsidR="00370A69">
        <w:rPr>
          <w:lang w:val="en-GB"/>
        </w:rPr>
        <w:t xml:space="preserve"> and</w:t>
      </w:r>
      <w:r w:rsidRPr="00413D15">
        <w:rPr>
          <w:lang w:val="en-GB"/>
        </w:rPr>
        <w:t xml:space="preserve"> funding</w:t>
      </w:r>
      <w:r w:rsidR="00370A69">
        <w:rPr>
          <w:lang w:val="en-GB"/>
        </w:rPr>
        <w:t xml:space="preserve"> mechanisms</w:t>
      </w:r>
      <w:r w:rsidRPr="00413D15">
        <w:rPr>
          <w:lang w:val="en-GB"/>
        </w:rPr>
        <w:t xml:space="preserve"> and policies. It is recognised that many existing trade exposed facilities are part of strategic national indust</w:t>
      </w:r>
      <w:r w:rsidR="00673609">
        <w:rPr>
          <w:lang w:val="en-GB"/>
        </w:rPr>
        <w:t xml:space="preserve">ries, such as metals, chemicals, </w:t>
      </w:r>
      <w:r w:rsidRPr="00413D15">
        <w:rPr>
          <w:lang w:val="en-GB"/>
        </w:rPr>
        <w:t>cement manufacturing and critical minerals, that provide key inputs to clean energy supply chains and are important to capturing the benefits from a global net zero economy.</w:t>
      </w:r>
    </w:p>
    <w:p w14:paraId="7619B39B" w14:textId="77777777" w:rsidR="00614064" w:rsidRDefault="00614064" w:rsidP="00F515C0">
      <w:pPr>
        <w:rPr>
          <w:lang w:val="en-GB"/>
        </w:rPr>
      </w:pPr>
      <w:r>
        <w:rPr>
          <w:lang w:val="en-GB"/>
        </w:rPr>
        <w:t>All Safeguard facilities will have preferential access to the remaining PRF funding</w:t>
      </w:r>
      <w:r w:rsidR="00AD3699">
        <w:rPr>
          <w:lang w:val="en-GB"/>
        </w:rPr>
        <w:t xml:space="preserve">, for example through </w:t>
      </w:r>
      <w:r w:rsidR="00AD3699">
        <w:t>additional weighting in the criteria for assessment</w:t>
      </w:r>
      <w:r>
        <w:rPr>
          <w:lang w:val="en-GB"/>
        </w:rPr>
        <w:t>, as well as continued access to a variety of other sources of funding and finance such as ARENA. In addition, independently governed investment vehicles</w:t>
      </w:r>
      <w:r w:rsidR="002D1C86">
        <w:rPr>
          <w:lang w:val="en-GB"/>
        </w:rPr>
        <w:t>—</w:t>
      </w:r>
      <w:r>
        <w:rPr>
          <w:lang w:val="en-GB"/>
        </w:rPr>
        <w:t>such as the National Reconstruction Fund and the CEFC</w:t>
      </w:r>
      <w:r w:rsidR="00A76BB9" w:rsidRPr="002D1C86">
        <w:rPr>
          <w:lang w:val="en-GB"/>
        </w:rPr>
        <w:t>—</w:t>
      </w:r>
      <w:r>
        <w:rPr>
          <w:lang w:val="en-GB"/>
        </w:rPr>
        <w:t>will be encouraged to prioritise investments that support businesses to meet their obligations under the Safeguard Mechanism.</w:t>
      </w:r>
    </w:p>
    <w:p w14:paraId="530C3A3E" w14:textId="77777777" w:rsidR="00F515C0" w:rsidRDefault="00772A98" w:rsidP="00F515C0">
      <w:pPr>
        <w:pStyle w:val="Heading3"/>
        <w:rPr>
          <w:lang w:val="en-GB"/>
        </w:rPr>
      </w:pPr>
      <w:r>
        <w:t>Trade Exposed Baseline Adjusted</w:t>
      </w:r>
      <w:r w:rsidR="00F515C0">
        <w:rPr>
          <w:lang w:val="en-GB"/>
        </w:rPr>
        <w:t xml:space="preserve"> facilities</w:t>
      </w:r>
    </w:p>
    <w:p w14:paraId="17233CF5" w14:textId="77777777" w:rsidR="00110B8F" w:rsidRDefault="00F5467F" w:rsidP="00F515C0">
      <w:pPr>
        <w:rPr>
          <w:lang w:val="en-GB"/>
        </w:rPr>
      </w:pPr>
      <w:r>
        <w:rPr>
          <w:lang w:val="en-GB"/>
        </w:rPr>
        <w:t>The second category of EITE facilities acknowledges that</w:t>
      </w:r>
      <w:r w:rsidR="00110B8F">
        <w:rPr>
          <w:lang w:val="en-GB"/>
        </w:rPr>
        <w:t xml:space="preserve"> some </w:t>
      </w:r>
      <w:r w:rsidR="007B57BD">
        <w:rPr>
          <w:lang w:val="en-GB"/>
        </w:rPr>
        <w:t>T</w:t>
      </w:r>
      <w:r w:rsidR="002A64D3">
        <w:rPr>
          <w:lang w:val="en-GB"/>
        </w:rPr>
        <w:t xml:space="preserve">rade </w:t>
      </w:r>
      <w:r w:rsidR="007B57BD">
        <w:rPr>
          <w:lang w:val="en-GB"/>
        </w:rPr>
        <w:t>E</w:t>
      </w:r>
      <w:r w:rsidR="002A64D3">
        <w:rPr>
          <w:lang w:val="en-GB"/>
        </w:rPr>
        <w:t xml:space="preserve">xposed </w:t>
      </w:r>
      <w:r w:rsidR="00110B8F">
        <w:rPr>
          <w:lang w:val="en-GB"/>
        </w:rPr>
        <w:t xml:space="preserve">facilities will face more significant scheme impacts, particularly after the first few years of the scheme and in those industries with limited </w:t>
      </w:r>
      <w:r w:rsidR="002A64D3">
        <w:rPr>
          <w:lang w:val="en-GB"/>
        </w:rPr>
        <w:t xml:space="preserve">currently </w:t>
      </w:r>
      <w:r w:rsidR="00110B8F">
        <w:rPr>
          <w:lang w:val="en-GB"/>
        </w:rPr>
        <w:t>available technology to reduce emissions.</w:t>
      </w:r>
    </w:p>
    <w:p w14:paraId="3DE65414" w14:textId="77777777" w:rsidR="00F515C0" w:rsidRPr="00F515C0" w:rsidRDefault="002A64D3" w:rsidP="00F515C0">
      <w:pPr>
        <w:rPr>
          <w:lang w:val="en-GB"/>
        </w:rPr>
      </w:pPr>
      <w:r>
        <w:rPr>
          <w:lang w:val="en-GB"/>
        </w:rPr>
        <w:t>In addition to receiving</w:t>
      </w:r>
      <w:r w:rsidR="00110B8F">
        <w:rPr>
          <w:lang w:val="en-GB"/>
        </w:rPr>
        <w:t xml:space="preserve"> </w:t>
      </w:r>
      <w:r>
        <w:rPr>
          <w:lang w:val="en-GB"/>
        </w:rPr>
        <w:t xml:space="preserve">access to </w:t>
      </w:r>
      <w:r w:rsidR="00925C49">
        <w:rPr>
          <w:lang w:val="en-GB"/>
        </w:rPr>
        <w:t xml:space="preserve">the </w:t>
      </w:r>
      <w:r w:rsidR="008F3F39">
        <w:rPr>
          <w:lang w:val="en-GB"/>
        </w:rPr>
        <w:t xml:space="preserve">Safeguard </w:t>
      </w:r>
      <w:r w:rsidR="00FC1F07">
        <w:rPr>
          <w:lang w:val="en-GB"/>
        </w:rPr>
        <w:t>Transformation</w:t>
      </w:r>
      <w:r w:rsidR="008F3F39">
        <w:rPr>
          <w:lang w:val="en-GB"/>
        </w:rPr>
        <w:t xml:space="preserve"> </w:t>
      </w:r>
      <w:r w:rsidR="0087137A">
        <w:rPr>
          <w:lang w:val="en-GB"/>
        </w:rPr>
        <w:t>Stream</w:t>
      </w:r>
      <w:r>
        <w:rPr>
          <w:lang w:val="en-GB"/>
        </w:rPr>
        <w:t>, t</w:t>
      </w:r>
      <w:r w:rsidR="002944DA">
        <w:rPr>
          <w:lang w:val="en-GB"/>
        </w:rPr>
        <w:t xml:space="preserve">hese facilities </w:t>
      </w:r>
      <w:r w:rsidR="008F3F39">
        <w:rPr>
          <w:lang w:val="en-GB"/>
        </w:rPr>
        <w:t>can</w:t>
      </w:r>
      <w:r w:rsidR="002944DA">
        <w:rPr>
          <w:lang w:val="en-GB"/>
        </w:rPr>
        <w:t xml:space="preserve"> apply for a lower </w:t>
      </w:r>
      <w:r w:rsidR="00442EBD">
        <w:rPr>
          <w:lang w:val="en-GB"/>
        </w:rPr>
        <w:t xml:space="preserve">baseline </w:t>
      </w:r>
      <w:r w:rsidR="002944DA">
        <w:rPr>
          <w:lang w:val="en-GB"/>
        </w:rPr>
        <w:t xml:space="preserve">decline rate to </w:t>
      </w:r>
      <w:r>
        <w:rPr>
          <w:lang w:val="en-GB"/>
        </w:rPr>
        <w:t>moderate</w:t>
      </w:r>
      <w:r w:rsidR="002944DA">
        <w:rPr>
          <w:lang w:val="en-GB"/>
        </w:rPr>
        <w:t xml:space="preserve"> the </w:t>
      </w:r>
      <w:r>
        <w:rPr>
          <w:lang w:val="en-GB"/>
        </w:rPr>
        <w:t>potential scheme costs.</w:t>
      </w:r>
      <w:r w:rsidR="002944DA">
        <w:rPr>
          <w:lang w:val="en-GB"/>
        </w:rPr>
        <w:t xml:space="preserve"> </w:t>
      </w:r>
      <w:r w:rsidR="00110B8F">
        <w:rPr>
          <w:lang w:val="en-GB"/>
        </w:rPr>
        <w:t xml:space="preserve"> </w:t>
      </w:r>
    </w:p>
    <w:p w14:paraId="48344B46" w14:textId="77777777" w:rsidR="00FF5A00" w:rsidRDefault="00FF5A00" w:rsidP="008F3F39">
      <w:pPr>
        <w:pStyle w:val="Quote"/>
      </w:pPr>
      <w:r w:rsidRPr="004D3EDB">
        <w:t xml:space="preserve">Initially, it appears that a model that recognises trade competitiveness cost impacts through the rate of decline is a sensible approach and one that can be assessed and reviewed through a phased approach as technologies develop and global commitments to decarbonisation accelerate. </w:t>
      </w:r>
    </w:p>
    <w:p w14:paraId="19388543" w14:textId="77777777" w:rsidR="00FF5A00" w:rsidRPr="00FF5A00" w:rsidRDefault="00FF5A00" w:rsidP="008F3F39">
      <w:pPr>
        <w:pStyle w:val="IntenseQuote"/>
      </w:pPr>
      <w:r w:rsidRPr="00FF5A00">
        <w:t>Australian Industry Greenhouse Network</w:t>
      </w:r>
    </w:p>
    <w:p w14:paraId="285D2419" w14:textId="77777777" w:rsidR="00FF5A00" w:rsidRDefault="00FF5A00" w:rsidP="008F3F39">
      <w:pPr>
        <w:pStyle w:val="Quote"/>
      </w:pPr>
      <w:r w:rsidRPr="005A2EBE">
        <w:t>The application of differentiated decline rates, coupled with direct funding of low emissions projects (e.g. under the new Powering the Regions Fund) where appropriate, would also be a simple and direct approach to providing support.</w:t>
      </w:r>
      <w:r>
        <w:t xml:space="preserve"> </w:t>
      </w:r>
    </w:p>
    <w:p w14:paraId="183E94DF" w14:textId="77777777" w:rsidR="00FF5A00" w:rsidRPr="00FF5A00" w:rsidRDefault="00FF5A00" w:rsidP="008F3F39">
      <w:pPr>
        <w:pStyle w:val="IntenseQuote"/>
      </w:pPr>
      <w:r w:rsidRPr="00FF5A00">
        <w:t>Origin Energy</w:t>
      </w:r>
    </w:p>
    <w:p w14:paraId="33E1F4EC" w14:textId="77777777" w:rsidR="00FF5A00" w:rsidRDefault="00FF5A00" w:rsidP="008F3F39">
      <w:pPr>
        <w:pStyle w:val="Quote"/>
      </w:pPr>
      <w:r w:rsidRPr="009C7C78">
        <w:lastRenderedPageBreak/>
        <w:t>A differentiated decline will encourage decarbonisation projects investment but allow for the lag time required for technology development and implementation, particularly for industries dependent on electrification, where the generation and transmission are not yet sufficient.</w:t>
      </w:r>
      <w:r>
        <w:t xml:space="preserve">  </w:t>
      </w:r>
    </w:p>
    <w:p w14:paraId="7E7DC744" w14:textId="77777777" w:rsidR="00FF5A00" w:rsidRDefault="00FF5A00" w:rsidP="008F3F39">
      <w:pPr>
        <w:pStyle w:val="IntenseQuote"/>
      </w:pPr>
      <w:r w:rsidRPr="00FF5A00">
        <w:t>Australian Aluminium Council</w:t>
      </w:r>
    </w:p>
    <w:p w14:paraId="3A526B1F" w14:textId="77777777" w:rsidR="000B2EDA" w:rsidRDefault="000B2EDA" w:rsidP="008F3F39">
      <w:pPr>
        <w:pStyle w:val="Quote"/>
      </w:pPr>
      <w:r w:rsidRPr="000B2EDA">
        <w:t xml:space="preserve">The combination of baselines, access to finance and potentially slower baseline declines for a narrowed definition of EITE may well be sufficiently functional to avoid a loss of competitiveness during the early years of a reformed Safeguard. </w:t>
      </w:r>
      <w:r>
        <w:t xml:space="preserve">  </w:t>
      </w:r>
    </w:p>
    <w:p w14:paraId="06E46200" w14:textId="77777777" w:rsidR="000B2EDA" w:rsidRPr="00FF5A00" w:rsidRDefault="000B2EDA" w:rsidP="008F3F39">
      <w:pPr>
        <w:pStyle w:val="IntenseQuote"/>
      </w:pPr>
      <w:r>
        <w:t>A</w:t>
      </w:r>
      <w:r w:rsidR="00157569">
        <w:t>i</w:t>
      </w:r>
      <w:r>
        <w:t xml:space="preserve"> Group</w:t>
      </w:r>
    </w:p>
    <w:p w14:paraId="02905665" w14:textId="6B96ADEB" w:rsidR="007B57BD" w:rsidRDefault="000A6A1A" w:rsidP="000A6A1A">
      <w:bookmarkStart w:id="1034" w:name="_Toc117437250"/>
      <w:bookmarkStart w:id="1035" w:name="_Toc117499198"/>
      <w:bookmarkStart w:id="1036" w:name="_Toc117521045"/>
      <w:bookmarkStart w:id="1037" w:name="_Toc117524792"/>
      <w:bookmarkStart w:id="1038" w:name="_Toc117543982"/>
      <w:bookmarkStart w:id="1039" w:name="_Toc117548333"/>
      <w:bookmarkStart w:id="1040" w:name="_Toc117588651"/>
      <w:bookmarkStart w:id="1041" w:name="_Toc117588695"/>
      <w:bookmarkStart w:id="1042" w:name="_Toc117604813"/>
      <w:bookmarkStart w:id="1043" w:name="_Toc117612895"/>
      <w:bookmarkStart w:id="1044" w:name="_Toc117627733"/>
      <w:bookmarkStart w:id="1045" w:name="_Toc117630398"/>
      <w:bookmarkStart w:id="1046" w:name="_Toc117868005"/>
      <w:bookmarkStart w:id="1047" w:name="_Toc117888020"/>
      <w:r>
        <w:t xml:space="preserve">The </w:t>
      </w:r>
      <w:r w:rsidR="00A52249">
        <w:t xml:space="preserve">baseline </w:t>
      </w:r>
      <w:r w:rsidR="00641030">
        <w:t>decline rate ‘discount’</w:t>
      </w:r>
      <w:r>
        <w:t xml:space="preserve"> will </w:t>
      </w:r>
      <w:r w:rsidR="001F6EC3">
        <w:t>vary</w:t>
      </w:r>
      <w:r w:rsidR="007B57BD">
        <w:t>,</w:t>
      </w:r>
      <w:r w:rsidR="001D40B0">
        <w:t xml:space="preserve"> depending on how impacted a particular facility is</w:t>
      </w:r>
      <w:r w:rsidR="00641030">
        <w:t xml:space="preserve">. This will be determined using a </w:t>
      </w:r>
      <w:r w:rsidR="001D40B0">
        <w:t>cost impact metric</w:t>
      </w:r>
      <w:r w:rsidR="00641030">
        <w:t xml:space="preserve"> described in section 5.3 below</w:t>
      </w:r>
      <w:r w:rsidR="001D40B0">
        <w:t xml:space="preserve">. The discount will start applying when the cost impact metric first exceeds </w:t>
      </w:r>
      <w:r w:rsidR="004C73F5">
        <w:t>3</w:t>
      </w:r>
      <w:r w:rsidR="001D40B0" w:rsidRPr="004C7E2F">
        <w:t xml:space="preserve"> per cent</w:t>
      </w:r>
      <w:r w:rsidR="001D40B0">
        <w:t xml:space="preserve"> and reach a maximum </w:t>
      </w:r>
      <w:r w:rsidR="00A52249">
        <w:t xml:space="preserve">discount </w:t>
      </w:r>
      <w:r w:rsidR="001D40B0">
        <w:t xml:space="preserve">value when the </w:t>
      </w:r>
      <w:r w:rsidR="00A52249">
        <w:t xml:space="preserve">impact </w:t>
      </w:r>
      <w:r w:rsidR="001D40B0">
        <w:t xml:space="preserve">metric </w:t>
      </w:r>
      <w:r w:rsidR="006A484B">
        <w:t>meets</w:t>
      </w:r>
      <w:r w:rsidR="001D40B0">
        <w:t xml:space="preserve"> </w:t>
      </w:r>
      <w:r w:rsidR="004C73F5">
        <w:t>8</w:t>
      </w:r>
      <w:r w:rsidR="001D40B0" w:rsidRPr="004C7E2F">
        <w:t xml:space="preserve"> per cent</w:t>
      </w:r>
      <w:r w:rsidR="001D40B0">
        <w:t xml:space="preserve">. </w:t>
      </w:r>
      <w:r w:rsidR="00C8536D">
        <w:t>These percentages have been conservatively cal</w:t>
      </w:r>
      <w:r w:rsidR="00FA49DC">
        <w:t>ibrated</w:t>
      </w:r>
      <w:r w:rsidR="00C8536D">
        <w:t xml:space="preserve"> to </w:t>
      </w:r>
      <w:r w:rsidR="00641030">
        <w:t>minimise</w:t>
      </w:r>
      <w:r w:rsidR="00C8536D">
        <w:t xml:space="preserve"> carbon leakage risks.</w:t>
      </w:r>
    </w:p>
    <w:p w14:paraId="0E9B002B" w14:textId="20AC564D" w:rsidR="00026C3D" w:rsidRDefault="00026C3D" w:rsidP="000A6A1A">
      <w:bookmarkStart w:id="1048" w:name="_Hlk123728635"/>
      <w:r>
        <w:t xml:space="preserve">Given the design of the scheme, including starting largely with site specific emissions intensities, it is expected that very few facilities would initially meet these thresholds in the early years of the reformed scheme. Overall, the impact on revenue for the vast majority of facilities in the period to 2030 is expected to be less than these thresholds. However, a small number of facilities could meet this threshold in the medium term, depending on take up of abatement opportunities and commodity prices. </w:t>
      </w:r>
    </w:p>
    <w:bookmarkEnd w:id="1048"/>
    <w:p w14:paraId="764F2399" w14:textId="77777777" w:rsidR="005127B6" w:rsidRDefault="001D40B0" w:rsidP="000A6A1A">
      <w:r>
        <w:t xml:space="preserve">The </w:t>
      </w:r>
      <w:r w:rsidR="00AE70CC">
        <w:t>minimum</w:t>
      </w:r>
      <w:r w:rsidR="00A52249">
        <w:t xml:space="preserve"> baseline</w:t>
      </w:r>
      <w:r w:rsidR="00AE70CC">
        <w:t xml:space="preserve"> decline rate for </w:t>
      </w:r>
      <w:r w:rsidR="00772A98">
        <w:t>Trade Exposed Baseline Adjusted</w:t>
      </w:r>
      <w:r w:rsidR="00AE70CC">
        <w:t xml:space="preserve"> facilities is</w:t>
      </w:r>
      <w:r>
        <w:t xml:space="preserve"> </w:t>
      </w:r>
      <w:r w:rsidR="003B38AB">
        <w:t>2 </w:t>
      </w:r>
      <w:r w:rsidR="005127B6">
        <w:t>per cent</w:t>
      </w:r>
      <w:r w:rsidR="00641030">
        <w:t>, representing a 2.9 </w:t>
      </w:r>
      <w:r w:rsidR="00AE70CC">
        <w:t>per</w:t>
      </w:r>
      <w:r w:rsidR="00A52249">
        <w:t xml:space="preserve">centage point </w:t>
      </w:r>
      <w:r w:rsidR="00AE70CC">
        <w:t>discount on the standard decline rate (4.9 per cent)</w:t>
      </w:r>
      <w:r w:rsidR="005127B6">
        <w:t xml:space="preserve">. </w:t>
      </w:r>
      <w:r w:rsidR="00F33018">
        <w:t>I</w:t>
      </w:r>
      <w:r w:rsidR="005127B6">
        <w:t>t</w:t>
      </w:r>
      <w:r w:rsidR="008F3F39">
        <w:t xml:space="preserve"> is</w:t>
      </w:r>
      <w:r w:rsidR="005127B6">
        <w:t xml:space="preserve"> important that </w:t>
      </w:r>
      <w:r w:rsidR="00772A98">
        <w:t>Trade Exposed Baseline Adjusted</w:t>
      </w:r>
      <w:r w:rsidR="005127B6">
        <w:t xml:space="preserve"> facilities continue to have a base</w:t>
      </w:r>
      <w:r w:rsidR="003B7681">
        <w:t xml:space="preserve">line decline, </w:t>
      </w:r>
      <w:r w:rsidR="00536403">
        <w:t>even if moderated—</w:t>
      </w:r>
      <w:r w:rsidR="003B7681">
        <w:t>this</w:t>
      </w:r>
      <w:r w:rsidR="00536403">
        <w:t xml:space="preserve"> </w:t>
      </w:r>
      <w:r w:rsidR="003B7681">
        <w:t>maintains</w:t>
      </w:r>
      <w:r w:rsidR="005127B6">
        <w:t xml:space="preserve"> appropriate abatement incentive</w:t>
      </w:r>
      <w:r w:rsidR="003B7681">
        <w:t>s and</w:t>
      </w:r>
      <w:r w:rsidR="005127B6">
        <w:t xml:space="preserve"> ensures that all facilities are contributing to Australia’s emission reduction targets.</w:t>
      </w:r>
    </w:p>
    <w:p w14:paraId="5515ACA7" w14:textId="77777777" w:rsidR="00641030" w:rsidRPr="00641030" w:rsidRDefault="00641030" w:rsidP="0030028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rPr>
          <w:i/>
          <w:color w:val="4472C4" w:themeColor="accent1"/>
        </w:rPr>
      </w:pPr>
      <w:r w:rsidRPr="00641030">
        <w:rPr>
          <w:i/>
          <w:color w:val="4472C4" w:themeColor="accent1"/>
        </w:rPr>
        <w:lastRenderedPageBreak/>
        <w:t xml:space="preserve">Box 5.1: Differential baseline decline rates for </w:t>
      </w:r>
      <w:r w:rsidR="00772A98" w:rsidRPr="00772A98">
        <w:rPr>
          <w:i/>
          <w:color w:val="4472C4" w:themeColor="accent1"/>
        </w:rPr>
        <w:t>Trade Exposed Baseline Adjusted</w:t>
      </w:r>
      <w:r w:rsidRPr="00641030">
        <w:rPr>
          <w:i/>
          <w:color w:val="4472C4" w:themeColor="accent1"/>
        </w:rPr>
        <w:t xml:space="preserve"> facilities</w:t>
      </w:r>
    </w:p>
    <w:p w14:paraId="3B8D6E31" w14:textId="77777777" w:rsidR="00300289" w:rsidRDefault="00300289" w:rsidP="0030028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pPr>
      <w:r>
        <w:t xml:space="preserve">Each year a Safeguard facility’s baseline will be multiplied by an Emissions Reduction Contribution (ERC), declining from 1 to 0 over time. </w:t>
      </w:r>
    </w:p>
    <w:p w14:paraId="3BC91A61" w14:textId="77777777" w:rsidR="00300289" w:rsidRDefault="00300289" w:rsidP="0030028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pPr>
      <w:r>
        <w:t>The ERC is ordinarily reduced each year by a decline rate (</w:t>
      </w:r>
      <w:r w:rsidRPr="003668A5">
        <w:rPr>
          <w:b/>
        </w:rPr>
        <w:t>DR</w:t>
      </w:r>
      <w:r>
        <w:t>) of 0.049</w:t>
      </w:r>
      <w:r w:rsidR="001F6EC3">
        <w:t xml:space="preserve"> (See Section 6)</w:t>
      </w:r>
      <w:r>
        <w:t>.</w:t>
      </w:r>
    </w:p>
    <w:p w14:paraId="2D05C724" w14:textId="77777777" w:rsidR="00300289" w:rsidRDefault="00300289" w:rsidP="0030028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pPr>
      <w:r>
        <w:t>The following is a worked example of how a differential decline rate might be calculated for a hypotheti</w:t>
      </w:r>
      <w:r w:rsidR="004C7E2F">
        <w:t>cal facility designated as</w:t>
      </w:r>
      <w:r w:rsidR="00A52249">
        <w:t xml:space="preserve"> a </w:t>
      </w:r>
      <w:r w:rsidR="00772A98">
        <w:t>Trade Exposed Baseline Adjusted facility</w:t>
      </w:r>
      <w:r>
        <w:t>.</w:t>
      </w:r>
    </w:p>
    <w:p w14:paraId="51B589FE" w14:textId="77777777" w:rsidR="00352B55" w:rsidRDefault="00300289" w:rsidP="0030028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pPr>
      <w:r>
        <w:t>Facility</w:t>
      </w:r>
      <w:r w:rsidDel="00A52249">
        <w:t xml:space="preserve"> </w:t>
      </w:r>
      <w:r w:rsidR="00A52249">
        <w:t xml:space="preserve">A </w:t>
      </w:r>
      <w:r>
        <w:t>produces widgets and</w:t>
      </w:r>
      <w:r w:rsidR="009A61DF">
        <w:t>,</w:t>
      </w:r>
      <w:r>
        <w:t xml:space="preserve"> in 2026/27</w:t>
      </w:r>
      <w:r w:rsidR="009A61DF">
        <w:t>,</w:t>
      </w:r>
      <w:r>
        <w:t xml:space="preserve"> its cost impact metric (</w:t>
      </w:r>
      <w:r w:rsidRPr="003668A5">
        <w:rPr>
          <w:b/>
        </w:rPr>
        <w:t>CI</w:t>
      </w:r>
      <w:r w:rsidRPr="003668A5">
        <w:rPr>
          <w:b/>
          <w:vertAlign w:val="subscript"/>
        </w:rPr>
        <w:t>A</w:t>
      </w:r>
      <w:r>
        <w:t xml:space="preserve">, scheme cost as a percentage of revenue) is </w:t>
      </w:r>
      <w:r w:rsidR="004C73F5">
        <w:t>3</w:t>
      </w:r>
      <w:r>
        <w:t>.</w:t>
      </w:r>
      <w:r w:rsidR="004C73F5">
        <w:t>5</w:t>
      </w:r>
      <w:r>
        <w:t xml:space="preserve"> per cent, exceeding the </w:t>
      </w:r>
      <w:r w:rsidR="004C73F5">
        <w:t>3</w:t>
      </w:r>
      <w:r>
        <w:t xml:space="preserve"> per cent </w:t>
      </w:r>
      <w:r w:rsidR="0032042E">
        <w:t xml:space="preserve">cost impact materiality </w:t>
      </w:r>
      <w:r>
        <w:t>threshold (</w:t>
      </w:r>
      <w:proofErr w:type="spellStart"/>
      <w:r w:rsidRPr="003668A5">
        <w:rPr>
          <w:b/>
        </w:rPr>
        <w:t>CI</w:t>
      </w:r>
      <w:r w:rsidRPr="003668A5">
        <w:rPr>
          <w:b/>
          <w:vertAlign w:val="subscript"/>
        </w:rPr>
        <w:t>m</w:t>
      </w:r>
      <w:proofErr w:type="spellEnd"/>
      <w:r>
        <w:t xml:space="preserve">) for </w:t>
      </w:r>
      <w:r w:rsidR="00772A98">
        <w:t>Trade Exposed Baseline Adjusted</w:t>
      </w:r>
      <w:r>
        <w:t xml:space="preserve"> facility status. </w:t>
      </w:r>
    </w:p>
    <w:p w14:paraId="3C7BADEA" w14:textId="77777777" w:rsidR="00300289" w:rsidRDefault="00352B55" w:rsidP="0030028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pPr>
      <w:r>
        <w:t>To determine Facility A’s moderated ERC, a</w:t>
      </w:r>
      <w:r w:rsidR="00300289">
        <w:t xml:space="preserve"> ratio of cost impacts (</w:t>
      </w:r>
      <w:r w:rsidR="00300289" w:rsidRPr="003668A5">
        <w:rPr>
          <w:b/>
        </w:rPr>
        <w:t>RCI</w:t>
      </w:r>
      <w:r w:rsidR="00300289">
        <w:t>) is calculated from these percentages and the</w:t>
      </w:r>
      <w:r w:rsidR="00A52249">
        <w:t xml:space="preserve"> upper bound of the cost impact range, referred to as the</w:t>
      </w:r>
      <w:r w:rsidR="00300289">
        <w:t xml:space="preserve"> significant cost impact percentage (</w:t>
      </w:r>
      <w:r w:rsidR="00300289" w:rsidRPr="003668A5">
        <w:rPr>
          <w:b/>
        </w:rPr>
        <w:t>CI</w:t>
      </w:r>
      <w:r w:rsidR="00300289" w:rsidRPr="003668A5">
        <w:rPr>
          <w:b/>
          <w:vertAlign w:val="subscript"/>
        </w:rPr>
        <w:t>s</w:t>
      </w:r>
      <w:r w:rsidR="00300289">
        <w:t>), as set out below:</w:t>
      </w:r>
    </w:p>
    <w:p w14:paraId="6FCBBF46" w14:textId="77777777" w:rsidR="00300289" w:rsidRPr="003A6499" w:rsidRDefault="00300289" w:rsidP="0030028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rPr>
          <w:b/>
          <w:color w:val="192F49"/>
        </w:rPr>
      </w:pPr>
      <w:r>
        <w:rPr>
          <w:b/>
          <w:color w:val="192F49"/>
        </w:rPr>
        <w:t xml:space="preserve">RCI </w:t>
      </w:r>
      <w:r>
        <w:rPr>
          <w:b/>
          <w:color w:val="192F49"/>
        </w:rPr>
        <w:tab/>
        <w:t xml:space="preserve">=   </w:t>
      </w:r>
      <m:oMath>
        <m:f>
          <m:fPr>
            <m:ctrlPr>
              <w:rPr>
                <w:rFonts w:ascii="Cambria Math" w:hAnsi="Cambria Math"/>
                <w:b/>
                <w:color w:val="192F49"/>
              </w:rPr>
            </m:ctrlPr>
          </m:fPr>
          <m:num>
            <m:sSub>
              <m:sSubPr>
                <m:ctrlPr>
                  <w:rPr>
                    <w:rFonts w:ascii="Cambria Math" w:hAnsi="Cambria Math"/>
                    <w:b/>
                    <w:color w:val="192F49"/>
                  </w:rPr>
                </m:ctrlPr>
              </m:sSubPr>
              <m:e>
                <m:r>
                  <m:rPr>
                    <m:sty m:val="bi"/>
                  </m:rPr>
                  <w:rPr>
                    <w:rFonts w:ascii="Cambria Math" w:hAnsi="Cambria Math"/>
                    <w:color w:val="192F49"/>
                  </w:rPr>
                  <m:t>CI</m:t>
                </m:r>
              </m:e>
              <m:sub>
                <m:r>
                  <m:rPr>
                    <m:sty m:val="bi"/>
                  </m:rPr>
                  <w:rPr>
                    <w:rFonts w:ascii="Cambria Math" w:hAnsi="Cambria Math"/>
                    <w:color w:val="192F49"/>
                  </w:rPr>
                  <m:t>A</m:t>
                </m:r>
              </m:sub>
            </m:sSub>
            <m:r>
              <m:rPr>
                <m:sty m:val="b"/>
              </m:rPr>
              <w:rPr>
                <w:rFonts w:ascii="Cambria Math" w:hAnsi="Cambria Math"/>
                <w:color w:val="192F49"/>
              </w:rPr>
              <m:t xml:space="preserve">- </m:t>
            </m:r>
            <m:sSub>
              <m:sSubPr>
                <m:ctrlPr>
                  <w:rPr>
                    <w:rFonts w:ascii="Cambria Math" w:hAnsi="Cambria Math"/>
                    <w:b/>
                    <w:color w:val="192F49"/>
                  </w:rPr>
                </m:ctrlPr>
              </m:sSubPr>
              <m:e>
                <m:r>
                  <m:rPr>
                    <m:sty m:val="bi"/>
                  </m:rPr>
                  <w:rPr>
                    <w:rFonts w:ascii="Cambria Math" w:hAnsi="Cambria Math"/>
                    <w:color w:val="192F49"/>
                  </w:rPr>
                  <m:t>CI</m:t>
                </m:r>
              </m:e>
              <m:sub>
                <m:r>
                  <m:rPr>
                    <m:sty m:val="bi"/>
                  </m:rPr>
                  <w:rPr>
                    <w:rFonts w:ascii="Cambria Math" w:hAnsi="Cambria Math"/>
                    <w:color w:val="192F49"/>
                  </w:rPr>
                  <m:t>M</m:t>
                </m:r>
              </m:sub>
            </m:sSub>
          </m:num>
          <m:den>
            <m:sSub>
              <m:sSubPr>
                <m:ctrlPr>
                  <w:rPr>
                    <w:rFonts w:ascii="Cambria Math" w:hAnsi="Cambria Math"/>
                    <w:b/>
                    <w:color w:val="192F49"/>
                  </w:rPr>
                </m:ctrlPr>
              </m:sSubPr>
              <m:e>
                <m:r>
                  <m:rPr>
                    <m:sty m:val="bi"/>
                  </m:rPr>
                  <w:rPr>
                    <w:rFonts w:ascii="Cambria Math" w:hAnsi="Cambria Math"/>
                    <w:color w:val="192F49"/>
                  </w:rPr>
                  <m:t>CI</m:t>
                </m:r>
              </m:e>
              <m:sub>
                <m:r>
                  <m:rPr>
                    <m:sty m:val="bi"/>
                  </m:rPr>
                  <w:rPr>
                    <w:rFonts w:ascii="Cambria Math" w:hAnsi="Cambria Math"/>
                    <w:color w:val="192F49"/>
                  </w:rPr>
                  <m:t>S</m:t>
                </m:r>
              </m:sub>
            </m:sSub>
            <m:r>
              <m:rPr>
                <m:sty m:val="b"/>
              </m:rPr>
              <w:rPr>
                <w:rFonts w:ascii="Cambria Math" w:hAnsi="Cambria Math"/>
                <w:color w:val="192F49"/>
              </w:rPr>
              <m:t xml:space="preserve">- </m:t>
            </m:r>
            <m:sSub>
              <m:sSubPr>
                <m:ctrlPr>
                  <w:rPr>
                    <w:rFonts w:ascii="Cambria Math" w:hAnsi="Cambria Math"/>
                    <w:b/>
                    <w:color w:val="192F49"/>
                  </w:rPr>
                </m:ctrlPr>
              </m:sSubPr>
              <m:e>
                <m:r>
                  <m:rPr>
                    <m:sty m:val="bi"/>
                  </m:rPr>
                  <w:rPr>
                    <w:rFonts w:ascii="Cambria Math" w:hAnsi="Cambria Math"/>
                    <w:color w:val="192F49"/>
                  </w:rPr>
                  <m:t>CI</m:t>
                </m:r>
              </m:e>
              <m:sub>
                <m:r>
                  <m:rPr>
                    <m:sty m:val="bi"/>
                  </m:rPr>
                  <w:rPr>
                    <w:rFonts w:ascii="Cambria Math" w:hAnsi="Cambria Math"/>
                    <w:color w:val="192F49"/>
                  </w:rPr>
                  <m:t>M</m:t>
                </m:r>
              </m:sub>
            </m:sSub>
          </m:den>
        </m:f>
      </m:oMath>
    </w:p>
    <w:p w14:paraId="7675D564" w14:textId="77777777" w:rsidR="00300289" w:rsidRPr="003A6499" w:rsidRDefault="00300289" w:rsidP="0030028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rPr>
          <w:b/>
          <w:color w:val="192F49"/>
        </w:rPr>
      </w:pPr>
      <w:r w:rsidRPr="003A6499">
        <w:rPr>
          <w:b/>
          <w:color w:val="192F49"/>
        </w:rPr>
        <w:tab/>
        <w:t xml:space="preserve">=   </w:t>
      </w:r>
      <m:oMath>
        <m:f>
          <m:fPr>
            <m:ctrlPr>
              <w:rPr>
                <w:rFonts w:ascii="Cambria Math" w:hAnsi="Cambria Math"/>
                <w:b/>
                <w:color w:val="192F49"/>
              </w:rPr>
            </m:ctrlPr>
          </m:fPr>
          <m:num>
            <m:r>
              <m:rPr>
                <m:sty m:val="b"/>
              </m:rPr>
              <w:rPr>
                <w:rFonts w:ascii="Cambria Math" w:hAnsi="Cambria Math"/>
                <w:color w:val="192F49"/>
              </w:rPr>
              <m:t>[3.5 - 3.0]</m:t>
            </m:r>
          </m:num>
          <m:den>
            <m:r>
              <m:rPr>
                <m:sty m:val="b"/>
              </m:rPr>
              <w:rPr>
                <w:rFonts w:ascii="Cambria Math" w:hAnsi="Cambria Math"/>
                <w:color w:val="192F49"/>
              </w:rPr>
              <m:t>[8.0- 3.0]</m:t>
            </m:r>
          </m:den>
        </m:f>
      </m:oMath>
    </w:p>
    <w:p w14:paraId="21884C00" w14:textId="77777777" w:rsidR="00300289" w:rsidRPr="003A6499" w:rsidRDefault="00300289" w:rsidP="0030028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rPr>
          <w:b/>
          <w:color w:val="192F49"/>
        </w:rPr>
      </w:pPr>
      <w:r w:rsidRPr="003A6499">
        <w:rPr>
          <w:b/>
          <w:color w:val="192F49"/>
        </w:rPr>
        <w:tab/>
        <w:t>=  0.1</w:t>
      </w:r>
    </w:p>
    <w:p w14:paraId="04D85A6B" w14:textId="77777777" w:rsidR="00300289" w:rsidRDefault="00300289" w:rsidP="0030028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pPr>
      <w:r>
        <w:t>The facility’s ERC had been 0.853 for 2025/26 (</w:t>
      </w:r>
      <w:r w:rsidR="00A52249">
        <w:rPr>
          <w:b/>
          <w:color w:val="192F49"/>
        </w:rPr>
        <w:t>ERC</w:t>
      </w:r>
      <w:r w:rsidR="00A52249">
        <w:rPr>
          <w:b/>
          <w:color w:val="192F49"/>
          <w:vertAlign w:val="subscript"/>
        </w:rPr>
        <w:t>A</w:t>
      </w:r>
      <w:r>
        <w:rPr>
          <w:b/>
          <w:color w:val="192F49"/>
          <w:vertAlign w:val="subscript"/>
        </w:rPr>
        <w:t>,26</w:t>
      </w:r>
      <w:r w:rsidRPr="003668A5">
        <w:rPr>
          <w:color w:val="192F49"/>
        </w:rPr>
        <w:t>)</w:t>
      </w:r>
      <w:r>
        <w:t xml:space="preserve">. The ERC would have decreased by the default decline rate (0.049) in 2026/27, but obtaining </w:t>
      </w:r>
      <w:r w:rsidR="00772A98">
        <w:t>Trade Exposed Baseline Adjusted</w:t>
      </w:r>
      <w:r>
        <w:t xml:space="preserve"> facility status entitles </w:t>
      </w:r>
      <w:r w:rsidR="001C188E">
        <w:t>the facility to obtain a higher</w:t>
      </w:r>
      <w:r>
        <w:t xml:space="preserve"> ERC for t=FY27 (</w:t>
      </w:r>
      <w:r w:rsidR="00A52249" w:rsidRPr="003668A5">
        <w:rPr>
          <w:b/>
        </w:rPr>
        <w:t>ERC</w:t>
      </w:r>
      <w:r w:rsidR="00A52249">
        <w:rPr>
          <w:b/>
          <w:vertAlign w:val="subscript"/>
        </w:rPr>
        <w:t>A</w:t>
      </w:r>
      <w:r>
        <w:rPr>
          <w:b/>
          <w:vertAlign w:val="subscript"/>
        </w:rPr>
        <w:t>,27</w:t>
      </w:r>
      <w:r>
        <w:t>) as set out below:</w:t>
      </w:r>
    </w:p>
    <w:p w14:paraId="7B117A1B" w14:textId="77777777" w:rsidR="00300289" w:rsidRDefault="00A52249" w:rsidP="0030028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0" w:line="384" w:lineRule="auto"/>
        <w:rPr>
          <w:b/>
          <w:color w:val="192F49"/>
        </w:rPr>
      </w:pPr>
      <w:r>
        <w:rPr>
          <w:b/>
          <w:color w:val="192F49"/>
        </w:rPr>
        <w:t>ERC</w:t>
      </w:r>
      <w:r>
        <w:rPr>
          <w:b/>
          <w:color w:val="192F49"/>
          <w:vertAlign w:val="subscript"/>
        </w:rPr>
        <w:t>A</w:t>
      </w:r>
      <w:r w:rsidR="00300289">
        <w:rPr>
          <w:b/>
          <w:color w:val="192F49"/>
          <w:vertAlign w:val="subscript"/>
        </w:rPr>
        <w:t>,27</w:t>
      </w:r>
      <w:r w:rsidR="00300289">
        <w:rPr>
          <w:b/>
          <w:color w:val="192F49"/>
        </w:rPr>
        <w:t xml:space="preserve">  </w:t>
      </w:r>
      <w:r w:rsidR="00300289">
        <w:rPr>
          <w:b/>
          <w:color w:val="192F49"/>
        </w:rPr>
        <w:tab/>
        <w:t xml:space="preserve">= </w:t>
      </w:r>
      <w:r>
        <w:rPr>
          <w:b/>
          <w:color w:val="192F49"/>
        </w:rPr>
        <w:t>ERC</w:t>
      </w:r>
      <w:r>
        <w:rPr>
          <w:b/>
          <w:color w:val="192F49"/>
          <w:vertAlign w:val="subscript"/>
        </w:rPr>
        <w:t>A</w:t>
      </w:r>
      <w:r w:rsidR="00300289">
        <w:rPr>
          <w:b/>
          <w:color w:val="192F49"/>
          <w:vertAlign w:val="subscript"/>
        </w:rPr>
        <w:t xml:space="preserve">,26 </w:t>
      </w:r>
      <w:r w:rsidR="00300289">
        <w:rPr>
          <w:b/>
          <w:color w:val="192F49"/>
        </w:rPr>
        <w:t xml:space="preserve">– DR + RCI x (DR – </w:t>
      </w:r>
      <w:proofErr w:type="spellStart"/>
      <w:r w:rsidR="00300289">
        <w:rPr>
          <w:b/>
          <w:color w:val="192F49"/>
        </w:rPr>
        <w:t>DR</w:t>
      </w:r>
      <w:r w:rsidR="00300289" w:rsidRPr="003A6499">
        <w:rPr>
          <w:b/>
          <w:color w:val="192F49"/>
          <w:vertAlign w:val="subscript"/>
        </w:rPr>
        <w:t>m</w:t>
      </w:r>
      <w:proofErr w:type="spellEnd"/>
      <w:r w:rsidR="00300289">
        <w:rPr>
          <w:b/>
          <w:color w:val="192F49"/>
        </w:rPr>
        <w:t>)</w:t>
      </w:r>
    </w:p>
    <w:p w14:paraId="688669B3" w14:textId="77777777" w:rsidR="00300289" w:rsidRDefault="00300289" w:rsidP="0030028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0" w:line="384" w:lineRule="auto"/>
        <w:ind w:firstLine="720"/>
        <w:rPr>
          <w:b/>
          <w:color w:val="192F49"/>
        </w:rPr>
      </w:pPr>
      <w:r w:rsidRPr="0061270C">
        <w:rPr>
          <w:b/>
          <w:color w:val="192F49"/>
        </w:rPr>
        <w:t xml:space="preserve">= </w:t>
      </w:r>
      <w:r>
        <w:rPr>
          <w:b/>
          <w:color w:val="192F49"/>
        </w:rPr>
        <w:t>0.853 – 0.049 + 0.1 x (0.049 – 0.02)</w:t>
      </w:r>
    </w:p>
    <w:p w14:paraId="0791D6AA" w14:textId="77777777" w:rsidR="00300289" w:rsidRDefault="00300289" w:rsidP="0030028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0" w:line="384" w:lineRule="auto"/>
        <w:rPr>
          <w:b/>
          <w:color w:val="192F49"/>
        </w:rPr>
      </w:pPr>
      <w:r>
        <w:rPr>
          <w:b/>
          <w:color w:val="192F49"/>
        </w:rPr>
        <w:tab/>
        <w:t>= 0.8069</w:t>
      </w:r>
    </w:p>
    <w:p w14:paraId="00E4FB0C" w14:textId="77777777" w:rsidR="001C188E" w:rsidRDefault="001C188E" w:rsidP="0030028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pPr>
      <w:proofErr w:type="spellStart"/>
      <w:r>
        <w:t>DR</w:t>
      </w:r>
      <w:r>
        <w:rPr>
          <w:vertAlign w:val="subscript"/>
        </w:rPr>
        <w:t>m</w:t>
      </w:r>
      <w:proofErr w:type="spellEnd"/>
      <w:r>
        <w:t xml:space="preserve"> is the minimum available decline rate </w:t>
      </w:r>
      <w:r w:rsidR="00F14D96">
        <w:t>of</w:t>
      </w:r>
      <w:r>
        <w:t xml:space="preserve"> 2 per cent.</w:t>
      </w:r>
    </w:p>
    <w:p w14:paraId="6B7FB32E" w14:textId="77777777" w:rsidR="00300289" w:rsidRPr="00F9570A" w:rsidRDefault="00300289" w:rsidP="00300289">
      <w:pPr>
        <w:keepNext/>
        <w:keepLines/>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pPr>
      <w:r>
        <w:t>Facility</w:t>
      </w:r>
      <w:r w:rsidDel="00A52249">
        <w:t xml:space="preserve"> </w:t>
      </w:r>
      <w:r w:rsidR="00A52249">
        <w:t xml:space="preserve">A </w:t>
      </w:r>
      <w:r>
        <w:t xml:space="preserve">subsequently has a slightly higher ERC that applies for three years (2026/27 to 2028/29). This reflects the facility’s cost impact </w:t>
      </w:r>
      <w:r w:rsidR="009A61DF">
        <w:t>value</w:t>
      </w:r>
      <w:r>
        <w:t xml:space="preserve">, which has just only exceeded the minimum materiality threshold for the cost impact </w:t>
      </w:r>
      <w:r w:rsidR="0032042E">
        <w:t>test</w:t>
      </w:r>
      <w:r>
        <w:t xml:space="preserve">. </w:t>
      </w:r>
    </w:p>
    <w:p w14:paraId="1D09D1EB" w14:textId="77777777" w:rsidR="00641030" w:rsidRDefault="00641030" w:rsidP="00641030">
      <w:pPr>
        <w:spacing w:after="0"/>
      </w:pPr>
    </w:p>
    <w:p w14:paraId="1CC6DA19" w14:textId="77777777" w:rsidR="003B7681" w:rsidRDefault="003B7681" w:rsidP="003B7681">
      <w:r>
        <w:t xml:space="preserve">Due to the dynamic nature of emissions intensity, revenue, costs and facility baselines, any designation of a facility as having </w:t>
      </w:r>
      <w:r w:rsidR="00772A98">
        <w:t>Trade Exposed Baseline Adjusted</w:t>
      </w:r>
      <w:r>
        <w:t xml:space="preserve"> status </w:t>
      </w:r>
      <w:r w:rsidR="00641030">
        <w:t xml:space="preserve">will </w:t>
      </w:r>
      <w:r>
        <w:t>be time-limited</w:t>
      </w:r>
      <w:r w:rsidR="00641030">
        <w:t>,</w:t>
      </w:r>
      <w:r>
        <w:t xml:space="preserve"> with that status reviewed periodically. Conversely, facilities that hadn’t previously met the criteria might become eligible </w:t>
      </w:r>
      <w:r w:rsidR="007C4FC8">
        <w:t xml:space="preserve">over time </w:t>
      </w:r>
      <w:r>
        <w:t>and could then apply for tailored treatment.</w:t>
      </w:r>
    </w:p>
    <w:p w14:paraId="13A9ADA1" w14:textId="77777777" w:rsidR="003B7681" w:rsidRDefault="00641030" w:rsidP="003B7681">
      <w:r>
        <w:t>O</w:t>
      </w:r>
      <w:r w:rsidR="003B7681">
        <w:t xml:space="preserve">nce obtained, </w:t>
      </w:r>
      <w:r>
        <w:t xml:space="preserve">the status </w:t>
      </w:r>
      <w:r w:rsidR="003B7681">
        <w:t xml:space="preserve">would apply for a three year period. A number of submissions raised concerns about the administrative burden and year to year variability of revenue and costs and </w:t>
      </w:r>
      <w:r w:rsidR="00BB0EAD">
        <w:t>the Government considers</w:t>
      </w:r>
      <w:r w:rsidR="003B7681">
        <w:t xml:space="preserve"> that a three year period maintains the right balance between targeting assistance to those that need it and minimising administrative burden.</w:t>
      </w:r>
    </w:p>
    <w:p w14:paraId="6F76A3F8" w14:textId="2FB9F24E" w:rsidR="00016A61" w:rsidRDefault="00992E81" w:rsidP="00863199">
      <w:pPr>
        <w:pStyle w:val="Calloutbox"/>
      </w:pPr>
      <w:r w:rsidRPr="00992E81">
        <w:t xml:space="preserve">Trade Exposed facilities </w:t>
      </w:r>
      <w:r w:rsidR="0080079D">
        <w:t xml:space="preserve">and Trade Exposed Baseline Adjusted facilities </w:t>
      </w:r>
      <w:r w:rsidRPr="00992E81">
        <w:t>w</w:t>
      </w:r>
      <w:r w:rsidR="00634997">
        <w:t>ill</w:t>
      </w:r>
      <w:r w:rsidRPr="00992E81">
        <w:t xml:space="preserve"> have access to a</w:t>
      </w:r>
      <w:r w:rsidR="005E40A2">
        <w:t>n initial,</w:t>
      </w:r>
      <w:r w:rsidRPr="00992E81">
        <w:t xml:space="preserve"> dedicated $600 million Safeguard Transformation Stream of the PRF</w:t>
      </w:r>
      <w:r w:rsidR="0080079D">
        <w:t>;</w:t>
      </w:r>
      <w:r w:rsidRPr="00992E81">
        <w:t xml:space="preserve"> and all Safeguard Mechanism facilities will have preferential </w:t>
      </w:r>
      <w:r w:rsidR="0080079D">
        <w:t xml:space="preserve">treatment for </w:t>
      </w:r>
      <w:r w:rsidRPr="00992E81">
        <w:t xml:space="preserve">access to </w:t>
      </w:r>
      <w:r w:rsidR="0080079D">
        <w:t xml:space="preserve">other </w:t>
      </w:r>
      <w:r w:rsidRPr="00992E81">
        <w:t xml:space="preserve">PRF </w:t>
      </w:r>
      <w:r w:rsidR="0080079D">
        <w:t>streams, where they are eligible, such as through additional weighting in the criteria for assessment</w:t>
      </w:r>
      <w:r w:rsidRPr="00992E81">
        <w:t>.</w:t>
      </w:r>
    </w:p>
    <w:p w14:paraId="3F239D86" w14:textId="1FD6E4D7" w:rsidR="0080079D" w:rsidRPr="00350E95" w:rsidRDefault="00772A98" w:rsidP="00863199">
      <w:pPr>
        <w:pStyle w:val="Calloutbox"/>
      </w:pPr>
      <w:r>
        <w:lastRenderedPageBreak/>
        <w:t>Trade Exposed Baseline Adjusted</w:t>
      </w:r>
      <w:r w:rsidR="00925C49">
        <w:t xml:space="preserve"> f</w:t>
      </w:r>
      <w:r w:rsidR="00B0639F">
        <w:t xml:space="preserve">acilities </w:t>
      </w:r>
      <w:r w:rsidR="005E40A2">
        <w:t xml:space="preserve">would </w:t>
      </w:r>
      <w:r w:rsidR="00B0639F">
        <w:t xml:space="preserve">be eligible to apply </w:t>
      </w:r>
      <w:r w:rsidR="0080079D">
        <w:t xml:space="preserve">to the Clean Energy Regulator </w:t>
      </w:r>
      <w:r w:rsidR="00B0639F">
        <w:t xml:space="preserve">for a discounted decline rate set based on </w:t>
      </w:r>
      <w:r w:rsidR="0080079D">
        <w:t xml:space="preserve">a </w:t>
      </w:r>
      <w:r w:rsidR="00B0639F">
        <w:t xml:space="preserve">scheme impact. The minimum decline rate </w:t>
      </w:r>
      <w:r w:rsidR="005E40A2">
        <w:t xml:space="preserve">would </w:t>
      </w:r>
      <w:r w:rsidR="00B0639F">
        <w:t xml:space="preserve">be </w:t>
      </w:r>
      <w:r w:rsidR="00B0639F" w:rsidRPr="00012EAD">
        <w:t>two</w:t>
      </w:r>
      <w:r w:rsidR="00B0639F">
        <w:t xml:space="preserve"> per cent</w:t>
      </w:r>
      <w:r w:rsidR="0080079D">
        <w:t xml:space="preserve"> each year</w:t>
      </w:r>
      <w:r w:rsidR="00B0639F">
        <w:t>.</w:t>
      </w:r>
    </w:p>
    <w:p w14:paraId="25FC1314" w14:textId="77777777" w:rsidR="003D0336" w:rsidRDefault="00801B5E" w:rsidP="00242764">
      <w:pPr>
        <w:pStyle w:val="Heading2"/>
      </w:pPr>
      <w:bookmarkStart w:id="1049" w:name="_Toc117951464"/>
      <w:bookmarkStart w:id="1050" w:name="_Toc117960111"/>
      <w:bookmarkStart w:id="1051" w:name="_Toc118040373"/>
      <w:bookmarkStart w:id="1052" w:name="_Toc118196225"/>
      <w:bookmarkStart w:id="1053" w:name="_Toc118198394"/>
      <w:bookmarkStart w:id="1054" w:name="_Toc118198809"/>
      <w:bookmarkStart w:id="1055" w:name="_Toc118199000"/>
      <w:bookmarkStart w:id="1056" w:name="_Toc118199554"/>
      <w:bookmarkStart w:id="1057" w:name="_Toc118304126"/>
      <w:bookmarkStart w:id="1058" w:name="_Toc118304157"/>
      <w:bookmarkStart w:id="1059" w:name="_Toc118306359"/>
      <w:bookmarkStart w:id="1060" w:name="_Toc118308351"/>
      <w:bookmarkStart w:id="1061" w:name="_Toc119500921"/>
      <w:bookmarkStart w:id="1062" w:name="_Toc119572376"/>
      <w:bookmarkStart w:id="1063" w:name="_Toc120098971"/>
      <w:bookmarkStart w:id="1064" w:name="_Toc122514451"/>
      <w:bookmarkStart w:id="1065" w:name="_Toc124100701"/>
      <w:r>
        <w:t xml:space="preserve">Applying for </w:t>
      </w:r>
      <w:r w:rsidR="00772A98">
        <w:t>Trade Exposed Baseline Adjusted</w:t>
      </w:r>
      <w:r w:rsidR="003D0336">
        <w:t xml:space="preserve"> status</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14:paraId="5274BBD5" w14:textId="77777777" w:rsidR="00DB5F2C" w:rsidRDefault="00DB5F2C" w:rsidP="00F00124">
      <w:pPr>
        <w:pStyle w:val="Heading3"/>
      </w:pPr>
      <w:r>
        <w:t>Cost impact metric</w:t>
      </w:r>
    </w:p>
    <w:p w14:paraId="6356C4DA" w14:textId="77777777" w:rsidR="00594336" w:rsidRDefault="00D35720" w:rsidP="00DB5F2C">
      <w:r>
        <w:t>A facility</w:t>
      </w:r>
      <w:r w:rsidDel="001F6EC3">
        <w:t xml:space="preserve"> </w:t>
      </w:r>
      <w:r w:rsidR="00772A98">
        <w:t>can apply to be</w:t>
      </w:r>
      <w:r>
        <w:t xml:space="preserve"> ‘</w:t>
      </w:r>
      <w:r w:rsidR="00772A98">
        <w:t>Trade Exposed Baseline Adjusted</w:t>
      </w:r>
      <w:r>
        <w:t xml:space="preserve">’ if it is trade exposed and if it </w:t>
      </w:r>
      <w:r w:rsidR="00870CD6">
        <w:t>exceed</w:t>
      </w:r>
      <w:r>
        <w:t>s</w:t>
      </w:r>
      <w:r w:rsidR="00870CD6">
        <w:t xml:space="preserve"> the </w:t>
      </w:r>
      <w:r w:rsidR="00C22330">
        <w:t xml:space="preserve">lower threshold of the </w:t>
      </w:r>
      <w:r w:rsidR="00870CD6">
        <w:t>cost impact metric in a particular year.</w:t>
      </w:r>
      <w:r w:rsidR="000A6A1A">
        <w:t xml:space="preserve"> </w:t>
      </w:r>
    </w:p>
    <w:p w14:paraId="12CABD4F" w14:textId="77777777" w:rsidR="00870CD6" w:rsidRDefault="006973BC" w:rsidP="00DB5F2C">
      <w:r>
        <w:t xml:space="preserve">The </w:t>
      </w:r>
      <w:r w:rsidR="002A7A05">
        <w:t xml:space="preserve">proposed </w:t>
      </w:r>
      <w:r>
        <w:t xml:space="preserve">cost impact metric </w:t>
      </w:r>
      <w:r w:rsidR="00870CD6">
        <w:t xml:space="preserve">for a particular year </w:t>
      </w:r>
      <w:r>
        <w:t xml:space="preserve">is </w:t>
      </w:r>
      <w:r w:rsidR="00870CD6">
        <w:t>set out below:</w:t>
      </w:r>
    </w:p>
    <w:p w14:paraId="06CD3893" w14:textId="77777777" w:rsidR="00870CD6" w:rsidRDefault="00870CD6" w:rsidP="00DB5F2C">
      <w:r>
        <w:t xml:space="preserve">Cost impact metric = </w:t>
      </w:r>
      <w:r w:rsidR="006973BC">
        <w:t xml:space="preserve">scheme cost for a year </w:t>
      </w:r>
      <w:r>
        <w:t>/</w:t>
      </w:r>
      <w:r w:rsidR="006973BC">
        <w:t xml:space="preserve"> revenue in that year. </w:t>
      </w:r>
    </w:p>
    <w:p w14:paraId="0A000DB6" w14:textId="67D586C8" w:rsidR="000945AC" w:rsidRDefault="006973BC" w:rsidP="00DB5F2C">
      <w:r>
        <w:t xml:space="preserve">This is </w:t>
      </w:r>
      <w:r w:rsidR="00B45249">
        <w:t>a simple</w:t>
      </w:r>
      <w:r w:rsidR="00666F54">
        <w:t>,</w:t>
      </w:r>
      <w:r w:rsidR="00B45249">
        <w:t xml:space="preserve"> transparent metric that can be readily calculated by facilities and provides a strong indicator of the risk of carbon leakage for a particular facility. Its simplicity also allows third parties, including auditors and the Clean Energy Regulator to be assured of the integrity of the information. Alternative measures such as value added and profit also provide a strong indicator of carbon leakage risks but are far more complex to calculate at a facility level and are much </w:t>
      </w:r>
      <w:r w:rsidR="00D209D0">
        <w:t xml:space="preserve">more </w:t>
      </w:r>
      <w:r w:rsidR="00B45249">
        <w:t xml:space="preserve">opaque for </w:t>
      </w:r>
      <w:r w:rsidR="00C8536D">
        <w:t>external parties.</w:t>
      </w:r>
      <w:r w:rsidR="00B45249">
        <w:t xml:space="preserve">    </w:t>
      </w:r>
      <w:r w:rsidR="00CF05F2" w:rsidDel="00B45249">
        <w:t xml:space="preserve"> </w:t>
      </w:r>
      <w:r>
        <w:t xml:space="preserve"> </w:t>
      </w:r>
    </w:p>
    <w:p w14:paraId="3F1ABC56" w14:textId="77777777" w:rsidR="00E10933" w:rsidRDefault="00E10933" w:rsidP="003B38AB">
      <w:pPr>
        <w:pStyle w:val="Quote"/>
      </w:pPr>
      <w:r w:rsidRPr="007A5F87">
        <w:t xml:space="preserve">A carbon cost intensity calculation tries to take account of the fact that with a baseline in place a Safeguard facility faces potential out-of-pocket costs only on the fraction of its emissions above that baseline. </w:t>
      </w:r>
    </w:p>
    <w:p w14:paraId="7FB7F213" w14:textId="77777777" w:rsidR="00E10933" w:rsidRPr="00E10933" w:rsidRDefault="00E10933" w:rsidP="003B38AB">
      <w:pPr>
        <w:pStyle w:val="IntenseQuote"/>
      </w:pPr>
      <w:r w:rsidRPr="00E10933">
        <w:t>A</w:t>
      </w:r>
      <w:r w:rsidR="00157569">
        <w:t>i</w:t>
      </w:r>
      <w:r w:rsidRPr="00E10933">
        <w:t xml:space="preserve"> Group</w:t>
      </w:r>
    </w:p>
    <w:p w14:paraId="4ECEC401" w14:textId="77777777" w:rsidR="000945AC" w:rsidRDefault="00CF05F2" w:rsidP="00CF05F2">
      <w:pPr>
        <w:pStyle w:val="Heading4"/>
      </w:pPr>
      <w:r>
        <w:t>Scheme costs</w:t>
      </w:r>
    </w:p>
    <w:p w14:paraId="6D423300" w14:textId="77777777" w:rsidR="00CF05F2" w:rsidRDefault="00AE70CC" w:rsidP="00CF05F2">
      <w:r>
        <w:t>S</w:t>
      </w:r>
      <w:r w:rsidR="00CF05F2">
        <w:t xml:space="preserve">cheme costs for </w:t>
      </w:r>
      <w:r>
        <w:t>a</w:t>
      </w:r>
      <w:r w:rsidR="00CF05F2">
        <w:t xml:space="preserve"> financial year</w:t>
      </w:r>
      <w:r>
        <w:t xml:space="preserve"> will be</w:t>
      </w:r>
      <w:r w:rsidR="00CF05F2">
        <w:t xml:space="preserve"> determined by the facility’s </w:t>
      </w:r>
      <w:r w:rsidR="00292B40">
        <w:t xml:space="preserve">pre-application </w:t>
      </w:r>
      <w:r>
        <w:t>exceedance</w:t>
      </w:r>
      <w:r w:rsidR="00CF05F2" w:rsidDel="00C932CF">
        <w:t xml:space="preserve"> </w:t>
      </w:r>
      <w:r w:rsidR="00CF05F2">
        <w:t>for the year</w:t>
      </w:r>
      <w:r w:rsidR="00624B5D">
        <w:t>—</w:t>
      </w:r>
      <w:r w:rsidR="00C932CF">
        <w:t xml:space="preserve">this </w:t>
      </w:r>
      <w:r w:rsidR="00292B40">
        <w:t xml:space="preserve">is the </w:t>
      </w:r>
      <w:r>
        <w:t>exceedance</w:t>
      </w:r>
      <w:r w:rsidR="00292B40">
        <w:t xml:space="preserve"> that would </w:t>
      </w:r>
      <w:r>
        <w:t>occur</w:t>
      </w:r>
      <w:r w:rsidR="00292B40">
        <w:t xml:space="preserve"> with the facility’s existing decline rate</w:t>
      </w:r>
      <w:r w:rsidR="006F673C">
        <w:t xml:space="preserve"> before any adjustment to its Emissions Reduction Contribution is made for the year</w:t>
      </w:r>
      <w:r w:rsidR="00292B40">
        <w:t xml:space="preserve">. If the facility is successful in its application and receives a reduced </w:t>
      </w:r>
      <w:r w:rsidR="007C1C8E">
        <w:t xml:space="preserve">baseline </w:t>
      </w:r>
      <w:r w:rsidR="00292B40">
        <w:t xml:space="preserve">decline rate, the actual number of certificates it is required to </w:t>
      </w:r>
      <w:r>
        <w:t>acquire</w:t>
      </w:r>
      <w:r w:rsidR="00292B40">
        <w:t xml:space="preserve"> will be reduced.</w:t>
      </w:r>
    </w:p>
    <w:p w14:paraId="1FAB82A2" w14:textId="77777777" w:rsidR="00637304" w:rsidRDefault="00292B40" w:rsidP="00CF05F2">
      <w:r>
        <w:t xml:space="preserve">The </w:t>
      </w:r>
      <w:r w:rsidR="00C932CF">
        <w:t xml:space="preserve">pre-application </w:t>
      </w:r>
      <w:r w:rsidR="00AE70CC">
        <w:t>exceedance</w:t>
      </w:r>
      <w:r w:rsidR="00C932CF">
        <w:t xml:space="preserve"> </w:t>
      </w:r>
      <w:r w:rsidR="00596EC6">
        <w:t xml:space="preserve">is multiplied by the Safeguard Mechanism default certificate price to determine an estimate for the cost of compliance for the year. </w:t>
      </w:r>
    </w:p>
    <w:p w14:paraId="11BF4F9B" w14:textId="77777777" w:rsidR="00292B40" w:rsidRDefault="00596EC6" w:rsidP="00CF05F2">
      <w:r>
        <w:t xml:space="preserve">The Safeguard Mechanism default certificate price is a new concept creating an estimate for the price that Safeguard Mechanism facilities might </w:t>
      </w:r>
      <w:r w:rsidR="003B38AB">
        <w:t>pay</w:t>
      </w:r>
      <w:r>
        <w:t xml:space="preserve"> in that compliance year. It is expected that this figure would be published on the </w:t>
      </w:r>
      <w:r w:rsidR="00767376">
        <w:t>Department of Climate Change,</w:t>
      </w:r>
      <w:r>
        <w:t xml:space="preserve"> Energy</w:t>
      </w:r>
      <w:r w:rsidR="00767376">
        <w:t>, the Environment and Water</w:t>
      </w:r>
      <w:r>
        <w:t>’s w</w:t>
      </w:r>
      <w:r w:rsidR="00637304">
        <w:t xml:space="preserve">ebsite </w:t>
      </w:r>
      <w:r w:rsidR="002B2D39">
        <w:t xml:space="preserve">by 30 June </w:t>
      </w:r>
      <w:r w:rsidR="00C932CF">
        <w:t xml:space="preserve">each year </w:t>
      </w:r>
      <w:r w:rsidR="00637304">
        <w:t>based on exp</w:t>
      </w:r>
      <w:r w:rsidR="002B2D39">
        <w:t xml:space="preserve">ected certificate costs </w:t>
      </w:r>
      <w:r w:rsidR="00A80419">
        <w:t xml:space="preserve">(both SMCs and ACCUs) </w:t>
      </w:r>
      <w:r w:rsidR="002B2D39">
        <w:t>for that</w:t>
      </w:r>
      <w:r w:rsidR="00637304">
        <w:t xml:space="preserve"> period. It is intended that the default certificate price would be a realistic midpoint for Safeguard facilities that sought to purchase certificates during the compliance period</w:t>
      </w:r>
      <w:r w:rsidR="003B38AB">
        <w:t>,</w:t>
      </w:r>
      <w:r w:rsidR="00637304">
        <w:t xml:space="preserve"> </w:t>
      </w:r>
      <w:r w:rsidR="002B2D39">
        <w:t>though</w:t>
      </w:r>
      <w:r w:rsidR="00637304">
        <w:t xml:space="preserve"> some facilities may be able to procure certificates for less and some may need to spend more. Further, some facilities with a liability may have sibling Safeguard facilities creating SMCs </w:t>
      </w:r>
      <w:r w:rsidR="002B2D39">
        <w:t>such that they may receive these certificates with no funds being exchanged</w:t>
      </w:r>
      <w:r w:rsidR="00D35720">
        <w:t>—</w:t>
      </w:r>
      <w:r w:rsidR="00637304">
        <w:t xml:space="preserve">these facilities will still be able to use the default certificate </w:t>
      </w:r>
      <w:r w:rsidR="004C3281">
        <w:t>price</w:t>
      </w:r>
      <w:r w:rsidR="002B2D39">
        <w:t>.</w:t>
      </w:r>
    </w:p>
    <w:p w14:paraId="735D9D1C" w14:textId="602051D0" w:rsidR="00494E64" w:rsidRPr="00CF05F2" w:rsidRDefault="004C7E2F" w:rsidP="00CF05F2">
      <w:r>
        <w:t xml:space="preserve">The Safeguard Mechanism default certificate price is different from the </w:t>
      </w:r>
      <w:r w:rsidR="000E35DD">
        <w:t>cost</w:t>
      </w:r>
      <w:r>
        <w:t xml:space="preserve"> containment measure </w:t>
      </w:r>
      <w:r w:rsidR="00C1136E">
        <w:t xml:space="preserve">discussed </w:t>
      </w:r>
      <w:r>
        <w:t xml:space="preserve">in Section 4.7 above. That number is intended to prevent excessive </w:t>
      </w:r>
      <w:r w:rsidR="004C3281">
        <w:t xml:space="preserve">compliance </w:t>
      </w:r>
      <w:r>
        <w:t>costs</w:t>
      </w:r>
      <w:r w:rsidR="004C3281">
        <w:t xml:space="preserve"> under the reformed scheme</w:t>
      </w:r>
      <w:r>
        <w:t xml:space="preserve">, </w:t>
      </w:r>
      <w:r w:rsidR="004C3281">
        <w:t xml:space="preserve">whereas </w:t>
      </w:r>
      <w:r w:rsidR="00C1136E">
        <w:t xml:space="preserve">the default certificate price is intended to estimate the average price a Safeguard facility will pay for </w:t>
      </w:r>
      <w:r w:rsidR="003B0452">
        <w:t xml:space="preserve">compliance units within </w:t>
      </w:r>
      <w:r w:rsidR="00C1136E">
        <w:t>a given compliance period.</w:t>
      </w:r>
      <w:r w:rsidR="00DF3CBA">
        <w:t xml:space="preserve"> The</w:t>
      </w:r>
      <w:r w:rsidR="00494E64">
        <w:t xml:space="preserve"> </w:t>
      </w:r>
      <w:r w:rsidR="00494E64">
        <w:lastRenderedPageBreak/>
        <w:t xml:space="preserve">process for the development of the default certificate price will be developed and consulted on prior to the first publication of the price in June 2024. </w:t>
      </w:r>
    </w:p>
    <w:p w14:paraId="69613707" w14:textId="77777777" w:rsidR="00F00124" w:rsidRDefault="002B2D39" w:rsidP="002B2D39">
      <w:pPr>
        <w:pStyle w:val="Heading4"/>
      </w:pPr>
      <w:r>
        <w:t>Facility revenue</w:t>
      </w:r>
    </w:p>
    <w:p w14:paraId="5188EB1F" w14:textId="77777777" w:rsidR="002B2D39" w:rsidRDefault="00AE70CC" w:rsidP="002B2D39">
      <w:r>
        <w:t>F</w:t>
      </w:r>
      <w:r w:rsidR="00801B5E">
        <w:t>acility revenue for a compliance period is the revenue associated with the facility’s outputs produced during the period</w:t>
      </w:r>
      <w:r w:rsidR="00767376">
        <w:t xml:space="preserve">. </w:t>
      </w:r>
      <w:r w:rsidR="00B71CC2">
        <w:t>It is unlikely that facilities will have a constant price for any product across a particular year but t</w:t>
      </w:r>
      <w:r w:rsidR="00767376">
        <w:t>he facility would need to determine</w:t>
      </w:r>
      <w:r w:rsidR="00B71CC2">
        <w:t xml:space="preserve"> an average price for the year for the purposes of determining revenue associated with a particular product. In some cases products will be transferred “internally” between facilities within the same corporate group and an appropriate </w:t>
      </w:r>
      <w:r w:rsidR="007B763E">
        <w:t xml:space="preserve">market </w:t>
      </w:r>
      <w:r w:rsidR="00B71CC2">
        <w:t xml:space="preserve">price will need to be attributed to the product. </w:t>
      </w:r>
      <w:r w:rsidR="00767376">
        <w:t xml:space="preserve"> </w:t>
      </w:r>
    </w:p>
    <w:p w14:paraId="0CB0ED77" w14:textId="77777777" w:rsidR="00801B5E" w:rsidRDefault="00801B5E" w:rsidP="00801B5E">
      <w:pPr>
        <w:pStyle w:val="Heading3"/>
      </w:pPr>
      <w:r>
        <w:t>Application process</w:t>
      </w:r>
    </w:p>
    <w:p w14:paraId="7A92A29A" w14:textId="52EF6FB4" w:rsidR="00F8220D" w:rsidRDefault="00801B5E" w:rsidP="00801B5E">
      <w:r>
        <w:t xml:space="preserve">Applications for </w:t>
      </w:r>
      <w:r w:rsidR="00772A98">
        <w:t>Trade Exposed Baseline Adjusted</w:t>
      </w:r>
      <w:r>
        <w:t xml:space="preserve"> status </w:t>
      </w:r>
      <w:r w:rsidR="00F75CBE">
        <w:t>are proposed to</w:t>
      </w:r>
      <w:r>
        <w:t xml:space="preserve"> be due by </w:t>
      </w:r>
      <w:r w:rsidR="000F234E">
        <w:t xml:space="preserve">the </w:t>
      </w:r>
      <w:r w:rsidR="00044401">
        <w:t xml:space="preserve">first </w:t>
      </w:r>
      <w:r>
        <w:t>31 October after the year for wh</w:t>
      </w:r>
      <w:r w:rsidR="000F234E">
        <w:t>ich the status is being sought e.g. an a</w:t>
      </w:r>
      <w:r w:rsidR="003B38AB">
        <w:t>pplication starting in the 2027-</w:t>
      </w:r>
      <w:r w:rsidR="000F234E">
        <w:t>28 year would be due by 31 October 2028</w:t>
      </w:r>
      <w:r w:rsidR="00F8220D">
        <w:t xml:space="preserve">. </w:t>
      </w:r>
    </w:p>
    <w:p w14:paraId="6674ECDF" w14:textId="77777777" w:rsidR="00F8220D" w:rsidRDefault="00F8220D" w:rsidP="00801B5E">
      <w:r>
        <w:t>The application will need to be accompanied by an independent audit report providing assurance over information in the application, including the revenue values, and confirm that all eligibility criteria have been met.</w:t>
      </w:r>
    </w:p>
    <w:p w14:paraId="2EB01BD4" w14:textId="77777777" w:rsidR="00801B5E" w:rsidRPr="00801B5E" w:rsidRDefault="00F8220D" w:rsidP="00801B5E">
      <w:r>
        <w:t>Upon receipt of a complete</w:t>
      </w:r>
      <w:r w:rsidR="00724A5A">
        <w:t>d</w:t>
      </w:r>
      <w:r>
        <w:t xml:space="preserve"> application, the Clean Energy Regulator must take all reasonable steps to ensure a decision is made on the application within 60 days. This is to allow for a new decline rate to be set for the facility and for the facility’s Responsible Emitter to know the facility’s revised final liability for that period ahead of the compliance deadline </w:t>
      </w:r>
      <w:r w:rsidR="00C074A6">
        <w:t xml:space="preserve">- </w:t>
      </w:r>
      <w:r w:rsidR="00C074A6" w:rsidRPr="00C074A6">
        <w:t>1 April</w:t>
      </w:r>
      <w:r>
        <w:t xml:space="preserve">. </w:t>
      </w:r>
      <w:r w:rsidR="000F234E">
        <w:t xml:space="preserve"> </w:t>
      </w:r>
    </w:p>
    <w:p w14:paraId="35284E50" w14:textId="77777777" w:rsidR="00801B5E" w:rsidRPr="002B2D39" w:rsidRDefault="005960F7" w:rsidP="002B2D39">
      <w:r>
        <w:t xml:space="preserve">A </w:t>
      </w:r>
      <w:r w:rsidR="00F515C0">
        <w:t>facility’s decline rate</w:t>
      </w:r>
      <w:r>
        <w:t xml:space="preserve"> will </w:t>
      </w:r>
      <w:r w:rsidR="00F515C0">
        <w:t xml:space="preserve">then </w:t>
      </w:r>
      <w:r>
        <w:t>be</w:t>
      </w:r>
      <w:r w:rsidR="00F515C0">
        <w:t xml:space="preserve"> locked</w:t>
      </w:r>
      <w:r>
        <w:t xml:space="preserve"> in for a three year period</w:t>
      </w:r>
      <w:r w:rsidR="00C8707B">
        <w:t>.</w:t>
      </w:r>
      <w:r>
        <w:t xml:space="preserve"> </w:t>
      </w:r>
      <w:r w:rsidR="00C8707B">
        <w:t>A</w:t>
      </w:r>
      <w:r w:rsidR="00F515C0">
        <w:t xml:space="preserve"> facility may seek to</w:t>
      </w:r>
      <w:r w:rsidR="003C4FEE">
        <w:t xml:space="preserve"> re-apply for </w:t>
      </w:r>
      <w:r w:rsidR="00772A98">
        <w:t>Trade Exposed Baseline Adjusted</w:t>
      </w:r>
      <w:r w:rsidR="003C4FEE">
        <w:t xml:space="preserve"> status with a revised decline rate before </w:t>
      </w:r>
      <w:r w:rsidR="00C8707B">
        <w:t>that</w:t>
      </w:r>
      <w:r w:rsidR="003C4FEE">
        <w:t xml:space="preserve"> three year period has run its course</w:t>
      </w:r>
      <w:r w:rsidR="00F71C50">
        <w:t xml:space="preserve">. A facility may find that </w:t>
      </w:r>
      <w:r w:rsidR="003C4FEE">
        <w:t xml:space="preserve">further baseline declines or other changes in circumstances </w:t>
      </w:r>
      <w:r w:rsidR="00F71C50">
        <w:t>mean that it may then be eligible for a lower baseline</w:t>
      </w:r>
      <w:r w:rsidR="003B38AB">
        <w:t xml:space="preserve"> decline rate</w:t>
      </w:r>
      <w:r w:rsidR="003C4FEE">
        <w:t>.</w:t>
      </w:r>
      <w:r>
        <w:t xml:space="preserve"> </w:t>
      </w:r>
    </w:p>
    <w:p w14:paraId="665112AD" w14:textId="469D2FBF" w:rsidR="00A661D2" w:rsidRDefault="00A661D2" w:rsidP="00863199">
      <w:pPr>
        <w:pStyle w:val="Calloutbox"/>
      </w:pPr>
      <w:r>
        <w:t xml:space="preserve">Facilities </w:t>
      </w:r>
      <w:r w:rsidR="00F30DBD">
        <w:t xml:space="preserve">would </w:t>
      </w:r>
      <w:r>
        <w:t xml:space="preserve">be able to apply for </w:t>
      </w:r>
      <w:r w:rsidR="00772A98">
        <w:t>Trade Exposed Baseline Adjusted</w:t>
      </w:r>
      <w:r>
        <w:t xml:space="preserve"> status based on the facility’s cost impact metric exceeding the threshold.</w:t>
      </w:r>
    </w:p>
    <w:p w14:paraId="4F4658DA" w14:textId="2E64A850" w:rsidR="00A661D2" w:rsidRPr="002B2D39" w:rsidRDefault="00A661D2" w:rsidP="00863199">
      <w:pPr>
        <w:pStyle w:val="Calloutbox"/>
      </w:pPr>
      <w:r>
        <w:t>Costs</w:t>
      </w:r>
      <w:r w:rsidR="0056181B">
        <w:t xml:space="preserve"> </w:t>
      </w:r>
      <w:r w:rsidR="00F30DBD">
        <w:t xml:space="preserve">would </w:t>
      </w:r>
      <w:r w:rsidR="0056181B">
        <w:t>be</w:t>
      </w:r>
      <w:r>
        <w:t xml:space="preserve"> determined by reference to the default certificate price published in June </w:t>
      </w:r>
      <w:r w:rsidR="00F30DBD">
        <w:t xml:space="preserve">of </w:t>
      </w:r>
      <w:r>
        <w:t>each year.</w:t>
      </w:r>
    </w:p>
    <w:p w14:paraId="58CB9383" w14:textId="77777777" w:rsidR="00E66614" w:rsidRDefault="00436150" w:rsidP="00E66614">
      <w:pPr>
        <w:pStyle w:val="Heading2"/>
      </w:pPr>
      <w:bookmarkStart w:id="1066" w:name="_Toc109677679"/>
      <w:bookmarkStart w:id="1067" w:name="_Toc109677680"/>
      <w:bookmarkStart w:id="1068" w:name="_Hlk122437538"/>
      <w:bookmarkStart w:id="1069" w:name="_Toc122514452"/>
      <w:bookmarkStart w:id="1070" w:name="_Toc124100702"/>
      <w:bookmarkStart w:id="1071" w:name="_Toc109659396"/>
      <w:bookmarkStart w:id="1072" w:name="_Toc109717176"/>
      <w:bookmarkStart w:id="1073" w:name="_Toc109742683"/>
      <w:bookmarkStart w:id="1074" w:name="_Toc109746067"/>
      <w:bookmarkStart w:id="1075" w:name="_Toc109747131"/>
      <w:bookmarkStart w:id="1076" w:name="_Toc109818509"/>
      <w:bookmarkStart w:id="1077" w:name="_Toc110524033"/>
      <w:bookmarkStart w:id="1078" w:name="_Toc110545561"/>
      <w:bookmarkStart w:id="1079" w:name="_Toc110590744"/>
      <w:bookmarkStart w:id="1080" w:name="_Toc110590799"/>
      <w:bookmarkStart w:id="1081" w:name="_Toc110593203"/>
      <w:bookmarkStart w:id="1082" w:name="_Toc110851756"/>
      <w:bookmarkStart w:id="1083" w:name="_Toc111042147"/>
      <w:bookmarkEnd w:id="821"/>
      <w:bookmarkEnd w:id="822"/>
      <w:bookmarkEnd w:id="823"/>
      <w:bookmarkEnd w:id="824"/>
      <w:bookmarkEnd w:id="825"/>
      <w:bookmarkEnd w:id="826"/>
      <w:bookmarkEnd w:id="827"/>
      <w:bookmarkEnd w:id="1066"/>
      <w:bookmarkEnd w:id="1067"/>
      <w:r w:rsidRPr="005F6C50">
        <w:t>Exploring additional policy options to address carbon leakage</w:t>
      </w:r>
      <w:bookmarkEnd w:id="1068"/>
      <w:bookmarkEnd w:id="1069"/>
      <w:bookmarkEnd w:id="1070"/>
    </w:p>
    <w:p w14:paraId="14E6ED26" w14:textId="177D615C" w:rsidR="00153CFB" w:rsidRDefault="00153CFB" w:rsidP="00153CFB">
      <w:pPr>
        <w:rPr>
          <w:lang w:val="en-GB"/>
        </w:rPr>
      </w:pPr>
      <w:r>
        <w:rPr>
          <w:lang w:val="en-GB"/>
        </w:rPr>
        <w:t xml:space="preserve">In December 2022, the European </w:t>
      </w:r>
      <w:r w:rsidR="00D1776C">
        <w:rPr>
          <w:lang w:val="en-GB"/>
        </w:rPr>
        <w:t xml:space="preserve">Union </w:t>
      </w:r>
      <w:r>
        <w:rPr>
          <w:lang w:val="en-GB"/>
        </w:rPr>
        <w:t>reached an agreement to implement a carbon border adjustment mechanism (CBAM). CBAMs are also being considered in a number of other jurisdictions around the world</w:t>
      </w:r>
      <w:r w:rsidR="00AD6098">
        <w:rPr>
          <w:lang w:val="en-GB"/>
        </w:rPr>
        <w:t xml:space="preserve"> </w:t>
      </w:r>
      <w:r w:rsidR="00AD6098" w:rsidRPr="005F6C50">
        <w:rPr>
          <w:lang w:val="en-GB"/>
        </w:rPr>
        <w:t>as a measure</w:t>
      </w:r>
      <w:r>
        <w:rPr>
          <w:lang w:val="en-GB"/>
        </w:rPr>
        <w:t xml:space="preserve"> to prevent carbon leakage from countries implementing carbon reduction schemes. They operate by imposing an import tariff and/or export rebate on trade with countries without an equivalent carbon constraint. The European Union’s CBAM will focus on an import tariff, initially for a limited set of products—</w:t>
      </w:r>
      <w:r w:rsidRPr="00CF2E78">
        <w:rPr>
          <w:lang w:val="en-GB"/>
        </w:rPr>
        <w:t>cement, iron and steel, aluminium, fertilizers, organic chemicals, plastics, electricity, hydrogen and ammonia</w:t>
      </w:r>
      <w:r>
        <w:rPr>
          <w:lang w:val="en-GB"/>
        </w:rPr>
        <w:t xml:space="preserve">. </w:t>
      </w:r>
    </w:p>
    <w:p w14:paraId="7A247523" w14:textId="77777777" w:rsidR="006B0042" w:rsidRDefault="001E6767" w:rsidP="00154B9A">
      <w:pPr>
        <w:spacing w:after="240"/>
        <w:rPr>
          <w:lang w:val="en-GB"/>
        </w:rPr>
      </w:pPr>
      <w:r>
        <w:rPr>
          <w:lang w:val="en-GB"/>
        </w:rPr>
        <w:t>The consultation paper did not discuss developing a</w:t>
      </w:r>
      <w:r w:rsidR="00CF1F39">
        <w:rPr>
          <w:lang w:val="en-GB"/>
        </w:rPr>
        <w:t>n Australian</w:t>
      </w:r>
      <w:r>
        <w:rPr>
          <w:lang w:val="en-GB"/>
        </w:rPr>
        <w:t xml:space="preserve"> CBAM, </w:t>
      </w:r>
      <w:r w:rsidR="004D355A">
        <w:rPr>
          <w:lang w:val="en-GB"/>
        </w:rPr>
        <w:t>but many</w:t>
      </w:r>
      <w:r w:rsidR="006B0042">
        <w:rPr>
          <w:lang w:val="en-GB"/>
        </w:rPr>
        <w:t xml:space="preserve"> submissions suggested </w:t>
      </w:r>
      <w:r w:rsidR="004D355A">
        <w:rPr>
          <w:lang w:val="en-GB"/>
        </w:rPr>
        <w:t xml:space="preserve">a </w:t>
      </w:r>
      <w:r w:rsidR="006B0042">
        <w:rPr>
          <w:lang w:val="en-GB"/>
        </w:rPr>
        <w:t xml:space="preserve">CBAM </w:t>
      </w:r>
      <w:r w:rsidR="00B44835">
        <w:rPr>
          <w:lang w:val="en-GB"/>
        </w:rPr>
        <w:t>would be</w:t>
      </w:r>
      <w:r w:rsidR="006B0042">
        <w:rPr>
          <w:lang w:val="en-GB"/>
        </w:rPr>
        <w:t xml:space="preserve"> a preferable way to manage </w:t>
      </w:r>
      <w:r w:rsidR="007F04D5">
        <w:rPr>
          <w:lang w:val="en-GB"/>
        </w:rPr>
        <w:t>carbon leakage</w:t>
      </w:r>
      <w:r w:rsidR="006B0042">
        <w:rPr>
          <w:lang w:val="en-GB"/>
        </w:rPr>
        <w:t>, particularly in the medium to long term.</w:t>
      </w:r>
    </w:p>
    <w:p w14:paraId="63AEB19B" w14:textId="77777777" w:rsidR="00F33B04" w:rsidRDefault="00202579" w:rsidP="0026352E">
      <w:pPr>
        <w:spacing w:after="120"/>
        <w:ind w:left="360"/>
        <w:rPr>
          <w:i/>
        </w:rPr>
      </w:pPr>
      <w:r w:rsidRPr="00F85431">
        <w:rPr>
          <w:i/>
        </w:rPr>
        <w:lastRenderedPageBreak/>
        <w:t xml:space="preserve">Ai Group considers that while the approaches to Emissions Intensive Trade Exposed industries considered in the Paper may suffice in the early years, a better solution will be needed before long. An Australian Carbon Border Adjustment Mechanism could be that answer. </w:t>
      </w:r>
    </w:p>
    <w:p w14:paraId="3FE064BF" w14:textId="77777777" w:rsidR="00202579" w:rsidRPr="00F33B04" w:rsidRDefault="00202579" w:rsidP="00F33B04">
      <w:pPr>
        <w:spacing w:after="120"/>
        <w:ind w:left="360"/>
        <w:jc w:val="right"/>
        <w:rPr>
          <w:i/>
        </w:rPr>
      </w:pPr>
      <w:r w:rsidRPr="00202579">
        <w:t>A</w:t>
      </w:r>
      <w:r w:rsidR="00157569">
        <w:t>i</w:t>
      </w:r>
      <w:r w:rsidRPr="00202579">
        <w:t xml:space="preserve"> Group</w:t>
      </w:r>
    </w:p>
    <w:p w14:paraId="1E85BA45" w14:textId="77777777" w:rsidR="00202579" w:rsidRDefault="00202579" w:rsidP="00202579">
      <w:pPr>
        <w:spacing w:after="120"/>
        <w:ind w:left="360"/>
        <w:rPr>
          <w:b/>
          <w:i/>
        </w:rPr>
      </w:pPr>
      <w:r>
        <w:rPr>
          <w:i/>
        </w:rPr>
        <w:t>Australia’s use of CBAMs to address trade exposure is worthy of consideration, as part of a broader international trade policy discussion in an increasingly decarbonised global context.</w:t>
      </w:r>
      <w:r>
        <w:rPr>
          <w:b/>
          <w:i/>
        </w:rPr>
        <w:t xml:space="preserve"> </w:t>
      </w:r>
    </w:p>
    <w:p w14:paraId="0B47BC77" w14:textId="77777777" w:rsidR="00202579" w:rsidRPr="00202579" w:rsidRDefault="00202579" w:rsidP="00202579">
      <w:pPr>
        <w:spacing w:after="120"/>
        <w:ind w:left="360"/>
        <w:jc w:val="right"/>
      </w:pPr>
      <w:r w:rsidRPr="00202579">
        <w:t>B</w:t>
      </w:r>
      <w:r>
        <w:t xml:space="preserve">usiness </w:t>
      </w:r>
      <w:r w:rsidRPr="00202579">
        <w:t>C</w:t>
      </w:r>
      <w:r>
        <w:t xml:space="preserve">ouncil of </w:t>
      </w:r>
      <w:r w:rsidRPr="00202579">
        <w:t>A</w:t>
      </w:r>
      <w:r>
        <w:t>ustralia</w:t>
      </w:r>
    </w:p>
    <w:p w14:paraId="5A15DB13" w14:textId="77777777" w:rsidR="00202579" w:rsidRDefault="00202579" w:rsidP="00202579">
      <w:pPr>
        <w:spacing w:after="120"/>
        <w:ind w:left="360"/>
        <w:rPr>
          <w:i/>
        </w:rPr>
      </w:pPr>
      <w:r w:rsidRPr="008D72FD">
        <w:rPr>
          <w:i/>
        </w:rPr>
        <w:t xml:space="preserve">A border adjustment framework may provide an equitable, transparent way to recognise and adjust for competitiveness issues from carbon costs. </w:t>
      </w:r>
    </w:p>
    <w:p w14:paraId="13824A70" w14:textId="77777777" w:rsidR="00202579" w:rsidRPr="00202579" w:rsidRDefault="00202579" w:rsidP="00202579">
      <w:pPr>
        <w:spacing w:after="120"/>
        <w:ind w:left="360"/>
        <w:jc w:val="right"/>
      </w:pPr>
      <w:r w:rsidRPr="00202579">
        <w:t>Australian Industry Greenhouse Network</w:t>
      </w:r>
    </w:p>
    <w:p w14:paraId="086E58B2" w14:textId="77777777" w:rsidR="00202579" w:rsidRDefault="00202579" w:rsidP="00202579">
      <w:pPr>
        <w:spacing w:after="120"/>
        <w:ind w:left="360"/>
        <w:rPr>
          <w:i/>
        </w:rPr>
      </w:pPr>
      <w:r w:rsidRPr="00205298">
        <w:rPr>
          <w:i/>
        </w:rPr>
        <w:t xml:space="preserve">The Government should consider a carbon border adjustment mechanism. This would require importers to pay an equivalent carbon price to local producers, levelling the playing field and preventing carbon leakage. </w:t>
      </w:r>
    </w:p>
    <w:p w14:paraId="0C4D6C60" w14:textId="77777777" w:rsidR="00202579" w:rsidRPr="00202579" w:rsidRDefault="00202579" w:rsidP="00202579">
      <w:pPr>
        <w:spacing w:after="120"/>
        <w:ind w:left="360"/>
        <w:jc w:val="right"/>
      </w:pPr>
      <w:r w:rsidRPr="00202579">
        <w:t>Grattan Institute</w:t>
      </w:r>
    </w:p>
    <w:p w14:paraId="11434BD6" w14:textId="77777777" w:rsidR="00202579" w:rsidRDefault="00202579" w:rsidP="00202579">
      <w:pPr>
        <w:spacing w:after="120"/>
        <w:ind w:left="360"/>
        <w:rPr>
          <w:i/>
        </w:rPr>
      </w:pPr>
      <w:r w:rsidRPr="0098072B">
        <w:rPr>
          <w:i/>
        </w:rPr>
        <w:t xml:space="preserve">Other policy measures that directly address trade exposure, such as a carbon border adjustment mechanism, will be required to address issues around ‘carbon leakage’ and should be developed as soon as possible. </w:t>
      </w:r>
    </w:p>
    <w:p w14:paraId="5DC1039E" w14:textId="77777777" w:rsidR="00202579" w:rsidRPr="00202579" w:rsidRDefault="00202579" w:rsidP="00202579">
      <w:pPr>
        <w:spacing w:after="120"/>
        <w:ind w:left="360"/>
        <w:jc w:val="right"/>
      </w:pPr>
      <w:r w:rsidRPr="00202579">
        <w:t>Cement Industry Federation</w:t>
      </w:r>
    </w:p>
    <w:p w14:paraId="50B4AB0D" w14:textId="77777777" w:rsidR="00202579" w:rsidRDefault="00202579" w:rsidP="00E66614">
      <w:pPr>
        <w:rPr>
          <w:lang w:val="en-GB"/>
        </w:rPr>
      </w:pPr>
    </w:p>
    <w:p w14:paraId="3E12E5B8" w14:textId="77777777" w:rsidR="00153CFB" w:rsidRPr="00153CFB" w:rsidRDefault="006B0042" w:rsidP="00153CFB">
      <w:pPr>
        <w:rPr>
          <w:lang w:val="en-GB"/>
        </w:rPr>
      </w:pPr>
      <w:r>
        <w:rPr>
          <w:lang w:val="en-GB"/>
        </w:rPr>
        <w:t xml:space="preserve">The Government </w:t>
      </w:r>
      <w:r w:rsidR="002B2B6D">
        <w:rPr>
          <w:lang w:val="en-GB"/>
        </w:rPr>
        <w:t>recognises the strong stakeholder interest in an Australian CBAM</w:t>
      </w:r>
      <w:r w:rsidR="00121E9B">
        <w:rPr>
          <w:lang w:val="en-GB"/>
        </w:rPr>
        <w:t>. While the Government has proposed approaches to address carbon leakage as part of its proposed design of the reforms, it is important to consider whether these will remain appropriate over time. Recognising this strong stakeholder interest in an Australian CBAM, the Government</w:t>
      </w:r>
      <w:r w:rsidR="00B44835">
        <w:rPr>
          <w:lang w:val="en-GB"/>
        </w:rPr>
        <w:t xml:space="preserve"> </w:t>
      </w:r>
      <w:r w:rsidR="00112642">
        <w:rPr>
          <w:lang w:val="en-GB"/>
        </w:rPr>
        <w:t xml:space="preserve">will </w:t>
      </w:r>
      <w:r w:rsidR="00153CFB">
        <w:rPr>
          <w:lang w:val="en-GB"/>
        </w:rPr>
        <w:t xml:space="preserve">undertake a review </w:t>
      </w:r>
      <w:r w:rsidR="0082704A">
        <w:rPr>
          <w:lang w:val="en-GB"/>
        </w:rPr>
        <w:t xml:space="preserve">to </w:t>
      </w:r>
      <w:r w:rsidR="00121E9B">
        <w:rPr>
          <w:lang w:val="en-GB"/>
        </w:rPr>
        <w:t>explore long term policy options to prevent carbon leakage that</w:t>
      </w:r>
      <w:r w:rsidR="002B2B6D">
        <w:rPr>
          <w:lang w:val="en-GB"/>
        </w:rPr>
        <w:t xml:space="preserve"> could complement the Safeguard Mechanism reforms</w:t>
      </w:r>
      <w:r w:rsidR="00B44835">
        <w:rPr>
          <w:lang w:val="en-GB"/>
        </w:rPr>
        <w:t>.</w:t>
      </w:r>
      <w:r w:rsidR="00CC4D91">
        <w:rPr>
          <w:lang w:val="en-GB"/>
        </w:rPr>
        <w:t xml:space="preserve"> </w:t>
      </w:r>
      <w:r w:rsidR="00903B18">
        <w:rPr>
          <w:lang w:val="en-GB"/>
        </w:rPr>
        <w:t xml:space="preserve">The review will commence in 2023 and will include </w:t>
      </w:r>
      <w:r w:rsidR="00121E9B">
        <w:rPr>
          <w:lang w:val="en-GB"/>
        </w:rPr>
        <w:t>stakeholder consultation.</w:t>
      </w:r>
      <w:r w:rsidR="00121E9B" w:rsidRPr="00121E9B">
        <w:rPr>
          <w:lang w:val="en-GB"/>
        </w:rPr>
        <w:t xml:space="preserve"> </w:t>
      </w:r>
      <w:r w:rsidR="00121E9B">
        <w:rPr>
          <w:lang w:val="en-GB"/>
        </w:rPr>
        <w:t xml:space="preserve">The Government will not commit to any particular </w:t>
      </w:r>
      <w:r w:rsidR="009A6A06">
        <w:rPr>
          <w:lang w:val="en-GB"/>
        </w:rPr>
        <w:t>future</w:t>
      </w:r>
      <w:r w:rsidR="00121E9B">
        <w:rPr>
          <w:lang w:val="en-GB"/>
        </w:rPr>
        <w:t xml:space="preserve"> policy option ahead of this review and will also</w:t>
      </w:r>
      <w:r w:rsidR="00153CFB">
        <w:rPr>
          <w:lang w:val="en-GB"/>
        </w:rPr>
        <w:t xml:space="preserve"> </w:t>
      </w:r>
      <w:r w:rsidR="005A3587">
        <w:rPr>
          <w:lang w:val="en-GB"/>
        </w:rPr>
        <w:t xml:space="preserve">consider </w:t>
      </w:r>
      <w:r w:rsidR="00153CFB">
        <w:rPr>
          <w:lang w:val="en-GB"/>
        </w:rPr>
        <w:t xml:space="preserve">relevant </w:t>
      </w:r>
      <w:r w:rsidR="00121E9B">
        <w:rPr>
          <w:lang w:val="en-GB"/>
        </w:rPr>
        <w:t>issues with</w:t>
      </w:r>
      <w:r w:rsidR="005A3587">
        <w:rPr>
          <w:lang w:val="en-GB"/>
        </w:rPr>
        <w:t xml:space="preserve"> Australia’s international trade relationships and obligations</w:t>
      </w:r>
      <w:r w:rsidR="00121E9B">
        <w:rPr>
          <w:lang w:val="en-GB"/>
        </w:rPr>
        <w:t xml:space="preserve"> with any policy options.</w:t>
      </w:r>
    </w:p>
    <w:p w14:paraId="76038F12" w14:textId="35607803" w:rsidR="00112642" w:rsidRDefault="00153CFB" w:rsidP="00112642">
      <w:pPr>
        <w:pStyle w:val="Calloutbox"/>
      </w:pPr>
      <w:r>
        <w:t>The Government recognises</w:t>
      </w:r>
      <w:r w:rsidRPr="00153CFB">
        <w:t xml:space="preserve"> </w:t>
      </w:r>
      <w:r>
        <w:t>strong stakeholder interest in an Australian CBAM</w:t>
      </w:r>
      <w:r w:rsidR="007935D3">
        <w:t>, as well as design and implementation challenges,</w:t>
      </w:r>
      <w:r>
        <w:t xml:space="preserve"> and will undertake a review commencing </w:t>
      </w:r>
      <w:r w:rsidDel="00262969">
        <w:t xml:space="preserve">in 2023 </w:t>
      </w:r>
      <w:r>
        <w:t xml:space="preserve">to explore policy options to </w:t>
      </w:r>
      <w:r w:rsidR="009F7CDA">
        <w:t xml:space="preserve">further </w:t>
      </w:r>
      <w:r w:rsidR="007935D3">
        <w:t xml:space="preserve">address </w:t>
      </w:r>
      <w:r>
        <w:t>carbon leakage</w:t>
      </w:r>
      <w:r w:rsidR="00112642">
        <w:t xml:space="preserve">. </w:t>
      </w:r>
    </w:p>
    <w:p w14:paraId="01948D78" w14:textId="77777777" w:rsidR="00E71DC7" w:rsidRPr="000E5623" w:rsidRDefault="00FD03E2" w:rsidP="00A92587">
      <w:pPr>
        <w:pStyle w:val="Heading1"/>
      </w:pPr>
      <w:bookmarkStart w:id="1084" w:name="_Toc119500923"/>
      <w:bookmarkStart w:id="1085" w:name="_Toc119572378"/>
      <w:bookmarkStart w:id="1086" w:name="_Toc120098973"/>
      <w:bookmarkStart w:id="1087" w:name="_Toc122514453"/>
      <w:bookmarkStart w:id="1088" w:name="_Toc124100703"/>
      <w:bookmarkEnd w:id="1071"/>
      <w:bookmarkEnd w:id="1072"/>
      <w:bookmarkEnd w:id="1073"/>
      <w:bookmarkEnd w:id="1074"/>
      <w:bookmarkEnd w:id="1075"/>
      <w:bookmarkEnd w:id="1076"/>
      <w:bookmarkEnd w:id="1077"/>
      <w:bookmarkEnd w:id="1078"/>
      <w:bookmarkEnd w:id="1079"/>
      <w:bookmarkEnd w:id="1080"/>
      <w:bookmarkEnd w:id="1081"/>
      <w:bookmarkEnd w:id="1082"/>
      <w:bookmarkEnd w:id="1083"/>
      <w:r>
        <w:t>Declining baselines to deliver the target</w:t>
      </w:r>
      <w:bookmarkEnd w:id="1084"/>
      <w:bookmarkEnd w:id="1085"/>
      <w:bookmarkEnd w:id="1086"/>
      <w:bookmarkEnd w:id="1087"/>
      <w:bookmarkEnd w:id="1088"/>
    </w:p>
    <w:p w14:paraId="3B03E5AC" w14:textId="77777777" w:rsidR="00674C5E" w:rsidRDefault="00674C5E" w:rsidP="00153CFB">
      <w:pPr>
        <w:keepLines/>
      </w:pPr>
      <w:r>
        <w:t xml:space="preserve">The consultation paper indicated that baseline decline rates can only be settled in the context of other policy settings, noting a </w:t>
      </w:r>
      <w:r w:rsidR="00831A11">
        <w:t>possible</w:t>
      </w:r>
      <w:r>
        <w:t xml:space="preserve"> range of 3.5 to 6 </w:t>
      </w:r>
      <w:r w:rsidR="00FB3916">
        <w:t>per cent</w:t>
      </w:r>
      <w:r>
        <w:t xml:space="preserve"> each year</w:t>
      </w:r>
      <w:r w:rsidR="00614EA3">
        <w:t xml:space="preserve">. Using the </w:t>
      </w:r>
      <w:r>
        <w:t xml:space="preserve">final </w:t>
      </w:r>
      <w:r w:rsidR="00614EA3">
        <w:t xml:space="preserve">design parameters outlined above, a uniform, annual decline rate of </w:t>
      </w:r>
      <w:r w:rsidR="003A251F">
        <w:t>4.9</w:t>
      </w:r>
      <w:r w:rsidR="00614EA3">
        <w:t> </w:t>
      </w:r>
      <w:r w:rsidR="00FB3916">
        <w:t>per cent</w:t>
      </w:r>
      <w:r w:rsidR="00614EA3">
        <w:t xml:space="preserve"> each year </w:t>
      </w:r>
      <w:r w:rsidR="002053DA">
        <w:t>is expected</w:t>
      </w:r>
      <w:r w:rsidR="00614EA3">
        <w:t xml:space="preserve"> to meet the </w:t>
      </w:r>
      <w:r w:rsidR="002053DA">
        <w:t xml:space="preserve">Safeguard’s share of the national emissions budget and the </w:t>
      </w:r>
      <w:r w:rsidR="00614EA3">
        <w:t xml:space="preserve">2030 </w:t>
      </w:r>
      <w:r w:rsidR="002053DA">
        <w:t xml:space="preserve">point </w:t>
      </w:r>
      <w:r w:rsidR="00614EA3">
        <w:t>target. This</w:t>
      </w:r>
      <w:r>
        <w:t xml:space="preserve"> decline rate </w:t>
      </w:r>
      <w:r w:rsidR="00614EA3">
        <w:t>reflects</w:t>
      </w:r>
      <w:r w:rsidR="00831A11">
        <w:t xml:space="preserve"> the following policy </w:t>
      </w:r>
      <w:r w:rsidR="00614EA3">
        <w:t>choices</w:t>
      </w:r>
      <w:r>
        <w:t xml:space="preserve">: </w:t>
      </w:r>
    </w:p>
    <w:p w14:paraId="1F8ED05A" w14:textId="77777777" w:rsidR="00674C5E" w:rsidRDefault="008F65C4" w:rsidP="00F75AF6">
      <w:pPr>
        <w:pStyle w:val="ListParagraph"/>
        <w:numPr>
          <w:ilvl w:val="0"/>
          <w:numId w:val="14"/>
        </w:numPr>
        <w:ind w:left="357" w:hanging="357"/>
        <w:contextualSpacing w:val="0"/>
      </w:pPr>
      <w:r w:rsidRPr="008F65C4">
        <w:rPr>
          <w:b/>
        </w:rPr>
        <w:t>Baseline</w:t>
      </w:r>
      <w:r w:rsidR="00674C5E" w:rsidRPr="008F65C4">
        <w:rPr>
          <w:b/>
        </w:rPr>
        <w:t xml:space="preserve"> framework</w:t>
      </w:r>
      <w:r w:rsidR="00674C5E" w:rsidRPr="00F75AF6">
        <w:rPr>
          <w:b/>
        </w:rPr>
        <w:t xml:space="preserve">: </w:t>
      </w:r>
      <w:r w:rsidR="00614EA3">
        <w:t>the Safeguard Mechanism wil</w:t>
      </w:r>
      <w:r w:rsidR="00372FD3">
        <w:t>l continue to operate</w:t>
      </w:r>
      <w:r w:rsidR="00614EA3">
        <w:t xml:space="preserve"> under a production-adjusted baseline setting framework.</w:t>
      </w:r>
    </w:p>
    <w:p w14:paraId="44DBDBF8" w14:textId="77777777" w:rsidR="00674C5E" w:rsidRPr="00E122BF" w:rsidRDefault="008F65C4" w:rsidP="00E122BF">
      <w:pPr>
        <w:pStyle w:val="ListParagraph"/>
        <w:numPr>
          <w:ilvl w:val="0"/>
          <w:numId w:val="14"/>
        </w:numPr>
        <w:ind w:left="357" w:hanging="357"/>
        <w:contextualSpacing w:val="0"/>
      </w:pPr>
      <w:r w:rsidRPr="00E122BF">
        <w:rPr>
          <w:b/>
        </w:rPr>
        <w:lastRenderedPageBreak/>
        <w:t>R</w:t>
      </w:r>
      <w:r w:rsidR="00674C5E" w:rsidRPr="00E122BF">
        <w:rPr>
          <w:b/>
        </w:rPr>
        <w:t>eserve</w:t>
      </w:r>
      <w:r w:rsidR="00674C5E" w:rsidRPr="00E122BF">
        <w:t xml:space="preserve">: </w:t>
      </w:r>
      <w:r w:rsidR="00372FD3" w:rsidRPr="00E122BF">
        <w:t>a portion</w:t>
      </w:r>
      <w:r w:rsidR="00674C5E" w:rsidRPr="00E122BF">
        <w:t xml:space="preserve"> of the </w:t>
      </w:r>
      <w:r w:rsidR="00C57807" w:rsidRPr="00E122BF">
        <w:t xml:space="preserve">Safeguard </w:t>
      </w:r>
      <w:r w:rsidR="00372FD3" w:rsidRPr="00E122BF">
        <w:t>emissions</w:t>
      </w:r>
      <w:r w:rsidR="00674C5E" w:rsidRPr="00E122BF">
        <w:t xml:space="preserve"> budget </w:t>
      </w:r>
      <w:r w:rsidR="00372FD3" w:rsidRPr="00E122BF">
        <w:t>will be ‘</w:t>
      </w:r>
      <w:r w:rsidR="00674C5E" w:rsidRPr="00E122BF">
        <w:t xml:space="preserve">held </w:t>
      </w:r>
      <w:r w:rsidR="00372FD3" w:rsidRPr="00E122BF">
        <w:t xml:space="preserve">back’ to accommodate </w:t>
      </w:r>
      <w:r w:rsidR="00674C5E" w:rsidRPr="00E122BF">
        <w:t>higher</w:t>
      </w:r>
      <w:r w:rsidR="00C543F8" w:rsidRPr="00E122BF">
        <w:t>-</w:t>
      </w:r>
      <w:r w:rsidR="00674C5E" w:rsidRPr="00E122BF">
        <w:t>than</w:t>
      </w:r>
      <w:r w:rsidR="00C543F8" w:rsidRPr="00E122BF">
        <w:t>-</w:t>
      </w:r>
      <w:r w:rsidR="00674C5E" w:rsidRPr="00E122BF">
        <w:t xml:space="preserve">expected </w:t>
      </w:r>
      <w:r w:rsidR="00995F34" w:rsidRPr="00E122BF">
        <w:t xml:space="preserve">production </w:t>
      </w:r>
      <w:r w:rsidR="00674C5E" w:rsidRPr="00E122BF">
        <w:t>growth</w:t>
      </w:r>
      <w:r w:rsidR="009A49F2">
        <w:t xml:space="preserve"> at existing and new facilities</w:t>
      </w:r>
      <w:r w:rsidR="00425586" w:rsidRPr="00E122BF">
        <w:t>, both of which are uncertain</w:t>
      </w:r>
      <w:r w:rsidR="000A389D" w:rsidRPr="00E122BF">
        <w:t xml:space="preserve">, as well as differential decline for </w:t>
      </w:r>
      <w:r w:rsidR="00772A98" w:rsidRPr="00E122BF">
        <w:t>Trade Exposed Baseline Adjusted</w:t>
      </w:r>
      <w:r w:rsidR="00FF0EBD" w:rsidRPr="00E122BF">
        <w:t xml:space="preserve"> facilities</w:t>
      </w:r>
      <w:r w:rsidR="00372FD3" w:rsidRPr="00E122BF">
        <w:t>.</w:t>
      </w:r>
    </w:p>
    <w:p w14:paraId="419299AD" w14:textId="77777777" w:rsidR="00674C5E" w:rsidRDefault="008F65C4" w:rsidP="0059378F">
      <w:pPr>
        <w:pStyle w:val="ListParagraph"/>
        <w:numPr>
          <w:ilvl w:val="0"/>
          <w:numId w:val="14"/>
        </w:numPr>
        <w:ind w:left="357" w:hanging="357"/>
        <w:contextualSpacing w:val="0"/>
      </w:pPr>
      <w:r w:rsidRPr="008F65C4">
        <w:rPr>
          <w:b/>
        </w:rPr>
        <w:t>S</w:t>
      </w:r>
      <w:r w:rsidR="00674C5E" w:rsidRPr="008F65C4">
        <w:rPr>
          <w:b/>
        </w:rPr>
        <w:t>tarting point</w:t>
      </w:r>
      <w:r w:rsidR="00674C5E">
        <w:t xml:space="preserve">: </w:t>
      </w:r>
      <w:r w:rsidR="00614EA3">
        <w:t xml:space="preserve">aggregate Safeguard </w:t>
      </w:r>
      <w:r w:rsidR="00372FD3">
        <w:t>Mechanism emissions are projected</w:t>
      </w:r>
      <w:r w:rsidR="00614EA3">
        <w:t xml:space="preserve"> to be </w:t>
      </w:r>
      <w:r w:rsidR="00C57807">
        <w:t>14</w:t>
      </w:r>
      <w:r w:rsidR="00AE572A">
        <w:t>3 </w:t>
      </w:r>
      <w:r w:rsidR="004C3B1D">
        <w:t>Mt in 2022</w:t>
      </w:r>
      <w:r w:rsidR="004C3B1D">
        <w:noBreakHyphen/>
      </w:r>
      <w:r w:rsidR="00AE572A">
        <w:t>23</w:t>
      </w:r>
      <w:r w:rsidR="00372FD3">
        <w:t xml:space="preserve"> compared with 137 </w:t>
      </w:r>
      <w:r w:rsidR="002771BD">
        <w:t>Mt</w:t>
      </w:r>
      <w:r w:rsidR="00372FD3">
        <w:t xml:space="preserve"> </w:t>
      </w:r>
      <w:r w:rsidR="00614EA3">
        <w:t xml:space="preserve">in 2020-21. </w:t>
      </w:r>
    </w:p>
    <w:p w14:paraId="301E60DC" w14:textId="77777777" w:rsidR="006827BD" w:rsidRDefault="006827BD" w:rsidP="0059378F">
      <w:pPr>
        <w:pStyle w:val="ListParagraph"/>
        <w:numPr>
          <w:ilvl w:val="0"/>
          <w:numId w:val="14"/>
        </w:numPr>
        <w:ind w:left="357" w:hanging="357"/>
        <w:contextualSpacing w:val="0"/>
      </w:pPr>
      <w:r w:rsidRPr="006827BD">
        <w:rPr>
          <w:b/>
        </w:rPr>
        <w:t>Projected emissions</w:t>
      </w:r>
      <w:r>
        <w:t xml:space="preserve">: </w:t>
      </w:r>
      <w:r w:rsidR="00DA734D">
        <w:t xml:space="preserve">In the absence of the reforms, </w:t>
      </w:r>
      <w:r>
        <w:t xml:space="preserve">based on Australia’s Emissions Projections 2022, emissions from existing Safeguard facilities are projected to decline to 136 </w:t>
      </w:r>
      <w:r w:rsidR="004C3B1D">
        <w:t>Mt</w:t>
      </w:r>
      <w:r>
        <w:t xml:space="preserve"> in 2029-30. With new facilities included</w:t>
      </w:r>
      <w:r>
        <w:rPr>
          <w:rStyle w:val="FootnoteReference"/>
        </w:rPr>
        <w:footnoteReference w:id="28"/>
      </w:r>
      <w:r>
        <w:t xml:space="preserve">, Safeguard emissions are projected to grow to 146 </w:t>
      </w:r>
      <w:r w:rsidR="002771BD">
        <w:t>Mt</w:t>
      </w:r>
      <w:r>
        <w:t xml:space="preserve"> in 2029-30.</w:t>
      </w:r>
    </w:p>
    <w:p w14:paraId="187697B0" w14:textId="371EE52D" w:rsidR="00674C5E" w:rsidRDefault="008F65C4" w:rsidP="0059378F">
      <w:pPr>
        <w:pStyle w:val="ListParagraph"/>
        <w:numPr>
          <w:ilvl w:val="0"/>
          <w:numId w:val="14"/>
        </w:numPr>
        <w:ind w:left="425" w:hanging="357"/>
        <w:contextualSpacing w:val="0"/>
      </w:pPr>
      <w:r w:rsidRPr="008F65C4">
        <w:rPr>
          <w:b/>
        </w:rPr>
        <w:t>D</w:t>
      </w:r>
      <w:r w:rsidR="00674C5E" w:rsidRPr="008F65C4">
        <w:rPr>
          <w:b/>
        </w:rPr>
        <w:t>ecline trajectory</w:t>
      </w:r>
      <w:r w:rsidR="00674C5E">
        <w:t xml:space="preserve">: </w:t>
      </w:r>
      <w:r w:rsidR="00BF6330">
        <w:t>A steady</w:t>
      </w:r>
      <w:r w:rsidR="00372FD3">
        <w:t xml:space="preserve"> decline </w:t>
      </w:r>
      <w:r w:rsidR="00BF6330">
        <w:t xml:space="preserve">rate </w:t>
      </w:r>
      <w:r w:rsidR="00372FD3">
        <w:t xml:space="preserve">will </w:t>
      </w:r>
      <w:r w:rsidR="00BF6330">
        <w:t>apply</w:t>
      </w:r>
      <w:r w:rsidR="00372FD3">
        <w:t xml:space="preserve">, so baselines will decline at the same rate each year to 2030. </w:t>
      </w:r>
    </w:p>
    <w:p w14:paraId="18A60485" w14:textId="77777777" w:rsidR="00674C5E" w:rsidRDefault="00674C5E" w:rsidP="0059378F">
      <w:pPr>
        <w:pStyle w:val="ListParagraph"/>
        <w:numPr>
          <w:ilvl w:val="0"/>
          <w:numId w:val="14"/>
        </w:numPr>
        <w:ind w:left="425" w:hanging="357"/>
        <w:contextualSpacing w:val="0"/>
      </w:pPr>
      <w:r w:rsidRPr="008F65C4">
        <w:rPr>
          <w:b/>
        </w:rPr>
        <w:t>EITEs treatment</w:t>
      </w:r>
      <w:r w:rsidR="008F65C4">
        <w:t xml:space="preserve">: </w:t>
      </w:r>
      <w:r w:rsidR="00AE572A">
        <w:t>concessional</w:t>
      </w:r>
      <w:r w:rsidR="00614EA3">
        <w:t xml:space="preserve"> baseline decline rates </w:t>
      </w:r>
      <w:r w:rsidR="00372FD3">
        <w:t>will be available for some EITE facilities</w:t>
      </w:r>
      <w:r w:rsidR="00614EA3">
        <w:t>.</w:t>
      </w:r>
    </w:p>
    <w:p w14:paraId="34082408" w14:textId="77777777" w:rsidR="00DF0D9C" w:rsidRDefault="001273BC" w:rsidP="002D6512">
      <w:pPr>
        <w:keepLines/>
      </w:pPr>
      <w:r>
        <w:t>Under a production-adjusted baseline framework, with a uniform decline rate, inter</w:t>
      </w:r>
      <w:r w:rsidR="004D02B0">
        <w:t>-</w:t>
      </w:r>
      <w:r>
        <w:t>annual variations in production will mean that baselines will not follow a straight line path to the 2030 point target. The presence of the reserve, which will include a portion for higher</w:t>
      </w:r>
      <w:r w:rsidR="00C543F8">
        <w:t>-</w:t>
      </w:r>
      <w:r>
        <w:t>than</w:t>
      </w:r>
      <w:r w:rsidR="00C543F8">
        <w:t>-</w:t>
      </w:r>
      <w:r>
        <w:t xml:space="preserve">expected production growth, is designed to mitigate against </w:t>
      </w:r>
      <w:r w:rsidR="00C543F8">
        <w:t xml:space="preserve">the risk of subsequent </w:t>
      </w:r>
      <w:r w:rsidR="008512DD">
        <w:t xml:space="preserve">adjustments to the decline trajectory. However, depending on whether new facilities commence as planned, as well as actual production levels from facilities, it may be necessary to adjust the decline rates for the end of the </w:t>
      </w:r>
      <w:r w:rsidR="00DF0D9C">
        <w:t>target</w:t>
      </w:r>
      <w:r w:rsidR="008512DD">
        <w:t xml:space="preserve"> period; 2028-29 and 2029-30.</w:t>
      </w:r>
      <w:r w:rsidR="00B5676C">
        <w:t xml:space="preserve"> In considering whether any adjustment is appropriate, t</w:t>
      </w:r>
      <w:r w:rsidR="008512DD">
        <w:t xml:space="preserve">he Government would take advice from the Climate Change Authority </w:t>
      </w:r>
      <w:r w:rsidR="00DF0D9C">
        <w:t>duri</w:t>
      </w:r>
      <w:r w:rsidR="00AE572A">
        <w:t>ng 2026-27—</w:t>
      </w:r>
      <w:r w:rsidR="008512DD">
        <w:t>including as presented in the</w:t>
      </w:r>
      <w:r w:rsidR="005968CE">
        <w:t xml:space="preserve"> latest </w:t>
      </w:r>
      <w:r w:rsidR="008512DD">
        <w:t xml:space="preserve">Annual Climate </w:t>
      </w:r>
      <w:r w:rsidR="00AE572A">
        <w:t>Change Statement to Parliament—</w:t>
      </w:r>
      <w:r w:rsidR="005968CE">
        <w:t xml:space="preserve">to enable consultation and provide sufficient notice. </w:t>
      </w:r>
    </w:p>
    <w:p w14:paraId="375B05D9" w14:textId="7A7408FA" w:rsidR="002F4038" w:rsidRDefault="00233557" w:rsidP="002D6512">
      <w:pPr>
        <w:keepLines/>
      </w:pPr>
      <w:r>
        <w:t xml:space="preserve">Post-2030 decline rates </w:t>
      </w:r>
      <w:r w:rsidR="00995F34">
        <w:t>will</w:t>
      </w:r>
      <w:r>
        <w:t xml:space="preserve"> be </w:t>
      </w:r>
      <w:r w:rsidR="00D66526">
        <w:t xml:space="preserve">set in </w:t>
      </w:r>
      <w:r w:rsidR="00F30DBD">
        <w:t>five-</w:t>
      </w:r>
      <w:r w:rsidR="00D66526">
        <w:t>year blocks,</w:t>
      </w:r>
      <w:r>
        <w:t xml:space="preserve"> </w:t>
      </w:r>
      <w:r w:rsidR="00D66526">
        <w:t xml:space="preserve">with the process for setting them aligned </w:t>
      </w:r>
      <w:r>
        <w:t>with updat</w:t>
      </w:r>
      <w:r w:rsidR="00D66526">
        <w:t>es to</w:t>
      </w:r>
      <w:r>
        <w:t xml:space="preserve"> Australia’s Nationally Determined Contribution</w:t>
      </w:r>
      <w:r w:rsidR="00D66526">
        <w:t xml:space="preserve"> (NDC)</w:t>
      </w:r>
      <w:r>
        <w:t xml:space="preserve"> under the Paris Agreement</w:t>
      </w:r>
      <w:r w:rsidR="0026444C">
        <w:t xml:space="preserve"> and Australia’s commitment to net zero by 2050</w:t>
      </w:r>
      <w:r>
        <w:t xml:space="preserve">. </w:t>
      </w:r>
      <w:r w:rsidR="00D66526">
        <w:t>For example,</w:t>
      </w:r>
      <w:r>
        <w:t xml:space="preserve"> decline rates for 203</w:t>
      </w:r>
      <w:r w:rsidR="00B5676C">
        <w:t>1</w:t>
      </w:r>
      <w:r>
        <w:t xml:space="preserve"> to 2035 </w:t>
      </w:r>
      <w:r w:rsidR="00995F34">
        <w:t>would</w:t>
      </w:r>
      <w:r>
        <w:t xml:space="preserve"> be </w:t>
      </w:r>
      <w:r w:rsidR="00995F34">
        <w:t xml:space="preserve">consulted </w:t>
      </w:r>
      <w:r>
        <w:t xml:space="preserve">on </w:t>
      </w:r>
      <w:r w:rsidR="00B5676C">
        <w:t>during</w:t>
      </w:r>
      <w:r w:rsidR="00D66526">
        <w:t xml:space="preserve"> 202</w:t>
      </w:r>
      <w:r w:rsidR="00B5676C">
        <w:t>6-2</w:t>
      </w:r>
      <w:r w:rsidR="00583B0F">
        <w:t>7</w:t>
      </w:r>
      <w:r w:rsidR="00D66526">
        <w:t xml:space="preserve"> following Australia’s </w:t>
      </w:r>
      <w:r w:rsidR="00666F54">
        <w:t xml:space="preserve">required </w:t>
      </w:r>
      <w:r w:rsidR="00D66526">
        <w:t>NDC update in 2025</w:t>
      </w:r>
      <w:r>
        <w:t>.</w:t>
      </w:r>
      <w:r w:rsidR="00AE572A">
        <w:t xml:space="preserve"> This process to set the next 5 </w:t>
      </w:r>
      <w:r w:rsidR="00ED4E01">
        <w:t xml:space="preserve">years of decline rates and monitor progress of the current target period would be repeated through 5 yearly baseline </w:t>
      </w:r>
      <w:r w:rsidR="00995F34">
        <w:t xml:space="preserve">setting </w:t>
      </w:r>
      <w:r w:rsidR="00ED4E01">
        <w:t>reviews.</w:t>
      </w:r>
    </w:p>
    <w:tbl>
      <w:tblPr>
        <w:tblStyle w:val="TableGrid"/>
        <w:tblW w:w="9246" w:type="dxa"/>
        <w:tblLook w:val="04A0" w:firstRow="1" w:lastRow="0" w:firstColumn="1" w:lastColumn="0" w:noHBand="0" w:noVBand="1"/>
      </w:tblPr>
      <w:tblGrid>
        <w:gridCol w:w="9246"/>
      </w:tblGrid>
      <w:tr w:rsidR="00583B0F" w14:paraId="3522E2EE" w14:textId="77777777" w:rsidTr="009852D3">
        <w:trPr>
          <w:trHeight w:val="3352"/>
        </w:trPr>
        <w:tc>
          <w:tcPr>
            <w:tcW w:w="9246" w:type="dxa"/>
            <w:shd w:val="clear" w:color="auto" w:fill="D9E2F3" w:themeFill="accent1" w:themeFillTint="33"/>
          </w:tcPr>
          <w:p w14:paraId="39FC1F7D" w14:textId="77777777" w:rsidR="00583B0F" w:rsidRPr="00583B0F" w:rsidRDefault="00583B0F" w:rsidP="002D6512">
            <w:pPr>
              <w:keepLines/>
              <w:rPr>
                <w:b/>
              </w:rPr>
            </w:pPr>
            <w:r w:rsidRPr="00583B0F">
              <w:rPr>
                <w:b/>
              </w:rPr>
              <w:t>Box 6.1: Reserve</w:t>
            </w:r>
            <w:r w:rsidR="00ED4E01">
              <w:rPr>
                <w:b/>
              </w:rPr>
              <w:t xml:space="preserve"> and baseline </w:t>
            </w:r>
            <w:r w:rsidR="00860BB4">
              <w:rPr>
                <w:b/>
              </w:rPr>
              <w:t xml:space="preserve">setting </w:t>
            </w:r>
            <w:r w:rsidR="00ED4E01">
              <w:rPr>
                <w:b/>
              </w:rPr>
              <w:t>review</w:t>
            </w:r>
          </w:p>
          <w:p w14:paraId="1850C718" w14:textId="77777777" w:rsidR="00B5676C" w:rsidRPr="00583B0F" w:rsidRDefault="00B5676C" w:rsidP="002D6512">
            <w:pPr>
              <w:keepLines/>
              <w:rPr>
                <w:b/>
              </w:rPr>
            </w:pPr>
          </w:p>
          <w:p w14:paraId="6DF29E89" w14:textId="77777777" w:rsidR="00583B0F" w:rsidRDefault="00583B0F" w:rsidP="00583B0F">
            <w:pPr>
              <w:keepLines/>
            </w:pPr>
            <w:r>
              <w:t xml:space="preserve">A manageable portion of the Safeguard </w:t>
            </w:r>
            <w:r w:rsidR="00AE572A">
              <w:t xml:space="preserve">Mechanism </w:t>
            </w:r>
            <w:r>
              <w:t xml:space="preserve">emissions budget will be kept in reserve to manage uncertainty in projected production levels, </w:t>
            </w:r>
            <w:r w:rsidR="00C543F8">
              <w:t xml:space="preserve">and </w:t>
            </w:r>
            <w:r>
              <w:t xml:space="preserve">expectations of new facilities (commencement time, emissions and output). A portion of the reserve will </w:t>
            </w:r>
            <w:r w:rsidR="00B5676C">
              <w:t>be based on</w:t>
            </w:r>
            <w:r>
              <w:t xml:space="preserve"> </w:t>
            </w:r>
            <w:r w:rsidR="00772A98">
              <w:t>Trade Exposed Baseline Adjusted</w:t>
            </w:r>
            <w:r w:rsidR="00FF0EBD">
              <w:t xml:space="preserve"> facilitie</w:t>
            </w:r>
            <w:r>
              <w:t xml:space="preserve">s </w:t>
            </w:r>
            <w:r w:rsidR="00B5676C">
              <w:t>accessing</w:t>
            </w:r>
            <w:r>
              <w:t xml:space="preserve"> a </w:t>
            </w:r>
            <w:r w:rsidR="00AE572A">
              <w:t>concessional</w:t>
            </w:r>
            <w:r>
              <w:t xml:space="preserve"> decline rate.</w:t>
            </w:r>
          </w:p>
          <w:p w14:paraId="0FB8DE2A" w14:textId="77777777" w:rsidR="00B5676C" w:rsidRDefault="00B5676C" w:rsidP="00ED4E01">
            <w:pPr>
              <w:keepLines/>
            </w:pPr>
          </w:p>
          <w:p w14:paraId="422FB66B" w14:textId="508946AC" w:rsidR="00ED4E01" w:rsidRDefault="00ED4E01" w:rsidP="00ED4E01">
            <w:pPr>
              <w:keepLines/>
            </w:pPr>
            <w:r>
              <w:t xml:space="preserve">The </w:t>
            </w:r>
            <w:r w:rsidR="00F30DBD">
              <w:t>five-</w:t>
            </w:r>
            <w:r>
              <w:t xml:space="preserve">yearly baseline </w:t>
            </w:r>
            <w:r w:rsidR="00B5676C">
              <w:t xml:space="preserve">setting and </w:t>
            </w:r>
            <w:r>
              <w:t xml:space="preserve">review process will balance making baseline decline rates on the latest available information with providing certainty to facilities and the market. </w:t>
            </w:r>
          </w:p>
          <w:p w14:paraId="3B75F373" w14:textId="77777777" w:rsidR="00B5676C" w:rsidRDefault="009852D3" w:rsidP="006D29F5">
            <w:pPr>
              <w:pStyle w:val="Caption"/>
              <w:rPr>
                <w:rStyle w:val="IntenseEmphasis"/>
                <w:i/>
                <w:color w:val="408479"/>
              </w:rPr>
            </w:pPr>
            <w:r>
              <w:rPr>
                <w:rStyle w:val="IntenseEmphasis"/>
                <w:i/>
                <w:color w:val="408479"/>
              </w:rPr>
              <w:lastRenderedPageBreak/>
              <w:t xml:space="preserve">Figure </w:t>
            </w:r>
            <w:r w:rsidR="004D02B0">
              <w:rPr>
                <w:rStyle w:val="IntenseEmphasis"/>
                <w:i/>
                <w:color w:val="408479"/>
              </w:rPr>
              <w:t>6.1</w:t>
            </w:r>
            <w:r>
              <w:rPr>
                <w:rStyle w:val="IntenseEmphasis"/>
                <w:i/>
                <w:color w:val="408479"/>
              </w:rPr>
              <w:t>. Illustrative</w:t>
            </w:r>
            <w:r w:rsidRPr="009852D3">
              <w:rPr>
                <w:rStyle w:val="IntenseEmphasis"/>
                <w:i/>
                <w:color w:val="408479"/>
              </w:rPr>
              <w:t xml:space="preserve"> </w:t>
            </w:r>
            <w:r>
              <w:rPr>
                <w:rStyle w:val="IntenseEmphasis"/>
                <w:i/>
                <w:color w:val="408479"/>
              </w:rPr>
              <w:t>reserve of Safeguard emissions budget</w:t>
            </w:r>
          </w:p>
          <w:p w14:paraId="37094EAE" w14:textId="77777777" w:rsidR="00D91530" w:rsidRPr="006E4F3D" w:rsidRDefault="009C1049" w:rsidP="006E4F3D">
            <w:pPr>
              <w:rPr>
                <w:lang w:eastAsia="en-AU"/>
              </w:rPr>
            </w:pPr>
            <w:r>
              <w:rPr>
                <w:noProof/>
                <w:lang w:eastAsia="en-AU"/>
              </w:rPr>
              <w:t xml:space="preserve"> </w:t>
            </w:r>
            <w:r>
              <w:rPr>
                <w:noProof/>
                <w:lang w:eastAsia="en-AU"/>
              </w:rPr>
              <w:drawing>
                <wp:inline distT="0" distB="0" distL="0" distR="0" wp14:anchorId="16B81094" wp14:editId="2E60B06B">
                  <wp:extent cx="5038652" cy="35141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048661" cy="3521086"/>
                          </a:xfrm>
                          <a:prstGeom prst="rect">
                            <a:avLst/>
                          </a:prstGeom>
                        </pic:spPr>
                      </pic:pic>
                    </a:graphicData>
                  </a:graphic>
                </wp:inline>
              </w:drawing>
            </w:r>
          </w:p>
          <w:p w14:paraId="7B1C431F" w14:textId="77777777" w:rsidR="00B5676C" w:rsidRDefault="00B5676C" w:rsidP="00ED4E01">
            <w:pPr>
              <w:keepLines/>
            </w:pPr>
          </w:p>
          <w:p w14:paraId="0647FB45" w14:textId="77777777" w:rsidR="009852D3" w:rsidRPr="006C7B38" w:rsidRDefault="009852D3" w:rsidP="009852D3">
            <w:pPr>
              <w:pStyle w:val="Caption"/>
              <w:rPr>
                <w:rStyle w:val="IntenseEmphasis"/>
                <w:i/>
                <w:color w:val="4472C4" w:themeColor="accent1"/>
              </w:rPr>
            </w:pPr>
            <w:r w:rsidRPr="006C7B38">
              <w:rPr>
                <w:rStyle w:val="IntenseEmphasis"/>
                <w:i/>
                <w:color w:val="4472C4" w:themeColor="accent1"/>
              </w:rPr>
              <w:t xml:space="preserve">Figure </w:t>
            </w:r>
            <w:r w:rsidR="006C7B38" w:rsidRPr="006C7B38">
              <w:rPr>
                <w:rStyle w:val="IntenseEmphasis"/>
                <w:i/>
                <w:color w:val="4472C4" w:themeColor="accent1"/>
              </w:rPr>
              <w:t>6.</w:t>
            </w:r>
            <w:r w:rsidR="00E06434">
              <w:rPr>
                <w:rStyle w:val="IntenseEmphasis"/>
                <w:i/>
                <w:color w:val="4472C4" w:themeColor="accent1"/>
              </w:rPr>
              <w:t>2</w:t>
            </w:r>
            <w:r w:rsidRPr="006C7B38">
              <w:rPr>
                <w:rStyle w:val="IntenseEmphasis"/>
                <w:i/>
                <w:color w:val="4472C4" w:themeColor="accent1"/>
              </w:rPr>
              <w:t xml:space="preserve"> Indicative baseline setting and review timeline</w:t>
            </w:r>
          </w:p>
          <w:p w14:paraId="127F350D" w14:textId="77777777" w:rsidR="00ED4E01" w:rsidRDefault="00933603" w:rsidP="00ED4E01">
            <w:pPr>
              <w:keepLines/>
            </w:pPr>
            <w:r w:rsidRPr="00933603">
              <w:rPr>
                <w:noProof/>
                <w:lang w:eastAsia="en-AU"/>
              </w:rPr>
              <w:t xml:space="preserve"> </w:t>
            </w:r>
            <w:r w:rsidRPr="00933603">
              <w:rPr>
                <w:noProof/>
                <w:lang w:eastAsia="en-AU"/>
              </w:rPr>
              <w:drawing>
                <wp:inline distT="0" distB="0" distL="0" distR="0" wp14:anchorId="4E5CCA9E" wp14:editId="58D5EFC1">
                  <wp:extent cx="5731510" cy="1825625"/>
                  <wp:effectExtent l="0" t="0" r="254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8"/>
                          <a:stretch>
                            <a:fillRect/>
                          </a:stretch>
                        </pic:blipFill>
                        <pic:spPr>
                          <a:xfrm>
                            <a:off x="0" y="0"/>
                            <a:ext cx="5731510" cy="1825625"/>
                          </a:xfrm>
                          <a:prstGeom prst="rect">
                            <a:avLst/>
                          </a:prstGeom>
                        </pic:spPr>
                      </pic:pic>
                    </a:graphicData>
                  </a:graphic>
                </wp:inline>
              </w:drawing>
            </w:r>
          </w:p>
        </w:tc>
      </w:tr>
    </w:tbl>
    <w:p w14:paraId="16688893" w14:textId="77777777" w:rsidR="00583B0F" w:rsidRDefault="00583B0F" w:rsidP="002D6512">
      <w:pPr>
        <w:keepLines/>
      </w:pPr>
    </w:p>
    <w:p w14:paraId="434C2726" w14:textId="1AD68463" w:rsidR="002C0C79" w:rsidRDefault="00F75A3D" w:rsidP="00AD474D">
      <w:pPr>
        <w:pStyle w:val="Calloutbox"/>
      </w:pPr>
      <w:r>
        <w:t>In general, a</w:t>
      </w:r>
      <w:r w:rsidR="00674C5E">
        <w:t xml:space="preserve"> uniform, </w:t>
      </w:r>
      <w:r w:rsidR="003A251F">
        <w:t>4.9</w:t>
      </w:r>
      <w:r w:rsidR="00674C5E">
        <w:t> </w:t>
      </w:r>
      <w:r w:rsidR="00FB3916">
        <w:t>per cent</w:t>
      </w:r>
      <w:r w:rsidR="00674C5E">
        <w:t xml:space="preserve"> decline rate</w:t>
      </w:r>
      <w:r w:rsidR="00267759">
        <w:t xml:space="preserve"> would</w:t>
      </w:r>
      <w:r w:rsidR="00634997">
        <w:t xml:space="preserve"> </w:t>
      </w:r>
      <w:r>
        <w:t>apply</w:t>
      </w:r>
      <w:r w:rsidR="00674C5E">
        <w:t xml:space="preserve"> to </w:t>
      </w:r>
      <w:r w:rsidR="003F0781">
        <w:t xml:space="preserve">Safeguard </w:t>
      </w:r>
      <w:r w:rsidR="00674C5E">
        <w:t xml:space="preserve">Mechanism </w:t>
      </w:r>
      <w:r>
        <w:t>baselines</w:t>
      </w:r>
      <w:r w:rsidR="00674C5E">
        <w:t xml:space="preserve"> each year to 2029-30.</w:t>
      </w:r>
      <w:r w:rsidR="002811C3">
        <w:t xml:space="preserve"> </w:t>
      </w:r>
      <w:r w:rsidR="00674C5E">
        <w:t>This deliver</w:t>
      </w:r>
      <w:r w:rsidR="00C06ACE">
        <w:t>s</w:t>
      </w:r>
      <w:r w:rsidR="00674C5E">
        <w:t xml:space="preserve"> </w:t>
      </w:r>
      <w:r w:rsidR="00B0644C">
        <w:t xml:space="preserve">an estimated </w:t>
      </w:r>
      <w:r w:rsidR="00BE7B10">
        <w:t>2</w:t>
      </w:r>
      <w:r w:rsidR="00B62581">
        <w:t>0</w:t>
      </w:r>
      <w:r w:rsidR="003C2E01">
        <w:t>5</w:t>
      </w:r>
      <w:r w:rsidR="00674C5E">
        <w:t> million tonnes of abatement and</w:t>
      </w:r>
      <w:r w:rsidR="002771BD">
        <w:t xml:space="preserve"> </w:t>
      </w:r>
      <w:r w:rsidR="00C06ACE">
        <w:t xml:space="preserve">is calibrated to meet </w:t>
      </w:r>
      <w:r w:rsidR="002771BD">
        <w:t>the 1,23</w:t>
      </w:r>
      <w:r w:rsidR="00EA5063">
        <w:t>3</w:t>
      </w:r>
      <w:r w:rsidR="002771BD">
        <w:t xml:space="preserve"> Mt </w:t>
      </w:r>
      <w:r w:rsidR="002771BD" w:rsidRPr="00B83BF6">
        <w:t>CO</w:t>
      </w:r>
      <w:r w:rsidR="002771BD" w:rsidRPr="008F3CCA">
        <w:rPr>
          <w:vertAlign w:val="subscript"/>
        </w:rPr>
        <w:t>2</w:t>
      </w:r>
      <w:r w:rsidR="002771BD" w:rsidRPr="00B83BF6">
        <w:noBreakHyphen/>
        <w:t>e</w:t>
      </w:r>
      <w:r w:rsidR="002771BD">
        <w:t xml:space="preserve"> emissions budget and 100 Mt </w:t>
      </w:r>
      <w:r w:rsidR="002771BD" w:rsidRPr="00B83BF6">
        <w:t>CO</w:t>
      </w:r>
      <w:r w:rsidR="002771BD" w:rsidRPr="008F3CCA">
        <w:rPr>
          <w:vertAlign w:val="subscript"/>
        </w:rPr>
        <w:t>2</w:t>
      </w:r>
      <w:r w:rsidR="002771BD" w:rsidRPr="00B83BF6">
        <w:noBreakHyphen/>
        <w:t>e</w:t>
      </w:r>
      <w:r w:rsidR="002771BD">
        <w:t xml:space="preserve"> 2030 point target.</w:t>
      </w:r>
    </w:p>
    <w:p w14:paraId="5B86BC0A" w14:textId="12D9D800" w:rsidR="00674C5E" w:rsidRDefault="00674C5E" w:rsidP="00674C5E">
      <w:pPr>
        <w:pStyle w:val="Calloutbox"/>
      </w:pPr>
      <w:r>
        <w:t>Decline rates for 203</w:t>
      </w:r>
      <w:r w:rsidR="00C06ACE">
        <w:t>0-3</w:t>
      </w:r>
      <w:r w:rsidR="00B5676C">
        <w:t>1</w:t>
      </w:r>
      <w:r>
        <w:t xml:space="preserve"> to 203</w:t>
      </w:r>
      <w:r w:rsidR="00C06ACE">
        <w:t>4-3</w:t>
      </w:r>
      <w:r>
        <w:t xml:space="preserve">5 </w:t>
      </w:r>
      <w:r w:rsidR="007935D3">
        <w:t xml:space="preserve">would </w:t>
      </w:r>
      <w:r>
        <w:t xml:space="preserve">be </w:t>
      </w:r>
      <w:r w:rsidR="00C06ACE">
        <w:t xml:space="preserve">the subject of </w:t>
      </w:r>
      <w:r>
        <w:t>consult</w:t>
      </w:r>
      <w:r w:rsidR="00C06ACE">
        <w:t>ation</w:t>
      </w:r>
      <w:r>
        <w:t xml:space="preserve"> in 202</w:t>
      </w:r>
      <w:r w:rsidR="00B5676C">
        <w:t>6-2</w:t>
      </w:r>
      <w:r w:rsidR="00583B0F">
        <w:t>7</w:t>
      </w:r>
      <w:r>
        <w:t xml:space="preserve"> following </w:t>
      </w:r>
      <w:r w:rsidR="00C06ACE">
        <w:t xml:space="preserve">Australia’s required NDC </w:t>
      </w:r>
      <w:r w:rsidR="001F42ED">
        <w:t xml:space="preserve">update </w:t>
      </w:r>
      <w:r>
        <w:t>in 2025</w:t>
      </w:r>
      <w:r w:rsidR="00C06ACE">
        <w:t>, and made by 1 July 2027</w:t>
      </w:r>
      <w:r>
        <w:t xml:space="preserve">. </w:t>
      </w:r>
    </w:p>
    <w:p w14:paraId="5AE8A04D" w14:textId="77777777" w:rsidR="00055183" w:rsidRDefault="00055183" w:rsidP="00055183">
      <w:pPr>
        <w:pStyle w:val="Heading1"/>
      </w:pPr>
      <w:bookmarkStart w:id="1089" w:name="_Toc119500924"/>
      <w:bookmarkStart w:id="1090" w:name="_Toc119572379"/>
      <w:bookmarkStart w:id="1091" w:name="_Toc120098974"/>
      <w:bookmarkStart w:id="1092" w:name="_Toc122514454"/>
      <w:bookmarkStart w:id="1093" w:name="_Toc124100704"/>
      <w:bookmarkStart w:id="1094" w:name="_Toc117868008"/>
      <w:bookmarkStart w:id="1095" w:name="_Toc117888023"/>
      <w:bookmarkStart w:id="1096" w:name="_Toc117951467"/>
      <w:bookmarkStart w:id="1097" w:name="_Toc117960114"/>
      <w:bookmarkStart w:id="1098" w:name="_Toc118040376"/>
      <w:bookmarkStart w:id="1099" w:name="_Toc118196228"/>
      <w:bookmarkStart w:id="1100" w:name="_Toc118198397"/>
      <w:bookmarkStart w:id="1101" w:name="_Toc118198812"/>
      <w:bookmarkStart w:id="1102" w:name="_Toc118199003"/>
      <w:bookmarkStart w:id="1103" w:name="_Toc118199557"/>
      <w:bookmarkStart w:id="1104" w:name="_Toc118304129"/>
      <w:bookmarkStart w:id="1105" w:name="_Toc118304160"/>
      <w:bookmarkStart w:id="1106" w:name="_Toc118306362"/>
      <w:bookmarkStart w:id="1107" w:name="_Toc118308354"/>
      <w:bookmarkStart w:id="1108" w:name="_Toc50062337"/>
      <w:bookmarkStart w:id="1109" w:name="_Toc49855055"/>
      <w:bookmarkStart w:id="1110" w:name="_Toc49855082"/>
      <w:bookmarkStart w:id="1111" w:name="_Toc47966972"/>
      <w:bookmarkStart w:id="1112" w:name="_Toc19289801"/>
      <w:bookmarkStart w:id="1113" w:name="_Toc49184891"/>
      <w:bookmarkStart w:id="1114" w:name="_Toc49374438"/>
      <w:bookmarkStart w:id="1115" w:name="_Toc49893662"/>
      <w:bookmarkStart w:id="1116" w:name="_Toc50549864"/>
      <w:r>
        <w:t>Strengthening enforcement</w:t>
      </w:r>
      <w:bookmarkEnd w:id="1089"/>
      <w:bookmarkEnd w:id="1090"/>
      <w:bookmarkEnd w:id="1091"/>
      <w:bookmarkEnd w:id="1092"/>
      <w:bookmarkEnd w:id="1093"/>
    </w:p>
    <w:p w14:paraId="295A8D8E" w14:textId="77777777" w:rsidR="00055183" w:rsidRDefault="00055183" w:rsidP="00055183">
      <w:pPr>
        <w:pStyle w:val="Heading2"/>
      </w:pPr>
      <w:bookmarkStart w:id="1117" w:name="_Toc119500925"/>
      <w:bookmarkStart w:id="1118" w:name="_Toc119572380"/>
      <w:bookmarkStart w:id="1119" w:name="_Toc120098975"/>
      <w:bookmarkStart w:id="1120" w:name="_Toc122514455"/>
      <w:bookmarkStart w:id="1121" w:name="_Toc124100705"/>
      <w:r>
        <w:t>Civil penalty</w:t>
      </w:r>
      <w:bookmarkEnd w:id="1117"/>
      <w:bookmarkEnd w:id="1118"/>
      <w:bookmarkEnd w:id="1119"/>
      <w:bookmarkEnd w:id="1120"/>
      <w:bookmarkEnd w:id="1121"/>
      <w:r>
        <w:t xml:space="preserve"> </w:t>
      </w:r>
    </w:p>
    <w:p w14:paraId="11F5436D" w14:textId="77777777" w:rsidR="00055183" w:rsidRPr="00550030" w:rsidRDefault="00055183" w:rsidP="00055183">
      <w:pPr>
        <w:rPr>
          <w:lang w:val="en-GB"/>
        </w:rPr>
      </w:pPr>
      <w:r>
        <w:rPr>
          <w:lang w:val="en-GB"/>
        </w:rPr>
        <w:t xml:space="preserve">The Safeguard Mechanism currently includes a range of enforcement measures, including enforceable undertakings, infringement notices, a court injunction or a civil penalty. The CER can </w:t>
      </w:r>
      <w:r>
        <w:rPr>
          <w:lang w:val="en-GB"/>
        </w:rPr>
        <w:lastRenderedPageBreak/>
        <w:t xml:space="preserve">access these tools as appropriate, taking account of individual circumstances, such as whether the non-compliant facility is demonstrating good faith. </w:t>
      </w:r>
      <w:r>
        <w:t>The Government has considered updating enforcement provisions—particularly in relation to civil penalty amounts—to strengthen enforcement arrangements and ensure penalties are sufficient to deter non-compliance.</w:t>
      </w:r>
    </w:p>
    <w:p w14:paraId="092860FA" w14:textId="77777777" w:rsidR="00055183" w:rsidRDefault="00055183" w:rsidP="00055183">
      <w:pPr>
        <w:rPr>
          <w:lang w:val="en-GB"/>
        </w:rPr>
      </w:pPr>
      <w:r w:rsidRPr="002D4C19">
        <w:rPr>
          <w:lang w:val="en-GB"/>
        </w:rPr>
        <w:t>Currently, the civil penalty for an excess emissions situation is based on the number of days of non-compliance</w:t>
      </w:r>
      <w:r>
        <w:rPr>
          <w:lang w:val="en-GB"/>
        </w:rPr>
        <w:t>,</w:t>
      </w:r>
      <w:r w:rsidRPr="002D4C19">
        <w:rPr>
          <w:lang w:val="en-GB"/>
        </w:rPr>
        <w:t xml:space="preserve"> rather than the scale of </w:t>
      </w:r>
      <w:r>
        <w:rPr>
          <w:lang w:val="en-GB"/>
        </w:rPr>
        <w:t>exceedance</w:t>
      </w:r>
      <w:r w:rsidRPr="002D4C19">
        <w:rPr>
          <w:lang w:val="en-GB"/>
        </w:rPr>
        <w:t xml:space="preserve">. </w:t>
      </w:r>
      <w:r>
        <w:rPr>
          <w:lang w:val="en-GB"/>
        </w:rPr>
        <w:t>This means</w:t>
      </w:r>
      <w:r w:rsidRPr="002D4C19">
        <w:rPr>
          <w:lang w:val="en-GB"/>
        </w:rPr>
        <w:t xml:space="preserve"> that 1 tonne of excess emissions could be judged an equal offence to 100,000 tonnes of excess emissions. </w:t>
      </w:r>
    </w:p>
    <w:p w14:paraId="6D1D0905" w14:textId="77777777" w:rsidR="00055183" w:rsidRDefault="00055183" w:rsidP="00055183">
      <w:pPr>
        <w:rPr>
          <w:lang w:val="en-GB"/>
        </w:rPr>
      </w:pPr>
      <w:r>
        <w:rPr>
          <w:lang w:val="en-GB"/>
        </w:rPr>
        <w:t>The</w:t>
      </w:r>
      <w:r w:rsidRPr="002D4C19">
        <w:rPr>
          <w:lang w:val="en-GB"/>
        </w:rPr>
        <w:t xml:space="preserve"> Government </w:t>
      </w:r>
      <w:r>
        <w:rPr>
          <w:lang w:val="en-GB"/>
        </w:rPr>
        <w:t>proposes to update</w:t>
      </w:r>
      <w:r w:rsidRPr="002D4C19">
        <w:rPr>
          <w:lang w:val="en-GB"/>
        </w:rPr>
        <w:t xml:space="preserve"> the civil penalty </w:t>
      </w:r>
      <w:r>
        <w:rPr>
          <w:lang w:val="en-GB"/>
        </w:rPr>
        <w:t xml:space="preserve">to base it on both the quantity of excess emissions </w:t>
      </w:r>
      <w:r w:rsidRPr="005C42EA">
        <w:rPr>
          <w:i/>
          <w:lang w:val="en-GB"/>
        </w:rPr>
        <w:t>and</w:t>
      </w:r>
      <w:r>
        <w:rPr>
          <w:lang w:val="en-GB"/>
        </w:rPr>
        <w:t xml:space="preserve"> the number of days of non-compliance. This better reflects the environmental impact of the excess emissions situation</w:t>
      </w:r>
      <w:r w:rsidRPr="002D4C19">
        <w:rPr>
          <w:lang w:val="en-GB"/>
        </w:rPr>
        <w:t>.</w:t>
      </w:r>
      <w:r>
        <w:rPr>
          <w:lang w:val="en-GB"/>
        </w:rPr>
        <w:t xml:space="preserve"> The maximum civil penalty will be set at 1 penalty unit per tonne of excess emissions per year (see Box 7.1). </w:t>
      </w:r>
      <w:r w:rsidR="00A46206" w:rsidRPr="00A46206">
        <w:rPr>
          <w:lang w:val="en-GB"/>
        </w:rPr>
        <w:t>From 1 January 2023, a penalty unit will be set at $275</w:t>
      </w:r>
      <w:r w:rsidRPr="002D4C19">
        <w:rPr>
          <w:lang w:val="en-GB"/>
        </w:rPr>
        <w:t>.</w:t>
      </w:r>
    </w:p>
    <w:p w14:paraId="0DEFF97C" w14:textId="77777777" w:rsidR="00055183" w:rsidRPr="002E78E9" w:rsidRDefault="00055183" w:rsidP="00055183">
      <w:pPr>
        <w:pBdr>
          <w:top w:val="single" w:sz="4" w:space="1" w:color="auto"/>
          <w:left w:val="single" w:sz="4" w:space="4" w:color="auto"/>
          <w:bottom w:val="single" w:sz="4" w:space="1" w:color="auto"/>
          <w:right w:val="single" w:sz="4" w:space="4" w:color="auto"/>
        </w:pBdr>
        <w:shd w:val="clear" w:color="auto" w:fill="DEEAF6" w:themeFill="accent5" w:themeFillTint="33"/>
        <w:rPr>
          <w:b/>
        </w:rPr>
      </w:pPr>
      <w:r w:rsidRPr="002E78E9">
        <w:rPr>
          <w:b/>
        </w:rPr>
        <w:t xml:space="preserve">Box 7.1: </w:t>
      </w:r>
      <w:r>
        <w:rPr>
          <w:b/>
        </w:rPr>
        <w:t>Enforcement p</w:t>
      </w:r>
      <w:r w:rsidRPr="002E78E9">
        <w:rPr>
          <w:b/>
        </w:rPr>
        <w:t>enalty</w:t>
      </w:r>
      <w:r>
        <w:rPr>
          <w:b/>
        </w:rPr>
        <w:t xml:space="preserve"> formula</w:t>
      </w:r>
    </w:p>
    <w:p w14:paraId="4A42B67B" w14:textId="77777777" w:rsidR="00055183" w:rsidRPr="002F30B4" w:rsidRDefault="00055183" w:rsidP="00055183">
      <w:pPr>
        <w:pBdr>
          <w:top w:val="single" w:sz="4" w:space="1" w:color="auto"/>
          <w:left w:val="single" w:sz="4" w:space="4" w:color="auto"/>
          <w:bottom w:val="single" w:sz="4" w:space="1" w:color="auto"/>
          <w:right w:val="single" w:sz="4" w:space="4" w:color="auto"/>
        </w:pBdr>
        <w:shd w:val="clear" w:color="auto" w:fill="DEEAF6" w:themeFill="accent5" w:themeFillTint="33"/>
        <w:jc w:val="center"/>
      </w:pPr>
      <w:r w:rsidRPr="002F30B4">
        <w:t xml:space="preserve">Penalty = 1 penalty unit </w:t>
      </w:r>
      <w:r w:rsidRPr="002F30B4">
        <w:rPr>
          <w:i/>
        </w:rPr>
        <w:t>times</w:t>
      </w:r>
      <w:r w:rsidRPr="002F30B4">
        <w:t xml:space="preserve"> tonnes of excess emissions </w:t>
      </w:r>
    </w:p>
    <w:p w14:paraId="7C5F5B81" w14:textId="77777777" w:rsidR="00055183" w:rsidRDefault="00055183" w:rsidP="00055183">
      <w:pPr>
        <w:pBdr>
          <w:top w:val="single" w:sz="4" w:space="1" w:color="auto"/>
          <w:left w:val="single" w:sz="4" w:space="4" w:color="auto"/>
          <w:bottom w:val="single" w:sz="4" w:space="1" w:color="auto"/>
          <w:right w:val="single" w:sz="4" w:space="4" w:color="auto"/>
        </w:pBdr>
        <w:shd w:val="clear" w:color="auto" w:fill="DEEAF6" w:themeFill="accent5" w:themeFillTint="33"/>
        <w:tabs>
          <w:tab w:val="left" w:pos="709"/>
        </w:tabs>
        <w:spacing w:after="100"/>
        <w:ind w:left="709" w:hanging="709"/>
        <w:rPr>
          <w:sz w:val="20"/>
          <w:szCs w:val="20"/>
        </w:rPr>
      </w:pPr>
      <w:r w:rsidRPr="00802DB7">
        <w:rPr>
          <w:sz w:val="20"/>
          <w:szCs w:val="20"/>
        </w:rPr>
        <w:t xml:space="preserve">Where: </w:t>
      </w:r>
      <w:r>
        <w:rPr>
          <w:sz w:val="20"/>
          <w:szCs w:val="20"/>
        </w:rPr>
        <w:tab/>
      </w:r>
    </w:p>
    <w:p w14:paraId="7146675C" w14:textId="77777777" w:rsidR="00055183" w:rsidRDefault="00055183" w:rsidP="00055183">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DEEAF6" w:themeFill="accent5" w:themeFillTint="33"/>
        <w:spacing w:after="100"/>
        <w:ind w:left="425" w:hanging="425"/>
        <w:contextualSpacing w:val="0"/>
        <w:rPr>
          <w:sz w:val="20"/>
          <w:szCs w:val="20"/>
        </w:rPr>
      </w:pPr>
      <w:r w:rsidRPr="002E78E9">
        <w:rPr>
          <w:b/>
          <w:sz w:val="20"/>
          <w:szCs w:val="20"/>
        </w:rPr>
        <w:t>tonnes of the excess emissions</w:t>
      </w:r>
      <w:r w:rsidRPr="002E78E9">
        <w:rPr>
          <w:sz w:val="20"/>
          <w:szCs w:val="20"/>
        </w:rPr>
        <w:t xml:space="preserve"> </w:t>
      </w:r>
      <w:r>
        <w:rPr>
          <w:sz w:val="20"/>
          <w:szCs w:val="20"/>
        </w:rPr>
        <w:t>is</w:t>
      </w:r>
      <w:r w:rsidRPr="002E78E9">
        <w:rPr>
          <w:sz w:val="20"/>
          <w:szCs w:val="20"/>
        </w:rPr>
        <w:t xml:space="preserve"> the difference between the net emissions number and the baseline emissions number for the fac</w:t>
      </w:r>
      <w:r>
        <w:rPr>
          <w:sz w:val="20"/>
          <w:szCs w:val="20"/>
        </w:rPr>
        <w:t xml:space="preserve">ility for the monitoring period (usually one year); </w:t>
      </w:r>
      <w:r w:rsidR="00D11F6D">
        <w:rPr>
          <w:sz w:val="20"/>
          <w:szCs w:val="20"/>
        </w:rPr>
        <w:t>and</w:t>
      </w:r>
    </w:p>
    <w:p w14:paraId="34F82C3C" w14:textId="77777777" w:rsidR="00055183" w:rsidRDefault="00055183" w:rsidP="00055183">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DEEAF6" w:themeFill="accent5" w:themeFillTint="33"/>
        <w:spacing w:after="100"/>
        <w:ind w:left="425" w:hanging="425"/>
        <w:rPr>
          <w:sz w:val="20"/>
          <w:szCs w:val="20"/>
        </w:rPr>
      </w:pPr>
      <w:r w:rsidRPr="002E78E9">
        <w:rPr>
          <w:b/>
          <w:sz w:val="20"/>
          <w:szCs w:val="20"/>
        </w:rPr>
        <w:t>a penalty unit</w:t>
      </w:r>
      <w:r w:rsidRPr="002E78E9">
        <w:rPr>
          <w:sz w:val="20"/>
          <w:szCs w:val="20"/>
        </w:rPr>
        <w:t xml:space="preserve"> is currently $</w:t>
      </w:r>
      <w:r w:rsidR="004A2644">
        <w:rPr>
          <w:sz w:val="20"/>
          <w:szCs w:val="20"/>
        </w:rPr>
        <w:t>275</w:t>
      </w:r>
      <w:r w:rsidRPr="002E78E9">
        <w:rPr>
          <w:sz w:val="20"/>
          <w:szCs w:val="20"/>
        </w:rPr>
        <w:t>.</w:t>
      </w:r>
    </w:p>
    <w:p w14:paraId="2FC5BE5C" w14:textId="77777777" w:rsidR="00055183" w:rsidRPr="008463EC" w:rsidRDefault="00055183" w:rsidP="00055183">
      <w:pPr>
        <w:pBdr>
          <w:top w:val="single" w:sz="4" w:space="1" w:color="auto"/>
          <w:left w:val="single" w:sz="4" w:space="4" w:color="auto"/>
          <w:bottom w:val="single" w:sz="4" w:space="1" w:color="auto"/>
          <w:right w:val="single" w:sz="4" w:space="4" w:color="auto"/>
        </w:pBdr>
        <w:shd w:val="clear" w:color="auto" w:fill="DEEAF6" w:themeFill="accent5" w:themeFillTint="33"/>
        <w:spacing w:after="0"/>
        <w:rPr>
          <w:sz w:val="10"/>
          <w:szCs w:val="10"/>
        </w:rPr>
      </w:pPr>
    </w:p>
    <w:p w14:paraId="50248A9D" w14:textId="77777777" w:rsidR="00055183" w:rsidRDefault="00055183" w:rsidP="00D11F6D">
      <w:pPr>
        <w:spacing w:after="0"/>
        <w:rPr>
          <w:lang w:val="en-GB"/>
        </w:rPr>
      </w:pPr>
    </w:p>
    <w:p w14:paraId="24E695E8" w14:textId="77777777" w:rsidR="00BD32F2" w:rsidRDefault="00055183" w:rsidP="00055183">
      <w:pPr>
        <w:rPr>
          <w:lang w:val="en-GB"/>
        </w:rPr>
      </w:pPr>
      <w:r>
        <w:rPr>
          <w:lang w:val="en-GB"/>
        </w:rPr>
        <w:t xml:space="preserve">The infringement notice charge will also be updated. It works in conjunction with civil penalties and should be much less than the civil penalty, given it is not imposed by a court. The Government proposes to set the maximum infringement notice charge at one-third of the maximum civil </w:t>
      </w:r>
      <w:r w:rsidR="00D11F6D">
        <w:rPr>
          <w:lang w:val="en-GB"/>
        </w:rPr>
        <w:t xml:space="preserve">penalty </w:t>
      </w:r>
      <w:r w:rsidR="00D11F6D" w:rsidRPr="00D11F6D">
        <w:rPr>
          <w:lang w:val="en-GB"/>
        </w:rPr>
        <w:t>to a maximum of 150,000 penalty units</w:t>
      </w:r>
      <w:r>
        <w:rPr>
          <w:lang w:val="en-GB"/>
        </w:rPr>
        <w:t>.</w:t>
      </w:r>
    </w:p>
    <w:p w14:paraId="43BE7139" w14:textId="460C9C5C" w:rsidR="00BD32F2" w:rsidRDefault="00BD32F2" w:rsidP="00055183">
      <w:pPr>
        <w:pStyle w:val="Calloutbox"/>
        <w:keepLines/>
        <w:pBdr>
          <w:top w:val="none" w:sz="0" w:space="0" w:color="auto"/>
          <w:left w:val="none" w:sz="0" w:space="0" w:color="auto"/>
          <w:bottom w:val="none" w:sz="0" w:space="0" w:color="auto"/>
          <w:right w:val="none" w:sz="0" w:space="0" w:color="auto"/>
        </w:pBdr>
        <w:shd w:val="clear" w:color="auto" w:fill="FFFFFF" w:themeFill="background1"/>
        <w:rPr>
          <w:lang w:val="en-GB"/>
        </w:rPr>
      </w:pPr>
      <w:r>
        <w:t xml:space="preserve">While stronger penalties are an important deterrent, the Government does not expect any facilities to pay civil penalties or infringement notice charges, </w:t>
      </w:r>
      <w:r w:rsidR="00382ADF">
        <w:t>as these</w:t>
      </w:r>
      <w:r>
        <w:t xml:space="preserve"> will be more expensive than the cost of compliance.</w:t>
      </w:r>
      <w:r w:rsidR="00055183" w:rsidRPr="00243DA1">
        <w:rPr>
          <w:lang w:val="en-GB"/>
        </w:rPr>
        <w:t xml:space="preserve">Businesses cannot use these enforcement measures to avoid compliance. ‘Make good’ provisions will be retained to help ensure Safeguard Mechanism obligations are met. </w:t>
      </w:r>
      <w:r w:rsidR="00D11F6D" w:rsidRPr="00D11F6D">
        <w:rPr>
          <w:lang w:val="en-GB"/>
        </w:rPr>
        <w:t xml:space="preserve">A business would be liable for a civil penalty equal to 100 penalty units each day that an excess emissions situation is not resolved, for a maximum of two years. </w:t>
      </w:r>
      <w:r w:rsidR="00055183" w:rsidRPr="00243DA1">
        <w:rPr>
          <w:lang w:val="en-GB"/>
        </w:rPr>
        <w:t>This means paying a penalty does not discharge the compliance obligation—a facility is subject to the obligation to surr</w:t>
      </w:r>
      <w:r w:rsidR="00055183">
        <w:rPr>
          <w:lang w:val="en-GB"/>
        </w:rPr>
        <w:t>ender sufficient ACCUs or SMCs. It is a decision for the CER whether to take enforcement action in court, by infringement notice or by injunction.</w:t>
      </w:r>
    </w:p>
    <w:p w14:paraId="49445D7A" w14:textId="6CD75B52" w:rsidR="00055183" w:rsidRDefault="00055183" w:rsidP="00055183">
      <w:pPr>
        <w:pStyle w:val="Calloutbox"/>
      </w:pPr>
      <w:r>
        <w:t>The civil penalty</w:t>
      </w:r>
      <w:r w:rsidR="0074689C">
        <w:t>, while not expected to be imposed as it will be more expensive than the cost of compliance, would be updated</w:t>
      </w:r>
      <w:r>
        <w:t xml:space="preserve"> so it reflects both the number of days in exceedance </w:t>
      </w:r>
      <w:r w:rsidRPr="005C42EA">
        <w:rPr>
          <w:i/>
        </w:rPr>
        <w:t>and</w:t>
      </w:r>
      <w:r>
        <w:t xml:space="preserve"> the quantity of excess emissions.</w:t>
      </w:r>
    </w:p>
    <w:p w14:paraId="5EC2F772" w14:textId="0CABD7F4" w:rsidR="00055183" w:rsidRPr="00350E95" w:rsidRDefault="00055183" w:rsidP="00055183">
      <w:pPr>
        <w:pStyle w:val="Calloutbox"/>
      </w:pPr>
      <w:r>
        <w:t xml:space="preserve">The maximum civil penalty </w:t>
      </w:r>
      <w:r w:rsidR="0074689C">
        <w:t xml:space="preserve">would be set </w:t>
      </w:r>
      <w:r>
        <w:t xml:space="preserve">at 1 penalty unit per tonne of excess emissions per year and the infringement notice charge at one-third of the maximum civil </w:t>
      </w:r>
      <w:r w:rsidR="000658D7">
        <w:t xml:space="preserve">penalty </w:t>
      </w:r>
      <w:r w:rsidR="000658D7" w:rsidRPr="000658D7">
        <w:t>to a maximum of 150,000 penalty units</w:t>
      </w:r>
      <w:r>
        <w:t xml:space="preserve">. </w:t>
      </w:r>
      <w:r w:rsidR="00A46206" w:rsidRPr="00A46206">
        <w:t>From 1 January 2023, a penalty unit will be $275</w:t>
      </w:r>
      <w:r>
        <w:t xml:space="preserve">.  </w:t>
      </w:r>
    </w:p>
    <w:p w14:paraId="789BC05B" w14:textId="77777777" w:rsidR="00055183" w:rsidRDefault="00055183" w:rsidP="00055183">
      <w:pPr>
        <w:pStyle w:val="Heading2"/>
      </w:pPr>
      <w:bookmarkStart w:id="1122" w:name="_Toc119500926"/>
      <w:bookmarkStart w:id="1123" w:name="_Toc119572381"/>
      <w:bookmarkStart w:id="1124" w:name="_Toc120098976"/>
      <w:bookmarkStart w:id="1125" w:name="_Toc122514456"/>
      <w:bookmarkStart w:id="1126" w:name="_Toc124100706"/>
      <w:r>
        <w:t>Anti-avoidance</w:t>
      </w:r>
      <w:bookmarkEnd w:id="1122"/>
      <w:bookmarkEnd w:id="1123"/>
      <w:bookmarkEnd w:id="1124"/>
      <w:bookmarkEnd w:id="1125"/>
      <w:bookmarkEnd w:id="1126"/>
    </w:p>
    <w:p w14:paraId="0A2F4B23" w14:textId="77777777" w:rsidR="00055183" w:rsidRDefault="00055183" w:rsidP="00055183">
      <w:r>
        <w:t xml:space="preserve">Emissions limits are set at a facility level. How a facility is defined plays an important role in determining Safeguard Mechanism obligations. The ‘facility’ definition is set out in the NGER Act and Regulations and applies to both emissions and energy reporting under NGERS and Safeguard </w:t>
      </w:r>
      <w:r>
        <w:lastRenderedPageBreak/>
        <w:t xml:space="preserve">Mechanism compliance. It is necessarily broad and is intended to give businesses a degree of flexibility to accommodate complex and varied operations, ranging from large industrial sites to transport operations, pipelines and landfills. </w:t>
      </w:r>
    </w:p>
    <w:p w14:paraId="53623CBB" w14:textId="77777777" w:rsidR="00FA042E" w:rsidRDefault="00055183" w:rsidP="00055183">
      <w:r>
        <w:t xml:space="preserve">To ensure Australia can reliably meet </w:t>
      </w:r>
      <w:r w:rsidR="00981B2E">
        <w:t>its</w:t>
      </w:r>
      <w:r>
        <w:t xml:space="preserve"> climate targets, it is important that the Safeguard Mechanism continues to cover all large </w:t>
      </w:r>
      <w:r w:rsidR="00981B2E">
        <w:t xml:space="preserve">industrial </w:t>
      </w:r>
      <w:r>
        <w:t>facilities. Businesses should not be able to redefine a facility—for example, by breaking it up into smaller facilities—to avoid coverage. The Government proposes to introduce anti-avoidance measures that would prevent a business from defining a facility with the intention of avoiding Safeguard Mechanism obligations. This means an existing facility could not split into a number of smaller facilities to bring each new facility below the 10</w:t>
      </w:r>
      <w:r w:rsidR="00FA042E">
        <w:t xml:space="preserve">0,000 tonne coverage threshold. </w:t>
      </w:r>
    </w:p>
    <w:p w14:paraId="7AC0A28E" w14:textId="77777777" w:rsidR="00055183" w:rsidRDefault="00FA042E" w:rsidP="00055183">
      <w:r>
        <w:t>Further, a facility should not be able to attach itself to a grid-connected power station to avoid Safeguard Mechanism obligations. Grid-connected power stations are subject to a sectoral baseline rather than individual emissions limits. The Government will clarify that emissions at power stations that do not relate to electricity generation—for</w:t>
      </w:r>
      <w:r w:rsidR="00055183">
        <w:t xml:space="preserve"> example, </w:t>
      </w:r>
      <w:r>
        <w:t xml:space="preserve">coal mining emissions—will be covered by the Safeguard Mechanism if they exceed </w:t>
      </w:r>
      <w:r w:rsidR="00055183">
        <w:t xml:space="preserve">the </w:t>
      </w:r>
      <w:r>
        <w:t xml:space="preserve">100,000 tonne </w:t>
      </w:r>
      <w:r w:rsidRPr="00B83BF6">
        <w:t>CO</w:t>
      </w:r>
      <w:r w:rsidRPr="00B83BF6">
        <w:rPr>
          <w:vertAlign w:val="subscript"/>
        </w:rPr>
        <w:t>2</w:t>
      </w:r>
      <w:r w:rsidRPr="00B83BF6">
        <w:noBreakHyphen/>
        <w:t>e</w:t>
      </w:r>
      <w:r>
        <w:t xml:space="preserve"> per year coverage threshold. This will</w:t>
      </w:r>
      <w:r w:rsidR="00055183">
        <w:t xml:space="preserve"> prevent a facility from defining itself as part of a grid-connected electricity generator to avoid compliance obligations. </w:t>
      </w:r>
    </w:p>
    <w:p w14:paraId="4B290C82" w14:textId="3788706D" w:rsidR="00055183" w:rsidRDefault="00055183" w:rsidP="00055183">
      <w:pPr>
        <w:pBdr>
          <w:top w:val="single" w:sz="4" w:space="1" w:color="auto"/>
          <w:left w:val="single" w:sz="4" w:space="4" w:color="auto"/>
          <w:bottom w:val="single" w:sz="4" w:space="1" w:color="auto"/>
          <w:right w:val="single" w:sz="4" w:space="4" w:color="auto"/>
        </w:pBdr>
        <w:shd w:val="clear" w:color="auto" w:fill="E2EFD9" w:themeFill="accent6" w:themeFillTint="33"/>
      </w:pPr>
      <w:r>
        <w:t xml:space="preserve">Anti-avoidance measures </w:t>
      </w:r>
      <w:r w:rsidR="00267759">
        <w:t>would</w:t>
      </w:r>
      <w:r>
        <w:t xml:space="preserve"> be introduced to prevent a business from defining</w:t>
      </w:r>
      <w:r w:rsidR="0074689C">
        <w:t>, or redefining,</w:t>
      </w:r>
      <w:r>
        <w:t xml:space="preserve"> a facility with the intention of avoiding Safeguard Mechanism obligations. </w:t>
      </w:r>
    </w:p>
    <w:p w14:paraId="00D1B8DD" w14:textId="77777777" w:rsidR="00AB1973" w:rsidRPr="007D0305" w:rsidRDefault="00AB1973" w:rsidP="00AB1973">
      <w:pPr>
        <w:pStyle w:val="Heading1"/>
      </w:pPr>
      <w:bookmarkStart w:id="1127" w:name="_Toc119500927"/>
      <w:bookmarkStart w:id="1128" w:name="_Toc119572382"/>
      <w:bookmarkStart w:id="1129" w:name="_Toc120098977"/>
      <w:bookmarkStart w:id="1130" w:name="_Toc122514457"/>
      <w:bookmarkStart w:id="1131" w:name="_Toc124100707"/>
      <w:r>
        <w:t>Landfills</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27"/>
      <w:bookmarkEnd w:id="1128"/>
      <w:bookmarkEnd w:id="1129"/>
      <w:bookmarkEnd w:id="1130"/>
      <w:bookmarkEnd w:id="1131"/>
    </w:p>
    <w:p w14:paraId="08AD9D67" w14:textId="77777777" w:rsidR="000A3EA4" w:rsidRPr="00595B68" w:rsidRDefault="000A3EA4" w:rsidP="000A3EA4">
      <w:r w:rsidRPr="00595B68">
        <w:t>Landfills are currently covered by the Safeguard Mechanism</w:t>
      </w:r>
      <w:r w:rsidR="005820D7">
        <w:t>,</w:t>
      </w:r>
      <w:r w:rsidRPr="00595B68">
        <w:t xml:space="preserve"> but they have different coverage and baseline setting arrangements to other facilities</w:t>
      </w:r>
      <w:r w:rsidR="00AE572A">
        <w:t>—</w:t>
      </w:r>
      <w:r w:rsidR="007C118D">
        <w:t xml:space="preserve">calculated from a </w:t>
      </w:r>
      <w:r w:rsidR="007A00F0">
        <w:t xml:space="preserve">default </w:t>
      </w:r>
      <w:r w:rsidR="007C118D">
        <w:t xml:space="preserve">capture efficiency rate of </w:t>
      </w:r>
      <w:r w:rsidR="007C118D" w:rsidRPr="0063758A">
        <w:t>37.2 per cent</w:t>
      </w:r>
      <w:r w:rsidR="00AE572A">
        <w:t>. This is because landfill</w:t>
      </w:r>
      <w:r w:rsidR="0034524F">
        <w:t>s provide a service, rather than produce an output, and</w:t>
      </w:r>
      <w:r w:rsidR="00AE572A">
        <w:t xml:space="preserve"> </w:t>
      </w:r>
      <w:r>
        <w:t xml:space="preserve">emissions </w:t>
      </w:r>
      <w:r w:rsidR="00B0644C">
        <w:t xml:space="preserve">are generated </w:t>
      </w:r>
      <w:r>
        <w:t>from waste deposited in the past. O</w:t>
      </w:r>
      <w:r w:rsidRPr="00595B68">
        <w:t xml:space="preserve">nly emissions from waste deposited after scheme commencement on 1 July 2016 (known as </w:t>
      </w:r>
      <w:r w:rsidR="00B0644C">
        <w:t>‘</w:t>
      </w:r>
      <w:r w:rsidRPr="00595B68">
        <w:t>non-legacy waste emissions</w:t>
      </w:r>
      <w:r w:rsidR="00B0644C">
        <w:t>’</w:t>
      </w:r>
      <w:r w:rsidRPr="00595B68">
        <w:t xml:space="preserve">) are </w:t>
      </w:r>
      <w:r>
        <w:t>covered</w:t>
      </w:r>
      <w:r w:rsidRPr="00595B68">
        <w:t xml:space="preserve"> under the scheme.</w:t>
      </w:r>
      <w:r w:rsidR="00957165">
        <w:t xml:space="preserve"> </w:t>
      </w:r>
    </w:p>
    <w:p w14:paraId="077C24DB" w14:textId="77777777" w:rsidR="00A441D5" w:rsidRDefault="00AB1973" w:rsidP="000A3EA4">
      <w:r>
        <w:t xml:space="preserve">The </w:t>
      </w:r>
      <w:r w:rsidR="005B0141">
        <w:t>last</w:t>
      </w:r>
      <w:r>
        <w:t xml:space="preserve"> consultation paper indicated that Safeguard crediting may not be suitable for landfills because legacy emissions</w:t>
      </w:r>
      <w:r w:rsidR="00125323">
        <w:t xml:space="preserve"> are not covered,</w:t>
      </w:r>
      <w:r w:rsidR="009805FD">
        <w:t xml:space="preserve"> and</w:t>
      </w:r>
      <w:r w:rsidR="000A3EA4" w:rsidRPr="00595B68">
        <w:t xml:space="preserve"> many landfills have established </w:t>
      </w:r>
      <w:r w:rsidR="001A6E82">
        <w:t xml:space="preserve">ACCU </w:t>
      </w:r>
      <w:r w:rsidR="000A3EA4" w:rsidRPr="00595B68">
        <w:t>projects</w:t>
      </w:r>
      <w:r w:rsidR="00AC0AB1">
        <w:t xml:space="preserve"> which are credited based on both legacy and non-legacy emissions. </w:t>
      </w:r>
    </w:p>
    <w:p w14:paraId="409E9986" w14:textId="77777777" w:rsidR="007C118D" w:rsidRDefault="005820D7" w:rsidP="00AB1973">
      <w:r>
        <w:t>To date,</w:t>
      </w:r>
      <w:r w:rsidRPr="00595B68">
        <w:t xml:space="preserve"> only one landfill has been covered by the scheme.  A small number of additional landfills are expected to be covered </w:t>
      </w:r>
      <w:r>
        <w:t>in</w:t>
      </w:r>
      <w:r w:rsidRPr="00595B68">
        <w:t xml:space="preserve"> coming years</w:t>
      </w:r>
      <w:r>
        <w:t>,</w:t>
      </w:r>
      <w:r w:rsidRPr="00595B68">
        <w:t xml:space="preserve"> as their non-legacy waste emissions reach 100,000 t CO</w:t>
      </w:r>
      <w:r w:rsidRPr="00595B68">
        <w:rPr>
          <w:vertAlign w:val="subscript"/>
        </w:rPr>
        <w:t>2</w:t>
      </w:r>
      <w:r w:rsidRPr="00595B68">
        <w:t xml:space="preserve">-e. </w:t>
      </w:r>
      <w:r w:rsidRPr="0063758A">
        <w:t xml:space="preserve">Most large landfills capture much more than </w:t>
      </w:r>
      <w:r>
        <w:t xml:space="preserve">the capture efficiency rate of </w:t>
      </w:r>
      <w:r w:rsidRPr="0063758A">
        <w:t>37.2 per cent</w:t>
      </w:r>
      <w:r>
        <w:t xml:space="preserve">. </w:t>
      </w:r>
      <w:r w:rsidR="0034524F">
        <w:t>Many of</w:t>
      </w:r>
      <w:r>
        <w:t xml:space="preserve"> the landfills expected to be covered by the scheme </w:t>
      </w:r>
      <w:r w:rsidR="0034524F">
        <w:t>capture</w:t>
      </w:r>
      <w:r w:rsidR="0034524F" w:rsidRPr="0063758A">
        <w:t xml:space="preserve"> over 70 per cent</w:t>
      </w:r>
      <w:r w:rsidR="0034524F">
        <w:t xml:space="preserve"> of the methane produced at the facilities, and are therefore</w:t>
      </w:r>
      <w:r>
        <w:t xml:space="preserve"> </w:t>
      </w:r>
      <w:r w:rsidR="00A301A5">
        <w:t>likely</w:t>
      </w:r>
      <w:r>
        <w:t xml:space="preserve"> to have net emissions well below their baselines and </w:t>
      </w:r>
      <w:r w:rsidR="0034524F">
        <w:t xml:space="preserve">not be </w:t>
      </w:r>
      <w:r>
        <w:t>significantly impacted by their baselines declining</w:t>
      </w:r>
      <w:r w:rsidR="0034524F">
        <w:t xml:space="preserve"> for several years</w:t>
      </w:r>
      <w:r>
        <w:t>.</w:t>
      </w:r>
      <w:r w:rsidR="007C118D">
        <w:t xml:space="preserve"> </w:t>
      </w:r>
    </w:p>
    <w:p w14:paraId="1F746F1A" w14:textId="77777777" w:rsidR="00066084" w:rsidRDefault="004A3F09" w:rsidP="00AB1973">
      <w:r>
        <w:t>There are three methods for r</w:t>
      </w:r>
      <w:r w:rsidR="00AC0AB1">
        <w:t xml:space="preserve">eporting </w:t>
      </w:r>
      <w:r>
        <w:t xml:space="preserve">under NGER the </w:t>
      </w:r>
      <w:r w:rsidR="001E0A1D">
        <w:t xml:space="preserve">methane generated </w:t>
      </w:r>
      <w:r w:rsidR="00856C45">
        <w:t xml:space="preserve">by </w:t>
      </w:r>
      <w:r w:rsidR="00AC0AB1">
        <w:t>landfill</w:t>
      </w:r>
      <w:r w:rsidR="00856C45">
        <w:t>s</w:t>
      </w:r>
      <w:r w:rsidR="00AC0AB1">
        <w:t xml:space="preserve"> </w:t>
      </w:r>
      <w:r w:rsidR="001E0A1D">
        <w:t>fugitive emissions</w:t>
      </w:r>
      <w:r w:rsidR="00066084">
        <w:t>. U</w:t>
      </w:r>
      <w:r w:rsidR="008B44EE">
        <w:t>nder the method</w:t>
      </w:r>
      <w:r w:rsidR="008B44EE" w:rsidDel="00066084">
        <w:t xml:space="preserve"> </w:t>
      </w:r>
      <w:r w:rsidR="008B44EE">
        <w:t xml:space="preserve">1 used by most </w:t>
      </w:r>
      <w:r w:rsidR="0034524F">
        <w:t xml:space="preserve">landfill </w:t>
      </w:r>
      <w:r w:rsidR="008B44EE">
        <w:t>repo</w:t>
      </w:r>
      <w:r w:rsidR="00AE572A">
        <w:t>rters there is a 75 per cent</w:t>
      </w:r>
      <w:r w:rsidR="008B44EE">
        <w:t xml:space="preserve"> cap</w:t>
      </w:r>
      <w:r w:rsidR="00066084">
        <w:t xml:space="preserve"> applied</w:t>
      </w:r>
      <w:r w:rsidR="008B44EE">
        <w:t xml:space="preserve"> to </w:t>
      </w:r>
      <w:r w:rsidR="008B44EE" w:rsidDel="00066084">
        <w:t xml:space="preserve">the </w:t>
      </w:r>
      <w:r w:rsidR="00AE572A">
        <w:t>capture efficiency</w:t>
      </w:r>
      <w:r w:rsidR="00066084">
        <w:t xml:space="preserve">. </w:t>
      </w:r>
      <w:r w:rsidR="00066084" w:rsidRPr="00066084">
        <w:t>This cap was established based on the best available information on landfill capture system performance and in consultation with the landfill and gas capture system operators.</w:t>
      </w:r>
    </w:p>
    <w:p w14:paraId="50D70A44" w14:textId="77777777" w:rsidR="00066084" w:rsidRDefault="00066084" w:rsidP="00AB1973">
      <w:r>
        <w:t>When capture efficiency is above the</w:t>
      </w:r>
      <w:r w:rsidR="00AE572A">
        <w:t xml:space="preserve"> 75 per cent</w:t>
      </w:r>
      <w:r w:rsidR="0034524F" w:rsidDel="00066084">
        <w:t xml:space="preserve"> </w:t>
      </w:r>
      <w:r>
        <w:t xml:space="preserve">cap, </w:t>
      </w:r>
      <w:r w:rsidRPr="00066084">
        <w:t>it is assumed that modelled emissions generation is not an accurate representation of actual emissio</w:t>
      </w:r>
      <w:r>
        <w:t>ns generation at the landfill.</w:t>
      </w:r>
      <w:r w:rsidRPr="00066084">
        <w:t xml:space="preserve"> In this circumstance, a landfill’s </w:t>
      </w:r>
      <w:r>
        <w:t>methane emissions</w:t>
      </w:r>
      <w:r w:rsidRPr="00066084">
        <w:t xml:space="preserve"> calculation becomes the methane captured divided by 75</w:t>
      </w:r>
      <w:r>
        <w:t xml:space="preserve"> per cent. For these landfills,</w:t>
      </w:r>
      <w:r w:rsidRPr="00066084">
        <w:t xml:space="preserve"> increasing capture </w:t>
      </w:r>
      <w:r>
        <w:t>efficiency</w:t>
      </w:r>
      <w:r w:rsidRPr="00066084">
        <w:t xml:space="preserve"> above 75 per cent will lead to the </w:t>
      </w:r>
      <w:r w:rsidRPr="00066084">
        <w:lastRenderedPageBreak/>
        <w:t>calcul</w:t>
      </w:r>
      <w:r>
        <w:t xml:space="preserve">ated net emissions increasing. </w:t>
      </w:r>
      <w:r w:rsidRPr="00066084">
        <w:t>The landfill operator has the option to move to higher order method which allows for a higher capture efficiency cap to apply or to review their input data under me</w:t>
      </w:r>
      <w:r>
        <w:t>thod-1 to ensure that this is</w:t>
      </w:r>
      <w:r w:rsidRPr="00066084">
        <w:t xml:space="preserve"> accurate and representative of the landfill operational circumstances as possible.</w:t>
      </w:r>
    </w:p>
    <w:p w14:paraId="64B1BA07" w14:textId="77777777" w:rsidR="00066084" w:rsidRDefault="00066084" w:rsidP="00AB1973">
      <w:r w:rsidRPr="00066084">
        <w:t>Review</w:t>
      </w:r>
      <w:r>
        <w:t xml:space="preserve">ing the capture efficiency cap </w:t>
      </w:r>
      <w:r w:rsidRPr="00066084">
        <w:t xml:space="preserve">under method-1 is a priority for NGER updates. Until this is changed there is essentially a cap on the emissions reductions possible at landfill facilities </w:t>
      </w:r>
      <w:r>
        <w:t>which</w:t>
      </w:r>
      <w:r w:rsidRPr="00066084">
        <w:t xml:space="preserve"> report capture efficiency greater than 75 per cent and opt to continue using method-1; this has the effect of limiting any SMCs that could be issued for higher level gas capture rates. </w:t>
      </w:r>
    </w:p>
    <w:p w14:paraId="113A8AE4" w14:textId="77777777" w:rsidR="00C40ED1" w:rsidRDefault="007C118D" w:rsidP="00AB1973">
      <w:r w:rsidRPr="00595B68">
        <w:t xml:space="preserve">Long term arrangements for landfills covered by the Safeguard Mechanism </w:t>
      </w:r>
      <w:r>
        <w:t>will</w:t>
      </w:r>
      <w:r w:rsidRPr="00595B68">
        <w:t xml:space="preserve"> be considered prior to </w:t>
      </w:r>
      <w:r>
        <w:t>the 2026</w:t>
      </w:r>
      <w:r w:rsidR="00A93AC0">
        <w:t>-27</w:t>
      </w:r>
      <w:r>
        <w:t xml:space="preserve"> Safeguard Mechanism review (</w:t>
      </w:r>
      <w:r w:rsidR="001F6EC3">
        <w:t xml:space="preserve">during the period </w:t>
      </w:r>
      <w:r>
        <w:t>2023-24 to 2025-26)</w:t>
      </w:r>
      <w:r w:rsidRPr="00595B68">
        <w:t xml:space="preserve">. </w:t>
      </w:r>
      <w:r>
        <w:t>Over this period, landfill baselines will decline at the same rate as other facilities</w:t>
      </w:r>
      <w:r w:rsidR="001F6EC3">
        <w:t xml:space="preserve"> but</w:t>
      </w:r>
      <w:r>
        <w:t xml:space="preserve"> l</w:t>
      </w:r>
      <w:r w:rsidR="009805FD" w:rsidRPr="00E32AC5">
        <w:t xml:space="preserve">andfills </w:t>
      </w:r>
      <w:r w:rsidR="009805FD">
        <w:t xml:space="preserve">will not be eligible to </w:t>
      </w:r>
      <w:r w:rsidR="009805FD" w:rsidRPr="00E32AC5">
        <w:t xml:space="preserve">generate </w:t>
      </w:r>
      <w:r w:rsidR="009805FD">
        <w:t>SMCs</w:t>
      </w:r>
      <w:r w:rsidR="009805FD" w:rsidRPr="00E32AC5">
        <w:t>.</w:t>
      </w:r>
      <w:r w:rsidR="009805FD">
        <w:t xml:space="preserve"> This is t</w:t>
      </w:r>
      <w:r w:rsidR="00A441D5">
        <w:t xml:space="preserve">o provide </w:t>
      </w:r>
      <w:r w:rsidR="00A441D5" w:rsidRPr="00595B68">
        <w:t>time to consult with the sector and take account of any lessons learned</w:t>
      </w:r>
      <w:r w:rsidR="000A3EA4">
        <w:t xml:space="preserve"> </w:t>
      </w:r>
      <w:r w:rsidR="00125323">
        <w:t xml:space="preserve">as </w:t>
      </w:r>
      <w:r>
        <w:t xml:space="preserve">more </w:t>
      </w:r>
      <w:r w:rsidR="000A3EA4" w:rsidRPr="00595B68">
        <w:t>landfill</w:t>
      </w:r>
      <w:r>
        <w:t xml:space="preserve"> </w:t>
      </w:r>
      <w:r w:rsidR="00125323">
        <w:t xml:space="preserve">facilities are </w:t>
      </w:r>
      <w:r w:rsidR="000A3EA4" w:rsidRPr="00595B68">
        <w:t>covered by the Safeguard Mechanism</w:t>
      </w:r>
      <w:r w:rsidR="009805FD">
        <w:t>.</w:t>
      </w:r>
      <w:r w:rsidR="00A441D5">
        <w:t xml:space="preserve"> </w:t>
      </w:r>
    </w:p>
    <w:p w14:paraId="0DEF1955" w14:textId="77777777" w:rsidR="00C40ED1" w:rsidRDefault="00A441D5" w:rsidP="00AB1973">
      <w:r w:rsidRPr="001A47D4">
        <w:t xml:space="preserve">During this </w:t>
      </w:r>
      <w:r w:rsidR="00C40ED1">
        <w:t>period (from 2023-24 to 2025-26)</w:t>
      </w:r>
      <w:r w:rsidRPr="001A47D4">
        <w:t>,</w:t>
      </w:r>
      <w:r w:rsidR="009805FD" w:rsidRPr="001A47D4">
        <w:t xml:space="preserve"> </w:t>
      </w:r>
      <w:r w:rsidR="001A6E82">
        <w:t xml:space="preserve">ACCU </w:t>
      </w:r>
      <w:r w:rsidR="00C40ED1">
        <w:t xml:space="preserve">projects at landfills covered by the Safeguard Mechanism will be treated in the same way as other Safeguard facilities: </w:t>
      </w:r>
    </w:p>
    <w:p w14:paraId="28AB96D1" w14:textId="77777777" w:rsidR="00C40ED1" w:rsidRPr="00055183" w:rsidRDefault="00C3016E" w:rsidP="00055183">
      <w:pPr>
        <w:pStyle w:val="ListParagraph"/>
        <w:numPr>
          <w:ilvl w:val="0"/>
          <w:numId w:val="14"/>
        </w:numPr>
        <w:ind w:left="357" w:hanging="357"/>
        <w:contextualSpacing w:val="0"/>
      </w:pPr>
      <w:r w:rsidRPr="00055183">
        <w:rPr>
          <w:b/>
        </w:rPr>
        <w:t>New p</w:t>
      </w:r>
      <w:r w:rsidR="00C40ED1" w:rsidRPr="00055183">
        <w:rPr>
          <w:b/>
        </w:rPr>
        <w:t>rojects</w:t>
      </w:r>
      <w:r w:rsidR="00C40ED1" w:rsidRPr="00055183">
        <w:t xml:space="preserve"> that reduce covered emissions </w:t>
      </w:r>
      <w:r w:rsidR="00327E4A" w:rsidRPr="00055183">
        <w:t xml:space="preserve">at Safeguard facilities </w:t>
      </w:r>
      <w:r w:rsidR="00C40ED1" w:rsidRPr="00055183">
        <w:t>will no longer be able to be registered</w:t>
      </w:r>
      <w:r w:rsidR="00327E4A" w:rsidRPr="00055183">
        <w:t>.</w:t>
      </w:r>
    </w:p>
    <w:p w14:paraId="59C58799" w14:textId="77777777" w:rsidR="00C40ED1" w:rsidRPr="00055183" w:rsidRDefault="00C40ED1" w:rsidP="00055183">
      <w:pPr>
        <w:pStyle w:val="ListParagraph"/>
        <w:numPr>
          <w:ilvl w:val="0"/>
          <w:numId w:val="14"/>
        </w:numPr>
        <w:ind w:left="357" w:hanging="357"/>
        <w:contextualSpacing w:val="0"/>
      </w:pPr>
      <w:r w:rsidRPr="00055183">
        <w:rPr>
          <w:b/>
        </w:rPr>
        <w:t>E</w:t>
      </w:r>
      <w:r w:rsidR="0048676B" w:rsidRPr="00055183">
        <w:rPr>
          <w:b/>
        </w:rPr>
        <w:t>xisting</w:t>
      </w:r>
      <w:r w:rsidR="009805FD" w:rsidRPr="00055183">
        <w:rPr>
          <w:b/>
        </w:rPr>
        <w:t xml:space="preserve"> projects</w:t>
      </w:r>
      <w:r w:rsidR="009805FD" w:rsidRPr="00055183">
        <w:t xml:space="preserve"> that reduce covered emissions at </w:t>
      </w:r>
      <w:r w:rsidR="006A18C2" w:rsidRPr="00055183">
        <w:t>Safeguard facilities</w:t>
      </w:r>
      <w:r w:rsidRPr="00055183">
        <w:t xml:space="preserve"> can continue to generate and sell credits for their existing crediting period.</w:t>
      </w:r>
    </w:p>
    <w:p w14:paraId="09EFD0DA" w14:textId="77777777" w:rsidR="003F6057" w:rsidRPr="00055183" w:rsidRDefault="003F6057" w:rsidP="00055183">
      <w:pPr>
        <w:pStyle w:val="ListParagraph"/>
        <w:numPr>
          <w:ilvl w:val="0"/>
          <w:numId w:val="14"/>
        </w:numPr>
        <w:ind w:left="357" w:hanging="357"/>
        <w:contextualSpacing w:val="0"/>
      </w:pPr>
      <w:r w:rsidRPr="00055183">
        <w:t xml:space="preserve">Existing projects </w:t>
      </w:r>
      <w:r w:rsidR="00D65682" w:rsidRPr="00055183">
        <w:t>that reduce covered emissions at Safeguard facilities</w:t>
      </w:r>
      <w:r w:rsidRPr="00055183">
        <w:t xml:space="preserve"> will not be able to enter into </w:t>
      </w:r>
      <w:r w:rsidRPr="00055183">
        <w:rPr>
          <w:b/>
        </w:rPr>
        <w:t>new contracts</w:t>
      </w:r>
      <w:r w:rsidRPr="00055183">
        <w:t xml:space="preserve"> for the Government purchase of ACCUs. </w:t>
      </w:r>
    </w:p>
    <w:p w14:paraId="502BED9F" w14:textId="77777777" w:rsidR="003F6057" w:rsidRPr="00055183" w:rsidRDefault="003F6057" w:rsidP="00055183">
      <w:pPr>
        <w:pStyle w:val="ListParagraph"/>
        <w:numPr>
          <w:ilvl w:val="0"/>
          <w:numId w:val="14"/>
        </w:numPr>
        <w:ind w:left="357" w:hanging="357"/>
        <w:contextualSpacing w:val="0"/>
      </w:pPr>
      <w:r w:rsidRPr="00055183">
        <w:t xml:space="preserve">Existing </w:t>
      </w:r>
      <w:r w:rsidRPr="00055183">
        <w:rPr>
          <w:b/>
        </w:rPr>
        <w:t>double counting</w:t>
      </w:r>
      <w:r w:rsidRPr="00055183">
        <w:t xml:space="preserve"> provisions will be retained, so any ACCUs generated from existing projects </w:t>
      </w:r>
      <w:r w:rsidR="006A18C2" w:rsidRPr="00055183">
        <w:t xml:space="preserve">that reduce covered emissions at a Safeguard facility </w:t>
      </w:r>
      <w:r w:rsidRPr="00055183">
        <w:t>will be added back onto th</w:t>
      </w:r>
      <w:r w:rsidR="006A18C2" w:rsidRPr="00055183">
        <w:t>at</w:t>
      </w:r>
      <w:r w:rsidRPr="00055183">
        <w:t xml:space="preserve"> </w:t>
      </w:r>
      <w:r w:rsidR="00D65682" w:rsidRPr="00055183">
        <w:t xml:space="preserve">Safeguard </w:t>
      </w:r>
      <w:r w:rsidRPr="00055183">
        <w:t>facility’s net emissions number.</w:t>
      </w:r>
    </w:p>
    <w:p w14:paraId="4047CFF8" w14:textId="77777777" w:rsidR="003F6057" w:rsidRPr="00055183" w:rsidRDefault="003F6057" w:rsidP="00055183">
      <w:pPr>
        <w:pStyle w:val="ListParagraph"/>
        <w:numPr>
          <w:ilvl w:val="0"/>
          <w:numId w:val="14"/>
        </w:numPr>
        <w:ind w:left="357" w:hanging="357"/>
        <w:contextualSpacing w:val="0"/>
      </w:pPr>
      <w:r w:rsidRPr="00055183">
        <w:rPr>
          <w:b/>
        </w:rPr>
        <w:t>Deemed surrender</w:t>
      </w:r>
      <w:r w:rsidRPr="00055183">
        <w:t xml:space="preserve"> provisions will be grandfathered for two years from commencement of the reforms, then removed. </w:t>
      </w:r>
    </w:p>
    <w:p w14:paraId="1E022374" w14:textId="77777777" w:rsidR="00AB1973" w:rsidRPr="00595B68" w:rsidRDefault="0063758A" w:rsidP="00AB1973">
      <w:r>
        <w:t>The</w:t>
      </w:r>
      <w:r w:rsidR="00AB1973" w:rsidRPr="00595B68">
        <w:t xml:space="preserve"> </w:t>
      </w:r>
      <w:r w:rsidR="00AC3797">
        <w:t xml:space="preserve">double counting </w:t>
      </w:r>
      <w:r w:rsidR="00AB1973" w:rsidRPr="00595B68">
        <w:t>provision</w:t>
      </w:r>
      <w:r w:rsidR="00055183">
        <w:t>—</w:t>
      </w:r>
      <w:r>
        <w:t xml:space="preserve">that </w:t>
      </w:r>
      <w:r w:rsidR="00AC3797">
        <w:t xml:space="preserve">requires </w:t>
      </w:r>
      <w:r w:rsidRPr="00595B68">
        <w:t xml:space="preserve">ACCUs issued in relation to </w:t>
      </w:r>
      <w:r w:rsidR="00AC3797">
        <w:t xml:space="preserve">a project at that facility </w:t>
      </w:r>
      <w:r w:rsidRPr="00595B68">
        <w:t xml:space="preserve">back on to the </w:t>
      </w:r>
      <w:r w:rsidR="00AC3797">
        <w:t xml:space="preserve">facility’s </w:t>
      </w:r>
      <w:r w:rsidRPr="00595B68">
        <w:t>net emissions</w:t>
      </w:r>
      <w:r w:rsidR="00055183">
        <w:t>—</w:t>
      </w:r>
      <w:r w:rsidR="00AB1973">
        <w:t>will</w:t>
      </w:r>
      <w:r w:rsidR="00AB1973" w:rsidRPr="00595B68">
        <w:t xml:space="preserve"> be amended so </w:t>
      </w:r>
      <w:r>
        <w:t xml:space="preserve">only </w:t>
      </w:r>
      <w:r w:rsidR="00AB1973" w:rsidRPr="00595B68">
        <w:t xml:space="preserve">the amount of abatement </w:t>
      </w:r>
      <w:r w:rsidR="00AC3797">
        <w:t xml:space="preserve">related to </w:t>
      </w:r>
      <w:r>
        <w:t xml:space="preserve">covered emissions is </w:t>
      </w:r>
      <w:r w:rsidR="00AB1973" w:rsidRPr="00595B68">
        <w:t>added</w:t>
      </w:r>
      <w:r w:rsidR="00AC3797">
        <w:t xml:space="preserve"> back</w:t>
      </w:r>
      <w:r w:rsidR="00AB1973" w:rsidRPr="00595B68">
        <w:t>.</w:t>
      </w:r>
      <w:r w:rsidRPr="0063758A">
        <w:t xml:space="preserve"> </w:t>
      </w:r>
      <w:r>
        <w:t xml:space="preserve">This will </w:t>
      </w:r>
      <w:r w:rsidR="00E10830">
        <w:t xml:space="preserve">continue to </w:t>
      </w:r>
      <w:r>
        <w:t>p</w:t>
      </w:r>
      <w:r w:rsidRPr="00595B68">
        <w:t>revent the abatement</w:t>
      </w:r>
      <w:r>
        <w:t xml:space="preserve"> of covered emissions </w:t>
      </w:r>
      <w:r w:rsidRPr="00595B68">
        <w:t xml:space="preserve">from </w:t>
      </w:r>
      <w:r w:rsidR="00525997">
        <w:t xml:space="preserve">ACCU </w:t>
      </w:r>
      <w:r w:rsidRPr="00595B68">
        <w:t>projects at Safeguard faci</w:t>
      </w:r>
      <w:r>
        <w:t>lities from being counted twice</w:t>
      </w:r>
      <w:r w:rsidR="00E10830">
        <w:t>, while</w:t>
      </w:r>
      <w:r>
        <w:t xml:space="preserve"> ensur</w:t>
      </w:r>
      <w:r w:rsidR="00E10830">
        <w:t>ing</w:t>
      </w:r>
      <w:r>
        <w:t xml:space="preserve"> that</w:t>
      </w:r>
      <w:r w:rsidRPr="00595B68" w:rsidDel="00E10830">
        <w:t xml:space="preserve"> </w:t>
      </w:r>
      <w:r w:rsidRPr="00595B68">
        <w:t xml:space="preserve">ACCUs </w:t>
      </w:r>
      <w:r w:rsidR="00E10830">
        <w:t xml:space="preserve">associated with legacy emissions (not covered by the scheme) are not </w:t>
      </w:r>
      <w:r w:rsidRPr="00595B68">
        <w:t>added back on.</w:t>
      </w:r>
    </w:p>
    <w:p w14:paraId="5316E21F" w14:textId="2D0BEE2C" w:rsidR="000A3EA4" w:rsidRDefault="00F80E72" w:rsidP="00AB1973">
      <w:pPr>
        <w:pStyle w:val="Calloutbox"/>
      </w:pPr>
      <w:r>
        <w:t xml:space="preserve">Given the overlap with ERF projects, treatment of legacy waste and existing baseline arrangements, </w:t>
      </w:r>
      <w:r w:rsidR="0074689C">
        <w:t>l</w:t>
      </w:r>
      <w:r w:rsidR="000A3EA4">
        <w:t xml:space="preserve">andfills </w:t>
      </w:r>
      <w:r w:rsidR="00F30DBD">
        <w:t xml:space="preserve">would </w:t>
      </w:r>
      <w:r w:rsidR="000A3EA4">
        <w:t xml:space="preserve">not be eligible to </w:t>
      </w:r>
      <w:r w:rsidR="000A3EA4" w:rsidRPr="00E32AC5">
        <w:t xml:space="preserve">generate Safeguard Mechanism Credits </w:t>
      </w:r>
      <w:r w:rsidR="000A3EA4">
        <w:t>from 2023-24 to 2025-26</w:t>
      </w:r>
      <w:r w:rsidR="000A3EA4" w:rsidRPr="00E32AC5">
        <w:t>.</w:t>
      </w:r>
    </w:p>
    <w:p w14:paraId="2FED95F4" w14:textId="47BC15DB" w:rsidR="00055183" w:rsidRDefault="0074689C" w:rsidP="00055183">
      <w:pPr>
        <w:pStyle w:val="Calloutbox"/>
      </w:pPr>
      <w:r>
        <w:t>Consistent with other Safeguard Mechanism facilities, l</w:t>
      </w:r>
      <w:r w:rsidR="00055183">
        <w:t xml:space="preserve">andfills covered by the Safeguard Mechanism </w:t>
      </w:r>
      <w:r w:rsidR="00267759">
        <w:t>c</w:t>
      </w:r>
      <w:r w:rsidR="00F30DBD">
        <w:t xml:space="preserve">ould </w:t>
      </w:r>
      <w:r w:rsidR="00055183">
        <w:t xml:space="preserve">continue existing </w:t>
      </w:r>
      <w:r w:rsidR="00055183" w:rsidRPr="00E00DB1" w:rsidDel="001A6E82">
        <w:t xml:space="preserve">ERF </w:t>
      </w:r>
      <w:r w:rsidR="00055183" w:rsidRPr="00E00DB1">
        <w:t>projects</w:t>
      </w:r>
      <w:r w:rsidR="00055183">
        <w:t xml:space="preserve"> that reduce covered emissions and existing </w:t>
      </w:r>
      <w:r w:rsidR="00055183" w:rsidDel="001A6E82">
        <w:t xml:space="preserve">ERF </w:t>
      </w:r>
      <w:r w:rsidR="00055183">
        <w:t>contracts, but not register new projects</w:t>
      </w:r>
      <w:r>
        <w:t xml:space="preserve"> that relate to covered emissions</w:t>
      </w:r>
      <w:r w:rsidR="00055183">
        <w:t xml:space="preserve">, </w:t>
      </w:r>
      <w:r>
        <w:t xml:space="preserve">nor </w:t>
      </w:r>
      <w:r w:rsidR="00055183">
        <w:t>extend existing crediting periods</w:t>
      </w:r>
      <w:r>
        <w:t>,</w:t>
      </w:r>
      <w:r w:rsidR="00055183">
        <w:t xml:space="preserve"> </w:t>
      </w:r>
      <w:r>
        <w:t>n</w:t>
      </w:r>
      <w:r w:rsidR="00055183">
        <w:t xml:space="preserve">or enter new government contracts during this period. Deemed surrender provisions </w:t>
      </w:r>
      <w:r w:rsidR="00F30DBD">
        <w:t xml:space="preserve">would </w:t>
      </w:r>
      <w:r w:rsidR="00055183">
        <w:t>be grandfathered for two years, then removed.</w:t>
      </w:r>
    </w:p>
    <w:p w14:paraId="489E918C" w14:textId="159F461B" w:rsidR="000A3EA4" w:rsidRDefault="000A3EA4" w:rsidP="00AB1973">
      <w:pPr>
        <w:pStyle w:val="Calloutbox"/>
      </w:pPr>
      <w:r>
        <w:t>L</w:t>
      </w:r>
      <w:r w:rsidRPr="000A3EA4">
        <w:t xml:space="preserve">andfill baselines </w:t>
      </w:r>
      <w:r w:rsidR="00F30DBD">
        <w:t xml:space="preserve">would </w:t>
      </w:r>
      <w:r w:rsidRPr="000A3EA4">
        <w:t>decline at the same rate as other facilities</w:t>
      </w:r>
      <w:r>
        <w:t xml:space="preserve">. </w:t>
      </w:r>
    </w:p>
    <w:p w14:paraId="064294E2" w14:textId="3A4E1825" w:rsidR="0063758A" w:rsidRDefault="0063758A" w:rsidP="00AB1973">
      <w:pPr>
        <w:pStyle w:val="Calloutbox"/>
      </w:pPr>
      <w:r>
        <w:t xml:space="preserve">The provision to add </w:t>
      </w:r>
      <w:r w:rsidRPr="00595B68">
        <w:t xml:space="preserve">ACCUs issued in relation to the </w:t>
      </w:r>
      <w:r w:rsidRPr="00595B68" w:rsidDel="001A6E82">
        <w:t xml:space="preserve">ERF </w:t>
      </w:r>
      <w:r w:rsidRPr="00595B68">
        <w:t>project back to the net emissions of the facility</w:t>
      </w:r>
      <w:r>
        <w:t xml:space="preserve"> </w:t>
      </w:r>
      <w:r w:rsidR="00F30DBD">
        <w:t xml:space="preserve">would </w:t>
      </w:r>
      <w:r>
        <w:t>be amended to include only abatement of covered emissions.</w:t>
      </w:r>
    </w:p>
    <w:sdt>
      <w:sdtPr>
        <w:rPr>
          <w:rFonts w:ascii="Calibri" w:hAnsi="Calibri" w:cs="Calibri"/>
        </w:rPr>
        <w:id w:val="-2088995269"/>
        <w:docPartObj>
          <w:docPartGallery w:val="Cover Pages"/>
          <w:docPartUnique/>
        </w:docPartObj>
      </w:sdtPr>
      <w:sdtEndPr/>
      <w:sdtContent>
        <w:bookmarkStart w:id="1132" w:name="_Toc93669984" w:displacedByCustomXml="prev"/>
        <w:bookmarkEnd w:id="1132" w:displacedByCustomXml="prev"/>
        <w:bookmarkStart w:id="1133" w:name="_Toc93676793" w:displacedByCustomXml="prev"/>
        <w:bookmarkEnd w:id="1133" w:displacedByCustomXml="prev"/>
        <w:bookmarkStart w:id="1134" w:name="_Toc93611197" w:displacedByCustomXml="prev"/>
        <w:bookmarkEnd w:id="1134" w:displacedByCustomXml="prev"/>
        <w:bookmarkStart w:id="1135" w:name="_Toc93588669" w:displacedByCustomXml="prev"/>
        <w:bookmarkEnd w:id="1135" w:displacedByCustomXml="prev"/>
        <w:bookmarkStart w:id="1136" w:name="_Toc93577793" w:displacedByCustomXml="prev"/>
        <w:bookmarkEnd w:id="1136" w:displacedByCustomXml="prev"/>
        <w:bookmarkStart w:id="1137" w:name="_Toc93576400" w:displacedByCustomXml="prev"/>
        <w:bookmarkEnd w:id="1137" w:displacedByCustomXml="prev"/>
        <w:bookmarkStart w:id="1138" w:name="_Toc93491948" w:displacedByCustomXml="prev"/>
        <w:bookmarkEnd w:id="1138" w:displacedByCustomXml="prev"/>
        <w:bookmarkStart w:id="1139" w:name="_Toc93489293" w:displacedByCustomXml="prev"/>
        <w:bookmarkEnd w:id="1139" w:displacedByCustomXml="prev"/>
        <w:bookmarkStart w:id="1140" w:name="_Toc92980632" w:displacedByCustomXml="prev"/>
        <w:bookmarkEnd w:id="1140" w:displacedByCustomXml="prev"/>
        <w:bookmarkStart w:id="1141" w:name="_Toc92990981" w:displacedByCustomXml="prev"/>
        <w:bookmarkEnd w:id="1141" w:displacedByCustomXml="prev"/>
        <w:bookmarkStart w:id="1142" w:name="_Toc93063465" w:displacedByCustomXml="prev"/>
        <w:bookmarkEnd w:id="1142" w:displacedByCustomXml="prev"/>
        <w:bookmarkStart w:id="1143" w:name="_Toc93073064" w:displacedByCustomXml="prev"/>
        <w:bookmarkEnd w:id="1143" w:displacedByCustomXml="prev"/>
        <w:bookmarkStart w:id="1144" w:name="_Toc93316508" w:displacedByCustomXml="prev"/>
        <w:bookmarkEnd w:id="1144" w:displacedByCustomXml="prev"/>
        <w:bookmarkStart w:id="1145" w:name="_Toc93334029" w:displacedByCustomXml="prev"/>
        <w:bookmarkEnd w:id="1145" w:displacedByCustomXml="prev"/>
        <w:bookmarkStart w:id="1146" w:name="_Toc93823673" w:displacedByCustomXml="prev"/>
        <w:bookmarkEnd w:id="1146" w:displacedByCustomXml="prev"/>
        <w:bookmarkStart w:id="1147" w:name="_Toc95477832" w:displacedByCustomXml="prev"/>
        <w:bookmarkEnd w:id="1147" w:displacedByCustomXml="prev"/>
        <w:bookmarkEnd w:id="1116" w:displacedByCustomXml="prev"/>
        <w:bookmarkEnd w:id="1115" w:displacedByCustomXml="prev"/>
        <w:bookmarkEnd w:id="1114" w:displacedByCustomXml="prev"/>
        <w:bookmarkEnd w:id="1113" w:displacedByCustomXml="prev"/>
        <w:bookmarkEnd w:id="1112" w:displacedByCustomXml="prev"/>
        <w:bookmarkEnd w:id="1111" w:displacedByCustomXml="prev"/>
        <w:bookmarkEnd w:id="1110" w:displacedByCustomXml="prev"/>
        <w:bookmarkEnd w:id="1109" w:displacedByCustomXml="prev"/>
        <w:bookmarkEnd w:id="1108" w:displacedByCustomXml="prev"/>
        <w:p w14:paraId="43566098" w14:textId="77777777" w:rsidR="00794432" w:rsidRPr="00794432" w:rsidRDefault="00412609" w:rsidP="00794432">
          <w:pPr>
            <w:rPr>
              <w:sz w:val="2"/>
              <w:szCs w:val="2"/>
            </w:rPr>
          </w:pPr>
          <w:r>
            <w:rPr>
              <w:rFonts w:ascii="Calibri" w:hAnsi="Calibri" w:cs="Calibri"/>
            </w:rPr>
            <w:br w:type="page"/>
          </w:r>
          <w:r w:rsidR="00794432" w:rsidRPr="00794432">
            <w:rPr>
              <w:sz w:val="2"/>
              <w:szCs w:val="2"/>
            </w:rPr>
            <w:lastRenderedPageBreak/>
            <w:t xml:space="preserve"> </w:t>
          </w:r>
        </w:p>
        <w:bookmarkStart w:id="1148" w:name="_Toc124100708" w:displacedByCustomXml="next"/>
        <w:bookmarkStart w:id="1149" w:name="_Toc123895377" w:displacedByCustomXml="next"/>
        <w:bookmarkStart w:id="1150" w:name="_Toc110851765" w:displacedByCustomXml="next"/>
        <w:bookmarkStart w:id="1151" w:name="_Toc95477833" w:displacedByCustomXml="next"/>
        <w:bookmarkStart w:id="1152" w:name="_Toc122514458" w:displacedByCustomXml="next"/>
        <w:bookmarkStart w:id="1153" w:name="_Toc120098978" w:displacedByCustomXml="next"/>
        <w:bookmarkStart w:id="1154" w:name="_Toc119572383" w:displacedByCustomXml="next"/>
        <w:bookmarkStart w:id="1155" w:name="_Toc119500928" w:displacedByCustomXml="next"/>
        <w:bookmarkStart w:id="1156" w:name="_Toc118308355" w:displacedByCustomXml="next"/>
        <w:bookmarkStart w:id="1157" w:name="_Toc118306363" w:displacedByCustomXml="next"/>
        <w:bookmarkStart w:id="1158" w:name="_Toc118304161" w:displacedByCustomXml="next"/>
        <w:bookmarkStart w:id="1159" w:name="_Toc118304130" w:displacedByCustomXml="next"/>
        <w:bookmarkStart w:id="1160" w:name="_Toc118199558" w:displacedByCustomXml="next"/>
        <w:bookmarkStart w:id="1161" w:name="_Toc118199004" w:displacedByCustomXml="next"/>
        <w:bookmarkStart w:id="1162" w:name="_Toc118198813" w:displacedByCustomXml="next"/>
        <w:bookmarkStart w:id="1163" w:name="_Toc118198398" w:displacedByCustomXml="next"/>
        <w:bookmarkStart w:id="1164" w:name="_Toc118196229" w:displacedByCustomXml="next"/>
        <w:bookmarkStart w:id="1165" w:name="_Toc118040377" w:displacedByCustomXml="next"/>
        <w:bookmarkStart w:id="1166" w:name="_Toc117960115" w:displacedByCustomXml="next"/>
        <w:bookmarkStart w:id="1167" w:name="_Toc117951468" w:displacedByCustomXml="next"/>
        <w:bookmarkStart w:id="1168" w:name="_Toc117888024" w:displacedByCustomXml="next"/>
        <w:bookmarkStart w:id="1169" w:name="_Toc117868009" w:displacedByCustomXml="next"/>
        <w:bookmarkStart w:id="1170" w:name="_Toc117630401" w:displacedByCustomXml="next"/>
        <w:bookmarkStart w:id="1171" w:name="_Toc117627736" w:displacedByCustomXml="next"/>
        <w:bookmarkStart w:id="1172" w:name="_Toc117612898" w:displacedByCustomXml="next"/>
        <w:bookmarkStart w:id="1173" w:name="_Toc117604816" w:displacedByCustomXml="next"/>
        <w:bookmarkStart w:id="1174" w:name="_Toc117588698" w:displacedByCustomXml="next"/>
        <w:bookmarkStart w:id="1175" w:name="_Toc117588654" w:displacedByCustomXml="next"/>
        <w:bookmarkStart w:id="1176" w:name="_Toc117548336" w:displacedByCustomXml="next"/>
        <w:bookmarkStart w:id="1177" w:name="_Toc117543985" w:displacedByCustomXml="next"/>
        <w:bookmarkStart w:id="1178" w:name="_Toc117524802" w:displacedByCustomXml="next"/>
        <w:bookmarkStart w:id="1179" w:name="_Toc117521055" w:displacedByCustomXml="next"/>
        <w:bookmarkStart w:id="1180" w:name="_Toc117499209" w:displacedByCustomXml="next"/>
        <w:bookmarkStart w:id="1181" w:name="_Toc117437261" w:displacedByCustomXml="next"/>
        <w:bookmarkStart w:id="1182" w:name="_Toc117263178" w:displacedByCustomXml="next"/>
        <w:bookmarkStart w:id="1183" w:name="_Toc117255437" w:displacedByCustomXml="next"/>
        <w:bookmarkStart w:id="1184" w:name="_Toc117176834" w:displacedByCustomXml="next"/>
        <w:bookmarkStart w:id="1185" w:name="_Toc111042156" w:displacedByCustomXml="next"/>
        <w:sdt>
          <w:sdtPr>
            <w:rPr>
              <w:rFonts w:asciiTheme="minorHAnsi" w:eastAsiaTheme="minorHAnsi" w:hAnsiTheme="minorHAnsi" w:cstheme="minorBidi"/>
              <w:color w:val="auto"/>
              <w:sz w:val="22"/>
              <w:szCs w:val="22"/>
              <w:lang w:val="en-AU"/>
            </w:rPr>
            <w:id w:val="1989899455"/>
            <w:docPartObj>
              <w:docPartGallery w:val="Cover Pages"/>
              <w:docPartUnique/>
            </w:docPartObj>
          </w:sdtPr>
          <w:sdtEndPr>
            <w:rPr>
              <w:rFonts w:cs="Calibri"/>
            </w:rPr>
          </w:sdtEndPr>
          <w:sdtContent>
            <w:p w14:paraId="064359C4" w14:textId="77777777" w:rsidR="00547238" w:rsidRPr="00FA4335" w:rsidRDefault="00547238" w:rsidP="00065494">
              <w:pPr>
                <w:pStyle w:val="Heading2"/>
                <w:numPr>
                  <w:ilvl w:val="0"/>
                  <w:numId w:val="0"/>
                </w:numPr>
                <w:ind w:left="567" w:hanging="567"/>
                <w:rPr>
                  <w:color w:val="083A42"/>
                </w:rPr>
              </w:pPr>
              <w:r w:rsidRPr="00FA4335">
                <w:t>Attachment A: Table of legislative provisions</w:t>
              </w:r>
              <w:bookmarkEnd w:id="1149"/>
              <w:bookmarkEnd w:id="1148"/>
            </w:p>
            <w:tbl>
              <w:tblPr>
                <w:tblW w:w="0" w:type="auto"/>
                <w:tblCellMar>
                  <w:left w:w="0" w:type="dxa"/>
                  <w:right w:w="0" w:type="dxa"/>
                </w:tblCellMar>
                <w:tblLook w:val="04A0" w:firstRow="1" w:lastRow="0" w:firstColumn="1" w:lastColumn="0" w:noHBand="0" w:noVBand="1"/>
              </w:tblPr>
              <w:tblGrid>
                <w:gridCol w:w="3921"/>
                <w:gridCol w:w="5085"/>
              </w:tblGrid>
              <w:tr w:rsidR="00547238" w14:paraId="64973180" w14:textId="77777777" w:rsidTr="00F35EB2">
                <w:tc>
                  <w:tcPr>
                    <w:tcW w:w="3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75EC3" w14:textId="77777777" w:rsidR="00547238" w:rsidRPr="00FF0510" w:rsidRDefault="00547238" w:rsidP="00F35EB2">
                    <w:pPr>
                      <w:rPr>
                        <w:b/>
                        <w:bCs/>
                      </w:rPr>
                    </w:pPr>
                    <w:r w:rsidRPr="00FF0510">
                      <w:rPr>
                        <w:b/>
                        <w:bCs/>
                      </w:rPr>
                      <w:t>Policy position</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5B3F46" w14:textId="77777777" w:rsidR="00547238" w:rsidRPr="00FF0510" w:rsidRDefault="00547238" w:rsidP="00F35EB2">
                    <w:pPr>
                      <w:rPr>
                        <w:b/>
                        <w:bCs/>
                      </w:rPr>
                    </w:pPr>
                    <w:r w:rsidRPr="00FF0510">
                      <w:rPr>
                        <w:b/>
                        <w:bCs/>
                      </w:rPr>
                      <w:t>Relevant provisions in Bill or Rules</w:t>
                    </w:r>
                  </w:p>
                </w:tc>
              </w:tr>
              <w:tr w:rsidR="00547238" w14:paraId="5F4CF6FC" w14:textId="77777777" w:rsidTr="00F35EB2">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2E9DF" w14:textId="77777777" w:rsidR="00547238" w:rsidRPr="00E52145" w:rsidRDefault="00547238" w:rsidP="00F35EB2">
                    <w:r w:rsidRPr="00E52145">
                      <w:t>Safeguard Mechanism’s share of 2030 targets</w:t>
                    </w:r>
                  </w:p>
                  <w:p w14:paraId="62E2D8D7" w14:textId="77777777" w:rsidR="00547238" w:rsidRPr="00E52145" w:rsidRDefault="00547238" w:rsidP="00F35EB2">
                    <w:pPr>
                      <w:rPr>
                        <w:rFonts w:ascii="Arial" w:hAnsi="Arial" w:cs="Arial"/>
                        <w:sz w:val="20"/>
                        <w:szCs w:val="20"/>
                      </w:rPr>
                    </w:pPr>
                  </w:p>
                  <w:p w14:paraId="33A59F3A" w14:textId="77777777" w:rsidR="00547238" w:rsidRPr="00E52145" w:rsidRDefault="00547238" w:rsidP="00F35EB2"/>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73DA35DB" w14:textId="77777777" w:rsidR="00547238" w:rsidRPr="00E52145" w:rsidRDefault="00547238" w:rsidP="00F35EB2">
                    <w:pPr>
                      <w:rPr>
                        <w:rFonts w:ascii="Calibri" w:hAnsi="Calibri" w:cs="Calibri"/>
                      </w:rPr>
                    </w:pPr>
                    <w:r w:rsidRPr="00E52145">
                      <w:t xml:space="preserve">Item 34 of Schedule 1 (new sections 25-31) of the </w:t>
                    </w:r>
                    <w:r w:rsidRPr="00E52145">
                      <w:rPr>
                        <w:i/>
                        <w:iCs/>
                      </w:rPr>
                      <w:t>National Greenhouse and Energy Reporting (Safeguard Mechanism) Amendment (Reforms) Rules 2023</w:t>
                    </w:r>
                    <w:r w:rsidRPr="00E52145">
                      <w:t xml:space="preserve"> (Safeguard Amendment Rules).</w:t>
                    </w:r>
                  </w:p>
                  <w:p w14:paraId="1550FED5" w14:textId="77777777" w:rsidR="00547238" w:rsidRPr="00E52145" w:rsidRDefault="00547238" w:rsidP="00F35EB2">
                    <w:r w:rsidRPr="00E52145">
                      <w:t xml:space="preserve">The Safeguard abatement task is reflected in the </w:t>
                    </w:r>
                    <w:r w:rsidRPr="00E52145">
                      <w:rPr>
                        <w:i/>
                        <w:iCs/>
                      </w:rPr>
                      <w:t>emissions reduction contribution</w:t>
                    </w:r>
                    <w:r w:rsidRPr="00E52145">
                      <w:t xml:space="preserve"> parameter used to decline a facility’s baseline. </w:t>
                    </w:r>
                  </w:p>
                </w:tc>
              </w:tr>
              <w:tr w:rsidR="00547238" w14:paraId="481D9CF2" w14:textId="77777777" w:rsidTr="00F35EB2">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C17EF" w14:textId="77777777" w:rsidR="00547238" w:rsidRPr="00E52145" w:rsidRDefault="00547238" w:rsidP="00F35EB2">
                    <w:r w:rsidRPr="00E52145">
                      <w:t>Setting baselines for existing facilities</w:t>
                    </w:r>
                  </w:p>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331F055D" w14:textId="77777777" w:rsidR="00547238" w:rsidRPr="00E52145" w:rsidRDefault="00547238" w:rsidP="00F35EB2">
                    <w:r w:rsidRPr="00E52145">
                      <w:t>Item 34 of Schedule 1 (new sections 10-18) of the Safeguard Amendment Rules.</w:t>
                    </w:r>
                    <w:r w:rsidRPr="00E52145">
                      <w:rPr>
                        <w:rFonts w:ascii="Arial" w:hAnsi="Arial" w:cs="Arial"/>
                      </w:rPr>
                      <w:t xml:space="preserve"> </w:t>
                    </w:r>
                  </w:p>
                </w:tc>
              </w:tr>
              <w:tr w:rsidR="00547238" w14:paraId="5B2FFFC3" w14:textId="77777777" w:rsidTr="00F35EB2">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AD9CA" w14:textId="77777777" w:rsidR="00547238" w:rsidRPr="00E52145" w:rsidRDefault="00547238" w:rsidP="00F35EB2">
                    <w:r w:rsidRPr="00E52145">
                      <w:t>Transition from existing arrangements</w:t>
                    </w:r>
                  </w:p>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2821E71C" w14:textId="77777777" w:rsidR="00547238" w:rsidRPr="00E52145" w:rsidRDefault="00547238" w:rsidP="00F35EB2">
                    <w:r w:rsidRPr="00E52145">
                      <w:t>Item 34 of Schedule 1 (new sections 10-12) of the Safeguard Amendment Rules.</w:t>
                    </w:r>
                  </w:p>
                  <w:p w14:paraId="37ABF703" w14:textId="77777777" w:rsidR="00547238" w:rsidRPr="00E52145" w:rsidRDefault="00547238" w:rsidP="00F35EB2">
                    <w:r w:rsidRPr="00E52145">
                      <w:t xml:space="preserve">The parameter </w:t>
                    </w:r>
                    <w:r w:rsidRPr="00E52145">
                      <w:rPr>
                        <w:i/>
                        <w:iCs/>
                      </w:rPr>
                      <w:t>h</w:t>
                    </w:r>
                    <w:r w:rsidRPr="00E52145">
                      <w:t xml:space="preserve"> is the proportion in the baseline calculation transitioning from using facility-specific to default emissions intensities.</w:t>
                    </w:r>
                    <w:r w:rsidRPr="00E52145">
                      <w:rPr>
                        <w:rFonts w:ascii="Arial" w:hAnsi="Arial" w:cs="Arial"/>
                      </w:rPr>
                      <w:t xml:space="preserve"> </w:t>
                    </w:r>
                  </w:p>
                </w:tc>
              </w:tr>
              <w:tr w:rsidR="00547238" w14:paraId="6DFB2D25" w14:textId="77777777" w:rsidTr="00F35EB2">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3B53A" w14:textId="77777777" w:rsidR="00547238" w:rsidRPr="00E52145" w:rsidRDefault="00547238" w:rsidP="00F35EB2">
                    <w:r w:rsidRPr="00E52145">
                      <w:t>Calculating site-specific emissions intensity values</w:t>
                    </w:r>
                  </w:p>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00FC66AA" w14:textId="77777777" w:rsidR="00547238" w:rsidRPr="00E52145" w:rsidRDefault="00547238" w:rsidP="00F35EB2">
                    <w:r w:rsidRPr="00E52145">
                      <w:t>Item 34 of Schedule 1 (new sections 13-22) of the Safeguard Amendment Rules.</w:t>
                    </w:r>
                  </w:p>
                </w:tc>
              </w:tr>
              <w:tr w:rsidR="00547238" w14:paraId="7A8009BC" w14:textId="77777777" w:rsidTr="00F35EB2">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FD6C8" w14:textId="77777777" w:rsidR="00547238" w:rsidRPr="00E52145" w:rsidRDefault="00547238" w:rsidP="00F35EB2">
                    <w:r w:rsidRPr="00E52145">
                      <w:t>Setting baselines for new facilities</w:t>
                    </w:r>
                  </w:p>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0CDFA315" w14:textId="77777777" w:rsidR="00547238" w:rsidRPr="00E52145" w:rsidRDefault="00547238" w:rsidP="00F35EB2">
                    <w:r w:rsidRPr="00E52145">
                      <w:t>Item 34 of Schedule 1 (new section 23) of the Safeguard Amendment Rules.</w:t>
                    </w:r>
                  </w:p>
                </w:tc>
              </w:tr>
              <w:tr w:rsidR="00547238" w14:paraId="3A2E9546" w14:textId="77777777" w:rsidTr="00F35EB2">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2587A" w14:textId="77777777" w:rsidR="00547238" w:rsidRPr="00E52145" w:rsidRDefault="00547238" w:rsidP="00F35EB2">
                    <w:r w:rsidRPr="00E52145">
                      <w:t>Issuing Safeguard Mechanism Credits</w:t>
                    </w:r>
                  </w:p>
                  <w:p w14:paraId="7E08F870" w14:textId="77777777" w:rsidR="00547238" w:rsidRPr="00E52145" w:rsidRDefault="00547238" w:rsidP="00F35EB2">
                    <w:pPr>
                      <w:rPr>
                        <w:rFonts w:ascii="Arial" w:hAnsi="Arial" w:cs="Arial"/>
                        <w:sz w:val="20"/>
                        <w:szCs w:val="20"/>
                      </w:rPr>
                    </w:pPr>
                  </w:p>
                  <w:p w14:paraId="392FE2C4" w14:textId="77777777" w:rsidR="00547238" w:rsidRPr="00E52145" w:rsidRDefault="00547238" w:rsidP="00F35EB2"/>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7D1B3943" w14:textId="77777777" w:rsidR="00547238" w:rsidRPr="00E52145" w:rsidRDefault="00547238" w:rsidP="00F35EB2">
                    <w:pPr>
                      <w:rPr>
                        <w:rFonts w:ascii="Calibri" w:hAnsi="Calibri" w:cs="Calibri"/>
                      </w:rPr>
                    </w:pPr>
                    <w:r w:rsidRPr="00E52145">
                      <w:t xml:space="preserve">Included in the </w:t>
                    </w:r>
                    <w:r w:rsidRPr="00E52145">
                      <w:rPr>
                        <w:i/>
                        <w:iCs/>
                      </w:rPr>
                      <w:t>Safeguard Mechanism (Crediting) Amendment Bill 2022</w:t>
                    </w:r>
                    <w:r w:rsidRPr="00E52145">
                      <w:t xml:space="preserve"> (Item 34 of Schedule 1, new section 22XNA and 22 XNC of the NGER Act).</w:t>
                    </w:r>
                  </w:p>
                  <w:p w14:paraId="1870CB29" w14:textId="77777777" w:rsidR="00547238" w:rsidRPr="00E52145" w:rsidRDefault="00547238" w:rsidP="00F35EB2">
                    <w:r w:rsidRPr="00E52145">
                      <w:t>Also, item 34 (new section</w:t>
                    </w:r>
                    <w:r>
                      <w:t>s</w:t>
                    </w:r>
                    <w:r w:rsidRPr="00E52145">
                      <w:t xml:space="preserve"> 42-43) of the Safeguard Amendment Rules.</w:t>
                    </w:r>
                  </w:p>
                </w:tc>
              </w:tr>
              <w:tr w:rsidR="00547238" w14:paraId="3A4CA2C7" w14:textId="77777777" w:rsidTr="00F35EB2">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16CCE" w14:textId="77777777" w:rsidR="00547238" w:rsidRPr="00E52145" w:rsidRDefault="00547238" w:rsidP="00F35EB2">
                    <w:r w:rsidRPr="00E52145">
                      <w:t>Trading Safeguard Mechanism Credits</w:t>
                    </w:r>
                  </w:p>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2557F487" w14:textId="77777777" w:rsidR="00547238" w:rsidRPr="00E52145" w:rsidRDefault="00547238" w:rsidP="00F35EB2">
                    <w:r w:rsidRPr="00E52145">
                      <w:t xml:space="preserve">Included in the </w:t>
                    </w:r>
                    <w:r w:rsidRPr="00E52145">
                      <w:rPr>
                        <w:i/>
                        <w:iCs/>
                      </w:rPr>
                      <w:t>Safeguard Mechanism (Crediting) Amendment Bill 2022</w:t>
                    </w:r>
                    <w:r w:rsidRPr="00E52145">
                      <w:t xml:space="preserve"> (Item 25 of Schedule 2, new sections 48A-48E of the ANREU Act) and supported by the </w:t>
                    </w:r>
                    <w:r w:rsidRPr="00E52145">
                      <w:rPr>
                        <w:i/>
                        <w:iCs/>
                      </w:rPr>
                      <w:t>Australian National Registry of Emissions Units Rules 2023</w:t>
                    </w:r>
                    <w:r w:rsidRPr="00E52145">
                      <w:t xml:space="preserve"> (ANREU Rules 2023).</w:t>
                    </w:r>
                  </w:p>
                </w:tc>
              </w:tr>
              <w:tr w:rsidR="00547238" w14:paraId="1772FC33" w14:textId="77777777" w:rsidTr="00F35EB2">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D8DED" w14:textId="77777777" w:rsidR="00547238" w:rsidRPr="00E52145" w:rsidRDefault="00547238" w:rsidP="00F35EB2">
                    <w:r w:rsidRPr="00E52145">
                      <w:t>Using Safeguard Mechanism Credits</w:t>
                    </w:r>
                  </w:p>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080A8A94" w14:textId="77777777" w:rsidR="00547238" w:rsidRPr="00E52145" w:rsidRDefault="00547238" w:rsidP="00F35EB2">
                    <w:r w:rsidRPr="00E52145">
                      <w:t xml:space="preserve">Included in the </w:t>
                    </w:r>
                    <w:r w:rsidRPr="00E52145">
                      <w:rPr>
                        <w:i/>
                        <w:iCs/>
                      </w:rPr>
                      <w:t>Safeguard Mechanism (Crediting) Amendment Bill 2022</w:t>
                    </w:r>
                    <w:r w:rsidRPr="00E52145">
                      <w:t xml:space="preserve"> (Item 30 of Schedule 1, new paragraph 22XM(1)(aa) of the NGER Act).</w:t>
                    </w:r>
                  </w:p>
                </w:tc>
              </w:tr>
              <w:tr w:rsidR="00547238" w14:paraId="040948C1" w14:textId="77777777" w:rsidTr="00F35EB2">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1FF5A" w14:textId="77777777" w:rsidR="00547238" w:rsidRPr="00E52145" w:rsidRDefault="00547238" w:rsidP="00F35EB2">
                    <w:r w:rsidRPr="00E52145">
                      <w:t>Borrowing from future baselines</w:t>
                    </w:r>
                  </w:p>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4BEDFCD5" w14:textId="77777777" w:rsidR="00547238" w:rsidRPr="00E52145" w:rsidRDefault="00547238" w:rsidP="00F35EB2">
                    <w:r w:rsidRPr="00E52145">
                      <w:t>Item 34 of Schedule 1 (new sections 37-40) of the Safeguard Amendment Rules.</w:t>
                    </w:r>
                  </w:p>
                </w:tc>
              </w:tr>
              <w:tr w:rsidR="00547238" w14:paraId="4E482AC8" w14:textId="77777777" w:rsidTr="00F35EB2">
                <w:tc>
                  <w:tcPr>
                    <w:tcW w:w="392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338D1A0" w14:textId="77777777" w:rsidR="00547238" w:rsidRPr="00E52145" w:rsidRDefault="00547238" w:rsidP="00F35EB2">
                    <w:r w:rsidRPr="00E52145">
                      <w:t>Prevention of new ACCU projects solely relating to Safeguard covered emissions</w:t>
                    </w:r>
                  </w:p>
                </w:tc>
                <w:tc>
                  <w:tcPr>
                    <w:tcW w:w="5085" w:type="dxa"/>
                    <w:tcBorders>
                      <w:top w:val="nil"/>
                      <w:left w:val="nil"/>
                      <w:bottom w:val="single" w:sz="4" w:space="0" w:color="auto"/>
                      <w:right w:val="single" w:sz="8" w:space="0" w:color="auto"/>
                    </w:tcBorders>
                    <w:tcMar>
                      <w:top w:w="0" w:type="dxa"/>
                      <w:left w:w="108" w:type="dxa"/>
                      <w:bottom w:w="0" w:type="dxa"/>
                      <w:right w:w="108" w:type="dxa"/>
                    </w:tcMar>
                    <w:hideMark/>
                  </w:tcPr>
                  <w:p w14:paraId="65CEEC32" w14:textId="77777777" w:rsidR="00547238" w:rsidRPr="00E52145" w:rsidRDefault="00547238" w:rsidP="00F35EB2">
                    <w:r w:rsidRPr="00E52145">
                      <w:t xml:space="preserve">Item 4 (new section 20) of the </w:t>
                    </w:r>
                    <w:r w:rsidRPr="00E52145">
                      <w:rPr>
                        <w:i/>
                        <w:iCs/>
                      </w:rPr>
                      <w:t>Carbon Credits (Carbon Farming Initiative) Amendment (No. 1) Rules 2023</w:t>
                    </w:r>
                    <w:r w:rsidRPr="00E52145">
                      <w:t xml:space="preserve"> (CFI Amendment No. 1 Rules 2023).</w:t>
                    </w:r>
                  </w:p>
                </w:tc>
              </w:tr>
              <w:tr w:rsidR="00547238" w14:paraId="20A8A543" w14:textId="77777777" w:rsidTr="00F35EB2">
                <w:tc>
                  <w:tcPr>
                    <w:tcW w:w="392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9E14B8" w14:textId="77777777" w:rsidR="00547238" w:rsidRPr="00E52145" w:rsidRDefault="00547238" w:rsidP="00F35EB2">
                    <w:r w:rsidRPr="00E52145">
                      <w:lastRenderedPageBreak/>
                      <w:t>Restriction on entry into new contracts for Government purchase of ACCUs relating to Safeguard covered emissions</w:t>
                    </w:r>
                  </w:p>
                </w:tc>
                <w:tc>
                  <w:tcPr>
                    <w:tcW w:w="50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88DBD6B" w14:textId="77777777" w:rsidR="00547238" w:rsidRPr="00E52145" w:rsidRDefault="00547238" w:rsidP="00F35EB2">
                    <w:r w:rsidRPr="00E52145">
                      <w:t xml:space="preserve">Provided for by the </w:t>
                    </w:r>
                    <w:r w:rsidRPr="00E52145">
                      <w:rPr>
                        <w:i/>
                        <w:iCs/>
                      </w:rPr>
                      <w:t>Safeguard Mechanism (Crediting) Amendment Bill 2022</w:t>
                    </w:r>
                    <w:r w:rsidRPr="00E52145">
                      <w:t xml:space="preserve"> (Item 1 of Schedule 4, new subsection 20C(3) of the </w:t>
                    </w:r>
                    <w:r w:rsidRPr="00E52145">
                      <w:rPr>
                        <w:i/>
                        <w:iCs/>
                      </w:rPr>
                      <w:t>Carbon Credits (Carbon Farming Initiative) Act 2011</w:t>
                    </w:r>
                    <w:r w:rsidRPr="00E52145">
                      <w:t xml:space="preserve">), together with Item 1 (new section 10A) of the </w:t>
                    </w:r>
                    <w:r w:rsidRPr="00E52145">
                      <w:rPr>
                        <w:i/>
                        <w:iCs/>
                      </w:rPr>
                      <w:t>Carbon Credits (Carbon Farming Initiative) Amendment (No. 2) Rules 2023</w:t>
                    </w:r>
                    <w:r w:rsidRPr="00E52145">
                      <w:t xml:space="preserve"> (CFI Amendment No. 2 Rules 2023).</w:t>
                    </w:r>
                  </w:p>
                </w:tc>
              </w:tr>
              <w:tr w:rsidR="00547238" w14:paraId="3A46FB4D" w14:textId="77777777" w:rsidTr="00F35EB2">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8CAB1" w14:textId="77777777" w:rsidR="00547238" w:rsidRPr="00E52145" w:rsidRDefault="00547238" w:rsidP="00F35EB2">
                    <w:r w:rsidRPr="00E52145">
                      <w:t>Grandfathering deemed surrender provisions for two years</w:t>
                    </w:r>
                  </w:p>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17E4A97E" w14:textId="77777777" w:rsidR="00547238" w:rsidRPr="00E52145" w:rsidRDefault="00547238" w:rsidP="00F35EB2">
                    <w:r w:rsidRPr="00E52145">
                      <w:t xml:space="preserve">Provided for by the </w:t>
                    </w:r>
                    <w:r w:rsidRPr="00E52145">
                      <w:rPr>
                        <w:i/>
                        <w:iCs/>
                      </w:rPr>
                      <w:t xml:space="preserve">Safeguard Mechanism (Crediting) Amendment Bill 2022 </w:t>
                    </w:r>
                    <w:r w:rsidRPr="00E52145">
                      <w:t>(Item 33 of Schedule 1, new subsection 22XN(7)), together with</w:t>
                    </w:r>
                    <w:r>
                      <w:t xml:space="preserve"> </w:t>
                    </w:r>
                    <w:r w:rsidRPr="00E52145">
                      <w:t>Item 53 of Schedule 1 (new sections 72C) of the Safeguard Amendment Rules.</w:t>
                    </w:r>
                  </w:p>
                </w:tc>
              </w:tr>
              <w:tr w:rsidR="00547238" w14:paraId="0AE1065F" w14:textId="77777777" w:rsidTr="00F35EB2">
                <w:trPr>
                  <w:trHeight w:val="966"/>
                </w:trPr>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3849D" w14:textId="77777777" w:rsidR="00547238" w:rsidRPr="00E52145" w:rsidRDefault="00547238" w:rsidP="00F35EB2">
                    <w:pPr>
                      <w:rPr>
                        <w:rFonts w:ascii="Calibri" w:hAnsi="Calibri"/>
                      </w:rPr>
                    </w:pPr>
                    <w:r w:rsidRPr="00E52145">
                      <w:t xml:space="preserve">Multi-year monitoring periods </w:t>
                    </w:r>
                  </w:p>
                  <w:p w14:paraId="7DA34FB3" w14:textId="77777777" w:rsidR="00547238" w:rsidRPr="00E52145" w:rsidRDefault="00547238" w:rsidP="00F35EB2"/>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7D358FF8" w14:textId="77777777" w:rsidR="00547238" w:rsidRPr="00E52145" w:rsidRDefault="00547238" w:rsidP="00F35EB2">
                    <w:r w:rsidRPr="00E52145">
                      <w:rPr>
                        <w:rFonts w:cs="Times New Roman"/>
                      </w:rPr>
                      <w:t>Items 35-44 of Schedule 1 (amendments to sections 65, 67 and 68, and new section 69A) of the Safeguard Amendment Rules</w:t>
                    </w:r>
                    <w:r w:rsidRPr="00E52145">
                      <w:t>.</w:t>
                    </w:r>
                  </w:p>
                </w:tc>
              </w:tr>
              <w:tr w:rsidR="00547238" w14:paraId="1B71AF0A" w14:textId="77777777" w:rsidTr="00F35EB2">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E25ED" w14:textId="77777777" w:rsidR="00547238" w:rsidRPr="00E52145" w:rsidRDefault="00547238" w:rsidP="00F35EB2">
                    <w:r w:rsidRPr="00E52145">
                      <w:t>Cost containment measure</w:t>
                    </w:r>
                  </w:p>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1AC1F6E0" w14:textId="77777777" w:rsidR="00547238" w:rsidRPr="00E52145" w:rsidRDefault="00547238" w:rsidP="00F35EB2">
                    <w:r w:rsidRPr="00E52145">
                      <w:t>Item 3 of Schedule 1 (new section 11A) of the CFI Amendment No. 1 Rules 2023.</w:t>
                    </w:r>
                  </w:p>
                  <w:p w14:paraId="1E28B9EE" w14:textId="77777777" w:rsidR="00547238" w:rsidRPr="00E52145" w:rsidRDefault="00547238" w:rsidP="00F35EB2">
                    <w:r w:rsidRPr="00E52145">
                      <w:t>Item 2 of Schedule 1 (new sections 11AB and 11AC) of the CFI Amendment No. 2 Rules</w:t>
                    </w:r>
                    <w:r>
                      <w:t xml:space="preserve"> 2023</w:t>
                    </w:r>
                    <w:r w:rsidRPr="00E52145">
                      <w:t>.</w:t>
                    </w:r>
                  </w:p>
                </w:tc>
              </w:tr>
              <w:tr w:rsidR="00547238" w14:paraId="45C75002" w14:textId="77777777" w:rsidTr="00F35EB2">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4C25C" w14:textId="77777777" w:rsidR="00547238" w:rsidRPr="00E52145" w:rsidRDefault="00547238" w:rsidP="00F35EB2">
                    <w:r w:rsidRPr="00E52145">
                      <w:t>Compliance dates for the duty to ensure an excess emissions situation does not exist, and for applications for determinations under the scheme</w:t>
                    </w:r>
                  </w:p>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15B13850" w14:textId="77777777" w:rsidR="00547238" w:rsidRPr="00E52145" w:rsidRDefault="00547238" w:rsidP="00F35EB2">
                    <w:r w:rsidRPr="00E52145">
                      <w:t xml:space="preserve">Included in the </w:t>
                    </w:r>
                    <w:r w:rsidRPr="00E52145">
                      <w:rPr>
                        <w:i/>
                        <w:iCs/>
                      </w:rPr>
                      <w:t>Safeguard Mechanism (Crediting) Amendment Bill 2022</w:t>
                    </w:r>
                    <w:r w:rsidRPr="00E52145">
                      <w:t xml:space="preserve"> (Item 24 of Schedule 1).</w:t>
                    </w:r>
                  </w:p>
                  <w:p w14:paraId="4ACA1653" w14:textId="77777777" w:rsidR="00547238" w:rsidRPr="00E52145" w:rsidRDefault="00547238" w:rsidP="00F35EB2">
                    <w:r w:rsidRPr="00E52145">
                      <w:t>Item 34 of Schedule 1 (new section 41) of the Safeguard Amendment Rules.</w:t>
                    </w:r>
                  </w:p>
                </w:tc>
              </w:tr>
              <w:tr w:rsidR="00547238" w14:paraId="028F9943" w14:textId="77777777" w:rsidTr="00F35EB2">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53F1C" w14:textId="77777777" w:rsidR="00547238" w:rsidRPr="00E52145" w:rsidRDefault="00547238" w:rsidP="00F35EB2">
                    <w:r w:rsidRPr="00E52145">
                      <w:t>Trade Exposed facilities</w:t>
                    </w:r>
                  </w:p>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0362DB9C" w14:textId="77777777" w:rsidR="00547238" w:rsidRPr="00E52145" w:rsidRDefault="00547238" w:rsidP="00F35EB2">
                    <w:r w:rsidRPr="00E52145">
                      <w:t>Item 58 (new Schedule 2) of the Safeguard Amendment Rules provides the list of trade-exposed production variables.</w:t>
                    </w:r>
                  </w:p>
                </w:tc>
              </w:tr>
              <w:tr w:rsidR="00547238" w14:paraId="2769D795" w14:textId="77777777" w:rsidTr="00F35EB2">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74B8C" w14:textId="77777777" w:rsidR="00547238" w:rsidRPr="00E52145" w:rsidRDefault="00547238" w:rsidP="00F35EB2">
                    <w:r w:rsidRPr="00E52145">
                      <w:t>Trade Exposed Baseline Adjusted facilities</w:t>
                    </w:r>
                  </w:p>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7F1A1A24" w14:textId="77777777" w:rsidR="00547238" w:rsidRPr="00E52145" w:rsidRDefault="00547238" w:rsidP="00F35EB2">
                    <w:r w:rsidRPr="00E52145">
                      <w:t>Item 34 (new sections 28-36) of the Safeguard Amendment Rules.</w:t>
                    </w:r>
                  </w:p>
                </w:tc>
              </w:tr>
              <w:tr w:rsidR="00547238" w14:paraId="173E5AB6" w14:textId="77777777" w:rsidTr="00F35EB2">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03663" w14:textId="77777777" w:rsidR="00547238" w:rsidRPr="00E52145" w:rsidRDefault="00547238" w:rsidP="00F35EB2">
                    <w:r w:rsidRPr="00E52145">
                      <w:t>Baseline decline rates</w:t>
                    </w:r>
                  </w:p>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2BB343D7" w14:textId="77777777" w:rsidR="00547238" w:rsidRPr="00E52145" w:rsidRDefault="00547238" w:rsidP="00F35EB2">
                    <w:r w:rsidRPr="00E52145">
                      <w:t>Item 34 (new sections 25-31) of the Safeguard Amendment Rules.</w:t>
                    </w:r>
                  </w:p>
                </w:tc>
              </w:tr>
              <w:tr w:rsidR="00547238" w14:paraId="7134D1CC" w14:textId="77777777" w:rsidTr="00F35EB2">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AB628" w14:textId="77777777" w:rsidR="00547238" w:rsidRPr="00E52145" w:rsidRDefault="00547238" w:rsidP="00F35EB2">
                    <w:r w:rsidRPr="00E52145">
                      <w:t>Civil penalties</w:t>
                    </w:r>
                  </w:p>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579B05A8" w14:textId="77777777" w:rsidR="00547238" w:rsidRPr="00E52145" w:rsidRDefault="00547238" w:rsidP="00F35EB2">
                    <w:r w:rsidRPr="00E52145">
                      <w:t xml:space="preserve">Included in the </w:t>
                    </w:r>
                    <w:r w:rsidRPr="00E52145">
                      <w:rPr>
                        <w:i/>
                        <w:iCs/>
                      </w:rPr>
                      <w:t>Safeguard Mechanism (Crediting) Amendment Bill 2022</w:t>
                    </w:r>
                    <w:r w:rsidRPr="00E52145">
                      <w:t xml:space="preserve"> (Items 25-26 of Schedule 1).</w:t>
                    </w:r>
                  </w:p>
                </w:tc>
              </w:tr>
              <w:tr w:rsidR="00547238" w14:paraId="781589C1" w14:textId="77777777" w:rsidTr="00F35EB2">
                <w:tc>
                  <w:tcPr>
                    <w:tcW w:w="3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18229" w14:textId="77777777" w:rsidR="00547238" w:rsidRPr="00E52145" w:rsidRDefault="00547238" w:rsidP="00F35EB2">
                    <w:r w:rsidRPr="00E52145">
                      <w:t>Anti-avoidance provision</w:t>
                    </w:r>
                  </w:p>
                </w:tc>
                <w:tc>
                  <w:tcPr>
                    <w:tcW w:w="5085" w:type="dxa"/>
                    <w:tcBorders>
                      <w:top w:val="nil"/>
                      <w:left w:val="nil"/>
                      <w:bottom w:val="single" w:sz="8" w:space="0" w:color="auto"/>
                      <w:right w:val="single" w:sz="8" w:space="0" w:color="auto"/>
                    </w:tcBorders>
                    <w:tcMar>
                      <w:top w:w="0" w:type="dxa"/>
                      <w:left w:w="108" w:type="dxa"/>
                      <w:bottom w:w="0" w:type="dxa"/>
                      <w:right w:w="108" w:type="dxa"/>
                    </w:tcMar>
                    <w:hideMark/>
                  </w:tcPr>
                  <w:p w14:paraId="41CB2CE5" w14:textId="77777777" w:rsidR="00547238" w:rsidRPr="00E52145" w:rsidRDefault="00547238" w:rsidP="00F35EB2">
                    <w:r w:rsidRPr="00E52145">
                      <w:t xml:space="preserve">Included in the </w:t>
                    </w:r>
                    <w:r w:rsidRPr="00E52145">
                      <w:rPr>
                        <w:i/>
                        <w:iCs/>
                      </w:rPr>
                      <w:t>Safeguard Mechanism (Crediting) Amendment Bill 2022</w:t>
                    </w:r>
                    <w:r w:rsidRPr="00E52145">
                      <w:t xml:space="preserve"> (Item 46 of Schedule 1).</w:t>
                    </w:r>
                  </w:p>
                  <w:p w14:paraId="2A862A67" w14:textId="77777777" w:rsidR="00547238" w:rsidRPr="00E52145" w:rsidRDefault="00547238" w:rsidP="00F35EB2">
                    <w:r w:rsidRPr="00E52145">
                      <w:t>Item 33 (new subsection 7(3)) of the Safeguard Amendment Rules.</w:t>
                    </w:r>
                  </w:p>
                </w:tc>
              </w:tr>
            </w:tbl>
            <w:p w14:paraId="6D52B73C" w14:textId="77777777" w:rsidR="00547238" w:rsidRDefault="00547238" w:rsidP="00547238">
              <w:pPr>
                <w:rPr>
                  <w:rFonts w:ascii="Calibri" w:hAnsi="Calibri" w:cs="Calibri"/>
                  <w:color w:val="1F497D"/>
                </w:rPr>
              </w:pPr>
            </w:p>
            <w:p w14:paraId="194C5809" w14:textId="77777777" w:rsidR="00547238" w:rsidRPr="00794432" w:rsidRDefault="00547238" w:rsidP="00547238">
              <w:pPr>
                <w:rPr>
                  <w:sz w:val="2"/>
                  <w:szCs w:val="2"/>
                </w:rPr>
              </w:pPr>
              <w:r>
                <w:rPr>
                  <w:rFonts w:ascii="Calibri" w:hAnsi="Calibri" w:cs="Calibri"/>
                </w:rPr>
                <w:br w:type="page"/>
              </w:r>
              <w:r w:rsidRPr="00794432">
                <w:rPr>
                  <w:sz w:val="2"/>
                  <w:szCs w:val="2"/>
                </w:rPr>
                <w:lastRenderedPageBreak/>
                <w:t xml:space="preserve"> </w:t>
              </w:r>
            </w:p>
            <w:p w14:paraId="339B43D7" w14:textId="51690EC7" w:rsidR="00547238" w:rsidRDefault="00D4117C" w:rsidP="00547238"/>
          </w:sdtContent>
        </w:sdt>
        <w:bookmarkEnd w:id="1185"/>
        <w:bookmarkEnd w:id="1184"/>
        <w:bookmarkEnd w:id="1183"/>
        <w:bookmarkEnd w:id="1182"/>
        <w:bookmarkEnd w:id="1181"/>
        <w:bookmarkEnd w:id="1180"/>
        <w:bookmarkEnd w:id="1179"/>
        <w:bookmarkEnd w:id="1178"/>
        <w:bookmarkEnd w:id="1177"/>
        <w:bookmarkEnd w:id="1176"/>
        <w:bookmarkEnd w:id="1175"/>
        <w:bookmarkEnd w:id="1174"/>
        <w:bookmarkEnd w:id="1173"/>
        <w:bookmarkEnd w:id="1172"/>
        <w:bookmarkEnd w:id="1171"/>
        <w:bookmarkEnd w:id="1170"/>
        <w:bookmarkEnd w:id="1169"/>
        <w:bookmarkEnd w:id="1168"/>
        <w:bookmarkEnd w:id="1167"/>
        <w:bookmarkEnd w:id="1166"/>
        <w:bookmarkEnd w:id="1165"/>
        <w:bookmarkEnd w:id="1164"/>
        <w:bookmarkEnd w:id="1163"/>
        <w:bookmarkEnd w:id="1162"/>
        <w:bookmarkEnd w:id="1161"/>
        <w:bookmarkEnd w:id="1160"/>
        <w:bookmarkEnd w:id="1159"/>
        <w:bookmarkEnd w:id="1158"/>
        <w:bookmarkEnd w:id="1157"/>
        <w:bookmarkEnd w:id="1156"/>
        <w:bookmarkEnd w:id="1155"/>
        <w:bookmarkEnd w:id="1154"/>
        <w:bookmarkEnd w:id="1153"/>
        <w:bookmarkEnd w:id="1152"/>
        <w:bookmarkEnd w:id="1151"/>
        <w:bookmarkEnd w:id="1150"/>
        <w:p w14:paraId="518B2065" w14:textId="02180CFB" w:rsidR="00B15D38" w:rsidRPr="00065494" w:rsidRDefault="00B15D38" w:rsidP="00065494">
          <w:pPr>
            <w:rPr>
              <w:color w:val="F4B083" w:themeColor="accent2" w:themeTint="99"/>
              <w:sz w:val="36"/>
              <w:szCs w:val="36"/>
            </w:rPr>
          </w:pPr>
          <w:r w:rsidRPr="00065494">
            <w:rPr>
              <w:color w:val="C45911" w:themeColor="accent2" w:themeShade="BF"/>
              <w:sz w:val="36"/>
              <w:szCs w:val="36"/>
            </w:rPr>
            <w:t>Glossary and acronyms</w:t>
          </w:r>
        </w:p>
        <w:p w14:paraId="01A6D002" w14:textId="77777777" w:rsidR="007D0305" w:rsidRPr="007D0305" w:rsidRDefault="007D0305" w:rsidP="007D0305">
          <w:pPr>
            <w:rPr>
              <w:rFonts w:ascii="Calibri" w:hAnsi="Calibri" w:cs="Calibri"/>
            </w:rPr>
          </w:pPr>
          <w:r w:rsidRPr="007D0305">
            <w:rPr>
              <w:rFonts w:ascii="Calibri" w:hAnsi="Calibri" w:cs="Calibri"/>
              <w:b/>
            </w:rPr>
            <w:t>Australian carbon credit unit (ACCU)</w:t>
          </w:r>
          <w:r w:rsidRPr="007D0305">
            <w:rPr>
              <w:rFonts w:ascii="Calibri" w:hAnsi="Calibri" w:cs="Calibri"/>
            </w:rPr>
            <w:t xml:space="preserve"> - A unit that represents one tonne of carbon dioxide equivalent (t CO</w:t>
          </w:r>
          <w:r w:rsidRPr="007D0305">
            <w:rPr>
              <w:rFonts w:ascii="Calibri" w:hAnsi="Calibri" w:cs="Calibri"/>
              <w:vertAlign w:val="subscript"/>
            </w:rPr>
            <w:t>2</w:t>
          </w:r>
          <w:r w:rsidRPr="007D0305">
            <w:rPr>
              <w:rFonts w:ascii="Calibri" w:hAnsi="Calibri" w:cs="Calibri"/>
            </w:rPr>
            <w:t>-e) stored or avoided by a</w:t>
          </w:r>
          <w:r w:rsidR="003F240A">
            <w:rPr>
              <w:rFonts w:ascii="Calibri" w:hAnsi="Calibri" w:cs="Calibri"/>
            </w:rPr>
            <w:t xml:space="preserve"> project established under the </w:t>
          </w:r>
          <w:r w:rsidR="003F240A" w:rsidRPr="00A52290">
            <w:rPr>
              <w:rFonts w:ascii="Calibri" w:hAnsi="Calibri" w:cs="Calibri"/>
              <w:i/>
            </w:rPr>
            <w:t xml:space="preserve">Carbon Credits (Carbon Farming Initiative) Act </w:t>
          </w:r>
          <w:r w:rsidR="003F240A">
            <w:rPr>
              <w:rFonts w:ascii="Calibri" w:hAnsi="Calibri" w:cs="Calibri"/>
            </w:rPr>
            <w:t xml:space="preserve">2011. </w:t>
          </w:r>
        </w:p>
        <w:p w14:paraId="7786954B" w14:textId="77777777" w:rsidR="007D0305" w:rsidRPr="007D0305" w:rsidRDefault="007D0305" w:rsidP="007D0305">
          <w:pPr>
            <w:rPr>
              <w:rFonts w:ascii="Calibri" w:hAnsi="Calibri" w:cs="Calibri"/>
              <w:b/>
            </w:rPr>
          </w:pPr>
          <w:r w:rsidRPr="007D0305">
            <w:rPr>
              <w:rFonts w:ascii="Calibri" w:hAnsi="Calibri" w:cs="Calibri"/>
              <w:b/>
            </w:rPr>
            <w:t xml:space="preserve">ARENA </w:t>
          </w:r>
          <w:r w:rsidRPr="007D0305">
            <w:rPr>
              <w:rFonts w:ascii="Calibri" w:hAnsi="Calibri" w:cs="Calibri"/>
            </w:rPr>
            <w:t>-</w:t>
          </w:r>
          <w:r w:rsidRPr="007D0305">
            <w:rPr>
              <w:rFonts w:ascii="Calibri" w:hAnsi="Calibri" w:cs="Calibri"/>
              <w:b/>
            </w:rPr>
            <w:t xml:space="preserve"> </w:t>
          </w:r>
          <w:r w:rsidRPr="007D0305">
            <w:rPr>
              <w:rFonts w:ascii="Calibri" w:hAnsi="Calibri" w:cs="Calibri"/>
            </w:rPr>
            <w:t>The Aust</w:t>
          </w:r>
          <w:r w:rsidR="003C4728">
            <w:rPr>
              <w:rFonts w:ascii="Calibri" w:hAnsi="Calibri" w:cs="Calibri"/>
            </w:rPr>
            <w:t>ralian Renewable Energy Agency</w:t>
          </w:r>
        </w:p>
        <w:p w14:paraId="011A63C6" w14:textId="77777777" w:rsidR="007D0305" w:rsidRPr="007D0305" w:rsidRDefault="007D0305" w:rsidP="007D0305">
          <w:pPr>
            <w:rPr>
              <w:rFonts w:ascii="Calibri" w:hAnsi="Calibri" w:cs="Calibri"/>
            </w:rPr>
          </w:pPr>
          <w:r w:rsidRPr="007D0305">
            <w:rPr>
              <w:rFonts w:ascii="Calibri" w:hAnsi="Calibri" w:cs="Calibri"/>
              <w:b/>
            </w:rPr>
            <w:t xml:space="preserve">Calculated baseline </w:t>
          </w:r>
          <w:r w:rsidRPr="007D0305">
            <w:rPr>
              <w:rFonts w:ascii="Calibri" w:hAnsi="Calibri" w:cs="Calibri"/>
            </w:rPr>
            <w:t xml:space="preserve">- A type of </w:t>
          </w:r>
          <w:r w:rsidR="007635D0">
            <w:rPr>
              <w:rFonts w:ascii="Calibri" w:hAnsi="Calibri" w:cs="Calibri"/>
            </w:rPr>
            <w:t xml:space="preserve">fixed </w:t>
          </w:r>
          <w:r w:rsidRPr="007D0305">
            <w:rPr>
              <w:rFonts w:ascii="Calibri" w:hAnsi="Calibri" w:cs="Calibri"/>
            </w:rPr>
            <w:t>Safeguard baseline that is calculated by the sum of ‘production’ multiplied by the ‘emissions-intensity of production’ for each relevant production variable nominated by the facility.  It can be calculated using either prescribed production variables and default emissions intensities or facility-specific production variables and estimated emissions intensity values, or a combination.</w:t>
          </w:r>
        </w:p>
        <w:p w14:paraId="6C7255CE" w14:textId="77777777" w:rsidR="007D0305" w:rsidRPr="007D0305" w:rsidRDefault="007D0305" w:rsidP="007D0305">
          <w:pPr>
            <w:rPr>
              <w:rFonts w:ascii="Calibri" w:hAnsi="Calibri" w:cs="Calibri"/>
              <w:b/>
            </w:rPr>
          </w:pPr>
          <w:r w:rsidRPr="007D0305">
            <w:rPr>
              <w:rFonts w:ascii="Calibri" w:hAnsi="Calibri" w:cs="Calibri"/>
              <w:b/>
            </w:rPr>
            <w:t>Carbon dioxide equivalent (CO</w:t>
          </w:r>
          <w:r w:rsidRPr="007D0305">
            <w:rPr>
              <w:rFonts w:ascii="Calibri" w:hAnsi="Calibri" w:cs="Calibri"/>
              <w:b/>
              <w:vertAlign w:val="subscript"/>
            </w:rPr>
            <w:t>2</w:t>
          </w:r>
          <w:r w:rsidRPr="007D0305">
            <w:rPr>
              <w:rFonts w:ascii="Calibri" w:hAnsi="Calibri" w:cs="Calibri"/>
              <w:b/>
            </w:rPr>
            <w:t>-e)</w:t>
          </w:r>
          <w:r w:rsidRPr="007D0305">
            <w:rPr>
              <w:rFonts w:ascii="Calibri" w:hAnsi="Calibri" w:cs="Calibri"/>
            </w:rPr>
            <w:t xml:space="preserve"> - A standard unit of emissions used to compare the emissions from different greenhouse gases on the basis of their global warming potential. </w:t>
          </w:r>
        </w:p>
        <w:p w14:paraId="7952A67C" w14:textId="77777777" w:rsidR="007D0305" w:rsidRPr="007D0305" w:rsidRDefault="007D0305" w:rsidP="007D0305">
          <w:pPr>
            <w:rPr>
              <w:rFonts w:ascii="Calibri" w:hAnsi="Calibri" w:cs="Calibri"/>
            </w:rPr>
          </w:pPr>
          <w:r w:rsidRPr="007D0305">
            <w:rPr>
              <w:rFonts w:ascii="Calibri" w:hAnsi="Calibri" w:cs="Calibri"/>
              <w:b/>
            </w:rPr>
            <w:t xml:space="preserve">CEFC </w:t>
          </w:r>
          <w:r w:rsidRPr="007D0305">
            <w:rPr>
              <w:rFonts w:ascii="Calibri" w:hAnsi="Calibri" w:cs="Calibri"/>
            </w:rPr>
            <w:t>- Cl</w:t>
          </w:r>
          <w:r w:rsidR="001264EC">
            <w:rPr>
              <w:rFonts w:ascii="Calibri" w:hAnsi="Calibri" w:cs="Calibri"/>
            </w:rPr>
            <w:t>ean Energy Finance Corporation</w:t>
          </w:r>
        </w:p>
        <w:p w14:paraId="72C9E8F1" w14:textId="77777777" w:rsidR="00C91950" w:rsidRDefault="00C91950" w:rsidP="007D0305">
          <w:pPr>
            <w:rPr>
              <w:rFonts w:ascii="Calibri" w:hAnsi="Calibri" w:cs="Calibri"/>
              <w:b/>
            </w:rPr>
          </w:pPr>
          <w:r>
            <w:rPr>
              <w:rFonts w:ascii="Calibri" w:hAnsi="Calibri" w:cs="Calibri"/>
              <w:b/>
            </w:rPr>
            <w:t>Domestic offset</w:t>
          </w:r>
          <w:r>
            <w:rPr>
              <w:rFonts w:ascii="Calibri" w:hAnsi="Calibri" w:cs="Calibri"/>
            </w:rPr>
            <w:t xml:space="preserve"> – Refers to an Australian carbon credit unit.</w:t>
          </w:r>
        </w:p>
        <w:p w14:paraId="46FA562B" w14:textId="77777777" w:rsidR="00C91950" w:rsidRPr="00C817DC" w:rsidRDefault="00C91950" w:rsidP="007D0305">
          <w:pPr>
            <w:rPr>
              <w:rFonts w:ascii="Calibri" w:hAnsi="Calibri" w:cs="Calibri"/>
            </w:rPr>
          </w:pPr>
          <w:r>
            <w:rPr>
              <w:rFonts w:ascii="Calibri" w:hAnsi="Calibri" w:cs="Calibri"/>
              <w:b/>
            </w:rPr>
            <w:t>EITE</w:t>
          </w:r>
          <w:r w:rsidR="009E7DF7">
            <w:rPr>
              <w:rFonts w:ascii="Calibri" w:hAnsi="Calibri" w:cs="Calibri"/>
            </w:rPr>
            <w:t xml:space="preserve"> – Emissions-</w:t>
          </w:r>
          <w:r>
            <w:rPr>
              <w:rFonts w:ascii="Calibri" w:hAnsi="Calibri" w:cs="Calibri"/>
            </w:rPr>
            <w:t>intensive</w:t>
          </w:r>
          <w:r w:rsidR="009E7DF7">
            <w:rPr>
              <w:rFonts w:ascii="Calibri" w:hAnsi="Calibri" w:cs="Calibri"/>
            </w:rPr>
            <w:t>, trade-</w:t>
          </w:r>
          <w:r>
            <w:rPr>
              <w:rFonts w:ascii="Calibri" w:hAnsi="Calibri" w:cs="Calibri"/>
            </w:rPr>
            <w:t>exposed</w:t>
          </w:r>
        </w:p>
        <w:p w14:paraId="0CC889C3" w14:textId="77777777" w:rsidR="007D0305" w:rsidRPr="007D0305" w:rsidDel="003F240A" w:rsidRDefault="007D0305" w:rsidP="007D0305">
          <w:pPr>
            <w:rPr>
              <w:rFonts w:ascii="Calibri" w:hAnsi="Calibri" w:cs="Calibri"/>
            </w:rPr>
          </w:pPr>
          <w:r w:rsidRPr="007D0305" w:rsidDel="003F240A">
            <w:rPr>
              <w:rFonts w:ascii="Calibri" w:hAnsi="Calibri" w:cs="Calibri"/>
              <w:b/>
            </w:rPr>
            <w:t>Emissions Reduction Fund (ERF)</w:t>
          </w:r>
          <w:r w:rsidRPr="007D0305" w:rsidDel="003F240A">
            <w:rPr>
              <w:rFonts w:ascii="Calibri" w:hAnsi="Calibri" w:cs="Calibri"/>
            </w:rPr>
            <w:t xml:space="preserve"> - Refers to a set of mechanisms designed to help Australia reduce its emissions. The ERF credits abatement delivered through projects undertaken in accordance with approved abatement calculation methods.  </w:t>
          </w:r>
        </w:p>
        <w:p w14:paraId="0459C507" w14:textId="77777777" w:rsidR="007D0305" w:rsidRPr="007D0305" w:rsidRDefault="007D0305" w:rsidP="007D0305">
          <w:pPr>
            <w:tabs>
              <w:tab w:val="left" w:pos="1800"/>
            </w:tabs>
            <w:rPr>
              <w:rFonts w:ascii="Calibri" w:hAnsi="Calibri" w:cs="Calibri"/>
              <w:b/>
            </w:rPr>
          </w:pPr>
          <w:r w:rsidRPr="007D0305">
            <w:rPr>
              <w:rFonts w:ascii="Calibri" w:hAnsi="Calibri" w:cs="Calibri"/>
              <w:b/>
            </w:rPr>
            <w:t xml:space="preserve">Headroom </w:t>
          </w:r>
          <w:r w:rsidRPr="007D0305">
            <w:rPr>
              <w:rFonts w:ascii="Calibri" w:hAnsi="Calibri" w:cs="Calibri"/>
            </w:rPr>
            <w:t>- The gap between baseline values and lower reported emissions. The term can be used both at a facility level and at an aggregated level.</w:t>
          </w:r>
        </w:p>
        <w:p w14:paraId="02E84017" w14:textId="77777777" w:rsidR="007D0305" w:rsidRPr="007D0305" w:rsidRDefault="007D0305" w:rsidP="007D0305">
          <w:pPr>
            <w:tabs>
              <w:tab w:val="left" w:pos="1800"/>
            </w:tabs>
            <w:rPr>
              <w:rFonts w:ascii="Calibri" w:hAnsi="Calibri" w:cs="Calibri"/>
            </w:rPr>
          </w:pPr>
          <w:r w:rsidRPr="007D0305">
            <w:rPr>
              <w:rFonts w:ascii="Calibri" w:hAnsi="Calibri" w:cs="Calibri"/>
              <w:b/>
            </w:rPr>
            <w:t>Multi-year monitoring period</w:t>
          </w:r>
          <w:r w:rsidRPr="007D0305">
            <w:rPr>
              <w:rFonts w:ascii="Calibri" w:hAnsi="Calibri" w:cs="Calibri"/>
            </w:rPr>
            <w:t xml:space="preserve"> - Safeguard facilities that exceed their baseline can apply for a multi-year monitoring period. Under a multi-year monitoring period, a facility can exceed its baseline in one year, so long as average </w:t>
          </w:r>
          <w:r w:rsidR="007635D0">
            <w:rPr>
              <w:rFonts w:ascii="Calibri" w:hAnsi="Calibri" w:cs="Calibri"/>
            </w:rPr>
            <w:t>net-</w:t>
          </w:r>
          <w:r w:rsidRPr="007D0305">
            <w:rPr>
              <w:rFonts w:ascii="Calibri" w:hAnsi="Calibri" w:cs="Calibri"/>
            </w:rPr>
            <w:t>emissions over a 2 or 3 year period remain below the facility’s average baseline over that period.</w:t>
          </w:r>
        </w:p>
        <w:p w14:paraId="22EF5BB8" w14:textId="77777777" w:rsidR="007D0305" w:rsidRPr="007D0305" w:rsidRDefault="007D0305" w:rsidP="007D0305">
          <w:pPr>
            <w:tabs>
              <w:tab w:val="left" w:pos="1800"/>
            </w:tabs>
            <w:rPr>
              <w:rFonts w:ascii="Calibri" w:hAnsi="Calibri" w:cs="Calibri"/>
              <w:b/>
            </w:rPr>
          </w:pPr>
          <w:r w:rsidRPr="007D0305">
            <w:rPr>
              <w:rFonts w:ascii="Calibri" w:hAnsi="Calibri" w:cs="Calibri"/>
              <w:b/>
            </w:rPr>
            <w:t xml:space="preserve">National Reconstruction Fund (NRF) </w:t>
          </w:r>
          <w:r w:rsidRPr="007D0305">
            <w:rPr>
              <w:rFonts w:ascii="Calibri" w:hAnsi="Calibri" w:cs="Calibri"/>
            </w:rPr>
            <w:t>- Policy announced in June 2022 to provide up to $3 billion investment to support renewables manufacturing and low emissions technologies.</w:t>
          </w:r>
        </w:p>
        <w:p w14:paraId="539E5F83" w14:textId="77777777" w:rsidR="007D0305" w:rsidRPr="007D0305" w:rsidRDefault="007D0305" w:rsidP="007D0305">
          <w:pPr>
            <w:tabs>
              <w:tab w:val="left" w:pos="1800"/>
            </w:tabs>
            <w:rPr>
              <w:rFonts w:ascii="Calibri" w:hAnsi="Calibri" w:cs="Calibri"/>
              <w:b/>
            </w:rPr>
          </w:pPr>
          <w:r w:rsidRPr="007D0305">
            <w:rPr>
              <w:rFonts w:ascii="Calibri" w:hAnsi="Calibri" w:cs="Calibri"/>
              <w:b/>
            </w:rPr>
            <w:t xml:space="preserve">Nationally Determined Contribution (NDC) </w:t>
          </w:r>
          <w:r w:rsidRPr="007D0305">
            <w:rPr>
              <w:rFonts w:ascii="Calibri" w:hAnsi="Calibri" w:cs="Calibri"/>
            </w:rPr>
            <w:t>- Emissions reduction commitments required to be submitted under the Paris Agreement, a legally binding international treaty on climate change.</w:t>
          </w:r>
        </w:p>
        <w:p w14:paraId="7DC301DF" w14:textId="77777777" w:rsidR="007D0305" w:rsidRPr="007D0305" w:rsidRDefault="007D0305" w:rsidP="007D0305">
          <w:pPr>
            <w:tabs>
              <w:tab w:val="left" w:pos="1800"/>
            </w:tabs>
            <w:rPr>
              <w:rFonts w:ascii="Calibri" w:hAnsi="Calibri" w:cs="Calibri"/>
            </w:rPr>
          </w:pPr>
          <w:r w:rsidRPr="007D0305">
            <w:rPr>
              <w:rFonts w:ascii="Calibri" w:hAnsi="Calibri" w:cs="Calibri"/>
              <w:b/>
            </w:rPr>
            <w:t>Net emissions number</w:t>
          </w:r>
          <w:r w:rsidRPr="007D0305">
            <w:rPr>
              <w:rFonts w:ascii="Calibri" w:hAnsi="Calibri" w:cs="Calibri"/>
            </w:rPr>
            <w:t xml:space="preserve"> - The number of tonnes of carbon dioxide equivalence of the total amount of covered emissions of greenhouse gases from the operation of the facility during a specified period.</w:t>
          </w:r>
        </w:p>
        <w:p w14:paraId="3D2BCDAF" w14:textId="77777777" w:rsidR="007D0305" w:rsidRPr="007D0305" w:rsidRDefault="007D0305" w:rsidP="007D0305">
          <w:pPr>
            <w:tabs>
              <w:tab w:val="left" w:pos="1800"/>
            </w:tabs>
            <w:rPr>
              <w:rFonts w:ascii="Calibri" w:hAnsi="Calibri" w:cs="Calibri"/>
              <w:b/>
            </w:rPr>
          </w:pPr>
          <w:r w:rsidRPr="007D0305">
            <w:rPr>
              <w:rFonts w:ascii="Calibri" w:hAnsi="Calibri" w:cs="Calibri"/>
              <w:b/>
            </w:rPr>
            <w:t xml:space="preserve">Net zero </w:t>
          </w:r>
          <w:r w:rsidRPr="007D0305">
            <w:rPr>
              <w:rFonts w:ascii="Calibri" w:hAnsi="Calibri" w:cs="Calibri"/>
            </w:rPr>
            <w:t>– Where emissions are close to zero, with any remaining emissions re-absorbed from the atmosphere</w:t>
          </w:r>
          <w:r w:rsidR="00930766">
            <w:rPr>
              <w:rFonts w:ascii="Calibri" w:hAnsi="Calibri" w:cs="Calibri"/>
            </w:rPr>
            <w:t xml:space="preserve"> through additional actions</w:t>
          </w:r>
          <w:r w:rsidRPr="007D0305">
            <w:rPr>
              <w:rFonts w:ascii="Calibri" w:hAnsi="Calibri" w:cs="Calibri"/>
            </w:rPr>
            <w:t xml:space="preserve">. </w:t>
          </w:r>
        </w:p>
        <w:p w14:paraId="547E8E36" w14:textId="77777777" w:rsidR="007D0305" w:rsidRPr="007D0305" w:rsidRDefault="007D0305" w:rsidP="007D0305">
          <w:pPr>
            <w:tabs>
              <w:tab w:val="left" w:pos="1800"/>
            </w:tabs>
            <w:rPr>
              <w:rFonts w:ascii="Calibri" w:hAnsi="Calibri" w:cs="Calibri"/>
            </w:rPr>
          </w:pPr>
          <w:r w:rsidRPr="007D0305">
            <w:rPr>
              <w:rFonts w:ascii="Calibri" w:hAnsi="Calibri" w:cs="Calibri"/>
              <w:b/>
            </w:rPr>
            <w:t>NGER scheme</w:t>
          </w:r>
          <w:r w:rsidRPr="007D0305">
            <w:rPr>
              <w:rFonts w:ascii="Calibri" w:hAnsi="Calibri" w:cs="Calibri"/>
            </w:rPr>
            <w:t xml:space="preserve"> - The </w:t>
          </w:r>
          <w:r w:rsidRPr="007D0305">
            <w:rPr>
              <w:rFonts w:ascii="Calibri" w:hAnsi="Calibri" w:cs="Calibri"/>
              <w:i/>
              <w:iCs/>
            </w:rPr>
            <w:t xml:space="preserve">National Greenhouse and Energy Reporting </w:t>
          </w:r>
          <w:r w:rsidRPr="007D0305">
            <w:rPr>
              <w:rFonts w:ascii="Calibri" w:hAnsi="Calibri" w:cs="Calibri"/>
              <w:i/>
            </w:rPr>
            <w:t xml:space="preserve">Scheme </w:t>
          </w:r>
          <w:r w:rsidRPr="007D0305">
            <w:rPr>
              <w:rFonts w:ascii="Calibri" w:hAnsi="Calibri" w:cs="Calibri"/>
            </w:rPr>
            <w:t>is a single national framework for reporting and disseminating company information about greenhouse gas emissions, energy production, energy consumption and other information specified under the NGER legislation.</w:t>
          </w:r>
        </w:p>
        <w:p w14:paraId="16228D14" w14:textId="77777777" w:rsidR="007D0305" w:rsidRPr="007D0305" w:rsidRDefault="007D0305" w:rsidP="007D0305">
          <w:pPr>
            <w:tabs>
              <w:tab w:val="left" w:pos="1800"/>
            </w:tabs>
            <w:rPr>
              <w:rFonts w:ascii="Calibri" w:hAnsi="Calibri" w:cs="Calibri"/>
              <w:b/>
            </w:rPr>
          </w:pPr>
          <w:r w:rsidRPr="007D0305">
            <w:rPr>
              <w:rFonts w:ascii="Calibri" w:hAnsi="Calibri" w:cs="Calibri"/>
              <w:b/>
            </w:rPr>
            <w:t xml:space="preserve">Powering the Regions Fund (PRF) </w:t>
          </w:r>
          <w:r w:rsidRPr="007D0305">
            <w:rPr>
              <w:rFonts w:ascii="Calibri" w:hAnsi="Calibri" w:cs="Calibri"/>
            </w:rPr>
            <w:t>- Policy announced in June 2022 to support the development of new clean energy industries and the decarbonisation priorities of existing industry.</w:t>
          </w:r>
        </w:p>
        <w:p w14:paraId="468AFB7A" w14:textId="77777777" w:rsidR="007D0305" w:rsidRPr="007D0305" w:rsidRDefault="007D0305" w:rsidP="007D0305">
          <w:pPr>
            <w:tabs>
              <w:tab w:val="left" w:pos="1800"/>
            </w:tabs>
            <w:rPr>
              <w:rFonts w:ascii="Calibri" w:hAnsi="Calibri" w:cs="Calibri"/>
              <w:b/>
            </w:rPr>
          </w:pPr>
          <w:r w:rsidRPr="007D0305">
            <w:rPr>
              <w:rFonts w:ascii="Calibri" w:hAnsi="Calibri" w:cs="Calibri"/>
              <w:b/>
            </w:rPr>
            <w:lastRenderedPageBreak/>
            <w:t xml:space="preserve">Production-adjusted baseline </w:t>
          </w:r>
          <w:r w:rsidRPr="007D0305">
            <w:rPr>
              <w:rFonts w:ascii="Calibri" w:hAnsi="Calibri" w:cs="Calibri"/>
            </w:rPr>
            <w:t>- A type of Safeguard baseline that is determined based on actual production levels. A production adjusted baseline can either be a fixed baseline based on the highest year of production during the calculated or benchmark baseline period, or annually adjusting based on actual production for each year.</w:t>
          </w:r>
        </w:p>
        <w:p w14:paraId="5CDE4E89" w14:textId="77777777" w:rsidR="007D0305" w:rsidRPr="007D0305" w:rsidRDefault="007D0305" w:rsidP="007D0305">
          <w:pPr>
            <w:tabs>
              <w:tab w:val="left" w:pos="1800"/>
            </w:tabs>
            <w:rPr>
              <w:rFonts w:ascii="Calibri" w:hAnsi="Calibri" w:cs="Calibri"/>
            </w:rPr>
          </w:pPr>
          <w:r w:rsidRPr="007D0305">
            <w:rPr>
              <w:rFonts w:ascii="Calibri" w:hAnsi="Calibri" w:cs="Calibri"/>
              <w:b/>
            </w:rPr>
            <w:t xml:space="preserve">Responsible </w:t>
          </w:r>
          <w:r w:rsidR="001264EC">
            <w:rPr>
              <w:rFonts w:ascii="Calibri" w:hAnsi="Calibri" w:cs="Calibri"/>
              <w:b/>
            </w:rPr>
            <w:t>E</w:t>
          </w:r>
          <w:r w:rsidRPr="007D0305">
            <w:rPr>
              <w:rFonts w:ascii="Calibri" w:hAnsi="Calibri" w:cs="Calibri"/>
              <w:b/>
            </w:rPr>
            <w:t>mitter</w:t>
          </w:r>
          <w:r w:rsidRPr="007D0305">
            <w:rPr>
              <w:rFonts w:ascii="Calibri" w:hAnsi="Calibri" w:cs="Calibri"/>
            </w:rPr>
            <w:t xml:space="preserve"> - The person who has operational control of a Safeguard facility and is responsible for compliance under the Safeguard Mechanism.</w:t>
          </w:r>
        </w:p>
        <w:p w14:paraId="5777C817" w14:textId="77777777" w:rsidR="007D0305" w:rsidRPr="007D0305" w:rsidRDefault="007D0305" w:rsidP="007D0305">
          <w:pPr>
            <w:rPr>
              <w:rFonts w:ascii="Calibri" w:hAnsi="Calibri" w:cs="Calibri"/>
            </w:rPr>
          </w:pPr>
          <w:r w:rsidRPr="007D0305">
            <w:rPr>
              <w:rFonts w:ascii="Calibri" w:hAnsi="Calibri" w:cs="Calibri"/>
              <w:b/>
            </w:rPr>
            <w:t xml:space="preserve">Safeguard Mechanism Credit (SMC) </w:t>
          </w:r>
          <w:r w:rsidRPr="007D0305">
            <w:rPr>
              <w:rFonts w:ascii="Calibri" w:hAnsi="Calibri" w:cs="Calibri"/>
            </w:rPr>
            <w:t>-</w:t>
          </w:r>
          <w:r w:rsidRPr="007D0305">
            <w:rPr>
              <w:rFonts w:ascii="Calibri" w:hAnsi="Calibri" w:cs="Calibri"/>
              <w:b/>
            </w:rPr>
            <w:t xml:space="preserve"> </w:t>
          </w:r>
          <w:r w:rsidRPr="007D0305">
            <w:rPr>
              <w:rFonts w:ascii="Calibri" w:hAnsi="Calibri" w:cs="Calibri"/>
            </w:rPr>
            <w:t>Credits proposed to be given to Safeguard facilities where that facility’s emissions are below its baseline. These credits would be used to meet Safeguard obligations or be purchased by the Government or private entities.</w:t>
          </w:r>
        </w:p>
        <w:p w14:paraId="294410E5" w14:textId="77777777" w:rsidR="007D0305" w:rsidRPr="007D0305" w:rsidRDefault="007D0305" w:rsidP="007D0305">
          <w:pPr>
            <w:rPr>
              <w:rFonts w:ascii="Calibri" w:hAnsi="Calibri" w:cs="Calibri"/>
            </w:rPr>
          </w:pPr>
          <w:r w:rsidRPr="007D0305">
            <w:rPr>
              <w:rFonts w:ascii="Calibri" w:hAnsi="Calibri" w:cs="Calibri"/>
              <w:b/>
            </w:rPr>
            <w:t>Safeguard Mechanism Rule</w:t>
          </w:r>
          <w:r w:rsidRPr="007D0305">
            <w:rPr>
              <w:rFonts w:ascii="Calibri" w:hAnsi="Calibri" w:cs="Calibri"/>
            </w:rPr>
            <w:t xml:space="preserve"> - The </w:t>
          </w:r>
          <w:r w:rsidRPr="007D0305">
            <w:rPr>
              <w:rFonts w:ascii="Calibri" w:hAnsi="Calibri" w:cs="Calibri"/>
              <w:i/>
            </w:rPr>
            <w:t>National Greenhouse and Energy Reporting (Safeguard Mechanism) Rule 2015</w:t>
          </w:r>
          <w:r w:rsidRPr="007D0305">
            <w:rPr>
              <w:rFonts w:ascii="Calibri" w:hAnsi="Calibri" w:cs="Calibri"/>
            </w:rPr>
            <w:t>.</w:t>
          </w:r>
        </w:p>
        <w:p w14:paraId="3348E24E" w14:textId="77777777" w:rsidR="007D0305" w:rsidRPr="007D0305" w:rsidRDefault="007D0305" w:rsidP="007D0305">
          <w:pPr>
            <w:rPr>
              <w:rFonts w:ascii="Calibri" w:hAnsi="Calibri" w:cs="Calibri"/>
            </w:rPr>
          </w:pPr>
          <w:r w:rsidRPr="007D0305">
            <w:rPr>
              <w:rFonts w:ascii="Calibri" w:hAnsi="Calibri" w:cs="Calibri"/>
              <w:b/>
            </w:rPr>
            <w:t>Scope 1 emissions</w:t>
          </w:r>
          <w:r w:rsidRPr="007D0305">
            <w:rPr>
              <w:rFonts w:ascii="Calibri" w:hAnsi="Calibri" w:cs="Calibri"/>
            </w:rPr>
            <w:t xml:space="preserve"> - The emissions released to the atmosphere as a direct result of an activity, or series of activities at a </w:t>
          </w:r>
          <w:hyperlink r:id="rId29" w:history="1">
            <w:r w:rsidRPr="007D0305">
              <w:rPr>
                <w:rFonts w:ascii="Calibri" w:hAnsi="Calibri" w:cs="Calibri"/>
              </w:rPr>
              <w:t>facility level</w:t>
            </w:r>
          </w:hyperlink>
          <w:r w:rsidRPr="007D0305">
            <w:rPr>
              <w:rFonts w:ascii="Calibri" w:hAnsi="Calibri" w:cs="Calibri"/>
            </w:rPr>
            <w:t>, sometimes called direct emissions.</w:t>
          </w:r>
        </w:p>
        <w:p w14:paraId="0E1E9E42" w14:textId="77777777" w:rsidR="007D0305" w:rsidRPr="007D0305" w:rsidRDefault="007D0305" w:rsidP="007D0305">
          <w:pPr>
            <w:rPr>
              <w:rFonts w:ascii="Calibri" w:hAnsi="Calibri" w:cs="Calibri"/>
            </w:rPr>
          </w:pPr>
          <w:r w:rsidRPr="007D0305">
            <w:rPr>
              <w:rFonts w:ascii="Calibri" w:hAnsi="Calibri" w:cs="Calibri"/>
              <w:b/>
            </w:rPr>
            <w:t>Scope 2 emissions</w:t>
          </w:r>
          <w:r w:rsidRPr="007D0305">
            <w:rPr>
              <w:rFonts w:ascii="Calibri" w:hAnsi="Calibri" w:cs="Calibri"/>
            </w:rPr>
            <w:t xml:space="preserve"> - The emissions released to the atmosphere from the indirect consumption of an energy commodity, such as from the use of electricity produced by the burning of a fossil fuel in another facility, sometimes called indirect emission.</w:t>
          </w:r>
        </w:p>
      </w:sdtContent>
    </w:sdt>
    <w:p w14:paraId="47AA0E3C" w14:textId="77777777" w:rsidR="002C0C79" w:rsidRDefault="002C0C79" w:rsidP="00B812FD"/>
    <w:sectPr w:rsidR="002C0C79" w:rsidSect="003611D1">
      <w:headerReference w:type="default" r:id="rId30"/>
      <w:footerReference w:type="default" r:id="rId31"/>
      <w:headerReference w:type="first" r:id="rId32"/>
      <w:pgSz w:w="11906" w:h="16838"/>
      <w:pgMar w:top="1276" w:right="1440" w:bottom="1134"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283D0" w14:textId="77777777" w:rsidR="00677E88" w:rsidRDefault="00677E88" w:rsidP="00B752E8">
      <w:pPr>
        <w:spacing w:after="0" w:line="240" w:lineRule="auto"/>
      </w:pPr>
      <w:r>
        <w:separator/>
      </w:r>
    </w:p>
    <w:p w14:paraId="1237906B" w14:textId="77777777" w:rsidR="00677E88" w:rsidRDefault="00677E88"/>
  </w:endnote>
  <w:endnote w:type="continuationSeparator" w:id="0">
    <w:p w14:paraId="79CD363C" w14:textId="77777777" w:rsidR="00677E88" w:rsidRDefault="00677E88" w:rsidP="00B752E8">
      <w:pPr>
        <w:spacing w:after="0" w:line="240" w:lineRule="auto"/>
      </w:pPr>
      <w:r>
        <w:continuationSeparator/>
      </w:r>
    </w:p>
    <w:p w14:paraId="50A6A13E" w14:textId="77777777" w:rsidR="00677E88" w:rsidRDefault="00677E88"/>
  </w:endnote>
  <w:endnote w:type="continuationNotice" w:id="1">
    <w:p w14:paraId="3514DD18" w14:textId="77777777" w:rsidR="00677E88" w:rsidRDefault="00677E88">
      <w:pPr>
        <w:spacing w:after="0" w:line="240" w:lineRule="auto"/>
      </w:pPr>
    </w:p>
    <w:p w14:paraId="7C729FAE" w14:textId="77777777" w:rsidR="00677E88" w:rsidRDefault="00677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79C1" w14:textId="77777777" w:rsidR="00706F16" w:rsidRPr="006F0250" w:rsidRDefault="00706F16" w:rsidP="006F0250">
    <w:pPr>
      <w:pStyle w:val="Footer"/>
      <w:jc w:val="center"/>
      <w:rPr>
        <w:b/>
        <w:bCs/>
        <w:iCs/>
        <w:color w:val="083A42"/>
        <w:sz w:val="26"/>
        <w:szCs w:val="26"/>
      </w:rPr>
    </w:pPr>
    <w:r w:rsidRPr="006F0250">
      <w:rPr>
        <w:b/>
        <w:bCs/>
        <w:iCs/>
        <w:color w:val="083A42"/>
        <w:sz w:val="26"/>
        <w:szCs w:val="26"/>
      </w:rPr>
      <w:t>DCCEEW.gov.au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2D06" w14:textId="77777777" w:rsidR="00706F16" w:rsidRDefault="00706F16">
    <w:pPr>
      <w:pStyle w:val="Footer"/>
      <w:jc w:val="right"/>
    </w:pPr>
  </w:p>
  <w:p w14:paraId="36FF2B9A" w14:textId="55F4229E" w:rsidR="00706F16" w:rsidRDefault="00D4117C" w:rsidP="0036691C">
    <w:pPr>
      <w:pStyle w:val="Footer"/>
      <w:jc w:val="center"/>
    </w:pPr>
    <w:sdt>
      <w:sdtPr>
        <w:alias w:val="Title"/>
        <w:tag w:val=""/>
        <w:id w:val="-1005120900"/>
        <w:placeholder>
          <w:docPart w:val="F0318A26171C4A6F9E11865593C67F6E"/>
        </w:placeholder>
        <w:dataBinding w:prefixMappings="xmlns:ns0='http://purl.org/dc/elements/1.1/' xmlns:ns1='http://schemas.openxmlformats.org/package/2006/metadata/core-properties' " w:xpath="/ns1:coreProperties[1]/ns0:title[1]" w:storeItemID="{6C3C8BC8-F283-45AE-878A-BAB7291924A1}"/>
        <w:text/>
      </w:sdtPr>
      <w:sdtEndPr/>
      <w:sdtContent>
        <w:r w:rsidR="00706F16">
          <w:t>Safeguard Mechanism Reforms</w:t>
        </w:r>
      </w:sdtContent>
    </w:sdt>
    <w:r w:rsidR="00706F16">
      <w:tab/>
      <w:t>DCCEEW.gov.au</w:t>
    </w:r>
    <w:r w:rsidR="00706F16">
      <w:tab/>
    </w:r>
    <w:sdt>
      <w:sdtPr>
        <w:id w:val="-1044901746"/>
        <w:docPartObj>
          <w:docPartGallery w:val="Page Numbers (Bottom of Page)"/>
          <w:docPartUnique/>
        </w:docPartObj>
      </w:sdtPr>
      <w:sdtEndPr>
        <w:rPr>
          <w:noProof/>
        </w:rPr>
      </w:sdtEndPr>
      <w:sdtContent>
        <w:r w:rsidR="00706F16">
          <w:fldChar w:fldCharType="begin"/>
        </w:r>
        <w:r w:rsidR="00706F16">
          <w:instrText xml:space="preserve"> PAGE   \* MERGEFORMAT </w:instrText>
        </w:r>
        <w:r w:rsidR="00706F16">
          <w:fldChar w:fldCharType="separate"/>
        </w:r>
        <w:r w:rsidR="007935D3">
          <w:rPr>
            <w:noProof/>
          </w:rPr>
          <w:t>2</w:t>
        </w:r>
        <w:r w:rsidR="00706F1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5F2BD" w14:textId="77777777" w:rsidR="00677E88" w:rsidRDefault="00677E88" w:rsidP="005A5FC5">
      <w:pPr>
        <w:spacing w:after="0" w:line="240" w:lineRule="auto"/>
      </w:pPr>
      <w:r>
        <w:separator/>
      </w:r>
    </w:p>
  </w:footnote>
  <w:footnote w:type="continuationSeparator" w:id="0">
    <w:p w14:paraId="1A098E66" w14:textId="77777777" w:rsidR="00677E88" w:rsidRDefault="00677E88" w:rsidP="00B752E8">
      <w:pPr>
        <w:spacing w:after="0" w:line="240" w:lineRule="auto"/>
      </w:pPr>
      <w:r>
        <w:continuationSeparator/>
      </w:r>
    </w:p>
    <w:p w14:paraId="7BA8A2C9" w14:textId="77777777" w:rsidR="00677E88" w:rsidRDefault="00677E88"/>
  </w:footnote>
  <w:footnote w:type="continuationNotice" w:id="1">
    <w:p w14:paraId="5685C401" w14:textId="77777777" w:rsidR="00677E88" w:rsidRDefault="00677E88">
      <w:pPr>
        <w:spacing w:after="0" w:line="240" w:lineRule="auto"/>
      </w:pPr>
    </w:p>
    <w:p w14:paraId="64BD3420" w14:textId="77777777" w:rsidR="00677E88" w:rsidRDefault="00677E88"/>
  </w:footnote>
  <w:footnote w:id="2">
    <w:p w14:paraId="13AA10A4" w14:textId="77777777" w:rsidR="00706F16" w:rsidRDefault="00706F16">
      <w:pPr>
        <w:pStyle w:val="FootnoteText"/>
      </w:pPr>
      <w:r>
        <w:rPr>
          <w:rStyle w:val="FootnoteReference"/>
        </w:rPr>
        <w:footnoteRef/>
      </w:r>
      <w:r>
        <w:t xml:space="preserve"> </w:t>
      </w:r>
      <w:r w:rsidRPr="00417C32">
        <w:t>The proportional share has been calculated as 28</w:t>
      </w:r>
      <w:r>
        <w:t>.14</w:t>
      </w:r>
      <w:r w:rsidRPr="00417C32">
        <w:t> </w:t>
      </w:r>
      <w:r>
        <w:t>per cent</w:t>
      </w:r>
      <w:r w:rsidRPr="00417C32">
        <w:t xml:space="preserve"> of the national target—reflecting the Safeguard Mechanism’s share of national emissions in 2020-21 (the most </w:t>
      </w:r>
      <w:r>
        <w:t>recent year data is available). National emissions were 486.57 Mt CO</w:t>
      </w:r>
      <w:r w:rsidRPr="00556CAA">
        <w:rPr>
          <w:vertAlign w:val="subscript"/>
        </w:rPr>
        <w:t>2</w:t>
      </w:r>
      <w:r>
        <w:t>-e in 2020-21 and Safeguard covered emissions of 136.94 Mt CO</w:t>
      </w:r>
      <w:r w:rsidRPr="00556CAA">
        <w:rPr>
          <w:vertAlign w:val="subscript"/>
        </w:rPr>
        <w:t>2</w:t>
      </w:r>
      <w:r>
        <w:t>-e.</w:t>
      </w:r>
    </w:p>
  </w:footnote>
  <w:footnote w:id="3">
    <w:p w14:paraId="7E4D0D29" w14:textId="77777777" w:rsidR="00706F16" w:rsidRDefault="00706F16">
      <w:pPr>
        <w:pStyle w:val="FootnoteText"/>
      </w:pPr>
      <w:r>
        <w:rPr>
          <w:rStyle w:val="FootnoteReference"/>
        </w:rPr>
        <w:footnoteRef/>
      </w:r>
      <w:r>
        <w:t xml:space="preserve"> In the absence of the reforms, emissions from Safeguard facilities are projected to reach 145 Mt in 2023-24.</w:t>
      </w:r>
    </w:p>
  </w:footnote>
  <w:footnote w:id="4">
    <w:p w14:paraId="6CFED6D4" w14:textId="77777777" w:rsidR="00706F16" w:rsidRDefault="00706F16">
      <w:pPr>
        <w:pStyle w:val="FootnoteText"/>
      </w:pPr>
      <w:r>
        <w:rPr>
          <w:rStyle w:val="FootnoteReference"/>
        </w:rPr>
        <w:footnoteRef/>
      </w:r>
      <w:r>
        <w:t xml:space="preserve"> The 100 Mt is based on </w:t>
      </w:r>
      <w:r w:rsidRPr="00417C32">
        <w:t>28</w:t>
      </w:r>
      <w:r>
        <w:t>.14</w:t>
      </w:r>
      <w:r w:rsidRPr="00417C32">
        <w:t> </w:t>
      </w:r>
      <w:r>
        <w:t>per cent</w:t>
      </w:r>
      <w:r w:rsidRPr="00417C32">
        <w:t xml:space="preserve"> </w:t>
      </w:r>
      <w:r>
        <w:t>of the national 2030 target of 354 Mt, updated from 99 Mt based on the most recent June 2022 National Greenhouse Gas Inventory Quarterly Update.</w:t>
      </w:r>
    </w:p>
  </w:footnote>
  <w:footnote w:id="5">
    <w:p w14:paraId="07846374" w14:textId="77777777" w:rsidR="00706F16" w:rsidRDefault="00706F16">
      <w:pPr>
        <w:pStyle w:val="FootnoteText"/>
      </w:pPr>
      <w:r>
        <w:rPr>
          <w:rStyle w:val="FootnoteReference"/>
        </w:rPr>
        <w:footnoteRef/>
      </w:r>
      <w:r>
        <w:t xml:space="preserve"> Based on projected emissions from existing Safeguard facilities and expectations around new facilities in the absence of the Safeguard reforms, such that emissions from new facilities are not constrained by a benchmark emissions intensity level. The resulting difference between the projected emissions and baseline trajectory is the level of abatement required by the reforms. </w:t>
      </w:r>
    </w:p>
  </w:footnote>
  <w:footnote w:id="6">
    <w:p w14:paraId="7CE803EC" w14:textId="77777777" w:rsidR="00706F16" w:rsidRPr="002443A6" w:rsidRDefault="00706F16">
      <w:pPr>
        <w:pStyle w:val="FootnoteText"/>
        <w:rPr>
          <w:sz w:val="18"/>
          <w:szCs w:val="18"/>
        </w:rPr>
      </w:pPr>
      <w:r>
        <w:rPr>
          <w:rStyle w:val="FootnoteReference"/>
        </w:rPr>
        <w:footnoteRef/>
      </w:r>
      <w:r>
        <w:t xml:space="preserve"> </w:t>
      </w:r>
      <w:r w:rsidRPr="002443A6">
        <w:rPr>
          <w:sz w:val="18"/>
          <w:szCs w:val="18"/>
        </w:rPr>
        <w:t>Australia’s Nationally Determined Contribution 2022 (https://unfccc.int/sites/default/files/NDC/2022-06/Australias%20NDC%20June%202022%20Update%20%283%29.pdf</w:t>
      </w:r>
      <w:r>
        <w:rPr>
          <w:sz w:val="18"/>
          <w:szCs w:val="18"/>
        </w:rPr>
        <w:t>)</w:t>
      </w:r>
    </w:p>
  </w:footnote>
  <w:footnote w:id="7">
    <w:p w14:paraId="0A597055" w14:textId="77777777" w:rsidR="00706F16" w:rsidRPr="00740BF4" w:rsidRDefault="00706F16" w:rsidP="000362FD">
      <w:pPr>
        <w:pStyle w:val="FootnoteText"/>
        <w:rPr>
          <w:sz w:val="18"/>
          <w:szCs w:val="18"/>
        </w:rPr>
      </w:pPr>
      <w:r w:rsidRPr="00740BF4">
        <w:rPr>
          <w:rStyle w:val="FootnoteReference"/>
          <w:sz w:val="18"/>
          <w:szCs w:val="18"/>
        </w:rPr>
        <w:footnoteRef/>
      </w:r>
      <w:r w:rsidRPr="00740BF4">
        <w:rPr>
          <w:sz w:val="18"/>
          <w:szCs w:val="18"/>
        </w:rPr>
        <w:t xml:space="preserve"> </w:t>
      </w:r>
      <w:r w:rsidRPr="00D97785">
        <w:rPr>
          <w:sz w:val="18"/>
          <w:szCs w:val="18"/>
        </w:rPr>
        <w:t>https://consult.dcceew.gov.au/safeguard-mechanism-reform-consultation-paper</w:t>
      </w:r>
    </w:p>
  </w:footnote>
  <w:footnote w:id="8">
    <w:p w14:paraId="603C52FB" w14:textId="77777777" w:rsidR="00706F16" w:rsidRPr="00740BF4" w:rsidRDefault="00706F16" w:rsidP="000362FD">
      <w:pPr>
        <w:pStyle w:val="FootnoteText"/>
        <w:rPr>
          <w:sz w:val="18"/>
          <w:szCs w:val="18"/>
        </w:rPr>
      </w:pPr>
      <w:r w:rsidRPr="00740BF4">
        <w:rPr>
          <w:rStyle w:val="FootnoteReference"/>
          <w:sz w:val="18"/>
          <w:szCs w:val="18"/>
        </w:rPr>
        <w:footnoteRef/>
      </w:r>
      <w:r w:rsidRPr="00740BF4">
        <w:rPr>
          <w:sz w:val="18"/>
          <w:szCs w:val="18"/>
        </w:rPr>
        <w:t xml:space="preserve"> </w:t>
      </w:r>
      <w:r w:rsidRPr="00D97785">
        <w:rPr>
          <w:sz w:val="18"/>
          <w:szCs w:val="18"/>
        </w:rPr>
        <w:t>https://consult.dcceew.gov.au/safeguard-mechanism-reform-consultation</w:t>
      </w:r>
    </w:p>
  </w:footnote>
  <w:footnote w:id="9">
    <w:p w14:paraId="05484A8B" w14:textId="77777777" w:rsidR="00706F16" w:rsidRDefault="00706F16" w:rsidP="007346E1">
      <w:pPr>
        <w:pStyle w:val="FootnoteText"/>
      </w:pPr>
      <w:r>
        <w:rPr>
          <w:rStyle w:val="FootnoteReference"/>
        </w:rPr>
        <w:footnoteRef/>
      </w:r>
      <w:r>
        <w:t xml:space="preserve"> 28.14 per cent before rounding. This does not include grid-connected electricity generation which is subject to a sectoral baseline.</w:t>
      </w:r>
    </w:p>
  </w:footnote>
  <w:footnote w:id="10">
    <w:p w14:paraId="4160646D" w14:textId="77777777" w:rsidR="00706F16" w:rsidRDefault="00706F16">
      <w:pPr>
        <w:pStyle w:val="FootnoteText"/>
      </w:pPr>
      <w:r>
        <w:rPr>
          <w:rStyle w:val="FootnoteReference"/>
        </w:rPr>
        <w:footnoteRef/>
      </w:r>
      <w:r>
        <w:t xml:space="preserve"> National 2020-21 emissions were 486.57 Mt </w:t>
      </w:r>
      <w:r w:rsidRPr="00B83BF6">
        <w:t>CO</w:t>
      </w:r>
      <w:r w:rsidRPr="00B83BF6">
        <w:rPr>
          <w:vertAlign w:val="subscript"/>
        </w:rPr>
        <w:t>2</w:t>
      </w:r>
      <w:r w:rsidRPr="00B83BF6">
        <w:noBreakHyphen/>
        <w:t>e</w:t>
      </w:r>
      <w:r>
        <w:t xml:space="preserve"> (June 2022 NGGI Quarterly Update). 2020-21 Safeguard reported emissions were 136.94 Mt </w:t>
      </w:r>
      <w:r w:rsidRPr="00B83BF6">
        <w:t>CO</w:t>
      </w:r>
      <w:r w:rsidRPr="00B83BF6">
        <w:rPr>
          <w:vertAlign w:val="subscript"/>
        </w:rPr>
        <w:t>2</w:t>
      </w:r>
      <w:r w:rsidRPr="00B83BF6">
        <w:noBreakHyphen/>
        <w:t>e</w:t>
      </w:r>
      <w:r>
        <w:t xml:space="preserve">. 100 Mt </w:t>
      </w:r>
      <w:r w:rsidRPr="00B83BF6">
        <w:t>CO</w:t>
      </w:r>
      <w:r w:rsidRPr="00B83BF6">
        <w:rPr>
          <w:vertAlign w:val="subscript"/>
        </w:rPr>
        <w:t>2</w:t>
      </w:r>
      <w:r w:rsidRPr="00B83BF6">
        <w:noBreakHyphen/>
        <w:t>e</w:t>
      </w:r>
      <w:r>
        <w:t xml:space="preserve"> is calculated using a 28.14 per cent share of the national 2030 target of 354 Mt </w:t>
      </w:r>
      <w:r w:rsidRPr="00B83BF6">
        <w:t>CO</w:t>
      </w:r>
      <w:r w:rsidRPr="00B83BF6">
        <w:rPr>
          <w:vertAlign w:val="subscript"/>
        </w:rPr>
        <w:t>2</w:t>
      </w:r>
      <w:r w:rsidRPr="00B83BF6">
        <w:noBreakHyphen/>
        <w:t>e</w:t>
      </w:r>
      <w:r>
        <w:t xml:space="preserve">. </w:t>
      </w:r>
    </w:p>
  </w:footnote>
  <w:footnote w:id="11">
    <w:p w14:paraId="29F990B3" w14:textId="77777777" w:rsidR="00706F16" w:rsidRDefault="00706F16">
      <w:pPr>
        <w:pStyle w:val="FootnoteText"/>
      </w:pPr>
      <w:r>
        <w:rPr>
          <w:rStyle w:val="FootnoteReference"/>
        </w:rPr>
        <w:footnoteRef/>
      </w:r>
      <w:r>
        <w:t xml:space="preserve"> From the Safeguard target of 100 Mt in 2030 to net zero in 2050.</w:t>
      </w:r>
    </w:p>
  </w:footnote>
  <w:footnote w:id="12">
    <w:p w14:paraId="6630FA77" w14:textId="77777777" w:rsidR="00706F16" w:rsidRDefault="00706F16" w:rsidP="00B03709">
      <w:pPr>
        <w:pStyle w:val="FootnoteText"/>
      </w:pPr>
      <w:r>
        <w:rPr>
          <w:rStyle w:val="FootnoteReference"/>
        </w:rPr>
        <w:footnoteRef/>
      </w:r>
      <w:r>
        <w:t xml:space="preserve"> The indicative value of the national emissions budget </w:t>
      </w:r>
      <w:r w:rsidRPr="00A867EB">
        <w:t>is 4,381 million tonnes CO</w:t>
      </w:r>
      <w:r w:rsidRPr="00A867EB">
        <w:rPr>
          <w:vertAlign w:val="subscript"/>
        </w:rPr>
        <w:t>2</w:t>
      </w:r>
      <w:r w:rsidRPr="00A867EB">
        <w:noBreakHyphen/>
        <w:t>e corresponding to the 2030 target. The Safeguard Mechanism’s proportional share is 1,23</w:t>
      </w:r>
      <w:r>
        <w:t>3</w:t>
      </w:r>
      <w:r w:rsidRPr="00A867EB">
        <w:t>.10 million tonnes CO</w:t>
      </w:r>
      <w:r w:rsidRPr="00A867EB">
        <w:rPr>
          <w:vertAlign w:val="subscript"/>
        </w:rPr>
        <w:t>2</w:t>
      </w:r>
      <w:r w:rsidRPr="00A867EB">
        <w:t>-e (28.</w:t>
      </w:r>
      <w:r>
        <w:t>1</w:t>
      </w:r>
      <w:r w:rsidRPr="00A867EB">
        <w:t>4 per cent of 4,381).</w:t>
      </w:r>
    </w:p>
  </w:footnote>
  <w:footnote w:id="13">
    <w:p w14:paraId="0005A677" w14:textId="77777777" w:rsidR="00706F16" w:rsidRDefault="00706F16">
      <w:pPr>
        <w:pStyle w:val="FootnoteText"/>
      </w:pPr>
      <w:r>
        <w:rPr>
          <w:rStyle w:val="FootnoteReference"/>
        </w:rPr>
        <w:footnoteRef/>
      </w:r>
      <w:r>
        <w:t xml:space="preserve"> The August 2022 Consultation Paper used a stylised assumption of 0.5 per cent emissions growth per year from existing Safeguard facilities for a cumulative abatement task of 170 million tonnes. The 2022 emissions projections now suggest more material emissions growth from 2020-21 to 2023-24, primarily driven by post-COVID and post-flood recoveries. With new entrants included at unconstrained levels, the projection of emissions from Safeguard facilities grows at an annual average rate of 0.7 per cent per year between 2021 to 2030 and has higher emissions in the early years, contributing to the upwards revision to the cumulative abatement task. Based on Australia’s emissions projections 2022 and the projection of emissions from existing facilities only, the cumulative abatement task to existing facilities is 166 Mt for 2021 to 2030.</w:t>
      </w:r>
    </w:p>
  </w:footnote>
  <w:footnote w:id="14">
    <w:p w14:paraId="73CFC0AD" w14:textId="77777777" w:rsidR="00706F16" w:rsidRDefault="00706F16" w:rsidP="004F32B5">
      <w:pPr>
        <w:pStyle w:val="FootnoteText"/>
      </w:pPr>
      <w:r>
        <w:rPr>
          <w:rStyle w:val="FootnoteReference"/>
        </w:rPr>
        <w:footnoteRef/>
      </w:r>
      <w:r>
        <w:t xml:space="preserve"> DCCEEW analysis for 2022 emissions projections</w:t>
      </w:r>
    </w:p>
  </w:footnote>
  <w:footnote w:id="15">
    <w:p w14:paraId="041F9574" w14:textId="77777777" w:rsidR="00706F16" w:rsidRDefault="00706F16" w:rsidP="004F32B5">
      <w:pPr>
        <w:pStyle w:val="FootnoteText"/>
      </w:pPr>
      <w:r>
        <w:rPr>
          <w:rStyle w:val="FootnoteReference"/>
        </w:rPr>
        <w:footnoteRef/>
      </w:r>
      <w:r>
        <w:t xml:space="preserve"> Available on the </w:t>
      </w:r>
      <w:r w:rsidRPr="00EE2D4F">
        <w:t xml:space="preserve">Department of </w:t>
      </w:r>
      <w:r w:rsidRPr="00A52D91">
        <w:t>Climate Change, En</w:t>
      </w:r>
      <w:r>
        <w:t>ergy, the Environment and Water’s website.</w:t>
      </w:r>
    </w:p>
  </w:footnote>
  <w:footnote w:id="16">
    <w:p w14:paraId="4AB53412" w14:textId="77777777" w:rsidR="00706F16" w:rsidRDefault="00706F16">
      <w:pPr>
        <w:pStyle w:val="FootnoteText"/>
      </w:pPr>
      <w:r>
        <w:rPr>
          <w:rStyle w:val="FootnoteReference"/>
        </w:rPr>
        <w:footnoteRef/>
      </w:r>
      <w:r>
        <w:t xml:space="preserve"> Aggregate headroom is the gap between aggregate baselines and aggregate emissions. Removing it delivers scarcity (so aggregate baselines equal aggregate emissions) and ensures that declining baselines will result in genuine emissions reductions.</w:t>
      </w:r>
    </w:p>
  </w:footnote>
  <w:footnote w:id="17">
    <w:p w14:paraId="249B6178" w14:textId="77777777" w:rsidR="00706F16" w:rsidRDefault="00706F16">
      <w:pPr>
        <w:pStyle w:val="FootnoteText"/>
      </w:pPr>
      <w:r>
        <w:rPr>
          <w:rStyle w:val="FootnoteReference"/>
        </w:rPr>
        <w:footnoteRef/>
      </w:r>
      <w:r>
        <w:t xml:space="preserve"> Government-defined production variables are published in Schedule 2 of the Safeguard Mechanism Rule.</w:t>
      </w:r>
    </w:p>
  </w:footnote>
  <w:footnote w:id="18">
    <w:p w14:paraId="77F704A5" w14:textId="77777777" w:rsidR="00706F16" w:rsidRDefault="00706F16">
      <w:pPr>
        <w:pStyle w:val="FootnoteText"/>
      </w:pPr>
      <w:r>
        <w:rPr>
          <w:rStyle w:val="FootnoteReference"/>
        </w:rPr>
        <w:footnoteRef/>
      </w:r>
      <w:r>
        <w:t xml:space="preserve"> Schedule 2 of the Safeguard Mechanism Rule lists prescribed production variables and associated emissions intensity values. </w:t>
      </w:r>
    </w:p>
  </w:footnote>
  <w:footnote w:id="19">
    <w:p w14:paraId="5A7A15CA" w14:textId="77777777" w:rsidR="00706F16" w:rsidRDefault="00706F16">
      <w:pPr>
        <w:pStyle w:val="FootnoteText"/>
      </w:pPr>
      <w:r>
        <w:rPr>
          <w:rStyle w:val="FootnoteReference"/>
        </w:rPr>
        <w:footnoteRef/>
      </w:r>
      <w:r>
        <w:t xml:space="preserve"> Production variable definitions are described in detail in the </w:t>
      </w:r>
      <w:hyperlink r:id="rId1" w:anchor=":~:text=The%20Safeguard%20Mechanism%20and%20National,calculations%20under%20the%20Safeguard%20Mechanism" w:history="1">
        <w:r w:rsidRPr="00A86A1C">
          <w:rPr>
            <w:rStyle w:val="Hyperlink"/>
          </w:rPr>
          <w:t>Safeguard Mechanism document</w:t>
        </w:r>
      </w:hyperlink>
      <w:r>
        <w:t>.</w:t>
      </w:r>
    </w:p>
  </w:footnote>
  <w:footnote w:id="20">
    <w:p w14:paraId="18A2DD4C" w14:textId="77777777" w:rsidR="00706F16" w:rsidRDefault="00706F16" w:rsidP="00EF462A">
      <w:pPr>
        <w:pStyle w:val="FootnoteText"/>
      </w:pPr>
      <w:r>
        <w:rPr>
          <w:rStyle w:val="FootnoteReference"/>
        </w:rPr>
        <w:footnoteRef/>
      </w:r>
      <w:r>
        <w:t xml:space="preserve"> Under current arrangements, a new entrant is defined as a facility that first triggers the Safeguard Mechanism threshold of 100,000 tonnes CO</w:t>
      </w:r>
      <w:r w:rsidRPr="005D12E4">
        <w:rPr>
          <w:vertAlign w:val="subscript"/>
        </w:rPr>
        <w:t>2</w:t>
      </w:r>
      <w:r>
        <w:t xml:space="preserve">-e after 1 July 2021 and was not required to report its emissions under NGERS for any 5 or more years before the year it became covered by the Safeguard. </w:t>
      </w:r>
    </w:p>
  </w:footnote>
  <w:footnote w:id="21">
    <w:p w14:paraId="3B106A33" w14:textId="77777777" w:rsidR="00706F16" w:rsidRDefault="00706F16">
      <w:pPr>
        <w:pStyle w:val="FootnoteText"/>
      </w:pPr>
      <w:r>
        <w:rPr>
          <w:rStyle w:val="FootnoteReference"/>
        </w:rPr>
        <w:footnoteRef/>
      </w:r>
      <w:r>
        <w:t xml:space="preserve"> That is, their Safeguard Mechanism compliance baseline. A separate baseline would not be needed for crediting purposes. </w:t>
      </w:r>
    </w:p>
  </w:footnote>
  <w:footnote w:id="22">
    <w:p w14:paraId="7FC70C34" w14:textId="77777777" w:rsidR="00706F16" w:rsidRDefault="00706F16">
      <w:pPr>
        <w:pStyle w:val="FootnoteText"/>
      </w:pPr>
      <w:r>
        <w:rPr>
          <w:rStyle w:val="FootnoteReference"/>
        </w:rPr>
        <w:footnoteRef/>
      </w:r>
      <w:r>
        <w:t xml:space="preserve"> </w:t>
      </w:r>
      <w:r w:rsidRPr="003107A4">
        <w:t>https://consult.dcceew.gov.au/safeguard-mechanism-reform-consultation</w:t>
      </w:r>
    </w:p>
  </w:footnote>
  <w:footnote w:id="23">
    <w:p w14:paraId="122C1364" w14:textId="77777777" w:rsidR="00706F16" w:rsidRDefault="00706F16" w:rsidP="000F4985">
      <w:pPr>
        <w:pStyle w:val="FootnoteText"/>
      </w:pPr>
      <w:r>
        <w:rPr>
          <w:rStyle w:val="FootnoteReference"/>
        </w:rPr>
        <w:footnoteRef/>
      </w:r>
      <w:r>
        <w:t xml:space="preserve"> Double counting provisions mean that, in any year that a Safeguard facility creates ACCUs from an</w:t>
      </w:r>
      <w:r w:rsidDel="001A6E82">
        <w:t xml:space="preserve"> ERF </w:t>
      </w:r>
      <w:r>
        <w:t>project, the volume of ACCUs will be added onto the facility’s net emissions number.</w:t>
      </w:r>
    </w:p>
  </w:footnote>
  <w:footnote w:id="24">
    <w:p w14:paraId="13ABA764" w14:textId="7CDD406E" w:rsidR="00706F16" w:rsidRDefault="00706F16">
      <w:pPr>
        <w:pStyle w:val="FootnoteText"/>
      </w:pPr>
      <w:r>
        <w:rPr>
          <w:rStyle w:val="FootnoteReference"/>
        </w:rPr>
        <w:footnoteRef/>
      </w:r>
      <w:r>
        <w:t xml:space="preserve"> The ‘deemed surrender’ provisions mean that ACCUs delivered to the government under contract are also treated as being surrendered to reduce the emissions of the facility. </w:t>
      </w:r>
    </w:p>
  </w:footnote>
  <w:footnote w:id="25">
    <w:p w14:paraId="3FF09767" w14:textId="77777777" w:rsidR="00706F16" w:rsidRDefault="00706F16">
      <w:pPr>
        <w:pStyle w:val="FootnoteText"/>
      </w:pPr>
      <w:r>
        <w:rPr>
          <w:rStyle w:val="FootnoteReference"/>
        </w:rPr>
        <w:footnoteRef/>
      </w:r>
      <w:r>
        <w:t xml:space="preserve"> </w:t>
      </w:r>
      <w:hyperlink r:id="rId2" w:history="1">
        <w:r w:rsidRPr="002723EC">
          <w:rPr>
            <w:rStyle w:val="Hyperlink"/>
          </w:rPr>
          <w:t>https://www.cleanenergyregulator.gov.au/RET/Scheme-participants-and-industry/emissions-intensive-trade-exposed-activity-information-for-companies/eligible-activities</w:t>
        </w:r>
      </w:hyperlink>
      <w:r>
        <w:t xml:space="preserve"> </w:t>
      </w:r>
    </w:p>
  </w:footnote>
  <w:footnote w:id="26">
    <w:p w14:paraId="0C004756" w14:textId="7F890594" w:rsidR="00706F16" w:rsidRDefault="00706F16">
      <w:pPr>
        <w:pStyle w:val="FootnoteText"/>
      </w:pPr>
      <w:r>
        <w:rPr>
          <w:rStyle w:val="FootnoteReference"/>
        </w:rPr>
        <w:footnoteRef/>
      </w:r>
      <w:r>
        <w:t xml:space="preserve"> See p 39 and 40 of the exposure draft of the </w:t>
      </w:r>
      <w:r>
        <w:rPr>
          <w:i/>
          <w:sz w:val="18"/>
        </w:rPr>
        <w:t>National Greenhouse and Energy Reporting (Safeguard Mechanism) Amendment (Reforms) Rules 2023.</w:t>
      </w:r>
    </w:p>
  </w:footnote>
  <w:footnote w:id="27">
    <w:p w14:paraId="37188452" w14:textId="55DCF729" w:rsidR="00706F16" w:rsidRDefault="00706F16">
      <w:pPr>
        <w:pStyle w:val="FootnoteText"/>
      </w:pPr>
      <w:r>
        <w:rPr>
          <w:rStyle w:val="FootnoteReference"/>
        </w:rPr>
        <w:footnoteRef/>
      </w:r>
      <w:r>
        <w:t xml:space="preserve"> </w:t>
      </w:r>
      <w:r>
        <w:rPr>
          <w:lang w:val="en-GB"/>
        </w:rPr>
        <w:t>It does not support facilities to purchase ACCUs/SMCs.</w:t>
      </w:r>
    </w:p>
  </w:footnote>
  <w:footnote w:id="28">
    <w:p w14:paraId="0BED2D7A" w14:textId="77777777" w:rsidR="00706F16" w:rsidRDefault="00706F16">
      <w:pPr>
        <w:pStyle w:val="FootnoteText"/>
      </w:pPr>
      <w:r>
        <w:rPr>
          <w:rStyle w:val="FootnoteReference"/>
        </w:rPr>
        <w:footnoteRef/>
      </w:r>
      <w:r>
        <w:t xml:space="preserve"> This level reflects the abatement task in 2030 based on current expectations of new facilities in the absence of the Safeguard reforms. Once best practice benchmarks are developed and applied to new entrants, projected emissions from new entrants will reduce.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DF7F" w14:textId="77777777" w:rsidR="00706F16" w:rsidRDefault="00706F16" w:rsidP="00400821">
    <w:pPr>
      <w:pStyle w:val="Header"/>
      <w:jc w:val="both"/>
      <w:rPr>
        <w:b/>
        <w:color w:val="FF0000"/>
      </w:rPr>
    </w:pPr>
    <w:r w:rsidRPr="00180BF8">
      <w:rPr>
        <w:noProof/>
        <w:lang w:eastAsia="en-AU"/>
      </w:rPr>
      <w:drawing>
        <wp:inline distT="0" distB="0" distL="0" distR="0" wp14:anchorId="75A5E530" wp14:editId="78566A21">
          <wp:extent cx="3019480" cy="627399"/>
          <wp:effectExtent l="0" t="0" r="0" b="1270"/>
          <wp:docPr id="11" name="Picture 11" title="Australian Government Department of Climate Change, Energy, the Environment and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096846" cy="643474"/>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A337" w14:textId="77777777" w:rsidR="00706F16" w:rsidRPr="008D1C1B" w:rsidRDefault="00706F16" w:rsidP="008D1C1B">
    <w:pPr>
      <w:pStyle w:val="Header"/>
    </w:pPr>
    <w:r w:rsidRPr="004734CC">
      <w:rPr>
        <w:b/>
        <w:noProof/>
        <w:color w:val="000000" w:themeColor="text1"/>
        <w:sz w:val="28"/>
        <w:lang w:eastAsia="en-AU"/>
      </w:rPr>
      <mc:AlternateContent>
        <mc:Choice Requires="wps">
          <w:drawing>
            <wp:anchor distT="0" distB="0" distL="114300" distR="114300" simplePos="0" relativeHeight="251658241" behindDoc="0" locked="0" layoutInCell="1" allowOverlap="1" wp14:anchorId="26327265" wp14:editId="785B50A6">
              <wp:simplePos x="0" y="0"/>
              <wp:positionH relativeFrom="column">
                <wp:posOffset>-910065</wp:posOffset>
              </wp:positionH>
              <wp:positionV relativeFrom="paragraph">
                <wp:posOffset>-460478</wp:posOffset>
              </wp:positionV>
              <wp:extent cx="7559675" cy="205740"/>
              <wp:effectExtent l="0" t="0" r="3175" b="3810"/>
              <wp:wrapNone/>
              <wp:docPr id="6" name="Rectangle 6"/>
              <wp:cNvGraphicFramePr/>
              <a:graphic xmlns:a="http://schemas.openxmlformats.org/drawingml/2006/main">
                <a:graphicData uri="http://schemas.microsoft.com/office/word/2010/wordprocessingShape">
                  <wps:wsp>
                    <wps:cNvSpPr/>
                    <wps:spPr>
                      <a:xfrm>
                        <a:off x="0" y="0"/>
                        <a:ext cx="7559675" cy="205740"/>
                      </a:xfrm>
                      <a:prstGeom prst="rect">
                        <a:avLst/>
                      </a:prstGeom>
                      <a:solidFill>
                        <a:srgbClr val="BFBF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F12E08" id="Rectangle 6" o:spid="_x0000_s1026" style="position:absolute;margin-left:-71.65pt;margin-top:-36.25pt;width:595.25pt;height:16.2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" fillcolor="#bfbfbf" stroked="f" strokeweight="1pt"/>
          </w:pict>
        </mc:Fallback>
      </mc:AlternateContent>
    </w:r>
    <w:r w:rsidRPr="004734CC">
      <w:rPr>
        <w:b/>
        <w:noProof/>
        <w:color w:val="000000" w:themeColor="text1"/>
        <w:sz w:val="28"/>
        <w:lang w:eastAsia="en-AU"/>
      </w:rPr>
      <mc:AlternateContent>
        <mc:Choice Requires="wps">
          <w:drawing>
            <wp:anchor distT="0" distB="0" distL="114300" distR="114300" simplePos="0" relativeHeight="251658240" behindDoc="0" locked="0" layoutInCell="1" allowOverlap="1" wp14:anchorId="6231E6D7" wp14:editId="2F71ADBC">
              <wp:simplePos x="0" y="0"/>
              <wp:positionH relativeFrom="column">
                <wp:posOffset>5583555</wp:posOffset>
              </wp:positionH>
              <wp:positionV relativeFrom="paragraph">
                <wp:posOffset>-458639</wp:posOffset>
              </wp:positionV>
              <wp:extent cx="1068070" cy="633730"/>
              <wp:effectExtent l="0" t="0" r="0" b="0"/>
              <wp:wrapNone/>
              <wp:docPr id="5" name="Rectangle 5"/>
              <wp:cNvGraphicFramePr/>
              <a:graphic xmlns:a="http://schemas.openxmlformats.org/drawingml/2006/main">
                <a:graphicData uri="http://schemas.microsoft.com/office/word/2010/wordprocessingShape">
                  <wps:wsp>
                    <wps:cNvSpPr/>
                    <wps:spPr>
                      <a:xfrm>
                        <a:off x="0" y="0"/>
                        <a:ext cx="1068070" cy="633730"/>
                      </a:xfrm>
                      <a:prstGeom prst="rect">
                        <a:avLst/>
                      </a:prstGeom>
                      <a:solidFill>
                        <a:srgbClr val="BFBF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16CC26" id="Rectangle 5" o:spid="_x0000_s1026" style="position:absolute;margin-left:439.65pt;margin-top:-36.1pt;width:84.1pt;height:49.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" fillcolor="#bfbfbf"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FBC2" w14:textId="607BCF19" w:rsidR="00706F16" w:rsidRPr="0036691C" w:rsidRDefault="00706F16" w:rsidP="00400821">
    <w:pPr>
      <w:pStyle w:val="Header"/>
      <w:jc w:val="both"/>
      <w:rPr>
        <w:b/>
        <w:color w:val="000000" w:themeColor="text1"/>
      </w:rPr>
    </w:pPr>
    <w:r>
      <w:rPr>
        <w:b/>
        <w:color w:val="000000" w:themeColor="text1"/>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977AE" w14:textId="77777777" w:rsidR="00706F16" w:rsidRPr="008D1C1B" w:rsidRDefault="00706F16" w:rsidP="008D1C1B">
    <w:pPr>
      <w:pStyle w:val="Header"/>
    </w:pPr>
    <w:r w:rsidRPr="00180BF8">
      <w:rPr>
        <w:noProof/>
        <w:lang w:eastAsia="en-AU"/>
      </w:rPr>
      <w:drawing>
        <wp:inline distT="0" distB="0" distL="0" distR="0" wp14:anchorId="3722C0CA" wp14:editId="4B4AE7C3">
          <wp:extent cx="3019480" cy="627399"/>
          <wp:effectExtent l="0" t="0" r="0" b="1270"/>
          <wp:docPr id="18" name="Picture 18" title="Australian Government Department of Climate Change, Energy, the Environment and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096846" cy="643474"/>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B80090"/>
    <w:multiLevelType w:val="hybridMultilevel"/>
    <w:tmpl w:val="BBACE8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A0D2278C"/>
    <w:lvl w:ilvl="0">
      <w:start w:val="1"/>
      <w:numFmt w:val="decimal"/>
      <w:lvlText w:val="%1."/>
      <w:lvlJc w:val="left"/>
      <w:pPr>
        <w:tabs>
          <w:tab w:val="num" w:pos="360"/>
        </w:tabs>
        <w:ind w:left="360" w:hanging="360"/>
      </w:pPr>
    </w:lvl>
  </w:abstractNum>
  <w:abstractNum w:abstractNumId="2" w15:restartNumberingAfterBreak="0">
    <w:nsid w:val="01EC5EEC"/>
    <w:multiLevelType w:val="hybridMultilevel"/>
    <w:tmpl w:val="A93010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42370E5"/>
    <w:multiLevelType w:val="hybridMultilevel"/>
    <w:tmpl w:val="983A7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880AA3"/>
    <w:multiLevelType w:val="hybridMultilevel"/>
    <w:tmpl w:val="60728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B44397"/>
    <w:multiLevelType w:val="hybridMultilevel"/>
    <w:tmpl w:val="76ECAF6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127A77D0"/>
    <w:multiLevelType w:val="multilevel"/>
    <w:tmpl w:val="9CB6948C"/>
    <w:lvl w:ilvl="0">
      <w:start w:val="1"/>
      <w:numFmt w:val="decimal"/>
      <w:pStyle w:val="Heading1"/>
      <w:lvlText w:val="%1"/>
      <w:lvlJc w:val="left"/>
      <w:pPr>
        <w:ind w:left="432" w:hanging="432"/>
      </w:pPr>
    </w:lvl>
    <w:lvl w:ilvl="1">
      <w:start w:val="1"/>
      <w:numFmt w:val="decimal"/>
      <w:pStyle w:val="Heading2"/>
      <w:lvlText w:val="%1.%2"/>
      <w:lvlJc w:val="left"/>
      <w:pPr>
        <w:ind w:left="256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A9469B"/>
    <w:multiLevelType w:val="hybridMultilevel"/>
    <w:tmpl w:val="D3C493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A069B9"/>
    <w:multiLevelType w:val="hybridMultilevel"/>
    <w:tmpl w:val="72187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891405"/>
    <w:multiLevelType w:val="hybridMultilevel"/>
    <w:tmpl w:val="4F4EC9A8"/>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0" w15:restartNumberingAfterBreak="0">
    <w:nsid w:val="1D9758F9"/>
    <w:multiLevelType w:val="hybridMultilevel"/>
    <w:tmpl w:val="1F1A93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7D49D2"/>
    <w:multiLevelType w:val="hybridMultilevel"/>
    <w:tmpl w:val="9D320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D767DE"/>
    <w:multiLevelType w:val="hybridMultilevel"/>
    <w:tmpl w:val="FA9E1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31427C"/>
    <w:multiLevelType w:val="hybridMultilevel"/>
    <w:tmpl w:val="7F36C87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4" w15:restartNumberingAfterBreak="0">
    <w:nsid w:val="234A13C2"/>
    <w:multiLevelType w:val="hybridMultilevel"/>
    <w:tmpl w:val="817035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B62D6F"/>
    <w:multiLevelType w:val="hybridMultilevel"/>
    <w:tmpl w:val="5B3C6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F40ECE"/>
    <w:multiLevelType w:val="hybridMultilevel"/>
    <w:tmpl w:val="F738A018"/>
    <w:lvl w:ilvl="0" w:tplc="50E48DF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0A1535"/>
    <w:multiLevelType w:val="hybridMultilevel"/>
    <w:tmpl w:val="44CE2398"/>
    <w:lvl w:ilvl="0" w:tplc="0C090001">
      <w:start w:val="1"/>
      <w:numFmt w:val="bullet"/>
      <w:lvlText w:val=""/>
      <w:lvlJc w:val="left"/>
      <w:pPr>
        <w:ind w:left="720" w:hanging="360"/>
      </w:pPr>
      <w:rPr>
        <w:rFonts w:ascii="Symbol" w:hAnsi="Symbol" w:hint="default"/>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E6145"/>
    <w:multiLevelType w:val="hybridMultilevel"/>
    <w:tmpl w:val="9E26AB08"/>
    <w:lvl w:ilvl="0" w:tplc="0C090001">
      <w:start w:val="1"/>
      <w:numFmt w:val="bullet"/>
      <w:lvlText w:val=""/>
      <w:lvlJc w:val="left"/>
      <w:pPr>
        <w:ind w:left="428" w:hanging="360"/>
      </w:pPr>
      <w:rPr>
        <w:rFonts w:ascii="Symbol" w:hAnsi="Symbol" w:hint="default"/>
      </w:rPr>
    </w:lvl>
    <w:lvl w:ilvl="1" w:tplc="0C090003" w:tentative="1">
      <w:start w:val="1"/>
      <w:numFmt w:val="bullet"/>
      <w:lvlText w:val="o"/>
      <w:lvlJc w:val="left"/>
      <w:pPr>
        <w:ind w:left="1148" w:hanging="360"/>
      </w:pPr>
      <w:rPr>
        <w:rFonts w:ascii="Courier New" w:hAnsi="Courier New" w:cs="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cs="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cs="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19" w15:restartNumberingAfterBreak="0">
    <w:nsid w:val="34C10F19"/>
    <w:multiLevelType w:val="hybridMultilevel"/>
    <w:tmpl w:val="CCFC9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94112E"/>
    <w:multiLevelType w:val="hybridMultilevel"/>
    <w:tmpl w:val="65644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461ACF"/>
    <w:multiLevelType w:val="hybridMultilevel"/>
    <w:tmpl w:val="68F88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0368DE"/>
    <w:multiLevelType w:val="hybridMultilevel"/>
    <w:tmpl w:val="BE3463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4E22F3"/>
    <w:multiLevelType w:val="hybridMultilevel"/>
    <w:tmpl w:val="1BC6BCD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4" w15:restartNumberingAfterBreak="0">
    <w:nsid w:val="43D46BC7"/>
    <w:multiLevelType w:val="hybridMultilevel"/>
    <w:tmpl w:val="F2FE7D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AD800A5"/>
    <w:multiLevelType w:val="hybridMultilevel"/>
    <w:tmpl w:val="89EC83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7A4D95"/>
    <w:multiLevelType w:val="hybridMultilevel"/>
    <w:tmpl w:val="3DD22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94388D"/>
    <w:multiLevelType w:val="hybridMultilevel"/>
    <w:tmpl w:val="4A982D06"/>
    <w:lvl w:ilvl="0" w:tplc="0C090001">
      <w:start w:val="1"/>
      <w:numFmt w:val="bullet"/>
      <w:lvlText w:val=""/>
      <w:lvlJc w:val="left"/>
      <w:pPr>
        <w:ind w:left="720" w:hanging="360"/>
      </w:pPr>
      <w:rPr>
        <w:rFonts w:ascii="Symbol" w:hAnsi="Symbol" w:hint="default"/>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477F24"/>
    <w:multiLevelType w:val="multilevel"/>
    <w:tmpl w:val="92F0ADC4"/>
    <w:lvl w:ilvl="0">
      <w:start w:val="1"/>
      <w:numFmt w:val="decimal"/>
      <w:pStyle w:val="TOC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2C0C1A"/>
    <w:multiLevelType w:val="hybridMultilevel"/>
    <w:tmpl w:val="D7DEFD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D23BE4"/>
    <w:multiLevelType w:val="hybridMultilevel"/>
    <w:tmpl w:val="C0725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3E58DC"/>
    <w:multiLevelType w:val="hybridMultilevel"/>
    <w:tmpl w:val="80441B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2B48DC"/>
    <w:multiLevelType w:val="hybridMultilevel"/>
    <w:tmpl w:val="B7189F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cs="Times New Roman" w:hint="default"/>
      </w:rPr>
    </w:lvl>
    <w:lvl w:ilvl="3">
      <w:start w:val="1"/>
      <w:numFmt w:val="none"/>
      <w:lvlText w:val=""/>
      <w:lvlJc w:val="left"/>
      <w:pPr>
        <w:ind w:left="1136" w:hanging="284"/>
      </w:pPr>
    </w:lvl>
    <w:lvl w:ilvl="4">
      <w:start w:val="1"/>
      <w:numFmt w:val="none"/>
      <w:lvlText w:val=""/>
      <w:lvlJc w:val="left"/>
      <w:pPr>
        <w:ind w:left="1420" w:hanging="284"/>
      </w:pPr>
    </w:lvl>
    <w:lvl w:ilvl="5">
      <w:start w:val="1"/>
      <w:numFmt w:val="none"/>
      <w:lvlText w:val=""/>
      <w:lvlJc w:val="left"/>
      <w:pPr>
        <w:ind w:left="1704" w:hanging="284"/>
      </w:pPr>
    </w:lvl>
    <w:lvl w:ilvl="6">
      <w:start w:val="1"/>
      <w:numFmt w:val="none"/>
      <w:lvlText w:val=""/>
      <w:lvlJc w:val="left"/>
      <w:pPr>
        <w:ind w:left="1988" w:hanging="284"/>
      </w:pPr>
    </w:lvl>
    <w:lvl w:ilvl="7">
      <w:start w:val="1"/>
      <w:numFmt w:val="none"/>
      <w:lvlText w:val=""/>
      <w:lvlJc w:val="left"/>
      <w:pPr>
        <w:ind w:left="2272" w:hanging="284"/>
      </w:pPr>
    </w:lvl>
    <w:lvl w:ilvl="8">
      <w:start w:val="1"/>
      <w:numFmt w:val="none"/>
      <w:lvlText w:val=""/>
      <w:lvlJc w:val="left"/>
      <w:pPr>
        <w:ind w:left="2556" w:hanging="284"/>
      </w:pPr>
    </w:lvl>
  </w:abstractNum>
  <w:abstractNum w:abstractNumId="34" w15:restartNumberingAfterBreak="0">
    <w:nsid w:val="6CE13C83"/>
    <w:multiLevelType w:val="hybridMultilevel"/>
    <w:tmpl w:val="7E84245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30"/>
  </w:num>
  <w:num w:numId="2">
    <w:abstractNumId w:val="31"/>
  </w:num>
  <w:num w:numId="3">
    <w:abstractNumId w:val="26"/>
  </w:num>
  <w:num w:numId="4">
    <w:abstractNumId w:val="14"/>
  </w:num>
  <w:num w:numId="5">
    <w:abstractNumId w:val="5"/>
  </w:num>
  <w:num w:numId="6">
    <w:abstractNumId w:val="19"/>
  </w:num>
  <w:num w:numId="7">
    <w:abstractNumId w:val="27"/>
  </w:num>
  <w:num w:numId="8">
    <w:abstractNumId w:val="17"/>
  </w:num>
  <w:num w:numId="9">
    <w:abstractNumId w:val="32"/>
  </w:num>
  <w:num w:numId="10">
    <w:abstractNumId w:val="29"/>
  </w:num>
  <w:num w:numId="11">
    <w:abstractNumId w:val="28"/>
  </w:num>
  <w:num w:numId="12">
    <w:abstractNumId w:val="6"/>
  </w:num>
  <w:num w:numId="13">
    <w:abstractNumId w:val="10"/>
  </w:num>
  <w:num w:numId="14">
    <w:abstractNumId w:val="11"/>
  </w:num>
  <w:num w:numId="15">
    <w:abstractNumId w:val="23"/>
  </w:num>
  <w:num w:numId="16">
    <w:abstractNumId w:val="3"/>
  </w:num>
  <w:num w:numId="17">
    <w:abstractNumId w:val="24"/>
  </w:num>
  <w:num w:numId="18">
    <w:abstractNumId w:val="34"/>
  </w:num>
  <w:num w:numId="19">
    <w:abstractNumId w:val="4"/>
  </w:num>
  <w:num w:numId="20">
    <w:abstractNumId w:val="22"/>
  </w:num>
  <w:num w:numId="21">
    <w:abstractNumId w:val="8"/>
  </w:num>
  <w:num w:numId="22">
    <w:abstractNumId w:val="21"/>
  </w:num>
  <w:num w:numId="23">
    <w:abstractNumId w:val="9"/>
  </w:num>
  <w:num w:numId="24">
    <w:abstractNumId w:val="25"/>
  </w:num>
  <w:num w:numId="25">
    <w:abstractNumId w:val="16"/>
  </w:num>
  <w:num w:numId="26">
    <w:abstractNumId w:val="15"/>
  </w:num>
  <w:num w:numId="27">
    <w:abstractNumId w:val="1"/>
  </w:num>
  <w:num w:numId="28">
    <w:abstractNumId w:val="0"/>
  </w:num>
  <w:num w:numId="29">
    <w:abstractNumId w:val="7"/>
  </w:num>
  <w:num w:numId="30">
    <w:abstractNumId w:val="13"/>
  </w:num>
  <w:num w:numId="31">
    <w:abstractNumId w:val="2"/>
  </w:num>
  <w:num w:numId="32">
    <w:abstractNumId w:val="2"/>
  </w:num>
  <w:num w:numId="33">
    <w:abstractNumId w:val="20"/>
  </w:num>
  <w:num w:numId="34">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99"/>
    <w:rsid w:val="00000C37"/>
    <w:rsid w:val="0000176D"/>
    <w:rsid w:val="000018E6"/>
    <w:rsid w:val="0000194F"/>
    <w:rsid w:val="00001D44"/>
    <w:rsid w:val="00001FB4"/>
    <w:rsid w:val="00003624"/>
    <w:rsid w:val="00003655"/>
    <w:rsid w:val="00003898"/>
    <w:rsid w:val="00003D9F"/>
    <w:rsid w:val="00004118"/>
    <w:rsid w:val="0000429D"/>
    <w:rsid w:val="00004557"/>
    <w:rsid w:val="00004584"/>
    <w:rsid w:val="0000462A"/>
    <w:rsid w:val="000046D2"/>
    <w:rsid w:val="00004DFD"/>
    <w:rsid w:val="00005311"/>
    <w:rsid w:val="00005AA6"/>
    <w:rsid w:val="00005EC9"/>
    <w:rsid w:val="00005EE1"/>
    <w:rsid w:val="00006B77"/>
    <w:rsid w:val="000078B4"/>
    <w:rsid w:val="00007D71"/>
    <w:rsid w:val="000104BF"/>
    <w:rsid w:val="00010741"/>
    <w:rsid w:val="0001082A"/>
    <w:rsid w:val="000108FB"/>
    <w:rsid w:val="00010ED1"/>
    <w:rsid w:val="0001123D"/>
    <w:rsid w:val="0001126E"/>
    <w:rsid w:val="00011891"/>
    <w:rsid w:val="00011DF3"/>
    <w:rsid w:val="00011F6D"/>
    <w:rsid w:val="000121A6"/>
    <w:rsid w:val="00012EAD"/>
    <w:rsid w:val="00014C06"/>
    <w:rsid w:val="000155ED"/>
    <w:rsid w:val="00016212"/>
    <w:rsid w:val="0001682B"/>
    <w:rsid w:val="00016A61"/>
    <w:rsid w:val="00016AD2"/>
    <w:rsid w:val="00016F97"/>
    <w:rsid w:val="00017463"/>
    <w:rsid w:val="00017796"/>
    <w:rsid w:val="00020562"/>
    <w:rsid w:val="000206CD"/>
    <w:rsid w:val="00020729"/>
    <w:rsid w:val="00020C15"/>
    <w:rsid w:val="000214D8"/>
    <w:rsid w:val="0002254F"/>
    <w:rsid w:val="00022DD9"/>
    <w:rsid w:val="00022E2F"/>
    <w:rsid w:val="00022E98"/>
    <w:rsid w:val="00023C73"/>
    <w:rsid w:val="0002496C"/>
    <w:rsid w:val="00024B4B"/>
    <w:rsid w:val="00024E3D"/>
    <w:rsid w:val="00024F05"/>
    <w:rsid w:val="00025678"/>
    <w:rsid w:val="00026C3D"/>
    <w:rsid w:val="00026FBD"/>
    <w:rsid w:val="000278F9"/>
    <w:rsid w:val="00030183"/>
    <w:rsid w:val="00030357"/>
    <w:rsid w:val="00030FD6"/>
    <w:rsid w:val="00031488"/>
    <w:rsid w:val="000343AF"/>
    <w:rsid w:val="00034816"/>
    <w:rsid w:val="00034B63"/>
    <w:rsid w:val="0003549D"/>
    <w:rsid w:val="00035686"/>
    <w:rsid w:val="00035DAB"/>
    <w:rsid w:val="00035DB4"/>
    <w:rsid w:val="000362FD"/>
    <w:rsid w:val="00036745"/>
    <w:rsid w:val="00037037"/>
    <w:rsid w:val="00037B40"/>
    <w:rsid w:val="00037B54"/>
    <w:rsid w:val="00037E96"/>
    <w:rsid w:val="00037EE6"/>
    <w:rsid w:val="00040C3D"/>
    <w:rsid w:val="00040F00"/>
    <w:rsid w:val="000426AF"/>
    <w:rsid w:val="00042E21"/>
    <w:rsid w:val="00042FF3"/>
    <w:rsid w:val="000436FA"/>
    <w:rsid w:val="0004393D"/>
    <w:rsid w:val="000443C3"/>
    <w:rsid w:val="00044401"/>
    <w:rsid w:val="00044C3E"/>
    <w:rsid w:val="000452FD"/>
    <w:rsid w:val="0004576F"/>
    <w:rsid w:val="00045BD0"/>
    <w:rsid w:val="000460D5"/>
    <w:rsid w:val="00046734"/>
    <w:rsid w:val="00047FB4"/>
    <w:rsid w:val="00050611"/>
    <w:rsid w:val="00050A9F"/>
    <w:rsid w:val="00050BCE"/>
    <w:rsid w:val="00050E6B"/>
    <w:rsid w:val="000513F5"/>
    <w:rsid w:val="0005173F"/>
    <w:rsid w:val="00051A74"/>
    <w:rsid w:val="00051FCA"/>
    <w:rsid w:val="00052337"/>
    <w:rsid w:val="00052B40"/>
    <w:rsid w:val="00052CCC"/>
    <w:rsid w:val="0005319C"/>
    <w:rsid w:val="0005423F"/>
    <w:rsid w:val="0005477E"/>
    <w:rsid w:val="0005505B"/>
    <w:rsid w:val="00055183"/>
    <w:rsid w:val="00055751"/>
    <w:rsid w:val="00056679"/>
    <w:rsid w:val="000568BA"/>
    <w:rsid w:val="000573D6"/>
    <w:rsid w:val="00057626"/>
    <w:rsid w:val="00060508"/>
    <w:rsid w:val="00060CFA"/>
    <w:rsid w:val="00060E19"/>
    <w:rsid w:val="000612EA"/>
    <w:rsid w:val="000616EA"/>
    <w:rsid w:val="00061A8B"/>
    <w:rsid w:val="00061F50"/>
    <w:rsid w:val="00062363"/>
    <w:rsid w:val="0006257C"/>
    <w:rsid w:val="000625A7"/>
    <w:rsid w:val="00062AEA"/>
    <w:rsid w:val="00062DFC"/>
    <w:rsid w:val="00062EFE"/>
    <w:rsid w:val="000639EB"/>
    <w:rsid w:val="00063B5E"/>
    <w:rsid w:val="00063DBD"/>
    <w:rsid w:val="00064000"/>
    <w:rsid w:val="00064175"/>
    <w:rsid w:val="00064751"/>
    <w:rsid w:val="00065494"/>
    <w:rsid w:val="000654C9"/>
    <w:rsid w:val="00065850"/>
    <w:rsid w:val="000658D7"/>
    <w:rsid w:val="00066084"/>
    <w:rsid w:val="0006664C"/>
    <w:rsid w:val="000678E3"/>
    <w:rsid w:val="00067DC2"/>
    <w:rsid w:val="00070FEC"/>
    <w:rsid w:val="00071CE0"/>
    <w:rsid w:val="0007237E"/>
    <w:rsid w:val="000726E5"/>
    <w:rsid w:val="000727F9"/>
    <w:rsid w:val="00072C20"/>
    <w:rsid w:val="0007369C"/>
    <w:rsid w:val="0007470B"/>
    <w:rsid w:val="00074844"/>
    <w:rsid w:val="00074C6C"/>
    <w:rsid w:val="00074FC0"/>
    <w:rsid w:val="00076141"/>
    <w:rsid w:val="00076E4A"/>
    <w:rsid w:val="0008049A"/>
    <w:rsid w:val="00080579"/>
    <w:rsid w:val="0008108C"/>
    <w:rsid w:val="0008162E"/>
    <w:rsid w:val="00081697"/>
    <w:rsid w:val="00081F99"/>
    <w:rsid w:val="000825E4"/>
    <w:rsid w:val="00082E08"/>
    <w:rsid w:val="000842BC"/>
    <w:rsid w:val="0008487C"/>
    <w:rsid w:val="00084DB7"/>
    <w:rsid w:val="00085840"/>
    <w:rsid w:val="00085BA6"/>
    <w:rsid w:val="00085EFB"/>
    <w:rsid w:val="000860C5"/>
    <w:rsid w:val="0008696D"/>
    <w:rsid w:val="00086AFB"/>
    <w:rsid w:val="00086F5C"/>
    <w:rsid w:val="000871D9"/>
    <w:rsid w:val="00087317"/>
    <w:rsid w:val="0008735E"/>
    <w:rsid w:val="000879DA"/>
    <w:rsid w:val="00087EEC"/>
    <w:rsid w:val="0009054C"/>
    <w:rsid w:val="000906C0"/>
    <w:rsid w:val="000907FD"/>
    <w:rsid w:val="000909C1"/>
    <w:rsid w:val="0009112D"/>
    <w:rsid w:val="00092631"/>
    <w:rsid w:val="000926F8"/>
    <w:rsid w:val="00092C89"/>
    <w:rsid w:val="00092DF0"/>
    <w:rsid w:val="00093004"/>
    <w:rsid w:val="00093779"/>
    <w:rsid w:val="000940FE"/>
    <w:rsid w:val="000945AC"/>
    <w:rsid w:val="0009525F"/>
    <w:rsid w:val="00095FD4"/>
    <w:rsid w:val="0009680A"/>
    <w:rsid w:val="0009699C"/>
    <w:rsid w:val="000974EB"/>
    <w:rsid w:val="00097556"/>
    <w:rsid w:val="00097795"/>
    <w:rsid w:val="00097D53"/>
    <w:rsid w:val="00097E06"/>
    <w:rsid w:val="000A0B0B"/>
    <w:rsid w:val="000A1558"/>
    <w:rsid w:val="000A190B"/>
    <w:rsid w:val="000A1C55"/>
    <w:rsid w:val="000A2287"/>
    <w:rsid w:val="000A30E2"/>
    <w:rsid w:val="000A323F"/>
    <w:rsid w:val="000A330C"/>
    <w:rsid w:val="000A348C"/>
    <w:rsid w:val="000A389D"/>
    <w:rsid w:val="000A3939"/>
    <w:rsid w:val="000A3EA4"/>
    <w:rsid w:val="000A4024"/>
    <w:rsid w:val="000A4035"/>
    <w:rsid w:val="000A4324"/>
    <w:rsid w:val="000A44B0"/>
    <w:rsid w:val="000A473B"/>
    <w:rsid w:val="000A49B7"/>
    <w:rsid w:val="000A4EFE"/>
    <w:rsid w:val="000A5720"/>
    <w:rsid w:val="000A57DD"/>
    <w:rsid w:val="000A64BE"/>
    <w:rsid w:val="000A6A1A"/>
    <w:rsid w:val="000A6E6C"/>
    <w:rsid w:val="000B084D"/>
    <w:rsid w:val="000B0F02"/>
    <w:rsid w:val="000B1285"/>
    <w:rsid w:val="000B1581"/>
    <w:rsid w:val="000B17C1"/>
    <w:rsid w:val="000B2EDA"/>
    <w:rsid w:val="000B309B"/>
    <w:rsid w:val="000B3169"/>
    <w:rsid w:val="000B32AA"/>
    <w:rsid w:val="000B40DF"/>
    <w:rsid w:val="000B41F9"/>
    <w:rsid w:val="000B43C7"/>
    <w:rsid w:val="000B4DE0"/>
    <w:rsid w:val="000B596C"/>
    <w:rsid w:val="000B670C"/>
    <w:rsid w:val="000B67C5"/>
    <w:rsid w:val="000B68C8"/>
    <w:rsid w:val="000B717C"/>
    <w:rsid w:val="000B71DD"/>
    <w:rsid w:val="000B7872"/>
    <w:rsid w:val="000B794C"/>
    <w:rsid w:val="000B7B69"/>
    <w:rsid w:val="000C07A5"/>
    <w:rsid w:val="000C095B"/>
    <w:rsid w:val="000C2AD0"/>
    <w:rsid w:val="000C342F"/>
    <w:rsid w:val="000C3587"/>
    <w:rsid w:val="000C3AF8"/>
    <w:rsid w:val="000C4A2E"/>
    <w:rsid w:val="000C4FB9"/>
    <w:rsid w:val="000C5160"/>
    <w:rsid w:val="000C5FA4"/>
    <w:rsid w:val="000C629D"/>
    <w:rsid w:val="000C7243"/>
    <w:rsid w:val="000C77A0"/>
    <w:rsid w:val="000C7D5F"/>
    <w:rsid w:val="000D0191"/>
    <w:rsid w:val="000D065C"/>
    <w:rsid w:val="000D0684"/>
    <w:rsid w:val="000D0DDF"/>
    <w:rsid w:val="000D0DE1"/>
    <w:rsid w:val="000D139D"/>
    <w:rsid w:val="000D188E"/>
    <w:rsid w:val="000D1DEA"/>
    <w:rsid w:val="000D2B96"/>
    <w:rsid w:val="000D2F23"/>
    <w:rsid w:val="000D309F"/>
    <w:rsid w:val="000D31D4"/>
    <w:rsid w:val="000D3F63"/>
    <w:rsid w:val="000D4219"/>
    <w:rsid w:val="000D5159"/>
    <w:rsid w:val="000D5385"/>
    <w:rsid w:val="000D70F7"/>
    <w:rsid w:val="000D718E"/>
    <w:rsid w:val="000D7442"/>
    <w:rsid w:val="000D7748"/>
    <w:rsid w:val="000D7C48"/>
    <w:rsid w:val="000E0A78"/>
    <w:rsid w:val="000E0E2C"/>
    <w:rsid w:val="000E249D"/>
    <w:rsid w:val="000E35DD"/>
    <w:rsid w:val="000E3885"/>
    <w:rsid w:val="000E4829"/>
    <w:rsid w:val="000E505B"/>
    <w:rsid w:val="000E5397"/>
    <w:rsid w:val="000E5623"/>
    <w:rsid w:val="000E70A5"/>
    <w:rsid w:val="000E7D49"/>
    <w:rsid w:val="000F006D"/>
    <w:rsid w:val="000F0CC9"/>
    <w:rsid w:val="000F234E"/>
    <w:rsid w:val="000F24CD"/>
    <w:rsid w:val="000F2F8F"/>
    <w:rsid w:val="000F331F"/>
    <w:rsid w:val="000F33A6"/>
    <w:rsid w:val="000F39CE"/>
    <w:rsid w:val="000F4252"/>
    <w:rsid w:val="000F45FD"/>
    <w:rsid w:val="000F4985"/>
    <w:rsid w:val="000F511B"/>
    <w:rsid w:val="000F51F0"/>
    <w:rsid w:val="000F53A9"/>
    <w:rsid w:val="000F5A5E"/>
    <w:rsid w:val="000F5EE5"/>
    <w:rsid w:val="000F6C69"/>
    <w:rsid w:val="000F7132"/>
    <w:rsid w:val="000F73BA"/>
    <w:rsid w:val="00100C06"/>
    <w:rsid w:val="00100C41"/>
    <w:rsid w:val="00100E54"/>
    <w:rsid w:val="00101832"/>
    <w:rsid w:val="00102126"/>
    <w:rsid w:val="00102B15"/>
    <w:rsid w:val="00102BF3"/>
    <w:rsid w:val="00102D48"/>
    <w:rsid w:val="00102EE0"/>
    <w:rsid w:val="001033FB"/>
    <w:rsid w:val="001038F2"/>
    <w:rsid w:val="00103AE5"/>
    <w:rsid w:val="00103E12"/>
    <w:rsid w:val="001043B3"/>
    <w:rsid w:val="001048D3"/>
    <w:rsid w:val="0010515B"/>
    <w:rsid w:val="00105BD3"/>
    <w:rsid w:val="00105F3C"/>
    <w:rsid w:val="00106050"/>
    <w:rsid w:val="00106C50"/>
    <w:rsid w:val="001073A6"/>
    <w:rsid w:val="0010745A"/>
    <w:rsid w:val="0010771D"/>
    <w:rsid w:val="0011042C"/>
    <w:rsid w:val="0011097D"/>
    <w:rsid w:val="00110A15"/>
    <w:rsid w:val="00110B8F"/>
    <w:rsid w:val="0011119C"/>
    <w:rsid w:val="0011168C"/>
    <w:rsid w:val="00112642"/>
    <w:rsid w:val="00112B0E"/>
    <w:rsid w:val="00112B61"/>
    <w:rsid w:val="001139F3"/>
    <w:rsid w:val="00113F6E"/>
    <w:rsid w:val="00115D47"/>
    <w:rsid w:val="001162E9"/>
    <w:rsid w:val="001166EE"/>
    <w:rsid w:val="00116D5E"/>
    <w:rsid w:val="0011754F"/>
    <w:rsid w:val="001209CE"/>
    <w:rsid w:val="00121D4E"/>
    <w:rsid w:val="00121E9B"/>
    <w:rsid w:val="0012210E"/>
    <w:rsid w:val="001224D2"/>
    <w:rsid w:val="00122647"/>
    <w:rsid w:val="001228E8"/>
    <w:rsid w:val="001232EB"/>
    <w:rsid w:val="00123A8C"/>
    <w:rsid w:val="00123C69"/>
    <w:rsid w:val="00123D02"/>
    <w:rsid w:val="0012413A"/>
    <w:rsid w:val="00125249"/>
    <w:rsid w:val="00125323"/>
    <w:rsid w:val="001254C1"/>
    <w:rsid w:val="001264EC"/>
    <w:rsid w:val="001266C3"/>
    <w:rsid w:val="00126D8F"/>
    <w:rsid w:val="00127043"/>
    <w:rsid w:val="001273BC"/>
    <w:rsid w:val="00127CDB"/>
    <w:rsid w:val="00130F5E"/>
    <w:rsid w:val="00131E80"/>
    <w:rsid w:val="00132BD1"/>
    <w:rsid w:val="0013304D"/>
    <w:rsid w:val="001332D9"/>
    <w:rsid w:val="00133CB5"/>
    <w:rsid w:val="00134F42"/>
    <w:rsid w:val="00135C9B"/>
    <w:rsid w:val="00135DB2"/>
    <w:rsid w:val="00135EF9"/>
    <w:rsid w:val="00135F96"/>
    <w:rsid w:val="00136408"/>
    <w:rsid w:val="00136593"/>
    <w:rsid w:val="00136773"/>
    <w:rsid w:val="001369C5"/>
    <w:rsid w:val="00136B36"/>
    <w:rsid w:val="00136E6F"/>
    <w:rsid w:val="001373FB"/>
    <w:rsid w:val="00137A08"/>
    <w:rsid w:val="00137DDF"/>
    <w:rsid w:val="00137EF9"/>
    <w:rsid w:val="0014006E"/>
    <w:rsid w:val="001402EA"/>
    <w:rsid w:val="00140370"/>
    <w:rsid w:val="00140AC0"/>
    <w:rsid w:val="00140C48"/>
    <w:rsid w:val="001439FE"/>
    <w:rsid w:val="00143B8F"/>
    <w:rsid w:val="001442F0"/>
    <w:rsid w:val="001445DB"/>
    <w:rsid w:val="00144A37"/>
    <w:rsid w:val="00144C49"/>
    <w:rsid w:val="00145165"/>
    <w:rsid w:val="00145605"/>
    <w:rsid w:val="001464FB"/>
    <w:rsid w:val="001468EE"/>
    <w:rsid w:val="00146948"/>
    <w:rsid w:val="001478B5"/>
    <w:rsid w:val="00147E58"/>
    <w:rsid w:val="001500C0"/>
    <w:rsid w:val="001504C2"/>
    <w:rsid w:val="0015064E"/>
    <w:rsid w:val="00151077"/>
    <w:rsid w:val="0015190F"/>
    <w:rsid w:val="0015293C"/>
    <w:rsid w:val="001530FC"/>
    <w:rsid w:val="001535AB"/>
    <w:rsid w:val="001537F3"/>
    <w:rsid w:val="0015386E"/>
    <w:rsid w:val="00153B62"/>
    <w:rsid w:val="00153CFB"/>
    <w:rsid w:val="001547F8"/>
    <w:rsid w:val="00154B9A"/>
    <w:rsid w:val="0015547B"/>
    <w:rsid w:val="0015566E"/>
    <w:rsid w:val="001557A8"/>
    <w:rsid w:val="00155917"/>
    <w:rsid w:val="00155F2C"/>
    <w:rsid w:val="00156AE9"/>
    <w:rsid w:val="00156C87"/>
    <w:rsid w:val="00156E49"/>
    <w:rsid w:val="001574E9"/>
    <w:rsid w:val="00157569"/>
    <w:rsid w:val="00157A5C"/>
    <w:rsid w:val="0016094E"/>
    <w:rsid w:val="00160EE3"/>
    <w:rsid w:val="001613A2"/>
    <w:rsid w:val="00161A83"/>
    <w:rsid w:val="001623BB"/>
    <w:rsid w:val="00162844"/>
    <w:rsid w:val="00162AD0"/>
    <w:rsid w:val="00162F1C"/>
    <w:rsid w:val="0016341A"/>
    <w:rsid w:val="001645F5"/>
    <w:rsid w:val="00164639"/>
    <w:rsid w:val="00164F02"/>
    <w:rsid w:val="001650F2"/>
    <w:rsid w:val="00165104"/>
    <w:rsid w:val="00165445"/>
    <w:rsid w:val="00165BA3"/>
    <w:rsid w:val="00165D21"/>
    <w:rsid w:val="0016671C"/>
    <w:rsid w:val="0016700A"/>
    <w:rsid w:val="00167032"/>
    <w:rsid w:val="001676CB"/>
    <w:rsid w:val="00167874"/>
    <w:rsid w:val="001678E5"/>
    <w:rsid w:val="001700E8"/>
    <w:rsid w:val="0017125D"/>
    <w:rsid w:val="00171DB1"/>
    <w:rsid w:val="00172B8D"/>
    <w:rsid w:val="00172D55"/>
    <w:rsid w:val="001732FE"/>
    <w:rsid w:val="001742F2"/>
    <w:rsid w:val="00174679"/>
    <w:rsid w:val="0017560D"/>
    <w:rsid w:val="0017569A"/>
    <w:rsid w:val="001758B0"/>
    <w:rsid w:val="00175E1B"/>
    <w:rsid w:val="00176576"/>
    <w:rsid w:val="00176B53"/>
    <w:rsid w:val="00176F23"/>
    <w:rsid w:val="00177038"/>
    <w:rsid w:val="001771AA"/>
    <w:rsid w:val="0017767D"/>
    <w:rsid w:val="00180507"/>
    <w:rsid w:val="0018050B"/>
    <w:rsid w:val="00180CC2"/>
    <w:rsid w:val="00181091"/>
    <w:rsid w:val="001811DF"/>
    <w:rsid w:val="0018195F"/>
    <w:rsid w:val="00182229"/>
    <w:rsid w:val="001825E4"/>
    <w:rsid w:val="0018268C"/>
    <w:rsid w:val="00182CBF"/>
    <w:rsid w:val="001830B8"/>
    <w:rsid w:val="00183805"/>
    <w:rsid w:val="001839E0"/>
    <w:rsid w:val="00183A24"/>
    <w:rsid w:val="00183CD7"/>
    <w:rsid w:val="0018418D"/>
    <w:rsid w:val="0018456F"/>
    <w:rsid w:val="001845D4"/>
    <w:rsid w:val="00186051"/>
    <w:rsid w:val="001874A9"/>
    <w:rsid w:val="00187758"/>
    <w:rsid w:val="001900A1"/>
    <w:rsid w:val="0019070E"/>
    <w:rsid w:val="00190CD2"/>
    <w:rsid w:val="00190D65"/>
    <w:rsid w:val="00190F03"/>
    <w:rsid w:val="00191D0E"/>
    <w:rsid w:val="00192B60"/>
    <w:rsid w:val="00192C78"/>
    <w:rsid w:val="00193518"/>
    <w:rsid w:val="00194716"/>
    <w:rsid w:val="001947C4"/>
    <w:rsid w:val="001949A7"/>
    <w:rsid w:val="00194D89"/>
    <w:rsid w:val="00194FC7"/>
    <w:rsid w:val="0019546D"/>
    <w:rsid w:val="00195572"/>
    <w:rsid w:val="00196549"/>
    <w:rsid w:val="00196A2C"/>
    <w:rsid w:val="00197018"/>
    <w:rsid w:val="00197AFE"/>
    <w:rsid w:val="001A02D6"/>
    <w:rsid w:val="001A05AA"/>
    <w:rsid w:val="001A1349"/>
    <w:rsid w:val="001A1519"/>
    <w:rsid w:val="001A293B"/>
    <w:rsid w:val="001A2DED"/>
    <w:rsid w:val="001A368B"/>
    <w:rsid w:val="001A3F0D"/>
    <w:rsid w:val="001A47D4"/>
    <w:rsid w:val="001A49F7"/>
    <w:rsid w:val="001A527E"/>
    <w:rsid w:val="001A55A9"/>
    <w:rsid w:val="001A576B"/>
    <w:rsid w:val="001A5873"/>
    <w:rsid w:val="001A58D4"/>
    <w:rsid w:val="001A5919"/>
    <w:rsid w:val="001A5B0D"/>
    <w:rsid w:val="001A5F64"/>
    <w:rsid w:val="001A6668"/>
    <w:rsid w:val="001A682A"/>
    <w:rsid w:val="001A6E82"/>
    <w:rsid w:val="001A7219"/>
    <w:rsid w:val="001A7240"/>
    <w:rsid w:val="001A74B0"/>
    <w:rsid w:val="001B0338"/>
    <w:rsid w:val="001B03B1"/>
    <w:rsid w:val="001B1295"/>
    <w:rsid w:val="001B14AF"/>
    <w:rsid w:val="001B2C49"/>
    <w:rsid w:val="001B338C"/>
    <w:rsid w:val="001B4298"/>
    <w:rsid w:val="001B4E58"/>
    <w:rsid w:val="001B5017"/>
    <w:rsid w:val="001B515A"/>
    <w:rsid w:val="001B7214"/>
    <w:rsid w:val="001B7296"/>
    <w:rsid w:val="001B7B1C"/>
    <w:rsid w:val="001B7BB4"/>
    <w:rsid w:val="001C0F54"/>
    <w:rsid w:val="001C160F"/>
    <w:rsid w:val="001C188E"/>
    <w:rsid w:val="001C197F"/>
    <w:rsid w:val="001C1A3E"/>
    <w:rsid w:val="001C1A78"/>
    <w:rsid w:val="001C2556"/>
    <w:rsid w:val="001C27AD"/>
    <w:rsid w:val="001C2B2B"/>
    <w:rsid w:val="001C2CB6"/>
    <w:rsid w:val="001C39C6"/>
    <w:rsid w:val="001C4792"/>
    <w:rsid w:val="001C480A"/>
    <w:rsid w:val="001C494B"/>
    <w:rsid w:val="001C4EC3"/>
    <w:rsid w:val="001C5A5C"/>
    <w:rsid w:val="001C60F8"/>
    <w:rsid w:val="001C6608"/>
    <w:rsid w:val="001C66FA"/>
    <w:rsid w:val="001C6D23"/>
    <w:rsid w:val="001C77D5"/>
    <w:rsid w:val="001C799C"/>
    <w:rsid w:val="001C7CD5"/>
    <w:rsid w:val="001D01B9"/>
    <w:rsid w:val="001D0265"/>
    <w:rsid w:val="001D1485"/>
    <w:rsid w:val="001D1B1E"/>
    <w:rsid w:val="001D1E63"/>
    <w:rsid w:val="001D2366"/>
    <w:rsid w:val="001D24A2"/>
    <w:rsid w:val="001D24FF"/>
    <w:rsid w:val="001D28EA"/>
    <w:rsid w:val="001D384E"/>
    <w:rsid w:val="001D4035"/>
    <w:rsid w:val="001D407F"/>
    <w:rsid w:val="001D40B0"/>
    <w:rsid w:val="001D412E"/>
    <w:rsid w:val="001D4BE0"/>
    <w:rsid w:val="001D5218"/>
    <w:rsid w:val="001D5486"/>
    <w:rsid w:val="001D5D4D"/>
    <w:rsid w:val="001D5FA1"/>
    <w:rsid w:val="001D61B6"/>
    <w:rsid w:val="001D63B1"/>
    <w:rsid w:val="001D6A91"/>
    <w:rsid w:val="001D7E98"/>
    <w:rsid w:val="001E0232"/>
    <w:rsid w:val="001E0827"/>
    <w:rsid w:val="001E08C8"/>
    <w:rsid w:val="001E0A1D"/>
    <w:rsid w:val="001E0E25"/>
    <w:rsid w:val="001E0ECE"/>
    <w:rsid w:val="001E109B"/>
    <w:rsid w:val="001E13B9"/>
    <w:rsid w:val="001E1739"/>
    <w:rsid w:val="001E26A0"/>
    <w:rsid w:val="001E2B5D"/>
    <w:rsid w:val="001E2CB7"/>
    <w:rsid w:val="001E443C"/>
    <w:rsid w:val="001E4C99"/>
    <w:rsid w:val="001E4D81"/>
    <w:rsid w:val="001E5FC3"/>
    <w:rsid w:val="001E6502"/>
    <w:rsid w:val="001E6767"/>
    <w:rsid w:val="001E6955"/>
    <w:rsid w:val="001E6D1C"/>
    <w:rsid w:val="001E6D30"/>
    <w:rsid w:val="001E7029"/>
    <w:rsid w:val="001E78D8"/>
    <w:rsid w:val="001E7936"/>
    <w:rsid w:val="001E7AA6"/>
    <w:rsid w:val="001F0516"/>
    <w:rsid w:val="001F117B"/>
    <w:rsid w:val="001F23C5"/>
    <w:rsid w:val="001F2C89"/>
    <w:rsid w:val="001F334C"/>
    <w:rsid w:val="001F41E2"/>
    <w:rsid w:val="001F42ED"/>
    <w:rsid w:val="001F48DA"/>
    <w:rsid w:val="001F54C5"/>
    <w:rsid w:val="001F5BB5"/>
    <w:rsid w:val="001F6686"/>
    <w:rsid w:val="001F6AB2"/>
    <w:rsid w:val="001F6D25"/>
    <w:rsid w:val="001F6EC3"/>
    <w:rsid w:val="001F732E"/>
    <w:rsid w:val="001F7736"/>
    <w:rsid w:val="001F7C44"/>
    <w:rsid w:val="002003E7"/>
    <w:rsid w:val="00200652"/>
    <w:rsid w:val="00202179"/>
    <w:rsid w:val="00202579"/>
    <w:rsid w:val="0020371A"/>
    <w:rsid w:val="00204064"/>
    <w:rsid w:val="002041E7"/>
    <w:rsid w:val="00204551"/>
    <w:rsid w:val="00204DFA"/>
    <w:rsid w:val="002053DA"/>
    <w:rsid w:val="00205944"/>
    <w:rsid w:val="00205B7D"/>
    <w:rsid w:val="00206758"/>
    <w:rsid w:val="00206CD4"/>
    <w:rsid w:val="002071FB"/>
    <w:rsid w:val="00207847"/>
    <w:rsid w:val="00207BFA"/>
    <w:rsid w:val="00207D2F"/>
    <w:rsid w:val="00207E80"/>
    <w:rsid w:val="00207EA7"/>
    <w:rsid w:val="0021268C"/>
    <w:rsid w:val="00212EB2"/>
    <w:rsid w:val="0021308E"/>
    <w:rsid w:val="002139D7"/>
    <w:rsid w:val="00214723"/>
    <w:rsid w:val="00214BE7"/>
    <w:rsid w:val="00214ED7"/>
    <w:rsid w:val="002154EE"/>
    <w:rsid w:val="002156D8"/>
    <w:rsid w:val="00216C30"/>
    <w:rsid w:val="0022000B"/>
    <w:rsid w:val="00220569"/>
    <w:rsid w:val="002207A0"/>
    <w:rsid w:val="00220B9C"/>
    <w:rsid w:val="00222F6D"/>
    <w:rsid w:val="00223BEC"/>
    <w:rsid w:val="002243DB"/>
    <w:rsid w:val="002244AE"/>
    <w:rsid w:val="00225BFC"/>
    <w:rsid w:val="00227253"/>
    <w:rsid w:val="002275AA"/>
    <w:rsid w:val="00227C82"/>
    <w:rsid w:val="00227EA8"/>
    <w:rsid w:val="00230ABA"/>
    <w:rsid w:val="00231DD9"/>
    <w:rsid w:val="00233154"/>
    <w:rsid w:val="002333EE"/>
    <w:rsid w:val="00233557"/>
    <w:rsid w:val="002336DF"/>
    <w:rsid w:val="002341C5"/>
    <w:rsid w:val="002344EF"/>
    <w:rsid w:val="00234AD6"/>
    <w:rsid w:val="002356B0"/>
    <w:rsid w:val="002370C4"/>
    <w:rsid w:val="002376C6"/>
    <w:rsid w:val="00237786"/>
    <w:rsid w:val="00240977"/>
    <w:rsid w:val="00240B0C"/>
    <w:rsid w:val="00240B16"/>
    <w:rsid w:val="002410F8"/>
    <w:rsid w:val="002415CB"/>
    <w:rsid w:val="00241D71"/>
    <w:rsid w:val="00242575"/>
    <w:rsid w:val="002426D9"/>
    <w:rsid w:val="00242764"/>
    <w:rsid w:val="00242D55"/>
    <w:rsid w:val="00242F3C"/>
    <w:rsid w:val="002430E6"/>
    <w:rsid w:val="002437C1"/>
    <w:rsid w:val="00243A0B"/>
    <w:rsid w:val="00243AEF"/>
    <w:rsid w:val="00243D88"/>
    <w:rsid w:val="00243DA1"/>
    <w:rsid w:val="00243EBB"/>
    <w:rsid w:val="00244119"/>
    <w:rsid w:val="002441D3"/>
    <w:rsid w:val="002443A6"/>
    <w:rsid w:val="0024519A"/>
    <w:rsid w:val="0024567E"/>
    <w:rsid w:val="002458C8"/>
    <w:rsid w:val="00245971"/>
    <w:rsid w:val="00246560"/>
    <w:rsid w:val="00246B90"/>
    <w:rsid w:val="00246C7F"/>
    <w:rsid w:val="00247F4A"/>
    <w:rsid w:val="002504F8"/>
    <w:rsid w:val="0025118C"/>
    <w:rsid w:val="002512BD"/>
    <w:rsid w:val="00252499"/>
    <w:rsid w:val="00252A86"/>
    <w:rsid w:val="00252B41"/>
    <w:rsid w:val="00253269"/>
    <w:rsid w:val="00253AE1"/>
    <w:rsid w:val="002540F3"/>
    <w:rsid w:val="00254443"/>
    <w:rsid w:val="00254E20"/>
    <w:rsid w:val="00254E9B"/>
    <w:rsid w:val="00255095"/>
    <w:rsid w:val="00255F50"/>
    <w:rsid w:val="00257B4D"/>
    <w:rsid w:val="00257C81"/>
    <w:rsid w:val="0026030E"/>
    <w:rsid w:val="00260808"/>
    <w:rsid w:val="00260AA8"/>
    <w:rsid w:val="00260EBF"/>
    <w:rsid w:val="00261208"/>
    <w:rsid w:val="00261C96"/>
    <w:rsid w:val="002624AD"/>
    <w:rsid w:val="00262760"/>
    <w:rsid w:val="00262AE1"/>
    <w:rsid w:val="002634D9"/>
    <w:rsid w:val="0026352E"/>
    <w:rsid w:val="0026379E"/>
    <w:rsid w:val="00263B4F"/>
    <w:rsid w:val="0026444C"/>
    <w:rsid w:val="00264913"/>
    <w:rsid w:val="00265955"/>
    <w:rsid w:val="0026615F"/>
    <w:rsid w:val="00267759"/>
    <w:rsid w:val="00267D28"/>
    <w:rsid w:val="00267DA9"/>
    <w:rsid w:val="0027073E"/>
    <w:rsid w:val="00271718"/>
    <w:rsid w:val="00271872"/>
    <w:rsid w:val="00272E29"/>
    <w:rsid w:val="00273ABA"/>
    <w:rsid w:val="00273DFE"/>
    <w:rsid w:val="00274AF0"/>
    <w:rsid w:val="00274F0D"/>
    <w:rsid w:val="00275E5B"/>
    <w:rsid w:val="0027601F"/>
    <w:rsid w:val="00276541"/>
    <w:rsid w:val="002769A6"/>
    <w:rsid w:val="00276B10"/>
    <w:rsid w:val="002771BD"/>
    <w:rsid w:val="00277CD3"/>
    <w:rsid w:val="002802ED"/>
    <w:rsid w:val="002803A1"/>
    <w:rsid w:val="0028046F"/>
    <w:rsid w:val="002808F7"/>
    <w:rsid w:val="00280C91"/>
    <w:rsid w:val="00280D7D"/>
    <w:rsid w:val="00280F1F"/>
    <w:rsid w:val="0028119E"/>
    <w:rsid w:val="002811C3"/>
    <w:rsid w:val="00281A96"/>
    <w:rsid w:val="0028207F"/>
    <w:rsid w:val="002823E4"/>
    <w:rsid w:val="00282CEC"/>
    <w:rsid w:val="00282FFC"/>
    <w:rsid w:val="00283640"/>
    <w:rsid w:val="002843B1"/>
    <w:rsid w:val="002846F2"/>
    <w:rsid w:val="002865CD"/>
    <w:rsid w:val="00286B2A"/>
    <w:rsid w:val="0028701F"/>
    <w:rsid w:val="002873AE"/>
    <w:rsid w:val="00287458"/>
    <w:rsid w:val="00287508"/>
    <w:rsid w:val="002875C8"/>
    <w:rsid w:val="00287729"/>
    <w:rsid w:val="00287F3E"/>
    <w:rsid w:val="00287F63"/>
    <w:rsid w:val="00290097"/>
    <w:rsid w:val="00291239"/>
    <w:rsid w:val="002912DD"/>
    <w:rsid w:val="00291430"/>
    <w:rsid w:val="00291893"/>
    <w:rsid w:val="00291C2F"/>
    <w:rsid w:val="00292156"/>
    <w:rsid w:val="0029296D"/>
    <w:rsid w:val="00292B40"/>
    <w:rsid w:val="00293112"/>
    <w:rsid w:val="002944DA"/>
    <w:rsid w:val="00294CC0"/>
    <w:rsid w:val="00294EDB"/>
    <w:rsid w:val="002957C5"/>
    <w:rsid w:val="002965C2"/>
    <w:rsid w:val="00296948"/>
    <w:rsid w:val="00296D16"/>
    <w:rsid w:val="00297CD1"/>
    <w:rsid w:val="002A0350"/>
    <w:rsid w:val="002A0637"/>
    <w:rsid w:val="002A0BC1"/>
    <w:rsid w:val="002A1017"/>
    <w:rsid w:val="002A1509"/>
    <w:rsid w:val="002A1C27"/>
    <w:rsid w:val="002A2E93"/>
    <w:rsid w:val="002A38AA"/>
    <w:rsid w:val="002A4BE5"/>
    <w:rsid w:val="002A5116"/>
    <w:rsid w:val="002A5569"/>
    <w:rsid w:val="002A6182"/>
    <w:rsid w:val="002A64D3"/>
    <w:rsid w:val="002A71B6"/>
    <w:rsid w:val="002A7661"/>
    <w:rsid w:val="002A7A05"/>
    <w:rsid w:val="002A7D0A"/>
    <w:rsid w:val="002B0547"/>
    <w:rsid w:val="002B122B"/>
    <w:rsid w:val="002B1345"/>
    <w:rsid w:val="002B1A2A"/>
    <w:rsid w:val="002B2B6D"/>
    <w:rsid w:val="002B2D39"/>
    <w:rsid w:val="002B34B8"/>
    <w:rsid w:val="002B3ABB"/>
    <w:rsid w:val="002B3C7E"/>
    <w:rsid w:val="002B459E"/>
    <w:rsid w:val="002B5338"/>
    <w:rsid w:val="002B535E"/>
    <w:rsid w:val="002B5972"/>
    <w:rsid w:val="002B5A9E"/>
    <w:rsid w:val="002B6A69"/>
    <w:rsid w:val="002B7427"/>
    <w:rsid w:val="002B7588"/>
    <w:rsid w:val="002B761D"/>
    <w:rsid w:val="002B76D1"/>
    <w:rsid w:val="002C058D"/>
    <w:rsid w:val="002C089A"/>
    <w:rsid w:val="002C08ED"/>
    <w:rsid w:val="002C09FB"/>
    <w:rsid w:val="002C0C79"/>
    <w:rsid w:val="002C0EB8"/>
    <w:rsid w:val="002C178A"/>
    <w:rsid w:val="002C1ED2"/>
    <w:rsid w:val="002C1FE4"/>
    <w:rsid w:val="002C25C9"/>
    <w:rsid w:val="002C2B1A"/>
    <w:rsid w:val="002C2B42"/>
    <w:rsid w:val="002C38FE"/>
    <w:rsid w:val="002C3976"/>
    <w:rsid w:val="002C4413"/>
    <w:rsid w:val="002C4EDB"/>
    <w:rsid w:val="002C57CD"/>
    <w:rsid w:val="002C5902"/>
    <w:rsid w:val="002C5E41"/>
    <w:rsid w:val="002C622F"/>
    <w:rsid w:val="002C69F6"/>
    <w:rsid w:val="002C6A41"/>
    <w:rsid w:val="002C715C"/>
    <w:rsid w:val="002C72B4"/>
    <w:rsid w:val="002D032F"/>
    <w:rsid w:val="002D0EDF"/>
    <w:rsid w:val="002D0F46"/>
    <w:rsid w:val="002D102A"/>
    <w:rsid w:val="002D1C86"/>
    <w:rsid w:val="002D4A53"/>
    <w:rsid w:val="002D4C19"/>
    <w:rsid w:val="002D4C49"/>
    <w:rsid w:val="002D4C65"/>
    <w:rsid w:val="002D4F1B"/>
    <w:rsid w:val="002D5BFE"/>
    <w:rsid w:val="002D5FBB"/>
    <w:rsid w:val="002D6227"/>
    <w:rsid w:val="002D6512"/>
    <w:rsid w:val="002D6CEF"/>
    <w:rsid w:val="002D7006"/>
    <w:rsid w:val="002D7D41"/>
    <w:rsid w:val="002E011E"/>
    <w:rsid w:val="002E0220"/>
    <w:rsid w:val="002E085D"/>
    <w:rsid w:val="002E0957"/>
    <w:rsid w:val="002E0DB5"/>
    <w:rsid w:val="002E1350"/>
    <w:rsid w:val="002E1500"/>
    <w:rsid w:val="002E20E6"/>
    <w:rsid w:val="002E3614"/>
    <w:rsid w:val="002E3882"/>
    <w:rsid w:val="002E3B2C"/>
    <w:rsid w:val="002E3D2F"/>
    <w:rsid w:val="002E42DB"/>
    <w:rsid w:val="002E44BE"/>
    <w:rsid w:val="002E454A"/>
    <w:rsid w:val="002E4D93"/>
    <w:rsid w:val="002E515D"/>
    <w:rsid w:val="002E56E0"/>
    <w:rsid w:val="002E58B5"/>
    <w:rsid w:val="002E6583"/>
    <w:rsid w:val="002E7514"/>
    <w:rsid w:val="002E78E9"/>
    <w:rsid w:val="002F07B0"/>
    <w:rsid w:val="002F1761"/>
    <w:rsid w:val="002F1AAF"/>
    <w:rsid w:val="002F247D"/>
    <w:rsid w:val="002F30B4"/>
    <w:rsid w:val="002F31D5"/>
    <w:rsid w:val="002F3B87"/>
    <w:rsid w:val="002F3EF6"/>
    <w:rsid w:val="002F4038"/>
    <w:rsid w:val="002F4579"/>
    <w:rsid w:val="002F49B5"/>
    <w:rsid w:val="002F4E36"/>
    <w:rsid w:val="002F5CAD"/>
    <w:rsid w:val="002F6180"/>
    <w:rsid w:val="002F67C6"/>
    <w:rsid w:val="002F6C5D"/>
    <w:rsid w:val="002F6FCB"/>
    <w:rsid w:val="002F7001"/>
    <w:rsid w:val="002F7901"/>
    <w:rsid w:val="002F7E73"/>
    <w:rsid w:val="00300289"/>
    <w:rsid w:val="00301376"/>
    <w:rsid w:val="003013B2"/>
    <w:rsid w:val="00301414"/>
    <w:rsid w:val="00301433"/>
    <w:rsid w:val="00301935"/>
    <w:rsid w:val="00301DA6"/>
    <w:rsid w:val="00301ED4"/>
    <w:rsid w:val="00302182"/>
    <w:rsid w:val="00302486"/>
    <w:rsid w:val="00302BB8"/>
    <w:rsid w:val="003037FB"/>
    <w:rsid w:val="003043B9"/>
    <w:rsid w:val="00304B0A"/>
    <w:rsid w:val="003055DA"/>
    <w:rsid w:val="0030572A"/>
    <w:rsid w:val="003059B6"/>
    <w:rsid w:val="00305B95"/>
    <w:rsid w:val="00305C8D"/>
    <w:rsid w:val="00305E04"/>
    <w:rsid w:val="00306A07"/>
    <w:rsid w:val="00307141"/>
    <w:rsid w:val="00307501"/>
    <w:rsid w:val="00307796"/>
    <w:rsid w:val="00310200"/>
    <w:rsid w:val="00310733"/>
    <w:rsid w:val="003107A4"/>
    <w:rsid w:val="00310EDB"/>
    <w:rsid w:val="00311FCC"/>
    <w:rsid w:val="00313B3F"/>
    <w:rsid w:val="00314AC6"/>
    <w:rsid w:val="003153FB"/>
    <w:rsid w:val="00316513"/>
    <w:rsid w:val="00316674"/>
    <w:rsid w:val="00317E21"/>
    <w:rsid w:val="00317F8C"/>
    <w:rsid w:val="00320391"/>
    <w:rsid w:val="00320397"/>
    <w:rsid w:val="0032042E"/>
    <w:rsid w:val="00321B79"/>
    <w:rsid w:val="00321F83"/>
    <w:rsid w:val="0032222E"/>
    <w:rsid w:val="0032291C"/>
    <w:rsid w:val="0032292E"/>
    <w:rsid w:val="00322996"/>
    <w:rsid w:val="0032331C"/>
    <w:rsid w:val="0032345D"/>
    <w:rsid w:val="003239BA"/>
    <w:rsid w:val="00323F5D"/>
    <w:rsid w:val="003245A9"/>
    <w:rsid w:val="0032510E"/>
    <w:rsid w:val="00325B9F"/>
    <w:rsid w:val="0032601B"/>
    <w:rsid w:val="00326960"/>
    <w:rsid w:val="00326A41"/>
    <w:rsid w:val="00326AB2"/>
    <w:rsid w:val="00327936"/>
    <w:rsid w:val="00327E4A"/>
    <w:rsid w:val="0033045C"/>
    <w:rsid w:val="00330CDC"/>
    <w:rsid w:val="00331928"/>
    <w:rsid w:val="003322CD"/>
    <w:rsid w:val="003326D3"/>
    <w:rsid w:val="00332EF6"/>
    <w:rsid w:val="003332DB"/>
    <w:rsid w:val="00333A0D"/>
    <w:rsid w:val="00333A10"/>
    <w:rsid w:val="00333E6C"/>
    <w:rsid w:val="00334339"/>
    <w:rsid w:val="00334435"/>
    <w:rsid w:val="00334457"/>
    <w:rsid w:val="00334928"/>
    <w:rsid w:val="00334D87"/>
    <w:rsid w:val="00334EDE"/>
    <w:rsid w:val="003359B8"/>
    <w:rsid w:val="00335A5C"/>
    <w:rsid w:val="00336294"/>
    <w:rsid w:val="00336854"/>
    <w:rsid w:val="00337160"/>
    <w:rsid w:val="003402B4"/>
    <w:rsid w:val="00340470"/>
    <w:rsid w:val="00340756"/>
    <w:rsid w:val="0034096B"/>
    <w:rsid w:val="00340C5F"/>
    <w:rsid w:val="00340D20"/>
    <w:rsid w:val="0034124F"/>
    <w:rsid w:val="003417C8"/>
    <w:rsid w:val="00341A8A"/>
    <w:rsid w:val="00342AFB"/>
    <w:rsid w:val="00342C1D"/>
    <w:rsid w:val="00342DD5"/>
    <w:rsid w:val="003434F7"/>
    <w:rsid w:val="0034476F"/>
    <w:rsid w:val="0034524F"/>
    <w:rsid w:val="003461A8"/>
    <w:rsid w:val="0034659A"/>
    <w:rsid w:val="00346783"/>
    <w:rsid w:val="00346941"/>
    <w:rsid w:val="00346A18"/>
    <w:rsid w:val="0034788A"/>
    <w:rsid w:val="0035020C"/>
    <w:rsid w:val="003503D3"/>
    <w:rsid w:val="00350546"/>
    <w:rsid w:val="0035084D"/>
    <w:rsid w:val="003508B3"/>
    <w:rsid w:val="00350A4B"/>
    <w:rsid w:val="00350E95"/>
    <w:rsid w:val="0035215E"/>
    <w:rsid w:val="0035216E"/>
    <w:rsid w:val="003525D7"/>
    <w:rsid w:val="00352761"/>
    <w:rsid w:val="00352B55"/>
    <w:rsid w:val="0035394C"/>
    <w:rsid w:val="0035497A"/>
    <w:rsid w:val="00355FD4"/>
    <w:rsid w:val="0035607F"/>
    <w:rsid w:val="003568DE"/>
    <w:rsid w:val="003569E0"/>
    <w:rsid w:val="003570F5"/>
    <w:rsid w:val="00357260"/>
    <w:rsid w:val="003577A1"/>
    <w:rsid w:val="003579FA"/>
    <w:rsid w:val="00357FE9"/>
    <w:rsid w:val="00360067"/>
    <w:rsid w:val="003608BD"/>
    <w:rsid w:val="003609CB"/>
    <w:rsid w:val="00360ACF"/>
    <w:rsid w:val="003611D1"/>
    <w:rsid w:val="0036171D"/>
    <w:rsid w:val="00361991"/>
    <w:rsid w:val="00361BB7"/>
    <w:rsid w:val="00361D11"/>
    <w:rsid w:val="00362692"/>
    <w:rsid w:val="00362712"/>
    <w:rsid w:val="00363186"/>
    <w:rsid w:val="00363C4C"/>
    <w:rsid w:val="00363F68"/>
    <w:rsid w:val="0036447B"/>
    <w:rsid w:val="00364B8F"/>
    <w:rsid w:val="00365F0A"/>
    <w:rsid w:val="0036600C"/>
    <w:rsid w:val="0036691C"/>
    <w:rsid w:val="0036726B"/>
    <w:rsid w:val="00370820"/>
    <w:rsid w:val="00370A69"/>
    <w:rsid w:val="00370AD6"/>
    <w:rsid w:val="003721EC"/>
    <w:rsid w:val="003728B7"/>
    <w:rsid w:val="00372A9A"/>
    <w:rsid w:val="00372FD3"/>
    <w:rsid w:val="0037454F"/>
    <w:rsid w:val="00374EDD"/>
    <w:rsid w:val="00375C15"/>
    <w:rsid w:val="00375C5A"/>
    <w:rsid w:val="003762D1"/>
    <w:rsid w:val="003763EA"/>
    <w:rsid w:val="00376723"/>
    <w:rsid w:val="0037710C"/>
    <w:rsid w:val="00377509"/>
    <w:rsid w:val="00380C36"/>
    <w:rsid w:val="00380FA9"/>
    <w:rsid w:val="00381402"/>
    <w:rsid w:val="0038189F"/>
    <w:rsid w:val="003823E9"/>
    <w:rsid w:val="0038291B"/>
    <w:rsid w:val="00382ADF"/>
    <w:rsid w:val="00382B42"/>
    <w:rsid w:val="00382BEA"/>
    <w:rsid w:val="00382C2D"/>
    <w:rsid w:val="003831CE"/>
    <w:rsid w:val="00383299"/>
    <w:rsid w:val="00383B3D"/>
    <w:rsid w:val="003843C3"/>
    <w:rsid w:val="0038476F"/>
    <w:rsid w:val="00384B33"/>
    <w:rsid w:val="00385527"/>
    <w:rsid w:val="00386BA2"/>
    <w:rsid w:val="00387685"/>
    <w:rsid w:val="0039082F"/>
    <w:rsid w:val="0039098B"/>
    <w:rsid w:val="00390BB0"/>
    <w:rsid w:val="00390BB1"/>
    <w:rsid w:val="00390E85"/>
    <w:rsid w:val="003911C0"/>
    <w:rsid w:val="00391512"/>
    <w:rsid w:val="00391F3E"/>
    <w:rsid w:val="003932FB"/>
    <w:rsid w:val="00393F8C"/>
    <w:rsid w:val="00394215"/>
    <w:rsid w:val="00395027"/>
    <w:rsid w:val="0039503A"/>
    <w:rsid w:val="00395C75"/>
    <w:rsid w:val="0039607B"/>
    <w:rsid w:val="0039609F"/>
    <w:rsid w:val="003960C0"/>
    <w:rsid w:val="003963D8"/>
    <w:rsid w:val="00397AAD"/>
    <w:rsid w:val="003A01E8"/>
    <w:rsid w:val="003A07B3"/>
    <w:rsid w:val="003A09FB"/>
    <w:rsid w:val="003A10FE"/>
    <w:rsid w:val="003A18F3"/>
    <w:rsid w:val="003A251F"/>
    <w:rsid w:val="003A25F3"/>
    <w:rsid w:val="003A2667"/>
    <w:rsid w:val="003A2678"/>
    <w:rsid w:val="003A28A7"/>
    <w:rsid w:val="003A2F48"/>
    <w:rsid w:val="003A3CBC"/>
    <w:rsid w:val="003A4AFB"/>
    <w:rsid w:val="003A4FC3"/>
    <w:rsid w:val="003A6650"/>
    <w:rsid w:val="003A686A"/>
    <w:rsid w:val="003A686E"/>
    <w:rsid w:val="003A758D"/>
    <w:rsid w:val="003A76F6"/>
    <w:rsid w:val="003B000B"/>
    <w:rsid w:val="003B0452"/>
    <w:rsid w:val="003B0D66"/>
    <w:rsid w:val="003B1920"/>
    <w:rsid w:val="003B2D0D"/>
    <w:rsid w:val="003B34F8"/>
    <w:rsid w:val="003B38AB"/>
    <w:rsid w:val="003B4321"/>
    <w:rsid w:val="003B46F4"/>
    <w:rsid w:val="003B4EA3"/>
    <w:rsid w:val="003B4F85"/>
    <w:rsid w:val="003B5566"/>
    <w:rsid w:val="003B5C57"/>
    <w:rsid w:val="003B5E56"/>
    <w:rsid w:val="003B6417"/>
    <w:rsid w:val="003B6B6E"/>
    <w:rsid w:val="003B6E66"/>
    <w:rsid w:val="003B74AD"/>
    <w:rsid w:val="003B7681"/>
    <w:rsid w:val="003B7AAB"/>
    <w:rsid w:val="003C0B34"/>
    <w:rsid w:val="003C271A"/>
    <w:rsid w:val="003C2A4C"/>
    <w:rsid w:val="003C2E01"/>
    <w:rsid w:val="003C3785"/>
    <w:rsid w:val="003C3CAD"/>
    <w:rsid w:val="003C4728"/>
    <w:rsid w:val="003C4FEE"/>
    <w:rsid w:val="003C5181"/>
    <w:rsid w:val="003C53BA"/>
    <w:rsid w:val="003C6671"/>
    <w:rsid w:val="003C6EBB"/>
    <w:rsid w:val="003C795B"/>
    <w:rsid w:val="003C7E46"/>
    <w:rsid w:val="003C7F72"/>
    <w:rsid w:val="003D00B4"/>
    <w:rsid w:val="003D0336"/>
    <w:rsid w:val="003D06B6"/>
    <w:rsid w:val="003D09F4"/>
    <w:rsid w:val="003D1209"/>
    <w:rsid w:val="003D1C52"/>
    <w:rsid w:val="003D2010"/>
    <w:rsid w:val="003D2991"/>
    <w:rsid w:val="003D2E5F"/>
    <w:rsid w:val="003D312C"/>
    <w:rsid w:val="003D3793"/>
    <w:rsid w:val="003D38CA"/>
    <w:rsid w:val="003D58D7"/>
    <w:rsid w:val="003D5AC5"/>
    <w:rsid w:val="003D600C"/>
    <w:rsid w:val="003D69D7"/>
    <w:rsid w:val="003D69E3"/>
    <w:rsid w:val="003D6A51"/>
    <w:rsid w:val="003D6BFC"/>
    <w:rsid w:val="003D7951"/>
    <w:rsid w:val="003D7CF3"/>
    <w:rsid w:val="003E0330"/>
    <w:rsid w:val="003E16F5"/>
    <w:rsid w:val="003E25D3"/>
    <w:rsid w:val="003E2CB6"/>
    <w:rsid w:val="003E2DEF"/>
    <w:rsid w:val="003E360C"/>
    <w:rsid w:val="003E3C1E"/>
    <w:rsid w:val="003E3FA9"/>
    <w:rsid w:val="003E4B3D"/>
    <w:rsid w:val="003E5301"/>
    <w:rsid w:val="003E5645"/>
    <w:rsid w:val="003E5D73"/>
    <w:rsid w:val="003E6188"/>
    <w:rsid w:val="003E61B2"/>
    <w:rsid w:val="003E648A"/>
    <w:rsid w:val="003E68CB"/>
    <w:rsid w:val="003E7355"/>
    <w:rsid w:val="003E75F6"/>
    <w:rsid w:val="003E7AEF"/>
    <w:rsid w:val="003E7B66"/>
    <w:rsid w:val="003E7E29"/>
    <w:rsid w:val="003E7ECC"/>
    <w:rsid w:val="003F036D"/>
    <w:rsid w:val="003F0781"/>
    <w:rsid w:val="003F0942"/>
    <w:rsid w:val="003F11BE"/>
    <w:rsid w:val="003F150F"/>
    <w:rsid w:val="003F1875"/>
    <w:rsid w:val="003F240A"/>
    <w:rsid w:val="003F2475"/>
    <w:rsid w:val="003F2733"/>
    <w:rsid w:val="003F28DF"/>
    <w:rsid w:val="003F2BCE"/>
    <w:rsid w:val="003F2C1C"/>
    <w:rsid w:val="003F3CE4"/>
    <w:rsid w:val="003F3D8A"/>
    <w:rsid w:val="003F4290"/>
    <w:rsid w:val="003F45F9"/>
    <w:rsid w:val="003F48DF"/>
    <w:rsid w:val="003F4A1C"/>
    <w:rsid w:val="003F5388"/>
    <w:rsid w:val="003F5435"/>
    <w:rsid w:val="003F5FEB"/>
    <w:rsid w:val="003F6057"/>
    <w:rsid w:val="003F6B39"/>
    <w:rsid w:val="003F743D"/>
    <w:rsid w:val="003F758A"/>
    <w:rsid w:val="00400821"/>
    <w:rsid w:val="00400AA6"/>
    <w:rsid w:val="00402155"/>
    <w:rsid w:val="004023E0"/>
    <w:rsid w:val="00402C43"/>
    <w:rsid w:val="004031EE"/>
    <w:rsid w:val="00403435"/>
    <w:rsid w:val="0040347B"/>
    <w:rsid w:val="00403602"/>
    <w:rsid w:val="00404313"/>
    <w:rsid w:val="004050DE"/>
    <w:rsid w:val="004051FD"/>
    <w:rsid w:val="00405BB3"/>
    <w:rsid w:val="00406216"/>
    <w:rsid w:val="00406351"/>
    <w:rsid w:val="004108A8"/>
    <w:rsid w:val="0041185E"/>
    <w:rsid w:val="00412079"/>
    <w:rsid w:val="004121F4"/>
    <w:rsid w:val="004125BF"/>
    <w:rsid w:val="00412609"/>
    <w:rsid w:val="00412C55"/>
    <w:rsid w:val="00412CD7"/>
    <w:rsid w:val="0041300E"/>
    <w:rsid w:val="00413965"/>
    <w:rsid w:val="00413D15"/>
    <w:rsid w:val="0041485E"/>
    <w:rsid w:val="00414A1B"/>
    <w:rsid w:val="00414BAB"/>
    <w:rsid w:val="00414E9E"/>
    <w:rsid w:val="004154D6"/>
    <w:rsid w:val="0041570C"/>
    <w:rsid w:val="004160A2"/>
    <w:rsid w:val="004164E2"/>
    <w:rsid w:val="004168E0"/>
    <w:rsid w:val="00416B30"/>
    <w:rsid w:val="004170E3"/>
    <w:rsid w:val="0041710A"/>
    <w:rsid w:val="004171FA"/>
    <w:rsid w:val="00417358"/>
    <w:rsid w:val="00417C32"/>
    <w:rsid w:val="00420020"/>
    <w:rsid w:val="00420170"/>
    <w:rsid w:val="004206CE"/>
    <w:rsid w:val="00420B65"/>
    <w:rsid w:val="00421103"/>
    <w:rsid w:val="0042134E"/>
    <w:rsid w:val="004226C0"/>
    <w:rsid w:val="004227CD"/>
    <w:rsid w:val="00422AF1"/>
    <w:rsid w:val="00423348"/>
    <w:rsid w:val="00423A20"/>
    <w:rsid w:val="00423A64"/>
    <w:rsid w:val="00423AFF"/>
    <w:rsid w:val="00425235"/>
    <w:rsid w:val="00425586"/>
    <w:rsid w:val="00425B41"/>
    <w:rsid w:val="00425C54"/>
    <w:rsid w:val="00426EAD"/>
    <w:rsid w:val="004271D5"/>
    <w:rsid w:val="004277B3"/>
    <w:rsid w:val="00430085"/>
    <w:rsid w:val="00430424"/>
    <w:rsid w:val="00430485"/>
    <w:rsid w:val="00430C2A"/>
    <w:rsid w:val="00430DEB"/>
    <w:rsid w:val="00431DB2"/>
    <w:rsid w:val="00431DF3"/>
    <w:rsid w:val="00432518"/>
    <w:rsid w:val="00432C7B"/>
    <w:rsid w:val="004334D4"/>
    <w:rsid w:val="00433EC1"/>
    <w:rsid w:val="00434416"/>
    <w:rsid w:val="00434765"/>
    <w:rsid w:val="00434963"/>
    <w:rsid w:val="00434BA9"/>
    <w:rsid w:val="0043556F"/>
    <w:rsid w:val="004358F5"/>
    <w:rsid w:val="004360E8"/>
    <w:rsid w:val="00436150"/>
    <w:rsid w:val="00436A57"/>
    <w:rsid w:val="00436F85"/>
    <w:rsid w:val="004371F8"/>
    <w:rsid w:val="004419A4"/>
    <w:rsid w:val="00441CA9"/>
    <w:rsid w:val="004424A8"/>
    <w:rsid w:val="004424BF"/>
    <w:rsid w:val="00442EBD"/>
    <w:rsid w:val="00443E4E"/>
    <w:rsid w:val="00444AFA"/>
    <w:rsid w:val="00445D14"/>
    <w:rsid w:val="00446073"/>
    <w:rsid w:val="004468B8"/>
    <w:rsid w:val="004471BD"/>
    <w:rsid w:val="00447412"/>
    <w:rsid w:val="00447679"/>
    <w:rsid w:val="00447F9A"/>
    <w:rsid w:val="00451088"/>
    <w:rsid w:val="0045199D"/>
    <w:rsid w:val="00451F68"/>
    <w:rsid w:val="00452B07"/>
    <w:rsid w:val="00452E95"/>
    <w:rsid w:val="00453145"/>
    <w:rsid w:val="00453A14"/>
    <w:rsid w:val="00453F63"/>
    <w:rsid w:val="0045479A"/>
    <w:rsid w:val="0045492D"/>
    <w:rsid w:val="00456157"/>
    <w:rsid w:val="004566D6"/>
    <w:rsid w:val="0045692F"/>
    <w:rsid w:val="00456B0B"/>
    <w:rsid w:val="00456E2F"/>
    <w:rsid w:val="00457554"/>
    <w:rsid w:val="004603CF"/>
    <w:rsid w:val="004604FE"/>
    <w:rsid w:val="00461890"/>
    <w:rsid w:val="00461FC4"/>
    <w:rsid w:val="00462268"/>
    <w:rsid w:val="004629A1"/>
    <w:rsid w:val="00462D16"/>
    <w:rsid w:val="004633CB"/>
    <w:rsid w:val="0046382B"/>
    <w:rsid w:val="004645CD"/>
    <w:rsid w:val="0046568D"/>
    <w:rsid w:val="00465791"/>
    <w:rsid w:val="0046599A"/>
    <w:rsid w:val="00466099"/>
    <w:rsid w:val="004660EA"/>
    <w:rsid w:val="004661A1"/>
    <w:rsid w:val="00466262"/>
    <w:rsid w:val="00466346"/>
    <w:rsid w:val="004665DC"/>
    <w:rsid w:val="004666AE"/>
    <w:rsid w:val="0046698C"/>
    <w:rsid w:val="004669D1"/>
    <w:rsid w:val="00466F47"/>
    <w:rsid w:val="00467CFA"/>
    <w:rsid w:val="00467DAE"/>
    <w:rsid w:val="00470156"/>
    <w:rsid w:val="00470C57"/>
    <w:rsid w:val="0047118D"/>
    <w:rsid w:val="0047179A"/>
    <w:rsid w:val="0047199E"/>
    <w:rsid w:val="004720CF"/>
    <w:rsid w:val="004722C4"/>
    <w:rsid w:val="00472D4F"/>
    <w:rsid w:val="00472ECF"/>
    <w:rsid w:val="00472EF9"/>
    <w:rsid w:val="004740DE"/>
    <w:rsid w:val="00474667"/>
    <w:rsid w:val="00475270"/>
    <w:rsid w:val="004753AA"/>
    <w:rsid w:val="0047554A"/>
    <w:rsid w:val="004757B5"/>
    <w:rsid w:val="00476D9A"/>
    <w:rsid w:val="00477228"/>
    <w:rsid w:val="0047782C"/>
    <w:rsid w:val="00477E32"/>
    <w:rsid w:val="004803DC"/>
    <w:rsid w:val="004811BE"/>
    <w:rsid w:val="00481218"/>
    <w:rsid w:val="004818F8"/>
    <w:rsid w:val="00483513"/>
    <w:rsid w:val="0048391C"/>
    <w:rsid w:val="00483CBD"/>
    <w:rsid w:val="004842A5"/>
    <w:rsid w:val="00485672"/>
    <w:rsid w:val="00485EC6"/>
    <w:rsid w:val="004866BC"/>
    <w:rsid w:val="0048676B"/>
    <w:rsid w:val="00486C6B"/>
    <w:rsid w:val="00486D86"/>
    <w:rsid w:val="00487311"/>
    <w:rsid w:val="00487B4D"/>
    <w:rsid w:val="00490A60"/>
    <w:rsid w:val="00492D2F"/>
    <w:rsid w:val="0049434F"/>
    <w:rsid w:val="00494E64"/>
    <w:rsid w:val="0049573E"/>
    <w:rsid w:val="004958B9"/>
    <w:rsid w:val="00495DD0"/>
    <w:rsid w:val="00495FD2"/>
    <w:rsid w:val="004965B2"/>
    <w:rsid w:val="00496AA8"/>
    <w:rsid w:val="00497325"/>
    <w:rsid w:val="004A0674"/>
    <w:rsid w:val="004A08BD"/>
    <w:rsid w:val="004A1326"/>
    <w:rsid w:val="004A147F"/>
    <w:rsid w:val="004A151E"/>
    <w:rsid w:val="004A1A8D"/>
    <w:rsid w:val="004A1BBE"/>
    <w:rsid w:val="004A1BE1"/>
    <w:rsid w:val="004A1FE8"/>
    <w:rsid w:val="004A2360"/>
    <w:rsid w:val="004A2644"/>
    <w:rsid w:val="004A2B8E"/>
    <w:rsid w:val="004A3A43"/>
    <w:rsid w:val="004A3C04"/>
    <w:rsid w:val="004A3F09"/>
    <w:rsid w:val="004A448B"/>
    <w:rsid w:val="004A479F"/>
    <w:rsid w:val="004A4A23"/>
    <w:rsid w:val="004A4ACA"/>
    <w:rsid w:val="004A4B80"/>
    <w:rsid w:val="004A50AE"/>
    <w:rsid w:val="004A5847"/>
    <w:rsid w:val="004A593C"/>
    <w:rsid w:val="004A5BD2"/>
    <w:rsid w:val="004A5D26"/>
    <w:rsid w:val="004A65D4"/>
    <w:rsid w:val="004A6FAA"/>
    <w:rsid w:val="004A77A4"/>
    <w:rsid w:val="004A7902"/>
    <w:rsid w:val="004B0357"/>
    <w:rsid w:val="004B04F3"/>
    <w:rsid w:val="004B0D27"/>
    <w:rsid w:val="004B18B8"/>
    <w:rsid w:val="004B1A21"/>
    <w:rsid w:val="004B23CB"/>
    <w:rsid w:val="004B2529"/>
    <w:rsid w:val="004B2D87"/>
    <w:rsid w:val="004B3C62"/>
    <w:rsid w:val="004B3D42"/>
    <w:rsid w:val="004B44C1"/>
    <w:rsid w:val="004B45C3"/>
    <w:rsid w:val="004B4F0A"/>
    <w:rsid w:val="004B5059"/>
    <w:rsid w:val="004B50AA"/>
    <w:rsid w:val="004B51DE"/>
    <w:rsid w:val="004B5995"/>
    <w:rsid w:val="004B5F3C"/>
    <w:rsid w:val="004B5F89"/>
    <w:rsid w:val="004B5FF6"/>
    <w:rsid w:val="004B670B"/>
    <w:rsid w:val="004B6E56"/>
    <w:rsid w:val="004C1413"/>
    <w:rsid w:val="004C26D8"/>
    <w:rsid w:val="004C2E75"/>
    <w:rsid w:val="004C3281"/>
    <w:rsid w:val="004C3B1D"/>
    <w:rsid w:val="004C3C92"/>
    <w:rsid w:val="004C3FC6"/>
    <w:rsid w:val="004C498D"/>
    <w:rsid w:val="004C50E5"/>
    <w:rsid w:val="004C5AE6"/>
    <w:rsid w:val="004C63A4"/>
    <w:rsid w:val="004C65E1"/>
    <w:rsid w:val="004C682D"/>
    <w:rsid w:val="004C6A64"/>
    <w:rsid w:val="004C7032"/>
    <w:rsid w:val="004C73F5"/>
    <w:rsid w:val="004C76B2"/>
    <w:rsid w:val="004C7860"/>
    <w:rsid w:val="004C7C3E"/>
    <w:rsid w:val="004C7E07"/>
    <w:rsid w:val="004C7E2F"/>
    <w:rsid w:val="004D02B0"/>
    <w:rsid w:val="004D03BA"/>
    <w:rsid w:val="004D0573"/>
    <w:rsid w:val="004D0AB5"/>
    <w:rsid w:val="004D0D2D"/>
    <w:rsid w:val="004D1962"/>
    <w:rsid w:val="004D1B88"/>
    <w:rsid w:val="004D23A4"/>
    <w:rsid w:val="004D278F"/>
    <w:rsid w:val="004D293B"/>
    <w:rsid w:val="004D3149"/>
    <w:rsid w:val="004D332D"/>
    <w:rsid w:val="004D33B3"/>
    <w:rsid w:val="004D355A"/>
    <w:rsid w:val="004D3E08"/>
    <w:rsid w:val="004D45FC"/>
    <w:rsid w:val="004D4E4B"/>
    <w:rsid w:val="004D52E9"/>
    <w:rsid w:val="004D5A87"/>
    <w:rsid w:val="004D5BAB"/>
    <w:rsid w:val="004D5ECE"/>
    <w:rsid w:val="004D79EF"/>
    <w:rsid w:val="004D7E35"/>
    <w:rsid w:val="004E017A"/>
    <w:rsid w:val="004E0C14"/>
    <w:rsid w:val="004E0C68"/>
    <w:rsid w:val="004E0F2B"/>
    <w:rsid w:val="004E1F53"/>
    <w:rsid w:val="004E367F"/>
    <w:rsid w:val="004E3694"/>
    <w:rsid w:val="004E38A6"/>
    <w:rsid w:val="004E38BA"/>
    <w:rsid w:val="004E4023"/>
    <w:rsid w:val="004E4515"/>
    <w:rsid w:val="004E458C"/>
    <w:rsid w:val="004E45D8"/>
    <w:rsid w:val="004E4B9C"/>
    <w:rsid w:val="004E5B4B"/>
    <w:rsid w:val="004E5CBA"/>
    <w:rsid w:val="004E6373"/>
    <w:rsid w:val="004E6A98"/>
    <w:rsid w:val="004E71CF"/>
    <w:rsid w:val="004E77FD"/>
    <w:rsid w:val="004E7E96"/>
    <w:rsid w:val="004F04AE"/>
    <w:rsid w:val="004F07BD"/>
    <w:rsid w:val="004F0DF4"/>
    <w:rsid w:val="004F1071"/>
    <w:rsid w:val="004F127D"/>
    <w:rsid w:val="004F1645"/>
    <w:rsid w:val="004F27FC"/>
    <w:rsid w:val="004F32B5"/>
    <w:rsid w:val="004F3F34"/>
    <w:rsid w:val="004F58DE"/>
    <w:rsid w:val="004F5C5D"/>
    <w:rsid w:val="004F5D33"/>
    <w:rsid w:val="004F7375"/>
    <w:rsid w:val="004F7B40"/>
    <w:rsid w:val="004F7D13"/>
    <w:rsid w:val="00500666"/>
    <w:rsid w:val="00500871"/>
    <w:rsid w:val="0050095C"/>
    <w:rsid w:val="00500C72"/>
    <w:rsid w:val="005012B8"/>
    <w:rsid w:val="005025CE"/>
    <w:rsid w:val="005026EF"/>
    <w:rsid w:val="00502B9C"/>
    <w:rsid w:val="0050306A"/>
    <w:rsid w:val="0050380E"/>
    <w:rsid w:val="005046A4"/>
    <w:rsid w:val="00504944"/>
    <w:rsid w:val="00504EAC"/>
    <w:rsid w:val="00505E31"/>
    <w:rsid w:val="005062B8"/>
    <w:rsid w:val="005063A9"/>
    <w:rsid w:val="00507B35"/>
    <w:rsid w:val="00507B4A"/>
    <w:rsid w:val="00511672"/>
    <w:rsid w:val="0051181F"/>
    <w:rsid w:val="00511AFB"/>
    <w:rsid w:val="0051226C"/>
    <w:rsid w:val="00512497"/>
    <w:rsid w:val="005127B6"/>
    <w:rsid w:val="00512847"/>
    <w:rsid w:val="00512D71"/>
    <w:rsid w:val="0051348C"/>
    <w:rsid w:val="00513597"/>
    <w:rsid w:val="0051377B"/>
    <w:rsid w:val="005154C1"/>
    <w:rsid w:val="0051679D"/>
    <w:rsid w:val="005167F9"/>
    <w:rsid w:val="00516C1A"/>
    <w:rsid w:val="00516DA0"/>
    <w:rsid w:val="00516E0B"/>
    <w:rsid w:val="005173F6"/>
    <w:rsid w:val="00520462"/>
    <w:rsid w:val="00520810"/>
    <w:rsid w:val="00520E3E"/>
    <w:rsid w:val="00520F87"/>
    <w:rsid w:val="00520FE6"/>
    <w:rsid w:val="00522070"/>
    <w:rsid w:val="00523026"/>
    <w:rsid w:val="00524764"/>
    <w:rsid w:val="005251DC"/>
    <w:rsid w:val="00525887"/>
    <w:rsid w:val="00525997"/>
    <w:rsid w:val="00525BCE"/>
    <w:rsid w:val="005260EB"/>
    <w:rsid w:val="005264E5"/>
    <w:rsid w:val="00526F70"/>
    <w:rsid w:val="00527519"/>
    <w:rsid w:val="00527578"/>
    <w:rsid w:val="00527BEA"/>
    <w:rsid w:val="005301E1"/>
    <w:rsid w:val="00531516"/>
    <w:rsid w:val="00531ADA"/>
    <w:rsid w:val="00532548"/>
    <w:rsid w:val="00532F0D"/>
    <w:rsid w:val="005359D5"/>
    <w:rsid w:val="00535EC8"/>
    <w:rsid w:val="00536258"/>
    <w:rsid w:val="00536403"/>
    <w:rsid w:val="00536449"/>
    <w:rsid w:val="00536AC9"/>
    <w:rsid w:val="00536BD8"/>
    <w:rsid w:val="00536D06"/>
    <w:rsid w:val="00536E4C"/>
    <w:rsid w:val="005372A8"/>
    <w:rsid w:val="00540098"/>
    <w:rsid w:val="00540B51"/>
    <w:rsid w:val="00540E32"/>
    <w:rsid w:val="00540E42"/>
    <w:rsid w:val="00540FFB"/>
    <w:rsid w:val="00541242"/>
    <w:rsid w:val="00541731"/>
    <w:rsid w:val="00542579"/>
    <w:rsid w:val="005426A7"/>
    <w:rsid w:val="0054442C"/>
    <w:rsid w:val="005445A2"/>
    <w:rsid w:val="00544F91"/>
    <w:rsid w:val="0054515C"/>
    <w:rsid w:val="00545CF0"/>
    <w:rsid w:val="00545F5B"/>
    <w:rsid w:val="00547238"/>
    <w:rsid w:val="00547654"/>
    <w:rsid w:val="00550030"/>
    <w:rsid w:val="00550635"/>
    <w:rsid w:val="00550BB2"/>
    <w:rsid w:val="00550E9A"/>
    <w:rsid w:val="00551EA0"/>
    <w:rsid w:val="005520EF"/>
    <w:rsid w:val="0055277E"/>
    <w:rsid w:val="005530EE"/>
    <w:rsid w:val="005530F5"/>
    <w:rsid w:val="00554381"/>
    <w:rsid w:val="005547EF"/>
    <w:rsid w:val="00554C5F"/>
    <w:rsid w:val="00554D73"/>
    <w:rsid w:val="0055586A"/>
    <w:rsid w:val="00555D03"/>
    <w:rsid w:val="00556535"/>
    <w:rsid w:val="00556CAA"/>
    <w:rsid w:val="00557794"/>
    <w:rsid w:val="005578F2"/>
    <w:rsid w:val="00560147"/>
    <w:rsid w:val="00560A6F"/>
    <w:rsid w:val="00560D00"/>
    <w:rsid w:val="00561362"/>
    <w:rsid w:val="0056181B"/>
    <w:rsid w:val="0056192E"/>
    <w:rsid w:val="00561AD2"/>
    <w:rsid w:val="005623C7"/>
    <w:rsid w:val="005628F9"/>
    <w:rsid w:val="0056342C"/>
    <w:rsid w:val="00563777"/>
    <w:rsid w:val="00563A18"/>
    <w:rsid w:val="00564006"/>
    <w:rsid w:val="005649A2"/>
    <w:rsid w:val="00564EE5"/>
    <w:rsid w:val="0056548E"/>
    <w:rsid w:val="00565534"/>
    <w:rsid w:val="005656EF"/>
    <w:rsid w:val="005657CB"/>
    <w:rsid w:val="005659A0"/>
    <w:rsid w:val="00565EE1"/>
    <w:rsid w:val="00566097"/>
    <w:rsid w:val="0056614E"/>
    <w:rsid w:val="00566369"/>
    <w:rsid w:val="0056666C"/>
    <w:rsid w:val="00566E68"/>
    <w:rsid w:val="0056751A"/>
    <w:rsid w:val="00567813"/>
    <w:rsid w:val="00567E6F"/>
    <w:rsid w:val="00570390"/>
    <w:rsid w:val="005703F1"/>
    <w:rsid w:val="005707A5"/>
    <w:rsid w:val="005709E3"/>
    <w:rsid w:val="00570AC7"/>
    <w:rsid w:val="00570E08"/>
    <w:rsid w:val="00571ABB"/>
    <w:rsid w:val="00571C6D"/>
    <w:rsid w:val="005722F7"/>
    <w:rsid w:val="0057356E"/>
    <w:rsid w:val="00573C5A"/>
    <w:rsid w:val="00574203"/>
    <w:rsid w:val="00574256"/>
    <w:rsid w:val="00574DCD"/>
    <w:rsid w:val="00575066"/>
    <w:rsid w:val="00575C9A"/>
    <w:rsid w:val="00575F22"/>
    <w:rsid w:val="00576F4C"/>
    <w:rsid w:val="00577716"/>
    <w:rsid w:val="00577EEE"/>
    <w:rsid w:val="00577F11"/>
    <w:rsid w:val="00580274"/>
    <w:rsid w:val="00580403"/>
    <w:rsid w:val="0058074D"/>
    <w:rsid w:val="00580A8A"/>
    <w:rsid w:val="00580BDA"/>
    <w:rsid w:val="00581994"/>
    <w:rsid w:val="005820D7"/>
    <w:rsid w:val="005829B1"/>
    <w:rsid w:val="00582C93"/>
    <w:rsid w:val="0058383D"/>
    <w:rsid w:val="00583992"/>
    <w:rsid w:val="00583B0F"/>
    <w:rsid w:val="0058464C"/>
    <w:rsid w:val="00584A24"/>
    <w:rsid w:val="00584B34"/>
    <w:rsid w:val="00584F11"/>
    <w:rsid w:val="00585ED2"/>
    <w:rsid w:val="0058684C"/>
    <w:rsid w:val="005879CC"/>
    <w:rsid w:val="00590576"/>
    <w:rsid w:val="005909E1"/>
    <w:rsid w:val="00590DF6"/>
    <w:rsid w:val="00590E74"/>
    <w:rsid w:val="00590FED"/>
    <w:rsid w:val="00591477"/>
    <w:rsid w:val="00591640"/>
    <w:rsid w:val="00591F0B"/>
    <w:rsid w:val="0059378F"/>
    <w:rsid w:val="00593A7E"/>
    <w:rsid w:val="00593AF7"/>
    <w:rsid w:val="00593B18"/>
    <w:rsid w:val="00594336"/>
    <w:rsid w:val="005951B2"/>
    <w:rsid w:val="005957FE"/>
    <w:rsid w:val="005960F7"/>
    <w:rsid w:val="005968CE"/>
    <w:rsid w:val="00596EC6"/>
    <w:rsid w:val="00597160"/>
    <w:rsid w:val="00597538"/>
    <w:rsid w:val="005976F1"/>
    <w:rsid w:val="005A1A77"/>
    <w:rsid w:val="005A21E0"/>
    <w:rsid w:val="005A2BD3"/>
    <w:rsid w:val="005A3015"/>
    <w:rsid w:val="005A3587"/>
    <w:rsid w:val="005A3E82"/>
    <w:rsid w:val="005A41CD"/>
    <w:rsid w:val="005A41F8"/>
    <w:rsid w:val="005A43EF"/>
    <w:rsid w:val="005A4FDB"/>
    <w:rsid w:val="005A58AE"/>
    <w:rsid w:val="005A5E8D"/>
    <w:rsid w:val="005A5FC5"/>
    <w:rsid w:val="005A682E"/>
    <w:rsid w:val="005A6B0D"/>
    <w:rsid w:val="005A6BF2"/>
    <w:rsid w:val="005A703C"/>
    <w:rsid w:val="005A7165"/>
    <w:rsid w:val="005A7419"/>
    <w:rsid w:val="005A7B67"/>
    <w:rsid w:val="005B0141"/>
    <w:rsid w:val="005B01D8"/>
    <w:rsid w:val="005B09F1"/>
    <w:rsid w:val="005B0F27"/>
    <w:rsid w:val="005B1038"/>
    <w:rsid w:val="005B1A9B"/>
    <w:rsid w:val="005B1B83"/>
    <w:rsid w:val="005B1E6E"/>
    <w:rsid w:val="005B212D"/>
    <w:rsid w:val="005B24FA"/>
    <w:rsid w:val="005B2982"/>
    <w:rsid w:val="005B3DBC"/>
    <w:rsid w:val="005B437D"/>
    <w:rsid w:val="005B52DA"/>
    <w:rsid w:val="005B627F"/>
    <w:rsid w:val="005B644F"/>
    <w:rsid w:val="005B740B"/>
    <w:rsid w:val="005B781F"/>
    <w:rsid w:val="005B7ADD"/>
    <w:rsid w:val="005B7E8D"/>
    <w:rsid w:val="005C0077"/>
    <w:rsid w:val="005C0399"/>
    <w:rsid w:val="005C04DA"/>
    <w:rsid w:val="005C05A9"/>
    <w:rsid w:val="005C0C0D"/>
    <w:rsid w:val="005C0F74"/>
    <w:rsid w:val="005C11A4"/>
    <w:rsid w:val="005C1390"/>
    <w:rsid w:val="005C187F"/>
    <w:rsid w:val="005C1CF6"/>
    <w:rsid w:val="005C1F27"/>
    <w:rsid w:val="005C1F3F"/>
    <w:rsid w:val="005C2180"/>
    <w:rsid w:val="005C2185"/>
    <w:rsid w:val="005C2232"/>
    <w:rsid w:val="005C2D74"/>
    <w:rsid w:val="005C3571"/>
    <w:rsid w:val="005C373A"/>
    <w:rsid w:val="005C3C38"/>
    <w:rsid w:val="005C4158"/>
    <w:rsid w:val="005C42EA"/>
    <w:rsid w:val="005C522C"/>
    <w:rsid w:val="005C5513"/>
    <w:rsid w:val="005C596C"/>
    <w:rsid w:val="005C5B27"/>
    <w:rsid w:val="005C5C9A"/>
    <w:rsid w:val="005C5EA2"/>
    <w:rsid w:val="005C6113"/>
    <w:rsid w:val="005C6166"/>
    <w:rsid w:val="005C6D8D"/>
    <w:rsid w:val="005C6D99"/>
    <w:rsid w:val="005C72B5"/>
    <w:rsid w:val="005C72E3"/>
    <w:rsid w:val="005C7CC1"/>
    <w:rsid w:val="005C7E5B"/>
    <w:rsid w:val="005D0428"/>
    <w:rsid w:val="005D07C4"/>
    <w:rsid w:val="005D12E4"/>
    <w:rsid w:val="005D291F"/>
    <w:rsid w:val="005D2F0F"/>
    <w:rsid w:val="005D39EB"/>
    <w:rsid w:val="005D3BDC"/>
    <w:rsid w:val="005D406B"/>
    <w:rsid w:val="005D4E65"/>
    <w:rsid w:val="005D55D5"/>
    <w:rsid w:val="005D6988"/>
    <w:rsid w:val="005D6A7F"/>
    <w:rsid w:val="005D6AAC"/>
    <w:rsid w:val="005D6CEF"/>
    <w:rsid w:val="005E09ED"/>
    <w:rsid w:val="005E1157"/>
    <w:rsid w:val="005E17EC"/>
    <w:rsid w:val="005E1CAD"/>
    <w:rsid w:val="005E2167"/>
    <w:rsid w:val="005E2D07"/>
    <w:rsid w:val="005E40A2"/>
    <w:rsid w:val="005E432E"/>
    <w:rsid w:val="005E4361"/>
    <w:rsid w:val="005E4DA0"/>
    <w:rsid w:val="005E5274"/>
    <w:rsid w:val="005E61B2"/>
    <w:rsid w:val="005E6206"/>
    <w:rsid w:val="005F01B6"/>
    <w:rsid w:val="005F01D1"/>
    <w:rsid w:val="005F1224"/>
    <w:rsid w:val="005F2455"/>
    <w:rsid w:val="005F2608"/>
    <w:rsid w:val="005F2A39"/>
    <w:rsid w:val="005F3B65"/>
    <w:rsid w:val="005F3BBF"/>
    <w:rsid w:val="005F46AA"/>
    <w:rsid w:val="005F4844"/>
    <w:rsid w:val="005F4853"/>
    <w:rsid w:val="005F53DC"/>
    <w:rsid w:val="005F5868"/>
    <w:rsid w:val="005F5A83"/>
    <w:rsid w:val="005F609A"/>
    <w:rsid w:val="005F6405"/>
    <w:rsid w:val="005F6978"/>
    <w:rsid w:val="005F6B7A"/>
    <w:rsid w:val="005F6B86"/>
    <w:rsid w:val="005F6C50"/>
    <w:rsid w:val="005F732B"/>
    <w:rsid w:val="005F76BC"/>
    <w:rsid w:val="0060080E"/>
    <w:rsid w:val="00600EF9"/>
    <w:rsid w:val="006022E9"/>
    <w:rsid w:val="006025D2"/>
    <w:rsid w:val="006025E0"/>
    <w:rsid w:val="0060265E"/>
    <w:rsid w:val="006032B2"/>
    <w:rsid w:val="0060335B"/>
    <w:rsid w:val="00603771"/>
    <w:rsid w:val="00604518"/>
    <w:rsid w:val="0060464A"/>
    <w:rsid w:val="0060465E"/>
    <w:rsid w:val="00604E2B"/>
    <w:rsid w:val="00605252"/>
    <w:rsid w:val="006053B2"/>
    <w:rsid w:val="00605F87"/>
    <w:rsid w:val="006061B4"/>
    <w:rsid w:val="006061EC"/>
    <w:rsid w:val="00607399"/>
    <w:rsid w:val="00607A23"/>
    <w:rsid w:val="00610581"/>
    <w:rsid w:val="006107DB"/>
    <w:rsid w:val="00610B26"/>
    <w:rsid w:val="00611D99"/>
    <w:rsid w:val="0061270C"/>
    <w:rsid w:val="006138FF"/>
    <w:rsid w:val="00614064"/>
    <w:rsid w:val="00614314"/>
    <w:rsid w:val="006148FE"/>
    <w:rsid w:val="00614EA3"/>
    <w:rsid w:val="006159C7"/>
    <w:rsid w:val="0061639E"/>
    <w:rsid w:val="0061654B"/>
    <w:rsid w:val="00616B8A"/>
    <w:rsid w:val="0061713A"/>
    <w:rsid w:val="00617326"/>
    <w:rsid w:val="00617AB5"/>
    <w:rsid w:val="00620312"/>
    <w:rsid w:val="006208B4"/>
    <w:rsid w:val="006208CB"/>
    <w:rsid w:val="00621E96"/>
    <w:rsid w:val="00621EA7"/>
    <w:rsid w:val="00622E8D"/>
    <w:rsid w:val="00623274"/>
    <w:rsid w:val="00623463"/>
    <w:rsid w:val="006243A4"/>
    <w:rsid w:val="006248EE"/>
    <w:rsid w:val="006249A1"/>
    <w:rsid w:val="00624B5D"/>
    <w:rsid w:val="006250C5"/>
    <w:rsid w:val="006257B4"/>
    <w:rsid w:val="00626938"/>
    <w:rsid w:val="00626AB3"/>
    <w:rsid w:val="00626C2D"/>
    <w:rsid w:val="006274AD"/>
    <w:rsid w:val="0063010B"/>
    <w:rsid w:val="00630149"/>
    <w:rsid w:val="006304DD"/>
    <w:rsid w:val="00630745"/>
    <w:rsid w:val="006307CA"/>
    <w:rsid w:val="006308D5"/>
    <w:rsid w:val="00630A9A"/>
    <w:rsid w:val="00631152"/>
    <w:rsid w:val="0063125B"/>
    <w:rsid w:val="0063135A"/>
    <w:rsid w:val="0063168F"/>
    <w:rsid w:val="00631C1A"/>
    <w:rsid w:val="006327D9"/>
    <w:rsid w:val="00632D4F"/>
    <w:rsid w:val="00632F25"/>
    <w:rsid w:val="006345C0"/>
    <w:rsid w:val="00634666"/>
    <w:rsid w:val="00634708"/>
    <w:rsid w:val="00634997"/>
    <w:rsid w:val="00634F2D"/>
    <w:rsid w:val="00635656"/>
    <w:rsid w:val="006356E6"/>
    <w:rsid w:val="00635ED7"/>
    <w:rsid w:val="00635F5C"/>
    <w:rsid w:val="006363D1"/>
    <w:rsid w:val="006365AC"/>
    <w:rsid w:val="0063718A"/>
    <w:rsid w:val="00637304"/>
    <w:rsid w:val="0063758A"/>
    <w:rsid w:val="00637699"/>
    <w:rsid w:val="00637EEA"/>
    <w:rsid w:val="00640BB1"/>
    <w:rsid w:val="00640DBB"/>
    <w:rsid w:val="00641030"/>
    <w:rsid w:val="006413FE"/>
    <w:rsid w:val="00642094"/>
    <w:rsid w:val="00642216"/>
    <w:rsid w:val="006428E8"/>
    <w:rsid w:val="0064346F"/>
    <w:rsid w:val="00643B92"/>
    <w:rsid w:val="00644240"/>
    <w:rsid w:val="00644C4B"/>
    <w:rsid w:val="006456B0"/>
    <w:rsid w:val="00645EEE"/>
    <w:rsid w:val="006461D7"/>
    <w:rsid w:val="0064678A"/>
    <w:rsid w:val="00646F90"/>
    <w:rsid w:val="006479BD"/>
    <w:rsid w:val="00647C5B"/>
    <w:rsid w:val="0065006A"/>
    <w:rsid w:val="00650669"/>
    <w:rsid w:val="006506D2"/>
    <w:rsid w:val="00650C37"/>
    <w:rsid w:val="00651302"/>
    <w:rsid w:val="006516E6"/>
    <w:rsid w:val="00652030"/>
    <w:rsid w:val="00652FDD"/>
    <w:rsid w:val="00653889"/>
    <w:rsid w:val="006542D9"/>
    <w:rsid w:val="0065485C"/>
    <w:rsid w:val="00654D77"/>
    <w:rsid w:val="00654D8B"/>
    <w:rsid w:val="00655A18"/>
    <w:rsid w:val="006562E1"/>
    <w:rsid w:val="006565AE"/>
    <w:rsid w:val="00656842"/>
    <w:rsid w:val="00656A1D"/>
    <w:rsid w:val="00656C18"/>
    <w:rsid w:val="00656EA5"/>
    <w:rsid w:val="006578D0"/>
    <w:rsid w:val="00657956"/>
    <w:rsid w:val="00657E7A"/>
    <w:rsid w:val="00657FE3"/>
    <w:rsid w:val="006607DF"/>
    <w:rsid w:val="0066114F"/>
    <w:rsid w:val="00661983"/>
    <w:rsid w:val="00662488"/>
    <w:rsid w:val="0066486A"/>
    <w:rsid w:val="00664E14"/>
    <w:rsid w:val="00665DAB"/>
    <w:rsid w:val="006668A2"/>
    <w:rsid w:val="00666F54"/>
    <w:rsid w:val="006672DB"/>
    <w:rsid w:val="00667756"/>
    <w:rsid w:val="00667D67"/>
    <w:rsid w:val="0067037A"/>
    <w:rsid w:val="00671B91"/>
    <w:rsid w:val="00672063"/>
    <w:rsid w:val="0067223B"/>
    <w:rsid w:val="0067234A"/>
    <w:rsid w:val="00672EB0"/>
    <w:rsid w:val="00672F90"/>
    <w:rsid w:val="00673609"/>
    <w:rsid w:val="006737D9"/>
    <w:rsid w:val="0067436D"/>
    <w:rsid w:val="00674844"/>
    <w:rsid w:val="00674C5E"/>
    <w:rsid w:val="00676DE9"/>
    <w:rsid w:val="0067742D"/>
    <w:rsid w:val="006775CF"/>
    <w:rsid w:val="00677A61"/>
    <w:rsid w:val="00677C60"/>
    <w:rsid w:val="00677E88"/>
    <w:rsid w:val="00677F9E"/>
    <w:rsid w:val="00677FF5"/>
    <w:rsid w:val="0068051C"/>
    <w:rsid w:val="00680D4E"/>
    <w:rsid w:val="0068150C"/>
    <w:rsid w:val="006816EB"/>
    <w:rsid w:val="00681BB2"/>
    <w:rsid w:val="006827BD"/>
    <w:rsid w:val="00682A7F"/>
    <w:rsid w:val="00683310"/>
    <w:rsid w:val="00683A7F"/>
    <w:rsid w:val="00684633"/>
    <w:rsid w:val="006848A1"/>
    <w:rsid w:val="006849BF"/>
    <w:rsid w:val="00684C57"/>
    <w:rsid w:val="00684EE8"/>
    <w:rsid w:val="006850C3"/>
    <w:rsid w:val="006851BB"/>
    <w:rsid w:val="006852D2"/>
    <w:rsid w:val="006852F8"/>
    <w:rsid w:val="0068616B"/>
    <w:rsid w:val="00686AA7"/>
    <w:rsid w:val="00686E91"/>
    <w:rsid w:val="00690701"/>
    <w:rsid w:val="00690843"/>
    <w:rsid w:val="00691A31"/>
    <w:rsid w:val="00691C44"/>
    <w:rsid w:val="00691F88"/>
    <w:rsid w:val="006920E0"/>
    <w:rsid w:val="00693705"/>
    <w:rsid w:val="006944CA"/>
    <w:rsid w:val="00695497"/>
    <w:rsid w:val="0069665A"/>
    <w:rsid w:val="00696F28"/>
    <w:rsid w:val="006973BC"/>
    <w:rsid w:val="00697BD3"/>
    <w:rsid w:val="00697F93"/>
    <w:rsid w:val="00697FC8"/>
    <w:rsid w:val="006A0A9C"/>
    <w:rsid w:val="006A0EDB"/>
    <w:rsid w:val="006A118B"/>
    <w:rsid w:val="006A18C2"/>
    <w:rsid w:val="006A18C7"/>
    <w:rsid w:val="006A1FA6"/>
    <w:rsid w:val="006A29F6"/>
    <w:rsid w:val="006A2C3E"/>
    <w:rsid w:val="006A3364"/>
    <w:rsid w:val="006A3625"/>
    <w:rsid w:val="006A3D63"/>
    <w:rsid w:val="006A3F0A"/>
    <w:rsid w:val="006A42D9"/>
    <w:rsid w:val="006A442C"/>
    <w:rsid w:val="006A484B"/>
    <w:rsid w:val="006A4908"/>
    <w:rsid w:val="006A4D33"/>
    <w:rsid w:val="006A4F93"/>
    <w:rsid w:val="006A52C4"/>
    <w:rsid w:val="006A53FE"/>
    <w:rsid w:val="006A568E"/>
    <w:rsid w:val="006A6727"/>
    <w:rsid w:val="006A6B2E"/>
    <w:rsid w:val="006A73B3"/>
    <w:rsid w:val="006A7992"/>
    <w:rsid w:val="006B0042"/>
    <w:rsid w:val="006B053E"/>
    <w:rsid w:val="006B0C9E"/>
    <w:rsid w:val="006B1193"/>
    <w:rsid w:val="006B1723"/>
    <w:rsid w:val="006B1B4D"/>
    <w:rsid w:val="006B1C75"/>
    <w:rsid w:val="006B1FA8"/>
    <w:rsid w:val="006B1FC8"/>
    <w:rsid w:val="006B2152"/>
    <w:rsid w:val="006B246E"/>
    <w:rsid w:val="006B28CD"/>
    <w:rsid w:val="006B3132"/>
    <w:rsid w:val="006B3C46"/>
    <w:rsid w:val="006B4A3D"/>
    <w:rsid w:val="006B4C26"/>
    <w:rsid w:val="006B5B93"/>
    <w:rsid w:val="006B7109"/>
    <w:rsid w:val="006B7798"/>
    <w:rsid w:val="006B7F57"/>
    <w:rsid w:val="006C1151"/>
    <w:rsid w:val="006C1401"/>
    <w:rsid w:val="006C1548"/>
    <w:rsid w:val="006C17A6"/>
    <w:rsid w:val="006C1D0B"/>
    <w:rsid w:val="006C238C"/>
    <w:rsid w:val="006C26BD"/>
    <w:rsid w:val="006C2755"/>
    <w:rsid w:val="006C291B"/>
    <w:rsid w:val="006C2D0F"/>
    <w:rsid w:val="006C300E"/>
    <w:rsid w:val="006C338C"/>
    <w:rsid w:val="006C38B7"/>
    <w:rsid w:val="006C3AF2"/>
    <w:rsid w:val="006C4B1B"/>
    <w:rsid w:val="006C4DE5"/>
    <w:rsid w:val="006C5335"/>
    <w:rsid w:val="006C543A"/>
    <w:rsid w:val="006C572C"/>
    <w:rsid w:val="006C6595"/>
    <w:rsid w:val="006C6760"/>
    <w:rsid w:val="006C68AA"/>
    <w:rsid w:val="006C6A86"/>
    <w:rsid w:val="006C6ED0"/>
    <w:rsid w:val="006C71FD"/>
    <w:rsid w:val="006C727B"/>
    <w:rsid w:val="006C7986"/>
    <w:rsid w:val="006C7B38"/>
    <w:rsid w:val="006C7B6A"/>
    <w:rsid w:val="006D0101"/>
    <w:rsid w:val="006D058D"/>
    <w:rsid w:val="006D060E"/>
    <w:rsid w:val="006D0BC0"/>
    <w:rsid w:val="006D0DE6"/>
    <w:rsid w:val="006D109E"/>
    <w:rsid w:val="006D1457"/>
    <w:rsid w:val="006D180C"/>
    <w:rsid w:val="006D27DB"/>
    <w:rsid w:val="006D29F5"/>
    <w:rsid w:val="006D2B33"/>
    <w:rsid w:val="006D3EFA"/>
    <w:rsid w:val="006D42E0"/>
    <w:rsid w:val="006D47E8"/>
    <w:rsid w:val="006D4B29"/>
    <w:rsid w:val="006D4B9D"/>
    <w:rsid w:val="006D5AFA"/>
    <w:rsid w:val="006D5E51"/>
    <w:rsid w:val="006D60C7"/>
    <w:rsid w:val="006D632B"/>
    <w:rsid w:val="006D6782"/>
    <w:rsid w:val="006D6880"/>
    <w:rsid w:val="006D68A4"/>
    <w:rsid w:val="006D706E"/>
    <w:rsid w:val="006D7395"/>
    <w:rsid w:val="006D7677"/>
    <w:rsid w:val="006D7B59"/>
    <w:rsid w:val="006E030D"/>
    <w:rsid w:val="006E24E4"/>
    <w:rsid w:val="006E26D1"/>
    <w:rsid w:val="006E2CEF"/>
    <w:rsid w:val="006E304E"/>
    <w:rsid w:val="006E3369"/>
    <w:rsid w:val="006E339C"/>
    <w:rsid w:val="006E4F3D"/>
    <w:rsid w:val="006E5A3B"/>
    <w:rsid w:val="006E5B43"/>
    <w:rsid w:val="006E5BA5"/>
    <w:rsid w:val="006E6ADC"/>
    <w:rsid w:val="006E6B95"/>
    <w:rsid w:val="006E6C06"/>
    <w:rsid w:val="006E7255"/>
    <w:rsid w:val="006E72A6"/>
    <w:rsid w:val="006E7860"/>
    <w:rsid w:val="006E7E43"/>
    <w:rsid w:val="006E7E47"/>
    <w:rsid w:val="006F00F8"/>
    <w:rsid w:val="006F0250"/>
    <w:rsid w:val="006F0464"/>
    <w:rsid w:val="006F0B71"/>
    <w:rsid w:val="006F186C"/>
    <w:rsid w:val="006F197D"/>
    <w:rsid w:val="006F1BD2"/>
    <w:rsid w:val="006F1F9F"/>
    <w:rsid w:val="006F22FD"/>
    <w:rsid w:val="006F24C0"/>
    <w:rsid w:val="006F292F"/>
    <w:rsid w:val="006F2972"/>
    <w:rsid w:val="006F3086"/>
    <w:rsid w:val="006F3301"/>
    <w:rsid w:val="006F39D4"/>
    <w:rsid w:val="006F3FF5"/>
    <w:rsid w:val="006F4476"/>
    <w:rsid w:val="006F45AB"/>
    <w:rsid w:val="006F4E90"/>
    <w:rsid w:val="006F51FE"/>
    <w:rsid w:val="006F5649"/>
    <w:rsid w:val="006F56BE"/>
    <w:rsid w:val="006F5A8F"/>
    <w:rsid w:val="006F673C"/>
    <w:rsid w:val="006F6B95"/>
    <w:rsid w:val="006F7A23"/>
    <w:rsid w:val="00700020"/>
    <w:rsid w:val="00701B88"/>
    <w:rsid w:val="00701F40"/>
    <w:rsid w:val="00702256"/>
    <w:rsid w:val="00702377"/>
    <w:rsid w:val="00702533"/>
    <w:rsid w:val="00702865"/>
    <w:rsid w:val="00702C00"/>
    <w:rsid w:val="00702E26"/>
    <w:rsid w:val="00705064"/>
    <w:rsid w:val="0070544E"/>
    <w:rsid w:val="00705696"/>
    <w:rsid w:val="00705FD8"/>
    <w:rsid w:val="00706154"/>
    <w:rsid w:val="00706433"/>
    <w:rsid w:val="00706501"/>
    <w:rsid w:val="00706515"/>
    <w:rsid w:val="007066AD"/>
    <w:rsid w:val="00706A5E"/>
    <w:rsid w:val="00706F16"/>
    <w:rsid w:val="007073B0"/>
    <w:rsid w:val="00707EE5"/>
    <w:rsid w:val="00710980"/>
    <w:rsid w:val="00711C64"/>
    <w:rsid w:val="00712005"/>
    <w:rsid w:val="00712C8D"/>
    <w:rsid w:val="00712D6F"/>
    <w:rsid w:val="00712F52"/>
    <w:rsid w:val="00713451"/>
    <w:rsid w:val="00713F6D"/>
    <w:rsid w:val="00714105"/>
    <w:rsid w:val="0071456B"/>
    <w:rsid w:val="0071497A"/>
    <w:rsid w:val="007149AE"/>
    <w:rsid w:val="00715F8F"/>
    <w:rsid w:val="0071601F"/>
    <w:rsid w:val="00716A84"/>
    <w:rsid w:val="00716E03"/>
    <w:rsid w:val="00716E07"/>
    <w:rsid w:val="0071710A"/>
    <w:rsid w:val="007204F9"/>
    <w:rsid w:val="0072118B"/>
    <w:rsid w:val="0072151D"/>
    <w:rsid w:val="007216F7"/>
    <w:rsid w:val="00722904"/>
    <w:rsid w:val="00722CF7"/>
    <w:rsid w:val="00722F1D"/>
    <w:rsid w:val="007232B3"/>
    <w:rsid w:val="00723331"/>
    <w:rsid w:val="00723378"/>
    <w:rsid w:val="00723BB7"/>
    <w:rsid w:val="00723CB7"/>
    <w:rsid w:val="00724A5A"/>
    <w:rsid w:val="00725486"/>
    <w:rsid w:val="0072588E"/>
    <w:rsid w:val="00725A4C"/>
    <w:rsid w:val="00725C8B"/>
    <w:rsid w:val="00725E87"/>
    <w:rsid w:val="00726340"/>
    <w:rsid w:val="0072647B"/>
    <w:rsid w:val="00726CD2"/>
    <w:rsid w:val="007277B4"/>
    <w:rsid w:val="00727B95"/>
    <w:rsid w:val="00727E50"/>
    <w:rsid w:val="00730425"/>
    <w:rsid w:val="007316EF"/>
    <w:rsid w:val="00731AAC"/>
    <w:rsid w:val="00731F09"/>
    <w:rsid w:val="007333BC"/>
    <w:rsid w:val="007334CA"/>
    <w:rsid w:val="00734272"/>
    <w:rsid w:val="007346E1"/>
    <w:rsid w:val="00735100"/>
    <w:rsid w:val="00735B19"/>
    <w:rsid w:val="00735D8E"/>
    <w:rsid w:val="00735FD3"/>
    <w:rsid w:val="007365F2"/>
    <w:rsid w:val="007367B3"/>
    <w:rsid w:val="00736B4D"/>
    <w:rsid w:val="00737841"/>
    <w:rsid w:val="00737C75"/>
    <w:rsid w:val="007406E5"/>
    <w:rsid w:val="00740BF4"/>
    <w:rsid w:val="007411BC"/>
    <w:rsid w:val="00741D71"/>
    <w:rsid w:val="007425DA"/>
    <w:rsid w:val="007426E4"/>
    <w:rsid w:val="00742736"/>
    <w:rsid w:val="00742822"/>
    <w:rsid w:val="00742BDF"/>
    <w:rsid w:val="007436F0"/>
    <w:rsid w:val="00744295"/>
    <w:rsid w:val="007445EF"/>
    <w:rsid w:val="0074485C"/>
    <w:rsid w:val="00744AE9"/>
    <w:rsid w:val="00744BCE"/>
    <w:rsid w:val="00744C02"/>
    <w:rsid w:val="00745C77"/>
    <w:rsid w:val="0074689C"/>
    <w:rsid w:val="00747574"/>
    <w:rsid w:val="00747FA7"/>
    <w:rsid w:val="00750177"/>
    <w:rsid w:val="00750601"/>
    <w:rsid w:val="007512D8"/>
    <w:rsid w:val="00753200"/>
    <w:rsid w:val="0075399F"/>
    <w:rsid w:val="00753A05"/>
    <w:rsid w:val="00753DAB"/>
    <w:rsid w:val="00754022"/>
    <w:rsid w:val="00755013"/>
    <w:rsid w:val="007555DA"/>
    <w:rsid w:val="00755602"/>
    <w:rsid w:val="007556C0"/>
    <w:rsid w:val="0075571D"/>
    <w:rsid w:val="00755885"/>
    <w:rsid w:val="00755C25"/>
    <w:rsid w:val="00755C6C"/>
    <w:rsid w:val="00756BB8"/>
    <w:rsid w:val="00757640"/>
    <w:rsid w:val="00757C2E"/>
    <w:rsid w:val="00757D6A"/>
    <w:rsid w:val="00760E4B"/>
    <w:rsid w:val="00761A6D"/>
    <w:rsid w:val="007632F4"/>
    <w:rsid w:val="007635D0"/>
    <w:rsid w:val="007637AF"/>
    <w:rsid w:val="0076397B"/>
    <w:rsid w:val="00763FBF"/>
    <w:rsid w:val="0076427E"/>
    <w:rsid w:val="007642E8"/>
    <w:rsid w:val="00764851"/>
    <w:rsid w:val="00764877"/>
    <w:rsid w:val="00764888"/>
    <w:rsid w:val="00764ABA"/>
    <w:rsid w:val="00764CFC"/>
    <w:rsid w:val="007652B1"/>
    <w:rsid w:val="007656A6"/>
    <w:rsid w:val="007656DB"/>
    <w:rsid w:val="00765BB5"/>
    <w:rsid w:val="00767376"/>
    <w:rsid w:val="00767589"/>
    <w:rsid w:val="00767D35"/>
    <w:rsid w:val="007702DF"/>
    <w:rsid w:val="007704E1"/>
    <w:rsid w:val="00770A8E"/>
    <w:rsid w:val="00771CBE"/>
    <w:rsid w:val="00771D4B"/>
    <w:rsid w:val="00772A98"/>
    <w:rsid w:val="00773C4E"/>
    <w:rsid w:val="007742C1"/>
    <w:rsid w:val="007748D5"/>
    <w:rsid w:val="0077536E"/>
    <w:rsid w:val="0077562B"/>
    <w:rsid w:val="007759DF"/>
    <w:rsid w:val="00775F4E"/>
    <w:rsid w:val="007763D9"/>
    <w:rsid w:val="00777083"/>
    <w:rsid w:val="007774EC"/>
    <w:rsid w:val="00777531"/>
    <w:rsid w:val="007779C9"/>
    <w:rsid w:val="0078001C"/>
    <w:rsid w:val="007807F6"/>
    <w:rsid w:val="00780C6F"/>
    <w:rsid w:val="00781033"/>
    <w:rsid w:val="007819B2"/>
    <w:rsid w:val="00781AA9"/>
    <w:rsid w:val="00781F64"/>
    <w:rsid w:val="00782094"/>
    <w:rsid w:val="00782890"/>
    <w:rsid w:val="00782BCA"/>
    <w:rsid w:val="00782F59"/>
    <w:rsid w:val="0078300F"/>
    <w:rsid w:val="00783CE2"/>
    <w:rsid w:val="00784423"/>
    <w:rsid w:val="00784DC4"/>
    <w:rsid w:val="00785C0B"/>
    <w:rsid w:val="00786023"/>
    <w:rsid w:val="007864A8"/>
    <w:rsid w:val="00786951"/>
    <w:rsid w:val="00786EFD"/>
    <w:rsid w:val="00786FBD"/>
    <w:rsid w:val="0078759B"/>
    <w:rsid w:val="0078759E"/>
    <w:rsid w:val="00787B77"/>
    <w:rsid w:val="00787C5A"/>
    <w:rsid w:val="00787D4B"/>
    <w:rsid w:val="00787EF1"/>
    <w:rsid w:val="00790118"/>
    <w:rsid w:val="0079068A"/>
    <w:rsid w:val="00790F2F"/>
    <w:rsid w:val="0079187D"/>
    <w:rsid w:val="007923F8"/>
    <w:rsid w:val="007927A8"/>
    <w:rsid w:val="00792D67"/>
    <w:rsid w:val="007935D3"/>
    <w:rsid w:val="0079386F"/>
    <w:rsid w:val="00793A36"/>
    <w:rsid w:val="00794432"/>
    <w:rsid w:val="0079455B"/>
    <w:rsid w:val="00794562"/>
    <w:rsid w:val="00794F1F"/>
    <w:rsid w:val="007954DA"/>
    <w:rsid w:val="00796829"/>
    <w:rsid w:val="007968EA"/>
    <w:rsid w:val="0079710B"/>
    <w:rsid w:val="007A006A"/>
    <w:rsid w:val="007A00F0"/>
    <w:rsid w:val="007A082A"/>
    <w:rsid w:val="007A0A23"/>
    <w:rsid w:val="007A2587"/>
    <w:rsid w:val="007A272F"/>
    <w:rsid w:val="007A3140"/>
    <w:rsid w:val="007A3EAA"/>
    <w:rsid w:val="007A3FAE"/>
    <w:rsid w:val="007A466D"/>
    <w:rsid w:val="007A47E6"/>
    <w:rsid w:val="007A52E0"/>
    <w:rsid w:val="007A538B"/>
    <w:rsid w:val="007A557E"/>
    <w:rsid w:val="007A5D81"/>
    <w:rsid w:val="007A6D4A"/>
    <w:rsid w:val="007A6EEA"/>
    <w:rsid w:val="007A6F87"/>
    <w:rsid w:val="007B007A"/>
    <w:rsid w:val="007B1C73"/>
    <w:rsid w:val="007B2573"/>
    <w:rsid w:val="007B261C"/>
    <w:rsid w:val="007B284E"/>
    <w:rsid w:val="007B28D4"/>
    <w:rsid w:val="007B2DD2"/>
    <w:rsid w:val="007B3006"/>
    <w:rsid w:val="007B3FA8"/>
    <w:rsid w:val="007B406C"/>
    <w:rsid w:val="007B43ED"/>
    <w:rsid w:val="007B475A"/>
    <w:rsid w:val="007B57BD"/>
    <w:rsid w:val="007B617A"/>
    <w:rsid w:val="007B63E4"/>
    <w:rsid w:val="007B661A"/>
    <w:rsid w:val="007B6F06"/>
    <w:rsid w:val="007B7042"/>
    <w:rsid w:val="007B763E"/>
    <w:rsid w:val="007B7F72"/>
    <w:rsid w:val="007C118D"/>
    <w:rsid w:val="007C1C8E"/>
    <w:rsid w:val="007C20D2"/>
    <w:rsid w:val="007C2B64"/>
    <w:rsid w:val="007C2E52"/>
    <w:rsid w:val="007C356D"/>
    <w:rsid w:val="007C4A2B"/>
    <w:rsid w:val="007C4B39"/>
    <w:rsid w:val="007C4D30"/>
    <w:rsid w:val="007C4FC8"/>
    <w:rsid w:val="007C521C"/>
    <w:rsid w:val="007C58CF"/>
    <w:rsid w:val="007C5904"/>
    <w:rsid w:val="007C6413"/>
    <w:rsid w:val="007C64F0"/>
    <w:rsid w:val="007C6A79"/>
    <w:rsid w:val="007C77FD"/>
    <w:rsid w:val="007D0305"/>
    <w:rsid w:val="007D057E"/>
    <w:rsid w:val="007D0962"/>
    <w:rsid w:val="007D09CF"/>
    <w:rsid w:val="007D0B9F"/>
    <w:rsid w:val="007D2ABE"/>
    <w:rsid w:val="007D2D9C"/>
    <w:rsid w:val="007D2DB0"/>
    <w:rsid w:val="007D3199"/>
    <w:rsid w:val="007D319B"/>
    <w:rsid w:val="007D33A9"/>
    <w:rsid w:val="007D39BA"/>
    <w:rsid w:val="007D42EF"/>
    <w:rsid w:val="007D5E19"/>
    <w:rsid w:val="007D6083"/>
    <w:rsid w:val="007D6557"/>
    <w:rsid w:val="007D66C5"/>
    <w:rsid w:val="007D713C"/>
    <w:rsid w:val="007D7466"/>
    <w:rsid w:val="007D74B4"/>
    <w:rsid w:val="007E0420"/>
    <w:rsid w:val="007E1204"/>
    <w:rsid w:val="007E1301"/>
    <w:rsid w:val="007E1F67"/>
    <w:rsid w:val="007E3412"/>
    <w:rsid w:val="007E3EE5"/>
    <w:rsid w:val="007E4BDA"/>
    <w:rsid w:val="007E4DB4"/>
    <w:rsid w:val="007E50B8"/>
    <w:rsid w:val="007E5DE7"/>
    <w:rsid w:val="007E5E20"/>
    <w:rsid w:val="007E648B"/>
    <w:rsid w:val="007E6581"/>
    <w:rsid w:val="007E6685"/>
    <w:rsid w:val="007E6AD8"/>
    <w:rsid w:val="007E75EA"/>
    <w:rsid w:val="007E7731"/>
    <w:rsid w:val="007E77AA"/>
    <w:rsid w:val="007E77D5"/>
    <w:rsid w:val="007E7E1B"/>
    <w:rsid w:val="007F04D5"/>
    <w:rsid w:val="007F0988"/>
    <w:rsid w:val="007F1A42"/>
    <w:rsid w:val="007F1C00"/>
    <w:rsid w:val="007F20A5"/>
    <w:rsid w:val="007F227D"/>
    <w:rsid w:val="007F232A"/>
    <w:rsid w:val="007F242E"/>
    <w:rsid w:val="007F2D95"/>
    <w:rsid w:val="007F379F"/>
    <w:rsid w:val="007F40EB"/>
    <w:rsid w:val="007F442A"/>
    <w:rsid w:val="007F4A10"/>
    <w:rsid w:val="007F4CD3"/>
    <w:rsid w:val="007F53C8"/>
    <w:rsid w:val="007F5EDA"/>
    <w:rsid w:val="007F6096"/>
    <w:rsid w:val="007F622B"/>
    <w:rsid w:val="007F654B"/>
    <w:rsid w:val="007F6DA3"/>
    <w:rsid w:val="007F711D"/>
    <w:rsid w:val="007F7670"/>
    <w:rsid w:val="008002EA"/>
    <w:rsid w:val="0080079D"/>
    <w:rsid w:val="008013C5"/>
    <w:rsid w:val="00801B5E"/>
    <w:rsid w:val="00802951"/>
    <w:rsid w:val="00802DB7"/>
    <w:rsid w:val="00802FA8"/>
    <w:rsid w:val="00803109"/>
    <w:rsid w:val="00803F4A"/>
    <w:rsid w:val="008044E6"/>
    <w:rsid w:val="00804CC0"/>
    <w:rsid w:val="00805509"/>
    <w:rsid w:val="00805A8F"/>
    <w:rsid w:val="00805E84"/>
    <w:rsid w:val="0080622F"/>
    <w:rsid w:val="00806407"/>
    <w:rsid w:val="008064E1"/>
    <w:rsid w:val="00806746"/>
    <w:rsid w:val="00806DDE"/>
    <w:rsid w:val="0080725D"/>
    <w:rsid w:val="00807787"/>
    <w:rsid w:val="00807A41"/>
    <w:rsid w:val="00807D8F"/>
    <w:rsid w:val="00810A9E"/>
    <w:rsid w:val="00810B23"/>
    <w:rsid w:val="00810C71"/>
    <w:rsid w:val="0081149A"/>
    <w:rsid w:val="00811B4C"/>
    <w:rsid w:val="00811B93"/>
    <w:rsid w:val="00811BD2"/>
    <w:rsid w:val="00811E7B"/>
    <w:rsid w:val="00813D53"/>
    <w:rsid w:val="0081421B"/>
    <w:rsid w:val="008153AC"/>
    <w:rsid w:val="0081573E"/>
    <w:rsid w:val="00815ADC"/>
    <w:rsid w:val="00815DD0"/>
    <w:rsid w:val="008160BD"/>
    <w:rsid w:val="00816B47"/>
    <w:rsid w:val="00816D1E"/>
    <w:rsid w:val="00817B17"/>
    <w:rsid w:val="00817FAC"/>
    <w:rsid w:val="00820077"/>
    <w:rsid w:val="0082026E"/>
    <w:rsid w:val="00821363"/>
    <w:rsid w:val="008225BA"/>
    <w:rsid w:val="00822EF5"/>
    <w:rsid w:val="008234FA"/>
    <w:rsid w:val="00823A96"/>
    <w:rsid w:val="008249CF"/>
    <w:rsid w:val="00824F88"/>
    <w:rsid w:val="00825018"/>
    <w:rsid w:val="00826367"/>
    <w:rsid w:val="008266F0"/>
    <w:rsid w:val="0082704A"/>
    <w:rsid w:val="008271D0"/>
    <w:rsid w:val="008277C4"/>
    <w:rsid w:val="00827C7F"/>
    <w:rsid w:val="00830C0B"/>
    <w:rsid w:val="00831776"/>
    <w:rsid w:val="00831A11"/>
    <w:rsid w:val="008322AB"/>
    <w:rsid w:val="008323C5"/>
    <w:rsid w:val="008328F4"/>
    <w:rsid w:val="00832E42"/>
    <w:rsid w:val="00832E6A"/>
    <w:rsid w:val="008331B1"/>
    <w:rsid w:val="008331F1"/>
    <w:rsid w:val="00833245"/>
    <w:rsid w:val="00833B57"/>
    <w:rsid w:val="0083456B"/>
    <w:rsid w:val="0083467C"/>
    <w:rsid w:val="00834757"/>
    <w:rsid w:val="00834E85"/>
    <w:rsid w:val="00835BDF"/>
    <w:rsid w:val="00835EFE"/>
    <w:rsid w:val="00835F25"/>
    <w:rsid w:val="00836E39"/>
    <w:rsid w:val="00840301"/>
    <w:rsid w:val="00840773"/>
    <w:rsid w:val="00840C5A"/>
    <w:rsid w:val="0084173B"/>
    <w:rsid w:val="00841BA7"/>
    <w:rsid w:val="00842D28"/>
    <w:rsid w:val="008430BD"/>
    <w:rsid w:val="008439C7"/>
    <w:rsid w:val="00843B9D"/>
    <w:rsid w:val="008444F1"/>
    <w:rsid w:val="00846270"/>
    <w:rsid w:val="008463EC"/>
    <w:rsid w:val="00846BDA"/>
    <w:rsid w:val="00847046"/>
    <w:rsid w:val="0084719D"/>
    <w:rsid w:val="00847BAC"/>
    <w:rsid w:val="00847BC4"/>
    <w:rsid w:val="0085009B"/>
    <w:rsid w:val="00850A9B"/>
    <w:rsid w:val="00850E5B"/>
    <w:rsid w:val="008512DD"/>
    <w:rsid w:val="00851938"/>
    <w:rsid w:val="00851B86"/>
    <w:rsid w:val="00852D60"/>
    <w:rsid w:val="00852D69"/>
    <w:rsid w:val="00852DDB"/>
    <w:rsid w:val="008530FA"/>
    <w:rsid w:val="00853168"/>
    <w:rsid w:val="00853FEA"/>
    <w:rsid w:val="0085405C"/>
    <w:rsid w:val="00854C04"/>
    <w:rsid w:val="008553E3"/>
    <w:rsid w:val="008564B6"/>
    <w:rsid w:val="00856C45"/>
    <w:rsid w:val="008573C4"/>
    <w:rsid w:val="0085753B"/>
    <w:rsid w:val="0086056A"/>
    <w:rsid w:val="008605AF"/>
    <w:rsid w:val="00860BB4"/>
    <w:rsid w:val="00860D60"/>
    <w:rsid w:val="008610A1"/>
    <w:rsid w:val="00861AFF"/>
    <w:rsid w:val="00862382"/>
    <w:rsid w:val="0086268C"/>
    <w:rsid w:val="008626B2"/>
    <w:rsid w:val="00863199"/>
    <w:rsid w:val="00863883"/>
    <w:rsid w:val="008640CE"/>
    <w:rsid w:val="0086414C"/>
    <w:rsid w:val="008646FE"/>
    <w:rsid w:val="00864AD6"/>
    <w:rsid w:val="00864B89"/>
    <w:rsid w:val="008656DC"/>
    <w:rsid w:val="008665E2"/>
    <w:rsid w:val="00866E8F"/>
    <w:rsid w:val="0086707B"/>
    <w:rsid w:val="00867CDF"/>
    <w:rsid w:val="00870CD6"/>
    <w:rsid w:val="00871300"/>
    <w:rsid w:val="0087137A"/>
    <w:rsid w:val="00871C87"/>
    <w:rsid w:val="00871CE1"/>
    <w:rsid w:val="00871F84"/>
    <w:rsid w:val="008721F5"/>
    <w:rsid w:val="008726C9"/>
    <w:rsid w:val="00872894"/>
    <w:rsid w:val="00872EA0"/>
    <w:rsid w:val="00873897"/>
    <w:rsid w:val="00873B73"/>
    <w:rsid w:val="00873BB5"/>
    <w:rsid w:val="00874002"/>
    <w:rsid w:val="00874456"/>
    <w:rsid w:val="008746CF"/>
    <w:rsid w:val="00874D19"/>
    <w:rsid w:val="00874F11"/>
    <w:rsid w:val="00875251"/>
    <w:rsid w:val="008755F8"/>
    <w:rsid w:val="00875C1D"/>
    <w:rsid w:val="00875C1F"/>
    <w:rsid w:val="00876342"/>
    <w:rsid w:val="008765D5"/>
    <w:rsid w:val="008770F6"/>
    <w:rsid w:val="00877D79"/>
    <w:rsid w:val="008812E6"/>
    <w:rsid w:val="00881621"/>
    <w:rsid w:val="00881724"/>
    <w:rsid w:val="00881C86"/>
    <w:rsid w:val="00881DB7"/>
    <w:rsid w:val="0088215D"/>
    <w:rsid w:val="00882254"/>
    <w:rsid w:val="008822EC"/>
    <w:rsid w:val="00882706"/>
    <w:rsid w:val="008829E4"/>
    <w:rsid w:val="00882DDC"/>
    <w:rsid w:val="00883D78"/>
    <w:rsid w:val="00884296"/>
    <w:rsid w:val="00884489"/>
    <w:rsid w:val="008863DF"/>
    <w:rsid w:val="008871D0"/>
    <w:rsid w:val="00887247"/>
    <w:rsid w:val="008874D8"/>
    <w:rsid w:val="008879E5"/>
    <w:rsid w:val="0089014B"/>
    <w:rsid w:val="0089017A"/>
    <w:rsid w:val="00890265"/>
    <w:rsid w:val="008908CA"/>
    <w:rsid w:val="00890B6F"/>
    <w:rsid w:val="00892ABE"/>
    <w:rsid w:val="0089325B"/>
    <w:rsid w:val="008932F8"/>
    <w:rsid w:val="008937E9"/>
    <w:rsid w:val="00894593"/>
    <w:rsid w:val="008949A5"/>
    <w:rsid w:val="00894C00"/>
    <w:rsid w:val="00894F9B"/>
    <w:rsid w:val="0089578F"/>
    <w:rsid w:val="00896278"/>
    <w:rsid w:val="008971A0"/>
    <w:rsid w:val="00897784"/>
    <w:rsid w:val="00897A2D"/>
    <w:rsid w:val="00897C4E"/>
    <w:rsid w:val="00897C66"/>
    <w:rsid w:val="00897F3B"/>
    <w:rsid w:val="008A0793"/>
    <w:rsid w:val="008A0E6D"/>
    <w:rsid w:val="008A1517"/>
    <w:rsid w:val="008A15A9"/>
    <w:rsid w:val="008A1A0E"/>
    <w:rsid w:val="008A3A68"/>
    <w:rsid w:val="008A3DFE"/>
    <w:rsid w:val="008A40F7"/>
    <w:rsid w:val="008A4519"/>
    <w:rsid w:val="008A5D99"/>
    <w:rsid w:val="008A5E67"/>
    <w:rsid w:val="008A6FA5"/>
    <w:rsid w:val="008A77CB"/>
    <w:rsid w:val="008A7F0F"/>
    <w:rsid w:val="008A7F10"/>
    <w:rsid w:val="008B0054"/>
    <w:rsid w:val="008B0601"/>
    <w:rsid w:val="008B1224"/>
    <w:rsid w:val="008B1291"/>
    <w:rsid w:val="008B1735"/>
    <w:rsid w:val="008B1913"/>
    <w:rsid w:val="008B3490"/>
    <w:rsid w:val="008B3859"/>
    <w:rsid w:val="008B3E7D"/>
    <w:rsid w:val="008B41A3"/>
    <w:rsid w:val="008B44EE"/>
    <w:rsid w:val="008B489A"/>
    <w:rsid w:val="008B4EE5"/>
    <w:rsid w:val="008B4F50"/>
    <w:rsid w:val="008B5430"/>
    <w:rsid w:val="008B553B"/>
    <w:rsid w:val="008B57E1"/>
    <w:rsid w:val="008B5CCA"/>
    <w:rsid w:val="008B6540"/>
    <w:rsid w:val="008B695D"/>
    <w:rsid w:val="008B70CC"/>
    <w:rsid w:val="008B78D6"/>
    <w:rsid w:val="008B7D59"/>
    <w:rsid w:val="008C019D"/>
    <w:rsid w:val="008C0563"/>
    <w:rsid w:val="008C09B9"/>
    <w:rsid w:val="008C0DDF"/>
    <w:rsid w:val="008C1D3B"/>
    <w:rsid w:val="008C257C"/>
    <w:rsid w:val="008C2A6C"/>
    <w:rsid w:val="008C2B67"/>
    <w:rsid w:val="008C2D4D"/>
    <w:rsid w:val="008C2F5A"/>
    <w:rsid w:val="008C3B20"/>
    <w:rsid w:val="008C420B"/>
    <w:rsid w:val="008C5179"/>
    <w:rsid w:val="008C5479"/>
    <w:rsid w:val="008C56E6"/>
    <w:rsid w:val="008C5821"/>
    <w:rsid w:val="008C5A79"/>
    <w:rsid w:val="008C6190"/>
    <w:rsid w:val="008C6729"/>
    <w:rsid w:val="008C6961"/>
    <w:rsid w:val="008C706A"/>
    <w:rsid w:val="008C7122"/>
    <w:rsid w:val="008C7A92"/>
    <w:rsid w:val="008D0A40"/>
    <w:rsid w:val="008D0C3D"/>
    <w:rsid w:val="008D1C1B"/>
    <w:rsid w:val="008D1D8E"/>
    <w:rsid w:val="008D1E5F"/>
    <w:rsid w:val="008D1E64"/>
    <w:rsid w:val="008D2117"/>
    <w:rsid w:val="008D2616"/>
    <w:rsid w:val="008D2859"/>
    <w:rsid w:val="008D3810"/>
    <w:rsid w:val="008D39DC"/>
    <w:rsid w:val="008D3B41"/>
    <w:rsid w:val="008D3BCE"/>
    <w:rsid w:val="008D4760"/>
    <w:rsid w:val="008D5A71"/>
    <w:rsid w:val="008D6A7C"/>
    <w:rsid w:val="008D6D1D"/>
    <w:rsid w:val="008D7282"/>
    <w:rsid w:val="008D7ACA"/>
    <w:rsid w:val="008E02A7"/>
    <w:rsid w:val="008E052E"/>
    <w:rsid w:val="008E08E0"/>
    <w:rsid w:val="008E0C27"/>
    <w:rsid w:val="008E11CC"/>
    <w:rsid w:val="008E1750"/>
    <w:rsid w:val="008E25E6"/>
    <w:rsid w:val="008E3482"/>
    <w:rsid w:val="008E3742"/>
    <w:rsid w:val="008E4449"/>
    <w:rsid w:val="008E4CC8"/>
    <w:rsid w:val="008E52FB"/>
    <w:rsid w:val="008E53AC"/>
    <w:rsid w:val="008E5B39"/>
    <w:rsid w:val="008E5C9D"/>
    <w:rsid w:val="008E6847"/>
    <w:rsid w:val="008E689E"/>
    <w:rsid w:val="008E6F2B"/>
    <w:rsid w:val="008E7B80"/>
    <w:rsid w:val="008E7FF5"/>
    <w:rsid w:val="008F07D5"/>
    <w:rsid w:val="008F0C16"/>
    <w:rsid w:val="008F0C55"/>
    <w:rsid w:val="008F1402"/>
    <w:rsid w:val="008F170A"/>
    <w:rsid w:val="008F1D67"/>
    <w:rsid w:val="008F21CA"/>
    <w:rsid w:val="008F298B"/>
    <w:rsid w:val="008F2F77"/>
    <w:rsid w:val="008F38BB"/>
    <w:rsid w:val="008F3CCA"/>
    <w:rsid w:val="008F3F39"/>
    <w:rsid w:val="008F40A0"/>
    <w:rsid w:val="008F445B"/>
    <w:rsid w:val="008F489F"/>
    <w:rsid w:val="008F4942"/>
    <w:rsid w:val="008F4ED8"/>
    <w:rsid w:val="008F55D8"/>
    <w:rsid w:val="008F5BE3"/>
    <w:rsid w:val="008F65C4"/>
    <w:rsid w:val="008F6B01"/>
    <w:rsid w:val="008F6BF0"/>
    <w:rsid w:val="008F79B1"/>
    <w:rsid w:val="008F7B87"/>
    <w:rsid w:val="008F7EB8"/>
    <w:rsid w:val="008F7F2D"/>
    <w:rsid w:val="009005A0"/>
    <w:rsid w:val="00900A20"/>
    <w:rsid w:val="00901377"/>
    <w:rsid w:val="00901555"/>
    <w:rsid w:val="00901679"/>
    <w:rsid w:val="009018F6"/>
    <w:rsid w:val="0090192F"/>
    <w:rsid w:val="00901FC6"/>
    <w:rsid w:val="00902562"/>
    <w:rsid w:val="0090256C"/>
    <w:rsid w:val="00903B18"/>
    <w:rsid w:val="00903E86"/>
    <w:rsid w:val="00904728"/>
    <w:rsid w:val="00904AA2"/>
    <w:rsid w:val="00904FEE"/>
    <w:rsid w:val="009050C6"/>
    <w:rsid w:val="0090545E"/>
    <w:rsid w:val="00905756"/>
    <w:rsid w:val="00905D3E"/>
    <w:rsid w:val="009065BE"/>
    <w:rsid w:val="00907932"/>
    <w:rsid w:val="00907B0C"/>
    <w:rsid w:val="0091004B"/>
    <w:rsid w:val="00910399"/>
    <w:rsid w:val="00910C9A"/>
    <w:rsid w:val="0091134E"/>
    <w:rsid w:val="0091154A"/>
    <w:rsid w:val="00912B33"/>
    <w:rsid w:val="00913E6C"/>
    <w:rsid w:val="00913F21"/>
    <w:rsid w:val="00913F76"/>
    <w:rsid w:val="00914561"/>
    <w:rsid w:val="009146D8"/>
    <w:rsid w:val="00914D5A"/>
    <w:rsid w:val="00915AD0"/>
    <w:rsid w:val="00916446"/>
    <w:rsid w:val="009176DE"/>
    <w:rsid w:val="00917A67"/>
    <w:rsid w:val="00920A24"/>
    <w:rsid w:val="00921116"/>
    <w:rsid w:val="009223B7"/>
    <w:rsid w:val="00922D35"/>
    <w:rsid w:val="00922E63"/>
    <w:rsid w:val="009230FE"/>
    <w:rsid w:val="0092326A"/>
    <w:rsid w:val="00923F12"/>
    <w:rsid w:val="009243BE"/>
    <w:rsid w:val="0092485F"/>
    <w:rsid w:val="00924F50"/>
    <w:rsid w:val="00925C49"/>
    <w:rsid w:val="00925F6E"/>
    <w:rsid w:val="009265AB"/>
    <w:rsid w:val="00926B45"/>
    <w:rsid w:val="009272E6"/>
    <w:rsid w:val="00927354"/>
    <w:rsid w:val="009278B1"/>
    <w:rsid w:val="00927BD8"/>
    <w:rsid w:val="00927D6D"/>
    <w:rsid w:val="00930766"/>
    <w:rsid w:val="009309D2"/>
    <w:rsid w:val="00930AB5"/>
    <w:rsid w:val="00931325"/>
    <w:rsid w:val="009318DF"/>
    <w:rsid w:val="00931ADA"/>
    <w:rsid w:val="00931F1D"/>
    <w:rsid w:val="00932251"/>
    <w:rsid w:val="00932FC4"/>
    <w:rsid w:val="00933603"/>
    <w:rsid w:val="00933F21"/>
    <w:rsid w:val="00934573"/>
    <w:rsid w:val="009347D8"/>
    <w:rsid w:val="009354C4"/>
    <w:rsid w:val="009356BF"/>
    <w:rsid w:val="00935A39"/>
    <w:rsid w:val="00935BE8"/>
    <w:rsid w:val="00936494"/>
    <w:rsid w:val="009368A6"/>
    <w:rsid w:val="009368AE"/>
    <w:rsid w:val="00936E18"/>
    <w:rsid w:val="009371A6"/>
    <w:rsid w:val="0093725A"/>
    <w:rsid w:val="009373B1"/>
    <w:rsid w:val="00940A61"/>
    <w:rsid w:val="00940F37"/>
    <w:rsid w:val="009412F6"/>
    <w:rsid w:val="0094181B"/>
    <w:rsid w:val="00942580"/>
    <w:rsid w:val="00942DEC"/>
    <w:rsid w:val="00942F33"/>
    <w:rsid w:val="00942FD9"/>
    <w:rsid w:val="009437BC"/>
    <w:rsid w:val="0094421A"/>
    <w:rsid w:val="00944686"/>
    <w:rsid w:val="009448C7"/>
    <w:rsid w:val="00944A83"/>
    <w:rsid w:val="00945078"/>
    <w:rsid w:val="00945924"/>
    <w:rsid w:val="009470CD"/>
    <w:rsid w:val="009474FC"/>
    <w:rsid w:val="00947813"/>
    <w:rsid w:val="009479A4"/>
    <w:rsid w:val="00947AD4"/>
    <w:rsid w:val="00947F7A"/>
    <w:rsid w:val="00950BB7"/>
    <w:rsid w:val="00950F9D"/>
    <w:rsid w:val="00951185"/>
    <w:rsid w:val="00951857"/>
    <w:rsid w:val="00951D61"/>
    <w:rsid w:val="00952590"/>
    <w:rsid w:val="00952B98"/>
    <w:rsid w:val="0095336C"/>
    <w:rsid w:val="0095350E"/>
    <w:rsid w:val="009539E3"/>
    <w:rsid w:val="00954606"/>
    <w:rsid w:val="00954C32"/>
    <w:rsid w:val="009554F6"/>
    <w:rsid w:val="00956039"/>
    <w:rsid w:val="0095657C"/>
    <w:rsid w:val="00957165"/>
    <w:rsid w:val="00957A16"/>
    <w:rsid w:val="00957A17"/>
    <w:rsid w:val="00957BBF"/>
    <w:rsid w:val="00957D55"/>
    <w:rsid w:val="00960BAE"/>
    <w:rsid w:val="00961293"/>
    <w:rsid w:val="00961362"/>
    <w:rsid w:val="0096139C"/>
    <w:rsid w:val="00961874"/>
    <w:rsid w:val="00961D0E"/>
    <w:rsid w:val="00962668"/>
    <w:rsid w:val="009628A6"/>
    <w:rsid w:val="0096371F"/>
    <w:rsid w:val="00963775"/>
    <w:rsid w:val="009638C9"/>
    <w:rsid w:val="00965000"/>
    <w:rsid w:val="009650CA"/>
    <w:rsid w:val="00965537"/>
    <w:rsid w:val="009656D7"/>
    <w:rsid w:val="009666DC"/>
    <w:rsid w:val="00966788"/>
    <w:rsid w:val="00966904"/>
    <w:rsid w:val="0096778C"/>
    <w:rsid w:val="00967C52"/>
    <w:rsid w:val="00970196"/>
    <w:rsid w:val="009706F2"/>
    <w:rsid w:val="009709BF"/>
    <w:rsid w:val="0097169C"/>
    <w:rsid w:val="009716DC"/>
    <w:rsid w:val="0097220A"/>
    <w:rsid w:val="009726A4"/>
    <w:rsid w:val="009726FC"/>
    <w:rsid w:val="00972B62"/>
    <w:rsid w:val="00972E57"/>
    <w:rsid w:val="00973C7F"/>
    <w:rsid w:val="00975EC9"/>
    <w:rsid w:val="009761AD"/>
    <w:rsid w:val="009762B8"/>
    <w:rsid w:val="0097734E"/>
    <w:rsid w:val="00977608"/>
    <w:rsid w:val="0098017E"/>
    <w:rsid w:val="00980263"/>
    <w:rsid w:val="009802CD"/>
    <w:rsid w:val="009804A4"/>
    <w:rsid w:val="009805E6"/>
    <w:rsid w:val="009805FD"/>
    <w:rsid w:val="00980D2B"/>
    <w:rsid w:val="009816DF"/>
    <w:rsid w:val="00981B2E"/>
    <w:rsid w:val="00981BBC"/>
    <w:rsid w:val="00981C56"/>
    <w:rsid w:val="009822D2"/>
    <w:rsid w:val="00982A57"/>
    <w:rsid w:val="00982D35"/>
    <w:rsid w:val="009830A5"/>
    <w:rsid w:val="0098335D"/>
    <w:rsid w:val="00983C30"/>
    <w:rsid w:val="00983F83"/>
    <w:rsid w:val="00984495"/>
    <w:rsid w:val="009846EC"/>
    <w:rsid w:val="00984750"/>
    <w:rsid w:val="00984AB0"/>
    <w:rsid w:val="009852D3"/>
    <w:rsid w:val="00985464"/>
    <w:rsid w:val="0098692C"/>
    <w:rsid w:val="00986989"/>
    <w:rsid w:val="009870DB"/>
    <w:rsid w:val="00987870"/>
    <w:rsid w:val="00990071"/>
    <w:rsid w:val="00990624"/>
    <w:rsid w:val="009906CF"/>
    <w:rsid w:val="009909D4"/>
    <w:rsid w:val="00990C52"/>
    <w:rsid w:val="0099132F"/>
    <w:rsid w:val="00991D89"/>
    <w:rsid w:val="00992360"/>
    <w:rsid w:val="00992CE6"/>
    <w:rsid w:val="00992E81"/>
    <w:rsid w:val="009936FE"/>
    <w:rsid w:val="009937DF"/>
    <w:rsid w:val="00993C9C"/>
    <w:rsid w:val="009953DA"/>
    <w:rsid w:val="0099565A"/>
    <w:rsid w:val="00995B02"/>
    <w:rsid w:val="00995F34"/>
    <w:rsid w:val="00996540"/>
    <w:rsid w:val="0099668D"/>
    <w:rsid w:val="009972C9"/>
    <w:rsid w:val="009973E7"/>
    <w:rsid w:val="009A1F5F"/>
    <w:rsid w:val="009A2056"/>
    <w:rsid w:val="009A20C4"/>
    <w:rsid w:val="009A22C0"/>
    <w:rsid w:val="009A2832"/>
    <w:rsid w:val="009A28A5"/>
    <w:rsid w:val="009A2A34"/>
    <w:rsid w:val="009A35C9"/>
    <w:rsid w:val="009A3B90"/>
    <w:rsid w:val="009A3FCC"/>
    <w:rsid w:val="009A481C"/>
    <w:rsid w:val="009A49F2"/>
    <w:rsid w:val="009A4B4B"/>
    <w:rsid w:val="009A4B67"/>
    <w:rsid w:val="009A61DF"/>
    <w:rsid w:val="009A652B"/>
    <w:rsid w:val="009A6A06"/>
    <w:rsid w:val="009A752F"/>
    <w:rsid w:val="009B0854"/>
    <w:rsid w:val="009B115C"/>
    <w:rsid w:val="009B13E1"/>
    <w:rsid w:val="009B2C70"/>
    <w:rsid w:val="009B3E8D"/>
    <w:rsid w:val="009B4229"/>
    <w:rsid w:val="009B4AD6"/>
    <w:rsid w:val="009B540A"/>
    <w:rsid w:val="009B6046"/>
    <w:rsid w:val="009B7A82"/>
    <w:rsid w:val="009C059C"/>
    <w:rsid w:val="009C06E2"/>
    <w:rsid w:val="009C080E"/>
    <w:rsid w:val="009C1049"/>
    <w:rsid w:val="009C140D"/>
    <w:rsid w:val="009C1EC8"/>
    <w:rsid w:val="009C2A09"/>
    <w:rsid w:val="009C2ACD"/>
    <w:rsid w:val="009C320E"/>
    <w:rsid w:val="009C32FA"/>
    <w:rsid w:val="009C38C8"/>
    <w:rsid w:val="009C39D0"/>
    <w:rsid w:val="009C3AC1"/>
    <w:rsid w:val="009C46BD"/>
    <w:rsid w:val="009C4837"/>
    <w:rsid w:val="009C4A88"/>
    <w:rsid w:val="009C5320"/>
    <w:rsid w:val="009C5922"/>
    <w:rsid w:val="009C5A25"/>
    <w:rsid w:val="009C5E22"/>
    <w:rsid w:val="009C6D11"/>
    <w:rsid w:val="009C7226"/>
    <w:rsid w:val="009C7ED5"/>
    <w:rsid w:val="009D019A"/>
    <w:rsid w:val="009D080F"/>
    <w:rsid w:val="009D0B3A"/>
    <w:rsid w:val="009D1801"/>
    <w:rsid w:val="009D1AA3"/>
    <w:rsid w:val="009D1CE1"/>
    <w:rsid w:val="009D1F9C"/>
    <w:rsid w:val="009D236B"/>
    <w:rsid w:val="009D2AAA"/>
    <w:rsid w:val="009D2B2D"/>
    <w:rsid w:val="009D2B3C"/>
    <w:rsid w:val="009D2FF5"/>
    <w:rsid w:val="009D3A6B"/>
    <w:rsid w:val="009D3D14"/>
    <w:rsid w:val="009D4289"/>
    <w:rsid w:val="009D4AC9"/>
    <w:rsid w:val="009D4F7C"/>
    <w:rsid w:val="009D5484"/>
    <w:rsid w:val="009D58CF"/>
    <w:rsid w:val="009D5FCB"/>
    <w:rsid w:val="009D610C"/>
    <w:rsid w:val="009D6678"/>
    <w:rsid w:val="009D6CD9"/>
    <w:rsid w:val="009D7133"/>
    <w:rsid w:val="009E053F"/>
    <w:rsid w:val="009E0A56"/>
    <w:rsid w:val="009E0C14"/>
    <w:rsid w:val="009E0C19"/>
    <w:rsid w:val="009E1F2C"/>
    <w:rsid w:val="009E2149"/>
    <w:rsid w:val="009E3ED6"/>
    <w:rsid w:val="009E4369"/>
    <w:rsid w:val="009E46E3"/>
    <w:rsid w:val="009E4E49"/>
    <w:rsid w:val="009E5146"/>
    <w:rsid w:val="009E672D"/>
    <w:rsid w:val="009E676A"/>
    <w:rsid w:val="009E6CDD"/>
    <w:rsid w:val="009E6FDA"/>
    <w:rsid w:val="009E79BD"/>
    <w:rsid w:val="009E7C6B"/>
    <w:rsid w:val="009E7CF7"/>
    <w:rsid w:val="009E7DEF"/>
    <w:rsid w:val="009E7DF7"/>
    <w:rsid w:val="009E7F0F"/>
    <w:rsid w:val="009E7F41"/>
    <w:rsid w:val="009F0728"/>
    <w:rsid w:val="009F0F57"/>
    <w:rsid w:val="009F129E"/>
    <w:rsid w:val="009F1B14"/>
    <w:rsid w:val="009F3752"/>
    <w:rsid w:val="009F390E"/>
    <w:rsid w:val="009F3A7A"/>
    <w:rsid w:val="009F3EC2"/>
    <w:rsid w:val="009F4371"/>
    <w:rsid w:val="009F462C"/>
    <w:rsid w:val="009F4B0D"/>
    <w:rsid w:val="009F4DD7"/>
    <w:rsid w:val="009F57D9"/>
    <w:rsid w:val="009F5846"/>
    <w:rsid w:val="009F601D"/>
    <w:rsid w:val="009F6D85"/>
    <w:rsid w:val="009F7CDA"/>
    <w:rsid w:val="00A0004B"/>
    <w:rsid w:val="00A00188"/>
    <w:rsid w:val="00A00687"/>
    <w:rsid w:val="00A0083C"/>
    <w:rsid w:val="00A00E70"/>
    <w:rsid w:val="00A00F75"/>
    <w:rsid w:val="00A01177"/>
    <w:rsid w:val="00A01552"/>
    <w:rsid w:val="00A01AF3"/>
    <w:rsid w:val="00A01C1E"/>
    <w:rsid w:val="00A01F47"/>
    <w:rsid w:val="00A02627"/>
    <w:rsid w:val="00A026B5"/>
    <w:rsid w:val="00A03D31"/>
    <w:rsid w:val="00A04173"/>
    <w:rsid w:val="00A04343"/>
    <w:rsid w:val="00A04743"/>
    <w:rsid w:val="00A04E17"/>
    <w:rsid w:val="00A05773"/>
    <w:rsid w:val="00A05C26"/>
    <w:rsid w:val="00A06FEB"/>
    <w:rsid w:val="00A0761C"/>
    <w:rsid w:val="00A0779A"/>
    <w:rsid w:val="00A07895"/>
    <w:rsid w:val="00A07F8C"/>
    <w:rsid w:val="00A10929"/>
    <w:rsid w:val="00A10EA6"/>
    <w:rsid w:val="00A10F9B"/>
    <w:rsid w:val="00A120CF"/>
    <w:rsid w:val="00A12B9A"/>
    <w:rsid w:val="00A12BDA"/>
    <w:rsid w:val="00A13D1B"/>
    <w:rsid w:val="00A13D58"/>
    <w:rsid w:val="00A152F3"/>
    <w:rsid w:val="00A1566A"/>
    <w:rsid w:val="00A16CB1"/>
    <w:rsid w:val="00A1715C"/>
    <w:rsid w:val="00A17387"/>
    <w:rsid w:val="00A17D02"/>
    <w:rsid w:val="00A20A63"/>
    <w:rsid w:val="00A210C9"/>
    <w:rsid w:val="00A215C6"/>
    <w:rsid w:val="00A21EE3"/>
    <w:rsid w:val="00A22DFA"/>
    <w:rsid w:val="00A23D95"/>
    <w:rsid w:val="00A23E67"/>
    <w:rsid w:val="00A240A4"/>
    <w:rsid w:val="00A2411D"/>
    <w:rsid w:val="00A242A3"/>
    <w:rsid w:val="00A24AAE"/>
    <w:rsid w:val="00A24AE4"/>
    <w:rsid w:val="00A24C5C"/>
    <w:rsid w:val="00A25629"/>
    <w:rsid w:val="00A25757"/>
    <w:rsid w:val="00A259FB"/>
    <w:rsid w:val="00A25FE7"/>
    <w:rsid w:val="00A2610D"/>
    <w:rsid w:val="00A265EA"/>
    <w:rsid w:val="00A279F0"/>
    <w:rsid w:val="00A27DB3"/>
    <w:rsid w:val="00A301A5"/>
    <w:rsid w:val="00A30721"/>
    <w:rsid w:val="00A30A2A"/>
    <w:rsid w:val="00A31970"/>
    <w:rsid w:val="00A31BD5"/>
    <w:rsid w:val="00A31CAA"/>
    <w:rsid w:val="00A31F0E"/>
    <w:rsid w:val="00A32EB9"/>
    <w:rsid w:val="00A3319C"/>
    <w:rsid w:val="00A336A1"/>
    <w:rsid w:val="00A340F6"/>
    <w:rsid w:val="00A34EEE"/>
    <w:rsid w:val="00A3580D"/>
    <w:rsid w:val="00A3637D"/>
    <w:rsid w:val="00A3688B"/>
    <w:rsid w:val="00A36C36"/>
    <w:rsid w:val="00A37634"/>
    <w:rsid w:val="00A37A8D"/>
    <w:rsid w:val="00A4021E"/>
    <w:rsid w:val="00A40A44"/>
    <w:rsid w:val="00A4124C"/>
    <w:rsid w:val="00A419E4"/>
    <w:rsid w:val="00A41B6C"/>
    <w:rsid w:val="00A42480"/>
    <w:rsid w:val="00A42DDD"/>
    <w:rsid w:val="00A42FF0"/>
    <w:rsid w:val="00A43B7F"/>
    <w:rsid w:val="00A43CEF"/>
    <w:rsid w:val="00A441D5"/>
    <w:rsid w:val="00A4469C"/>
    <w:rsid w:val="00A44BAD"/>
    <w:rsid w:val="00A44C6E"/>
    <w:rsid w:val="00A45157"/>
    <w:rsid w:val="00A457B0"/>
    <w:rsid w:val="00A4589E"/>
    <w:rsid w:val="00A45F8B"/>
    <w:rsid w:val="00A45FF8"/>
    <w:rsid w:val="00A46206"/>
    <w:rsid w:val="00A47113"/>
    <w:rsid w:val="00A47157"/>
    <w:rsid w:val="00A47238"/>
    <w:rsid w:val="00A47AF8"/>
    <w:rsid w:val="00A510C6"/>
    <w:rsid w:val="00A51933"/>
    <w:rsid w:val="00A51C77"/>
    <w:rsid w:val="00A520C8"/>
    <w:rsid w:val="00A52249"/>
    <w:rsid w:val="00A52290"/>
    <w:rsid w:val="00A52D91"/>
    <w:rsid w:val="00A534F5"/>
    <w:rsid w:val="00A54137"/>
    <w:rsid w:val="00A5518F"/>
    <w:rsid w:val="00A55760"/>
    <w:rsid w:val="00A56678"/>
    <w:rsid w:val="00A566DC"/>
    <w:rsid w:val="00A567E5"/>
    <w:rsid w:val="00A56B78"/>
    <w:rsid w:val="00A56E02"/>
    <w:rsid w:val="00A57049"/>
    <w:rsid w:val="00A573D5"/>
    <w:rsid w:val="00A60053"/>
    <w:rsid w:val="00A600A1"/>
    <w:rsid w:val="00A60F32"/>
    <w:rsid w:val="00A610C4"/>
    <w:rsid w:val="00A6173B"/>
    <w:rsid w:val="00A61F12"/>
    <w:rsid w:val="00A621DF"/>
    <w:rsid w:val="00A62463"/>
    <w:rsid w:val="00A62D26"/>
    <w:rsid w:val="00A6315B"/>
    <w:rsid w:val="00A63349"/>
    <w:rsid w:val="00A636D8"/>
    <w:rsid w:val="00A64266"/>
    <w:rsid w:val="00A661D2"/>
    <w:rsid w:val="00A67013"/>
    <w:rsid w:val="00A6792F"/>
    <w:rsid w:val="00A71609"/>
    <w:rsid w:val="00A727D8"/>
    <w:rsid w:val="00A731F4"/>
    <w:rsid w:val="00A73407"/>
    <w:rsid w:val="00A73E16"/>
    <w:rsid w:val="00A74D5C"/>
    <w:rsid w:val="00A75092"/>
    <w:rsid w:val="00A75C63"/>
    <w:rsid w:val="00A76A3F"/>
    <w:rsid w:val="00A76BB9"/>
    <w:rsid w:val="00A773BB"/>
    <w:rsid w:val="00A7776A"/>
    <w:rsid w:val="00A77C43"/>
    <w:rsid w:val="00A77D4B"/>
    <w:rsid w:val="00A77F96"/>
    <w:rsid w:val="00A801AD"/>
    <w:rsid w:val="00A802EA"/>
    <w:rsid w:val="00A80419"/>
    <w:rsid w:val="00A80DBE"/>
    <w:rsid w:val="00A80F43"/>
    <w:rsid w:val="00A81807"/>
    <w:rsid w:val="00A81B2C"/>
    <w:rsid w:val="00A838E8"/>
    <w:rsid w:val="00A84952"/>
    <w:rsid w:val="00A84AAF"/>
    <w:rsid w:val="00A84B73"/>
    <w:rsid w:val="00A84F02"/>
    <w:rsid w:val="00A853D4"/>
    <w:rsid w:val="00A85695"/>
    <w:rsid w:val="00A85792"/>
    <w:rsid w:val="00A85996"/>
    <w:rsid w:val="00A85F7F"/>
    <w:rsid w:val="00A85FD8"/>
    <w:rsid w:val="00A865B5"/>
    <w:rsid w:val="00A8661F"/>
    <w:rsid w:val="00A867EB"/>
    <w:rsid w:val="00A86A1C"/>
    <w:rsid w:val="00A87342"/>
    <w:rsid w:val="00A87C80"/>
    <w:rsid w:val="00A92587"/>
    <w:rsid w:val="00A92946"/>
    <w:rsid w:val="00A9314A"/>
    <w:rsid w:val="00A9321D"/>
    <w:rsid w:val="00A9325C"/>
    <w:rsid w:val="00A932B2"/>
    <w:rsid w:val="00A93AC0"/>
    <w:rsid w:val="00A95091"/>
    <w:rsid w:val="00A959D9"/>
    <w:rsid w:val="00A96084"/>
    <w:rsid w:val="00A96130"/>
    <w:rsid w:val="00A96480"/>
    <w:rsid w:val="00A9658B"/>
    <w:rsid w:val="00A9659C"/>
    <w:rsid w:val="00A97457"/>
    <w:rsid w:val="00AA0D7F"/>
    <w:rsid w:val="00AA15B5"/>
    <w:rsid w:val="00AA1679"/>
    <w:rsid w:val="00AA1FB4"/>
    <w:rsid w:val="00AA282B"/>
    <w:rsid w:val="00AA3F0B"/>
    <w:rsid w:val="00AA4CB9"/>
    <w:rsid w:val="00AA5A57"/>
    <w:rsid w:val="00AA5BFF"/>
    <w:rsid w:val="00AA73D1"/>
    <w:rsid w:val="00AA7440"/>
    <w:rsid w:val="00AA7EFE"/>
    <w:rsid w:val="00AB0416"/>
    <w:rsid w:val="00AB056E"/>
    <w:rsid w:val="00AB0572"/>
    <w:rsid w:val="00AB1146"/>
    <w:rsid w:val="00AB1973"/>
    <w:rsid w:val="00AB2215"/>
    <w:rsid w:val="00AB255E"/>
    <w:rsid w:val="00AB2BE7"/>
    <w:rsid w:val="00AB2C0B"/>
    <w:rsid w:val="00AB35F2"/>
    <w:rsid w:val="00AB43DF"/>
    <w:rsid w:val="00AB4590"/>
    <w:rsid w:val="00AB4901"/>
    <w:rsid w:val="00AB4BA9"/>
    <w:rsid w:val="00AB6147"/>
    <w:rsid w:val="00AB6353"/>
    <w:rsid w:val="00AB73EF"/>
    <w:rsid w:val="00AB7A2F"/>
    <w:rsid w:val="00AB7E77"/>
    <w:rsid w:val="00AC0AB1"/>
    <w:rsid w:val="00AC12AC"/>
    <w:rsid w:val="00AC2495"/>
    <w:rsid w:val="00AC297F"/>
    <w:rsid w:val="00AC2984"/>
    <w:rsid w:val="00AC3797"/>
    <w:rsid w:val="00AC3AA6"/>
    <w:rsid w:val="00AC4737"/>
    <w:rsid w:val="00AC52A0"/>
    <w:rsid w:val="00AC54E9"/>
    <w:rsid w:val="00AC7560"/>
    <w:rsid w:val="00AC79AF"/>
    <w:rsid w:val="00AC7BCF"/>
    <w:rsid w:val="00AC7DE8"/>
    <w:rsid w:val="00AD002E"/>
    <w:rsid w:val="00AD0647"/>
    <w:rsid w:val="00AD06BB"/>
    <w:rsid w:val="00AD09FB"/>
    <w:rsid w:val="00AD0BDF"/>
    <w:rsid w:val="00AD128D"/>
    <w:rsid w:val="00AD17E2"/>
    <w:rsid w:val="00AD18A1"/>
    <w:rsid w:val="00AD1961"/>
    <w:rsid w:val="00AD2A21"/>
    <w:rsid w:val="00AD32EB"/>
    <w:rsid w:val="00AD335A"/>
    <w:rsid w:val="00AD3699"/>
    <w:rsid w:val="00AD3D62"/>
    <w:rsid w:val="00AD3E67"/>
    <w:rsid w:val="00AD419D"/>
    <w:rsid w:val="00AD42E4"/>
    <w:rsid w:val="00AD474D"/>
    <w:rsid w:val="00AD4A98"/>
    <w:rsid w:val="00AD4AA8"/>
    <w:rsid w:val="00AD5188"/>
    <w:rsid w:val="00AD5373"/>
    <w:rsid w:val="00AD5568"/>
    <w:rsid w:val="00AD55AF"/>
    <w:rsid w:val="00AD6098"/>
    <w:rsid w:val="00AD6596"/>
    <w:rsid w:val="00AD65C5"/>
    <w:rsid w:val="00AD693E"/>
    <w:rsid w:val="00AD6C09"/>
    <w:rsid w:val="00AD6ED3"/>
    <w:rsid w:val="00AD6FB9"/>
    <w:rsid w:val="00AD7938"/>
    <w:rsid w:val="00AD7F80"/>
    <w:rsid w:val="00AE06BB"/>
    <w:rsid w:val="00AE07A4"/>
    <w:rsid w:val="00AE0D82"/>
    <w:rsid w:val="00AE11D6"/>
    <w:rsid w:val="00AE1A39"/>
    <w:rsid w:val="00AE1BC0"/>
    <w:rsid w:val="00AE1E28"/>
    <w:rsid w:val="00AE2055"/>
    <w:rsid w:val="00AE22D4"/>
    <w:rsid w:val="00AE2CB8"/>
    <w:rsid w:val="00AE332C"/>
    <w:rsid w:val="00AE373E"/>
    <w:rsid w:val="00AE4881"/>
    <w:rsid w:val="00AE4D33"/>
    <w:rsid w:val="00AE572A"/>
    <w:rsid w:val="00AE5812"/>
    <w:rsid w:val="00AE5FEF"/>
    <w:rsid w:val="00AE6124"/>
    <w:rsid w:val="00AE6AC3"/>
    <w:rsid w:val="00AE70CC"/>
    <w:rsid w:val="00AE751E"/>
    <w:rsid w:val="00AE7C33"/>
    <w:rsid w:val="00AE7DB8"/>
    <w:rsid w:val="00AF0268"/>
    <w:rsid w:val="00AF0E2C"/>
    <w:rsid w:val="00AF14CD"/>
    <w:rsid w:val="00AF1A6D"/>
    <w:rsid w:val="00AF2057"/>
    <w:rsid w:val="00AF24DB"/>
    <w:rsid w:val="00AF24F0"/>
    <w:rsid w:val="00AF3046"/>
    <w:rsid w:val="00AF335C"/>
    <w:rsid w:val="00AF3A25"/>
    <w:rsid w:val="00AF3AAD"/>
    <w:rsid w:val="00AF3E0D"/>
    <w:rsid w:val="00AF4033"/>
    <w:rsid w:val="00AF5002"/>
    <w:rsid w:val="00AF50CE"/>
    <w:rsid w:val="00AF5996"/>
    <w:rsid w:val="00AF5A51"/>
    <w:rsid w:val="00AF6115"/>
    <w:rsid w:val="00AF6EE6"/>
    <w:rsid w:val="00AF70A3"/>
    <w:rsid w:val="00AF76F8"/>
    <w:rsid w:val="00B000D5"/>
    <w:rsid w:val="00B00651"/>
    <w:rsid w:val="00B0219E"/>
    <w:rsid w:val="00B02578"/>
    <w:rsid w:val="00B0297E"/>
    <w:rsid w:val="00B02C14"/>
    <w:rsid w:val="00B03709"/>
    <w:rsid w:val="00B03F58"/>
    <w:rsid w:val="00B03F75"/>
    <w:rsid w:val="00B041DA"/>
    <w:rsid w:val="00B04420"/>
    <w:rsid w:val="00B0471C"/>
    <w:rsid w:val="00B04BC6"/>
    <w:rsid w:val="00B05063"/>
    <w:rsid w:val="00B0536D"/>
    <w:rsid w:val="00B05840"/>
    <w:rsid w:val="00B05850"/>
    <w:rsid w:val="00B0639F"/>
    <w:rsid w:val="00B0644C"/>
    <w:rsid w:val="00B0655C"/>
    <w:rsid w:val="00B0697B"/>
    <w:rsid w:val="00B071F7"/>
    <w:rsid w:val="00B12104"/>
    <w:rsid w:val="00B12AE8"/>
    <w:rsid w:val="00B12B1A"/>
    <w:rsid w:val="00B13472"/>
    <w:rsid w:val="00B137F8"/>
    <w:rsid w:val="00B14976"/>
    <w:rsid w:val="00B15C2A"/>
    <w:rsid w:val="00B15D38"/>
    <w:rsid w:val="00B1604C"/>
    <w:rsid w:val="00B160E4"/>
    <w:rsid w:val="00B16AD0"/>
    <w:rsid w:val="00B1755C"/>
    <w:rsid w:val="00B175A6"/>
    <w:rsid w:val="00B178C8"/>
    <w:rsid w:val="00B17C03"/>
    <w:rsid w:val="00B20E08"/>
    <w:rsid w:val="00B20E2B"/>
    <w:rsid w:val="00B2186B"/>
    <w:rsid w:val="00B21FF6"/>
    <w:rsid w:val="00B2297A"/>
    <w:rsid w:val="00B22A68"/>
    <w:rsid w:val="00B22B5A"/>
    <w:rsid w:val="00B230F2"/>
    <w:rsid w:val="00B2382D"/>
    <w:rsid w:val="00B24377"/>
    <w:rsid w:val="00B24A6A"/>
    <w:rsid w:val="00B24D4A"/>
    <w:rsid w:val="00B2521D"/>
    <w:rsid w:val="00B25298"/>
    <w:rsid w:val="00B266C8"/>
    <w:rsid w:val="00B2679F"/>
    <w:rsid w:val="00B26AFA"/>
    <w:rsid w:val="00B26CD6"/>
    <w:rsid w:val="00B26E03"/>
    <w:rsid w:val="00B2765B"/>
    <w:rsid w:val="00B27A67"/>
    <w:rsid w:val="00B3074A"/>
    <w:rsid w:val="00B30EB6"/>
    <w:rsid w:val="00B30EBB"/>
    <w:rsid w:val="00B310D3"/>
    <w:rsid w:val="00B32B1F"/>
    <w:rsid w:val="00B32F69"/>
    <w:rsid w:val="00B33961"/>
    <w:rsid w:val="00B33997"/>
    <w:rsid w:val="00B3469F"/>
    <w:rsid w:val="00B348F0"/>
    <w:rsid w:val="00B35515"/>
    <w:rsid w:val="00B355EB"/>
    <w:rsid w:val="00B359F9"/>
    <w:rsid w:val="00B36160"/>
    <w:rsid w:val="00B36C13"/>
    <w:rsid w:val="00B36CF2"/>
    <w:rsid w:val="00B376B5"/>
    <w:rsid w:val="00B37CC1"/>
    <w:rsid w:val="00B40B2A"/>
    <w:rsid w:val="00B413DD"/>
    <w:rsid w:val="00B4153F"/>
    <w:rsid w:val="00B41D4D"/>
    <w:rsid w:val="00B428E7"/>
    <w:rsid w:val="00B42CB2"/>
    <w:rsid w:val="00B431FB"/>
    <w:rsid w:val="00B437B3"/>
    <w:rsid w:val="00B43EF3"/>
    <w:rsid w:val="00B44835"/>
    <w:rsid w:val="00B4510A"/>
    <w:rsid w:val="00B45147"/>
    <w:rsid w:val="00B45237"/>
    <w:rsid w:val="00B45249"/>
    <w:rsid w:val="00B4568F"/>
    <w:rsid w:val="00B4663C"/>
    <w:rsid w:val="00B469B9"/>
    <w:rsid w:val="00B4725A"/>
    <w:rsid w:val="00B4783B"/>
    <w:rsid w:val="00B47A1F"/>
    <w:rsid w:val="00B47DEC"/>
    <w:rsid w:val="00B50070"/>
    <w:rsid w:val="00B503B7"/>
    <w:rsid w:val="00B5093F"/>
    <w:rsid w:val="00B50B91"/>
    <w:rsid w:val="00B51885"/>
    <w:rsid w:val="00B51AA9"/>
    <w:rsid w:val="00B51B5C"/>
    <w:rsid w:val="00B51E38"/>
    <w:rsid w:val="00B52D11"/>
    <w:rsid w:val="00B54141"/>
    <w:rsid w:val="00B5492D"/>
    <w:rsid w:val="00B54FA3"/>
    <w:rsid w:val="00B55096"/>
    <w:rsid w:val="00B55216"/>
    <w:rsid w:val="00B556C5"/>
    <w:rsid w:val="00B5676C"/>
    <w:rsid w:val="00B5711C"/>
    <w:rsid w:val="00B5761E"/>
    <w:rsid w:val="00B579F7"/>
    <w:rsid w:val="00B57D19"/>
    <w:rsid w:val="00B60685"/>
    <w:rsid w:val="00B61704"/>
    <w:rsid w:val="00B61E14"/>
    <w:rsid w:val="00B62581"/>
    <w:rsid w:val="00B633CB"/>
    <w:rsid w:val="00B634BC"/>
    <w:rsid w:val="00B645BA"/>
    <w:rsid w:val="00B651D9"/>
    <w:rsid w:val="00B65720"/>
    <w:rsid w:val="00B66015"/>
    <w:rsid w:val="00B66401"/>
    <w:rsid w:val="00B6651D"/>
    <w:rsid w:val="00B6696B"/>
    <w:rsid w:val="00B669F9"/>
    <w:rsid w:val="00B6716D"/>
    <w:rsid w:val="00B67235"/>
    <w:rsid w:val="00B67392"/>
    <w:rsid w:val="00B673EF"/>
    <w:rsid w:val="00B67C55"/>
    <w:rsid w:val="00B70DF0"/>
    <w:rsid w:val="00B7100D"/>
    <w:rsid w:val="00B716E9"/>
    <w:rsid w:val="00B7180F"/>
    <w:rsid w:val="00B71CC2"/>
    <w:rsid w:val="00B723AD"/>
    <w:rsid w:val="00B72628"/>
    <w:rsid w:val="00B727F9"/>
    <w:rsid w:val="00B72E56"/>
    <w:rsid w:val="00B73FED"/>
    <w:rsid w:val="00B74293"/>
    <w:rsid w:val="00B7444B"/>
    <w:rsid w:val="00B747D1"/>
    <w:rsid w:val="00B74F42"/>
    <w:rsid w:val="00B75267"/>
    <w:rsid w:val="00B752E8"/>
    <w:rsid w:val="00B75447"/>
    <w:rsid w:val="00B755C5"/>
    <w:rsid w:val="00B75997"/>
    <w:rsid w:val="00B75B48"/>
    <w:rsid w:val="00B760D5"/>
    <w:rsid w:val="00B76453"/>
    <w:rsid w:val="00B76C19"/>
    <w:rsid w:val="00B7718C"/>
    <w:rsid w:val="00B7780F"/>
    <w:rsid w:val="00B8017F"/>
    <w:rsid w:val="00B80217"/>
    <w:rsid w:val="00B80AA3"/>
    <w:rsid w:val="00B80C5B"/>
    <w:rsid w:val="00B812FD"/>
    <w:rsid w:val="00B816A2"/>
    <w:rsid w:val="00B81900"/>
    <w:rsid w:val="00B81A80"/>
    <w:rsid w:val="00B81B1A"/>
    <w:rsid w:val="00B83169"/>
    <w:rsid w:val="00B83740"/>
    <w:rsid w:val="00B83859"/>
    <w:rsid w:val="00B83A71"/>
    <w:rsid w:val="00B83B88"/>
    <w:rsid w:val="00B83CD5"/>
    <w:rsid w:val="00B8435A"/>
    <w:rsid w:val="00B84703"/>
    <w:rsid w:val="00B84752"/>
    <w:rsid w:val="00B85B66"/>
    <w:rsid w:val="00B86278"/>
    <w:rsid w:val="00B86587"/>
    <w:rsid w:val="00B86751"/>
    <w:rsid w:val="00B86F9B"/>
    <w:rsid w:val="00B873D8"/>
    <w:rsid w:val="00B8795C"/>
    <w:rsid w:val="00B87B93"/>
    <w:rsid w:val="00B900AA"/>
    <w:rsid w:val="00B909C2"/>
    <w:rsid w:val="00B90E9D"/>
    <w:rsid w:val="00B91C1F"/>
    <w:rsid w:val="00B91CFE"/>
    <w:rsid w:val="00B923CA"/>
    <w:rsid w:val="00B92A00"/>
    <w:rsid w:val="00B92B8C"/>
    <w:rsid w:val="00B92DC0"/>
    <w:rsid w:val="00B93A77"/>
    <w:rsid w:val="00B9417C"/>
    <w:rsid w:val="00B944B3"/>
    <w:rsid w:val="00B94902"/>
    <w:rsid w:val="00B94BC0"/>
    <w:rsid w:val="00B95716"/>
    <w:rsid w:val="00B959A2"/>
    <w:rsid w:val="00B959F7"/>
    <w:rsid w:val="00B95A37"/>
    <w:rsid w:val="00B95BFE"/>
    <w:rsid w:val="00B95E64"/>
    <w:rsid w:val="00B95ECF"/>
    <w:rsid w:val="00B962C9"/>
    <w:rsid w:val="00B96A04"/>
    <w:rsid w:val="00B96A9A"/>
    <w:rsid w:val="00B96BB7"/>
    <w:rsid w:val="00B975C8"/>
    <w:rsid w:val="00B97A68"/>
    <w:rsid w:val="00B97A72"/>
    <w:rsid w:val="00B97C77"/>
    <w:rsid w:val="00BA0432"/>
    <w:rsid w:val="00BA17DC"/>
    <w:rsid w:val="00BA1C12"/>
    <w:rsid w:val="00BA1ECF"/>
    <w:rsid w:val="00BA1FD1"/>
    <w:rsid w:val="00BA3112"/>
    <w:rsid w:val="00BA3146"/>
    <w:rsid w:val="00BA3613"/>
    <w:rsid w:val="00BA39D5"/>
    <w:rsid w:val="00BA4A9F"/>
    <w:rsid w:val="00BA4CF5"/>
    <w:rsid w:val="00BA517E"/>
    <w:rsid w:val="00BA53E0"/>
    <w:rsid w:val="00BA5E24"/>
    <w:rsid w:val="00BA653D"/>
    <w:rsid w:val="00BA7210"/>
    <w:rsid w:val="00BA748F"/>
    <w:rsid w:val="00BA7685"/>
    <w:rsid w:val="00BA7901"/>
    <w:rsid w:val="00BA7CCB"/>
    <w:rsid w:val="00BB01B0"/>
    <w:rsid w:val="00BB08FE"/>
    <w:rsid w:val="00BB0AA5"/>
    <w:rsid w:val="00BB0EAD"/>
    <w:rsid w:val="00BB1A15"/>
    <w:rsid w:val="00BB2661"/>
    <w:rsid w:val="00BB2D73"/>
    <w:rsid w:val="00BB2FCD"/>
    <w:rsid w:val="00BB3560"/>
    <w:rsid w:val="00BB364A"/>
    <w:rsid w:val="00BB37A6"/>
    <w:rsid w:val="00BB40E7"/>
    <w:rsid w:val="00BB4D67"/>
    <w:rsid w:val="00BB509B"/>
    <w:rsid w:val="00BB53CF"/>
    <w:rsid w:val="00BB5CC5"/>
    <w:rsid w:val="00BB5F50"/>
    <w:rsid w:val="00BB6378"/>
    <w:rsid w:val="00BB6B17"/>
    <w:rsid w:val="00BB6D37"/>
    <w:rsid w:val="00BB7044"/>
    <w:rsid w:val="00BB726A"/>
    <w:rsid w:val="00BB7304"/>
    <w:rsid w:val="00BB73FB"/>
    <w:rsid w:val="00BB778F"/>
    <w:rsid w:val="00BB7988"/>
    <w:rsid w:val="00BC0781"/>
    <w:rsid w:val="00BC09BE"/>
    <w:rsid w:val="00BC19E2"/>
    <w:rsid w:val="00BC2B38"/>
    <w:rsid w:val="00BC2BA4"/>
    <w:rsid w:val="00BC2CE9"/>
    <w:rsid w:val="00BC2D50"/>
    <w:rsid w:val="00BC3007"/>
    <w:rsid w:val="00BC32FB"/>
    <w:rsid w:val="00BC3473"/>
    <w:rsid w:val="00BC3A5B"/>
    <w:rsid w:val="00BC3EE2"/>
    <w:rsid w:val="00BC4005"/>
    <w:rsid w:val="00BC42E3"/>
    <w:rsid w:val="00BC434E"/>
    <w:rsid w:val="00BC4A42"/>
    <w:rsid w:val="00BC4A8C"/>
    <w:rsid w:val="00BC4F89"/>
    <w:rsid w:val="00BC5CA3"/>
    <w:rsid w:val="00BC65A4"/>
    <w:rsid w:val="00BC66DE"/>
    <w:rsid w:val="00BC6D8B"/>
    <w:rsid w:val="00BC78A4"/>
    <w:rsid w:val="00BD085C"/>
    <w:rsid w:val="00BD0DBA"/>
    <w:rsid w:val="00BD1FEE"/>
    <w:rsid w:val="00BD244F"/>
    <w:rsid w:val="00BD32F2"/>
    <w:rsid w:val="00BD3375"/>
    <w:rsid w:val="00BD33FB"/>
    <w:rsid w:val="00BD3633"/>
    <w:rsid w:val="00BD38E4"/>
    <w:rsid w:val="00BD3CD1"/>
    <w:rsid w:val="00BD40C2"/>
    <w:rsid w:val="00BD4371"/>
    <w:rsid w:val="00BD43F0"/>
    <w:rsid w:val="00BD4AC6"/>
    <w:rsid w:val="00BD4F68"/>
    <w:rsid w:val="00BD4FFB"/>
    <w:rsid w:val="00BD549D"/>
    <w:rsid w:val="00BD589C"/>
    <w:rsid w:val="00BD5FDF"/>
    <w:rsid w:val="00BD674C"/>
    <w:rsid w:val="00BD6797"/>
    <w:rsid w:val="00BD6C16"/>
    <w:rsid w:val="00BD7314"/>
    <w:rsid w:val="00BE0DD3"/>
    <w:rsid w:val="00BE1C0E"/>
    <w:rsid w:val="00BE1C3C"/>
    <w:rsid w:val="00BE216F"/>
    <w:rsid w:val="00BE218E"/>
    <w:rsid w:val="00BE2498"/>
    <w:rsid w:val="00BE2916"/>
    <w:rsid w:val="00BE30DF"/>
    <w:rsid w:val="00BE32D7"/>
    <w:rsid w:val="00BE4720"/>
    <w:rsid w:val="00BE4A7E"/>
    <w:rsid w:val="00BE54A0"/>
    <w:rsid w:val="00BE54BA"/>
    <w:rsid w:val="00BE57CA"/>
    <w:rsid w:val="00BE62B6"/>
    <w:rsid w:val="00BE6359"/>
    <w:rsid w:val="00BE6792"/>
    <w:rsid w:val="00BE72B2"/>
    <w:rsid w:val="00BE7B10"/>
    <w:rsid w:val="00BE7C28"/>
    <w:rsid w:val="00BF047D"/>
    <w:rsid w:val="00BF05A0"/>
    <w:rsid w:val="00BF0E63"/>
    <w:rsid w:val="00BF1359"/>
    <w:rsid w:val="00BF1F9D"/>
    <w:rsid w:val="00BF2407"/>
    <w:rsid w:val="00BF2F3D"/>
    <w:rsid w:val="00BF3984"/>
    <w:rsid w:val="00BF3C2D"/>
    <w:rsid w:val="00BF415F"/>
    <w:rsid w:val="00BF4E33"/>
    <w:rsid w:val="00BF4FE1"/>
    <w:rsid w:val="00BF5B6C"/>
    <w:rsid w:val="00BF5C5D"/>
    <w:rsid w:val="00BF5EEA"/>
    <w:rsid w:val="00BF5FA8"/>
    <w:rsid w:val="00BF6069"/>
    <w:rsid w:val="00BF6246"/>
    <w:rsid w:val="00BF6330"/>
    <w:rsid w:val="00BF65A3"/>
    <w:rsid w:val="00BF65AF"/>
    <w:rsid w:val="00BF6643"/>
    <w:rsid w:val="00BF67F2"/>
    <w:rsid w:val="00BF71CB"/>
    <w:rsid w:val="00BF77C2"/>
    <w:rsid w:val="00C004AC"/>
    <w:rsid w:val="00C01087"/>
    <w:rsid w:val="00C02453"/>
    <w:rsid w:val="00C0256F"/>
    <w:rsid w:val="00C02687"/>
    <w:rsid w:val="00C02849"/>
    <w:rsid w:val="00C02D83"/>
    <w:rsid w:val="00C030D7"/>
    <w:rsid w:val="00C033C6"/>
    <w:rsid w:val="00C037AB"/>
    <w:rsid w:val="00C03A90"/>
    <w:rsid w:val="00C03B3B"/>
    <w:rsid w:val="00C03B3E"/>
    <w:rsid w:val="00C03B45"/>
    <w:rsid w:val="00C0510E"/>
    <w:rsid w:val="00C059BB"/>
    <w:rsid w:val="00C05D1F"/>
    <w:rsid w:val="00C05EBD"/>
    <w:rsid w:val="00C06670"/>
    <w:rsid w:val="00C06ACE"/>
    <w:rsid w:val="00C074A6"/>
    <w:rsid w:val="00C102C3"/>
    <w:rsid w:val="00C1040C"/>
    <w:rsid w:val="00C1118E"/>
    <w:rsid w:val="00C1136E"/>
    <w:rsid w:val="00C1233A"/>
    <w:rsid w:val="00C126CB"/>
    <w:rsid w:val="00C1286C"/>
    <w:rsid w:val="00C12C26"/>
    <w:rsid w:val="00C12EA4"/>
    <w:rsid w:val="00C135A7"/>
    <w:rsid w:val="00C13F20"/>
    <w:rsid w:val="00C14B31"/>
    <w:rsid w:val="00C14C72"/>
    <w:rsid w:val="00C1593E"/>
    <w:rsid w:val="00C15A28"/>
    <w:rsid w:val="00C15B2A"/>
    <w:rsid w:val="00C15F33"/>
    <w:rsid w:val="00C15FAC"/>
    <w:rsid w:val="00C16151"/>
    <w:rsid w:val="00C17194"/>
    <w:rsid w:val="00C17528"/>
    <w:rsid w:val="00C17BCA"/>
    <w:rsid w:val="00C21DDC"/>
    <w:rsid w:val="00C22330"/>
    <w:rsid w:val="00C22331"/>
    <w:rsid w:val="00C23305"/>
    <w:rsid w:val="00C23B1B"/>
    <w:rsid w:val="00C24416"/>
    <w:rsid w:val="00C25174"/>
    <w:rsid w:val="00C256FF"/>
    <w:rsid w:val="00C25F16"/>
    <w:rsid w:val="00C26BC2"/>
    <w:rsid w:val="00C27673"/>
    <w:rsid w:val="00C27F19"/>
    <w:rsid w:val="00C3016E"/>
    <w:rsid w:val="00C30D5B"/>
    <w:rsid w:val="00C3107D"/>
    <w:rsid w:val="00C310F0"/>
    <w:rsid w:val="00C31FA8"/>
    <w:rsid w:val="00C3298A"/>
    <w:rsid w:val="00C3305C"/>
    <w:rsid w:val="00C3406F"/>
    <w:rsid w:val="00C35AC7"/>
    <w:rsid w:val="00C36BF5"/>
    <w:rsid w:val="00C36D47"/>
    <w:rsid w:val="00C37344"/>
    <w:rsid w:val="00C37880"/>
    <w:rsid w:val="00C37C07"/>
    <w:rsid w:val="00C37ECC"/>
    <w:rsid w:val="00C401D3"/>
    <w:rsid w:val="00C403E4"/>
    <w:rsid w:val="00C409ED"/>
    <w:rsid w:val="00C40ED1"/>
    <w:rsid w:val="00C41058"/>
    <w:rsid w:val="00C41391"/>
    <w:rsid w:val="00C41896"/>
    <w:rsid w:val="00C41E66"/>
    <w:rsid w:val="00C427B5"/>
    <w:rsid w:val="00C42FB1"/>
    <w:rsid w:val="00C44510"/>
    <w:rsid w:val="00C44A45"/>
    <w:rsid w:val="00C44CE1"/>
    <w:rsid w:val="00C4586F"/>
    <w:rsid w:val="00C45EBD"/>
    <w:rsid w:val="00C4649C"/>
    <w:rsid w:val="00C4681F"/>
    <w:rsid w:val="00C47159"/>
    <w:rsid w:val="00C474BB"/>
    <w:rsid w:val="00C477A9"/>
    <w:rsid w:val="00C47ACE"/>
    <w:rsid w:val="00C47EAF"/>
    <w:rsid w:val="00C51741"/>
    <w:rsid w:val="00C519A8"/>
    <w:rsid w:val="00C53A81"/>
    <w:rsid w:val="00C53A87"/>
    <w:rsid w:val="00C53E5A"/>
    <w:rsid w:val="00C543F8"/>
    <w:rsid w:val="00C54461"/>
    <w:rsid w:val="00C54C5D"/>
    <w:rsid w:val="00C55802"/>
    <w:rsid w:val="00C55CFF"/>
    <w:rsid w:val="00C56456"/>
    <w:rsid w:val="00C57244"/>
    <w:rsid w:val="00C5735F"/>
    <w:rsid w:val="00C57529"/>
    <w:rsid w:val="00C57807"/>
    <w:rsid w:val="00C5795D"/>
    <w:rsid w:val="00C601A6"/>
    <w:rsid w:val="00C60645"/>
    <w:rsid w:val="00C60A12"/>
    <w:rsid w:val="00C614EF"/>
    <w:rsid w:val="00C61C6C"/>
    <w:rsid w:val="00C61F70"/>
    <w:rsid w:val="00C61FC3"/>
    <w:rsid w:val="00C62581"/>
    <w:rsid w:val="00C62B79"/>
    <w:rsid w:val="00C62D2C"/>
    <w:rsid w:val="00C63044"/>
    <w:rsid w:val="00C633CE"/>
    <w:rsid w:val="00C63825"/>
    <w:rsid w:val="00C64365"/>
    <w:rsid w:val="00C64422"/>
    <w:rsid w:val="00C64545"/>
    <w:rsid w:val="00C648C3"/>
    <w:rsid w:val="00C64AB9"/>
    <w:rsid w:val="00C64F14"/>
    <w:rsid w:val="00C64F20"/>
    <w:rsid w:val="00C6554F"/>
    <w:rsid w:val="00C65EB4"/>
    <w:rsid w:val="00C66225"/>
    <w:rsid w:val="00C66A2F"/>
    <w:rsid w:val="00C66C8D"/>
    <w:rsid w:val="00C66FB7"/>
    <w:rsid w:val="00C672B6"/>
    <w:rsid w:val="00C7011B"/>
    <w:rsid w:val="00C7274F"/>
    <w:rsid w:val="00C729A4"/>
    <w:rsid w:val="00C74CBE"/>
    <w:rsid w:val="00C74DFA"/>
    <w:rsid w:val="00C75036"/>
    <w:rsid w:val="00C75A67"/>
    <w:rsid w:val="00C76740"/>
    <w:rsid w:val="00C769CF"/>
    <w:rsid w:val="00C76E2C"/>
    <w:rsid w:val="00C7706E"/>
    <w:rsid w:val="00C817DC"/>
    <w:rsid w:val="00C81F0C"/>
    <w:rsid w:val="00C82130"/>
    <w:rsid w:val="00C822BC"/>
    <w:rsid w:val="00C82939"/>
    <w:rsid w:val="00C82F33"/>
    <w:rsid w:val="00C83498"/>
    <w:rsid w:val="00C84411"/>
    <w:rsid w:val="00C8536D"/>
    <w:rsid w:val="00C85EC8"/>
    <w:rsid w:val="00C85FBB"/>
    <w:rsid w:val="00C862FA"/>
    <w:rsid w:val="00C86B40"/>
    <w:rsid w:val="00C8707B"/>
    <w:rsid w:val="00C87912"/>
    <w:rsid w:val="00C90422"/>
    <w:rsid w:val="00C9072C"/>
    <w:rsid w:val="00C90D05"/>
    <w:rsid w:val="00C91474"/>
    <w:rsid w:val="00C9162B"/>
    <w:rsid w:val="00C9176B"/>
    <w:rsid w:val="00C91950"/>
    <w:rsid w:val="00C91FA4"/>
    <w:rsid w:val="00C92826"/>
    <w:rsid w:val="00C932CF"/>
    <w:rsid w:val="00C938D1"/>
    <w:rsid w:val="00C93D63"/>
    <w:rsid w:val="00C93ECD"/>
    <w:rsid w:val="00C94576"/>
    <w:rsid w:val="00C945BF"/>
    <w:rsid w:val="00C9491A"/>
    <w:rsid w:val="00C9501E"/>
    <w:rsid w:val="00C9548E"/>
    <w:rsid w:val="00C95C46"/>
    <w:rsid w:val="00C95E1C"/>
    <w:rsid w:val="00C96293"/>
    <w:rsid w:val="00C96613"/>
    <w:rsid w:val="00C96D74"/>
    <w:rsid w:val="00C97995"/>
    <w:rsid w:val="00CA0A75"/>
    <w:rsid w:val="00CA0B59"/>
    <w:rsid w:val="00CA0C06"/>
    <w:rsid w:val="00CA1E0F"/>
    <w:rsid w:val="00CA22A7"/>
    <w:rsid w:val="00CA27CA"/>
    <w:rsid w:val="00CA2A0B"/>
    <w:rsid w:val="00CA3E0D"/>
    <w:rsid w:val="00CA434C"/>
    <w:rsid w:val="00CA4383"/>
    <w:rsid w:val="00CA48E0"/>
    <w:rsid w:val="00CA5843"/>
    <w:rsid w:val="00CA5D66"/>
    <w:rsid w:val="00CA6DE2"/>
    <w:rsid w:val="00CA76D9"/>
    <w:rsid w:val="00CA7AB9"/>
    <w:rsid w:val="00CA7CF0"/>
    <w:rsid w:val="00CB0499"/>
    <w:rsid w:val="00CB08FF"/>
    <w:rsid w:val="00CB0A3B"/>
    <w:rsid w:val="00CB0DF2"/>
    <w:rsid w:val="00CB174F"/>
    <w:rsid w:val="00CB2A53"/>
    <w:rsid w:val="00CB3553"/>
    <w:rsid w:val="00CB3955"/>
    <w:rsid w:val="00CB3B69"/>
    <w:rsid w:val="00CB40A7"/>
    <w:rsid w:val="00CB45BE"/>
    <w:rsid w:val="00CB486B"/>
    <w:rsid w:val="00CB53E4"/>
    <w:rsid w:val="00CB6F8C"/>
    <w:rsid w:val="00CB6FCD"/>
    <w:rsid w:val="00CB71E8"/>
    <w:rsid w:val="00CC085C"/>
    <w:rsid w:val="00CC140C"/>
    <w:rsid w:val="00CC14DB"/>
    <w:rsid w:val="00CC1CDB"/>
    <w:rsid w:val="00CC3EBA"/>
    <w:rsid w:val="00CC434C"/>
    <w:rsid w:val="00CC4D91"/>
    <w:rsid w:val="00CC5633"/>
    <w:rsid w:val="00CC57A0"/>
    <w:rsid w:val="00CC6992"/>
    <w:rsid w:val="00CC6E67"/>
    <w:rsid w:val="00CC7CA6"/>
    <w:rsid w:val="00CC7F89"/>
    <w:rsid w:val="00CD00BA"/>
    <w:rsid w:val="00CD02A4"/>
    <w:rsid w:val="00CD0732"/>
    <w:rsid w:val="00CD0F5F"/>
    <w:rsid w:val="00CD0FF1"/>
    <w:rsid w:val="00CD1610"/>
    <w:rsid w:val="00CD1BC6"/>
    <w:rsid w:val="00CD1E81"/>
    <w:rsid w:val="00CD318F"/>
    <w:rsid w:val="00CD3276"/>
    <w:rsid w:val="00CD35D4"/>
    <w:rsid w:val="00CD3A39"/>
    <w:rsid w:val="00CD3AE8"/>
    <w:rsid w:val="00CD41E4"/>
    <w:rsid w:val="00CD5695"/>
    <w:rsid w:val="00CD77BB"/>
    <w:rsid w:val="00CE0268"/>
    <w:rsid w:val="00CE062E"/>
    <w:rsid w:val="00CE1891"/>
    <w:rsid w:val="00CE19D7"/>
    <w:rsid w:val="00CE1BCC"/>
    <w:rsid w:val="00CE1E2D"/>
    <w:rsid w:val="00CE22E0"/>
    <w:rsid w:val="00CE25D5"/>
    <w:rsid w:val="00CE28B6"/>
    <w:rsid w:val="00CE2A3A"/>
    <w:rsid w:val="00CE2A75"/>
    <w:rsid w:val="00CE313D"/>
    <w:rsid w:val="00CE3A91"/>
    <w:rsid w:val="00CE4A84"/>
    <w:rsid w:val="00CE4B26"/>
    <w:rsid w:val="00CE5131"/>
    <w:rsid w:val="00CE5174"/>
    <w:rsid w:val="00CE53FE"/>
    <w:rsid w:val="00CE5A55"/>
    <w:rsid w:val="00CE5C41"/>
    <w:rsid w:val="00CE6001"/>
    <w:rsid w:val="00CE64FD"/>
    <w:rsid w:val="00CE66B0"/>
    <w:rsid w:val="00CE6F7B"/>
    <w:rsid w:val="00CE7113"/>
    <w:rsid w:val="00CE7BCF"/>
    <w:rsid w:val="00CF026F"/>
    <w:rsid w:val="00CF05F2"/>
    <w:rsid w:val="00CF1F39"/>
    <w:rsid w:val="00CF24EA"/>
    <w:rsid w:val="00CF268A"/>
    <w:rsid w:val="00CF2B04"/>
    <w:rsid w:val="00CF2E78"/>
    <w:rsid w:val="00CF347C"/>
    <w:rsid w:val="00CF3558"/>
    <w:rsid w:val="00CF4CA3"/>
    <w:rsid w:val="00CF5154"/>
    <w:rsid w:val="00CF551B"/>
    <w:rsid w:val="00CF5619"/>
    <w:rsid w:val="00CF5722"/>
    <w:rsid w:val="00CF5B42"/>
    <w:rsid w:val="00CF7016"/>
    <w:rsid w:val="00D00910"/>
    <w:rsid w:val="00D00923"/>
    <w:rsid w:val="00D01480"/>
    <w:rsid w:val="00D0155C"/>
    <w:rsid w:val="00D0169F"/>
    <w:rsid w:val="00D01E30"/>
    <w:rsid w:val="00D01FE3"/>
    <w:rsid w:val="00D021E2"/>
    <w:rsid w:val="00D02B2B"/>
    <w:rsid w:val="00D05085"/>
    <w:rsid w:val="00D05420"/>
    <w:rsid w:val="00D05B5B"/>
    <w:rsid w:val="00D05F78"/>
    <w:rsid w:val="00D06A7D"/>
    <w:rsid w:val="00D07228"/>
    <w:rsid w:val="00D100F9"/>
    <w:rsid w:val="00D103BF"/>
    <w:rsid w:val="00D10EE0"/>
    <w:rsid w:val="00D117BE"/>
    <w:rsid w:val="00D11A46"/>
    <w:rsid w:val="00D11B99"/>
    <w:rsid w:val="00D11F6D"/>
    <w:rsid w:val="00D120E4"/>
    <w:rsid w:val="00D1231C"/>
    <w:rsid w:val="00D127A1"/>
    <w:rsid w:val="00D12BE1"/>
    <w:rsid w:val="00D133F9"/>
    <w:rsid w:val="00D13BD3"/>
    <w:rsid w:val="00D15216"/>
    <w:rsid w:val="00D15B65"/>
    <w:rsid w:val="00D1613E"/>
    <w:rsid w:val="00D1755E"/>
    <w:rsid w:val="00D1776C"/>
    <w:rsid w:val="00D17B42"/>
    <w:rsid w:val="00D20407"/>
    <w:rsid w:val="00D20513"/>
    <w:rsid w:val="00D209D0"/>
    <w:rsid w:val="00D20CB0"/>
    <w:rsid w:val="00D20CCD"/>
    <w:rsid w:val="00D21411"/>
    <w:rsid w:val="00D2153E"/>
    <w:rsid w:val="00D215D3"/>
    <w:rsid w:val="00D226BD"/>
    <w:rsid w:val="00D228E4"/>
    <w:rsid w:val="00D22912"/>
    <w:rsid w:val="00D22FD0"/>
    <w:rsid w:val="00D2335E"/>
    <w:rsid w:val="00D23B5B"/>
    <w:rsid w:val="00D2407A"/>
    <w:rsid w:val="00D240A5"/>
    <w:rsid w:val="00D24342"/>
    <w:rsid w:val="00D24622"/>
    <w:rsid w:val="00D2485C"/>
    <w:rsid w:val="00D25EF2"/>
    <w:rsid w:val="00D26302"/>
    <w:rsid w:val="00D26739"/>
    <w:rsid w:val="00D26C84"/>
    <w:rsid w:val="00D273CB"/>
    <w:rsid w:val="00D276BE"/>
    <w:rsid w:val="00D276E7"/>
    <w:rsid w:val="00D27B77"/>
    <w:rsid w:val="00D309B6"/>
    <w:rsid w:val="00D30DC1"/>
    <w:rsid w:val="00D30FE0"/>
    <w:rsid w:val="00D31CF9"/>
    <w:rsid w:val="00D32248"/>
    <w:rsid w:val="00D323D8"/>
    <w:rsid w:val="00D32575"/>
    <w:rsid w:val="00D332E7"/>
    <w:rsid w:val="00D34840"/>
    <w:rsid w:val="00D351E5"/>
    <w:rsid w:val="00D35720"/>
    <w:rsid w:val="00D37C60"/>
    <w:rsid w:val="00D37D7F"/>
    <w:rsid w:val="00D40597"/>
    <w:rsid w:val="00D407B3"/>
    <w:rsid w:val="00D40DEA"/>
    <w:rsid w:val="00D410E0"/>
    <w:rsid w:val="00D4117C"/>
    <w:rsid w:val="00D419C4"/>
    <w:rsid w:val="00D42521"/>
    <w:rsid w:val="00D42B7A"/>
    <w:rsid w:val="00D44C61"/>
    <w:rsid w:val="00D468A6"/>
    <w:rsid w:val="00D47698"/>
    <w:rsid w:val="00D47737"/>
    <w:rsid w:val="00D47AEC"/>
    <w:rsid w:val="00D47DB7"/>
    <w:rsid w:val="00D47E5E"/>
    <w:rsid w:val="00D5089E"/>
    <w:rsid w:val="00D50A39"/>
    <w:rsid w:val="00D51292"/>
    <w:rsid w:val="00D52249"/>
    <w:rsid w:val="00D5299A"/>
    <w:rsid w:val="00D52A04"/>
    <w:rsid w:val="00D52BF5"/>
    <w:rsid w:val="00D52F92"/>
    <w:rsid w:val="00D5312F"/>
    <w:rsid w:val="00D5355E"/>
    <w:rsid w:val="00D535E7"/>
    <w:rsid w:val="00D5390A"/>
    <w:rsid w:val="00D53970"/>
    <w:rsid w:val="00D53D71"/>
    <w:rsid w:val="00D53F83"/>
    <w:rsid w:val="00D54700"/>
    <w:rsid w:val="00D548B6"/>
    <w:rsid w:val="00D54DE8"/>
    <w:rsid w:val="00D55DE3"/>
    <w:rsid w:val="00D55FBF"/>
    <w:rsid w:val="00D57700"/>
    <w:rsid w:val="00D57DBD"/>
    <w:rsid w:val="00D6034E"/>
    <w:rsid w:val="00D61B89"/>
    <w:rsid w:val="00D61E0B"/>
    <w:rsid w:val="00D62404"/>
    <w:rsid w:val="00D6371A"/>
    <w:rsid w:val="00D641D7"/>
    <w:rsid w:val="00D65546"/>
    <w:rsid w:val="00D65682"/>
    <w:rsid w:val="00D66526"/>
    <w:rsid w:val="00D66E63"/>
    <w:rsid w:val="00D66F22"/>
    <w:rsid w:val="00D678F2"/>
    <w:rsid w:val="00D67EFD"/>
    <w:rsid w:val="00D70B90"/>
    <w:rsid w:val="00D7102E"/>
    <w:rsid w:val="00D71382"/>
    <w:rsid w:val="00D71933"/>
    <w:rsid w:val="00D719F5"/>
    <w:rsid w:val="00D71E42"/>
    <w:rsid w:val="00D71E9B"/>
    <w:rsid w:val="00D7203A"/>
    <w:rsid w:val="00D7318E"/>
    <w:rsid w:val="00D73989"/>
    <w:rsid w:val="00D74320"/>
    <w:rsid w:val="00D75740"/>
    <w:rsid w:val="00D76BA6"/>
    <w:rsid w:val="00D77AD9"/>
    <w:rsid w:val="00D77C82"/>
    <w:rsid w:val="00D80D8D"/>
    <w:rsid w:val="00D82007"/>
    <w:rsid w:val="00D82BCF"/>
    <w:rsid w:val="00D82D64"/>
    <w:rsid w:val="00D848AF"/>
    <w:rsid w:val="00D8508A"/>
    <w:rsid w:val="00D851DB"/>
    <w:rsid w:val="00D85716"/>
    <w:rsid w:val="00D859F1"/>
    <w:rsid w:val="00D85AE5"/>
    <w:rsid w:val="00D85B9B"/>
    <w:rsid w:val="00D85D65"/>
    <w:rsid w:val="00D871A0"/>
    <w:rsid w:val="00D87278"/>
    <w:rsid w:val="00D87E30"/>
    <w:rsid w:val="00D905D7"/>
    <w:rsid w:val="00D90A97"/>
    <w:rsid w:val="00D90AA1"/>
    <w:rsid w:val="00D90BBA"/>
    <w:rsid w:val="00D91530"/>
    <w:rsid w:val="00D9238C"/>
    <w:rsid w:val="00D926FC"/>
    <w:rsid w:val="00D932F4"/>
    <w:rsid w:val="00D935C2"/>
    <w:rsid w:val="00D93CA0"/>
    <w:rsid w:val="00D93E29"/>
    <w:rsid w:val="00D9423C"/>
    <w:rsid w:val="00D95282"/>
    <w:rsid w:val="00D961C0"/>
    <w:rsid w:val="00D96F8F"/>
    <w:rsid w:val="00D971D1"/>
    <w:rsid w:val="00D97785"/>
    <w:rsid w:val="00D97A81"/>
    <w:rsid w:val="00D97E32"/>
    <w:rsid w:val="00D97FC7"/>
    <w:rsid w:val="00DA01D0"/>
    <w:rsid w:val="00DA0B34"/>
    <w:rsid w:val="00DA0CB9"/>
    <w:rsid w:val="00DA0CD8"/>
    <w:rsid w:val="00DA15B9"/>
    <w:rsid w:val="00DA207B"/>
    <w:rsid w:val="00DA3449"/>
    <w:rsid w:val="00DA55FA"/>
    <w:rsid w:val="00DA61FE"/>
    <w:rsid w:val="00DA6278"/>
    <w:rsid w:val="00DA6919"/>
    <w:rsid w:val="00DA6AE3"/>
    <w:rsid w:val="00DA734D"/>
    <w:rsid w:val="00DA762B"/>
    <w:rsid w:val="00DB0B4F"/>
    <w:rsid w:val="00DB1C35"/>
    <w:rsid w:val="00DB22C1"/>
    <w:rsid w:val="00DB2FE4"/>
    <w:rsid w:val="00DB3BAA"/>
    <w:rsid w:val="00DB3BB9"/>
    <w:rsid w:val="00DB3F70"/>
    <w:rsid w:val="00DB45AA"/>
    <w:rsid w:val="00DB4703"/>
    <w:rsid w:val="00DB491C"/>
    <w:rsid w:val="00DB4B3A"/>
    <w:rsid w:val="00DB5F2C"/>
    <w:rsid w:val="00DC0099"/>
    <w:rsid w:val="00DC011F"/>
    <w:rsid w:val="00DC0A22"/>
    <w:rsid w:val="00DC1252"/>
    <w:rsid w:val="00DC1E0B"/>
    <w:rsid w:val="00DC1F02"/>
    <w:rsid w:val="00DC2A8E"/>
    <w:rsid w:val="00DC2AEE"/>
    <w:rsid w:val="00DC2C54"/>
    <w:rsid w:val="00DC2E25"/>
    <w:rsid w:val="00DC336D"/>
    <w:rsid w:val="00DC3570"/>
    <w:rsid w:val="00DC4B7A"/>
    <w:rsid w:val="00DC526B"/>
    <w:rsid w:val="00DC6B0C"/>
    <w:rsid w:val="00DC6DA0"/>
    <w:rsid w:val="00DD0ACD"/>
    <w:rsid w:val="00DD14CB"/>
    <w:rsid w:val="00DD16CA"/>
    <w:rsid w:val="00DD1D46"/>
    <w:rsid w:val="00DD1F48"/>
    <w:rsid w:val="00DD1FBB"/>
    <w:rsid w:val="00DD2238"/>
    <w:rsid w:val="00DD2635"/>
    <w:rsid w:val="00DD2677"/>
    <w:rsid w:val="00DD2B5A"/>
    <w:rsid w:val="00DD2BA6"/>
    <w:rsid w:val="00DD2CCB"/>
    <w:rsid w:val="00DD33BA"/>
    <w:rsid w:val="00DD3439"/>
    <w:rsid w:val="00DD3556"/>
    <w:rsid w:val="00DD3ABE"/>
    <w:rsid w:val="00DD3BAC"/>
    <w:rsid w:val="00DD4677"/>
    <w:rsid w:val="00DD471B"/>
    <w:rsid w:val="00DD4EE3"/>
    <w:rsid w:val="00DD65B0"/>
    <w:rsid w:val="00DD7769"/>
    <w:rsid w:val="00DD779B"/>
    <w:rsid w:val="00DE0EA2"/>
    <w:rsid w:val="00DE10B3"/>
    <w:rsid w:val="00DE11C8"/>
    <w:rsid w:val="00DE1279"/>
    <w:rsid w:val="00DE22D7"/>
    <w:rsid w:val="00DE27B2"/>
    <w:rsid w:val="00DE4394"/>
    <w:rsid w:val="00DE49EA"/>
    <w:rsid w:val="00DE4C6B"/>
    <w:rsid w:val="00DE59B2"/>
    <w:rsid w:val="00DE6518"/>
    <w:rsid w:val="00DE6EF2"/>
    <w:rsid w:val="00DE7F26"/>
    <w:rsid w:val="00DF028D"/>
    <w:rsid w:val="00DF0337"/>
    <w:rsid w:val="00DF0D9C"/>
    <w:rsid w:val="00DF0DB8"/>
    <w:rsid w:val="00DF1691"/>
    <w:rsid w:val="00DF2356"/>
    <w:rsid w:val="00DF252F"/>
    <w:rsid w:val="00DF297D"/>
    <w:rsid w:val="00DF2AC4"/>
    <w:rsid w:val="00DF2ED0"/>
    <w:rsid w:val="00DF3A14"/>
    <w:rsid w:val="00DF3CBA"/>
    <w:rsid w:val="00DF48FC"/>
    <w:rsid w:val="00DF4B83"/>
    <w:rsid w:val="00DF574B"/>
    <w:rsid w:val="00DF5D56"/>
    <w:rsid w:val="00DF6B00"/>
    <w:rsid w:val="00DF6B81"/>
    <w:rsid w:val="00DF6CCF"/>
    <w:rsid w:val="00DF7A7A"/>
    <w:rsid w:val="00E000CF"/>
    <w:rsid w:val="00E004F1"/>
    <w:rsid w:val="00E005CF"/>
    <w:rsid w:val="00E00DB1"/>
    <w:rsid w:val="00E00E33"/>
    <w:rsid w:val="00E028C3"/>
    <w:rsid w:val="00E02B10"/>
    <w:rsid w:val="00E02C0F"/>
    <w:rsid w:val="00E02F06"/>
    <w:rsid w:val="00E02FF1"/>
    <w:rsid w:val="00E03AA2"/>
    <w:rsid w:val="00E041DF"/>
    <w:rsid w:val="00E04275"/>
    <w:rsid w:val="00E04611"/>
    <w:rsid w:val="00E046D4"/>
    <w:rsid w:val="00E0496F"/>
    <w:rsid w:val="00E05507"/>
    <w:rsid w:val="00E05553"/>
    <w:rsid w:val="00E055CC"/>
    <w:rsid w:val="00E060E2"/>
    <w:rsid w:val="00E06434"/>
    <w:rsid w:val="00E07A05"/>
    <w:rsid w:val="00E1063D"/>
    <w:rsid w:val="00E10830"/>
    <w:rsid w:val="00E10933"/>
    <w:rsid w:val="00E10A34"/>
    <w:rsid w:val="00E10EA3"/>
    <w:rsid w:val="00E114E3"/>
    <w:rsid w:val="00E11CA7"/>
    <w:rsid w:val="00E122BF"/>
    <w:rsid w:val="00E12B49"/>
    <w:rsid w:val="00E12BEA"/>
    <w:rsid w:val="00E12D55"/>
    <w:rsid w:val="00E135C3"/>
    <w:rsid w:val="00E13830"/>
    <w:rsid w:val="00E13E2A"/>
    <w:rsid w:val="00E149FF"/>
    <w:rsid w:val="00E14D81"/>
    <w:rsid w:val="00E14E9D"/>
    <w:rsid w:val="00E15029"/>
    <w:rsid w:val="00E157DE"/>
    <w:rsid w:val="00E15A55"/>
    <w:rsid w:val="00E16C5C"/>
    <w:rsid w:val="00E17142"/>
    <w:rsid w:val="00E203BA"/>
    <w:rsid w:val="00E209D0"/>
    <w:rsid w:val="00E214D4"/>
    <w:rsid w:val="00E2167B"/>
    <w:rsid w:val="00E21BB8"/>
    <w:rsid w:val="00E223E4"/>
    <w:rsid w:val="00E224B7"/>
    <w:rsid w:val="00E226F0"/>
    <w:rsid w:val="00E2359E"/>
    <w:rsid w:val="00E2465A"/>
    <w:rsid w:val="00E248E7"/>
    <w:rsid w:val="00E2494D"/>
    <w:rsid w:val="00E252E4"/>
    <w:rsid w:val="00E25367"/>
    <w:rsid w:val="00E2536A"/>
    <w:rsid w:val="00E25AB2"/>
    <w:rsid w:val="00E260E2"/>
    <w:rsid w:val="00E26310"/>
    <w:rsid w:val="00E265D8"/>
    <w:rsid w:val="00E2669B"/>
    <w:rsid w:val="00E26CA7"/>
    <w:rsid w:val="00E26ED3"/>
    <w:rsid w:val="00E2705A"/>
    <w:rsid w:val="00E27137"/>
    <w:rsid w:val="00E2784E"/>
    <w:rsid w:val="00E27BB6"/>
    <w:rsid w:val="00E30841"/>
    <w:rsid w:val="00E30E17"/>
    <w:rsid w:val="00E317E0"/>
    <w:rsid w:val="00E3207D"/>
    <w:rsid w:val="00E32AA0"/>
    <w:rsid w:val="00E332B2"/>
    <w:rsid w:val="00E3385F"/>
    <w:rsid w:val="00E34150"/>
    <w:rsid w:val="00E3441B"/>
    <w:rsid w:val="00E34AEE"/>
    <w:rsid w:val="00E34BA6"/>
    <w:rsid w:val="00E3699D"/>
    <w:rsid w:val="00E40967"/>
    <w:rsid w:val="00E40DB2"/>
    <w:rsid w:val="00E41485"/>
    <w:rsid w:val="00E415ED"/>
    <w:rsid w:val="00E42E8E"/>
    <w:rsid w:val="00E43323"/>
    <w:rsid w:val="00E43759"/>
    <w:rsid w:val="00E43B20"/>
    <w:rsid w:val="00E446FE"/>
    <w:rsid w:val="00E448F3"/>
    <w:rsid w:val="00E454DD"/>
    <w:rsid w:val="00E45551"/>
    <w:rsid w:val="00E45582"/>
    <w:rsid w:val="00E45C88"/>
    <w:rsid w:val="00E46521"/>
    <w:rsid w:val="00E46B3F"/>
    <w:rsid w:val="00E46CEB"/>
    <w:rsid w:val="00E46F18"/>
    <w:rsid w:val="00E501F0"/>
    <w:rsid w:val="00E5065F"/>
    <w:rsid w:val="00E50A5D"/>
    <w:rsid w:val="00E51136"/>
    <w:rsid w:val="00E5153B"/>
    <w:rsid w:val="00E51D7A"/>
    <w:rsid w:val="00E54622"/>
    <w:rsid w:val="00E54B3C"/>
    <w:rsid w:val="00E54E8C"/>
    <w:rsid w:val="00E55B6F"/>
    <w:rsid w:val="00E55ED1"/>
    <w:rsid w:val="00E56085"/>
    <w:rsid w:val="00E56953"/>
    <w:rsid w:val="00E579BB"/>
    <w:rsid w:val="00E57B4E"/>
    <w:rsid w:val="00E57CEF"/>
    <w:rsid w:val="00E600B2"/>
    <w:rsid w:val="00E6153E"/>
    <w:rsid w:val="00E618FD"/>
    <w:rsid w:val="00E61D20"/>
    <w:rsid w:val="00E6211B"/>
    <w:rsid w:val="00E62B4B"/>
    <w:rsid w:val="00E6337A"/>
    <w:rsid w:val="00E63E14"/>
    <w:rsid w:val="00E6405C"/>
    <w:rsid w:val="00E6422B"/>
    <w:rsid w:val="00E642B9"/>
    <w:rsid w:val="00E65313"/>
    <w:rsid w:val="00E65D13"/>
    <w:rsid w:val="00E65F27"/>
    <w:rsid w:val="00E66614"/>
    <w:rsid w:val="00E6661C"/>
    <w:rsid w:val="00E66BA5"/>
    <w:rsid w:val="00E66D49"/>
    <w:rsid w:val="00E67259"/>
    <w:rsid w:val="00E67671"/>
    <w:rsid w:val="00E704A4"/>
    <w:rsid w:val="00E71DC7"/>
    <w:rsid w:val="00E72244"/>
    <w:rsid w:val="00E72553"/>
    <w:rsid w:val="00E73628"/>
    <w:rsid w:val="00E739DA"/>
    <w:rsid w:val="00E73B81"/>
    <w:rsid w:val="00E7499D"/>
    <w:rsid w:val="00E7568E"/>
    <w:rsid w:val="00E76937"/>
    <w:rsid w:val="00E76D37"/>
    <w:rsid w:val="00E76DB1"/>
    <w:rsid w:val="00E77C94"/>
    <w:rsid w:val="00E77D5C"/>
    <w:rsid w:val="00E80010"/>
    <w:rsid w:val="00E808AC"/>
    <w:rsid w:val="00E81122"/>
    <w:rsid w:val="00E81161"/>
    <w:rsid w:val="00E811E6"/>
    <w:rsid w:val="00E81457"/>
    <w:rsid w:val="00E81EE2"/>
    <w:rsid w:val="00E82A94"/>
    <w:rsid w:val="00E832C2"/>
    <w:rsid w:val="00E8489E"/>
    <w:rsid w:val="00E84C39"/>
    <w:rsid w:val="00E84F2F"/>
    <w:rsid w:val="00E85631"/>
    <w:rsid w:val="00E8580D"/>
    <w:rsid w:val="00E85D31"/>
    <w:rsid w:val="00E86918"/>
    <w:rsid w:val="00E86C16"/>
    <w:rsid w:val="00E87443"/>
    <w:rsid w:val="00E875A0"/>
    <w:rsid w:val="00E875E7"/>
    <w:rsid w:val="00E8760B"/>
    <w:rsid w:val="00E900BE"/>
    <w:rsid w:val="00E916CB"/>
    <w:rsid w:val="00E91A83"/>
    <w:rsid w:val="00E91D35"/>
    <w:rsid w:val="00E93A1F"/>
    <w:rsid w:val="00E9441D"/>
    <w:rsid w:val="00E94663"/>
    <w:rsid w:val="00E948FF"/>
    <w:rsid w:val="00E95EB9"/>
    <w:rsid w:val="00E95FDC"/>
    <w:rsid w:val="00E96649"/>
    <w:rsid w:val="00E9704D"/>
    <w:rsid w:val="00E9746B"/>
    <w:rsid w:val="00E974A5"/>
    <w:rsid w:val="00E97BD2"/>
    <w:rsid w:val="00E97D32"/>
    <w:rsid w:val="00E97EDD"/>
    <w:rsid w:val="00EA0232"/>
    <w:rsid w:val="00EA0328"/>
    <w:rsid w:val="00EA0A42"/>
    <w:rsid w:val="00EA10E7"/>
    <w:rsid w:val="00EA11CE"/>
    <w:rsid w:val="00EA13BE"/>
    <w:rsid w:val="00EA1732"/>
    <w:rsid w:val="00EA1A2B"/>
    <w:rsid w:val="00EA1ACB"/>
    <w:rsid w:val="00EA1CD6"/>
    <w:rsid w:val="00EA1CE8"/>
    <w:rsid w:val="00EA21FA"/>
    <w:rsid w:val="00EA22B4"/>
    <w:rsid w:val="00EA30B8"/>
    <w:rsid w:val="00EA3B0C"/>
    <w:rsid w:val="00EA5063"/>
    <w:rsid w:val="00EA5531"/>
    <w:rsid w:val="00EA6751"/>
    <w:rsid w:val="00EA6BCE"/>
    <w:rsid w:val="00EA7CA9"/>
    <w:rsid w:val="00EA7CD2"/>
    <w:rsid w:val="00EA7EA7"/>
    <w:rsid w:val="00EB1483"/>
    <w:rsid w:val="00EB2A18"/>
    <w:rsid w:val="00EB32CD"/>
    <w:rsid w:val="00EB394E"/>
    <w:rsid w:val="00EB3EBB"/>
    <w:rsid w:val="00EB3EEC"/>
    <w:rsid w:val="00EB40F5"/>
    <w:rsid w:val="00EB4C6A"/>
    <w:rsid w:val="00EB4D56"/>
    <w:rsid w:val="00EB517D"/>
    <w:rsid w:val="00EB77CB"/>
    <w:rsid w:val="00EB791D"/>
    <w:rsid w:val="00EC08E1"/>
    <w:rsid w:val="00EC1450"/>
    <w:rsid w:val="00EC16F7"/>
    <w:rsid w:val="00EC19EA"/>
    <w:rsid w:val="00EC1FB0"/>
    <w:rsid w:val="00EC2B41"/>
    <w:rsid w:val="00EC2BD6"/>
    <w:rsid w:val="00EC3DC7"/>
    <w:rsid w:val="00EC4010"/>
    <w:rsid w:val="00EC42B2"/>
    <w:rsid w:val="00EC4485"/>
    <w:rsid w:val="00EC45CC"/>
    <w:rsid w:val="00EC46E0"/>
    <w:rsid w:val="00EC4A32"/>
    <w:rsid w:val="00EC4B46"/>
    <w:rsid w:val="00EC5826"/>
    <w:rsid w:val="00EC59EE"/>
    <w:rsid w:val="00EC5D43"/>
    <w:rsid w:val="00EC63C4"/>
    <w:rsid w:val="00EC69B2"/>
    <w:rsid w:val="00EC7364"/>
    <w:rsid w:val="00EC7946"/>
    <w:rsid w:val="00EC7EDD"/>
    <w:rsid w:val="00EC7FE4"/>
    <w:rsid w:val="00ED00FE"/>
    <w:rsid w:val="00ED03A7"/>
    <w:rsid w:val="00ED0450"/>
    <w:rsid w:val="00ED04A9"/>
    <w:rsid w:val="00ED220C"/>
    <w:rsid w:val="00ED2385"/>
    <w:rsid w:val="00ED4E01"/>
    <w:rsid w:val="00ED50B2"/>
    <w:rsid w:val="00ED6465"/>
    <w:rsid w:val="00ED685F"/>
    <w:rsid w:val="00ED69A4"/>
    <w:rsid w:val="00ED745D"/>
    <w:rsid w:val="00ED7B3A"/>
    <w:rsid w:val="00EE0609"/>
    <w:rsid w:val="00EE1696"/>
    <w:rsid w:val="00EE198D"/>
    <w:rsid w:val="00EE1B3C"/>
    <w:rsid w:val="00EE1B5F"/>
    <w:rsid w:val="00EE35DE"/>
    <w:rsid w:val="00EE416A"/>
    <w:rsid w:val="00EE45F3"/>
    <w:rsid w:val="00EE4A2C"/>
    <w:rsid w:val="00EE4DD3"/>
    <w:rsid w:val="00EE59C5"/>
    <w:rsid w:val="00EE5B1E"/>
    <w:rsid w:val="00EE5B7F"/>
    <w:rsid w:val="00EE7F97"/>
    <w:rsid w:val="00EF1FBC"/>
    <w:rsid w:val="00EF2232"/>
    <w:rsid w:val="00EF23E7"/>
    <w:rsid w:val="00EF25D5"/>
    <w:rsid w:val="00EF2F50"/>
    <w:rsid w:val="00EF4272"/>
    <w:rsid w:val="00EF462A"/>
    <w:rsid w:val="00EF56B3"/>
    <w:rsid w:val="00EF60D2"/>
    <w:rsid w:val="00EF6494"/>
    <w:rsid w:val="00EF65E4"/>
    <w:rsid w:val="00EF6CD8"/>
    <w:rsid w:val="00EF797E"/>
    <w:rsid w:val="00F00124"/>
    <w:rsid w:val="00F01128"/>
    <w:rsid w:val="00F0126B"/>
    <w:rsid w:val="00F01DB5"/>
    <w:rsid w:val="00F020E8"/>
    <w:rsid w:val="00F02B9E"/>
    <w:rsid w:val="00F03631"/>
    <w:rsid w:val="00F03968"/>
    <w:rsid w:val="00F03D8E"/>
    <w:rsid w:val="00F03E3A"/>
    <w:rsid w:val="00F0411E"/>
    <w:rsid w:val="00F04456"/>
    <w:rsid w:val="00F04595"/>
    <w:rsid w:val="00F04B78"/>
    <w:rsid w:val="00F0508C"/>
    <w:rsid w:val="00F055B5"/>
    <w:rsid w:val="00F05C85"/>
    <w:rsid w:val="00F05DE6"/>
    <w:rsid w:val="00F0600F"/>
    <w:rsid w:val="00F0708D"/>
    <w:rsid w:val="00F07130"/>
    <w:rsid w:val="00F07477"/>
    <w:rsid w:val="00F1010F"/>
    <w:rsid w:val="00F113A9"/>
    <w:rsid w:val="00F116F6"/>
    <w:rsid w:val="00F11838"/>
    <w:rsid w:val="00F11ECC"/>
    <w:rsid w:val="00F125FA"/>
    <w:rsid w:val="00F12BB8"/>
    <w:rsid w:val="00F12E0C"/>
    <w:rsid w:val="00F1370C"/>
    <w:rsid w:val="00F13A34"/>
    <w:rsid w:val="00F14980"/>
    <w:rsid w:val="00F14D96"/>
    <w:rsid w:val="00F154B7"/>
    <w:rsid w:val="00F15D77"/>
    <w:rsid w:val="00F16282"/>
    <w:rsid w:val="00F16386"/>
    <w:rsid w:val="00F17587"/>
    <w:rsid w:val="00F17D54"/>
    <w:rsid w:val="00F2095B"/>
    <w:rsid w:val="00F20B08"/>
    <w:rsid w:val="00F22004"/>
    <w:rsid w:val="00F22B10"/>
    <w:rsid w:val="00F22CAF"/>
    <w:rsid w:val="00F22EB1"/>
    <w:rsid w:val="00F23328"/>
    <w:rsid w:val="00F24016"/>
    <w:rsid w:val="00F24248"/>
    <w:rsid w:val="00F247C2"/>
    <w:rsid w:val="00F252F6"/>
    <w:rsid w:val="00F257C0"/>
    <w:rsid w:val="00F257D2"/>
    <w:rsid w:val="00F25A2B"/>
    <w:rsid w:val="00F25A33"/>
    <w:rsid w:val="00F25A9B"/>
    <w:rsid w:val="00F26262"/>
    <w:rsid w:val="00F26415"/>
    <w:rsid w:val="00F2671A"/>
    <w:rsid w:val="00F26DD9"/>
    <w:rsid w:val="00F2722E"/>
    <w:rsid w:val="00F27BFF"/>
    <w:rsid w:val="00F27DF0"/>
    <w:rsid w:val="00F300A6"/>
    <w:rsid w:val="00F305AB"/>
    <w:rsid w:val="00F30DBD"/>
    <w:rsid w:val="00F3181F"/>
    <w:rsid w:val="00F31C9A"/>
    <w:rsid w:val="00F328DF"/>
    <w:rsid w:val="00F32A38"/>
    <w:rsid w:val="00F33018"/>
    <w:rsid w:val="00F33B04"/>
    <w:rsid w:val="00F34207"/>
    <w:rsid w:val="00F344B9"/>
    <w:rsid w:val="00F349B1"/>
    <w:rsid w:val="00F35E24"/>
    <w:rsid w:val="00F361E2"/>
    <w:rsid w:val="00F3625D"/>
    <w:rsid w:val="00F36482"/>
    <w:rsid w:val="00F36A00"/>
    <w:rsid w:val="00F37363"/>
    <w:rsid w:val="00F375FA"/>
    <w:rsid w:val="00F37C65"/>
    <w:rsid w:val="00F404A3"/>
    <w:rsid w:val="00F404D7"/>
    <w:rsid w:val="00F40BAA"/>
    <w:rsid w:val="00F40F82"/>
    <w:rsid w:val="00F41778"/>
    <w:rsid w:val="00F4183E"/>
    <w:rsid w:val="00F41C42"/>
    <w:rsid w:val="00F422AE"/>
    <w:rsid w:val="00F42844"/>
    <w:rsid w:val="00F42B73"/>
    <w:rsid w:val="00F42FE9"/>
    <w:rsid w:val="00F43114"/>
    <w:rsid w:val="00F43167"/>
    <w:rsid w:val="00F437EB"/>
    <w:rsid w:val="00F4399A"/>
    <w:rsid w:val="00F441BB"/>
    <w:rsid w:val="00F44665"/>
    <w:rsid w:val="00F4737D"/>
    <w:rsid w:val="00F47913"/>
    <w:rsid w:val="00F47D63"/>
    <w:rsid w:val="00F50694"/>
    <w:rsid w:val="00F50ED5"/>
    <w:rsid w:val="00F515C0"/>
    <w:rsid w:val="00F52384"/>
    <w:rsid w:val="00F52B79"/>
    <w:rsid w:val="00F5467F"/>
    <w:rsid w:val="00F54AEC"/>
    <w:rsid w:val="00F55983"/>
    <w:rsid w:val="00F56361"/>
    <w:rsid w:val="00F56EF3"/>
    <w:rsid w:val="00F56F6E"/>
    <w:rsid w:val="00F57440"/>
    <w:rsid w:val="00F574C3"/>
    <w:rsid w:val="00F57A64"/>
    <w:rsid w:val="00F57CD3"/>
    <w:rsid w:val="00F57E2E"/>
    <w:rsid w:val="00F57E32"/>
    <w:rsid w:val="00F60A7E"/>
    <w:rsid w:val="00F60BF5"/>
    <w:rsid w:val="00F610BC"/>
    <w:rsid w:val="00F6174A"/>
    <w:rsid w:val="00F6257E"/>
    <w:rsid w:val="00F6279D"/>
    <w:rsid w:val="00F62C31"/>
    <w:rsid w:val="00F62CD1"/>
    <w:rsid w:val="00F62FCD"/>
    <w:rsid w:val="00F62FCE"/>
    <w:rsid w:val="00F6340B"/>
    <w:rsid w:val="00F63B90"/>
    <w:rsid w:val="00F63F09"/>
    <w:rsid w:val="00F6414E"/>
    <w:rsid w:val="00F651F7"/>
    <w:rsid w:val="00F6544E"/>
    <w:rsid w:val="00F6626A"/>
    <w:rsid w:val="00F6655D"/>
    <w:rsid w:val="00F66787"/>
    <w:rsid w:val="00F66F3D"/>
    <w:rsid w:val="00F674E0"/>
    <w:rsid w:val="00F679A8"/>
    <w:rsid w:val="00F67F8C"/>
    <w:rsid w:val="00F70B7E"/>
    <w:rsid w:val="00F70EA6"/>
    <w:rsid w:val="00F710BA"/>
    <w:rsid w:val="00F71128"/>
    <w:rsid w:val="00F71135"/>
    <w:rsid w:val="00F71196"/>
    <w:rsid w:val="00F7185B"/>
    <w:rsid w:val="00F71C50"/>
    <w:rsid w:val="00F71E85"/>
    <w:rsid w:val="00F71FF4"/>
    <w:rsid w:val="00F7270F"/>
    <w:rsid w:val="00F72CF6"/>
    <w:rsid w:val="00F73992"/>
    <w:rsid w:val="00F73BED"/>
    <w:rsid w:val="00F73E63"/>
    <w:rsid w:val="00F73F73"/>
    <w:rsid w:val="00F74552"/>
    <w:rsid w:val="00F749E0"/>
    <w:rsid w:val="00F74D93"/>
    <w:rsid w:val="00F74F74"/>
    <w:rsid w:val="00F75625"/>
    <w:rsid w:val="00F7594B"/>
    <w:rsid w:val="00F75A3D"/>
    <w:rsid w:val="00F75AF6"/>
    <w:rsid w:val="00F75CBE"/>
    <w:rsid w:val="00F76BE4"/>
    <w:rsid w:val="00F772E0"/>
    <w:rsid w:val="00F80719"/>
    <w:rsid w:val="00F80E72"/>
    <w:rsid w:val="00F80F53"/>
    <w:rsid w:val="00F81111"/>
    <w:rsid w:val="00F8114F"/>
    <w:rsid w:val="00F8186D"/>
    <w:rsid w:val="00F81FBA"/>
    <w:rsid w:val="00F8220D"/>
    <w:rsid w:val="00F82C66"/>
    <w:rsid w:val="00F83119"/>
    <w:rsid w:val="00F831F1"/>
    <w:rsid w:val="00F83476"/>
    <w:rsid w:val="00F83672"/>
    <w:rsid w:val="00F837D5"/>
    <w:rsid w:val="00F84A41"/>
    <w:rsid w:val="00F84E97"/>
    <w:rsid w:val="00F85C1E"/>
    <w:rsid w:val="00F8605A"/>
    <w:rsid w:val="00F86DB5"/>
    <w:rsid w:val="00F90DC5"/>
    <w:rsid w:val="00F910B3"/>
    <w:rsid w:val="00F918D1"/>
    <w:rsid w:val="00F91D3A"/>
    <w:rsid w:val="00F91D66"/>
    <w:rsid w:val="00F93483"/>
    <w:rsid w:val="00F93580"/>
    <w:rsid w:val="00F945E0"/>
    <w:rsid w:val="00F94913"/>
    <w:rsid w:val="00F94BDE"/>
    <w:rsid w:val="00F94E2F"/>
    <w:rsid w:val="00F95864"/>
    <w:rsid w:val="00F96046"/>
    <w:rsid w:val="00F96289"/>
    <w:rsid w:val="00F969F4"/>
    <w:rsid w:val="00F97C4C"/>
    <w:rsid w:val="00FA009F"/>
    <w:rsid w:val="00FA042E"/>
    <w:rsid w:val="00FA074D"/>
    <w:rsid w:val="00FA0DBE"/>
    <w:rsid w:val="00FA0DBF"/>
    <w:rsid w:val="00FA1478"/>
    <w:rsid w:val="00FA19DA"/>
    <w:rsid w:val="00FA1B3B"/>
    <w:rsid w:val="00FA1B3E"/>
    <w:rsid w:val="00FA23C6"/>
    <w:rsid w:val="00FA276D"/>
    <w:rsid w:val="00FA2B87"/>
    <w:rsid w:val="00FA3361"/>
    <w:rsid w:val="00FA3F22"/>
    <w:rsid w:val="00FA4792"/>
    <w:rsid w:val="00FA49DC"/>
    <w:rsid w:val="00FA49FF"/>
    <w:rsid w:val="00FA4B22"/>
    <w:rsid w:val="00FA4B2C"/>
    <w:rsid w:val="00FA5A58"/>
    <w:rsid w:val="00FA5D5B"/>
    <w:rsid w:val="00FA62E5"/>
    <w:rsid w:val="00FA675E"/>
    <w:rsid w:val="00FA6D07"/>
    <w:rsid w:val="00FA6DC6"/>
    <w:rsid w:val="00FA6EC0"/>
    <w:rsid w:val="00FA6F2C"/>
    <w:rsid w:val="00FB06D9"/>
    <w:rsid w:val="00FB128F"/>
    <w:rsid w:val="00FB226B"/>
    <w:rsid w:val="00FB23BA"/>
    <w:rsid w:val="00FB277D"/>
    <w:rsid w:val="00FB2B41"/>
    <w:rsid w:val="00FB3070"/>
    <w:rsid w:val="00FB3916"/>
    <w:rsid w:val="00FB3FDC"/>
    <w:rsid w:val="00FB4820"/>
    <w:rsid w:val="00FB5092"/>
    <w:rsid w:val="00FB5EBE"/>
    <w:rsid w:val="00FB61DF"/>
    <w:rsid w:val="00FB6297"/>
    <w:rsid w:val="00FB6A61"/>
    <w:rsid w:val="00FB6D20"/>
    <w:rsid w:val="00FC0163"/>
    <w:rsid w:val="00FC0ACA"/>
    <w:rsid w:val="00FC0B8E"/>
    <w:rsid w:val="00FC0F35"/>
    <w:rsid w:val="00FC1504"/>
    <w:rsid w:val="00FC1556"/>
    <w:rsid w:val="00FC169C"/>
    <w:rsid w:val="00FC17C7"/>
    <w:rsid w:val="00FC185A"/>
    <w:rsid w:val="00FC18EF"/>
    <w:rsid w:val="00FC1CB2"/>
    <w:rsid w:val="00FC1F07"/>
    <w:rsid w:val="00FC211E"/>
    <w:rsid w:val="00FC2222"/>
    <w:rsid w:val="00FC27A3"/>
    <w:rsid w:val="00FC361B"/>
    <w:rsid w:val="00FC3C6E"/>
    <w:rsid w:val="00FC490F"/>
    <w:rsid w:val="00FC4DE0"/>
    <w:rsid w:val="00FC5665"/>
    <w:rsid w:val="00FC59A1"/>
    <w:rsid w:val="00FC5F6E"/>
    <w:rsid w:val="00FC6E2B"/>
    <w:rsid w:val="00FC6F3A"/>
    <w:rsid w:val="00FC7166"/>
    <w:rsid w:val="00FC791A"/>
    <w:rsid w:val="00FD03E2"/>
    <w:rsid w:val="00FD0817"/>
    <w:rsid w:val="00FD0BC5"/>
    <w:rsid w:val="00FD0CC0"/>
    <w:rsid w:val="00FD13ED"/>
    <w:rsid w:val="00FD22C8"/>
    <w:rsid w:val="00FD2D4E"/>
    <w:rsid w:val="00FD33A3"/>
    <w:rsid w:val="00FD343B"/>
    <w:rsid w:val="00FD4599"/>
    <w:rsid w:val="00FD4F9D"/>
    <w:rsid w:val="00FD5F85"/>
    <w:rsid w:val="00FD7094"/>
    <w:rsid w:val="00FD7133"/>
    <w:rsid w:val="00FD72FC"/>
    <w:rsid w:val="00FE02AE"/>
    <w:rsid w:val="00FE0C5B"/>
    <w:rsid w:val="00FE1BE0"/>
    <w:rsid w:val="00FE29C7"/>
    <w:rsid w:val="00FE2A70"/>
    <w:rsid w:val="00FE3306"/>
    <w:rsid w:val="00FE379B"/>
    <w:rsid w:val="00FE37DD"/>
    <w:rsid w:val="00FE38F9"/>
    <w:rsid w:val="00FE47DE"/>
    <w:rsid w:val="00FE48C0"/>
    <w:rsid w:val="00FE53A9"/>
    <w:rsid w:val="00FE63F9"/>
    <w:rsid w:val="00FE6A0C"/>
    <w:rsid w:val="00FE70A3"/>
    <w:rsid w:val="00FE7335"/>
    <w:rsid w:val="00FE7E6B"/>
    <w:rsid w:val="00FF0B85"/>
    <w:rsid w:val="00FF0EBD"/>
    <w:rsid w:val="00FF1761"/>
    <w:rsid w:val="00FF43EE"/>
    <w:rsid w:val="00FF444B"/>
    <w:rsid w:val="00FF4840"/>
    <w:rsid w:val="00FF5A00"/>
    <w:rsid w:val="00FF5B10"/>
    <w:rsid w:val="00FF5D77"/>
    <w:rsid w:val="00FF6901"/>
    <w:rsid w:val="00FF7235"/>
    <w:rsid w:val="00FF7914"/>
    <w:rsid w:val="00FF7B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11AE6"/>
  <w15:chartTrackingRefBased/>
  <w15:docId w15:val="{3B46619A-D8D2-4F93-ADDF-CA17D811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FD7094"/>
    <w:pPr>
      <w:keepNext/>
      <w:numPr>
        <w:numId w:val="12"/>
      </w:numPr>
      <w:spacing w:before="240" w:after="80"/>
      <w:jc w:val="left"/>
      <w:outlineLvl w:val="0"/>
    </w:pPr>
    <w:rPr>
      <w:rFonts w:asciiTheme="minorHAnsi" w:hAnsiTheme="minorHAnsi" w:cs="Calibri Light"/>
      <w:color w:val="083A42"/>
      <w:sz w:val="48"/>
      <w:szCs w:val="26"/>
    </w:rPr>
  </w:style>
  <w:style w:type="paragraph" w:styleId="Heading2">
    <w:name w:val="heading 2"/>
    <w:basedOn w:val="Normal"/>
    <w:next w:val="Normal"/>
    <w:link w:val="Heading2Char"/>
    <w:uiPriority w:val="9"/>
    <w:unhideWhenUsed/>
    <w:qFormat/>
    <w:rsid w:val="00242764"/>
    <w:pPr>
      <w:keepNext/>
      <w:keepLines/>
      <w:numPr>
        <w:ilvl w:val="1"/>
        <w:numId w:val="12"/>
      </w:numPr>
      <w:spacing w:before="40" w:after="40"/>
      <w:ind w:left="567"/>
      <w:outlineLvl w:val="1"/>
    </w:pPr>
    <w:rPr>
      <w:rFonts w:ascii="Calibri" w:eastAsiaTheme="majorEastAsia" w:hAnsi="Calibri" w:cstheme="majorBidi"/>
      <w:color w:val="BB4E06"/>
      <w:sz w:val="32"/>
      <w:szCs w:val="24"/>
      <w:lang w:val="en-GB"/>
    </w:rPr>
  </w:style>
  <w:style w:type="paragraph" w:styleId="Heading3">
    <w:name w:val="heading 3"/>
    <w:basedOn w:val="Normal"/>
    <w:next w:val="Normal"/>
    <w:link w:val="Heading3Char"/>
    <w:uiPriority w:val="9"/>
    <w:unhideWhenUsed/>
    <w:qFormat/>
    <w:rsid w:val="0061270C"/>
    <w:pPr>
      <w:keepNext/>
      <w:spacing w:before="40" w:after="40"/>
      <w:outlineLvl w:val="2"/>
    </w:pPr>
    <w:rPr>
      <w:rFonts w:ascii="Calibri" w:hAnsi="Calibri"/>
      <w:iCs/>
      <w:color w:val="083A42"/>
      <w:sz w:val="28"/>
    </w:rPr>
  </w:style>
  <w:style w:type="paragraph" w:styleId="Heading4">
    <w:name w:val="heading 4"/>
    <w:basedOn w:val="Normal"/>
    <w:next w:val="Normal"/>
    <w:link w:val="Heading4Char"/>
    <w:uiPriority w:val="9"/>
    <w:unhideWhenUsed/>
    <w:qFormat/>
    <w:rsid w:val="00E00DB1"/>
    <w:pPr>
      <w:keepNext/>
      <w:keepLines/>
      <w:spacing w:before="40" w:after="140"/>
      <w:outlineLvl w:val="3"/>
    </w:pPr>
    <w:rPr>
      <w:rFonts w:ascii="Calibri" w:hAnsi="Calibri"/>
      <w:color w:val="BB4E06"/>
      <w:sz w:val="26"/>
    </w:rPr>
  </w:style>
  <w:style w:type="paragraph" w:styleId="Heading5">
    <w:name w:val="heading 5"/>
    <w:basedOn w:val="Normal"/>
    <w:next w:val="Normal"/>
    <w:link w:val="Heading5Char"/>
    <w:uiPriority w:val="9"/>
    <w:unhideWhenUsed/>
    <w:qFormat/>
    <w:rsid w:val="004D45FC"/>
    <w:pPr>
      <w:keepNext/>
      <w:keepLines/>
      <w:outlineLvl w:val="4"/>
    </w:pPr>
    <w:rPr>
      <w:rFonts w:eastAsiaTheme="majorEastAsia" w:cstheme="majorBidi"/>
      <w:b/>
      <w:i/>
      <w:color w:val="5B9BD5" w:themeColor="accent5"/>
    </w:rPr>
  </w:style>
  <w:style w:type="paragraph" w:styleId="Heading6">
    <w:name w:val="heading 6"/>
    <w:basedOn w:val="Normal"/>
    <w:next w:val="Normal"/>
    <w:link w:val="Heading6Char"/>
    <w:uiPriority w:val="9"/>
    <w:semiHidden/>
    <w:unhideWhenUsed/>
    <w:qFormat/>
    <w:rsid w:val="00AD7F80"/>
    <w:pPr>
      <w:keepNext/>
      <w:keepLines/>
      <w:numPr>
        <w:ilvl w:val="5"/>
        <w:numId w:val="1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D7F80"/>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D7F80"/>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7F80"/>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Para,CV text,Dot pt,F5 List Paragraph,FooterText,L,List Paragraph1,List Paragraph11,List Paragraph111,List Paragraph2,Medium Grid 1 - Accent 21,NFP GP Bulleted List,Numbered Paragraph,Rec para,Recommendation,numbered,列出段落,列出段落1"/>
    <w:basedOn w:val="Normal"/>
    <w:link w:val="ListParagraphChar"/>
    <w:uiPriority w:val="34"/>
    <w:qFormat/>
    <w:rsid w:val="00C14B31"/>
    <w:pPr>
      <w:ind w:left="720"/>
      <w:contextualSpacing/>
    </w:pPr>
  </w:style>
  <w:style w:type="paragraph" w:styleId="Caption">
    <w:name w:val="caption"/>
    <w:basedOn w:val="Normal"/>
    <w:next w:val="Normal"/>
    <w:uiPriority w:val="35"/>
    <w:unhideWhenUsed/>
    <w:qFormat/>
    <w:rsid w:val="00A13D58"/>
    <w:pPr>
      <w:keepNext/>
      <w:spacing w:after="120" w:line="240" w:lineRule="auto"/>
    </w:pPr>
    <w:rPr>
      <w:i/>
      <w:iCs/>
      <w:noProof/>
      <w:color w:val="4472C4" w:themeColor="accent1"/>
      <w:szCs w:val="28"/>
      <w:lang w:eastAsia="en-AU"/>
    </w:rPr>
  </w:style>
  <w:style w:type="character" w:customStyle="1" w:styleId="Heading2Char">
    <w:name w:val="Heading 2 Char"/>
    <w:basedOn w:val="DefaultParagraphFont"/>
    <w:link w:val="Heading2"/>
    <w:uiPriority w:val="9"/>
    <w:rsid w:val="006F0250"/>
    <w:rPr>
      <w:rFonts w:ascii="Calibri" w:eastAsiaTheme="majorEastAsia" w:hAnsi="Calibri" w:cstheme="majorBidi"/>
      <w:color w:val="BB4E06"/>
      <w:sz w:val="32"/>
      <w:szCs w:val="24"/>
      <w:lang w:val="en-GB"/>
    </w:rPr>
  </w:style>
  <w:style w:type="paragraph" w:styleId="FootnoteText">
    <w:name w:val="footnote text"/>
    <w:basedOn w:val="Normal"/>
    <w:link w:val="FootnoteTextChar"/>
    <w:uiPriority w:val="99"/>
    <w:unhideWhenUsed/>
    <w:qFormat/>
    <w:rsid w:val="00B752E8"/>
    <w:pPr>
      <w:spacing w:after="0" w:line="240" w:lineRule="auto"/>
    </w:pPr>
    <w:rPr>
      <w:sz w:val="20"/>
      <w:szCs w:val="20"/>
    </w:rPr>
  </w:style>
  <w:style w:type="character" w:customStyle="1" w:styleId="FootnoteTextChar">
    <w:name w:val="Footnote Text Char"/>
    <w:basedOn w:val="DefaultParagraphFont"/>
    <w:link w:val="FootnoteText"/>
    <w:uiPriority w:val="99"/>
    <w:rsid w:val="00B752E8"/>
    <w:rPr>
      <w:sz w:val="20"/>
      <w:szCs w:val="20"/>
    </w:rPr>
  </w:style>
  <w:style w:type="character" w:styleId="FootnoteReference">
    <w:name w:val="footnote reference"/>
    <w:basedOn w:val="DefaultParagraphFont"/>
    <w:uiPriority w:val="99"/>
    <w:semiHidden/>
    <w:unhideWhenUsed/>
    <w:rsid w:val="00B752E8"/>
    <w:rPr>
      <w:vertAlign w:val="superscript"/>
    </w:rPr>
  </w:style>
  <w:style w:type="character" w:customStyle="1" w:styleId="Heading3Char">
    <w:name w:val="Heading 3 Char"/>
    <w:basedOn w:val="DefaultParagraphFont"/>
    <w:link w:val="Heading3"/>
    <w:uiPriority w:val="9"/>
    <w:rsid w:val="0061270C"/>
    <w:rPr>
      <w:rFonts w:ascii="Calibri" w:hAnsi="Calibri"/>
      <w:iCs/>
      <w:color w:val="083A42"/>
      <w:sz w:val="28"/>
    </w:rPr>
  </w:style>
  <w:style w:type="character" w:customStyle="1" w:styleId="Heading4Char">
    <w:name w:val="Heading 4 Char"/>
    <w:basedOn w:val="DefaultParagraphFont"/>
    <w:link w:val="Heading4"/>
    <w:uiPriority w:val="9"/>
    <w:rsid w:val="00E00DB1"/>
    <w:rPr>
      <w:rFonts w:ascii="Calibri" w:hAnsi="Calibri"/>
      <w:color w:val="BB4E06"/>
      <w:sz w:val="26"/>
    </w:rPr>
  </w:style>
  <w:style w:type="character" w:customStyle="1" w:styleId="Heading1Char">
    <w:name w:val="Heading 1 Char"/>
    <w:basedOn w:val="DefaultParagraphFont"/>
    <w:link w:val="Heading1"/>
    <w:uiPriority w:val="9"/>
    <w:rsid w:val="00FD7094"/>
    <w:rPr>
      <w:rFonts w:eastAsia="Times New Roman" w:cs="Calibri Light"/>
      <w:color w:val="083A42"/>
      <w:spacing w:val="-10"/>
      <w:kern w:val="28"/>
      <w:sz w:val="48"/>
      <w:szCs w:val="26"/>
    </w:rPr>
  </w:style>
  <w:style w:type="character" w:styleId="PlaceholderText">
    <w:name w:val="Placeholder Text"/>
    <w:basedOn w:val="DefaultParagraphFont"/>
    <w:uiPriority w:val="99"/>
    <w:semiHidden/>
    <w:rsid w:val="001B7296"/>
    <w:rPr>
      <w:color w:val="808080"/>
    </w:rPr>
  </w:style>
  <w:style w:type="paragraph" w:styleId="BalloonText">
    <w:name w:val="Balloon Text"/>
    <w:basedOn w:val="Normal"/>
    <w:link w:val="BalloonTextChar"/>
    <w:uiPriority w:val="99"/>
    <w:semiHidden/>
    <w:unhideWhenUsed/>
    <w:rsid w:val="00414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85E"/>
    <w:rPr>
      <w:rFonts w:ascii="Segoe UI" w:hAnsi="Segoe UI" w:cs="Segoe UI"/>
      <w:sz w:val="18"/>
      <w:szCs w:val="18"/>
    </w:rPr>
  </w:style>
  <w:style w:type="paragraph" w:styleId="PlainText">
    <w:name w:val="Plain Text"/>
    <w:basedOn w:val="Normal"/>
    <w:link w:val="PlainTextChar"/>
    <w:uiPriority w:val="99"/>
    <w:semiHidden/>
    <w:unhideWhenUsed/>
    <w:rsid w:val="00380C3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80C36"/>
    <w:rPr>
      <w:rFonts w:ascii="Calibri" w:hAnsi="Calibri"/>
      <w:szCs w:val="21"/>
    </w:rPr>
  </w:style>
  <w:style w:type="paragraph" w:styleId="Header">
    <w:name w:val="header"/>
    <w:basedOn w:val="Normal"/>
    <w:link w:val="HeaderChar"/>
    <w:uiPriority w:val="99"/>
    <w:unhideWhenUsed/>
    <w:rsid w:val="00207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1FB"/>
  </w:style>
  <w:style w:type="paragraph" w:styleId="Footer">
    <w:name w:val="footer"/>
    <w:basedOn w:val="Normal"/>
    <w:link w:val="FooterChar"/>
    <w:uiPriority w:val="99"/>
    <w:unhideWhenUsed/>
    <w:rsid w:val="00207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1FB"/>
  </w:style>
  <w:style w:type="character" w:customStyle="1" w:styleId="Heading5Char">
    <w:name w:val="Heading 5 Char"/>
    <w:basedOn w:val="DefaultParagraphFont"/>
    <w:link w:val="Heading5"/>
    <w:uiPriority w:val="9"/>
    <w:rsid w:val="009D2AAA"/>
    <w:rPr>
      <w:rFonts w:eastAsiaTheme="majorEastAsia" w:cstheme="majorBidi"/>
      <w:b/>
      <w:i/>
      <w:color w:val="5B9BD5" w:themeColor="accent5"/>
    </w:rPr>
  </w:style>
  <w:style w:type="table" w:styleId="TableGrid">
    <w:name w:val="Table Grid"/>
    <w:basedOn w:val="TableNormal"/>
    <w:uiPriority w:val="39"/>
    <w:rsid w:val="00AA1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52F6"/>
    <w:rPr>
      <w:sz w:val="16"/>
      <w:szCs w:val="16"/>
    </w:rPr>
  </w:style>
  <w:style w:type="paragraph" w:styleId="CommentText">
    <w:name w:val="annotation text"/>
    <w:basedOn w:val="Normal"/>
    <w:link w:val="CommentTextChar"/>
    <w:uiPriority w:val="99"/>
    <w:unhideWhenUsed/>
    <w:rsid w:val="00F252F6"/>
    <w:pPr>
      <w:spacing w:line="240" w:lineRule="auto"/>
    </w:pPr>
    <w:rPr>
      <w:sz w:val="20"/>
      <w:szCs w:val="20"/>
    </w:rPr>
  </w:style>
  <w:style w:type="character" w:customStyle="1" w:styleId="CommentTextChar">
    <w:name w:val="Comment Text Char"/>
    <w:basedOn w:val="DefaultParagraphFont"/>
    <w:link w:val="CommentText"/>
    <w:uiPriority w:val="99"/>
    <w:rsid w:val="00F252F6"/>
    <w:rPr>
      <w:sz w:val="20"/>
      <w:szCs w:val="20"/>
    </w:rPr>
  </w:style>
  <w:style w:type="paragraph" w:styleId="CommentSubject">
    <w:name w:val="annotation subject"/>
    <w:basedOn w:val="CommentText"/>
    <w:next w:val="CommentText"/>
    <w:link w:val="CommentSubjectChar"/>
    <w:uiPriority w:val="99"/>
    <w:semiHidden/>
    <w:unhideWhenUsed/>
    <w:rsid w:val="00F252F6"/>
    <w:rPr>
      <w:b/>
      <w:bCs/>
    </w:rPr>
  </w:style>
  <w:style w:type="character" w:customStyle="1" w:styleId="CommentSubjectChar">
    <w:name w:val="Comment Subject Char"/>
    <w:basedOn w:val="CommentTextChar"/>
    <w:link w:val="CommentSubject"/>
    <w:uiPriority w:val="99"/>
    <w:semiHidden/>
    <w:rsid w:val="00F252F6"/>
    <w:rPr>
      <w:b/>
      <w:bCs/>
      <w:sz w:val="20"/>
      <w:szCs w:val="20"/>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locked/>
    <w:rsid w:val="00DE6EF2"/>
  </w:style>
  <w:style w:type="paragraph" w:styleId="Revision">
    <w:name w:val="Revision"/>
    <w:hidden/>
    <w:uiPriority w:val="99"/>
    <w:semiHidden/>
    <w:rsid w:val="00003898"/>
    <w:pPr>
      <w:spacing w:after="0" w:line="240" w:lineRule="auto"/>
    </w:pPr>
  </w:style>
  <w:style w:type="paragraph" w:styleId="TOCHeading">
    <w:name w:val="TOC Heading"/>
    <w:basedOn w:val="Heading1"/>
    <w:next w:val="Normal"/>
    <w:uiPriority w:val="39"/>
    <w:unhideWhenUsed/>
    <w:qFormat/>
    <w:rsid w:val="00382B42"/>
    <w:pPr>
      <w:numPr>
        <w:numId w:val="11"/>
      </w:numPr>
    </w:pPr>
    <w:rPr>
      <w:sz w:val="32"/>
      <w:szCs w:val="32"/>
    </w:rPr>
  </w:style>
  <w:style w:type="paragraph" w:styleId="TOC2">
    <w:name w:val="toc 2"/>
    <w:basedOn w:val="Normal"/>
    <w:next w:val="Normal"/>
    <w:autoRedefine/>
    <w:uiPriority w:val="39"/>
    <w:unhideWhenUsed/>
    <w:rsid w:val="00913F76"/>
    <w:pPr>
      <w:spacing w:after="100"/>
      <w:ind w:left="220"/>
    </w:pPr>
  </w:style>
  <w:style w:type="paragraph" w:styleId="TOC3">
    <w:name w:val="toc 3"/>
    <w:basedOn w:val="Normal"/>
    <w:next w:val="Normal"/>
    <w:autoRedefine/>
    <w:uiPriority w:val="39"/>
    <w:unhideWhenUsed/>
    <w:rsid w:val="00913F76"/>
    <w:pPr>
      <w:spacing w:after="100"/>
      <w:ind w:left="440"/>
    </w:pPr>
  </w:style>
  <w:style w:type="character" w:styleId="Hyperlink">
    <w:name w:val="Hyperlink"/>
    <w:aliases w:val="Hyperlink Cab"/>
    <w:basedOn w:val="DefaultParagraphFont"/>
    <w:uiPriority w:val="99"/>
    <w:unhideWhenUsed/>
    <w:qFormat/>
    <w:rsid w:val="00913F76"/>
    <w:rPr>
      <w:color w:val="0563C1" w:themeColor="hyperlink"/>
      <w:u w:val="single"/>
    </w:rPr>
  </w:style>
  <w:style w:type="paragraph" w:styleId="NoSpacing">
    <w:name w:val="No Spacing"/>
    <w:uiPriority w:val="1"/>
    <w:qFormat/>
    <w:rsid w:val="00665DAB"/>
    <w:pPr>
      <w:spacing w:after="0" w:line="240" w:lineRule="auto"/>
    </w:pPr>
  </w:style>
  <w:style w:type="paragraph" w:customStyle="1" w:styleId="Default">
    <w:name w:val="Default"/>
    <w:rsid w:val="00665D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utcomesbox">
    <w:name w:val="Outcomes box"/>
    <w:basedOn w:val="Normal"/>
    <w:qFormat/>
    <w:rsid w:val="00665DAB"/>
    <w:pPr>
      <w:pBdr>
        <w:top w:val="single" w:sz="4" w:space="6" w:color="806000" w:themeColor="accent4" w:themeShade="80"/>
        <w:left w:val="single" w:sz="4" w:space="4" w:color="806000" w:themeColor="accent4" w:themeShade="80"/>
        <w:bottom w:val="single" w:sz="4" w:space="6" w:color="806000" w:themeColor="accent4" w:themeShade="80"/>
        <w:right w:val="single" w:sz="4" w:space="4" w:color="806000" w:themeColor="accent4" w:themeShade="80"/>
      </w:pBdr>
      <w:shd w:val="clear" w:color="auto" w:fill="FFF2CC" w:themeFill="accent4" w:themeFillTint="33"/>
      <w:ind w:left="136" w:right="249"/>
    </w:pPr>
  </w:style>
  <w:style w:type="character" w:customStyle="1" w:styleId="Heading6Char">
    <w:name w:val="Heading 6 Char"/>
    <w:basedOn w:val="DefaultParagraphFont"/>
    <w:link w:val="Heading6"/>
    <w:uiPriority w:val="9"/>
    <w:semiHidden/>
    <w:rsid w:val="00AD7F8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D7F8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D7F8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7F80"/>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B81B1A"/>
    <w:pPr>
      <w:tabs>
        <w:tab w:val="right" w:leader="dot" w:pos="9016"/>
      </w:tabs>
      <w:spacing w:after="100"/>
    </w:pPr>
  </w:style>
  <w:style w:type="paragraph" w:styleId="NormalWeb">
    <w:name w:val="Normal (Web)"/>
    <w:basedOn w:val="Normal"/>
    <w:uiPriority w:val="99"/>
    <w:semiHidden/>
    <w:unhideWhenUsed/>
    <w:rsid w:val="00103AE5"/>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Title">
    <w:name w:val="Title"/>
    <w:basedOn w:val="Normal"/>
    <w:next w:val="Normal"/>
    <w:link w:val="TitleChar"/>
    <w:uiPriority w:val="10"/>
    <w:qFormat/>
    <w:rsid w:val="00291C2F"/>
    <w:pPr>
      <w:jc w:val="center"/>
    </w:pPr>
    <w:rPr>
      <w:rFonts w:ascii="Calibri" w:eastAsia="Times New Roman" w:hAnsi="Calibri" w:cs="Times New Roman"/>
      <w:color w:val="005677"/>
      <w:spacing w:val="-10"/>
      <w:kern w:val="28"/>
      <w:sz w:val="72"/>
      <w:szCs w:val="72"/>
    </w:rPr>
  </w:style>
  <w:style w:type="character" w:customStyle="1" w:styleId="TitleChar">
    <w:name w:val="Title Char"/>
    <w:basedOn w:val="DefaultParagraphFont"/>
    <w:link w:val="Title"/>
    <w:uiPriority w:val="10"/>
    <w:rsid w:val="00291C2F"/>
    <w:rPr>
      <w:rFonts w:ascii="Calibri" w:eastAsia="Times New Roman" w:hAnsi="Calibri" w:cs="Times New Roman"/>
      <w:color w:val="005677"/>
      <w:spacing w:val="-10"/>
      <w:kern w:val="28"/>
      <w:sz w:val="72"/>
      <w:szCs w:val="72"/>
    </w:rPr>
  </w:style>
  <w:style w:type="paragraph" w:styleId="Subtitle">
    <w:name w:val="Subtitle"/>
    <w:basedOn w:val="Normal"/>
    <w:next w:val="Normal"/>
    <w:link w:val="SubtitleChar"/>
    <w:uiPriority w:val="11"/>
    <w:qFormat/>
    <w:rsid w:val="000726E5"/>
    <w:pPr>
      <w:numPr>
        <w:ilvl w:val="1"/>
      </w:numPr>
    </w:pPr>
    <w:rPr>
      <w:rFonts w:eastAsiaTheme="minorEastAsia"/>
      <w:color w:val="E7E6E6" w:themeColor="background2"/>
      <w:sz w:val="40"/>
    </w:rPr>
  </w:style>
  <w:style w:type="character" w:customStyle="1" w:styleId="SubtitleChar">
    <w:name w:val="Subtitle Char"/>
    <w:basedOn w:val="DefaultParagraphFont"/>
    <w:link w:val="Subtitle"/>
    <w:uiPriority w:val="11"/>
    <w:rsid w:val="000726E5"/>
    <w:rPr>
      <w:rFonts w:eastAsiaTheme="minorEastAsia"/>
      <w:color w:val="E7E6E6" w:themeColor="background2"/>
      <w:sz w:val="40"/>
    </w:rPr>
  </w:style>
  <w:style w:type="character" w:styleId="Strong">
    <w:name w:val="Strong"/>
    <w:basedOn w:val="DefaultParagraphFont"/>
    <w:uiPriority w:val="22"/>
    <w:qFormat/>
    <w:rsid w:val="00A52D91"/>
    <w:rPr>
      <w:b/>
      <w:bCs/>
    </w:rPr>
  </w:style>
  <w:style w:type="character" w:styleId="IntenseEmphasis">
    <w:name w:val="Intense Emphasis"/>
    <w:basedOn w:val="DefaultParagraphFont"/>
    <w:uiPriority w:val="21"/>
    <w:qFormat/>
    <w:rsid w:val="0061270C"/>
    <w:rPr>
      <w:b w:val="0"/>
      <w:i/>
      <w:color w:val="192F49"/>
    </w:rPr>
  </w:style>
  <w:style w:type="character" w:styleId="FollowedHyperlink">
    <w:name w:val="FollowedHyperlink"/>
    <w:basedOn w:val="DefaultParagraphFont"/>
    <w:uiPriority w:val="99"/>
    <w:semiHidden/>
    <w:unhideWhenUsed/>
    <w:rsid w:val="00D47DB7"/>
    <w:rPr>
      <w:color w:val="954F72" w:themeColor="followedHyperlink"/>
      <w:u w:val="single"/>
    </w:rPr>
  </w:style>
  <w:style w:type="paragraph" w:customStyle="1" w:styleId="Calloutbox">
    <w:name w:val="Call out box"/>
    <w:basedOn w:val="Normal"/>
    <w:uiPriority w:val="99"/>
    <w:qFormat/>
    <w:rsid w:val="00FF5D77"/>
    <w:pPr>
      <w:pBdr>
        <w:top w:val="single" w:sz="4" w:space="6" w:color="B8DCD7"/>
        <w:left w:val="single" w:sz="4" w:space="4" w:color="B8DCD7"/>
        <w:bottom w:val="single" w:sz="4" w:space="6" w:color="B8DCD7"/>
        <w:right w:val="single" w:sz="4" w:space="4" w:color="B8DCD7"/>
      </w:pBdr>
      <w:shd w:val="clear" w:color="auto" w:fill="E2EFD9" w:themeFill="accent6" w:themeFillTint="33"/>
    </w:pPr>
  </w:style>
  <w:style w:type="paragraph" w:styleId="Quote">
    <w:name w:val="Quote"/>
    <w:basedOn w:val="Normal"/>
    <w:next w:val="Normal"/>
    <w:link w:val="QuoteChar"/>
    <w:uiPriority w:val="29"/>
    <w:qFormat/>
    <w:rsid w:val="003402B4"/>
    <w:pPr>
      <w:keepNext/>
      <w:keepLines/>
      <w:spacing w:before="200"/>
      <w:ind w:left="567" w:right="522"/>
    </w:pPr>
    <w:rPr>
      <w:i/>
      <w:iCs/>
      <w:color w:val="404040" w:themeColor="text1" w:themeTint="BF"/>
    </w:rPr>
  </w:style>
  <w:style w:type="character" w:customStyle="1" w:styleId="QuoteChar">
    <w:name w:val="Quote Char"/>
    <w:basedOn w:val="DefaultParagraphFont"/>
    <w:link w:val="Quote"/>
    <w:uiPriority w:val="29"/>
    <w:rsid w:val="003402B4"/>
    <w:rPr>
      <w:i/>
      <w:iCs/>
      <w:color w:val="404040" w:themeColor="text1" w:themeTint="BF"/>
    </w:rPr>
  </w:style>
  <w:style w:type="paragraph" w:styleId="IntenseQuote">
    <w:name w:val="Intense Quote"/>
    <w:basedOn w:val="Normal"/>
    <w:next w:val="Normal"/>
    <w:link w:val="IntenseQuoteChar"/>
    <w:uiPriority w:val="30"/>
    <w:qFormat/>
    <w:rsid w:val="00FD0CC0"/>
    <w:pPr>
      <w:keepLines/>
      <w:ind w:right="662"/>
      <w:jc w:val="right"/>
    </w:pPr>
  </w:style>
  <w:style w:type="character" w:customStyle="1" w:styleId="IntenseQuoteChar">
    <w:name w:val="Intense Quote Char"/>
    <w:basedOn w:val="DefaultParagraphFont"/>
    <w:link w:val="IntenseQuote"/>
    <w:uiPriority w:val="30"/>
    <w:rsid w:val="00FD0CC0"/>
  </w:style>
  <w:style w:type="paragraph" w:styleId="EndnoteText">
    <w:name w:val="endnote text"/>
    <w:basedOn w:val="Normal"/>
    <w:link w:val="EndnoteTextChar"/>
    <w:uiPriority w:val="99"/>
    <w:semiHidden/>
    <w:unhideWhenUsed/>
    <w:rsid w:val="00FA67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675E"/>
    <w:rPr>
      <w:sz w:val="20"/>
      <w:szCs w:val="20"/>
    </w:rPr>
  </w:style>
  <w:style w:type="character" w:styleId="EndnoteReference">
    <w:name w:val="endnote reference"/>
    <w:basedOn w:val="DefaultParagraphFont"/>
    <w:uiPriority w:val="99"/>
    <w:semiHidden/>
    <w:unhideWhenUsed/>
    <w:rsid w:val="00FA675E"/>
    <w:rPr>
      <w:vertAlign w:val="superscript"/>
    </w:rPr>
  </w:style>
  <w:style w:type="table" w:styleId="GridTable4-Accent5">
    <w:name w:val="Grid Table 4 Accent 5"/>
    <w:basedOn w:val="TableNormal"/>
    <w:uiPriority w:val="49"/>
    <w:rsid w:val="0003703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1">
    <w:name w:val="Grid Table 5 Dark Accent 1"/>
    <w:basedOn w:val="TableNormal"/>
    <w:uiPriority w:val="50"/>
    <w:rsid w:val="00037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stNumber">
    <w:name w:val="List Number"/>
    <w:basedOn w:val="Normal"/>
    <w:uiPriority w:val="99"/>
    <w:semiHidden/>
    <w:unhideWhenUsed/>
    <w:rsid w:val="00037EE6"/>
    <w:pPr>
      <w:tabs>
        <w:tab w:val="num" w:pos="360"/>
      </w:tabs>
      <w:ind w:left="360" w:hanging="360"/>
      <w:contextualSpacing/>
    </w:pPr>
  </w:style>
  <w:style w:type="character" w:customStyle="1" w:styleId="BulletChar">
    <w:name w:val="Bullet Char"/>
    <w:basedOn w:val="DefaultParagraphFont"/>
    <w:link w:val="Bullet"/>
    <w:locked/>
    <w:rsid w:val="004D5BAB"/>
    <w:rPr>
      <w:rFonts w:ascii="Calibri Light" w:hAnsi="Calibri Light" w:cs="Calibri Light"/>
    </w:rPr>
  </w:style>
  <w:style w:type="paragraph" w:customStyle="1" w:styleId="Bullet">
    <w:name w:val="Bullet"/>
    <w:basedOn w:val="Normal"/>
    <w:link w:val="BulletChar"/>
    <w:rsid w:val="004D5BAB"/>
    <w:pPr>
      <w:numPr>
        <w:numId w:val="34"/>
      </w:numPr>
      <w:spacing w:after="120" w:line="276" w:lineRule="auto"/>
    </w:pPr>
    <w:rPr>
      <w:rFonts w:ascii="Calibri Light" w:hAnsi="Calibri Light" w:cs="Calibri Light"/>
    </w:rPr>
  </w:style>
  <w:style w:type="paragraph" w:customStyle="1" w:styleId="Dash">
    <w:name w:val="Dash"/>
    <w:basedOn w:val="Normal"/>
    <w:rsid w:val="004D5BAB"/>
    <w:pPr>
      <w:numPr>
        <w:ilvl w:val="1"/>
        <w:numId w:val="34"/>
      </w:numPr>
      <w:spacing w:after="120" w:line="240" w:lineRule="auto"/>
    </w:pPr>
    <w:rPr>
      <w:rFonts w:ascii="Calibri Light" w:hAnsi="Calibri Light" w:cs="Calibri Light"/>
      <w:lang w:eastAsia="en-AU"/>
    </w:rPr>
  </w:style>
  <w:style w:type="paragraph" w:customStyle="1" w:styleId="DoubleDot">
    <w:name w:val="Double Dot"/>
    <w:basedOn w:val="Normal"/>
    <w:rsid w:val="004D5BAB"/>
    <w:pPr>
      <w:numPr>
        <w:ilvl w:val="2"/>
        <w:numId w:val="34"/>
      </w:numPr>
      <w:spacing w:after="120" w:line="240" w:lineRule="auto"/>
    </w:pPr>
    <w:rPr>
      <w:rFonts w:ascii="Calibri Light" w:hAnsi="Calibri Light" w:cs="Calibri Light"/>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929">
      <w:bodyDiv w:val="1"/>
      <w:marLeft w:val="0"/>
      <w:marRight w:val="0"/>
      <w:marTop w:val="0"/>
      <w:marBottom w:val="0"/>
      <w:divBdr>
        <w:top w:val="none" w:sz="0" w:space="0" w:color="auto"/>
        <w:left w:val="none" w:sz="0" w:space="0" w:color="auto"/>
        <w:bottom w:val="none" w:sz="0" w:space="0" w:color="auto"/>
        <w:right w:val="none" w:sz="0" w:space="0" w:color="auto"/>
      </w:divBdr>
    </w:div>
    <w:div w:id="154225911">
      <w:bodyDiv w:val="1"/>
      <w:marLeft w:val="0"/>
      <w:marRight w:val="0"/>
      <w:marTop w:val="0"/>
      <w:marBottom w:val="0"/>
      <w:divBdr>
        <w:top w:val="none" w:sz="0" w:space="0" w:color="auto"/>
        <w:left w:val="none" w:sz="0" w:space="0" w:color="auto"/>
        <w:bottom w:val="none" w:sz="0" w:space="0" w:color="auto"/>
        <w:right w:val="none" w:sz="0" w:space="0" w:color="auto"/>
      </w:divBdr>
    </w:div>
    <w:div w:id="360979272">
      <w:bodyDiv w:val="1"/>
      <w:marLeft w:val="0"/>
      <w:marRight w:val="0"/>
      <w:marTop w:val="0"/>
      <w:marBottom w:val="0"/>
      <w:divBdr>
        <w:top w:val="none" w:sz="0" w:space="0" w:color="auto"/>
        <w:left w:val="none" w:sz="0" w:space="0" w:color="auto"/>
        <w:bottom w:val="none" w:sz="0" w:space="0" w:color="auto"/>
        <w:right w:val="none" w:sz="0" w:space="0" w:color="auto"/>
      </w:divBdr>
    </w:div>
    <w:div w:id="391856742">
      <w:bodyDiv w:val="1"/>
      <w:marLeft w:val="0"/>
      <w:marRight w:val="0"/>
      <w:marTop w:val="0"/>
      <w:marBottom w:val="0"/>
      <w:divBdr>
        <w:top w:val="none" w:sz="0" w:space="0" w:color="auto"/>
        <w:left w:val="none" w:sz="0" w:space="0" w:color="auto"/>
        <w:bottom w:val="none" w:sz="0" w:space="0" w:color="auto"/>
        <w:right w:val="none" w:sz="0" w:space="0" w:color="auto"/>
      </w:divBdr>
    </w:div>
    <w:div w:id="421296392">
      <w:bodyDiv w:val="1"/>
      <w:marLeft w:val="0"/>
      <w:marRight w:val="0"/>
      <w:marTop w:val="0"/>
      <w:marBottom w:val="0"/>
      <w:divBdr>
        <w:top w:val="none" w:sz="0" w:space="0" w:color="auto"/>
        <w:left w:val="none" w:sz="0" w:space="0" w:color="auto"/>
        <w:bottom w:val="none" w:sz="0" w:space="0" w:color="auto"/>
        <w:right w:val="none" w:sz="0" w:space="0" w:color="auto"/>
      </w:divBdr>
    </w:div>
    <w:div w:id="432211940">
      <w:bodyDiv w:val="1"/>
      <w:marLeft w:val="0"/>
      <w:marRight w:val="0"/>
      <w:marTop w:val="0"/>
      <w:marBottom w:val="0"/>
      <w:divBdr>
        <w:top w:val="none" w:sz="0" w:space="0" w:color="auto"/>
        <w:left w:val="none" w:sz="0" w:space="0" w:color="auto"/>
        <w:bottom w:val="none" w:sz="0" w:space="0" w:color="auto"/>
        <w:right w:val="none" w:sz="0" w:space="0" w:color="auto"/>
      </w:divBdr>
    </w:div>
    <w:div w:id="644432813">
      <w:bodyDiv w:val="1"/>
      <w:marLeft w:val="0"/>
      <w:marRight w:val="0"/>
      <w:marTop w:val="0"/>
      <w:marBottom w:val="0"/>
      <w:divBdr>
        <w:top w:val="none" w:sz="0" w:space="0" w:color="auto"/>
        <w:left w:val="none" w:sz="0" w:space="0" w:color="auto"/>
        <w:bottom w:val="none" w:sz="0" w:space="0" w:color="auto"/>
        <w:right w:val="none" w:sz="0" w:space="0" w:color="auto"/>
      </w:divBdr>
    </w:div>
    <w:div w:id="993990819">
      <w:bodyDiv w:val="1"/>
      <w:marLeft w:val="0"/>
      <w:marRight w:val="0"/>
      <w:marTop w:val="0"/>
      <w:marBottom w:val="0"/>
      <w:divBdr>
        <w:top w:val="none" w:sz="0" w:space="0" w:color="auto"/>
        <w:left w:val="none" w:sz="0" w:space="0" w:color="auto"/>
        <w:bottom w:val="none" w:sz="0" w:space="0" w:color="auto"/>
        <w:right w:val="none" w:sz="0" w:space="0" w:color="auto"/>
      </w:divBdr>
    </w:div>
    <w:div w:id="1015766908">
      <w:bodyDiv w:val="1"/>
      <w:marLeft w:val="0"/>
      <w:marRight w:val="0"/>
      <w:marTop w:val="0"/>
      <w:marBottom w:val="0"/>
      <w:divBdr>
        <w:top w:val="none" w:sz="0" w:space="0" w:color="auto"/>
        <w:left w:val="none" w:sz="0" w:space="0" w:color="auto"/>
        <w:bottom w:val="none" w:sz="0" w:space="0" w:color="auto"/>
        <w:right w:val="none" w:sz="0" w:space="0" w:color="auto"/>
      </w:divBdr>
    </w:div>
    <w:div w:id="1263495468">
      <w:bodyDiv w:val="1"/>
      <w:marLeft w:val="0"/>
      <w:marRight w:val="0"/>
      <w:marTop w:val="0"/>
      <w:marBottom w:val="0"/>
      <w:divBdr>
        <w:top w:val="none" w:sz="0" w:space="0" w:color="auto"/>
        <w:left w:val="none" w:sz="0" w:space="0" w:color="auto"/>
        <w:bottom w:val="none" w:sz="0" w:space="0" w:color="auto"/>
        <w:right w:val="none" w:sz="0" w:space="0" w:color="auto"/>
      </w:divBdr>
    </w:div>
    <w:div w:id="1366711498">
      <w:bodyDiv w:val="1"/>
      <w:marLeft w:val="0"/>
      <w:marRight w:val="0"/>
      <w:marTop w:val="0"/>
      <w:marBottom w:val="0"/>
      <w:divBdr>
        <w:top w:val="none" w:sz="0" w:space="0" w:color="auto"/>
        <w:left w:val="none" w:sz="0" w:space="0" w:color="auto"/>
        <w:bottom w:val="none" w:sz="0" w:space="0" w:color="auto"/>
        <w:right w:val="none" w:sz="0" w:space="0" w:color="auto"/>
      </w:divBdr>
    </w:div>
    <w:div w:id="1413504140">
      <w:bodyDiv w:val="1"/>
      <w:marLeft w:val="0"/>
      <w:marRight w:val="0"/>
      <w:marTop w:val="0"/>
      <w:marBottom w:val="0"/>
      <w:divBdr>
        <w:top w:val="none" w:sz="0" w:space="0" w:color="auto"/>
        <w:left w:val="none" w:sz="0" w:space="0" w:color="auto"/>
        <w:bottom w:val="none" w:sz="0" w:space="0" w:color="auto"/>
        <w:right w:val="none" w:sz="0" w:space="0" w:color="auto"/>
      </w:divBdr>
    </w:div>
    <w:div w:id="1417098024">
      <w:bodyDiv w:val="1"/>
      <w:marLeft w:val="0"/>
      <w:marRight w:val="0"/>
      <w:marTop w:val="0"/>
      <w:marBottom w:val="0"/>
      <w:divBdr>
        <w:top w:val="none" w:sz="0" w:space="0" w:color="auto"/>
        <w:left w:val="none" w:sz="0" w:space="0" w:color="auto"/>
        <w:bottom w:val="none" w:sz="0" w:space="0" w:color="auto"/>
        <w:right w:val="none" w:sz="0" w:space="0" w:color="auto"/>
      </w:divBdr>
    </w:div>
    <w:div w:id="1419400721">
      <w:bodyDiv w:val="1"/>
      <w:marLeft w:val="0"/>
      <w:marRight w:val="0"/>
      <w:marTop w:val="0"/>
      <w:marBottom w:val="0"/>
      <w:divBdr>
        <w:top w:val="none" w:sz="0" w:space="0" w:color="auto"/>
        <w:left w:val="none" w:sz="0" w:space="0" w:color="auto"/>
        <w:bottom w:val="none" w:sz="0" w:space="0" w:color="auto"/>
        <w:right w:val="none" w:sz="0" w:space="0" w:color="auto"/>
      </w:divBdr>
    </w:div>
    <w:div w:id="1513685925">
      <w:bodyDiv w:val="1"/>
      <w:marLeft w:val="0"/>
      <w:marRight w:val="0"/>
      <w:marTop w:val="0"/>
      <w:marBottom w:val="0"/>
      <w:divBdr>
        <w:top w:val="none" w:sz="0" w:space="0" w:color="auto"/>
        <w:left w:val="none" w:sz="0" w:space="0" w:color="auto"/>
        <w:bottom w:val="none" w:sz="0" w:space="0" w:color="auto"/>
        <w:right w:val="none" w:sz="0" w:space="0" w:color="auto"/>
      </w:divBdr>
    </w:div>
    <w:div w:id="1577933972">
      <w:bodyDiv w:val="1"/>
      <w:marLeft w:val="0"/>
      <w:marRight w:val="0"/>
      <w:marTop w:val="0"/>
      <w:marBottom w:val="0"/>
      <w:divBdr>
        <w:top w:val="none" w:sz="0" w:space="0" w:color="auto"/>
        <w:left w:val="none" w:sz="0" w:space="0" w:color="auto"/>
        <w:bottom w:val="none" w:sz="0" w:space="0" w:color="auto"/>
        <w:right w:val="none" w:sz="0" w:space="0" w:color="auto"/>
      </w:divBdr>
    </w:div>
    <w:div w:id="1607350771">
      <w:bodyDiv w:val="1"/>
      <w:marLeft w:val="0"/>
      <w:marRight w:val="0"/>
      <w:marTop w:val="0"/>
      <w:marBottom w:val="0"/>
      <w:divBdr>
        <w:top w:val="none" w:sz="0" w:space="0" w:color="auto"/>
        <w:left w:val="none" w:sz="0" w:space="0" w:color="auto"/>
        <w:bottom w:val="none" w:sz="0" w:space="0" w:color="auto"/>
        <w:right w:val="none" w:sz="0" w:space="0" w:color="auto"/>
      </w:divBdr>
    </w:div>
    <w:div w:id="1760832275">
      <w:bodyDiv w:val="1"/>
      <w:marLeft w:val="0"/>
      <w:marRight w:val="0"/>
      <w:marTop w:val="0"/>
      <w:marBottom w:val="0"/>
      <w:divBdr>
        <w:top w:val="none" w:sz="0" w:space="0" w:color="auto"/>
        <w:left w:val="none" w:sz="0" w:space="0" w:color="auto"/>
        <w:bottom w:val="none" w:sz="0" w:space="0" w:color="auto"/>
        <w:right w:val="none" w:sz="0" w:space="0" w:color="auto"/>
      </w:divBdr>
    </w:div>
    <w:div w:id="2025083683">
      <w:bodyDiv w:val="1"/>
      <w:marLeft w:val="0"/>
      <w:marRight w:val="0"/>
      <w:marTop w:val="0"/>
      <w:marBottom w:val="0"/>
      <w:divBdr>
        <w:top w:val="none" w:sz="0" w:space="0" w:color="auto"/>
        <w:left w:val="none" w:sz="0" w:space="0" w:color="auto"/>
        <w:bottom w:val="none" w:sz="0" w:space="0" w:color="auto"/>
        <w:right w:val="none" w:sz="0" w:space="0" w:color="auto"/>
      </w:divBdr>
    </w:div>
    <w:div w:id="2050106866">
      <w:bodyDiv w:val="1"/>
      <w:marLeft w:val="0"/>
      <w:marRight w:val="0"/>
      <w:marTop w:val="0"/>
      <w:marBottom w:val="0"/>
      <w:divBdr>
        <w:top w:val="none" w:sz="0" w:space="0" w:color="auto"/>
        <w:left w:val="none" w:sz="0" w:space="0" w:color="auto"/>
        <w:bottom w:val="none" w:sz="0" w:space="0" w:color="auto"/>
        <w:right w:val="none" w:sz="0" w:space="0" w:color="auto"/>
      </w:divBdr>
    </w:div>
    <w:div w:id="207180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yperlink" Target="https://consult.industry.gov.au/safeguard-mechanism-reform-consultation-paper" TargetMode="Externa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29" Type="http://schemas.openxmlformats.org/officeDocument/2006/relationships/hyperlink" Target="http://www.cleanenergyregulator.gov.au/NGER/Pages/Reporting%20cycle/Assess%20your%20obligations/Facilities-and-operational-control.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legalcode"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cleanenergyregulator.gov.au/RET/Scheme-participants-and-industry/emissions-intensive-trade-exposed-activity-information-for-companies/eligible-activities" TargetMode="External"/><Relationship Id="rId1" Type="http://schemas.openxmlformats.org/officeDocument/2006/relationships/hyperlink" Target="https://www.dcceew.gov.au/climate-change/publications/safeguard-mechanism-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318A26171C4A6F9E11865593C67F6E"/>
        <w:category>
          <w:name w:val="General"/>
          <w:gallery w:val="placeholder"/>
        </w:category>
        <w:types>
          <w:type w:val="bbPlcHdr"/>
        </w:types>
        <w:behaviors>
          <w:behavior w:val="content"/>
        </w:behaviors>
        <w:guid w:val="{33F7AD2E-738B-4C20-AF7E-698B113A69B0}"/>
      </w:docPartPr>
      <w:docPartBody>
        <w:p w:rsidR="003A5A35" w:rsidRDefault="003A5A35" w:rsidP="003A5A35">
          <w:pPr>
            <w:pStyle w:val="F0318A26171C4A6F9E11865593C67F6E"/>
          </w:pPr>
          <w:r w:rsidRPr="00DB39DE">
            <w:rPr>
              <w:rStyle w:val="PlaceholderText"/>
            </w:rPr>
            <w:t>[Title]</w:t>
          </w:r>
        </w:p>
      </w:docPartBody>
    </w:docPart>
    <w:docPart>
      <w:docPartPr>
        <w:name w:val="3060169F0CD04F0C99EAC6E8A8600801"/>
        <w:category>
          <w:name w:val="General"/>
          <w:gallery w:val="placeholder"/>
        </w:category>
        <w:types>
          <w:type w:val="bbPlcHdr"/>
        </w:types>
        <w:behaviors>
          <w:behavior w:val="content"/>
        </w:behaviors>
        <w:guid w:val="{49FE0459-6473-4E53-8591-8FC05702FE49}"/>
      </w:docPartPr>
      <w:docPartBody>
        <w:p w:rsidR="00BC146E" w:rsidRDefault="003A5A35" w:rsidP="003A5A35">
          <w:pPr>
            <w:pStyle w:val="3060169F0CD04F0C99EAC6E8A8600801"/>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A35"/>
    <w:rsid w:val="000057DB"/>
    <w:rsid w:val="00040089"/>
    <w:rsid w:val="000465FD"/>
    <w:rsid w:val="00075886"/>
    <w:rsid w:val="0009508B"/>
    <w:rsid w:val="00113844"/>
    <w:rsid w:val="00132C07"/>
    <w:rsid w:val="001360C5"/>
    <w:rsid w:val="001415F8"/>
    <w:rsid w:val="00163B25"/>
    <w:rsid w:val="00173A56"/>
    <w:rsid w:val="00176606"/>
    <w:rsid w:val="001D54FC"/>
    <w:rsid w:val="00200518"/>
    <w:rsid w:val="002316F8"/>
    <w:rsid w:val="002806F1"/>
    <w:rsid w:val="00293479"/>
    <w:rsid w:val="002C6186"/>
    <w:rsid w:val="00356725"/>
    <w:rsid w:val="0036610C"/>
    <w:rsid w:val="00376BA3"/>
    <w:rsid w:val="00380E26"/>
    <w:rsid w:val="003877A0"/>
    <w:rsid w:val="003979B4"/>
    <w:rsid w:val="003A5A35"/>
    <w:rsid w:val="003B4D12"/>
    <w:rsid w:val="00400591"/>
    <w:rsid w:val="004033F6"/>
    <w:rsid w:val="004214DA"/>
    <w:rsid w:val="00433CA9"/>
    <w:rsid w:val="004556EE"/>
    <w:rsid w:val="00472864"/>
    <w:rsid w:val="00482AA8"/>
    <w:rsid w:val="00491375"/>
    <w:rsid w:val="004A5F10"/>
    <w:rsid w:val="004C15CC"/>
    <w:rsid w:val="004C4039"/>
    <w:rsid w:val="004F7E77"/>
    <w:rsid w:val="005346EF"/>
    <w:rsid w:val="0054402E"/>
    <w:rsid w:val="005B3080"/>
    <w:rsid w:val="005C3796"/>
    <w:rsid w:val="005D1314"/>
    <w:rsid w:val="00616CCA"/>
    <w:rsid w:val="00624833"/>
    <w:rsid w:val="00661C75"/>
    <w:rsid w:val="00691441"/>
    <w:rsid w:val="006E4D3E"/>
    <w:rsid w:val="00714A59"/>
    <w:rsid w:val="00731A06"/>
    <w:rsid w:val="007413F5"/>
    <w:rsid w:val="007822C0"/>
    <w:rsid w:val="0079533D"/>
    <w:rsid w:val="007A210D"/>
    <w:rsid w:val="007D1670"/>
    <w:rsid w:val="007E5186"/>
    <w:rsid w:val="007F4276"/>
    <w:rsid w:val="0080577F"/>
    <w:rsid w:val="008110EC"/>
    <w:rsid w:val="00812229"/>
    <w:rsid w:val="00834EFF"/>
    <w:rsid w:val="008559A7"/>
    <w:rsid w:val="00874D1B"/>
    <w:rsid w:val="008A1761"/>
    <w:rsid w:val="009268D9"/>
    <w:rsid w:val="00931464"/>
    <w:rsid w:val="00932633"/>
    <w:rsid w:val="00970828"/>
    <w:rsid w:val="009729D1"/>
    <w:rsid w:val="00980580"/>
    <w:rsid w:val="00997346"/>
    <w:rsid w:val="009A4B97"/>
    <w:rsid w:val="009B55D1"/>
    <w:rsid w:val="009B5640"/>
    <w:rsid w:val="009F7F74"/>
    <w:rsid w:val="00A418D0"/>
    <w:rsid w:val="00A73E86"/>
    <w:rsid w:val="00AA7699"/>
    <w:rsid w:val="00AB4F3C"/>
    <w:rsid w:val="00AC6960"/>
    <w:rsid w:val="00B25A73"/>
    <w:rsid w:val="00B2735E"/>
    <w:rsid w:val="00B30451"/>
    <w:rsid w:val="00B31A96"/>
    <w:rsid w:val="00B745E0"/>
    <w:rsid w:val="00B95EA2"/>
    <w:rsid w:val="00BC146E"/>
    <w:rsid w:val="00BE07BA"/>
    <w:rsid w:val="00BF1B71"/>
    <w:rsid w:val="00C05C22"/>
    <w:rsid w:val="00C44A3D"/>
    <w:rsid w:val="00C4541B"/>
    <w:rsid w:val="00D53A0C"/>
    <w:rsid w:val="00D635C7"/>
    <w:rsid w:val="00D67648"/>
    <w:rsid w:val="00D71BB9"/>
    <w:rsid w:val="00DD7A7E"/>
    <w:rsid w:val="00DE0566"/>
    <w:rsid w:val="00E5068B"/>
    <w:rsid w:val="00E61007"/>
    <w:rsid w:val="00E7140D"/>
    <w:rsid w:val="00E93E63"/>
    <w:rsid w:val="00EE6BC8"/>
    <w:rsid w:val="00F03FA9"/>
    <w:rsid w:val="00F049DB"/>
    <w:rsid w:val="00F21F83"/>
    <w:rsid w:val="00F32CE3"/>
    <w:rsid w:val="00F345C9"/>
    <w:rsid w:val="00F42743"/>
    <w:rsid w:val="00F4316C"/>
    <w:rsid w:val="00F608A1"/>
    <w:rsid w:val="00F71529"/>
    <w:rsid w:val="00F821EB"/>
    <w:rsid w:val="00F846F2"/>
    <w:rsid w:val="00FC5B8C"/>
    <w:rsid w:val="00FE6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8A1"/>
    <w:rPr>
      <w:color w:val="808080"/>
    </w:rPr>
  </w:style>
  <w:style w:type="paragraph" w:customStyle="1" w:styleId="F0318A26171C4A6F9E11865593C67F6E">
    <w:name w:val="F0318A26171C4A6F9E11865593C67F6E"/>
    <w:rsid w:val="003A5A35"/>
  </w:style>
  <w:style w:type="paragraph" w:customStyle="1" w:styleId="3060169F0CD04F0C99EAC6E8A8600801">
    <w:name w:val="3060169F0CD04F0C99EAC6E8A8600801"/>
    <w:rsid w:val="003A5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db9bed2e36e4a93af574aeb444da63e xmlns="a36bd50b-1532-4c22-b385-5c082c960938">
      <Terms xmlns="http://schemas.microsoft.com/office/infopath/2007/PartnerControls">
        <TermInfo xmlns="http://schemas.microsoft.com/office/infopath/2007/PartnerControls">
          <TermName xmlns="http://schemas.microsoft.com/office/infopath/2007/PartnerControls">Safeguard Mechanism</TermName>
          <TermId xmlns="http://schemas.microsoft.com/office/infopath/2007/PartnerControls">462066da-c297-4969-b9e8-878ecfcc0dda</TermId>
        </TermInfo>
      </Terms>
    </adb9bed2e36e4a93af574aeb444da63e>
    <n99e4c9942c6404eb103464a00e6097b xmlns="a36bd50b-1532-4c22-b385-5c082c960938">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4a777a70-2aa9-481e-a746-cca47d761c8e</TermId>
        </TermInfo>
      </Terms>
    </n99e4c9942c6404eb103464a00e6097b>
    <IconOverlay xmlns="http://schemas.microsoft.com/sharepoint/v4" xsi:nil="true"/>
    <pe2555c81638466f9eb614edb9ecde52 xmlns="a36bd50b-1532-4c22-b385-5c082c960938">
      <Terms xmlns="http://schemas.microsoft.com/office/infopath/2007/PartnerControls">
        <TermInfo xmlns="http://schemas.microsoft.com/office/infopath/2007/PartnerControls">
          <TermName xmlns="http://schemas.microsoft.com/office/infopath/2007/PartnerControls">Options Paper</TermName>
          <TermId xmlns="http://schemas.microsoft.com/office/infopath/2007/PartnerControls">84884dac-743f-49f7-93d0-fd7b281c475c</TermId>
        </TermInfo>
      </Terms>
    </pe2555c81638466f9eb614edb9ecde52>
    <aa25a1a23adf4c92a153145de6afe324 xmlns="a36bd50b-1532-4c22-b385-5c082c960938">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11f6fb0b-52ce-4109-8f7f-521b2a62f692</TermId>
        </TermInfo>
      </Terms>
    </aa25a1a23adf4c92a153145de6afe324>
    <g7bcb40ba23249a78edca7d43a67c1c9 xmlns="a36bd50b-1532-4c22-b385-5c082c960938">
      <Terms xmlns="http://schemas.microsoft.com/office/infopath/2007/PartnerControls">
        <TermInfo xmlns="http://schemas.microsoft.com/office/infopath/2007/PartnerControls">
          <TermName xmlns="http://schemas.microsoft.com/office/infopath/2007/PartnerControls">Policy Consultation</TermName>
          <TermId xmlns="http://schemas.microsoft.com/office/infopath/2007/PartnerControls">2c1b3c96-ddbe-43b6-afb9-5596fa993eac</TermId>
        </TermInfo>
      </Terms>
    </g7bcb40ba23249a78edca7d43a67c1c9>
    <TaxCatchAll xmlns="a36bd50b-1532-4c22-b385-5c082c960938">
      <Value>26</Value>
      <Value>158</Value>
      <Value>234</Value>
      <Value>191</Value>
      <Value>1390</Value>
    </TaxCatchAll>
    <Comment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BC986DFDE75994F940B8C539C91BA04" ma:contentTypeVersion="14" ma:contentTypeDescription="Create a new document." ma:contentTypeScope="" ma:versionID="4141dd26a2ffeb935ee6c41f54aa8c34">
  <xsd:schema xmlns:xsd="http://www.w3.org/2001/XMLSchema" xmlns:xs="http://www.w3.org/2001/XMLSchema" xmlns:p="http://schemas.microsoft.com/office/2006/metadata/properties" xmlns:ns1="http://schemas.microsoft.com/sharepoint/v3" xmlns:ns2="a36bd50b-1532-4c22-b385-5c082c960938" xmlns:ns3="8c4c6479-bb6a-4263-8159-fbb0afc5d491" xmlns:ns4="http://schemas.microsoft.com/sharepoint/v4" targetNamespace="http://schemas.microsoft.com/office/2006/metadata/properties" ma:root="true" ma:fieldsID="35a4915c153d951265893df6741f4417" ns1:_="" ns2:_="" ns3:_="" ns4:_="">
    <xsd:import namespace="http://schemas.microsoft.com/sharepoint/v3"/>
    <xsd:import namespace="a36bd50b-1532-4c22-b385-5c082c960938"/>
    <xsd:import namespace="8c4c6479-bb6a-4263-8159-fbb0afc5d49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fbe3fec-c611-4c3e-9ea6-f54bcd1bbf7a}" ma:internalName="TaxCatchAll" ma:showField="CatchAllData" ma:web="8c4c6479-bb6a-4263-8159-fbb0afc5d49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9d8bf4-53b1-4391-9742-58425172aa62"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4c6479-bb6a-4263-8159-fbb0afc5d491"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D9A40-218F-418C-8853-BB1D6362713C}">
  <ds:schemaRefs>
    <ds:schemaRef ds:uri="http://schemas.microsoft.com/sharepoint/v3"/>
    <ds:schemaRef ds:uri="8c4c6479-bb6a-4263-8159-fbb0afc5d491"/>
    <ds:schemaRef ds:uri="http://www.w3.org/XML/1998/namespace"/>
    <ds:schemaRef ds:uri="http://schemas.microsoft.com/office/2006/documentManagement/types"/>
    <ds:schemaRef ds:uri="a36bd50b-1532-4c22-b385-5c082c960938"/>
    <ds:schemaRef ds:uri="http://schemas.microsoft.com/office/infopath/2007/PartnerControls"/>
    <ds:schemaRef ds:uri="http://schemas.microsoft.com/office/2006/metadata/properties"/>
    <ds:schemaRef ds:uri="http://schemas.openxmlformats.org/package/2006/metadata/core-properties"/>
    <ds:schemaRef ds:uri="http://schemas.microsoft.com/sharepoint/v4"/>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DD88B036-E4AE-42EA-9A1C-4E94EF6521E6}">
  <ds:schemaRefs>
    <ds:schemaRef ds:uri="http://schemas.openxmlformats.org/officeDocument/2006/bibliography"/>
  </ds:schemaRefs>
</ds:datastoreItem>
</file>

<file path=customXml/itemProps3.xml><?xml version="1.0" encoding="utf-8"?>
<ds:datastoreItem xmlns:ds="http://schemas.openxmlformats.org/officeDocument/2006/customXml" ds:itemID="{D8700FA9-A1D2-4AC2-B743-14146FA16052}">
  <ds:schemaRefs>
    <ds:schemaRef ds:uri="http://schemas.microsoft.com/sharepoint/events"/>
  </ds:schemaRefs>
</ds:datastoreItem>
</file>

<file path=customXml/itemProps4.xml><?xml version="1.0" encoding="utf-8"?>
<ds:datastoreItem xmlns:ds="http://schemas.openxmlformats.org/officeDocument/2006/customXml" ds:itemID="{FB84ADE5-135D-4005-B8E6-A2C75847F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8c4c6479-bb6a-4263-8159-fbb0afc5d49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6AD5DB-FC72-4E50-BC86-5F448952B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61</Pages>
  <Words>23090</Words>
  <Characters>131616</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Safeguard Mechanism Reforms</vt:lpstr>
    </vt:vector>
  </TitlesOfParts>
  <Company/>
  <LinksUpToDate>false</LinksUpToDate>
  <CharactersWithSpaces>154398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 Mechanism Reforms</dc:title>
  <dc:subject/>
  <dc:creator>Fiona Gilbert</dc:creator>
  <cp:keywords/>
  <dc:description/>
  <cp:lastModifiedBy>Jones, Kayleigh</cp:lastModifiedBy>
  <cp:revision>17</cp:revision>
  <cp:lastPrinted>2023-01-09T21:45:00Z</cp:lastPrinted>
  <dcterms:created xsi:type="dcterms:W3CDTF">2023-01-08T09:21:00Z</dcterms:created>
  <dcterms:modified xsi:type="dcterms:W3CDTF">2023-01-09T21:45:00Z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0x0101005BC986DFDE75994F940B8C539C91BA04</vt:lpwstr>
  </property>
  <property fmtid="{D5CDD505-2E9C-101B-9397-08002B2CF9AE}" pid="3" name="DocHub_Year">
    <vt:lpwstr>1390;#2022|4a777a70-2aa9-481e-a746-cca47d761c8e</vt:lpwstr>
  </property>
  <property fmtid="{D5CDD505-2E9C-101B-9397-08002B2CF9AE}" pid="4" name="DocHub_DocumentType">
    <vt:lpwstr>191;#Options Paper|84884dac-743f-49f7-93d0-fd7b281c475c</vt:lpwstr>
  </property>
  <property fmtid="{D5CDD505-2E9C-101B-9397-08002B2CF9AE}" pid="5" name="DocHub_SecurityClassification">
    <vt:lpwstr>26;#OFFICIAL:Sensitive|11f6fb0b-52ce-4109-8f7f-521b2a62f692</vt:lpwstr>
  </property>
  <property fmtid="{D5CDD505-2E9C-101B-9397-08002B2CF9AE}" pid="6" name="DocHub_Keywords">
    <vt:lpwstr>234;#Safeguard Mechanism|462066da-c297-4969-b9e8-878ecfcc0dda</vt:lpwstr>
  </property>
  <property fmtid="{D5CDD505-2E9C-101B-9397-08002B2CF9AE}" pid="7" name="DocHub_WorkActivity">
    <vt:lpwstr>158;#Policy Consultation|2c1b3c96-ddbe-43b6-afb9-5596fa993eac</vt:lpwstr>
  </property>
  <property fmtid="{D5CDD505-2E9C-101B-9397-08002B2CF9AE}" pid="8" name="_CopySource">
    <vt:lpwstr/>
  </property>
</Properties>
</file>