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99BD" w14:textId="77777777" w:rsidR="00930C78" w:rsidRDefault="00930C78" w:rsidP="001230F6">
      <w:pPr>
        <w:rPr>
          <w:b/>
          <w:bCs/>
          <w:color w:val="5482AB"/>
          <w:sz w:val="40"/>
          <w:szCs w:val="40"/>
        </w:rPr>
      </w:pPr>
    </w:p>
    <w:p w14:paraId="7DD9D70E" w14:textId="77777777" w:rsidR="00930C78" w:rsidRDefault="00930C78" w:rsidP="001230F6">
      <w:pPr>
        <w:rPr>
          <w:b/>
          <w:bCs/>
          <w:color w:val="5482AB"/>
          <w:sz w:val="40"/>
          <w:szCs w:val="40"/>
        </w:rPr>
      </w:pPr>
    </w:p>
    <w:p w14:paraId="381EFEDC" w14:textId="77777777" w:rsidR="00930C78" w:rsidRDefault="00930C78" w:rsidP="001230F6">
      <w:pPr>
        <w:rPr>
          <w:b/>
          <w:bCs/>
          <w:color w:val="5482AB"/>
          <w:sz w:val="40"/>
          <w:szCs w:val="40"/>
        </w:rPr>
      </w:pPr>
    </w:p>
    <w:p w14:paraId="1E9C854A" w14:textId="1A2E97B9" w:rsidR="00930C78" w:rsidRDefault="00930C78" w:rsidP="00930C78">
      <w:r>
        <w:t>March 2024</w:t>
      </w:r>
    </w:p>
    <w:p w14:paraId="11CECDCF" w14:textId="00D6F3FF" w:rsidR="00930C78" w:rsidRPr="009D2F8F" w:rsidRDefault="0000657A" w:rsidP="001230F6">
      <w:pPr>
        <w:rPr>
          <w:b/>
          <w:bCs/>
          <w:i/>
          <w:iCs/>
          <w:color w:val="5482AB"/>
          <w:sz w:val="32"/>
          <w:szCs w:val="32"/>
        </w:rPr>
      </w:pPr>
      <w:r w:rsidRPr="009D2F8F">
        <w:rPr>
          <w:b/>
          <w:bCs/>
          <w:i/>
          <w:iCs/>
          <w:color w:val="5482AB"/>
          <w:sz w:val="32"/>
          <w:szCs w:val="32"/>
        </w:rPr>
        <w:t>Chemical profile</w:t>
      </w:r>
    </w:p>
    <w:p w14:paraId="5BE467E1" w14:textId="515B2ECA" w:rsidR="001230F6" w:rsidRPr="009D2F8F" w:rsidRDefault="001230F6" w:rsidP="001230F6">
      <w:pPr>
        <w:rPr>
          <w:b/>
          <w:bCs/>
          <w:sz w:val="40"/>
          <w:szCs w:val="40"/>
        </w:rPr>
      </w:pPr>
      <w:r w:rsidRPr="009D2F8F">
        <w:rPr>
          <w:b/>
          <w:bCs/>
          <w:sz w:val="40"/>
          <w:szCs w:val="40"/>
        </w:rPr>
        <w:t>1,3,5-triazine-2,4,6-triamine</w:t>
      </w:r>
      <w:r w:rsidR="003A6545" w:rsidRPr="009D2F8F">
        <w:rPr>
          <w:b/>
          <w:bCs/>
          <w:sz w:val="40"/>
          <w:szCs w:val="40"/>
        </w:rPr>
        <w:t xml:space="preserve"> (melamine)</w:t>
      </w:r>
    </w:p>
    <w:p w14:paraId="647207F7" w14:textId="77777777" w:rsidR="001230F6" w:rsidRPr="003A0148" w:rsidRDefault="001230F6" w:rsidP="001230F6">
      <w:pPr>
        <w:rPr>
          <w:b/>
          <w:bCs/>
          <w:color w:val="5482AB"/>
          <w:sz w:val="28"/>
          <w:szCs w:val="28"/>
        </w:rPr>
      </w:pPr>
      <w:r w:rsidRPr="003A0148">
        <w:rPr>
          <w:b/>
          <w:bCs/>
          <w:color w:val="5482AB"/>
          <w:sz w:val="28"/>
          <w:szCs w:val="28"/>
        </w:rPr>
        <w:t>Summary</w:t>
      </w:r>
    </w:p>
    <w:p w14:paraId="4DC23E60" w14:textId="77777777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>Melamine is used in large volumes in Australia, mainly for the production of synthetic resins.</w:t>
      </w:r>
    </w:p>
    <w:p w14:paraId="2FDFBDEC" w14:textId="4D10C0A8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 xml:space="preserve">The environmental risk of the chemical was </w:t>
      </w:r>
      <w:hyperlink r:id="rId12" w:history="1">
        <w:r>
          <w:rPr>
            <w:rStyle w:val="Hyperlink"/>
          </w:rPr>
          <w:t>evaluated</w:t>
        </w:r>
      </w:hyperlink>
      <w:r>
        <w:t xml:space="preserve"> by the Australian Industrial Chemical Introduction Scheme (AICIS).</w:t>
      </w:r>
    </w:p>
    <w:p w14:paraId="3585C06E" w14:textId="7DD8722D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 xml:space="preserve">In addition to </w:t>
      </w:r>
      <w:r w:rsidR="00E7307C">
        <w:t>its</w:t>
      </w:r>
      <w:r>
        <w:t xml:space="preserve"> use as an intermediate in the production of melamine resins, melamine is used as a flame-retardant additive, a component in adhesives and in coatings and inks.</w:t>
      </w:r>
    </w:p>
    <w:p w14:paraId="6734108E" w14:textId="77777777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>Based on these assessed use patterns, the chemical is a low risk to the environment.</w:t>
      </w:r>
    </w:p>
    <w:p w14:paraId="536BF432" w14:textId="77777777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>The chemical does not satisfy the criteria for classification for acute or chronic aquatic hazard under the Globally Harmonised System of Classification and Labelling of Chemicals (GHS).</w:t>
      </w:r>
    </w:p>
    <w:p w14:paraId="6F840F7B" w14:textId="30A88C07" w:rsidR="004B6FBD" w:rsidRDefault="004B6FBD" w:rsidP="004B6FBD">
      <w:pPr>
        <w:pStyle w:val="ListParagraph"/>
        <w:numPr>
          <w:ilvl w:val="0"/>
          <w:numId w:val="4"/>
        </w:numPr>
        <w:spacing w:line="256" w:lineRule="auto"/>
        <w:ind w:left="284" w:hanging="284"/>
      </w:pPr>
      <w:r>
        <w:t xml:space="preserve">The chemical has risk characteristics of a Schedule 2 chemical, as set out in the </w:t>
      </w:r>
      <w:hyperlink r:id="rId13" w:history="1">
        <w:r>
          <w:rPr>
            <w:rStyle w:val="Hyperlink"/>
          </w:rPr>
          <w:t>IChEMS Principles</w:t>
        </w:r>
      </w:hyperlink>
      <w:r>
        <w:t>.</w:t>
      </w:r>
    </w:p>
    <w:p w14:paraId="4DAF33E0" w14:textId="77777777" w:rsidR="001230F6" w:rsidRPr="003A0148" w:rsidRDefault="001230F6" w:rsidP="001230F6">
      <w:pPr>
        <w:rPr>
          <w:b/>
          <w:bCs/>
          <w:color w:val="5482AB"/>
          <w:sz w:val="28"/>
          <w:szCs w:val="28"/>
        </w:rPr>
      </w:pPr>
      <w:r w:rsidRPr="003A0148">
        <w:rPr>
          <w:b/>
          <w:bCs/>
          <w:color w:val="5482AB"/>
          <w:sz w:val="28"/>
          <w:szCs w:val="28"/>
        </w:rPr>
        <w:t xml:space="preserve">End Use </w:t>
      </w:r>
    </w:p>
    <w:p w14:paraId="1054B8F4" w14:textId="6A702758" w:rsidR="000F4141" w:rsidRDefault="000F4141" w:rsidP="000F4141">
      <w:r>
        <w:t xml:space="preserve">The chemical </w:t>
      </w:r>
      <w:r w:rsidR="00ED2732">
        <w:t>is known to be used in</w:t>
      </w:r>
      <w:r>
        <w:t xml:space="preserve"> Australia in adhesives and construction materials. Based on international use data</w:t>
      </w:r>
      <w:r w:rsidR="00B712A8">
        <w:t>,</w:t>
      </w:r>
      <w:r>
        <w:t xml:space="preserve"> the chemical is used in </w:t>
      </w:r>
      <w:r w:rsidR="00690370">
        <w:t xml:space="preserve">large volumes in </w:t>
      </w:r>
      <w:r>
        <w:t>the manufacture of synthetic resins. These resins have a wide range of industrial uses including</w:t>
      </w:r>
      <w:r w:rsidR="00953F19">
        <w:t xml:space="preserve"> laminates,</w:t>
      </w:r>
      <w:r w:rsidR="006A1D90">
        <w:t xml:space="preserve"> coatings,</w:t>
      </w:r>
      <w:r>
        <w:t xml:space="preserve"> food packaging and tableware. The chemical also has commercial use including as an additive flame retardant and domestic use in paints, coatings and inks.</w:t>
      </w:r>
    </w:p>
    <w:p w14:paraId="41D0A7C0" w14:textId="77777777" w:rsidR="001230F6" w:rsidRPr="003A0148" w:rsidRDefault="001230F6" w:rsidP="001230F6">
      <w:pPr>
        <w:rPr>
          <w:b/>
          <w:bCs/>
          <w:color w:val="5482AB"/>
          <w:sz w:val="28"/>
          <w:szCs w:val="28"/>
        </w:rPr>
      </w:pPr>
      <w:r w:rsidRPr="003A0148">
        <w:rPr>
          <w:b/>
          <w:bCs/>
          <w:color w:val="5482AB"/>
          <w:sz w:val="28"/>
          <w:szCs w:val="28"/>
        </w:rPr>
        <w:t>Chemical identity</w:t>
      </w:r>
    </w:p>
    <w:p w14:paraId="763CC892" w14:textId="0F5E3876" w:rsidR="001230F6" w:rsidRPr="007126B8" w:rsidRDefault="001230F6" w:rsidP="0007144A">
      <w:pPr>
        <w:pStyle w:val="ListParagraph"/>
        <w:numPr>
          <w:ilvl w:val="0"/>
          <w:numId w:val="1"/>
        </w:numPr>
        <w:ind w:left="284" w:hanging="284"/>
      </w:pPr>
      <w:r>
        <w:t>CAS Name: Melamine</w:t>
      </w:r>
    </w:p>
    <w:p w14:paraId="14E77B75" w14:textId="77777777" w:rsidR="001230F6" w:rsidRDefault="001230F6" w:rsidP="001230F6">
      <w:pPr>
        <w:pStyle w:val="ListParagraph"/>
        <w:numPr>
          <w:ilvl w:val="0"/>
          <w:numId w:val="1"/>
        </w:numPr>
        <w:ind w:left="284" w:hanging="284"/>
      </w:pPr>
      <w:r>
        <w:t>CAS registry number: 108-78-1</w:t>
      </w:r>
    </w:p>
    <w:p w14:paraId="0F77F912" w14:textId="280D75DE" w:rsidR="001230F6" w:rsidRDefault="001230F6" w:rsidP="001230F6">
      <w:pPr>
        <w:pStyle w:val="ListParagraph"/>
        <w:numPr>
          <w:ilvl w:val="0"/>
          <w:numId w:val="1"/>
        </w:numPr>
        <w:ind w:left="284" w:hanging="284"/>
      </w:pPr>
      <w:r>
        <w:t xml:space="preserve">Synonyms: </w:t>
      </w:r>
      <w:r w:rsidR="00ED5634">
        <w:rPr>
          <w:kern w:val="0"/>
          <w14:ligatures w14:val="none"/>
        </w:rPr>
        <w:t>Cyanuramide; cyanurotriamide; cyanurotriamine; 2,4,6-Triaminotriazine</w:t>
      </w:r>
      <w:r w:rsidR="0007144A">
        <w:rPr>
          <w:kern w:val="0"/>
          <w14:ligatures w14:val="none"/>
        </w:rPr>
        <w:t xml:space="preserve">; </w:t>
      </w:r>
      <w:r w:rsidR="0007144A" w:rsidRPr="007126B8">
        <w:t>1,3,5-</w:t>
      </w:r>
      <w:r w:rsidR="0007144A">
        <w:t>t</w:t>
      </w:r>
      <w:r w:rsidR="0007144A" w:rsidRPr="007126B8">
        <w:t>riazine-2,4,6-triamine</w:t>
      </w:r>
      <w:r w:rsidR="0007144A">
        <w:t>.</w:t>
      </w:r>
    </w:p>
    <w:p w14:paraId="089AD88C" w14:textId="77777777" w:rsidR="001230F6" w:rsidRDefault="001230F6" w:rsidP="001230F6">
      <w:pPr>
        <w:jc w:val="center"/>
      </w:pPr>
      <w:r w:rsidRPr="007126B8">
        <w:rPr>
          <w:noProof/>
        </w:rPr>
        <w:drawing>
          <wp:inline distT="0" distB="0" distL="0" distR="0" wp14:anchorId="7CA442AF" wp14:editId="5B8B165B">
            <wp:extent cx="1366647" cy="1343025"/>
            <wp:effectExtent l="0" t="0" r="5080" b="0"/>
            <wp:docPr id="1592376230" name="Picture 1" descr="A structure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76230" name="Picture 1" descr="A structure of a molecu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8837" cy="136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1E65" w14:textId="55621EF3" w:rsidR="001230F6" w:rsidRPr="00C028D0" w:rsidRDefault="001230F6" w:rsidP="001230F6">
      <w:pPr>
        <w:rPr>
          <w:b/>
          <w:bCs/>
        </w:rPr>
      </w:pPr>
      <w:r>
        <w:rPr>
          <w:b/>
          <w:bCs/>
        </w:rPr>
        <w:t xml:space="preserve">Figure 1 – </w:t>
      </w:r>
      <w:r w:rsidRPr="00C028D0">
        <w:rPr>
          <w:b/>
          <w:bCs/>
        </w:rPr>
        <w:t xml:space="preserve">Chemical </w:t>
      </w:r>
      <w:r w:rsidRPr="007126B8">
        <w:rPr>
          <w:b/>
          <w:bCs/>
        </w:rPr>
        <w:t xml:space="preserve">structure of </w:t>
      </w:r>
      <w:r w:rsidR="00B20BB9">
        <w:rPr>
          <w:b/>
          <w:bCs/>
        </w:rPr>
        <w:t>melamine</w:t>
      </w:r>
    </w:p>
    <w:p w14:paraId="3004D0A0" w14:textId="77777777" w:rsidR="001230F6" w:rsidRPr="003A0148" w:rsidRDefault="001230F6" w:rsidP="001230F6">
      <w:pPr>
        <w:rPr>
          <w:b/>
          <w:bCs/>
          <w:color w:val="5482AB"/>
          <w:sz w:val="28"/>
          <w:szCs w:val="28"/>
        </w:rPr>
      </w:pPr>
      <w:r w:rsidRPr="003A0148">
        <w:rPr>
          <w:b/>
          <w:bCs/>
          <w:color w:val="5482AB"/>
          <w:sz w:val="28"/>
          <w:szCs w:val="28"/>
        </w:rPr>
        <w:lastRenderedPageBreak/>
        <w:t>Provisional scheduling outcome rationale</w:t>
      </w:r>
    </w:p>
    <w:p w14:paraId="3A362FC0" w14:textId="02B50CE7" w:rsidR="00052B5B" w:rsidRDefault="00052B5B" w:rsidP="00052B5B">
      <w:pPr>
        <w:pStyle w:val="ListParagraph"/>
        <w:numPr>
          <w:ilvl w:val="0"/>
          <w:numId w:val="5"/>
        </w:numPr>
        <w:spacing w:line="256" w:lineRule="auto"/>
        <w:ind w:left="284" w:hanging="284"/>
      </w:pPr>
      <w:r>
        <w:t xml:space="preserve">Melamine was assessed against the </w:t>
      </w:r>
      <w:hyperlink r:id="rId15" w:history="1">
        <w:r>
          <w:rPr>
            <w:rStyle w:val="Hyperlink"/>
          </w:rPr>
          <w:t>IChEMS Principles</w:t>
        </w:r>
      </w:hyperlink>
      <w:r>
        <w:t xml:space="preserve">. </w:t>
      </w:r>
      <w:r w:rsidR="00810978">
        <w:t>The chemical</w:t>
      </w:r>
      <w:r>
        <w:t xml:space="preserve"> does not have risk characteristics of </w:t>
      </w:r>
      <w:r w:rsidR="007B223C">
        <w:t xml:space="preserve">a </w:t>
      </w:r>
      <w:r>
        <w:t>Schedule 3 or higher substance.</w:t>
      </w:r>
    </w:p>
    <w:p w14:paraId="4BD29B70" w14:textId="33F6C686" w:rsidR="00052B5B" w:rsidRDefault="00052B5B" w:rsidP="00052B5B">
      <w:pPr>
        <w:pStyle w:val="ListParagraph"/>
        <w:numPr>
          <w:ilvl w:val="0"/>
          <w:numId w:val="5"/>
        </w:numPr>
        <w:spacing w:line="256" w:lineRule="auto"/>
        <w:ind w:left="284" w:hanging="284"/>
      </w:pPr>
      <w:r>
        <w:t xml:space="preserve">The AICIS assessment calculated a Risk </w:t>
      </w:r>
      <w:r w:rsidR="004B29FC">
        <w:t>Q</w:t>
      </w:r>
      <w:r>
        <w:t xml:space="preserve">uotient </w:t>
      </w:r>
      <w:r w:rsidR="004B29FC">
        <w:t xml:space="preserve">(RQ) </w:t>
      </w:r>
      <w:r>
        <w:t>below 0.1, which indicates that melamine is not expected to pose a risk to the environment.</w:t>
      </w:r>
    </w:p>
    <w:p w14:paraId="69A1E47D" w14:textId="77777777" w:rsidR="00052B5B" w:rsidRDefault="00052B5B" w:rsidP="00052B5B">
      <w:pPr>
        <w:pStyle w:val="ListParagraph"/>
        <w:numPr>
          <w:ilvl w:val="0"/>
          <w:numId w:val="5"/>
        </w:numPr>
        <w:spacing w:line="256" w:lineRule="auto"/>
        <w:ind w:left="284" w:hanging="284"/>
      </w:pPr>
      <w:r>
        <w:t>The chemical does not satisfy the criteria for classification under GHS.</w:t>
      </w:r>
    </w:p>
    <w:p w14:paraId="02C77039" w14:textId="243AAF66" w:rsidR="00052B5B" w:rsidRDefault="008D44BA" w:rsidP="00052B5B">
      <w:pPr>
        <w:pStyle w:val="ListParagraph"/>
        <w:numPr>
          <w:ilvl w:val="0"/>
          <w:numId w:val="5"/>
        </w:numPr>
        <w:spacing w:line="256" w:lineRule="auto"/>
        <w:ind w:left="284" w:hanging="284"/>
      </w:pPr>
      <w:r>
        <w:t xml:space="preserve">Melamine is </w:t>
      </w:r>
      <w:r w:rsidR="00052B5B">
        <w:t>propose</w:t>
      </w:r>
      <w:r>
        <w:t>d</w:t>
      </w:r>
      <w:r w:rsidR="00052B5B">
        <w:t xml:space="preserve"> </w:t>
      </w:r>
      <w:r>
        <w:t xml:space="preserve">to be added to Schedule </w:t>
      </w:r>
      <w:r w:rsidR="00052B5B">
        <w:t xml:space="preserve">2 </w:t>
      </w:r>
      <w:r>
        <w:t>of the Register</w:t>
      </w:r>
      <w:r w:rsidR="00052B5B">
        <w:t>.</w:t>
      </w:r>
    </w:p>
    <w:sectPr w:rsidR="00052B5B" w:rsidSect="009D2F8F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FC8E" w14:textId="77777777" w:rsidR="00A10623" w:rsidRDefault="00A10623" w:rsidP="00A10623">
      <w:pPr>
        <w:spacing w:after="0" w:line="240" w:lineRule="auto"/>
      </w:pPr>
      <w:r>
        <w:separator/>
      </w:r>
    </w:p>
  </w:endnote>
  <w:endnote w:type="continuationSeparator" w:id="0">
    <w:p w14:paraId="03F3E9B8" w14:textId="77777777" w:rsidR="00A10623" w:rsidRDefault="00A10623" w:rsidP="00A10623">
      <w:pPr>
        <w:spacing w:after="0" w:line="240" w:lineRule="auto"/>
      </w:pPr>
      <w:r>
        <w:continuationSeparator/>
      </w:r>
    </w:p>
  </w:endnote>
  <w:endnote w:type="continuationNotice" w:id="1">
    <w:p w14:paraId="113CC1C1" w14:textId="77777777" w:rsidR="00233FF6" w:rsidRDefault="00233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8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0B224" w14:textId="7BAEE205" w:rsidR="00914CAF" w:rsidRDefault="0091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CDFE4" w14:textId="77777777" w:rsidR="00A10623" w:rsidRDefault="00A10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8255" w14:textId="77777777" w:rsidR="00A10623" w:rsidRDefault="00A10623" w:rsidP="00A10623">
      <w:pPr>
        <w:spacing w:after="0" w:line="240" w:lineRule="auto"/>
      </w:pPr>
      <w:r>
        <w:separator/>
      </w:r>
    </w:p>
  </w:footnote>
  <w:footnote w:type="continuationSeparator" w:id="0">
    <w:p w14:paraId="410F9632" w14:textId="77777777" w:rsidR="00A10623" w:rsidRDefault="00A10623" w:rsidP="00A10623">
      <w:pPr>
        <w:spacing w:after="0" w:line="240" w:lineRule="auto"/>
      </w:pPr>
      <w:r>
        <w:continuationSeparator/>
      </w:r>
    </w:p>
  </w:footnote>
  <w:footnote w:type="continuationNotice" w:id="1">
    <w:p w14:paraId="42733D2B" w14:textId="77777777" w:rsidR="00233FF6" w:rsidRDefault="00233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3A9" w14:textId="579416D1" w:rsidR="00A10623" w:rsidRDefault="00AE7CC7">
    <w:pPr>
      <w:pStyle w:val="Header"/>
    </w:pPr>
    <w:sdt>
      <w:sdtPr>
        <w:id w:val="-8310567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B73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0E1C" w14:textId="5738C085" w:rsidR="00930C78" w:rsidRDefault="00930C78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7216" behindDoc="1" locked="0" layoutInCell="1" allowOverlap="1" wp14:anchorId="373E88C1" wp14:editId="21483A55">
          <wp:simplePos x="0" y="0"/>
          <wp:positionH relativeFrom="column">
            <wp:posOffset>-914400</wp:posOffset>
          </wp:positionH>
          <wp:positionV relativeFrom="paragraph">
            <wp:posOffset>-429260</wp:posOffset>
          </wp:positionV>
          <wp:extent cx="7567198" cy="1892935"/>
          <wp:effectExtent l="0" t="0" r="0" b="0"/>
          <wp:wrapNone/>
          <wp:docPr id="583287497" name="Picture 583287497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E82"/>
    <w:multiLevelType w:val="hybridMultilevel"/>
    <w:tmpl w:val="777685B0"/>
    <w:lvl w:ilvl="0" w:tplc="49F804F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2A3"/>
    <w:multiLevelType w:val="hybridMultilevel"/>
    <w:tmpl w:val="8034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01175">
    <w:abstractNumId w:val="3"/>
  </w:num>
  <w:num w:numId="2" w16cid:durableId="1296639206">
    <w:abstractNumId w:val="1"/>
  </w:num>
  <w:num w:numId="3" w16cid:durableId="334769353">
    <w:abstractNumId w:val="2"/>
  </w:num>
  <w:num w:numId="4" w16cid:durableId="373624532">
    <w:abstractNumId w:val="1"/>
  </w:num>
  <w:num w:numId="5" w16cid:durableId="1586911277">
    <w:abstractNumId w:val="2"/>
  </w:num>
  <w:num w:numId="6" w16cid:durableId="133137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6"/>
    <w:rsid w:val="0000657A"/>
    <w:rsid w:val="000341CC"/>
    <w:rsid w:val="00052B5B"/>
    <w:rsid w:val="0005593E"/>
    <w:rsid w:val="0007144A"/>
    <w:rsid w:val="000F4141"/>
    <w:rsid w:val="001230F6"/>
    <w:rsid w:val="00140907"/>
    <w:rsid w:val="00190C53"/>
    <w:rsid w:val="001D37B0"/>
    <w:rsid w:val="001F6F26"/>
    <w:rsid w:val="00233FF6"/>
    <w:rsid w:val="00333737"/>
    <w:rsid w:val="003A0148"/>
    <w:rsid w:val="003A6545"/>
    <w:rsid w:val="003C2F93"/>
    <w:rsid w:val="004738D3"/>
    <w:rsid w:val="004B29FC"/>
    <w:rsid w:val="004B6FBD"/>
    <w:rsid w:val="00533D09"/>
    <w:rsid w:val="005F647A"/>
    <w:rsid w:val="006030FA"/>
    <w:rsid w:val="00662B7E"/>
    <w:rsid w:val="00690370"/>
    <w:rsid w:val="006A1D90"/>
    <w:rsid w:val="006B2E75"/>
    <w:rsid w:val="00725536"/>
    <w:rsid w:val="00733109"/>
    <w:rsid w:val="007B223C"/>
    <w:rsid w:val="00810978"/>
    <w:rsid w:val="008D44BA"/>
    <w:rsid w:val="00914CAF"/>
    <w:rsid w:val="00930C78"/>
    <w:rsid w:val="00953F19"/>
    <w:rsid w:val="009928BB"/>
    <w:rsid w:val="009B5AC2"/>
    <w:rsid w:val="009D127D"/>
    <w:rsid w:val="009D2F8F"/>
    <w:rsid w:val="00A06074"/>
    <w:rsid w:val="00A10623"/>
    <w:rsid w:val="00A44040"/>
    <w:rsid w:val="00A957FA"/>
    <w:rsid w:val="00AE7CC7"/>
    <w:rsid w:val="00B20BB9"/>
    <w:rsid w:val="00B712A8"/>
    <w:rsid w:val="00B94306"/>
    <w:rsid w:val="00C42536"/>
    <w:rsid w:val="00C5279F"/>
    <w:rsid w:val="00D843A0"/>
    <w:rsid w:val="00DD7F03"/>
    <w:rsid w:val="00DF3690"/>
    <w:rsid w:val="00E10CB1"/>
    <w:rsid w:val="00E7307C"/>
    <w:rsid w:val="00EC681D"/>
    <w:rsid w:val="00ED2732"/>
    <w:rsid w:val="00ED5634"/>
    <w:rsid w:val="00F81C20"/>
    <w:rsid w:val="00FB6704"/>
    <w:rsid w:val="00FB7AC8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A398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6FBD"/>
    <w:rPr>
      <w:color w:val="0563C1" w:themeColor="hyperlink"/>
      <w:u w:val="single"/>
    </w:rPr>
  </w:style>
  <w:style w:type="paragraph" w:customStyle="1" w:styleId="Tabletext">
    <w:name w:val="Tabletext"/>
    <w:aliases w:val="tt"/>
    <w:basedOn w:val="Normal"/>
    <w:rsid w:val="00A44040"/>
    <w:pPr>
      <w:spacing w:before="60"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Heading">
    <w:name w:val="TableHeading"/>
    <w:aliases w:val="th"/>
    <w:basedOn w:val="Normal"/>
    <w:next w:val="Tabletext"/>
    <w:rsid w:val="00A4404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30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23"/>
  </w:style>
  <w:style w:type="paragraph" w:styleId="Footer">
    <w:name w:val="footer"/>
    <w:basedOn w:val="Normal"/>
    <w:link w:val="FooterChar"/>
    <w:uiPriority w:val="99"/>
    <w:unhideWhenUsed/>
    <w:rsid w:val="00A1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623"/>
  </w:style>
  <w:style w:type="paragraph" w:styleId="Revision">
    <w:name w:val="Revision"/>
    <w:hidden/>
    <w:uiPriority w:val="99"/>
    <w:semiHidden/>
    <w:rsid w:val="009928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1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F2022L01436/latest/tex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dustrialchemicals.gov.au/sites/default/files/2022-05/EVA00021%20-%20Evaluation%20statement%20-%2030%20May%20202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F2022L01436/latest/tex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DocumentDescription xmlns="1201fbac-4e05-4e09-943f-b1daffa0ea6b">Part of the HYS package for public consultation in April 2024.</DocumentDescription>
    <Approval xmlns="1201fbac-4e05-4e09-943f-b1daffa0ea6b">For Review</Approval>
    <Function xmlns="1201fbac-4e05-4e09-943f-b1daffa0ea6b">Program Admin</Function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F7360-CE7F-42F1-B76A-1C242CB02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4B26F-76B0-4254-88C0-7CC75CA077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B9CE30-C426-4A8C-A9ED-C4C3E4EDE9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97DD1BD-C6DA-4D7F-88D0-A14DAEDEC696}">
  <ds:schemaRefs>
    <ds:schemaRef ds:uri="http://www.w3.org/XML/1998/namespace"/>
    <ds:schemaRef ds:uri="http://purl.org/dc/terms/"/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201fbac-4e05-4e09-943f-b1daffa0ea6b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1CE9D0-FCC2-4288-87C4-F34DC367E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K - Chemical Profile - Melamine in Schedule 2</dc:title>
  <dc:subject/>
  <dc:creator/>
  <cp:keywords/>
  <dc:description/>
  <cp:lastModifiedBy/>
  <cp:revision>1</cp:revision>
  <dcterms:created xsi:type="dcterms:W3CDTF">2024-04-04T05:39:00Z</dcterms:created>
  <dcterms:modified xsi:type="dcterms:W3CDTF">2024-04-04T05:39:00Z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/>
  </property>
  <property fmtid="{D5CDD505-2E9C-101B-9397-08002B2CF9AE}" pid="4" name="RecordPoint_ActiveItemListId">
    <vt:lpwstr>{e4bf394d-b520-43fd-a8fd-13d32c0a99c6}</vt:lpwstr>
  </property>
  <property fmtid="{D5CDD505-2E9C-101B-9397-08002B2CF9AE}" pid="5" name="ContentTypeId">
    <vt:lpwstr>0x01010087E80B6A94CF17418D78389AE32387B500FFCD72D51FDFB047951A2F14C34AD564</vt:lpwstr>
  </property>
  <property fmtid="{D5CDD505-2E9C-101B-9397-08002B2CF9AE}" pid="6" name="RecordPoint_ActiveItemUniqueId">
    <vt:lpwstr>{6583b939-6dab-4c3d-859f-80bc5baf7458}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WebId">
    <vt:lpwstr>{edaef781-6d59-4de0-aebc-4a921f40e4bc}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{1385f4fc-5717-4abf-b566-e69ec52ac4b2}</vt:lpwstr>
  </property>
</Properties>
</file>