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151A" w14:textId="7886A08B" w:rsidR="000E455C" w:rsidRDefault="00AD4101" w:rsidP="00BA2806">
      <w:pPr>
        <w:pStyle w:val="Date"/>
      </w:pPr>
      <w:r>
        <w:t>July 2023</w:t>
      </w:r>
    </w:p>
    <w:p w14:paraId="2ED37258" w14:textId="34848B6A" w:rsidR="00D04A3C" w:rsidRDefault="009A4D2A" w:rsidP="00D04A3C">
      <w:pPr>
        <w:pStyle w:val="Series"/>
      </w:pPr>
      <w:r>
        <w:t xml:space="preserve">Chemical </w:t>
      </w:r>
      <w:r w:rsidR="00E0589B">
        <w:t>profile</w:t>
      </w:r>
    </w:p>
    <w:p w14:paraId="00D66307" w14:textId="07611FF9" w:rsidR="00B82095" w:rsidRPr="004B213C" w:rsidRDefault="009A4D2A" w:rsidP="00220618">
      <w:pPr>
        <w:pStyle w:val="Heading1"/>
        <w:rPr>
          <w:rFonts w:asciiTheme="majorHAnsi" w:hAnsiTheme="majorHAnsi"/>
        </w:rPr>
      </w:pPr>
      <w:r w:rsidRPr="004B213C">
        <w:rPr>
          <w:rFonts w:asciiTheme="majorHAnsi" w:hAnsiTheme="majorHAnsi"/>
        </w:rPr>
        <w:t>Perfluorooctanoic acid (PFOA)</w:t>
      </w:r>
      <w:r w:rsidR="001C157A" w:rsidRPr="004B213C">
        <w:rPr>
          <w:rFonts w:asciiTheme="majorHAnsi" w:hAnsiTheme="majorHAnsi"/>
        </w:rPr>
        <w:t xml:space="preserve"> and related substances</w:t>
      </w:r>
    </w:p>
    <w:p w14:paraId="28959CA4" w14:textId="61E2B6F3" w:rsidR="009A4D2A" w:rsidRPr="004B213C" w:rsidRDefault="007B601A" w:rsidP="009A4D2A">
      <w:pPr>
        <w:pStyle w:val="Heading2"/>
        <w:rPr>
          <w:rFonts w:asciiTheme="majorHAnsi" w:hAnsiTheme="majorHAnsi"/>
        </w:rPr>
      </w:pPr>
      <w:r w:rsidRPr="004B213C">
        <w:rPr>
          <w:rFonts w:asciiTheme="majorHAnsi" w:hAnsiTheme="majorHAnsi"/>
        </w:rPr>
        <w:t>Summary</w:t>
      </w:r>
    </w:p>
    <w:p w14:paraId="4A33ECBE" w14:textId="73FE7030" w:rsidR="007D63FB" w:rsidRDefault="007D63FB" w:rsidP="00E02A48">
      <w:pPr>
        <w:pStyle w:val="ListBullet"/>
        <w:spacing w:before="80" w:after="80"/>
        <w:rPr>
          <w:lang w:eastAsia="ja-JP"/>
        </w:rPr>
      </w:pPr>
      <w:r>
        <w:rPr>
          <w:lang w:eastAsia="ja-JP"/>
        </w:rPr>
        <w:t xml:space="preserve">PFOA </w:t>
      </w:r>
      <w:r w:rsidR="00E0589B">
        <w:rPr>
          <w:lang w:eastAsia="ja-JP"/>
        </w:rPr>
        <w:t xml:space="preserve">and related </w:t>
      </w:r>
      <w:r>
        <w:rPr>
          <w:lang w:eastAsia="ja-JP"/>
        </w:rPr>
        <w:t>substances (PFOA chemicals) includes:</w:t>
      </w:r>
    </w:p>
    <w:p w14:paraId="450E21F8" w14:textId="5F82CF2C" w:rsidR="007D63FB" w:rsidRPr="00463D1E" w:rsidRDefault="004B213C" w:rsidP="00E02A48">
      <w:pPr>
        <w:pStyle w:val="ListBullet2"/>
        <w:spacing w:before="80" w:after="80"/>
      </w:pPr>
      <w:r>
        <w:t>p</w:t>
      </w:r>
      <w:r w:rsidR="00CF7A3D" w:rsidRPr="00463D1E">
        <w:t>erfluoro</w:t>
      </w:r>
      <w:r w:rsidR="007D63FB" w:rsidRPr="00463D1E">
        <w:t>octanoic acid (PFOA)</w:t>
      </w:r>
    </w:p>
    <w:p w14:paraId="4A3A04FB" w14:textId="53FD34C1" w:rsidR="007D63FB" w:rsidRDefault="007D63FB" w:rsidP="00E02A48">
      <w:pPr>
        <w:pStyle w:val="ListBullet2"/>
        <w:spacing w:before="80" w:after="80"/>
        <w:rPr>
          <w:lang w:eastAsia="ja-JP"/>
        </w:rPr>
      </w:pPr>
      <w:r>
        <w:rPr>
          <w:lang w:eastAsia="ja-JP"/>
        </w:rPr>
        <w:t>PFOA salts</w:t>
      </w:r>
    </w:p>
    <w:p w14:paraId="2EDDDB84" w14:textId="0C3BD3D7" w:rsidR="007D63FB" w:rsidRDefault="007D63FB" w:rsidP="007D63FB">
      <w:pPr>
        <w:pStyle w:val="ListBullet2"/>
        <w:rPr>
          <w:lang w:eastAsia="ja-JP"/>
        </w:rPr>
      </w:pPr>
      <w:r>
        <w:rPr>
          <w:lang w:eastAsia="ja-JP"/>
        </w:rPr>
        <w:t xml:space="preserve">substances with the potential to degrade to PFOA in the </w:t>
      </w:r>
      <w:proofErr w:type="gramStart"/>
      <w:r>
        <w:rPr>
          <w:lang w:eastAsia="ja-JP"/>
        </w:rPr>
        <w:t>environment</w:t>
      </w:r>
      <w:proofErr w:type="gramEnd"/>
    </w:p>
    <w:p w14:paraId="218C0075" w14:textId="3DD6B18C" w:rsidR="00E0589B" w:rsidRDefault="00E0589B" w:rsidP="009211D3">
      <w:pPr>
        <w:pStyle w:val="ListBullet"/>
      </w:pPr>
      <w:r>
        <w:t xml:space="preserve">PFOA </w:t>
      </w:r>
      <w:bookmarkStart w:id="0" w:name="_Hlk107765516"/>
      <w:r>
        <w:t>chemicals are recognised globally as persistent organic pollutants (POPs)</w:t>
      </w:r>
      <w:bookmarkStart w:id="1" w:name="_Hlk107672329"/>
      <w:r w:rsidR="009F49AA" w:rsidRPr="009F49AA">
        <w:t xml:space="preserve"> </w:t>
      </w:r>
      <w:r w:rsidR="009F49AA">
        <w:t>and are listed on the Stockholm Convention</w:t>
      </w:r>
      <w:bookmarkEnd w:id="1"/>
      <w:r>
        <w:t xml:space="preserve">. This group of POPs </w:t>
      </w:r>
      <w:r w:rsidR="002142A3" w:rsidRPr="00E90AA1">
        <w:rPr>
          <w:lang w:eastAsia="ja-JP"/>
        </w:rPr>
        <w:t xml:space="preserve">are </w:t>
      </w:r>
      <w:r w:rsidR="002142A3">
        <w:rPr>
          <w:lang w:eastAsia="ja-JP"/>
        </w:rPr>
        <w:t>a priority for scheduling under the Industrial Chemicals Environmental Management Standard (IChEMS).</w:t>
      </w:r>
    </w:p>
    <w:bookmarkEnd w:id="0"/>
    <w:p w14:paraId="103B11A0" w14:textId="0B8A587E" w:rsidR="007D63FB" w:rsidRDefault="0068054A" w:rsidP="00A9141C">
      <w:pPr>
        <w:pStyle w:val="ListBullet"/>
        <w:rPr>
          <w:lang w:eastAsia="ja-JP"/>
        </w:rPr>
      </w:pPr>
      <w:r>
        <w:t xml:space="preserve">PFOA chemicals have historically been used in a wide variety of consumer and industrial applications. </w:t>
      </w:r>
      <w:r w:rsidR="00452F10">
        <w:rPr>
          <w:lang w:eastAsia="ja-JP"/>
        </w:rPr>
        <w:t>U</w:t>
      </w:r>
      <w:r w:rsidR="007D63FB">
        <w:rPr>
          <w:lang w:eastAsia="ja-JP"/>
        </w:rPr>
        <w:t xml:space="preserve">ses of PFOA chemicals in Australia </w:t>
      </w:r>
      <w:r w:rsidR="007D35CD">
        <w:rPr>
          <w:lang w:eastAsia="ja-JP"/>
        </w:rPr>
        <w:t>in</w:t>
      </w:r>
      <w:r w:rsidR="007D63FB">
        <w:rPr>
          <w:lang w:eastAsia="ja-JP"/>
        </w:rPr>
        <w:t>clude</w:t>
      </w:r>
      <w:r w:rsidR="00452F10">
        <w:rPr>
          <w:lang w:eastAsia="ja-JP"/>
        </w:rPr>
        <w:t>d</w:t>
      </w:r>
      <w:r w:rsidR="007D63FB">
        <w:rPr>
          <w:lang w:eastAsia="ja-JP"/>
        </w:rPr>
        <w:t xml:space="preserve"> </w:t>
      </w:r>
      <w:r w:rsidR="001643EA">
        <w:rPr>
          <w:lang w:eastAsia="ja-JP"/>
        </w:rPr>
        <w:t xml:space="preserve">dyeing processes, </w:t>
      </w:r>
      <w:r w:rsidR="00CA1B3F">
        <w:rPr>
          <w:lang w:eastAsia="ja-JP"/>
        </w:rPr>
        <w:t>fire</w:t>
      </w:r>
      <w:r w:rsidR="00B257E5">
        <w:rPr>
          <w:lang w:eastAsia="ja-JP"/>
        </w:rPr>
        <w:t>-</w:t>
      </w:r>
      <w:r w:rsidR="00CA1B3F">
        <w:rPr>
          <w:lang w:eastAsia="ja-JP"/>
        </w:rPr>
        <w:t xml:space="preserve">fighting </w:t>
      </w:r>
      <w:proofErr w:type="gramStart"/>
      <w:r w:rsidR="00CA1B3F">
        <w:rPr>
          <w:lang w:eastAsia="ja-JP"/>
        </w:rPr>
        <w:t>foam</w:t>
      </w:r>
      <w:proofErr w:type="gramEnd"/>
      <w:r w:rsidR="004D6AC9">
        <w:rPr>
          <w:lang w:eastAsia="ja-JP"/>
        </w:rPr>
        <w:t xml:space="preserve"> and </w:t>
      </w:r>
      <w:r w:rsidR="007D63FB">
        <w:rPr>
          <w:lang w:eastAsia="ja-JP"/>
        </w:rPr>
        <w:t>paint.</w:t>
      </w:r>
      <w:r>
        <w:rPr>
          <w:lang w:eastAsia="ja-JP"/>
        </w:rPr>
        <w:t xml:space="preserve"> PFOA chemicals may also be present in finished goods such as textiles, </w:t>
      </w:r>
      <w:r w:rsidR="000527A6">
        <w:rPr>
          <w:lang w:eastAsia="ja-JP"/>
        </w:rPr>
        <w:t xml:space="preserve">medical devices, </w:t>
      </w:r>
      <w:proofErr w:type="gramStart"/>
      <w:r>
        <w:rPr>
          <w:lang w:eastAsia="ja-JP"/>
        </w:rPr>
        <w:t>carpets</w:t>
      </w:r>
      <w:proofErr w:type="gramEnd"/>
      <w:r>
        <w:rPr>
          <w:lang w:eastAsia="ja-JP"/>
        </w:rPr>
        <w:t xml:space="preserve"> and non-stick metal cookware.</w:t>
      </w:r>
    </w:p>
    <w:p w14:paraId="2E0D8F44" w14:textId="19A6E50C" w:rsidR="004B213C" w:rsidRDefault="004B213C" w:rsidP="004B213C">
      <w:pPr>
        <w:pStyle w:val="ListBullet"/>
        <w:rPr>
          <w:lang w:eastAsia="ja-JP"/>
        </w:rPr>
      </w:pPr>
      <w:r w:rsidRPr="00847299">
        <w:rPr>
          <w:lang w:eastAsia="ja-JP"/>
        </w:rPr>
        <w:t xml:space="preserve">These chemicals are of concern due to their persistence, bioaccumulation, </w:t>
      </w:r>
      <w:proofErr w:type="gramStart"/>
      <w:r w:rsidRPr="00847299">
        <w:rPr>
          <w:lang w:eastAsia="ja-JP"/>
        </w:rPr>
        <w:t>toxicity</w:t>
      </w:r>
      <w:proofErr w:type="gramEnd"/>
      <w:r w:rsidRPr="00847299">
        <w:rPr>
          <w:lang w:eastAsia="ja-JP"/>
        </w:rPr>
        <w:t xml:space="preserve"> and potential for long range transport.</w:t>
      </w:r>
    </w:p>
    <w:p w14:paraId="4EDE36F6" w14:textId="77777777" w:rsidR="004B213C" w:rsidRDefault="004B213C" w:rsidP="004B213C">
      <w:pPr>
        <w:pStyle w:val="ListBullet"/>
      </w:pPr>
      <w:r w:rsidRPr="00E90AA1">
        <w:t xml:space="preserve">They are </w:t>
      </w:r>
      <w:r>
        <w:t>a subset of a broad group of synthetic chemicals known as per- and polyfluoroalkyl substances</w:t>
      </w:r>
      <w:r w:rsidRPr="00E90AA1">
        <w:t xml:space="preserve"> (PFAS)</w:t>
      </w:r>
      <w:r>
        <w:t>.</w:t>
      </w:r>
    </w:p>
    <w:p w14:paraId="2E74D489" w14:textId="4DF0E17C" w:rsidR="007D35CD" w:rsidRDefault="007D35CD" w:rsidP="004B213C">
      <w:pPr>
        <w:pStyle w:val="ListBullet"/>
      </w:pPr>
      <w:r>
        <w:t xml:space="preserve">An indicative list of </w:t>
      </w:r>
      <w:r w:rsidR="00A84C81">
        <w:t xml:space="preserve">PFOA chemical identities is included </w:t>
      </w:r>
      <w:r w:rsidR="00AD4101">
        <w:t>as part of the consultation package.</w:t>
      </w:r>
    </w:p>
    <w:p w14:paraId="2E71EB53" w14:textId="66E0246D" w:rsidR="00943779" w:rsidRPr="004B213C" w:rsidRDefault="00D14181" w:rsidP="00A8157A">
      <w:pPr>
        <w:pStyle w:val="Heading2"/>
        <w:rPr>
          <w:rFonts w:asciiTheme="majorHAnsi" w:hAnsiTheme="majorHAnsi"/>
        </w:rPr>
      </w:pPr>
      <w:r w:rsidRPr="004B213C">
        <w:rPr>
          <w:rFonts w:asciiTheme="majorHAnsi" w:hAnsiTheme="majorHAnsi"/>
        </w:rPr>
        <w:t>Introduction and u</w:t>
      </w:r>
      <w:r w:rsidR="007D63FB" w:rsidRPr="004B213C">
        <w:rPr>
          <w:rFonts w:asciiTheme="majorHAnsi" w:hAnsiTheme="majorHAnsi"/>
        </w:rPr>
        <w:t>se of PFOA chemicals in Australia</w:t>
      </w:r>
    </w:p>
    <w:p w14:paraId="0AEFE1C2" w14:textId="7022863B" w:rsidR="0090283A" w:rsidRDefault="0090283A" w:rsidP="0090283A">
      <w:bookmarkStart w:id="2" w:name="_Hlk107327886"/>
      <w:r>
        <w:t xml:space="preserve">The </w:t>
      </w:r>
      <w:hyperlink r:id="rId13" w:history="1">
        <w:r>
          <w:rPr>
            <w:rStyle w:val="Hyperlink"/>
          </w:rPr>
          <w:t xml:space="preserve">Stockholm Convention PFOA </w:t>
        </w:r>
        <w:r w:rsidRPr="00846AFB">
          <w:rPr>
            <w:rStyle w:val="Hyperlink"/>
          </w:rPr>
          <w:t xml:space="preserve">risk </w:t>
        </w:r>
        <w:r>
          <w:rPr>
            <w:rStyle w:val="Hyperlink"/>
          </w:rPr>
          <w:t>profile</w:t>
        </w:r>
      </w:hyperlink>
      <w:r w:rsidR="008E1D14">
        <w:rPr>
          <w:rStyle w:val="Hyperlink"/>
        </w:rPr>
        <w:t xml:space="preserve"> </w:t>
      </w:r>
      <w:r>
        <w:t xml:space="preserve">indicates that PFOA chemicals have historically been widely used in products </w:t>
      </w:r>
      <w:r w:rsidR="007375F2">
        <w:t xml:space="preserve">as </w:t>
      </w:r>
      <w:r>
        <w:t xml:space="preserve">listed in </w:t>
      </w:r>
      <w:r>
        <w:fldChar w:fldCharType="begin"/>
      </w:r>
      <w:r>
        <w:instrText xml:space="preserve"> REF _Ref107387180 \h </w:instrText>
      </w:r>
      <w:r>
        <w:fldChar w:fldCharType="separate"/>
      </w:r>
      <w:r>
        <w:t xml:space="preserve">Table </w:t>
      </w:r>
      <w:r>
        <w:rPr>
          <w:noProof/>
        </w:rPr>
        <w:t>1</w:t>
      </w:r>
      <w:r>
        <w:fldChar w:fldCharType="end"/>
      </w:r>
      <w:r>
        <w:t xml:space="preserve">, </w:t>
      </w:r>
      <w:r w:rsidRPr="005F0B24">
        <w:t>noting th</w:t>
      </w:r>
      <w:r w:rsidR="00997F66">
        <w:t>is is not an exhaustive list.</w:t>
      </w:r>
    </w:p>
    <w:p w14:paraId="4A9620A9" w14:textId="77846BDC" w:rsidR="00911C8D" w:rsidRDefault="00911C8D" w:rsidP="00911C8D">
      <w:r>
        <w:t xml:space="preserve">In Australia, the reported uses </w:t>
      </w:r>
      <w:r w:rsidR="007375F2">
        <w:t xml:space="preserve">of </w:t>
      </w:r>
      <w:hyperlink r:id="rId14" w:history="1">
        <w:r w:rsidRPr="00911C8D">
          <w:rPr>
            <w:rStyle w:val="Hyperlink"/>
          </w:rPr>
          <w:t xml:space="preserve">PFOA in </w:t>
        </w:r>
        <w:r w:rsidR="00A4442F">
          <w:rPr>
            <w:rStyle w:val="Hyperlink"/>
          </w:rPr>
          <w:t xml:space="preserve">an Australia </w:t>
        </w:r>
        <w:r w:rsidRPr="00911C8D">
          <w:rPr>
            <w:rStyle w:val="Hyperlink"/>
          </w:rPr>
          <w:t>risk assessmen</w:t>
        </w:r>
        <w:r w:rsidR="00A4442F">
          <w:rPr>
            <w:rStyle w:val="Hyperlink"/>
          </w:rPr>
          <w:t>t</w:t>
        </w:r>
      </w:hyperlink>
      <w:r>
        <w:t xml:space="preserve"> include</w:t>
      </w:r>
      <w:r w:rsidR="002E6C9C">
        <w:t>d</w:t>
      </w:r>
      <w:r>
        <w:t xml:space="preserve">: </w:t>
      </w:r>
    </w:p>
    <w:p w14:paraId="7C6FCA02" w14:textId="5F7444EA" w:rsidR="00911C8D" w:rsidRDefault="00911C8D" w:rsidP="00911C8D">
      <w:pPr>
        <w:pStyle w:val="ListBullet"/>
      </w:pPr>
      <w:r>
        <w:t>as a primer for non-stick metal cookware</w:t>
      </w:r>
    </w:p>
    <w:p w14:paraId="67A5AE07" w14:textId="76177D75" w:rsidR="00911C8D" w:rsidRDefault="00911C8D" w:rsidP="00911C8D">
      <w:pPr>
        <w:pStyle w:val="ListBullet"/>
      </w:pPr>
      <w:r>
        <w:t xml:space="preserve">as </w:t>
      </w:r>
      <w:r w:rsidR="007375F2">
        <w:t xml:space="preserve">a dispersant </w:t>
      </w:r>
      <w:r>
        <w:t>in paints</w:t>
      </w:r>
    </w:p>
    <w:p w14:paraId="5A1233C2" w14:textId="00B0D2A5" w:rsidR="00911C8D" w:rsidRDefault="00911C8D" w:rsidP="00911C8D">
      <w:pPr>
        <w:pStyle w:val="ListBullet"/>
      </w:pPr>
      <w:r>
        <w:t>in antifoam formulations</w:t>
      </w:r>
      <w:r w:rsidR="005C7D2E">
        <w:t xml:space="preserve"> used in dyeing processes</w:t>
      </w:r>
    </w:p>
    <w:p w14:paraId="075884ED" w14:textId="47D0D427" w:rsidR="00911C8D" w:rsidRDefault="00911C8D" w:rsidP="00911C8D">
      <w:pPr>
        <w:pStyle w:val="ListBullet"/>
      </w:pPr>
      <w:r>
        <w:t>in fire-fighting foams</w:t>
      </w:r>
    </w:p>
    <w:p w14:paraId="60BC3F17" w14:textId="0BA6E1DD" w:rsidR="00911C8D" w:rsidRDefault="00911C8D" w:rsidP="00911C8D">
      <w:pPr>
        <w:pStyle w:val="ListBullet"/>
      </w:pPr>
      <w:r>
        <w:t>in textile and carpet protection.</w:t>
      </w:r>
    </w:p>
    <w:bookmarkEnd w:id="2"/>
    <w:p w14:paraId="46B12B17" w14:textId="77777777" w:rsidR="00227B6E" w:rsidRDefault="00227B6E" w:rsidP="003D3523">
      <w:pPr>
        <w:pStyle w:val="ListBullet"/>
        <w:numPr>
          <w:ilvl w:val="0"/>
          <w:numId w:val="0"/>
        </w:numPr>
      </w:pPr>
      <w:r>
        <w:lastRenderedPageBreak/>
        <w:t xml:space="preserve">PFOA chemicals are also potential impurities in some of the shorter-chain PFAS alternatives that have been used to replace them. Therefore, </w:t>
      </w:r>
      <w:r w:rsidRPr="00AF0C3D">
        <w:t>short</w:t>
      </w:r>
      <w:r>
        <w:t>er</w:t>
      </w:r>
      <w:r w:rsidRPr="00AF0C3D">
        <w:t xml:space="preserve">-chain PFAS products </w:t>
      </w:r>
      <w:r>
        <w:t xml:space="preserve">can be </w:t>
      </w:r>
      <w:r w:rsidRPr="00AF0C3D">
        <w:t>a source</w:t>
      </w:r>
      <w:r>
        <w:t xml:space="preserve"> of residual PFOA chemicals.</w:t>
      </w:r>
    </w:p>
    <w:p w14:paraId="78228790" w14:textId="77777777" w:rsidR="00213A86" w:rsidRDefault="00213A86" w:rsidP="00114BB2">
      <w:pPr>
        <w:pStyle w:val="ListBullet"/>
        <w:numPr>
          <w:ilvl w:val="0"/>
          <w:numId w:val="0"/>
        </w:numPr>
      </w:pPr>
    </w:p>
    <w:p w14:paraId="504AC3AC" w14:textId="77777777" w:rsidR="00213A86" w:rsidRDefault="00213A86" w:rsidP="00213A86">
      <w:pPr>
        <w:pStyle w:val="Caption"/>
      </w:pPr>
      <w:bookmarkStart w:id="3" w:name="_Ref107387180"/>
      <w:r>
        <w:t xml:space="preserve">Table </w:t>
      </w:r>
      <w:r w:rsidR="00362E4E">
        <w:fldChar w:fldCharType="begin"/>
      </w:r>
      <w:r w:rsidR="00362E4E">
        <w:instrText xml:space="preserve"> SEQ Table \* ARABIC </w:instrText>
      </w:r>
      <w:r w:rsidR="00362E4E">
        <w:fldChar w:fldCharType="separate"/>
      </w:r>
      <w:r>
        <w:rPr>
          <w:noProof/>
        </w:rPr>
        <w:t>1</w:t>
      </w:r>
      <w:r w:rsidR="00362E4E">
        <w:rPr>
          <w:noProof/>
        </w:rPr>
        <w:fldChar w:fldCharType="end"/>
      </w:r>
      <w:bookmarkEnd w:id="3"/>
      <w:r>
        <w:t xml:space="preserve"> Products and finished goods that may contain </w:t>
      </w:r>
      <w:proofErr w:type="gramStart"/>
      <w:r>
        <w:t>PFOA</w:t>
      </w:r>
      <w:proofErr w:type="gramEnd"/>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791"/>
        <w:gridCol w:w="4791"/>
      </w:tblGrid>
      <w:tr w:rsidR="00213A86" w:rsidRPr="00292C4E" w14:paraId="10C526DF" w14:textId="77777777" w:rsidTr="00BB6E8A">
        <w:trPr>
          <w:cantSplit/>
          <w:tblHeader/>
        </w:trPr>
        <w:tc>
          <w:tcPr>
            <w:tcW w:w="2500" w:type="pct"/>
          </w:tcPr>
          <w:p w14:paraId="5F4190CC" w14:textId="77777777" w:rsidR="00213A86" w:rsidRPr="00292C4E" w:rsidRDefault="00213A86" w:rsidP="00BB6E8A">
            <w:pPr>
              <w:pStyle w:val="TableHeading"/>
              <w:keepNext w:val="0"/>
              <w:rPr>
                <w:sz w:val="20"/>
                <w:szCs w:val="20"/>
              </w:rPr>
            </w:pPr>
            <w:r w:rsidRPr="00292C4E">
              <w:rPr>
                <w:sz w:val="20"/>
                <w:szCs w:val="20"/>
              </w:rPr>
              <w:t>Product</w:t>
            </w:r>
          </w:p>
        </w:tc>
        <w:tc>
          <w:tcPr>
            <w:tcW w:w="2500" w:type="pct"/>
            <w:tcBorders>
              <w:bottom w:val="single" w:sz="4" w:space="0" w:color="auto"/>
            </w:tcBorders>
            <w:tcMar>
              <w:left w:w="108" w:type="dxa"/>
              <w:right w:w="108" w:type="dxa"/>
            </w:tcMar>
          </w:tcPr>
          <w:p w14:paraId="715CD0DA" w14:textId="77777777" w:rsidR="00213A86" w:rsidRPr="00292C4E" w:rsidRDefault="00213A86" w:rsidP="00BB6E8A">
            <w:pPr>
              <w:pStyle w:val="TableHeading"/>
              <w:keepNext w:val="0"/>
              <w:rPr>
                <w:sz w:val="20"/>
                <w:szCs w:val="20"/>
              </w:rPr>
            </w:pPr>
            <w:r>
              <w:rPr>
                <w:sz w:val="20"/>
                <w:szCs w:val="20"/>
              </w:rPr>
              <w:t>Finished goods</w:t>
            </w:r>
          </w:p>
        </w:tc>
      </w:tr>
      <w:tr w:rsidR="00213A86" w:rsidRPr="00292C4E" w14:paraId="6419A6EC" w14:textId="77777777" w:rsidTr="00BB6E8A">
        <w:tc>
          <w:tcPr>
            <w:tcW w:w="2500" w:type="pct"/>
            <w:tcBorders>
              <w:top w:val="single" w:sz="4" w:space="0" w:color="auto"/>
              <w:bottom w:val="single" w:sz="4" w:space="0" w:color="auto"/>
              <w:right w:val="single" w:sz="4" w:space="0" w:color="auto"/>
            </w:tcBorders>
          </w:tcPr>
          <w:p w14:paraId="7670ED3C" w14:textId="77777777" w:rsidR="00213A86" w:rsidRPr="00292C4E" w:rsidRDefault="00213A86" w:rsidP="00BB6E8A">
            <w:pPr>
              <w:pStyle w:val="TableText"/>
              <w:spacing w:before="20" w:after="20"/>
              <w:rPr>
                <w:rFonts w:cstheme="minorHAnsi"/>
                <w:sz w:val="20"/>
                <w:szCs w:val="20"/>
                <w:lang w:val="en-US"/>
              </w:rPr>
            </w:pPr>
            <w:r>
              <w:rPr>
                <w:rFonts w:cstheme="minorHAnsi"/>
                <w:sz w:val="20"/>
                <w:szCs w:val="20"/>
                <w:lang w:val="en-US"/>
              </w:rPr>
              <w:t>A</w:t>
            </w:r>
            <w:r w:rsidRPr="00292C4E">
              <w:rPr>
                <w:rFonts w:cstheme="minorHAnsi"/>
                <w:sz w:val="20"/>
                <w:szCs w:val="20"/>
                <w:lang w:val="en-US"/>
              </w:rPr>
              <w:t>dhesives</w:t>
            </w:r>
            <w:r>
              <w:rPr>
                <w:rFonts w:cstheme="minorHAnsi"/>
                <w:sz w:val="20"/>
                <w:szCs w:val="20"/>
                <w:lang w:val="en-US"/>
              </w:rPr>
              <w:t xml:space="preserve"> </w:t>
            </w:r>
          </w:p>
        </w:tc>
        <w:tc>
          <w:tcPr>
            <w:tcW w:w="2500" w:type="pct"/>
            <w:tcBorders>
              <w:top w:val="single" w:sz="4" w:space="0" w:color="auto"/>
              <w:bottom w:val="single" w:sz="4" w:space="0" w:color="auto"/>
              <w:right w:val="nil"/>
            </w:tcBorders>
            <w:shd w:val="clear" w:color="auto" w:fill="auto"/>
            <w:tcMar>
              <w:left w:w="108" w:type="dxa"/>
              <w:right w:w="108" w:type="dxa"/>
            </w:tcMar>
          </w:tcPr>
          <w:p w14:paraId="654A07C9" w14:textId="77777777" w:rsidR="00213A86" w:rsidRPr="00292C4E" w:rsidRDefault="00213A86" w:rsidP="00BB6E8A">
            <w:pPr>
              <w:pStyle w:val="TableText"/>
              <w:spacing w:before="20" w:after="20"/>
              <w:rPr>
                <w:sz w:val="20"/>
                <w:szCs w:val="20"/>
              </w:rPr>
            </w:pPr>
            <w:r>
              <w:rPr>
                <w:sz w:val="20"/>
                <w:szCs w:val="20"/>
              </w:rPr>
              <w:t>C</w:t>
            </w:r>
            <w:r w:rsidRPr="00292C4E">
              <w:rPr>
                <w:sz w:val="20"/>
                <w:szCs w:val="20"/>
              </w:rPr>
              <w:t>arpets</w:t>
            </w:r>
          </w:p>
        </w:tc>
      </w:tr>
      <w:tr w:rsidR="00213A86" w:rsidRPr="00292C4E" w14:paraId="3F874DCB" w14:textId="77777777" w:rsidTr="00BB6E8A">
        <w:tc>
          <w:tcPr>
            <w:tcW w:w="2500" w:type="pct"/>
            <w:tcBorders>
              <w:top w:val="single" w:sz="4" w:space="0" w:color="auto"/>
              <w:bottom w:val="single" w:sz="4" w:space="0" w:color="auto"/>
              <w:right w:val="single" w:sz="4" w:space="0" w:color="auto"/>
            </w:tcBorders>
          </w:tcPr>
          <w:p w14:paraId="4725A412" w14:textId="77777777" w:rsidR="00213A86" w:rsidRDefault="00213A86" w:rsidP="00BB6E8A">
            <w:pPr>
              <w:pStyle w:val="TableText"/>
              <w:spacing w:before="20" w:after="20"/>
              <w:rPr>
                <w:rFonts w:cstheme="minorHAnsi"/>
                <w:sz w:val="20"/>
                <w:szCs w:val="20"/>
                <w:lang w:val="en-US"/>
              </w:rPr>
            </w:pPr>
            <w:r w:rsidRPr="00292C4E">
              <w:rPr>
                <w:rFonts w:cstheme="minorHAnsi"/>
                <w:sz w:val="20"/>
                <w:szCs w:val="20"/>
                <w:lang w:val="en-US"/>
              </w:rPr>
              <w:t>Antifoam products for dyeing processes</w:t>
            </w:r>
          </w:p>
        </w:tc>
        <w:tc>
          <w:tcPr>
            <w:tcW w:w="2500" w:type="pct"/>
            <w:tcBorders>
              <w:top w:val="single" w:sz="4" w:space="0" w:color="auto"/>
              <w:bottom w:val="single" w:sz="4" w:space="0" w:color="auto"/>
              <w:right w:val="nil"/>
            </w:tcBorders>
            <w:shd w:val="clear" w:color="auto" w:fill="auto"/>
            <w:tcMar>
              <w:left w:w="108" w:type="dxa"/>
              <w:right w:w="108" w:type="dxa"/>
            </w:tcMar>
          </w:tcPr>
          <w:p w14:paraId="0A141571" w14:textId="77777777" w:rsidR="00213A86" w:rsidRDefault="00213A86" w:rsidP="00BB6E8A">
            <w:pPr>
              <w:pStyle w:val="TableText"/>
              <w:spacing w:before="20" w:after="20"/>
              <w:rPr>
                <w:sz w:val="20"/>
                <w:szCs w:val="20"/>
              </w:rPr>
            </w:pPr>
            <w:r>
              <w:rPr>
                <w:sz w:val="20"/>
                <w:szCs w:val="20"/>
              </w:rPr>
              <w:t>Food packaging</w:t>
            </w:r>
          </w:p>
        </w:tc>
      </w:tr>
      <w:tr w:rsidR="00213A86" w:rsidRPr="00292C4E" w14:paraId="00AEF105" w14:textId="77777777" w:rsidTr="00BB6E8A">
        <w:tc>
          <w:tcPr>
            <w:tcW w:w="2500" w:type="pct"/>
            <w:tcBorders>
              <w:top w:val="single" w:sz="4" w:space="0" w:color="auto"/>
              <w:bottom w:val="single" w:sz="4" w:space="0" w:color="auto"/>
              <w:right w:val="single" w:sz="4" w:space="0" w:color="auto"/>
            </w:tcBorders>
          </w:tcPr>
          <w:p w14:paraId="44C031FF" w14:textId="77777777" w:rsidR="00213A86" w:rsidRPr="00292C4E" w:rsidRDefault="00213A86" w:rsidP="00BB6E8A">
            <w:pPr>
              <w:pStyle w:val="TableText"/>
              <w:spacing w:before="20" w:after="20"/>
              <w:rPr>
                <w:rFonts w:cstheme="minorHAnsi"/>
                <w:sz w:val="20"/>
                <w:szCs w:val="20"/>
                <w:lang w:val="en-US"/>
              </w:rPr>
            </w:pPr>
            <w:r w:rsidRPr="00292C4E">
              <w:rPr>
                <w:rFonts w:cstheme="minorHAnsi"/>
                <w:sz w:val="20"/>
                <w:szCs w:val="20"/>
                <w:lang w:val="en-US"/>
              </w:rPr>
              <w:t>Cleaning agents</w:t>
            </w:r>
          </w:p>
        </w:tc>
        <w:tc>
          <w:tcPr>
            <w:tcW w:w="2500" w:type="pct"/>
            <w:tcBorders>
              <w:top w:val="single" w:sz="4" w:space="0" w:color="auto"/>
              <w:bottom w:val="single" w:sz="4" w:space="0" w:color="auto"/>
              <w:right w:val="nil"/>
            </w:tcBorders>
            <w:shd w:val="clear" w:color="auto" w:fill="auto"/>
            <w:tcMar>
              <w:left w:w="108" w:type="dxa"/>
              <w:right w:w="108" w:type="dxa"/>
            </w:tcMar>
          </w:tcPr>
          <w:p w14:paraId="1C4AE7E5" w14:textId="77777777" w:rsidR="00213A86" w:rsidRPr="00292C4E" w:rsidRDefault="00213A86" w:rsidP="00BB6E8A">
            <w:pPr>
              <w:pStyle w:val="TableText"/>
              <w:spacing w:before="20" w:after="20"/>
              <w:rPr>
                <w:sz w:val="20"/>
                <w:szCs w:val="20"/>
              </w:rPr>
            </w:pPr>
            <w:r>
              <w:rPr>
                <w:sz w:val="20"/>
                <w:szCs w:val="20"/>
              </w:rPr>
              <w:t>Leather</w:t>
            </w:r>
          </w:p>
        </w:tc>
      </w:tr>
      <w:tr w:rsidR="00213A86" w:rsidRPr="00292C4E" w14:paraId="4E24310E" w14:textId="77777777" w:rsidTr="00BB6E8A">
        <w:tc>
          <w:tcPr>
            <w:tcW w:w="2500" w:type="pct"/>
            <w:tcBorders>
              <w:top w:val="single" w:sz="4" w:space="0" w:color="auto"/>
              <w:bottom w:val="single" w:sz="4" w:space="0" w:color="auto"/>
              <w:right w:val="single" w:sz="4" w:space="0" w:color="auto"/>
            </w:tcBorders>
          </w:tcPr>
          <w:p w14:paraId="52610277" w14:textId="77777777" w:rsidR="00213A86" w:rsidRPr="00292C4E" w:rsidRDefault="00213A86" w:rsidP="00BB6E8A">
            <w:pPr>
              <w:pStyle w:val="TableText"/>
              <w:spacing w:before="20" w:after="20"/>
              <w:rPr>
                <w:rFonts w:cstheme="minorHAnsi"/>
                <w:sz w:val="20"/>
                <w:szCs w:val="20"/>
                <w:lang w:val="en-US"/>
              </w:rPr>
            </w:pPr>
            <w:r w:rsidRPr="00292C4E">
              <w:rPr>
                <w:rFonts w:cstheme="minorHAnsi"/>
                <w:sz w:val="20"/>
                <w:szCs w:val="20"/>
                <w:lang w:val="en-US"/>
              </w:rPr>
              <w:t>Fire-fighting foams</w:t>
            </w:r>
          </w:p>
        </w:tc>
        <w:tc>
          <w:tcPr>
            <w:tcW w:w="2500" w:type="pct"/>
            <w:tcBorders>
              <w:top w:val="single" w:sz="4" w:space="0" w:color="auto"/>
              <w:bottom w:val="single" w:sz="4" w:space="0" w:color="auto"/>
              <w:right w:val="nil"/>
            </w:tcBorders>
            <w:shd w:val="clear" w:color="auto" w:fill="auto"/>
            <w:tcMar>
              <w:left w:w="108" w:type="dxa"/>
              <w:right w:w="108" w:type="dxa"/>
            </w:tcMar>
          </w:tcPr>
          <w:p w14:paraId="6EA86B2B" w14:textId="77777777" w:rsidR="00213A86" w:rsidRPr="00292C4E" w:rsidRDefault="00213A86" w:rsidP="00BB6E8A">
            <w:pPr>
              <w:pStyle w:val="TableText"/>
              <w:spacing w:before="20" w:after="20"/>
              <w:rPr>
                <w:sz w:val="20"/>
                <w:szCs w:val="20"/>
              </w:rPr>
            </w:pPr>
            <w:r>
              <w:rPr>
                <w:sz w:val="20"/>
                <w:szCs w:val="20"/>
              </w:rPr>
              <w:t>M</w:t>
            </w:r>
            <w:r w:rsidRPr="00292C4E">
              <w:rPr>
                <w:sz w:val="20"/>
                <w:szCs w:val="20"/>
              </w:rPr>
              <w:t>embranes for apparel</w:t>
            </w:r>
          </w:p>
        </w:tc>
      </w:tr>
      <w:tr w:rsidR="00213A86" w:rsidRPr="00292C4E" w14:paraId="35D23BA4" w14:textId="77777777" w:rsidTr="00BB6E8A">
        <w:tc>
          <w:tcPr>
            <w:tcW w:w="2500" w:type="pct"/>
            <w:tcBorders>
              <w:top w:val="single" w:sz="4" w:space="0" w:color="auto"/>
              <w:bottom w:val="single" w:sz="4" w:space="0" w:color="auto"/>
              <w:right w:val="single" w:sz="4" w:space="0" w:color="auto"/>
            </w:tcBorders>
          </w:tcPr>
          <w:p w14:paraId="5D7AB73B" w14:textId="77777777" w:rsidR="00213A86" w:rsidRPr="00292C4E" w:rsidRDefault="00213A86" w:rsidP="00BB6E8A">
            <w:pPr>
              <w:pStyle w:val="TableText"/>
              <w:spacing w:before="20" w:after="20"/>
              <w:rPr>
                <w:rFonts w:cstheme="minorHAnsi"/>
                <w:sz w:val="20"/>
                <w:szCs w:val="20"/>
                <w:lang w:val="en-US"/>
              </w:rPr>
            </w:pPr>
            <w:r w:rsidRPr="00292C4E">
              <w:rPr>
                <w:rFonts w:cstheme="minorHAnsi"/>
                <w:sz w:val="20"/>
                <w:szCs w:val="20"/>
                <w:lang w:val="en-US"/>
              </w:rPr>
              <w:t>Floor waxes and stone/wood sealants</w:t>
            </w:r>
          </w:p>
        </w:tc>
        <w:tc>
          <w:tcPr>
            <w:tcW w:w="2500" w:type="pct"/>
            <w:tcBorders>
              <w:top w:val="single" w:sz="4" w:space="0" w:color="auto"/>
              <w:bottom w:val="single" w:sz="4" w:space="0" w:color="auto"/>
              <w:right w:val="nil"/>
            </w:tcBorders>
            <w:shd w:val="clear" w:color="auto" w:fill="auto"/>
            <w:tcMar>
              <w:left w:w="108" w:type="dxa"/>
              <w:right w:w="108" w:type="dxa"/>
            </w:tcMar>
          </w:tcPr>
          <w:p w14:paraId="47D447C5" w14:textId="77777777" w:rsidR="00213A86" w:rsidRPr="00292C4E" w:rsidRDefault="00213A86" w:rsidP="00BB6E8A">
            <w:pPr>
              <w:pStyle w:val="TableText"/>
              <w:spacing w:before="20" w:after="20"/>
              <w:rPr>
                <w:sz w:val="20"/>
                <w:szCs w:val="20"/>
                <w:highlight w:val="yellow"/>
              </w:rPr>
            </w:pPr>
            <w:r w:rsidRPr="00292C4E">
              <w:rPr>
                <w:rFonts w:cstheme="minorHAnsi"/>
                <w:sz w:val="20"/>
                <w:szCs w:val="20"/>
                <w:lang w:val="en-US"/>
              </w:rPr>
              <w:t>Medical devices</w:t>
            </w:r>
          </w:p>
        </w:tc>
      </w:tr>
      <w:tr w:rsidR="00213A86" w:rsidRPr="00292C4E" w14:paraId="5EB15E44" w14:textId="77777777" w:rsidTr="00BB6E8A">
        <w:tc>
          <w:tcPr>
            <w:tcW w:w="2500" w:type="pct"/>
            <w:tcBorders>
              <w:top w:val="single" w:sz="4" w:space="0" w:color="auto"/>
              <w:bottom w:val="single" w:sz="4" w:space="0" w:color="auto"/>
              <w:right w:val="single" w:sz="4" w:space="0" w:color="auto"/>
            </w:tcBorders>
          </w:tcPr>
          <w:p w14:paraId="5D46CBB5" w14:textId="77777777" w:rsidR="00213A86" w:rsidRPr="00292C4E" w:rsidRDefault="00213A86" w:rsidP="00BB6E8A">
            <w:pPr>
              <w:pStyle w:val="TableText"/>
              <w:spacing w:before="20" w:after="20"/>
              <w:rPr>
                <w:rFonts w:cstheme="minorHAnsi"/>
                <w:sz w:val="20"/>
                <w:szCs w:val="20"/>
                <w:lang w:val="en-US"/>
              </w:rPr>
            </w:pPr>
            <w:r>
              <w:rPr>
                <w:sz w:val="20"/>
                <w:szCs w:val="20"/>
              </w:rPr>
              <w:t>I</w:t>
            </w:r>
            <w:r w:rsidRPr="00292C4E">
              <w:rPr>
                <w:sz w:val="20"/>
                <w:szCs w:val="20"/>
              </w:rPr>
              <w:t>mpregnating sprays/ waterproofing agents</w:t>
            </w:r>
          </w:p>
        </w:tc>
        <w:tc>
          <w:tcPr>
            <w:tcW w:w="2500" w:type="pct"/>
            <w:tcBorders>
              <w:top w:val="single" w:sz="4" w:space="0" w:color="auto"/>
              <w:bottom w:val="single" w:sz="4" w:space="0" w:color="auto"/>
              <w:right w:val="nil"/>
            </w:tcBorders>
            <w:shd w:val="clear" w:color="auto" w:fill="auto"/>
            <w:tcMar>
              <w:left w:w="108" w:type="dxa"/>
              <w:right w:w="108" w:type="dxa"/>
            </w:tcMar>
          </w:tcPr>
          <w:p w14:paraId="0001C363" w14:textId="77777777" w:rsidR="00213A86" w:rsidRPr="00292C4E" w:rsidRDefault="00213A86" w:rsidP="00BB6E8A">
            <w:pPr>
              <w:pStyle w:val="TableText"/>
              <w:spacing w:before="20" w:after="20"/>
              <w:rPr>
                <w:sz w:val="20"/>
                <w:szCs w:val="20"/>
                <w:highlight w:val="yellow"/>
              </w:rPr>
            </w:pPr>
            <w:r>
              <w:rPr>
                <w:sz w:val="20"/>
                <w:szCs w:val="20"/>
              </w:rPr>
              <w:t>O</w:t>
            </w:r>
            <w:r w:rsidRPr="00292C4E">
              <w:rPr>
                <w:sz w:val="20"/>
                <w:szCs w:val="20"/>
              </w:rPr>
              <w:t>utdoor clothing</w:t>
            </w:r>
          </w:p>
        </w:tc>
      </w:tr>
      <w:tr w:rsidR="00213A86" w:rsidRPr="00292C4E" w14:paraId="2E8E1801" w14:textId="77777777" w:rsidTr="00BB6E8A">
        <w:tc>
          <w:tcPr>
            <w:tcW w:w="2500" w:type="pct"/>
            <w:tcBorders>
              <w:top w:val="single" w:sz="4" w:space="0" w:color="auto"/>
              <w:bottom w:val="single" w:sz="4" w:space="0" w:color="auto"/>
              <w:right w:val="single" w:sz="4" w:space="0" w:color="auto"/>
            </w:tcBorders>
          </w:tcPr>
          <w:p w14:paraId="557A4479" w14:textId="77777777" w:rsidR="00213A86" w:rsidRPr="00292C4E" w:rsidRDefault="00213A86" w:rsidP="00BB6E8A">
            <w:pPr>
              <w:pStyle w:val="TableText"/>
              <w:spacing w:before="20" w:after="20"/>
              <w:rPr>
                <w:rFonts w:cstheme="minorHAnsi"/>
                <w:sz w:val="20"/>
                <w:szCs w:val="20"/>
                <w:lang w:val="en-US"/>
              </w:rPr>
            </w:pPr>
            <w:r>
              <w:rPr>
                <w:rFonts w:cstheme="minorHAnsi"/>
                <w:sz w:val="20"/>
                <w:szCs w:val="20"/>
                <w:lang w:val="en-US"/>
              </w:rPr>
              <w:t>Inks</w:t>
            </w:r>
          </w:p>
        </w:tc>
        <w:tc>
          <w:tcPr>
            <w:tcW w:w="2500" w:type="pct"/>
            <w:tcBorders>
              <w:top w:val="single" w:sz="4" w:space="0" w:color="auto"/>
              <w:bottom w:val="single" w:sz="4" w:space="0" w:color="auto"/>
              <w:right w:val="nil"/>
            </w:tcBorders>
            <w:shd w:val="clear" w:color="auto" w:fill="auto"/>
            <w:tcMar>
              <w:left w:w="108" w:type="dxa"/>
              <w:right w:w="108" w:type="dxa"/>
            </w:tcMar>
          </w:tcPr>
          <w:p w14:paraId="4EA1C1A1" w14:textId="77777777" w:rsidR="00213A86" w:rsidRPr="00292C4E" w:rsidRDefault="00213A86" w:rsidP="00BB6E8A">
            <w:pPr>
              <w:pStyle w:val="TableText"/>
              <w:spacing w:before="20" w:after="20"/>
              <w:rPr>
                <w:sz w:val="20"/>
                <w:szCs w:val="20"/>
                <w:highlight w:val="yellow"/>
              </w:rPr>
            </w:pPr>
            <w:r w:rsidRPr="00292C4E">
              <w:rPr>
                <w:rFonts w:cstheme="minorHAnsi"/>
                <w:sz w:val="20"/>
                <w:szCs w:val="20"/>
                <w:lang w:val="en-US"/>
              </w:rPr>
              <w:t>Paints and lacquers</w:t>
            </w:r>
          </w:p>
        </w:tc>
      </w:tr>
      <w:tr w:rsidR="00213A86" w:rsidRPr="00292C4E" w14:paraId="09182212" w14:textId="77777777" w:rsidTr="00BB6E8A">
        <w:tc>
          <w:tcPr>
            <w:tcW w:w="2500" w:type="pct"/>
            <w:tcBorders>
              <w:top w:val="single" w:sz="4" w:space="0" w:color="auto"/>
              <w:bottom w:val="single" w:sz="4" w:space="0" w:color="auto"/>
              <w:right w:val="single" w:sz="4" w:space="0" w:color="auto"/>
            </w:tcBorders>
          </w:tcPr>
          <w:p w14:paraId="1C3BA207" w14:textId="77777777" w:rsidR="00213A86" w:rsidRDefault="00213A86" w:rsidP="00BB6E8A">
            <w:pPr>
              <w:pStyle w:val="TableText"/>
              <w:spacing w:before="20" w:after="20"/>
              <w:rPr>
                <w:rFonts w:cstheme="minorHAnsi"/>
                <w:sz w:val="20"/>
                <w:szCs w:val="20"/>
                <w:lang w:val="en-US"/>
              </w:rPr>
            </w:pPr>
            <w:r>
              <w:rPr>
                <w:sz w:val="20"/>
                <w:szCs w:val="20"/>
              </w:rPr>
              <w:t>Le</w:t>
            </w:r>
            <w:r w:rsidRPr="00292C4E">
              <w:rPr>
                <w:sz w:val="20"/>
                <w:szCs w:val="20"/>
              </w:rPr>
              <w:t>ather finishing</w:t>
            </w:r>
            <w:r>
              <w:rPr>
                <w:sz w:val="20"/>
                <w:szCs w:val="20"/>
              </w:rPr>
              <w:t xml:space="preserve"> products</w:t>
            </w:r>
          </w:p>
        </w:tc>
        <w:tc>
          <w:tcPr>
            <w:tcW w:w="2500" w:type="pct"/>
            <w:tcBorders>
              <w:top w:val="single" w:sz="4" w:space="0" w:color="auto"/>
              <w:bottom w:val="single" w:sz="4" w:space="0" w:color="auto"/>
              <w:right w:val="nil"/>
            </w:tcBorders>
            <w:shd w:val="clear" w:color="auto" w:fill="auto"/>
            <w:tcMar>
              <w:left w:w="108" w:type="dxa"/>
              <w:right w:w="108" w:type="dxa"/>
            </w:tcMar>
          </w:tcPr>
          <w:p w14:paraId="36C39AD8" w14:textId="77777777" w:rsidR="00213A86" w:rsidRPr="00292C4E" w:rsidRDefault="00213A86" w:rsidP="00BB6E8A">
            <w:pPr>
              <w:pStyle w:val="TableText"/>
              <w:spacing w:before="20" w:after="20"/>
              <w:rPr>
                <w:rFonts w:cstheme="minorHAnsi"/>
                <w:sz w:val="20"/>
                <w:szCs w:val="20"/>
                <w:highlight w:val="yellow"/>
                <w:lang w:val="en-US"/>
              </w:rPr>
            </w:pPr>
            <w:r w:rsidRPr="00292C4E">
              <w:rPr>
                <w:rFonts w:cstheme="minorHAnsi"/>
                <w:sz w:val="20"/>
                <w:szCs w:val="20"/>
                <w:lang w:val="en-US"/>
              </w:rPr>
              <w:t>Paper and cardboard</w:t>
            </w:r>
          </w:p>
        </w:tc>
      </w:tr>
      <w:tr w:rsidR="00213A86" w:rsidRPr="00292C4E" w14:paraId="0D0650EB" w14:textId="77777777" w:rsidTr="00BB6E8A">
        <w:tc>
          <w:tcPr>
            <w:tcW w:w="2500" w:type="pct"/>
            <w:tcBorders>
              <w:top w:val="single" w:sz="4" w:space="0" w:color="auto"/>
              <w:bottom w:val="single" w:sz="4" w:space="0" w:color="auto"/>
              <w:right w:val="single" w:sz="4" w:space="0" w:color="auto"/>
            </w:tcBorders>
          </w:tcPr>
          <w:p w14:paraId="7DDFB898" w14:textId="77777777" w:rsidR="00213A86" w:rsidRPr="00292C4E" w:rsidRDefault="00213A86" w:rsidP="00BB6E8A">
            <w:pPr>
              <w:pStyle w:val="TableText"/>
              <w:spacing w:before="20" w:after="20"/>
              <w:rPr>
                <w:rFonts w:cstheme="minorHAnsi"/>
                <w:sz w:val="20"/>
                <w:szCs w:val="20"/>
                <w:lang w:val="en-US"/>
              </w:rPr>
            </w:pPr>
            <w:r>
              <w:rPr>
                <w:sz w:val="20"/>
                <w:szCs w:val="20"/>
              </w:rPr>
              <w:t>I</w:t>
            </w:r>
            <w:r w:rsidRPr="00292C4E">
              <w:rPr>
                <w:sz w:val="20"/>
                <w:szCs w:val="20"/>
              </w:rPr>
              <w:t>mpregnating sprays/ waterproofing agents</w:t>
            </w:r>
          </w:p>
        </w:tc>
        <w:tc>
          <w:tcPr>
            <w:tcW w:w="2500" w:type="pct"/>
            <w:tcBorders>
              <w:top w:val="single" w:sz="4" w:space="0" w:color="auto"/>
              <w:bottom w:val="single" w:sz="4" w:space="0" w:color="auto"/>
              <w:right w:val="nil"/>
            </w:tcBorders>
            <w:shd w:val="clear" w:color="auto" w:fill="auto"/>
            <w:tcMar>
              <w:left w:w="108" w:type="dxa"/>
              <w:right w:w="108" w:type="dxa"/>
            </w:tcMar>
          </w:tcPr>
          <w:p w14:paraId="0AB997EF" w14:textId="77777777" w:rsidR="00213A86" w:rsidRPr="00292C4E" w:rsidRDefault="00213A86" w:rsidP="00BB6E8A">
            <w:pPr>
              <w:pStyle w:val="TableText"/>
              <w:spacing w:before="20" w:after="20"/>
              <w:rPr>
                <w:rFonts w:cstheme="minorHAnsi"/>
                <w:sz w:val="20"/>
                <w:szCs w:val="20"/>
                <w:highlight w:val="yellow"/>
                <w:lang w:val="en-US"/>
              </w:rPr>
            </w:pPr>
            <w:r w:rsidRPr="00292C4E">
              <w:rPr>
                <w:rFonts w:cstheme="minorHAnsi"/>
                <w:sz w:val="20"/>
                <w:szCs w:val="20"/>
                <w:lang w:val="en-US"/>
              </w:rPr>
              <w:t>Paper packaging of microwave popcorn bags</w:t>
            </w:r>
          </w:p>
        </w:tc>
      </w:tr>
      <w:tr w:rsidR="00213A86" w:rsidRPr="00292C4E" w14:paraId="40FC192C" w14:textId="77777777" w:rsidTr="00BB6E8A">
        <w:tc>
          <w:tcPr>
            <w:tcW w:w="2500" w:type="pct"/>
            <w:tcBorders>
              <w:top w:val="single" w:sz="4" w:space="0" w:color="auto"/>
              <w:bottom w:val="single" w:sz="4" w:space="0" w:color="auto"/>
              <w:right w:val="single" w:sz="4" w:space="0" w:color="auto"/>
            </w:tcBorders>
          </w:tcPr>
          <w:p w14:paraId="465AF77A" w14:textId="77777777" w:rsidR="00213A86" w:rsidRPr="00292C4E" w:rsidRDefault="00213A86" w:rsidP="00BB6E8A">
            <w:pPr>
              <w:pStyle w:val="TableText"/>
              <w:spacing w:before="20" w:after="20"/>
              <w:rPr>
                <w:rFonts w:cstheme="minorHAnsi"/>
                <w:sz w:val="20"/>
                <w:szCs w:val="20"/>
                <w:lang w:val="en-US"/>
              </w:rPr>
            </w:pPr>
            <w:r>
              <w:rPr>
                <w:rFonts w:cstheme="minorHAnsi"/>
                <w:sz w:val="20"/>
                <w:szCs w:val="20"/>
                <w:lang w:val="en-US"/>
              </w:rPr>
              <w:t>Lubricants</w:t>
            </w:r>
          </w:p>
        </w:tc>
        <w:tc>
          <w:tcPr>
            <w:tcW w:w="2500" w:type="pct"/>
            <w:tcBorders>
              <w:top w:val="single" w:sz="4" w:space="0" w:color="auto"/>
              <w:bottom w:val="single" w:sz="4" w:space="0" w:color="auto"/>
              <w:right w:val="nil"/>
            </w:tcBorders>
            <w:shd w:val="clear" w:color="auto" w:fill="auto"/>
            <w:tcMar>
              <w:left w:w="108" w:type="dxa"/>
              <w:right w:w="108" w:type="dxa"/>
            </w:tcMar>
          </w:tcPr>
          <w:p w14:paraId="2AD4CE53" w14:textId="77777777" w:rsidR="00213A86" w:rsidRPr="00292C4E" w:rsidRDefault="00213A86" w:rsidP="00BB6E8A">
            <w:pPr>
              <w:pStyle w:val="TableText"/>
              <w:spacing w:before="20" w:after="20"/>
              <w:rPr>
                <w:sz w:val="20"/>
                <w:szCs w:val="20"/>
              </w:rPr>
            </w:pPr>
            <w:r>
              <w:rPr>
                <w:sz w:val="20"/>
                <w:szCs w:val="20"/>
              </w:rPr>
              <w:t>Personal protective equipment - clothing</w:t>
            </w:r>
          </w:p>
        </w:tc>
      </w:tr>
      <w:tr w:rsidR="00213A86" w:rsidRPr="00292C4E" w14:paraId="2E51C91C" w14:textId="77777777" w:rsidTr="00BB6E8A">
        <w:tc>
          <w:tcPr>
            <w:tcW w:w="2500" w:type="pct"/>
            <w:tcBorders>
              <w:top w:val="single" w:sz="4" w:space="0" w:color="auto"/>
              <w:bottom w:val="single" w:sz="4" w:space="0" w:color="auto"/>
              <w:right w:val="single" w:sz="4" w:space="0" w:color="auto"/>
            </w:tcBorders>
          </w:tcPr>
          <w:p w14:paraId="225E90B7" w14:textId="77777777" w:rsidR="00213A86" w:rsidRPr="00292C4E" w:rsidRDefault="00213A86" w:rsidP="00BB6E8A">
            <w:pPr>
              <w:pStyle w:val="TableText"/>
              <w:spacing w:before="20" w:after="20"/>
              <w:rPr>
                <w:rFonts w:cstheme="minorHAnsi"/>
                <w:sz w:val="20"/>
                <w:szCs w:val="20"/>
                <w:lang w:val="en-US"/>
              </w:rPr>
            </w:pPr>
            <w:r w:rsidRPr="00292C4E">
              <w:rPr>
                <w:rFonts w:cstheme="minorHAnsi"/>
                <w:sz w:val="20"/>
                <w:szCs w:val="20"/>
                <w:lang w:val="en-US"/>
              </w:rPr>
              <w:t>Manufacture of fluoropolymers</w:t>
            </w:r>
          </w:p>
        </w:tc>
        <w:tc>
          <w:tcPr>
            <w:tcW w:w="2500" w:type="pct"/>
            <w:tcBorders>
              <w:top w:val="single" w:sz="4" w:space="0" w:color="auto"/>
              <w:bottom w:val="single" w:sz="4" w:space="0" w:color="auto"/>
              <w:right w:val="nil"/>
            </w:tcBorders>
            <w:shd w:val="clear" w:color="auto" w:fill="auto"/>
            <w:tcMar>
              <w:left w:w="108" w:type="dxa"/>
              <w:right w:w="108" w:type="dxa"/>
            </w:tcMar>
          </w:tcPr>
          <w:p w14:paraId="20E28D41" w14:textId="77777777" w:rsidR="00213A86" w:rsidRPr="00292C4E" w:rsidRDefault="00213A86" w:rsidP="00BB6E8A">
            <w:pPr>
              <w:spacing w:before="20" w:after="20" w:line="240" w:lineRule="auto"/>
              <w:rPr>
                <w:sz w:val="20"/>
                <w:szCs w:val="20"/>
              </w:rPr>
            </w:pPr>
            <w:r w:rsidRPr="00292C4E">
              <w:rPr>
                <w:rFonts w:cstheme="minorHAnsi"/>
                <w:sz w:val="20"/>
                <w:szCs w:val="20"/>
                <w:lang w:val="en-US"/>
              </w:rPr>
              <w:t>Photo imaging including film</w:t>
            </w:r>
          </w:p>
        </w:tc>
      </w:tr>
      <w:tr w:rsidR="00213A86" w:rsidRPr="00292C4E" w14:paraId="250639FF" w14:textId="77777777" w:rsidTr="00BB6E8A">
        <w:tc>
          <w:tcPr>
            <w:tcW w:w="2500" w:type="pct"/>
            <w:tcBorders>
              <w:top w:val="single" w:sz="4" w:space="0" w:color="auto"/>
              <w:bottom w:val="single" w:sz="4" w:space="0" w:color="auto"/>
              <w:right w:val="single" w:sz="4" w:space="0" w:color="auto"/>
            </w:tcBorders>
          </w:tcPr>
          <w:p w14:paraId="129D107D" w14:textId="77777777" w:rsidR="00213A86" w:rsidRPr="00292C4E" w:rsidRDefault="00213A86" w:rsidP="00BB6E8A">
            <w:pPr>
              <w:pStyle w:val="TableText"/>
              <w:spacing w:before="20" w:after="20"/>
              <w:rPr>
                <w:rFonts w:cstheme="minorHAnsi"/>
                <w:sz w:val="20"/>
                <w:szCs w:val="20"/>
                <w:lang w:val="en-US"/>
              </w:rPr>
            </w:pPr>
            <w:r w:rsidRPr="00292C4E">
              <w:rPr>
                <w:rFonts w:cstheme="minorHAnsi"/>
                <w:sz w:val="20"/>
                <w:szCs w:val="20"/>
                <w:lang w:val="en-US"/>
              </w:rPr>
              <w:t>Paint</w:t>
            </w:r>
          </w:p>
        </w:tc>
        <w:tc>
          <w:tcPr>
            <w:tcW w:w="2500" w:type="pct"/>
            <w:tcBorders>
              <w:top w:val="single" w:sz="4" w:space="0" w:color="auto"/>
              <w:bottom w:val="single" w:sz="4" w:space="0" w:color="auto"/>
              <w:right w:val="nil"/>
            </w:tcBorders>
            <w:shd w:val="clear" w:color="auto" w:fill="auto"/>
            <w:tcMar>
              <w:left w:w="108" w:type="dxa"/>
              <w:right w:w="108" w:type="dxa"/>
            </w:tcMar>
          </w:tcPr>
          <w:p w14:paraId="2E8E52AB" w14:textId="77777777" w:rsidR="00213A86" w:rsidRPr="00292C4E" w:rsidRDefault="00213A86" w:rsidP="00BB6E8A">
            <w:pPr>
              <w:pStyle w:val="TableText"/>
              <w:spacing w:before="20" w:after="20"/>
              <w:rPr>
                <w:sz w:val="20"/>
                <w:szCs w:val="20"/>
              </w:rPr>
            </w:pPr>
            <w:r w:rsidRPr="00292C4E">
              <w:rPr>
                <w:rFonts w:cstheme="minorHAnsi"/>
                <w:sz w:val="20"/>
                <w:szCs w:val="20"/>
                <w:lang w:val="en-US"/>
              </w:rPr>
              <w:t>Plastics</w:t>
            </w:r>
          </w:p>
        </w:tc>
      </w:tr>
      <w:tr w:rsidR="00213A86" w:rsidRPr="00292C4E" w14:paraId="49811470" w14:textId="77777777" w:rsidTr="00BB6E8A">
        <w:tc>
          <w:tcPr>
            <w:tcW w:w="2500" w:type="pct"/>
            <w:tcBorders>
              <w:top w:val="single" w:sz="4" w:space="0" w:color="auto"/>
              <w:bottom w:val="single" w:sz="4" w:space="0" w:color="auto"/>
              <w:right w:val="single" w:sz="4" w:space="0" w:color="auto"/>
            </w:tcBorders>
          </w:tcPr>
          <w:p w14:paraId="7AEBB73C" w14:textId="77777777" w:rsidR="00213A86" w:rsidRPr="00292C4E" w:rsidRDefault="00213A86" w:rsidP="00BB6E8A">
            <w:pPr>
              <w:spacing w:before="20" w:after="20" w:line="240" w:lineRule="auto"/>
              <w:rPr>
                <w:rFonts w:cstheme="minorHAnsi"/>
                <w:sz w:val="20"/>
                <w:szCs w:val="20"/>
                <w:lang w:val="en-US"/>
              </w:rPr>
            </w:pPr>
            <w:r w:rsidRPr="00292C4E">
              <w:rPr>
                <w:rFonts w:cstheme="minorHAnsi"/>
                <w:sz w:val="20"/>
                <w:szCs w:val="20"/>
                <w:lang w:val="en-US"/>
              </w:rPr>
              <w:t>Photographic film additives</w:t>
            </w:r>
          </w:p>
        </w:tc>
        <w:tc>
          <w:tcPr>
            <w:tcW w:w="2500" w:type="pct"/>
            <w:tcBorders>
              <w:top w:val="single" w:sz="4" w:space="0" w:color="auto"/>
              <w:bottom w:val="single" w:sz="4" w:space="0" w:color="auto"/>
              <w:right w:val="nil"/>
            </w:tcBorders>
            <w:shd w:val="clear" w:color="auto" w:fill="auto"/>
            <w:tcMar>
              <w:left w:w="108" w:type="dxa"/>
              <w:right w:w="108" w:type="dxa"/>
            </w:tcMar>
          </w:tcPr>
          <w:p w14:paraId="3FE18390" w14:textId="77777777" w:rsidR="00213A86" w:rsidRPr="00292C4E" w:rsidRDefault="00213A86" w:rsidP="00BB6E8A">
            <w:pPr>
              <w:spacing w:before="20" w:after="20" w:line="240" w:lineRule="auto"/>
              <w:rPr>
                <w:rFonts w:cstheme="minorHAnsi"/>
                <w:sz w:val="20"/>
                <w:szCs w:val="20"/>
                <w:lang w:val="en-US"/>
              </w:rPr>
            </w:pPr>
            <w:r>
              <w:rPr>
                <w:rFonts w:cstheme="minorHAnsi"/>
                <w:sz w:val="20"/>
                <w:szCs w:val="20"/>
                <w:lang w:val="en-US"/>
              </w:rPr>
              <w:t>S</w:t>
            </w:r>
            <w:r w:rsidRPr="005F0B24">
              <w:rPr>
                <w:rFonts w:cstheme="minorHAnsi"/>
                <w:sz w:val="20"/>
                <w:szCs w:val="20"/>
                <w:lang w:val="en-US"/>
              </w:rPr>
              <w:t>emi-conductors</w:t>
            </w:r>
          </w:p>
        </w:tc>
      </w:tr>
      <w:tr w:rsidR="00213A86" w:rsidRPr="00292C4E" w14:paraId="45ADB6CD" w14:textId="77777777" w:rsidTr="00BB6E8A">
        <w:tc>
          <w:tcPr>
            <w:tcW w:w="2500" w:type="pct"/>
            <w:tcBorders>
              <w:top w:val="single" w:sz="4" w:space="0" w:color="auto"/>
              <w:bottom w:val="single" w:sz="4" w:space="0" w:color="auto"/>
              <w:right w:val="single" w:sz="4" w:space="0" w:color="auto"/>
            </w:tcBorders>
          </w:tcPr>
          <w:p w14:paraId="77F9E074" w14:textId="77777777" w:rsidR="00213A86" w:rsidRPr="00292C4E" w:rsidRDefault="00213A86" w:rsidP="00BB6E8A">
            <w:pPr>
              <w:spacing w:before="20" w:after="20" w:line="240" w:lineRule="auto"/>
              <w:rPr>
                <w:rFonts w:cstheme="minorHAnsi"/>
                <w:sz w:val="20"/>
                <w:szCs w:val="20"/>
                <w:lang w:val="en-US"/>
              </w:rPr>
            </w:pPr>
            <w:r w:rsidRPr="00292C4E">
              <w:rPr>
                <w:rFonts w:cstheme="minorHAnsi"/>
                <w:sz w:val="20"/>
                <w:szCs w:val="20"/>
                <w:lang w:val="en-US"/>
              </w:rPr>
              <w:t>Primer for non-stick metal cookware</w:t>
            </w:r>
          </w:p>
        </w:tc>
        <w:tc>
          <w:tcPr>
            <w:tcW w:w="2500" w:type="pct"/>
            <w:tcBorders>
              <w:top w:val="single" w:sz="4" w:space="0" w:color="auto"/>
              <w:bottom w:val="single" w:sz="4" w:space="0" w:color="auto"/>
              <w:right w:val="nil"/>
            </w:tcBorders>
            <w:shd w:val="clear" w:color="auto" w:fill="auto"/>
            <w:tcMar>
              <w:left w:w="108" w:type="dxa"/>
              <w:right w:w="108" w:type="dxa"/>
            </w:tcMar>
          </w:tcPr>
          <w:p w14:paraId="4824C531" w14:textId="77777777" w:rsidR="00213A86" w:rsidRPr="00292C4E" w:rsidRDefault="00213A86" w:rsidP="00BB6E8A">
            <w:pPr>
              <w:spacing w:before="20" w:after="20" w:line="240" w:lineRule="auto"/>
              <w:rPr>
                <w:sz w:val="20"/>
                <w:szCs w:val="20"/>
              </w:rPr>
            </w:pPr>
            <w:r>
              <w:rPr>
                <w:sz w:val="20"/>
                <w:szCs w:val="20"/>
              </w:rPr>
              <w:t>T</w:t>
            </w:r>
            <w:r w:rsidRPr="00292C4E">
              <w:rPr>
                <w:sz w:val="20"/>
                <w:szCs w:val="20"/>
              </w:rPr>
              <w:t>reated home textile and upholstery</w:t>
            </w:r>
          </w:p>
        </w:tc>
      </w:tr>
      <w:tr w:rsidR="00213A86" w:rsidRPr="00292C4E" w14:paraId="06B4A8C5" w14:textId="77777777" w:rsidTr="00BB6E8A">
        <w:tc>
          <w:tcPr>
            <w:tcW w:w="2500" w:type="pct"/>
            <w:tcBorders>
              <w:top w:val="single" w:sz="4" w:space="0" w:color="auto"/>
              <w:bottom w:val="single" w:sz="4" w:space="0" w:color="auto"/>
              <w:right w:val="single" w:sz="4" w:space="0" w:color="auto"/>
            </w:tcBorders>
          </w:tcPr>
          <w:p w14:paraId="344AB3AF" w14:textId="77777777" w:rsidR="00213A86" w:rsidRPr="00292C4E" w:rsidRDefault="00213A86" w:rsidP="00BB6E8A">
            <w:pPr>
              <w:spacing w:before="20" w:after="20" w:line="240" w:lineRule="auto"/>
              <w:rPr>
                <w:rFonts w:cstheme="minorHAnsi"/>
                <w:sz w:val="20"/>
                <w:szCs w:val="20"/>
                <w:lang w:val="en-US"/>
              </w:rPr>
            </w:pPr>
            <w:r w:rsidRPr="00292C4E">
              <w:rPr>
                <w:rFonts w:cstheme="minorHAnsi"/>
                <w:sz w:val="20"/>
                <w:szCs w:val="20"/>
                <w:lang w:val="en-US"/>
              </w:rPr>
              <w:t>Side-chain fluorinated polymers</w:t>
            </w:r>
          </w:p>
        </w:tc>
        <w:tc>
          <w:tcPr>
            <w:tcW w:w="2500" w:type="pct"/>
            <w:tcBorders>
              <w:top w:val="single" w:sz="4" w:space="0" w:color="auto"/>
              <w:bottom w:val="single" w:sz="4" w:space="0" w:color="auto"/>
              <w:right w:val="nil"/>
            </w:tcBorders>
            <w:shd w:val="clear" w:color="auto" w:fill="auto"/>
            <w:tcMar>
              <w:left w:w="108" w:type="dxa"/>
              <w:right w:w="108" w:type="dxa"/>
            </w:tcMar>
          </w:tcPr>
          <w:p w14:paraId="30DC18EA" w14:textId="77777777" w:rsidR="00213A86" w:rsidRPr="00292C4E" w:rsidRDefault="00213A86" w:rsidP="00BB6E8A">
            <w:pPr>
              <w:spacing w:before="20" w:after="20" w:line="240" w:lineRule="auto"/>
              <w:rPr>
                <w:rFonts w:cstheme="minorHAnsi"/>
                <w:sz w:val="20"/>
                <w:szCs w:val="20"/>
                <w:lang w:val="en-US"/>
              </w:rPr>
            </w:pPr>
            <w:r>
              <w:rPr>
                <w:sz w:val="20"/>
                <w:szCs w:val="20"/>
              </w:rPr>
              <w:t>T</w:t>
            </w:r>
            <w:r w:rsidRPr="00292C4E">
              <w:rPr>
                <w:sz w:val="20"/>
                <w:szCs w:val="20"/>
              </w:rPr>
              <w:t>reated non-woven medical garments</w:t>
            </w:r>
          </w:p>
        </w:tc>
      </w:tr>
      <w:tr w:rsidR="00213A86" w:rsidRPr="00292C4E" w14:paraId="0055B1DC" w14:textId="77777777" w:rsidTr="00BB6E8A">
        <w:tc>
          <w:tcPr>
            <w:tcW w:w="2500" w:type="pct"/>
            <w:tcBorders>
              <w:top w:val="single" w:sz="4" w:space="0" w:color="auto"/>
              <w:bottom w:val="single" w:sz="4" w:space="0" w:color="auto"/>
              <w:right w:val="single" w:sz="4" w:space="0" w:color="auto"/>
            </w:tcBorders>
          </w:tcPr>
          <w:p w14:paraId="5BBB4649" w14:textId="77777777" w:rsidR="00213A86" w:rsidRPr="00292C4E" w:rsidRDefault="00213A86" w:rsidP="00BB6E8A">
            <w:pPr>
              <w:spacing w:before="20" w:after="20" w:line="240" w:lineRule="auto"/>
              <w:rPr>
                <w:rFonts w:cstheme="minorHAnsi"/>
                <w:sz w:val="20"/>
                <w:szCs w:val="20"/>
                <w:lang w:val="en-US"/>
              </w:rPr>
            </w:pPr>
            <w:r w:rsidRPr="00292C4E">
              <w:rPr>
                <w:rFonts w:cstheme="minorHAnsi"/>
                <w:sz w:val="20"/>
                <w:szCs w:val="20"/>
                <w:lang w:val="en-US"/>
              </w:rPr>
              <w:t>Ski waxes</w:t>
            </w:r>
          </w:p>
        </w:tc>
        <w:tc>
          <w:tcPr>
            <w:tcW w:w="2500" w:type="pct"/>
            <w:tcBorders>
              <w:top w:val="single" w:sz="4" w:space="0" w:color="auto"/>
              <w:bottom w:val="single" w:sz="4" w:space="0" w:color="auto"/>
              <w:right w:val="nil"/>
            </w:tcBorders>
            <w:shd w:val="clear" w:color="auto" w:fill="auto"/>
            <w:tcMar>
              <w:left w:w="108" w:type="dxa"/>
              <w:right w:w="108" w:type="dxa"/>
            </w:tcMar>
          </w:tcPr>
          <w:p w14:paraId="3A844B9E" w14:textId="77777777" w:rsidR="00213A86" w:rsidRPr="00292C4E" w:rsidRDefault="00213A86" w:rsidP="00BB6E8A">
            <w:pPr>
              <w:spacing w:before="20" w:after="20" w:line="240" w:lineRule="auto"/>
              <w:rPr>
                <w:rFonts w:cstheme="minorHAnsi"/>
                <w:sz w:val="20"/>
                <w:szCs w:val="20"/>
                <w:lang w:val="en-US"/>
              </w:rPr>
            </w:pPr>
          </w:p>
        </w:tc>
      </w:tr>
      <w:tr w:rsidR="00213A86" w:rsidRPr="00292C4E" w14:paraId="19EB9A1A" w14:textId="77777777" w:rsidTr="00BB6E8A">
        <w:tc>
          <w:tcPr>
            <w:tcW w:w="2500" w:type="pct"/>
            <w:tcBorders>
              <w:top w:val="single" w:sz="4" w:space="0" w:color="auto"/>
              <w:bottom w:val="single" w:sz="4" w:space="0" w:color="auto"/>
              <w:right w:val="single" w:sz="4" w:space="0" w:color="auto"/>
            </w:tcBorders>
          </w:tcPr>
          <w:p w14:paraId="72950702" w14:textId="77777777" w:rsidR="00213A86" w:rsidRPr="00292C4E" w:rsidRDefault="00213A86" w:rsidP="00BB6E8A">
            <w:pPr>
              <w:spacing w:before="20" w:after="20" w:line="240" w:lineRule="auto"/>
              <w:rPr>
                <w:rFonts w:cstheme="minorHAnsi"/>
                <w:sz w:val="20"/>
                <w:szCs w:val="20"/>
                <w:lang w:val="en-US"/>
              </w:rPr>
            </w:pPr>
            <w:r>
              <w:rPr>
                <w:rFonts w:cstheme="minorHAnsi"/>
                <w:sz w:val="20"/>
                <w:szCs w:val="20"/>
                <w:lang w:val="en-US"/>
              </w:rPr>
              <w:t>S</w:t>
            </w:r>
            <w:r w:rsidRPr="00292C4E">
              <w:rPr>
                <w:rFonts w:cstheme="minorHAnsi"/>
                <w:sz w:val="20"/>
                <w:szCs w:val="20"/>
                <w:lang w:val="en-US"/>
              </w:rPr>
              <w:t>tain- and water-resistant coatings</w:t>
            </w:r>
          </w:p>
        </w:tc>
        <w:tc>
          <w:tcPr>
            <w:tcW w:w="2500" w:type="pct"/>
            <w:tcBorders>
              <w:top w:val="single" w:sz="4" w:space="0" w:color="auto"/>
              <w:bottom w:val="single" w:sz="4" w:space="0" w:color="auto"/>
              <w:right w:val="nil"/>
            </w:tcBorders>
            <w:shd w:val="clear" w:color="auto" w:fill="auto"/>
            <w:tcMar>
              <w:left w:w="108" w:type="dxa"/>
              <w:right w:w="108" w:type="dxa"/>
            </w:tcMar>
          </w:tcPr>
          <w:p w14:paraId="5A3AB982" w14:textId="77777777" w:rsidR="00213A86" w:rsidRPr="00292C4E" w:rsidRDefault="00213A86" w:rsidP="00BB6E8A">
            <w:pPr>
              <w:spacing w:before="20" w:after="20" w:line="240" w:lineRule="auto"/>
              <w:rPr>
                <w:rFonts w:cstheme="minorHAnsi"/>
                <w:sz w:val="20"/>
                <w:szCs w:val="20"/>
                <w:lang w:val="en-US"/>
              </w:rPr>
            </w:pPr>
          </w:p>
        </w:tc>
      </w:tr>
      <w:tr w:rsidR="00213A86" w:rsidRPr="00292C4E" w14:paraId="35724166" w14:textId="77777777" w:rsidTr="00BB6E8A">
        <w:tc>
          <w:tcPr>
            <w:tcW w:w="2500" w:type="pct"/>
            <w:tcBorders>
              <w:top w:val="single" w:sz="4" w:space="0" w:color="auto"/>
              <w:bottom w:val="single" w:sz="4" w:space="0" w:color="auto"/>
              <w:right w:val="single" w:sz="4" w:space="0" w:color="auto"/>
            </w:tcBorders>
          </w:tcPr>
          <w:p w14:paraId="7E83A42B" w14:textId="77777777" w:rsidR="00213A86" w:rsidRPr="00292C4E" w:rsidRDefault="00213A86" w:rsidP="00BB6E8A">
            <w:pPr>
              <w:spacing w:before="20" w:after="20" w:line="240" w:lineRule="auto"/>
              <w:rPr>
                <w:rFonts w:cstheme="minorHAnsi"/>
                <w:sz w:val="20"/>
                <w:szCs w:val="20"/>
                <w:lang w:val="en-US"/>
              </w:rPr>
            </w:pPr>
            <w:r w:rsidRPr="00292C4E">
              <w:rPr>
                <w:rFonts w:cstheme="minorHAnsi"/>
                <w:sz w:val="20"/>
                <w:szCs w:val="20"/>
                <w:lang w:val="en-US"/>
              </w:rPr>
              <w:t>Wetting agents or cleaners</w:t>
            </w:r>
          </w:p>
        </w:tc>
        <w:tc>
          <w:tcPr>
            <w:tcW w:w="2500" w:type="pct"/>
            <w:tcBorders>
              <w:top w:val="single" w:sz="4" w:space="0" w:color="auto"/>
              <w:bottom w:val="single" w:sz="4" w:space="0" w:color="auto"/>
              <w:right w:val="nil"/>
            </w:tcBorders>
            <w:shd w:val="clear" w:color="auto" w:fill="auto"/>
            <w:tcMar>
              <w:left w:w="108" w:type="dxa"/>
              <w:right w:w="108" w:type="dxa"/>
            </w:tcMar>
          </w:tcPr>
          <w:p w14:paraId="1B3E05D3" w14:textId="77777777" w:rsidR="00213A86" w:rsidRPr="00292C4E" w:rsidRDefault="00213A86" w:rsidP="00BB6E8A">
            <w:pPr>
              <w:spacing w:before="20" w:after="20" w:line="240" w:lineRule="auto"/>
              <w:rPr>
                <w:rFonts w:cstheme="minorHAnsi"/>
                <w:sz w:val="20"/>
                <w:szCs w:val="20"/>
                <w:lang w:val="en-US"/>
              </w:rPr>
            </w:pPr>
          </w:p>
        </w:tc>
      </w:tr>
      <w:tr w:rsidR="00213A86" w:rsidRPr="00292C4E" w14:paraId="417B453D" w14:textId="77777777" w:rsidTr="00BB6E8A">
        <w:tc>
          <w:tcPr>
            <w:tcW w:w="2500" w:type="pct"/>
            <w:tcBorders>
              <w:top w:val="single" w:sz="4" w:space="0" w:color="auto"/>
              <w:bottom w:val="single" w:sz="4" w:space="0" w:color="auto"/>
              <w:right w:val="single" w:sz="4" w:space="0" w:color="auto"/>
            </w:tcBorders>
          </w:tcPr>
          <w:p w14:paraId="7B43C669" w14:textId="77777777" w:rsidR="00213A86" w:rsidRPr="00292C4E" w:rsidRDefault="00213A86" w:rsidP="00BB6E8A">
            <w:pPr>
              <w:spacing w:before="20" w:after="20" w:line="240" w:lineRule="auto"/>
              <w:rPr>
                <w:rFonts w:cstheme="minorHAnsi"/>
                <w:sz w:val="20"/>
                <w:szCs w:val="20"/>
                <w:lang w:val="en-US"/>
              </w:rPr>
            </w:pPr>
            <w:r w:rsidRPr="00292C4E">
              <w:rPr>
                <w:rFonts w:cstheme="minorHAnsi"/>
                <w:sz w:val="20"/>
                <w:szCs w:val="20"/>
                <w:lang w:val="en-US"/>
              </w:rPr>
              <w:t>Textile and carpet protection products</w:t>
            </w:r>
          </w:p>
        </w:tc>
        <w:tc>
          <w:tcPr>
            <w:tcW w:w="2500" w:type="pct"/>
            <w:tcBorders>
              <w:top w:val="single" w:sz="4" w:space="0" w:color="auto"/>
              <w:bottom w:val="single" w:sz="4" w:space="0" w:color="auto"/>
              <w:right w:val="nil"/>
            </w:tcBorders>
            <w:shd w:val="clear" w:color="auto" w:fill="auto"/>
            <w:tcMar>
              <w:left w:w="108" w:type="dxa"/>
              <w:right w:w="108" w:type="dxa"/>
            </w:tcMar>
          </w:tcPr>
          <w:p w14:paraId="721F9A9C" w14:textId="77777777" w:rsidR="00213A86" w:rsidRPr="00292C4E" w:rsidRDefault="00213A86" w:rsidP="00BB6E8A">
            <w:pPr>
              <w:spacing w:before="20" w:after="20" w:line="240" w:lineRule="auto"/>
              <w:rPr>
                <w:rFonts w:cstheme="minorHAnsi"/>
                <w:sz w:val="20"/>
                <w:szCs w:val="20"/>
                <w:lang w:val="en-US"/>
              </w:rPr>
            </w:pPr>
          </w:p>
        </w:tc>
      </w:tr>
      <w:tr w:rsidR="00213A86" w:rsidRPr="00292C4E" w14:paraId="5AFA3EF6" w14:textId="77777777" w:rsidTr="00BB6E8A">
        <w:tc>
          <w:tcPr>
            <w:tcW w:w="2500" w:type="pct"/>
            <w:tcBorders>
              <w:top w:val="single" w:sz="4" w:space="0" w:color="auto"/>
              <w:bottom w:val="single" w:sz="4" w:space="0" w:color="auto"/>
              <w:right w:val="single" w:sz="4" w:space="0" w:color="auto"/>
            </w:tcBorders>
          </w:tcPr>
          <w:p w14:paraId="311C04A9" w14:textId="77777777" w:rsidR="00213A86" w:rsidRPr="00292C4E" w:rsidRDefault="00213A86" w:rsidP="00BB6E8A">
            <w:pPr>
              <w:spacing w:before="20" w:after="20" w:line="240" w:lineRule="auto"/>
              <w:rPr>
                <w:rFonts w:cstheme="minorHAnsi"/>
                <w:sz w:val="20"/>
                <w:szCs w:val="20"/>
                <w:lang w:val="en-US"/>
              </w:rPr>
            </w:pPr>
            <w:r w:rsidRPr="00292C4E">
              <w:rPr>
                <w:rFonts w:cstheme="minorHAnsi"/>
                <w:sz w:val="20"/>
                <w:szCs w:val="20"/>
                <w:lang w:val="en-US"/>
              </w:rPr>
              <w:t>Thread sealant tapes and pastes</w:t>
            </w:r>
          </w:p>
        </w:tc>
        <w:tc>
          <w:tcPr>
            <w:tcW w:w="2500" w:type="pct"/>
            <w:tcBorders>
              <w:top w:val="single" w:sz="4" w:space="0" w:color="auto"/>
              <w:bottom w:val="single" w:sz="4" w:space="0" w:color="auto"/>
              <w:right w:val="nil"/>
            </w:tcBorders>
            <w:shd w:val="clear" w:color="auto" w:fill="auto"/>
            <w:tcMar>
              <w:left w:w="108" w:type="dxa"/>
              <w:right w:w="108" w:type="dxa"/>
            </w:tcMar>
          </w:tcPr>
          <w:p w14:paraId="1AEB9685" w14:textId="77777777" w:rsidR="00213A86" w:rsidRPr="00292C4E" w:rsidRDefault="00213A86" w:rsidP="00BB6E8A">
            <w:pPr>
              <w:spacing w:before="20" w:after="20" w:line="240" w:lineRule="auto"/>
              <w:rPr>
                <w:rFonts w:cstheme="minorHAnsi"/>
                <w:sz w:val="20"/>
                <w:szCs w:val="20"/>
                <w:lang w:val="en-US"/>
              </w:rPr>
            </w:pPr>
          </w:p>
        </w:tc>
      </w:tr>
    </w:tbl>
    <w:p w14:paraId="4D4E4A9E" w14:textId="77777777" w:rsidR="00213A86" w:rsidRPr="00F00148" w:rsidRDefault="00213A86" w:rsidP="00213A86">
      <w:pPr>
        <w:spacing w:after="60"/>
        <w:rPr>
          <w:sz w:val="20"/>
          <w:szCs w:val="20"/>
          <w:lang w:eastAsia="ja-JP"/>
        </w:rPr>
      </w:pPr>
      <w:r w:rsidRPr="00F00148">
        <w:rPr>
          <w:sz w:val="20"/>
          <w:szCs w:val="20"/>
        </w:rPr>
        <w:t xml:space="preserve">Sources of Information: </w:t>
      </w:r>
      <w:r w:rsidRPr="00F00148">
        <w:rPr>
          <w:sz w:val="20"/>
          <w:szCs w:val="20"/>
          <w:lang w:eastAsia="ja-JP"/>
        </w:rPr>
        <w:t xml:space="preserve">APCO </w:t>
      </w:r>
      <w:hyperlink r:id="rId15" w:history="1">
        <w:r w:rsidRPr="00F00148">
          <w:rPr>
            <w:rStyle w:val="Hyperlink"/>
            <w:sz w:val="20"/>
            <w:szCs w:val="20"/>
            <w:lang w:eastAsia="ja-JP"/>
          </w:rPr>
          <w:t>PFAS in Fibre-Based Packaging – Version 1</w:t>
        </w:r>
      </w:hyperlink>
      <w:r w:rsidRPr="00F00148">
        <w:rPr>
          <w:rStyle w:val="Hyperlink"/>
          <w:sz w:val="20"/>
          <w:szCs w:val="20"/>
          <w:lang w:eastAsia="ja-JP"/>
        </w:rPr>
        <w:t xml:space="preserve">; </w:t>
      </w:r>
      <w:r w:rsidRPr="00F00148">
        <w:rPr>
          <w:sz w:val="20"/>
          <w:szCs w:val="20"/>
          <w:lang w:eastAsia="ja-JP"/>
        </w:rPr>
        <w:t xml:space="preserve">NICNAS </w:t>
      </w:r>
      <w:hyperlink r:id="rId16" w:history="1">
        <w:r w:rsidRPr="00F00148">
          <w:rPr>
            <w:rStyle w:val="Hyperlink"/>
            <w:sz w:val="20"/>
            <w:szCs w:val="20"/>
            <w:lang w:eastAsia="ja-JP"/>
          </w:rPr>
          <w:t>Perfluorooctanoic acid (PFOA) and its Direct Precursors: Human Health Tier II Assessmen</w:t>
        </w:r>
        <w:r>
          <w:rPr>
            <w:rStyle w:val="Hyperlink"/>
            <w:sz w:val="20"/>
            <w:szCs w:val="20"/>
            <w:lang w:eastAsia="ja-JP"/>
          </w:rPr>
          <w:t>t (PDF 192 KB)</w:t>
        </w:r>
      </w:hyperlink>
      <w:r w:rsidRPr="00F00148">
        <w:rPr>
          <w:sz w:val="20"/>
          <w:szCs w:val="20"/>
          <w:lang w:eastAsia="ja-JP"/>
        </w:rPr>
        <w:t xml:space="preserve"> </w:t>
      </w:r>
      <w:r>
        <w:rPr>
          <w:sz w:val="20"/>
          <w:szCs w:val="20"/>
          <w:lang w:eastAsia="ja-JP"/>
        </w:rPr>
        <w:t>and</w:t>
      </w:r>
      <w:r w:rsidRPr="00F00148">
        <w:rPr>
          <w:sz w:val="20"/>
          <w:szCs w:val="20"/>
          <w:lang w:eastAsia="ja-JP"/>
        </w:rPr>
        <w:t xml:space="preserve"> </w:t>
      </w:r>
      <w:hyperlink r:id="rId17" w:history="1">
        <w:r w:rsidRPr="00F00148">
          <w:rPr>
            <w:rStyle w:val="Hyperlink"/>
            <w:sz w:val="20"/>
            <w:szCs w:val="20"/>
          </w:rPr>
          <w:t>Indirect Precursors of Perfluorooctanoic Acid (PFOA): Human health tier II assessmen</w:t>
        </w:r>
        <w:r>
          <w:rPr>
            <w:rStyle w:val="Hyperlink"/>
            <w:sz w:val="20"/>
            <w:szCs w:val="20"/>
          </w:rPr>
          <w:t>t (PDF 281 KB)</w:t>
        </w:r>
      </w:hyperlink>
      <w:r>
        <w:rPr>
          <w:sz w:val="20"/>
          <w:szCs w:val="20"/>
        </w:rPr>
        <w:t>;</w:t>
      </w:r>
      <w:r w:rsidRPr="00F00148">
        <w:rPr>
          <w:sz w:val="20"/>
          <w:szCs w:val="20"/>
        </w:rPr>
        <w:t xml:space="preserve"> </w:t>
      </w:r>
      <w:r w:rsidRPr="00F00148">
        <w:rPr>
          <w:sz w:val="20"/>
          <w:szCs w:val="20"/>
          <w:lang w:eastAsia="ja-JP"/>
        </w:rPr>
        <w:t xml:space="preserve">UNEP </w:t>
      </w:r>
      <w:hyperlink r:id="rId18" w:history="1">
        <w:r>
          <w:rPr>
            <w:rStyle w:val="Hyperlink"/>
            <w:sz w:val="20"/>
            <w:szCs w:val="20"/>
            <w:lang w:eastAsia="ja-JP"/>
          </w:rPr>
          <w:t>R</w:t>
        </w:r>
        <w:r w:rsidRPr="00F00148">
          <w:rPr>
            <w:rStyle w:val="Hyperlink"/>
            <w:sz w:val="20"/>
            <w:szCs w:val="20"/>
            <w:lang w:eastAsia="ja-JP"/>
          </w:rPr>
          <w:t xml:space="preserve">isk profile on </w:t>
        </w:r>
        <w:proofErr w:type="spellStart"/>
        <w:r w:rsidRPr="00F00148">
          <w:rPr>
            <w:rStyle w:val="Hyperlink"/>
            <w:sz w:val="20"/>
            <w:szCs w:val="20"/>
            <w:lang w:eastAsia="ja-JP"/>
          </w:rPr>
          <w:t>Pentadecafluorooctanoic</w:t>
        </w:r>
        <w:proofErr w:type="spellEnd"/>
        <w:r w:rsidRPr="00F00148">
          <w:rPr>
            <w:rStyle w:val="Hyperlink"/>
            <w:sz w:val="20"/>
            <w:szCs w:val="20"/>
            <w:lang w:eastAsia="ja-JP"/>
          </w:rPr>
          <w:t xml:space="preserve"> Acid (CAS No: 335-67-1, PFOA, perfluorooctanoic acid), its salts and PFOA-related compounds (Addendum</w:t>
        </w:r>
        <w:r>
          <w:rPr>
            <w:rStyle w:val="Hyperlink"/>
            <w:sz w:val="20"/>
            <w:szCs w:val="20"/>
            <w:lang w:eastAsia="ja-JP"/>
          </w:rPr>
          <w:t>) (PDF 483)</w:t>
        </w:r>
      </w:hyperlink>
    </w:p>
    <w:p w14:paraId="7141B008" w14:textId="77777777" w:rsidR="00213A86" w:rsidRDefault="00213A86" w:rsidP="00114BB2">
      <w:pPr>
        <w:pStyle w:val="ListBullet"/>
        <w:numPr>
          <w:ilvl w:val="0"/>
          <w:numId w:val="0"/>
        </w:numPr>
      </w:pPr>
    </w:p>
    <w:p w14:paraId="634C0FB6" w14:textId="692A5922" w:rsidR="003276EF" w:rsidRDefault="00505320" w:rsidP="00715354">
      <w:r>
        <w:t xml:space="preserve">PFOA chemicals </w:t>
      </w:r>
      <w:r w:rsidR="003238A6">
        <w:t>may also be introduced into Australi</w:t>
      </w:r>
      <w:r w:rsidR="0055155D">
        <w:t>a</w:t>
      </w:r>
      <w:r w:rsidR="003238A6">
        <w:t xml:space="preserve"> in finished goods</w:t>
      </w:r>
      <w:r w:rsidR="00227B6E">
        <w:t>,</w:t>
      </w:r>
      <w:r w:rsidR="007375F2">
        <w:t xml:space="preserve"> </w:t>
      </w:r>
      <w:r w:rsidR="003238A6">
        <w:t xml:space="preserve">particularly </w:t>
      </w:r>
      <w:r w:rsidRPr="00B830DD">
        <w:t xml:space="preserve">as an additive </w:t>
      </w:r>
      <w:r>
        <w:t xml:space="preserve">or </w:t>
      </w:r>
      <w:r w:rsidR="00447AF7">
        <w:t xml:space="preserve">surface </w:t>
      </w:r>
      <w:r>
        <w:t>treatment</w:t>
      </w:r>
      <w:r w:rsidR="0087538B">
        <w:t xml:space="preserve">. A wide range of goods containing </w:t>
      </w:r>
      <w:r w:rsidR="00AA5CC8">
        <w:t>PFOA chemicals</w:t>
      </w:r>
      <w:r w:rsidR="00CB5F51">
        <w:t xml:space="preserve"> </w:t>
      </w:r>
      <w:r w:rsidR="008A7A43">
        <w:t>are</w:t>
      </w:r>
      <w:r w:rsidR="00051A41">
        <w:t xml:space="preserve"> </w:t>
      </w:r>
      <w:r w:rsidR="005C3665">
        <w:t>identified</w:t>
      </w:r>
      <w:r w:rsidR="00447AF7">
        <w:t xml:space="preserve"> in </w:t>
      </w:r>
      <w:r w:rsidR="00AF0C3D">
        <w:t xml:space="preserve">the </w:t>
      </w:r>
      <w:r w:rsidR="004C2FB1" w:rsidRPr="008E1D14">
        <w:t>S</w:t>
      </w:r>
      <w:r w:rsidR="0000656D" w:rsidRPr="008E1D14">
        <w:t>t</w:t>
      </w:r>
      <w:r w:rsidR="001E5B77" w:rsidRPr="008E1D14">
        <w:t>ock</w:t>
      </w:r>
      <w:r w:rsidR="004C2FB1" w:rsidRPr="008E1D14">
        <w:t>holm Convention P</w:t>
      </w:r>
      <w:r w:rsidR="00AF0C3D" w:rsidRPr="008E1D14">
        <w:t>FOA risk profile</w:t>
      </w:r>
      <w:r w:rsidR="00051A41">
        <w:rPr>
          <w:rStyle w:val="Hyperlink"/>
        </w:rPr>
        <w:t>;</w:t>
      </w:r>
      <w:r w:rsidR="00AF0C3D">
        <w:t xml:space="preserve"> </w:t>
      </w:r>
      <w:r w:rsidR="006F1361">
        <w:t xml:space="preserve">from </w:t>
      </w:r>
      <w:r w:rsidR="00DB5967">
        <w:t>food packaging and containers</w:t>
      </w:r>
      <w:r w:rsidR="006F1361">
        <w:t xml:space="preserve"> to </w:t>
      </w:r>
      <w:r w:rsidR="00BF0E65">
        <w:t>automotive</w:t>
      </w:r>
      <w:r w:rsidR="00F30AC5">
        <w:t xml:space="preserve"> </w:t>
      </w:r>
      <w:r w:rsidR="00904DEF">
        <w:t>parts</w:t>
      </w:r>
      <w:r w:rsidR="006F1361">
        <w:t xml:space="preserve"> and </w:t>
      </w:r>
      <w:r w:rsidR="00C84EBA">
        <w:t xml:space="preserve">construction </w:t>
      </w:r>
      <w:r w:rsidR="00A67F2B">
        <w:t>materials</w:t>
      </w:r>
      <w:r w:rsidR="00A83C80">
        <w:t xml:space="preserve"> (</w:t>
      </w:r>
      <w:r w:rsidR="00A83C80">
        <w:fldChar w:fldCharType="begin"/>
      </w:r>
      <w:r w:rsidR="00A83C80">
        <w:instrText xml:space="preserve"> REF _Ref107387180 \h </w:instrText>
      </w:r>
      <w:r w:rsidR="00A83C80">
        <w:fldChar w:fldCharType="separate"/>
      </w:r>
      <w:r w:rsidR="00A83C80">
        <w:t xml:space="preserve">Table </w:t>
      </w:r>
      <w:r w:rsidR="00A83C80">
        <w:rPr>
          <w:noProof/>
        </w:rPr>
        <w:t>1</w:t>
      </w:r>
      <w:r w:rsidR="00A83C80">
        <w:fldChar w:fldCharType="end"/>
      </w:r>
      <w:r w:rsidR="00A83C80">
        <w:t>)</w:t>
      </w:r>
      <w:r w:rsidR="006F1361">
        <w:t>.</w:t>
      </w:r>
    </w:p>
    <w:p w14:paraId="07C7BECB" w14:textId="6EC99568" w:rsidR="00715354" w:rsidRDefault="00AB0D29" w:rsidP="00715354">
      <w:r>
        <w:t>Finished g</w:t>
      </w:r>
      <w:r w:rsidR="00D062BF">
        <w:t xml:space="preserve">oods </w:t>
      </w:r>
      <w:r w:rsidR="00447AF7">
        <w:t xml:space="preserve">can </w:t>
      </w:r>
      <w:r w:rsidR="005C3665">
        <w:t xml:space="preserve">be </w:t>
      </w:r>
      <w:r>
        <w:t xml:space="preserve">a significant source </w:t>
      </w:r>
      <w:r w:rsidR="003276EF">
        <w:t>of PFOA chemicals</w:t>
      </w:r>
      <w:r w:rsidR="00D062BF">
        <w:t>. For exam</w:t>
      </w:r>
      <w:r w:rsidR="004431CB">
        <w:t>ple</w:t>
      </w:r>
      <w:r w:rsidR="0026335B">
        <w:t xml:space="preserve">, in the </w:t>
      </w:r>
      <w:r w:rsidR="004C2FB1" w:rsidRPr="008E1D14">
        <w:t>Stockholm Convention P</w:t>
      </w:r>
      <w:r w:rsidR="00954758" w:rsidRPr="008E1D14">
        <w:t>FOA risk profile</w:t>
      </w:r>
      <w:r w:rsidR="0026335B">
        <w:t>,</w:t>
      </w:r>
      <w:r w:rsidR="00954758">
        <w:t xml:space="preserve"> </w:t>
      </w:r>
      <w:r w:rsidR="004431CB">
        <w:t xml:space="preserve">it was </w:t>
      </w:r>
      <w:r w:rsidR="008319B4">
        <w:t xml:space="preserve">estimated </w:t>
      </w:r>
      <w:r w:rsidR="002E3F14">
        <w:t xml:space="preserve">that textiles imported into the European Union in </w:t>
      </w:r>
      <w:r w:rsidR="00B468BD">
        <w:t xml:space="preserve">2014 contained </w:t>
      </w:r>
      <w:r w:rsidR="00DB4E80">
        <w:t>1000 to 10,000 tonnes of PFOA chemicals</w:t>
      </w:r>
      <w:r w:rsidR="00B468BD">
        <w:t>.</w:t>
      </w:r>
    </w:p>
    <w:p w14:paraId="25E19AE2" w14:textId="242F0BF3" w:rsidR="00200DC2" w:rsidRPr="008E1D14" w:rsidRDefault="00200DC2" w:rsidP="00463D1E">
      <w:pPr>
        <w:pStyle w:val="Heading2"/>
        <w:rPr>
          <w:rFonts w:asciiTheme="majorHAnsi" w:hAnsiTheme="majorHAnsi"/>
        </w:rPr>
      </w:pPr>
      <w:r w:rsidRPr="008E1D14">
        <w:rPr>
          <w:rFonts w:asciiTheme="majorHAnsi" w:hAnsiTheme="majorHAnsi"/>
        </w:rPr>
        <w:t>Controls under the Stockholm Convention</w:t>
      </w:r>
    </w:p>
    <w:p w14:paraId="18E421D7" w14:textId="58E7CB33" w:rsidR="00200DC2" w:rsidRDefault="00200DC2" w:rsidP="00200DC2">
      <w:pPr>
        <w:rPr>
          <w:lang w:eastAsia="ja-JP"/>
        </w:rPr>
      </w:pPr>
      <w:r>
        <w:rPr>
          <w:lang w:eastAsia="ja-JP"/>
        </w:rPr>
        <w:t xml:space="preserve">PFOA chemicals are listed in Annex A of the </w:t>
      </w:r>
      <w:r w:rsidR="0090283A" w:rsidRPr="001E5B77">
        <w:t>Stockholm Convention for persistent organic pollutants</w:t>
      </w:r>
      <w:r>
        <w:rPr>
          <w:lang w:eastAsia="ja-JP"/>
        </w:rPr>
        <w:t xml:space="preserve"> for elimination of global production and use.</w:t>
      </w:r>
      <w:r w:rsidR="00D35087">
        <w:rPr>
          <w:lang w:eastAsia="ja-JP"/>
        </w:rPr>
        <w:t xml:space="preserve"> </w:t>
      </w:r>
      <w:bookmarkStart w:id="4" w:name="_Hlk104459319"/>
      <w:r w:rsidR="006F285D">
        <w:rPr>
          <w:lang w:eastAsia="ja-JP"/>
        </w:rPr>
        <w:t>R</w:t>
      </w:r>
      <w:r w:rsidR="00D35087" w:rsidRPr="00D35087">
        <w:rPr>
          <w:lang w:eastAsia="ja-JP"/>
        </w:rPr>
        <w:t>estrictions on import, manufacture</w:t>
      </w:r>
      <w:r w:rsidR="004B5481">
        <w:rPr>
          <w:lang w:eastAsia="ja-JP"/>
        </w:rPr>
        <w:t>, use and disposal</w:t>
      </w:r>
      <w:r w:rsidR="00D35087" w:rsidRPr="00D35087">
        <w:rPr>
          <w:lang w:eastAsia="ja-JP"/>
        </w:rPr>
        <w:t xml:space="preserve"> of these chemicals </w:t>
      </w:r>
      <w:r w:rsidR="006F285D">
        <w:rPr>
          <w:lang w:eastAsia="ja-JP"/>
        </w:rPr>
        <w:t xml:space="preserve">apply </w:t>
      </w:r>
      <w:r w:rsidR="00D35087" w:rsidRPr="00D35087">
        <w:rPr>
          <w:lang w:eastAsia="ja-JP"/>
        </w:rPr>
        <w:t>in countries which have ratified the PF</w:t>
      </w:r>
      <w:r w:rsidR="008F43D3">
        <w:rPr>
          <w:lang w:eastAsia="ja-JP"/>
        </w:rPr>
        <w:t>OA</w:t>
      </w:r>
      <w:r w:rsidR="00D35087" w:rsidRPr="00D35087">
        <w:rPr>
          <w:lang w:eastAsia="ja-JP"/>
        </w:rPr>
        <w:t xml:space="preserve"> amendment to the Stockholm convention</w:t>
      </w:r>
      <w:r w:rsidR="00D35087">
        <w:rPr>
          <w:lang w:eastAsia="ja-JP"/>
        </w:rPr>
        <w:t xml:space="preserve">. </w:t>
      </w:r>
      <w:bookmarkStart w:id="5" w:name="_Hlk107398065"/>
      <w:r w:rsidR="00D35087">
        <w:rPr>
          <w:lang w:eastAsia="ja-JP"/>
        </w:rPr>
        <w:t xml:space="preserve">Australia has not </w:t>
      </w:r>
      <w:r w:rsidR="00051A41">
        <w:rPr>
          <w:lang w:eastAsia="ja-JP"/>
        </w:rPr>
        <w:t xml:space="preserve">yet </w:t>
      </w:r>
      <w:r w:rsidR="00D35087">
        <w:rPr>
          <w:lang w:eastAsia="ja-JP"/>
        </w:rPr>
        <w:t>ratified this amendment.</w:t>
      </w:r>
      <w:bookmarkEnd w:id="4"/>
    </w:p>
    <w:bookmarkEnd w:id="5"/>
    <w:p w14:paraId="02F30043" w14:textId="67848F69" w:rsidR="00200DC2" w:rsidRDefault="00200DC2" w:rsidP="00200DC2">
      <w:pPr>
        <w:rPr>
          <w:lang w:eastAsia="ja-JP"/>
        </w:rPr>
      </w:pPr>
      <w:r>
        <w:rPr>
          <w:lang w:eastAsia="ja-JP"/>
        </w:rPr>
        <w:lastRenderedPageBreak/>
        <w:t>The</w:t>
      </w:r>
      <w:r w:rsidR="0041170E">
        <w:rPr>
          <w:lang w:eastAsia="ja-JP"/>
        </w:rPr>
        <w:t xml:space="preserve"> Stockholm Convention has </w:t>
      </w:r>
      <w:hyperlink r:id="rId19" w:history="1">
        <w:r w:rsidRPr="0025792D">
          <w:rPr>
            <w:rStyle w:val="Hyperlink"/>
            <w:lang w:eastAsia="ja-JP"/>
          </w:rPr>
          <w:t>specific exemptions</w:t>
        </w:r>
      </w:hyperlink>
      <w:r w:rsidR="0025792D">
        <w:rPr>
          <w:lang w:eastAsia="ja-JP"/>
        </w:rPr>
        <w:t xml:space="preserve"> </w:t>
      </w:r>
      <w:r>
        <w:rPr>
          <w:lang w:eastAsia="ja-JP"/>
        </w:rPr>
        <w:t xml:space="preserve">that allow production </w:t>
      </w:r>
      <w:r w:rsidR="009A7EA8">
        <w:rPr>
          <w:lang w:eastAsia="ja-JP"/>
        </w:rPr>
        <w:t xml:space="preserve">or </w:t>
      </w:r>
      <w:r>
        <w:rPr>
          <w:lang w:eastAsia="ja-JP"/>
        </w:rPr>
        <w:t>use of PFOA chemicals</w:t>
      </w:r>
      <w:r w:rsidR="003C4808">
        <w:rPr>
          <w:lang w:eastAsia="ja-JP"/>
        </w:rPr>
        <w:t xml:space="preserve"> on a time limited basis. Exempted uses </w:t>
      </w:r>
      <w:r w:rsidR="009A7EA8">
        <w:rPr>
          <w:lang w:eastAsia="ja-JP"/>
        </w:rPr>
        <w:t>currently include, but are not limited to, fire</w:t>
      </w:r>
      <w:r w:rsidR="00B257E5">
        <w:rPr>
          <w:lang w:eastAsia="ja-JP"/>
        </w:rPr>
        <w:t>-</w:t>
      </w:r>
      <w:r w:rsidR="009A7EA8">
        <w:rPr>
          <w:lang w:eastAsia="ja-JP"/>
        </w:rPr>
        <w:t>fighting foam for liquid fuel vapour suppression and liquid fuel fires (Class B fires) in installed systems, in some medical devices</w:t>
      </w:r>
      <w:r w:rsidR="00DB329B">
        <w:rPr>
          <w:lang w:eastAsia="ja-JP"/>
        </w:rPr>
        <w:t xml:space="preserve"> and </w:t>
      </w:r>
      <w:r w:rsidR="009A7EA8">
        <w:rPr>
          <w:lang w:eastAsia="ja-JP"/>
        </w:rPr>
        <w:t>filtration media</w:t>
      </w:r>
      <w:r w:rsidR="001E7ACE">
        <w:rPr>
          <w:lang w:eastAsia="ja-JP"/>
        </w:rPr>
        <w:t>,</w:t>
      </w:r>
      <w:r w:rsidR="009A7EA8">
        <w:rPr>
          <w:lang w:eastAsia="ja-JP"/>
        </w:rPr>
        <w:t xml:space="preserve"> and as oil and water </w:t>
      </w:r>
      <w:r w:rsidR="005C7D2E">
        <w:rPr>
          <w:lang w:eastAsia="ja-JP"/>
        </w:rPr>
        <w:t xml:space="preserve">repellents </w:t>
      </w:r>
      <w:r w:rsidR="009A7EA8">
        <w:rPr>
          <w:lang w:eastAsia="ja-JP"/>
        </w:rPr>
        <w:t>for certain textiles</w:t>
      </w:r>
      <w:r w:rsidR="00DB329B">
        <w:rPr>
          <w:lang w:eastAsia="ja-JP"/>
        </w:rPr>
        <w:t xml:space="preserve"> to meet safety requirements</w:t>
      </w:r>
      <w:r w:rsidR="009A7EA8">
        <w:rPr>
          <w:lang w:eastAsia="ja-JP"/>
        </w:rPr>
        <w:t xml:space="preserve">. </w:t>
      </w:r>
    </w:p>
    <w:p w14:paraId="2906C04E" w14:textId="1787153E" w:rsidR="007556DA" w:rsidRDefault="001E7ACE" w:rsidP="00C2231B">
      <w:pPr>
        <w:rPr>
          <w:lang w:eastAsia="ja-JP"/>
        </w:rPr>
      </w:pPr>
      <w:r>
        <w:rPr>
          <w:lang w:val="en-US" w:eastAsia="ja-JP"/>
        </w:rPr>
        <w:t>The w</w:t>
      </w:r>
      <w:r w:rsidRPr="00380CF5">
        <w:rPr>
          <w:lang w:val="en-US" w:eastAsia="ja-JP"/>
        </w:rPr>
        <w:t>aste management requirements of Article 6 apply</w:t>
      </w:r>
      <w:r>
        <w:rPr>
          <w:lang w:val="en-US" w:eastAsia="ja-JP"/>
        </w:rPr>
        <w:t xml:space="preserve"> for PFOA chemicals, which i</w:t>
      </w:r>
      <w:r w:rsidRPr="00380CF5">
        <w:rPr>
          <w:lang w:val="en-US" w:eastAsia="ja-JP"/>
        </w:rPr>
        <w:t>nclude</w:t>
      </w:r>
      <w:r>
        <w:rPr>
          <w:lang w:val="en-US" w:eastAsia="ja-JP"/>
        </w:rPr>
        <w:t>s</w:t>
      </w:r>
      <w:r w:rsidRPr="00380CF5">
        <w:rPr>
          <w:lang w:val="en-US" w:eastAsia="ja-JP"/>
        </w:rPr>
        <w:t xml:space="preserve"> measures to manage stockpiles and waste disposal in an environmentally sound manner to eliminate or </w:t>
      </w:r>
      <w:proofErr w:type="spellStart"/>
      <w:r w:rsidRPr="00380CF5">
        <w:rPr>
          <w:lang w:val="en-US" w:eastAsia="ja-JP"/>
        </w:rPr>
        <w:t>minimise</w:t>
      </w:r>
      <w:proofErr w:type="spellEnd"/>
      <w:r w:rsidRPr="00380CF5">
        <w:rPr>
          <w:lang w:val="en-US" w:eastAsia="ja-JP"/>
        </w:rPr>
        <w:t xml:space="preserve"> releases. </w:t>
      </w:r>
    </w:p>
    <w:p w14:paraId="715BD18B" w14:textId="54FCB585" w:rsidR="00715354" w:rsidRPr="008E1D14" w:rsidRDefault="00715354" w:rsidP="00E02A48">
      <w:pPr>
        <w:pStyle w:val="Heading2"/>
        <w:rPr>
          <w:rFonts w:asciiTheme="majorHAnsi" w:hAnsiTheme="majorHAnsi"/>
        </w:rPr>
      </w:pPr>
      <w:r w:rsidRPr="008E1D14">
        <w:rPr>
          <w:rFonts w:asciiTheme="majorHAnsi" w:hAnsiTheme="majorHAnsi"/>
        </w:rPr>
        <w:t>Chemical identity</w:t>
      </w:r>
    </w:p>
    <w:p w14:paraId="2E1457B8" w14:textId="5C9B50EE" w:rsidR="00A40D02" w:rsidRDefault="00A40D02" w:rsidP="00E02A48">
      <w:pPr>
        <w:spacing w:after="80"/>
      </w:pPr>
      <w:r>
        <w:t xml:space="preserve">PFOA chemicals </w:t>
      </w:r>
      <w:r w:rsidR="00452F10">
        <w:t>include</w:t>
      </w:r>
      <w:r>
        <w:t>:</w:t>
      </w:r>
    </w:p>
    <w:p w14:paraId="5D75F181" w14:textId="4D64B382" w:rsidR="00A40D02" w:rsidRDefault="00A40D02" w:rsidP="00E02A48">
      <w:pPr>
        <w:pStyle w:val="ListNumber3"/>
        <w:spacing w:before="0" w:after="80"/>
      </w:pPr>
      <w:bookmarkStart w:id="6" w:name="_Hlk108515553"/>
      <w:r>
        <w:t>P</w:t>
      </w:r>
      <w:r w:rsidR="00CF7A3D">
        <w:t>erfluoro</w:t>
      </w:r>
      <w:r>
        <w:t>octanoic acid</w:t>
      </w:r>
      <w:r w:rsidR="003A41E6">
        <w:t xml:space="preserve">, </w:t>
      </w:r>
      <w:r w:rsidR="002920F5">
        <w:t xml:space="preserve">or PFOA, </w:t>
      </w:r>
      <w:r>
        <w:t xml:space="preserve">(CAS No: 335-67-1), including any of its branched </w:t>
      </w:r>
      <w:proofErr w:type="gramStart"/>
      <w:r>
        <w:t>isomers</w:t>
      </w:r>
      <w:proofErr w:type="gramEnd"/>
    </w:p>
    <w:p w14:paraId="10BEBC88" w14:textId="359A6266" w:rsidR="00A40D02" w:rsidRDefault="00A40D02" w:rsidP="00E02A48">
      <w:pPr>
        <w:pStyle w:val="ListNumber3"/>
        <w:spacing w:before="0" w:after="80"/>
      </w:pPr>
      <w:r>
        <w:t>PFOA salts</w:t>
      </w:r>
    </w:p>
    <w:p w14:paraId="187C5E01" w14:textId="1901A12E" w:rsidR="00A40D02" w:rsidRDefault="00A40D02" w:rsidP="00AA0660">
      <w:pPr>
        <w:pStyle w:val="ListNumber3"/>
      </w:pPr>
      <w:r>
        <w:t>substances with the potential to degrade to PFOA in the environment, including any substances (including salts and polymers) having a linear or branched perfluoroheptyl group with the moiety (C</w:t>
      </w:r>
      <w:r w:rsidRPr="009E2EDC">
        <w:rPr>
          <w:vertAlign w:val="subscript"/>
        </w:rPr>
        <w:t>7</w:t>
      </w:r>
      <w:r>
        <w:t>F</w:t>
      </w:r>
      <w:proofErr w:type="gramStart"/>
      <w:r w:rsidRPr="009E2EDC">
        <w:rPr>
          <w:vertAlign w:val="subscript"/>
        </w:rPr>
        <w:t>15</w:t>
      </w:r>
      <w:r w:rsidRPr="00AA0660">
        <w:t>)C</w:t>
      </w:r>
      <w:proofErr w:type="gramEnd"/>
      <w:r>
        <w:t xml:space="preserve"> as one of the structural elements.</w:t>
      </w:r>
    </w:p>
    <w:bookmarkEnd w:id="6"/>
    <w:p w14:paraId="17739387" w14:textId="03CD5676" w:rsidR="00A40D02" w:rsidRDefault="00482F1C" w:rsidP="00A40D02">
      <w:pPr>
        <w:pStyle w:val="ListNumber2"/>
        <w:keepNext/>
        <w:numPr>
          <w:ilvl w:val="0"/>
          <w:numId w:val="0"/>
        </w:numPr>
      </w:pPr>
      <w:r>
        <w:rPr>
          <w:noProof/>
        </w:rPr>
        <w:drawing>
          <wp:inline distT="0" distB="0" distL="0" distR="0" wp14:anchorId="79067920" wp14:editId="48B88567">
            <wp:extent cx="6084570" cy="1933575"/>
            <wp:effectExtent l="0" t="0" r="0" b="9525"/>
            <wp:docPr id="1" name="Picture 1" descr="The perfluorooctanoate a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erfluorooctanoate anion"/>
                    <pic:cNvPicPr/>
                  </pic:nvPicPr>
                  <pic:blipFill rotWithShape="1">
                    <a:blip r:embed="rId20" cstate="print">
                      <a:extLst>
                        <a:ext uri="{28A0092B-C50C-407E-A947-70E740481C1C}">
                          <a14:useLocalDpi xmlns:a14="http://schemas.microsoft.com/office/drawing/2010/main" val="0"/>
                        </a:ext>
                      </a:extLst>
                    </a:blip>
                    <a:srcRect t="27030" b="32582"/>
                    <a:stretch/>
                  </pic:blipFill>
                  <pic:spPr bwMode="auto">
                    <a:xfrm>
                      <a:off x="0" y="0"/>
                      <a:ext cx="6084570" cy="1933575"/>
                    </a:xfrm>
                    <a:prstGeom prst="rect">
                      <a:avLst/>
                    </a:prstGeom>
                    <a:ln>
                      <a:noFill/>
                    </a:ln>
                    <a:extLst>
                      <a:ext uri="{53640926-AAD7-44D8-BBD7-CCE9431645EC}">
                        <a14:shadowObscured xmlns:a14="http://schemas.microsoft.com/office/drawing/2010/main"/>
                      </a:ext>
                    </a:extLst>
                  </pic:spPr>
                </pic:pic>
              </a:graphicData>
            </a:graphic>
          </wp:inline>
        </w:drawing>
      </w:r>
    </w:p>
    <w:p w14:paraId="6E910E37" w14:textId="3D88B83F" w:rsidR="00A40D02" w:rsidRDefault="00A40D02" w:rsidP="00A40D02">
      <w:pPr>
        <w:pStyle w:val="Caption"/>
      </w:pPr>
      <w:r w:rsidRPr="001D743C">
        <w:t xml:space="preserve">Figure </w:t>
      </w:r>
      <w:r w:rsidR="00362E4E">
        <w:fldChar w:fldCharType="begin"/>
      </w:r>
      <w:r w:rsidR="00362E4E">
        <w:instrText xml:space="preserve"> SEQ Figure \* ARABIC </w:instrText>
      </w:r>
      <w:r w:rsidR="00362E4E">
        <w:fldChar w:fldCharType="separate"/>
      </w:r>
      <w:r w:rsidRPr="001D743C">
        <w:t>1</w:t>
      </w:r>
      <w:r w:rsidR="00362E4E">
        <w:fldChar w:fldCharType="end"/>
      </w:r>
      <w:r w:rsidRPr="001D743C">
        <w:t xml:space="preserve"> </w:t>
      </w:r>
      <w:r w:rsidR="00421CC6" w:rsidRPr="001D743C">
        <w:t>The</w:t>
      </w:r>
      <w:r w:rsidRPr="001D743C">
        <w:t xml:space="preserve"> perfluorooctanoate anion</w:t>
      </w:r>
      <w:r w:rsidR="001720E2">
        <w:t xml:space="preserve">, </w:t>
      </w:r>
      <w:bookmarkStart w:id="7" w:name="_Hlk103786639"/>
      <w:r w:rsidR="001720E2">
        <w:t xml:space="preserve">to which all PFOA chemicals eventually transform in the environment </w:t>
      </w:r>
      <w:bookmarkEnd w:id="7"/>
      <w:r w:rsidR="001D743C">
        <w:rPr>
          <w:lang w:val="en-US"/>
        </w:rPr>
        <w:t>(Key: carbon: grey, fluorine: teal, oxygen: red)</w:t>
      </w:r>
      <w:r w:rsidRPr="001720E2">
        <w:t>.</w:t>
      </w:r>
      <w:r w:rsidR="001D743C">
        <w:t xml:space="preserve"> </w:t>
      </w:r>
    </w:p>
    <w:p w14:paraId="7B88D1C9" w14:textId="3D719AEE" w:rsidR="00A3603F" w:rsidRDefault="00CA7D68" w:rsidP="00A3603F">
      <w:pPr>
        <w:spacing w:before="200"/>
      </w:pPr>
      <w:r>
        <w:t xml:space="preserve">PFOA </w:t>
      </w:r>
      <w:r w:rsidRPr="00937482">
        <w:t xml:space="preserve">is highly stable due to the strength of the carbon-fluorine bonds. </w:t>
      </w:r>
      <w:r w:rsidR="00A3603F">
        <w:t>PFO</w:t>
      </w:r>
      <w:r w:rsidR="00FF0330">
        <w:t>A</w:t>
      </w:r>
      <w:r w:rsidR="00A3603F">
        <w:t xml:space="preserve"> chemicals are a subset of a broad group of synthetic chemicals known as PFAS that have been in use since the 1950s to make </w:t>
      </w:r>
      <w:r w:rsidR="007556DA">
        <w:t xml:space="preserve">a wide variety of </w:t>
      </w:r>
      <w:r w:rsidR="00A3603F">
        <w:t xml:space="preserve">products that resist heat, other </w:t>
      </w:r>
      <w:proofErr w:type="gramStart"/>
      <w:r w:rsidR="00A3603F">
        <w:t>chemicals</w:t>
      </w:r>
      <w:proofErr w:type="gramEnd"/>
      <w:r w:rsidR="00A3603F">
        <w:t xml:space="preserve"> and abrasion.</w:t>
      </w:r>
    </w:p>
    <w:p w14:paraId="0D8D05E8" w14:textId="0DC9B6CC" w:rsidR="003A54F4" w:rsidRPr="008E1D14" w:rsidRDefault="00326C72" w:rsidP="003A54F4">
      <w:pPr>
        <w:pStyle w:val="Heading2"/>
        <w:rPr>
          <w:rFonts w:asciiTheme="majorHAnsi" w:hAnsiTheme="majorHAnsi"/>
          <w:lang w:val="en-US"/>
        </w:rPr>
      </w:pPr>
      <w:r>
        <w:t xml:space="preserve">An indicative list of compounds covered by the proposed scheduling decision for PFOA is available as part of the consultation package. </w:t>
      </w:r>
      <w:r w:rsidR="003A54F4" w:rsidRPr="008E1D14">
        <w:rPr>
          <w:rFonts w:asciiTheme="majorHAnsi" w:hAnsiTheme="majorHAnsi"/>
          <w:lang w:val="en-US"/>
        </w:rPr>
        <w:t xml:space="preserve">Hazards </w:t>
      </w:r>
      <w:r w:rsidR="00F456C4" w:rsidRPr="008E1D14">
        <w:rPr>
          <w:rFonts w:asciiTheme="majorHAnsi" w:hAnsiTheme="majorHAnsi"/>
          <w:lang w:val="en-US"/>
        </w:rPr>
        <w:t xml:space="preserve">and risks </w:t>
      </w:r>
      <w:r w:rsidR="003A54F4" w:rsidRPr="008E1D14">
        <w:rPr>
          <w:rFonts w:asciiTheme="majorHAnsi" w:hAnsiTheme="majorHAnsi"/>
          <w:lang w:val="en-US"/>
        </w:rPr>
        <w:t>to the environment</w:t>
      </w:r>
    </w:p>
    <w:p w14:paraId="762849A7" w14:textId="4A516EF5" w:rsidR="003A54F4" w:rsidRDefault="003A54F4" w:rsidP="003A54F4">
      <w:bookmarkStart w:id="8" w:name="_Hlk104382385"/>
      <w:r>
        <w:t>PFOA</w:t>
      </w:r>
      <w:r w:rsidR="00865A5B">
        <w:t xml:space="preserve"> </w:t>
      </w:r>
      <w:bookmarkStart w:id="9" w:name="_Hlk104461381"/>
      <w:r w:rsidR="00865A5B">
        <w:t xml:space="preserve">chemicals </w:t>
      </w:r>
      <w:r>
        <w:t xml:space="preserve">pose a risk to the environment because they </w:t>
      </w:r>
      <w:r w:rsidR="00A721F4">
        <w:t xml:space="preserve">are </w:t>
      </w:r>
      <w:r>
        <w:t>persistent, can be transported long distances</w:t>
      </w:r>
      <w:bookmarkStart w:id="10" w:name="_Hlk104461428"/>
      <w:r>
        <w:t xml:space="preserve">, </w:t>
      </w:r>
      <w:r w:rsidR="00BC2F90">
        <w:t xml:space="preserve">have </w:t>
      </w:r>
      <w:r w:rsidR="00BC2F90" w:rsidRPr="00BC2F90">
        <w:t xml:space="preserve">widespread occurrence in environmental compartments including </w:t>
      </w:r>
      <w:r w:rsidR="00AB3AA3">
        <w:t>in</w:t>
      </w:r>
      <w:r w:rsidR="00BC2F90" w:rsidRPr="00BC2F90">
        <w:t xml:space="preserve"> remote regions</w:t>
      </w:r>
      <w:r w:rsidR="00BC2F90">
        <w:t>,</w:t>
      </w:r>
      <w:r w:rsidR="00BC2F90" w:rsidRPr="00BC2F90">
        <w:t xml:space="preserve"> </w:t>
      </w:r>
      <w:bookmarkEnd w:id="10"/>
      <w:r>
        <w:t xml:space="preserve">accumulate through food chains, and can cause adverse effects to the environment and humans. </w:t>
      </w:r>
      <w:bookmarkEnd w:id="9"/>
    </w:p>
    <w:bookmarkEnd w:id="8"/>
    <w:p w14:paraId="029E8A9A" w14:textId="3E4EA29E" w:rsidR="003A54F4" w:rsidRDefault="00865A5B" w:rsidP="003A54F4">
      <w:r>
        <w:t xml:space="preserve">The </w:t>
      </w:r>
      <w:r w:rsidR="001445A5" w:rsidRPr="008E1D14">
        <w:t>Stockholm Convention</w:t>
      </w:r>
      <w:r w:rsidR="00593180" w:rsidRPr="008E1D14">
        <w:t xml:space="preserve"> PFOA</w:t>
      </w:r>
      <w:r w:rsidRPr="008E1D14">
        <w:t xml:space="preserve"> risk profile</w:t>
      </w:r>
      <w:r>
        <w:t xml:space="preserve"> </w:t>
      </w:r>
      <w:r w:rsidR="00A3013C">
        <w:t>concludes that</w:t>
      </w:r>
      <w:r>
        <w:t xml:space="preserve"> </w:t>
      </w:r>
      <w:r w:rsidR="003A54F4">
        <w:t xml:space="preserve">PFOA </w:t>
      </w:r>
      <w:r w:rsidR="001445A5">
        <w:t xml:space="preserve">can </w:t>
      </w:r>
      <w:r w:rsidR="003A54F4">
        <w:t>bioaccumulate and biomagnif</w:t>
      </w:r>
      <w:r w:rsidR="00FF2E8B">
        <w:t>y</w:t>
      </w:r>
      <w:r w:rsidR="003A54F4">
        <w:t xml:space="preserve"> in aquatic air-breathing mammals and terrestrial species including humans. PFOA </w:t>
      </w:r>
      <w:r w:rsidR="00D341C3">
        <w:t>is</w:t>
      </w:r>
      <w:r>
        <w:t xml:space="preserve"> </w:t>
      </w:r>
      <w:r w:rsidR="003A54F4">
        <w:t>toxic to animals including human</w:t>
      </w:r>
      <w:r w:rsidR="00817E1B">
        <w:t xml:space="preserve">s, </w:t>
      </w:r>
      <w:r w:rsidR="003A54F4">
        <w:t>with a wide range of effects</w:t>
      </w:r>
      <w:r w:rsidR="00526A85">
        <w:t xml:space="preserve"> including </w:t>
      </w:r>
      <w:r w:rsidR="003A54F4">
        <w:t>reproductive or developmental, immunotoxicity</w:t>
      </w:r>
      <w:r w:rsidR="00817E1B">
        <w:t xml:space="preserve"> and</w:t>
      </w:r>
      <w:r w:rsidR="003A54F4">
        <w:t xml:space="preserve"> endocrine disruption.</w:t>
      </w:r>
    </w:p>
    <w:p w14:paraId="60E1A527" w14:textId="67E430F0" w:rsidR="003A54F4" w:rsidRDefault="003A54F4" w:rsidP="003A54F4">
      <w:r>
        <w:lastRenderedPageBreak/>
        <w:t xml:space="preserve">Monitoring studies </w:t>
      </w:r>
      <w:r w:rsidR="00C8078D">
        <w:t>summarised</w:t>
      </w:r>
      <w:r w:rsidR="00C14519">
        <w:t xml:space="preserve"> in the </w:t>
      </w:r>
      <w:r w:rsidR="004C2FB1" w:rsidRPr="008E1D14">
        <w:t>Stockholm Convention P</w:t>
      </w:r>
      <w:r w:rsidR="00593180" w:rsidRPr="008E1D14">
        <w:t xml:space="preserve">FOA risk </w:t>
      </w:r>
      <w:r w:rsidR="00C14519" w:rsidRPr="008E1D14">
        <w:t>profile</w:t>
      </w:r>
      <w:r w:rsidR="00C14519">
        <w:t xml:space="preserve"> </w:t>
      </w:r>
      <w:r>
        <w:t xml:space="preserve">demonstrate that </w:t>
      </w:r>
      <w:r w:rsidR="00460B9C">
        <w:t>PFOA is</w:t>
      </w:r>
      <w:r>
        <w:t xml:space="preserve"> </w:t>
      </w:r>
      <w:r w:rsidR="00460B9C">
        <w:t xml:space="preserve">a </w:t>
      </w:r>
      <w:r>
        <w:t>widely dispersed environmental contaminant</w:t>
      </w:r>
      <w:r w:rsidR="00460B9C">
        <w:t xml:space="preserve"> </w:t>
      </w:r>
      <w:r>
        <w:t xml:space="preserve">including in water, </w:t>
      </w:r>
      <w:proofErr w:type="gramStart"/>
      <w:r>
        <w:t>air</w:t>
      </w:r>
      <w:proofErr w:type="gramEnd"/>
      <w:r w:rsidR="001445A5">
        <w:t xml:space="preserve"> and </w:t>
      </w:r>
      <w:r>
        <w:t>sediment biota at remote locations. Human exposure away from occupational settings takes place by consumption of drinking water and food</w:t>
      </w:r>
      <w:r w:rsidR="00EF58BB">
        <w:t>,</w:t>
      </w:r>
      <w:r>
        <w:t xml:space="preserve"> including breastfeeding, </w:t>
      </w:r>
      <w:r w:rsidR="00EF58BB">
        <w:t xml:space="preserve">through </w:t>
      </w:r>
      <w:r>
        <w:t xml:space="preserve">uptake of contaminated indoor air and dust </w:t>
      </w:r>
      <w:r w:rsidR="00D84DD9">
        <w:t xml:space="preserve">and </w:t>
      </w:r>
      <w:r>
        <w:t>from consumer products containing PFO</w:t>
      </w:r>
      <w:r w:rsidR="00E71D0A">
        <w:t>A</w:t>
      </w:r>
      <w:r>
        <w:t>.</w:t>
      </w:r>
    </w:p>
    <w:p w14:paraId="7B8FA644" w14:textId="2FD13F43" w:rsidR="003A54F4" w:rsidRPr="00B6058D" w:rsidRDefault="00E8036E" w:rsidP="003A54F4">
      <w:pPr>
        <w:pStyle w:val="Heading2"/>
        <w:rPr>
          <w:rFonts w:asciiTheme="majorHAnsi" w:hAnsiTheme="majorHAnsi"/>
          <w:lang w:val="en-US"/>
        </w:rPr>
      </w:pPr>
      <w:r w:rsidRPr="00B6058D">
        <w:rPr>
          <w:rFonts w:asciiTheme="majorHAnsi" w:hAnsiTheme="majorHAnsi"/>
          <w:lang w:val="en-US"/>
        </w:rPr>
        <w:t xml:space="preserve">Additional information: </w:t>
      </w:r>
      <w:r w:rsidR="00BF0EC2" w:rsidRPr="00B6058D">
        <w:rPr>
          <w:rFonts w:asciiTheme="majorHAnsi" w:hAnsiTheme="majorHAnsi"/>
          <w:lang w:val="en-US"/>
        </w:rPr>
        <w:t>r</w:t>
      </w:r>
      <w:r w:rsidR="003A54F4" w:rsidRPr="00B6058D">
        <w:rPr>
          <w:rFonts w:asciiTheme="majorHAnsi" w:hAnsiTheme="majorHAnsi"/>
          <w:lang w:val="en-US"/>
        </w:rPr>
        <w:t>egulation of PFOA chemicals</w:t>
      </w:r>
      <w:r w:rsidR="00B6058D" w:rsidRPr="00B6058D">
        <w:rPr>
          <w:rFonts w:asciiTheme="majorHAnsi" w:hAnsiTheme="majorHAnsi"/>
          <w:lang w:val="en-US"/>
        </w:rPr>
        <w:t xml:space="preserve"> in Australia</w:t>
      </w:r>
    </w:p>
    <w:p w14:paraId="1150C4AE" w14:textId="77777777" w:rsidR="00EF58BB" w:rsidRDefault="00C8078D" w:rsidP="000D289D">
      <w:pPr>
        <w:rPr>
          <w:lang w:eastAsia="ja-JP"/>
        </w:rPr>
      </w:pPr>
      <w:bookmarkStart w:id="11" w:name="_Hlk104904220"/>
      <w:bookmarkStart w:id="12" w:name="_Hlk103839424"/>
      <w:r>
        <w:rPr>
          <w:lang w:eastAsia="ja-JP"/>
        </w:rPr>
        <w:t>R</w:t>
      </w:r>
      <w:r w:rsidR="000D289D">
        <w:rPr>
          <w:lang w:eastAsia="ja-JP"/>
        </w:rPr>
        <w:t xml:space="preserve">egulatory and policy frameworks </w:t>
      </w:r>
      <w:r>
        <w:rPr>
          <w:lang w:eastAsia="ja-JP"/>
        </w:rPr>
        <w:t>for PFOA chemicals</w:t>
      </w:r>
      <w:r w:rsidR="000D289D">
        <w:rPr>
          <w:lang w:eastAsia="ja-JP"/>
        </w:rPr>
        <w:t xml:space="preserve"> includ</w:t>
      </w:r>
      <w:r>
        <w:rPr>
          <w:lang w:eastAsia="ja-JP"/>
        </w:rPr>
        <w:t>e</w:t>
      </w:r>
      <w:r w:rsidR="000D289D">
        <w:rPr>
          <w:lang w:eastAsia="ja-JP"/>
        </w:rPr>
        <w:t xml:space="preserve"> the</w:t>
      </w:r>
      <w:r w:rsidR="00463D1E">
        <w:rPr>
          <w:lang w:eastAsia="ja-JP"/>
        </w:rPr>
        <w:t xml:space="preserve"> </w:t>
      </w:r>
      <w:r w:rsidR="00463D1E" w:rsidRPr="006022A6">
        <w:rPr>
          <w:lang w:eastAsia="ja-JP"/>
        </w:rPr>
        <w:t>National PFAS Position Statement</w:t>
      </w:r>
      <w:r w:rsidR="00463D1E">
        <w:rPr>
          <w:lang w:eastAsia="ja-JP"/>
        </w:rPr>
        <w:t xml:space="preserve">, </w:t>
      </w:r>
      <w:r w:rsidR="000D289D">
        <w:rPr>
          <w:lang w:eastAsia="ja-JP"/>
        </w:rPr>
        <w:t>Australian Industrial Chemicals Introduction Scheme (AICIS), workplace safety and hazardous waste regulatory systems</w:t>
      </w:r>
      <w:r w:rsidR="004E36D6">
        <w:rPr>
          <w:lang w:eastAsia="ja-JP"/>
        </w:rPr>
        <w:t>,</w:t>
      </w:r>
      <w:r w:rsidR="000D289D">
        <w:rPr>
          <w:lang w:eastAsia="ja-JP"/>
        </w:rPr>
        <w:t xml:space="preserve"> and state and territory environmental legislation. </w:t>
      </w:r>
    </w:p>
    <w:p w14:paraId="2D66A2E9" w14:textId="72646A59" w:rsidR="000D289D" w:rsidRDefault="000D289D" w:rsidP="000D289D">
      <w:pPr>
        <w:rPr>
          <w:lang w:eastAsia="ja-JP"/>
        </w:rPr>
      </w:pPr>
      <w:r>
        <w:rPr>
          <w:lang w:eastAsia="ja-JP"/>
        </w:rPr>
        <w:t>Key regulations and policies, noting this is not a comprehensive list, include:</w:t>
      </w:r>
      <w:bookmarkEnd w:id="11"/>
      <w:r>
        <w:rPr>
          <w:lang w:eastAsia="ja-JP"/>
        </w:rPr>
        <w:t xml:space="preserve"> </w:t>
      </w:r>
    </w:p>
    <w:bookmarkEnd w:id="12"/>
    <w:p w14:paraId="5F20EA66" w14:textId="77043DD1" w:rsidR="000D289D" w:rsidRDefault="000D289D" w:rsidP="001E5B77">
      <w:pPr>
        <w:pStyle w:val="ListParagraph"/>
        <w:numPr>
          <w:ilvl w:val="0"/>
          <w:numId w:val="10"/>
        </w:numPr>
        <w:spacing w:after="80"/>
        <w:contextualSpacing w:val="0"/>
        <w:rPr>
          <w:lang w:eastAsia="ja-JP"/>
        </w:rPr>
      </w:pPr>
      <w:r>
        <w:rPr>
          <w:lang w:eastAsia="ja-JP"/>
        </w:rPr>
        <w:t xml:space="preserve">A series of </w:t>
      </w:r>
      <w:hyperlink r:id="rId21" w:history="1">
        <w:r w:rsidR="004E36D6">
          <w:rPr>
            <w:rStyle w:val="Hyperlink"/>
            <w:lang w:eastAsia="ja-JP"/>
          </w:rPr>
          <w:t>advisory alerts</w:t>
        </w:r>
      </w:hyperlink>
      <w:r>
        <w:rPr>
          <w:lang w:eastAsia="ja-JP"/>
        </w:rPr>
        <w:t xml:space="preserve"> issued </w:t>
      </w:r>
      <w:r w:rsidR="001445A5">
        <w:rPr>
          <w:lang w:eastAsia="ja-JP"/>
        </w:rPr>
        <w:t>between</w:t>
      </w:r>
      <w:r>
        <w:rPr>
          <w:lang w:eastAsia="ja-JP"/>
        </w:rPr>
        <w:t xml:space="preserve"> 2002</w:t>
      </w:r>
      <w:r w:rsidR="001445A5">
        <w:rPr>
          <w:lang w:eastAsia="ja-JP"/>
        </w:rPr>
        <w:t xml:space="preserve"> and 2008</w:t>
      </w:r>
      <w:r>
        <w:rPr>
          <w:lang w:eastAsia="ja-JP"/>
        </w:rPr>
        <w:t xml:space="preserve"> under the National Industrial Chemical Notification and Assessment Scheme (NICNAS</w:t>
      </w:r>
      <w:r w:rsidR="00326C72">
        <w:rPr>
          <w:lang w:eastAsia="ja-JP"/>
        </w:rPr>
        <w:t>, since replaced by AICIS</w:t>
      </w:r>
      <w:r>
        <w:rPr>
          <w:lang w:eastAsia="ja-JP"/>
        </w:rPr>
        <w:t xml:space="preserve">) include recommendations that industry </w:t>
      </w:r>
      <w:r w:rsidR="00787AD6">
        <w:rPr>
          <w:lang w:eastAsia="ja-JP"/>
        </w:rPr>
        <w:t>p</w:t>
      </w:r>
      <w:r>
        <w:rPr>
          <w:lang w:eastAsia="ja-JP"/>
        </w:rPr>
        <w:t xml:space="preserve">hase out </w:t>
      </w:r>
      <w:r w:rsidR="00C8078D">
        <w:rPr>
          <w:lang w:eastAsia="ja-JP"/>
        </w:rPr>
        <w:t xml:space="preserve">PFOA </w:t>
      </w:r>
      <w:r>
        <w:rPr>
          <w:lang w:eastAsia="ja-JP"/>
        </w:rPr>
        <w:t>chemicals, avoid selecting PFOA as an alternative to PFOS</w:t>
      </w:r>
      <w:r w:rsidR="00787AD6">
        <w:rPr>
          <w:lang w:eastAsia="ja-JP"/>
        </w:rPr>
        <w:t xml:space="preserve"> </w:t>
      </w:r>
      <w:r>
        <w:rPr>
          <w:lang w:eastAsia="ja-JP"/>
        </w:rPr>
        <w:t xml:space="preserve">and </w:t>
      </w:r>
      <w:r w:rsidR="00C8078D">
        <w:rPr>
          <w:lang w:eastAsia="ja-JP"/>
        </w:rPr>
        <w:t xml:space="preserve">recommend </w:t>
      </w:r>
      <w:r>
        <w:rPr>
          <w:lang w:eastAsia="ja-JP"/>
        </w:rPr>
        <w:t>inclu</w:t>
      </w:r>
      <w:r w:rsidR="00C8078D">
        <w:rPr>
          <w:lang w:eastAsia="ja-JP"/>
        </w:rPr>
        <w:t>sion</w:t>
      </w:r>
      <w:r>
        <w:rPr>
          <w:lang w:eastAsia="ja-JP"/>
        </w:rPr>
        <w:t xml:space="preserve"> </w:t>
      </w:r>
      <w:r w:rsidR="00C8078D">
        <w:rPr>
          <w:lang w:eastAsia="ja-JP"/>
        </w:rPr>
        <w:t>of</w:t>
      </w:r>
      <w:r>
        <w:rPr>
          <w:lang w:eastAsia="ja-JP"/>
        </w:rPr>
        <w:t xml:space="preserve"> information on safe use and handling on product labels and safety data sheets. </w:t>
      </w:r>
    </w:p>
    <w:p w14:paraId="77391C2B" w14:textId="6C7BF23E" w:rsidR="003A54F4" w:rsidRDefault="003A54F4" w:rsidP="001E5B77">
      <w:pPr>
        <w:pStyle w:val="ListBullet"/>
        <w:numPr>
          <w:ilvl w:val="0"/>
          <w:numId w:val="9"/>
        </w:numPr>
        <w:spacing w:before="0" w:after="80"/>
        <w:ind w:left="425" w:hanging="425"/>
        <w:rPr>
          <w:lang w:eastAsia="ja-JP"/>
        </w:rPr>
      </w:pPr>
      <w:r>
        <w:rPr>
          <w:lang w:eastAsia="ja-JP"/>
        </w:rPr>
        <w:t xml:space="preserve">Many PFOA chemicals are listed on the </w:t>
      </w:r>
      <w:r w:rsidR="005C6DAC" w:rsidRPr="003A01F8">
        <w:rPr>
          <w:rStyle w:val="Hyperlink"/>
          <w:lang w:eastAsia="ja-JP"/>
        </w:rPr>
        <w:t>Australian Inventory of Industrial Chemicals</w:t>
      </w:r>
      <w:r w:rsidR="000477FE" w:rsidRPr="003A01F8">
        <w:rPr>
          <w:rStyle w:val="Hyperlink"/>
          <w:u w:val="none"/>
          <w:lang w:eastAsia="ja-JP"/>
        </w:rPr>
        <w:t xml:space="preserve"> </w:t>
      </w:r>
      <w:r w:rsidR="000477FE" w:rsidRPr="003A01F8">
        <w:rPr>
          <w:rStyle w:val="Hyperlink"/>
          <w:color w:val="auto"/>
          <w:u w:val="none"/>
          <w:lang w:eastAsia="ja-JP"/>
        </w:rPr>
        <w:t>(</w:t>
      </w:r>
      <w:hyperlink r:id="rId22" w:history="1">
        <w:r w:rsidR="000477FE" w:rsidRPr="005C6DAC">
          <w:rPr>
            <w:rStyle w:val="Hyperlink"/>
            <w:lang w:eastAsia="ja-JP"/>
          </w:rPr>
          <w:t>AIIC</w:t>
        </w:r>
      </w:hyperlink>
      <w:r w:rsidR="000477FE" w:rsidRPr="003A01F8">
        <w:rPr>
          <w:rStyle w:val="Hyperlink"/>
          <w:color w:val="auto"/>
          <w:u w:val="none"/>
          <w:lang w:eastAsia="ja-JP"/>
        </w:rPr>
        <w:t>)</w:t>
      </w:r>
      <w:r w:rsidRPr="005C6DAC">
        <w:rPr>
          <w:lang w:eastAsia="ja-JP"/>
        </w:rPr>
        <w:t xml:space="preserve">, </w:t>
      </w:r>
      <w:r>
        <w:rPr>
          <w:lang w:eastAsia="ja-JP"/>
        </w:rPr>
        <w:t xml:space="preserve">which means they can be introduced into Australia subject to any </w:t>
      </w:r>
      <w:r w:rsidR="004E36D6">
        <w:rPr>
          <w:lang w:eastAsia="ja-JP"/>
        </w:rPr>
        <w:t xml:space="preserve">AICIS </w:t>
      </w:r>
      <w:r>
        <w:rPr>
          <w:lang w:eastAsia="ja-JP"/>
        </w:rPr>
        <w:t>conditions on the listing.</w:t>
      </w:r>
    </w:p>
    <w:p w14:paraId="1B1C4617" w14:textId="0D2E8140" w:rsidR="00463D1E" w:rsidRDefault="00463D1E" w:rsidP="001E5B77">
      <w:pPr>
        <w:pStyle w:val="ListParagraph"/>
        <w:numPr>
          <w:ilvl w:val="0"/>
          <w:numId w:val="11"/>
        </w:numPr>
        <w:spacing w:after="80"/>
        <w:contextualSpacing w:val="0"/>
        <w:rPr>
          <w:lang w:eastAsia="ja-JP"/>
        </w:rPr>
      </w:pPr>
      <w:r>
        <w:rPr>
          <w:lang w:eastAsia="ja-JP"/>
        </w:rPr>
        <w:t>T</w:t>
      </w:r>
      <w:r w:rsidRPr="00783681">
        <w:rPr>
          <w:lang w:eastAsia="ja-JP"/>
        </w:rPr>
        <w:t xml:space="preserve">he </w:t>
      </w:r>
      <w:hyperlink r:id="rId23" w:history="1">
        <w:r w:rsidR="006022A6">
          <w:rPr>
            <w:rStyle w:val="Hyperlink"/>
            <w:lang w:eastAsia="ja-JP"/>
          </w:rPr>
          <w:t>National P</w:t>
        </w:r>
        <w:r w:rsidRPr="00783681">
          <w:rPr>
            <w:rStyle w:val="Hyperlink"/>
            <w:lang w:eastAsia="ja-JP"/>
          </w:rPr>
          <w:t>FAS Position Statement</w:t>
        </w:r>
      </w:hyperlink>
      <w:r w:rsidRPr="00783681">
        <w:rPr>
          <w:lang w:eastAsia="ja-JP"/>
        </w:rPr>
        <w:t xml:space="preserve"> </w:t>
      </w:r>
      <w:r w:rsidRPr="00746714">
        <w:rPr>
          <w:rFonts w:asciiTheme="majorHAnsi" w:hAnsiTheme="majorHAnsi"/>
          <w:lang w:eastAsia="ja-JP"/>
        </w:rPr>
        <w:t>sets out nationally agreed objectives for phasing-out the use of PFAS of concern in Australia.</w:t>
      </w:r>
      <w:r>
        <w:rPr>
          <w:rFonts w:ascii="Roboto" w:hAnsi="Roboto"/>
          <w:color w:val="313131"/>
          <w:shd w:val="clear" w:color="auto" w:fill="FFFFFF"/>
        </w:rPr>
        <w:t> </w:t>
      </w:r>
      <w:r w:rsidR="00FE201D">
        <w:rPr>
          <w:lang w:eastAsia="ja-JP"/>
        </w:rPr>
        <w:t xml:space="preserve">After the release of this policy the </w:t>
      </w:r>
      <w:r w:rsidR="00FE201D">
        <w:t xml:space="preserve">Australian Packaging Covenant Organisation (APCO) launched its </w:t>
      </w:r>
      <w:hyperlink r:id="rId24" w:history="1">
        <w:r w:rsidR="00FE201D">
          <w:rPr>
            <w:rStyle w:val="Hyperlink"/>
          </w:rPr>
          <w:t>industry-led action plan</w:t>
        </w:r>
      </w:hyperlink>
      <w:r w:rsidR="00FE201D">
        <w:t xml:space="preserve"> to remove intentionally added PFAS in fibre-based food contact packaging by the end of 2023, and will monitor progress of the phase-out through data reporting in early 2023 and mid-2024.</w:t>
      </w:r>
    </w:p>
    <w:p w14:paraId="6F0274B4" w14:textId="4B71BC09" w:rsidR="00EB6FF7" w:rsidRDefault="00EB6FF7" w:rsidP="001E5B77">
      <w:pPr>
        <w:pStyle w:val="ListParagraph"/>
        <w:numPr>
          <w:ilvl w:val="0"/>
          <w:numId w:val="11"/>
        </w:numPr>
        <w:spacing w:after="80"/>
        <w:contextualSpacing w:val="0"/>
        <w:rPr>
          <w:lang w:eastAsia="ja-JP"/>
        </w:rPr>
      </w:pPr>
      <w:r>
        <w:rPr>
          <w:lang w:eastAsia="ja-JP"/>
        </w:rPr>
        <w:t xml:space="preserve">The </w:t>
      </w:r>
      <w:hyperlink r:id="rId25" w:history="1">
        <w:r w:rsidRPr="00764249">
          <w:rPr>
            <w:rStyle w:val="Hyperlink"/>
            <w:lang w:eastAsia="ja-JP"/>
          </w:rPr>
          <w:t>PFAS National Environmental Management Plan (</w:t>
        </w:r>
        <w:r>
          <w:rPr>
            <w:rStyle w:val="Hyperlink"/>
            <w:lang w:eastAsia="ja-JP"/>
          </w:rPr>
          <w:t xml:space="preserve">PFAS </w:t>
        </w:r>
        <w:r w:rsidRPr="00764249">
          <w:rPr>
            <w:rStyle w:val="Hyperlink"/>
            <w:lang w:eastAsia="ja-JP"/>
          </w:rPr>
          <w:t>NEMP)</w:t>
        </w:r>
      </w:hyperlink>
      <w:r>
        <w:rPr>
          <w:lang w:eastAsia="ja-JP"/>
        </w:rPr>
        <w:t xml:space="preserve"> provides nationally agreed guidance on the management of PFAS contamination in the environment, </w:t>
      </w:r>
      <w:r w:rsidRPr="00E02A48">
        <w:rPr>
          <w:lang w:val="en-US" w:eastAsia="ja-JP"/>
        </w:rPr>
        <w:t xml:space="preserve">including prevention of the spread of contamination. </w:t>
      </w:r>
    </w:p>
    <w:p w14:paraId="64FA92F5" w14:textId="41BCE5DA" w:rsidR="003A54F4" w:rsidRDefault="003A54F4" w:rsidP="001E5B77">
      <w:pPr>
        <w:pStyle w:val="ListParagraph"/>
        <w:numPr>
          <w:ilvl w:val="0"/>
          <w:numId w:val="11"/>
        </w:numPr>
        <w:spacing w:after="80"/>
        <w:contextualSpacing w:val="0"/>
        <w:rPr>
          <w:lang w:eastAsia="ja-JP"/>
        </w:rPr>
      </w:pPr>
      <w:r>
        <w:rPr>
          <w:lang w:eastAsia="ja-JP"/>
        </w:rPr>
        <w:t xml:space="preserve">PFOA chemicals are included in Annex I of the </w:t>
      </w:r>
      <w:hyperlink r:id="rId26" w:history="1">
        <w:r w:rsidRPr="00F04D9B">
          <w:rPr>
            <w:rStyle w:val="Hyperlink"/>
            <w:lang w:eastAsia="ja-JP"/>
          </w:rPr>
          <w:t>Basel Convention on the Control of Transboundary Movements of Hazardous Wastes and Their Disposal</w:t>
        </w:r>
      </w:hyperlink>
      <w:r>
        <w:rPr>
          <w:lang w:eastAsia="ja-JP"/>
        </w:rPr>
        <w:t xml:space="preserve">. In Australia this means that wastes containing PFOA chemicals cannot be imported or exported without a permit under </w:t>
      </w:r>
      <w:r w:rsidR="00A474D2">
        <w:rPr>
          <w:lang w:eastAsia="ja-JP"/>
        </w:rPr>
        <w:t xml:space="preserve">the </w:t>
      </w:r>
      <w:r>
        <w:rPr>
          <w:lang w:eastAsia="ja-JP"/>
        </w:rPr>
        <w:t>Hazardous Waste (Regulation of Exports and Imports) Act 1989.</w:t>
      </w:r>
    </w:p>
    <w:p w14:paraId="78C36A3B" w14:textId="3CDF0531" w:rsidR="00787AD6" w:rsidRDefault="003A54F4" w:rsidP="001E5B77">
      <w:pPr>
        <w:pStyle w:val="ListParagraph"/>
        <w:numPr>
          <w:ilvl w:val="0"/>
          <w:numId w:val="11"/>
        </w:numPr>
        <w:spacing w:after="80"/>
        <w:contextualSpacing w:val="0"/>
        <w:rPr>
          <w:lang w:eastAsia="ja-JP"/>
        </w:rPr>
      </w:pPr>
      <w:r>
        <w:rPr>
          <w:lang w:eastAsia="ja-JP"/>
        </w:rPr>
        <w:t>PFOA</w:t>
      </w:r>
      <w:r w:rsidR="00A474D2">
        <w:rPr>
          <w:lang w:eastAsia="ja-JP"/>
        </w:rPr>
        <w:t xml:space="preserve"> chemicals are </w:t>
      </w:r>
      <w:r w:rsidR="00445896">
        <w:rPr>
          <w:lang w:eastAsia="ja-JP"/>
        </w:rPr>
        <w:t>classified as hazardous chemicals under the model Work Health and Safety Regulations. They must have labels and safety data sheets classified</w:t>
      </w:r>
      <w:r>
        <w:rPr>
          <w:lang w:eastAsia="ja-JP"/>
        </w:rPr>
        <w:t xml:space="preserve"> in accordance with the Globally Harmonized System of Classification and Labelling of Chemicals</w:t>
      </w:r>
      <w:r w:rsidR="00445896">
        <w:rPr>
          <w:lang w:eastAsia="ja-JP"/>
        </w:rPr>
        <w:t xml:space="preserve"> (GHS)</w:t>
      </w:r>
      <w:r w:rsidR="006517DF">
        <w:rPr>
          <w:lang w:eastAsia="ja-JP"/>
        </w:rPr>
        <w:t>.</w:t>
      </w:r>
      <w:r w:rsidR="00445896">
        <w:rPr>
          <w:lang w:eastAsia="ja-JP"/>
        </w:rPr>
        <w:t xml:space="preserve"> The </w:t>
      </w:r>
      <w:hyperlink r:id="rId27" w:history="1">
        <w:r w:rsidR="00445896" w:rsidRPr="00C51B31">
          <w:rPr>
            <w:rStyle w:val="Hyperlink"/>
            <w:lang w:eastAsia="ja-JP"/>
          </w:rPr>
          <w:t>Hazardous Chemical Information System (HCIS)</w:t>
        </w:r>
      </w:hyperlink>
      <w:r w:rsidR="00445896">
        <w:rPr>
          <w:lang w:eastAsia="ja-JP"/>
        </w:rPr>
        <w:t xml:space="preserve"> gives guidance on PFOA classification.</w:t>
      </w:r>
    </w:p>
    <w:p w14:paraId="350AB348" w14:textId="5F467F22" w:rsidR="00FD2A7B" w:rsidRDefault="006517DF" w:rsidP="001E5B77">
      <w:pPr>
        <w:pStyle w:val="ListParagraph"/>
        <w:numPr>
          <w:ilvl w:val="0"/>
          <w:numId w:val="9"/>
        </w:numPr>
        <w:spacing w:after="80"/>
        <w:ind w:left="425" w:hanging="425"/>
        <w:rPr>
          <w:lang w:eastAsia="ja-JP"/>
        </w:rPr>
      </w:pPr>
      <w:r>
        <w:t>Ammonium perfluorooctanoate (</w:t>
      </w:r>
      <w:r w:rsidR="003A54F4">
        <w:rPr>
          <w:lang w:eastAsia="ja-JP"/>
        </w:rPr>
        <w:t>APFO</w:t>
      </w:r>
      <w:r>
        <w:rPr>
          <w:lang w:eastAsia="ja-JP"/>
        </w:rPr>
        <w:t>)</w:t>
      </w:r>
      <w:r w:rsidR="003A54F4">
        <w:rPr>
          <w:lang w:eastAsia="ja-JP"/>
        </w:rPr>
        <w:t xml:space="preserve"> is the only PFOA chemical that has a </w:t>
      </w:r>
      <w:hyperlink r:id="rId28" w:history="1">
        <w:r w:rsidR="003A54F4" w:rsidRPr="00126B49">
          <w:rPr>
            <w:rStyle w:val="Hyperlink"/>
            <w:lang w:eastAsia="ja-JP"/>
          </w:rPr>
          <w:t>workplace exposure standar</w:t>
        </w:r>
        <w:r w:rsidR="006022A6">
          <w:rPr>
            <w:rStyle w:val="Hyperlink"/>
            <w:lang w:eastAsia="ja-JP"/>
          </w:rPr>
          <w:t>d (PDF 1.0 MB)</w:t>
        </w:r>
      </w:hyperlink>
      <w:r w:rsidR="003A54F4">
        <w:rPr>
          <w:lang w:eastAsia="ja-JP"/>
        </w:rPr>
        <w:t xml:space="preserve"> under the </w:t>
      </w:r>
      <w:hyperlink r:id="rId29" w:history="1">
        <w:r w:rsidR="00445896" w:rsidRPr="006022A6">
          <w:rPr>
            <w:rStyle w:val="Hyperlink"/>
            <w:lang w:eastAsia="ja-JP"/>
          </w:rPr>
          <w:t>m</w:t>
        </w:r>
        <w:r w:rsidR="00EE1BC1" w:rsidRPr="006022A6">
          <w:rPr>
            <w:rStyle w:val="Hyperlink"/>
            <w:lang w:eastAsia="ja-JP"/>
          </w:rPr>
          <w:t xml:space="preserve">odel </w:t>
        </w:r>
        <w:r w:rsidR="003A54F4" w:rsidRPr="006022A6">
          <w:rPr>
            <w:rStyle w:val="Hyperlink"/>
            <w:lang w:eastAsia="ja-JP"/>
          </w:rPr>
          <w:t>Work Health and Safety</w:t>
        </w:r>
        <w:r w:rsidR="00B76F17" w:rsidRPr="006022A6">
          <w:rPr>
            <w:rStyle w:val="Hyperlink"/>
            <w:lang w:eastAsia="ja-JP"/>
          </w:rPr>
          <w:t xml:space="preserve"> </w:t>
        </w:r>
        <w:r w:rsidR="00445896" w:rsidRPr="006022A6">
          <w:rPr>
            <w:rStyle w:val="Hyperlink"/>
            <w:lang w:eastAsia="ja-JP"/>
          </w:rPr>
          <w:t>Regulations</w:t>
        </w:r>
      </w:hyperlink>
      <w:r w:rsidR="00445896" w:rsidRPr="006022A6">
        <w:t>. Workers cannot be exposed to APFO above the workplace exposure standard for this chemical.</w:t>
      </w:r>
      <w:r w:rsidR="00A97ACB">
        <w:rPr>
          <w:lang w:eastAsia="ja-JP"/>
        </w:rPr>
        <w:t xml:space="preserve"> </w:t>
      </w:r>
      <w:r w:rsidR="003A54F4">
        <w:rPr>
          <w:lang w:eastAsia="ja-JP"/>
        </w:rPr>
        <w:t xml:space="preserve">PFOA and its inorganic salts </w:t>
      </w:r>
      <w:r w:rsidR="00FD2A7B">
        <w:rPr>
          <w:lang w:eastAsia="ja-JP"/>
        </w:rPr>
        <w:t>ha</w:t>
      </w:r>
      <w:r w:rsidR="00A97ACB">
        <w:rPr>
          <w:lang w:eastAsia="ja-JP"/>
        </w:rPr>
        <w:t>ve</w:t>
      </w:r>
      <w:r w:rsidR="00FD2A7B">
        <w:rPr>
          <w:lang w:eastAsia="ja-JP"/>
        </w:rPr>
        <w:t xml:space="preserve"> been </w:t>
      </w:r>
      <w:hyperlink r:id="rId30" w:history="1">
        <w:r w:rsidR="00FD2A7B" w:rsidRPr="006022A6">
          <w:t xml:space="preserve">proposed for </w:t>
        </w:r>
        <w:r w:rsidR="00445896" w:rsidRPr="006022A6">
          <w:t>addition</w:t>
        </w:r>
      </w:hyperlink>
      <w:r w:rsidR="00597C2C" w:rsidRPr="00597C2C">
        <w:rPr>
          <w:lang w:eastAsia="ja-JP"/>
        </w:rPr>
        <w:t xml:space="preserve"> </w:t>
      </w:r>
      <w:r w:rsidR="00597C2C">
        <w:rPr>
          <w:lang w:eastAsia="ja-JP"/>
        </w:rPr>
        <w:t>to the workplace exposure standards list. T</w:t>
      </w:r>
      <w:r w:rsidR="00597C2C" w:rsidRPr="00310744">
        <w:rPr>
          <w:lang w:eastAsia="ja-JP"/>
        </w:rPr>
        <w:t xml:space="preserve">he </w:t>
      </w:r>
      <w:bookmarkStart w:id="13" w:name="_Hlk110000691"/>
      <w:r w:rsidR="00597C2C" w:rsidRPr="006022A6">
        <w:rPr>
          <w:lang w:eastAsia="ja-JP"/>
        </w:rPr>
        <w:t>model WHS Regulations</w:t>
      </w:r>
      <w:bookmarkEnd w:id="13"/>
      <w:r w:rsidR="00597C2C">
        <w:rPr>
          <w:lang w:eastAsia="ja-JP"/>
        </w:rPr>
        <w:t xml:space="preserve"> require that exposure to these chemicals be </w:t>
      </w:r>
      <w:r w:rsidR="00597C2C" w:rsidRPr="00310744">
        <w:rPr>
          <w:lang w:eastAsia="ja-JP"/>
        </w:rPr>
        <w:t>minimi</w:t>
      </w:r>
      <w:r w:rsidR="00597C2C">
        <w:rPr>
          <w:lang w:eastAsia="ja-JP"/>
        </w:rPr>
        <w:t>sed to as low as reasonably practical a</w:t>
      </w:r>
      <w:r w:rsidR="00597C2C" w:rsidRPr="00310744">
        <w:rPr>
          <w:lang w:eastAsia="ja-JP"/>
        </w:rPr>
        <w:t>nd</w:t>
      </w:r>
      <w:r w:rsidR="00597C2C">
        <w:rPr>
          <w:lang w:eastAsia="ja-JP"/>
        </w:rPr>
        <w:t xml:space="preserve"> that </w:t>
      </w:r>
      <w:r w:rsidR="00597C2C" w:rsidRPr="00310744">
        <w:rPr>
          <w:lang w:eastAsia="ja-JP"/>
        </w:rPr>
        <w:t>exposure</w:t>
      </w:r>
      <w:r w:rsidR="00597C2C">
        <w:rPr>
          <w:lang w:eastAsia="ja-JP"/>
        </w:rPr>
        <w:t xml:space="preserve"> risks are managed</w:t>
      </w:r>
      <w:r w:rsidR="00FD2A7B">
        <w:rPr>
          <w:lang w:eastAsia="ja-JP"/>
        </w:rPr>
        <w:t>.</w:t>
      </w:r>
    </w:p>
    <w:p w14:paraId="4B5006E7" w14:textId="637E9E43" w:rsidR="00787AD6" w:rsidRPr="006022A6" w:rsidRDefault="006022A6" w:rsidP="00041433">
      <w:pPr>
        <w:pStyle w:val="ListParagraph"/>
        <w:numPr>
          <w:ilvl w:val="0"/>
          <w:numId w:val="9"/>
        </w:numPr>
        <w:spacing w:after="80"/>
        <w:ind w:left="426" w:hanging="426"/>
        <w:contextualSpacing w:val="0"/>
        <w:rPr>
          <w:lang w:val="en-US" w:eastAsia="ja-JP"/>
        </w:rPr>
      </w:pPr>
      <w:bookmarkStart w:id="14" w:name="_Hlk104904540"/>
      <w:r w:rsidRPr="006022A6">
        <w:rPr>
          <w:lang w:val="en-US" w:eastAsia="ja-JP"/>
        </w:rPr>
        <w:t>Some States have regulations on use of PFAS fire</w:t>
      </w:r>
      <w:r w:rsidR="00B257E5">
        <w:rPr>
          <w:lang w:val="en-US" w:eastAsia="ja-JP"/>
        </w:rPr>
        <w:t>-</w:t>
      </w:r>
      <w:r w:rsidRPr="006022A6">
        <w:rPr>
          <w:lang w:val="en-US" w:eastAsia="ja-JP"/>
        </w:rPr>
        <w:t xml:space="preserve">fighting foams, including </w:t>
      </w:r>
      <w:hyperlink r:id="rId31" w:history="1">
        <w:r w:rsidRPr="00A61C17">
          <w:rPr>
            <w:rStyle w:val="Hyperlink"/>
            <w:lang w:eastAsia="ja-JP"/>
          </w:rPr>
          <w:t xml:space="preserve">New South </w:t>
        </w:r>
        <w:r w:rsidRPr="006022A6">
          <w:rPr>
            <w:rStyle w:val="Hyperlink"/>
            <w:lang w:val="en-US"/>
          </w:rPr>
          <w:t>Wales’s</w:t>
        </w:r>
        <w:r w:rsidRPr="00A61C17">
          <w:rPr>
            <w:rStyle w:val="Hyperlink"/>
            <w:lang w:eastAsia="ja-JP"/>
          </w:rPr>
          <w:t xml:space="preserve"> 2021 PFAS firefighting foam regulation</w:t>
        </w:r>
      </w:hyperlink>
      <w:r w:rsidRPr="00A61C17">
        <w:rPr>
          <w:lang w:eastAsia="ja-JP"/>
        </w:rPr>
        <w:t xml:space="preserve">, </w:t>
      </w:r>
      <w:hyperlink r:id="rId32" w:history="1">
        <w:r w:rsidRPr="00CB0607">
          <w:rPr>
            <w:rStyle w:val="Hyperlink"/>
            <w:lang w:eastAsia="ja-JP"/>
          </w:rPr>
          <w:t xml:space="preserve">South Australia’s 2018 regulation on use of fluorinated fire-fighting </w:t>
        </w:r>
        <w:r>
          <w:rPr>
            <w:rStyle w:val="Hyperlink"/>
            <w:lang w:eastAsia="ja-JP"/>
          </w:rPr>
          <w:t>foams (PDF 328)</w:t>
        </w:r>
      </w:hyperlink>
      <w:r>
        <w:rPr>
          <w:lang w:eastAsia="ja-JP"/>
        </w:rPr>
        <w:t xml:space="preserve">, and </w:t>
      </w:r>
      <w:hyperlink r:id="rId33" w:history="1">
        <w:r w:rsidRPr="00CB0607">
          <w:rPr>
            <w:rStyle w:val="Hyperlink"/>
            <w:lang w:eastAsia="ja-JP"/>
          </w:rPr>
          <w:t>Queensland’s 2016 Environmental Management of Firefighting Foam–Operational Policy</w:t>
        </w:r>
      </w:hyperlink>
      <w:r w:rsidRPr="00A61C17">
        <w:rPr>
          <w:lang w:eastAsia="ja-JP"/>
        </w:rPr>
        <w:t>.</w:t>
      </w:r>
    </w:p>
    <w:bookmarkEnd w:id="14"/>
    <w:p w14:paraId="6AFF892E" w14:textId="77777777" w:rsidR="00EF58BB" w:rsidRDefault="00EF58BB">
      <w:pPr>
        <w:spacing w:after="0" w:line="240" w:lineRule="auto"/>
        <w:rPr>
          <w:rFonts w:eastAsiaTheme="minorEastAsia"/>
          <w:b/>
          <w:bCs/>
          <w:color w:val="5482AB"/>
          <w:sz w:val="28"/>
          <w:szCs w:val="28"/>
          <w:lang w:val="en-US" w:eastAsia="ja-JP"/>
        </w:rPr>
      </w:pPr>
      <w:r>
        <w:rPr>
          <w:lang w:val="en-US"/>
        </w:rPr>
        <w:br w:type="page"/>
      </w:r>
    </w:p>
    <w:p w14:paraId="24748071" w14:textId="452D0402" w:rsidR="00FE5484" w:rsidRPr="00B6058D" w:rsidRDefault="00E8036E" w:rsidP="00E02A48">
      <w:pPr>
        <w:pStyle w:val="Heading2"/>
        <w:spacing w:before="240"/>
        <w:rPr>
          <w:rFonts w:asciiTheme="majorHAnsi" w:hAnsiTheme="majorHAnsi"/>
          <w:lang w:val="en-US"/>
        </w:rPr>
      </w:pPr>
      <w:r w:rsidRPr="00B6058D">
        <w:rPr>
          <w:rFonts w:asciiTheme="majorHAnsi" w:hAnsiTheme="majorHAnsi"/>
          <w:lang w:val="en-US"/>
        </w:rPr>
        <w:lastRenderedPageBreak/>
        <w:t>Additional Information: r</w:t>
      </w:r>
      <w:r w:rsidR="00FE5484" w:rsidRPr="00B6058D">
        <w:rPr>
          <w:rFonts w:asciiTheme="majorHAnsi" w:hAnsiTheme="majorHAnsi"/>
          <w:lang w:val="en-US"/>
        </w:rPr>
        <w:t>eplacements for PFOA chemicals</w:t>
      </w:r>
    </w:p>
    <w:p w14:paraId="3F9C4325" w14:textId="28DDCFD8" w:rsidR="00314B91" w:rsidRDefault="00EE1BC1" w:rsidP="00314B91">
      <w:pPr>
        <w:pStyle w:val="ListBullet"/>
        <w:numPr>
          <w:ilvl w:val="0"/>
          <w:numId w:val="0"/>
        </w:numPr>
      </w:pPr>
      <w:r>
        <w:t xml:space="preserve">The </w:t>
      </w:r>
      <w:r w:rsidR="00B75211" w:rsidRPr="00B6058D">
        <w:t>Stockholm Convention</w:t>
      </w:r>
      <w:r w:rsidRPr="00B6058D">
        <w:t xml:space="preserve"> </w:t>
      </w:r>
      <w:r w:rsidR="004C2FB1" w:rsidRPr="00B6058D">
        <w:t xml:space="preserve">PFOA </w:t>
      </w:r>
      <w:r w:rsidRPr="00B6058D">
        <w:t>risk profile</w:t>
      </w:r>
      <w:r w:rsidR="00A43753">
        <w:t xml:space="preserve"> </w:t>
      </w:r>
      <w:r>
        <w:t xml:space="preserve">and </w:t>
      </w:r>
      <w:hyperlink r:id="rId34" w:history="1">
        <w:r w:rsidR="00B6058D">
          <w:rPr>
            <w:rStyle w:val="Hyperlink"/>
          </w:rPr>
          <w:t>Stockholm Convention PFOA risk management evaluation</w:t>
        </w:r>
      </w:hyperlink>
      <w:r w:rsidR="00B6058D">
        <w:rPr>
          <w:rStyle w:val="Hyperlink"/>
        </w:rPr>
        <w:t xml:space="preserve"> </w:t>
      </w:r>
      <w:r w:rsidR="00A43753">
        <w:t>indicate that c</w:t>
      </w:r>
      <w:r w:rsidR="00FE5484" w:rsidRPr="008B70CB">
        <w:t>ost competitive alternatives to PFOA</w:t>
      </w:r>
      <w:r w:rsidR="00FE5484">
        <w:t xml:space="preserve"> chemicals</w:t>
      </w:r>
      <w:r w:rsidR="00FE5484" w:rsidRPr="008B70CB">
        <w:t xml:space="preserve"> that do not exhibit POPs characteristics have been implemented in many countries</w:t>
      </w:r>
      <w:r w:rsidR="00314B91">
        <w:t xml:space="preserve">. </w:t>
      </w:r>
      <w:r w:rsidR="002D4FFC">
        <w:t>Chemicals</w:t>
      </w:r>
      <w:r w:rsidR="00973CA0" w:rsidRPr="00FE5484">
        <w:t xml:space="preserve"> </w:t>
      </w:r>
      <w:r w:rsidR="00865C31">
        <w:t xml:space="preserve">that </w:t>
      </w:r>
      <w:r w:rsidR="00973CA0" w:rsidRPr="00FE5484">
        <w:t xml:space="preserve">are equivalent in performance and meet </w:t>
      </w:r>
      <w:r w:rsidR="008D62E1">
        <w:t xml:space="preserve">relevant </w:t>
      </w:r>
      <w:r w:rsidR="00973CA0" w:rsidRPr="00FE5484">
        <w:t xml:space="preserve">certifications </w:t>
      </w:r>
      <w:r w:rsidR="008D62E1">
        <w:t xml:space="preserve">are available for </w:t>
      </w:r>
      <w:r w:rsidR="00973CA0" w:rsidRPr="00FE5484">
        <w:t>almost all uses</w:t>
      </w:r>
      <w:r w:rsidR="008D62E1">
        <w:t xml:space="preserve">. </w:t>
      </w:r>
    </w:p>
    <w:p w14:paraId="05067984" w14:textId="212CA9FD" w:rsidR="00FE5484" w:rsidRPr="00FE5484" w:rsidRDefault="00D812E5" w:rsidP="009E2EDC">
      <w:pPr>
        <w:pStyle w:val="ListBullet"/>
        <w:numPr>
          <w:ilvl w:val="0"/>
          <w:numId w:val="0"/>
        </w:numPr>
      </w:pPr>
      <w:r w:rsidRPr="00E02A48">
        <w:t xml:space="preserve">Alternatives for some </w:t>
      </w:r>
      <w:r w:rsidR="004C1F44">
        <w:t>allowed</w:t>
      </w:r>
      <w:r w:rsidR="004C1F44" w:rsidRPr="00E02A48">
        <w:t xml:space="preserve"> </w:t>
      </w:r>
      <w:r w:rsidRPr="00E02A48">
        <w:t>uses under the Stockholm Convention</w:t>
      </w:r>
      <w:r w:rsidR="00A3603F">
        <w:t xml:space="preserve"> a</w:t>
      </w:r>
      <w:r w:rsidR="00314B91">
        <w:t xml:space="preserve">re emerging. For example, </w:t>
      </w:r>
      <w:r w:rsidR="003D3523">
        <w:t>p</w:t>
      </w:r>
      <w:r w:rsidR="003D3523" w:rsidRPr="003D3523">
        <w:t>olytetrafluoroethylene</w:t>
      </w:r>
      <w:r w:rsidR="003D3523">
        <w:t xml:space="preserve"> (</w:t>
      </w:r>
      <w:r w:rsidR="00314B91" w:rsidRPr="00FE5484">
        <w:t>PTFE</w:t>
      </w:r>
      <w:r w:rsidR="003D3523">
        <w:t>)</w:t>
      </w:r>
      <w:r w:rsidR="00314B91" w:rsidRPr="00FE5484">
        <w:t xml:space="preserve"> used in implantable medical devices can be made without PFOA </w:t>
      </w:r>
      <w:r w:rsidR="00314B91">
        <w:t>and alternatives are reportedly now commercially available. For m</w:t>
      </w:r>
      <w:r w:rsidR="00314B91" w:rsidRPr="00FE5484">
        <w:t xml:space="preserve">embranes </w:t>
      </w:r>
      <w:r w:rsidR="00314B91">
        <w:t xml:space="preserve">used in </w:t>
      </w:r>
      <w:r w:rsidR="00314B91" w:rsidRPr="00FE5484">
        <w:t>medical textile</w:t>
      </w:r>
      <w:r w:rsidR="00314B91">
        <w:t>s and in</w:t>
      </w:r>
      <w:r w:rsidR="00314B91" w:rsidRPr="00FE5484">
        <w:t xml:space="preserve"> filtration in water </w:t>
      </w:r>
      <w:r w:rsidR="00314B91">
        <w:t xml:space="preserve">and effluent </w:t>
      </w:r>
      <w:r w:rsidR="00314B91" w:rsidRPr="00FE5484">
        <w:t xml:space="preserve">treatment, </w:t>
      </w:r>
      <w:r w:rsidR="00314B91">
        <w:t xml:space="preserve">some </w:t>
      </w:r>
      <w:proofErr w:type="gramStart"/>
      <w:r w:rsidR="00314B91" w:rsidRPr="00FE5484">
        <w:t>short-chain</w:t>
      </w:r>
      <w:proofErr w:type="gramEnd"/>
      <w:r w:rsidR="00314B91" w:rsidRPr="00FE5484">
        <w:t xml:space="preserve"> fluorinated </w:t>
      </w:r>
      <w:r w:rsidR="00314B91">
        <w:t xml:space="preserve">and </w:t>
      </w:r>
      <w:r w:rsidR="00314B91" w:rsidRPr="00FE5484">
        <w:t>non-fluorine containing alternatives and non-chemical alternatives</w:t>
      </w:r>
      <w:r w:rsidR="00314B91">
        <w:t xml:space="preserve"> </w:t>
      </w:r>
      <w:r w:rsidR="00314B91" w:rsidRPr="00FE5484">
        <w:t xml:space="preserve">meet regulatory requirements and are in current use. </w:t>
      </w:r>
    </w:p>
    <w:p w14:paraId="134DBFC3" w14:textId="29DA75E4" w:rsidR="00FE5484" w:rsidRDefault="00FE5484" w:rsidP="00FE5484">
      <w:r w:rsidRPr="004F5205">
        <w:t xml:space="preserve">Through the </w:t>
      </w:r>
      <w:hyperlink r:id="rId35" w:history="1">
        <w:r w:rsidRPr="00FE5484">
          <w:rPr>
            <w:rStyle w:val="Hyperlink"/>
          </w:rPr>
          <w:t>National PFAS Position Statement</w:t>
        </w:r>
      </w:hyperlink>
      <w:r w:rsidRPr="004F5205">
        <w:t xml:space="preserve"> Australian governments encouraged</w:t>
      </w:r>
      <w:r w:rsidR="00BE4746">
        <w:t xml:space="preserve"> industry</w:t>
      </w:r>
      <w:r w:rsidRPr="004F5205">
        <w:t xml:space="preserve"> that sell or use long- or short-chain PFAS to develop a strategy for how and when they will transition away from these chemicals.</w:t>
      </w:r>
    </w:p>
    <w:p w14:paraId="1E9A2316" w14:textId="6FCC8D89" w:rsidR="003A54F4" w:rsidRPr="004B48C9" w:rsidRDefault="00D812E5" w:rsidP="00275299">
      <w:pPr>
        <w:pStyle w:val="Heading2"/>
        <w:rPr>
          <w:rFonts w:asciiTheme="majorHAnsi" w:hAnsiTheme="majorHAnsi"/>
          <w:lang w:val="en-US"/>
        </w:rPr>
      </w:pPr>
      <w:r w:rsidRPr="004B48C9">
        <w:rPr>
          <w:rFonts w:asciiTheme="majorHAnsi" w:hAnsiTheme="majorHAnsi"/>
          <w:lang w:val="en-US"/>
        </w:rPr>
        <w:t>Key r</w:t>
      </w:r>
      <w:r w:rsidR="00275299" w:rsidRPr="004B48C9">
        <w:rPr>
          <w:rFonts w:asciiTheme="majorHAnsi" w:hAnsiTheme="majorHAnsi"/>
          <w:lang w:val="en-US"/>
        </w:rPr>
        <w:t>eferences</w:t>
      </w:r>
    </w:p>
    <w:p w14:paraId="57532EB5" w14:textId="1F1D9BFA" w:rsidR="00275299" w:rsidRDefault="00275299" w:rsidP="00426F75">
      <w:pPr>
        <w:spacing w:after="60"/>
        <w:rPr>
          <w:lang w:eastAsia="ja-JP"/>
        </w:rPr>
      </w:pPr>
      <w:r>
        <w:rPr>
          <w:lang w:eastAsia="ja-JP"/>
        </w:rPr>
        <w:t xml:space="preserve">ECHA2015, </w:t>
      </w:r>
      <w:hyperlink r:id="rId36" w:history="1">
        <w:r w:rsidRPr="007224AB">
          <w:rPr>
            <w:rStyle w:val="Hyperlink"/>
            <w:lang w:eastAsia="ja-JP"/>
          </w:rPr>
          <w:t xml:space="preserve">Background </w:t>
        </w:r>
        <w:r w:rsidR="00916264">
          <w:rPr>
            <w:rStyle w:val="Hyperlink"/>
            <w:lang w:eastAsia="ja-JP"/>
          </w:rPr>
          <w:t>D</w:t>
        </w:r>
        <w:r w:rsidRPr="007224AB">
          <w:rPr>
            <w:rStyle w:val="Hyperlink"/>
            <w:lang w:eastAsia="ja-JP"/>
          </w:rPr>
          <w:t xml:space="preserve">ocument to the Opinion on the Annex XV </w:t>
        </w:r>
        <w:r w:rsidR="00916264">
          <w:rPr>
            <w:rStyle w:val="Hyperlink"/>
            <w:lang w:eastAsia="ja-JP"/>
          </w:rPr>
          <w:t>D</w:t>
        </w:r>
        <w:r w:rsidRPr="007224AB">
          <w:rPr>
            <w:rStyle w:val="Hyperlink"/>
            <w:lang w:eastAsia="ja-JP"/>
          </w:rPr>
          <w:t xml:space="preserve">ossier </w:t>
        </w:r>
        <w:r w:rsidR="00916264">
          <w:rPr>
            <w:rStyle w:val="Hyperlink"/>
            <w:lang w:eastAsia="ja-JP"/>
          </w:rPr>
          <w:t>P</w:t>
        </w:r>
        <w:r w:rsidRPr="007224AB">
          <w:rPr>
            <w:rStyle w:val="Hyperlink"/>
            <w:lang w:eastAsia="ja-JP"/>
          </w:rPr>
          <w:t xml:space="preserve">roposing </w:t>
        </w:r>
        <w:r w:rsidR="00916264">
          <w:rPr>
            <w:rStyle w:val="Hyperlink"/>
            <w:lang w:eastAsia="ja-JP"/>
          </w:rPr>
          <w:t>R</w:t>
        </w:r>
        <w:r w:rsidRPr="007224AB">
          <w:rPr>
            <w:rStyle w:val="Hyperlink"/>
            <w:lang w:eastAsia="ja-JP"/>
          </w:rPr>
          <w:t xml:space="preserve">estrictions on Perfluorooctanoic acid (PFOA), PFOA </w:t>
        </w:r>
        <w:r w:rsidR="00916264">
          <w:rPr>
            <w:rStyle w:val="Hyperlink"/>
            <w:lang w:eastAsia="ja-JP"/>
          </w:rPr>
          <w:t>S</w:t>
        </w:r>
        <w:r w:rsidRPr="007224AB">
          <w:rPr>
            <w:rStyle w:val="Hyperlink"/>
            <w:lang w:eastAsia="ja-JP"/>
          </w:rPr>
          <w:t xml:space="preserve">alts and PFOA-related </w:t>
        </w:r>
        <w:r w:rsidR="00916264">
          <w:rPr>
            <w:rStyle w:val="Hyperlink"/>
            <w:lang w:eastAsia="ja-JP"/>
          </w:rPr>
          <w:t>S</w:t>
        </w:r>
        <w:r w:rsidRPr="007224AB">
          <w:rPr>
            <w:rStyle w:val="Hyperlink"/>
            <w:lang w:eastAsia="ja-JP"/>
          </w:rPr>
          <w:t>ubstance</w:t>
        </w:r>
        <w:r w:rsidR="002E6E71">
          <w:rPr>
            <w:rStyle w:val="Hyperlink"/>
            <w:lang w:eastAsia="ja-JP"/>
          </w:rPr>
          <w:t xml:space="preserve"> (PDF 4.5 MB)</w:t>
        </w:r>
      </w:hyperlink>
      <w:r>
        <w:rPr>
          <w:lang w:eastAsia="ja-JP"/>
        </w:rPr>
        <w:t>,</w:t>
      </w:r>
      <w:r w:rsidR="007D7969">
        <w:rPr>
          <w:lang w:eastAsia="ja-JP"/>
        </w:rPr>
        <w:t xml:space="preserve"> accessed 11 April 2022</w:t>
      </w:r>
      <w:r>
        <w:rPr>
          <w:lang w:eastAsia="ja-JP"/>
        </w:rPr>
        <w:t>.</w:t>
      </w:r>
    </w:p>
    <w:p w14:paraId="2D33B1B1" w14:textId="24C2010B" w:rsidR="00275299" w:rsidRDefault="00275299" w:rsidP="00426F75">
      <w:pPr>
        <w:spacing w:after="60"/>
        <w:rPr>
          <w:lang w:eastAsia="ja-JP"/>
        </w:rPr>
      </w:pPr>
      <w:proofErr w:type="spellStart"/>
      <w:r>
        <w:rPr>
          <w:lang w:eastAsia="ja-JP"/>
        </w:rPr>
        <w:t>enHealth</w:t>
      </w:r>
      <w:proofErr w:type="spellEnd"/>
      <w:r>
        <w:rPr>
          <w:lang w:eastAsia="ja-JP"/>
        </w:rPr>
        <w:t xml:space="preserve"> 2019, </w:t>
      </w:r>
      <w:hyperlink r:id="rId37" w:history="1">
        <w:r w:rsidRPr="00AB7207">
          <w:rPr>
            <w:rStyle w:val="Hyperlink"/>
            <w:lang w:eastAsia="ja-JP"/>
          </w:rPr>
          <w:t xml:space="preserve">Factsheet: </w:t>
        </w:r>
        <w:r w:rsidR="00916264">
          <w:rPr>
            <w:rStyle w:val="Hyperlink"/>
            <w:lang w:eastAsia="ja-JP"/>
          </w:rPr>
          <w:t>R</w:t>
        </w:r>
        <w:r w:rsidR="00916264" w:rsidRPr="00AB7207">
          <w:rPr>
            <w:rStyle w:val="Hyperlink"/>
            <w:lang w:eastAsia="ja-JP"/>
          </w:rPr>
          <w:t xml:space="preserve">evised </w:t>
        </w:r>
        <w:proofErr w:type="spellStart"/>
        <w:r w:rsidRPr="00AB7207">
          <w:rPr>
            <w:rStyle w:val="Hyperlink"/>
            <w:lang w:eastAsia="ja-JP"/>
          </w:rPr>
          <w:t>enHealth</w:t>
        </w:r>
        <w:proofErr w:type="spellEnd"/>
        <w:r w:rsidRPr="00AB7207">
          <w:rPr>
            <w:rStyle w:val="Hyperlink"/>
            <w:lang w:eastAsia="ja-JP"/>
          </w:rPr>
          <w:t xml:space="preserve"> Guidance Statements on </w:t>
        </w:r>
        <w:r w:rsidR="00243978">
          <w:rPr>
            <w:rStyle w:val="Hyperlink"/>
            <w:lang w:eastAsia="ja-JP"/>
          </w:rPr>
          <w:t>P</w:t>
        </w:r>
        <w:r w:rsidRPr="00AB7207">
          <w:rPr>
            <w:rStyle w:val="Hyperlink"/>
            <w:lang w:eastAsia="ja-JP"/>
          </w:rPr>
          <w:t xml:space="preserve">er-and </w:t>
        </w:r>
        <w:r w:rsidR="00916264">
          <w:rPr>
            <w:rStyle w:val="Hyperlink"/>
            <w:lang w:eastAsia="ja-JP"/>
          </w:rPr>
          <w:t>P</w:t>
        </w:r>
        <w:r w:rsidRPr="00AB7207">
          <w:rPr>
            <w:rStyle w:val="Hyperlink"/>
            <w:lang w:eastAsia="ja-JP"/>
          </w:rPr>
          <w:t xml:space="preserve">oly-fluoroalkyl </w:t>
        </w:r>
        <w:r w:rsidR="00916264">
          <w:rPr>
            <w:rStyle w:val="Hyperlink"/>
            <w:lang w:eastAsia="ja-JP"/>
          </w:rPr>
          <w:t>S</w:t>
        </w:r>
        <w:r w:rsidRPr="00AB7207">
          <w:rPr>
            <w:rStyle w:val="Hyperlink"/>
            <w:lang w:eastAsia="ja-JP"/>
          </w:rPr>
          <w:t>ubstances (PFAS)</w:t>
        </w:r>
      </w:hyperlink>
      <w:r>
        <w:rPr>
          <w:lang w:eastAsia="ja-JP"/>
        </w:rPr>
        <w:t>, Environmental Health Standing Committee of the Australian Health Protection Principal Committee.</w:t>
      </w:r>
    </w:p>
    <w:p w14:paraId="3334A845" w14:textId="53D5EE10" w:rsidR="00275299" w:rsidRDefault="00275299" w:rsidP="00426F75">
      <w:pPr>
        <w:spacing w:after="60"/>
        <w:rPr>
          <w:lang w:eastAsia="ja-JP"/>
        </w:rPr>
      </w:pPr>
      <w:bookmarkStart w:id="15" w:name="_Hlk114238179"/>
      <w:r>
        <w:rPr>
          <w:lang w:eastAsia="ja-JP"/>
        </w:rPr>
        <w:t xml:space="preserve">HEPA 2020, </w:t>
      </w:r>
      <w:hyperlink r:id="rId38" w:history="1">
        <w:r w:rsidRPr="00AB7207">
          <w:rPr>
            <w:rStyle w:val="Hyperlink"/>
            <w:lang w:eastAsia="ja-JP"/>
          </w:rPr>
          <w:t>PFAS National Environmental Management Plan 2.0</w:t>
        </w:r>
      </w:hyperlink>
      <w:r>
        <w:rPr>
          <w:lang w:eastAsia="ja-JP"/>
        </w:rPr>
        <w:t>, Heads of EPAs Australia and New Zealand.</w:t>
      </w:r>
    </w:p>
    <w:bookmarkEnd w:id="15"/>
    <w:p w14:paraId="06283829" w14:textId="77777777" w:rsidR="00275299" w:rsidRDefault="00275299" w:rsidP="00426F75">
      <w:pPr>
        <w:spacing w:after="60"/>
        <w:rPr>
          <w:lang w:eastAsia="ja-JP"/>
        </w:rPr>
      </w:pPr>
      <w:r>
        <w:rPr>
          <w:lang w:eastAsia="ja-JP"/>
        </w:rPr>
        <w:t xml:space="preserve">Jia, X, Guan, H, Guo, Z, Qian, C, Shi, Y &amp; Cai, Y 2021, 'Occurrence of Legacy and Emerging Poly- and Perfluoroalkyl Substances in Fluorocarbon Paint and Their Implications for Emissions in China', Environmental Science &amp; Technology Letters, vol. 8, no. 11, pp. 968-74, </w:t>
      </w:r>
      <w:proofErr w:type="spellStart"/>
      <w:r w:rsidRPr="00200B02">
        <w:rPr>
          <w:lang w:eastAsia="ja-JP"/>
        </w:rPr>
        <w:t>doi</w:t>
      </w:r>
      <w:proofErr w:type="spellEnd"/>
      <w:r w:rsidRPr="00200B02">
        <w:rPr>
          <w:lang w:eastAsia="ja-JP"/>
        </w:rPr>
        <w:t>: 10.1021/acs.estlett.1c00709.</w:t>
      </w:r>
    </w:p>
    <w:p w14:paraId="0FC87AD7" w14:textId="25F0A05D" w:rsidR="00F47F0C" w:rsidRDefault="00F47F0C" w:rsidP="00F47F0C">
      <w:pPr>
        <w:spacing w:after="60"/>
      </w:pPr>
      <w:r>
        <w:rPr>
          <w:lang w:eastAsia="ja-JP"/>
        </w:rPr>
        <w:t xml:space="preserve">NICNAS 2015, </w:t>
      </w:r>
      <w:hyperlink r:id="rId39" w:history="1">
        <w:r w:rsidRPr="00F47F0C">
          <w:rPr>
            <w:rStyle w:val="Hyperlink"/>
          </w:rPr>
          <w:t>Perfluorooctanoic acid (PFOA) and its direct precursors: Environment tier II assessmen</w:t>
        </w:r>
        <w:r w:rsidR="002E6E71">
          <w:rPr>
            <w:rStyle w:val="Hyperlink"/>
          </w:rPr>
          <w:t>t (PDF 176 KB)</w:t>
        </w:r>
      </w:hyperlink>
      <w:r>
        <w:rPr>
          <w:lang w:eastAsia="ja-JP"/>
        </w:rPr>
        <w:t>, National Industrial Chemicals Notification and Assessment Scheme, Sydney, Australia.</w:t>
      </w:r>
    </w:p>
    <w:p w14:paraId="0BC46021" w14:textId="61EA3AEE" w:rsidR="00275299" w:rsidRDefault="00275299" w:rsidP="00426F75">
      <w:pPr>
        <w:spacing w:after="60"/>
        <w:rPr>
          <w:lang w:eastAsia="ja-JP"/>
        </w:rPr>
      </w:pPr>
      <w:r>
        <w:rPr>
          <w:lang w:eastAsia="ja-JP"/>
        </w:rPr>
        <w:t xml:space="preserve">NICNAS 2015, </w:t>
      </w:r>
      <w:hyperlink r:id="rId40" w:history="1">
        <w:r w:rsidRPr="00AB7207">
          <w:rPr>
            <w:rStyle w:val="Hyperlink"/>
            <w:lang w:eastAsia="ja-JP"/>
          </w:rPr>
          <w:t xml:space="preserve">Perfluorooctanoic acid (PFOA) and its </w:t>
        </w:r>
        <w:r w:rsidR="00916264">
          <w:rPr>
            <w:rStyle w:val="Hyperlink"/>
            <w:lang w:eastAsia="ja-JP"/>
          </w:rPr>
          <w:t>D</w:t>
        </w:r>
        <w:r w:rsidRPr="00AB7207">
          <w:rPr>
            <w:rStyle w:val="Hyperlink"/>
            <w:lang w:eastAsia="ja-JP"/>
          </w:rPr>
          <w:t xml:space="preserve">irect </w:t>
        </w:r>
        <w:r w:rsidR="00916264">
          <w:rPr>
            <w:rStyle w:val="Hyperlink"/>
            <w:lang w:eastAsia="ja-JP"/>
          </w:rPr>
          <w:t>P</w:t>
        </w:r>
        <w:r w:rsidRPr="00AB7207">
          <w:rPr>
            <w:rStyle w:val="Hyperlink"/>
            <w:lang w:eastAsia="ja-JP"/>
          </w:rPr>
          <w:t xml:space="preserve">recursors: Human </w:t>
        </w:r>
        <w:r w:rsidR="00916264">
          <w:rPr>
            <w:rStyle w:val="Hyperlink"/>
            <w:lang w:eastAsia="ja-JP"/>
          </w:rPr>
          <w:t>H</w:t>
        </w:r>
        <w:r w:rsidRPr="00AB7207">
          <w:rPr>
            <w:rStyle w:val="Hyperlink"/>
            <w:lang w:eastAsia="ja-JP"/>
          </w:rPr>
          <w:t xml:space="preserve">ealth </w:t>
        </w:r>
        <w:r w:rsidR="00916264">
          <w:rPr>
            <w:rStyle w:val="Hyperlink"/>
            <w:lang w:eastAsia="ja-JP"/>
          </w:rPr>
          <w:t>T</w:t>
        </w:r>
        <w:r w:rsidRPr="00AB7207">
          <w:rPr>
            <w:rStyle w:val="Hyperlink"/>
            <w:lang w:eastAsia="ja-JP"/>
          </w:rPr>
          <w:t xml:space="preserve">ier II </w:t>
        </w:r>
        <w:r w:rsidR="00916264">
          <w:rPr>
            <w:rStyle w:val="Hyperlink"/>
            <w:lang w:eastAsia="ja-JP"/>
          </w:rPr>
          <w:t>A</w:t>
        </w:r>
        <w:r w:rsidRPr="00AB7207">
          <w:rPr>
            <w:rStyle w:val="Hyperlink"/>
            <w:lang w:eastAsia="ja-JP"/>
          </w:rPr>
          <w:t>ssessmen</w:t>
        </w:r>
        <w:r w:rsidR="002E6E71">
          <w:rPr>
            <w:rStyle w:val="Hyperlink"/>
            <w:lang w:eastAsia="ja-JP"/>
          </w:rPr>
          <w:t>t (PDF 192 KB)</w:t>
        </w:r>
      </w:hyperlink>
      <w:r>
        <w:rPr>
          <w:lang w:eastAsia="ja-JP"/>
        </w:rPr>
        <w:t>, National Industrial Chemicals Notification and Assessment Scheme, Sydney, Australia.</w:t>
      </w:r>
    </w:p>
    <w:p w14:paraId="7C12EA64" w14:textId="1BC3DC26" w:rsidR="00FD3C68" w:rsidRDefault="00FD3C68" w:rsidP="00FD3C68">
      <w:pPr>
        <w:spacing w:after="60"/>
        <w:rPr>
          <w:lang w:eastAsia="ja-JP"/>
        </w:rPr>
      </w:pPr>
      <w:r>
        <w:rPr>
          <w:lang w:eastAsia="ja-JP"/>
        </w:rPr>
        <w:t xml:space="preserve">NICNAS 2016, </w:t>
      </w:r>
      <w:hyperlink r:id="rId41" w:history="1">
        <w:r>
          <w:rPr>
            <w:rStyle w:val="Hyperlink"/>
          </w:rPr>
          <w:t>Indirect Precursors of Perfluorooctanoic Acid (PFOA): Human health tier II assessmen</w:t>
        </w:r>
        <w:r w:rsidR="002E6E71">
          <w:rPr>
            <w:rStyle w:val="Hyperlink"/>
          </w:rPr>
          <w:t>t (PDF 281 KB)</w:t>
        </w:r>
      </w:hyperlink>
      <w:r>
        <w:rPr>
          <w:lang w:eastAsia="ja-JP"/>
        </w:rPr>
        <w:t>, National Industrial Chemicals Notification and Assessment Scheme, Sydney, Australia, accessed 6 April 2022.</w:t>
      </w:r>
    </w:p>
    <w:p w14:paraId="266E7535" w14:textId="012DBE9E" w:rsidR="00FD3C68" w:rsidRDefault="00FD3C68" w:rsidP="00FD3C68">
      <w:pPr>
        <w:spacing w:after="60"/>
      </w:pPr>
      <w:r>
        <w:rPr>
          <w:lang w:eastAsia="ja-JP"/>
        </w:rPr>
        <w:t xml:space="preserve">NICNAS 2019, </w:t>
      </w:r>
      <w:hyperlink r:id="rId42" w:history="1">
        <w:r w:rsidRPr="00FD3C68">
          <w:rPr>
            <w:rStyle w:val="Hyperlink"/>
          </w:rPr>
          <w:t>Indirect precursors to perfluorooctanoic acid (PFOA): Environment tier II assessmen</w:t>
        </w:r>
        <w:r w:rsidR="002E6E71">
          <w:rPr>
            <w:rStyle w:val="Hyperlink"/>
          </w:rPr>
          <w:t>t (PDF 201 KB)</w:t>
        </w:r>
      </w:hyperlink>
      <w:r>
        <w:t>,</w:t>
      </w:r>
      <w:r>
        <w:cr/>
      </w:r>
      <w:r>
        <w:rPr>
          <w:lang w:eastAsia="ja-JP"/>
        </w:rPr>
        <w:t>National Industrial Chemicals Notification and Assessment Scheme, Sydney, Australia.</w:t>
      </w:r>
    </w:p>
    <w:p w14:paraId="15B5955C" w14:textId="77777777" w:rsidR="00275299" w:rsidRDefault="00275299" w:rsidP="00426F75">
      <w:pPr>
        <w:spacing w:after="60"/>
        <w:rPr>
          <w:lang w:eastAsia="ja-JP"/>
        </w:rPr>
      </w:pPr>
      <w:proofErr w:type="spellStart"/>
      <w:r>
        <w:rPr>
          <w:lang w:eastAsia="ja-JP"/>
        </w:rPr>
        <w:t>Prevedouros</w:t>
      </w:r>
      <w:proofErr w:type="spellEnd"/>
      <w:r>
        <w:rPr>
          <w:lang w:eastAsia="ja-JP"/>
        </w:rPr>
        <w:t xml:space="preserve">, K, Cousins, IT, Buck, RC &amp; </w:t>
      </w:r>
      <w:proofErr w:type="spellStart"/>
      <w:r>
        <w:rPr>
          <w:lang w:eastAsia="ja-JP"/>
        </w:rPr>
        <w:t>Korzeniowski</w:t>
      </w:r>
      <w:proofErr w:type="spellEnd"/>
      <w:r>
        <w:rPr>
          <w:lang w:eastAsia="ja-JP"/>
        </w:rPr>
        <w:t xml:space="preserve">, SH 2006, 'Sources, Fate and Transport of </w:t>
      </w:r>
      <w:proofErr w:type="spellStart"/>
      <w:r>
        <w:rPr>
          <w:lang w:eastAsia="ja-JP"/>
        </w:rPr>
        <w:t>Perfluorocarboxylates</w:t>
      </w:r>
      <w:proofErr w:type="spellEnd"/>
      <w:r>
        <w:rPr>
          <w:lang w:eastAsia="ja-JP"/>
        </w:rPr>
        <w:t>', Environmental Science &amp; Technology, vol. 40, no. 1, pp. 32-44</w:t>
      </w:r>
      <w:r w:rsidRPr="003D5FE7">
        <w:rPr>
          <w:lang w:eastAsia="ja-JP"/>
        </w:rPr>
        <w:t xml:space="preserve">, </w:t>
      </w:r>
      <w:proofErr w:type="spellStart"/>
      <w:r w:rsidRPr="003D5FE7">
        <w:rPr>
          <w:lang w:eastAsia="ja-JP"/>
        </w:rPr>
        <w:t>doi</w:t>
      </w:r>
      <w:proofErr w:type="spellEnd"/>
      <w:r w:rsidRPr="003D5FE7">
        <w:rPr>
          <w:lang w:eastAsia="ja-JP"/>
        </w:rPr>
        <w:t>: 10.1021/es0512475</w:t>
      </w:r>
      <w:r>
        <w:rPr>
          <w:lang w:eastAsia="ja-JP"/>
        </w:rPr>
        <w:t>.</w:t>
      </w:r>
    </w:p>
    <w:p w14:paraId="2A61545B" w14:textId="1CC88C9E" w:rsidR="00275299" w:rsidRDefault="00275299" w:rsidP="00426F75">
      <w:pPr>
        <w:spacing w:after="60"/>
        <w:rPr>
          <w:lang w:eastAsia="ja-JP"/>
        </w:rPr>
      </w:pPr>
      <w:r>
        <w:rPr>
          <w:lang w:eastAsia="ja-JP"/>
        </w:rPr>
        <w:t xml:space="preserve">UNEP 2006, </w:t>
      </w:r>
      <w:hyperlink r:id="rId43" w:history="1">
        <w:r w:rsidRPr="00AB7207">
          <w:rPr>
            <w:rStyle w:val="Hyperlink"/>
            <w:lang w:eastAsia="ja-JP"/>
          </w:rPr>
          <w:t xml:space="preserve">OECD Environment, Health and Safety Publications Series on Risk Management No. 22: Results of the 2006 Survey on Production and Use Of PFOS, PFAS, PFOA, PFCA, Their Related </w:t>
        </w:r>
        <w:r w:rsidRPr="00AB7207">
          <w:rPr>
            <w:rStyle w:val="Hyperlink"/>
            <w:lang w:eastAsia="ja-JP"/>
          </w:rPr>
          <w:lastRenderedPageBreak/>
          <w:t>Substances And Products/Mixtures Containing These Substance</w:t>
        </w:r>
        <w:r w:rsidR="002D73E8">
          <w:rPr>
            <w:rStyle w:val="Hyperlink"/>
            <w:lang w:eastAsia="ja-JP"/>
          </w:rPr>
          <w:t>s (PDF 243 KB)</w:t>
        </w:r>
      </w:hyperlink>
      <w:r>
        <w:rPr>
          <w:lang w:eastAsia="ja-JP"/>
        </w:rPr>
        <w:t xml:space="preserve"> </w:t>
      </w:r>
      <w:r w:rsidR="00514057">
        <w:rPr>
          <w:lang w:eastAsia="ja-JP"/>
        </w:rPr>
        <w:t xml:space="preserve">. </w:t>
      </w:r>
      <w:r>
        <w:rPr>
          <w:lang w:eastAsia="ja-JP"/>
        </w:rPr>
        <w:t>Joint Meeting of the Chemicals Committee and the Working Party on Chemicals, Pesticides and Biotechnology</w:t>
      </w:r>
      <w:r w:rsidR="003D5FE7">
        <w:rPr>
          <w:lang w:eastAsia="ja-JP"/>
        </w:rPr>
        <w:t>.</w:t>
      </w:r>
    </w:p>
    <w:p w14:paraId="72EDE146" w14:textId="3DF7B311" w:rsidR="00275299" w:rsidRDefault="00275299" w:rsidP="00426F75">
      <w:pPr>
        <w:spacing w:after="60"/>
        <w:rPr>
          <w:lang w:eastAsia="ja-JP"/>
        </w:rPr>
      </w:pPr>
      <w:r>
        <w:rPr>
          <w:lang w:eastAsia="ja-JP"/>
        </w:rPr>
        <w:t xml:space="preserve">UNEP 2016, </w:t>
      </w:r>
      <w:hyperlink r:id="rId44" w:history="1">
        <w:r w:rsidRPr="009E6A27">
          <w:rPr>
            <w:rStyle w:val="Hyperlink"/>
            <w:lang w:eastAsia="ja-JP"/>
          </w:rPr>
          <w:t xml:space="preserve">Risk profile on </w:t>
        </w:r>
        <w:proofErr w:type="spellStart"/>
        <w:r w:rsidR="00F74516">
          <w:rPr>
            <w:rStyle w:val="Hyperlink"/>
            <w:lang w:eastAsia="ja-JP"/>
          </w:rPr>
          <w:t>P</w:t>
        </w:r>
        <w:r w:rsidRPr="009E6A27">
          <w:rPr>
            <w:rStyle w:val="Hyperlink"/>
            <w:lang w:eastAsia="ja-JP"/>
          </w:rPr>
          <w:t>entadecafluorooctanoic</w:t>
        </w:r>
        <w:proofErr w:type="spellEnd"/>
        <w:r w:rsidRPr="009E6A27">
          <w:rPr>
            <w:rStyle w:val="Hyperlink"/>
            <w:lang w:eastAsia="ja-JP"/>
          </w:rPr>
          <w:t xml:space="preserve"> </w:t>
        </w:r>
        <w:r w:rsidR="00F74516">
          <w:rPr>
            <w:rStyle w:val="Hyperlink"/>
            <w:lang w:eastAsia="ja-JP"/>
          </w:rPr>
          <w:t>A</w:t>
        </w:r>
        <w:r w:rsidRPr="009E6A27">
          <w:rPr>
            <w:rStyle w:val="Hyperlink"/>
            <w:lang w:eastAsia="ja-JP"/>
          </w:rPr>
          <w:t>cid (CAS No: 335-67-1, PFOA, perfluorooctanoic acid), its salts and PFOA-related compounds (Addendum)</w:t>
        </w:r>
      </w:hyperlink>
      <w:r>
        <w:rPr>
          <w:lang w:eastAsia="ja-JP"/>
        </w:rPr>
        <w:t>, Report of the Persistent Organic Pollutants Review Committee on the work of its twelfth meeting, 13 October 2016.</w:t>
      </w:r>
    </w:p>
    <w:p w14:paraId="5686B385" w14:textId="32A2CC94" w:rsidR="002F616F" w:rsidRDefault="002F616F" w:rsidP="00426F75">
      <w:pPr>
        <w:spacing w:after="60"/>
        <w:rPr>
          <w:lang w:eastAsia="ja-JP"/>
        </w:rPr>
      </w:pPr>
      <w:r>
        <w:rPr>
          <w:lang w:eastAsia="ja-JP"/>
        </w:rPr>
        <w:t xml:space="preserve">UNEP 2017, </w:t>
      </w:r>
      <w:hyperlink r:id="rId45" w:history="1">
        <w:r w:rsidRPr="00C90A1D">
          <w:rPr>
            <w:rStyle w:val="Hyperlink"/>
            <w:lang w:eastAsia="ja-JP"/>
          </w:rPr>
          <w:t xml:space="preserve">Risk management Evaluation on </w:t>
        </w:r>
        <w:proofErr w:type="spellStart"/>
        <w:r w:rsidRPr="00C90A1D">
          <w:rPr>
            <w:rStyle w:val="Hyperlink"/>
            <w:lang w:eastAsia="ja-JP"/>
          </w:rPr>
          <w:t>Pentadecafluorooctanoic</w:t>
        </w:r>
        <w:proofErr w:type="spellEnd"/>
        <w:r w:rsidRPr="00C90A1D">
          <w:rPr>
            <w:rStyle w:val="Hyperlink"/>
            <w:lang w:eastAsia="ja-JP"/>
          </w:rPr>
          <w:t xml:space="preserve"> Acid (CAS No: 335-67-1, PFOA, Perfluorooctanoic Acid), its Salts and PFOA-related Compound</w:t>
        </w:r>
        <w:r w:rsidR="00C90A1D">
          <w:rPr>
            <w:rStyle w:val="Hyperlink"/>
            <w:lang w:eastAsia="ja-JP"/>
          </w:rPr>
          <w:t>s (Addendum)</w:t>
        </w:r>
      </w:hyperlink>
      <w:r>
        <w:rPr>
          <w:lang w:eastAsia="ja-JP"/>
        </w:rPr>
        <w:t xml:space="preserve">, </w:t>
      </w:r>
      <w:r w:rsidRPr="002F616F">
        <w:rPr>
          <w:lang w:eastAsia="ja-JP"/>
        </w:rPr>
        <w:t xml:space="preserve">Report of the Persistent Organic Pollutants Review Committee on the </w:t>
      </w:r>
      <w:r>
        <w:rPr>
          <w:lang w:eastAsia="ja-JP"/>
        </w:rPr>
        <w:t>W</w:t>
      </w:r>
      <w:r w:rsidRPr="002F616F">
        <w:rPr>
          <w:lang w:eastAsia="ja-JP"/>
        </w:rPr>
        <w:t xml:space="preserve">ork of its </w:t>
      </w:r>
      <w:r>
        <w:rPr>
          <w:lang w:eastAsia="ja-JP"/>
        </w:rPr>
        <w:t>T</w:t>
      </w:r>
      <w:r w:rsidRPr="002F616F">
        <w:rPr>
          <w:lang w:eastAsia="ja-JP"/>
        </w:rPr>
        <w:t xml:space="preserve">hirteenth </w:t>
      </w:r>
      <w:r>
        <w:rPr>
          <w:lang w:eastAsia="ja-JP"/>
        </w:rPr>
        <w:t>M</w:t>
      </w:r>
      <w:r w:rsidRPr="002F616F">
        <w:rPr>
          <w:lang w:eastAsia="ja-JP"/>
        </w:rPr>
        <w:t>eeting</w:t>
      </w:r>
      <w:r>
        <w:rPr>
          <w:lang w:eastAsia="ja-JP"/>
        </w:rPr>
        <w:t xml:space="preserve">, accessed </w:t>
      </w:r>
      <w:r w:rsidR="00C90A1D">
        <w:rPr>
          <w:lang w:eastAsia="ja-JP"/>
        </w:rPr>
        <w:t>22 April 2022.</w:t>
      </w:r>
    </w:p>
    <w:p w14:paraId="7A605707" w14:textId="29AD9FF8" w:rsidR="00C90A1D" w:rsidRDefault="00C90A1D" w:rsidP="00426F75">
      <w:pPr>
        <w:spacing w:after="60"/>
        <w:rPr>
          <w:lang w:eastAsia="ja-JP"/>
        </w:rPr>
      </w:pPr>
      <w:r>
        <w:rPr>
          <w:lang w:eastAsia="ja-JP"/>
        </w:rPr>
        <w:t xml:space="preserve">UNEP 2018, </w:t>
      </w:r>
      <w:hyperlink r:id="rId46" w:history="1">
        <w:r w:rsidRPr="00C90A1D">
          <w:rPr>
            <w:rStyle w:val="Hyperlink"/>
            <w:lang w:eastAsia="ja-JP"/>
          </w:rPr>
          <w:t>Addendum to the Risk Management Evaluation on Perfluorooctanoic Acid (PFOA), its Salts and PFOA-Related Compounds</w:t>
        </w:r>
      </w:hyperlink>
      <w:r>
        <w:rPr>
          <w:lang w:eastAsia="ja-JP"/>
        </w:rPr>
        <w:t xml:space="preserve">, </w:t>
      </w:r>
      <w:r w:rsidRPr="00C90A1D">
        <w:rPr>
          <w:lang w:eastAsia="ja-JP"/>
        </w:rPr>
        <w:t xml:space="preserve">Report of the Persistent Organic Pollutants Review Committee on the </w:t>
      </w:r>
      <w:r>
        <w:rPr>
          <w:lang w:eastAsia="ja-JP"/>
        </w:rPr>
        <w:t>W</w:t>
      </w:r>
      <w:r w:rsidRPr="00C90A1D">
        <w:rPr>
          <w:lang w:eastAsia="ja-JP"/>
        </w:rPr>
        <w:t xml:space="preserve">ork of its </w:t>
      </w:r>
      <w:r>
        <w:rPr>
          <w:lang w:eastAsia="ja-JP"/>
        </w:rPr>
        <w:t>F</w:t>
      </w:r>
      <w:r w:rsidRPr="00C90A1D">
        <w:rPr>
          <w:lang w:eastAsia="ja-JP"/>
        </w:rPr>
        <w:t xml:space="preserve">ourteenth </w:t>
      </w:r>
      <w:r>
        <w:rPr>
          <w:lang w:eastAsia="ja-JP"/>
        </w:rPr>
        <w:t>M</w:t>
      </w:r>
      <w:r w:rsidRPr="00C90A1D">
        <w:rPr>
          <w:lang w:eastAsia="ja-JP"/>
        </w:rPr>
        <w:t>eeting</w:t>
      </w:r>
      <w:r>
        <w:rPr>
          <w:lang w:eastAsia="ja-JP"/>
        </w:rPr>
        <w:t>, accessed 22 April 2022.</w:t>
      </w:r>
    </w:p>
    <w:p w14:paraId="63C277F3" w14:textId="73C27865" w:rsidR="00275299" w:rsidRPr="00275299" w:rsidRDefault="00275299" w:rsidP="00426F75">
      <w:pPr>
        <w:spacing w:after="60"/>
        <w:rPr>
          <w:lang w:eastAsia="ja-JP"/>
        </w:rPr>
      </w:pPr>
      <w:r>
        <w:rPr>
          <w:lang w:eastAsia="ja-JP"/>
        </w:rPr>
        <w:t xml:space="preserve">UNEP 2019, </w:t>
      </w:r>
      <w:hyperlink r:id="rId47" w:history="1">
        <w:r w:rsidRPr="00426F75">
          <w:rPr>
            <w:rStyle w:val="Hyperlink"/>
          </w:rPr>
          <w:t xml:space="preserve">Factsheet: POPs Chemicals Perfluorooctanoic </w:t>
        </w:r>
        <w:r w:rsidR="00DB5792" w:rsidRPr="00426F75">
          <w:rPr>
            <w:rStyle w:val="Hyperlink"/>
          </w:rPr>
          <w:t>A</w:t>
        </w:r>
        <w:r w:rsidRPr="00426F75">
          <w:rPr>
            <w:rStyle w:val="Hyperlink"/>
          </w:rPr>
          <w:t xml:space="preserve">cid (PFOA), its </w:t>
        </w:r>
        <w:r w:rsidR="00DB5792" w:rsidRPr="00426F75">
          <w:rPr>
            <w:rStyle w:val="Hyperlink"/>
          </w:rPr>
          <w:t>S</w:t>
        </w:r>
        <w:r w:rsidRPr="00426F75">
          <w:rPr>
            <w:rStyle w:val="Hyperlink"/>
          </w:rPr>
          <w:t xml:space="preserve">alts and PFOA-related </w:t>
        </w:r>
        <w:r w:rsidR="00DB5792" w:rsidRPr="00426F75">
          <w:rPr>
            <w:rStyle w:val="Hyperlink"/>
          </w:rPr>
          <w:t>C</w:t>
        </w:r>
        <w:r w:rsidRPr="00426F75">
          <w:rPr>
            <w:rStyle w:val="Hyperlink"/>
          </w:rPr>
          <w:t>ompounds</w:t>
        </w:r>
      </w:hyperlink>
      <w:r w:rsidRPr="00A43753">
        <w:rPr>
          <w:lang w:eastAsia="ja-JP"/>
        </w:rPr>
        <w:t>.</w:t>
      </w:r>
      <w:r>
        <w:rPr>
          <w:lang w:eastAsia="ja-JP"/>
        </w:rPr>
        <w:t xml:space="preserve"> </w:t>
      </w:r>
      <w:proofErr w:type="gramStart"/>
      <w:r>
        <w:rPr>
          <w:lang w:eastAsia="ja-JP"/>
        </w:rPr>
        <w:t>United Nations Environment Programme,</w:t>
      </w:r>
      <w:proofErr w:type="gramEnd"/>
      <w:r>
        <w:rPr>
          <w:lang w:eastAsia="ja-JP"/>
        </w:rPr>
        <w:t xml:space="preserve"> </w:t>
      </w:r>
      <w:r w:rsidR="00F74516">
        <w:rPr>
          <w:lang w:eastAsia="ja-JP"/>
        </w:rPr>
        <w:t xml:space="preserve">accessed </w:t>
      </w:r>
      <w:r w:rsidR="003A43C9">
        <w:rPr>
          <w:lang w:eastAsia="ja-JP"/>
        </w:rPr>
        <w:t>22 April 2022</w:t>
      </w:r>
      <w:r>
        <w:rPr>
          <w:lang w:eastAsia="ja-JP"/>
        </w:rPr>
        <w:t>.</w:t>
      </w:r>
    </w:p>
    <w:p w14:paraId="167D1FBF" w14:textId="77777777" w:rsidR="00B82095" w:rsidRPr="0080517C" w:rsidRDefault="000913B5" w:rsidP="0080517C">
      <w:pPr>
        <w:pStyle w:val="Heading2"/>
      </w:pPr>
      <w:r>
        <w:t>More</w:t>
      </w:r>
      <w:r w:rsidR="00B82095" w:rsidRPr="0080517C">
        <w:t xml:space="preserve"> information</w:t>
      </w:r>
    </w:p>
    <w:p w14:paraId="5937AFC9" w14:textId="651F282E" w:rsidR="00B82095" w:rsidRDefault="00B82095" w:rsidP="00B82095">
      <w:pPr>
        <w:rPr>
          <w:lang w:eastAsia="ja-JP"/>
        </w:rPr>
      </w:pPr>
      <w:r>
        <w:rPr>
          <w:lang w:eastAsia="ja-JP"/>
        </w:rPr>
        <w:t xml:space="preserve">Email </w:t>
      </w:r>
      <w:hyperlink r:id="rId48" w:history="1">
        <w:r w:rsidR="003D3523" w:rsidRPr="00850D65">
          <w:rPr>
            <w:rStyle w:val="Hyperlink"/>
            <w:lang w:eastAsia="ja-JP"/>
          </w:rPr>
          <w:t>ichems.enquiry@dcceew.gov.au</w:t>
        </w:r>
      </w:hyperlink>
    </w:p>
    <w:p w14:paraId="3D1B243D" w14:textId="3F9D61CB" w:rsidR="003D3523" w:rsidRPr="0040035C" w:rsidRDefault="00B82095" w:rsidP="00A8157A">
      <w:pPr>
        <w:spacing w:after="360"/>
        <w:rPr>
          <w:rStyle w:val="Hyperlink"/>
        </w:rPr>
      </w:pPr>
      <w:r>
        <w:rPr>
          <w:lang w:eastAsia="ja-JP"/>
        </w:rPr>
        <w:t xml:space="preserve">Web </w:t>
      </w:r>
      <w:hyperlink r:id="rId49" w:history="1">
        <w:r w:rsidR="00BC1CF3" w:rsidRPr="00850D65">
          <w:rPr>
            <w:rStyle w:val="Hyperlink"/>
          </w:rPr>
          <w:t>www.dcceew.gov.au/environment/protection/chemicals-management/national-standard</w:t>
        </w:r>
      </w:hyperlink>
    </w:p>
    <w:p w14:paraId="182B7E91" w14:textId="77777777" w:rsidR="000A5BA0" w:rsidRDefault="000A5BA0" w:rsidP="000A5BA0">
      <w:pPr>
        <w:pStyle w:val="Normalsmall"/>
      </w:pPr>
      <w:r>
        <w:rPr>
          <w:rStyle w:val="Strong"/>
        </w:rPr>
        <w:t>Acknowledgement of Country</w:t>
      </w:r>
    </w:p>
    <w:p w14:paraId="57A33713" w14:textId="13BD8F67" w:rsidR="000A5BA0" w:rsidRPr="000A5BA0" w:rsidRDefault="000A5BA0" w:rsidP="000A5BA0">
      <w:pPr>
        <w:pStyle w:val="Normalsmall"/>
        <w:rPr>
          <w:rStyle w:val="Hyperlink"/>
          <w:color w:val="auto"/>
          <w:u w:val="none"/>
        </w:rPr>
      </w:pPr>
      <w:r>
        <w:t xml:space="preserve">We </w:t>
      </w:r>
      <w:r w:rsidR="00BE4746">
        <w:t>recognise</w:t>
      </w:r>
      <w:r w:rsidR="00BE4746" w:rsidRPr="00BE4746">
        <w:t xml:space="preserve"> the First Peoples of this nation and their ongoing connection to culture and country. We acknowledge First Nations Peoples as the Traditional Owners, Custodians and Lore Keepers of the world's oldest living culture and pay respects to their Elders past, present and emerging.</w:t>
      </w:r>
    </w:p>
    <w:p w14:paraId="2B84A8CC" w14:textId="49821BB6" w:rsidR="00E9781D" w:rsidRDefault="00E9781D" w:rsidP="00E9781D">
      <w:pPr>
        <w:pStyle w:val="Normalsmall"/>
        <w:spacing w:before="360"/>
      </w:pPr>
      <w:r>
        <w:t>© Commonwealth of Australia 202</w:t>
      </w:r>
      <w:r w:rsidR="00AD4101">
        <w:t>3</w:t>
      </w:r>
    </w:p>
    <w:p w14:paraId="1B4C6C3C"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5DE0F045" w14:textId="77777777" w:rsidR="00E9781D" w:rsidRDefault="00E9781D" w:rsidP="00E9781D">
      <w:pPr>
        <w:pStyle w:val="Normalsmall"/>
      </w:pPr>
      <w:r>
        <w:t xml:space="preserve">All material in this publication is licensed under a </w:t>
      </w:r>
      <w:hyperlink r:id="rId50" w:history="1">
        <w:r>
          <w:rPr>
            <w:rStyle w:val="Hyperlink"/>
          </w:rPr>
          <w:t>Creative Commons Attribution 4.0 International Licence</w:t>
        </w:r>
      </w:hyperlink>
      <w:r>
        <w:t xml:space="preserve"> except content supplied by third parties, logos and the Commonwealth Coat of Arms.</w:t>
      </w:r>
    </w:p>
    <w:p w14:paraId="196E62EE" w14:textId="6D9E5606" w:rsidR="00275299" w:rsidRDefault="00E9781D" w:rsidP="00E9781D">
      <w:pPr>
        <w:pStyle w:val="Normalsmall"/>
      </w:pPr>
      <w:r>
        <w:t xml:space="preserve">The Australian Government acting through the Department of </w:t>
      </w:r>
      <w:r w:rsidR="00BE4746">
        <w:t>Climate Change, Energy, the Environment and Water</w:t>
      </w:r>
      <w:r>
        <w:t xml:space="preserve">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75299" w:rsidSect="00D65D53">
      <w:headerReference w:type="default" r:id="rId51"/>
      <w:footerReference w:type="default" r:id="rId52"/>
      <w:headerReference w:type="first" r:id="rId53"/>
      <w:footerReference w:type="first" r:id="rId54"/>
      <w:pgSz w:w="11906" w:h="16838" w:code="9"/>
      <w:pgMar w:top="1418"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FD06" w14:textId="77777777" w:rsidR="00F1180B" w:rsidRDefault="00F1180B">
      <w:r>
        <w:separator/>
      </w:r>
    </w:p>
    <w:p w14:paraId="621D73F8" w14:textId="77777777" w:rsidR="00F1180B" w:rsidRDefault="00F1180B"/>
    <w:p w14:paraId="1EF6D20E" w14:textId="77777777" w:rsidR="00F1180B" w:rsidRDefault="00F1180B"/>
  </w:endnote>
  <w:endnote w:type="continuationSeparator" w:id="0">
    <w:p w14:paraId="58DEA123" w14:textId="77777777" w:rsidR="00F1180B" w:rsidRDefault="00F1180B">
      <w:r>
        <w:continuationSeparator/>
      </w:r>
    </w:p>
    <w:p w14:paraId="6FD8AD87" w14:textId="77777777" w:rsidR="00F1180B" w:rsidRDefault="00F1180B"/>
    <w:p w14:paraId="668610DF" w14:textId="77777777" w:rsidR="00F1180B" w:rsidRDefault="00F1180B"/>
  </w:endnote>
  <w:endnote w:type="continuationNotice" w:id="1">
    <w:p w14:paraId="45B31800" w14:textId="77777777" w:rsidR="00F1180B" w:rsidRDefault="00F1180B">
      <w:pPr>
        <w:pStyle w:val="Footer"/>
      </w:pPr>
    </w:p>
    <w:p w14:paraId="02AC937E" w14:textId="77777777" w:rsidR="00F1180B" w:rsidRDefault="00F1180B"/>
    <w:p w14:paraId="31A2F3EF" w14:textId="77777777" w:rsidR="00F1180B" w:rsidRDefault="00F11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806" w14:textId="7E0271A0" w:rsidR="000542B4" w:rsidRDefault="000542B4" w:rsidP="000542B4">
    <w:pPr>
      <w:pStyle w:val="Footer"/>
    </w:pPr>
    <w:r>
      <w:t xml:space="preserve">Department of </w:t>
    </w:r>
    <w:r w:rsidR="00141900">
      <w:t xml:space="preserve">Climate Change, Energy, the </w:t>
    </w:r>
    <w:r>
      <w:t>Environment</w:t>
    </w:r>
    <w:r w:rsidR="00141900">
      <w:t xml:space="preserve"> and Water</w:t>
    </w:r>
  </w:p>
  <w:p w14:paraId="381BBB17" w14:textId="77777777" w:rsidR="000542B4" w:rsidRDefault="00362E4E"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20E20BE9"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1AEFB4CD"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2547" w14:textId="77777777" w:rsidR="00F1180B" w:rsidRDefault="00F1180B">
      <w:r>
        <w:separator/>
      </w:r>
    </w:p>
    <w:p w14:paraId="73B0C6EB" w14:textId="77777777" w:rsidR="00F1180B" w:rsidRDefault="00F1180B"/>
    <w:p w14:paraId="5FCC1311" w14:textId="77777777" w:rsidR="00F1180B" w:rsidRDefault="00F1180B"/>
  </w:footnote>
  <w:footnote w:type="continuationSeparator" w:id="0">
    <w:p w14:paraId="4698694C" w14:textId="77777777" w:rsidR="00F1180B" w:rsidRDefault="00F1180B">
      <w:r>
        <w:continuationSeparator/>
      </w:r>
    </w:p>
    <w:p w14:paraId="600C6D63" w14:textId="77777777" w:rsidR="00F1180B" w:rsidRDefault="00F1180B"/>
    <w:p w14:paraId="57CD5491" w14:textId="77777777" w:rsidR="00F1180B" w:rsidRDefault="00F1180B"/>
  </w:footnote>
  <w:footnote w:type="continuationNotice" w:id="1">
    <w:p w14:paraId="4DA3BD73" w14:textId="77777777" w:rsidR="00F1180B" w:rsidRDefault="00F1180B">
      <w:pPr>
        <w:pStyle w:val="Footer"/>
      </w:pPr>
    </w:p>
    <w:p w14:paraId="1DA7C79C" w14:textId="77777777" w:rsidR="00F1180B" w:rsidRDefault="00F1180B"/>
    <w:p w14:paraId="48A1758D" w14:textId="77777777" w:rsidR="00F1180B" w:rsidRDefault="00F11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5CA8" w14:textId="101F8E63" w:rsidR="000542B4" w:rsidRPr="00E82479" w:rsidRDefault="0040035C" w:rsidP="00E82479">
    <w:pPr>
      <w:pStyle w:val="Header"/>
    </w:pPr>
    <w:r>
      <w:t>Perfluorooctanoic acid (PFOA) and related substances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AF51" w14:textId="26E330BD" w:rsidR="000E455C" w:rsidRDefault="009A4D2A" w:rsidP="009D1671">
    <w:pPr>
      <w:pStyle w:val="Footer"/>
      <w:spacing w:after="0"/>
      <w:jc w:val="both"/>
    </w:pPr>
    <w:r>
      <w:rPr>
        <w:b/>
        <w:noProof/>
        <w:lang w:val="en-US"/>
      </w:rPr>
      <w:drawing>
        <wp:anchor distT="0" distB="0" distL="114300" distR="114300" simplePos="0" relativeHeight="251658240" behindDoc="1" locked="0" layoutInCell="1" allowOverlap="1" wp14:anchorId="74D18245" wp14:editId="50E49A3F">
          <wp:simplePos x="0" y="0"/>
          <wp:positionH relativeFrom="column">
            <wp:posOffset>-785495</wp:posOffset>
          </wp:positionH>
          <wp:positionV relativeFrom="paragraph">
            <wp:posOffset>-354330</wp:posOffset>
          </wp:positionV>
          <wp:extent cx="7567198" cy="1892935"/>
          <wp:effectExtent l="0" t="0" r="0" b="0"/>
          <wp:wrapNone/>
          <wp:docPr id="4" name="Picture 4" descr="Australian Government Industrial Chemicals Environmental Management Standard (ICh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Industrial Chemicals Environmental Management Standard (IChE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198" cy="1892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124"/>
    <w:multiLevelType w:val="hybridMultilevel"/>
    <w:tmpl w:val="D4F8D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A328D5"/>
    <w:multiLevelType w:val="multilevel"/>
    <w:tmpl w:val="47AAA7EE"/>
    <w:numStyleLink w:val="Numberlist"/>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1B44718"/>
    <w:multiLevelType w:val="hybridMultilevel"/>
    <w:tmpl w:val="5BCE6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197622"/>
    <w:multiLevelType w:val="hybridMultilevel"/>
    <w:tmpl w:val="4258A7A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86800B4"/>
    <w:multiLevelType w:val="multilevel"/>
    <w:tmpl w:val="A0241B28"/>
    <w:numStyleLink w:val="List1"/>
  </w:abstractNum>
  <w:abstractNum w:abstractNumId="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2A4719"/>
    <w:multiLevelType w:val="hybridMultilevel"/>
    <w:tmpl w:val="F11C5B8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655257157">
    <w:abstractNumId w:val="7"/>
  </w:num>
  <w:num w:numId="2" w16cid:durableId="192351066">
    <w:abstractNumId w:val="11"/>
  </w:num>
  <w:num w:numId="3" w16cid:durableId="1685398946">
    <w:abstractNumId w:val="12"/>
  </w:num>
  <w:num w:numId="4" w16cid:durableId="719939063">
    <w:abstractNumId w:val="3"/>
  </w:num>
  <w:num w:numId="5" w16cid:durableId="1721859784">
    <w:abstractNumId w:val="10"/>
  </w:num>
  <w:num w:numId="6" w16cid:durableId="178783395">
    <w:abstractNumId w:val="8"/>
  </w:num>
  <w:num w:numId="7" w16cid:durableId="1307903534">
    <w:abstractNumId w:val="1"/>
  </w:num>
  <w:num w:numId="8" w16cid:durableId="1302226868">
    <w:abstractNumId w:val="2"/>
  </w:num>
  <w:num w:numId="9" w16cid:durableId="108280557">
    <w:abstractNumId w:val="4"/>
  </w:num>
  <w:num w:numId="10" w16cid:durableId="1150051867">
    <w:abstractNumId w:val="9"/>
  </w:num>
  <w:num w:numId="11" w16cid:durableId="1185561891">
    <w:abstractNumId w:val="5"/>
  </w:num>
  <w:num w:numId="12" w16cid:durableId="1548253216">
    <w:abstractNumId w:val="6"/>
  </w:num>
  <w:num w:numId="13" w16cid:durableId="2630026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2A"/>
    <w:rsid w:val="0000059E"/>
    <w:rsid w:val="0000066F"/>
    <w:rsid w:val="00003726"/>
    <w:rsid w:val="000063D4"/>
    <w:rsid w:val="0000656D"/>
    <w:rsid w:val="00011B78"/>
    <w:rsid w:val="00012EAB"/>
    <w:rsid w:val="000157A2"/>
    <w:rsid w:val="00021590"/>
    <w:rsid w:val="00022D17"/>
    <w:rsid w:val="000239B5"/>
    <w:rsid w:val="00025D1B"/>
    <w:rsid w:val="000266C4"/>
    <w:rsid w:val="00040F89"/>
    <w:rsid w:val="00042BF0"/>
    <w:rsid w:val="0004330F"/>
    <w:rsid w:val="00044E42"/>
    <w:rsid w:val="00045ACD"/>
    <w:rsid w:val="000477FE"/>
    <w:rsid w:val="00051A41"/>
    <w:rsid w:val="000527A6"/>
    <w:rsid w:val="000542B4"/>
    <w:rsid w:val="00054882"/>
    <w:rsid w:val="00056664"/>
    <w:rsid w:val="00056D07"/>
    <w:rsid w:val="000576E2"/>
    <w:rsid w:val="00060A4C"/>
    <w:rsid w:val="000618F3"/>
    <w:rsid w:val="00062773"/>
    <w:rsid w:val="000627C9"/>
    <w:rsid w:val="00063034"/>
    <w:rsid w:val="0006317F"/>
    <w:rsid w:val="00065671"/>
    <w:rsid w:val="00066D0B"/>
    <w:rsid w:val="000717D2"/>
    <w:rsid w:val="00074A56"/>
    <w:rsid w:val="00074D1D"/>
    <w:rsid w:val="00076664"/>
    <w:rsid w:val="00076D1A"/>
    <w:rsid w:val="00080827"/>
    <w:rsid w:val="0008277A"/>
    <w:rsid w:val="000904C1"/>
    <w:rsid w:val="000913B5"/>
    <w:rsid w:val="0009148C"/>
    <w:rsid w:val="00091A87"/>
    <w:rsid w:val="00093FEC"/>
    <w:rsid w:val="00096293"/>
    <w:rsid w:val="000A5BA0"/>
    <w:rsid w:val="000B3924"/>
    <w:rsid w:val="000B3C44"/>
    <w:rsid w:val="000C0412"/>
    <w:rsid w:val="000C3CF1"/>
    <w:rsid w:val="000C4558"/>
    <w:rsid w:val="000D128E"/>
    <w:rsid w:val="000D289D"/>
    <w:rsid w:val="000D6042"/>
    <w:rsid w:val="000E0939"/>
    <w:rsid w:val="000E20B0"/>
    <w:rsid w:val="000E455C"/>
    <w:rsid w:val="000F16D5"/>
    <w:rsid w:val="000F592C"/>
    <w:rsid w:val="000F596B"/>
    <w:rsid w:val="000F68F1"/>
    <w:rsid w:val="00100ADE"/>
    <w:rsid w:val="00105677"/>
    <w:rsid w:val="001074A7"/>
    <w:rsid w:val="00113278"/>
    <w:rsid w:val="00113476"/>
    <w:rsid w:val="00114BB2"/>
    <w:rsid w:val="001209BD"/>
    <w:rsid w:val="001233A8"/>
    <w:rsid w:val="00123C19"/>
    <w:rsid w:val="00123FE8"/>
    <w:rsid w:val="001240CE"/>
    <w:rsid w:val="00124C45"/>
    <w:rsid w:val="00125ADA"/>
    <w:rsid w:val="0012628A"/>
    <w:rsid w:val="001265A2"/>
    <w:rsid w:val="00126B49"/>
    <w:rsid w:val="00132D03"/>
    <w:rsid w:val="00135BC2"/>
    <w:rsid w:val="00135C62"/>
    <w:rsid w:val="00141082"/>
    <w:rsid w:val="00141900"/>
    <w:rsid w:val="001445A5"/>
    <w:rsid w:val="00146062"/>
    <w:rsid w:val="001462ED"/>
    <w:rsid w:val="0015530D"/>
    <w:rsid w:val="001565A8"/>
    <w:rsid w:val="00157681"/>
    <w:rsid w:val="00162395"/>
    <w:rsid w:val="001643EA"/>
    <w:rsid w:val="00165612"/>
    <w:rsid w:val="00171484"/>
    <w:rsid w:val="001720E2"/>
    <w:rsid w:val="00173901"/>
    <w:rsid w:val="00174184"/>
    <w:rsid w:val="0017681C"/>
    <w:rsid w:val="00181D58"/>
    <w:rsid w:val="001869DD"/>
    <w:rsid w:val="00190D7E"/>
    <w:rsid w:val="00191341"/>
    <w:rsid w:val="001918E9"/>
    <w:rsid w:val="001929D2"/>
    <w:rsid w:val="001A1F24"/>
    <w:rsid w:val="001A6968"/>
    <w:rsid w:val="001B13FD"/>
    <w:rsid w:val="001C157A"/>
    <w:rsid w:val="001C6DB7"/>
    <w:rsid w:val="001D0EF3"/>
    <w:rsid w:val="001D54FB"/>
    <w:rsid w:val="001D743C"/>
    <w:rsid w:val="001E3CEF"/>
    <w:rsid w:val="001E5B77"/>
    <w:rsid w:val="001E7ABC"/>
    <w:rsid w:val="001E7ACE"/>
    <w:rsid w:val="00200B02"/>
    <w:rsid w:val="00200DC2"/>
    <w:rsid w:val="00203DE1"/>
    <w:rsid w:val="00213A86"/>
    <w:rsid w:val="002142A3"/>
    <w:rsid w:val="00215B58"/>
    <w:rsid w:val="00220618"/>
    <w:rsid w:val="00221B3C"/>
    <w:rsid w:val="00221E53"/>
    <w:rsid w:val="00225AD4"/>
    <w:rsid w:val="00227743"/>
    <w:rsid w:val="00227B6E"/>
    <w:rsid w:val="002311EC"/>
    <w:rsid w:val="0023341A"/>
    <w:rsid w:val="00234722"/>
    <w:rsid w:val="00237A69"/>
    <w:rsid w:val="00242B00"/>
    <w:rsid w:val="00243978"/>
    <w:rsid w:val="002548A9"/>
    <w:rsid w:val="00255BC7"/>
    <w:rsid w:val="0025792D"/>
    <w:rsid w:val="002602E7"/>
    <w:rsid w:val="0026335B"/>
    <w:rsid w:val="002647F7"/>
    <w:rsid w:val="0026581C"/>
    <w:rsid w:val="00274BEF"/>
    <w:rsid w:val="00275299"/>
    <w:rsid w:val="00275B58"/>
    <w:rsid w:val="002823B9"/>
    <w:rsid w:val="00283944"/>
    <w:rsid w:val="00283ECF"/>
    <w:rsid w:val="00284B53"/>
    <w:rsid w:val="00286983"/>
    <w:rsid w:val="00287B00"/>
    <w:rsid w:val="002920F5"/>
    <w:rsid w:val="00292C4E"/>
    <w:rsid w:val="00295B44"/>
    <w:rsid w:val="002A5049"/>
    <w:rsid w:val="002A5650"/>
    <w:rsid w:val="002A6F6A"/>
    <w:rsid w:val="002B031D"/>
    <w:rsid w:val="002B1737"/>
    <w:rsid w:val="002B1FAF"/>
    <w:rsid w:val="002B23F4"/>
    <w:rsid w:val="002B4313"/>
    <w:rsid w:val="002B65A1"/>
    <w:rsid w:val="002B7AC5"/>
    <w:rsid w:val="002C264D"/>
    <w:rsid w:val="002C357A"/>
    <w:rsid w:val="002C3647"/>
    <w:rsid w:val="002D4A04"/>
    <w:rsid w:val="002D4FFC"/>
    <w:rsid w:val="002D5D68"/>
    <w:rsid w:val="002D73E8"/>
    <w:rsid w:val="002D7D63"/>
    <w:rsid w:val="002E03DE"/>
    <w:rsid w:val="002E20AD"/>
    <w:rsid w:val="002E3F14"/>
    <w:rsid w:val="002E3FD4"/>
    <w:rsid w:val="002E6C9C"/>
    <w:rsid w:val="002E6E71"/>
    <w:rsid w:val="002F4595"/>
    <w:rsid w:val="002F56CB"/>
    <w:rsid w:val="002F616F"/>
    <w:rsid w:val="00300AFD"/>
    <w:rsid w:val="003032C0"/>
    <w:rsid w:val="00303855"/>
    <w:rsid w:val="00303D9E"/>
    <w:rsid w:val="00304C10"/>
    <w:rsid w:val="00311B43"/>
    <w:rsid w:val="003148A0"/>
    <w:rsid w:val="00314B91"/>
    <w:rsid w:val="003213D1"/>
    <w:rsid w:val="003238A6"/>
    <w:rsid w:val="00326500"/>
    <w:rsid w:val="00326C72"/>
    <w:rsid w:val="003276EF"/>
    <w:rsid w:val="0033213B"/>
    <w:rsid w:val="0033255F"/>
    <w:rsid w:val="00336B60"/>
    <w:rsid w:val="00344E44"/>
    <w:rsid w:val="0035108D"/>
    <w:rsid w:val="003569F9"/>
    <w:rsid w:val="00362E4E"/>
    <w:rsid w:val="003652AC"/>
    <w:rsid w:val="00366721"/>
    <w:rsid w:val="00370990"/>
    <w:rsid w:val="0037267F"/>
    <w:rsid w:val="0037485E"/>
    <w:rsid w:val="0037698A"/>
    <w:rsid w:val="00384A1F"/>
    <w:rsid w:val="003870DB"/>
    <w:rsid w:val="003901E3"/>
    <w:rsid w:val="003918B4"/>
    <w:rsid w:val="00392124"/>
    <w:rsid w:val="003937B8"/>
    <w:rsid w:val="00394900"/>
    <w:rsid w:val="003964BB"/>
    <w:rsid w:val="00396752"/>
    <w:rsid w:val="003A01F8"/>
    <w:rsid w:val="003A1797"/>
    <w:rsid w:val="003A41E6"/>
    <w:rsid w:val="003A43C9"/>
    <w:rsid w:val="003A54F4"/>
    <w:rsid w:val="003A55B6"/>
    <w:rsid w:val="003B27F2"/>
    <w:rsid w:val="003B4FC0"/>
    <w:rsid w:val="003C4808"/>
    <w:rsid w:val="003D3523"/>
    <w:rsid w:val="003D40D1"/>
    <w:rsid w:val="003D5FE7"/>
    <w:rsid w:val="003E1DA6"/>
    <w:rsid w:val="003E2146"/>
    <w:rsid w:val="003E79CF"/>
    <w:rsid w:val="003E7B81"/>
    <w:rsid w:val="003F5B3F"/>
    <w:rsid w:val="003F73D7"/>
    <w:rsid w:val="0040035C"/>
    <w:rsid w:val="004075A3"/>
    <w:rsid w:val="004100A3"/>
    <w:rsid w:val="00411260"/>
    <w:rsid w:val="0041170E"/>
    <w:rsid w:val="00414916"/>
    <w:rsid w:val="00415EBB"/>
    <w:rsid w:val="00417217"/>
    <w:rsid w:val="00421CC6"/>
    <w:rsid w:val="004267A7"/>
    <w:rsid w:val="00426F75"/>
    <w:rsid w:val="004336EA"/>
    <w:rsid w:val="004366BF"/>
    <w:rsid w:val="00441132"/>
    <w:rsid w:val="00442630"/>
    <w:rsid w:val="0044304D"/>
    <w:rsid w:val="004431CB"/>
    <w:rsid w:val="00445896"/>
    <w:rsid w:val="00446CB3"/>
    <w:rsid w:val="004473E8"/>
    <w:rsid w:val="00447AF7"/>
    <w:rsid w:val="00450DA8"/>
    <w:rsid w:val="004511CA"/>
    <w:rsid w:val="00452F10"/>
    <w:rsid w:val="004574B0"/>
    <w:rsid w:val="00460B9C"/>
    <w:rsid w:val="00461879"/>
    <w:rsid w:val="00463CFD"/>
    <w:rsid w:val="00463D1E"/>
    <w:rsid w:val="00474BB1"/>
    <w:rsid w:val="00475A86"/>
    <w:rsid w:val="00475BF5"/>
    <w:rsid w:val="0047680C"/>
    <w:rsid w:val="00477494"/>
    <w:rsid w:val="00481327"/>
    <w:rsid w:val="00482F1C"/>
    <w:rsid w:val="00484D5B"/>
    <w:rsid w:val="00490D78"/>
    <w:rsid w:val="004918C2"/>
    <w:rsid w:val="004A2845"/>
    <w:rsid w:val="004B0755"/>
    <w:rsid w:val="004B213C"/>
    <w:rsid w:val="004B48C9"/>
    <w:rsid w:val="004B5481"/>
    <w:rsid w:val="004C1A09"/>
    <w:rsid w:val="004C1F44"/>
    <w:rsid w:val="004C2DA2"/>
    <w:rsid w:val="004C2FB1"/>
    <w:rsid w:val="004C62E9"/>
    <w:rsid w:val="004C7FB7"/>
    <w:rsid w:val="004D0888"/>
    <w:rsid w:val="004D6AC9"/>
    <w:rsid w:val="004E36D6"/>
    <w:rsid w:val="004E74D2"/>
    <w:rsid w:val="004F30F7"/>
    <w:rsid w:val="004F366A"/>
    <w:rsid w:val="004F4CA3"/>
    <w:rsid w:val="004F73B0"/>
    <w:rsid w:val="005019C1"/>
    <w:rsid w:val="005020AE"/>
    <w:rsid w:val="00502CFA"/>
    <w:rsid w:val="00505320"/>
    <w:rsid w:val="00505B6B"/>
    <w:rsid w:val="00505DC7"/>
    <w:rsid w:val="00506503"/>
    <w:rsid w:val="00507843"/>
    <w:rsid w:val="00510F4C"/>
    <w:rsid w:val="00512838"/>
    <w:rsid w:val="00514057"/>
    <w:rsid w:val="00515287"/>
    <w:rsid w:val="00520929"/>
    <w:rsid w:val="00526A85"/>
    <w:rsid w:val="005275AD"/>
    <w:rsid w:val="00531B5A"/>
    <w:rsid w:val="00547EAE"/>
    <w:rsid w:val="005502BD"/>
    <w:rsid w:val="0055155D"/>
    <w:rsid w:val="00553E9D"/>
    <w:rsid w:val="0055447F"/>
    <w:rsid w:val="0055636B"/>
    <w:rsid w:val="00556B20"/>
    <w:rsid w:val="00564A1D"/>
    <w:rsid w:val="00567DFC"/>
    <w:rsid w:val="00570062"/>
    <w:rsid w:val="00577F29"/>
    <w:rsid w:val="0058328A"/>
    <w:rsid w:val="00583499"/>
    <w:rsid w:val="005849E9"/>
    <w:rsid w:val="00586046"/>
    <w:rsid w:val="00590A12"/>
    <w:rsid w:val="00593180"/>
    <w:rsid w:val="005947B5"/>
    <w:rsid w:val="00597C2C"/>
    <w:rsid w:val="005A48A6"/>
    <w:rsid w:val="005A563F"/>
    <w:rsid w:val="005A6A6E"/>
    <w:rsid w:val="005B2CEE"/>
    <w:rsid w:val="005B613F"/>
    <w:rsid w:val="005C09C7"/>
    <w:rsid w:val="005C2BFD"/>
    <w:rsid w:val="005C3665"/>
    <w:rsid w:val="005C6DAC"/>
    <w:rsid w:val="005C7D2E"/>
    <w:rsid w:val="005D486B"/>
    <w:rsid w:val="005E1F8C"/>
    <w:rsid w:val="005E3DE8"/>
    <w:rsid w:val="005E3EFA"/>
    <w:rsid w:val="005E7524"/>
    <w:rsid w:val="005F0B24"/>
    <w:rsid w:val="006022A6"/>
    <w:rsid w:val="00607A21"/>
    <w:rsid w:val="00607A36"/>
    <w:rsid w:val="0061026D"/>
    <w:rsid w:val="00610DFB"/>
    <w:rsid w:val="00614FDD"/>
    <w:rsid w:val="006156DF"/>
    <w:rsid w:val="00620033"/>
    <w:rsid w:val="00624949"/>
    <w:rsid w:val="00625BBF"/>
    <w:rsid w:val="00625D8D"/>
    <w:rsid w:val="00632DB6"/>
    <w:rsid w:val="006360F9"/>
    <w:rsid w:val="0064176A"/>
    <w:rsid w:val="00642F36"/>
    <w:rsid w:val="00646917"/>
    <w:rsid w:val="006517DF"/>
    <w:rsid w:val="00656587"/>
    <w:rsid w:val="0065675F"/>
    <w:rsid w:val="00662B06"/>
    <w:rsid w:val="006800E4"/>
    <w:rsid w:val="0068054A"/>
    <w:rsid w:val="00681D19"/>
    <w:rsid w:val="00696682"/>
    <w:rsid w:val="00697D94"/>
    <w:rsid w:val="006A1070"/>
    <w:rsid w:val="006B0030"/>
    <w:rsid w:val="006B326D"/>
    <w:rsid w:val="006D413F"/>
    <w:rsid w:val="006D62ED"/>
    <w:rsid w:val="006E7717"/>
    <w:rsid w:val="006F1361"/>
    <w:rsid w:val="006F285D"/>
    <w:rsid w:val="006F54BF"/>
    <w:rsid w:val="006F6FE8"/>
    <w:rsid w:val="0070432B"/>
    <w:rsid w:val="0070464B"/>
    <w:rsid w:val="00714AEA"/>
    <w:rsid w:val="00714C53"/>
    <w:rsid w:val="00715354"/>
    <w:rsid w:val="00721291"/>
    <w:rsid w:val="007224AB"/>
    <w:rsid w:val="00725617"/>
    <w:rsid w:val="007258B1"/>
    <w:rsid w:val="00725C8B"/>
    <w:rsid w:val="007375F2"/>
    <w:rsid w:val="0074013D"/>
    <w:rsid w:val="007426E8"/>
    <w:rsid w:val="00746714"/>
    <w:rsid w:val="00751BA3"/>
    <w:rsid w:val="0075439C"/>
    <w:rsid w:val="00754CA3"/>
    <w:rsid w:val="007556DA"/>
    <w:rsid w:val="007565D7"/>
    <w:rsid w:val="00762F85"/>
    <w:rsid w:val="00764249"/>
    <w:rsid w:val="0076549B"/>
    <w:rsid w:val="007768BC"/>
    <w:rsid w:val="00782C6C"/>
    <w:rsid w:val="007841AD"/>
    <w:rsid w:val="00787AD6"/>
    <w:rsid w:val="00793E18"/>
    <w:rsid w:val="007B09E2"/>
    <w:rsid w:val="007B51F2"/>
    <w:rsid w:val="007B5996"/>
    <w:rsid w:val="007B5ACE"/>
    <w:rsid w:val="007B601A"/>
    <w:rsid w:val="007B7257"/>
    <w:rsid w:val="007C0010"/>
    <w:rsid w:val="007C2286"/>
    <w:rsid w:val="007D305D"/>
    <w:rsid w:val="007D35CD"/>
    <w:rsid w:val="007D3E05"/>
    <w:rsid w:val="007D4C7C"/>
    <w:rsid w:val="007D63FB"/>
    <w:rsid w:val="007D7969"/>
    <w:rsid w:val="007E039B"/>
    <w:rsid w:val="007E69AF"/>
    <w:rsid w:val="007F29DB"/>
    <w:rsid w:val="007F7C11"/>
    <w:rsid w:val="00801E2F"/>
    <w:rsid w:val="0080517C"/>
    <w:rsid w:val="00805A79"/>
    <w:rsid w:val="008064CD"/>
    <w:rsid w:val="00813064"/>
    <w:rsid w:val="00815169"/>
    <w:rsid w:val="00817E1B"/>
    <w:rsid w:val="00820197"/>
    <w:rsid w:val="008319B4"/>
    <w:rsid w:val="00832638"/>
    <w:rsid w:val="00832A5B"/>
    <w:rsid w:val="00846AFB"/>
    <w:rsid w:val="0084749A"/>
    <w:rsid w:val="00855D94"/>
    <w:rsid w:val="00865130"/>
    <w:rsid w:val="00865A5B"/>
    <w:rsid w:val="00865C31"/>
    <w:rsid w:val="0087408B"/>
    <w:rsid w:val="0087538B"/>
    <w:rsid w:val="00892F53"/>
    <w:rsid w:val="00894751"/>
    <w:rsid w:val="00895341"/>
    <w:rsid w:val="008A0AAE"/>
    <w:rsid w:val="008A2337"/>
    <w:rsid w:val="008A7A43"/>
    <w:rsid w:val="008D1F90"/>
    <w:rsid w:val="008D4A83"/>
    <w:rsid w:val="008D62E1"/>
    <w:rsid w:val="008E1D14"/>
    <w:rsid w:val="008E3B54"/>
    <w:rsid w:val="008F1712"/>
    <w:rsid w:val="008F382A"/>
    <w:rsid w:val="008F43D3"/>
    <w:rsid w:val="008F72D3"/>
    <w:rsid w:val="0090097D"/>
    <w:rsid w:val="0090283A"/>
    <w:rsid w:val="00902E92"/>
    <w:rsid w:val="00903460"/>
    <w:rsid w:val="009048E4"/>
    <w:rsid w:val="00904DEF"/>
    <w:rsid w:val="009067D5"/>
    <w:rsid w:val="009068AB"/>
    <w:rsid w:val="0090743D"/>
    <w:rsid w:val="00911C8D"/>
    <w:rsid w:val="00911F4A"/>
    <w:rsid w:val="00912933"/>
    <w:rsid w:val="00915511"/>
    <w:rsid w:val="00915B8A"/>
    <w:rsid w:val="00916264"/>
    <w:rsid w:val="00916AE3"/>
    <w:rsid w:val="00916CCA"/>
    <w:rsid w:val="00916FC3"/>
    <w:rsid w:val="00923E05"/>
    <w:rsid w:val="0093012C"/>
    <w:rsid w:val="00930DED"/>
    <w:rsid w:val="009313DF"/>
    <w:rsid w:val="00943779"/>
    <w:rsid w:val="00946BBA"/>
    <w:rsid w:val="0095151E"/>
    <w:rsid w:val="0095220F"/>
    <w:rsid w:val="0095310F"/>
    <w:rsid w:val="00954758"/>
    <w:rsid w:val="009659CF"/>
    <w:rsid w:val="00973110"/>
    <w:rsid w:val="00973CA0"/>
    <w:rsid w:val="00974CD6"/>
    <w:rsid w:val="0098006E"/>
    <w:rsid w:val="009844EA"/>
    <w:rsid w:val="00991E7E"/>
    <w:rsid w:val="009921E9"/>
    <w:rsid w:val="00995290"/>
    <w:rsid w:val="00995B1B"/>
    <w:rsid w:val="00997F66"/>
    <w:rsid w:val="009A45DE"/>
    <w:rsid w:val="009A4D2A"/>
    <w:rsid w:val="009A7EA8"/>
    <w:rsid w:val="009B675C"/>
    <w:rsid w:val="009C01DD"/>
    <w:rsid w:val="009C206F"/>
    <w:rsid w:val="009C3FA3"/>
    <w:rsid w:val="009C4DEF"/>
    <w:rsid w:val="009C5ACD"/>
    <w:rsid w:val="009C5CE4"/>
    <w:rsid w:val="009D1671"/>
    <w:rsid w:val="009D7044"/>
    <w:rsid w:val="009E212D"/>
    <w:rsid w:val="009E2EDC"/>
    <w:rsid w:val="009E4F6C"/>
    <w:rsid w:val="009E6A27"/>
    <w:rsid w:val="009E723D"/>
    <w:rsid w:val="009F023E"/>
    <w:rsid w:val="009F2106"/>
    <w:rsid w:val="009F49AA"/>
    <w:rsid w:val="00A00837"/>
    <w:rsid w:val="00A04AFD"/>
    <w:rsid w:val="00A07735"/>
    <w:rsid w:val="00A130F7"/>
    <w:rsid w:val="00A14C44"/>
    <w:rsid w:val="00A15C07"/>
    <w:rsid w:val="00A3013C"/>
    <w:rsid w:val="00A303BE"/>
    <w:rsid w:val="00A32860"/>
    <w:rsid w:val="00A3603F"/>
    <w:rsid w:val="00A40D02"/>
    <w:rsid w:val="00A43753"/>
    <w:rsid w:val="00A43A4D"/>
    <w:rsid w:val="00A4442F"/>
    <w:rsid w:val="00A474D2"/>
    <w:rsid w:val="00A53459"/>
    <w:rsid w:val="00A54BD4"/>
    <w:rsid w:val="00A57433"/>
    <w:rsid w:val="00A62F99"/>
    <w:rsid w:val="00A63675"/>
    <w:rsid w:val="00A63A9A"/>
    <w:rsid w:val="00A65D84"/>
    <w:rsid w:val="00A67F2B"/>
    <w:rsid w:val="00A71C53"/>
    <w:rsid w:val="00A721F4"/>
    <w:rsid w:val="00A77E8E"/>
    <w:rsid w:val="00A80787"/>
    <w:rsid w:val="00A8157A"/>
    <w:rsid w:val="00A83C80"/>
    <w:rsid w:val="00A84C81"/>
    <w:rsid w:val="00A860A0"/>
    <w:rsid w:val="00A94072"/>
    <w:rsid w:val="00A94920"/>
    <w:rsid w:val="00A97ACB"/>
    <w:rsid w:val="00AA03EA"/>
    <w:rsid w:val="00AA0660"/>
    <w:rsid w:val="00AA1D89"/>
    <w:rsid w:val="00AA3451"/>
    <w:rsid w:val="00AA5CC8"/>
    <w:rsid w:val="00AA7939"/>
    <w:rsid w:val="00AB0D29"/>
    <w:rsid w:val="00AB3AA3"/>
    <w:rsid w:val="00AB4321"/>
    <w:rsid w:val="00AB6990"/>
    <w:rsid w:val="00AB7207"/>
    <w:rsid w:val="00AC16DF"/>
    <w:rsid w:val="00AD13BD"/>
    <w:rsid w:val="00AD16BE"/>
    <w:rsid w:val="00AD22A2"/>
    <w:rsid w:val="00AD4101"/>
    <w:rsid w:val="00AD4ED3"/>
    <w:rsid w:val="00AE1E6E"/>
    <w:rsid w:val="00AE2DA3"/>
    <w:rsid w:val="00AE4763"/>
    <w:rsid w:val="00AE5AB1"/>
    <w:rsid w:val="00AF0C3D"/>
    <w:rsid w:val="00AF35C6"/>
    <w:rsid w:val="00B0121B"/>
    <w:rsid w:val="00B017CE"/>
    <w:rsid w:val="00B0455B"/>
    <w:rsid w:val="00B04AAB"/>
    <w:rsid w:val="00B07752"/>
    <w:rsid w:val="00B11065"/>
    <w:rsid w:val="00B11E02"/>
    <w:rsid w:val="00B12DCD"/>
    <w:rsid w:val="00B13C65"/>
    <w:rsid w:val="00B171D4"/>
    <w:rsid w:val="00B257E5"/>
    <w:rsid w:val="00B25E5B"/>
    <w:rsid w:val="00B3476F"/>
    <w:rsid w:val="00B37B73"/>
    <w:rsid w:val="00B43568"/>
    <w:rsid w:val="00B45037"/>
    <w:rsid w:val="00B468BD"/>
    <w:rsid w:val="00B523DF"/>
    <w:rsid w:val="00B52F68"/>
    <w:rsid w:val="00B53766"/>
    <w:rsid w:val="00B6058D"/>
    <w:rsid w:val="00B6080D"/>
    <w:rsid w:val="00B640D3"/>
    <w:rsid w:val="00B67CDF"/>
    <w:rsid w:val="00B75211"/>
    <w:rsid w:val="00B76F17"/>
    <w:rsid w:val="00B81BF4"/>
    <w:rsid w:val="00B82095"/>
    <w:rsid w:val="00B852D9"/>
    <w:rsid w:val="00B8756B"/>
    <w:rsid w:val="00B90975"/>
    <w:rsid w:val="00B91EE0"/>
    <w:rsid w:val="00B93571"/>
    <w:rsid w:val="00B94CBD"/>
    <w:rsid w:val="00BA2806"/>
    <w:rsid w:val="00BA71F7"/>
    <w:rsid w:val="00BB1E61"/>
    <w:rsid w:val="00BB1FE2"/>
    <w:rsid w:val="00BC1226"/>
    <w:rsid w:val="00BC1CF3"/>
    <w:rsid w:val="00BC2F90"/>
    <w:rsid w:val="00BD409A"/>
    <w:rsid w:val="00BD4F8E"/>
    <w:rsid w:val="00BD6C04"/>
    <w:rsid w:val="00BE345B"/>
    <w:rsid w:val="00BE4746"/>
    <w:rsid w:val="00BE78F9"/>
    <w:rsid w:val="00BE7ABB"/>
    <w:rsid w:val="00BF0E65"/>
    <w:rsid w:val="00BF0EC2"/>
    <w:rsid w:val="00BF5A2C"/>
    <w:rsid w:val="00C05277"/>
    <w:rsid w:val="00C05F76"/>
    <w:rsid w:val="00C10570"/>
    <w:rsid w:val="00C14519"/>
    <w:rsid w:val="00C20E74"/>
    <w:rsid w:val="00C2231B"/>
    <w:rsid w:val="00C22E99"/>
    <w:rsid w:val="00C27A7C"/>
    <w:rsid w:val="00C30C18"/>
    <w:rsid w:val="00C45005"/>
    <w:rsid w:val="00C540B0"/>
    <w:rsid w:val="00C6128D"/>
    <w:rsid w:val="00C62173"/>
    <w:rsid w:val="00C67031"/>
    <w:rsid w:val="00C70CE5"/>
    <w:rsid w:val="00C71220"/>
    <w:rsid w:val="00C72156"/>
    <w:rsid w:val="00C73278"/>
    <w:rsid w:val="00C749F6"/>
    <w:rsid w:val="00C765C8"/>
    <w:rsid w:val="00C8078D"/>
    <w:rsid w:val="00C80B8C"/>
    <w:rsid w:val="00C82029"/>
    <w:rsid w:val="00C84EBA"/>
    <w:rsid w:val="00C90A1D"/>
    <w:rsid w:val="00C90EB7"/>
    <w:rsid w:val="00C91FA3"/>
    <w:rsid w:val="00C9283A"/>
    <w:rsid w:val="00C95039"/>
    <w:rsid w:val="00CA0E76"/>
    <w:rsid w:val="00CA1B3F"/>
    <w:rsid w:val="00CA4615"/>
    <w:rsid w:val="00CA7C6F"/>
    <w:rsid w:val="00CA7D68"/>
    <w:rsid w:val="00CB0541"/>
    <w:rsid w:val="00CB5449"/>
    <w:rsid w:val="00CB5F51"/>
    <w:rsid w:val="00CC2F3C"/>
    <w:rsid w:val="00CD3A6F"/>
    <w:rsid w:val="00CE7F36"/>
    <w:rsid w:val="00CF4750"/>
    <w:rsid w:val="00CF6BC3"/>
    <w:rsid w:val="00CF7A3D"/>
    <w:rsid w:val="00CF7D08"/>
    <w:rsid w:val="00D03C01"/>
    <w:rsid w:val="00D04A3C"/>
    <w:rsid w:val="00D062BF"/>
    <w:rsid w:val="00D10846"/>
    <w:rsid w:val="00D14181"/>
    <w:rsid w:val="00D22097"/>
    <w:rsid w:val="00D339EB"/>
    <w:rsid w:val="00D33EB1"/>
    <w:rsid w:val="00D341C3"/>
    <w:rsid w:val="00D35087"/>
    <w:rsid w:val="00D36C41"/>
    <w:rsid w:val="00D4039B"/>
    <w:rsid w:val="00D4540F"/>
    <w:rsid w:val="00D46F56"/>
    <w:rsid w:val="00D47B9A"/>
    <w:rsid w:val="00D55A85"/>
    <w:rsid w:val="00D576C9"/>
    <w:rsid w:val="00D65D53"/>
    <w:rsid w:val="00D715F0"/>
    <w:rsid w:val="00D742F0"/>
    <w:rsid w:val="00D750D0"/>
    <w:rsid w:val="00D80B4E"/>
    <w:rsid w:val="00D812E5"/>
    <w:rsid w:val="00D84DD9"/>
    <w:rsid w:val="00D866E3"/>
    <w:rsid w:val="00D87480"/>
    <w:rsid w:val="00D92EC2"/>
    <w:rsid w:val="00DA1470"/>
    <w:rsid w:val="00DA28D8"/>
    <w:rsid w:val="00DA77AB"/>
    <w:rsid w:val="00DB329B"/>
    <w:rsid w:val="00DB4E80"/>
    <w:rsid w:val="00DB5792"/>
    <w:rsid w:val="00DB5967"/>
    <w:rsid w:val="00DB6059"/>
    <w:rsid w:val="00DB6758"/>
    <w:rsid w:val="00DB71FD"/>
    <w:rsid w:val="00DB7C68"/>
    <w:rsid w:val="00DC453F"/>
    <w:rsid w:val="00DC57F0"/>
    <w:rsid w:val="00DD51F7"/>
    <w:rsid w:val="00DD6242"/>
    <w:rsid w:val="00DD6777"/>
    <w:rsid w:val="00DE0C08"/>
    <w:rsid w:val="00DE480C"/>
    <w:rsid w:val="00DE546F"/>
    <w:rsid w:val="00DE555E"/>
    <w:rsid w:val="00DF0567"/>
    <w:rsid w:val="00DF241E"/>
    <w:rsid w:val="00E02A48"/>
    <w:rsid w:val="00E04D47"/>
    <w:rsid w:val="00E0589B"/>
    <w:rsid w:val="00E05D45"/>
    <w:rsid w:val="00E118FF"/>
    <w:rsid w:val="00E166BD"/>
    <w:rsid w:val="00E20FEE"/>
    <w:rsid w:val="00E22788"/>
    <w:rsid w:val="00E246B1"/>
    <w:rsid w:val="00E25A07"/>
    <w:rsid w:val="00E26B82"/>
    <w:rsid w:val="00E330B5"/>
    <w:rsid w:val="00E333DF"/>
    <w:rsid w:val="00E35F4F"/>
    <w:rsid w:val="00E45729"/>
    <w:rsid w:val="00E4598B"/>
    <w:rsid w:val="00E51FE6"/>
    <w:rsid w:val="00E548FF"/>
    <w:rsid w:val="00E655E3"/>
    <w:rsid w:val="00E70346"/>
    <w:rsid w:val="00E71D0A"/>
    <w:rsid w:val="00E73F73"/>
    <w:rsid w:val="00E8036E"/>
    <w:rsid w:val="00E80B13"/>
    <w:rsid w:val="00E82479"/>
    <w:rsid w:val="00E83C41"/>
    <w:rsid w:val="00E9485B"/>
    <w:rsid w:val="00E9781D"/>
    <w:rsid w:val="00EA5D76"/>
    <w:rsid w:val="00EB1C49"/>
    <w:rsid w:val="00EB6FF7"/>
    <w:rsid w:val="00EC2925"/>
    <w:rsid w:val="00EC2BBA"/>
    <w:rsid w:val="00EC4E5C"/>
    <w:rsid w:val="00EC5579"/>
    <w:rsid w:val="00EC5C40"/>
    <w:rsid w:val="00EC7559"/>
    <w:rsid w:val="00EC7833"/>
    <w:rsid w:val="00EC7D6E"/>
    <w:rsid w:val="00ED774B"/>
    <w:rsid w:val="00EE0118"/>
    <w:rsid w:val="00EE1436"/>
    <w:rsid w:val="00EE1BC1"/>
    <w:rsid w:val="00EE3B0B"/>
    <w:rsid w:val="00EE3CA1"/>
    <w:rsid w:val="00EE3CC9"/>
    <w:rsid w:val="00EE49CE"/>
    <w:rsid w:val="00EE710C"/>
    <w:rsid w:val="00EE7C8D"/>
    <w:rsid w:val="00EF19FE"/>
    <w:rsid w:val="00EF24B1"/>
    <w:rsid w:val="00EF3918"/>
    <w:rsid w:val="00EF4259"/>
    <w:rsid w:val="00EF58BB"/>
    <w:rsid w:val="00F00148"/>
    <w:rsid w:val="00F005DE"/>
    <w:rsid w:val="00F0476F"/>
    <w:rsid w:val="00F04D9B"/>
    <w:rsid w:val="00F07277"/>
    <w:rsid w:val="00F1180B"/>
    <w:rsid w:val="00F12F22"/>
    <w:rsid w:val="00F137B7"/>
    <w:rsid w:val="00F13A53"/>
    <w:rsid w:val="00F1589A"/>
    <w:rsid w:val="00F20AC4"/>
    <w:rsid w:val="00F21834"/>
    <w:rsid w:val="00F23A3C"/>
    <w:rsid w:val="00F272AC"/>
    <w:rsid w:val="00F30AC5"/>
    <w:rsid w:val="00F323FB"/>
    <w:rsid w:val="00F32F5A"/>
    <w:rsid w:val="00F330C3"/>
    <w:rsid w:val="00F37C8B"/>
    <w:rsid w:val="00F456C4"/>
    <w:rsid w:val="00F471AF"/>
    <w:rsid w:val="00F47F0C"/>
    <w:rsid w:val="00F71F35"/>
    <w:rsid w:val="00F73DE3"/>
    <w:rsid w:val="00F74516"/>
    <w:rsid w:val="00F74A61"/>
    <w:rsid w:val="00F75F33"/>
    <w:rsid w:val="00F8068F"/>
    <w:rsid w:val="00F8181D"/>
    <w:rsid w:val="00F84236"/>
    <w:rsid w:val="00FA316E"/>
    <w:rsid w:val="00FB5A1C"/>
    <w:rsid w:val="00FC2CE4"/>
    <w:rsid w:val="00FC379E"/>
    <w:rsid w:val="00FC6510"/>
    <w:rsid w:val="00FD2A7B"/>
    <w:rsid w:val="00FD337C"/>
    <w:rsid w:val="00FD351C"/>
    <w:rsid w:val="00FD3BAE"/>
    <w:rsid w:val="00FD3C68"/>
    <w:rsid w:val="00FD5236"/>
    <w:rsid w:val="00FD7D5B"/>
    <w:rsid w:val="00FD7F58"/>
    <w:rsid w:val="00FE0905"/>
    <w:rsid w:val="00FE0B41"/>
    <w:rsid w:val="00FE0F23"/>
    <w:rsid w:val="00FE1527"/>
    <w:rsid w:val="00FE201D"/>
    <w:rsid w:val="00FE271C"/>
    <w:rsid w:val="00FE2BFC"/>
    <w:rsid w:val="00FE4A91"/>
    <w:rsid w:val="00FE5484"/>
    <w:rsid w:val="00FE6B6D"/>
    <w:rsid w:val="00FF0330"/>
    <w:rsid w:val="00FF2AAC"/>
    <w:rsid w:val="00FF2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1149"/>
  <w15:docId w15:val="{7BD6EA81-43FA-435F-BD23-B7A95148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A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
      </w:numPr>
      <w:spacing w:before="120"/>
    </w:pPr>
  </w:style>
  <w:style w:type="paragraph" w:styleId="ListBullet2">
    <w:name w:val="List Bullet 2"/>
    <w:basedOn w:val="Normal"/>
    <w:uiPriority w:val="8"/>
    <w:qFormat/>
    <w:pPr>
      <w:numPr>
        <w:ilvl w:val="1"/>
        <w:numId w:val="2"/>
      </w:numPr>
      <w:spacing w:before="120"/>
      <w:contextualSpacing/>
    </w:pPr>
  </w:style>
  <w:style w:type="paragraph" w:styleId="ListNumber">
    <w:name w:val="List Number"/>
    <w:basedOn w:val="Normal"/>
    <w:uiPriority w:val="9"/>
    <w:qFormat/>
    <w:rsid w:val="004075A3"/>
    <w:pPr>
      <w:numPr>
        <w:numId w:val="8"/>
      </w:numPr>
      <w:tabs>
        <w:tab w:val="left" w:pos="142"/>
      </w:tabs>
      <w:spacing w:before="120"/>
    </w:pPr>
    <w:rPr>
      <w:rFonts w:ascii="Cambria" w:hAnsi="Cambria"/>
    </w:rPr>
  </w:style>
  <w:style w:type="paragraph" w:styleId="ListNumber2">
    <w:name w:val="List Number 2"/>
    <w:uiPriority w:val="10"/>
    <w:qFormat/>
    <w:rsid w:val="004075A3"/>
    <w:pPr>
      <w:numPr>
        <w:ilvl w:val="1"/>
        <w:numId w:val="8"/>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5"/>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7"/>
      </w:numPr>
      <w:tabs>
        <w:tab w:val="num" w:pos="284"/>
      </w:tabs>
      <w:ind w:left="568" w:hanging="284"/>
    </w:pPr>
  </w:style>
  <w:style w:type="numbering" w:customStyle="1" w:styleId="TableBulletlist">
    <w:name w:val="Table Bullet list"/>
    <w:uiPriority w:val="99"/>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uiPriority w:val="13"/>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D65D53"/>
    <w:pPr>
      <w:spacing w:before="1800"/>
    </w:pPr>
  </w:style>
  <w:style w:type="character" w:customStyle="1" w:styleId="DateChar">
    <w:name w:val="Date Char"/>
    <w:aliases w:val="Reference Char"/>
    <w:basedOn w:val="DefaultParagraphFont"/>
    <w:link w:val="Date"/>
    <w:uiPriority w:val="99"/>
    <w:rsid w:val="00D65D53"/>
    <w:rPr>
      <w:rFonts w:asciiTheme="majorHAnsi" w:eastAsiaTheme="minorHAnsi" w:hAnsiTheme="maj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autoRedefine/>
    <w:qFormat/>
    <w:rsid w:val="00EC2BBA"/>
    <w:pPr>
      <w:spacing w:before="120" w:after="120"/>
    </w:pPr>
    <w:rPr>
      <w:rFonts w:asciiTheme="minorHAnsi" w:eastAsiaTheme="minorHAnsi" w:hAnsiTheme="minorHAnsi" w:cstheme="minorBidi"/>
      <w:b/>
      <w:i/>
      <w:color w:val="5482AB"/>
      <w:sz w:val="32"/>
      <w:szCs w:val="22"/>
      <w:lang w:eastAsia="en-US"/>
    </w:rPr>
  </w:style>
  <w:style w:type="paragraph" w:styleId="ListNumber3">
    <w:name w:val="List Number 3"/>
    <w:uiPriority w:val="11"/>
    <w:qFormat/>
    <w:rsid w:val="004075A3"/>
    <w:pPr>
      <w:numPr>
        <w:ilvl w:val="2"/>
        <w:numId w:val="8"/>
      </w:numPr>
      <w:spacing w:before="120" w:after="120" w:line="264" w:lineRule="auto"/>
    </w:pPr>
    <w:rPr>
      <w:rFonts w:eastAsia="Times New Roman"/>
      <w:sz w:val="22"/>
      <w:szCs w:val="24"/>
      <w:lang w:eastAsia="en-US"/>
    </w:rPr>
  </w:style>
  <w:style w:type="character" w:styleId="UnresolvedMention">
    <w:name w:val="Unresolved Mention"/>
    <w:basedOn w:val="DefaultParagraphFont"/>
    <w:uiPriority w:val="99"/>
    <w:semiHidden/>
    <w:unhideWhenUsed/>
    <w:rsid w:val="00F04D9B"/>
    <w:rPr>
      <w:color w:val="605E5C"/>
      <w:shd w:val="clear" w:color="auto" w:fill="E1DFDD"/>
    </w:rPr>
  </w:style>
  <w:style w:type="paragraph" w:styleId="ListParagraph">
    <w:name w:val="List Paragraph"/>
    <w:basedOn w:val="Normal"/>
    <w:uiPriority w:val="99"/>
    <w:qFormat/>
    <w:rsid w:val="00FE5484"/>
    <w:pPr>
      <w:spacing w:after="200"/>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061526">
      <w:bodyDiv w:val="1"/>
      <w:marLeft w:val="0"/>
      <w:marRight w:val="0"/>
      <w:marTop w:val="0"/>
      <w:marBottom w:val="0"/>
      <w:divBdr>
        <w:top w:val="none" w:sz="0" w:space="0" w:color="auto"/>
        <w:left w:val="none" w:sz="0" w:space="0" w:color="auto"/>
        <w:bottom w:val="none" w:sz="0" w:space="0" w:color="auto"/>
        <w:right w:val="none" w:sz="0" w:space="0" w:color="auto"/>
      </w:divBdr>
    </w:div>
    <w:div w:id="3558116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824167">
      <w:bodyDiv w:val="1"/>
      <w:marLeft w:val="0"/>
      <w:marRight w:val="0"/>
      <w:marTop w:val="0"/>
      <w:marBottom w:val="0"/>
      <w:divBdr>
        <w:top w:val="none" w:sz="0" w:space="0" w:color="auto"/>
        <w:left w:val="none" w:sz="0" w:space="0" w:color="auto"/>
        <w:bottom w:val="none" w:sz="0" w:space="0" w:color="auto"/>
        <w:right w:val="none" w:sz="0" w:space="0" w:color="auto"/>
      </w:divBdr>
    </w:div>
    <w:div w:id="76442483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227135">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11906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04995">
      <w:bodyDiv w:val="1"/>
      <w:marLeft w:val="0"/>
      <w:marRight w:val="0"/>
      <w:marTop w:val="0"/>
      <w:marBottom w:val="0"/>
      <w:divBdr>
        <w:top w:val="none" w:sz="0" w:space="0" w:color="auto"/>
        <w:left w:val="none" w:sz="0" w:space="0" w:color="auto"/>
        <w:bottom w:val="none" w:sz="0" w:space="0" w:color="auto"/>
        <w:right w:val="none" w:sz="0" w:space="0" w:color="auto"/>
      </w:divBdr>
    </w:div>
    <w:div w:id="2005275817">
      <w:bodyDiv w:val="1"/>
      <w:marLeft w:val="0"/>
      <w:marRight w:val="0"/>
      <w:marTop w:val="0"/>
      <w:marBottom w:val="0"/>
      <w:divBdr>
        <w:top w:val="none" w:sz="0" w:space="0" w:color="auto"/>
        <w:left w:val="none" w:sz="0" w:space="0" w:color="auto"/>
        <w:bottom w:val="none" w:sz="0" w:space="0" w:color="auto"/>
        <w:right w:val="none" w:sz="0" w:space="0" w:color="auto"/>
      </w:divBdr>
    </w:div>
    <w:div w:id="201853851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hm.pops.int/Portals/0/download.aspx?d=UNEP-POPS-POPRC.12-11-Add.2.English.pdf" TargetMode="External"/><Relationship Id="rId18" Type="http://schemas.openxmlformats.org/officeDocument/2006/relationships/hyperlink" Target="http://chm.pops.int/Portals/0/download.aspx?d=UNEP-POPS-POPRC.12-11-Add.2.English.PDF" TargetMode="External"/><Relationship Id="rId26" Type="http://schemas.openxmlformats.org/officeDocument/2006/relationships/hyperlink" Target="http://www.basel.int/TheConvention/Overview/TextoftheConvention/tabid/1275/Default.aspx" TargetMode="External"/><Relationship Id="rId39" Type="http://schemas.openxmlformats.org/officeDocument/2006/relationships/hyperlink" Target="https://www.industrialchemicals.gov.au/sites/default/files/Perfluorooctanoic%20acid%20%28PFOA%29%20and%20its%20direct%20precursors_%20Environment%20tier%20II%20assessment.pdf" TargetMode="External"/><Relationship Id="rId21" Type="http://schemas.openxmlformats.org/officeDocument/2006/relationships/hyperlink" Target="https://webarchive.nla.gov.au/awa/20091030155531/http:/www.nicnas.gov.au/Publications/NICNAS_Alerts.asp" TargetMode="External"/><Relationship Id="rId34" Type="http://schemas.openxmlformats.org/officeDocument/2006/relationships/hyperlink" Target="http://chm.pops.int/Portals/0/download.aspx?d=UNEP-POPS-POPRC.13-7-Add-2.English.pdf" TargetMode="External"/><Relationship Id="rId42" Type="http://schemas.openxmlformats.org/officeDocument/2006/relationships/hyperlink" Target="https://www.industrialchemicals.gov.au/sites/default/files/Indirect%20precursors%20to%20perfluorooctanoic%20acid%20%28PFOA%29_%20Environment%20tier%20II%20assessment.pdf" TargetMode="External"/><Relationship Id="rId47" Type="http://schemas.openxmlformats.org/officeDocument/2006/relationships/hyperlink" Target="http://www.pops.int/TheConvention/ThePOPs/TheNewPOPs/tabid/2511/Default.aspx" TargetMode="External"/><Relationship Id="rId50" Type="http://schemas.openxmlformats.org/officeDocument/2006/relationships/hyperlink" Target="https://creativecommons.org/licenses/by/4.0/legalcode"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industrialchemicals.gov.au/sites/default/files/Perfluorooctanoic%20Acid%20%28PFOA%29%20and%20its%20Direct%20Precursors_Human%20health%20tier%20II%20assessment.pdf" TargetMode="External"/><Relationship Id="rId29" Type="http://schemas.openxmlformats.org/officeDocument/2006/relationships/hyperlink" Target="https://www.safeworkaustralia.gov.au/doc/model-whs-regulations" TargetMode="External"/><Relationship Id="rId11" Type="http://schemas.openxmlformats.org/officeDocument/2006/relationships/footnotes" Target="footnotes.xml"/><Relationship Id="rId24" Type="http://schemas.openxmlformats.org/officeDocument/2006/relationships/hyperlink" Target="http://www.packagingnews.com.au/latest/apco-launches-pfas-action-plan" TargetMode="External"/><Relationship Id="rId32" Type="http://schemas.openxmlformats.org/officeDocument/2006/relationships/hyperlink" Target="https://www.epa.sa.gov.au/files/14472_14453_info_fire_protection_fluorinated_foam.pdf" TargetMode="External"/><Relationship Id="rId37" Type="http://schemas.openxmlformats.org/officeDocument/2006/relationships/hyperlink" Target="https://www.health.gov.au/resources/publications/enhealth-guidance-revised-guidance-statements-on-per-and-polyfluoroalkyl-substances-pfas?language=en" TargetMode="External"/><Relationship Id="rId40" Type="http://schemas.openxmlformats.org/officeDocument/2006/relationships/hyperlink" Target="https://www.industrialchemicals.gov.au/sites/default/files/Perfluorooctanoic%20Acid%20%28PFOA%29%20and%20its%20Direct%20Precursors_Human%20health%20tier%20II%20assessment.pdf" TargetMode="External"/><Relationship Id="rId45" Type="http://schemas.openxmlformats.org/officeDocument/2006/relationships/hyperlink" Target="http://chm.pops.int/Implementation/IndustrialPOPs/PFAS/Overview/tabid/5221/Default.aspx" TargetMode="External"/><Relationship Id="rId53" Type="http://schemas.openxmlformats.org/officeDocument/2006/relationships/header" Target="header2.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chm.pops.int/Implementation/Exemptions/SpecificExemptions/tabid/1133/Default.aspx" TargetMode="External"/><Relationship Id="rId31" Type="http://schemas.openxmlformats.org/officeDocument/2006/relationships/hyperlink" Target="https://www.epa.nsw.gov.au/your-environment/contaminated-land/regulation-of-pfas-firefighting-foams" TargetMode="External"/><Relationship Id="rId44" Type="http://schemas.openxmlformats.org/officeDocument/2006/relationships/hyperlink" Target="http://chm.pops.int/Implementation/IndustrialPOPs/PFAS/Overview/tabid/5221/Default.aspx" TargetMode="External"/><Relationship Id="rId52" Type="http://schemas.openxmlformats.org/officeDocument/2006/relationships/footer" Target="footer1.xml"/><Relationship Id="rId56"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industrialchemicals.gov.au/sites/default/files/Perfluorooctanoic%20Acid%20%28PFOA%29%20and%20its%20Direct%20Precursors_Human%20health%20tier%20II%20assessment.pdf" TargetMode="External"/><Relationship Id="rId22" Type="http://schemas.openxmlformats.org/officeDocument/2006/relationships/hyperlink" Target="https://www.industrialchemicals.gov.au/search-inventory" TargetMode="External"/><Relationship Id="rId27" Type="http://schemas.openxmlformats.org/officeDocument/2006/relationships/hyperlink" Target="http://hcis.safeworkaustralia.gov.au/" TargetMode="External"/><Relationship Id="rId30" Type="http://schemas.openxmlformats.org/officeDocument/2006/relationships/hyperlink" Target="https://www.safeworkaustralia.gov.au/doc/wes-review-selection-hazardous-chemicals-be-considered-addition-or-removal-workplace-exposure-standards-list" TargetMode="External"/><Relationship Id="rId35" Type="http://schemas.openxmlformats.org/officeDocument/2006/relationships/hyperlink" Target="https://www.pfas.gov.au/news/national-pfas-position-statement-publication-and-consultation-1" TargetMode="External"/><Relationship Id="rId43" Type="http://schemas.openxmlformats.org/officeDocument/2006/relationships/hyperlink" Target="https://one.oecd.org/document/ENV/JM/MONO%282006%2936/En/pdf" TargetMode="External"/><Relationship Id="rId48" Type="http://schemas.openxmlformats.org/officeDocument/2006/relationships/hyperlink" Target="mailto:ichems.enquiry@dcceew.gov.au" TargetMode="External"/><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ndustrialchemicals.gov.au/sites/default/files/Indirect%20Precursors%20of%20Perfluorooctanoic%20Acid%20%28PFOA%29_Human%20health%20tier%20II%20assessment.pdf" TargetMode="External"/><Relationship Id="rId25" Type="http://schemas.openxmlformats.org/officeDocument/2006/relationships/hyperlink" Target="https://www.dcceew.gov.au/environment/protection/publications/pfas-nemp-2" TargetMode="External"/><Relationship Id="rId33" Type="http://schemas.openxmlformats.org/officeDocument/2006/relationships/hyperlink" Target="https://www.qld.gov.au/environment/pollution/management/disasters/pfas/firefighting-foam" TargetMode="External"/><Relationship Id="rId38" Type="http://schemas.openxmlformats.org/officeDocument/2006/relationships/hyperlink" Target="https://www.dcceew.gov.au/environment/protection/publications/pfas-nemp-2" TargetMode="External"/><Relationship Id="rId46" Type="http://schemas.openxmlformats.org/officeDocument/2006/relationships/hyperlink" Target="http://chm.pops.int/Implementation/IndustrialPOPs/PFAS/Overview/tabid/5221/Default.aspx" TargetMode="External"/><Relationship Id="rId20" Type="http://schemas.openxmlformats.org/officeDocument/2006/relationships/image" Target="media/image1.png"/><Relationship Id="rId41" Type="http://schemas.openxmlformats.org/officeDocument/2006/relationships/hyperlink" Target="https://www.industrialchemicals.gov.au/sites/default/files/Indirect%20Precursors%20of%20Perfluorooctanoic%20Acid%20%28PFOA%29_Human%20health%20tier%20II%20assessment.pdf" TargetMode="External"/><Relationship Id="rId54" Type="http://schemas.openxmlformats.org/officeDocument/2006/relationships/footer" Target="footer2.xml"/><Relationship Id="rId1" Type="http://schemas.openxmlformats.org/officeDocument/2006/relationships/customXml" Target="../customXml/item1.xml"/><Relationship Id="rId15" Type="http://schemas.openxmlformats.org/officeDocument/2006/relationships/hyperlink" Target="https://www.pfas.gov.au/news/australian-packaging-covenant-organisation-apco-study-pfas-fibre-based-packaging" TargetMode="External"/><Relationship Id="rId23" Type="http://schemas.openxmlformats.org/officeDocument/2006/relationships/hyperlink" Target="https://www.pfas.gov.au/news/national-pfas-position-statement-publication-and-consultation-1" TargetMode="External"/><Relationship Id="rId28" Type="http://schemas.openxmlformats.org/officeDocument/2006/relationships/hyperlink" Target="https://www.safeworkaustralia.gov.au/system/files/documents/1912/workplace-exposure-standards-airborne-contaminants.pdf" TargetMode="External"/><Relationship Id="rId36" Type="http://schemas.openxmlformats.org/officeDocument/2006/relationships/hyperlink" Target="https://echa.europa.eu/documents/10162/61e81035-e0c5-44f5-94c5-2f53554255a8" TargetMode="External"/><Relationship Id="rId49" Type="http://schemas.openxmlformats.org/officeDocument/2006/relationships/hyperlink" Target="http://www.dcceew.gov.au/environment/protection/chemicals-management/national-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81940b-97e1-46c0-9caa-3d56c6387a06">
      <Terms xmlns="http://schemas.microsoft.com/office/infopath/2007/PartnerControls"/>
    </lcf76f155ced4ddcb4097134ff3c332f>
    <TaxCatchAll xmlns="81c01dc6-2c49-4730-b140-874c95cac377" xsi:nil="true"/>
    <SharedWithUsers xmlns="0b7a51c3-bf70-4bb3-b5a1-4df02d68e09f">
      <UserInfo>
        <DisplayName>Burgess, Rachel</DisplayName>
        <AccountId>103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243669598B243B3BEC38A9F3F99E4" ma:contentTypeVersion="10" ma:contentTypeDescription="Create a new document." ma:contentTypeScope="" ma:versionID="4176b93d9f343cc8f231dd8aa0787d62">
  <xsd:schema xmlns:xsd="http://www.w3.org/2001/XMLSchema" xmlns:xs="http://www.w3.org/2001/XMLSchema" xmlns:p="http://schemas.microsoft.com/office/2006/metadata/properties" xmlns:ns2="7881940b-97e1-46c0-9caa-3d56c6387a06" xmlns:ns3="0b7a51c3-bf70-4bb3-b5a1-4df02d68e09f" xmlns:ns4="81c01dc6-2c49-4730-b140-874c95cac377" targetNamespace="http://schemas.microsoft.com/office/2006/metadata/properties" ma:root="true" ma:fieldsID="d3c00abafa54bb359ec67ee432fd2310" ns2:_="" ns3:_="" ns4:_="">
    <xsd:import namespace="7881940b-97e1-46c0-9caa-3d56c6387a06"/>
    <xsd:import namespace="0b7a51c3-bf70-4bb3-b5a1-4df02d68e09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940b-97e1-46c0-9caa-3d56c6387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a51c3-bf70-4bb3-b5a1-4df02d68e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686af9-3505-427b-84d5-a51b707c6887}" ma:internalName="TaxCatchAll" ma:showField="CatchAllData" ma:web="0b7a51c3-bf70-4bb3-b5a1-4df02d68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HarvardAGPS.XSL" StyleName="Harvard - AGP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D1CAD33-3B39-4665-A5E6-666D035120E9}">
  <ds:schemaRefs>
    <ds:schemaRef ds:uri="http://purl.org/dc/dcmitype/"/>
    <ds:schemaRef ds:uri="http://purl.org/dc/terms/"/>
    <ds:schemaRef ds:uri="1201fbac-4e05-4e09-943f-b1daffa0ea6b"/>
    <ds:schemaRef ds:uri="http://schemas.microsoft.com/office/2006/documentManagement/types"/>
    <ds:schemaRef ds:uri="http://schemas.microsoft.com/sharepoint/v4"/>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D57DF3C-4590-436A-B106-9543B77EFFA0}"/>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E803512-12D8-4AD8-BFCE-11E4810FD812}">
  <ds:schemaRefs>
    <ds:schemaRef ds:uri="http://schemas.microsoft.com/sharepoint/events"/>
  </ds:schemaRefs>
</ds:datastoreItem>
</file>

<file path=customXml/itemProps5.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6.xml><?xml version="1.0" encoding="utf-8"?>
<ds:datastoreItem xmlns:ds="http://schemas.openxmlformats.org/officeDocument/2006/customXml" ds:itemID="{04DE8072-9C8C-4C16-98A8-1399206C853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Chemical Profile - Perfluorooctanoic acid (PFOA) and related substances</vt:lpstr>
    </vt:vector>
  </TitlesOfParts>
  <Company/>
  <LinksUpToDate>false</LinksUpToDate>
  <CharactersWithSpaces>20170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Profile - Perfluorooctanoic acid (PFOA) and related substances - for s17 July 2023</dc:title>
  <dc:subject/>
  <dc:creator>Department of Agriculture, Water and the Environment</dc:creator>
  <cp:keywords/>
  <dc:description/>
  <cp:lastModifiedBy>Margerison, Sam</cp:lastModifiedBy>
  <cp:revision>2</cp:revision>
  <cp:lastPrinted>2020-02-28T00:25:00Z</cp:lastPrinted>
  <dcterms:created xsi:type="dcterms:W3CDTF">2023-07-10T11:55:00Z</dcterms:created>
  <dcterms:modified xsi:type="dcterms:W3CDTF">2023-07-10T11:55:00Z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0x01010083B243669598B243B3BEC38A9F3F99E4</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{e4bf394d-b520-43fd-a8fd-13d32c0a99c6}</vt:lpwstr>
  </property>
  <property fmtid="{D5CDD505-2E9C-101B-9397-08002B2CF9AE}" pid="6" name="RecordPoint_ActiveItemUniqueId">
    <vt:lpwstr>{7fa5894c-df8a-4c09-9abb-d1f4a6e732d8}</vt:lpwstr>
  </property>
  <property fmtid="{D5CDD505-2E9C-101B-9397-08002B2CF9AE}" pid="7" name="RecordPoint_ActiveItemWebId">
    <vt:lpwstr>{edaef781-6d59-4de0-aebc-4a921f40e4bc}</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