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2BEE" w:rsidR="00784566" w:rsidP="00872BEE" w:rsidRDefault="293B4AA9" w14:paraId="5E5787A5" w14:textId="5AB387E1">
      <w:pPr>
        <w:spacing w:after="240"/>
        <w:rPr>
          <w:b/>
          <w:bCs/>
          <w:szCs w:val="20"/>
          <w:lang w:val="en-AU"/>
        </w:rPr>
      </w:pPr>
      <w:r w:rsidRPr="00872BEE">
        <w:rPr>
          <w:b/>
          <w:bCs/>
          <w:szCs w:val="20"/>
          <w:lang w:val="en-AU"/>
        </w:rPr>
        <w:t xml:space="preserve">Schedule </w:t>
      </w:r>
      <w:r w:rsidRPr="00872BEE" w:rsidR="03BE14D4">
        <w:rPr>
          <w:b/>
          <w:bCs/>
          <w:szCs w:val="20"/>
          <w:lang w:val="en-AU"/>
        </w:rPr>
        <w:t>7</w:t>
      </w:r>
      <w:r w:rsidRPr="00872BEE" w:rsidR="3B68B98C">
        <w:rPr>
          <w:b/>
          <w:bCs/>
          <w:szCs w:val="20"/>
          <w:lang w:val="en-AU"/>
        </w:rPr>
        <w:t xml:space="preserve"> – Relevant</w:t>
      </w:r>
      <w:r w:rsidRPr="00872BEE" w:rsidR="1B418E3E">
        <w:rPr>
          <w:b/>
          <w:bCs/>
          <w:szCs w:val="20"/>
          <w:lang w:val="en-AU"/>
        </w:rPr>
        <w:t xml:space="preserve"> industrial chemicals that are likely to cause serious or irreversible harm to the environment with </w:t>
      </w:r>
      <w:r w:rsidRPr="00872BEE" w:rsidR="254D2569">
        <w:rPr>
          <w:b/>
          <w:bCs/>
          <w:szCs w:val="20"/>
          <w:lang w:val="en-AU"/>
        </w:rPr>
        <w:t xml:space="preserve">no </w:t>
      </w:r>
      <w:r w:rsidRPr="00872BEE" w:rsidR="1B418E3E">
        <w:rPr>
          <w:b/>
          <w:bCs/>
          <w:szCs w:val="20"/>
          <w:lang w:val="en-AU"/>
        </w:rPr>
        <w:t xml:space="preserve">essential </w:t>
      </w:r>
      <w:proofErr w:type="gramStart"/>
      <w:r w:rsidRPr="00872BEE" w:rsidR="1B418E3E">
        <w:rPr>
          <w:b/>
          <w:bCs/>
          <w:szCs w:val="20"/>
          <w:lang w:val="en-AU"/>
        </w:rPr>
        <w:t>uses</w:t>
      </w:r>
      <w:proofErr w:type="gramEnd"/>
    </w:p>
    <w:tbl>
      <w:tblPr>
        <w:tblStyle w:val="TableGrid"/>
        <w:tblW w:w="4945" w:type="pct"/>
        <w:tblLook w:val="04A0" w:firstRow="1" w:lastRow="0" w:firstColumn="1" w:lastColumn="0" w:noHBand="0" w:noVBand="1"/>
      </w:tblPr>
      <w:tblGrid>
        <w:gridCol w:w="13795"/>
      </w:tblGrid>
      <w:tr w:rsidRPr="00711C91" w:rsidR="00C47373" w:rsidTr="08D21EF9" w14:paraId="2C532835" w14:textId="3A41D36C">
        <w:trPr>
          <w:trHeight w:val="300"/>
        </w:trPr>
        <w:tc>
          <w:tcPr>
            <w:tcW w:w="5000" w:type="pct"/>
            <w:tcMar/>
          </w:tcPr>
          <w:p w:rsidRPr="00711C91" w:rsidR="00C47373" w:rsidP="00872BEE" w:rsidRDefault="00C47373" w14:paraId="2AAB59AF" w14:textId="2CF73B9A">
            <w:pPr>
              <w:spacing w:after="24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1C91">
              <w:rPr>
                <w:rFonts w:ascii="Calibri" w:hAnsi="Calibri" w:cs="Calibri"/>
                <w:b/>
                <w:bCs/>
                <w:sz w:val="22"/>
                <w:szCs w:val="22"/>
              </w:rPr>
              <w:t>Relevant industrial chemical</w:t>
            </w:r>
          </w:p>
        </w:tc>
      </w:tr>
      <w:tr w:rsidRPr="00711C91" w:rsidR="00C47373" w:rsidTr="08D21EF9" w14:paraId="6967A472" w14:textId="226A3A93">
        <w:trPr>
          <w:trHeight w:val="300"/>
        </w:trPr>
        <w:tc>
          <w:tcPr>
            <w:tcW w:w="5000" w:type="pct"/>
            <w:tcMar/>
          </w:tcPr>
          <w:p w:rsidRPr="00051D51" w:rsidR="00C47373" w:rsidP="08D21EF9" w:rsidRDefault="00C47373" w14:paraId="0D3A5246" w14:textId="42817761">
            <w:pPr>
              <w:pStyle w:val="subsection"/>
              <w:spacing w:before="0" w:after="240" w:line="360" w:lineRule="auto"/>
              <w:ind w:left="0" w:firstLine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  <w:r w:rsidRPr="08D21EF9" w:rsidR="00C47373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Chemical class name: </w:t>
            </w:r>
            <w:r w:rsidRPr="08D21EF9" w:rsidR="00885E68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Short chain chlorinated paraffins</w:t>
            </w:r>
            <w:r w:rsidRPr="08D21EF9" w:rsidR="00C47373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 xml:space="preserve"> (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>alkanes, C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  <w:vertAlign w:val="subscript"/>
              </w:rPr>
              <w:t>10-13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 xml:space="preserve">, </w:t>
            </w:r>
            <w:bookmarkStart w:name="_Int_O8bVfwZD" w:id="894140686"/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>chloro</w:t>
            </w:r>
            <w:bookmarkEnd w:id="894140686"/>
            <w:r w:rsidRPr="08D21EF9" w:rsidR="00885E68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>)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>, which are straight</w:t>
            </w:r>
            <w:r w:rsidRPr="08D21EF9" w:rsidR="00C12BC2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 xml:space="preserve"> 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>chain chlorinated alkanes with chain lengths ranges from C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 xml:space="preserve"> to C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  <w:vertAlign w:val="subscript"/>
              </w:rPr>
              <w:t>13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 xml:space="preserve"> and a chlorine content of greater than 48% by </w:t>
            </w:r>
            <w:r w:rsidRPr="08D21EF9" w:rsidR="00146511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>weight.</w:t>
            </w:r>
            <w:r w:rsidRPr="08D21EF9" w:rsidR="00D74A69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</w:rPr>
              <w:t xml:space="preserve"> </w:t>
            </w:r>
          </w:p>
          <w:p w:rsidRPr="00711C91" w:rsidR="00C47373" w:rsidP="00872BEE" w:rsidRDefault="00C47373" w14:paraId="1172F2D1" w14:textId="30087766">
            <w:pPr>
              <w:pStyle w:val="subsection"/>
              <w:spacing w:before="0" w:after="240" w:line="360" w:lineRule="auto"/>
              <w:ind w:left="0" w:firstLine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51D5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 xml:space="preserve">CAS numbers: </w:t>
            </w:r>
            <w:r w:rsidRPr="00051D51" w:rsidR="00051D5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>85535-84-8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 xml:space="preserve">. In addition, the chemical substances with the following CAS numbers </w:t>
            </w:r>
            <w:r w:rsidR="002C6B1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>will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 xml:space="preserve"> contain </w:t>
            </w:r>
            <w:r w:rsidR="00E0764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 xml:space="preserve">a proportion of 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>short</w:t>
            </w:r>
            <w:r w:rsidR="00114C3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0867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color="auto" w:sz="0" w:space="0" w:frame="1"/>
              </w:rPr>
              <w:t>chain chlorinated paraffins: 68920-70-7, 71011-12-6, 85536-22-7, 85681-73-8, 108171-26-2</w:t>
            </w:r>
          </w:p>
        </w:tc>
      </w:tr>
      <w:tr w:rsidRPr="00711C91" w:rsidR="003E2BDA" w:rsidTr="08D21EF9" w14:paraId="30E18809" w14:textId="77777777">
        <w:trPr>
          <w:trHeight w:val="300"/>
        </w:trPr>
        <w:tc>
          <w:tcPr>
            <w:tcW w:w="5000" w:type="pct"/>
            <w:tcMar/>
          </w:tcPr>
          <w:p w:rsidRPr="00051D51" w:rsidR="003E2BDA" w:rsidP="00872BEE" w:rsidRDefault="0028703C" w14:paraId="151A66AC" w14:textId="7ED1D3E7">
            <w:pPr>
              <w:spacing w:after="240" w:line="360" w:lineRule="auto"/>
              <w:rPr>
                <w:rStyle w:val="normaltextrun"/>
                <w:rFonts w:asciiTheme="minorHAnsi" w:hAnsiTheme="minorHAnsi" w:cstheme="minorHAnsi"/>
                <w:color w:val="000000"/>
                <w:szCs w:val="22"/>
                <w:bdr w:val="none" w:color="auto" w:sz="0" w:space="0" w:frame="1"/>
              </w:rPr>
            </w:pPr>
            <w:r w:rsidRPr="00872BEE">
              <w:rPr>
                <w:rFonts w:ascii="Calibri" w:hAnsi="Calibri" w:cs="Calibri"/>
                <w:b/>
                <w:bCs/>
                <w:sz w:val="22"/>
              </w:rPr>
              <w:t>Risk management measures including prohibitions and restrictions</w:t>
            </w:r>
          </w:p>
        </w:tc>
      </w:tr>
      <w:tr w:rsidRPr="00711C91" w:rsidR="00C47373" w:rsidTr="08D21EF9" w14:paraId="1CFD727D" w14:textId="4AC387E2">
        <w:tc>
          <w:tcPr>
            <w:tcW w:w="5000" w:type="pct"/>
            <w:tcMar/>
          </w:tcPr>
          <w:p w:rsidRPr="00711C91" w:rsidR="00C47373" w:rsidP="00872BEE" w:rsidRDefault="00C47373" w14:paraId="710252B8" w14:textId="581D4092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(a) This entry comes into effect on 1 July 2024.</w:t>
            </w:r>
          </w:p>
        </w:tc>
      </w:tr>
      <w:tr w:rsidRPr="00711C91" w:rsidR="00C47373" w:rsidTr="08D21EF9" w14:paraId="26A75FE1" w14:textId="03D4BC78">
        <w:tc>
          <w:tcPr>
            <w:tcW w:w="5000" w:type="pct"/>
            <w:tcMar/>
          </w:tcPr>
          <w:p w:rsidRPr="00711C91" w:rsidR="00C47373" w:rsidP="00872BEE" w:rsidRDefault="00C47373" w14:paraId="74379D69" w14:textId="7BCD9A8D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(b) The import, </w:t>
            </w:r>
            <w:r w:rsidRPr="00711C91" w:rsidR="00146511">
              <w:rPr>
                <w:rFonts w:ascii="Calibri" w:hAnsi="Calibri" w:eastAsia="Calibri" w:cs="Calibri"/>
                <w:sz w:val="22"/>
                <w:szCs w:val="22"/>
              </w:rPr>
              <w:t>manufacture,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and use of the class of chemicals (whether on its own or in mixtures) are prohibited except:</w:t>
            </w:r>
          </w:p>
        </w:tc>
      </w:tr>
      <w:tr w:rsidRPr="00711C91" w:rsidR="00C47373" w:rsidTr="08D21EF9" w14:paraId="1D451C66" w14:textId="07CE4D63">
        <w:tc>
          <w:tcPr>
            <w:tcW w:w="5000" w:type="pct"/>
            <w:tcMar/>
          </w:tcPr>
          <w:p w:rsidRPr="002A445B" w:rsidR="00C47373" w:rsidP="00872BEE" w:rsidRDefault="00C47373" w14:paraId="45CA28F0" w14:textId="45B90480">
            <w:pPr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(i) in circumstances where the </w:t>
            </w:r>
            <w:r w:rsidRPr="00711C91" w:rsidDel="3E1FDFAB">
              <w:rPr>
                <w:rFonts w:ascii="Calibri" w:hAnsi="Calibri" w:eastAsia="Calibri" w:cs="Calibri"/>
                <w:sz w:val="22"/>
                <w:szCs w:val="22"/>
              </w:rPr>
              <w:t xml:space="preserve">class of 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chemicals </w:t>
            </w:r>
            <w:r w:rsidRPr="00711C91" w:rsidDel="5F5DACAF">
              <w:rPr>
                <w:rFonts w:ascii="Calibri" w:hAnsi="Calibri" w:eastAsia="Calibri" w:cs="Calibri"/>
                <w:sz w:val="22"/>
                <w:szCs w:val="22"/>
              </w:rPr>
              <w:t>is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present as unintentional trace contamination at </w:t>
            </w:r>
            <w:r w:rsidR="002A445B">
              <w:rPr>
                <w:rFonts w:ascii="Calibri" w:hAnsi="Calibri" w:eastAsia="Calibri" w:cs="Calibri"/>
                <w:sz w:val="22"/>
                <w:szCs w:val="22"/>
              </w:rPr>
              <w:t>a level of 1% w/w (10000 ppm/10 g/kg) or below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(to be reviewed by the department by 1 July 2027)</w:t>
            </w:r>
          </w:p>
        </w:tc>
      </w:tr>
      <w:tr w:rsidRPr="00711C91" w:rsidR="00C47373" w:rsidTr="08D21EF9" w14:paraId="0669CA1E" w14:textId="173D69E5">
        <w:tc>
          <w:tcPr>
            <w:tcW w:w="5000" w:type="pct"/>
            <w:tcMar/>
          </w:tcPr>
          <w:p w:rsidRPr="00711C91" w:rsidR="00C47373" w:rsidP="00872BEE" w:rsidRDefault="00C47373" w14:paraId="1CDA7D42" w14:textId="4E63D857">
            <w:pPr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(ii) for research or laboratory purposes; or</w:t>
            </w:r>
          </w:p>
        </w:tc>
      </w:tr>
      <w:tr w:rsidRPr="00711C91" w:rsidR="00C47373" w:rsidTr="08D21EF9" w14:paraId="24ED9F3C" w14:textId="0E1487A6">
        <w:tc>
          <w:tcPr>
            <w:tcW w:w="5000" w:type="pct"/>
            <w:tcMar/>
          </w:tcPr>
          <w:p w:rsidRPr="00711C91" w:rsidR="00C47373" w:rsidP="00872BEE" w:rsidRDefault="00C47373" w14:paraId="6E667213" w14:textId="10992248">
            <w:pPr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(iii) if a hazardous waste import permit authorises the import of the class of chemicals.</w:t>
            </w:r>
          </w:p>
        </w:tc>
      </w:tr>
      <w:tr w:rsidRPr="00711C91" w:rsidR="00C47373" w:rsidTr="08D21EF9" w14:paraId="51A8ED30" w14:textId="03909CD4">
        <w:tc>
          <w:tcPr>
            <w:tcW w:w="5000" w:type="pct"/>
            <w:tcMar/>
          </w:tcPr>
          <w:p w:rsidRPr="00711C91" w:rsidR="00C47373" w:rsidP="00872BEE" w:rsidRDefault="00C47373" w14:paraId="244B0F11" w14:textId="5DBFD94A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(c) The import, manufacture and use of an article containing the class of chemicals are prohibited except:</w:t>
            </w:r>
          </w:p>
        </w:tc>
      </w:tr>
      <w:tr w:rsidRPr="00711C91" w:rsidR="00C47373" w:rsidTr="08D21EF9" w14:paraId="2248ABA8" w14:textId="7D1B7727">
        <w:tc>
          <w:tcPr>
            <w:tcW w:w="5000" w:type="pct"/>
            <w:tcMar/>
          </w:tcPr>
          <w:p w:rsidRPr="00711C91" w:rsidR="00C47373" w:rsidP="00872BEE" w:rsidRDefault="00C47373" w14:paraId="22931598" w14:textId="0D27AA32">
            <w:pPr>
              <w:spacing w:after="240" w:line="360" w:lineRule="auto"/>
              <w:ind w:left="367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(i) in circumstances where </w:t>
            </w:r>
            <w:r w:rsidR="00885E68">
              <w:rPr>
                <w:rFonts w:ascii="Calibri" w:hAnsi="Calibri" w:eastAsia="Calibri" w:cs="Calibri"/>
                <w:sz w:val="22"/>
                <w:szCs w:val="22"/>
              </w:rPr>
              <w:t>short chain chlorinated paraffins (SCCPs)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are</w:t>
            </w:r>
            <w:r w:rsidR="00220E2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present in the article as unintentional trace contamination at a level equal to or below </w:t>
            </w:r>
            <w:r w:rsidR="002A445B">
              <w:rPr>
                <w:rFonts w:ascii="Calibri" w:hAnsi="Calibri" w:eastAsia="Calibri" w:cs="Calibri"/>
                <w:sz w:val="22"/>
                <w:szCs w:val="22"/>
              </w:rPr>
              <w:t>0.15% w/w (1500 ppm/1500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mg/kg</w:t>
            </w:r>
            <w:r w:rsidR="002A445B">
              <w:rPr>
                <w:rFonts w:ascii="Calibri" w:hAnsi="Calibri" w:eastAsia="Calibri" w:cs="Calibri"/>
                <w:sz w:val="22"/>
                <w:szCs w:val="22"/>
              </w:rPr>
              <w:t>) or below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(to be reviewed by the department by 1 July 2027); or</w:t>
            </w:r>
          </w:p>
        </w:tc>
      </w:tr>
      <w:tr w:rsidRPr="00711C91" w:rsidR="00C47373" w:rsidTr="08D21EF9" w14:paraId="3CAEF601" w14:textId="2EF89F43">
        <w:tc>
          <w:tcPr>
            <w:tcW w:w="5000" w:type="pct"/>
            <w:tcMar/>
          </w:tcPr>
          <w:p w:rsidRPr="00711C91" w:rsidR="00C47373" w:rsidP="00872BEE" w:rsidRDefault="00C47373" w14:paraId="7DF0E2B4" w14:textId="1A69F900">
            <w:pPr>
              <w:spacing w:after="240" w:line="360" w:lineRule="auto"/>
              <w:ind w:left="367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(ii) for research or laboratory purposes; or</w:t>
            </w:r>
          </w:p>
        </w:tc>
      </w:tr>
      <w:tr w:rsidRPr="00711C91" w:rsidR="00C47373" w:rsidTr="08D21EF9" w14:paraId="2950311D" w14:textId="1563C61E">
        <w:tc>
          <w:tcPr>
            <w:tcW w:w="5000" w:type="pct"/>
            <w:tcMar/>
          </w:tcPr>
          <w:p w:rsidRPr="00711C91" w:rsidR="00C47373" w:rsidP="00872BEE" w:rsidRDefault="00C47373" w14:paraId="510BAA21" w14:textId="5981DB92">
            <w:pPr>
              <w:spacing w:after="240" w:line="360" w:lineRule="auto"/>
              <w:ind w:left="367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(iii) if a hazardous waste import permit authorises the import of the class of chemicals; or</w:t>
            </w:r>
          </w:p>
        </w:tc>
      </w:tr>
      <w:tr w:rsidRPr="00711C91" w:rsidR="00C47373" w:rsidTr="08D21EF9" w14:paraId="10D6E041" w14:textId="38B73D25">
        <w:tc>
          <w:tcPr>
            <w:tcW w:w="5000" w:type="pct"/>
            <w:tcMar/>
          </w:tcPr>
          <w:p w:rsidRPr="00711C91" w:rsidR="00C47373" w:rsidP="00872BEE" w:rsidRDefault="00C47373" w14:paraId="031923B9" w14:textId="1CBD6B7C">
            <w:pPr>
              <w:spacing w:after="240" w:line="360" w:lineRule="auto"/>
              <w:ind w:left="367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(iv) in circumstances in which the article is already in use on or before 1 July 2024.</w:t>
            </w:r>
          </w:p>
        </w:tc>
      </w:tr>
      <w:tr w:rsidRPr="00711C91" w:rsidR="00C47373" w:rsidTr="08D21EF9" w14:paraId="2C5C4732" w14:textId="7AEE8F35">
        <w:tc>
          <w:tcPr>
            <w:tcW w:w="5000" w:type="pct"/>
            <w:tcMar/>
          </w:tcPr>
          <w:p w:rsidRPr="00711C91" w:rsidR="00C47373" w:rsidP="00872BEE" w:rsidRDefault="00C47373" w14:paraId="3DAFF7BB" w14:textId="3B1616BD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(d) The export of the class of chemicals (whether on its own or in mixtures), or an article containing the class of chemicals, is prohibited except:</w:t>
            </w:r>
          </w:p>
        </w:tc>
      </w:tr>
      <w:tr w:rsidRPr="00711C91" w:rsidR="00C47373" w:rsidTr="08D21EF9" w14:paraId="1DB33984" w14:textId="57279BC0">
        <w:tc>
          <w:tcPr>
            <w:tcW w:w="5000" w:type="pct"/>
            <w:tcMar/>
          </w:tcPr>
          <w:p w:rsidRPr="00345F6A" w:rsidR="00C47373" w:rsidP="00872BEE" w:rsidRDefault="00C47373" w14:paraId="109E0369" w14:textId="7542FF4C">
            <w:pPr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(i) in circumstances where the class of chemicals are present as unintentional trace contamination </w:t>
            </w:r>
            <w:r w:rsidR="002A445B">
              <w:rPr>
                <w:rFonts w:ascii="Calibri" w:hAnsi="Calibri" w:eastAsia="Calibri" w:cs="Calibri"/>
                <w:sz w:val="22"/>
                <w:szCs w:val="22"/>
              </w:rPr>
              <w:t xml:space="preserve">in a chemical substance or mixture 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at </w:t>
            </w:r>
            <w:r w:rsidR="00345F6A">
              <w:rPr>
                <w:rFonts w:ascii="Calibri" w:hAnsi="Calibri" w:eastAsia="Calibri" w:cs="Calibri"/>
                <w:sz w:val="22"/>
                <w:szCs w:val="22"/>
              </w:rPr>
              <w:t>a level of 1% w/w (10000 ppm/10 g/kg) or below</w:t>
            </w:r>
            <w:r w:rsidRPr="00711C91" w:rsidR="00345F6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>(to be reviewed by the department by 1 July 2027);</w:t>
            </w:r>
          </w:p>
        </w:tc>
      </w:tr>
      <w:tr w:rsidRPr="00711C91" w:rsidR="00C47373" w:rsidTr="08D21EF9" w14:paraId="13436047" w14:textId="14367C00">
        <w:trPr>
          <w:trHeight w:val="300"/>
        </w:trPr>
        <w:tc>
          <w:tcPr>
            <w:tcW w:w="5000" w:type="pct"/>
            <w:tcMar/>
          </w:tcPr>
          <w:p w:rsidRPr="00711C91" w:rsidR="00C47373" w:rsidP="00872BEE" w:rsidRDefault="004408B1" w14:paraId="1DC9A53E" w14:textId="494CD468">
            <w:pPr>
              <w:pStyle w:val="ListParagraph"/>
              <w:spacing w:after="240" w:line="360" w:lineRule="auto"/>
              <w:ind w:left="369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(ii) </w:t>
            </w:r>
            <w:r w:rsidRPr="00711C91" w:rsidR="00C47373">
              <w:rPr>
                <w:rFonts w:ascii="Calibri" w:hAnsi="Calibri" w:eastAsia="Calibri" w:cs="Calibri"/>
                <w:sz w:val="22"/>
                <w:szCs w:val="22"/>
              </w:rPr>
              <w:t xml:space="preserve">for the article – in circumstances where </w:t>
            </w:r>
            <w:r w:rsidR="00885E68">
              <w:rPr>
                <w:rFonts w:ascii="Calibri" w:hAnsi="Calibri" w:eastAsia="Calibri" w:cs="Calibri"/>
                <w:sz w:val="22"/>
                <w:szCs w:val="22"/>
              </w:rPr>
              <w:t>SCCP</w:t>
            </w:r>
            <w:r w:rsidRPr="00711C91" w:rsidR="00C47373">
              <w:rPr>
                <w:rFonts w:ascii="Calibri" w:hAnsi="Calibri" w:eastAsia="Calibri" w:cs="Calibri"/>
                <w:sz w:val="22"/>
                <w:szCs w:val="22"/>
              </w:rPr>
              <w:t xml:space="preserve">s are present </w:t>
            </w:r>
            <w:r w:rsidRPr="00711C91" w:rsidR="00C4737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as unintentional trace contamination at </w:t>
            </w:r>
            <w:r w:rsidRPr="00711C91" w:rsidR="00345F6A">
              <w:rPr>
                <w:rFonts w:ascii="Calibri" w:hAnsi="Calibri" w:eastAsia="Calibri" w:cs="Calibri"/>
                <w:sz w:val="22"/>
                <w:szCs w:val="22"/>
              </w:rPr>
              <w:t xml:space="preserve">a level equal to or below </w:t>
            </w:r>
            <w:r w:rsidR="00345F6A">
              <w:rPr>
                <w:rFonts w:ascii="Calibri" w:hAnsi="Calibri" w:eastAsia="Calibri" w:cs="Calibri"/>
                <w:sz w:val="22"/>
                <w:szCs w:val="22"/>
              </w:rPr>
              <w:t>0.15% w/w (1500 ppm/1500</w:t>
            </w:r>
            <w:r w:rsidRPr="00711C91" w:rsidR="00345F6A">
              <w:rPr>
                <w:rFonts w:ascii="Calibri" w:hAnsi="Calibri" w:eastAsia="Calibri" w:cs="Calibri"/>
                <w:sz w:val="22"/>
                <w:szCs w:val="22"/>
              </w:rPr>
              <w:t xml:space="preserve"> mg/kg</w:t>
            </w:r>
            <w:r w:rsidR="00345F6A">
              <w:rPr>
                <w:rFonts w:ascii="Calibri" w:hAnsi="Calibri" w:eastAsia="Calibri" w:cs="Calibri"/>
                <w:sz w:val="22"/>
                <w:szCs w:val="22"/>
              </w:rPr>
              <w:t>) or below</w:t>
            </w:r>
            <w:r w:rsidRPr="00711C91" w:rsidR="00C4737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(to be reviewed by the department by 1 July 2027); or</w:t>
            </w:r>
          </w:p>
        </w:tc>
      </w:tr>
      <w:tr w:rsidRPr="00711C91" w:rsidR="006D3A76" w:rsidTr="08D21EF9" w14:paraId="3525B057" w14:textId="77777777">
        <w:trPr>
          <w:trHeight w:val="300"/>
        </w:trPr>
        <w:tc>
          <w:tcPr>
            <w:tcW w:w="5000" w:type="pct"/>
            <w:tcMar/>
          </w:tcPr>
          <w:p w:rsidRPr="00872BEE" w:rsidR="006D3A76" w:rsidP="00872BEE" w:rsidRDefault="006D3A76" w14:paraId="3C7779F1" w14:textId="7C4D97D8">
            <w:pPr>
              <w:pStyle w:val="ListParagraph"/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i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>i) for research or laboratory purposes; or</w:t>
            </w:r>
          </w:p>
        </w:tc>
      </w:tr>
      <w:tr w:rsidRPr="00711C91" w:rsidR="00C47373" w:rsidTr="08D21EF9" w14:paraId="298FE480" w14:textId="385F0E0E">
        <w:tc>
          <w:tcPr>
            <w:tcW w:w="5000" w:type="pct"/>
            <w:tcMar/>
          </w:tcPr>
          <w:p w:rsidRPr="00711C91" w:rsidR="00C47373" w:rsidP="00872BEE" w:rsidRDefault="00C47373" w14:paraId="06B1083F" w14:textId="676A83C2">
            <w:pPr>
              <w:pStyle w:val="ListParagraph"/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(i</w:t>
            </w:r>
            <w:r w:rsidR="006D3A76">
              <w:rPr>
                <w:rFonts w:ascii="Calibri" w:hAnsi="Calibri" w:eastAsia="Calibri" w:cs="Calibri"/>
                <w:sz w:val="22"/>
                <w:szCs w:val="22"/>
              </w:rPr>
              <w:t>v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>) if a hazardous waste export permit authorises the export of the class of chemicals or the article.</w:t>
            </w:r>
          </w:p>
        </w:tc>
      </w:tr>
      <w:tr w:rsidRPr="00711C91" w:rsidR="00C47373" w:rsidTr="08D21EF9" w14:paraId="11044207" w14:textId="10EE3BA4">
        <w:tc>
          <w:tcPr>
            <w:tcW w:w="5000" w:type="pct"/>
            <w:tcMar/>
          </w:tcPr>
          <w:p w:rsidRPr="00711C91" w:rsidR="00C47373" w:rsidP="00872BEE" w:rsidRDefault="00C47373" w14:paraId="2A2DBDD8" w14:textId="2D69912C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(e) </w:t>
            </w:r>
            <w:r w:rsidRPr="00345F6A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Producers and holders of waste must undertake all reasonably practicable measures to avoid contamination of waste not containing </w:t>
            </w:r>
            <w:r w:rsidRPr="00345F6A" w:rsidR="00885E68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SC</w:t>
            </w:r>
            <w:r w:rsidRPr="00345F6A" w:rsidR="00885E68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CPs</w:t>
            </w:r>
            <w:r w:rsidRPr="00345F6A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with </w:t>
            </w:r>
            <w:r w:rsidRPr="00345F6A" w:rsidR="00885E68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Pr="00345F6A" w:rsidR="00885E68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CCPs</w:t>
            </w:r>
            <w:r w:rsidRPr="00345F6A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and must not dilute </w:t>
            </w:r>
            <w:r w:rsidRPr="00345F6A" w:rsidR="00885E68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Pr="00345F6A" w:rsidR="00885E68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CCPs</w:t>
            </w:r>
            <w:r w:rsidRPr="00345F6A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waste with waste not containing </w:t>
            </w:r>
            <w:r w:rsidRPr="00345F6A" w:rsidR="00885E68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</w:t>
            </w:r>
            <w:r w:rsidRPr="00345F6A" w:rsidR="00885E68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CCPs </w:t>
            </w:r>
            <w:r w:rsidRPr="00345F6A">
              <w:rPr>
                <w:rStyle w:val="Strong"/>
                <w:rFonts w:eastAsia="Calibri"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to lower the concentrations below relevant waste handling and disposal thresholds.</w:t>
            </w:r>
          </w:p>
        </w:tc>
      </w:tr>
      <w:tr w:rsidRPr="00711C91" w:rsidR="00C47373" w:rsidTr="08D21EF9" w14:paraId="4A5E9A69" w14:textId="7DD6F86A">
        <w:tc>
          <w:tcPr>
            <w:tcW w:w="5000" w:type="pct"/>
            <w:tcMar/>
          </w:tcPr>
          <w:p w:rsidRPr="00345F6A" w:rsidR="00C47373" w:rsidP="00872BEE" w:rsidRDefault="00C47373" w14:paraId="095AF1E9" w14:textId="2EBC6CEE">
            <w:pPr>
              <w:spacing w:after="240" w:line="360" w:lineRule="auto"/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</w:pPr>
            <w:r w:rsidRPr="7D105FE9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(f) </w:t>
            </w:r>
            <w:r w:rsidRPr="7D105FE9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 xml:space="preserve">Waste consisting of, </w:t>
            </w:r>
            <w:r w:rsidRPr="7D105FE9" w:rsidR="00146511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>containing,</w:t>
            </w:r>
            <w:r w:rsidRPr="7D105FE9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 xml:space="preserve"> or contaminated with </w:t>
            </w:r>
            <w:r w:rsidRPr="7D105FE9" w:rsidR="00885E68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>S</w:t>
            </w:r>
            <w:r w:rsidRPr="7D105FE9" w:rsidR="00885E68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>CCP</w:t>
            </w:r>
            <w:r w:rsidRPr="7D105FE9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 xml:space="preserve">s at a concentration that is equal to, or greater than, </w:t>
            </w:r>
            <w:r w:rsidRPr="7D105FE9" w:rsidR="00655DD3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>0</w:t>
            </w:r>
            <w:r w:rsidRPr="7D105FE9" w:rsidR="00655DD3">
              <w:rPr>
                <w:rStyle w:val="Strong"/>
                <w:rFonts w:eastAsia="Calibri"/>
              </w:rPr>
              <w:t>.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D105FE9" w:rsidR="00655DD3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D105FE9" w:rsidR="00D74A69">
              <w:rPr>
                <w:rFonts w:ascii="Calibri" w:hAnsi="Calibri" w:eastAsia="Calibri" w:cs="Calibri"/>
                <w:sz w:val="22"/>
                <w:szCs w:val="22"/>
              </w:rPr>
              <w:t>% w/w (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D105FE9" w:rsidR="00655DD3">
              <w:rPr>
                <w:rFonts w:ascii="Calibri" w:hAnsi="Calibri" w:eastAsia="Calibri" w:cs="Calibri"/>
                <w:sz w:val="22"/>
                <w:szCs w:val="22"/>
              </w:rPr>
              <w:t>50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0</w:t>
            </w:r>
            <w:r w:rsidRPr="7D105FE9" w:rsidR="00D74A69">
              <w:rPr>
                <w:rFonts w:ascii="Calibri" w:hAnsi="Calibri" w:eastAsia="Calibri" w:cs="Calibri"/>
                <w:sz w:val="22"/>
                <w:szCs w:val="22"/>
              </w:rPr>
              <w:t xml:space="preserve"> ppm/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D105FE9" w:rsidR="00655DD3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0</w:t>
            </w:r>
            <w:r w:rsidRPr="7D105FE9" w:rsidR="00655DD3">
              <w:rPr>
                <w:rFonts w:ascii="Calibri" w:hAnsi="Calibri" w:eastAsia="Calibri" w:cs="Calibri"/>
                <w:sz w:val="22"/>
                <w:szCs w:val="22"/>
              </w:rPr>
              <w:t>0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D105FE9" w:rsidR="00655DD3">
              <w:rPr>
                <w:rFonts w:ascii="Calibri" w:hAnsi="Calibri" w:eastAsia="Calibri" w:cs="Calibri"/>
                <w:sz w:val="22"/>
                <w:szCs w:val="22"/>
              </w:rPr>
              <w:t>m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g</w:t>
            </w:r>
            <w:r w:rsidRPr="7D105FE9" w:rsidR="00D74A69">
              <w:rPr>
                <w:rFonts w:ascii="Calibri" w:hAnsi="Calibri" w:eastAsia="Calibri" w:cs="Calibri"/>
                <w:sz w:val="22"/>
                <w:szCs w:val="22"/>
              </w:rPr>
              <w:t xml:space="preserve">/kg) </w:t>
            </w:r>
            <w:r w:rsidRPr="7D105FE9">
              <w:rPr>
                <w:rStyle w:val="Strong"/>
                <w:rFonts w:eastAsia="Calibri" w:asciiTheme="minorHAnsi" w:hAnsiTheme="minorHAnsi"/>
                <w:b w:val="0"/>
                <w:bCs w:val="0"/>
                <w:sz w:val="22"/>
                <w:szCs w:val="22"/>
              </w:rPr>
              <w:t>(to be reviewed by the department by 1 July 2027) must be either:</w:t>
            </w:r>
          </w:p>
          <w:p w:rsidRPr="00872BEE" w:rsidR="00C47373" w:rsidP="00C44F75" w:rsidRDefault="00C47373" w14:paraId="084C4C36" w14:textId="55DD9A4C">
            <w:pPr>
              <w:spacing w:after="240"/>
              <w:ind w:left="367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  <w:r w:rsidRPr="00872BEE">
              <w:rPr>
                <w:rStyle w:val="Strong"/>
                <w:rFonts w:eastAsia="Calibri" w:asciiTheme="minorHAnsi" w:hAnsiTheme="minorHAnsi"/>
                <w:b w:val="0"/>
                <w:sz w:val="22"/>
                <w:szCs w:val="22"/>
              </w:rPr>
              <w:t>(i) treated in such a way as to ensure that the class of chemicals is destroyed or irreversibly transformed so that the remaining waste and environmental releases do not contain chemicals that exhibit Schedule 6 or Schedule 7 risk characteristics, or</w:t>
            </w:r>
          </w:p>
          <w:p w:rsidRPr="00711C91" w:rsidR="00C47373" w:rsidP="00872BEE" w:rsidRDefault="00C47373" w14:paraId="0FC07937" w14:textId="01DA7DB2">
            <w:pPr>
              <w:spacing w:after="240"/>
              <w:ind w:left="367"/>
              <w:rPr>
                <w:rStyle w:val="Strong"/>
                <w:rFonts w:ascii="Calibri" w:hAnsi="Calibri" w:eastAsia="Calibri" w:cs="Calibri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872BEE">
              <w:rPr>
                <w:rStyle w:val="Strong"/>
                <w:rFonts w:eastAsia="Calibri" w:asciiTheme="minorHAnsi" w:hAnsiTheme="minorHAnsi"/>
                <w:b w:val="0"/>
                <w:sz w:val="22"/>
                <w:szCs w:val="22"/>
              </w:rPr>
              <w:t xml:space="preserve">(ii) </w:t>
            </w:r>
            <w:r w:rsidRPr="00872BEE" w:rsidR="0086397F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managed</w:t>
            </w:r>
            <w:r w:rsidRPr="00872BEE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 or disposed of </w:t>
            </w:r>
            <w:r w:rsidRPr="00872BEE">
              <w:rPr>
                <w:rStyle w:val="Strong"/>
                <w:rFonts w:eastAsia="Calibri" w:asciiTheme="minorHAnsi" w:hAnsiTheme="minorHAnsi"/>
                <w:b w:val="0"/>
                <w:sz w:val="22"/>
                <w:szCs w:val="22"/>
              </w:rPr>
              <w:t>in an environmentally sound manner as authorised under a law of the Commonwealth or a law of a State, where treatment in accordance with subparagraph (i) is not the environmentally preferable option.</w:t>
            </w:r>
          </w:p>
        </w:tc>
      </w:tr>
      <w:tr w:rsidRPr="00711C91" w:rsidR="00C47373" w:rsidTr="08D21EF9" w14:paraId="6889C3E4" w14:textId="188EF8AA">
        <w:tc>
          <w:tcPr>
            <w:tcW w:w="5000" w:type="pct"/>
            <w:tcMar/>
          </w:tcPr>
          <w:p w:rsidRPr="00711C91" w:rsidR="00EC7B05" w:rsidP="00872BEE" w:rsidRDefault="00EC7B05" w14:paraId="1028E831" w14:textId="6DB3B1C4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D105FE9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(g) Waste consisting of, </w:t>
            </w:r>
            <w:proofErr w:type="gramStart"/>
            <w:r w:rsidRPr="7D105FE9">
              <w:rPr>
                <w:rFonts w:ascii="Calibri" w:hAnsi="Calibri" w:eastAsia="Calibri" w:cs="Calibri"/>
                <w:sz w:val="22"/>
                <w:szCs w:val="22"/>
              </w:rPr>
              <w:t>containing</w:t>
            </w:r>
            <w:proofErr w:type="gramEnd"/>
            <w:r w:rsidRPr="7D105FE9">
              <w:rPr>
                <w:rFonts w:ascii="Calibri" w:hAnsi="Calibri" w:eastAsia="Calibri" w:cs="Calibri"/>
                <w:sz w:val="22"/>
                <w:szCs w:val="22"/>
              </w:rPr>
              <w:t xml:space="preserve"> or contaminated with SCCPs at a concentration of less than </w:t>
            </w:r>
            <w:r w:rsidRPr="7D105FE9" w:rsidR="00F80B4D">
              <w:rPr>
                <w:rFonts w:ascii="Calibri" w:hAnsi="Calibri" w:eastAsia="Calibri" w:cs="Calibri"/>
                <w:sz w:val="22"/>
                <w:szCs w:val="22"/>
              </w:rPr>
              <w:t>0.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7D105FE9" w:rsidR="00F80B4D">
              <w:rPr>
                <w:rFonts w:ascii="Calibri" w:hAnsi="Calibri" w:eastAsia="Calibri" w:cs="Calibri"/>
                <w:sz w:val="22"/>
                <w:szCs w:val="22"/>
              </w:rPr>
              <w:t>5</w:t>
            </w:r>
            <w:r w:rsidRPr="7D105FE9">
              <w:rPr>
                <w:rFonts w:ascii="Calibri" w:hAnsi="Calibri" w:eastAsia="Calibri" w:cs="Calibri"/>
                <w:sz w:val="22"/>
                <w:szCs w:val="22"/>
              </w:rPr>
              <w:t>% w/w (</w:t>
            </w:r>
            <w:r w:rsidRPr="7D105FE9" w:rsidR="00F80B4D">
              <w:rPr>
                <w:rFonts w:ascii="Calibri" w:hAnsi="Calibri" w:eastAsia="Calibri" w:cs="Calibri"/>
                <w:sz w:val="22"/>
                <w:szCs w:val="22"/>
              </w:rPr>
              <w:t xml:space="preserve">1500 </w:t>
            </w:r>
            <w:r w:rsidRPr="7D105FE9">
              <w:rPr>
                <w:rFonts w:ascii="Calibri" w:hAnsi="Calibri" w:eastAsia="Calibri" w:cs="Calibri"/>
                <w:sz w:val="22"/>
                <w:szCs w:val="22"/>
              </w:rPr>
              <w:t>ppm/1</w:t>
            </w:r>
            <w:r w:rsidRPr="7D105FE9" w:rsidR="00F80B4D">
              <w:rPr>
                <w:rFonts w:ascii="Calibri" w:hAnsi="Calibri" w:eastAsia="Calibri" w:cs="Calibri"/>
                <w:sz w:val="22"/>
                <w:szCs w:val="22"/>
              </w:rPr>
              <w:t>500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D105FE9" w:rsidR="00F80B4D">
              <w:rPr>
                <w:rFonts w:ascii="Calibri" w:hAnsi="Calibri" w:eastAsia="Calibri" w:cs="Calibri"/>
                <w:sz w:val="22"/>
                <w:szCs w:val="22"/>
              </w:rPr>
              <w:t>m</w:t>
            </w:r>
            <w:r w:rsidRPr="7D105FE9" w:rsidR="00712935">
              <w:rPr>
                <w:rFonts w:ascii="Calibri" w:hAnsi="Calibri" w:eastAsia="Calibri" w:cs="Calibri"/>
                <w:sz w:val="22"/>
                <w:szCs w:val="22"/>
              </w:rPr>
              <w:t>g</w:t>
            </w:r>
            <w:r w:rsidRPr="7D105FE9">
              <w:rPr>
                <w:rFonts w:ascii="Calibri" w:hAnsi="Calibri" w:eastAsia="Calibri" w:cs="Calibri"/>
                <w:sz w:val="22"/>
                <w:szCs w:val="22"/>
              </w:rPr>
              <w:t>/kg) (to be reviewed by the department by 1 July 2027) must be managed or disposed of in an environmentally sound manner as authorised under a law of the Commonwealth or a law of a State.</w:t>
            </w:r>
          </w:p>
        </w:tc>
      </w:tr>
      <w:tr w:rsidRPr="00711C91" w:rsidR="00C47373" w:rsidTr="08D21EF9" w14:paraId="562E7786" w14:textId="1CC2115A">
        <w:tc>
          <w:tcPr>
            <w:tcW w:w="5000" w:type="pct"/>
            <w:tcMar/>
          </w:tcPr>
          <w:p w:rsidRPr="00711C91" w:rsidR="00C47373" w:rsidP="00872BEE" w:rsidRDefault="00C47373" w14:paraId="1C39B4C6" w14:textId="3AB474F9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(h) Disposal of waste must not lead to recovery, recycling, </w:t>
            </w:r>
            <w:r w:rsidRPr="00711C91" w:rsidR="0014651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reclamation,</w:t>
            </w: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or re-use of the class of chemicals on its own, subject to paragraph (i).</w:t>
            </w:r>
          </w:p>
        </w:tc>
      </w:tr>
      <w:tr w:rsidRPr="00711C91" w:rsidR="00C47373" w:rsidTr="08D21EF9" w14:paraId="0ED16344" w14:textId="3D6D7C19">
        <w:tc>
          <w:tcPr>
            <w:tcW w:w="5000" w:type="pct"/>
            <w:tcMar/>
          </w:tcPr>
          <w:p w:rsidRPr="00711C91" w:rsidR="00C47373" w:rsidP="00872BEE" w:rsidRDefault="00C47373" w14:paraId="4E4E5290" w14:textId="37F84D66">
            <w:pPr>
              <w:spacing w:after="240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(i) In carrying out disposal, the class of chemicals may be isolated from the waste, </w:t>
            </w:r>
            <w:r w:rsidRPr="00711C91" w:rsidR="0014651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if</w:t>
            </w: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it is subsequently disposed of in accordance with paragraphs (f) and (g).</w:t>
            </w:r>
          </w:p>
        </w:tc>
      </w:tr>
      <w:tr w:rsidRPr="00711C91" w:rsidR="00C47373" w:rsidTr="08D21EF9" w14:paraId="67C8F25A" w14:textId="35DEBEEA">
        <w:tc>
          <w:tcPr>
            <w:tcW w:w="5000" w:type="pct"/>
            <w:tcBorders>
              <w:bottom w:val="single" w:color="auto" w:sz="4" w:space="0"/>
            </w:tcBorders>
            <w:tcMar/>
          </w:tcPr>
          <w:p w:rsidRPr="00711C91" w:rsidR="00C47373" w:rsidP="00872BEE" w:rsidRDefault="00C47373" w14:paraId="416423F0" w14:textId="64683A11">
            <w:pPr>
              <w:spacing w:after="240" w:line="360" w:lineRule="auto"/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(j) If an activity in relation to the class of chemicals, or an article containing the class of chemicals, is not permitted under paragraph (b), (c) or (d), a holder of a stockpile of the class of chemicals must:</w:t>
            </w:r>
          </w:p>
          <w:p w:rsidRPr="00711C91" w:rsidR="00C47373" w:rsidP="00872BEE" w:rsidRDefault="00C47373" w14:paraId="7B124B9F" w14:textId="11391521">
            <w:pPr>
              <w:pStyle w:val="BodyTextIndent"/>
              <w:spacing w:after="240" w:line="360" w:lineRule="auto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  <w:t>(i) notify the relevant agency responsible for environmental protection of the nature and size of the stockpile; and</w:t>
            </w:r>
          </w:p>
          <w:p w:rsidRPr="00711C91" w:rsidR="00C47373" w:rsidP="00872BEE" w:rsidRDefault="00C47373" w14:paraId="07EBFDB0" w14:textId="77777777">
            <w:pPr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(ii) manage that stockpile as waste in accordance with paragraphs (f) and (g); and</w:t>
            </w:r>
          </w:p>
          <w:p w:rsidRPr="00711C91" w:rsidR="00C47373" w:rsidP="00872BEE" w:rsidRDefault="00C47373" w14:paraId="17F2967B" w14:textId="03700436">
            <w:pPr>
              <w:spacing w:after="240" w:line="360" w:lineRule="auto"/>
              <w:ind w:left="369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(iii) comply with all relevant laws that apply in the relevant jurisdiction.</w:t>
            </w:r>
          </w:p>
        </w:tc>
      </w:tr>
      <w:tr w:rsidRPr="00711C91" w:rsidR="00C47373" w:rsidTr="08D21EF9" w14:paraId="081DA6DD" w14:textId="180C7BD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1C91" w:rsidR="00C47373" w:rsidP="00872BEE" w:rsidRDefault="00C47373" w14:paraId="3D26EC46" w14:textId="33A85349">
            <w:pPr>
              <w:spacing w:after="240" w:line="36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Style w:val="Strong"/>
                <w:rFonts w:ascii="Calibri" w:hAnsi="Calibri" w:eastAsia="Calibri" w:cs="Calibri"/>
                <w:b w:val="0"/>
                <w:bCs w:val="0"/>
                <w:color w:val="000000" w:themeColor="text1"/>
                <w:sz w:val="22"/>
                <w:szCs w:val="22"/>
              </w:rPr>
              <w:t>(k) The IChEMS Minimum Standards must be complied with.</w:t>
            </w:r>
          </w:p>
        </w:tc>
      </w:tr>
    </w:tbl>
    <w:p w:rsidRPr="00711C91" w:rsidR="006B3414" w:rsidP="001A2DC1" w:rsidRDefault="006B3414" w14:paraId="5D2029D1" w14:textId="400292B6">
      <w:pPr>
        <w:spacing w:after="0" w:line="260" w:lineRule="atLeast"/>
        <w:rPr>
          <w:rFonts w:ascii="Calibri" w:hAnsi="Calibri" w:cs="Calibri"/>
          <w:bCs/>
          <w:lang w:val="en-AU"/>
        </w:rPr>
      </w:pPr>
    </w:p>
    <w:p w:rsidRPr="00711C91" w:rsidR="006B3414" w:rsidRDefault="006B3414" w14:paraId="3DC31C78" w14:textId="77777777">
      <w:pPr>
        <w:spacing w:after="160" w:line="259" w:lineRule="auto"/>
        <w:rPr>
          <w:rFonts w:ascii="Calibri" w:hAnsi="Calibri" w:cs="Calibri"/>
          <w:bCs/>
          <w:lang w:val="en-AU"/>
        </w:rPr>
      </w:pPr>
      <w:r w:rsidRPr="00711C91">
        <w:rPr>
          <w:rFonts w:ascii="Calibri" w:hAnsi="Calibri" w:cs="Calibri"/>
          <w:bCs/>
          <w:lang w:val="en-AU"/>
        </w:rPr>
        <w:br w:type="page"/>
      </w: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3942"/>
      </w:tblGrid>
      <w:tr w:rsidRPr="00711C91" w:rsidR="00C47373" w:rsidTr="00C47373" w14:paraId="0B778D94" w14:textId="0F8EF1CA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:rsidRPr="00711C91" w:rsidR="00C47373" w:rsidP="00872BEE" w:rsidRDefault="00C47373" w14:paraId="6A44752F" w14:textId="61EC34A5">
            <w:pPr>
              <w:spacing w:after="240"/>
              <w:rPr>
                <w:rFonts w:ascii="Calibri" w:hAnsi="Calibri" w:cs="Calibri" w:eastAsiaTheme="minorEastAsia"/>
                <w:b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sz w:val="22"/>
                <w:szCs w:val="22"/>
              </w:rPr>
              <w:lastRenderedPageBreak/>
              <w:t>Terms defined in the Register instrument</w:t>
            </w:r>
          </w:p>
        </w:tc>
      </w:tr>
      <w:tr w:rsidRPr="00711C91" w:rsidR="00C47373" w:rsidTr="00C47373" w14:paraId="2FF827AC" w14:textId="435748B7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:rsidRPr="00711C91" w:rsidR="00C47373" w:rsidP="00872BEE" w:rsidRDefault="00C47373" w14:paraId="63DA618D" w14:textId="1FA9FE24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The following terms are to be defined in the Register:</w:t>
            </w:r>
          </w:p>
          <w:p w:rsidRPr="00711C91" w:rsidR="00C47373" w:rsidP="00872BEE" w:rsidRDefault="00C47373" w14:paraId="70E52383" w14:textId="0B5F5AEE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 xml:space="preserve">article 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has the same meaning as in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Industrial Chemicals Act 2019.</w:t>
            </w:r>
          </w:p>
          <w:p w:rsidRPr="00711C91" w:rsidR="00C47373" w:rsidP="00872BEE" w:rsidRDefault="00C47373" w14:paraId="1CCAF5D3" w14:textId="1F090466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disposal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has the same meaning as in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  <w:p w:rsidRPr="00711C91" w:rsidR="00C47373" w:rsidP="00872BEE" w:rsidRDefault="00C47373" w14:paraId="17E5ACE9" w14:textId="28649E43">
            <w:pPr>
              <w:pStyle w:val="notetext"/>
              <w:spacing w:before="0" w:after="240" w:line="276" w:lineRule="auto"/>
              <w:ind w:left="930" w:firstLine="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Note: Other grammatical forms of “disposal” (such as “disposed of”) have a corresponding meaning (see section 18A of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Acts Interpretation Act 1901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).</w:t>
            </w:r>
          </w:p>
          <w:p w:rsidRPr="00711C91" w:rsidR="00C47373" w:rsidP="00872BEE" w:rsidRDefault="00C47373" w14:paraId="082F58B6" w14:textId="23F74582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environmental release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 means any introduction of pollutants into the environment </w:t>
            </w:r>
            <w:proofErr w:type="gramStart"/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as a result of</w:t>
            </w:r>
            <w:proofErr w:type="gramEnd"/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any human activity, whether deliberate or accidental, routine or nonroutine.</w:t>
            </w:r>
          </w:p>
          <w:p w:rsidRPr="00711C91" w:rsidR="00C47373" w:rsidP="00872BEE" w:rsidRDefault="00C47373" w14:paraId="6F3FD430" w14:textId="3C4F607C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hazardous waste export permit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means an export permit within the meaning of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  <w:p w:rsidRPr="00711C91" w:rsidR="00C47373" w:rsidP="00872BEE" w:rsidRDefault="00C47373" w14:paraId="2B3F882B" w14:textId="53127516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hazardous waste import permit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means an import permit within the meaning of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  <w:p w:rsidRPr="00711C91" w:rsidR="00C47373" w:rsidP="00872BEE" w:rsidRDefault="00C47373" w14:paraId="5D258909" w14:textId="22014479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IChEMS Minimum Standards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 means the minimum standards agreed to by Commonwealth, State and Territory environmental regulators as published by the [Environment] Department and as existing from time to time.</w:t>
            </w:r>
          </w:p>
          <w:p w:rsidRPr="00711C91" w:rsidR="00C47373" w:rsidP="00872BEE" w:rsidRDefault="00C47373" w14:paraId="0801A4C5" w14:textId="48D35C11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industrial use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 has the same meaning as in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Industrial Chemicals Act 2019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  <w:p w:rsidRPr="00711C91" w:rsidR="00C47373" w:rsidP="00872BEE" w:rsidRDefault="00C47373" w14:paraId="0320DC3C" w14:textId="2763518D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manufacture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has the same meaning as in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Industrial Chemicals Act 2019.</w:t>
            </w:r>
          </w:p>
          <w:p w:rsidRPr="00711C91" w:rsidR="00C47373" w:rsidP="00872BEE" w:rsidRDefault="00C47373" w14:paraId="23EFD90A" w14:textId="40555E4C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relevant agency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includes:</w:t>
            </w:r>
          </w:p>
          <w:p w:rsidRPr="00711C91" w:rsidR="00C47373" w:rsidP="00872BEE" w:rsidRDefault="00C47373" w14:paraId="7BFADEAC" w14:textId="5C4260A6">
            <w:pPr>
              <w:spacing w:after="240"/>
              <w:ind w:left="72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(a) a department, </w:t>
            </w:r>
            <w:r w:rsidRPr="00711C91" w:rsidR="00146511">
              <w:rPr>
                <w:rFonts w:ascii="Calibri" w:hAnsi="Calibri" w:cs="Calibri" w:eastAsiaTheme="minorEastAsia"/>
                <w:sz w:val="22"/>
                <w:szCs w:val="22"/>
              </w:rPr>
              <w:t>agency,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or authority of the Commonwealth; and</w:t>
            </w:r>
          </w:p>
          <w:p w:rsidRPr="00711C91" w:rsidR="00C47373" w:rsidP="00872BEE" w:rsidRDefault="00C47373" w14:paraId="7B346F32" w14:textId="6CD0A629">
            <w:pPr>
              <w:spacing w:after="240"/>
              <w:ind w:left="72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(b) a </w:t>
            </w:r>
            <w:proofErr w:type="gramStart"/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State</w:t>
            </w:r>
            <w:proofErr w:type="gramEnd"/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government body.</w:t>
            </w:r>
          </w:p>
          <w:p w:rsidRPr="00711C91" w:rsidR="00C47373" w:rsidP="00872BEE" w:rsidRDefault="00C47373" w14:paraId="501DB7A9" w14:textId="00C98318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Schedule 6 risk characteristics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has the same meaning as in the </w:t>
            </w:r>
            <w:hyperlink w:history="1" r:id="rId10">
              <w:r w:rsidRPr="00711C91">
                <w:rPr>
                  <w:rStyle w:val="Hyperlink"/>
                  <w:rFonts w:ascii="Calibri" w:hAnsi="Calibri" w:eastAsia="Calibri" w:cs="Calibri"/>
                  <w:i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  <w:p w:rsidRPr="00711C91" w:rsidR="00C47373" w:rsidP="00872BEE" w:rsidRDefault="00C47373" w14:paraId="1CE2E8F5" w14:textId="0324CE15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Schedule 7 risk characteristics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has the same meaning as in the </w:t>
            </w:r>
            <w:hyperlink w:history="1" r:id="rId11">
              <w:r w:rsidRPr="00711C91">
                <w:rPr>
                  <w:rStyle w:val="Hyperlink"/>
                  <w:rFonts w:ascii="Calibri" w:hAnsi="Calibri" w:eastAsia="Calibri" w:cs="Calibri"/>
                  <w:i/>
                  <w:sz w:val="22"/>
                  <w:szCs w:val="22"/>
                  <w:lang w:val="en-GB"/>
                </w:rPr>
                <w:t>Industrial Chemicals Environmental Management (Register) Principles 2022</w:t>
              </w:r>
            </w:hyperlink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  <w:p w:rsidRPr="00711C91" w:rsidR="00C47373" w:rsidP="00872BEE" w:rsidRDefault="00C47373" w14:paraId="0DBF5554" w14:textId="4EBE833A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stockpile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 of a relevant industrial chemical means an accumulation of substances, mixtures or articles that contains, or consists of, the class of chemicals.</w:t>
            </w:r>
          </w:p>
          <w:p w:rsidRPr="00711C91" w:rsidR="00C47373" w:rsidP="00872BEE" w:rsidRDefault="00C47373" w14:paraId="30B19A1F" w14:textId="79B1F071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unintentional trace contamination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means circumstances where a chemical is present unintentionally and unavoidably below a set level at which the class of chemicals cannot be meaningfully used.</w:t>
            </w:r>
          </w:p>
          <w:p w:rsidRPr="00711C91" w:rsidR="00C47373" w:rsidP="00872BEE" w:rsidRDefault="00C47373" w14:paraId="77D0F29D" w14:textId="02AEAD4D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use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has the same meaning as in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Industrial Chemicals Act 2019.</w:t>
            </w:r>
          </w:p>
          <w:p w:rsidRPr="00711C91" w:rsidR="00C47373" w:rsidP="00872BEE" w:rsidRDefault="00C47373" w14:paraId="630DCAAF" w14:textId="25ACA65B">
            <w:pPr>
              <w:spacing w:after="240"/>
              <w:rPr>
                <w:rFonts w:ascii="Calibri" w:hAnsi="Calibri" w:cs="Calibri" w:eastAsiaTheme="minorEastAsia"/>
                <w:sz w:val="22"/>
                <w:szCs w:val="22"/>
              </w:rPr>
            </w:pPr>
            <w:r w:rsidRPr="00711C91">
              <w:rPr>
                <w:rFonts w:ascii="Calibri" w:hAnsi="Calibri" w:cs="Calibri" w:eastAsiaTheme="minorEastAsia"/>
                <w:b/>
                <w:i/>
                <w:sz w:val="22"/>
                <w:szCs w:val="22"/>
              </w:rPr>
              <w:t>waste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 xml:space="preserve"> has the same meaning as in the </w:t>
            </w:r>
            <w:r w:rsidRPr="00711C91">
              <w:rPr>
                <w:rFonts w:ascii="Calibri" w:hAnsi="Calibri" w:cs="Calibri" w:eastAsiaTheme="minorEastAsia"/>
                <w:i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hAnsi="Calibri" w:cs="Calibri" w:eastAsiaTheme="minorEastAsia"/>
                <w:sz w:val="22"/>
                <w:szCs w:val="22"/>
              </w:rPr>
              <w:t>.</w:t>
            </w:r>
          </w:p>
        </w:tc>
      </w:tr>
    </w:tbl>
    <w:p w:rsidRPr="00711C91" w:rsidR="00721071" w:rsidP="00C47373" w:rsidRDefault="00721071" w14:paraId="190875C0" w14:textId="77C8BC6C">
      <w:pPr>
        <w:spacing w:after="0"/>
        <w:rPr>
          <w:rFonts w:ascii="Calibri" w:hAnsi="Calibri" w:eastAsia="Calibri" w:cs="Calibri"/>
          <w:color w:val="000000" w:themeColor="text1"/>
          <w:lang w:val="en-AU"/>
        </w:rPr>
      </w:pP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3942"/>
      </w:tblGrid>
      <w:tr w:rsidRPr="00711C91" w:rsidR="00C47373" w:rsidTr="00C47373" w14:paraId="29BBFFE1" w14:textId="725A86DF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:rsidRPr="00711C91" w:rsidR="00C47373" w:rsidP="00872BEE" w:rsidRDefault="00C47373" w14:paraId="6B6F3E68" w14:textId="3E2B08F1">
            <w:pPr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Terms defined in the </w:t>
            </w: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Industrial Chemicals Environmental Management (Register) Act 2021</w:t>
            </w:r>
          </w:p>
        </w:tc>
      </w:tr>
      <w:tr w:rsidRPr="00711C91" w:rsidR="00C47373" w:rsidTr="00C47373" w14:paraId="4C66D924" w14:textId="13B50CEF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:rsidRPr="00711C91" w:rsidR="00C47373" w:rsidP="00872BEE" w:rsidRDefault="00C47373" w14:paraId="215084E0" w14:textId="0B0E198C">
            <w:pPr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CAS number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for an industrial chemical has the same meaning as in the Industrial Chemicals Act</w:t>
            </w:r>
          </w:p>
          <w:p w:rsidRPr="00711C91" w:rsidR="00C47373" w:rsidP="00872BEE" w:rsidRDefault="00C47373" w14:paraId="29CE2A73" w14:textId="4BDB06D9">
            <w:pPr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end use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for an industrial chemical has the same meaning as in the Industrial Chemicals Act.</w:t>
            </w:r>
          </w:p>
          <w:p w:rsidRPr="00711C91" w:rsidR="00C47373" w:rsidP="00872BEE" w:rsidRDefault="00C47373" w14:paraId="2EF85EE4" w14:textId="3D26C5E2">
            <w:pPr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Environment Department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means the Department administered by the Minister administering this Act.</w:t>
            </w:r>
          </w:p>
          <w:p w:rsidRPr="00711C91" w:rsidR="00C47373" w:rsidP="00872BEE" w:rsidRDefault="00C47373" w14:paraId="61B93781" w14:textId="006CF16C">
            <w:pPr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relevant industrial chemical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means:</w:t>
            </w:r>
          </w:p>
          <w:p w:rsidRPr="00711C91" w:rsidR="00C47373" w:rsidP="00872BEE" w:rsidRDefault="00C47373" w14:paraId="18B302B1" w14:textId="1DDB5DCF">
            <w:pPr>
              <w:spacing w:after="240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(a) a particular industrial chemical; or</w:t>
            </w:r>
          </w:p>
          <w:p w:rsidRPr="00711C91" w:rsidR="00C47373" w:rsidP="00872BEE" w:rsidRDefault="00C47373" w14:paraId="6038CB48" w14:textId="0417A029">
            <w:pPr>
              <w:spacing w:after="240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>(b) a particular class of industrial chemicals.</w:t>
            </w:r>
          </w:p>
          <w:p w:rsidRPr="00711C91" w:rsidR="00C47373" w:rsidP="00872BEE" w:rsidRDefault="00C47373" w14:paraId="537BB99D" w14:textId="4410C5FE">
            <w:pPr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State</w:t>
            </w: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 includes the Northern Territory and the Australian Capital Territory.</w:t>
            </w:r>
          </w:p>
        </w:tc>
      </w:tr>
    </w:tbl>
    <w:p w:rsidRPr="00711C91" w:rsidR="00721071" w:rsidP="00C47373" w:rsidRDefault="00721071" w14:paraId="49A06C59" w14:textId="63226136">
      <w:pPr>
        <w:spacing w:after="0"/>
        <w:rPr>
          <w:rFonts w:ascii="Calibri" w:hAnsi="Calibri" w:eastAsia="Calibri" w:cs="Calibri"/>
          <w:color w:val="000000" w:themeColor="text1"/>
          <w:lang w:val="en-AU"/>
        </w:rPr>
      </w:pPr>
    </w:p>
    <w:tbl>
      <w:tblPr>
        <w:tblStyle w:val="TableGrid"/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3942"/>
      </w:tblGrid>
      <w:tr w:rsidRPr="00711C91" w:rsidR="00C47373" w:rsidTr="00C47373" w14:paraId="1F234840" w14:textId="69B178A2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:rsidRPr="00711C91" w:rsidR="00C47373" w:rsidP="00872BEE" w:rsidRDefault="00C47373" w14:paraId="1361CB9A" w14:textId="59993334">
            <w:pPr>
              <w:tabs>
                <w:tab w:val="left" w:pos="5073"/>
              </w:tabs>
              <w:spacing w:after="24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Terms defined in the </w:t>
            </w:r>
            <w:r w:rsidRPr="00711C91"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Industrial Chemicals Act 2019</w:t>
            </w:r>
            <w:r w:rsidRPr="00711C9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Pr="00711C91" w:rsidR="00C47373" w:rsidTr="00C47373" w14:paraId="195418CB" w14:textId="4CE83DEA">
        <w:trPr>
          <w:trHeight w:val="300"/>
        </w:trPr>
        <w:tc>
          <w:tcPr>
            <w:tcW w:w="5000" w:type="pct"/>
            <w:tcMar>
              <w:left w:w="105" w:type="dxa"/>
              <w:right w:w="105" w:type="dxa"/>
            </w:tcMar>
          </w:tcPr>
          <w:p w:rsidRPr="00711C91" w:rsidR="00C47373" w:rsidP="00872BEE" w:rsidRDefault="00C47373" w14:paraId="25ABECAA" w14:textId="266D4C1D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>article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means an object that:</w:t>
            </w:r>
          </w:p>
          <w:p w:rsidRPr="00711C91" w:rsidR="00C47373" w:rsidP="00872BEE" w:rsidRDefault="00C47373" w14:paraId="6CC53EFE" w14:textId="2648F3C8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lastRenderedPageBreak/>
              <w:t xml:space="preserve">(a) is produced for use for a particular purpose, being a purpose that requires that the object have a particular shape, </w:t>
            </w:r>
            <w:r w:rsidRPr="00711C91" w:rsidR="0014651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surface,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or design; and</w:t>
            </w:r>
          </w:p>
          <w:p w:rsidRPr="00711C91" w:rsidR="00C47373" w:rsidP="00872BEE" w:rsidRDefault="00C47373" w14:paraId="48DE052B" w14:textId="57BD0C28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(b) is formed to that shape, </w:t>
            </w:r>
            <w:r w:rsidRPr="00711C91" w:rsidR="0014651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surface,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or design during production; and</w:t>
            </w:r>
          </w:p>
          <w:p w:rsidRPr="00711C91" w:rsidR="00C47373" w:rsidP="00872BEE" w:rsidRDefault="00C47373" w14:paraId="6B1D3B72" w14:textId="0A8845D5">
            <w:pPr>
              <w:spacing w:after="240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(c) undergoes no change of chemical composition when used for that purpose except as an intrinsic aspect of that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use;</w:t>
            </w:r>
            <w:proofErr w:type="gramEnd"/>
          </w:p>
          <w:p w:rsidRPr="00711C91" w:rsidR="00C47373" w:rsidP="00872BEE" w:rsidRDefault="00C47373" w14:paraId="3AD23B7A" w14:textId="4612FC69">
            <w:pPr>
              <w:spacing w:after="240"/>
              <w:ind w:left="2364" w:hanging="135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but does not include an object of a kind prescribed by the rules for the purposes of this definition.</w:t>
            </w:r>
          </w:p>
          <w:p w:rsidRPr="00711C91" w:rsidR="00C47373" w:rsidP="00872BEE" w:rsidRDefault="00C47373" w14:paraId="5D1A0156" w14:textId="77777777">
            <w:pPr>
              <w:spacing w:after="240"/>
              <w:ind w:left="164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>end use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for an industrial chemical, means a purpose to which the industrial chemical can be applied.</w:t>
            </w:r>
          </w:p>
          <w:p w:rsidRPr="00711C91" w:rsidR="00C47373" w:rsidP="00872BEE" w:rsidRDefault="00C47373" w14:paraId="49B239DA" w14:textId="77777777">
            <w:pPr>
              <w:spacing w:after="240"/>
              <w:ind w:left="164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>industrial use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means a use other than (or in addition to) one of the following uses:</w:t>
            </w:r>
          </w:p>
          <w:p w:rsidRPr="00711C91" w:rsidR="00C47373" w:rsidP="00872BEE" w:rsidRDefault="00C47373" w14:paraId="55623277" w14:textId="77777777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(a) use as an agricultural chemical product (within the meaning of the Agvet Code) or in preparation of such a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product;</w:t>
            </w:r>
            <w:proofErr w:type="gramEnd"/>
          </w:p>
          <w:p w:rsidRPr="00711C91" w:rsidR="00C47373" w:rsidP="00872BEE" w:rsidRDefault="00C47373" w14:paraId="3336EA01" w14:textId="77777777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(b) use as a veterinary chemical product (within the meaning of the Agvet Code) or in the preparation of such a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product;</w:t>
            </w:r>
            <w:proofErr w:type="gramEnd"/>
          </w:p>
          <w:p w:rsidRPr="00711C91" w:rsidR="00C47373" w:rsidP="00872BEE" w:rsidRDefault="00C47373" w14:paraId="5CBBFBFB" w14:textId="43D735E4">
            <w:pPr>
              <w:spacing w:after="240"/>
              <w:ind w:left="742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(c) use as a substance or mixture of substances mentioned in paragraph 5(4)(a) of the Agvet Code (which deals with substances or mixtures of substances prepared by a pharmacist or veterinary surgeon) or in the preparation of such a substance or mixture of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substances;</w:t>
            </w:r>
            <w:proofErr w:type="gramEnd"/>
          </w:p>
          <w:p w:rsidRPr="00711C91" w:rsidR="00C47373" w:rsidP="00872BEE" w:rsidRDefault="00C47373" w14:paraId="32BEC14C" w14:textId="5300CF1A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(d) use as a therapeutic good (within the meaning of the </w:t>
            </w:r>
            <w:r w:rsidRPr="00711C91">
              <w:rPr>
                <w:rFonts w:ascii="Calibri" w:hAnsi="Calibri" w:eastAsia="Calibri" w:cs="Calibri"/>
                <w:i/>
                <w:color w:val="000000" w:themeColor="text1"/>
                <w:sz w:val="22"/>
                <w:szCs w:val="22"/>
              </w:rPr>
              <w:t>Therapeutic Goods Act 1989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) or in the preparation of such a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good;</w:t>
            </w:r>
            <w:proofErr w:type="gramEnd"/>
          </w:p>
          <w:p w:rsidRPr="00711C91" w:rsidR="00C47373" w:rsidP="00872BEE" w:rsidRDefault="00C47373" w14:paraId="5B0A56C7" w14:textId="77777777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(e) use as food intended for consumption by humans or in the preparation of such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food;</w:t>
            </w:r>
            <w:proofErr w:type="gramEnd"/>
          </w:p>
          <w:p w:rsidRPr="00711C91" w:rsidR="00C47373" w:rsidP="00872BEE" w:rsidRDefault="00C47373" w14:paraId="36AFE5C9" w14:textId="77777777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(f) use as feed intended for consumption by animals or in the preparation of such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feed;</w:t>
            </w:r>
            <w:proofErr w:type="gramEnd"/>
          </w:p>
          <w:p w:rsidRPr="00711C91" w:rsidR="00C47373" w:rsidP="00872BEE" w:rsidRDefault="00C47373" w14:paraId="588FD1CB" w14:textId="150F3387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(g) any use prescribed by the rules for the purposes of this paragraph.</w:t>
            </w:r>
          </w:p>
          <w:p w:rsidRPr="00711C91" w:rsidR="00C47373" w:rsidP="00872BEE" w:rsidRDefault="00C47373" w14:paraId="7D368949" w14:textId="415B9BB2">
            <w:pPr>
              <w:pStyle w:val="Default"/>
              <w:spacing w:after="240" w:line="276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 xml:space="preserve">manufacture 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an industrial chemical means do any of the following:</w:t>
            </w:r>
          </w:p>
          <w:p w:rsidRPr="00711C91" w:rsidR="00C47373" w:rsidP="00872BEE" w:rsidRDefault="00C47373" w14:paraId="0435CA74" w14:textId="45AE0DFE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(a) produce the industrial chemical in the course of a chemical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reaction;</w:t>
            </w:r>
            <w:proofErr w:type="gramEnd"/>
          </w:p>
          <w:p w:rsidRPr="00711C91" w:rsidR="00C47373" w:rsidP="00872BEE" w:rsidRDefault="00C47373" w14:paraId="30391718" w14:textId="5136FDA9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(b) extract the industrial chemical from a natural environment, with or without chemical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change;</w:t>
            </w:r>
            <w:proofErr w:type="gramEnd"/>
          </w:p>
          <w:p w:rsidRPr="00711C91" w:rsidR="00C47373" w:rsidP="00872BEE" w:rsidRDefault="00C47373" w14:paraId="0B365253" w14:textId="25A8A10C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(c) extract the industrial chemical from a UVCB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substance;</w:t>
            </w:r>
            <w:proofErr w:type="gramEnd"/>
          </w:p>
          <w:p w:rsidRPr="00711C91" w:rsidR="00C47373" w:rsidP="00872BEE" w:rsidRDefault="00C47373" w14:paraId="3815A02B" w14:textId="41A62AA0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(d) produce or extract the industrial chemical in circumstances prescribed by the rules for the purposes of this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:rsidRPr="00711C91" w:rsidR="00C47373" w:rsidP="00872BEE" w:rsidRDefault="00C47373" w14:paraId="5C44E868" w14:textId="7F91AC4A">
            <w:pPr>
              <w:spacing w:after="240"/>
              <w:ind w:left="1156" w:hanging="142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but does not include producing or extracting the industrial chemical as described in paragraphs (a), (b) or (c) in circumstances prescribed by the rules for the purposes of this definition.</w:t>
            </w:r>
          </w:p>
          <w:p w:rsidRPr="00711C91" w:rsidR="00C47373" w:rsidP="00872BEE" w:rsidRDefault="00C47373" w14:paraId="1924281F" w14:textId="3A096E31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>use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, for an industrial chemical, includes any of the following activities involving the industrial chemical:</w:t>
            </w:r>
          </w:p>
          <w:p w:rsidRPr="00711C91" w:rsidR="00C47373" w:rsidP="00872BEE" w:rsidRDefault="00C47373" w14:paraId="71014D5C" w14:textId="28EBB40D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(a)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processing;</w:t>
            </w:r>
            <w:proofErr w:type="gramEnd"/>
          </w:p>
          <w:p w:rsidRPr="00711C91" w:rsidR="00C47373" w:rsidP="00872BEE" w:rsidRDefault="00C47373" w14:paraId="4E62EE03" w14:textId="75672EFC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(b)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formulating;</w:t>
            </w:r>
            <w:proofErr w:type="gramEnd"/>
          </w:p>
          <w:p w:rsidRPr="00711C91" w:rsidR="00C47373" w:rsidP="00872BEE" w:rsidRDefault="00C47373" w14:paraId="7E77B6E2" w14:textId="128278B4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(c)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storing;</w:t>
            </w:r>
            <w:proofErr w:type="gramEnd"/>
          </w:p>
          <w:p w:rsidRPr="00711C91" w:rsidR="00C47373" w:rsidP="00872BEE" w:rsidRDefault="00C47373" w14:paraId="682BFC84" w14:textId="325D4E4F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(d)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transporting;</w:t>
            </w:r>
            <w:proofErr w:type="gramEnd"/>
          </w:p>
          <w:p w:rsidRPr="00711C91" w:rsidR="00C47373" w:rsidP="00872BEE" w:rsidRDefault="00C47373" w14:paraId="3104452B" w14:textId="4091FA07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(e) filling into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containers;</w:t>
            </w:r>
            <w:proofErr w:type="gramEnd"/>
          </w:p>
          <w:p w:rsidRPr="00711C91" w:rsidR="00C47373" w:rsidP="00872BEE" w:rsidRDefault="00C47373" w14:paraId="63EECC2E" w14:textId="3B31A367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(f) transferring from a container to another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container;</w:t>
            </w:r>
            <w:proofErr w:type="gramEnd"/>
          </w:p>
          <w:p w:rsidRPr="00711C91" w:rsidR="00C47373" w:rsidP="00872BEE" w:rsidRDefault="00C47373" w14:paraId="38BC2507" w14:textId="7A567D7B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(g)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handling;</w:t>
            </w:r>
            <w:proofErr w:type="gramEnd"/>
          </w:p>
          <w:p w:rsidRPr="00711C91" w:rsidR="00C47373" w:rsidP="00872BEE" w:rsidRDefault="00C47373" w14:paraId="192AE929" w14:textId="6318DA6F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(h)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mixing;</w:t>
            </w:r>
            <w:proofErr w:type="gramEnd"/>
          </w:p>
          <w:p w:rsidRPr="00711C91" w:rsidR="00C47373" w:rsidP="00872BEE" w:rsidRDefault="00C47373" w14:paraId="76FC1100" w14:textId="4B80ACD0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(i) sampling and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testing;</w:t>
            </w:r>
            <w:proofErr w:type="gramEnd"/>
          </w:p>
          <w:p w:rsidRPr="00711C91" w:rsidR="00C47373" w:rsidP="00872BEE" w:rsidRDefault="00C47373" w14:paraId="08147081" w14:textId="22729542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(j) producing an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article;</w:t>
            </w:r>
            <w:proofErr w:type="gramEnd"/>
          </w:p>
          <w:p w:rsidRPr="00711C91" w:rsidR="00C47373" w:rsidP="00872BEE" w:rsidRDefault="00C47373" w14:paraId="54FE4AAF" w14:textId="20D4DBD2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(k) releasing into the environment (with or without prior treatment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);</w:t>
            </w:r>
            <w:proofErr w:type="gramEnd"/>
          </w:p>
          <w:p w:rsidRPr="00711C91" w:rsidR="00C47373" w:rsidP="00872BEE" w:rsidRDefault="00C47373" w14:paraId="7E85FF83" w14:textId="2101CEC6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lastRenderedPageBreak/>
              <w:t xml:space="preserve">(l) activities relating to an end use for the industrial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chemical;</w:t>
            </w:r>
            <w:proofErr w:type="gramEnd"/>
          </w:p>
          <w:p w:rsidRPr="00711C91" w:rsidR="00C47373" w:rsidP="00872BEE" w:rsidRDefault="00C47373" w14:paraId="03EC891C" w14:textId="5D664058">
            <w:pPr>
              <w:spacing w:after="240"/>
              <w:ind w:left="2364" w:hanging="1644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(m) any other activity prescribed by the rules for the purposes of this </w:t>
            </w:r>
            <w:proofErr w:type="gramStart"/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paragraph;</w:t>
            </w:r>
            <w:proofErr w:type="gramEnd"/>
          </w:p>
          <w:p w:rsidRPr="00711C91" w:rsidR="00C47373" w:rsidP="00872BEE" w:rsidRDefault="00C47373" w14:paraId="3DF263E5" w14:textId="2A558BF3">
            <w:pPr>
              <w:spacing w:after="240"/>
              <w:ind w:left="1644" w:hanging="63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sz w:val="22"/>
                <w:szCs w:val="22"/>
              </w:rPr>
              <w:t xml:space="preserve">but does not include 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an activity prescribed by the rules for the purposes of this definition.</w:t>
            </w:r>
          </w:p>
        </w:tc>
      </w:tr>
    </w:tbl>
    <w:p w:rsidRPr="00711C91" w:rsidR="006B3414" w:rsidP="00C47373" w:rsidRDefault="006B3414" w14:paraId="313359BF" w14:textId="77777777">
      <w:pPr>
        <w:spacing w:after="0"/>
        <w:rPr>
          <w:rFonts w:ascii="Calibri" w:hAnsi="Calibr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Pr="00711C91" w:rsidR="00C47373" w:rsidTr="7D105FE9" w14:paraId="1FE086E9" w14:textId="77777777">
        <w:trPr>
          <w:trHeight w:val="300"/>
        </w:trPr>
        <w:tc>
          <w:tcPr>
            <w:tcW w:w="5000" w:type="pct"/>
          </w:tcPr>
          <w:p w:rsidRPr="00711C91" w:rsidR="00C47373" w:rsidP="00872BEE" w:rsidRDefault="00C47373" w14:paraId="1EAFFA7B" w14:textId="28FAD275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color w:val="000000" w:themeColor="text1"/>
                <w:sz w:val="22"/>
                <w:szCs w:val="22"/>
              </w:rPr>
              <w:t xml:space="preserve">Terms defined in the </w:t>
            </w: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>Hazardous Waste (Regulation of Exports and Imports) Act 1989</w:t>
            </w:r>
          </w:p>
        </w:tc>
      </w:tr>
      <w:tr w:rsidRPr="00711C91" w:rsidR="00C47373" w:rsidTr="7D105FE9" w14:paraId="7D200341" w14:textId="77777777">
        <w:tc>
          <w:tcPr>
            <w:tcW w:w="5000" w:type="pct"/>
          </w:tcPr>
          <w:p w:rsidRPr="00711C91" w:rsidR="00C47373" w:rsidP="00872BEE" w:rsidRDefault="00C47373" w14:paraId="39D1D654" w14:textId="3813817F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D105FE9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disposal </w:t>
            </w:r>
            <w:r w:rsidRPr="7D105FE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means an operation specified in Annex IV to the</w:t>
            </w:r>
            <w:r w:rsidRPr="7D105FE9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12">
              <w:r w:rsidRPr="7D105FE9">
                <w:rPr>
                  <w:rStyle w:val="Hyperlink"/>
                  <w:rFonts w:ascii="Calibri" w:hAnsi="Calibri" w:eastAsia="Calibri" w:cs="Calibri"/>
                  <w:b/>
                  <w:bCs/>
                  <w:i/>
                  <w:iCs/>
                  <w:sz w:val="22"/>
                  <w:szCs w:val="22"/>
                </w:rPr>
                <w:t>Basel Convention</w:t>
              </w:r>
            </w:hyperlink>
            <w:r w:rsidRPr="7D105FE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  <w:p w:rsidR="00BC6744" w:rsidP="00872BEE" w:rsidRDefault="39BF3DA3" w14:paraId="3A0D9FAD" w14:textId="77777777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D105FE9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environmentally sound management</w:t>
            </w:r>
            <w:r w:rsidRPr="7D105FE9">
              <w:rPr>
                <w:rStyle w:val="normaltextrun"/>
                <w:rFonts w:ascii="Calibri" w:hAnsi="Calibri" w:cs="Calibri"/>
                <w:sz w:val="22"/>
                <w:szCs w:val="22"/>
              </w:rPr>
              <w:t>, in relation to hazardous waste, has the meaning given by section 4E:  </w:t>
            </w:r>
            <w:r w:rsidRPr="7D105FE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C6744" w:rsidP="00872BEE" w:rsidRDefault="39BF3DA3" w14:paraId="37B38F3B" w14:textId="77777777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D105FE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 reference in this Act to the </w:t>
            </w:r>
            <w:r w:rsidRPr="7D105FE9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environmentally sound management</w:t>
            </w:r>
            <w:r w:rsidRPr="7D105FE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hazardous waste is a reference to taking all practicable steps to ensure that the waste is managed in a manner that will protect human health, and the environment, against the adverse effects that may result from the waste.</w:t>
            </w:r>
            <w:r w:rsidRPr="7D105FE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711C91" w:rsidR="00C47373" w:rsidP="00872BEE" w:rsidRDefault="00C47373" w14:paraId="42183626" w14:textId="17618FE8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D105FE9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hazardous waste export permit </w:t>
            </w:r>
            <w:r w:rsidRPr="7D105FE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means a permit under section 17 (</w:t>
            </w:r>
            <w:r w:rsidRPr="7D105FE9"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</w:rPr>
              <w:t>Hazardous Waste (Regulation of Exports and Imports) Act 1989</w:t>
            </w:r>
            <w:r w:rsidRPr="7D105FE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) permitting the export of hazardous waste.</w:t>
            </w:r>
          </w:p>
          <w:p w:rsidRPr="00711C91" w:rsidR="00C47373" w:rsidP="00872BEE" w:rsidRDefault="00C47373" w14:paraId="35E21D48" w14:textId="77777777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 xml:space="preserve">hazardous waste import permit 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means a permit under section 17 (</w:t>
            </w:r>
            <w:r w:rsidRPr="00711C91">
              <w:rPr>
                <w:rFonts w:ascii="Calibri" w:hAnsi="Calibri" w:eastAsia="Calibri" w:cs="Calibri"/>
                <w:i/>
                <w:color w:val="000000" w:themeColor="text1"/>
                <w:sz w:val="22"/>
                <w:szCs w:val="22"/>
              </w:rPr>
              <w:t>Hazardous Waste (Regulation of Exports and Imports) Act 1989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) permitting the import of hazardous waste.</w:t>
            </w:r>
          </w:p>
          <w:p w:rsidRPr="00711C91" w:rsidR="00C47373" w:rsidP="00872BEE" w:rsidRDefault="00C47373" w14:paraId="3E8A25F4" w14:textId="5E91E4CB">
            <w:pPr>
              <w:spacing w:after="24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b/>
                <w:i/>
                <w:color w:val="000000" w:themeColor="text1"/>
                <w:sz w:val="22"/>
                <w:szCs w:val="22"/>
              </w:rPr>
              <w:t xml:space="preserve">waste 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means a substance or object that:</w:t>
            </w:r>
          </w:p>
          <w:p w:rsidRPr="00711C91" w:rsidR="00C47373" w:rsidP="00872BEE" w:rsidRDefault="00C47373" w14:paraId="54DED077" w14:textId="77777777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(a) is proposed to be disposed of; or</w:t>
            </w:r>
          </w:p>
          <w:p w:rsidRPr="00711C91" w:rsidR="00C47373" w:rsidP="00872BEE" w:rsidRDefault="00C47373" w14:paraId="02F0425F" w14:textId="77777777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(b) is disposed of; or</w:t>
            </w:r>
          </w:p>
          <w:p w:rsidRPr="00711C91" w:rsidR="00C47373" w:rsidP="00872BEE" w:rsidRDefault="00C47373" w14:paraId="03A46573" w14:textId="5B336BF6">
            <w:pPr>
              <w:spacing w:after="240"/>
              <w:ind w:left="72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(c) is required by a law of the Commonwealth, a </w:t>
            </w:r>
            <w:r w:rsidRPr="00711C91" w:rsidR="0014651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State,</w:t>
            </w:r>
            <w:r w:rsidRPr="00711C9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or a Territory to be disposed of.</w:t>
            </w:r>
          </w:p>
        </w:tc>
      </w:tr>
    </w:tbl>
    <w:p w:rsidRPr="00711C91" w:rsidR="00721071" w:rsidP="000B7EA2" w:rsidRDefault="00721071" w14:paraId="272A7F18" w14:textId="77777777">
      <w:pPr>
        <w:spacing w:after="0" w:line="260" w:lineRule="atLeast"/>
        <w:rPr>
          <w:rFonts w:ascii="Calibri" w:hAnsi="Calibri" w:eastAsia="Calibri" w:cs="Calibri"/>
          <w:color w:val="000000" w:themeColor="text1"/>
          <w:lang w:val="en-AU"/>
        </w:rPr>
      </w:pPr>
    </w:p>
    <w:sectPr w:rsidRPr="00711C91" w:rsidR="00721071" w:rsidSect="00872BEE">
      <w:headerReference w:type="default" r:id="rId13"/>
      <w:footerReference w:type="default" r:id="rId14"/>
      <w:pgSz w:w="16838" w:h="23811" w:orient="portrait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79F" w:rsidP="00961255" w:rsidRDefault="00E7579F" w14:paraId="074A8AD9" w14:textId="77777777">
      <w:pPr>
        <w:spacing w:after="0" w:line="240" w:lineRule="auto"/>
      </w:pPr>
      <w:r>
        <w:separator/>
      </w:r>
    </w:p>
  </w:endnote>
  <w:endnote w:type="continuationSeparator" w:id="0">
    <w:p w:rsidR="00E7579F" w:rsidP="00961255" w:rsidRDefault="00E7579F" w14:paraId="6AD37CA0" w14:textId="77777777">
      <w:pPr>
        <w:spacing w:after="0" w:line="240" w:lineRule="auto"/>
      </w:pPr>
      <w:r>
        <w:continuationSeparator/>
      </w:r>
    </w:p>
  </w:endnote>
  <w:endnote w:type="continuationNotice" w:id="1">
    <w:p w:rsidR="00E7579F" w:rsidRDefault="00E7579F" w14:paraId="771AC5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711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463C" w:rsidRDefault="0013463C" w14:paraId="0B7AB7CB" w14:textId="203362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79F" w:rsidP="00961255" w:rsidRDefault="00E7579F" w14:paraId="4AC4A571" w14:textId="77777777">
      <w:pPr>
        <w:spacing w:after="0" w:line="240" w:lineRule="auto"/>
      </w:pPr>
      <w:r>
        <w:separator/>
      </w:r>
    </w:p>
  </w:footnote>
  <w:footnote w:type="continuationSeparator" w:id="0">
    <w:p w:rsidR="00E7579F" w:rsidP="00961255" w:rsidRDefault="00E7579F" w14:paraId="5BEA6864" w14:textId="77777777">
      <w:pPr>
        <w:spacing w:after="0" w:line="240" w:lineRule="auto"/>
      </w:pPr>
      <w:r>
        <w:continuationSeparator/>
      </w:r>
    </w:p>
  </w:footnote>
  <w:footnote w:type="continuationNotice" w:id="1">
    <w:p w:rsidR="00E7579F" w:rsidRDefault="00E7579F" w14:paraId="67CD690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A1328" w:rsidR="00961255" w:rsidP="00872BEE" w:rsidRDefault="00885E68" w14:paraId="27466D53" w14:textId="38BE45B6">
    <w:pPr>
      <w:spacing w:after="0"/>
      <w:jc w:val="center"/>
      <w:rPr>
        <w:sz w:val="20"/>
      </w:rPr>
    </w:pPr>
    <w:r>
      <w:rPr>
        <w:b/>
        <w:sz w:val="24"/>
        <w:szCs w:val="24"/>
      </w:rPr>
      <w:t>Short chain chlorinated paraffins</w:t>
    </w:r>
    <w:r w:rsidR="00961255">
      <w:rPr>
        <w:b/>
        <w:sz w:val="24"/>
        <w:szCs w:val="24"/>
      </w:rPr>
      <w:t xml:space="preserve"> </w:t>
    </w:r>
    <w:r w:rsidR="000223EA">
      <w:rPr>
        <w:b/>
        <w:sz w:val="24"/>
        <w:szCs w:val="24"/>
      </w:rPr>
      <w:t>–</w:t>
    </w:r>
    <w:r w:rsidR="00961255">
      <w:rPr>
        <w:b/>
        <w:sz w:val="24"/>
        <w:szCs w:val="24"/>
      </w:rPr>
      <w:t xml:space="preserve"> </w:t>
    </w:r>
    <w:r w:rsidR="000223EA">
      <w:rPr>
        <w:b/>
        <w:sz w:val="24"/>
        <w:szCs w:val="24"/>
      </w:rPr>
      <w:t>DECISION FOR CONSULTATION</w:t>
    </w:r>
  </w:p>
  <w:p w:rsidR="00961255" w:rsidP="00872BEE" w:rsidRDefault="00961255" w14:paraId="59C0E63F" w14:textId="5880CD1A">
    <w:pPr>
      <w:jc w:val="center"/>
      <w:rPr>
        <w:sz w:val="20"/>
      </w:rPr>
    </w:pPr>
    <w:r>
      <w:rPr>
        <w:sz w:val="20"/>
      </w:rPr>
      <w:t>[For incorporation in] Industrial Chemicals Environmental Management Register</w:t>
    </w:r>
  </w:p>
  <w:p w:rsidRPr="00961255" w:rsidR="00C73CF7" w:rsidP="006379D1" w:rsidRDefault="00C73CF7" w14:paraId="18587906" w14:textId="77777777">
    <w:pPr>
      <w:pStyle w:val="Header"/>
      <w:keepNext/>
      <w:keepLines/>
      <w:tabs>
        <w:tab w:val="clear" w:pos="4513"/>
        <w:tab w:val="clear" w:pos="9026"/>
        <w:tab w:val="center" w:pos="4150"/>
        <w:tab w:val="right" w:pos="8307"/>
      </w:tabs>
      <w:spacing w:line="160" w:lineRule="exact"/>
      <w:rPr>
        <w:b/>
        <w:sz w:val="24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TnJvUAyB">
      <int2:state int2:type="AugLoop_Text_Critique" int2:value="Rejected"/>
    </int2:textHash>
    <int2:bookmark int2:bookmarkName="_Int_O8bVfwZD" int2:invalidationBookmarkName="" int2:hashCode="boHKRE3X/Oj/u8" int2:id="Cwrp7FM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C72"/>
    <w:multiLevelType w:val="hybridMultilevel"/>
    <w:tmpl w:val="18583B54"/>
    <w:lvl w:ilvl="0" w:tplc="3A206EE0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0CD8CDEE"/>
    <w:multiLevelType w:val="hybridMultilevel"/>
    <w:tmpl w:val="86C24E56"/>
    <w:lvl w:ilvl="0" w:tplc="8B967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6A8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0C43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2A6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EC8B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06D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3CD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9E0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C43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70C7A"/>
    <w:multiLevelType w:val="hybridMultilevel"/>
    <w:tmpl w:val="D0049F76"/>
    <w:lvl w:ilvl="0" w:tplc="FDDA36C8">
      <w:start w:val="9"/>
      <w:numFmt w:val="lowerLetter"/>
      <w:lvlText w:val="(%1)"/>
      <w:lvlJc w:val="left"/>
      <w:pPr>
        <w:ind w:left="727" w:hanging="360"/>
      </w:pPr>
      <w:rPr>
        <w:rFonts w:hint="default" w:ascii="Calibri" w:hAnsi="Calibri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164A5AEF"/>
    <w:multiLevelType w:val="hybridMultilevel"/>
    <w:tmpl w:val="A1FEF7A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5162DF"/>
    <w:multiLevelType w:val="hybridMultilevel"/>
    <w:tmpl w:val="ABD0FD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5E234B"/>
    <w:multiLevelType w:val="hybridMultilevel"/>
    <w:tmpl w:val="BB82FBD0"/>
    <w:lvl w:ilvl="0" w:tplc="A22045C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20B16453"/>
    <w:multiLevelType w:val="hybridMultilevel"/>
    <w:tmpl w:val="500061F4"/>
    <w:lvl w:ilvl="0" w:tplc="CEFC5070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E4E57"/>
    <w:multiLevelType w:val="hybridMultilevel"/>
    <w:tmpl w:val="581CBB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2A34C3"/>
    <w:multiLevelType w:val="hybridMultilevel"/>
    <w:tmpl w:val="BBDC896E"/>
    <w:lvl w:ilvl="0" w:tplc="0C090001">
      <w:start w:val="1"/>
      <w:numFmt w:val="bullet"/>
      <w:lvlText w:val=""/>
      <w:lvlJc w:val="left"/>
      <w:pPr>
        <w:ind w:left="180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7" w:hanging="360"/>
      </w:pPr>
      <w:rPr>
        <w:rFonts w:hint="default" w:ascii="Wingdings" w:hAnsi="Wingdings"/>
      </w:rPr>
    </w:lvl>
  </w:abstractNum>
  <w:abstractNum w:abstractNumId="9" w15:restartNumberingAfterBreak="0">
    <w:nsid w:val="39036DA5"/>
    <w:multiLevelType w:val="hybridMultilevel"/>
    <w:tmpl w:val="0BF65046"/>
    <w:lvl w:ilvl="0" w:tplc="FFFFFFFF">
      <w:start w:val="1"/>
      <w:numFmt w:val="lowerRoman"/>
      <w:lvlText w:val="(%1)"/>
      <w:lvlJc w:val="left"/>
      <w:pPr>
        <w:ind w:left="1087" w:hanging="72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437D6503"/>
    <w:multiLevelType w:val="hybridMultilevel"/>
    <w:tmpl w:val="3C5043D8"/>
    <w:lvl w:ilvl="0" w:tplc="A3A205B2">
      <w:start w:val="1"/>
      <w:numFmt w:val="lowerRoman"/>
      <w:lvlText w:val="(%1)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ascii="Calibri" w:hAnsi="Calibri" w:eastAsia="Calibri" w:cs="Calibri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03F58"/>
    <w:multiLevelType w:val="hybridMultilevel"/>
    <w:tmpl w:val="B4B4EF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EE93ED"/>
    <w:multiLevelType w:val="hybridMultilevel"/>
    <w:tmpl w:val="1EDC51C6"/>
    <w:lvl w:ilvl="0" w:tplc="AFB669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180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329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22E6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8267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8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0C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5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203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6F1D7A"/>
    <w:multiLevelType w:val="hybridMultilevel"/>
    <w:tmpl w:val="4D40231A"/>
    <w:lvl w:ilvl="0" w:tplc="523E68C2">
      <w:start w:val="2"/>
      <w:numFmt w:val="lowerRoman"/>
      <w:lvlText w:val="(%1)"/>
      <w:lvlJc w:val="left"/>
      <w:pPr>
        <w:ind w:left="1087" w:hanging="720"/>
      </w:pPr>
      <w:rPr>
        <w:rFonts w:hint="default" w:eastAsia="Calibri"/>
      </w:rPr>
    </w:lvl>
    <w:lvl w:ilvl="1" w:tplc="0C090019" w:tentative="1">
      <w:start w:val="1"/>
      <w:numFmt w:val="lowerLetter"/>
      <w:lvlText w:val="%2."/>
      <w:lvlJc w:val="left"/>
      <w:pPr>
        <w:ind w:left="1447" w:hanging="360"/>
      </w:pPr>
    </w:lvl>
    <w:lvl w:ilvl="2" w:tplc="0C09001B" w:tentative="1">
      <w:start w:val="1"/>
      <w:numFmt w:val="lowerRoman"/>
      <w:lvlText w:val="%3."/>
      <w:lvlJc w:val="right"/>
      <w:pPr>
        <w:ind w:left="2167" w:hanging="180"/>
      </w:pPr>
    </w:lvl>
    <w:lvl w:ilvl="3" w:tplc="0C09000F" w:tentative="1">
      <w:start w:val="1"/>
      <w:numFmt w:val="decimal"/>
      <w:lvlText w:val="%4."/>
      <w:lvlJc w:val="left"/>
      <w:pPr>
        <w:ind w:left="2887" w:hanging="360"/>
      </w:pPr>
    </w:lvl>
    <w:lvl w:ilvl="4" w:tplc="0C090019" w:tentative="1">
      <w:start w:val="1"/>
      <w:numFmt w:val="lowerLetter"/>
      <w:lvlText w:val="%5."/>
      <w:lvlJc w:val="left"/>
      <w:pPr>
        <w:ind w:left="3607" w:hanging="360"/>
      </w:pPr>
    </w:lvl>
    <w:lvl w:ilvl="5" w:tplc="0C09001B" w:tentative="1">
      <w:start w:val="1"/>
      <w:numFmt w:val="lowerRoman"/>
      <w:lvlText w:val="%6."/>
      <w:lvlJc w:val="right"/>
      <w:pPr>
        <w:ind w:left="4327" w:hanging="180"/>
      </w:pPr>
    </w:lvl>
    <w:lvl w:ilvl="6" w:tplc="0C09000F" w:tentative="1">
      <w:start w:val="1"/>
      <w:numFmt w:val="decimal"/>
      <w:lvlText w:val="%7."/>
      <w:lvlJc w:val="left"/>
      <w:pPr>
        <w:ind w:left="5047" w:hanging="360"/>
      </w:pPr>
    </w:lvl>
    <w:lvl w:ilvl="7" w:tplc="0C090019" w:tentative="1">
      <w:start w:val="1"/>
      <w:numFmt w:val="lowerLetter"/>
      <w:lvlText w:val="%8."/>
      <w:lvlJc w:val="left"/>
      <w:pPr>
        <w:ind w:left="5767" w:hanging="360"/>
      </w:pPr>
    </w:lvl>
    <w:lvl w:ilvl="8" w:tplc="0C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7834252D"/>
    <w:multiLevelType w:val="hybridMultilevel"/>
    <w:tmpl w:val="FC1A07D6"/>
    <w:lvl w:ilvl="0" w:tplc="0C090001">
      <w:start w:val="1"/>
      <w:numFmt w:val="bullet"/>
      <w:lvlText w:val=""/>
      <w:lvlJc w:val="left"/>
      <w:pPr>
        <w:ind w:left="108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hint="default" w:ascii="Wingdings" w:hAnsi="Wingdings"/>
      </w:rPr>
    </w:lvl>
  </w:abstractNum>
  <w:num w:numId="1" w16cid:durableId="1848059635">
    <w:abstractNumId w:val="2"/>
  </w:num>
  <w:num w:numId="2" w16cid:durableId="232400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327570">
    <w:abstractNumId w:val="14"/>
  </w:num>
  <w:num w:numId="4" w16cid:durableId="1618291869">
    <w:abstractNumId w:val="5"/>
  </w:num>
  <w:num w:numId="5" w16cid:durableId="1220049791">
    <w:abstractNumId w:val="0"/>
  </w:num>
  <w:num w:numId="6" w16cid:durableId="1427382926">
    <w:abstractNumId w:val="11"/>
  </w:num>
  <w:num w:numId="7" w16cid:durableId="904880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148402">
    <w:abstractNumId w:val="4"/>
  </w:num>
  <w:num w:numId="9" w16cid:durableId="982271137">
    <w:abstractNumId w:val="3"/>
  </w:num>
  <w:num w:numId="10" w16cid:durableId="1092892603">
    <w:abstractNumId w:val="7"/>
  </w:num>
  <w:num w:numId="11" w16cid:durableId="136342111">
    <w:abstractNumId w:val="6"/>
  </w:num>
  <w:num w:numId="12" w16cid:durableId="894462876">
    <w:abstractNumId w:val="9"/>
  </w:num>
  <w:num w:numId="13" w16cid:durableId="525101797">
    <w:abstractNumId w:val="8"/>
  </w:num>
  <w:num w:numId="14" w16cid:durableId="198247930">
    <w:abstractNumId w:val="12"/>
  </w:num>
  <w:num w:numId="15" w16cid:durableId="2030716166">
    <w:abstractNumId w:val="13"/>
  </w:num>
  <w:num w:numId="16" w16cid:durableId="130496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83394"/>
    <w:rsid w:val="000068D5"/>
    <w:rsid w:val="000071E5"/>
    <w:rsid w:val="0001393D"/>
    <w:rsid w:val="0001537D"/>
    <w:rsid w:val="00015B0E"/>
    <w:rsid w:val="000223EA"/>
    <w:rsid w:val="0003382F"/>
    <w:rsid w:val="00036132"/>
    <w:rsid w:val="00051D51"/>
    <w:rsid w:val="00060200"/>
    <w:rsid w:val="00060277"/>
    <w:rsid w:val="00060C6B"/>
    <w:rsid w:val="00062AD8"/>
    <w:rsid w:val="00067FA7"/>
    <w:rsid w:val="000707F4"/>
    <w:rsid w:val="00071DFE"/>
    <w:rsid w:val="00076801"/>
    <w:rsid w:val="00080570"/>
    <w:rsid w:val="0008223F"/>
    <w:rsid w:val="00082379"/>
    <w:rsid w:val="00086172"/>
    <w:rsid w:val="000867E9"/>
    <w:rsid w:val="00091C22"/>
    <w:rsid w:val="000940F4"/>
    <w:rsid w:val="00095E80"/>
    <w:rsid w:val="000A1911"/>
    <w:rsid w:val="000A523E"/>
    <w:rsid w:val="000B4741"/>
    <w:rsid w:val="000B5C53"/>
    <w:rsid w:val="000B7BAA"/>
    <w:rsid w:val="000B7EA2"/>
    <w:rsid w:val="000C08A7"/>
    <w:rsid w:val="000C21D9"/>
    <w:rsid w:val="000C2D6B"/>
    <w:rsid w:val="000C4823"/>
    <w:rsid w:val="000D3D5D"/>
    <w:rsid w:val="000E0BBB"/>
    <w:rsid w:val="000E0D60"/>
    <w:rsid w:val="000E641B"/>
    <w:rsid w:val="000E69A9"/>
    <w:rsid w:val="000F2CC1"/>
    <w:rsid w:val="000F3F2D"/>
    <w:rsid w:val="00103C4F"/>
    <w:rsid w:val="00105124"/>
    <w:rsid w:val="00107243"/>
    <w:rsid w:val="001103E2"/>
    <w:rsid w:val="00110AB7"/>
    <w:rsid w:val="0011438C"/>
    <w:rsid w:val="00114C31"/>
    <w:rsid w:val="001176D7"/>
    <w:rsid w:val="00124467"/>
    <w:rsid w:val="00130B66"/>
    <w:rsid w:val="00131E9D"/>
    <w:rsid w:val="0013463C"/>
    <w:rsid w:val="00136C41"/>
    <w:rsid w:val="00146511"/>
    <w:rsid w:val="0015070E"/>
    <w:rsid w:val="00151298"/>
    <w:rsid w:val="00153767"/>
    <w:rsid w:val="001559F2"/>
    <w:rsid w:val="00157FAF"/>
    <w:rsid w:val="00165C91"/>
    <w:rsid w:val="001673ED"/>
    <w:rsid w:val="00177429"/>
    <w:rsid w:val="00181527"/>
    <w:rsid w:val="001815A6"/>
    <w:rsid w:val="00181C01"/>
    <w:rsid w:val="00182C38"/>
    <w:rsid w:val="00183931"/>
    <w:rsid w:val="00183EBE"/>
    <w:rsid w:val="00183F21"/>
    <w:rsid w:val="001851C6"/>
    <w:rsid w:val="0018594B"/>
    <w:rsid w:val="0019236F"/>
    <w:rsid w:val="00193ED7"/>
    <w:rsid w:val="001959F6"/>
    <w:rsid w:val="00195B58"/>
    <w:rsid w:val="00196A3A"/>
    <w:rsid w:val="00197EFC"/>
    <w:rsid w:val="001A0F41"/>
    <w:rsid w:val="001A2DC1"/>
    <w:rsid w:val="001A3F2C"/>
    <w:rsid w:val="001A5A0A"/>
    <w:rsid w:val="001A5F9A"/>
    <w:rsid w:val="001A7FB8"/>
    <w:rsid w:val="001B085D"/>
    <w:rsid w:val="001B2685"/>
    <w:rsid w:val="001B796B"/>
    <w:rsid w:val="001B7A3E"/>
    <w:rsid w:val="001C114A"/>
    <w:rsid w:val="001C52FA"/>
    <w:rsid w:val="001D21FB"/>
    <w:rsid w:val="001D3D3A"/>
    <w:rsid w:val="001D5FD4"/>
    <w:rsid w:val="001E241C"/>
    <w:rsid w:val="001E284E"/>
    <w:rsid w:val="001F2C07"/>
    <w:rsid w:val="001F4573"/>
    <w:rsid w:val="00204E8D"/>
    <w:rsid w:val="002064E8"/>
    <w:rsid w:val="002073B4"/>
    <w:rsid w:val="00213C65"/>
    <w:rsid w:val="00215734"/>
    <w:rsid w:val="002163F9"/>
    <w:rsid w:val="00216B93"/>
    <w:rsid w:val="00220E2B"/>
    <w:rsid w:val="00221194"/>
    <w:rsid w:val="002244C4"/>
    <w:rsid w:val="002279AB"/>
    <w:rsid w:val="00232324"/>
    <w:rsid w:val="00233923"/>
    <w:rsid w:val="00236E69"/>
    <w:rsid w:val="00237C94"/>
    <w:rsid w:val="00244A5A"/>
    <w:rsid w:val="00245476"/>
    <w:rsid w:val="00247970"/>
    <w:rsid w:val="00251611"/>
    <w:rsid w:val="002535A8"/>
    <w:rsid w:val="002565E2"/>
    <w:rsid w:val="00266C80"/>
    <w:rsid w:val="002722AA"/>
    <w:rsid w:val="0027261A"/>
    <w:rsid w:val="0027467A"/>
    <w:rsid w:val="002761C8"/>
    <w:rsid w:val="00280700"/>
    <w:rsid w:val="002819DE"/>
    <w:rsid w:val="00282017"/>
    <w:rsid w:val="00282B1F"/>
    <w:rsid w:val="0028415B"/>
    <w:rsid w:val="00285A49"/>
    <w:rsid w:val="0028703C"/>
    <w:rsid w:val="00294E81"/>
    <w:rsid w:val="00296284"/>
    <w:rsid w:val="002968CB"/>
    <w:rsid w:val="002A0384"/>
    <w:rsid w:val="002A445B"/>
    <w:rsid w:val="002A71F1"/>
    <w:rsid w:val="002B06D6"/>
    <w:rsid w:val="002B3281"/>
    <w:rsid w:val="002B6BF3"/>
    <w:rsid w:val="002B7593"/>
    <w:rsid w:val="002C1669"/>
    <w:rsid w:val="002C20DB"/>
    <w:rsid w:val="002C3276"/>
    <w:rsid w:val="002C3355"/>
    <w:rsid w:val="002C6B19"/>
    <w:rsid w:val="002F4870"/>
    <w:rsid w:val="002F7253"/>
    <w:rsid w:val="00304354"/>
    <w:rsid w:val="0030473C"/>
    <w:rsid w:val="0030591B"/>
    <w:rsid w:val="00315F24"/>
    <w:rsid w:val="00321521"/>
    <w:rsid w:val="00331361"/>
    <w:rsid w:val="0033600C"/>
    <w:rsid w:val="00337487"/>
    <w:rsid w:val="00340550"/>
    <w:rsid w:val="003444D1"/>
    <w:rsid w:val="00345F6A"/>
    <w:rsid w:val="00351BCF"/>
    <w:rsid w:val="00351E4C"/>
    <w:rsid w:val="003520F8"/>
    <w:rsid w:val="00353809"/>
    <w:rsid w:val="00354147"/>
    <w:rsid w:val="00354989"/>
    <w:rsid w:val="0035594F"/>
    <w:rsid w:val="00355973"/>
    <w:rsid w:val="00362A62"/>
    <w:rsid w:val="003645C8"/>
    <w:rsid w:val="0036680B"/>
    <w:rsid w:val="00367403"/>
    <w:rsid w:val="003709FB"/>
    <w:rsid w:val="003732B2"/>
    <w:rsid w:val="00382887"/>
    <w:rsid w:val="00385D65"/>
    <w:rsid w:val="003863E3"/>
    <w:rsid w:val="0038766D"/>
    <w:rsid w:val="00390170"/>
    <w:rsid w:val="00392D23"/>
    <w:rsid w:val="00394874"/>
    <w:rsid w:val="003B2B21"/>
    <w:rsid w:val="003B64A0"/>
    <w:rsid w:val="003B772C"/>
    <w:rsid w:val="003C0A9A"/>
    <w:rsid w:val="003C116B"/>
    <w:rsid w:val="003C397D"/>
    <w:rsid w:val="003C64A0"/>
    <w:rsid w:val="003C65B5"/>
    <w:rsid w:val="003C6DF8"/>
    <w:rsid w:val="003E2389"/>
    <w:rsid w:val="003E2549"/>
    <w:rsid w:val="003E2BDA"/>
    <w:rsid w:val="003E4FFA"/>
    <w:rsid w:val="003E57DD"/>
    <w:rsid w:val="003E681B"/>
    <w:rsid w:val="003E76F5"/>
    <w:rsid w:val="003F67B1"/>
    <w:rsid w:val="003F72D0"/>
    <w:rsid w:val="003F7CAF"/>
    <w:rsid w:val="0040325A"/>
    <w:rsid w:val="00411B79"/>
    <w:rsid w:val="0041253A"/>
    <w:rsid w:val="00413C16"/>
    <w:rsid w:val="00417527"/>
    <w:rsid w:val="00420DF1"/>
    <w:rsid w:val="00430407"/>
    <w:rsid w:val="00432551"/>
    <w:rsid w:val="00433571"/>
    <w:rsid w:val="004408B1"/>
    <w:rsid w:val="004429D5"/>
    <w:rsid w:val="00445DDE"/>
    <w:rsid w:val="00447AF8"/>
    <w:rsid w:val="00453CD3"/>
    <w:rsid w:val="0046048A"/>
    <w:rsid w:val="00461DC5"/>
    <w:rsid w:val="00463143"/>
    <w:rsid w:val="004657F1"/>
    <w:rsid w:val="00467B35"/>
    <w:rsid w:val="00470FBC"/>
    <w:rsid w:val="00471267"/>
    <w:rsid w:val="004718B4"/>
    <w:rsid w:val="004722AC"/>
    <w:rsid w:val="00472B8E"/>
    <w:rsid w:val="0047308A"/>
    <w:rsid w:val="004760E5"/>
    <w:rsid w:val="0047779F"/>
    <w:rsid w:val="00477C3D"/>
    <w:rsid w:val="00481BB4"/>
    <w:rsid w:val="004832C9"/>
    <w:rsid w:val="00484E75"/>
    <w:rsid w:val="00485546"/>
    <w:rsid w:val="00485757"/>
    <w:rsid w:val="0048723E"/>
    <w:rsid w:val="0048742B"/>
    <w:rsid w:val="00487FE1"/>
    <w:rsid w:val="004A536C"/>
    <w:rsid w:val="004A5396"/>
    <w:rsid w:val="004A55B5"/>
    <w:rsid w:val="004B11FA"/>
    <w:rsid w:val="004B3697"/>
    <w:rsid w:val="004B6F09"/>
    <w:rsid w:val="004C494E"/>
    <w:rsid w:val="004C5413"/>
    <w:rsid w:val="004C54E4"/>
    <w:rsid w:val="004C5EDF"/>
    <w:rsid w:val="004D004E"/>
    <w:rsid w:val="004D0CC4"/>
    <w:rsid w:val="004D3353"/>
    <w:rsid w:val="004E2461"/>
    <w:rsid w:val="004E385B"/>
    <w:rsid w:val="004E5301"/>
    <w:rsid w:val="004F1902"/>
    <w:rsid w:val="004F1D06"/>
    <w:rsid w:val="004F39CD"/>
    <w:rsid w:val="0050043C"/>
    <w:rsid w:val="005016DC"/>
    <w:rsid w:val="00502EA4"/>
    <w:rsid w:val="00514F58"/>
    <w:rsid w:val="005223CD"/>
    <w:rsid w:val="00524115"/>
    <w:rsid w:val="00525E64"/>
    <w:rsid w:val="005274E3"/>
    <w:rsid w:val="00531443"/>
    <w:rsid w:val="00535E77"/>
    <w:rsid w:val="00537005"/>
    <w:rsid w:val="005405F8"/>
    <w:rsid w:val="00541A3C"/>
    <w:rsid w:val="00541CA0"/>
    <w:rsid w:val="00544158"/>
    <w:rsid w:val="0055221C"/>
    <w:rsid w:val="005579C7"/>
    <w:rsid w:val="005609C2"/>
    <w:rsid w:val="00574891"/>
    <w:rsid w:val="00575747"/>
    <w:rsid w:val="00577768"/>
    <w:rsid w:val="00581CEF"/>
    <w:rsid w:val="005902C0"/>
    <w:rsid w:val="00596D04"/>
    <w:rsid w:val="005A2950"/>
    <w:rsid w:val="005A4B1F"/>
    <w:rsid w:val="005B0ED2"/>
    <w:rsid w:val="005B1029"/>
    <w:rsid w:val="005B359C"/>
    <w:rsid w:val="005B3D3A"/>
    <w:rsid w:val="005B492D"/>
    <w:rsid w:val="005B668C"/>
    <w:rsid w:val="005B6A11"/>
    <w:rsid w:val="005B739D"/>
    <w:rsid w:val="005C1AB0"/>
    <w:rsid w:val="005C2154"/>
    <w:rsid w:val="005C23BA"/>
    <w:rsid w:val="005C3026"/>
    <w:rsid w:val="005D0301"/>
    <w:rsid w:val="005D14C5"/>
    <w:rsid w:val="005D2AD1"/>
    <w:rsid w:val="005E05DD"/>
    <w:rsid w:val="005E228D"/>
    <w:rsid w:val="005E357D"/>
    <w:rsid w:val="005E44F1"/>
    <w:rsid w:val="005E55A6"/>
    <w:rsid w:val="005E7E28"/>
    <w:rsid w:val="005F0BED"/>
    <w:rsid w:val="005F6BAC"/>
    <w:rsid w:val="00601E8D"/>
    <w:rsid w:val="0060273B"/>
    <w:rsid w:val="00602EE1"/>
    <w:rsid w:val="0060310D"/>
    <w:rsid w:val="00604C54"/>
    <w:rsid w:val="00622823"/>
    <w:rsid w:val="006238DD"/>
    <w:rsid w:val="006261BA"/>
    <w:rsid w:val="00626D67"/>
    <w:rsid w:val="0063253A"/>
    <w:rsid w:val="00634CBA"/>
    <w:rsid w:val="00634E52"/>
    <w:rsid w:val="00637452"/>
    <w:rsid w:val="006379D1"/>
    <w:rsid w:val="00641903"/>
    <w:rsid w:val="00644212"/>
    <w:rsid w:val="006463C1"/>
    <w:rsid w:val="006465AD"/>
    <w:rsid w:val="00650A20"/>
    <w:rsid w:val="00655DD3"/>
    <w:rsid w:val="00661B82"/>
    <w:rsid w:val="00666F01"/>
    <w:rsid w:val="00667AA0"/>
    <w:rsid w:val="00670A60"/>
    <w:rsid w:val="0067257B"/>
    <w:rsid w:val="00682C65"/>
    <w:rsid w:val="00686D2C"/>
    <w:rsid w:val="00687CEF"/>
    <w:rsid w:val="0069407E"/>
    <w:rsid w:val="006A0699"/>
    <w:rsid w:val="006A3B37"/>
    <w:rsid w:val="006A73C3"/>
    <w:rsid w:val="006B15F5"/>
    <w:rsid w:val="006B22E0"/>
    <w:rsid w:val="006B3414"/>
    <w:rsid w:val="006C06D2"/>
    <w:rsid w:val="006C2115"/>
    <w:rsid w:val="006C2DF8"/>
    <w:rsid w:val="006C447E"/>
    <w:rsid w:val="006C68C5"/>
    <w:rsid w:val="006D3A76"/>
    <w:rsid w:val="006D40BA"/>
    <w:rsid w:val="006D44A5"/>
    <w:rsid w:val="006D742F"/>
    <w:rsid w:val="006E694C"/>
    <w:rsid w:val="006E7E56"/>
    <w:rsid w:val="006F0686"/>
    <w:rsid w:val="006F08EF"/>
    <w:rsid w:val="006F27E3"/>
    <w:rsid w:val="006F3073"/>
    <w:rsid w:val="006F3A16"/>
    <w:rsid w:val="00702821"/>
    <w:rsid w:val="00702CFB"/>
    <w:rsid w:val="00703469"/>
    <w:rsid w:val="00705673"/>
    <w:rsid w:val="00707E46"/>
    <w:rsid w:val="00711C91"/>
    <w:rsid w:val="00711F25"/>
    <w:rsid w:val="00712935"/>
    <w:rsid w:val="0071603B"/>
    <w:rsid w:val="0072050E"/>
    <w:rsid w:val="00721071"/>
    <w:rsid w:val="007246BB"/>
    <w:rsid w:val="00725AAF"/>
    <w:rsid w:val="007339FE"/>
    <w:rsid w:val="00735003"/>
    <w:rsid w:val="00744799"/>
    <w:rsid w:val="007457D6"/>
    <w:rsid w:val="00747CE4"/>
    <w:rsid w:val="0075096B"/>
    <w:rsid w:val="00750F51"/>
    <w:rsid w:val="00760456"/>
    <w:rsid w:val="007633E9"/>
    <w:rsid w:val="007654C9"/>
    <w:rsid w:val="00765779"/>
    <w:rsid w:val="00767F01"/>
    <w:rsid w:val="007711D8"/>
    <w:rsid w:val="007718C8"/>
    <w:rsid w:val="00784566"/>
    <w:rsid w:val="00790392"/>
    <w:rsid w:val="00791C05"/>
    <w:rsid w:val="00792386"/>
    <w:rsid w:val="007960E6"/>
    <w:rsid w:val="007A192F"/>
    <w:rsid w:val="007A350A"/>
    <w:rsid w:val="007A6F4C"/>
    <w:rsid w:val="007C46D1"/>
    <w:rsid w:val="007C5D3D"/>
    <w:rsid w:val="007D072C"/>
    <w:rsid w:val="007D1676"/>
    <w:rsid w:val="007D79C3"/>
    <w:rsid w:val="007E0386"/>
    <w:rsid w:val="007E1962"/>
    <w:rsid w:val="007E2C59"/>
    <w:rsid w:val="007E38AC"/>
    <w:rsid w:val="007E4882"/>
    <w:rsid w:val="007E7C5F"/>
    <w:rsid w:val="007F2D96"/>
    <w:rsid w:val="007F3A73"/>
    <w:rsid w:val="007F776B"/>
    <w:rsid w:val="007F7DC2"/>
    <w:rsid w:val="00802799"/>
    <w:rsid w:val="00802DC1"/>
    <w:rsid w:val="008030AF"/>
    <w:rsid w:val="00806B94"/>
    <w:rsid w:val="008072AE"/>
    <w:rsid w:val="008110F4"/>
    <w:rsid w:val="008116BF"/>
    <w:rsid w:val="00813D8F"/>
    <w:rsid w:val="00814989"/>
    <w:rsid w:val="008201E1"/>
    <w:rsid w:val="00821563"/>
    <w:rsid w:val="00823D32"/>
    <w:rsid w:val="00824F04"/>
    <w:rsid w:val="008253D4"/>
    <w:rsid w:val="008325B3"/>
    <w:rsid w:val="00835259"/>
    <w:rsid w:val="00835899"/>
    <w:rsid w:val="00841726"/>
    <w:rsid w:val="00841D66"/>
    <w:rsid w:val="00846317"/>
    <w:rsid w:val="008509D1"/>
    <w:rsid w:val="00850FC2"/>
    <w:rsid w:val="008537B3"/>
    <w:rsid w:val="00853DFC"/>
    <w:rsid w:val="008543C2"/>
    <w:rsid w:val="00854BED"/>
    <w:rsid w:val="008571B9"/>
    <w:rsid w:val="00857D5B"/>
    <w:rsid w:val="0086098A"/>
    <w:rsid w:val="0086397F"/>
    <w:rsid w:val="008641DD"/>
    <w:rsid w:val="00870AD7"/>
    <w:rsid w:val="00871BC5"/>
    <w:rsid w:val="008722B4"/>
    <w:rsid w:val="00872BEE"/>
    <w:rsid w:val="008739A2"/>
    <w:rsid w:val="00874413"/>
    <w:rsid w:val="008757FF"/>
    <w:rsid w:val="0088420A"/>
    <w:rsid w:val="00885E68"/>
    <w:rsid w:val="00886A80"/>
    <w:rsid w:val="00891918"/>
    <w:rsid w:val="00894BB1"/>
    <w:rsid w:val="0089711F"/>
    <w:rsid w:val="008B021C"/>
    <w:rsid w:val="008B37A4"/>
    <w:rsid w:val="008D1082"/>
    <w:rsid w:val="008D44CD"/>
    <w:rsid w:val="008E2699"/>
    <w:rsid w:val="008E4A58"/>
    <w:rsid w:val="008E53DE"/>
    <w:rsid w:val="008E6B47"/>
    <w:rsid w:val="008E78BD"/>
    <w:rsid w:val="008F1E01"/>
    <w:rsid w:val="008F46D9"/>
    <w:rsid w:val="008F4FA5"/>
    <w:rsid w:val="009024E7"/>
    <w:rsid w:val="00903F33"/>
    <w:rsid w:val="00904091"/>
    <w:rsid w:val="00914F46"/>
    <w:rsid w:val="0091726E"/>
    <w:rsid w:val="00922159"/>
    <w:rsid w:val="00930FD2"/>
    <w:rsid w:val="009312E4"/>
    <w:rsid w:val="00932FBE"/>
    <w:rsid w:val="00934639"/>
    <w:rsid w:val="00934B66"/>
    <w:rsid w:val="00934DA2"/>
    <w:rsid w:val="00941E8E"/>
    <w:rsid w:val="009464FA"/>
    <w:rsid w:val="009513EC"/>
    <w:rsid w:val="0095553C"/>
    <w:rsid w:val="00957011"/>
    <w:rsid w:val="0095742A"/>
    <w:rsid w:val="00961255"/>
    <w:rsid w:val="009616A6"/>
    <w:rsid w:val="009618BE"/>
    <w:rsid w:val="00964559"/>
    <w:rsid w:val="00966EB0"/>
    <w:rsid w:val="0098522D"/>
    <w:rsid w:val="0099018E"/>
    <w:rsid w:val="009916A5"/>
    <w:rsid w:val="009927F7"/>
    <w:rsid w:val="00992CB3"/>
    <w:rsid w:val="009A0B36"/>
    <w:rsid w:val="009A4846"/>
    <w:rsid w:val="009B6C78"/>
    <w:rsid w:val="009B6F12"/>
    <w:rsid w:val="009B778B"/>
    <w:rsid w:val="009C196B"/>
    <w:rsid w:val="009C3452"/>
    <w:rsid w:val="009C4086"/>
    <w:rsid w:val="009C537A"/>
    <w:rsid w:val="009C55F0"/>
    <w:rsid w:val="009C5F6B"/>
    <w:rsid w:val="009C6146"/>
    <w:rsid w:val="009D06BE"/>
    <w:rsid w:val="009D0814"/>
    <w:rsid w:val="009D240C"/>
    <w:rsid w:val="009D3160"/>
    <w:rsid w:val="009D3EA7"/>
    <w:rsid w:val="009D6F9A"/>
    <w:rsid w:val="009D7C7F"/>
    <w:rsid w:val="009F0F5D"/>
    <w:rsid w:val="009F1D0E"/>
    <w:rsid w:val="009F2626"/>
    <w:rsid w:val="00A02D2A"/>
    <w:rsid w:val="00A0424F"/>
    <w:rsid w:val="00A050AA"/>
    <w:rsid w:val="00A05711"/>
    <w:rsid w:val="00A11E4F"/>
    <w:rsid w:val="00A12DE2"/>
    <w:rsid w:val="00A204DC"/>
    <w:rsid w:val="00A2128A"/>
    <w:rsid w:val="00A23914"/>
    <w:rsid w:val="00A25317"/>
    <w:rsid w:val="00A3394B"/>
    <w:rsid w:val="00A46E0B"/>
    <w:rsid w:val="00A47B22"/>
    <w:rsid w:val="00A527DA"/>
    <w:rsid w:val="00A634B7"/>
    <w:rsid w:val="00A64854"/>
    <w:rsid w:val="00A64D32"/>
    <w:rsid w:val="00A65789"/>
    <w:rsid w:val="00A701E6"/>
    <w:rsid w:val="00A826EC"/>
    <w:rsid w:val="00A84A54"/>
    <w:rsid w:val="00A856A8"/>
    <w:rsid w:val="00A939C1"/>
    <w:rsid w:val="00A9411C"/>
    <w:rsid w:val="00A96E7C"/>
    <w:rsid w:val="00AA1A02"/>
    <w:rsid w:val="00AA4271"/>
    <w:rsid w:val="00AA475D"/>
    <w:rsid w:val="00AB500B"/>
    <w:rsid w:val="00AB5A09"/>
    <w:rsid w:val="00AB703B"/>
    <w:rsid w:val="00AB724E"/>
    <w:rsid w:val="00AC74F6"/>
    <w:rsid w:val="00AD0804"/>
    <w:rsid w:val="00AD222B"/>
    <w:rsid w:val="00AD2E27"/>
    <w:rsid w:val="00AD4B94"/>
    <w:rsid w:val="00AE0044"/>
    <w:rsid w:val="00AE361E"/>
    <w:rsid w:val="00AE3864"/>
    <w:rsid w:val="00AF22A7"/>
    <w:rsid w:val="00AF259C"/>
    <w:rsid w:val="00AF6BD7"/>
    <w:rsid w:val="00B01AD9"/>
    <w:rsid w:val="00B02733"/>
    <w:rsid w:val="00B0349E"/>
    <w:rsid w:val="00B067BF"/>
    <w:rsid w:val="00B1185F"/>
    <w:rsid w:val="00B13DD1"/>
    <w:rsid w:val="00B153DA"/>
    <w:rsid w:val="00B167F2"/>
    <w:rsid w:val="00B215B2"/>
    <w:rsid w:val="00B227EA"/>
    <w:rsid w:val="00B2559F"/>
    <w:rsid w:val="00B2615C"/>
    <w:rsid w:val="00B30B3A"/>
    <w:rsid w:val="00B3271F"/>
    <w:rsid w:val="00B32F66"/>
    <w:rsid w:val="00B3517B"/>
    <w:rsid w:val="00B40D92"/>
    <w:rsid w:val="00B43072"/>
    <w:rsid w:val="00B448C2"/>
    <w:rsid w:val="00B44E7A"/>
    <w:rsid w:val="00B47DAB"/>
    <w:rsid w:val="00B53F9A"/>
    <w:rsid w:val="00B54A1C"/>
    <w:rsid w:val="00B71192"/>
    <w:rsid w:val="00B74058"/>
    <w:rsid w:val="00B87557"/>
    <w:rsid w:val="00B90E8E"/>
    <w:rsid w:val="00B9287B"/>
    <w:rsid w:val="00B93704"/>
    <w:rsid w:val="00B93936"/>
    <w:rsid w:val="00B96829"/>
    <w:rsid w:val="00BA0510"/>
    <w:rsid w:val="00BA47B9"/>
    <w:rsid w:val="00BA6719"/>
    <w:rsid w:val="00BA6B59"/>
    <w:rsid w:val="00BB13D4"/>
    <w:rsid w:val="00BB7695"/>
    <w:rsid w:val="00BC3751"/>
    <w:rsid w:val="00BC473A"/>
    <w:rsid w:val="00BC537A"/>
    <w:rsid w:val="00BC6507"/>
    <w:rsid w:val="00BC6744"/>
    <w:rsid w:val="00BC76D1"/>
    <w:rsid w:val="00BD2509"/>
    <w:rsid w:val="00BD2B9B"/>
    <w:rsid w:val="00BD5FA5"/>
    <w:rsid w:val="00BD7E70"/>
    <w:rsid w:val="00BE10E5"/>
    <w:rsid w:val="00BE4239"/>
    <w:rsid w:val="00C00E6A"/>
    <w:rsid w:val="00C12BC2"/>
    <w:rsid w:val="00C1392B"/>
    <w:rsid w:val="00C15DDC"/>
    <w:rsid w:val="00C22E31"/>
    <w:rsid w:val="00C258CF"/>
    <w:rsid w:val="00C25F17"/>
    <w:rsid w:val="00C31698"/>
    <w:rsid w:val="00C31FCA"/>
    <w:rsid w:val="00C31FFC"/>
    <w:rsid w:val="00C3455A"/>
    <w:rsid w:val="00C354C6"/>
    <w:rsid w:val="00C41D6B"/>
    <w:rsid w:val="00C42182"/>
    <w:rsid w:val="00C44F75"/>
    <w:rsid w:val="00C47373"/>
    <w:rsid w:val="00C50AC1"/>
    <w:rsid w:val="00C55033"/>
    <w:rsid w:val="00C55381"/>
    <w:rsid w:val="00C62FF9"/>
    <w:rsid w:val="00C67DA8"/>
    <w:rsid w:val="00C70ED9"/>
    <w:rsid w:val="00C73CF7"/>
    <w:rsid w:val="00C76482"/>
    <w:rsid w:val="00C802BF"/>
    <w:rsid w:val="00C81A1E"/>
    <w:rsid w:val="00C90968"/>
    <w:rsid w:val="00C909A4"/>
    <w:rsid w:val="00C930C9"/>
    <w:rsid w:val="00C94821"/>
    <w:rsid w:val="00C948F9"/>
    <w:rsid w:val="00CA4981"/>
    <w:rsid w:val="00CB0E7C"/>
    <w:rsid w:val="00CB3F9E"/>
    <w:rsid w:val="00CC760A"/>
    <w:rsid w:val="00CD08B3"/>
    <w:rsid w:val="00CD254A"/>
    <w:rsid w:val="00CD3619"/>
    <w:rsid w:val="00CD4FF6"/>
    <w:rsid w:val="00CD610B"/>
    <w:rsid w:val="00CD7457"/>
    <w:rsid w:val="00CD7EA1"/>
    <w:rsid w:val="00CE0C7F"/>
    <w:rsid w:val="00CE5EF0"/>
    <w:rsid w:val="00CE639A"/>
    <w:rsid w:val="00CE73DF"/>
    <w:rsid w:val="00CF3AEA"/>
    <w:rsid w:val="00CF3C8D"/>
    <w:rsid w:val="00CF6B7F"/>
    <w:rsid w:val="00CF718E"/>
    <w:rsid w:val="00CF7F9B"/>
    <w:rsid w:val="00D00B60"/>
    <w:rsid w:val="00D0473D"/>
    <w:rsid w:val="00D0686C"/>
    <w:rsid w:val="00D116AA"/>
    <w:rsid w:val="00D1485B"/>
    <w:rsid w:val="00D15E18"/>
    <w:rsid w:val="00D216F8"/>
    <w:rsid w:val="00D257BE"/>
    <w:rsid w:val="00D264AD"/>
    <w:rsid w:val="00D30F87"/>
    <w:rsid w:val="00D31389"/>
    <w:rsid w:val="00D33840"/>
    <w:rsid w:val="00D35D4A"/>
    <w:rsid w:val="00D40E93"/>
    <w:rsid w:val="00D42F3C"/>
    <w:rsid w:val="00D4309B"/>
    <w:rsid w:val="00D442BB"/>
    <w:rsid w:val="00D44CA2"/>
    <w:rsid w:val="00D46FE7"/>
    <w:rsid w:val="00D4706D"/>
    <w:rsid w:val="00D47B3D"/>
    <w:rsid w:val="00D555B9"/>
    <w:rsid w:val="00D63A98"/>
    <w:rsid w:val="00D64E87"/>
    <w:rsid w:val="00D6CFAB"/>
    <w:rsid w:val="00D71EC6"/>
    <w:rsid w:val="00D74A69"/>
    <w:rsid w:val="00D74C49"/>
    <w:rsid w:val="00D75B2F"/>
    <w:rsid w:val="00D75BAC"/>
    <w:rsid w:val="00D8349D"/>
    <w:rsid w:val="00D84C42"/>
    <w:rsid w:val="00D86359"/>
    <w:rsid w:val="00D8709F"/>
    <w:rsid w:val="00D87BF9"/>
    <w:rsid w:val="00D90A68"/>
    <w:rsid w:val="00DA711A"/>
    <w:rsid w:val="00DA754F"/>
    <w:rsid w:val="00DB1FB2"/>
    <w:rsid w:val="00DB2B4F"/>
    <w:rsid w:val="00DB33A0"/>
    <w:rsid w:val="00DB4691"/>
    <w:rsid w:val="00DB65AA"/>
    <w:rsid w:val="00DD086E"/>
    <w:rsid w:val="00DD0EC1"/>
    <w:rsid w:val="00DE352B"/>
    <w:rsid w:val="00DE42CD"/>
    <w:rsid w:val="00DE45BD"/>
    <w:rsid w:val="00DE627E"/>
    <w:rsid w:val="00DF1B64"/>
    <w:rsid w:val="00DF2569"/>
    <w:rsid w:val="00DF39FE"/>
    <w:rsid w:val="00DF3D6F"/>
    <w:rsid w:val="00E00D95"/>
    <w:rsid w:val="00E0697B"/>
    <w:rsid w:val="00E072D7"/>
    <w:rsid w:val="00E072F8"/>
    <w:rsid w:val="00E0764C"/>
    <w:rsid w:val="00E11F2F"/>
    <w:rsid w:val="00E16A8D"/>
    <w:rsid w:val="00E16C91"/>
    <w:rsid w:val="00E177CD"/>
    <w:rsid w:val="00E179FD"/>
    <w:rsid w:val="00E23CB4"/>
    <w:rsid w:val="00E241C1"/>
    <w:rsid w:val="00E247D7"/>
    <w:rsid w:val="00E25FCE"/>
    <w:rsid w:val="00E31411"/>
    <w:rsid w:val="00E31E05"/>
    <w:rsid w:val="00E340E7"/>
    <w:rsid w:val="00E3727E"/>
    <w:rsid w:val="00E407FF"/>
    <w:rsid w:val="00E52544"/>
    <w:rsid w:val="00E52D3F"/>
    <w:rsid w:val="00E60565"/>
    <w:rsid w:val="00E60997"/>
    <w:rsid w:val="00E6140D"/>
    <w:rsid w:val="00E63296"/>
    <w:rsid w:val="00E63523"/>
    <w:rsid w:val="00E65344"/>
    <w:rsid w:val="00E6572D"/>
    <w:rsid w:val="00E755B0"/>
    <w:rsid w:val="00E7579F"/>
    <w:rsid w:val="00E93F7F"/>
    <w:rsid w:val="00EA221B"/>
    <w:rsid w:val="00EA34E6"/>
    <w:rsid w:val="00EA7727"/>
    <w:rsid w:val="00EB6B29"/>
    <w:rsid w:val="00EB6EF4"/>
    <w:rsid w:val="00EB7CED"/>
    <w:rsid w:val="00EC19B8"/>
    <w:rsid w:val="00EC1C09"/>
    <w:rsid w:val="00EC3F31"/>
    <w:rsid w:val="00EC6B8B"/>
    <w:rsid w:val="00EC7B05"/>
    <w:rsid w:val="00ED42BF"/>
    <w:rsid w:val="00ED447C"/>
    <w:rsid w:val="00ED4C58"/>
    <w:rsid w:val="00ED5B80"/>
    <w:rsid w:val="00ED6B22"/>
    <w:rsid w:val="00ED7A56"/>
    <w:rsid w:val="00EE18C5"/>
    <w:rsid w:val="00EE1F34"/>
    <w:rsid w:val="00EE4DFA"/>
    <w:rsid w:val="00EF2F75"/>
    <w:rsid w:val="00EF3D36"/>
    <w:rsid w:val="00EF6AD8"/>
    <w:rsid w:val="00F02372"/>
    <w:rsid w:val="00F02BB5"/>
    <w:rsid w:val="00F054FD"/>
    <w:rsid w:val="00F1007C"/>
    <w:rsid w:val="00F1197A"/>
    <w:rsid w:val="00F12D48"/>
    <w:rsid w:val="00F1571E"/>
    <w:rsid w:val="00F1675A"/>
    <w:rsid w:val="00F17A1B"/>
    <w:rsid w:val="00F17B4E"/>
    <w:rsid w:val="00F2230A"/>
    <w:rsid w:val="00F32536"/>
    <w:rsid w:val="00F3328B"/>
    <w:rsid w:val="00F3421C"/>
    <w:rsid w:val="00F347B1"/>
    <w:rsid w:val="00F35D8A"/>
    <w:rsid w:val="00F3719F"/>
    <w:rsid w:val="00F43A91"/>
    <w:rsid w:val="00F441CD"/>
    <w:rsid w:val="00F46173"/>
    <w:rsid w:val="00F500BB"/>
    <w:rsid w:val="00F556A9"/>
    <w:rsid w:val="00F563CF"/>
    <w:rsid w:val="00F56585"/>
    <w:rsid w:val="00F614D4"/>
    <w:rsid w:val="00F61F1F"/>
    <w:rsid w:val="00F661F8"/>
    <w:rsid w:val="00F7034D"/>
    <w:rsid w:val="00F73C9F"/>
    <w:rsid w:val="00F76169"/>
    <w:rsid w:val="00F80B4D"/>
    <w:rsid w:val="00F80CD7"/>
    <w:rsid w:val="00F86F9F"/>
    <w:rsid w:val="00F87F3B"/>
    <w:rsid w:val="00F91CFC"/>
    <w:rsid w:val="00F93DDE"/>
    <w:rsid w:val="00F948E6"/>
    <w:rsid w:val="00F94DDA"/>
    <w:rsid w:val="00F951E1"/>
    <w:rsid w:val="00F963BD"/>
    <w:rsid w:val="00FA1C64"/>
    <w:rsid w:val="00FA3E68"/>
    <w:rsid w:val="00FB7BCD"/>
    <w:rsid w:val="00FC0E61"/>
    <w:rsid w:val="00FC3605"/>
    <w:rsid w:val="00FC4152"/>
    <w:rsid w:val="00FC537E"/>
    <w:rsid w:val="00FD5988"/>
    <w:rsid w:val="00FD5C14"/>
    <w:rsid w:val="00FE037C"/>
    <w:rsid w:val="00FF01C8"/>
    <w:rsid w:val="00FF219A"/>
    <w:rsid w:val="00FF395F"/>
    <w:rsid w:val="00FF6FED"/>
    <w:rsid w:val="012845A4"/>
    <w:rsid w:val="01688E50"/>
    <w:rsid w:val="01A5D2FF"/>
    <w:rsid w:val="0242A6E6"/>
    <w:rsid w:val="02BAF5A7"/>
    <w:rsid w:val="02CE7D84"/>
    <w:rsid w:val="02EE1286"/>
    <w:rsid w:val="02F506F9"/>
    <w:rsid w:val="033A8AAF"/>
    <w:rsid w:val="0347EE43"/>
    <w:rsid w:val="037FEF37"/>
    <w:rsid w:val="03A2490F"/>
    <w:rsid w:val="03A3BCCF"/>
    <w:rsid w:val="03B8F81A"/>
    <w:rsid w:val="03BE14D4"/>
    <w:rsid w:val="03C02881"/>
    <w:rsid w:val="03D5559E"/>
    <w:rsid w:val="040C33A7"/>
    <w:rsid w:val="04111A8C"/>
    <w:rsid w:val="04782B89"/>
    <w:rsid w:val="04AE2E86"/>
    <w:rsid w:val="04D5D563"/>
    <w:rsid w:val="04E21EB6"/>
    <w:rsid w:val="04FC5DAB"/>
    <w:rsid w:val="0518396E"/>
    <w:rsid w:val="052244CD"/>
    <w:rsid w:val="05997A27"/>
    <w:rsid w:val="05B8AFBC"/>
    <w:rsid w:val="05D0BE05"/>
    <w:rsid w:val="05F77F43"/>
    <w:rsid w:val="07303820"/>
    <w:rsid w:val="07DC8352"/>
    <w:rsid w:val="08269D3F"/>
    <w:rsid w:val="08428DC9"/>
    <w:rsid w:val="0867C13F"/>
    <w:rsid w:val="0897504A"/>
    <w:rsid w:val="08A3E864"/>
    <w:rsid w:val="08D21EF9"/>
    <w:rsid w:val="08F9DEBC"/>
    <w:rsid w:val="09C077B1"/>
    <w:rsid w:val="0A33B406"/>
    <w:rsid w:val="0A532596"/>
    <w:rsid w:val="0AD05A54"/>
    <w:rsid w:val="0B17AC4A"/>
    <w:rsid w:val="0B1D84C5"/>
    <w:rsid w:val="0B425DAE"/>
    <w:rsid w:val="0B51E509"/>
    <w:rsid w:val="0BB7FC3E"/>
    <w:rsid w:val="0C63A874"/>
    <w:rsid w:val="0CB6A603"/>
    <w:rsid w:val="0CBE640E"/>
    <w:rsid w:val="0D3F5365"/>
    <w:rsid w:val="0DC666E4"/>
    <w:rsid w:val="0E3E6D85"/>
    <w:rsid w:val="0E69C898"/>
    <w:rsid w:val="0E736DF3"/>
    <w:rsid w:val="0EA64BAE"/>
    <w:rsid w:val="0EC3447A"/>
    <w:rsid w:val="0EF9A980"/>
    <w:rsid w:val="0F371031"/>
    <w:rsid w:val="0F993279"/>
    <w:rsid w:val="0FB7E73E"/>
    <w:rsid w:val="0FEEC729"/>
    <w:rsid w:val="102EC36B"/>
    <w:rsid w:val="1075AA76"/>
    <w:rsid w:val="107B6F25"/>
    <w:rsid w:val="10BA2EB7"/>
    <w:rsid w:val="10C4DB04"/>
    <w:rsid w:val="11031423"/>
    <w:rsid w:val="11383394"/>
    <w:rsid w:val="11B83817"/>
    <w:rsid w:val="11F4BD92"/>
    <w:rsid w:val="11F7DC91"/>
    <w:rsid w:val="1234A535"/>
    <w:rsid w:val="1242E2B4"/>
    <w:rsid w:val="1278D24F"/>
    <w:rsid w:val="136890F6"/>
    <w:rsid w:val="137A8906"/>
    <w:rsid w:val="13908DF3"/>
    <w:rsid w:val="147CF2EC"/>
    <w:rsid w:val="147DB2F4"/>
    <w:rsid w:val="15610621"/>
    <w:rsid w:val="157E1270"/>
    <w:rsid w:val="15A235BC"/>
    <w:rsid w:val="15E92083"/>
    <w:rsid w:val="1624E3F4"/>
    <w:rsid w:val="162E1B5B"/>
    <w:rsid w:val="1661858C"/>
    <w:rsid w:val="168BA93A"/>
    <w:rsid w:val="16BDCBB0"/>
    <w:rsid w:val="16C82EB5"/>
    <w:rsid w:val="16D2DF40"/>
    <w:rsid w:val="1717B632"/>
    <w:rsid w:val="172B1823"/>
    <w:rsid w:val="178594C5"/>
    <w:rsid w:val="17B574C7"/>
    <w:rsid w:val="18352C06"/>
    <w:rsid w:val="1860029B"/>
    <w:rsid w:val="187F6FC8"/>
    <w:rsid w:val="18C1715E"/>
    <w:rsid w:val="193047DC"/>
    <w:rsid w:val="19E2A357"/>
    <w:rsid w:val="19F6F476"/>
    <w:rsid w:val="1A8B56F8"/>
    <w:rsid w:val="1A8DD413"/>
    <w:rsid w:val="1ABF8C6E"/>
    <w:rsid w:val="1B418E3E"/>
    <w:rsid w:val="1BAE2FF9"/>
    <w:rsid w:val="1BD00EDF"/>
    <w:rsid w:val="1BD504D2"/>
    <w:rsid w:val="1BDA60C8"/>
    <w:rsid w:val="1BE204CC"/>
    <w:rsid w:val="1CF17D3F"/>
    <w:rsid w:val="1D809875"/>
    <w:rsid w:val="1DFF9B6F"/>
    <w:rsid w:val="1E1AF630"/>
    <w:rsid w:val="1E1C69D7"/>
    <w:rsid w:val="1E27EE40"/>
    <w:rsid w:val="1E3D31E2"/>
    <w:rsid w:val="1F0190E0"/>
    <w:rsid w:val="1F257B43"/>
    <w:rsid w:val="1F2E621F"/>
    <w:rsid w:val="1FBBDC8D"/>
    <w:rsid w:val="1FC2BB94"/>
    <w:rsid w:val="20196323"/>
    <w:rsid w:val="20A260C6"/>
    <w:rsid w:val="215F0598"/>
    <w:rsid w:val="21D40CFD"/>
    <w:rsid w:val="2295CB59"/>
    <w:rsid w:val="22B51498"/>
    <w:rsid w:val="230F718D"/>
    <w:rsid w:val="2322F609"/>
    <w:rsid w:val="233C876E"/>
    <w:rsid w:val="235813A3"/>
    <w:rsid w:val="23CF58A8"/>
    <w:rsid w:val="23E241C6"/>
    <w:rsid w:val="24A15925"/>
    <w:rsid w:val="24AD0BF0"/>
    <w:rsid w:val="251F676F"/>
    <w:rsid w:val="254D2569"/>
    <w:rsid w:val="25509AC6"/>
    <w:rsid w:val="255FE83C"/>
    <w:rsid w:val="257E1227"/>
    <w:rsid w:val="2594F08B"/>
    <w:rsid w:val="26025723"/>
    <w:rsid w:val="261902E9"/>
    <w:rsid w:val="261AB9A2"/>
    <w:rsid w:val="2645C09C"/>
    <w:rsid w:val="2667250D"/>
    <w:rsid w:val="266C9262"/>
    <w:rsid w:val="2684C508"/>
    <w:rsid w:val="270DC83A"/>
    <w:rsid w:val="272ED197"/>
    <w:rsid w:val="27316B31"/>
    <w:rsid w:val="2746E23A"/>
    <w:rsid w:val="27B75927"/>
    <w:rsid w:val="27ECAB72"/>
    <w:rsid w:val="27F08335"/>
    <w:rsid w:val="27F3D129"/>
    <w:rsid w:val="288A4773"/>
    <w:rsid w:val="28922418"/>
    <w:rsid w:val="29236B84"/>
    <w:rsid w:val="293B4AA9"/>
    <w:rsid w:val="29499676"/>
    <w:rsid w:val="2955FE11"/>
    <w:rsid w:val="295D049D"/>
    <w:rsid w:val="29DC133D"/>
    <w:rsid w:val="2A1D0BC0"/>
    <w:rsid w:val="2A849904"/>
    <w:rsid w:val="2A8DCA76"/>
    <w:rsid w:val="2ABEAE81"/>
    <w:rsid w:val="2AE4BD10"/>
    <w:rsid w:val="2AF7E6F6"/>
    <w:rsid w:val="2B9C8508"/>
    <w:rsid w:val="2BD2003F"/>
    <w:rsid w:val="2CF3ACB3"/>
    <w:rsid w:val="2D1BFBF5"/>
    <w:rsid w:val="2D29467C"/>
    <w:rsid w:val="2D385569"/>
    <w:rsid w:val="2DFD5029"/>
    <w:rsid w:val="2E54D93F"/>
    <w:rsid w:val="2E6D94B6"/>
    <w:rsid w:val="2EEBD2C6"/>
    <w:rsid w:val="2F0B72F6"/>
    <w:rsid w:val="2F10D002"/>
    <w:rsid w:val="2F24281A"/>
    <w:rsid w:val="2F34AA3B"/>
    <w:rsid w:val="2F5112A0"/>
    <w:rsid w:val="2F7BD976"/>
    <w:rsid w:val="2FCB18EE"/>
    <w:rsid w:val="2FDDFBB2"/>
    <w:rsid w:val="2FFD2E98"/>
    <w:rsid w:val="301F58D2"/>
    <w:rsid w:val="3029D306"/>
    <w:rsid w:val="306F71C4"/>
    <w:rsid w:val="307156AE"/>
    <w:rsid w:val="30AA9AA8"/>
    <w:rsid w:val="30BFBBAC"/>
    <w:rsid w:val="3146FB7F"/>
    <w:rsid w:val="3166E94F"/>
    <w:rsid w:val="318EA51F"/>
    <w:rsid w:val="320BC68C"/>
    <w:rsid w:val="320CF7F2"/>
    <w:rsid w:val="32237084"/>
    <w:rsid w:val="32738129"/>
    <w:rsid w:val="32C61E37"/>
    <w:rsid w:val="32CBDE85"/>
    <w:rsid w:val="32F9B82A"/>
    <w:rsid w:val="332AAFB3"/>
    <w:rsid w:val="3438AC1D"/>
    <w:rsid w:val="34E29113"/>
    <w:rsid w:val="34F14331"/>
    <w:rsid w:val="354336EE"/>
    <w:rsid w:val="354A0750"/>
    <w:rsid w:val="3565A915"/>
    <w:rsid w:val="35A1F7BC"/>
    <w:rsid w:val="362C83D0"/>
    <w:rsid w:val="36B2FE2B"/>
    <w:rsid w:val="371137C5"/>
    <w:rsid w:val="37796307"/>
    <w:rsid w:val="37A1DCA4"/>
    <w:rsid w:val="37A656EA"/>
    <w:rsid w:val="3840AFC6"/>
    <w:rsid w:val="38656719"/>
    <w:rsid w:val="38673977"/>
    <w:rsid w:val="3882841E"/>
    <w:rsid w:val="38870FB6"/>
    <w:rsid w:val="38AB0B99"/>
    <w:rsid w:val="38AD5C19"/>
    <w:rsid w:val="38C1906C"/>
    <w:rsid w:val="38E2B96D"/>
    <w:rsid w:val="390A4C75"/>
    <w:rsid w:val="398A796F"/>
    <w:rsid w:val="39BF3DA3"/>
    <w:rsid w:val="3A65BE27"/>
    <w:rsid w:val="3AFB2D29"/>
    <w:rsid w:val="3B4759A5"/>
    <w:rsid w:val="3B68B98C"/>
    <w:rsid w:val="3BA58123"/>
    <w:rsid w:val="3C3489AC"/>
    <w:rsid w:val="3C7199A1"/>
    <w:rsid w:val="3CF3B98D"/>
    <w:rsid w:val="3CF477E1"/>
    <w:rsid w:val="3D75247D"/>
    <w:rsid w:val="3DABAA8B"/>
    <w:rsid w:val="3DC7909E"/>
    <w:rsid w:val="3E1FDFAB"/>
    <w:rsid w:val="3E5CE612"/>
    <w:rsid w:val="3E960DD9"/>
    <w:rsid w:val="3EB15FF5"/>
    <w:rsid w:val="3EB82113"/>
    <w:rsid w:val="3EDF1693"/>
    <w:rsid w:val="3F6360FF"/>
    <w:rsid w:val="3F6C1E37"/>
    <w:rsid w:val="3F7013DF"/>
    <w:rsid w:val="3FA06403"/>
    <w:rsid w:val="3FA9CAEB"/>
    <w:rsid w:val="3FB0C774"/>
    <w:rsid w:val="3FB64AD8"/>
    <w:rsid w:val="3FF2DD88"/>
    <w:rsid w:val="402C18A3"/>
    <w:rsid w:val="4049E0FF"/>
    <w:rsid w:val="4071520B"/>
    <w:rsid w:val="40836B68"/>
    <w:rsid w:val="40CB8D96"/>
    <w:rsid w:val="411CE1C4"/>
    <w:rsid w:val="41360E98"/>
    <w:rsid w:val="415C8911"/>
    <w:rsid w:val="41840BCD"/>
    <w:rsid w:val="418EADE9"/>
    <w:rsid w:val="41CFA2BE"/>
    <w:rsid w:val="42746FCA"/>
    <w:rsid w:val="42998C8C"/>
    <w:rsid w:val="42F42E27"/>
    <w:rsid w:val="4362429E"/>
    <w:rsid w:val="43E90E34"/>
    <w:rsid w:val="43FD8CFA"/>
    <w:rsid w:val="440B171F"/>
    <w:rsid w:val="440D1DC7"/>
    <w:rsid w:val="440E3E3F"/>
    <w:rsid w:val="445021C7"/>
    <w:rsid w:val="445D2E47"/>
    <w:rsid w:val="449614CB"/>
    <w:rsid w:val="44DA2C7B"/>
    <w:rsid w:val="45EAD3F0"/>
    <w:rsid w:val="45F63A79"/>
    <w:rsid w:val="461C5F12"/>
    <w:rsid w:val="46417D45"/>
    <w:rsid w:val="46B34187"/>
    <w:rsid w:val="4726175E"/>
    <w:rsid w:val="47293526"/>
    <w:rsid w:val="472B18D2"/>
    <w:rsid w:val="47833127"/>
    <w:rsid w:val="47AE355C"/>
    <w:rsid w:val="4817B662"/>
    <w:rsid w:val="482943FD"/>
    <w:rsid w:val="4860A8E7"/>
    <w:rsid w:val="48A1A3EF"/>
    <w:rsid w:val="48A738AB"/>
    <w:rsid w:val="496BC670"/>
    <w:rsid w:val="496F7EEE"/>
    <w:rsid w:val="49E978F6"/>
    <w:rsid w:val="4A13E7D8"/>
    <w:rsid w:val="4A8AAF97"/>
    <w:rsid w:val="4B26B606"/>
    <w:rsid w:val="4BA0B80A"/>
    <w:rsid w:val="4C4FDDC2"/>
    <w:rsid w:val="4C612730"/>
    <w:rsid w:val="4C726E94"/>
    <w:rsid w:val="4C76C888"/>
    <w:rsid w:val="4CB674D8"/>
    <w:rsid w:val="4CB8C2CE"/>
    <w:rsid w:val="4CD0545A"/>
    <w:rsid w:val="4CE6058C"/>
    <w:rsid w:val="4D0A3167"/>
    <w:rsid w:val="4D194C1F"/>
    <w:rsid w:val="4D534B5E"/>
    <w:rsid w:val="4D588521"/>
    <w:rsid w:val="4DC25059"/>
    <w:rsid w:val="4DE53641"/>
    <w:rsid w:val="4E442F3C"/>
    <w:rsid w:val="4E4B916B"/>
    <w:rsid w:val="4EBACBB3"/>
    <w:rsid w:val="4F0FD6F2"/>
    <w:rsid w:val="4F2CF1FF"/>
    <w:rsid w:val="4F619FC2"/>
    <w:rsid w:val="4F74E5AF"/>
    <w:rsid w:val="4F8106A2"/>
    <w:rsid w:val="4FA7908C"/>
    <w:rsid w:val="4FC7607D"/>
    <w:rsid w:val="4FD5BCFE"/>
    <w:rsid w:val="506176B0"/>
    <w:rsid w:val="509788E9"/>
    <w:rsid w:val="50AFDE31"/>
    <w:rsid w:val="50EB285F"/>
    <w:rsid w:val="50F22229"/>
    <w:rsid w:val="518FF5D0"/>
    <w:rsid w:val="522316B0"/>
    <w:rsid w:val="52ACDC99"/>
    <w:rsid w:val="52B8A764"/>
    <w:rsid w:val="52C9A14B"/>
    <w:rsid w:val="5383BB4A"/>
    <w:rsid w:val="53F565D1"/>
    <w:rsid w:val="53F6CC1D"/>
    <w:rsid w:val="546F9340"/>
    <w:rsid w:val="54AE8076"/>
    <w:rsid w:val="55657339"/>
    <w:rsid w:val="55B6BBB1"/>
    <w:rsid w:val="561254D0"/>
    <w:rsid w:val="565408A4"/>
    <w:rsid w:val="568D0C36"/>
    <w:rsid w:val="56BFB317"/>
    <w:rsid w:val="56E675D3"/>
    <w:rsid w:val="56E90857"/>
    <w:rsid w:val="572E6CDF"/>
    <w:rsid w:val="575C24E6"/>
    <w:rsid w:val="578988D1"/>
    <w:rsid w:val="578C1887"/>
    <w:rsid w:val="57EFDA69"/>
    <w:rsid w:val="57F6D4B5"/>
    <w:rsid w:val="5835BFEE"/>
    <w:rsid w:val="584F6A0B"/>
    <w:rsid w:val="58E6437A"/>
    <w:rsid w:val="58F4F719"/>
    <w:rsid w:val="5922F817"/>
    <w:rsid w:val="5971FFA2"/>
    <w:rsid w:val="597A97E1"/>
    <w:rsid w:val="59EAE492"/>
    <w:rsid w:val="5A9F2B8D"/>
    <w:rsid w:val="5AA55B55"/>
    <w:rsid w:val="5AC3B949"/>
    <w:rsid w:val="5B07807C"/>
    <w:rsid w:val="5B1A395F"/>
    <w:rsid w:val="5B936A2F"/>
    <w:rsid w:val="5C46E9AA"/>
    <w:rsid w:val="5C84729F"/>
    <w:rsid w:val="5C9BAD5B"/>
    <w:rsid w:val="5CAE943C"/>
    <w:rsid w:val="5CAEC95C"/>
    <w:rsid w:val="5CDDCB5C"/>
    <w:rsid w:val="5D093E96"/>
    <w:rsid w:val="5D170BC6"/>
    <w:rsid w:val="5D26D15B"/>
    <w:rsid w:val="5D317ADF"/>
    <w:rsid w:val="5DD50AB6"/>
    <w:rsid w:val="5E4C980D"/>
    <w:rsid w:val="5F5DACAF"/>
    <w:rsid w:val="5F70DD8F"/>
    <w:rsid w:val="5F92F6FF"/>
    <w:rsid w:val="5FCE93FE"/>
    <w:rsid w:val="60141FE7"/>
    <w:rsid w:val="604EDF1A"/>
    <w:rsid w:val="60C62ACD"/>
    <w:rsid w:val="60EDD218"/>
    <w:rsid w:val="612EC760"/>
    <w:rsid w:val="6156F2D3"/>
    <w:rsid w:val="61AC576E"/>
    <w:rsid w:val="6222565F"/>
    <w:rsid w:val="624F4150"/>
    <w:rsid w:val="62891C70"/>
    <w:rsid w:val="628BDCC9"/>
    <w:rsid w:val="62D62559"/>
    <w:rsid w:val="62DA851A"/>
    <w:rsid w:val="631D896C"/>
    <w:rsid w:val="63230BDD"/>
    <w:rsid w:val="6334BDC9"/>
    <w:rsid w:val="63383614"/>
    <w:rsid w:val="63BCCBAA"/>
    <w:rsid w:val="6489D5D2"/>
    <w:rsid w:val="64B32E71"/>
    <w:rsid w:val="64D40675"/>
    <w:rsid w:val="64E53E0A"/>
    <w:rsid w:val="651C5561"/>
    <w:rsid w:val="655B89A3"/>
    <w:rsid w:val="65795B01"/>
    <w:rsid w:val="65FF100C"/>
    <w:rsid w:val="6629394F"/>
    <w:rsid w:val="662D5C17"/>
    <w:rsid w:val="666C5E8B"/>
    <w:rsid w:val="667336C9"/>
    <w:rsid w:val="668F1B7D"/>
    <w:rsid w:val="66BC1851"/>
    <w:rsid w:val="66E0A419"/>
    <w:rsid w:val="66F89DB8"/>
    <w:rsid w:val="6703998A"/>
    <w:rsid w:val="676229A8"/>
    <w:rsid w:val="6780DC0B"/>
    <w:rsid w:val="67A315EB"/>
    <w:rsid w:val="67A9A7D2"/>
    <w:rsid w:val="67BDB768"/>
    <w:rsid w:val="67C509B0"/>
    <w:rsid w:val="67D64E75"/>
    <w:rsid w:val="67D9D0BA"/>
    <w:rsid w:val="689221BD"/>
    <w:rsid w:val="68E5DDCD"/>
    <w:rsid w:val="68E9525D"/>
    <w:rsid w:val="6913789B"/>
    <w:rsid w:val="69283E85"/>
    <w:rsid w:val="6960DA11"/>
    <w:rsid w:val="697DA144"/>
    <w:rsid w:val="69841FD0"/>
    <w:rsid w:val="699460FD"/>
    <w:rsid w:val="69A79B3D"/>
    <w:rsid w:val="6A0D41E9"/>
    <w:rsid w:val="6A6C4958"/>
    <w:rsid w:val="6AE4A73B"/>
    <w:rsid w:val="6B1292CA"/>
    <w:rsid w:val="6B45B5DE"/>
    <w:rsid w:val="6B90409D"/>
    <w:rsid w:val="6C879066"/>
    <w:rsid w:val="6CA23D0D"/>
    <w:rsid w:val="6D1BD4C9"/>
    <w:rsid w:val="6D5A8D3E"/>
    <w:rsid w:val="6D765B2B"/>
    <w:rsid w:val="6DD58E24"/>
    <w:rsid w:val="6DDEBF60"/>
    <w:rsid w:val="6E11EEEC"/>
    <w:rsid w:val="6E88141D"/>
    <w:rsid w:val="6E975378"/>
    <w:rsid w:val="6EB607F3"/>
    <w:rsid w:val="6ED986D1"/>
    <w:rsid w:val="6F55190F"/>
    <w:rsid w:val="6F7C3D53"/>
    <w:rsid w:val="6F867909"/>
    <w:rsid w:val="6FB3C4F5"/>
    <w:rsid w:val="6FE33B34"/>
    <w:rsid w:val="70844889"/>
    <w:rsid w:val="70975452"/>
    <w:rsid w:val="70C70B7D"/>
    <w:rsid w:val="70EBC2F3"/>
    <w:rsid w:val="71451650"/>
    <w:rsid w:val="714F307D"/>
    <w:rsid w:val="716D112A"/>
    <w:rsid w:val="7176972E"/>
    <w:rsid w:val="7205B576"/>
    <w:rsid w:val="720E35CD"/>
    <w:rsid w:val="725260B5"/>
    <w:rsid w:val="725B758A"/>
    <w:rsid w:val="725D931A"/>
    <w:rsid w:val="72862A2E"/>
    <w:rsid w:val="729BFB35"/>
    <w:rsid w:val="72AA4218"/>
    <w:rsid w:val="732CB4D8"/>
    <w:rsid w:val="736B1E30"/>
    <w:rsid w:val="738003EF"/>
    <w:rsid w:val="73D4DE79"/>
    <w:rsid w:val="73FDB4F1"/>
    <w:rsid w:val="74B47B58"/>
    <w:rsid w:val="75130286"/>
    <w:rsid w:val="755989E0"/>
    <w:rsid w:val="75A1EC8B"/>
    <w:rsid w:val="76975F2C"/>
    <w:rsid w:val="769C688A"/>
    <w:rsid w:val="76ADC0EB"/>
    <w:rsid w:val="76BB9453"/>
    <w:rsid w:val="76C669AD"/>
    <w:rsid w:val="76D837E0"/>
    <w:rsid w:val="76F58B3F"/>
    <w:rsid w:val="77160219"/>
    <w:rsid w:val="774DFFBB"/>
    <w:rsid w:val="77DAE7C0"/>
    <w:rsid w:val="781370D3"/>
    <w:rsid w:val="781A755E"/>
    <w:rsid w:val="782A81E5"/>
    <w:rsid w:val="78625A33"/>
    <w:rsid w:val="78FCF772"/>
    <w:rsid w:val="7912B7CE"/>
    <w:rsid w:val="791B6F40"/>
    <w:rsid w:val="796ACE76"/>
    <w:rsid w:val="796DCD4E"/>
    <w:rsid w:val="7A135135"/>
    <w:rsid w:val="7A160857"/>
    <w:rsid w:val="7A19DDD6"/>
    <w:rsid w:val="7AC01169"/>
    <w:rsid w:val="7AF91962"/>
    <w:rsid w:val="7B0246E6"/>
    <w:rsid w:val="7B5D07B8"/>
    <w:rsid w:val="7B7650BF"/>
    <w:rsid w:val="7BDFAC1A"/>
    <w:rsid w:val="7BF912E3"/>
    <w:rsid w:val="7C035F64"/>
    <w:rsid w:val="7C50821D"/>
    <w:rsid w:val="7C66C695"/>
    <w:rsid w:val="7C7806B1"/>
    <w:rsid w:val="7CAC54FC"/>
    <w:rsid w:val="7CE09E86"/>
    <w:rsid w:val="7D105FE9"/>
    <w:rsid w:val="7D4C66C5"/>
    <w:rsid w:val="7D53A269"/>
    <w:rsid w:val="7D7A60D8"/>
    <w:rsid w:val="7D827137"/>
    <w:rsid w:val="7D8FA47A"/>
    <w:rsid w:val="7DD28991"/>
    <w:rsid w:val="7DE52B7E"/>
    <w:rsid w:val="7E43EECC"/>
    <w:rsid w:val="7E95C746"/>
    <w:rsid w:val="7ECE1B76"/>
    <w:rsid w:val="7EF50B8A"/>
    <w:rsid w:val="7FC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3394"/>
  <w15:chartTrackingRefBased/>
  <w15:docId w15:val="{3C6571BA-10DE-4FEC-8F4A-638A28F1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12E4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675A"/>
    <w:pPr>
      <w:keepNext/>
      <w:spacing w:line="240" w:lineRule="auto"/>
      <w:outlineLvl w:val="0"/>
    </w:pPr>
    <w:rPr>
      <w:rFonts w:cstheme="minorHAnsi"/>
      <w:b/>
      <w:bCs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CF"/>
    <w:pPr>
      <w:keepNext/>
      <w:spacing w:after="0" w:line="240" w:lineRule="auto"/>
      <w:outlineLvl w:val="1"/>
    </w:pPr>
    <w:rPr>
      <w:rFonts w:cstheme="minorHAnsi"/>
      <w:b/>
      <w:bCs/>
      <w:sz w:val="18"/>
      <w:szCs w:val="18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961255"/>
  </w:style>
  <w:style w:type="paragraph" w:styleId="Footer">
    <w:name w:val="footer"/>
    <w:basedOn w:val="Normal"/>
    <w:link w:val="FooterChar"/>
    <w:uiPriority w:val="99"/>
    <w:unhideWhenUsed/>
    <w:rsid w:val="009612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1255"/>
  </w:style>
  <w:style w:type="character" w:styleId="Hyperlink">
    <w:name w:val="Hyperlink"/>
    <w:basedOn w:val="DefaultParagraphFont"/>
    <w:uiPriority w:val="99"/>
    <w:rsid w:val="00634C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F"/>
    <w:rPr>
      <w:color w:val="605E5C"/>
      <w:shd w:val="clear" w:color="auto" w:fill="E1DFDD"/>
    </w:rPr>
  </w:style>
  <w:style w:type="paragraph" w:styleId="subsection" w:customStyle="1">
    <w:name w:val="subsection"/>
    <w:aliases w:val="ss,Subsection"/>
    <w:basedOn w:val="Normal"/>
    <w:link w:val="subsectionChar"/>
    <w:rsid w:val="008537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hAnsi="Times New Roman" w:eastAsia="Times New Roman" w:cs="Times New Roman"/>
      <w:szCs w:val="20"/>
      <w:lang w:val="en-AU" w:eastAsia="en-AU"/>
    </w:rPr>
  </w:style>
  <w:style w:type="table" w:styleId="TableGrid">
    <w:name w:val="Table Grid"/>
    <w:basedOn w:val="TableNormal"/>
    <w:uiPriority w:val="39"/>
    <w:rsid w:val="008537B3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sectionChar" w:customStyle="1">
    <w:name w:val="subsection Char"/>
    <w:aliases w:val="ss Char"/>
    <w:basedOn w:val="DefaultParagraphFont"/>
    <w:link w:val="subsection"/>
    <w:locked/>
    <w:rsid w:val="008537B3"/>
    <w:rPr>
      <w:rFonts w:ascii="Times New Roman" w:hAnsi="Times New Roman" w:eastAsia="Times New Roman" w:cs="Times New Roman"/>
      <w:szCs w:val="20"/>
      <w:lang w:val="en-AU" w:eastAsia="en-AU"/>
    </w:rPr>
  </w:style>
  <w:style w:type="character" w:styleId="normaltextrun" w:customStyle="1">
    <w:name w:val="normaltextrun"/>
    <w:basedOn w:val="DefaultParagraphFont"/>
    <w:rsid w:val="008537B3"/>
  </w:style>
  <w:style w:type="paragraph" w:styleId="ListParagraph">
    <w:name w:val="List Paragraph"/>
    <w:basedOn w:val="Normal"/>
    <w:uiPriority w:val="34"/>
    <w:qFormat/>
    <w:rsid w:val="00B06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1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5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752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46173"/>
    <w:rPr>
      <w:b/>
      <w:bCs/>
    </w:rPr>
  </w:style>
  <w:style w:type="character" w:styleId="eop" w:customStyle="1">
    <w:name w:val="eop"/>
    <w:basedOn w:val="DefaultParagraphFont"/>
    <w:rsid w:val="000940F4"/>
  </w:style>
  <w:style w:type="character" w:styleId="Heading1Char" w:customStyle="1">
    <w:name w:val="Heading 1 Char"/>
    <w:basedOn w:val="DefaultParagraphFont"/>
    <w:link w:val="Heading1"/>
    <w:uiPriority w:val="9"/>
    <w:rsid w:val="00F1675A"/>
    <w:rPr>
      <w:rFonts w:cstheme="minorHAnsi"/>
      <w:b/>
      <w:bCs/>
      <w:lang w:val="en-AU"/>
    </w:rPr>
  </w:style>
  <w:style w:type="paragraph" w:styleId="notetext" w:customStyle="1">
    <w:name w:val="note(text)"/>
    <w:aliases w:val="n"/>
    <w:basedOn w:val="Normal"/>
    <w:link w:val="notetextChar"/>
    <w:uiPriority w:val="1"/>
    <w:rsid w:val="00577768"/>
    <w:pPr>
      <w:spacing w:before="122" w:after="0" w:line="240" w:lineRule="auto"/>
      <w:ind w:left="1985" w:hanging="851"/>
    </w:pPr>
    <w:rPr>
      <w:rFonts w:ascii="Times New Roman" w:hAnsi="Times New Roman" w:eastAsia="Times New Roman" w:cs="Times New Roman"/>
      <w:sz w:val="18"/>
      <w:szCs w:val="20"/>
      <w:lang w:val="en-AU" w:eastAsia="en-AU"/>
    </w:rPr>
  </w:style>
  <w:style w:type="character" w:styleId="notetextChar" w:customStyle="1">
    <w:name w:val="note(text) Char"/>
    <w:aliases w:val="n Char"/>
    <w:basedOn w:val="DefaultParagraphFont"/>
    <w:link w:val="notetext"/>
    <w:uiPriority w:val="1"/>
    <w:rsid w:val="00577768"/>
    <w:rPr>
      <w:rFonts w:ascii="Times New Roman" w:hAnsi="Times New Roman" w:eastAsia="Times New Roman" w:cs="Times New Roman"/>
      <w:sz w:val="18"/>
      <w:szCs w:val="20"/>
      <w:lang w:val="en-AU"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F563CF"/>
    <w:rPr>
      <w:rFonts w:cstheme="minorHAnsi"/>
      <w:b/>
      <w:bCs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F2230A"/>
    <w:pPr>
      <w:spacing w:line="240" w:lineRule="auto"/>
      <w:ind w:left="369"/>
    </w:pPr>
    <w:rPr>
      <w:rFonts w:eastAsia="Calibri" w:cstheme="minorHAnsi"/>
      <w:lang w:val="en-AU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F2230A"/>
    <w:rPr>
      <w:rFonts w:eastAsia="Calibri" w:cstheme="minorHAnsi"/>
      <w:lang w:val="en-AU"/>
    </w:rPr>
  </w:style>
  <w:style w:type="paragraph" w:styleId="Default" w:customStyle="1">
    <w:name w:val="Default"/>
    <w:rsid w:val="0033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190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4309B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309B"/>
    <w:pPr>
      <w:spacing w:after="0" w:line="240" w:lineRule="auto"/>
    </w:pPr>
  </w:style>
  <w:style w:type="paragraph" w:styleId="BoxHeadItalic" w:customStyle="1">
    <w:name w:val="BoxHeadItalic"/>
    <w:aliases w:val="bhi"/>
    <w:basedOn w:val="Normal"/>
    <w:next w:val="Normal"/>
    <w:qFormat/>
    <w:rsid w:val="00E177CD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 w:after="0" w:line="240" w:lineRule="auto"/>
      <w:ind w:left="1134"/>
    </w:pPr>
    <w:rPr>
      <w:rFonts w:ascii="Times New Roman" w:hAnsi="Times New Roman" w:eastAsia="Times New Roman" w:cs="Times New Roman"/>
      <w:i/>
      <w:szCs w:val="20"/>
      <w:lang w:val="en-AU" w:eastAsia="en-AU"/>
    </w:rPr>
  </w:style>
  <w:style w:type="character" w:styleId="ui-provider" w:customStyle="1">
    <w:name w:val="ui-provider"/>
    <w:basedOn w:val="DefaultParagraphFont"/>
    <w:rsid w:val="003C6DF8"/>
  </w:style>
  <w:style w:type="paragraph" w:styleId="paragraph" w:customStyle="1">
    <w:name w:val="paragraph"/>
    <w:basedOn w:val="Normal"/>
    <w:rsid w:val="00B711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asel.int/TheConvention/Overview/TextoftheConvention/tabid/1275/Default.aspx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egislation.gov.au/Details/F2022L0143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legislation.gov.au/Details/F2022L0143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20/10/relationships/intelligence" Target="intelligence2.xml" Id="R59e11db9ad6e4b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243669598B243B3BEC38A9F3F99E4" ma:contentTypeVersion="11" ma:contentTypeDescription="Create a new document." ma:contentTypeScope="" ma:versionID="27053288755576a7bc10c3ceab1f85fc">
  <xsd:schema xmlns:xsd="http://www.w3.org/2001/XMLSchema" xmlns:xs="http://www.w3.org/2001/XMLSchema" xmlns:p="http://schemas.microsoft.com/office/2006/metadata/properties" xmlns:ns2="7881940b-97e1-46c0-9caa-3d56c6387a06" xmlns:ns3="0b7a51c3-bf70-4bb3-b5a1-4df02d68e09f" xmlns:ns4="81c01dc6-2c49-4730-b140-874c95cac377" targetNamespace="http://schemas.microsoft.com/office/2006/metadata/properties" ma:root="true" ma:fieldsID="53d17b0225f87789adfde67d9028e2e0" ns2:_="" ns3:_="" ns4:_="">
    <xsd:import namespace="7881940b-97e1-46c0-9caa-3d56c6387a06"/>
    <xsd:import namespace="0b7a51c3-bf70-4bb3-b5a1-4df02d68e09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940b-97e1-46c0-9caa-3d56c6387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51c3-bf70-4bb3-b5a1-4df02d68e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686af9-3505-427b-84d5-a51b707c6887}" ma:internalName="TaxCatchAll" ma:showField="CatchAllData" ma:web="0b7a51c3-bf70-4bb3-b5a1-4df02d68e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1940b-97e1-46c0-9caa-3d56c6387a06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B6016C50-E6A9-4ED0-B320-71DCC504A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F2DAB-DD48-4955-860D-FC3043338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940b-97e1-46c0-9caa-3d56c6387a06"/>
    <ds:schemaRef ds:uri="0b7a51c3-bf70-4bb3-b5a1-4df02d68e09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E74D2-E005-4B92-98FE-06C3D108C77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81c01dc6-2c49-4730-b140-874c95cac377"/>
    <ds:schemaRef ds:uri="http://www.w3.org/XML/1998/namespace"/>
    <ds:schemaRef ds:uri="http://schemas.microsoft.com/office/infopath/2007/PartnerControls"/>
    <ds:schemaRef ds:uri="7881940b-97e1-46c0-9caa-3d56c6387a06"/>
    <ds:schemaRef ds:uri="http://schemas.openxmlformats.org/package/2006/metadata/core-properties"/>
    <ds:schemaRef ds:uri="0b7a51c3-bf70-4bb3-b5a1-4df02d68e09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IChEMS Advisory Committee - Agenda Item 2B - SCCPs - Attachment B - Draft Decision</dc:title>
  <dc:subject/>
  <dc:creator>Holt, Eva</dc:creator>
  <keywords/>
  <dc:description/>
  <lastModifiedBy>Hayden-Poole, Tessa</lastModifiedBy>
  <revision>29</revision>
  <dcterms:created xsi:type="dcterms:W3CDTF">2023-09-22T00:14:00.0000000Z</dcterms:created>
  <dcterms:modified xsi:type="dcterms:W3CDTF">2023-09-27T01:34:26.8361900Z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0x01010083B243669598B243B3BEC38A9F3F99E4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{f82a5dd5-f55b-4776-bd62-cfa282528958}</vt:lpwstr>
  </property>
  <property fmtid="{D5CDD505-2E9C-101B-9397-08002B2CF9AE}" pid="7" name="RecordPoint_ActiveItemUniqueId">
    <vt:lpwstr>{e9d6907a-9e23-4431-984c-a0a5563da83a}</vt:lpwstr>
  </property>
  <property fmtid="{D5CDD505-2E9C-101B-9397-08002B2CF9AE}" pid="8" name="RecordPoint_ActiveItemWebId">
    <vt:lpwstr>{edaef781-6d59-4de0-aebc-4a921f40e4bc}</vt:lpwstr>
  </property>
  <property fmtid="{D5CDD505-2E9C-101B-9397-08002B2CF9AE}" pid="9" name="RecordPoint_SubmissionDate">
    <vt:lpwstr/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