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D10E" w14:textId="77777777" w:rsidR="00B8048F" w:rsidRPr="00B8048F" w:rsidRDefault="007345F9" w:rsidP="00CF3ED5">
      <w:pPr>
        <w:pStyle w:val="Heading1"/>
        <w:rPr>
          <w:rStyle w:val="Heading2Char"/>
        </w:rPr>
      </w:pPr>
      <w:r w:rsidRPr="00E43DB7">
        <w:t xml:space="preserve">Other </w:t>
      </w:r>
      <w:r w:rsidR="00EF52CB">
        <w:t>e</w:t>
      </w:r>
      <w:r w:rsidR="00EF52CB" w:rsidRPr="00E43DB7">
        <w:t xml:space="preserve">ffective </w:t>
      </w:r>
      <w:r w:rsidRPr="00E43DB7">
        <w:t xml:space="preserve">area-based </w:t>
      </w:r>
      <w:r w:rsidR="00EF52CB">
        <w:t>c</w:t>
      </w:r>
      <w:r w:rsidR="00EF52CB" w:rsidRPr="00E43DB7">
        <w:t>ons</w:t>
      </w:r>
      <w:r w:rsidR="00EF52CB">
        <w:t>ervat</w:t>
      </w:r>
      <w:r w:rsidR="00EF52CB" w:rsidRPr="00E43DB7">
        <w:t xml:space="preserve">ion </w:t>
      </w:r>
      <w:r w:rsidR="00EF52CB">
        <w:t>m</w:t>
      </w:r>
      <w:r w:rsidR="00EF52CB" w:rsidRPr="00E43DB7">
        <w:t>easures</w:t>
      </w:r>
      <w:r>
        <w:t xml:space="preserve">: </w:t>
      </w:r>
      <w:r w:rsidR="008A23BE">
        <w:t>p</w:t>
      </w:r>
      <w:r w:rsidR="008A3B2F" w:rsidRPr="00E43DB7">
        <w:t xml:space="preserve">rinciples to </w:t>
      </w:r>
      <w:r w:rsidR="0062307E">
        <w:t>g</w:t>
      </w:r>
      <w:r w:rsidR="008A3B2F" w:rsidRPr="00E43DB7">
        <w:t xml:space="preserve">uide </w:t>
      </w:r>
      <w:r>
        <w:t>their r</w:t>
      </w:r>
      <w:r w:rsidR="008A3B2F" w:rsidRPr="00E43DB7">
        <w:t>ecognition in Australia</w:t>
      </w:r>
      <w:r w:rsidR="000D7862">
        <w:t xml:space="preserve"> </w:t>
      </w:r>
      <w:r w:rsidR="00B8048F" w:rsidRPr="00B8048F">
        <w:rPr>
          <w:rStyle w:val="Heading2Char"/>
        </w:rPr>
        <w:t>Consultation paper</w:t>
      </w:r>
      <w:r w:rsidR="001A4FFA">
        <w:rPr>
          <w:rStyle w:val="Heading2Char"/>
        </w:rPr>
        <w:t xml:space="preserve">  </w:t>
      </w:r>
    </w:p>
    <w:p w14:paraId="1CECCB06" w14:textId="77777777" w:rsidR="00764D6A" w:rsidRDefault="00764D6A">
      <w:pPr>
        <w:pStyle w:val="Subtitle"/>
      </w:pPr>
    </w:p>
    <w:p w14:paraId="43355CDA" w14:textId="77777777" w:rsidR="001C5E00" w:rsidRPr="001C5E00" w:rsidRDefault="001C5E00" w:rsidP="001C5E00">
      <w:r>
        <w:rPr>
          <w:noProof/>
        </w:rPr>
        <w:drawing>
          <wp:inline distT="0" distB="0" distL="0" distR="0" wp14:anchorId="138B90D4" wp14:editId="6C3FCEEF">
            <wp:extent cx="5759450" cy="3839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839845"/>
                    </a:xfrm>
                    <a:prstGeom prst="rect">
                      <a:avLst/>
                    </a:prstGeom>
                    <a:noFill/>
                    <a:ln>
                      <a:noFill/>
                    </a:ln>
                  </pic:spPr>
                </pic:pic>
              </a:graphicData>
            </a:graphic>
          </wp:inline>
        </w:drawing>
      </w:r>
    </w:p>
    <w:p w14:paraId="7137EF75" w14:textId="77777777" w:rsidR="00764D6A" w:rsidRPr="005D3790" w:rsidRDefault="00764D6A" w:rsidP="005D3790"/>
    <w:p w14:paraId="09EA5AA9" w14:textId="77777777" w:rsidR="00764D6A" w:rsidRDefault="00E91D72">
      <w:pPr>
        <w:pStyle w:val="Normalsmall"/>
      </w:pPr>
      <w:r>
        <w:br w:type="page"/>
      </w:r>
      <w:r>
        <w:lastRenderedPageBreak/>
        <w:t xml:space="preserve">© Commonwealth of Australia </w:t>
      </w:r>
      <w:r w:rsidR="00B97E61">
        <w:t>202</w:t>
      </w:r>
      <w:r w:rsidR="00205DAB">
        <w:t>3</w:t>
      </w:r>
    </w:p>
    <w:p w14:paraId="7EA4C24F" w14:textId="77777777" w:rsidR="00764D6A" w:rsidRDefault="00E91D72">
      <w:pPr>
        <w:pStyle w:val="Normalsmall"/>
        <w:rPr>
          <w:rStyle w:val="Strong"/>
        </w:rPr>
      </w:pPr>
      <w:r>
        <w:rPr>
          <w:rStyle w:val="Strong"/>
        </w:rPr>
        <w:t>Ownership of intellectual property rights</w:t>
      </w:r>
    </w:p>
    <w:p w14:paraId="11BF4464" w14:textId="77777777" w:rsidR="00764D6A" w:rsidRDefault="00E91D72">
      <w:pPr>
        <w:pStyle w:val="Normalsmall"/>
      </w:pPr>
      <w:r>
        <w:t>Unless otherwise noted, copyright (and any other intellectual property rights) in this publication is owned by the Commonwealth of Australia (referred to as the Commonwealth).</w:t>
      </w:r>
    </w:p>
    <w:p w14:paraId="71AF752F" w14:textId="77777777" w:rsidR="00764D6A" w:rsidRDefault="00E91D72">
      <w:pPr>
        <w:pStyle w:val="Normalsmall"/>
        <w:rPr>
          <w:rStyle w:val="Strong"/>
        </w:rPr>
      </w:pPr>
      <w:r>
        <w:rPr>
          <w:rStyle w:val="Strong"/>
        </w:rPr>
        <w:t>Creative Commons licence</w:t>
      </w:r>
    </w:p>
    <w:p w14:paraId="732F8980" w14:textId="77777777" w:rsidR="00764D6A" w:rsidRDefault="00E91D72">
      <w:pPr>
        <w:pStyle w:val="Normalsmall"/>
      </w:pPr>
      <w:r>
        <w:t xml:space="preserve">All material in this publication is licensed under a </w:t>
      </w:r>
      <w:hyperlink r:id="rId14" w:history="1">
        <w:r>
          <w:rPr>
            <w:rStyle w:val="Hyperlink"/>
          </w:rPr>
          <w:t>Creative Commons Attribution 4.0 International Licence</w:t>
        </w:r>
      </w:hyperlink>
      <w:r>
        <w:t xml:space="preserve"> except content supplied by third parties, logos and the Commonwealth Coat of Arms.</w:t>
      </w:r>
    </w:p>
    <w:p w14:paraId="01BAF667" w14:textId="77777777" w:rsidR="00764D6A" w:rsidRPr="00364A4A" w:rsidRDefault="00E91D72">
      <w:pPr>
        <w:pStyle w:val="Normalsmall"/>
      </w:pPr>
      <w:r>
        <w:t xml:space="preserve">Inquiries about the licence and any use of this document should be </w:t>
      </w:r>
      <w:r w:rsidRPr="00364A4A">
        <w:t xml:space="preserve">emailed to </w:t>
      </w:r>
      <w:hyperlink r:id="rId15" w:history="1">
        <w:r w:rsidR="00D86640">
          <w:rPr>
            <w:rStyle w:val="Hyperlink"/>
          </w:rPr>
          <w:t>copyright@dcceew.gov.au</w:t>
        </w:r>
      </w:hyperlink>
      <w:r w:rsidRPr="00364A4A">
        <w:t>.</w:t>
      </w:r>
    </w:p>
    <w:p w14:paraId="7C8B8D7A" w14:textId="77777777" w:rsidR="00764D6A" w:rsidRPr="00364A4A" w:rsidRDefault="00E91D72">
      <w:pPr>
        <w:pStyle w:val="Normalsmall"/>
      </w:pPr>
      <w:r w:rsidRPr="00364A4A">
        <w:rPr>
          <w:noProof/>
          <w:lang w:eastAsia="en-AU"/>
        </w:rPr>
        <w:drawing>
          <wp:inline distT="0" distB="0" distL="0" distR="0" wp14:anchorId="66F29052" wp14:editId="02979068">
            <wp:extent cx="724535" cy="25527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10BF8D24" w14:textId="77777777" w:rsidR="00764D6A" w:rsidRPr="00364A4A" w:rsidRDefault="00E91D72">
      <w:pPr>
        <w:pStyle w:val="Normalsmall"/>
        <w:rPr>
          <w:rStyle w:val="Strong"/>
        </w:rPr>
      </w:pPr>
      <w:r w:rsidRPr="00364A4A">
        <w:rPr>
          <w:rStyle w:val="Strong"/>
        </w:rPr>
        <w:t>Cataloguing data</w:t>
      </w:r>
    </w:p>
    <w:p w14:paraId="1F966663" w14:textId="77777777" w:rsidR="00764D6A" w:rsidRDefault="00E91D72">
      <w:pPr>
        <w:pStyle w:val="Normalsmall"/>
      </w:pPr>
      <w:r w:rsidRPr="00364A4A">
        <w:t xml:space="preserve">This publication (and any material sourced from it) should be attributed as: </w:t>
      </w:r>
      <w:r w:rsidR="009D5007" w:rsidRPr="00C15DA5">
        <w:t>D</w:t>
      </w:r>
      <w:r w:rsidR="000F2194" w:rsidRPr="00C15DA5">
        <w:t>CCEEW</w:t>
      </w:r>
      <w:r w:rsidR="00B97E61" w:rsidRPr="00C15DA5">
        <w:t xml:space="preserve"> 202</w:t>
      </w:r>
      <w:r w:rsidR="003F167A" w:rsidRPr="00C15DA5">
        <w:t>3</w:t>
      </w:r>
      <w:r w:rsidRPr="00C15DA5">
        <w:t xml:space="preserve">, </w:t>
      </w:r>
      <w:r w:rsidR="003F167A" w:rsidRPr="00C15DA5">
        <w:rPr>
          <w:i/>
          <w:iCs/>
        </w:rPr>
        <w:t xml:space="preserve">Other </w:t>
      </w:r>
      <w:r w:rsidR="002C7DB1">
        <w:rPr>
          <w:i/>
          <w:iCs/>
        </w:rPr>
        <w:t>e</w:t>
      </w:r>
      <w:r w:rsidR="002C7DB1" w:rsidRPr="00C15DA5">
        <w:rPr>
          <w:i/>
          <w:iCs/>
        </w:rPr>
        <w:t>ffective</w:t>
      </w:r>
      <w:r w:rsidR="00E830FC" w:rsidRPr="00C15DA5">
        <w:rPr>
          <w:i/>
          <w:iCs/>
        </w:rPr>
        <w:t xml:space="preserve"> </w:t>
      </w:r>
      <w:r w:rsidR="00E830FC">
        <w:rPr>
          <w:i/>
          <w:iCs/>
        </w:rPr>
        <w:t>a</w:t>
      </w:r>
      <w:r w:rsidR="00E830FC" w:rsidRPr="00C15DA5">
        <w:rPr>
          <w:i/>
          <w:iCs/>
        </w:rPr>
        <w:t>rea</w:t>
      </w:r>
      <w:r w:rsidR="003F167A" w:rsidRPr="00C15DA5">
        <w:rPr>
          <w:i/>
          <w:iCs/>
        </w:rPr>
        <w:t xml:space="preserve">-based </w:t>
      </w:r>
      <w:r w:rsidR="00E830FC">
        <w:rPr>
          <w:i/>
          <w:iCs/>
        </w:rPr>
        <w:t>c</w:t>
      </w:r>
      <w:r w:rsidR="00E830FC" w:rsidRPr="00C15DA5">
        <w:rPr>
          <w:i/>
          <w:iCs/>
        </w:rPr>
        <w:t xml:space="preserve">onservation </w:t>
      </w:r>
      <w:r w:rsidR="00E830FC">
        <w:rPr>
          <w:i/>
          <w:iCs/>
        </w:rPr>
        <w:t>m</w:t>
      </w:r>
      <w:r w:rsidR="00E830FC" w:rsidRPr="00C15DA5">
        <w:rPr>
          <w:i/>
          <w:iCs/>
        </w:rPr>
        <w:t>easures</w:t>
      </w:r>
      <w:r w:rsidR="003F167A" w:rsidRPr="00C15DA5">
        <w:rPr>
          <w:i/>
          <w:iCs/>
        </w:rPr>
        <w:t xml:space="preserve">: </w:t>
      </w:r>
      <w:r w:rsidR="00E830FC">
        <w:rPr>
          <w:i/>
          <w:iCs/>
        </w:rPr>
        <w:t>p</w:t>
      </w:r>
      <w:r w:rsidR="00E830FC" w:rsidRPr="00C15DA5">
        <w:rPr>
          <w:i/>
          <w:iCs/>
        </w:rPr>
        <w:t xml:space="preserve">rinciples </w:t>
      </w:r>
      <w:r w:rsidR="003F167A" w:rsidRPr="00C15DA5">
        <w:rPr>
          <w:i/>
          <w:iCs/>
        </w:rPr>
        <w:t>to guide their recognition in Australia</w:t>
      </w:r>
      <w:r w:rsidRPr="00C15DA5">
        <w:t>,</w:t>
      </w:r>
      <w:r>
        <w:t xml:space="preserve"> </w:t>
      </w:r>
      <w:r w:rsidR="006F065B" w:rsidRPr="006F065B">
        <w:t>Department of Climate Change, Energy, the Environment and Water</w:t>
      </w:r>
      <w:r>
        <w:t>, Canberra</w:t>
      </w:r>
      <w:r w:rsidR="00205DAB">
        <w:t xml:space="preserve"> </w:t>
      </w:r>
      <w:r>
        <w:t xml:space="preserve"> CC BY 4.0.</w:t>
      </w:r>
    </w:p>
    <w:p w14:paraId="67E2A24E" w14:textId="77777777" w:rsidR="00764D6A" w:rsidRDefault="00E91D72">
      <w:pPr>
        <w:pStyle w:val="Normalsmall"/>
      </w:pPr>
      <w:bookmarkStart w:id="0" w:name="_Hlk127799916"/>
      <w:r>
        <w:t xml:space="preserve">This </w:t>
      </w:r>
      <w:r w:rsidRPr="00DC67BA">
        <w:t xml:space="preserve">publication is available at </w:t>
      </w:r>
      <w:r w:rsidR="00BA196F" w:rsidRPr="00DC67BA">
        <w:t>consult.dcceew.gov.au</w:t>
      </w:r>
      <w:r w:rsidRPr="00DC67BA">
        <w:t>.</w:t>
      </w:r>
    </w:p>
    <w:bookmarkEnd w:id="0"/>
    <w:p w14:paraId="7C7968F8" w14:textId="77777777" w:rsidR="00DE0AAE" w:rsidRDefault="00D86640">
      <w:pPr>
        <w:pStyle w:val="Normalsmall"/>
        <w:spacing w:after="0"/>
      </w:pPr>
      <w:r w:rsidRPr="00D86640">
        <w:t>Department of Climate Change, Energy, the Environment and Water</w:t>
      </w:r>
    </w:p>
    <w:p w14:paraId="58BCDBBE" w14:textId="77777777" w:rsidR="00764D6A" w:rsidRPr="00364A4A" w:rsidRDefault="00E91D72">
      <w:pPr>
        <w:pStyle w:val="Normalsmall"/>
        <w:spacing w:after="0"/>
      </w:pPr>
      <w:r w:rsidRPr="00364A4A">
        <w:t xml:space="preserve">GPO Box </w:t>
      </w:r>
      <w:r w:rsidR="008E2377">
        <w:t>3090</w:t>
      </w:r>
      <w:r w:rsidRPr="00364A4A">
        <w:t xml:space="preserve"> Canberra ACT 2601</w:t>
      </w:r>
    </w:p>
    <w:p w14:paraId="6046E65B" w14:textId="77777777" w:rsidR="00764D6A" w:rsidRPr="00364A4A" w:rsidRDefault="00E91D72">
      <w:pPr>
        <w:pStyle w:val="Normalsmall"/>
        <w:spacing w:after="0"/>
      </w:pPr>
      <w:r w:rsidRPr="00364A4A">
        <w:t>Telephone 1800 900 090</w:t>
      </w:r>
    </w:p>
    <w:p w14:paraId="1B002533" w14:textId="77777777" w:rsidR="00764D6A" w:rsidRPr="00364A4A" w:rsidRDefault="00E91D72">
      <w:pPr>
        <w:pStyle w:val="Normalsmall"/>
      </w:pPr>
      <w:bookmarkStart w:id="1" w:name="_Hlk108621036"/>
      <w:r w:rsidRPr="00364A4A">
        <w:t xml:space="preserve">Web </w:t>
      </w:r>
      <w:hyperlink r:id="rId17" w:history="1">
        <w:r w:rsidR="00D86640">
          <w:rPr>
            <w:rStyle w:val="Hyperlink"/>
          </w:rPr>
          <w:t>dcceew.gov.au</w:t>
        </w:r>
      </w:hyperlink>
    </w:p>
    <w:bookmarkEnd w:id="1"/>
    <w:p w14:paraId="6F9FDDD5" w14:textId="77777777" w:rsidR="007C358A" w:rsidRDefault="007C358A">
      <w:pPr>
        <w:pStyle w:val="Normalsmall"/>
      </w:pPr>
      <w:r w:rsidRPr="00364A4A">
        <w:rPr>
          <w:rStyle w:val="Strong"/>
        </w:rPr>
        <w:t>Disclaimer</w:t>
      </w:r>
    </w:p>
    <w:p w14:paraId="630E1915" w14:textId="77777777" w:rsidR="00764D6A" w:rsidRDefault="00E91D72">
      <w:pPr>
        <w:pStyle w:val="Normalsmall"/>
      </w:pPr>
      <w:r>
        <w:t xml:space="preserve">The Australian Government acting through the </w:t>
      </w:r>
      <w:r w:rsidR="00D86640" w:rsidRPr="00D86640">
        <w:t>Department of Climate Change, Energy, the Environment and Water</w:t>
      </w:r>
      <w:r>
        <w:t xml:space="preserve"> has exercised due care and skill in preparing and compiling the information and data in this publication. Notwithstanding, the </w:t>
      </w:r>
      <w:r w:rsidR="00D86640" w:rsidRPr="00D86640">
        <w:t>Department of Climate Change, Energy, the Environment and Water</w:t>
      </w:r>
      <w:r>
        <w:t>, its employees and advisers disclaim all liability, including liability for negligence and for any loss, damage, injury, expense or cost incurred by any person as a result of accessing, using or relying on any of the information or data in this publication to the maximum extent permitted by law.</w:t>
      </w:r>
    </w:p>
    <w:p w14:paraId="2EE51944" w14:textId="77777777" w:rsidR="00764D6A" w:rsidRPr="00DB1548" w:rsidRDefault="00E91D72">
      <w:pPr>
        <w:pStyle w:val="Normalsmall"/>
        <w:rPr>
          <w:rStyle w:val="Strong"/>
        </w:rPr>
      </w:pPr>
      <w:r w:rsidRPr="00DB1548">
        <w:rPr>
          <w:rStyle w:val="Strong"/>
        </w:rPr>
        <w:t>Acknowledgements</w:t>
      </w:r>
    </w:p>
    <w:p w14:paraId="260708FE" w14:textId="77777777" w:rsidR="00D16FEC" w:rsidRDefault="00E91D72" w:rsidP="00B02B9B">
      <w:pPr>
        <w:pStyle w:val="Normalsmall"/>
      </w:pPr>
      <w:r w:rsidRPr="00DB1548">
        <w:t>The authors thank</w:t>
      </w:r>
      <w:r w:rsidR="00D16FEC" w:rsidRPr="00DB1548">
        <w:t xml:space="preserve"> Australian Government</w:t>
      </w:r>
      <w:r w:rsidR="00DB1548" w:rsidRPr="00DB1548">
        <w:t xml:space="preserve"> agencies</w:t>
      </w:r>
      <w:r w:rsidR="00D16FEC" w:rsidRPr="00DB1548">
        <w:t xml:space="preserve">, </w:t>
      </w:r>
      <w:r w:rsidR="00DB1548" w:rsidRPr="00DB1548">
        <w:t xml:space="preserve">and </w:t>
      </w:r>
      <w:r w:rsidR="00D16FEC" w:rsidRPr="00DB1548">
        <w:t xml:space="preserve">state and territory agencies for their input </w:t>
      </w:r>
      <w:r w:rsidR="00DB1548" w:rsidRPr="00DB1548">
        <w:t>to</w:t>
      </w:r>
      <w:r w:rsidR="00D16FEC" w:rsidRPr="00DB1548">
        <w:t xml:space="preserve"> this paper</w:t>
      </w:r>
      <w:r w:rsidR="00492DD0">
        <w:t>.</w:t>
      </w:r>
    </w:p>
    <w:p w14:paraId="76F0B018" w14:textId="77777777" w:rsidR="00B02B9B" w:rsidRDefault="00B02B9B" w:rsidP="00B02B9B">
      <w:pPr>
        <w:pStyle w:val="Normalsmall"/>
      </w:pPr>
      <w:r>
        <w:rPr>
          <w:rStyle w:val="Strong"/>
        </w:rPr>
        <w:t>Acknowledgement of Country</w:t>
      </w:r>
    </w:p>
    <w:p w14:paraId="0AA06EED" w14:textId="77777777" w:rsidR="00517A68" w:rsidRDefault="00D07F7D" w:rsidP="00F448C4">
      <w:pPr>
        <w:pStyle w:val="Normalsmall"/>
      </w:pPr>
      <w:r w:rsidRPr="00D07F7D">
        <w:t>We acknowledge the Traditional Custodians of Australia and their continuing connection to land and sea, waters, environment and community. We pay our respects to the Traditional Custodians of the lands we live and work on, their culture, and their Elders past and present.</w:t>
      </w:r>
    </w:p>
    <w:p w14:paraId="47CC2448" w14:textId="77777777" w:rsidR="00764D6A" w:rsidRDefault="007B3ED0" w:rsidP="00CB2439">
      <w:pPr>
        <w:pStyle w:val="Heading2"/>
        <w:numPr>
          <w:ilvl w:val="0"/>
          <w:numId w:val="0"/>
        </w:numPr>
        <w:ind w:left="720" w:hanging="720"/>
      </w:pPr>
      <w:bookmarkStart w:id="2" w:name="_Toc430782148"/>
      <w:bookmarkStart w:id="3" w:name="_Toc129263661"/>
      <w:r>
        <w:lastRenderedPageBreak/>
        <w:t>Executive Summary</w:t>
      </w:r>
      <w:bookmarkEnd w:id="2"/>
      <w:bookmarkEnd w:id="3"/>
    </w:p>
    <w:p w14:paraId="7D98C21B" w14:textId="77777777" w:rsidR="00E8100C" w:rsidRDefault="00337BD7" w:rsidP="002A1F44">
      <w:r>
        <w:t>On 19 December 2022</w:t>
      </w:r>
      <w:r w:rsidR="00E8100C" w:rsidRPr="00E8100C">
        <w:t xml:space="preserve">, Parties to the Convention on Biological Diversity (CBD) adopted the </w:t>
      </w:r>
      <w:r w:rsidR="00E8100C" w:rsidRPr="00F766FC">
        <w:rPr>
          <w:i/>
          <w:iCs/>
        </w:rPr>
        <w:t>Kunming-Montreal Global Biodiversity Framework</w:t>
      </w:r>
      <w:r w:rsidR="00E8100C">
        <w:t xml:space="preserve">. </w:t>
      </w:r>
      <w:r>
        <w:t xml:space="preserve">A key aspect of the </w:t>
      </w:r>
      <w:r w:rsidR="00E8100C" w:rsidRPr="00E8100C">
        <w:t xml:space="preserve">framework </w:t>
      </w:r>
      <w:r>
        <w:t>is the</w:t>
      </w:r>
      <w:r w:rsidR="00E8100C" w:rsidRPr="00E8100C">
        <w:t xml:space="preserve"> global agreement to protect and conserve at least 30</w:t>
      </w:r>
      <w:r w:rsidR="00C03B6B">
        <w:t>%</w:t>
      </w:r>
      <w:r w:rsidR="00E8100C" w:rsidRPr="00E8100C">
        <w:t xml:space="preserve"> of the world’s land </w:t>
      </w:r>
      <w:r w:rsidR="008324B6">
        <w:t xml:space="preserve">(including </w:t>
      </w:r>
      <w:r w:rsidR="00E8100C" w:rsidRPr="00E8100C">
        <w:t>inland waters</w:t>
      </w:r>
      <w:r w:rsidR="008324B6">
        <w:t>) and 30</w:t>
      </w:r>
      <w:r w:rsidR="00C03B6B">
        <w:t>%</w:t>
      </w:r>
      <w:r w:rsidR="008324B6">
        <w:t xml:space="preserve"> of the world’s marine and</w:t>
      </w:r>
      <w:r w:rsidR="00E8100C" w:rsidRPr="00E8100C">
        <w:t xml:space="preserve"> coastal areas by 2030.</w:t>
      </w:r>
    </w:p>
    <w:p w14:paraId="685B91D9" w14:textId="77777777" w:rsidR="002A1F44" w:rsidRDefault="007B3ED0" w:rsidP="002A1F44">
      <w:r>
        <w:t>The Australian Government has</w:t>
      </w:r>
      <w:r w:rsidR="00E8100C">
        <w:t xml:space="preserve"> also</w:t>
      </w:r>
      <w:r>
        <w:t xml:space="preserve"> set a </w:t>
      </w:r>
      <w:r w:rsidR="00057106">
        <w:t>national</w:t>
      </w:r>
      <w:r>
        <w:t xml:space="preserve"> target </w:t>
      </w:r>
      <w:r w:rsidR="00057106">
        <w:t>to</w:t>
      </w:r>
      <w:r>
        <w:t xml:space="preserve"> protect 30</w:t>
      </w:r>
      <w:r w:rsidR="00C03B6B">
        <w:t>%</w:t>
      </w:r>
      <w:r>
        <w:t xml:space="preserve"> of </w:t>
      </w:r>
      <w:r w:rsidR="00D16FEC">
        <w:t xml:space="preserve">our </w:t>
      </w:r>
      <w:r>
        <w:t>land and 30</w:t>
      </w:r>
      <w:r w:rsidR="00C03B6B">
        <w:t>%</w:t>
      </w:r>
      <w:r>
        <w:t xml:space="preserve"> of </w:t>
      </w:r>
      <w:r w:rsidR="00D16FEC">
        <w:t>our oceans</w:t>
      </w:r>
      <w:r>
        <w:t xml:space="preserve"> by 2030</w:t>
      </w:r>
      <w:r w:rsidR="00FF011B">
        <w:t xml:space="preserve"> – the</w:t>
      </w:r>
      <w:r w:rsidR="00D377BD">
        <w:t xml:space="preserve"> national</w:t>
      </w:r>
      <w:r w:rsidR="00FF011B">
        <w:t xml:space="preserve"> ’30 by 30 target’</w:t>
      </w:r>
      <w:r>
        <w:t xml:space="preserve">. </w:t>
      </w:r>
      <w:r w:rsidR="00D16FEC" w:rsidRPr="00057106">
        <w:t xml:space="preserve">On 21 October 2022, </w:t>
      </w:r>
      <w:r w:rsidR="002E0454">
        <w:t>e</w:t>
      </w:r>
      <w:r w:rsidR="00D16FEC" w:rsidRPr="00057106">
        <w:t xml:space="preserve">nvironment </w:t>
      </w:r>
      <w:r w:rsidR="002E0454">
        <w:t>m</w:t>
      </w:r>
      <w:r w:rsidR="00D16FEC" w:rsidRPr="00057106">
        <w:t>inisters from all jurisdictions agreed to work collectively to achieve the national</w:t>
      </w:r>
      <w:r w:rsidR="00D16FEC">
        <w:t xml:space="preserve"> 30 by 30 </w:t>
      </w:r>
      <w:r w:rsidR="00D16FEC" w:rsidRPr="00057106">
        <w:t>target.</w:t>
      </w:r>
      <w:r w:rsidR="00D16FEC">
        <w:t xml:space="preserve"> </w:t>
      </w:r>
      <w:r w:rsidR="002A1F44">
        <w:t>Around 22</w:t>
      </w:r>
      <w:r w:rsidR="00C03B6B">
        <w:t>%</w:t>
      </w:r>
      <w:r w:rsidR="002A1F44">
        <w:t xml:space="preserve"> of Australia’s landmass is currently in</w:t>
      </w:r>
      <w:r w:rsidR="00B93B0C">
        <w:t xml:space="preserve"> formally designated</w:t>
      </w:r>
      <w:r w:rsidR="002A1F44">
        <w:t xml:space="preserve"> </w:t>
      </w:r>
      <w:hyperlink w:anchor="_Glossary" w:history="1">
        <w:r w:rsidR="00D16FEC" w:rsidRPr="009F45B0">
          <w:rPr>
            <w:rStyle w:val="Hyperlink"/>
          </w:rPr>
          <w:t>protected areas</w:t>
        </w:r>
      </w:hyperlink>
      <w:r w:rsidR="002A1F44">
        <w:t xml:space="preserve"> and around 45</w:t>
      </w:r>
      <w:r w:rsidR="00C03B6B">
        <w:t>%</w:t>
      </w:r>
      <w:r w:rsidR="007345F9">
        <w:t xml:space="preserve"> </w:t>
      </w:r>
      <w:r w:rsidR="002A1F44">
        <w:t xml:space="preserve">of Australia’s </w:t>
      </w:r>
      <w:r w:rsidR="00D16FEC">
        <w:t xml:space="preserve">oceans </w:t>
      </w:r>
      <w:r w:rsidR="002A1F44">
        <w:t xml:space="preserve">are in marine protected areas. </w:t>
      </w:r>
    </w:p>
    <w:p w14:paraId="1BF71E68" w14:textId="77777777" w:rsidR="00B1449B" w:rsidRDefault="002B32A9" w:rsidP="00B1449B">
      <w:r>
        <w:t>M</w:t>
      </w:r>
      <w:r w:rsidR="00814A0B">
        <w:t>eeting a 30</w:t>
      </w:r>
      <w:r w:rsidR="00C03B6B">
        <w:t>%</w:t>
      </w:r>
      <w:r w:rsidR="00814A0B">
        <w:t xml:space="preserve"> target for land domestically </w:t>
      </w:r>
      <w:r>
        <w:t xml:space="preserve">requires an additional </w:t>
      </w:r>
      <w:r w:rsidR="009474B8">
        <w:t>60 million</w:t>
      </w:r>
      <w:r>
        <w:t xml:space="preserve"> hectares to be protected or conserved. </w:t>
      </w:r>
      <w:r w:rsidR="00A14AE6">
        <w:t xml:space="preserve">Both protected areas and other effective area-based conservation measures (OECMs) can contribute to the global and national 30 by 30 targets. </w:t>
      </w:r>
      <w:r w:rsidR="00CF0071">
        <w:t xml:space="preserve">Australia does not currently recognise or record OECMs. </w:t>
      </w:r>
    </w:p>
    <w:p w14:paraId="725636D2" w14:textId="77777777" w:rsidR="00B1449B" w:rsidRDefault="00B1449B" w:rsidP="00B1449B">
      <w:r>
        <w:t>Recognition of OECMs in Australia is an opportunity to:</w:t>
      </w:r>
    </w:p>
    <w:p w14:paraId="70821B95" w14:textId="77777777" w:rsidR="00B1449B" w:rsidRDefault="00B1449B" w:rsidP="00B1449B">
      <w:pPr>
        <w:pStyle w:val="ListBullet"/>
      </w:pPr>
      <w:r>
        <w:t xml:space="preserve">give greater recognition to areas important for biodiversity </w:t>
      </w:r>
      <w:r w:rsidR="00EE30DE">
        <w:t xml:space="preserve">where </w:t>
      </w:r>
      <w:r w:rsidR="00AF49E2">
        <w:t>formal</w:t>
      </w:r>
      <w:r>
        <w:t xml:space="preserve"> protected</w:t>
      </w:r>
      <w:r w:rsidR="00197627">
        <w:t xml:space="preserve"> area</w:t>
      </w:r>
      <w:r>
        <w:t xml:space="preserve"> </w:t>
      </w:r>
      <w:r w:rsidR="00EE30DE">
        <w:t>designation is not possible or supported</w:t>
      </w:r>
    </w:p>
    <w:p w14:paraId="4A6928BA" w14:textId="77777777" w:rsidR="00B1449B" w:rsidRDefault="00B1449B" w:rsidP="00B1449B">
      <w:pPr>
        <w:pStyle w:val="ListBullet"/>
      </w:pPr>
      <w:r>
        <w:t xml:space="preserve">recognise biodiversity conservation action that is occurring outside </w:t>
      </w:r>
      <w:r w:rsidR="00A675D3">
        <w:t>formal</w:t>
      </w:r>
      <w:r w:rsidR="007C70DF">
        <w:t>ly designated</w:t>
      </w:r>
      <w:r w:rsidR="00A675D3">
        <w:t xml:space="preserve"> </w:t>
      </w:r>
      <w:r>
        <w:t>protected areas</w:t>
      </w:r>
    </w:p>
    <w:p w14:paraId="3F4C3C51" w14:textId="77777777" w:rsidR="00B1449B" w:rsidRDefault="00B1449B" w:rsidP="00B1449B">
      <w:pPr>
        <w:pStyle w:val="ListBullet"/>
      </w:pPr>
      <w:r>
        <w:t xml:space="preserve">build ecologically representative and well-connected conservation networks </w:t>
      </w:r>
    </w:p>
    <w:p w14:paraId="6AB2B39C" w14:textId="77777777" w:rsidR="00B1449B" w:rsidRDefault="00B1449B" w:rsidP="00B1449B">
      <w:pPr>
        <w:pStyle w:val="ListBullet"/>
      </w:pPr>
      <w:r>
        <w:t xml:space="preserve">recognise Indigenous land management in circumstances where </w:t>
      </w:r>
      <w:r w:rsidR="00FE4511">
        <w:t xml:space="preserve">dedication as a </w:t>
      </w:r>
      <w:r>
        <w:t>protected area is</w:t>
      </w:r>
      <w:r w:rsidR="00247831">
        <w:t xml:space="preserve"> not</w:t>
      </w:r>
      <w:r>
        <w:t xml:space="preserve"> desirable or appropriate</w:t>
      </w:r>
    </w:p>
    <w:p w14:paraId="64A14CC0" w14:textId="77777777" w:rsidR="00B1449B" w:rsidRDefault="00B1449B" w:rsidP="00814A0B">
      <w:pPr>
        <w:pStyle w:val="ListBullet"/>
        <w:spacing w:after="200"/>
      </w:pPr>
      <w:r>
        <w:t>recognise conservation efforts in areas where land is managed for other purposes, such as productive landscapes.</w:t>
      </w:r>
    </w:p>
    <w:p w14:paraId="1B0A3CDE" w14:textId="77777777" w:rsidR="00A14AE6" w:rsidRDefault="00A14AE6" w:rsidP="00A14AE6">
      <w:pPr>
        <w:pStyle w:val="ListBullet"/>
        <w:numPr>
          <w:ilvl w:val="0"/>
          <w:numId w:val="0"/>
        </w:numPr>
        <w:spacing w:after="200"/>
      </w:pPr>
      <w:r>
        <w:t xml:space="preserve">For Australia to meet a national target, and make a strong contribution to a global 30 by 30 target, identification, recognition, recording and reporting of OECMs will be required. </w:t>
      </w:r>
    </w:p>
    <w:p w14:paraId="72CDBF53" w14:textId="77777777" w:rsidR="00A14AE6" w:rsidRDefault="00A14AE6" w:rsidP="00A14AE6">
      <w:pPr>
        <w:pStyle w:val="ListBullet"/>
        <w:numPr>
          <w:ilvl w:val="0"/>
          <w:numId w:val="0"/>
        </w:numPr>
        <w:spacing w:after="200"/>
      </w:pPr>
      <w:r>
        <w:t>In October 2022, environment m</w:t>
      </w:r>
      <w:r w:rsidRPr="00057106">
        <w:t>inisters agreed to develop a national framework to recognise OECMs to complement growth in protected areas.</w:t>
      </w:r>
      <w:r>
        <w:t xml:space="preserve"> A strong, nationally agreed framework to recognise OECMs as complementary to protected areas will support their consistent and robust identification.</w:t>
      </w:r>
    </w:p>
    <w:p w14:paraId="5A31D993" w14:textId="77777777" w:rsidR="008A3B2F" w:rsidRPr="00246F96" w:rsidRDefault="00246F96" w:rsidP="00CC08ED">
      <w:pPr>
        <w:pStyle w:val="BoxHeading"/>
        <w:shd w:val="clear" w:color="auto" w:fill="C6D9F1" w:themeFill="text2" w:themeFillTint="33"/>
        <w:spacing w:after="200"/>
      </w:pPr>
      <w:r>
        <w:t>R</w:t>
      </w:r>
      <w:r w:rsidR="005D436C" w:rsidRPr="00246F96">
        <w:t xml:space="preserve">ecognition of </w:t>
      </w:r>
      <w:r w:rsidR="006D0F48">
        <w:t xml:space="preserve">an </w:t>
      </w:r>
      <w:r w:rsidR="00D95E37" w:rsidRPr="00246F96">
        <w:t xml:space="preserve">OECM in Australia </w:t>
      </w:r>
      <w:r w:rsidR="002B32A9">
        <w:t>is intended to</w:t>
      </w:r>
      <w:r w:rsidR="00D95E37" w:rsidRPr="00246F96">
        <w:t xml:space="preserve">: </w:t>
      </w:r>
    </w:p>
    <w:p w14:paraId="4574B125" w14:textId="77777777" w:rsidR="008A3B2F" w:rsidRPr="00246F96" w:rsidRDefault="003E0545" w:rsidP="00CC08ED">
      <w:pPr>
        <w:pStyle w:val="BoxTextBullet"/>
        <w:shd w:val="clear" w:color="auto" w:fill="C6D9F1" w:themeFill="text2" w:themeFillTint="33"/>
      </w:pPr>
      <w:r>
        <w:t xml:space="preserve">be </w:t>
      </w:r>
      <w:r w:rsidR="0033469F">
        <w:t>v</w:t>
      </w:r>
      <w:r w:rsidR="008A3B2F" w:rsidRPr="00246F96">
        <w:t>oluntary</w:t>
      </w:r>
    </w:p>
    <w:p w14:paraId="28BCC2FE" w14:textId="77777777" w:rsidR="008A3B2F" w:rsidRDefault="003E0545" w:rsidP="00CC08ED">
      <w:pPr>
        <w:pStyle w:val="BoxTextBullet"/>
        <w:shd w:val="clear" w:color="auto" w:fill="C6D9F1" w:themeFill="text2" w:themeFillTint="33"/>
      </w:pPr>
      <w:r>
        <w:t xml:space="preserve">require </w:t>
      </w:r>
      <w:r w:rsidR="00270166">
        <w:t xml:space="preserve">assessment of each </w:t>
      </w:r>
      <w:r w:rsidR="002B32A9">
        <w:t>individual</w:t>
      </w:r>
      <w:r w:rsidR="00A91C61">
        <w:t>,</w:t>
      </w:r>
      <w:r w:rsidR="002B32A9">
        <w:t xml:space="preserve"> </w:t>
      </w:r>
      <w:r w:rsidR="00270166">
        <w:t>po</w:t>
      </w:r>
      <w:r w:rsidR="002B32A9">
        <w:t>tential</w:t>
      </w:r>
      <w:r w:rsidR="00270166">
        <w:t xml:space="preserve"> site </w:t>
      </w:r>
    </w:p>
    <w:p w14:paraId="6C9148FC" w14:textId="77777777" w:rsidR="009145C9" w:rsidRDefault="003E0545" w:rsidP="00CC08ED">
      <w:pPr>
        <w:pStyle w:val="BoxTextBullet"/>
        <w:shd w:val="clear" w:color="auto" w:fill="C6D9F1" w:themeFill="text2" w:themeFillTint="33"/>
      </w:pPr>
      <w:r>
        <w:t xml:space="preserve">require </w:t>
      </w:r>
      <w:r w:rsidR="00270166">
        <w:t>presence of</w:t>
      </w:r>
      <w:r w:rsidR="009145C9">
        <w:t xml:space="preserve"> important biodiversity values, that are </w:t>
      </w:r>
      <w:r w:rsidR="00197627">
        <w:t xml:space="preserve">to be </w:t>
      </w:r>
      <w:r w:rsidR="009145C9">
        <w:t>maintained in the long-term</w:t>
      </w:r>
      <w:r w:rsidR="00FE4511">
        <w:t>.</w:t>
      </w:r>
    </w:p>
    <w:p w14:paraId="1CA9ED07" w14:textId="77777777" w:rsidR="008547EE" w:rsidRDefault="008547EE">
      <w:pPr>
        <w:spacing w:after="0" w:line="240" w:lineRule="auto"/>
        <w:rPr>
          <w:sz w:val="20"/>
        </w:rPr>
      </w:pPr>
      <w:r>
        <w:rPr>
          <w:sz w:val="20"/>
        </w:rPr>
        <w:br w:type="page"/>
      </w:r>
    </w:p>
    <w:sdt>
      <w:sdtPr>
        <w:rPr>
          <w:rFonts w:ascii="Cambria" w:eastAsiaTheme="minorHAnsi" w:hAnsi="Cambria"/>
          <w:bCs w:val="0"/>
          <w:color w:val="auto"/>
          <w:sz w:val="22"/>
          <w:szCs w:val="22"/>
          <w:lang w:eastAsia="en-US"/>
        </w:rPr>
        <w:id w:val="-760297017"/>
        <w:docPartObj>
          <w:docPartGallery w:val="Table of Contents"/>
          <w:docPartUnique/>
        </w:docPartObj>
      </w:sdtPr>
      <w:sdtEndPr>
        <w:rPr>
          <w:rFonts w:asciiTheme="minorHAnsi" w:hAnsiTheme="minorHAnsi"/>
          <w:b/>
          <w:noProof/>
        </w:rPr>
      </w:sdtEndPr>
      <w:sdtContent>
        <w:p w14:paraId="3DF6D439" w14:textId="77777777" w:rsidR="00764D6A" w:rsidRPr="00137401" w:rsidRDefault="00E91D72" w:rsidP="00F53EEC">
          <w:pPr>
            <w:pStyle w:val="TOCHeading"/>
            <w:tabs>
              <w:tab w:val="center" w:pos="4535"/>
              <w:tab w:val="left" w:pos="4950"/>
            </w:tabs>
            <w:rPr>
              <w:rFonts w:ascii="Cambria" w:eastAsiaTheme="minorHAnsi" w:hAnsi="Cambria"/>
              <w:bCs w:val="0"/>
              <w:color w:val="auto"/>
              <w:sz w:val="22"/>
              <w:szCs w:val="22"/>
              <w:lang w:eastAsia="en-US"/>
            </w:rPr>
          </w:pPr>
          <w:r>
            <w:t>Contents</w:t>
          </w:r>
          <w:r w:rsidR="00F53EEC">
            <w:tab/>
          </w:r>
          <w:r w:rsidR="00F53EEC">
            <w:tab/>
          </w:r>
        </w:p>
        <w:p w14:paraId="41386EC4" w14:textId="77777777" w:rsidR="00320E89" w:rsidRDefault="00E91D72">
          <w:pPr>
            <w:pStyle w:val="TOC1"/>
            <w:rPr>
              <w:rFonts w:eastAsiaTheme="minorEastAsia"/>
              <w:b w:val="0"/>
              <w:lang w:eastAsia="en-AU"/>
            </w:rPr>
          </w:pPr>
          <w:r>
            <w:rPr>
              <w:b w:val="0"/>
            </w:rPr>
            <w:fldChar w:fldCharType="begin"/>
          </w:r>
          <w:r>
            <w:rPr>
              <w:b w:val="0"/>
            </w:rPr>
            <w:instrText xml:space="preserve"> TOC \h \z \u \t "Heading 2,1,Heading 3,2,Style1,2,TOA Heading,1" </w:instrText>
          </w:r>
          <w:r>
            <w:rPr>
              <w:b w:val="0"/>
            </w:rPr>
            <w:fldChar w:fldCharType="separate"/>
          </w:r>
          <w:hyperlink w:anchor="_Toc129263661" w:history="1">
            <w:r w:rsidR="00320E89" w:rsidRPr="008E70C6">
              <w:rPr>
                <w:rStyle w:val="Hyperlink"/>
              </w:rPr>
              <w:t>Executive Summary</w:t>
            </w:r>
            <w:r w:rsidR="00320E89">
              <w:rPr>
                <w:webHidden/>
              </w:rPr>
              <w:tab/>
            </w:r>
            <w:r w:rsidR="00320E89">
              <w:rPr>
                <w:webHidden/>
              </w:rPr>
              <w:fldChar w:fldCharType="begin"/>
            </w:r>
            <w:r w:rsidR="00320E89">
              <w:rPr>
                <w:webHidden/>
              </w:rPr>
              <w:instrText xml:space="preserve"> PAGEREF _Toc129263661 \h </w:instrText>
            </w:r>
            <w:r w:rsidR="00320E89">
              <w:rPr>
                <w:webHidden/>
              </w:rPr>
            </w:r>
            <w:r w:rsidR="00320E89">
              <w:rPr>
                <w:webHidden/>
              </w:rPr>
              <w:fldChar w:fldCharType="separate"/>
            </w:r>
            <w:r w:rsidR="00320E89">
              <w:rPr>
                <w:webHidden/>
              </w:rPr>
              <w:t>3</w:t>
            </w:r>
            <w:r w:rsidR="00320E89">
              <w:rPr>
                <w:webHidden/>
              </w:rPr>
              <w:fldChar w:fldCharType="end"/>
            </w:r>
          </w:hyperlink>
        </w:p>
        <w:p w14:paraId="2CFE29CC" w14:textId="77777777" w:rsidR="00320E89" w:rsidRDefault="00082ABC">
          <w:pPr>
            <w:pStyle w:val="TOC1"/>
            <w:rPr>
              <w:rFonts w:eastAsiaTheme="minorEastAsia"/>
              <w:b w:val="0"/>
              <w:lang w:eastAsia="en-AU"/>
            </w:rPr>
          </w:pPr>
          <w:hyperlink w:anchor="_Toc129263662" w:history="1">
            <w:r w:rsidR="00320E89" w:rsidRPr="008E70C6">
              <w:rPr>
                <w:rStyle w:val="Hyperlink"/>
              </w:rPr>
              <w:t>1</w:t>
            </w:r>
            <w:r w:rsidR="00320E89">
              <w:rPr>
                <w:rFonts w:eastAsiaTheme="minorEastAsia"/>
                <w:b w:val="0"/>
                <w:lang w:eastAsia="en-AU"/>
              </w:rPr>
              <w:tab/>
            </w:r>
            <w:r w:rsidR="00320E89" w:rsidRPr="008E70C6">
              <w:rPr>
                <w:rStyle w:val="Hyperlink"/>
              </w:rPr>
              <w:t>Introduction</w:t>
            </w:r>
            <w:r w:rsidR="00320E89">
              <w:rPr>
                <w:webHidden/>
              </w:rPr>
              <w:tab/>
            </w:r>
            <w:r w:rsidR="00320E89">
              <w:rPr>
                <w:webHidden/>
              </w:rPr>
              <w:fldChar w:fldCharType="begin"/>
            </w:r>
            <w:r w:rsidR="00320E89">
              <w:rPr>
                <w:webHidden/>
              </w:rPr>
              <w:instrText xml:space="preserve"> PAGEREF _Toc129263662 \h </w:instrText>
            </w:r>
            <w:r w:rsidR="00320E89">
              <w:rPr>
                <w:webHidden/>
              </w:rPr>
            </w:r>
            <w:r w:rsidR="00320E89">
              <w:rPr>
                <w:webHidden/>
              </w:rPr>
              <w:fldChar w:fldCharType="separate"/>
            </w:r>
            <w:r w:rsidR="00320E89">
              <w:rPr>
                <w:webHidden/>
              </w:rPr>
              <w:t>5</w:t>
            </w:r>
            <w:r w:rsidR="00320E89">
              <w:rPr>
                <w:webHidden/>
              </w:rPr>
              <w:fldChar w:fldCharType="end"/>
            </w:r>
          </w:hyperlink>
        </w:p>
        <w:p w14:paraId="2D9653B9" w14:textId="77777777" w:rsidR="00320E89" w:rsidRDefault="00082ABC">
          <w:pPr>
            <w:pStyle w:val="TOC1"/>
            <w:rPr>
              <w:rFonts w:eastAsiaTheme="minorEastAsia"/>
              <w:b w:val="0"/>
              <w:lang w:eastAsia="en-AU"/>
            </w:rPr>
          </w:pPr>
          <w:hyperlink w:anchor="_Toc129263663" w:history="1">
            <w:r w:rsidR="00320E89" w:rsidRPr="008E70C6">
              <w:rPr>
                <w:rStyle w:val="Hyperlink"/>
              </w:rPr>
              <w:t>2</w:t>
            </w:r>
            <w:r w:rsidR="00320E89">
              <w:rPr>
                <w:rFonts w:eastAsiaTheme="minorEastAsia"/>
                <w:b w:val="0"/>
                <w:lang w:eastAsia="en-AU"/>
              </w:rPr>
              <w:tab/>
            </w:r>
            <w:r w:rsidR="00320E89" w:rsidRPr="008E70C6">
              <w:rPr>
                <w:rStyle w:val="Hyperlink"/>
              </w:rPr>
              <w:t>What is an OECM?</w:t>
            </w:r>
            <w:r w:rsidR="00320E89">
              <w:rPr>
                <w:webHidden/>
              </w:rPr>
              <w:tab/>
            </w:r>
            <w:r w:rsidR="00320E89">
              <w:rPr>
                <w:webHidden/>
              </w:rPr>
              <w:fldChar w:fldCharType="begin"/>
            </w:r>
            <w:r w:rsidR="00320E89">
              <w:rPr>
                <w:webHidden/>
              </w:rPr>
              <w:instrText xml:space="preserve"> PAGEREF _Toc129263663 \h </w:instrText>
            </w:r>
            <w:r w:rsidR="00320E89">
              <w:rPr>
                <w:webHidden/>
              </w:rPr>
            </w:r>
            <w:r w:rsidR="00320E89">
              <w:rPr>
                <w:webHidden/>
              </w:rPr>
              <w:fldChar w:fldCharType="separate"/>
            </w:r>
            <w:r w:rsidR="00320E89">
              <w:rPr>
                <w:webHidden/>
              </w:rPr>
              <w:t>6</w:t>
            </w:r>
            <w:r w:rsidR="00320E89">
              <w:rPr>
                <w:webHidden/>
              </w:rPr>
              <w:fldChar w:fldCharType="end"/>
            </w:r>
          </w:hyperlink>
        </w:p>
        <w:p w14:paraId="7B16A729" w14:textId="77777777" w:rsidR="00320E89" w:rsidRDefault="00082ABC">
          <w:pPr>
            <w:pStyle w:val="TOC2"/>
            <w:tabs>
              <w:tab w:val="left" w:pos="1100"/>
            </w:tabs>
            <w:rPr>
              <w:rFonts w:eastAsiaTheme="minorEastAsia"/>
              <w:lang w:eastAsia="en-AU"/>
            </w:rPr>
          </w:pPr>
          <w:hyperlink w:anchor="_Toc129263664" w:history="1">
            <w:r w:rsidR="00320E89" w:rsidRPr="008E70C6">
              <w:rPr>
                <w:rStyle w:val="Hyperlink"/>
                <w:rFonts w:cstheme="minorHAnsi"/>
                <w:lang w:val="en-US"/>
              </w:rPr>
              <w:t>2.1</w:t>
            </w:r>
            <w:r w:rsidR="00320E89">
              <w:rPr>
                <w:rFonts w:eastAsiaTheme="minorEastAsia"/>
                <w:lang w:eastAsia="en-AU"/>
              </w:rPr>
              <w:tab/>
            </w:r>
            <w:r w:rsidR="00320E89" w:rsidRPr="008E70C6">
              <w:rPr>
                <w:rStyle w:val="Hyperlink"/>
                <w:rFonts w:cstheme="minorHAnsi"/>
                <w:lang w:val="en-US"/>
              </w:rPr>
              <w:t>The international framework to guide recognition</w:t>
            </w:r>
            <w:r w:rsidR="00320E89">
              <w:rPr>
                <w:webHidden/>
              </w:rPr>
              <w:tab/>
            </w:r>
            <w:r w:rsidR="00320E89">
              <w:rPr>
                <w:webHidden/>
              </w:rPr>
              <w:fldChar w:fldCharType="begin"/>
            </w:r>
            <w:r w:rsidR="00320E89">
              <w:rPr>
                <w:webHidden/>
              </w:rPr>
              <w:instrText xml:space="preserve"> PAGEREF _Toc129263664 \h </w:instrText>
            </w:r>
            <w:r w:rsidR="00320E89">
              <w:rPr>
                <w:webHidden/>
              </w:rPr>
            </w:r>
            <w:r w:rsidR="00320E89">
              <w:rPr>
                <w:webHidden/>
              </w:rPr>
              <w:fldChar w:fldCharType="separate"/>
            </w:r>
            <w:r w:rsidR="00320E89">
              <w:rPr>
                <w:webHidden/>
              </w:rPr>
              <w:t>7</w:t>
            </w:r>
            <w:r w:rsidR="00320E89">
              <w:rPr>
                <w:webHidden/>
              </w:rPr>
              <w:fldChar w:fldCharType="end"/>
            </w:r>
          </w:hyperlink>
        </w:p>
        <w:p w14:paraId="2F17D09F" w14:textId="77777777" w:rsidR="00320E89" w:rsidRDefault="00082ABC">
          <w:pPr>
            <w:pStyle w:val="TOC1"/>
            <w:rPr>
              <w:rFonts w:eastAsiaTheme="minorEastAsia"/>
              <w:b w:val="0"/>
              <w:lang w:eastAsia="en-AU"/>
            </w:rPr>
          </w:pPr>
          <w:hyperlink w:anchor="_Toc129263665" w:history="1">
            <w:r w:rsidR="00320E89" w:rsidRPr="008E70C6">
              <w:rPr>
                <w:rStyle w:val="Hyperlink"/>
              </w:rPr>
              <w:t>3</w:t>
            </w:r>
            <w:r w:rsidR="00320E89">
              <w:rPr>
                <w:rFonts w:eastAsiaTheme="minorEastAsia"/>
                <w:b w:val="0"/>
                <w:lang w:eastAsia="en-AU"/>
              </w:rPr>
              <w:tab/>
            </w:r>
            <w:r w:rsidR="00320E89" w:rsidRPr="008E70C6">
              <w:rPr>
                <w:rStyle w:val="Hyperlink"/>
              </w:rPr>
              <w:t>Why are we talking about OECMs?</w:t>
            </w:r>
            <w:r w:rsidR="00320E89">
              <w:rPr>
                <w:webHidden/>
              </w:rPr>
              <w:tab/>
            </w:r>
            <w:r w:rsidR="00320E89">
              <w:rPr>
                <w:webHidden/>
              </w:rPr>
              <w:fldChar w:fldCharType="begin"/>
            </w:r>
            <w:r w:rsidR="00320E89">
              <w:rPr>
                <w:webHidden/>
              </w:rPr>
              <w:instrText xml:space="preserve"> PAGEREF _Toc129263665 \h </w:instrText>
            </w:r>
            <w:r w:rsidR="00320E89">
              <w:rPr>
                <w:webHidden/>
              </w:rPr>
            </w:r>
            <w:r w:rsidR="00320E89">
              <w:rPr>
                <w:webHidden/>
              </w:rPr>
              <w:fldChar w:fldCharType="separate"/>
            </w:r>
            <w:r w:rsidR="00320E89">
              <w:rPr>
                <w:webHidden/>
              </w:rPr>
              <w:t>8</w:t>
            </w:r>
            <w:r w:rsidR="00320E89">
              <w:rPr>
                <w:webHidden/>
              </w:rPr>
              <w:fldChar w:fldCharType="end"/>
            </w:r>
          </w:hyperlink>
        </w:p>
        <w:p w14:paraId="3FAB4000" w14:textId="77777777" w:rsidR="00320E89" w:rsidRDefault="00082ABC">
          <w:pPr>
            <w:pStyle w:val="TOC2"/>
            <w:tabs>
              <w:tab w:val="left" w:pos="1100"/>
            </w:tabs>
            <w:rPr>
              <w:rFonts w:eastAsiaTheme="minorEastAsia"/>
              <w:lang w:eastAsia="en-AU"/>
            </w:rPr>
          </w:pPr>
          <w:hyperlink w:anchor="_Toc129263666" w:history="1">
            <w:r w:rsidR="00320E89" w:rsidRPr="008E70C6">
              <w:rPr>
                <w:rStyle w:val="Hyperlink"/>
                <w:rFonts w:cstheme="minorHAnsi"/>
                <w:lang w:val="en-US"/>
              </w:rPr>
              <w:t>3.1</w:t>
            </w:r>
            <w:r w:rsidR="00320E89">
              <w:rPr>
                <w:rFonts w:eastAsiaTheme="minorEastAsia"/>
                <w:lang w:eastAsia="en-AU"/>
              </w:rPr>
              <w:tab/>
            </w:r>
            <w:r w:rsidR="00320E89" w:rsidRPr="008E70C6">
              <w:rPr>
                <w:rStyle w:val="Hyperlink"/>
                <w:rFonts w:cstheme="minorHAnsi"/>
                <w:lang w:val="en-US"/>
              </w:rPr>
              <w:t>Australia’s contribution to a global ‘30 by 30’ target</w:t>
            </w:r>
            <w:r w:rsidR="00320E89">
              <w:rPr>
                <w:webHidden/>
              </w:rPr>
              <w:tab/>
            </w:r>
            <w:r w:rsidR="00320E89">
              <w:rPr>
                <w:webHidden/>
              </w:rPr>
              <w:fldChar w:fldCharType="begin"/>
            </w:r>
            <w:r w:rsidR="00320E89">
              <w:rPr>
                <w:webHidden/>
              </w:rPr>
              <w:instrText xml:space="preserve"> PAGEREF _Toc129263666 \h </w:instrText>
            </w:r>
            <w:r w:rsidR="00320E89">
              <w:rPr>
                <w:webHidden/>
              </w:rPr>
            </w:r>
            <w:r w:rsidR="00320E89">
              <w:rPr>
                <w:webHidden/>
              </w:rPr>
              <w:fldChar w:fldCharType="separate"/>
            </w:r>
            <w:r w:rsidR="00320E89">
              <w:rPr>
                <w:webHidden/>
              </w:rPr>
              <w:t>8</w:t>
            </w:r>
            <w:r w:rsidR="00320E89">
              <w:rPr>
                <w:webHidden/>
              </w:rPr>
              <w:fldChar w:fldCharType="end"/>
            </w:r>
          </w:hyperlink>
        </w:p>
        <w:p w14:paraId="27C30A7B" w14:textId="77777777" w:rsidR="00320E89" w:rsidRDefault="00082ABC">
          <w:pPr>
            <w:pStyle w:val="TOC2"/>
            <w:tabs>
              <w:tab w:val="left" w:pos="1100"/>
            </w:tabs>
            <w:rPr>
              <w:rFonts w:eastAsiaTheme="minorEastAsia"/>
              <w:lang w:eastAsia="en-AU"/>
            </w:rPr>
          </w:pPr>
          <w:hyperlink w:anchor="_Toc129263667" w:history="1">
            <w:r w:rsidR="00320E89" w:rsidRPr="008E70C6">
              <w:rPr>
                <w:rStyle w:val="Hyperlink"/>
                <w:rFonts w:cstheme="minorHAnsi"/>
                <w:lang w:val="en-US"/>
              </w:rPr>
              <w:t>3.2</w:t>
            </w:r>
            <w:r w:rsidR="00320E89">
              <w:rPr>
                <w:rFonts w:eastAsiaTheme="minorEastAsia"/>
                <w:lang w:eastAsia="en-AU"/>
              </w:rPr>
              <w:tab/>
            </w:r>
            <w:r w:rsidR="00320E89" w:rsidRPr="008E70C6">
              <w:rPr>
                <w:rStyle w:val="Hyperlink"/>
                <w:rFonts w:cstheme="minorHAnsi"/>
                <w:lang w:val="en-US"/>
              </w:rPr>
              <w:t>Australia’s national ‘30 by 30’ target</w:t>
            </w:r>
            <w:r w:rsidR="00320E89">
              <w:rPr>
                <w:webHidden/>
              </w:rPr>
              <w:tab/>
            </w:r>
            <w:r w:rsidR="00320E89">
              <w:rPr>
                <w:webHidden/>
              </w:rPr>
              <w:fldChar w:fldCharType="begin"/>
            </w:r>
            <w:r w:rsidR="00320E89">
              <w:rPr>
                <w:webHidden/>
              </w:rPr>
              <w:instrText xml:space="preserve"> PAGEREF _Toc129263667 \h </w:instrText>
            </w:r>
            <w:r w:rsidR="00320E89">
              <w:rPr>
                <w:webHidden/>
              </w:rPr>
            </w:r>
            <w:r w:rsidR="00320E89">
              <w:rPr>
                <w:webHidden/>
              </w:rPr>
              <w:fldChar w:fldCharType="separate"/>
            </w:r>
            <w:r w:rsidR="00320E89">
              <w:rPr>
                <w:webHidden/>
              </w:rPr>
              <w:t>8</w:t>
            </w:r>
            <w:r w:rsidR="00320E89">
              <w:rPr>
                <w:webHidden/>
              </w:rPr>
              <w:fldChar w:fldCharType="end"/>
            </w:r>
          </w:hyperlink>
        </w:p>
        <w:p w14:paraId="0075D94B" w14:textId="77777777" w:rsidR="00320E89" w:rsidRDefault="00082ABC">
          <w:pPr>
            <w:pStyle w:val="TOC1"/>
            <w:rPr>
              <w:rFonts w:eastAsiaTheme="minorEastAsia"/>
              <w:b w:val="0"/>
              <w:lang w:eastAsia="en-AU"/>
            </w:rPr>
          </w:pPr>
          <w:hyperlink w:anchor="_Toc129263668" w:history="1">
            <w:r w:rsidR="00320E89" w:rsidRPr="008E70C6">
              <w:rPr>
                <w:rStyle w:val="Hyperlink"/>
              </w:rPr>
              <w:t>4</w:t>
            </w:r>
            <w:r w:rsidR="00320E89">
              <w:rPr>
                <w:rFonts w:eastAsiaTheme="minorEastAsia"/>
                <w:b w:val="0"/>
                <w:lang w:eastAsia="en-AU"/>
              </w:rPr>
              <w:tab/>
            </w:r>
            <w:r w:rsidR="00320E89" w:rsidRPr="008E70C6">
              <w:rPr>
                <w:rStyle w:val="Hyperlink"/>
              </w:rPr>
              <w:t>Principles to guide OECM recognition in Australia</w:t>
            </w:r>
            <w:r w:rsidR="00320E89">
              <w:rPr>
                <w:webHidden/>
              </w:rPr>
              <w:tab/>
            </w:r>
            <w:r w:rsidR="00320E89">
              <w:rPr>
                <w:webHidden/>
              </w:rPr>
              <w:fldChar w:fldCharType="begin"/>
            </w:r>
            <w:r w:rsidR="00320E89">
              <w:rPr>
                <w:webHidden/>
              </w:rPr>
              <w:instrText xml:space="preserve"> PAGEREF _Toc129263668 \h </w:instrText>
            </w:r>
            <w:r w:rsidR="00320E89">
              <w:rPr>
                <w:webHidden/>
              </w:rPr>
            </w:r>
            <w:r w:rsidR="00320E89">
              <w:rPr>
                <w:webHidden/>
              </w:rPr>
              <w:fldChar w:fldCharType="separate"/>
            </w:r>
            <w:r w:rsidR="00320E89">
              <w:rPr>
                <w:webHidden/>
              </w:rPr>
              <w:t>9</w:t>
            </w:r>
            <w:r w:rsidR="00320E89">
              <w:rPr>
                <w:webHidden/>
              </w:rPr>
              <w:fldChar w:fldCharType="end"/>
            </w:r>
          </w:hyperlink>
        </w:p>
        <w:p w14:paraId="441DC619" w14:textId="77777777" w:rsidR="00320E89" w:rsidRDefault="00082ABC">
          <w:pPr>
            <w:pStyle w:val="TOC2"/>
            <w:tabs>
              <w:tab w:val="left" w:pos="1100"/>
            </w:tabs>
            <w:rPr>
              <w:rFonts w:eastAsiaTheme="minorEastAsia"/>
              <w:lang w:eastAsia="en-AU"/>
            </w:rPr>
          </w:pPr>
          <w:hyperlink w:anchor="_Toc129263669" w:history="1">
            <w:r w:rsidR="00320E89" w:rsidRPr="008E70C6">
              <w:rPr>
                <w:rStyle w:val="Hyperlink"/>
              </w:rPr>
              <w:t>4.1</w:t>
            </w:r>
            <w:r w:rsidR="00320E89">
              <w:rPr>
                <w:rFonts w:eastAsiaTheme="minorEastAsia"/>
                <w:lang w:eastAsia="en-AU"/>
              </w:rPr>
              <w:tab/>
            </w:r>
            <w:r w:rsidR="00320E89" w:rsidRPr="008E70C6">
              <w:rPr>
                <w:rStyle w:val="Hyperlink"/>
              </w:rPr>
              <w:t>Consent</w:t>
            </w:r>
            <w:r w:rsidR="00320E89">
              <w:rPr>
                <w:webHidden/>
              </w:rPr>
              <w:tab/>
            </w:r>
            <w:r w:rsidR="00320E89">
              <w:rPr>
                <w:webHidden/>
              </w:rPr>
              <w:fldChar w:fldCharType="begin"/>
            </w:r>
            <w:r w:rsidR="00320E89">
              <w:rPr>
                <w:webHidden/>
              </w:rPr>
              <w:instrText xml:space="preserve"> PAGEREF _Toc129263669 \h </w:instrText>
            </w:r>
            <w:r w:rsidR="00320E89">
              <w:rPr>
                <w:webHidden/>
              </w:rPr>
            </w:r>
            <w:r w:rsidR="00320E89">
              <w:rPr>
                <w:webHidden/>
              </w:rPr>
              <w:fldChar w:fldCharType="separate"/>
            </w:r>
            <w:r w:rsidR="00320E89">
              <w:rPr>
                <w:webHidden/>
              </w:rPr>
              <w:t>9</w:t>
            </w:r>
            <w:r w:rsidR="00320E89">
              <w:rPr>
                <w:webHidden/>
              </w:rPr>
              <w:fldChar w:fldCharType="end"/>
            </w:r>
          </w:hyperlink>
        </w:p>
        <w:p w14:paraId="45457B3C" w14:textId="77777777" w:rsidR="00320E89" w:rsidRDefault="00082ABC">
          <w:pPr>
            <w:pStyle w:val="TOC2"/>
            <w:tabs>
              <w:tab w:val="left" w:pos="1100"/>
            </w:tabs>
            <w:rPr>
              <w:rFonts w:eastAsiaTheme="minorEastAsia"/>
              <w:lang w:eastAsia="en-AU"/>
            </w:rPr>
          </w:pPr>
          <w:hyperlink w:anchor="_Toc129263670" w:history="1">
            <w:r w:rsidR="00320E89" w:rsidRPr="008E70C6">
              <w:rPr>
                <w:rStyle w:val="Hyperlink"/>
              </w:rPr>
              <w:t>4.2</w:t>
            </w:r>
            <w:r w:rsidR="00320E89">
              <w:rPr>
                <w:rFonts w:eastAsiaTheme="minorEastAsia"/>
                <w:lang w:eastAsia="en-AU"/>
              </w:rPr>
              <w:tab/>
            </w:r>
            <w:r w:rsidR="00320E89" w:rsidRPr="008E70C6">
              <w:rPr>
                <w:rStyle w:val="Hyperlink"/>
              </w:rPr>
              <w:t>Biodiversity values</w:t>
            </w:r>
            <w:r w:rsidR="00320E89">
              <w:rPr>
                <w:webHidden/>
              </w:rPr>
              <w:tab/>
            </w:r>
            <w:r w:rsidR="00320E89">
              <w:rPr>
                <w:webHidden/>
              </w:rPr>
              <w:fldChar w:fldCharType="begin"/>
            </w:r>
            <w:r w:rsidR="00320E89">
              <w:rPr>
                <w:webHidden/>
              </w:rPr>
              <w:instrText xml:space="preserve"> PAGEREF _Toc129263670 \h </w:instrText>
            </w:r>
            <w:r w:rsidR="00320E89">
              <w:rPr>
                <w:webHidden/>
              </w:rPr>
            </w:r>
            <w:r w:rsidR="00320E89">
              <w:rPr>
                <w:webHidden/>
              </w:rPr>
              <w:fldChar w:fldCharType="separate"/>
            </w:r>
            <w:r w:rsidR="00320E89">
              <w:rPr>
                <w:webHidden/>
              </w:rPr>
              <w:t>10</w:t>
            </w:r>
            <w:r w:rsidR="00320E89">
              <w:rPr>
                <w:webHidden/>
              </w:rPr>
              <w:fldChar w:fldCharType="end"/>
            </w:r>
          </w:hyperlink>
        </w:p>
        <w:p w14:paraId="15957D0C" w14:textId="77777777" w:rsidR="00320E89" w:rsidRDefault="00082ABC">
          <w:pPr>
            <w:pStyle w:val="TOC2"/>
            <w:tabs>
              <w:tab w:val="left" w:pos="1100"/>
            </w:tabs>
            <w:rPr>
              <w:rFonts w:eastAsiaTheme="minorEastAsia"/>
              <w:lang w:eastAsia="en-AU"/>
            </w:rPr>
          </w:pPr>
          <w:hyperlink w:anchor="_Toc129263671" w:history="1">
            <w:r w:rsidR="00320E89" w:rsidRPr="008E70C6">
              <w:rPr>
                <w:rStyle w:val="Hyperlink"/>
              </w:rPr>
              <w:t>4.3</w:t>
            </w:r>
            <w:r w:rsidR="00320E89">
              <w:rPr>
                <w:rFonts w:eastAsiaTheme="minorEastAsia"/>
                <w:lang w:eastAsia="en-AU"/>
              </w:rPr>
              <w:tab/>
            </w:r>
            <w:r w:rsidR="00320E89" w:rsidRPr="008E70C6">
              <w:rPr>
                <w:rStyle w:val="Hyperlink"/>
              </w:rPr>
              <w:t>Protected area consideration</w:t>
            </w:r>
            <w:r w:rsidR="00320E89">
              <w:rPr>
                <w:webHidden/>
              </w:rPr>
              <w:tab/>
            </w:r>
            <w:r w:rsidR="00320E89">
              <w:rPr>
                <w:webHidden/>
              </w:rPr>
              <w:fldChar w:fldCharType="begin"/>
            </w:r>
            <w:r w:rsidR="00320E89">
              <w:rPr>
                <w:webHidden/>
              </w:rPr>
              <w:instrText xml:space="preserve"> PAGEREF _Toc129263671 \h </w:instrText>
            </w:r>
            <w:r w:rsidR="00320E89">
              <w:rPr>
                <w:webHidden/>
              </w:rPr>
            </w:r>
            <w:r w:rsidR="00320E89">
              <w:rPr>
                <w:webHidden/>
              </w:rPr>
              <w:fldChar w:fldCharType="separate"/>
            </w:r>
            <w:r w:rsidR="00320E89">
              <w:rPr>
                <w:webHidden/>
              </w:rPr>
              <w:t>11</w:t>
            </w:r>
            <w:r w:rsidR="00320E89">
              <w:rPr>
                <w:webHidden/>
              </w:rPr>
              <w:fldChar w:fldCharType="end"/>
            </w:r>
          </w:hyperlink>
        </w:p>
        <w:p w14:paraId="22EAFD71" w14:textId="77777777" w:rsidR="00320E89" w:rsidRDefault="00082ABC">
          <w:pPr>
            <w:pStyle w:val="TOC2"/>
            <w:tabs>
              <w:tab w:val="left" w:pos="1100"/>
            </w:tabs>
            <w:rPr>
              <w:rFonts w:eastAsiaTheme="minorEastAsia"/>
              <w:lang w:eastAsia="en-AU"/>
            </w:rPr>
          </w:pPr>
          <w:hyperlink w:anchor="_Toc129263672" w:history="1">
            <w:r w:rsidR="00320E89" w:rsidRPr="008E70C6">
              <w:rPr>
                <w:rStyle w:val="Hyperlink"/>
              </w:rPr>
              <w:t>4.4</w:t>
            </w:r>
            <w:r w:rsidR="00320E89">
              <w:rPr>
                <w:rFonts w:eastAsiaTheme="minorEastAsia"/>
                <w:lang w:eastAsia="en-AU"/>
              </w:rPr>
              <w:tab/>
            </w:r>
            <w:r w:rsidR="00320E89" w:rsidRPr="008E70C6">
              <w:rPr>
                <w:rStyle w:val="Hyperlink"/>
              </w:rPr>
              <w:t>Geographically defined area</w:t>
            </w:r>
            <w:r w:rsidR="00320E89">
              <w:rPr>
                <w:webHidden/>
              </w:rPr>
              <w:tab/>
            </w:r>
            <w:r w:rsidR="00320E89">
              <w:rPr>
                <w:webHidden/>
              </w:rPr>
              <w:fldChar w:fldCharType="begin"/>
            </w:r>
            <w:r w:rsidR="00320E89">
              <w:rPr>
                <w:webHidden/>
              </w:rPr>
              <w:instrText xml:space="preserve"> PAGEREF _Toc129263672 \h </w:instrText>
            </w:r>
            <w:r w:rsidR="00320E89">
              <w:rPr>
                <w:webHidden/>
              </w:rPr>
            </w:r>
            <w:r w:rsidR="00320E89">
              <w:rPr>
                <w:webHidden/>
              </w:rPr>
              <w:fldChar w:fldCharType="separate"/>
            </w:r>
            <w:r w:rsidR="00320E89">
              <w:rPr>
                <w:webHidden/>
              </w:rPr>
              <w:t>12</w:t>
            </w:r>
            <w:r w:rsidR="00320E89">
              <w:rPr>
                <w:webHidden/>
              </w:rPr>
              <w:fldChar w:fldCharType="end"/>
            </w:r>
          </w:hyperlink>
        </w:p>
        <w:p w14:paraId="2C09A7DA" w14:textId="77777777" w:rsidR="00320E89" w:rsidRDefault="00082ABC">
          <w:pPr>
            <w:pStyle w:val="TOC2"/>
            <w:tabs>
              <w:tab w:val="left" w:pos="1100"/>
            </w:tabs>
            <w:rPr>
              <w:rFonts w:eastAsiaTheme="minorEastAsia"/>
              <w:lang w:eastAsia="en-AU"/>
            </w:rPr>
          </w:pPr>
          <w:hyperlink w:anchor="_Toc129263673" w:history="1">
            <w:r w:rsidR="00320E89" w:rsidRPr="008E70C6">
              <w:rPr>
                <w:rStyle w:val="Hyperlink"/>
              </w:rPr>
              <w:t>4.5</w:t>
            </w:r>
            <w:r w:rsidR="00320E89">
              <w:rPr>
                <w:rFonts w:eastAsiaTheme="minorEastAsia"/>
                <w:lang w:eastAsia="en-AU"/>
              </w:rPr>
              <w:tab/>
            </w:r>
            <w:r w:rsidR="00320E89" w:rsidRPr="008E70C6">
              <w:rPr>
                <w:rStyle w:val="Hyperlink"/>
              </w:rPr>
              <w:t>Land tenure</w:t>
            </w:r>
            <w:r w:rsidR="00320E89">
              <w:rPr>
                <w:webHidden/>
              </w:rPr>
              <w:tab/>
            </w:r>
            <w:r w:rsidR="00320E89">
              <w:rPr>
                <w:webHidden/>
              </w:rPr>
              <w:fldChar w:fldCharType="begin"/>
            </w:r>
            <w:r w:rsidR="00320E89">
              <w:rPr>
                <w:webHidden/>
              </w:rPr>
              <w:instrText xml:space="preserve"> PAGEREF _Toc129263673 \h </w:instrText>
            </w:r>
            <w:r w:rsidR="00320E89">
              <w:rPr>
                <w:webHidden/>
              </w:rPr>
            </w:r>
            <w:r w:rsidR="00320E89">
              <w:rPr>
                <w:webHidden/>
              </w:rPr>
              <w:fldChar w:fldCharType="separate"/>
            </w:r>
            <w:r w:rsidR="00320E89">
              <w:rPr>
                <w:webHidden/>
              </w:rPr>
              <w:t>13</w:t>
            </w:r>
            <w:r w:rsidR="00320E89">
              <w:rPr>
                <w:webHidden/>
              </w:rPr>
              <w:fldChar w:fldCharType="end"/>
            </w:r>
          </w:hyperlink>
        </w:p>
        <w:p w14:paraId="09791AD5" w14:textId="77777777" w:rsidR="00320E89" w:rsidRDefault="00082ABC">
          <w:pPr>
            <w:pStyle w:val="TOC2"/>
            <w:tabs>
              <w:tab w:val="left" w:pos="1100"/>
            </w:tabs>
            <w:rPr>
              <w:rFonts w:eastAsiaTheme="minorEastAsia"/>
              <w:lang w:eastAsia="en-AU"/>
            </w:rPr>
          </w:pPr>
          <w:hyperlink w:anchor="_Toc129263674" w:history="1">
            <w:r w:rsidR="00320E89" w:rsidRPr="008E70C6">
              <w:rPr>
                <w:rStyle w:val="Hyperlink"/>
              </w:rPr>
              <w:t>4.6</w:t>
            </w:r>
            <w:r w:rsidR="00320E89">
              <w:rPr>
                <w:rFonts w:eastAsiaTheme="minorEastAsia"/>
                <w:lang w:eastAsia="en-AU"/>
              </w:rPr>
              <w:tab/>
            </w:r>
            <w:r w:rsidR="00320E89" w:rsidRPr="008E70C6">
              <w:rPr>
                <w:rStyle w:val="Hyperlink"/>
              </w:rPr>
              <w:t>Governance</w:t>
            </w:r>
            <w:r w:rsidR="00320E89">
              <w:rPr>
                <w:webHidden/>
              </w:rPr>
              <w:tab/>
            </w:r>
            <w:r w:rsidR="00320E89">
              <w:rPr>
                <w:webHidden/>
              </w:rPr>
              <w:fldChar w:fldCharType="begin"/>
            </w:r>
            <w:r w:rsidR="00320E89">
              <w:rPr>
                <w:webHidden/>
              </w:rPr>
              <w:instrText xml:space="preserve"> PAGEREF _Toc129263674 \h </w:instrText>
            </w:r>
            <w:r w:rsidR="00320E89">
              <w:rPr>
                <w:webHidden/>
              </w:rPr>
            </w:r>
            <w:r w:rsidR="00320E89">
              <w:rPr>
                <w:webHidden/>
              </w:rPr>
              <w:fldChar w:fldCharType="separate"/>
            </w:r>
            <w:r w:rsidR="00320E89">
              <w:rPr>
                <w:webHidden/>
              </w:rPr>
              <w:t>13</w:t>
            </w:r>
            <w:r w:rsidR="00320E89">
              <w:rPr>
                <w:webHidden/>
              </w:rPr>
              <w:fldChar w:fldCharType="end"/>
            </w:r>
          </w:hyperlink>
        </w:p>
        <w:p w14:paraId="06071F8B" w14:textId="77777777" w:rsidR="00320E89" w:rsidRDefault="00082ABC">
          <w:pPr>
            <w:pStyle w:val="TOC2"/>
            <w:tabs>
              <w:tab w:val="left" w:pos="1100"/>
            </w:tabs>
            <w:rPr>
              <w:rFonts w:eastAsiaTheme="minorEastAsia"/>
              <w:lang w:eastAsia="en-AU"/>
            </w:rPr>
          </w:pPr>
          <w:hyperlink w:anchor="_Toc129263675" w:history="1">
            <w:r w:rsidR="00320E89" w:rsidRPr="008E70C6">
              <w:rPr>
                <w:rStyle w:val="Hyperlink"/>
              </w:rPr>
              <w:t>4.7</w:t>
            </w:r>
            <w:r w:rsidR="00320E89">
              <w:rPr>
                <w:rFonts w:eastAsiaTheme="minorEastAsia"/>
                <w:lang w:eastAsia="en-AU"/>
              </w:rPr>
              <w:tab/>
            </w:r>
            <w:r w:rsidR="00320E89" w:rsidRPr="008E70C6">
              <w:rPr>
                <w:rStyle w:val="Hyperlink"/>
              </w:rPr>
              <w:t>Site management</w:t>
            </w:r>
            <w:r w:rsidR="00320E89">
              <w:rPr>
                <w:webHidden/>
              </w:rPr>
              <w:tab/>
            </w:r>
            <w:r w:rsidR="00320E89">
              <w:rPr>
                <w:webHidden/>
              </w:rPr>
              <w:fldChar w:fldCharType="begin"/>
            </w:r>
            <w:r w:rsidR="00320E89">
              <w:rPr>
                <w:webHidden/>
              </w:rPr>
              <w:instrText xml:space="preserve"> PAGEREF _Toc129263675 \h </w:instrText>
            </w:r>
            <w:r w:rsidR="00320E89">
              <w:rPr>
                <w:webHidden/>
              </w:rPr>
            </w:r>
            <w:r w:rsidR="00320E89">
              <w:rPr>
                <w:webHidden/>
              </w:rPr>
              <w:fldChar w:fldCharType="separate"/>
            </w:r>
            <w:r w:rsidR="00320E89">
              <w:rPr>
                <w:webHidden/>
              </w:rPr>
              <w:t>14</w:t>
            </w:r>
            <w:r w:rsidR="00320E89">
              <w:rPr>
                <w:webHidden/>
              </w:rPr>
              <w:fldChar w:fldCharType="end"/>
            </w:r>
          </w:hyperlink>
        </w:p>
        <w:p w14:paraId="5A51D9E2" w14:textId="77777777" w:rsidR="00320E89" w:rsidRDefault="00082ABC">
          <w:pPr>
            <w:pStyle w:val="TOC2"/>
            <w:tabs>
              <w:tab w:val="left" w:pos="1100"/>
            </w:tabs>
            <w:rPr>
              <w:rFonts w:eastAsiaTheme="minorEastAsia"/>
              <w:lang w:eastAsia="en-AU"/>
            </w:rPr>
          </w:pPr>
          <w:hyperlink w:anchor="_Toc129263676" w:history="1">
            <w:r w:rsidR="00320E89" w:rsidRPr="008E70C6">
              <w:rPr>
                <w:rStyle w:val="Hyperlink"/>
              </w:rPr>
              <w:t>4.8</w:t>
            </w:r>
            <w:r w:rsidR="00320E89">
              <w:rPr>
                <w:rFonts w:eastAsiaTheme="minorEastAsia"/>
                <w:lang w:eastAsia="en-AU"/>
              </w:rPr>
              <w:tab/>
            </w:r>
            <w:r w:rsidR="00320E89" w:rsidRPr="008E70C6">
              <w:rPr>
                <w:rStyle w:val="Hyperlink"/>
              </w:rPr>
              <w:t>Sustained long-term</w:t>
            </w:r>
            <w:r w:rsidR="00320E89">
              <w:rPr>
                <w:webHidden/>
              </w:rPr>
              <w:tab/>
            </w:r>
            <w:r w:rsidR="00320E89">
              <w:rPr>
                <w:webHidden/>
              </w:rPr>
              <w:fldChar w:fldCharType="begin"/>
            </w:r>
            <w:r w:rsidR="00320E89">
              <w:rPr>
                <w:webHidden/>
              </w:rPr>
              <w:instrText xml:space="preserve"> PAGEREF _Toc129263676 \h </w:instrText>
            </w:r>
            <w:r w:rsidR="00320E89">
              <w:rPr>
                <w:webHidden/>
              </w:rPr>
            </w:r>
            <w:r w:rsidR="00320E89">
              <w:rPr>
                <w:webHidden/>
              </w:rPr>
              <w:fldChar w:fldCharType="separate"/>
            </w:r>
            <w:r w:rsidR="00320E89">
              <w:rPr>
                <w:webHidden/>
              </w:rPr>
              <w:t>15</w:t>
            </w:r>
            <w:r w:rsidR="00320E89">
              <w:rPr>
                <w:webHidden/>
              </w:rPr>
              <w:fldChar w:fldCharType="end"/>
            </w:r>
          </w:hyperlink>
        </w:p>
        <w:p w14:paraId="11208A65" w14:textId="77777777" w:rsidR="00320E89" w:rsidRDefault="00082ABC">
          <w:pPr>
            <w:pStyle w:val="TOC1"/>
            <w:rPr>
              <w:rFonts w:eastAsiaTheme="minorEastAsia"/>
              <w:b w:val="0"/>
              <w:lang w:eastAsia="en-AU"/>
            </w:rPr>
          </w:pPr>
          <w:hyperlink w:anchor="_Toc129263677" w:history="1">
            <w:r w:rsidR="00320E89" w:rsidRPr="008E70C6">
              <w:rPr>
                <w:rStyle w:val="Hyperlink"/>
              </w:rPr>
              <w:t>5</w:t>
            </w:r>
            <w:r w:rsidR="00320E89">
              <w:rPr>
                <w:rFonts w:eastAsiaTheme="minorEastAsia"/>
                <w:b w:val="0"/>
                <w:lang w:eastAsia="en-AU"/>
              </w:rPr>
              <w:tab/>
            </w:r>
            <w:r w:rsidR="00320E89" w:rsidRPr="008E70C6">
              <w:rPr>
                <w:rStyle w:val="Hyperlink"/>
              </w:rPr>
              <w:t>Examples</w:t>
            </w:r>
            <w:r w:rsidR="00320E89">
              <w:rPr>
                <w:webHidden/>
              </w:rPr>
              <w:tab/>
            </w:r>
            <w:r w:rsidR="00320E89">
              <w:rPr>
                <w:webHidden/>
              </w:rPr>
              <w:fldChar w:fldCharType="begin"/>
            </w:r>
            <w:r w:rsidR="00320E89">
              <w:rPr>
                <w:webHidden/>
              </w:rPr>
              <w:instrText xml:space="preserve"> PAGEREF _Toc129263677 \h </w:instrText>
            </w:r>
            <w:r w:rsidR="00320E89">
              <w:rPr>
                <w:webHidden/>
              </w:rPr>
            </w:r>
            <w:r w:rsidR="00320E89">
              <w:rPr>
                <w:webHidden/>
              </w:rPr>
              <w:fldChar w:fldCharType="separate"/>
            </w:r>
            <w:r w:rsidR="00320E89">
              <w:rPr>
                <w:webHidden/>
              </w:rPr>
              <w:t>15</w:t>
            </w:r>
            <w:r w:rsidR="00320E89">
              <w:rPr>
                <w:webHidden/>
              </w:rPr>
              <w:fldChar w:fldCharType="end"/>
            </w:r>
          </w:hyperlink>
        </w:p>
        <w:p w14:paraId="286A0F9F" w14:textId="77777777" w:rsidR="00320E89" w:rsidRDefault="00082ABC">
          <w:pPr>
            <w:pStyle w:val="TOC1"/>
            <w:rPr>
              <w:rFonts w:eastAsiaTheme="minorEastAsia"/>
              <w:b w:val="0"/>
              <w:lang w:eastAsia="en-AU"/>
            </w:rPr>
          </w:pPr>
          <w:hyperlink w:anchor="_Toc129263678" w:history="1">
            <w:r w:rsidR="00320E89" w:rsidRPr="008E70C6">
              <w:rPr>
                <w:rStyle w:val="Hyperlink"/>
              </w:rPr>
              <w:t>6</w:t>
            </w:r>
            <w:r w:rsidR="00320E89">
              <w:rPr>
                <w:rFonts w:eastAsiaTheme="minorEastAsia"/>
                <w:b w:val="0"/>
                <w:lang w:eastAsia="en-AU"/>
              </w:rPr>
              <w:tab/>
            </w:r>
            <w:r w:rsidR="00320E89" w:rsidRPr="008E70C6">
              <w:rPr>
                <w:rStyle w:val="Hyperlink"/>
              </w:rPr>
              <w:t>Next steps</w:t>
            </w:r>
            <w:r w:rsidR="00320E89">
              <w:rPr>
                <w:webHidden/>
              </w:rPr>
              <w:tab/>
            </w:r>
            <w:r w:rsidR="00320E89">
              <w:rPr>
                <w:webHidden/>
              </w:rPr>
              <w:fldChar w:fldCharType="begin"/>
            </w:r>
            <w:r w:rsidR="00320E89">
              <w:rPr>
                <w:webHidden/>
              </w:rPr>
              <w:instrText xml:space="preserve"> PAGEREF _Toc129263678 \h </w:instrText>
            </w:r>
            <w:r w:rsidR="00320E89">
              <w:rPr>
                <w:webHidden/>
              </w:rPr>
            </w:r>
            <w:r w:rsidR="00320E89">
              <w:rPr>
                <w:webHidden/>
              </w:rPr>
              <w:fldChar w:fldCharType="separate"/>
            </w:r>
            <w:r w:rsidR="00320E89">
              <w:rPr>
                <w:webHidden/>
              </w:rPr>
              <w:t>16</w:t>
            </w:r>
            <w:r w:rsidR="00320E89">
              <w:rPr>
                <w:webHidden/>
              </w:rPr>
              <w:fldChar w:fldCharType="end"/>
            </w:r>
          </w:hyperlink>
        </w:p>
        <w:p w14:paraId="07E612D1" w14:textId="77777777" w:rsidR="00320E89" w:rsidRDefault="00082ABC">
          <w:pPr>
            <w:pStyle w:val="TOC1"/>
            <w:rPr>
              <w:rFonts w:eastAsiaTheme="minorEastAsia"/>
              <w:b w:val="0"/>
              <w:lang w:eastAsia="en-AU"/>
            </w:rPr>
          </w:pPr>
          <w:hyperlink w:anchor="_Toc129263679" w:history="1">
            <w:r w:rsidR="00320E89" w:rsidRPr="008E70C6">
              <w:rPr>
                <w:rStyle w:val="Hyperlink"/>
              </w:rPr>
              <w:t>Glossary</w:t>
            </w:r>
            <w:r w:rsidR="00320E89">
              <w:rPr>
                <w:webHidden/>
              </w:rPr>
              <w:tab/>
            </w:r>
            <w:r w:rsidR="00320E89">
              <w:rPr>
                <w:webHidden/>
              </w:rPr>
              <w:fldChar w:fldCharType="begin"/>
            </w:r>
            <w:r w:rsidR="00320E89">
              <w:rPr>
                <w:webHidden/>
              </w:rPr>
              <w:instrText xml:space="preserve"> PAGEREF _Toc129263679 \h </w:instrText>
            </w:r>
            <w:r w:rsidR="00320E89">
              <w:rPr>
                <w:webHidden/>
              </w:rPr>
            </w:r>
            <w:r w:rsidR="00320E89">
              <w:rPr>
                <w:webHidden/>
              </w:rPr>
              <w:fldChar w:fldCharType="separate"/>
            </w:r>
            <w:r w:rsidR="00320E89">
              <w:rPr>
                <w:webHidden/>
              </w:rPr>
              <w:t>17</w:t>
            </w:r>
            <w:r w:rsidR="00320E89">
              <w:rPr>
                <w:webHidden/>
              </w:rPr>
              <w:fldChar w:fldCharType="end"/>
            </w:r>
          </w:hyperlink>
        </w:p>
        <w:p w14:paraId="206C9D6A" w14:textId="77777777" w:rsidR="00320E89" w:rsidRDefault="00082ABC">
          <w:pPr>
            <w:pStyle w:val="TOC1"/>
            <w:rPr>
              <w:rFonts w:eastAsiaTheme="minorEastAsia"/>
              <w:b w:val="0"/>
              <w:lang w:eastAsia="en-AU"/>
            </w:rPr>
          </w:pPr>
          <w:hyperlink w:anchor="_Toc129263680" w:history="1">
            <w:r w:rsidR="00320E89" w:rsidRPr="008E70C6">
              <w:rPr>
                <w:rStyle w:val="Hyperlink"/>
              </w:rPr>
              <w:t>References</w:t>
            </w:r>
            <w:r w:rsidR="00320E89">
              <w:rPr>
                <w:webHidden/>
              </w:rPr>
              <w:tab/>
            </w:r>
            <w:r w:rsidR="00320E89">
              <w:rPr>
                <w:webHidden/>
              </w:rPr>
              <w:fldChar w:fldCharType="begin"/>
            </w:r>
            <w:r w:rsidR="00320E89">
              <w:rPr>
                <w:webHidden/>
              </w:rPr>
              <w:instrText xml:space="preserve"> PAGEREF _Toc129263680 \h </w:instrText>
            </w:r>
            <w:r w:rsidR="00320E89">
              <w:rPr>
                <w:webHidden/>
              </w:rPr>
            </w:r>
            <w:r w:rsidR="00320E89">
              <w:rPr>
                <w:webHidden/>
              </w:rPr>
              <w:fldChar w:fldCharType="separate"/>
            </w:r>
            <w:r w:rsidR="00320E89">
              <w:rPr>
                <w:webHidden/>
              </w:rPr>
              <w:t>18</w:t>
            </w:r>
            <w:r w:rsidR="00320E89">
              <w:rPr>
                <w:webHidden/>
              </w:rPr>
              <w:fldChar w:fldCharType="end"/>
            </w:r>
          </w:hyperlink>
        </w:p>
        <w:p w14:paraId="01DFBBE9" w14:textId="77777777" w:rsidR="00764D6A" w:rsidRDefault="00E91D72">
          <w:r>
            <w:rPr>
              <w:b/>
              <w:noProof/>
            </w:rPr>
            <w:fldChar w:fldCharType="end"/>
          </w:r>
        </w:p>
      </w:sdtContent>
    </w:sdt>
    <w:p w14:paraId="7F38894C" w14:textId="77777777" w:rsidR="00764D6A" w:rsidRDefault="00E91D72" w:rsidP="00345722">
      <w:pPr>
        <w:pStyle w:val="Heading2"/>
      </w:pPr>
      <w:bookmarkStart w:id="4" w:name="_Toc430782150"/>
      <w:bookmarkStart w:id="5" w:name="_Toc129263662"/>
      <w:r>
        <w:lastRenderedPageBreak/>
        <w:t>Introduction</w:t>
      </w:r>
      <w:bookmarkEnd w:id="4"/>
      <w:bookmarkEnd w:id="5"/>
    </w:p>
    <w:p w14:paraId="36F81688" w14:textId="77777777" w:rsidR="00A94A9F" w:rsidRDefault="00507059" w:rsidP="006859CC">
      <w:r>
        <w:t xml:space="preserve">Australia does not currently recognise or record </w:t>
      </w:r>
      <w:r w:rsidR="00351EDB">
        <w:t>o</w:t>
      </w:r>
      <w:r>
        <w:t xml:space="preserve">ther </w:t>
      </w:r>
      <w:r w:rsidR="00351EDB">
        <w:t>effective area</w:t>
      </w:r>
      <w:r>
        <w:t>-</w:t>
      </w:r>
      <w:r w:rsidR="00351EDB">
        <w:t xml:space="preserve">based conservation measures </w:t>
      </w:r>
      <w:r>
        <w:t>(OECMs).</w:t>
      </w:r>
      <w:r w:rsidR="00A94A9F">
        <w:t xml:space="preserve"> </w:t>
      </w:r>
      <w:r w:rsidR="00D95E37">
        <w:t xml:space="preserve">This paper </w:t>
      </w:r>
      <w:r w:rsidR="001C2BBF">
        <w:t>a</w:t>
      </w:r>
      <w:r w:rsidR="00D95E37">
        <w:t>rticulate</w:t>
      </w:r>
      <w:r w:rsidR="001C2BBF">
        <w:t>s</w:t>
      </w:r>
      <w:r w:rsidR="00D95E37">
        <w:t xml:space="preserve"> proposed principles for the recognition of OECMs in Australia. </w:t>
      </w:r>
    </w:p>
    <w:p w14:paraId="66853BCA" w14:textId="77777777" w:rsidR="009F78DF" w:rsidRDefault="00270166" w:rsidP="00CF7CA3">
      <w:r>
        <w:t>T</w:t>
      </w:r>
      <w:r w:rsidR="00507059">
        <w:t>he Department of Climate Change, Energy, the Environment and Water has</w:t>
      </w:r>
      <w:r w:rsidR="00D95E37">
        <w:t xml:space="preserve"> led the development of this paper, </w:t>
      </w:r>
      <w:r w:rsidR="006859CC">
        <w:t xml:space="preserve">in collaboration </w:t>
      </w:r>
      <w:r w:rsidR="00D95E37">
        <w:t xml:space="preserve">with all Australian jurisdictions. </w:t>
      </w:r>
      <w:r w:rsidR="001C2BBF">
        <w:t>C</w:t>
      </w:r>
      <w:r w:rsidR="00507059">
        <w:t>ollaborative development</w:t>
      </w:r>
      <w:r w:rsidR="009F78DF">
        <w:t xml:space="preserve"> of</w:t>
      </w:r>
      <w:r w:rsidR="001C2BBF">
        <w:t xml:space="preserve"> an OECM framework</w:t>
      </w:r>
      <w:r w:rsidR="00507059">
        <w:t xml:space="preserve"> will enable Australian jurisdictions and stakeholders to work together to consistently identify and recognise </w:t>
      </w:r>
      <w:r w:rsidR="009F78DF">
        <w:t>land based</w:t>
      </w:r>
      <w:r w:rsidR="00507059">
        <w:t xml:space="preserve"> OECMs.</w:t>
      </w:r>
      <w:r w:rsidR="009F78DF" w:rsidRPr="009F78DF">
        <w:t xml:space="preserve"> </w:t>
      </w:r>
      <w:r w:rsidR="009F78DF">
        <w:t>Identifying and recognising OECMs in marine areas</w:t>
      </w:r>
      <w:r w:rsidR="001C2BBF">
        <w:t xml:space="preserve"> may be considered in future</w:t>
      </w:r>
      <w:r w:rsidR="009F78DF">
        <w:t xml:space="preserve">. </w:t>
      </w:r>
    </w:p>
    <w:p w14:paraId="2053B32A" w14:textId="77777777" w:rsidR="00AE66CA" w:rsidRDefault="00AE66CA" w:rsidP="00AE66CA">
      <w:r>
        <w:t xml:space="preserve">OECMs deliver effective </w:t>
      </w:r>
      <w:hyperlink w:anchor="_Glossary" w:history="1">
        <w:r w:rsidRPr="00200843">
          <w:rPr>
            <w:rStyle w:val="Hyperlink"/>
          </w:rPr>
          <w:t>in-situ</w:t>
        </w:r>
      </w:hyperlink>
      <w:r>
        <w:t xml:space="preserve"> conservation of biodiversity, regardless of primary management objectives</w:t>
      </w:r>
      <w:r w:rsidR="00B17564">
        <w:t>. They</w:t>
      </w:r>
      <w:r>
        <w:t xml:space="preserve"> are defined by the United Nations Convention on Biological Diversity (CBD) </w:t>
      </w:r>
      <w:r w:rsidR="004B5740">
        <w:t xml:space="preserve">under </w:t>
      </w:r>
      <w:hyperlink r:id="rId18" w:history="1">
        <w:r w:rsidR="004B5740" w:rsidRPr="004B5740">
          <w:rPr>
            <w:rStyle w:val="Hyperlink"/>
          </w:rPr>
          <w:t>Decision 14/8 Protected areas and other effective area-based conservation measures</w:t>
        </w:r>
      </w:hyperlink>
      <w:r w:rsidR="004B5740">
        <w:t xml:space="preserve"> </w:t>
      </w:r>
      <w:r>
        <w:t xml:space="preserve">as: </w:t>
      </w:r>
    </w:p>
    <w:p w14:paraId="460D129F" w14:textId="77777777" w:rsidR="00AE66CA" w:rsidRPr="007B3ED0" w:rsidRDefault="00AE66CA" w:rsidP="00AE66CA">
      <w:pPr>
        <w:ind w:left="720" w:right="848"/>
        <w:rPr>
          <w:i/>
          <w:iCs/>
        </w:rPr>
      </w:pPr>
      <w:r w:rsidRPr="007B3ED0">
        <w:rPr>
          <w:i/>
          <w:iCs/>
        </w:rPr>
        <w:t xml:space="preserve">A geographically defined area other than a Protected Area, which is governed and managed in ways that achieve positive and sustained long-term outcomes for the in-situ conservation of biodiversity, with associated ecosystem functions and services and where applicable, cultural, spiritual, socio-economic, and other locally relevant values. </w:t>
      </w:r>
    </w:p>
    <w:p w14:paraId="7E9038B9" w14:textId="77777777" w:rsidR="00AE66CA" w:rsidRDefault="00B17564" w:rsidP="00AE66CA">
      <w:r>
        <w:t>T</w:t>
      </w:r>
      <w:r w:rsidR="00AE66CA">
        <w:t>he International Union for the Conservation of Nature</w:t>
      </w:r>
      <w:r w:rsidR="00E23DD9">
        <w:t xml:space="preserve"> (IUCN)</w:t>
      </w:r>
      <w:r>
        <w:t xml:space="preserve"> has developed guidance</w:t>
      </w:r>
      <w:r w:rsidR="00AE66CA">
        <w:t xml:space="preserve"> to assist countries to recognise OECMs within their national circumstances. Taking into account the OECM definition, the</w:t>
      </w:r>
      <w:r>
        <w:t xml:space="preserve"> </w:t>
      </w:r>
      <w:hyperlink w:anchor="_Glossary" w:history="1">
        <w:r w:rsidRPr="00022163">
          <w:rPr>
            <w:rStyle w:val="Hyperlink"/>
          </w:rPr>
          <w:t>IUCN</w:t>
        </w:r>
      </w:hyperlink>
      <w:r w:rsidR="00AE66CA" w:rsidRPr="00580A8F">
        <w:t xml:space="preserve"> guidance</w:t>
      </w:r>
      <w:r w:rsidR="00580A8F">
        <w:t xml:space="preserve"> (IUCN-WCPA Task Force on OECMs 2019)</w:t>
      </w:r>
      <w:r w:rsidR="00AE66CA">
        <w:t xml:space="preserve">, experience of other nations, and the protected area requirements in Australia, this paper outlines proposed principles for the recognition of land based OECMs in Australia. </w:t>
      </w:r>
      <w:r w:rsidR="00AE66CA" w:rsidRPr="00E5557C">
        <w:t xml:space="preserve">Where appropriate, consistency between requirements for protected </w:t>
      </w:r>
      <w:r w:rsidR="00AE66CA">
        <w:t>and</w:t>
      </w:r>
      <w:r w:rsidR="00AE66CA" w:rsidRPr="00E5557C">
        <w:t xml:space="preserve"> conserved area</w:t>
      </w:r>
      <w:r w:rsidR="00AE66CA">
        <w:t>s</w:t>
      </w:r>
      <w:r>
        <w:t xml:space="preserve"> are proposed</w:t>
      </w:r>
      <w:r w:rsidR="00AE66CA" w:rsidRPr="00E5557C">
        <w:t>.</w:t>
      </w:r>
      <w:r w:rsidR="00AE66CA" w:rsidRPr="00AE66CA">
        <w:t xml:space="preserve"> </w:t>
      </w:r>
      <w:r w:rsidR="00AE66CA">
        <w:t>These principles are intended to provide a shared understanding of what an OECM is in the Australian context.</w:t>
      </w:r>
    </w:p>
    <w:p w14:paraId="7DDCFEAC" w14:textId="77777777" w:rsidR="00AE66CA" w:rsidRDefault="00AE66CA" w:rsidP="00AE66CA">
      <w:r>
        <w:t>The final principles will be incorporated into a tool</w:t>
      </w:r>
      <w:r w:rsidR="00181A46">
        <w:t xml:space="preserve"> for assessing</w:t>
      </w:r>
      <w:r>
        <w:t xml:space="preserve"> the eligibility of sites for recognition as OECMs in Australia</w:t>
      </w:r>
      <w:r w:rsidR="00181A46">
        <w:t>; a site assessment tool</w:t>
      </w:r>
      <w:r>
        <w:t xml:space="preserve">. </w:t>
      </w:r>
    </w:p>
    <w:p w14:paraId="22231B3A" w14:textId="77777777" w:rsidR="00AE66CA" w:rsidRDefault="00AE66CA" w:rsidP="00AE66CA">
      <w:r>
        <w:t xml:space="preserve">Implementation issues </w:t>
      </w:r>
      <w:r w:rsidRPr="00D95E37">
        <w:t>e.g. monitoring, recording, compliance and reporting</w:t>
      </w:r>
      <w:r>
        <w:t xml:space="preserve"> are under consideration</w:t>
      </w:r>
      <w:r w:rsidR="00FE4511">
        <w:t>. C</w:t>
      </w:r>
      <w:r>
        <w:t>onsult</w:t>
      </w:r>
      <w:r w:rsidR="00FE4511">
        <w:t>ation</w:t>
      </w:r>
      <w:r>
        <w:t xml:space="preserve"> on</w:t>
      </w:r>
      <w:r w:rsidR="00FE4511">
        <w:t xml:space="preserve"> these issues will occur</w:t>
      </w:r>
      <w:r>
        <w:t xml:space="preserve"> at a later date.</w:t>
      </w:r>
    </w:p>
    <w:p w14:paraId="37D83499" w14:textId="77777777" w:rsidR="00AE66CA" w:rsidRPr="00CC08ED" w:rsidRDefault="00AE66CA" w:rsidP="00CC08ED">
      <w:pPr>
        <w:pStyle w:val="BoxHeading"/>
        <w:shd w:val="clear" w:color="auto" w:fill="C6D9F1" w:themeFill="text2" w:themeFillTint="33"/>
      </w:pPr>
      <w:r>
        <w:t xml:space="preserve">The purpose of this document is to support public consultation on </w:t>
      </w:r>
      <w:r w:rsidR="00FE4511">
        <w:t xml:space="preserve">principles </w:t>
      </w:r>
      <w:r>
        <w:t xml:space="preserve">proposed to guide recognition of OECMs. </w:t>
      </w:r>
      <w:r w:rsidRPr="00CC08ED">
        <w:t>We are seeking your views on</w:t>
      </w:r>
      <w:r w:rsidR="006347CE" w:rsidRPr="00CC08ED">
        <w:t xml:space="preserve"> the following</w:t>
      </w:r>
      <w:r w:rsidRPr="00CC08ED">
        <w:t>:</w:t>
      </w:r>
    </w:p>
    <w:p w14:paraId="7C6691B8" w14:textId="77777777" w:rsidR="00360E15" w:rsidRPr="00CC08ED" w:rsidRDefault="00360E15" w:rsidP="00CC08ED">
      <w:pPr>
        <w:pStyle w:val="BoxTextBullet"/>
        <w:shd w:val="clear" w:color="auto" w:fill="C6D9F1" w:themeFill="text2" w:themeFillTint="33"/>
      </w:pPr>
      <w:r w:rsidRPr="00CC08ED">
        <w:t>Are there principles missing?</w:t>
      </w:r>
    </w:p>
    <w:p w14:paraId="05F12C45" w14:textId="77777777" w:rsidR="00830226" w:rsidRPr="00CC08ED" w:rsidRDefault="00830226" w:rsidP="00CC08ED">
      <w:pPr>
        <w:pStyle w:val="BoxTextBullet"/>
        <w:shd w:val="clear" w:color="auto" w:fill="C6D9F1" w:themeFill="text2" w:themeFillTint="33"/>
      </w:pPr>
      <w:r w:rsidRPr="00CC08ED">
        <w:t>Is anything unclear in the principles?</w:t>
      </w:r>
    </w:p>
    <w:p w14:paraId="103C0040" w14:textId="77777777" w:rsidR="00830226" w:rsidRPr="00CC08ED" w:rsidRDefault="00830226" w:rsidP="00CC08ED">
      <w:pPr>
        <w:pStyle w:val="BoxTextBullet"/>
        <w:shd w:val="clear" w:color="auto" w:fill="C6D9F1" w:themeFill="text2" w:themeFillTint="33"/>
      </w:pPr>
      <w:r w:rsidRPr="00CC08ED">
        <w:t xml:space="preserve">Do the principles give you confidence that </w:t>
      </w:r>
      <w:r w:rsidR="00360E15" w:rsidRPr="00CC08ED">
        <w:t>high quality / robust sites will be identified?</w:t>
      </w:r>
    </w:p>
    <w:p w14:paraId="68E25F07" w14:textId="77777777" w:rsidR="00830226" w:rsidRPr="00CC08ED" w:rsidRDefault="00830226" w:rsidP="00CC08ED">
      <w:pPr>
        <w:pStyle w:val="BoxTextBullet"/>
        <w:shd w:val="clear" w:color="auto" w:fill="C6D9F1" w:themeFill="text2" w:themeFillTint="33"/>
      </w:pPr>
      <w:r w:rsidRPr="00CC08ED">
        <w:t xml:space="preserve">Do you have a view on the minimum </w:t>
      </w:r>
      <w:r w:rsidR="00A268AC">
        <w:t xml:space="preserve">long-term </w:t>
      </w:r>
      <w:r w:rsidRPr="00CC08ED">
        <w:t xml:space="preserve">timeframe required for </w:t>
      </w:r>
      <w:r w:rsidR="00A268AC">
        <w:t xml:space="preserve">an </w:t>
      </w:r>
      <w:r w:rsidRPr="00CC08ED">
        <w:t>OECM?</w:t>
      </w:r>
    </w:p>
    <w:p w14:paraId="4F649032" w14:textId="77777777" w:rsidR="00830226" w:rsidRPr="00CC08ED" w:rsidRDefault="006347CE" w:rsidP="00CC08ED">
      <w:pPr>
        <w:pStyle w:val="BoxTextBullet"/>
        <w:shd w:val="clear" w:color="auto" w:fill="C6D9F1" w:themeFill="text2" w:themeFillTint="33"/>
      </w:pPr>
      <w:r w:rsidRPr="00CC08ED">
        <w:t>Do you see opportunities for OECM recognition?</w:t>
      </w:r>
    </w:p>
    <w:p w14:paraId="5FFCA348" w14:textId="77777777" w:rsidR="00FF011B" w:rsidRDefault="00FF011B" w:rsidP="00D70307">
      <w:pPr>
        <w:pStyle w:val="Heading2"/>
        <w:keepNext/>
        <w:pageBreakBefore w:val="0"/>
      </w:pPr>
      <w:bookmarkStart w:id="6" w:name="_Toc129263663"/>
      <w:r>
        <w:lastRenderedPageBreak/>
        <w:t>What is an OECM?</w:t>
      </w:r>
      <w:bookmarkEnd w:id="6"/>
    </w:p>
    <w:p w14:paraId="7A10E82E" w14:textId="77777777" w:rsidR="00AF7F88" w:rsidRDefault="00FF011B" w:rsidP="00AF7F88">
      <w:r>
        <w:t xml:space="preserve">OECMs </w:t>
      </w:r>
      <w:r w:rsidR="004459A8">
        <w:t>are</w:t>
      </w:r>
      <w:r w:rsidR="0027674B">
        <w:t xml:space="preserve"> a form</w:t>
      </w:r>
      <w:r w:rsidR="0027674B" w:rsidRPr="008156DE">
        <w:t xml:space="preserve"> </w:t>
      </w:r>
      <w:r w:rsidR="0027674B" w:rsidRPr="00591CE8">
        <w:t xml:space="preserve">of </w:t>
      </w:r>
      <w:r w:rsidR="0027674B" w:rsidRPr="00022163">
        <w:rPr>
          <w:rStyle w:val="Hyperlink"/>
        </w:rPr>
        <w:t>in-situ</w:t>
      </w:r>
      <w:r w:rsidR="004459A8">
        <w:rPr>
          <w:rStyle w:val="Hyperlink"/>
        </w:rPr>
        <w:t>,</w:t>
      </w:r>
      <w:r w:rsidR="0027674B" w:rsidRPr="00591CE8">
        <w:t xml:space="preserve"> area</w:t>
      </w:r>
      <w:r w:rsidR="0027674B">
        <w:t>-based conservation</w:t>
      </w:r>
      <w:r>
        <w:t xml:space="preserve">. Both </w:t>
      </w:r>
      <w:r w:rsidR="00B16BE5">
        <w:t xml:space="preserve">OECMs and protected areas </w:t>
      </w:r>
      <w:r>
        <w:t>are intended to contribute to</w:t>
      </w:r>
      <w:r w:rsidR="001769C9">
        <w:t xml:space="preserve"> the</w:t>
      </w:r>
      <w:r>
        <w:t xml:space="preserve"> conservation of</w:t>
      </w:r>
      <w:r w:rsidR="00D61FA5">
        <w:t xml:space="preserve"> important</w:t>
      </w:r>
      <w:r>
        <w:t xml:space="preserve"> biodiversity</w:t>
      </w:r>
      <w:r w:rsidR="008156DE" w:rsidRPr="008156DE">
        <w:t xml:space="preserve"> </w:t>
      </w:r>
      <w:r w:rsidR="008156DE">
        <w:t>and can contribute to national and global 30 by 30 targets</w:t>
      </w:r>
      <w:r w:rsidR="00270166">
        <w:t>.</w:t>
      </w:r>
      <w:r>
        <w:t xml:space="preserve"> OECMs are not intended to be viewed as being of lesser value than protected areas</w:t>
      </w:r>
      <w:r w:rsidR="00AB6DDA">
        <w:t xml:space="preserve"> in achieving biodiversity conservation outcomes</w:t>
      </w:r>
      <w:r>
        <w:t xml:space="preserve">. </w:t>
      </w:r>
      <w:r w:rsidR="00AF7F88">
        <w:t>A site can</w:t>
      </w:r>
      <w:r w:rsidR="00D11597">
        <w:t xml:space="preserve"> </w:t>
      </w:r>
      <w:r w:rsidR="00AF7F88">
        <w:t xml:space="preserve">be a formal protected area, </w:t>
      </w:r>
      <w:r w:rsidR="00D11597">
        <w:t>or rec</w:t>
      </w:r>
      <w:r w:rsidR="00AF7F88">
        <w:t>ognised as an OECM</w:t>
      </w:r>
      <w:r w:rsidR="00D11597">
        <w:t xml:space="preserve"> – it cannot be both</w:t>
      </w:r>
      <w:r w:rsidR="00AF7F88">
        <w:t>.</w:t>
      </w:r>
      <w:r w:rsidR="00833741">
        <w:t xml:space="preserve"> OECMs will not contribute to the National Reserve System</w:t>
      </w:r>
      <w:r w:rsidR="002B61FF">
        <w:t>, which is Australia’s network of protected areas on land</w:t>
      </w:r>
      <w:r w:rsidR="00833741">
        <w:t xml:space="preserve">. </w:t>
      </w:r>
      <w:r w:rsidR="00AF7F88">
        <w:t>Eligibility for OECM recognition</w:t>
      </w:r>
      <w:r w:rsidR="006D0F48">
        <w:t xml:space="preserve"> will be</w:t>
      </w:r>
      <w:r w:rsidR="00AF7F88">
        <w:t xml:space="preserve"> assessed at the site level.</w:t>
      </w:r>
    </w:p>
    <w:p w14:paraId="75A8238B" w14:textId="77777777" w:rsidR="008156DE" w:rsidRDefault="00AF7F88" w:rsidP="008156DE">
      <w:r>
        <w:t xml:space="preserve">Protected areas have a primary conservation objective. </w:t>
      </w:r>
      <w:r w:rsidR="008156DE">
        <w:t xml:space="preserve">OECMs deliver effective in-situ conservation of biodiversity, regardless of primary management objectives, and are defined by the United Nations Convention on Biological Diversity (CBD) as: </w:t>
      </w:r>
    </w:p>
    <w:p w14:paraId="4E688EFF" w14:textId="77777777" w:rsidR="00FF011B" w:rsidRPr="003F18EC" w:rsidRDefault="00FF011B" w:rsidP="00FF011B">
      <w:pPr>
        <w:ind w:left="720" w:right="848"/>
        <w:rPr>
          <w:i/>
          <w:iCs/>
        </w:rPr>
      </w:pPr>
      <w:r w:rsidRPr="003F18EC">
        <w:rPr>
          <w:i/>
          <w:iCs/>
        </w:rPr>
        <w:t xml:space="preserve">A geographically defined area other than a Protected Area, which is governed and managed in ways that achieve positive and sustained long-term outcomes for the in-situ conservation of biodiversity, with associated ecosystem functions and services and where applicable, cultural, spiritual, socio-economic, and other locally relevant values.  </w:t>
      </w:r>
    </w:p>
    <w:p w14:paraId="1C429E16" w14:textId="77777777" w:rsidR="006310D2" w:rsidRDefault="006310D2" w:rsidP="006310D2">
      <w:r w:rsidRPr="003D1D71">
        <w:rPr>
          <w:lang w:val="en-US"/>
        </w:rPr>
        <w:t>Note: While ‘</w:t>
      </w:r>
      <w:r w:rsidR="00E830FC">
        <w:rPr>
          <w:lang w:val="en-US"/>
        </w:rPr>
        <w:t>o</w:t>
      </w:r>
      <w:r w:rsidRPr="003D1D71">
        <w:rPr>
          <w:lang w:val="en-US"/>
        </w:rPr>
        <w:t xml:space="preserve">ther </w:t>
      </w:r>
      <w:r w:rsidR="00E830FC">
        <w:rPr>
          <w:lang w:val="en-US"/>
        </w:rPr>
        <w:t>e</w:t>
      </w:r>
      <w:r w:rsidR="00E830FC" w:rsidRPr="003D1D71">
        <w:rPr>
          <w:lang w:val="en-US"/>
        </w:rPr>
        <w:t xml:space="preserve">ffective </w:t>
      </w:r>
      <w:r w:rsidR="00E830FC">
        <w:rPr>
          <w:lang w:val="en-US"/>
        </w:rPr>
        <w:t>a</w:t>
      </w:r>
      <w:r w:rsidR="00E830FC" w:rsidRPr="003D1D71">
        <w:rPr>
          <w:lang w:val="en-US"/>
        </w:rPr>
        <w:t>rea</w:t>
      </w:r>
      <w:r w:rsidRPr="003D1D71">
        <w:rPr>
          <w:lang w:val="en-US"/>
        </w:rPr>
        <w:t>-</w:t>
      </w:r>
      <w:r w:rsidR="00E830FC">
        <w:rPr>
          <w:lang w:val="en-US"/>
        </w:rPr>
        <w:t>b</w:t>
      </w:r>
      <w:r w:rsidR="00E830FC" w:rsidRPr="003D1D71">
        <w:rPr>
          <w:lang w:val="en-US"/>
        </w:rPr>
        <w:t xml:space="preserve">ased </w:t>
      </w:r>
      <w:r w:rsidR="00E830FC">
        <w:rPr>
          <w:lang w:val="en-US"/>
        </w:rPr>
        <w:t>c</w:t>
      </w:r>
      <w:r w:rsidR="00E830FC" w:rsidRPr="003D1D71">
        <w:rPr>
          <w:lang w:val="en-US"/>
        </w:rPr>
        <w:t xml:space="preserve">onservation </w:t>
      </w:r>
      <w:r w:rsidR="00E830FC">
        <w:rPr>
          <w:lang w:val="en-US"/>
        </w:rPr>
        <w:t>m</w:t>
      </w:r>
      <w:r w:rsidR="00E830FC" w:rsidRPr="003D1D71">
        <w:rPr>
          <w:lang w:val="en-US"/>
        </w:rPr>
        <w:t xml:space="preserve">easures’ </w:t>
      </w:r>
      <w:r w:rsidRPr="003D1D71">
        <w:rPr>
          <w:lang w:val="en-US"/>
        </w:rPr>
        <w:t xml:space="preserve">includes the term ‘measures’, it is not the intent that measures are actions, e.g. a ‘no hunting policy’ on its own is not an OECM. As noted in the definition, OECMs </w:t>
      </w:r>
      <w:r w:rsidR="00A91C61">
        <w:rPr>
          <w:lang w:val="en-US"/>
        </w:rPr>
        <w:t>are</w:t>
      </w:r>
      <w:r w:rsidRPr="003D1D71">
        <w:rPr>
          <w:lang w:val="en-US"/>
        </w:rPr>
        <w:t xml:space="preserve"> </w:t>
      </w:r>
      <w:r w:rsidRPr="005F66C4">
        <w:rPr>
          <w:lang w:val="en-US"/>
        </w:rPr>
        <w:t>geographically defined areas.</w:t>
      </w:r>
    </w:p>
    <w:p w14:paraId="42B7767A" w14:textId="77777777" w:rsidR="00AF7F88" w:rsidRDefault="00FF011B" w:rsidP="00AF7F88">
      <w:r>
        <w:t>OECMs</w:t>
      </w:r>
      <w:r w:rsidR="00AF7F88">
        <w:t xml:space="preserve"> </w:t>
      </w:r>
      <w:r>
        <w:t xml:space="preserve">may be managed with conservation as a primary or secondary objective, or the ancillary result of long-term management activities. </w:t>
      </w:r>
    </w:p>
    <w:p w14:paraId="134900E9" w14:textId="77777777" w:rsidR="00FF011B" w:rsidRDefault="00FF011B" w:rsidP="005F31F4">
      <w:pPr>
        <w:pStyle w:val="ListBullet"/>
        <w:numPr>
          <w:ilvl w:val="0"/>
          <w:numId w:val="13"/>
        </w:numPr>
      </w:pPr>
      <w:r>
        <w:t xml:space="preserve">An example of an ancillary result is the coincidental protection of habitats, such as when </w:t>
      </w:r>
      <w:r w:rsidR="00D61FA5">
        <w:t xml:space="preserve">water </w:t>
      </w:r>
      <w:r w:rsidR="00A051C0">
        <w:t xml:space="preserve">supply </w:t>
      </w:r>
      <w:r w:rsidR="00D61FA5">
        <w:t>catchment areas</w:t>
      </w:r>
      <w:r>
        <w:t xml:space="preserve"> are protected for </w:t>
      </w:r>
      <w:r w:rsidR="00DE376F">
        <w:t>water quality</w:t>
      </w:r>
      <w:r w:rsidR="00D61FA5">
        <w:t xml:space="preserve"> purposes</w:t>
      </w:r>
      <w:r>
        <w:t>, even though biodiversity conservation is not a management objective.</w:t>
      </w:r>
    </w:p>
    <w:p w14:paraId="72B4B545" w14:textId="77777777" w:rsidR="00AF7F88" w:rsidRDefault="00FF011B" w:rsidP="00AF7F88">
      <w:r>
        <w:t xml:space="preserve">OECMs can have legal protection that is unrelated to the protection of species and habitats, for example, </w:t>
      </w:r>
      <w:bookmarkStart w:id="7" w:name="_Hlk125906960"/>
      <w:r w:rsidRPr="00D025E8">
        <w:t xml:space="preserve">water </w:t>
      </w:r>
      <w:r w:rsidR="00A051C0">
        <w:t xml:space="preserve">supply </w:t>
      </w:r>
      <w:r w:rsidRPr="00D025E8">
        <w:t>catchment areas</w:t>
      </w:r>
      <w:bookmarkEnd w:id="7"/>
      <w:r>
        <w:t xml:space="preserve">. </w:t>
      </w:r>
    </w:p>
    <w:p w14:paraId="199B14F9" w14:textId="77777777" w:rsidR="00FF011B" w:rsidRDefault="00FF011B" w:rsidP="005F31F4">
      <w:pPr>
        <w:pStyle w:val="ListBullet"/>
        <w:numPr>
          <w:ilvl w:val="0"/>
          <w:numId w:val="13"/>
        </w:numPr>
      </w:pPr>
      <w:r>
        <w:t>These areas do not meet the protected area definition as they do</w:t>
      </w:r>
      <w:r w:rsidR="00AA1458">
        <w:t xml:space="preserve"> not</w:t>
      </w:r>
      <w:r>
        <w:t xml:space="preserve"> have a primary conservation objective, however</w:t>
      </w:r>
      <w:r w:rsidR="00AA1458">
        <w:t>,</w:t>
      </w:r>
      <w:r>
        <w:t xml:space="preserve"> they are either managed with biodiversity conservation as a secondary objective, or biodiversity conservat</w:t>
      </w:r>
      <w:r w:rsidR="00247831">
        <w:t>i</w:t>
      </w:r>
      <w:r>
        <w:t xml:space="preserve">on outcomes are the ancillary result of the </w:t>
      </w:r>
      <w:r w:rsidR="00E23DD9">
        <w:t xml:space="preserve">legal </w:t>
      </w:r>
      <w:r>
        <w:t>protection.</w:t>
      </w:r>
    </w:p>
    <w:p w14:paraId="6D806680" w14:textId="77777777" w:rsidR="00AF7F88" w:rsidRDefault="00AF7F88" w:rsidP="00AF7F88">
      <w:pPr>
        <w:pStyle w:val="ListBullet"/>
        <w:numPr>
          <w:ilvl w:val="0"/>
          <w:numId w:val="0"/>
        </w:numPr>
      </w:pPr>
      <w:bookmarkStart w:id="8" w:name="_Hlk125907077"/>
      <w:r>
        <w:t xml:space="preserve">Due to the </w:t>
      </w:r>
      <w:r w:rsidR="00AA1458">
        <w:t>importance of</w:t>
      </w:r>
      <w:r>
        <w:t xml:space="preserve"> </w:t>
      </w:r>
      <w:r w:rsidR="006310D2">
        <w:t xml:space="preserve">the </w:t>
      </w:r>
      <w:r>
        <w:t>biodiversity values</w:t>
      </w:r>
      <w:r w:rsidR="00AA1458">
        <w:t xml:space="preserve"> of individual sites</w:t>
      </w:r>
      <w:r>
        <w:t xml:space="preserve">, </w:t>
      </w:r>
      <w:r w:rsidR="00D11597">
        <w:t>w</w:t>
      </w:r>
      <w:r w:rsidRPr="00FE7A78">
        <w:t>hile examples have been given above, it is not possible to categorise broad land use categories (e.g. agricultural lands, environmental offsets) as either eligible or ineligible as OECMs.</w:t>
      </w:r>
      <w:r>
        <w:t xml:space="preserve"> </w:t>
      </w:r>
    </w:p>
    <w:bookmarkEnd w:id="8"/>
    <w:p w14:paraId="71E938BA" w14:textId="77777777" w:rsidR="00AF7F88" w:rsidRDefault="00FF011B" w:rsidP="00AF7F88">
      <w:pPr>
        <w:pStyle w:val="ListBullet"/>
        <w:numPr>
          <w:ilvl w:val="0"/>
          <w:numId w:val="0"/>
        </w:numPr>
        <w:ind w:left="425" w:hanging="425"/>
      </w:pPr>
      <w:r>
        <w:t>Examples of areas that, dependent on site-specific values, may meet OECM eligibility criteria are</w:t>
      </w:r>
      <w:r w:rsidR="00AF7F88">
        <w:t>:</w:t>
      </w:r>
      <w:r>
        <w:t xml:space="preserve"> </w:t>
      </w:r>
    </w:p>
    <w:p w14:paraId="1B323E12" w14:textId="77777777" w:rsidR="00FF011B" w:rsidRDefault="00FF011B" w:rsidP="00FF011B">
      <w:pPr>
        <w:pStyle w:val="ListBullet"/>
      </w:pPr>
      <w:bookmarkStart w:id="9" w:name="_Hlk125906928"/>
      <w:r>
        <w:t xml:space="preserve">travelling stock routes, urban parks managed for recreation that are large enough and sufficiently natural to also achieve in-situ conservation of biodiversity, and natural areas managed by universities for biological research. </w:t>
      </w:r>
    </w:p>
    <w:bookmarkEnd w:id="9"/>
    <w:p w14:paraId="7183EDCF" w14:textId="77777777" w:rsidR="00AF7F88" w:rsidRDefault="00FF011B" w:rsidP="00F766FC">
      <w:pPr>
        <w:pStyle w:val="ListBullet"/>
        <w:keepNext/>
        <w:numPr>
          <w:ilvl w:val="0"/>
          <w:numId w:val="0"/>
        </w:numPr>
      </w:pPr>
      <w:r>
        <w:lastRenderedPageBreak/>
        <w:t>Examples of areas that are unlikely to meet the eligibility criteria are</w:t>
      </w:r>
      <w:r w:rsidR="00AF7F88">
        <w:t>:</w:t>
      </w:r>
    </w:p>
    <w:p w14:paraId="6D472405" w14:textId="77777777" w:rsidR="001B1993" w:rsidRDefault="00FF011B" w:rsidP="001B1993">
      <w:pPr>
        <w:pStyle w:val="ListBullet"/>
        <w:keepNext/>
        <w:numPr>
          <w:ilvl w:val="0"/>
          <w:numId w:val="13"/>
        </w:numPr>
      </w:pPr>
      <w:r>
        <w:t>forests managed exclusively for timber supply, agricultural grasslands that are grazed too intensively to support native grassland ecosystems</w:t>
      </w:r>
      <w:r w:rsidR="00AA1458">
        <w:t xml:space="preserve"> and</w:t>
      </w:r>
      <w:r>
        <w:t xml:space="preserve"> firebreaks. </w:t>
      </w:r>
    </w:p>
    <w:p w14:paraId="5D3DBD8A" w14:textId="77777777" w:rsidR="001B1993" w:rsidRDefault="001B1993" w:rsidP="004B7A37">
      <w:pPr>
        <w:spacing w:after="120"/>
      </w:pPr>
      <w:r>
        <w:t xml:space="preserve">For areas with important biodiversity values but </w:t>
      </w:r>
      <w:r w:rsidR="004459A8">
        <w:t xml:space="preserve">where </w:t>
      </w:r>
      <w:r>
        <w:t xml:space="preserve">the site does not yet meet the </w:t>
      </w:r>
      <w:r w:rsidR="008E778A">
        <w:t>requirements</w:t>
      </w:r>
      <w:r>
        <w:t xml:space="preserve"> for OECM </w:t>
      </w:r>
      <w:r w:rsidR="008E778A">
        <w:t>recognition</w:t>
      </w:r>
      <w:bookmarkStart w:id="10" w:name="_Hlk129011067"/>
      <w:r>
        <w:t>, the framework</w:t>
      </w:r>
      <w:r w:rsidR="004459A8">
        <w:t>,</w:t>
      </w:r>
      <w:r>
        <w:t xml:space="preserve"> and associated site assessment tool</w:t>
      </w:r>
      <w:r w:rsidR="004459A8">
        <w:t>,</w:t>
      </w:r>
      <w:r>
        <w:t xml:space="preserve"> will provide guidance to landholders</w:t>
      </w:r>
      <w:r w:rsidR="004459A8">
        <w:t xml:space="preserve"> on what is</w:t>
      </w:r>
      <w:r w:rsidR="004B7A37">
        <w:t xml:space="preserve"> </w:t>
      </w:r>
      <w:r w:rsidR="004459A8">
        <w:t xml:space="preserve">required for their </w:t>
      </w:r>
      <w:r w:rsidR="004B7A37">
        <w:t>site to achieve OECM recognition</w:t>
      </w:r>
      <w:r>
        <w:t>. For example, additional information</w:t>
      </w:r>
      <w:r w:rsidR="004B7A37">
        <w:t xml:space="preserve"> on biodiversity values</w:t>
      </w:r>
      <w:r>
        <w:t xml:space="preserve"> </w:t>
      </w:r>
      <w:r w:rsidR="004B7A37">
        <w:t xml:space="preserve">might need to be collected </w:t>
      </w:r>
      <w:r>
        <w:t xml:space="preserve">or changes </w:t>
      </w:r>
      <w:r w:rsidR="004B7A37">
        <w:t>to management arrangements made</w:t>
      </w:r>
      <w:r>
        <w:t xml:space="preserve"> for </w:t>
      </w:r>
      <w:r w:rsidR="004459A8">
        <w:t>a</w:t>
      </w:r>
      <w:r>
        <w:t xml:space="preserve"> property to achieve OECM recognition. </w:t>
      </w:r>
      <w:bookmarkEnd w:id="10"/>
      <w:r w:rsidR="008E778A" w:rsidRPr="00D50333">
        <w:t xml:space="preserve">This could </w:t>
      </w:r>
      <w:r w:rsidR="008E778A">
        <w:t xml:space="preserve">be an </w:t>
      </w:r>
      <w:r w:rsidR="008E778A" w:rsidRPr="00D50333">
        <w:t>opportunit</w:t>
      </w:r>
      <w:r w:rsidR="008E778A">
        <w:t>y to strengthen conservation activities on a property.</w:t>
      </w:r>
    </w:p>
    <w:p w14:paraId="249D3C5D" w14:textId="77777777" w:rsidR="0095482C" w:rsidRDefault="0095482C" w:rsidP="0095482C">
      <w:pPr>
        <w:pStyle w:val="Heading3"/>
        <w:rPr>
          <w:rFonts w:cstheme="minorHAnsi"/>
          <w:lang w:val="en-US"/>
        </w:rPr>
      </w:pPr>
      <w:bookmarkStart w:id="11" w:name="_Toc129263664"/>
      <w:r>
        <w:rPr>
          <w:rFonts w:cstheme="minorHAnsi"/>
          <w:lang w:val="en-US"/>
        </w:rPr>
        <w:t>The international framework to guide recognition</w:t>
      </w:r>
      <w:bookmarkEnd w:id="11"/>
    </w:p>
    <w:p w14:paraId="3F217E79" w14:textId="77777777" w:rsidR="0095482C" w:rsidRDefault="0095482C" w:rsidP="0095482C">
      <w:pPr>
        <w:spacing w:before="120" w:after="120" w:line="256" w:lineRule="auto"/>
        <w:contextualSpacing/>
        <w:rPr>
          <w:rFonts w:cstheme="minorHAnsi"/>
          <w:lang w:val="en-US"/>
        </w:rPr>
      </w:pPr>
    </w:p>
    <w:p w14:paraId="02FDB4C3" w14:textId="77777777" w:rsidR="006310D2" w:rsidRDefault="0095482C" w:rsidP="00F57375">
      <w:pPr>
        <w:rPr>
          <w:rFonts w:cstheme="minorHAnsi"/>
          <w:lang w:val="en-US"/>
        </w:rPr>
      </w:pPr>
      <w:r>
        <w:rPr>
          <w:rFonts w:cstheme="minorHAnsi"/>
          <w:lang w:val="en-US"/>
        </w:rPr>
        <w:t xml:space="preserve">OECMs were introduced in Aichi Target 11 of the Convention on Biological Diversity’s Strategic Plan for Biodiversity 2011 – 2020. The definition, </w:t>
      </w:r>
      <w:r w:rsidR="00270166">
        <w:rPr>
          <w:rFonts w:cstheme="minorHAnsi"/>
          <w:lang w:val="en-US"/>
        </w:rPr>
        <w:t xml:space="preserve">IUCN </w:t>
      </w:r>
      <w:r>
        <w:rPr>
          <w:rFonts w:cstheme="minorHAnsi"/>
          <w:lang w:val="en-US"/>
        </w:rPr>
        <w:t xml:space="preserve">guidance, and site level methodology are </w:t>
      </w:r>
      <w:r w:rsidR="00270166">
        <w:rPr>
          <w:rFonts w:cstheme="minorHAnsi"/>
          <w:lang w:val="en-US"/>
        </w:rPr>
        <w:t xml:space="preserve">more </w:t>
      </w:r>
      <w:r>
        <w:rPr>
          <w:rFonts w:cstheme="minorHAnsi"/>
          <w:lang w:val="en-US"/>
        </w:rPr>
        <w:t xml:space="preserve">recent. </w:t>
      </w:r>
    </w:p>
    <w:p w14:paraId="5A0C5748" w14:textId="77777777" w:rsidR="00F57375" w:rsidRDefault="00270166" w:rsidP="00F57375">
      <w:pPr>
        <w:rPr>
          <w:rFonts w:cstheme="minorHAnsi"/>
          <w:lang w:val="en-US"/>
        </w:rPr>
      </w:pPr>
      <w:r>
        <w:rPr>
          <w:rFonts w:cstheme="minorHAnsi"/>
          <w:lang w:val="en-US"/>
        </w:rPr>
        <w:t>S</w:t>
      </w:r>
      <w:r w:rsidR="0095482C">
        <w:rPr>
          <w:rFonts w:cstheme="minorHAnsi"/>
          <w:lang w:val="en-US"/>
        </w:rPr>
        <w:t xml:space="preserve">ome countries have established national processes for recognising and reporting OECMs </w:t>
      </w:r>
      <w:r>
        <w:rPr>
          <w:rFonts w:cstheme="minorHAnsi"/>
          <w:lang w:val="en-US"/>
        </w:rPr>
        <w:t>and</w:t>
      </w:r>
      <w:r w:rsidR="00FE2958">
        <w:rPr>
          <w:rFonts w:cstheme="minorHAnsi"/>
          <w:lang w:val="en-US"/>
        </w:rPr>
        <w:t xml:space="preserve"> are</w:t>
      </w:r>
      <w:r>
        <w:rPr>
          <w:rFonts w:cstheme="minorHAnsi"/>
          <w:lang w:val="en-US"/>
        </w:rPr>
        <w:t xml:space="preserve"> </w:t>
      </w:r>
      <w:r w:rsidR="0095482C">
        <w:rPr>
          <w:rFonts w:cstheme="minorHAnsi"/>
          <w:lang w:val="en-US"/>
        </w:rPr>
        <w:t>providing data to the World Database on OECMs</w:t>
      </w:r>
      <w:r w:rsidR="00340132">
        <w:rPr>
          <w:rFonts w:cstheme="minorHAnsi"/>
          <w:lang w:val="en-US"/>
        </w:rPr>
        <w:t>. The number of OECMs being reported internationally</w:t>
      </w:r>
      <w:r w:rsidR="0095482C">
        <w:rPr>
          <w:rFonts w:cstheme="minorHAnsi"/>
          <w:lang w:val="en-US"/>
        </w:rPr>
        <w:t xml:space="preserve"> is increasing.</w:t>
      </w:r>
      <w:r w:rsidR="00F57375" w:rsidRPr="00F57375">
        <w:rPr>
          <w:rFonts w:cstheme="minorHAnsi"/>
          <w:lang w:val="en-US"/>
        </w:rPr>
        <w:t xml:space="preserve"> </w:t>
      </w:r>
      <w:r w:rsidR="00CA449E" w:rsidRPr="00CA449E">
        <w:rPr>
          <w:rFonts w:cstheme="minorHAnsi"/>
          <w:lang w:val="en-US"/>
        </w:rPr>
        <w:t xml:space="preserve">The </w:t>
      </w:r>
      <w:hyperlink r:id="rId19" w:history="1">
        <w:r w:rsidR="00CA449E" w:rsidRPr="00CA449E">
          <w:rPr>
            <w:rStyle w:val="Hyperlink"/>
            <w:rFonts w:cstheme="minorHAnsi"/>
            <w:lang w:val="en-US"/>
          </w:rPr>
          <w:t>World Database on OECMs</w:t>
        </w:r>
      </w:hyperlink>
      <w:r w:rsidR="00CA449E">
        <w:rPr>
          <w:rFonts w:cstheme="minorHAnsi"/>
          <w:lang w:val="en-US"/>
        </w:rPr>
        <w:t xml:space="preserve"> (</w:t>
      </w:r>
      <w:r w:rsidR="00D572A5" w:rsidRPr="00D572A5">
        <w:rPr>
          <w:rFonts w:cstheme="minorHAnsi"/>
          <w:lang w:val="en-US"/>
        </w:rPr>
        <w:t>UNEP-WCMC and IUCN 202</w:t>
      </w:r>
      <w:r w:rsidR="00D572A5">
        <w:rPr>
          <w:rFonts w:cstheme="minorHAnsi"/>
          <w:lang w:val="en-US"/>
        </w:rPr>
        <w:t>2</w:t>
      </w:r>
      <w:r w:rsidR="00CA449E">
        <w:rPr>
          <w:rFonts w:cstheme="minorHAnsi"/>
          <w:lang w:val="en-US"/>
        </w:rPr>
        <w:t>)</w:t>
      </w:r>
      <w:r w:rsidR="00CA449E" w:rsidRPr="00CA449E">
        <w:rPr>
          <w:rFonts w:cstheme="minorHAnsi"/>
          <w:lang w:val="en-US"/>
        </w:rPr>
        <w:t xml:space="preserve"> shows that there were 143 OECMs across 3 countries in December 2020, and this had increased to 775</w:t>
      </w:r>
      <w:r w:rsidR="00E23DD9">
        <w:rPr>
          <w:rFonts w:cstheme="minorHAnsi"/>
          <w:lang w:val="en-US"/>
        </w:rPr>
        <w:t> </w:t>
      </w:r>
      <w:r w:rsidR="00CA449E" w:rsidRPr="00CA449E">
        <w:rPr>
          <w:rFonts w:cstheme="minorHAnsi"/>
          <w:lang w:val="en-US"/>
        </w:rPr>
        <w:t>OECMs across 9 countries in June 2022. These include land and ocean areas</w:t>
      </w:r>
      <w:r w:rsidR="00CA449E">
        <w:rPr>
          <w:rFonts w:cstheme="minorHAnsi"/>
          <w:lang w:val="en-US"/>
        </w:rPr>
        <w:t xml:space="preserve">. </w:t>
      </w:r>
    </w:p>
    <w:p w14:paraId="267D5913" w14:textId="77777777" w:rsidR="00D44A49" w:rsidRDefault="00F57375" w:rsidP="0095482C">
      <w:pPr>
        <w:rPr>
          <w:rFonts w:cstheme="minorHAnsi"/>
          <w:lang w:val="en-US"/>
        </w:rPr>
      </w:pPr>
      <w:r>
        <w:rPr>
          <w:rFonts w:cstheme="minorHAnsi"/>
          <w:lang w:val="en-US"/>
        </w:rPr>
        <w:t>The international guidance and the experience of others has informed this paper. Canada, the European Union, South Africa, and Col</w:t>
      </w:r>
      <w:r w:rsidR="005429B7">
        <w:rPr>
          <w:rFonts w:cstheme="minorHAnsi"/>
          <w:lang w:val="en-US"/>
        </w:rPr>
        <w:t>o</w:t>
      </w:r>
      <w:r>
        <w:rPr>
          <w:rFonts w:cstheme="minorHAnsi"/>
          <w:lang w:val="en-US"/>
        </w:rPr>
        <w:t xml:space="preserve">mbia are all actively considering / recognising OECMs, and have presented at a range of international fora. </w:t>
      </w:r>
    </w:p>
    <w:p w14:paraId="31CEF84F" w14:textId="77777777" w:rsidR="0095482C" w:rsidRDefault="009F398F" w:rsidP="006E7610">
      <w:pPr>
        <w:pStyle w:val="ListBullet"/>
        <w:numPr>
          <w:ilvl w:val="0"/>
          <w:numId w:val="0"/>
        </w:numPr>
        <w:ind w:left="425" w:hanging="425"/>
      </w:pPr>
      <w:r>
        <w:rPr>
          <w:noProof/>
        </w:rPr>
        <w:drawing>
          <wp:inline distT="0" distB="0" distL="0" distR="0" wp14:anchorId="0B8B8781" wp14:editId="02DA094E">
            <wp:extent cx="5693075" cy="3727450"/>
            <wp:effectExtent l="0" t="76200" r="0" b="1016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C18B056" w14:textId="77777777" w:rsidR="006310D2" w:rsidRDefault="006310D2" w:rsidP="006E7610">
      <w:pPr>
        <w:pStyle w:val="ListBullet"/>
        <w:numPr>
          <w:ilvl w:val="0"/>
          <w:numId w:val="0"/>
        </w:numPr>
        <w:ind w:left="425" w:hanging="425"/>
      </w:pPr>
    </w:p>
    <w:p w14:paraId="0A31B195" w14:textId="77777777" w:rsidR="0095397A" w:rsidRPr="00C0446B" w:rsidRDefault="0095397A" w:rsidP="005939BD">
      <w:pPr>
        <w:pStyle w:val="Heading2"/>
        <w:keepNext/>
        <w:keepLines/>
        <w:pageBreakBefore w:val="0"/>
      </w:pPr>
      <w:bookmarkStart w:id="12" w:name="_Toc129263665"/>
      <w:r w:rsidRPr="00C0446B">
        <w:t>Why are we talking about OECMs?</w:t>
      </w:r>
      <w:bookmarkEnd w:id="12"/>
    </w:p>
    <w:p w14:paraId="2F76489E" w14:textId="77777777" w:rsidR="0095397A" w:rsidRPr="00C0446B" w:rsidRDefault="0095397A" w:rsidP="005939BD">
      <w:pPr>
        <w:pStyle w:val="Heading3"/>
        <w:rPr>
          <w:rFonts w:cstheme="minorHAnsi"/>
          <w:lang w:val="en-US"/>
        </w:rPr>
      </w:pPr>
      <w:bookmarkStart w:id="13" w:name="_Toc129263666"/>
      <w:r w:rsidRPr="00C0446B">
        <w:rPr>
          <w:rFonts w:cstheme="minorHAnsi"/>
          <w:lang w:val="en-US"/>
        </w:rPr>
        <w:t>Australia’s contribution to a global ‘30 by 30’ target</w:t>
      </w:r>
      <w:bookmarkEnd w:id="13"/>
    </w:p>
    <w:p w14:paraId="67CCA4AC" w14:textId="77777777" w:rsidR="0095397A" w:rsidRDefault="0095397A" w:rsidP="005939BD">
      <w:pPr>
        <w:keepNext/>
        <w:keepLines/>
        <w:spacing w:after="0"/>
      </w:pPr>
    </w:p>
    <w:p w14:paraId="30D63B11" w14:textId="77777777" w:rsidR="0095397A" w:rsidRDefault="0095397A" w:rsidP="005939BD">
      <w:pPr>
        <w:keepNext/>
        <w:keepLines/>
      </w:pPr>
      <w:r>
        <w:t xml:space="preserve">Parties to the United Nations Convention on Biological Diversity </w:t>
      </w:r>
      <w:r w:rsidR="00837145">
        <w:t>have negotiated a</w:t>
      </w:r>
      <w:r>
        <w:t xml:space="preserve"> strategic plan for the period to 2030, referred to as the </w:t>
      </w:r>
      <w:hyperlink r:id="rId25" w:history="1">
        <w:r w:rsidR="006254B4" w:rsidRPr="00F766FC">
          <w:rPr>
            <w:rStyle w:val="Hyperlink"/>
            <w:i/>
            <w:iCs/>
          </w:rPr>
          <w:t xml:space="preserve">Kunming-Montreal </w:t>
        </w:r>
        <w:r w:rsidRPr="00F766FC">
          <w:rPr>
            <w:rStyle w:val="Hyperlink"/>
            <w:i/>
            <w:iCs/>
          </w:rPr>
          <w:t>Global Biodiversity Framework</w:t>
        </w:r>
      </w:hyperlink>
      <w:r>
        <w:t xml:space="preserve"> (GBF). Targets </w:t>
      </w:r>
      <w:r w:rsidR="006254B4">
        <w:t>in the</w:t>
      </w:r>
      <w:r>
        <w:t xml:space="preserve"> GBF replace the 2011-2020 Aichi biodiversity targets and guide international and national biodiversity action and investment </w:t>
      </w:r>
      <w:r w:rsidRPr="001E31A2">
        <w:t>for at least the next ten years.</w:t>
      </w:r>
    </w:p>
    <w:p w14:paraId="25A4DA30" w14:textId="77777777" w:rsidR="0095397A" w:rsidRDefault="0095397A" w:rsidP="0095397A">
      <w:r>
        <w:t>Target 3, often referred to as the ‘30 by 30’ target (see below), aims to ensure 30</w:t>
      </w:r>
      <w:r w:rsidR="00C03B6B">
        <w:t>%</w:t>
      </w:r>
      <w:r>
        <w:t xml:space="preserve"> of the world’s land and 30</w:t>
      </w:r>
      <w:r w:rsidR="00C03B6B">
        <w:t>%</w:t>
      </w:r>
      <w:r>
        <w:t xml:space="preserve"> of the world’s ocean is conserved by 2030 through protected areas and OECMs. </w:t>
      </w:r>
    </w:p>
    <w:p w14:paraId="40532334" w14:textId="77777777" w:rsidR="0095397A" w:rsidRDefault="0095397A" w:rsidP="0095397A">
      <w:pPr>
        <w:ind w:left="720" w:right="848"/>
        <w:rPr>
          <w:i/>
          <w:iCs/>
        </w:rPr>
      </w:pPr>
      <w:r w:rsidRPr="001E31A2">
        <w:rPr>
          <w:i/>
          <w:iCs/>
        </w:rPr>
        <w:t xml:space="preserve">Ensure </w:t>
      </w:r>
      <w:r w:rsidR="001E31A2" w:rsidRPr="001E31A2">
        <w:rPr>
          <w:i/>
          <w:iCs/>
        </w:rPr>
        <w:t xml:space="preserve">and enable </w:t>
      </w:r>
      <w:r w:rsidRPr="001E31A2">
        <w:rPr>
          <w:i/>
          <w:iCs/>
        </w:rPr>
        <w:t xml:space="preserve">that </w:t>
      </w:r>
      <w:r w:rsidR="001E31A2" w:rsidRPr="001E31A2">
        <w:rPr>
          <w:i/>
          <w:iCs/>
        </w:rPr>
        <w:t>by 2030 at least 30</w:t>
      </w:r>
      <w:r w:rsidR="00C03B6B">
        <w:rPr>
          <w:i/>
          <w:iCs/>
        </w:rPr>
        <w:t>%</w:t>
      </w:r>
      <w:r w:rsidR="001E31A2" w:rsidRPr="001E31A2">
        <w:rPr>
          <w:i/>
          <w:iCs/>
        </w:rPr>
        <w:t xml:space="preserve"> of terrestrial, inland water, and of coastal and marine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Pr="001E31A2">
        <w:rPr>
          <w:i/>
          <w:iCs/>
        </w:rPr>
        <w:t>.</w:t>
      </w:r>
    </w:p>
    <w:p w14:paraId="507A4B78" w14:textId="77777777" w:rsidR="003F35F7" w:rsidRPr="00495D84" w:rsidRDefault="0066321B" w:rsidP="0066321B">
      <w:pPr>
        <w:ind w:right="848"/>
      </w:pPr>
      <w:r>
        <w:t xml:space="preserve">There are a number of global targets in the GBF that address biodiversity conservation. For example, </w:t>
      </w:r>
      <w:r w:rsidR="003D5486">
        <w:t>t</w:t>
      </w:r>
      <w:r>
        <w:t xml:space="preserve">arget 2 aims to </w:t>
      </w:r>
      <w:r w:rsidR="003F35F7" w:rsidRPr="00495D84">
        <w:rPr>
          <w:i/>
          <w:iCs/>
        </w:rPr>
        <w:t>ensure that by 2030 at least 30</w:t>
      </w:r>
      <w:r w:rsidR="00C03B6B">
        <w:rPr>
          <w:i/>
          <w:iCs/>
        </w:rPr>
        <w:t>%</w:t>
      </w:r>
      <w:r w:rsidR="003F35F7" w:rsidRPr="00495D84">
        <w:rPr>
          <w:i/>
          <w:iCs/>
        </w:rPr>
        <w:t xml:space="preserve"> of areas of </w:t>
      </w:r>
      <w:r>
        <w:rPr>
          <w:i/>
          <w:iCs/>
        </w:rPr>
        <w:t xml:space="preserve">the world’s </w:t>
      </w:r>
      <w:r w:rsidR="003F35F7" w:rsidRPr="00495D84">
        <w:rPr>
          <w:i/>
          <w:iCs/>
        </w:rPr>
        <w:t>degraded terrestrial, inland water, and coastal and marine ecosystems are under effective restoration</w:t>
      </w:r>
      <w:r w:rsidR="003F35F7">
        <w:t>.</w:t>
      </w:r>
      <w:r w:rsidR="00ED7E1D">
        <w:t xml:space="preserve"> This is </w:t>
      </w:r>
      <w:r w:rsidR="00197627">
        <w:t>distinct from</w:t>
      </w:r>
      <w:r w:rsidR="00ED7E1D">
        <w:t xml:space="preserve"> </w:t>
      </w:r>
      <w:r w:rsidR="003D5486">
        <w:t>t</w:t>
      </w:r>
      <w:r w:rsidR="00ED7E1D">
        <w:t>arget 3</w:t>
      </w:r>
      <w:r w:rsidR="00197627">
        <w:t>. S</w:t>
      </w:r>
      <w:r w:rsidR="002C656D">
        <w:t>ome areas</w:t>
      </w:r>
      <w:r w:rsidR="00197627">
        <w:t xml:space="preserve"> under restoration </w:t>
      </w:r>
      <w:r w:rsidR="002C656D">
        <w:t xml:space="preserve">may be better suited to </w:t>
      </w:r>
      <w:r w:rsidR="00E23DD9">
        <w:t xml:space="preserve">being </w:t>
      </w:r>
      <w:r w:rsidR="00197627">
        <w:t>report</w:t>
      </w:r>
      <w:r w:rsidR="00E23DD9">
        <w:t>ed within</w:t>
      </w:r>
      <w:r w:rsidR="00197627">
        <w:t xml:space="preserve"> </w:t>
      </w:r>
      <w:r>
        <w:t xml:space="preserve">Australia’s contribution towards </w:t>
      </w:r>
      <w:r w:rsidR="003D5486">
        <w:t>t</w:t>
      </w:r>
      <w:r w:rsidR="00197627">
        <w:t>arget 2</w:t>
      </w:r>
      <w:r w:rsidR="00E23DD9">
        <w:t>, rather than towards target 3</w:t>
      </w:r>
      <w:r w:rsidR="00197627">
        <w:t>.</w:t>
      </w:r>
      <w:r w:rsidR="002C656D">
        <w:t xml:space="preserve"> </w:t>
      </w:r>
    </w:p>
    <w:p w14:paraId="7EAE22AA" w14:textId="77777777" w:rsidR="0095397A" w:rsidRPr="00C0446B" w:rsidRDefault="0095397A" w:rsidP="00C0446B">
      <w:pPr>
        <w:pStyle w:val="Heading3"/>
        <w:rPr>
          <w:rFonts w:cstheme="minorHAnsi"/>
          <w:lang w:val="en-US"/>
        </w:rPr>
      </w:pPr>
      <w:bookmarkStart w:id="14" w:name="_Toc129263667"/>
      <w:r w:rsidRPr="00C0446B">
        <w:rPr>
          <w:rFonts w:cstheme="minorHAnsi"/>
          <w:lang w:val="en-US"/>
        </w:rPr>
        <w:t>Australia’s national ‘30 by 30’ target</w:t>
      </w:r>
      <w:bookmarkEnd w:id="14"/>
    </w:p>
    <w:p w14:paraId="7974DF6C" w14:textId="77777777" w:rsidR="0095397A" w:rsidRDefault="0095397A" w:rsidP="0095397A">
      <w:pPr>
        <w:spacing w:after="0"/>
      </w:pPr>
    </w:p>
    <w:p w14:paraId="13AC2241" w14:textId="77777777" w:rsidR="003901A5" w:rsidRDefault="0095397A" w:rsidP="0095397A">
      <w:r>
        <w:t>The Australian Government has set a national target to protect and conserve 30</w:t>
      </w:r>
      <w:r w:rsidR="00C03B6B">
        <w:t>%</w:t>
      </w:r>
      <w:r>
        <w:t xml:space="preserve"> of land and 30</w:t>
      </w:r>
      <w:r w:rsidR="00C03B6B">
        <w:t>%</w:t>
      </w:r>
      <w:r>
        <w:t xml:space="preserve"> of marine areas by 2030. All </w:t>
      </w:r>
      <w:r w:rsidR="006310D2">
        <w:t>s</w:t>
      </w:r>
      <w:r>
        <w:t xml:space="preserve">tate and </w:t>
      </w:r>
      <w:r w:rsidR="006310D2">
        <w:t>t</w:t>
      </w:r>
      <w:r>
        <w:t>erritory Environment Ministers have agreed to work collectively to meet the national target, and to develop a national framework for the recognition of OECMs to complement protected area growth.</w:t>
      </w:r>
      <w:r w:rsidRPr="005D436C">
        <w:t xml:space="preserve"> </w:t>
      </w:r>
    </w:p>
    <w:p w14:paraId="4DAAE05E" w14:textId="77777777" w:rsidR="003901A5" w:rsidRDefault="003901A5" w:rsidP="003901A5">
      <w:r>
        <w:t>Recognition of OECMs in Australia is an opportunity to:</w:t>
      </w:r>
    </w:p>
    <w:p w14:paraId="2F6E5E4D" w14:textId="77777777" w:rsidR="003901A5" w:rsidRDefault="003901A5" w:rsidP="003901A5">
      <w:pPr>
        <w:pStyle w:val="ListBullet"/>
      </w:pPr>
      <w:r>
        <w:t>give greater recognition to areas important for biodiversity where formal protected area</w:t>
      </w:r>
      <w:r w:rsidRPr="000F1A09">
        <w:t xml:space="preserve"> </w:t>
      </w:r>
      <w:r>
        <w:t>designation is not possible or supported</w:t>
      </w:r>
    </w:p>
    <w:p w14:paraId="382475E2" w14:textId="77777777" w:rsidR="003901A5" w:rsidRPr="00936243" w:rsidRDefault="003901A5" w:rsidP="003901A5">
      <w:pPr>
        <w:pStyle w:val="ListBullet"/>
      </w:pPr>
      <w:r>
        <w:t xml:space="preserve">recognise biodiversity conservation action that is occurring </w:t>
      </w:r>
      <w:r w:rsidRPr="00936243">
        <w:t xml:space="preserve">outside </w:t>
      </w:r>
      <w:r w:rsidR="00D45151" w:rsidRPr="00936243">
        <w:t>formal</w:t>
      </w:r>
      <w:r w:rsidR="00724E67" w:rsidRPr="00936243">
        <w:t>ly designated</w:t>
      </w:r>
      <w:r w:rsidRPr="00936243">
        <w:t xml:space="preserve"> protected areas</w:t>
      </w:r>
    </w:p>
    <w:p w14:paraId="69CB24A2" w14:textId="77777777" w:rsidR="003901A5" w:rsidRDefault="003901A5" w:rsidP="003901A5">
      <w:pPr>
        <w:pStyle w:val="ListBullet"/>
      </w:pPr>
      <w:r>
        <w:t xml:space="preserve">build ecologically representative and well-connected conservation networks </w:t>
      </w:r>
    </w:p>
    <w:p w14:paraId="31494A45" w14:textId="77777777" w:rsidR="003901A5" w:rsidRDefault="003901A5" w:rsidP="003901A5">
      <w:pPr>
        <w:pStyle w:val="ListBullet"/>
      </w:pPr>
      <w:r>
        <w:lastRenderedPageBreak/>
        <w:t>recognise Indigenous land management in circumstances where dedication as a protected area is not desirable or appropriate</w:t>
      </w:r>
    </w:p>
    <w:p w14:paraId="63B316BA" w14:textId="77777777" w:rsidR="003901A5" w:rsidRDefault="003901A5" w:rsidP="003901A5">
      <w:pPr>
        <w:pStyle w:val="ListBullet"/>
        <w:spacing w:after="200"/>
      </w:pPr>
      <w:r>
        <w:t>recognise conservation efforts in areas where land is managed for other purposes, such as productive landscapes.</w:t>
      </w:r>
    </w:p>
    <w:p w14:paraId="687BB95B" w14:textId="77777777" w:rsidR="00D50333" w:rsidRDefault="0095397A" w:rsidP="0095397A">
      <w:r>
        <w:t>With around 22</w:t>
      </w:r>
      <w:r w:rsidR="00C03B6B">
        <w:t>%</w:t>
      </w:r>
      <w:r>
        <w:t xml:space="preserve"> of Australia’s landmass currently in protected areas, meeting a 30</w:t>
      </w:r>
      <w:r w:rsidR="00C03B6B">
        <w:t>%</w:t>
      </w:r>
      <w:r>
        <w:t xml:space="preserve"> target for land areas domestically through protected area growth alone will be difficult. Other factors may also make achieving the 30 by 30 target difficult</w:t>
      </w:r>
      <w:r w:rsidR="00F52CB8">
        <w:t xml:space="preserve"> </w:t>
      </w:r>
      <w:r w:rsidR="00F52CB8" w:rsidRPr="00A00EF3">
        <w:t>through formal protected areas alone</w:t>
      </w:r>
      <w:r>
        <w:t xml:space="preserve">, e.g. land is not always available for purchase, ecosystems are fragmented and landscapes degraded. </w:t>
      </w:r>
    </w:p>
    <w:p w14:paraId="6D82C574" w14:textId="77777777" w:rsidR="00D50333" w:rsidRDefault="00141464" w:rsidP="00F766FC">
      <w:r>
        <w:t>Identification, recognition, recording and reporting of OECMs will support</w:t>
      </w:r>
      <w:r w:rsidR="0095397A">
        <w:t xml:space="preserve"> Australia to meet a national target and make a strong contribution to a global 30 by 30 target. A strong, nationally agreed framework to recognise OECMs as complementary to protected areas will support their consistent and robust identification. </w:t>
      </w:r>
    </w:p>
    <w:p w14:paraId="4CDDD479" w14:textId="77777777" w:rsidR="002208A3" w:rsidRDefault="002868AE" w:rsidP="00D33300">
      <w:pPr>
        <w:pStyle w:val="Heading2"/>
        <w:pageBreakBefore w:val="0"/>
      </w:pPr>
      <w:bookmarkStart w:id="15" w:name="_Toc129263668"/>
      <w:r>
        <w:t>P</w:t>
      </w:r>
      <w:r w:rsidR="009C4EEB">
        <w:t xml:space="preserve">rinciples </w:t>
      </w:r>
      <w:r>
        <w:t>to guide</w:t>
      </w:r>
      <w:r w:rsidR="009C4EEB">
        <w:t xml:space="preserve"> OECM recognition in Australia</w:t>
      </w:r>
      <w:bookmarkEnd w:id="15"/>
    </w:p>
    <w:p w14:paraId="752CFDFF" w14:textId="77777777" w:rsidR="006310D2" w:rsidRDefault="006310D2" w:rsidP="00D33300">
      <w:r>
        <w:t>This section sets out the proposed principles for the recognition of land based OECMs in Australia.</w:t>
      </w:r>
      <w:r w:rsidR="00E23DD9">
        <w:t xml:space="preserve"> The draft principles are intended to guide the type of areas that could be recognised as OECMs. Each </w:t>
      </w:r>
      <w:r>
        <w:t xml:space="preserve">principle is provided followed by a brief explanation. </w:t>
      </w:r>
      <w:r w:rsidR="00C85701">
        <w:t>There are currently principles proposed</w:t>
      </w:r>
      <w:r w:rsidR="00D33300">
        <w:t xml:space="preserve"> for eleven topics</w:t>
      </w:r>
      <w:r w:rsidR="00C85701">
        <w:t xml:space="preserve">. </w:t>
      </w:r>
    </w:p>
    <w:p w14:paraId="5A1909E2" w14:textId="77777777" w:rsidR="008D2545" w:rsidRDefault="008D2545" w:rsidP="00380A19">
      <w:pPr>
        <w:pStyle w:val="Heading3"/>
      </w:pPr>
      <w:bookmarkStart w:id="16" w:name="_Toc129263669"/>
      <w:r>
        <w:t>Consent</w:t>
      </w:r>
      <w:bookmarkEnd w:id="16"/>
    </w:p>
    <w:p w14:paraId="0D9D12D3" w14:textId="77777777" w:rsidR="008D2545" w:rsidRDefault="008D2545" w:rsidP="00DF7ABD">
      <w:pPr>
        <w:keepNext/>
        <w:keepLines/>
        <w:spacing w:after="0"/>
      </w:pPr>
    </w:p>
    <w:p w14:paraId="5DE7D575" w14:textId="77777777" w:rsidR="008D2545" w:rsidRDefault="008D2545" w:rsidP="00DF7ABD">
      <w:pPr>
        <w:pStyle w:val="BoxHeading"/>
        <w:keepNext/>
        <w:keepLines/>
        <w:shd w:val="clear" w:color="auto" w:fill="C6D9F1" w:themeFill="text2" w:themeFillTint="33"/>
        <w:spacing w:after="0"/>
      </w:pPr>
      <w:r>
        <w:t>PRINCIPLE – CONSENT</w:t>
      </w:r>
    </w:p>
    <w:p w14:paraId="21F4DB2C" w14:textId="77777777" w:rsidR="008D2545" w:rsidRDefault="008D2545" w:rsidP="00DF7ABD">
      <w:pPr>
        <w:pStyle w:val="BoxTextBullet"/>
        <w:keepNext/>
        <w:keepLines/>
        <w:shd w:val="clear" w:color="auto" w:fill="C6D9F1" w:themeFill="text2" w:themeFillTint="33"/>
      </w:pPr>
      <w:r>
        <w:t xml:space="preserve">Consent of the site’s governance authority must be obtained before an eligibility assessment is undertaken. </w:t>
      </w:r>
    </w:p>
    <w:p w14:paraId="4988EF84" w14:textId="77777777" w:rsidR="008D2545" w:rsidRDefault="008D2545" w:rsidP="008D2545">
      <w:pPr>
        <w:spacing w:after="0"/>
      </w:pPr>
    </w:p>
    <w:p w14:paraId="25596E33" w14:textId="77777777" w:rsidR="008D2545" w:rsidRDefault="008D2545" w:rsidP="008D2545">
      <w:r>
        <w:t xml:space="preserve">Assessment of a site’s eligibility, and any subsequent recognition, will be voluntary and requires the consent of the </w:t>
      </w:r>
      <w:hyperlink w:anchor="_Glossary" w:history="1">
        <w:r w:rsidRPr="00A00EF3">
          <w:rPr>
            <w:rStyle w:val="Hyperlink"/>
          </w:rPr>
          <w:t>governance authority</w:t>
        </w:r>
      </w:hyperlink>
      <w:r>
        <w:t xml:space="preserve">. Further information on governance authorities is </w:t>
      </w:r>
      <w:r w:rsidRPr="00A00EF3">
        <w:t xml:space="preserve">at </w:t>
      </w:r>
      <w:hyperlink w:anchor="_Glossary" w:history="1">
        <w:r w:rsidR="00AF2F95" w:rsidRPr="00A00EF3">
          <w:rPr>
            <w:rStyle w:val="Hyperlink"/>
          </w:rPr>
          <w:t xml:space="preserve">section </w:t>
        </w:r>
        <w:r w:rsidR="00D37C42" w:rsidRPr="00A00EF3">
          <w:rPr>
            <w:rStyle w:val="Hyperlink"/>
          </w:rPr>
          <w:t>4.6</w:t>
        </w:r>
      </w:hyperlink>
      <w:r w:rsidRPr="00A00EF3">
        <w:t>.</w:t>
      </w:r>
    </w:p>
    <w:p w14:paraId="72E56CCC" w14:textId="77777777" w:rsidR="00C30606" w:rsidRDefault="00C30606" w:rsidP="00C30606">
      <w:pPr>
        <w:pStyle w:val="Heading4"/>
      </w:pPr>
      <w:r>
        <w:t>Free, prior and informed consent</w:t>
      </w:r>
    </w:p>
    <w:p w14:paraId="668BB8E1" w14:textId="77777777" w:rsidR="00C30606" w:rsidRDefault="00C30606" w:rsidP="00CC08ED">
      <w:pPr>
        <w:pStyle w:val="BoxHeading"/>
        <w:shd w:val="clear" w:color="auto" w:fill="C6D9F1" w:themeFill="text2" w:themeFillTint="33"/>
      </w:pPr>
      <w:r>
        <w:t>PRINCIPLE – FREE, PRIOR AND INFORMED CONSENT</w:t>
      </w:r>
    </w:p>
    <w:p w14:paraId="194089CD" w14:textId="77777777" w:rsidR="00C30606" w:rsidRPr="007B0859" w:rsidRDefault="00C30606" w:rsidP="00CC08ED">
      <w:pPr>
        <w:pStyle w:val="BoxTextBullet"/>
        <w:shd w:val="clear" w:color="auto" w:fill="C6D9F1" w:themeFill="text2" w:themeFillTint="33"/>
        <w:rPr>
          <w:rFonts w:ascii="Times New Roman" w:eastAsia="Times New Roman" w:hAnsi="Times New Roman" w:cs="Times New Roman"/>
          <w:lang w:val="en-US"/>
        </w:rPr>
      </w:pPr>
      <w:r>
        <w:rPr>
          <w:lang w:val="en-US"/>
        </w:rPr>
        <w:t>Assessment and recognition of potential OECMs governed by First Nations people, requires the free, prior and informed consent of th</w:t>
      </w:r>
      <w:r w:rsidR="005B7BDE">
        <w:rPr>
          <w:lang w:val="en-US"/>
        </w:rPr>
        <w:t>ose governance authorities</w:t>
      </w:r>
      <w:r>
        <w:rPr>
          <w:lang w:val="en-US"/>
        </w:rPr>
        <w:t>.</w:t>
      </w:r>
    </w:p>
    <w:p w14:paraId="5BF32CD3" w14:textId="77777777" w:rsidR="00C30606" w:rsidRDefault="00C30606" w:rsidP="00C30606">
      <w:pPr>
        <w:spacing w:after="0"/>
      </w:pPr>
    </w:p>
    <w:p w14:paraId="1B0B9311" w14:textId="77777777" w:rsidR="008D2545" w:rsidRPr="007B0859" w:rsidRDefault="008D2545" w:rsidP="008D2545">
      <w:r>
        <w:t>The concept of f</w:t>
      </w:r>
      <w:r w:rsidRPr="007B0859">
        <w:t xml:space="preserve">ree, prior and informed consent (FPIC) is a non-binding concept established through the </w:t>
      </w:r>
      <w:hyperlink r:id="rId26" w:history="1">
        <w:r w:rsidRPr="006C5882">
          <w:rPr>
            <w:rStyle w:val="Hyperlink"/>
          </w:rPr>
          <w:t>United Nations Declaration on the Rights of Indigenous Peoples</w:t>
        </w:r>
      </w:hyperlink>
      <w:r w:rsidRPr="007B0859">
        <w:t xml:space="preserve"> (UNDRIP</w:t>
      </w:r>
      <w:r w:rsidR="006C5882">
        <w:t xml:space="preserve"> 2007</w:t>
      </w:r>
      <w:r w:rsidRPr="007B0859">
        <w:t>)</w:t>
      </w:r>
      <w:r w:rsidR="00F11F7F">
        <w:t>.</w:t>
      </w:r>
      <w:r w:rsidRPr="007B0859">
        <w:t xml:space="preserve">  </w:t>
      </w:r>
    </w:p>
    <w:p w14:paraId="2615A2AF" w14:textId="77777777" w:rsidR="008D2545" w:rsidRPr="007B0859" w:rsidRDefault="008D2545" w:rsidP="00F766FC">
      <w:pPr>
        <w:keepNext/>
      </w:pPr>
      <w:r w:rsidRPr="007B0859">
        <w:lastRenderedPageBreak/>
        <w:t xml:space="preserve">The United Nations Permanent Forum on Indigenous Issues and the Expert Mechanism on the Rights of Indigenous Peoples </w:t>
      </w:r>
      <w:r w:rsidR="00652BFC">
        <w:t>(</w:t>
      </w:r>
      <w:r w:rsidR="00652BFC" w:rsidRPr="0014227C">
        <w:t>UN Human Rights Council</w:t>
      </w:r>
      <w:r w:rsidR="00652BFC">
        <w:t xml:space="preserve"> 2011) </w:t>
      </w:r>
      <w:r w:rsidRPr="007B0859">
        <w:t xml:space="preserve">define the elements of FPIC as follows: </w:t>
      </w:r>
    </w:p>
    <w:p w14:paraId="270ECD32" w14:textId="77777777" w:rsidR="008D2545" w:rsidRDefault="008D2545" w:rsidP="00F766FC">
      <w:pPr>
        <w:pStyle w:val="ListBullet"/>
        <w:keepNext/>
      </w:pPr>
      <w:r>
        <w:t>Free – implies no coercion, intimidation or manipulation</w:t>
      </w:r>
    </w:p>
    <w:p w14:paraId="7DE2C4C9" w14:textId="77777777" w:rsidR="008D2545" w:rsidRDefault="008D2545" w:rsidP="008D2545">
      <w:pPr>
        <w:pStyle w:val="ListBullet"/>
      </w:pPr>
      <w:r>
        <w:t xml:space="preserve">Prior – implies that consent is obtained in advance of the activity associated with the decision being made, and includes the time necessary to allow </w:t>
      </w:r>
      <w:r w:rsidR="00477B09">
        <w:t>I</w:t>
      </w:r>
      <w:r>
        <w:t>ndigenous peoples to undertake their own decision-making processes</w:t>
      </w:r>
    </w:p>
    <w:p w14:paraId="7FA45A1D" w14:textId="77777777" w:rsidR="008D2545" w:rsidRDefault="008D2545" w:rsidP="008D2545">
      <w:pPr>
        <w:pStyle w:val="ListBullet"/>
      </w:pPr>
      <w:r>
        <w:t xml:space="preserve">Informed – implies that </w:t>
      </w:r>
      <w:r w:rsidR="00477B09">
        <w:t>I</w:t>
      </w:r>
      <w:r>
        <w:t xml:space="preserve">ndigenous peoples have been provided all information relating to the activity and that information is objective, accurate and presented in a manner and form understandable to </w:t>
      </w:r>
      <w:r w:rsidR="00477B09">
        <w:t>I</w:t>
      </w:r>
      <w:r>
        <w:t>ndigenous peoples</w:t>
      </w:r>
    </w:p>
    <w:p w14:paraId="5F21F78E" w14:textId="77777777" w:rsidR="008D2545" w:rsidRDefault="008D2545" w:rsidP="00476A28">
      <w:pPr>
        <w:pStyle w:val="ListBullet"/>
      </w:pPr>
      <w:r>
        <w:t xml:space="preserve">Consent – involves consultation being undertaken in good faith and in a culturally-safe manner, so as to facilitate full and equitable participation in a dialogue that enables the parties to find appropriate solutions in an atmosphere of mutual respect. </w:t>
      </w:r>
    </w:p>
    <w:p w14:paraId="3522E784" w14:textId="77777777" w:rsidR="008975E1" w:rsidRDefault="008975E1" w:rsidP="00380A19">
      <w:pPr>
        <w:pStyle w:val="Heading3"/>
      </w:pPr>
      <w:bookmarkStart w:id="17" w:name="_Toc129263670"/>
      <w:r>
        <w:t>Biodiversity values</w:t>
      </w:r>
      <w:bookmarkEnd w:id="17"/>
    </w:p>
    <w:p w14:paraId="17188022" w14:textId="77777777" w:rsidR="008975E1" w:rsidRDefault="008975E1" w:rsidP="00DF7ABD">
      <w:pPr>
        <w:keepNext/>
        <w:keepLines/>
        <w:spacing w:after="0"/>
      </w:pPr>
    </w:p>
    <w:p w14:paraId="21F84F47" w14:textId="77777777" w:rsidR="00B277B3" w:rsidRDefault="00B277B3" w:rsidP="00DF7ABD">
      <w:pPr>
        <w:pStyle w:val="BoxHeading"/>
        <w:keepNext/>
        <w:keepLines/>
        <w:shd w:val="clear" w:color="auto" w:fill="C6D9F1" w:themeFill="text2" w:themeFillTint="33"/>
      </w:pPr>
      <w:r>
        <w:t>PRINCIPLE - BIODIVERSITY VALUES</w:t>
      </w:r>
    </w:p>
    <w:p w14:paraId="4E060FBD" w14:textId="77777777" w:rsidR="00B277B3" w:rsidRDefault="00B277B3" w:rsidP="00DF7ABD">
      <w:pPr>
        <w:pStyle w:val="BoxTextBullet"/>
        <w:keepNext/>
        <w:keepLines/>
        <w:shd w:val="clear" w:color="auto" w:fill="C6D9F1" w:themeFill="text2" w:themeFillTint="33"/>
        <w:spacing w:after="0"/>
      </w:pPr>
      <w:r>
        <w:t>OECMs must have important biodiversity values, documented in detail at the time of the site assessment</w:t>
      </w:r>
      <w:r w:rsidR="00B870F5">
        <w:t xml:space="preserve">. These values </w:t>
      </w:r>
      <w:r w:rsidR="00E23DD9">
        <w:t xml:space="preserve">are to </w:t>
      </w:r>
      <w:r>
        <w:t xml:space="preserve">be maintained in the long-term. </w:t>
      </w:r>
    </w:p>
    <w:p w14:paraId="5996A14C" w14:textId="77777777" w:rsidR="00B277B3" w:rsidRDefault="00B277B3" w:rsidP="00B277B3">
      <w:pPr>
        <w:spacing w:after="0"/>
      </w:pPr>
    </w:p>
    <w:p w14:paraId="02B6C012" w14:textId="77777777" w:rsidR="00B277B3" w:rsidRDefault="00B277B3" w:rsidP="00B277B3">
      <w:r>
        <w:t xml:space="preserve">The </w:t>
      </w:r>
      <w:r w:rsidRPr="009F091C">
        <w:t>in-situ conservation of biodiversity</w:t>
      </w:r>
      <w:r>
        <w:t xml:space="preserve"> is at the heart of OECM recognition. A comprehensive knowledge of a site’s biodiversity values at the time a site is assessed is critical to understanding the overall value of the site. Biodiversity values should be documented in detail at the time of assessment.</w:t>
      </w:r>
      <w:r w:rsidRPr="008D416B">
        <w:t xml:space="preserve"> </w:t>
      </w:r>
      <w:r>
        <w:t>Sites are only eligible if they have important biodiversity values that will be maintained in the long-term.</w:t>
      </w:r>
    </w:p>
    <w:p w14:paraId="37F335C0" w14:textId="77777777" w:rsidR="00A57039" w:rsidRPr="00E23DD9" w:rsidRDefault="007E17A1" w:rsidP="00A57039">
      <w:r w:rsidRPr="00E23DD9">
        <w:t>Climate change is having widespread impacts on Australia’s biodiversity. Ecological change is already occurring, with biodiversity being affected in many ways. The changing climate may make it difficult for some biodiversity values to</w:t>
      </w:r>
      <w:r w:rsidR="00BA7470">
        <w:t xml:space="preserve"> be</w:t>
      </w:r>
      <w:r w:rsidRPr="00E23DD9">
        <w:t xml:space="preserve"> maintained in the long</w:t>
      </w:r>
      <w:r w:rsidR="00BA7470">
        <w:t>-</w:t>
      </w:r>
      <w:r w:rsidRPr="00E23DD9">
        <w:t xml:space="preserve">term. </w:t>
      </w:r>
    </w:p>
    <w:p w14:paraId="0861DDF9" w14:textId="77777777" w:rsidR="007A71BE" w:rsidRDefault="007A71BE" w:rsidP="007A71BE">
      <w:pPr>
        <w:pStyle w:val="Heading4"/>
      </w:pPr>
      <w:bookmarkStart w:id="18" w:name="_Hlk123720521"/>
      <w:r>
        <w:t>Prioritisation of areas of particular importance for biodiversity</w:t>
      </w:r>
    </w:p>
    <w:bookmarkEnd w:id="18"/>
    <w:p w14:paraId="2D8D4E0F" w14:textId="77777777" w:rsidR="008975E1" w:rsidRDefault="008975E1" w:rsidP="00CC08ED">
      <w:pPr>
        <w:pStyle w:val="BoxHeading"/>
        <w:shd w:val="clear" w:color="auto" w:fill="C6D9F1" w:themeFill="text2" w:themeFillTint="33"/>
      </w:pPr>
      <w:r>
        <w:t>PRINCIPLE – PRIORITISATION OF AREAS OF PARTICULAR IMPORTANCE FOR BIODIVERSITY</w:t>
      </w:r>
    </w:p>
    <w:p w14:paraId="20F85C8F" w14:textId="77777777" w:rsidR="008975E1" w:rsidRDefault="008975E1" w:rsidP="00CC08ED">
      <w:pPr>
        <w:pStyle w:val="BoxTextBullet"/>
        <w:shd w:val="clear" w:color="auto" w:fill="C6D9F1" w:themeFill="text2" w:themeFillTint="33"/>
        <w:spacing w:after="240"/>
      </w:pPr>
      <w:r>
        <w:t xml:space="preserve">Areas of </w:t>
      </w:r>
      <w:r w:rsidRPr="00213378">
        <w:t>particular importance for biodiversity</w:t>
      </w:r>
      <w:r>
        <w:t xml:space="preserve"> should be prioritised for assessment and </w:t>
      </w:r>
      <w:r w:rsidR="006347CE">
        <w:t xml:space="preserve">designation as a formal protected area, or recognition as an </w:t>
      </w:r>
      <w:bookmarkStart w:id="19" w:name="_Hlk127269959"/>
      <w:r w:rsidR="006347CE">
        <w:t>OECM</w:t>
      </w:r>
      <w:bookmarkEnd w:id="19"/>
      <w:r w:rsidR="006347CE">
        <w:t>.</w:t>
      </w:r>
      <w:r>
        <w:t xml:space="preserve"> </w:t>
      </w:r>
    </w:p>
    <w:p w14:paraId="73039BE2" w14:textId="77777777" w:rsidR="00BF53BB" w:rsidRDefault="00BF53BB" w:rsidP="00F766FC">
      <w:pPr>
        <w:spacing w:after="0"/>
      </w:pPr>
    </w:p>
    <w:p w14:paraId="6C80274F" w14:textId="77777777" w:rsidR="008975E1" w:rsidRDefault="008975E1" w:rsidP="008975E1">
      <w:r>
        <w:t>The 30 by 30 target is about protecting and conserving quality areas, not just about reaching the 30</w:t>
      </w:r>
      <w:r w:rsidR="00C03B6B">
        <w:t>%</w:t>
      </w:r>
      <w:r>
        <w:t xml:space="preserve"> target. One aspect of the global 30 by 30 target is ensuring</w:t>
      </w:r>
      <w:r w:rsidR="006347CE">
        <w:t xml:space="preserve"> </w:t>
      </w:r>
      <w:hyperlink w:anchor="_Glossary" w:history="1">
        <w:r w:rsidRPr="009F45B0">
          <w:rPr>
            <w:rStyle w:val="Hyperlink"/>
          </w:rPr>
          <w:t>areas of particular importance for biodiversity</w:t>
        </w:r>
      </w:hyperlink>
      <w:r>
        <w:t xml:space="preserve"> are conserved. </w:t>
      </w:r>
    </w:p>
    <w:p w14:paraId="0B70E56F" w14:textId="77777777" w:rsidR="008975E1" w:rsidRDefault="00213378" w:rsidP="00FD7F8D">
      <w:pPr>
        <w:keepNext/>
        <w:keepLines/>
      </w:pPr>
      <w:r>
        <w:lastRenderedPageBreak/>
        <w:t>T</w:t>
      </w:r>
      <w:r w:rsidR="008975E1">
        <w:t>he identification of areas of particular importance for biodiversity in Australia may assist in guiding prioritisation of</w:t>
      </w:r>
      <w:r w:rsidR="006347CE">
        <w:t xml:space="preserve"> </w:t>
      </w:r>
      <w:r w:rsidR="00C85701">
        <w:t xml:space="preserve">areas for </w:t>
      </w:r>
      <w:r w:rsidR="006347CE">
        <w:t>assessment and designation as formal protected area</w:t>
      </w:r>
      <w:r w:rsidR="00C85701">
        <w:t>s</w:t>
      </w:r>
      <w:r w:rsidR="006347CE">
        <w:t>, or recognition as OECM</w:t>
      </w:r>
      <w:r w:rsidR="00C85701">
        <w:t>s</w:t>
      </w:r>
      <w:r w:rsidR="006347CE">
        <w:t>.</w:t>
      </w:r>
      <w:r w:rsidR="008975E1">
        <w:t xml:space="preserve"> </w:t>
      </w:r>
      <w:r w:rsidR="008975E1" w:rsidRPr="00E13AA3">
        <w:t xml:space="preserve">Work is underway to assess methodologies for identifying </w:t>
      </w:r>
      <w:r>
        <w:t>areas of particular importance for biodiversity,</w:t>
      </w:r>
      <w:r w:rsidR="008975E1" w:rsidRPr="00E13AA3">
        <w:t xml:space="preserve"> for protection and conservation. </w:t>
      </w:r>
      <w:bookmarkStart w:id="20" w:name="_Hlk127347312"/>
    </w:p>
    <w:bookmarkEnd w:id="20"/>
    <w:p w14:paraId="051E7DD0" w14:textId="77777777" w:rsidR="007A71BE" w:rsidRDefault="007A71BE" w:rsidP="00C85701">
      <w:pPr>
        <w:pStyle w:val="Heading4"/>
      </w:pPr>
      <w:r>
        <w:t>Restoration sites</w:t>
      </w:r>
    </w:p>
    <w:p w14:paraId="7DCD47A9" w14:textId="77777777" w:rsidR="007A71BE" w:rsidRDefault="007A71BE" w:rsidP="00CC08ED">
      <w:pPr>
        <w:pStyle w:val="BoxHeading"/>
        <w:keepNext/>
        <w:shd w:val="clear" w:color="auto" w:fill="C6D9F1" w:themeFill="text2" w:themeFillTint="33"/>
      </w:pPr>
      <w:r>
        <w:t>PRINCIPLE – RESTORATION SITES</w:t>
      </w:r>
    </w:p>
    <w:p w14:paraId="474319F3" w14:textId="77777777" w:rsidR="007A71BE" w:rsidRDefault="007A71BE" w:rsidP="00CC08ED">
      <w:pPr>
        <w:pStyle w:val="BoxTextBullet"/>
        <w:keepNext/>
        <w:shd w:val="clear" w:color="auto" w:fill="C6D9F1" w:themeFill="text2" w:themeFillTint="33"/>
      </w:pPr>
      <w:r>
        <w:t xml:space="preserve">A site that is </w:t>
      </w:r>
      <w:r w:rsidR="00071E0A">
        <w:t xml:space="preserve">severely </w:t>
      </w:r>
      <w:r>
        <w:t>degraded, damaged</w:t>
      </w:r>
      <w:r w:rsidR="008741BC">
        <w:t xml:space="preserve"> or</w:t>
      </w:r>
      <w:r>
        <w:t xml:space="preserve"> destroyed </w:t>
      </w:r>
      <w:r w:rsidR="00F50F63">
        <w:t xml:space="preserve">and </w:t>
      </w:r>
      <w:r>
        <w:t>not yet under restoration is not appropriate for OECM recognition.</w:t>
      </w:r>
    </w:p>
    <w:p w14:paraId="74476D58" w14:textId="77777777" w:rsidR="007A71BE" w:rsidRDefault="00720718" w:rsidP="00CC08ED">
      <w:pPr>
        <w:pStyle w:val="BoxTextBullet"/>
        <w:keepNext/>
        <w:shd w:val="clear" w:color="auto" w:fill="C6D9F1" w:themeFill="text2" w:themeFillTint="33"/>
      </w:pPr>
      <w:r>
        <w:t>A</w:t>
      </w:r>
      <w:r w:rsidR="007A71BE">
        <w:t xml:space="preserve"> site under ecological restoration may be recognised as </w:t>
      </w:r>
      <w:r>
        <w:t xml:space="preserve">an </w:t>
      </w:r>
      <w:r w:rsidR="007A71BE">
        <w:t>OECM</w:t>
      </w:r>
      <w:r>
        <w:t>, once delivering demonstrable and significant biodiversity outcomes</w:t>
      </w:r>
      <w:r w:rsidR="007A71BE">
        <w:t xml:space="preserve">. Restoration actions must include actions that address the cause of the original degradation / biodiversity loss. </w:t>
      </w:r>
    </w:p>
    <w:p w14:paraId="733AC2A6" w14:textId="77777777" w:rsidR="00BF53BB" w:rsidRDefault="00BF53BB" w:rsidP="00D37C42">
      <w:pPr>
        <w:spacing w:after="0"/>
      </w:pPr>
    </w:p>
    <w:p w14:paraId="304A59E9" w14:textId="77777777" w:rsidR="007A71BE" w:rsidRDefault="007A71BE" w:rsidP="007A71BE">
      <w:r>
        <w:t xml:space="preserve">Only sites that are delivering the </w:t>
      </w:r>
      <w:r w:rsidRPr="009F45B0">
        <w:t>effective in-situ</w:t>
      </w:r>
      <w:r>
        <w:t xml:space="preserve"> conservation of biodiversity</w:t>
      </w:r>
      <w:r w:rsidRPr="006B4C4C">
        <w:t xml:space="preserve"> </w:t>
      </w:r>
      <w:r>
        <w:t xml:space="preserve">can be recognised as OECMs. Sites that </w:t>
      </w:r>
      <w:r w:rsidR="00720718">
        <w:t xml:space="preserve">are </w:t>
      </w:r>
      <w:r>
        <w:t>not yet being actively restored, are</w:t>
      </w:r>
      <w:r w:rsidR="00071E0A">
        <w:t xml:space="preserve"> severely</w:t>
      </w:r>
      <w:r>
        <w:t xml:space="preserve"> degraded, damaged, or destroyed are not appropriate for OECM recognition. </w:t>
      </w:r>
    </w:p>
    <w:p w14:paraId="2F680002" w14:textId="77777777" w:rsidR="007A71BE" w:rsidRDefault="007A71BE" w:rsidP="007A71BE">
      <w:r>
        <w:t xml:space="preserve">Recognising the importance of and the need to encourage restoration efforts, sites that are under active, demonstrably effective restoration activities, and already delivering significant biodiversity outcomes may be recognised. </w:t>
      </w:r>
    </w:p>
    <w:p w14:paraId="43D527B1" w14:textId="77777777" w:rsidR="007A71BE" w:rsidRDefault="007A71BE" w:rsidP="007A71BE">
      <w:r>
        <w:t>Restoration actions would need to include actions that address the cause of the original degradation / biodiversity loss</w:t>
      </w:r>
      <w:r w:rsidR="00720718">
        <w:t>.</w:t>
      </w:r>
      <w:r>
        <w:t xml:space="preserve"> </w:t>
      </w:r>
      <w:r w:rsidR="00720718">
        <w:t>A</w:t>
      </w:r>
      <w:r>
        <w:t xml:space="preserve">dditional monitoring may be required. Regular use of </w:t>
      </w:r>
      <w:r w:rsidR="00720718">
        <w:t>monitoring</w:t>
      </w:r>
      <w:r>
        <w:t xml:space="preserve"> tools that measure or identify habitat condition may be required to track the level of restoration that is occurring, with set minimum thresholds for improvement. </w:t>
      </w:r>
    </w:p>
    <w:p w14:paraId="63607868" w14:textId="77777777" w:rsidR="00AB6DDA" w:rsidRDefault="006C1BD3" w:rsidP="00495D84">
      <w:pPr>
        <w:ind w:right="848"/>
      </w:pPr>
      <w:r>
        <w:t xml:space="preserve">Restoration activities that are not able </w:t>
      </w:r>
      <w:r w:rsidRPr="00936243">
        <w:t xml:space="preserve">to contribute to the 30 by 30 target </w:t>
      </w:r>
      <w:r w:rsidR="00A57039" w:rsidRPr="00936243">
        <w:t>could</w:t>
      </w:r>
      <w:r w:rsidRPr="00936243">
        <w:t xml:space="preserve"> </w:t>
      </w:r>
      <w:r w:rsidR="001F31B4" w:rsidRPr="00936243">
        <w:t xml:space="preserve">form part of Australia’s </w:t>
      </w:r>
      <w:r w:rsidRPr="00936243">
        <w:t>contribut</w:t>
      </w:r>
      <w:r w:rsidR="001F31B4" w:rsidRPr="00936243">
        <w:t>ion</w:t>
      </w:r>
      <w:r w:rsidRPr="00936243">
        <w:t xml:space="preserve"> to</w:t>
      </w:r>
      <w:r w:rsidR="001F31B4" w:rsidRPr="00936243">
        <w:t>wards</w:t>
      </w:r>
      <w:r w:rsidRPr="00936243">
        <w:t xml:space="preserve"> </w:t>
      </w:r>
      <w:r w:rsidR="008071E6" w:rsidRPr="00936243">
        <w:t>t</w:t>
      </w:r>
      <w:r w:rsidRPr="00936243">
        <w:t>arget 2 under the CBD</w:t>
      </w:r>
      <w:r w:rsidR="00A57039" w:rsidRPr="00936243">
        <w:t xml:space="preserve"> </w:t>
      </w:r>
      <w:r w:rsidR="00A57039" w:rsidRPr="00FD7F8D">
        <w:rPr>
          <w:i/>
          <w:iCs/>
        </w:rPr>
        <w:t>Kunming-Montreal</w:t>
      </w:r>
      <w:r w:rsidRPr="00FD7F8D">
        <w:rPr>
          <w:i/>
          <w:iCs/>
        </w:rPr>
        <w:t xml:space="preserve"> Global Biodiversity Framewor</w:t>
      </w:r>
      <w:r w:rsidR="00495D84" w:rsidRPr="00FD7F8D">
        <w:rPr>
          <w:i/>
          <w:iCs/>
        </w:rPr>
        <w:t>k</w:t>
      </w:r>
      <w:r w:rsidR="00495D84" w:rsidRPr="00936243">
        <w:t xml:space="preserve">. Target 2 </w:t>
      </w:r>
      <w:r w:rsidR="00A57039" w:rsidRPr="00936243">
        <w:t>is</w:t>
      </w:r>
      <w:r w:rsidR="00495D84" w:rsidRPr="00936243">
        <w:t xml:space="preserve"> focus</w:t>
      </w:r>
      <w:r w:rsidR="00A57039" w:rsidRPr="00936243">
        <w:t>ed</w:t>
      </w:r>
      <w:r w:rsidR="00495D84" w:rsidRPr="00936243">
        <w:t xml:space="preserve"> on degraded areas</w:t>
      </w:r>
      <w:r w:rsidR="00495D84" w:rsidRPr="00495D84">
        <w:t xml:space="preserve"> of terrestrial, inland water, and coastal and marine ecosystems </w:t>
      </w:r>
      <w:r w:rsidR="00495D84">
        <w:t>being</w:t>
      </w:r>
      <w:r w:rsidR="00495D84" w:rsidRPr="00495D84">
        <w:t xml:space="preserve"> under effective restoration</w:t>
      </w:r>
      <w:r w:rsidR="00495D84">
        <w:t xml:space="preserve">. </w:t>
      </w:r>
    </w:p>
    <w:p w14:paraId="06F81616" w14:textId="77777777" w:rsidR="002208A3" w:rsidRDefault="002208A3" w:rsidP="00345722">
      <w:pPr>
        <w:pStyle w:val="Heading3"/>
      </w:pPr>
      <w:bookmarkStart w:id="21" w:name="_Toc129263671"/>
      <w:r>
        <w:t>Protected area</w:t>
      </w:r>
      <w:r w:rsidR="00B277B3">
        <w:t xml:space="preserve"> consideration</w:t>
      </w:r>
      <w:bookmarkEnd w:id="21"/>
    </w:p>
    <w:p w14:paraId="7673F778" w14:textId="77777777" w:rsidR="00517525" w:rsidRDefault="00517525" w:rsidP="00EF2252">
      <w:pPr>
        <w:spacing w:after="120"/>
      </w:pPr>
    </w:p>
    <w:p w14:paraId="59E9C09C" w14:textId="77777777" w:rsidR="00EF2252" w:rsidRDefault="00EF2252" w:rsidP="00CC08ED">
      <w:pPr>
        <w:pStyle w:val="BoxHeading"/>
        <w:shd w:val="clear" w:color="auto" w:fill="C6D9F1" w:themeFill="text2" w:themeFillTint="33"/>
      </w:pPr>
      <w:r>
        <w:t>PRINCIPLE - PROTECTED AREA CONSIDERATION</w:t>
      </w:r>
    </w:p>
    <w:p w14:paraId="778F10FC" w14:textId="77777777" w:rsidR="00EF2252" w:rsidRDefault="00454EC8" w:rsidP="00CC08ED">
      <w:pPr>
        <w:pStyle w:val="BoxTextBullet"/>
        <w:shd w:val="clear" w:color="auto" w:fill="C6D9F1" w:themeFill="text2" w:themeFillTint="33"/>
        <w:spacing w:after="200"/>
      </w:pPr>
      <w:r>
        <w:t>A site’s suitability for p</w:t>
      </w:r>
      <w:r w:rsidR="00EF2252">
        <w:t xml:space="preserve">rotected area designation should be considered first. </w:t>
      </w:r>
      <w:r w:rsidR="00814AD1">
        <w:t xml:space="preserve">Suitability for </w:t>
      </w:r>
      <w:r w:rsidR="00EF2252">
        <w:t>OECM</w:t>
      </w:r>
      <w:r>
        <w:t xml:space="preserve"> recognition </w:t>
      </w:r>
      <w:r w:rsidR="00EF2252">
        <w:t xml:space="preserve">should be considered in circumstances where formal protected area designation is not </w:t>
      </w:r>
      <w:r w:rsidR="00071E0A">
        <w:t xml:space="preserve">appropriate, </w:t>
      </w:r>
      <w:r w:rsidR="00EF2252">
        <w:t>achievable or desirable.</w:t>
      </w:r>
    </w:p>
    <w:p w14:paraId="468B9E77" w14:textId="77777777" w:rsidR="003B739B" w:rsidRDefault="002208A3" w:rsidP="000111B7">
      <w:r>
        <w:t>Protected area designation should be considered in the first instance, particularly for areas of very high biodiversity value. Protected areas provide the strongest, long-term legal protection of biodiversity via either legislative means or conservation covenants</w:t>
      </w:r>
      <w:r w:rsidR="003B739B">
        <w:t xml:space="preserve"> recorded on land title</w:t>
      </w:r>
      <w:r w:rsidR="00381064">
        <w:t>. T</w:t>
      </w:r>
      <w:r>
        <w:t>hey are managed in accordance with established IUCN protected area management categories</w:t>
      </w:r>
      <w:r w:rsidR="003E38C2">
        <w:t>, and</w:t>
      </w:r>
      <w:r>
        <w:t xml:space="preserve"> </w:t>
      </w:r>
      <w:r w:rsidR="003E38C2">
        <w:t xml:space="preserve">contribute to </w:t>
      </w:r>
      <w:r>
        <w:t xml:space="preserve">the National Reserve System. </w:t>
      </w:r>
    </w:p>
    <w:p w14:paraId="754B0C13" w14:textId="77777777" w:rsidR="002208A3" w:rsidRDefault="00F71ADC" w:rsidP="003B739B">
      <w:bookmarkStart w:id="22" w:name="_Hlk127269994"/>
      <w:r>
        <w:lastRenderedPageBreak/>
        <w:t>OECMs are a</w:t>
      </w:r>
      <w:r w:rsidR="00605D16">
        <w:t xml:space="preserve"> compl</w:t>
      </w:r>
      <w:r w:rsidR="00702EC2">
        <w:t>e</w:t>
      </w:r>
      <w:r w:rsidR="00605D16">
        <w:t xml:space="preserve">mentary </w:t>
      </w:r>
      <w:r>
        <w:t xml:space="preserve">mechanism to build Australia’s protected and conserved areas. </w:t>
      </w:r>
      <w:bookmarkEnd w:id="22"/>
      <w:r>
        <w:t xml:space="preserve">While there is no legal protection, they provide opportunities to </w:t>
      </w:r>
      <w:r w:rsidR="005F5B79">
        <w:t>protect natural areas and mitigate risks from human activities.</w:t>
      </w:r>
      <w:r>
        <w:t xml:space="preserve"> </w:t>
      </w:r>
      <w:r w:rsidR="003B739B">
        <w:t xml:space="preserve">OECM recognition </w:t>
      </w:r>
      <w:r w:rsidR="000111B7">
        <w:t>sh</w:t>
      </w:r>
      <w:r w:rsidR="003B739B">
        <w:t>ould be considered f</w:t>
      </w:r>
      <w:r w:rsidR="002208A3">
        <w:t>or areas that do</w:t>
      </w:r>
      <w:r w:rsidR="00C85701">
        <w:t xml:space="preserve"> </w:t>
      </w:r>
      <w:r w:rsidR="002208A3">
        <w:t>n</w:t>
      </w:r>
      <w:r w:rsidR="00C85701">
        <w:t>o</w:t>
      </w:r>
      <w:r w:rsidR="002208A3">
        <w:t>t meet the protected area definition, or where formal protected area designation is</w:t>
      </w:r>
      <w:r w:rsidR="00C85701">
        <w:t xml:space="preserve"> </w:t>
      </w:r>
      <w:r w:rsidR="002208A3">
        <w:t>n</w:t>
      </w:r>
      <w:r w:rsidR="00C85701">
        <w:t>o</w:t>
      </w:r>
      <w:r w:rsidR="002208A3">
        <w:t>t possible or supported. For example:</w:t>
      </w:r>
    </w:p>
    <w:p w14:paraId="5B1B34BB" w14:textId="77777777" w:rsidR="002208A3" w:rsidRDefault="002208A3" w:rsidP="00D025E8">
      <w:pPr>
        <w:pStyle w:val="ListBullet"/>
      </w:pPr>
      <w:r>
        <w:t xml:space="preserve">Where </w:t>
      </w:r>
      <w:r w:rsidR="00BA7470">
        <w:t xml:space="preserve">biodiversity conservation </w:t>
      </w:r>
      <w:r>
        <w:t>is a primary objective, but there are impediments to applying formal protected area designation, e.g. pastoral leasehold lands where lease requirements do not allow for a protective mechanism such as a covenant, but do allow for conservation.</w:t>
      </w:r>
    </w:p>
    <w:p w14:paraId="3DC2BF47" w14:textId="77777777" w:rsidR="002208A3" w:rsidRDefault="002208A3" w:rsidP="00D025E8">
      <w:pPr>
        <w:pStyle w:val="ListBullet"/>
      </w:pPr>
      <w:r>
        <w:t xml:space="preserve">Where the primary purpose is not biodiversity conservation, but the land is managed for biodiversity conservation as a secondary or ancillary purpose, e.g. </w:t>
      </w:r>
      <w:r w:rsidR="00677B2C">
        <w:t>urban parklands</w:t>
      </w:r>
      <w:r>
        <w:t>.</w:t>
      </w:r>
    </w:p>
    <w:p w14:paraId="7330DC5C" w14:textId="77777777" w:rsidR="002208A3" w:rsidRDefault="002208A3" w:rsidP="00D025E8">
      <w:pPr>
        <w:pStyle w:val="ListBullet"/>
      </w:pPr>
      <w:r>
        <w:t>Where connectivity can be achieved between existing protected areas, but the connecting land has a primary purpose not compatible with protection.</w:t>
      </w:r>
    </w:p>
    <w:p w14:paraId="34829FE5" w14:textId="77777777" w:rsidR="002208A3" w:rsidRDefault="002208A3" w:rsidP="002208A3">
      <w:r>
        <w:t xml:space="preserve">There may be instances where neither protection nor OECM recognition are feasible, and other conservation options may be available. </w:t>
      </w:r>
    </w:p>
    <w:p w14:paraId="123CF261" w14:textId="77777777" w:rsidR="00F33F23" w:rsidRDefault="00F33F23" w:rsidP="00F33F23">
      <w:r>
        <w:t>There may be a range of entry points for a site to be considered for protection or conservation. For example, a site may be located within a region identified as an area of particular importance for biodiversity; or it may be identified through a jurisdictional mechanism, or put forward by a landholder for consideration. A decision can then be made as to whether a site should be considered for protection, or recognition as an OECM.</w:t>
      </w:r>
    </w:p>
    <w:p w14:paraId="472B3314" w14:textId="77777777" w:rsidR="002208A3" w:rsidRDefault="003B739B" w:rsidP="00476A28">
      <w:pPr>
        <w:pStyle w:val="Heading3"/>
      </w:pPr>
      <w:bookmarkStart w:id="23" w:name="_Toc129263672"/>
      <w:r>
        <w:t>G</w:t>
      </w:r>
      <w:r w:rsidR="002208A3">
        <w:t>eographically defined area</w:t>
      </w:r>
      <w:bookmarkEnd w:id="23"/>
    </w:p>
    <w:p w14:paraId="5F5356D0" w14:textId="77777777" w:rsidR="003B739B" w:rsidRDefault="003B739B" w:rsidP="00C907A1">
      <w:pPr>
        <w:keepNext/>
        <w:keepLines/>
        <w:spacing w:after="0"/>
      </w:pPr>
    </w:p>
    <w:p w14:paraId="1B364D85" w14:textId="77777777" w:rsidR="00982EC8" w:rsidRDefault="00982EC8" w:rsidP="00C907A1">
      <w:pPr>
        <w:pStyle w:val="BoxHeading"/>
        <w:keepNext/>
        <w:keepLines/>
        <w:shd w:val="clear" w:color="auto" w:fill="C6D9F1" w:themeFill="text2" w:themeFillTint="33"/>
      </w:pPr>
      <w:r>
        <w:t xml:space="preserve">PRINCIPLE </w:t>
      </w:r>
      <w:r w:rsidR="001022A7">
        <w:t>-</w:t>
      </w:r>
      <w:r>
        <w:t xml:space="preserve"> GEOGRAPHICALLY DEFINED</w:t>
      </w:r>
      <w:r w:rsidR="0077102B">
        <w:t xml:space="preserve"> AREA</w:t>
      </w:r>
    </w:p>
    <w:p w14:paraId="0D48A6A2" w14:textId="77777777" w:rsidR="00982EC8" w:rsidRDefault="00982EC8" w:rsidP="00C907A1">
      <w:pPr>
        <w:pStyle w:val="BoxTextBullet"/>
        <w:keepNext/>
        <w:keepLines/>
        <w:shd w:val="clear" w:color="auto" w:fill="C6D9F1" w:themeFill="text2" w:themeFillTint="33"/>
      </w:pPr>
      <w:r>
        <w:t>OECMs must be geographically defined,</w:t>
      </w:r>
      <w:r w:rsidR="00F9719B">
        <w:t xml:space="preserve"> that is, have</w:t>
      </w:r>
      <w:r>
        <w:t xml:space="preserve"> clear and agreed boundaries</w:t>
      </w:r>
      <w:r w:rsidR="0011250D">
        <w:t xml:space="preserve"> that can be accurately identified on maps and on the ground</w:t>
      </w:r>
      <w:r>
        <w:t xml:space="preserve">. </w:t>
      </w:r>
    </w:p>
    <w:p w14:paraId="372D5AFC" w14:textId="77777777" w:rsidR="00982EC8" w:rsidRDefault="00982EC8" w:rsidP="00BF53BB">
      <w:pPr>
        <w:keepNext/>
        <w:keepLines/>
        <w:spacing w:after="0"/>
      </w:pPr>
    </w:p>
    <w:p w14:paraId="62084FFC" w14:textId="77777777" w:rsidR="002208A3" w:rsidRDefault="002208A3" w:rsidP="00BF53BB">
      <w:pPr>
        <w:pStyle w:val="ListBullet"/>
        <w:keepNext/>
        <w:keepLines/>
        <w:numPr>
          <w:ilvl w:val="0"/>
          <w:numId w:val="0"/>
        </w:numPr>
      </w:pPr>
      <w:r>
        <w:t xml:space="preserve">OECM boundaries </w:t>
      </w:r>
      <w:r w:rsidR="0077102B">
        <w:t>must</w:t>
      </w:r>
      <w:r>
        <w:t xml:space="preserve"> be clear and agreed</w:t>
      </w:r>
      <w:r w:rsidR="003C0395">
        <w:t>, and of</w:t>
      </w:r>
      <w:r w:rsidR="003E2584">
        <w:t xml:space="preserve"> a sufficient size to </w:t>
      </w:r>
      <w:r w:rsidR="003E2584" w:rsidRPr="000111B7">
        <w:t>achieve the long-term in-situ conservation of biodiversity, including all ecosystems, habitats and species communities for which the site is important</w:t>
      </w:r>
      <w:r w:rsidR="003E2584">
        <w:t>. Given the site specific nature of scale, no minimum or maximum site size is proposed.</w:t>
      </w:r>
    </w:p>
    <w:p w14:paraId="73F15999" w14:textId="77777777" w:rsidR="002208A3" w:rsidRPr="00936243" w:rsidRDefault="002208A3" w:rsidP="00D025E8">
      <w:pPr>
        <w:pStyle w:val="ListBullet"/>
      </w:pPr>
      <w:r>
        <w:t xml:space="preserve">Where a proposed OECM is part of a larger property, the footprint of the OECM </w:t>
      </w:r>
      <w:r w:rsidR="00D33300">
        <w:t>must</w:t>
      </w:r>
      <w:r>
        <w:t xml:space="preserve"> be clearly described, to differentiate it from other parts </w:t>
      </w:r>
      <w:r w:rsidRPr="00936243">
        <w:t xml:space="preserve">of the property. </w:t>
      </w:r>
    </w:p>
    <w:p w14:paraId="0D0747BC" w14:textId="77777777" w:rsidR="00936243" w:rsidRDefault="002208A3" w:rsidP="00FD7F8D">
      <w:pPr>
        <w:pStyle w:val="ListBullet"/>
        <w:spacing w:after="0" w:line="240" w:lineRule="auto"/>
      </w:pPr>
      <w:r w:rsidRPr="00936243">
        <w:t xml:space="preserve">In instances where boundaries are in dispute, e.g. where there is </w:t>
      </w:r>
      <w:r w:rsidR="001F31B4" w:rsidRPr="00936243">
        <w:t>an unresolved native title claim</w:t>
      </w:r>
      <w:r w:rsidRPr="00936243">
        <w:t>, OECM recognition would not be appropriate until the claim</w:t>
      </w:r>
      <w:r>
        <w:t xml:space="preserve"> is settled, or where there is a clear, </w:t>
      </w:r>
      <w:r w:rsidRPr="00EC759E">
        <w:t>established process in place in a jurisdiction.</w:t>
      </w:r>
      <w:r w:rsidR="003C0395">
        <w:t xml:space="preserve"> For example, the </w:t>
      </w:r>
      <w:hyperlink r:id="rId27" w:history="1">
        <w:r w:rsidR="003C0395" w:rsidRPr="003B394B">
          <w:rPr>
            <w:rStyle w:val="Hyperlink"/>
          </w:rPr>
          <w:t>NSW Biodiversity Conservation on Crown Lands Policy</w:t>
        </w:r>
      </w:hyperlink>
      <w:r w:rsidR="003C0395">
        <w:t xml:space="preserve"> addresses native title claims.</w:t>
      </w:r>
      <w:r w:rsidR="00F052BF">
        <w:t xml:space="preserve"> </w:t>
      </w:r>
      <w:r w:rsidR="00936243">
        <w:br w:type="page"/>
      </w:r>
    </w:p>
    <w:p w14:paraId="6B57A23A" w14:textId="77777777" w:rsidR="00D01F09" w:rsidRDefault="00D01F09" w:rsidP="00D01F09">
      <w:pPr>
        <w:pStyle w:val="Heading3"/>
      </w:pPr>
      <w:bookmarkStart w:id="24" w:name="_Toc129263673"/>
      <w:r>
        <w:lastRenderedPageBreak/>
        <w:t>Land tenure</w:t>
      </w:r>
      <w:bookmarkEnd w:id="24"/>
    </w:p>
    <w:p w14:paraId="1BF78E59" w14:textId="77777777" w:rsidR="00D01F09" w:rsidRDefault="00D01F09" w:rsidP="00694FD3">
      <w:pPr>
        <w:spacing w:after="0"/>
      </w:pPr>
    </w:p>
    <w:p w14:paraId="031CA8CE" w14:textId="77777777" w:rsidR="00D76D32" w:rsidRDefault="00D76D32" w:rsidP="00CC08ED">
      <w:pPr>
        <w:pStyle w:val="BoxHeading"/>
        <w:shd w:val="clear" w:color="auto" w:fill="C6D9F1" w:themeFill="text2" w:themeFillTint="33"/>
      </w:pPr>
      <w:r>
        <w:t>PRINCIPLE - LAND TENURE</w:t>
      </w:r>
    </w:p>
    <w:p w14:paraId="7D848A59" w14:textId="77777777" w:rsidR="003E2584" w:rsidRDefault="00D76D32" w:rsidP="00CC08ED">
      <w:pPr>
        <w:pStyle w:val="BoxTextBullet"/>
        <w:shd w:val="clear" w:color="auto" w:fill="C6D9F1" w:themeFill="text2" w:themeFillTint="33"/>
      </w:pPr>
      <w:r>
        <w:t xml:space="preserve">OECMs can be recognised on </w:t>
      </w:r>
      <w:r w:rsidR="00A87474">
        <w:t xml:space="preserve">all </w:t>
      </w:r>
      <w:r>
        <w:t xml:space="preserve">forms of land tenure in Australia. </w:t>
      </w:r>
    </w:p>
    <w:p w14:paraId="60BC7C48" w14:textId="77777777" w:rsidR="00D76D32" w:rsidRDefault="007764A2" w:rsidP="00CC08ED">
      <w:pPr>
        <w:pStyle w:val="BoxTextBullet"/>
        <w:shd w:val="clear" w:color="auto" w:fill="C6D9F1" w:themeFill="text2" w:themeFillTint="33"/>
      </w:pPr>
      <w:r>
        <w:t>T</w:t>
      </w:r>
      <w:r w:rsidR="00D76D32">
        <w:t>o be recognised on leasehold land, conservation must be compatible with lease conditions / legislation.</w:t>
      </w:r>
    </w:p>
    <w:p w14:paraId="39F8C1FB" w14:textId="77777777" w:rsidR="00D76D32" w:rsidRDefault="00D76D32" w:rsidP="00694FD3">
      <w:pPr>
        <w:spacing w:after="0"/>
      </w:pPr>
    </w:p>
    <w:p w14:paraId="17367C46" w14:textId="77777777" w:rsidR="002208A3" w:rsidRDefault="00D76D32" w:rsidP="002208A3">
      <w:r>
        <w:t>Distinct from land use, l</w:t>
      </w:r>
      <w:r w:rsidR="002208A3">
        <w:t>an</w:t>
      </w:r>
      <w:r w:rsidR="00411F04">
        <w:t>d</w:t>
      </w:r>
      <w:r w:rsidR="002208A3">
        <w:t xml:space="preserve"> tenure in Australia is the legal mechanism under which land is owned, e.g. Crown land, leasehold, freehold etc. It is proposed that, OECMs be recognised on </w:t>
      </w:r>
      <w:r w:rsidR="0091789F">
        <w:t>all</w:t>
      </w:r>
      <w:r w:rsidR="002208A3">
        <w:t xml:space="preserve"> forms of land tenure.</w:t>
      </w:r>
    </w:p>
    <w:p w14:paraId="204A44DA" w14:textId="77777777" w:rsidR="004F1899" w:rsidRDefault="004F1899" w:rsidP="002208A3">
      <w:r>
        <w:t xml:space="preserve">There are circumstances where OECM recognition may not be possible or appropriate: </w:t>
      </w:r>
    </w:p>
    <w:p w14:paraId="5C40143E" w14:textId="77777777" w:rsidR="002208A3" w:rsidRPr="00134D2B" w:rsidRDefault="005C66DA" w:rsidP="004F1899">
      <w:pPr>
        <w:pStyle w:val="ListBullet"/>
      </w:pPr>
      <w:r>
        <w:t>Similar to protected areas, t</w:t>
      </w:r>
      <w:r w:rsidR="002208A3">
        <w:t>here may be impediments to the recognition of OECMs on leasehold land, including the compatibility of conservation with lease terms, and duration of leases.</w:t>
      </w:r>
      <w:r w:rsidR="00E905E6">
        <w:t xml:space="preserve"> </w:t>
      </w:r>
      <w:r w:rsidR="002208A3">
        <w:t xml:space="preserve">Noting that pastoral lease requirements vary between jurisdictions, it is suggested that leased land only be eligible if conservation is compatible with lease conditions / governing legislation, and the lease </w:t>
      </w:r>
      <w:r w:rsidR="002208A3" w:rsidRPr="00134D2B">
        <w:t xml:space="preserve">is of a long-term nature. </w:t>
      </w:r>
    </w:p>
    <w:p w14:paraId="21557F71" w14:textId="77777777" w:rsidR="002208A3" w:rsidRDefault="007764A2" w:rsidP="00476A28">
      <w:pPr>
        <w:pStyle w:val="ListBullet"/>
      </w:pPr>
      <w:r w:rsidRPr="00134D2B">
        <w:t>Where</w:t>
      </w:r>
      <w:r w:rsidR="002208A3" w:rsidRPr="00134D2B">
        <w:t xml:space="preserve"> </w:t>
      </w:r>
      <w:r w:rsidR="001F31B4" w:rsidRPr="00134D2B">
        <w:t>there is an unresolved native title claim</w:t>
      </w:r>
      <w:r w:rsidR="002208A3" w:rsidRPr="00134D2B">
        <w:t>, OECM</w:t>
      </w:r>
      <w:r w:rsidR="002208A3">
        <w:t xml:space="preserve"> recognition would not be appropriate until the claim is settled (or there is an established process in place in jurisdictions</w:t>
      </w:r>
      <w:r w:rsidR="00BA6CE6">
        <w:t xml:space="preserve"> – see section 4.4</w:t>
      </w:r>
      <w:r w:rsidR="002208A3">
        <w:t>), given that agreed demarcated boundaries are required for OECM recognition.</w:t>
      </w:r>
    </w:p>
    <w:p w14:paraId="6806E19F" w14:textId="77777777" w:rsidR="007A71BE" w:rsidRDefault="007A71BE" w:rsidP="00476A28">
      <w:pPr>
        <w:pStyle w:val="Heading3"/>
      </w:pPr>
      <w:bookmarkStart w:id="25" w:name="_Toc129263674"/>
      <w:r>
        <w:t>Governance</w:t>
      </w:r>
      <w:bookmarkEnd w:id="25"/>
    </w:p>
    <w:p w14:paraId="6B0A8D37" w14:textId="77777777" w:rsidR="007A71BE" w:rsidRDefault="007A71BE" w:rsidP="00935871">
      <w:pPr>
        <w:keepNext/>
        <w:keepLines/>
        <w:spacing w:after="0"/>
      </w:pPr>
    </w:p>
    <w:p w14:paraId="0ED86BDF" w14:textId="77777777" w:rsidR="007A71BE" w:rsidRDefault="007A71BE" w:rsidP="00935871">
      <w:pPr>
        <w:pStyle w:val="BoxHeading"/>
        <w:keepNext/>
        <w:keepLines/>
        <w:shd w:val="clear" w:color="auto" w:fill="C6D9F1" w:themeFill="text2" w:themeFillTint="33"/>
      </w:pPr>
      <w:r>
        <w:t>PRINCIPLE - GOVERNANCE</w:t>
      </w:r>
    </w:p>
    <w:p w14:paraId="1FAF0B47" w14:textId="77777777" w:rsidR="007A71BE" w:rsidRPr="0039473A" w:rsidRDefault="007A71BE" w:rsidP="00935871">
      <w:pPr>
        <w:pStyle w:val="BoxTextBullet"/>
        <w:keepNext/>
        <w:keepLines/>
        <w:shd w:val="clear" w:color="auto" w:fill="C6D9F1" w:themeFill="text2" w:themeFillTint="33"/>
      </w:pPr>
      <w:r>
        <w:t>The following governance types will be recognised: governments; private individuals or organisations; First Nations people; and shared or jointly managed areas.</w:t>
      </w:r>
    </w:p>
    <w:p w14:paraId="19505E4A" w14:textId="77777777" w:rsidR="007A71BE" w:rsidRDefault="007A71BE" w:rsidP="00935871">
      <w:pPr>
        <w:keepNext/>
        <w:keepLines/>
        <w:spacing w:after="0"/>
      </w:pPr>
    </w:p>
    <w:p w14:paraId="3B3DF8E7" w14:textId="77777777" w:rsidR="002337E0" w:rsidRDefault="00247831" w:rsidP="00935871">
      <w:pPr>
        <w:keepNext/>
        <w:keepLines/>
      </w:pPr>
      <w:r>
        <w:t>R</w:t>
      </w:r>
      <w:r w:rsidR="007A71BE">
        <w:t>ecognised governan</w:t>
      </w:r>
      <w:r w:rsidR="0039473A">
        <w:t>c</w:t>
      </w:r>
      <w:r w:rsidR="007A71BE">
        <w:t xml:space="preserve">e types for OECMs are proposed to be the same as those identified for protected </w:t>
      </w:r>
      <w:r w:rsidR="007A71BE" w:rsidRPr="00022163">
        <w:t xml:space="preserve">areas in </w:t>
      </w:r>
      <w:hyperlink w:anchor="_Glossary" w:history="1">
        <w:r w:rsidR="006B0DF1" w:rsidRPr="00022163">
          <w:rPr>
            <w:rStyle w:val="Hyperlink"/>
          </w:rPr>
          <w:t>Australia's Strategy for the National Reserve System 2009-2030</w:t>
        </w:r>
      </w:hyperlink>
      <w:r w:rsidR="0039473A" w:rsidRPr="00022163">
        <w:t xml:space="preserve"> - </w:t>
      </w:r>
      <w:r w:rsidR="007A71BE" w:rsidRPr="00022163">
        <w:t>governments</w:t>
      </w:r>
      <w:r w:rsidR="007A71BE">
        <w:t>,</w:t>
      </w:r>
      <w:r w:rsidR="006143DB">
        <w:t xml:space="preserve"> </w:t>
      </w:r>
      <w:r w:rsidR="007A71BE">
        <w:t xml:space="preserve">private individuals or organisations, </w:t>
      </w:r>
      <w:r w:rsidR="0039473A">
        <w:t xml:space="preserve">First Nations </w:t>
      </w:r>
      <w:r w:rsidR="007A71BE">
        <w:t xml:space="preserve">people, and shared management areas. </w:t>
      </w:r>
    </w:p>
    <w:p w14:paraId="53827C5A" w14:textId="77777777" w:rsidR="001866AA" w:rsidRDefault="001866AA">
      <w:pPr>
        <w:spacing w:after="0" w:line="240" w:lineRule="auto"/>
      </w:pPr>
      <w:r>
        <w:br w:type="page"/>
      </w:r>
    </w:p>
    <w:p w14:paraId="4FE958A5" w14:textId="77777777" w:rsidR="002208A3" w:rsidRDefault="00797EC0" w:rsidP="00390B34">
      <w:pPr>
        <w:pStyle w:val="Heading3"/>
      </w:pPr>
      <w:bookmarkStart w:id="26" w:name="_Toc127810541"/>
      <w:bookmarkStart w:id="27" w:name="_Toc129263675"/>
      <w:bookmarkEnd w:id="26"/>
      <w:r>
        <w:lastRenderedPageBreak/>
        <w:t>Site m</w:t>
      </w:r>
      <w:r w:rsidR="002208A3">
        <w:t>anage</w:t>
      </w:r>
      <w:r w:rsidR="00361EF0">
        <w:t>ment</w:t>
      </w:r>
      <w:bookmarkEnd w:id="27"/>
    </w:p>
    <w:p w14:paraId="45FA8483" w14:textId="77777777" w:rsidR="00D01F09" w:rsidRDefault="00D01F09" w:rsidP="00694FD3">
      <w:pPr>
        <w:spacing w:after="0"/>
      </w:pPr>
    </w:p>
    <w:p w14:paraId="36BA75E0" w14:textId="77777777" w:rsidR="00D76D32" w:rsidRDefault="00D76D32" w:rsidP="00CC08ED">
      <w:pPr>
        <w:pStyle w:val="BoxHeading"/>
        <w:shd w:val="clear" w:color="auto" w:fill="C6D9F1" w:themeFill="text2" w:themeFillTint="33"/>
      </w:pPr>
      <w:r>
        <w:t xml:space="preserve">PRINCIPLES </w:t>
      </w:r>
      <w:r w:rsidR="000111B7">
        <w:t>–</w:t>
      </w:r>
      <w:r>
        <w:t xml:space="preserve"> </w:t>
      </w:r>
      <w:r w:rsidR="000111B7">
        <w:t xml:space="preserve">SITE </w:t>
      </w:r>
      <w:r>
        <w:t xml:space="preserve">MANAGEMENT </w:t>
      </w:r>
    </w:p>
    <w:p w14:paraId="2A48D583" w14:textId="77777777" w:rsidR="00394079" w:rsidRDefault="0047172B" w:rsidP="00CC08ED">
      <w:pPr>
        <w:pStyle w:val="BoxTextBullet"/>
        <w:shd w:val="clear" w:color="auto" w:fill="C6D9F1" w:themeFill="text2" w:themeFillTint="33"/>
      </w:pPr>
      <w:r>
        <w:t xml:space="preserve">Management objectives and activities must not be incompatible with biodiversity conservation. </w:t>
      </w:r>
    </w:p>
    <w:p w14:paraId="4733D2D7" w14:textId="77777777" w:rsidR="002C2B3A" w:rsidRDefault="002C2B3A" w:rsidP="00CC08ED">
      <w:pPr>
        <w:pStyle w:val="BoxTextBullet"/>
        <w:shd w:val="clear" w:color="auto" w:fill="C6D9F1" w:themeFill="text2" w:themeFillTint="33"/>
      </w:pPr>
      <w:r>
        <w:t xml:space="preserve">Sites </w:t>
      </w:r>
      <w:r w:rsidR="00394079">
        <w:t>with</w:t>
      </w:r>
      <w:r>
        <w:t xml:space="preserve"> a primary or secondary conservation objective should have a site management plan</w:t>
      </w:r>
      <w:r w:rsidR="000F2351">
        <w:t xml:space="preserve"> or arrangement</w:t>
      </w:r>
      <w:r>
        <w:t xml:space="preserve"> that includes (at a minimum), a section on biodiversity conservation that outlines the conservation objectives for the site, adaptive management actions, and relevant jurisdictional land management requirements.</w:t>
      </w:r>
    </w:p>
    <w:p w14:paraId="2A2C4A30" w14:textId="77777777" w:rsidR="00D76D32" w:rsidRDefault="006525C9" w:rsidP="00CC08ED">
      <w:pPr>
        <w:pStyle w:val="BoxTextBullet"/>
        <w:shd w:val="clear" w:color="auto" w:fill="C6D9F1" w:themeFill="text2" w:themeFillTint="33"/>
      </w:pPr>
      <w:r>
        <w:t>Sites</w:t>
      </w:r>
      <w:r w:rsidR="00D76D32">
        <w:t xml:space="preserve"> should meet minimum management requirements</w:t>
      </w:r>
      <w:r w:rsidR="00E123F5">
        <w:t xml:space="preserve"> set by jurisdictions,</w:t>
      </w:r>
      <w:r w:rsidR="00D76D32">
        <w:t xml:space="preserve"> relating to invasive / feral species management, fire risk management, and any other</w:t>
      </w:r>
      <w:r w:rsidR="00E123F5">
        <w:t xml:space="preserve"> minimum</w:t>
      </w:r>
      <w:r w:rsidR="00D76D32">
        <w:t xml:space="preserve"> requirements set out in jurisdictions’ regulations.</w:t>
      </w:r>
    </w:p>
    <w:p w14:paraId="0026E33E" w14:textId="77777777" w:rsidR="009F536E" w:rsidRDefault="00E20433" w:rsidP="00CC08ED">
      <w:pPr>
        <w:pStyle w:val="BoxTextBullet"/>
        <w:shd w:val="clear" w:color="auto" w:fill="C6D9F1" w:themeFill="text2" w:themeFillTint="33"/>
      </w:pPr>
      <w:r w:rsidRPr="0083042E">
        <w:t>Aboriginal and Torres Strait Islander knowledge in caring for Country should be considered in OECM management arrangements</w:t>
      </w:r>
      <w:r>
        <w:t>.</w:t>
      </w:r>
      <w:r w:rsidR="00E123F5">
        <w:t xml:space="preserve"> </w:t>
      </w:r>
    </w:p>
    <w:p w14:paraId="6EE85FCB" w14:textId="77777777" w:rsidR="0090406E" w:rsidRDefault="00850639" w:rsidP="00DC5A6C">
      <w:pPr>
        <w:spacing w:before="120"/>
      </w:pPr>
      <w:r>
        <w:t>Management activities must not be incompatible with biodiversity conservation.</w:t>
      </w:r>
      <w:r w:rsidR="00B90405">
        <w:t xml:space="preserve"> </w:t>
      </w:r>
      <w:r w:rsidR="00B90405" w:rsidRPr="007F1A41">
        <w:t xml:space="preserve">For example, environmentally damaging activities that impact biodiversity outcomes should not occur on the site. </w:t>
      </w:r>
      <w:r w:rsidR="00694FD3">
        <w:t>I</w:t>
      </w:r>
      <w:r w:rsidR="00B90405" w:rsidRPr="007F1A41">
        <w:t>f there is a distinct footprint where incompatible activities may occur, that area may be excluded from the OECM.</w:t>
      </w:r>
      <w:r w:rsidR="00311092" w:rsidRPr="00311092">
        <w:t xml:space="preserve"> </w:t>
      </w:r>
    </w:p>
    <w:p w14:paraId="63AFD745" w14:textId="77777777" w:rsidR="0056514F" w:rsidRPr="008071E6" w:rsidRDefault="00311092" w:rsidP="008071E6">
      <w:r>
        <w:t>Sustainable use that is consistent with conservation outcomes is allowable.</w:t>
      </w:r>
      <w:r w:rsidR="005B65A8" w:rsidRPr="00382B87">
        <w:t xml:space="preserve"> Sustainable use is defined under the CBD as the use of components of biological diversity in a way and at a rate that does not lead to the long-term decline of biological diversity</w:t>
      </w:r>
      <w:r w:rsidR="005B65A8" w:rsidRPr="00936243">
        <w:t>, thereby maintaining its potential to meet the needs and aspirations of present and future generations (</w:t>
      </w:r>
      <w:hyperlink r:id="rId28" w:anchor=":~:text=%22Biological%20diversity%22%20means%20the%20variability,between%20species%20and%20of%20ecosystems." w:history="1">
        <w:r w:rsidR="00022163" w:rsidRPr="00936243">
          <w:rPr>
            <w:rStyle w:val="Hyperlink"/>
          </w:rPr>
          <w:t>CBD Article 2</w:t>
        </w:r>
      </w:hyperlink>
      <w:r w:rsidR="005B65A8" w:rsidRPr="00936243">
        <w:t>).</w:t>
      </w:r>
      <w:r w:rsidR="0056514F">
        <w:t xml:space="preserve"> </w:t>
      </w:r>
    </w:p>
    <w:p w14:paraId="6BE26946" w14:textId="77777777" w:rsidR="00B678F5" w:rsidRPr="001052AB" w:rsidRDefault="00B678F5" w:rsidP="00B678F5">
      <w:r>
        <w:t xml:space="preserve">Recognising that biodiversity conservation does not have to be a primary management objective for OECMs, management </w:t>
      </w:r>
      <w:r w:rsidR="000F2351">
        <w:t xml:space="preserve">arrangements </w:t>
      </w:r>
      <w:r>
        <w:t xml:space="preserve">for a site may not relate only to biodiversity conservation. </w:t>
      </w:r>
      <w:r w:rsidRPr="0083042E">
        <w:t xml:space="preserve">Where the primary objective of a site’s management is not biodiversity conservation, but it is a secondary objective, site management </w:t>
      </w:r>
      <w:r w:rsidR="000F2351">
        <w:t>arrangements</w:t>
      </w:r>
      <w:r w:rsidR="000F2351" w:rsidRPr="0083042E" w:rsidDel="000F2351">
        <w:t xml:space="preserve"> </w:t>
      </w:r>
      <w:r w:rsidRPr="0083042E">
        <w:t>should include, at a minimum, a section on biodiversity conservation that outlines the conservation objectives for the site, actions to adaptively manage it</w:t>
      </w:r>
      <w:r>
        <w:t>,</w:t>
      </w:r>
      <w:r w:rsidRPr="0083042E">
        <w:t xml:space="preserve"> and relevant jurisdictional land management requirements.</w:t>
      </w:r>
      <w:r w:rsidRPr="001052AB">
        <w:t xml:space="preserve"> </w:t>
      </w:r>
    </w:p>
    <w:p w14:paraId="67EDA241" w14:textId="77777777" w:rsidR="00D33300" w:rsidRDefault="00850639" w:rsidP="00D33300">
      <w:r>
        <w:t>Sites should</w:t>
      </w:r>
      <w:r w:rsidR="0047172B" w:rsidRPr="0083042E">
        <w:t xml:space="preserve"> be actively managed to comply with the relevant jurisdiction’s existing land management </w:t>
      </w:r>
      <w:r w:rsidR="00B678F5">
        <w:t xml:space="preserve">requirements / </w:t>
      </w:r>
      <w:r w:rsidR="0047172B" w:rsidRPr="0083042E">
        <w:t xml:space="preserve">regulations relating to invasive / feral species management, fire risk management, and any other </w:t>
      </w:r>
      <w:r w:rsidR="00B678F5">
        <w:t xml:space="preserve">minimum </w:t>
      </w:r>
      <w:r w:rsidR="0047172B" w:rsidRPr="0083042E">
        <w:t>land management requirements.</w:t>
      </w:r>
    </w:p>
    <w:p w14:paraId="22769352" w14:textId="77777777" w:rsidR="00311092" w:rsidRDefault="002208A3" w:rsidP="00D33300">
      <w:r w:rsidRPr="00E5557C">
        <w:t xml:space="preserve">Given the long-term nature of OECMs, </w:t>
      </w:r>
      <w:r w:rsidR="001052AB">
        <w:t xml:space="preserve">and consistent with the requirement for </w:t>
      </w:r>
      <w:r w:rsidR="00B678F5">
        <w:t xml:space="preserve">formally designated </w:t>
      </w:r>
      <w:r w:rsidR="001052AB">
        <w:t xml:space="preserve">protected area sites, OECM sites should be managed </w:t>
      </w:r>
      <w:r w:rsidRPr="00E5557C">
        <w:t>adaptive</w:t>
      </w:r>
      <w:r w:rsidR="001052AB">
        <w:t>ly</w:t>
      </w:r>
      <w:r w:rsidR="009F35B3">
        <w:t>, including in response to the changing climate</w:t>
      </w:r>
      <w:r w:rsidR="00E905E6">
        <w:t>.</w:t>
      </w:r>
      <w:r w:rsidR="000001EB">
        <w:t xml:space="preserve"> </w:t>
      </w:r>
    </w:p>
    <w:p w14:paraId="39FE865C" w14:textId="77777777" w:rsidR="002208A3" w:rsidRDefault="002208A3" w:rsidP="001052AB">
      <w:r>
        <w:t xml:space="preserve">For ancillary OECMs, i.e. where biodiversity conservation is not a primary or secondary management objective, references to biodiversity conservation in management </w:t>
      </w:r>
      <w:r w:rsidR="000F2351">
        <w:t>arrangements</w:t>
      </w:r>
      <w:r w:rsidR="000F2351" w:rsidDel="000F2351">
        <w:t xml:space="preserve"> </w:t>
      </w:r>
      <w:r w:rsidR="00694FD3">
        <w:t xml:space="preserve">is </w:t>
      </w:r>
      <w:r w:rsidR="00311092">
        <w:t>not required</w:t>
      </w:r>
      <w:r>
        <w:t xml:space="preserve">.    </w:t>
      </w:r>
    </w:p>
    <w:p w14:paraId="74753B87" w14:textId="77777777" w:rsidR="000C0E0F" w:rsidRDefault="00E905E6" w:rsidP="00936243">
      <w:r w:rsidRPr="0083042E">
        <w:t xml:space="preserve">Where appropriate, Aboriginal and Torres Strait Islander knowledge in caring for Country should be considered in OECM management arrangements. </w:t>
      </w:r>
      <w:r w:rsidR="002208A3" w:rsidRPr="0083042E">
        <w:t xml:space="preserve">First Nations peoples have managed the Australian landscape for </w:t>
      </w:r>
      <w:r w:rsidR="00B678F5">
        <w:t>over 65,000</w:t>
      </w:r>
      <w:r w:rsidR="002208A3" w:rsidRPr="0083042E">
        <w:t xml:space="preserve"> years, through changing seasons, shifting climates, and across all environments. </w:t>
      </w:r>
    </w:p>
    <w:p w14:paraId="5079AE84" w14:textId="77777777" w:rsidR="002208A3" w:rsidRDefault="00D01F09" w:rsidP="00345722">
      <w:pPr>
        <w:pStyle w:val="Heading3"/>
      </w:pPr>
      <w:bookmarkStart w:id="28" w:name="_Toc129263676"/>
      <w:r>
        <w:lastRenderedPageBreak/>
        <w:t>S</w:t>
      </w:r>
      <w:r w:rsidR="002208A3">
        <w:t>ustained long-term</w:t>
      </w:r>
      <w:bookmarkEnd w:id="28"/>
    </w:p>
    <w:p w14:paraId="6728DD2F" w14:textId="77777777" w:rsidR="00454EC8" w:rsidRPr="00454EC8" w:rsidRDefault="00454EC8" w:rsidP="00694FD3">
      <w:pPr>
        <w:spacing w:after="0"/>
      </w:pPr>
    </w:p>
    <w:p w14:paraId="25BA4F1C" w14:textId="77777777" w:rsidR="0083042E" w:rsidRDefault="0083042E" w:rsidP="00CC08ED">
      <w:pPr>
        <w:pStyle w:val="BoxHeading"/>
        <w:shd w:val="clear" w:color="auto" w:fill="C6D9F1" w:themeFill="text2" w:themeFillTint="33"/>
      </w:pPr>
      <w:r>
        <w:t xml:space="preserve">PRINCIPLE </w:t>
      </w:r>
      <w:r w:rsidR="00E20433">
        <w:t>–</w:t>
      </w:r>
      <w:r>
        <w:t xml:space="preserve"> </w:t>
      </w:r>
      <w:r w:rsidR="00E20433">
        <w:t>SUSTAINED LONG-TERM</w:t>
      </w:r>
    </w:p>
    <w:p w14:paraId="7779A263" w14:textId="77777777" w:rsidR="0083042E" w:rsidRDefault="0083042E" w:rsidP="00CC08ED">
      <w:pPr>
        <w:pStyle w:val="BoxText"/>
        <w:shd w:val="clear" w:color="auto" w:fill="C6D9F1" w:themeFill="text2" w:themeFillTint="33"/>
      </w:pPr>
      <w:r>
        <w:t>For a site to be recognised as an OECM with a primary or secondary biodiversity conservation management objective,</w:t>
      </w:r>
      <w:r w:rsidR="007964DA">
        <w:t xml:space="preserve"> and ancillary OECMs where applicable,</w:t>
      </w:r>
      <w:r>
        <w:t xml:space="preserve"> at a minimum, there must be</w:t>
      </w:r>
      <w:r w:rsidR="00E20433">
        <w:t>:</w:t>
      </w:r>
      <w:r>
        <w:t xml:space="preserve"> </w:t>
      </w:r>
    </w:p>
    <w:p w14:paraId="1057992B" w14:textId="77777777" w:rsidR="0083042E" w:rsidRDefault="0083042E" w:rsidP="00CC08ED">
      <w:pPr>
        <w:pStyle w:val="BoxTextBullet"/>
        <w:shd w:val="clear" w:color="auto" w:fill="C6D9F1" w:themeFill="text2" w:themeFillTint="33"/>
      </w:pPr>
      <w:r>
        <w:t xml:space="preserve">a clear long-term intention for the continuation of management arrangements that deliver in-situ biodiversity conservation outcomes </w:t>
      </w:r>
    </w:p>
    <w:p w14:paraId="0B9BBB00" w14:textId="77777777" w:rsidR="0083042E" w:rsidRDefault="0083042E" w:rsidP="00CC08ED">
      <w:pPr>
        <w:pStyle w:val="BoxTextBullet"/>
        <w:shd w:val="clear" w:color="auto" w:fill="C6D9F1" w:themeFill="text2" w:themeFillTint="33"/>
      </w:pPr>
      <w:r>
        <w:t>a commitment to a minimum timeframe for</w:t>
      </w:r>
      <w:r w:rsidR="0023348D">
        <w:t xml:space="preserve"> management arrangements that deliver in-situ </w:t>
      </w:r>
      <w:r>
        <w:t xml:space="preserve">biodiversity conservation </w:t>
      </w:r>
      <w:r w:rsidR="0023348D">
        <w:t>outcomes</w:t>
      </w:r>
      <w:r>
        <w:t xml:space="preserve">, determined at the time of site assessment  </w:t>
      </w:r>
    </w:p>
    <w:p w14:paraId="7061A133" w14:textId="77777777" w:rsidR="0083042E" w:rsidRDefault="0083042E" w:rsidP="00CC08ED">
      <w:pPr>
        <w:pStyle w:val="BoxTextBullet"/>
        <w:shd w:val="clear" w:color="auto" w:fill="C6D9F1" w:themeFill="text2" w:themeFillTint="33"/>
      </w:pPr>
      <w:r>
        <w:t>no intention to sell or develop the site in a manner incompatible with biodiversity conservation</w:t>
      </w:r>
    </w:p>
    <w:p w14:paraId="6C721630" w14:textId="77777777" w:rsidR="0083042E" w:rsidRDefault="0083042E" w:rsidP="00CC08ED">
      <w:pPr>
        <w:pStyle w:val="BoxTextBullet"/>
        <w:shd w:val="clear" w:color="auto" w:fill="C6D9F1" w:themeFill="text2" w:themeFillTint="33"/>
      </w:pPr>
      <w:r>
        <w:t xml:space="preserve">no </w:t>
      </w:r>
      <w:r w:rsidR="00C10801" w:rsidRPr="008071E6">
        <w:t>land use</w:t>
      </w:r>
      <w:r w:rsidR="00C10801">
        <w:t xml:space="preserve"> </w:t>
      </w:r>
      <w:r>
        <w:t>zoning on the site that is incompatible with biodiversity conservation.</w:t>
      </w:r>
    </w:p>
    <w:p w14:paraId="6FCA2898" w14:textId="77777777" w:rsidR="0083042E" w:rsidRDefault="0083042E" w:rsidP="00694FD3">
      <w:pPr>
        <w:spacing w:after="0"/>
      </w:pPr>
    </w:p>
    <w:p w14:paraId="3984447B" w14:textId="77777777" w:rsidR="00200541" w:rsidRDefault="00200541" w:rsidP="002208A3">
      <w:r>
        <w:t>OECM recognition in Australia requires a clear, long-term intention for management and governance arrangements for a site</w:t>
      </w:r>
      <w:r w:rsidR="00896674">
        <w:t xml:space="preserve"> to continue</w:t>
      </w:r>
      <w:r>
        <w:t>, and a commitment</w:t>
      </w:r>
      <w:r w:rsidR="00BA5B19">
        <w:t>,</w:t>
      </w:r>
      <w:r>
        <w:t xml:space="preserve"> </w:t>
      </w:r>
      <w:r w:rsidR="00356D3A">
        <w:t>at the time of assessment</w:t>
      </w:r>
      <w:r w:rsidR="00BA5B19">
        <w:t>,</w:t>
      </w:r>
      <w:r w:rsidR="00356D3A">
        <w:t xml:space="preserve"> </w:t>
      </w:r>
      <w:r>
        <w:t xml:space="preserve">to a minimum timeframe for biodiversity conservation arrangements. </w:t>
      </w:r>
    </w:p>
    <w:p w14:paraId="224406DD" w14:textId="77777777" w:rsidR="001B16BD" w:rsidRDefault="00356D3A" w:rsidP="002208A3">
      <w:r>
        <w:t>At the time of assessment, t</w:t>
      </w:r>
      <w:r w:rsidR="00200541">
        <w:t xml:space="preserve">here should be </w:t>
      </w:r>
      <w:r w:rsidR="002208A3">
        <w:t>no intention to sell or develop a sit</w:t>
      </w:r>
      <w:r w:rsidR="00200541">
        <w:t>e</w:t>
      </w:r>
      <w:r w:rsidR="002208A3">
        <w:t xml:space="preserve"> </w:t>
      </w:r>
      <w:r w:rsidR="00200541">
        <w:t xml:space="preserve">in a manner that is incompatible with biodiversity conservation. This </w:t>
      </w:r>
      <w:r w:rsidR="00896674">
        <w:t>indicates a</w:t>
      </w:r>
      <w:r w:rsidR="00200541">
        <w:t xml:space="preserve"> long-term management intent, rather than an absolute prohibition on sale or development of a site. </w:t>
      </w:r>
      <w:r>
        <w:t>For example, s</w:t>
      </w:r>
      <w:r w:rsidR="00200541">
        <w:t xml:space="preserve">ites </w:t>
      </w:r>
      <w:r w:rsidR="00896674">
        <w:t xml:space="preserve">could be </w:t>
      </w:r>
      <w:r w:rsidR="00200541">
        <w:t>sold through conservation revolving fund</w:t>
      </w:r>
      <w:r w:rsidR="00BA5B19">
        <w:t>s</w:t>
      </w:r>
      <w:r w:rsidR="00896674">
        <w:t xml:space="preserve"> due to ongoing requirements for management activities to achieve biodiversity conservation outcomes</w:t>
      </w:r>
      <w:r w:rsidR="00200541">
        <w:t xml:space="preserve">. </w:t>
      </w:r>
    </w:p>
    <w:p w14:paraId="26C82082" w14:textId="77777777" w:rsidR="00BB2AEF" w:rsidRDefault="00BB2AEF" w:rsidP="00A252DA">
      <w:pPr>
        <w:pStyle w:val="Heading2"/>
        <w:keepNext/>
        <w:keepLines/>
        <w:pageBreakBefore w:val="0"/>
      </w:pPr>
      <w:bookmarkStart w:id="29" w:name="_Toc129263677"/>
      <w:r>
        <w:t>Examples</w:t>
      </w:r>
      <w:bookmarkEnd w:id="29"/>
    </w:p>
    <w:p w14:paraId="6693D4FF" w14:textId="77777777" w:rsidR="00BB2AEF" w:rsidRPr="00022163" w:rsidRDefault="00F643D7" w:rsidP="00BB2AEF">
      <w:pPr>
        <w:rPr>
          <w:lang w:eastAsia="ja-JP"/>
        </w:rPr>
      </w:pPr>
      <w:r w:rsidRPr="00022163">
        <w:rPr>
          <w:lang w:eastAsia="ja-JP"/>
        </w:rPr>
        <w:t xml:space="preserve">Below are examples that illustrate how </w:t>
      </w:r>
      <w:r w:rsidR="00C0214F" w:rsidRPr="00022163">
        <w:rPr>
          <w:lang w:eastAsia="ja-JP"/>
        </w:rPr>
        <w:t xml:space="preserve">some of </w:t>
      </w:r>
      <w:r w:rsidRPr="00022163">
        <w:rPr>
          <w:lang w:eastAsia="ja-JP"/>
        </w:rPr>
        <w:t xml:space="preserve">the principles will </w:t>
      </w:r>
      <w:r w:rsidR="00C0214F" w:rsidRPr="00022163">
        <w:rPr>
          <w:lang w:eastAsia="ja-JP"/>
        </w:rPr>
        <w:t xml:space="preserve">work in practice to </w:t>
      </w:r>
      <w:r w:rsidRPr="00022163">
        <w:rPr>
          <w:lang w:eastAsia="ja-JP"/>
        </w:rPr>
        <w:t xml:space="preserve">guide </w:t>
      </w:r>
      <w:r w:rsidR="00C0214F" w:rsidRPr="00022163">
        <w:rPr>
          <w:lang w:eastAsia="ja-JP"/>
        </w:rPr>
        <w:t xml:space="preserve">the </w:t>
      </w:r>
      <w:r w:rsidRPr="00022163">
        <w:rPr>
          <w:lang w:eastAsia="ja-JP"/>
        </w:rPr>
        <w:t xml:space="preserve">recognition of OECMs. </w:t>
      </w:r>
      <w:r w:rsidR="00C10801" w:rsidRPr="00022163">
        <w:rPr>
          <w:lang w:eastAsia="ja-JP"/>
        </w:rPr>
        <w:t>These are for illustrative purposes only to help with understanding</w:t>
      </w:r>
      <w:r w:rsidR="00BA7470">
        <w:rPr>
          <w:lang w:eastAsia="ja-JP"/>
        </w:rPr>
        <w:t xml:space="preserve"> of</w:t>
      </w:r>
      <w:r w:rsidR="00C10801" w:rsidRPr="00022163">
        <w:rPr>
          <w:lang w:eastAsia="ja-JP"/>
        </w:rPr>
        <w:t xml:space="preserve"> the principles. Any specific circumstance would have to be assessed </w:t>
      </w:r>
      <w:r w:rsidR="00A91C61">
        <w:rPr>
          <w:lang w:eastAsia="ja-JP"/>
        </w:rPr>
        <w:t xml:space="preserve">at </w:t>
      </w:r>
      <w:r w:rsidR="00C10801" w:rsidRPr="00022163">
        <w:rPr>
          <w:lang w:eastAsia="ja-JP"/>
        </w:rPr>
        <w:t xml:space="preserve">the site </w:t>
      </w:r>
      <w:r w:rsidR="00A91C61">
        <w:rPr>
          <w:lang w:eastAsia="ja-JP"/>
        </w:rPr>
        <w:t>level</w:t>
      </w:r>
      <w:r w:rsidR="00C10801" w:rsidRPr="00022163">
        <w:rPr>
          <w:lang w:eastAsia="ja-JP"/>
        </w:rPr>
        <w:t xml:space="preserve"> to determine i</w:t>
      </w:r>
      <w:r w:rsidR="00022163" w:rsidRPr="00022163">
        <w:rPr>
          <w:lang w:eastAsia="ja-JP"/>
        </w:rPr>
        <w:t>f</w:t>
      </w:r>
      <w:r w:rsidR="00C10801" w:rsidRPr="00022163">
        <w:rPr>
          <w:lang w:eastAsia="ja-JP"/>
        </w:rPr>
        <w:t xml:space="preserve"> OECM recognition is desirable or appropriate. </w:t>
      </w:r>
    </w:p>
    <w:p w14:paraId="505F1633" w14:textId="77777777" w:rsidR="00BB2AEF" w:rsidRDefault="00F643D7" w:rsidP="00022163">
      <w:pPr>
        <w:pStyle w:val="ListNumber"/>
      </w:pPr>
      <w:r w:rsidRPr="00022163">
        <w:t xml:space="preserve">Example 1: </w:t>
      </w:r>
      <w:r w:rsidR="002F7397" w:rsidRPr="00022163">
        <w:t>U</w:t>
      </w:r>
      <w:r w:rsidRPr="00022163">
        <w:t>rban park</w:t>
      </w:r>
      <w:r w:rsidR="00EB51B0" w:rsidRPr="00022163">
        <w:t>s</w:t>
      </w:r>
    </w:p>
    <w:p w14:paraId="6AE37B04" w14:textId="77777777" w:rsidR="00F643D7" w:rsidRPr="009F35B3" w:rsidRDefault="00F643D7" w:rsidP="00BB2AEF">
      <w:pPr>
        <w:rPr>
          <w:i/>
          <w:iCs/>
        </w:rPr>
      </w:pPr>
      <w:r w:rsidRPr="009F35B3">
        <w:rPr>
          <w:i/>
          <w:iCs/>
        </w:rPr>
        <w:t xml:space="preserve">Scenario: </w:t>
      </w:r>
      <w:r w:rsidR="003555D9">
        <w:rPr>
          <w:i/>
          <w:iCs/>
        </w:rPr>
        <w:t xml:space="preserve">Two </w:t>
      </w:r>
      <w:r w:rsidRPr="009F35B3">
        <w:rPr>
          <w:i/>
          <w:iCs/>
        </w:rPr>
        <w:t>local council</w:t>
      </w:r>
      <w:r w:rsidR="003555D9">
        <w:rPr>
          <w:i/>
          <w:iCs/>
        </w:rPr>
        <w:t>s</w:t>
      </w:r>
      <w:r w:rsidRPr="009F35B3">
        <w:rPr>
          <w:i/>
          <w:iCs/>
        </w:rPr>
        <w:t xml:space="preserve"> want </w:t>
      </w:r>
      <w:r w:rsidR="00D364FA">
        <w:rPr>
          <w:i/>
          <w:iCs/>
        </w:rPr>
        <w:t xml:space="preserve">to report </w:t>
      </w:r>
      <w:r w:rsidRPr="009F35B3">
        <w:rPr>
          <w:i/>
          <w:iCs/>
        </w:rPr>
        <w:t xml:space="preserve">their </w:t>
      </w:r>
      <w:r w:rsidR="00F53EEC">
        <w:rPr>
          <w:i/>
          <w:iCs/>
        </w:rPr>
        <w:t xml:space="preserve">recreational </w:t>
      </w:r>
      <w:r w:rsidRPr="009F35B3">
        <w:rPr>
          <w:i/>
          <w:iCs/>
        </w:rPr>
        <w:t>urban park</w:t>
      </w:r>
      <w:r w:rsidR="003555D9">
        <w:rPr>
          <w:i/>
          <w:iCs/>
        </w:rPr>
        <w:t>s</w:t>
      </w:r>
      <w:r w:rsidRPr="009F35B3">
        <w:rPr>
          <w:i/>
          <w:iCs/>
        </w:rPr>
        <w:t xml:space="preserve"> as OECM</w:t>
      </w:r>
      <w:r w:rsidR="003555D9">
        <w:rPr>
          <w:i/>
          <w:iCs/>
        </w:rPr>
        <w:t>s</w:t>
      </w:r>
      <w:r w:rsidR="0029578E">
        <w:rPr>
          <w:i/>
          <w:iCs/>
        </w:rPr>
        <w:t xml:space="preserve"> </w:t>
      </w:r>
      <w:r w:rsidR="00D031A8" w:rsidRPr="009F35B3">
        <w:rPr>
          <w:i/>
          <w:iCs/>
        </w:rPr>
        <w:t xml:space="preserve">to recognise </w:t>
      </w:r>
      <w:r w:rsidRPr="009F35B3">
        <w:rPr>
          <w:i/>
          <w:iCs/>
        </w:rPr>
        <w:t xml:space="preserve">conservation efforts of </w:t>
      </w:r>
      <w:r w:rsidR="00D031A8" w:rsidRPr="009F35B3">
        <w:rPr>
          <w:i/>
          <w:iCs/>
        </w:rPr>
        <w:t xml:space="preserve">their </w:t>
      </w:r>
      <w:r w:rsidR="00A05A46" w:rsidRPr="00A05A46">
        <w:rPr>
          <w:i/>
          <w:iCs/>
        </w:rPr>
        <w:t>residents</w:t>
      </w:r>
      <w:r w:rsidR="0029578E">
        <w:rPr>
          <w:i/>
          <w:iCs/>
        </w:rPr>
        <w:t>. O</w:t>
      </w:r>
      <w:r w:rsidR="00C9668C">
        <w:rPr>
          <w:i/>
          <w:iCs/>
        </w:rPr>
        <w:t xml:space="preserve">ne </w:t>
      </w:r>
      <w:r w:rsidR="00BE6681">
        <w:rPr>
          <w:i/>
          <w:iCs/>
        </w:rPr>
        <w:t xml:space="preserve">of the </w:t>
      </w:r>
      <w:r w:rsidR="00C9668C">
        <w:rPr>
          <w:i/>
          <w:iCs/>
        </w:rPr>
        <w:t>park</w:t>
      </w:r>
      <w:r w:rsidR="00BE6681">
        <w:rPr>
          <w:i/>
          <w:iCs/>
        </w:rPr>
        <w:t>s</w:t>
      </w:r>
      <w:r w:rsidR="00C9668C">
        <w:rPr>
          <w:i/>
          <w:iCs/>
        </w:rPr>
        <w:t xml:space="preserve"> is significantly larger than the other</w:t>
      </w:r>
      <w:r w:rsidRPr="009F35B3">
        <w:rPr>
          <w:i/>
          <w:iCs/>
        </w:rPr>
        <w:t>.</w:t>
      </w:r>
      <w:r w:rsidR="00E25671">
        <w:rPr>
          <w:i/>
          <w:iCs/>
        </w:rPr>
        <w:t xml:space="preserve"> </w:t>
      </w:r>
      <w:r w:rsidR="00C9668C">
        <w:rPr>
          <w:i/>
          <w:iCs/>
        </w:rPr>
        <w:t>Can both become OECMs?</w:t>
      </w:r>
    </w:p>
    <w:p w14:paraId="33F33626" w14:textId="77777777" w:rsidR="006A42B6" w:rsidRDefault="00547E08" w:rsidP="00A05A46">
      <w:r>
        <w:t xml:space="preserve">Outcome: </w:t>
      </w:r>
      <w:r w:rsidR="00216CAA">
        <w:t>As recreation is the primary management objective, b</w:t>
      </w:r>
      <w:r w:rsidR="00240180">
        <w:t>oth</w:t>
      </w:r>
      <w:r w:rsidR="00E23C96">
        <w:t xml:space="preserve"> </w:t>
      </w:r>
      <w:r w:rsidR="00240180">
        <w:t xml:space="preserve">parks </w:t>
      </w:r>
      <w:r w:rsidR="00E23C96">
        <w:t xml:space="preserve">cannot be </w:t>
      </w:r>
      <w:r w:rsidR="00E23C96" w:rsidRPr="00E23C96">
        <w:t>formally designated as protected</w:t>
      </w:r>
      <w:r w:rsidR="00D364FA">
        <w:t xml:space="preserve"> areas</w:t>
      </w:r>
      <w:r w:rsidR="00216CAA">
        <w:t xml:space="preserve">, so OECM recognition is the right mechanism </w:t>
      </w:r>
      <w:r w:rsidR="00E23C96">
        <w:t>(</w:t>
      </w:r>
      <w:r w:rsidR="00BA7470">
        <w:t xml:space="preserve">section </w:t>
      </w:r>
      <w:r w:rsidR="00D364FA">
        <w:t>4.</w:t>
      </w:r>
      <w:r w:rsidR="00E23C96">
        <w:t>3)</w:t>
      </w:r>
      <w:r w:rsidR="00A05A46">
        <w:t xml:space="preserve">. </w:t>
      </w:r>
      <w:r w:rsidR="00F53EEC">
        <w:t xml:space="preserve">Site assessment that specifically examines in-situ biodiversity is required. </w:t>
      </w:r>
      <w:r w:rsidR="00A44369">
        <w:t xml:space="preserve">There is no minimum size requirement for an OECM, however, the </w:t>
      </w:r>
      <w:r w:rsidR="00BB1D63">
        <w:t>site</w:t>
      </w:r>
      <w:r w:rsidR="00A44369">
        <w:t xml:space="preserve"> must be </w:t>
      </w:r>
      <w:r w:rsidR="00A44369" w:rsidRPr="002613F3">
        <w:t>large enough and sufficiently natural to achieve</w:t>
      </w:r>
      <w:r w:rsidR="00A44369">
        <w:t xml:space="preserve"> in</w:t>
      </w:r>
      <w:r w:rsidR="00A44369" w:rsidRPr="002613F3">
        <w:t>-situ conservation of biodiversity</w:t>
      </w:r>
      <w:r w:rsidR="00A44369">
        <w:t xml:space="preserve">. </w:t>
      </w:r>
      <w:r w:rsidR="00CD5C34">
        <w:t xml:space="preserve">While the larger park may be more likely to achieve this, it </w:t>
      </w:r>
      <w:r w:rsidR="00BB1D63">
        <w:t>c</w:t>
      </w:r>
      <w:r w:rsidR="00CD5C34">
        <w:t xml:space="preserve">ould be that the smaller park provides remnant habitat for some species. Both </w:t>
      </w:r>
      <w:r w:rsidR="006A42B6">
        <w:t>park</w:t>
      </w:r>
      <w:r w:rsidR="00A05A46">
        <w:t>s</w:t>
      </w:r>
      <w:r w:rsidR="006A42B6">
        <w:t xml:space="preserve"> would need to have site management </w:t>
      </w:r>
      <w:r w:rsidR="000F2351">
        <w:t xml:space="preserve">arrangements </w:t>
      </w:r>
      <w:r w:rsidR="006A42B6">
        <w:t>that include (at a minimum), a section on biodiversity conservation that outlines the conservation objectives for the site</w:t>
      </w:r>
      <w:r w:rsidR="00A05A46">
        <w:t>s</w:t>
      </w:r>
      <w:r w:rsidR="006A42B6">
        <w:t xml:space="preserve">, adaptive management actions, and relevant </w:t>
      </w:r>
      <w:r w:rsidR="006A42B6">
        <w:lastRenderedPageBreak/>
        <w:t>jurisdictional land management requirements (</w:t>
      </w:r>
      <w:r w:rsidR="00BA7470">
        <w:t xml:space="preserve">section </w:t>
      </w:r>
      <w:r w:rsidR="00D364FA">
        <w:t>4.</w:t>
      </w:r>
      <w:r w:rsidR="006A42B6">
        <w:t xml:space="preserve">7). </w:t>
      </w:r>
      <w:r w:rsidR="00C9298A">
        <w:t xml:space="preserve">Both councils would also have to </w:t>
      </w:r>
      <w:r w:rsidR="00761DBE">
        <w:t>give a</w:t>
      </w:r>
      <w:r w:rsidR="0003059F">
        <w:t xml:space="preserve"> clear indication that </w:t>
      </w:r>
      <w:r w:rsidR="00533CFB">
        <w:t xml:space="preserve">they </w:t>
      </w:r>
      <w:r w:rsidR="00C9298A">
        <w:t xml:space="preserve">intend to continue the </w:t>
      </w:r>
      <w:r w:rsidR="00533CFB">
        <w:t>management arrangements that deliver in-situ biodiversity conservation outcomes in the long-term (</w:t>
      </w:r>
      <w:r w:rsidR="00BA7470">
        <w:t xml:space="preserve">section </w:t>
      </w:r>
      <w:r w:rsidR="00D364FA">
        <w:t>4.</w:t>
      </w:r>
      <w:r w:rsidR="00533CFB">
        <w:t xml:space="preserve">8). </w:t>
      </w:r>
    </w:p>
    <w:p w14:paraId="147126A6" w14:textId="77777777" w:rsidR="000C43CA" w:rsidRDefault="000C43CA" w:rsidP="00022163">
      <w:pPr>
        <w:pStyle w:val="ListNumber"/>
      </w:pPr>
      <w:r w:rsidRPr="00022163">
        <w:t xml:space="preserve">Example </w:t>
      </w:r>
      <w:r w:rsidR="00F338CB" w:rsidRPr="00022163">
        <w:t>2</w:t>
      </w:r>
      <w:r w:rsidRPr="00022163">
        <w:t xml:space="preserve">: </w:t>
      </w:r>
      <w:r w:rsidR="001F42C2">
        <w:t>Wa</w:t>
      </w:r>
      <w:r w:rsidRPr="00022163">
        <w:t>ter supply catchment area</w:t>
      </w:r>
      <w:r w:rsidR="001F42C2">
        <w:t xml:space="preserve"> that is legally protected</w:t>
      </w:r>
    </w:p>
    <w:p w14:paraId="53E475C9" w14:textId="77777777" w:rsidR="000C43CA" w:rsidRPr="00685A78" w:rsidRDefault="000C43CA" w:rsidP="000C43CA">
      <w:pPr>
        <w:rPr>
          <w:i/>
          <w:iCs/>
        </w:rPr>
      </w:pPr>
      <w:r w:rsidRPr="00685A78">
        <w:rPr>
          <w:i/>
          <w:iCs/>
        </w:rPr>
        <w:t xml:space="preserve">Scenario: A </w:t>
      </w:r>
      <w:r>
        <w:rPr>
          <w:i/>
          <w:iCs/>
        </w:rPr>
        <w:t>w</w:t>
      </w:r>
      <w:r w:rsidRPr="000C43CA">
        <w:rPr>
          <w:i/>
          <w:iCs/>
        </w:rPr>
        <w:t>ater supply catchment area</w:t>
      </w:r>
      <w:r w:rsidR="00806748">
        <w:rPr>
          <w:i/>
          <w:iCs/>
        </w:rPr>
        <w:t xml:space="preserve"> has high biodiversity </w:t>
      </w:r>
      <w:r w:rsidR="007F3DE6">
        <w:rPr>
          <w:i/>
          <w:iCs/>
        </w:rPr>
        <w:t>values</w:t>
      </w:r>
      <w:r w:rsidR="00FA0C26">
        <w:rPr>
          <w:i/>
          <w:iCs/>
        </w:rPr>
        <w:t>, and has</w:t>
      </w:r>
      <w:r w:rsidR="00255018">
        <w:rPr>
          <w:i/>
          <w:iCs/>
        </w:rPr>
        <w:t xml:space="preserve"> legal</w:t>
      </w:r>
      <w:r w:rsidR="00FA0C26">
        <w:rPr>
          <w:i/>
          <w:iCs/>
        </w:rPr>
        <w:t xml:space="preserve"> protection in place for water supply purposes</w:t>
      </w:r>
      <w:r w:rsidRPr="00685A78">
        <w:rPr>
          <w:i/>
          <w:iCs/>
        </w:rPr>
        <w:t>.</w:t>
      </w:r>
      <w:r w:rsidR="00806748">
        <w:rPr>
          <w:i/>
          <w:iCs/>
        </w:rPr>
        <w:t xml:space="preserve"> </w:t>
      </w:r>
      <w:r w:rsidR="004C5888">
        <w:rPr>
          <w:i/>
          <w:iCs/>
        </w:rPr>
        <w:t>The land managers are comfortable with the OECM recognition as long as it doesn’t mean extra work.</w:t>
      </w:r>
      <w:r w:rsidR="00F66413">
        <w:rPr>
          <w:i/>
          <w:iCs/>
        </w:rPr>
        <w:t xml:space="preserve"> </w:t>
      </w:r>
    </w:p>
    <w:p w14:paraId="7E8784CB" w14:textId="77777777" w:rsidR="004C5888" w:rsidRDefault="00780D18" w:rsidP="004C5888">
      <w:r>
        <w:t>Outcome</w:t>
      </w:r>
      <w:r w:rsidR="004C5888">
        <w:t xml:space="preserve">: This is an example of an </w:t>
      </w:r>
      <w:r w:rsidR="004C5888" w:rsidRPr="00BA4E1B">
        <w:t>ancillary</w:t>
      </w:r>
      <w:r w:rsidR="004C5888">
        <w:t xml:space="preserve"> OECM where </w:t>
      </w:r>
      <w:r w:rsidR="004C5888" w:rsidRPr="00BA4E1B">
        <w:t xml:space="preserve">conservation </w:t>
      </w:r>
      <w:r w:rsidR="00AB73FB">
        <w:t>i</w:t>
      </w:r>
      <w:r w:rsidR="004C5888" w:rsidRPr="00BA4E1B">
        <w:t>s a</w:t>
      </w:r>
      <w:r w:rsidR="004C5888">
        <w:t xml:space="preserve">n </w:t>
      </w:r>
      <w:r w:rsidR="004C5888" w:rsidRPr="00BA4E1B">
        <w:t>ancillary result of long-term management activities</w:t>
      </w:r>
      <w:r w:rsidR="00255018">
        <w:t xml:space="preserve"> that are conducted to achieve an unrelated outcome</w:t>
      </w:r>
      <w:r w:rsidR="004C5888">
        <w:t xml:space="preserve">. </w:t>
      </w:r>
      <w:r w:rsidR="00C0214F" w:rsidRPr="00C0214F">
        <w:t xml:space="preserve">For ancillary OECMs, i.e. where biodiversity conservation is not a primary or secondary management objective, references to biodiversity conservation in management </w:t>
      </w:r>
      <w:r w:rsidR="000F2351">
        <w:t>arrangements</w:t>
      </w:r>
      <w:r w:rsidR="000F2351" w:rsidRPr="00C0214F">
        <w:t xml:space="preserve"> </w:t>
      </w:r>
      <w:r w:rsidR="00C0214F" w:rsidRPr="00C0214F">
        <w:t>is not required</w:t>
      </w:r>
      <w:r w:rsidR="00C0214F">
        <w:t xml:space="preserve"> (</w:t>
      </w:r>
      <w:r w:rsidR="00BA7470">
        <w:t xml:space="preserve">section </w:t>
      </w:r>
      <w:r w:rsidR="007F3DE6">
        <w:t>4.</w:t>
      </w:r>
      <w:r w:rsidR="00C0214F">
        <w:t xml:space="preserve">7). </w:t>
      </w:r>
      <w:r w:rsidR="003C4E9D" w:rsidRPr="003C4E9D">
        <w:t>The</w:t>
      </w:r>
      <w:r w:rsidR="003C4E9D">
        <w:t xml:space="preserve"> landowner would </w:t>
      </w:r>
      <w:r w:rsidR="003C4E9D" w:rsidRPr="003C4E9D">
        <w:t>have to</w:t>
      </w:r>
      <w:r w:rsidR="003C4E9D">
        <w:t xml:space="preserve"> </w:t>
      </w:r>
      <w:r w:rsidR="00D87F05">
        <w:t>demonstrate</w:t>
      </w:r>
      <w:r w:rsidR="003C4E9D">
        <w:t xml:space="preserve"> long-term </w:t>
      </w:r>
      <w:r w:rsidR="003C4E9D" w:rsidRPr="003C4E9D">
        <w:t>intent for the continuation of management arrangements that deliver in-situ biodiversity conservation outcomes (</w:t>
      </w:r>
      <w:r w:rsidR="00BA7470">
        <w:t>section</w:t>
      </w:r>
      <w:r w:rsidR="00BA7470" w:rsidRPr="003C4E9D">
        <w:t xml:space="preserve"> </w:t>
      </w:r>
      <w:r w:rsidR="007F3DE6">
        <w:t>4.</w:t>
      </w:r>
      <w:r w:rsidR="003C4E9D" w:rsidRPr="003C4E9D">
        <w:t>8).</w:t>
      </w:r>
    </w:p>
    <w:p w14:paraId="2FFE6BB7" w14:textId="77777777" w:rsidR="00F338CB" w:rsidRPr="00022163" w:rsidRDefault="00F338CB" w:rsidP="00022163">
      <w:pPr>
        <w:pStyle w:val="ListNumber"/>
      </w:pPr>
      <w:r w:rsidRPr="00022163">
        <w:t>Example 3: A farm</w:t>
      </w:r>
    </w:p>
    <w:p w14:paraId="4E770AA5" w14:textId="77777777" w:rsidR="00F338CB" w:rsidRPr="00685A78" w:rsidRDefault="00F338CB" w:rsidP="00F338CB">
      <w:pPr>
        <w:rPr>
          <w:i/>
          <w:iCs/>
        </w:rPr>
      </w:pPr>
      <w:r w:rsidRPr="00685A78">
        <w:rPr>
          <w:i/>
          <w:iCs/>
        </w:rPr>
        <w:t xml:space="preserve">Scenario: </w:t>
      </w:r>
      <w:r>
        <w:rPr>
          <w:i/>
          <w:iCs/>
        </w:rPr>
        <w:t xml:space="preserve">A farm has been </w:t>
      </w:r>
      <w:r w:rsidR="00255018">
        <w:rPr>
          <w:i/>
          <w:iCs/>
        </w:rPr>
        <w:t>proposed</w:t>
      </w:r>
      <w:r w:rsidR="004961C3">
        <w:rPr>
          <w:i/>
          <w:iCs/>
        </w:rPr>
        <w:t xml:space="preserve"> </w:t>
      </w:r>
      <w:r>
        <w:rPr>
          <w:i/>
          <w:iCs/>
        </w:rPr>
        <w:t>as a potential OECM</w:t>
      </w:r>
      <w:r w:rsidRPr="00685A78">
        <w:rPr>
          <w:i/>
          <w:iCs/>
        </w:rPr>
        <w:t>.</w:t>
      </w:r>
      <w:r>
        <w:rPr>
          <w:i/>
          <w:iCs/>
        </w:rPr>
        <w:t xml:space="preserve"> The landowner does not want to have the land recognised as an OECM even though the property has important habitat for a listed threatened species and would make a valuable contribution to Australia’s protected and conserved areas.</w:t>
      </w:r>
    </w:p>
    <w:p w14:paraId="47E03A80" w14:textId="77777777" w:rsidR="00F338CB" w:rsidRDefault="00F338CB" w:rsidP="00F338CB">
      <w:r>
        <w:t>Outcome: Assessment and recognition as an OECM is voluntary. OECM recognition will not be imposed on landowners, and consent is fundamental (</w:t>
      </w:r>
      <w:r w:rsidR="00BA7470">
        <w:t xml:space="preserve">section </w:t>
      </w:r>
      <w:r>
        <w:t xml:space="preserve">4.1). </w:t>
      </w:r>
    </w:p>
    <w:p w14:paraId="0031232F" w14:textId="77777777" w:rsidR="00E604EC" w:rsidRDefault="00B07CA4" w:rsidP="009F35B3">
      <w:pPr>
        <w:pStyle w:val="Heading2"/>
        <w:keepNext/>
        <w:keepLines/>
        <w:pageBreakBefore w:val="0"/>
      </w:pPr>
      <w:bookmarkStart w:id="30" w:name="_Toc129263678"/>
      <w:r>
        <w:t>Next steps</w:t>
      </w:r>
      <w:bookmarkEnd w:id="30"/>
    </w:p>
    <w:p w14:paraId="781F7E04" w14:textId="77777777" w:rsidR="00CE3A7F" w:rsidRDefault="00BA7470" w:rsidP="009F35B3">
      <w:pPr>
        <w:keepNext/>
        <w:keepLines/>
        <w:rPr>
          <w:lang w:eastAsia="ja-JP"/>
        </w:rPr>
      </w:pPr>
      <w:r>
        <w:rPr>
          <w:lang w:eastAsia="ja-JP"/>
        </w:rPr>
        <w:t xml:space="preserve">This consultation process </w:t>
      </w:r>
      <w:r w:rsidRPr="008231FF">
        <w:rPr>
          <w:lang w:eastAsia="ja-JP"/>
        </w:rPr>
        <w:t xml:space="preserve">is an opportunity </w:t>
      </w:r>
      <w:r>
        <w:rPr>
          <w:lang w:eastAsia="ja-JP"/>
        </w:rPr>
        <w:t>to input to how</w:t>
      </w:r>
      <w:r w:rsidRPr="008231FF">
        <w:rPr>
          <w:lang w:eastAsia="ja-JP"/>
        </w:rPr>
        <w:t xml:space="preserve"> </w:t>
      </w:r>
      <w:r>
        <w:rPr>
          <w:lang w:eastAsia="ja-JP"/>
        </w:rPr>
        <w:t>OECMs</w:t>
      </w:r>
      <w:r w:rsidRPr="008231FF">
        <w:rPr>
          <w:lang w:eastAsia="ja-JP"/>
        </w:rPr>
        <w:t xml:space="preserve"> </w:t>
      </w:r>
      <w:r>
        <w:rPr>
          <w:lang w:eastAsia="ja-JP"/>
        </w:rPr>
        <w:t>will be recognised in</w:t>
      </w:r>
      <w:r w:rsidRPr="008231FF">
        <w:rPr>
          <w:lang w:eastAsia="ja-JP"/>
        </w:rPr>
        <w:t xml:space="preserve"> Australia.</w:t>
      </w:r>
      <w:r>
        <w:rPr>
          <w:lang w:eastAsia="ja-JP"/>
        </w:rPr>
        <w:t xml:space="preserve"> </w:t>
      </w:r>
      <w:r w:rsidR="00CE3A7F">
        <w:rPr>
          <w:lang w:eastAsia="ja-JP"/>
        </w:rPr>
        <w:t xml:space="preserve">We will consider your feedback and use it to further inform development of the OECM framework. </w:t>
      </w:r>
      <w:r w:rsidR="00A15118">
        <w:rPr>
          <w:lang w:eastAsia="ja-JP"/>
        </w:rPr>
        <w:t>We will also continue to follow how other countries are recognising and reporting OECMs.</w:t>
      </w:r>
      <w:r w:rsidR="00A15118" w:rsidRPr="00A15118">
        <w:rPr>
          <w:lang w:eastAsia="ja-JP"/>
        </w:rPr>
        <w:t xml:space="preserve"> </w:t>
      </w:r>
    </w:p>
    <w:p w14:paraId="6B324548" w14:textId="77777777" w:rsidR="00B07CA4" w:rsidRDefault="006B778B" w:rsidP="00B07CA4">
      <w:pPr>
        <w:rPr>
          <w:lang w:eastAsia="ja-JP"/>
        </w:rPr>
      </w:pPr>
      <w:r>
        <w:rPr>
          <w:lang w:eastAsia="ja-JP"/>
        </w:rPr>
        <w:t xml:space="preserve">Once </w:t>
      </w:r>
      <w:r w:rsidR="00B07CA4">
        <w:rPr>
          <w:lang w:eastAsia="ja-JP"/>
        </w:rPr>
        <w:t>finalised</w:t>
      </w:r>
      <w:r>
        <w:rPr>
          <w:lang w:eastAsia="ja-JP"/>
        </w:rPr>
        <w:t>,</w:t>
      </w:r>
      <w:r w:rsidR="00B07CA4">
        <w:rPr>
          <w:lang w:eastAsia="ja-JP"/>
        </w:rPr>
        <w:t xml:space="preserve"> </w:t>
      </w:r>
      <w:r>
        <w:rPr>
          <w:lang w:eastAsia="ja-JP"/>
        </w:rPr>
        <w:t xml:space="preserve">guiding principles will be </w:t>
      </w:r>
      <w:r w:rsidR="00B07CA4">
        <w:rPr>
          <w:lang w:eastAsia="ja-JP"/>
        </w:rPr>
        <w:t xml:space="preserve">incorporated into </w:t>
      </w:r>
      <w:r w:rsidR="00A91C61">
        <w:rPr>
          <w:lang w:eastAsia="ja-JP"/>
        </w:rPr>
        <w:t xml:space="preserve">a </w:t>
      </w:r>
      <w:r w:rsidR="00B07CA4">
        <w:rPr>
          <w:lang w:eastAsia="ja-JP"/>
        </w:rPr>
        <w:t>site level assessment tool.</w:t>
      </w:r>
    </w:p>
    <w:p w14:paraId="0298BDB1" w14:textId="77777777" w:rsidR="008231FF" w:rsidRPr="001A4757" w:rsidRDefault="00B07CA4" w:rsidP="004013B1">
      <w:pPr>
        <w:rPr>
          <w:lang w:eastAsia="ja-JP"/>
        </w:rPr>
      </w:pPr>
      <w:r>
        <w:rPr>
          <w:lang w:eastAsia="ja-JP"/>
        </w:rPr>
        <w:t>Consultation will be undertaken on implementation issues over the coming months.</w:t>
      </w:r>
      <w:r w:rsidR="00295A0A">
        <w:rPr>
          <w:lang w:eastAsia="ja-JP"/>
        </w:rPr>
        <w:t xml:space="preserve"> This will include </w:t>
      </w:r>
      <w:r w:rsidR="0022270E">
        <w:rPr>
          <w:lang w:eastAsia="ja-JP"/>
        </w:rPr>
        <w:t>consideration of</w:t>
      </w:r>
      <w:r w:rsidR="0022270E" w:rsidRPr="00295A0A">
        <w:rPr>
          <w:lang w:eastAsia="ja-JP"/>
        </w:rPr>
        <w:t xml:space="preserve"> </w:t>
      </w:r>
      <w:r w:rsidR="00295A0A" w:rsidRPr="00295A0A">
        <w:rPr>
          <w:lang w:eastAsia="ja-JP"/>
        </w:rPr>
        <w:t>the</w:t>
      </w:r>
      <w:r w:rsidR="0022270E">
        <w:rPr>
          <w:lang w:eastAsia="ja-JP"/>
        </w:rPr>
        <w:t xml:space="preserve"> </w:t>
      </w:r>
      <w:r w:rsidR="00295A0A" w:rsidRPr="00295A0A">
        <w:rPr>
          <w:lang w:eastAsia="ja-JP"/>
        </w:rPr>
        <w:t xml:space="preserve">initial site assessment process, </w:t>
      </w:r>
      <w:r w:rsidR="0022270E">
        <w:rPr>
          <w:lang w:eastAsia="ja-JP"/>
        </w:rPr>
        <w:t xml:space="preserve">whether OECMs should be </w:t>
      </w:r>
      <w:r w:rsidR="00295A0A" w:rsidRPr="00295A0A">
        <w:rPr>
          <w:lang w:eastAsia="ja-JP"/>
        </w:rPr>
        <w:t>record</w:t>
      </w:r>
      <w:r w:rsidR="0022270E">
        <w:rPr>
          <w:lang w:eastAsia="ja-JP"/>
        </w:rPr>
        <w:t xml:space="preserve">ed in the </w:t>
      </w:r>
      <w:hyperlink w:anchor="_Glossary" w:history="1">
        <w:r w:rsidR="0022270E" w:rsidRPr="003F210E">
          <w:rPr>
            <w:rStyle w:val="Hyperlink"/>
            <w:lang w:eastAsia="ja-JP"/>
          </w:rPr>
          <w:t>Collaborative Australian Protected Areas Database</w:t>
        </w:r>
      </w:hyperlink>
      <w:r w:rsidR="0022270E">
        <w:rPr>
          <w:lang w:eastAsia="ja-JP"/>
        </w:rPr>
        <w:t xml:space="preserve"> (CAPAD) or in a separate database</w:t>
      </w:r>
      <w:r w:rsidR="00A15118">
        <w:rPr>
          <w:lang w:eastAsia="ja-JP"/>
        </w:rPr>
        <w:t>,</w:t>
      </w:r>
      <w:r w:rsidR="00295A0A" w:rsidRPr="00295A0A">
        <w:rPr>
          <w:lang w:eastAsia="ja-JP"/>
        </w:rPr>
        <w:t xml:space="preserve"> reporting </w:t>
      </w:r>
      <w:r w:rsidR="00A15118">
        <w:rPr>
          <w:lang w:eastAsia="ja-JP"/>
        </w:rPr>
        <w:t>of OECM statistics domestically and internationally</w:t>
      </w:r>
      <w:r w:rsidR="00295A0A" w:rsidRPr="00295A0A">
        <w:rPr>
          <w:lang w:eastAsia="ja-JP"/>
        </w:rPr>
        <w:t xml:space="preserve">, and monitoring and compliance requirements. </w:t>
      </w:r>
    </w:p>
    <w:p w14:paraId="38B1DD62" w14:textId="77777777" w:rsidR="00764D6A" w:rsidRDefault="00E91D72" w:rsidP="00CB2439">
      <w:pPr>
        <w:pStyle w:val="Heading2"/>
        <w:numPr>
          <w:ilvl w:val="0"/>
          <w:numId w:val="0"/>
        </w:numPr>
        <w:ind w:left="720" w:hanging="720"/>
      </w:pPr>
      <w:bookmarkStart w:id="31" w:name="_Glossary"/>
      <w:bookmarkStart w:id="32" w:name="_Toc430782161"/>
      <w:bookmarkStart w:id="33" w:name="_Toc129263679"/>
      <w:bookmarkEnd w:id="31"/>
      <w:r w:rsidRPr="00022163">
        <w:lastRenderedPageBreak/>
        <w:t>Glossary</w:t>
      </w:r>
      <w:bookmarkEnd w:id="32"/>
      <w:bookmarkEnd w:id="33"/>
    </w:p>
    <w:tbl>
      <w:tblPr>
        <w:tblW w:w="5000" w:type="pct"/>
        <w:tblBorders>
          <w:top w:val="single" w:sz="6" w:space="0" w:color="auto"/>
          <w:bottom w:val="single" w:sz="4" w:space="0" w:color="auto"/>
          <w:insideH w:val="single" w:sz="4" w:space="0" w:color="auto"/>
        </w:tblBorders>
        <w:tblCellMar>
          <w:left w:w="40" w:type="dxa"/>
          <w:right w:w="40" w:type="dxa"/>
        </w:tblCellMar>
        <w:tblLook w:val="0000" w:firstRow="0" w:lastRow="0" w:firstColumn="0" w:lastColumn="0" w:noHBand="0" w:noVBand="0"/>
      </w:tblPr>
      <w:tblGrid>
        <w:gridCol w:w="2267"/>
        <w:gridCol w:w="6803"/>
      </w:tblGrid>
      <w:tr w:rsidR="00FE64BC" w14:paraId="3ED30B2F" w14:textId="77777777" w:rsidTr="00FE64BC">
        <w:trPr>
          <w:cantSplit/>
          <w:tblHeader/>
        </w:trPr>
        <w:tc>
          <w:tcPr>
            <w:tcW w:w="1250" w:type="pct"/>
            <w:tcMar>
              <w:left w:w="108" w:type="dxa"/>
              <w:right w:w="108" w:type="dxa"/>
            </w:tcMar>
          </w:tcPr>
          <w:p w14:paraId="1A86C748" w14:textId="77777777" w:rsidR="00FE64BC" w:rsidRPr="00FE64BC" w:rsidRDefault="00FE64BC" w:rsidP="00FE64BC">
            <w:pPr>
              <w:pStyle w:val="TableHeading"/>
            </w:pPr>
            <w:bookmarkStart w:id="34" w:name="Title_Glossary"/>
            <w:bookmarkEnd w:id="34"/>
            <w:r w:rsidRPr="00FE64BC">
              <w:t>Term</w:t>
            </w:r>
          </w:p>
        </w:tc>
        <w:tc>
          <w:tcPr>
            <w:tcW w:w="3750" w:type="pct"/>
            <w:tcMar>
              <w:left w:w="108" w:type="dxa"/>
              <w:right w:w="108" w:type="dxa"/>
            </w:tcMar>
          </w:tcPr>
          <w:p w14:paraId="3F97D4FF" w14:textId="77777777" w:rsidR="00FE64BC" w:rsidRPr="00FE64BC" w:rsidRDefault="00FE64BC" w:rsidP="00FE64BC">
            <w:pPr>
              <w:pStyle w:val="TableHeading"/>
            </w:pPr>
            <w:r w:rsidRPr="00FE64BC">
              <w:t>Definition</w:t>
            </w:r>
          </w:p>
        </w:tc>
      </w:tr>
      <w:tr w:rsidR="005B4722" w14:paraId="5E3CCA8B" w14:textId="77777777" w:rsidTr="00FE64BC">
        <w:trPr>
          <w:cantSplit/>
          <w:tblHeader/>
        </w:trPr>
        <w:tc>
          <w:tcPr>
            <w:tcW w:w="1250" w:type="pct"/>
            <w:tcMar>
              <w:left w:w="108" w:type="dxa"/>
              <w:right w:w="108" w:type="dxa"/>
            </w:tcMar>
          </w:tcPr>
          <w:p w14:paraId="4160EE07" w14:textId="77777777" w:rsidR="005B4722" w:rsidRPr="005B4722" w:rsidRDefault="005B4722" w:rsidP="00FE64BC">
            <w:pPr>
              <w:pStyle w:val="TableHeading"/>
              <w:rPr>
                <w:b w:val="0"/>
                <w:bCs/>
              </w:rPr>
            </w:pPr>
            <w:r w:rsidRPr="005B4722">
              <w:rPr>
                <w:b w:val="0"/>
                <w:bCs/>
              </w:rPr>
              <w:t>Areas of particular importance for biodiversity</w:t>
            </w:r>
          </w:p>
        </w:tc>
        <w:tc>
          <w:tcPr>
            <w:tcW w:w="3750" w:type="pct"/>
            <w:tcMar>
              <w:left w:w="108" w:type="dxa"/>
              <w:right w:w="108" w:type="dxa"/>
            </w:tcMar>
          </w:tcPr>
          <w:p w14:paraId="3E986839" w14:textId="77777777" w:rsidR="005B4722" w:rsidRPr="005B4722" w:rsidRDefault="00082ABC" w:rsidP="005B4722">
            <w:pPr>
              <w:pStyle w:val="TableText"/>
              <w:rPr>
                <w:rFonts w:cstheme="minorHAnsi"/>
              </w:rPr>
            </w:pPr>
            <w:hyperlink r:id="rId29" w:history="1">
              <w:r w:rsidR="005B4722" w:rsidRPr="009F45B0">
                <w:rPr>
                  <w:rStyle w:val="Hyperlink"/>
                  <w:rFonts w:cstheme="minorHAnsi"/>
                </w:rPr>
                <w:t>Aichi Target 11 Quick Guide</w:t>
              </w:r>
            </w:hyperlink>
          </w:p>
          <w:p w14:paraId="77E318D6" w14:textId="77777777" w:rsidR="005B4722" w:rsidRPr="00FE64BC" w:rsidRDefault="005B4722" w:rsidP="005B4722">
            <w:pPr>
              <w:pStyle w:val="TableText"/>
            </w:pPr>
            <w:r w:rsidRPr="005B4722">
              <w:rPr>
                <w:rFonts w:cstheme="minorHAnsi"/>
              </w:rPr>
              <w:t xml:space="preserve">‘…areas high in species richness or threatened species, threatened biomes and habitats, areas with particularly important habitats (key biodiversity areas, high conservation value areas, important plant areas, sensitive marine areas etc.) and areas which are important for the continued provision of ecosystem services (such as areas important for water supply, erosion control, sacred sites, etc).’ </w:t>
            </w:r>
          </w:p>
        </w:tc>
      </w:tr>
      <w:tr w:rsidR="00FE64BC" w14:paraId="7E4128D6" w14:textId="77777777" w:rsidTr="00FE64BC">
        <w:tc>
          <w:tcPr>
            <w:tcW w:w="1250" w:type="pct"/>
            <w:tcMar>
              <w:left w:w="108" w:type="dxa"/>
              <w:right w:w="108" w:type="dxa"/>
            </w:tcMar>
          </w:tcPr>
          <w:p w14:paraId="5D3319A0" w14:textId="77777777" w:rsidR="00FE64BC" w:rsidRPr="00652679" w:rsidRDefault="00082ABC" w:rsidP="00FE64BC">
            <w:pPr>
              <w:pStyle w:val="TableText"/>
            </w:pPr>
            <w:hyperlink r:id="rId30" w:history="1">
              <w:r w:rsidR="00652679" w:rsidRPr="00EB336B">
                <w:rPr>
                  <w:rStyle w:val="Hyperlink"/>
                  <w:rFonts w:cstheme="minorHAnsi"/>
                  <w:lang w:val="en-US"/>
                </w:rPr>
                <w:t>Australia's Strategy for the National Reserve System 2009-2030</w:t>
              </w:r>
            </w:hyperlink>
          </w:p>
        </w:tc>
        <w:tc>
          <w:tcPr>
            <w:tcW w:w="3750" w:type="pct"/>
            <w:tcMar>
              <w:left w:w="108" w:type="dxa"/>
              <w:right w:w="108" w:type="dxa"/>
            </w:tcMar>
          </w:tcPr>
          <w:p w14:paraId="0C6AF4E2" w14:textId="77777777" w:rsidR="00FE64BC" w:rsidRPr="00FE64BC" w:rsidRDefault="00652679" w:rsidP="00FE64BC">
            <w:pPr>
              <w:pStyle w:val="TableText"/>
            </w:pPr>
            <w:r>
              <w:rPr>
                <w:rFonts w:cstheme="minorHAnsi"/>
              </w:rPr>
              <w:t xml:space="preserve">Agreed by all Australian governments in 2009, sets priority actions and targets for a nationally coordinated approach to establishing and managing the </w:t>
            </w:r>
            <w:r w:rsidRPr="00406E32">
              <w:rPr>
                <w:rFonts w:cstheme="minorHAnsi"/>
              </w:rPr>
              <w:t>National Reserve System.</w:t>
            </w:r>
          </w:p>
        </w:tc>
      </w:tr>
      <w:tr w:rsidR="00FE64BC" w14:paraId="279DA506" w14:textId="77777777" w:rsidTr="00FE64BC">
        <w:tc>
          <w:tcPr>
            <w:tcW w:w="1250" w:type="pct"/>
            <w:tcMar>
              <w:left w:w="108" w:type="dxa"/>
              <w:right w:w="108" w:type="dxa"/>
            </w:tcMar>
          </w:tcPr>
          <w:p w14:paraId="24C8966D" w14:textId="77777777" w:rsidR="00FE64BC" w:rsidRPr="00FE64BC" w:rsidRDefault="00082ABC" w:rsidP="00FE64BC">
            <w:pPr>
              <w:pStyle w:val="TableText"/>
            </w:pPr>
            <w:hyperlink r:id="rId31" w:history="1">
              <w:r w:rsidR="00652679" w:rsidRPr="00EB336B">
                <w:rPr>
                  <w:rStyle w:val="Hyperlink"/>
                </w:rPr>
                <w:t>CAPAD</w:t>
              </w:r>
            </w:hyperlink>
          </w:p>
        </w:tc>
        <w:tc>
          <w:tcPr>
            <w:tcW w:w="3750" w:type="pct"/>
            <w:tcMar>
              <w:left w:w="108" w:type="dxa"/>
              <w:right w:w="108" w:type="dxa"/>
            </w:tcMar>
          </w:tcPr>
          <w:p w14:paraId="3E3F90AA" w14:textId="77777777" w:rsidR="00FE64BC" w:rsidRPr="00FE64BC" w:rsidRDefault="00652679" w:rsidP="00FE64BC">
            <w:pPr>
              <w:pStyle w:val="TableText"/>
            </w:pPr>
            <w:r>
              <w:rPr>
                <w:rFonts w:cstheme="minorHAnsi"/>
              </w:rPr>
              <w:t>The Collaborative Australian Protected Area Database (CAPAD) is the national database with information on Australia’s protected areas. CAPAD is published every 2 years. CAPAD is compiled using data from state and territory governments and non-government organisations.</w:t>
            </w:r>
          </w:p>
        </w:tc>
      </w:tr>
      <w:tr w:rsidR="005879C1" w14:paraId="05D5E972" w14:textId="77777777" w:rsidTr="00FE64BC">
        <w:tc>
          <w:tcPr>
            <w:tcW w:w="1250" w:type="pct"/>
            <w:tcMar>
              <w:left w:w="108" w:type="dxa"/>
              <w:right w:w="108" w:type="dxa"/>
            </w:tcMar>
          </w:tcPr>
          <w:p w14:paraId="65D093CB" w14:textId="77777777" w:rsidR="005879C1" w:rsidRDefault="000E05BC" w:rsidP="00FE64BC">
            <w:pPr>
              <w:pStyle w:val="TableText"/>
            </w:pPr>
            <w:r w:rsidRPr="00DA5D88">
              <w:rPr>
                <w:rFonts w:cstheme="minorHAnsi"/>
              </w:rPr>
              <w:t xml:space="preserve">Governance </w:t>
            </w:r>
            <w:r w:rsidR="005879C1">
              <w:t>authority</w:t>
            </w:r>
          </w:p>
        </w:tc>
        <w:tc>
          <w:tcPr>
            <w:tcW w:w="3750" w:type="pct"/>
            <w:tcMar>
              <w:left w:w="108" w:type="dxa"/>
              <w:right w:w="108" w:type="dxa"/>
            </w:tcMar>
          </w:tcPr>
          <w:p w14:paraId="0DC2D0EE" w14:textId="77777777" w:rsidR="005879C1" w:rsidRDefault="00DA5D88" w:rsidP="00DA5D88">
            <w:pPr>
              <w:pStyle w:val="TableText"/>
              <w:rPr>
                <w:rFonts w:cstheme="minorHAnsi"/>
              </w:rPr>
            </w:pPr>
            <w:r w:rsidRPr="00DA5D88">
              <w:rPr>
                <w:rFonts w:cstheme="minorHAnsi"/>
              </w:rPr>
              <w:t>The institution, individual, indigenous peoples or communal group or other body acknowledged as having authority and responsibility for decision-making and management of an area</w:t>
            </w:r>
            <w:r>
              <w:rPr>
                <w:rFonts w:cstheme="minorHAnsi"/>
              </w:rPr>
              <w:t xml:space="preserve"> (</w:t>
            </w:r>
            <w:r w:rsidR="00CB493C">
              <w:t>IUCN-WCPA Task Force on OECMs 2019</w:t>
            </w:r>
            <w:r>
              <w:rPr>
                <w:rFonts w:cstheme="minorHAnsi"/>
              </w:rPr>
              <w:t>)</w:t>
            </w:r>
          </w:p>
        </w:tc>
      </w:tr>
      <w:tr w:rsidR="00300911" w14:paraId="2C2B9533" w14:textId="77777777" w:rsidTr="00FE64BC">
        <w:tc>
          <w:tcPr>
            <w:tcW w:w="1250" w:type="pct"/>
            <w:tcMar>
              <w:left w:w="108" w:type="dxa"/>
              <w:right w:w="108" w:type="dxa"/>
            </w:tcMar>
          </w:tcPr>
          <w:p w14:paraId="7A69699E" w14:textId="77777777" w:rsidR="00300911" w:rsidRDefault="00300911" w:rsidP="00FE64BC">
            <w:pPr>
              <w:pStyle w:val="TableText"/>
            </w:pPr>
            <w:r>
              <w:t>In-situ conservation</w:t>
            </w:r>
            <w:r w:rsidR="003F18EC">
              <w:t xml:space="preserve"> of biodiversity</w:t>
            </w:r>
          </w:p>
        </w:tc>
        <w:tc>
          <w:tcPr>
            <w:tcW w:w="3750" w:type="pct"/>
            <w:tcMar>
              <w:left w:w="108" w:type="dxa"/>
              <w:right w:w="108" w:type="dxa"/>
            </w:tcMar>
          </w:tcPr>
          <w:p w14:paraId="3905BCDF" w14:textId="77777777" w:rsidR="00300911" w:rsidRPr="00DF7217" w:rsidRDefault="00DF7217" w:rsidP="00FE64BC">
            <w:pPr>
              <w:pStyle w:val="TableText"/>
              <w:rPr>
                <w:rFonts w:cstheme="minorHAnsi"/>
              </w:rPr>
            </w:pPr>
            <w:r>
              <w:rPr>
                <w:rFonts w:cstheme="minorHAnsi"/>
              </w:rPr>
              <w:t>The conservation of ecosystems and natural habitats and the maintenance and recovery of viable populations of species in their natural surroundings, and in the case of domesticated or cultivated species, in the surroundings where they have developed their distinctive properties (</w:t>
            </w:r>
            <w:hyperlink r:id="rId32" w:history="1">
              <w:r w:rsidRPr="00DF7217">
                <w:rPr>
                  <w:rStyle w:val="Hyperlink"/>
                  <w:rFonts w:cstheme="minorHAnsi"/>
                </w:rPr>
                <w:t>CBD Article 2</w:t>
              </w:r>
            </w:hyperlink>
            <w:r>
              <w:rPr>
                <w:rFonts w:cstheme="minorHAnsi"/>
              </w:rPr>
              <w:t>).</w:t>
            </w:r>
          </w:p>
        </w:tc>
      </w:tr>
      <w:tr w:rsidR="001671D9" w14:paraId="17298B9F" w14:textId="77777777" w:rsidTr="00FE64BC">
        <w:tc>
          <w:tcPr>
            <w:tcW w:w="1250" w:type="pct"/>
            <w:tcMar>
              <w:left w:w="108" w:type="dxa"/>
              <w:right w:w="108" w:type="dxa"/>
            </w:tcMar>
          </w:tcPr>
          <w:p w14:paraId="1F07855E" w14:textId="77777777" w:rsidR="001671D9" w:rsidRDefault="00082ABC" w:rsidP="00FE64BC">
            <w:pPr>
              <w:pStyle w:val="TableText"/>
            </w:pPr>
            <w:hyperlink r:id="rId33" w:history="1">
              <w:r w:rsidR="001671D9" w:rsidRPr="00F45E5B">
                <w:rPr>
                  <w:rStyle w:val="Hyperlink"/>
                </w:rPr>
                <w:t>IUCN</w:t>
              </w:r>
            </w:hyperlink>
          </w:p>
        </w:tc>
        <w:tc>
          <w:tcPr>
            <w:tcW w:w="3750" w:type="pct"/>
            <w:tcMar>
              <w:left w:w="108" w:type="dxa"/>
              <w:right w:w="108" w:type="dxa"/>
            </w:tcMar>
          </w:tcPr>
          <w:p w14:paraId="7E9437B1" w14:textId="77777777" w:rsidR="001671D9" w:rsidRPr="000A5A5F" w:rsidRDefault="001671D9" w:rsidP="00FE64BC">
            <w:pPr>
              <w:pStyle w:val="TableText"/>
              <w:rPr>
                <w:rFonts w:cstheme="minorHAnsi"/>
              </w:rPr>
            </w:pPr>
            <w:r w:rsidRPr="000A5A5F">
              <w:rPr>
                <w:rFonts w:cstheme="minorHAnsi"/>
              </w:rPr>
              <w:t>International Union for the Conservation of Nature</w:t>
            </w:r>
          </w:p>
        </w:tc>
      </w:tr>
      <w:tr w:rsidR="00FE64BC" w14:paraId="1A47AA47" w14:textId="77777777" w:rsidTr="00FE64BC">
        <w:tc>
          <w:tcPr>
            <w:tcW w:w="1250" w:type="pct"/>
            <w:tcMar>
              <w:left w:w="108" w:type="dxa"/>
              <w:right w:w="108" w:type="dxa"/>
            </w:tcMar>
          </w:tcPr>
          <w:p w14:paraId="2FDE123A" w14:textId="77777777" w:rsidR="00FE64BC" w:rsidRPr="00FE64BC" w:rsidRDefault="00082ABC" w:rsidP="00FE64BC">
            <w:pPr>
              <w:pStyle w:val="TableText"/>
            </w:pPr>
            <w:hyperlink r:id="rId34" w:history="1">
              <w:r w:rsidR="00652679" w:rsidRPr="00F45E5B">
                <w:rPr>
                  <w:rStyle w:val="Hyperlink"/>
                </w:rPr>
                <w:t>National Reserve System</w:t>
              </w:r>
            </w:hyperlink>
          </w:p>
        </w:tc>
        <w:tc>
          <w:tcPr>
            <w:tcW w:w="3750" w:type="pct"/>
            <w:tcMar>
              <w:left w:w="108" w:type="dxa"/>
              <w:right w:w="108" w:type="dxa"/>
            </w:tcMar>
          </w:tcPr>
          <w:p w14:paraId="756E0F23" w14:textId="77777777" w:rsidR="00FE64BC" w:rsidRPr="00FE64BC" w:rsidRDefault="00652679" w:rsidP="00FE64BC">
            <w:pPr>
              <w:pStyle w:val="TableText"/>
            </w:pPr>
            <w:r>
              <w:rPr>
                <w:rFonts w:cstheme="minorHAnsi"/>
                <w:lang w:val="en-US"/>
              </w:rPr>
              <w:t>A</w:t>
            </w:r>
            <w:r>
              <w:rPr>
                <w:rFonts w:cstheme="minorHAnsi"/>
              </w:rPr>
              <w:t xml:space="preserve"> system of formally recognised parks, reserves and protected areas on public, private and Indigenous land dedicated to the long-term protection of Australia’s biodiversity. It is comprised of national parks and nature reserves, Indigenous Protected Areas, private protected areas and shared management areas.</w:t>
            </w:r>
          </w:p>
        </w:tc>
      </w:tr>
      <w:tr w:rsidR="00F45E5B" w14:paraId="07889D1F" w14:textId="77777777" w:rsidTr="00FE64BC">
        <w:tc>
          <w:tcPr>
            <w:tcW w:w="1250" w:type="pct"/>
            <w:tcMar>
              <w:left w:w="108" w:type="dxa"/>
              <w:right w:w="108" w:type="dxa"/>
            </w:tcMar>
          </w:tcPr>
          <w:p w14:paraId="4A5C234F" w14:textId="77777777" w:rsidR="00F45E5B" w:rsidRDefault="00F45E5B" w:rsidP="00F45E5B">
            <w:pPr>
              <w:pStyle w:val="TableText"/>
            </w:pPr>
            <w:r>
              <w:t>Protected areas</w:t>
            </w:r>
          </w:p>
        </w:tc>
        <w:tc>
          <w:tcPr>
            <w:tcW w:w="3750" w:type="pct"/>
            <w:tcMar>
              <w:left w:w="108" w:type="dxa"/>
              <w:right w:w="108" w:type="dxa"/>
            </w:tcMar>
          </w:tcPr>
          <w:p w14:paraId="4BC36C68" w14:textId="77777777" w:rsidR="00F45E5B" w:rsidRPr="00F45E5B" w:rsidRDefault="00DF7217" w:rsidP="00F45E5B">
            <w:pPr>
              <w:pStyle w:val="TableText"/>
            </w:pPr>
            <w:r>
              <w:t>Australian p</w:t>
            </w:r>
            <w:r w:rsidR="00F45E5B" w:rsidRPr="00F45E5B">
              <w:t xml:space="preserve">rotected areas </w:t>
            </w:r>
            <w:r w:rsidR="00B41E7B">
              <w:t>eligible to be</w:t>
            </w:r>
            <w:r w:rsidR="00F45E5B" w:rsidRPr="00F45E5B">
              <w:t xml:space="preserve"> included in the National Reserve System</w:t>
            </w:r>
            <w:r w:rsidR="00B41E7B">
              <w:t>.</w:t>
            </w:r>
          </w:p>
          <w:p w14:paraId="2322C267" w14:textId="77777777" w:rsidR="00F45E5B" w:rsidRPr="00F45E5B" w:rsidRDefault="00F45E5B" w:rsidP="00F45E5B">
            <w:pPr>
              <w:pStyle w:val="TableText"/>
              <w:rPr>
                <w:rFonts w:cstheme="minorHAnsi"/>
                <w:lang w:val="en-US"/>
              </w:rPr>
            </w:pPr>
            <w:r w:rsidRPr="00F45E5B">
              <w:t xml:space="preserve">Note – these are not protected areas under the EPBC Act, nor are they protected places </w:t>
            </w:r>
            <w:r w:rsidR="00B41E7B">
              <w:t xml:space="preserve">as identified in the Threatened Species Action Plan. </w:t>
            </w:r>
          </w:p>
        </w:tc>
      </w:tr>
    </w:tbl>
    <w:p w14:paraId="1F006E7A" w14:textId="77777777" w:rsidR="005A7193" w:rsidRDefault="005A7193" w:rsidP="005A7193">
      <w:pPr>
        <w:rPr>
          <w:lang w:eastAsia="ja-JP"/>
        </w:rPr>
      </w:pPr>
    </w:p>
    <w:p w14:paraId="6E9B0B58" w14:textId="77777777" w:rsidR="00764D6A" w:rsidRDefault="00E91D72" w:rsidP="00CB2439">
      <w:pPr>
        <w:pStyle w:val="Heading2"/>
        <w:numPr>
          <w:ilvl w:val="0"/>
          <w:numId w:val="0"/>
        </w:numPr>
      </w:pPr>
      <w:bookmarkStart w:id="35" w:name="_Toc430782162"/>
      <w:bookmarkStart w:id="36" w:name="_Toc129263680"/>
      <w:r>
        <w:lastRenderedPageBreak/>
        <w:t>References</w:t>
      </w:r>
      <w:bookmarkEnd w:id="35"/>
      <w:bookmarkEnd w:id="36"/>
    </w:p>
    <w:p w14:paraId="4D0F24AE" w14:textId="77777777" w:rsidR="00943078" w:rsidRDefault="00943078" w:rsidP="00943078">
      <w:r w:rsidRPr="00943078">
        <w:t>Convention on Biological Diversity 2022,</w:t>
      </w:r>
      <w:r>
        <w:t xml:space="preserve"> Conference of the Parties,</w:t>
      </w:r>
      <w:r w:rsidRPr="00943078">
        <w:t xml:space="preserve"> </w:t>
      </w:r>
      <w:hyperlink r:id="rId35" w:history="1">
        <w:r w:rsidRPr="00276F16">
          <w:rPr>
            <w:rStyle w:val="Hyperlink"/>
            <w:i/>
            <w:iCs/>
          </w:rPr>
          <w:t>Kunming-Montreal Global Biodiversity Framework</w:t>
        </w:r>
      </w:hyperlink>
      <w:r>
        <w:t>, accessed 13 January 2023.</w:t>
      </w:r>
    </w:p>
    <w:p w14:paraId="58FF0ED6" w14:textId="77777777" w:rsidR="00444589" w:rsidRPr="00444589" w:rsidRDefault="00444589" w:rsidP="00284D14">
      <w:r>
        <w:t xml:space="preserve">IUCN-WCPA Task Force on OECMs 2019, </w:t>
      </w:r>
      <w:hyperlink r:id="rId36" w:anchor=":~:text=What%20is%20an%20%27OECM%27%3F,WCPA%20Task%20Force%20on%20OECMs." w:history="1">
        <w:r w:rsidRPr="00444589">
          <w:rPr>
            <w:rStyle w:val="Hyperlink"/>
          </w:rPr>
          <w:t>Recognising and reporting other effective area-based conservation measures</w:t>
        </w:r>
      </w:hyperlink>
      <w:r>
        <w:t>, Gland, Switzerland, accessed January 2023.</w:t>
      </w:r>
    </w:p>
    <w:p w14:paraId="4BE90999" w14:textId="77777777" w:rsidR="00955E41" w:rsidRDefault="005C59BD" w:rsidP="00284D14">
      <w:r w:rsidRPr="002A4086">
        <w:t>UNDRIP 2007</w:t>
      </w:r>
      <w:r>
        <w:t xml:space="preserve">, </w:t>
      </w:r>
      <w:hyperlink r:id="rId37" w:history="1">
        <w:r w:rsidR="002A4086" w:rsidRPr="005C59BD">
          <w:rPr>
            <w:rStyle w:val="Hyperlink"/>
          </w:rPr>
          <w:t>United Nations Declaration on the Rights of Indigenous Peoples</w:t>
        </w:r>
      </w:hyperlink>
      <w:r w:rsidR="00201792">
        <w:t>,</w:t>
      </w:r>
      <w:r>
        <w:t xml:space="preserve"> adopted </w:t>
      </w:r>
      <w:r w:rsidRPr="005C59BD">
        <w:t>on 13 September 2007</w:t>
      </w:r>
      <w:r>
        <w:t xml:space="preserve">, accessed </w:t>
      </w:r>
      <w:r w:rsidR="004D2D80">
        <w:t xml:space="preserve">January 2023. </w:t>
      </w:r>
    </w:p>
    <w:p w14:paraId="462214F6" w14:textId="77777777" w:rsidR="00955E41" w:rsidRPr="00410806" w:rsidRDefault="00955E41" w:rsidP="00955E41">
      <w:r w:rsidRPr="00D572A5">
        <w:t xml:space="preserve">UNEP-WCMC and IUCN 2022, </w:t>
      </w:r>
      <w:hyperlink r:id="rId38" w:history="1">
        <w:r w:rsidRPr="0007101C">
          <w:rPr>
            <w:rStyle w:val="Hyperlink"/>
          </w:rPr>
          <w:t>Protected Planet: The World Database on Protected Areas (WDPA) and World Database on Other Effective Area-based Conservation Measures (WD-OECM)</w:t>
        </w:r>
      </w:hyperlink>
      <w:r w:rsidRPr="00D572A5">
        <w:t>, Cambridge</w:t>
      </w:r>
      <w:r w:rsidR="00E22C0C">
        <w:t>:</w:t>
      </w:r>
      <w:r w:rsidRPr="00D572A5">
        <w:t xml:space="preserve"> UK</w:t>
      </w:r>
      <w:r>
        <w:t xml:space="preserve">, accessed </w:t>
      </w:r>
      <w:r w:rsidRPr="00D572A5">
        <w:t>June 2022</w:t>
      </w:r>
      <w:r>
        <w:t>.</w:t>
      </w:r>
    </w:p>
    <w:p w14:paraId="248B0E2A" w14:textId="77777777" w:rsidR="00D572A5" w:rsidRDefault="00F95043" w:rsidP="002A063E">
      <w:r w:rsidRPr="00F95043">
        <w:t>UN Human Rights Council</w:t>
      </w:r>
      <w:r w:rsidR="009936A5">
        <w:t xml:space="preserve"> </w:t>
      </w:r>
      <w:r>
        <w:t xml:space="preserve">(2011). </w:t>
      </w:r>
      <w:hyperlink r:id="rId39" w:history="1">
        <w:r w:rsidRPr="00547F7D">
          <w:rPr>
            <w:rStyle w:val="Hyperlink"/>
          </w:rPr>
          <w:t>Final report of the study on indigenous peoples and the right to participate in decision-</w:t>
        </w:r>
        <w:r w:rsidR="00547F7D" w:rsidRPr="00547F7D">
          <w:rPr>
            <w:rStyle w:val="Hyperlink"/>
          </w:rPr>
          <w:t>making:</w:t>
        </w:r>
        <w:r w:rsidRPr="00547F7D">
          <w:rPr>
            <w:rStyle w:val="Hyperlink"/>
          </w:rPr>
          <w:t xml:space="preserve"> report of the Expert Mechanism on the Rights of Indigenous Peoples</w:t>
        </w:r>
      </w:hyperlink>
      <w:r>
        <w:t>,</w:t>
      </w:r>
      <w:r w:rsidRPr="00F95043">
        <w:t xml:space="preserve"> Geneva</w:t>
      </w:r>
      <w:r w:rsidR="00E22C0C">
        <w:t>:</w:t>
      </w:r>
      <w:r>
        <w:t xml:space="preserve"> </w:t>
      </w:r>
      <w:r w:rsidRPr="00F95043">
        <w:t>UN</w:t>
      </w:r>
      <w:r>
        <w:t xml:space="preserve">, accessed January 2023. </w:t>
      </w:r>
    </w:p>
    <w:p w14:paraId="05AB3136" w14:textId="77777777" w:rsidR="005C59BD" w:rsidRPr="00410806" w:rsidRDefault="00CB44CE" w:rsidP="00943078">
      <w:r>
        <w:t xml:space="preserve"> </w:t>
      </w:r>
    </w:p>
    <w:sectPr w:rsidR="005C59BD" w:rsidRPr="00410806" w:rsidSect="00A91C61">
      <w:headerReference w:type="default" r:id="rId40"/>
      <w:footerReference w:type="default" r:id="rId41"/>
      <w:headerReference w:type="first" r:id="rId42"/>
      <w:pgSz w:w="11906" w:h="16838"/>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01C5" w14:textId="77777777" w:rsidR="00082ABC" w:rsidRDefault="00082ABC">
      <w:r>
        <w:separator/>
      </w:r>
    </w:p>
    <w:p w14:paraId="4618AA59" w14:textId="77777777" w:rsidR="00082ABC" w:rsidRDefault="00082ABC"/>
    <w:p w14:paraId="3B4BF29F" w14:textId="77777777" w:rsidR="00082ABC" w:rsidRDefault="00082ABC"/>
  </w:endnote>
  <w:endnote w:type="continuationSeparator" w:id="0">
    <w:p w14:paraId="16BAA8C4" w14:textId="77777777" w:rsidR="00082ABC" w:rsidRDefault="00082ABC">
      <w:r>
        <w:continuationSeparator/>
      </w:r>
    </w:p>
    <w:p w14:paraId="11E937C1" w14:textId="77777777" w:rsidR="00082ABC" w:rsidRDefault="00082ABC"/>
    <w:p w14:paraId="3B0CA4B4" w14:textId="77777777" w:rsidR="00082ABC" w:rsidRDefault="00082ABC"/>
  </w:endnote>
  <w:endnote w:type="continuationNotice" w:id="1">
    <w:p w14:paraId="71A63FAB" w14:textId="77777777" w:rsidR="00082ABC" w:rsidRDefault="00082ABC">
      <w:pPr>
        <w:pStyle w:val="Footer"/>
      </w:pPr>
    </w:p>
    <w:p w14:paraId="11E583ED" w14:textId="77777777" w:rsidR="00082ABC" w:rsidRDefault="00082ABC"/>
    <w:p w14:paraId="2D02D7DE" w14:textId="77777777" w:rsidR="00082ABC" w:rsidRDefault="00082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B78" w14:textId="77777777" w:rsidR="00B861B4" w:rsidRDefault="00D86640" w:rsidP="009B2B7C">
    <w:pPr>
      <w:pStyle w:val="Footer"/>
      <w:jc w:val="left"/>
    </w:pPr>
    <w:r w:rsidRPr="00D86640">
      <w:t>Department of Climate Change, Energy, the Environment and Water</w:t>
    </w:r>
    <w:r w:rsidR="009B2B7C">
      <w:tab/>
    </w:r>
    <w:r w:rsidR="009B2B7C">
      <w:tab/>
    </w:r>
    <w:r w:rsidR="009B2B7C">
      <w:tab/>
    </w:r>
    <w:r w:rsidR="009B2B7C">
      <w:tab/>
    </w:r>
    <w:r w:rsidR="009B2B7C">
      <w:tab/>
    </w:r>
    <w:r w:rsidR="00B861B4">
      <w:fldChar w:fldCharType="begin"/>
    </w:r>
    <w:r w:rsidR="00B861B4">
      <w:instrText xml:space="preserve"> PAGE   \* MERGEFORMAT </w:instrText>
    </w:r>
    <w:r w:rsidR="00B861B4">
      <w:fldChar w:fldCharType="separate"/>
    </w:r>
    <w:r w:rsidR="005E25BD">
      <w:rPr>
        <w:noProof/>
      </w:rPr>
      <w:t>12</w:t>
    </w:r>
    <w:r w:rsidR="00B861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AA9B" w14:textId="77777777" w:rsidR="00082ABC" w:rsidRDefault="00082ABC">
      <w:r>
        <w:separator/>
      </w:r>
    </w:p>
    <w:p w14:paraId="7ED4A625" w14:textId="77777777" w:rsidR="00082ABC" w:rsidRDefault="00082ABC"/>
    <w:p w14:paraId="3EF6DF53" w14:textId="77777777" w:rsidR="00082ABC" w:rsidRDefault="00082ABC"/>
  </w:footnote>
  <w:footnote w:type="continuationSeparator" w:id="0">
    <w:p w14:paraId="45F5D1DD" w14:textId="77777777" w:rsidR="00082ABC" w:rsidRDefault="00082ABC">
      <w:r>
        <w:continuationSeparator/>
      </w:r>
    </w:p>
    <w:p w14:paraId="0280D325" w14:textId="77777777" w:rsidR="00082ABC" w:rsidRDefault="00082ABC"/>
    <w:p w14:paraId="2330ED56" w14:textId="77777777" w:rsidR="00082ABC" w:rsidRDefault="00082ABC"/>
  </w:footnote>
  <w:footnote w:type="continuationNotice" w:id="1">
    <w:p w14:paraId="57879B90" w14:textId="77777777" w:rsidR="00082ABC" w:rsidRDefault="00082ABC">
      <w:pPr>
        <w:pStyle w:val="Footer"/>
      </w:pPr>
    </w:p>
    <w:p w14:paraId="0867CD91" w14:textId="77777777" w:rsidR="00082ABC" w:rsidRDefault="00082ABC"/>
    <w:p w14:paraId="1145D685" w14:textId="77777777" w:rsidR="00082ABC" w:rsidRDefault="00082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FBC" w14:textId="77777777" w:rsidR="00AC4FB0" w:rsidRDefault="00BD63D8">
    <w:pPr>
      <w:pStyle w:val="Header"/>
    </w:pPr>
    <w:r>
      <w:t xml:space="preserve">Other </w:t>
    </w:r>
    <w:r w:rsidR="00167472">
      <w:t xml:space="preserve">effective </w:t>
    </w:r>
    <w:r>
      <w:t xml:space="preserve">area-based </w:t>
    </w:r>
    <w:r w:rsidR="00167472">
      <w:t>conservation measures</w:t>
    </w:r>
    <w:r w:rsidR="0062307E">
      <w:t xml:space="preserve">: </w:t>
    </w:r>
    <w:r w:rsidR="00167472">
      <w:t xml:space="preserve">principles </w:t>
    </w:r>
    <w:r w:rsidR="0062307E">
      <w:t>to guide their recognition</w:t>
    </w:r>
    <w:r>
      <w:t xml:space="preserve"> in Australia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B7C0" w14:textId="77777777" w:rsidR="00B861B4" w:rsidRDefault="00D60B6F">
    <w:pPr>
      <w:pStyle w:val="Header"/>
      <w:jc w:val="left"/>
    </w:pPr>
    <w:r>
      <w:rPr>
        <w:noProof/>
        <w:lang w:val="en-US"/>
      </w:rPr>
      <w:drawing>
        <wp:inline distT="0" distB="0" distL="0" distR="0" wp14:anchorId="3B2C8568" wp14:editId="3606AAE4">
          <wp:extent cx="3224791" cy="676657"/>
          <wp:effectExtent l="0" t="0" r="0" b="9525"/>
          <wp:docPr id="9" name="Picture 9" descr="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3224791" cy="676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7404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A3D1E"/>
    <w:multiLevelType w:val="hybridMultilevel"/>
    <w:tmpl w:val="2668D1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53A0F0A"/>
    <w:multiLevelType w:val="hybridMultilevel"/>
    <w:tmpl w:val="6FE2BEFA"/>
    <w:lvl w:ilvl="0" w:tplc="3506B3DE">
      <w:start w:val="1"/>
      <w:numFmt w:val="bullet"/>
      <w:lvlText w:val="•"/>
      <w:lvlJc w:val="left"/>
      <w:pPr>
        <w:tabs>
          <w:tab w:val="num" w:pos="720"/>
        </w:tabs>
        <w:ind w:left="720" w:hanging="360"/>
      </w:pPr>
      <w:rPr>
        <w:rFonts w:ascii="Times New Roman" w:hAnsi="Times New Roman" w:hint="default"/>
      </w:rPr>
    </w:lvl>
    <w:lvl w:ilvl="1" w:tplc="E4B6979A" w:tentative="1">
      <w:start w:val="1"/>
      <w:numFmt w:val="bullet"/>
      <w:lvlText w:val="•"/>
      <w:lvlJc w:val="left"/>
      <w:pPr>
        <w:tabs>
          <w:tab w:val="num" w:pos="1440"/>
        </w:tabs>
        <w:ind w:left="1440" w:hanging="360"/>
      </w:pPr>
      <w:rPr>
        <w:rFonts w:ascii="Times New Roman" w:hAnsi="Times New Roman" w:hint="default"/>
      </w:rPr>
    </w:lvl>
    <w:lvl w:ilvl="2" w:tplc="810E5C12" w:tentative="1">
      <w:start w:val="1"/>
      <w:numFmt w:val="bullet"/>
      <w:lvlText w:val="•"/>
      <w:lvlJc w:val="left"/>
      <w:pPr>
        <w:tabs>
          <w:tab w:val="num" w:pos="2160"/>
        </w:tabs>
        <w:ind w:left="2160" w:hanging="360"/>
      </w:pPr>
      <w:rPr>
        <w:rFonts w:ascii="Times New Roman" w:hAnsi="Times New Roman" w:hint="default"/>
      </w:rPr>
    </w:lvl>
    <w:lvl w:ilvl="3" w:tplc="7A24282C" w:tentative="1">
      <w:start w:val="1"/>
      <w:numFmt w:val="bullet"/>
      <w:lvlText w:val="•"/>
      <w:lvlJc w:val="left"/>
      <w:pPr>
        <w:tabs>
          <w:tab w:val="num" w:pos="2880"/>
        </w:tabs>
        <w:ind w:left="2880" w:hanging="360"/>
      </w:pPr>
      <w:rPr>
        <w:rFonts w:ascii="Times New Roman" w:hAnsi="Times New Roman" w:hint="default"/>
      </w:rPr>
    </w:lvl>
    <w:lvl w:ilvl="4" w:tplc="69E6FCF6" w:tentative="1">
      <w:start w:val="1"/>
      <w:numFmt w:val="bullet"/>
      <w:lvlText w:val="•"/>
      <w:lvlJc w:val="left"/>
      <w:pPr>
        <w:tabs>
          <w:tab w:val="num" w:pos="3600"/>
        </w:tabs>
        <w:ind w:left="3600" w:hanging="360"/>
      </w:pPr>
      <w:rPr>
        <w:rFonts w:ascii="Times New Roman" w:hAnsi="Times New Roman" w:hint="default"/>
      </w:rPr>
    </w:lvl>
    <w:lvl w:ilvl="5" w:tplc="EF0423B8" w:tentative="1">
      <w:start w:val="1"/>
      <w:numFmt w:val="bullet"/>
      <w:lvlText w:val="•"/>
      <w:lvlJc w:val="left"/>
      <w:pPr>
        <w:tabs>
          <w:tab w:val="num" w:pos="4320"/>
        </w:tabs>
        <w:ind w:left="4320" w:hanging="360"/>
      </w:pPr>
      <w:rPr>
        <w:rFonts w:ascii="Times New Roman" w:hAnsi="Times New Roman" w:hint="default"/>
      </w:rPr>
    </w:lvl>
    <w:lvl w:ilvl="6" w:tplc="C2EEA568" w:tentative="1">
      <w:start w:val="1"/>
      <w:numFmt w:val="bullet"/>
      <w:lvlText w:val="•"/>
      <w:lvlJc w:val="left"/>
      <w:pPr>
        <w:tabs>
          <w:tab w:val="num" w:pos="5040"/>
        </w:tabs>
        <w:ind w:left="5040" w:hanging="360"/>
      </w:pPr>
      <w:rPr>
        <w:rFonts w:ascii="Times New Roman" w:hAnsi="Times New Roman" w:hint="default"/>
      </w:rPr>
    </w:lvl>
    <w:lvl w:ilvl="7" w:tplc="2F98533A" w:tentative="1">
      <w:start w:val="1"/>
      <w:numFmt w:val="bullet"/>
      <w:lvlText w:val="•"/>
      <w:lvlJc w:val="left"/>
      <w:pPr>
        <w:tabs>
          <w:tab w:val="num" w:pos="5760"/>
        </w:tabs>
        <w:ind w:left="5760" w:hanging="360"/>
      </w:pPr>
      <w:rPr>
        <w:rFonts w:ascii="Times New Roman" w:hAnsi="Times New Roman" w:hint="default"/>
      </w:rPr>
    </w:lvl>
    <w:lvl w:ilvl="8" w:tplc="735270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5" w15:restartNumberingAfterBreak="0">
    <w:nsid w:val="21A328D5"/>
    <w:multiLevelType w:val="multilevel"/>
    <w:tmpl w:val="BE78A4F8"/>
    <w:numStyleLink w:val="Numberlist"/>
  </w:abstractNum>
  <w:abstractNum w:abstractNumId="6"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4650"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4A15FE"/>
    <w:multiLevelType w:val="multilevel"/>
    <w:tmpl w:val="F36C17E8"/>
    <w:numStyleLink w:val="Headinglist"/>
  </w:abstractNum>
  <w:abstractNum w:abstractNumId="8" w15:restartNumberingAfterBreak="0">
    <w:nsid w:val="3D650992"/>
    <w:multiLevelType w:val="multilevel"/>
    <w:tmpl w:val="B3A419DA"/>
    <w:styleLink w:val="CurrentList1"/>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10"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2"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4" w15:restartNumberingAfterBreak="0">
    <w:nsid w:val="5FCE25C7"/>
    <w:multiLevelType w:val="hybridMultilevel"/>
    <w:tmpl w:val="D8F4B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484ECE"/>
    <w:multiLevelType w:val="hybridMultilevel"/>
    <w:tmpl w:val="2CEE3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04451164">
    <w:abstractNumId w:val="9"/>
  </w:num>
  <w:num w:numId="2" w16cid:durableId="1666787524">
    <w:abstractNumId w:val="4"/>
  </w:num>
  <w:num w:numId="3" w16cid:durableId="381057155">
    <w:abstractNumId w:val="12"/>
  </w:num>
  <w:num w:numId="4" w16cid:durableId="1639215797">
    <w:abstractNumId w:val="13"/>
  </w:num>
  <w:num w:numId="5" w16cid:durableId="1643265712">
    <w:abstractNumId w:val="6"/>
  </w:num>
  <w:num w:numId="6" w16cid:durableId="793717093">
    <w:abstractNumId w:val="7"/>
    <w:lvlOverride w:ilvl="0">
      <w:lvl w:ilvl="0">
        <w:start w:val="1"/>
        <w:numFmt w:val="decimal"/>
        <w:pStyle w:val="Heading2"/>
        <w:lvlText w:val="%1"/>
        <w:lvlJc w:val="left"/>
        <w:pPr>
          <w:ind w:left="3839" w:hanging="720"/>
        </w:pPr>
      </w:lvl>
    </w:lvlOverride>
  </w:num>
  <w:num w:numId="7" w16cid:durableId="1314063411">
    <w:abstractNumId w:val="11"/>
  </w:num>
  <w:num w:numId="8" w16cid:durableId="9570234">
    <w:abstractNumId w:val="5"/>
  </w:num>
  <w:num w:numId="9" w16cid:durableId="626202022">
    <w:abstractNumId w:val="10"/>
  </w:num>
  <w:num w:numId="10" w16cid:durableId="866915021">
    <w:abstractNumId w:val="2"/>
  </w:num>
  <w:num w:numId="11" w16cid:durableId="1558778807">
    <w:abstractNumId w:val="8"/>
  </w:num>
  <w:num w:numId="12" w16cid:durableId="62989820">
    <w:abstractNumId w:val="14"/>
  </w:num>
  <w:num w:numId="13" w16cid:durableId="1469129109">
    <w:abstractNumId w:val="15"/>
  </w:num>
  <w:num w:numId="14" w16cid:durableId="1465344110">
    <w:abstractNumId w:val="0"/>
  </w:num>
  <w:num w:numId="15" w16cid:durableId="595483723">
    <w:abstractNumId w:val="7"/>
    <w:lvlOverride w:ilvl="0">
      <w:lvl w:ilvl="0">
        <w:start w:val="1"/>
        <w:numFmt w:val="decimal"/>
        <w:pStyle w:val="Heading2"/>
        <w:lvlText w:val="%1"/>
        <w:lvlJc w:val="left"/>
        <w:pPr>
          <w:ind w:left="720" w:hanging="720"/>
        </w:pPr>
      </w:lvl>
    </w:lvlOverride>
  </w:num>
  <w:num w:numId="16" w16cid:durableId="852375323">
    <w:abstractNumId w:val="7"/>
    <w:lvlOverride w:ilvl="0">
      <w:lvl w:ilvl="0">
        <w:start w:val="1"/>
        <w:numFmt w:val="decimal"/>
        <w:pStyle w:val="Heading2"/>
        <w:lvlText w:val="%1"/>
        <w:lvlJc w:val="left"/>
        <w:pPr>
          <w:ind w:left="720" w:hanging="720"/>
        </w:pPr>
      </w:lvl>
    </w:lvlOverride>
  </w:num>
  <w:num w:numId="17" w16cid:durableId="1250049">
    <w:abstractNumId w:val="7"/>
    <w:lvlOverride w:ilvl="0">
      <w:lvl w:ilvl="0">
        <w:start w:val="1"/>
        <w:numFmt w:val="decimal"/>
        <w:pStyle w:val="Heading2"/>
        <w:lvlText w:val="%1"/>
        <w:lvlJc w:val="left"/>
        <w:pPr>
          <w:ind w:left="720" w:hanging="720"/>
        </w:pPr>
      </w:lvl>
    </w:lvlOverride>
  </w:num>
  <w:num w:numId="18" w16cid:durableId="358238152">
    <w:abstractNumId w:val="7"/>
    <w:lvlOverride w:ilvl="0">
      <w:lvl w:ilvl="0">
        <w:start w:val="1"/>
        <w:numFmt w:val="decimal"/>
        <w:pStyle w:val="Heading2"/>
        <w:lvlText w:val="%1"/>
        <w:lvlJc w:val="left"/>
        <w:pPr>
          <w:ind w:left="720" w:hanging="720"/>
        </w:pPr>
      </w:lvl>
    </w:lvlOverride>
  </w:num>
  <w:num w:numId="19" w16cid:durableId="1962106779">
    <w:abstractNumId w:val="12"/>
  </w:num>
  <w:num w:numId="20" w16cid:durableId="2126844975">
    <w:abstractNumId w:val="12"/>
  </w:num>
  <w:num w:numId="21" w16cid:durableId="1355305147">
    <w:abstractNumId w:val="12"/>
  </w:num>
  <w:num w:numId="22" w16cid:durableId="205142598">
    <w:abstractNumId w:val="3"/>
  </w:num>
  <w:num w:numId="23" w16cid:durableId="76442347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BC"/>
    <w:rsid w:val="000001EB"/>
    <w:rsid w:val="000046BE"/>
    <w:rsid w:val="00004F7D"/>
    <w:rsid w:val="00005690"/>
    <w:rsid w:val="000111B7"/>
    <w:rsid w:val="00022163"/>
    <w:rsid w:val="000247B1"/>
    <w:rsid w:val="0003059F"/>
    <w:rsid w:val="00031687"/>
    <w:rsid w:val="000317A6"/>
    <w:rsid w:val="00035C4E"/>
    <w:rsid w:val="000542E9"/>
    <w:rsid w:val="00055988"/>
    <w:rsid w:val="00055A03"/>
    <w:rsid w:val="00057106"/>
    <w:rsid w:val="00066041"/>
    <w:rsid w:val="00066138"/>
    <w:rsid w:val="00066795"/>
    <w:rsid w:val="0007101C"/>
    <w:rsid w:val="0007119B"/>
    <w:rsid w:val="00071996"/>
    <w:rsid w:val="00071E0A"/>
    <w:rsid w:val="00073FBD"/>
    <w:rsid w:val="00076A47"/>
    <w:rsid w:val="00080380"/>
    <w:rsid w:val="00082ABC"/>
    <w:rsid w:val="000869AB"/>
    <w:rsid w:val="00087D27"/>
    <w:rsid w:val="00097AAE"/>
    <w:rsid w:val="00097FA8"/>
    <w:rsid w:val="000A346F"/>
    <w:rsid w:val="000A5A5F"/>
    <w:rsid w:val="000A7AAF"/>
    <w:rsid w:val="000B4589"/>
    <w:rsid w:val="000C0E0F"/>
    <w:rsid w:val="000C41B9"/>
    <w:rsid w:val="000C43CA"/>
    <w:rsid w:val="000D135F"/>
    <w:rsid w:val="000D49C1"/>
    <w:rsid w:val="000D7862"/>
    <w:rsid w:val="000E05BC"/>
    <w:rsid w:val="000E257C"/>
    <w:rsid w:val="000E4EE1"/>
    <w:rsid w:val="000F1A09"/>
    <w:rsid w:val="000F2194"/>
    <w:rsid w:val="000F2351"/>
    <w:rsid w:val="001001FB"/>
    <w:rsid w:val="001019BE"/>
    <w:rsid w:val="00101AED"/>
    <w:rsid w:val="00101FF8"/>
    <w:rsid w:val="001022A7"/>
    <w:rsid w:val="00103EFA"/>
    <w:rsid w:val="00105201"/>
    <w:rsid w:val="001052AB"/>
    <w:rsid w:val="00105FA3"/>
    <w:rsid w:val="00107522"/>
    <w:rsid w:val="0010794C"/>
    <w:rsid w:val="00107AB4"/>
    <w:rsid w:val="0011250D"/>
    <w:rsid w:val="00113F17"/>
    <w:rsid w:val="00120E73"/>
    <w:rsid w:val="00123033"/>
    <w:rsid w:val="00124634"/>
    <w:rsid w:val="00132991"/>
    <w:rsid w:val="00132B34"/>
    <w:rsid w:val="001343DA"/>
    <w:rsid w:val="001344AC"/>
    <w:rsid w:val="00134D2B"/>
    <w:rsid w:val="00135C32"/>
    <w:rsid w:val="00135E00"/>
    <w:rsid w:val="00136997"/>
    <w:rsid w:val="00137401"/>
    <w:rsid w:val="00137EFC"/>
    <w:rsid w:val="00141216"/>
    <w:rsid w:val="0014124C"/>
    <w:rsid w:val="00141464"/>
    <w:rsid w:val="0014227C"/>
    <w:rsid w:val="00150608"/>
    <w:rsid w:val="00150F9B"/>
    <w:rsid w:val="00151124"/>
    <w:rsid w:val="001671D9"/>
    <w:rsid w:val="00167472"/>
    <w:rsid w:val="00173D4B"/>
    <w:rsid w:val="00176594"/>
    <w:rsid w:val="0017699C"/>
    <w:rsid w:val="001769C9"/>
    <w:rsid w:val="00180298"/>
    <w:rsid w:val="00181A46"/>
    <w:rsid w:val="001847D5"/>
    <w:rsid w:val="001866AA"/>
    <w:rsid w:val="00186F70"/>
    <w:rsid w:val="00191BDC"/>
    <w:rsid w:val="00192D26"/>
    <w:rsid w:val="0019355A"/>
    <w:rsid w:val="00197627"/>
    <w:rsid w:val="001A3480"/>
    <w:rsid w:val="001A4757"/>
    <w:rsid w:val="001A4FFA"/>
    <w:rsid w:val="001A69C4"/>
    <w:rsid w:val="001B16BD"/>
    <w:rsid w:val="001B1993"/>
    <w:rsid w:val="001C0E33"/>
    <w:rsid w:val="001C0EA9"/>
    <w:rsid w:val="001C2BBF"/>
    <w:rsid w:val="001C584E"/>
    <w:rsid w:val="001C5E00"/>
    <w:rsid w:val="001C60C1"/>
    <w:rsid w:val="001C7E38"/>
    <w:rsid w:val="001E31A2"/>
    <w:rsid w:val="001E47C6"/>
    <w:rsid w:val="001E51BA"/>
    <w:rsid w:val="001E71B8"/>
    <w:rsid w:val="001F31B4"/>
    <w:rsid w:val="001F42C2"/>
    <w:rsid w:val="00200541"/>
    <w:rsid w:val="00200843"/>
    <w:rsid w:val="00201792"/>
    <w:rsid w:val="00201F73"/>
    <w:rsid w:val="00205DAB"/>
    <w:rsid w:val="00213378"/>
    <w:rsid w:val="002141A6"/>
    <w:rsid w:val="00215A88"/>
    <w:rsid w:val="002160DC"/>
    <w:rsid w:val="00216CAA"/>
    <w:rsid w:val="002204B2"/>
    <w:rsid w:val="002208A3"/>
    <w:rsid w:val="00222137"/>
    <w:rsid w:val="0022270E"/>
    <w:rsid w:val="00225C81"/>
    <w:rsid w:val="00226E10"/>
    <w:rsid w:val="0023348D"/>
    <w:rsid w:val="002337E0"/>
    <w:rsid w:val="0023463F"/>
    <w:rsid w:val="00240180"/>
    <w:rsid w:val="00241020"/>
    <w:rsid w:val="00244EC9"/>
    <w:rsid w:val="00246F6C"/>
    <w:rsid w:val="00246F96"/>
    <w:rsid w:val="00247831"/>
    <w:rsid w:val="00254EE8"/>
    <w:rsid w:val="00255018"/>
    <w:rsid w:val="002613F3"/>
    <w:rsid w:val="00264BE7"/>
    <w:rsid w:val="00270166"/>
    <w:rsid w:val="00270192"/>
    <w:rsid w:val="00270F7F"/>
    <w:rsid w:val="00276605"/>
    <w:rsid w:val="0027674B"/>
    <w:rsid w:val="00276F16"/>
    <w:rsid w:val="00281BB6"/>
    <w:rsid w:val="00283904"/>
    <w:rsid w:val="00284C5A"/>
    <w:rsid w:val="00284D14"/>
    <w:rsid w:val="00286307"/>
    <w:rsid w:val="002868AE"/>
    <w:rsid w:val="0029466D"/>
    <w:rsid w:val="0029578E"/>
    <w:rsid w:val="00295A0A"/>
    <w:rsid w:val="002A063E"/>
    <w:rsid w:val="002A0FD0"/>
    <w:rsid w:val="002A1F44"/>
    <w:rsid w:val="002A4086"/>
    <w:rsid w:val="002A73CA"/>
    <w:rsid w:val="002A76BB"/>
    <w:rsid w:val="002B32A9"/>
    <w:rsid w:val="002B34B8"/>
    <w:rsid w:val="002B61FF"/>
    <w:rsid w:val="002C0D08"/>
    <w:rsid w:val="002C2B3A"/>
    <w:rsid w:val="002C2C41"/>
    <w:rsid w:val="002C656D"/>
    <w:rsid w:val="002C7DB1"/>
    <w:rsid w:val="002D01A4"/>
    <w:rsid w:val="002D5B0A"/>
    <w:rsid w:val="002D6D4A"/>
    <w:rsid w:val="002D6F20"/>
    <w:rsid w:val="002E0454"/>
    <w:rsid w:val="002F29C9"/>
    <w:rsid w:val="002F2DAA"/>
    <w:rsid w:val="002F7397"/>
    <w:rsid w:val="00300911"/>
    <w:rsid w:val="003024BD"/>
    <w:rsid w:val="00307A17"/>
    <w:rsid w:val="00311092"/>
    <w:rsid w:val="003142D4"/>
    <w:rsid w:val="00316E88"/>
    <w:rsid w:val="00320E89"/>
    <w:rsid w:val="003214B3"/>
    <w:rsid w:val="00324BD0"/>
    <w:rsid w:val="00326137"/>
    <w:rsid w:val="00331C25"/>
    <w:rsid w:val="00333088"/>
    <w:rsid w:val="00333A32"/>
    <w:rsid w:val="0033469F"/>
    <w:rsid w:val="0033670F"/>
    <w:rsid w:val="00337BD7"/>
    <w:rsid w:val="00340132"/>
    <w:rsid w:val="00341111"/>
    <w:rsid w:val="00345722"/>
    <w:rsid w:val="003466E7"/>
    <w:rsid w:val="00350BE3"/>
    <w:rsid w:val="00351EDB"/>
    <w:rsid w:val="003537AD"/>
    <w:rsid w:val="003555D9"/>
    <w:rsid w:val="00356D3A"/>
    <w:rsid w:val="00356FF1"/>
    <w:rsid w:val="00357001"/>
    <w:rsid w:val="00357CDA"/>
    <w:rsid w:val="00360E15"/>
    <w:rsid w:val="00361EF0"/>
    <w:rsid w:val="00363935"/>
    <w:rsid w:val="00364A4A"/>
    <w:rsid w:val="0037248B"/>
    <w:rsid w:val="00375198"/>
    <w:rsid w:val="00376139"/>
    <w:rsid w:val="00376C37"/>
    <w:rsid w:val="00380A19"/>
    <w:rsid w:val="00380BD9"/>
    <w:rsid w:val="00381064"/>
    <w:rsid w:val="00382B87"/>
    <w:rsid w:val="003901A5"/>
    <w:rsid w:val="00390B34"/>
    <w:rsid w:val="00394079"/>
    <w:rsid w:val="0039473A"/>
    <w:rsid w:val="003A198D"/>
    <w:rsid w:val="003A1E05"/>
    <w:rsid w:val="003A2EDE"/>
    <w:rsid w:val="003A302A"/>
    <w:rsid w:val="003A3570"/>
    <w:rsid w:val="003B394B"/>
    <w:rsid w:val="003B6BD0"/>
    <w:rsid w:val="003B739B"/>
    <w:rsid w:val="003C0395"/>
    <w:rsid w:val="003C4E9D"/>
    <w:rsid w:val="003C6EAC"/>
    <w:rsid w:val="003D1D71"/>
    <w:rsid w:val="003D5486"/>
    <w:rsid w:val="003E0545"/>
    <w:rsid w:val="003E2584"/>
    <w:rsid w:val="003E2D73"/>
    <w:rsid w:val="003E38C2"/>
    <w:rsid w:val="003E682A"/>
    <w:rsid w:val="003E7A48"/>
    <w:rsid w:val="003E7B3F"/>
    <w:rsid w:val="003F167A"/>
    <w:rsid w:val="003F18EC"/>
    <w:rsid w:val="003F210E"/>
    <w:rsid w:val="003F2482"/>
    <w:rsid w:val="003F35F7"/>
    <w:rsid w:val="004013B1"/>
    <w:rsid w:val="00403696"/>
    <w:rsid w:val="00406E32"/>
    <w:rsid w:val="00410806"/>
    <w:rsid w:val="00410B27"/>
    <w:rsid w:val="004119A5"/>
    <w:rsid w:val="00411F04"/>
    <w:rsid w:val="00431FC6"/>
    <w:rsid w:val="00435042"/>
    <w:rsid w:val="004430E7"/>
    <w:rsid w:val="00444589"/>
    <w:rsid w:val="004459A8"/>
    <w:rsid w:val="00454EC8"/>
    <w:rsid w:val="00455162"/>
    <w:rsid w:val="0045731C"/>
    <w:rsid w:val="00461957"/>
    <w:rsid w:val="00467396"/>
    <w:rsid w:val="0047172B"/>
    <w:rsid w:val="004724C8"/>
    <w:rsid w:val="00476A28"/>
    <w:rsid w:val="00477B09"/>
    <w:rsid w:val="00482039"/>
    <w:rsid w:val="0048732A"/>
    <w:rsid w:val="00491E5F"/>
    <w:rsid w:val="00491ECC"/>
    <w:rsid w:val="00492DD0"/>
    <w:rsid w:val="00495D84"/>
    <w:rsid w:val="004961C3"/>
    <w:rsid w:val="004B0AF8"/>
    <w:rsid w:val="004B1998"/>
    <w:rsid w:val="004B1D54"/>
    <w:rsid w:val="004B3B28"/>
    <w:rsid w:val="004B5740"/>
    <w:rsid w:val="004B7A37"/>
    <w:rsid w:val="004C5888"/>
    <w:rsid w:val="004C613B"/>
    <w:rsid w:val="004D2D80"/>
    <w:rsid w:val="004E0841"/>
    <w:rsid w:val="004E7F43"/>
    <w:rsid w:val="004F1899"/>
    <w:rsid w:val="004F265F"/>
    <w:rsid w:val="004F3755"/>
    <w:rsid w:val="004F7077"/>
    <w:rsid w:val="005043EB"/>
    <w:rsid w:val="00505561"/>
    <w:rsid w:val="00507059"/>
    <w:rsid w:val="00513FF0"/>
    <w:rsid w:val="00517525"/>
    <w:rsid w:val="00517A68"/>
    <w:rsid w:val="00517DA7"/>
    <w:rsid w:val="005238B9"/>
    <w:rsid w:val="00526083"/>
    <w:rsid w:val="0053235C"/>
    <w:rsid w:val="00533CFB"/>
    <w:rsid w:val="00536FD9"/>
    <w:rsid w:val="00542831"/>
    <w:rsid w:val="005429B7"/>
    <w:rsid w:val="00543A3F"/>
    <w:rsid w:val="00545D14"/>
    <w:rsid w:val="00547B22"/>
    <w:rsid w:val="00547E08"/>
    <w:rsid w:val="00547F7D"/>
    <w:rsid w:val="00551EC5"/>
    <w:rsid w:val="005545F6"/>
    <w:rsid w:val="00554650"/>
    <w:rsid w:val="00562BA1"/>
    <w:rsid w:val="00563064"/>
    <w:rsid w:val="0056514F"/>
    <w:rsid w:val="005670FD"/>
    <w:rsid w:val="00567318"/>
    <w:rsid w:val="0057476A"/>
    <w:rsid w:val="00580A8F"/>
    <w:rsid w:val="00582145"/>
    <w:rsid w:val="00582410"/>
    <w:rsid w:val="005879C1"/>
    <w:rsid w:val="00591CE8"/>
    <w:rsid w:val="005939BD"/>
    <w:rsid w:val="00595A11"/>
    <w:rsid w:val="005A1A82"/>
    <w:rsid w:val="005A2EB9"/>
    <w:rsid w:val="005A3329"/>
    <w:rsid w:val="005A3BA9"/>
    <w:rsid w:val="005A7193"/>
    <w:rsid w:val="005B4722"/>
    <w:rsid w:val="005B4CDB"/>
    <w:rsid w:val="005B629E"/>
    <w:rsid w:val="005B65A8"/>
    <w:rsid w:val="005B6CDF"/>
    <w:rsid w:val="005B7BDE"/>
    <w:rsid w:val="005C59BD"/>
    <w:rsid w:val="005C66DA"/>
    <w:rsid w:val="005C719F"/>
    <w:rsid w:val="005D2891"/>
    <w:rsid w:val="005D3790"/>
    <w:rsid w:val="005D436C"/>
    <w:rsid w:val="005D57B3"/>
    <w:rsid w:val="005D6151"/>
    <w:rsid w:val="005D68DB"/>
    <w:rsid w:val="005E08FC"/>
    <w:rsid w:val="005E25BD"/>
    <w:rsid w:val="005E5BE3"/>
    <w:rsid w:val="005F0001"/>
    <w:rsid w:val="005F1920"/>
    <w:rsid w:val="005F31F4"/>
    <w:rsid w:val="005F53C8"/>
    <w:rsid w:val="005F5B79"/>
    <w:rsid w:val="005F66C4"/>
    <w:rsid w:val="00600787"/>
    <w:rsid w:val="00602669"/>
    <w:rsid w:val="00605274"/>
    <w:rsid w:val="00605D16"/>
    <w:rsid w:val="00610CC2"/>
    <w:rsid w:val="00612432"/>
    <w:rsid w:val="006138D1"/>
    <w:rsid w:val="006143DB"/>
    <w:rsid w:val="0062307E"/>
    <w:rsid w:val="0062442F"/>
    <w:rsid w:val="006254B4"/>
    <w:rsid w:val="0062723A"/>
    <w:rsid w:val="006310D2"/>
    <w:rsid w:val="006336DA"/>
    <w:rsid w:val="006347CE"/>
    <w:rsid w:val="00643C78"/>
    <w:rsid w:val="006440A9"/>
    <w:rsid w:val="006525C9"/>
    <w:rsid w:val="00652679"/>
    <w:rsid w:val="00652B9B"/>
    <w:rsid w:val="00652BFC"/>
    <w:rsid w:val="00657DC4"/>
    <w:rsid w:val="0066191C"/>
    <w:rsid w:val="0066321B"/>
    <w:rsid w:val="00663B1F"/>
    <w:rsid w:val="00664064"/>
    <w:rsid w:val="0066501B"/>
    <w:rsid w:val="00667606"/>
    <w:rsid w:val="006718A2"/>
    <w:rsid w:val="00675D90"/>
    <w:rsid w:val="00677419"/>
    <w:rsid w:val="00677B2C"/>
    <w:rsid w:val="00680970"/>
    <w:rsid w:val="006828A3"/>
    <w:rsid w:val="00685651"/>
    <w:rsid w:val="006859CC"/>
    <w:rsid w:val="00690B8E"/>
    <w:rsid w:val="00693528"/>
    <w:rsid w:val="00694FD3"/>
    <w:rsid w:val="006A1EE6"/>
    <w:rsid w:val="006A42B6"/>
    <w:rsid w:val="006B0DF1"/>
    <w:rsid w:val="006B1264"/>
    <w:rsid w:val="006B222A"/>
    <w:rsid w:val="006B289E"/>
    <w:rsid w:val="006B3866"/>
    <w:rsid w:val="006B4C4C"/>
    <w:rsid w:val="006B778B"/>
    <w:rsid w:val="006C16FF"/>
    <w:rsid w:val="006C1BD3"/>
    <w:rsid w:val="006C261F"/>
    <w:rsid w:val="006C4543"/>
    <w:rsid w:val="006C5145"/>
    <w:rsid w:val="006C5882"/>
    <w:rsid w:val="006C6A2B"/>
    <w:rsid w:val="006D0F48"/>
    <w:rsid w:val="006D266A"/>
    <w:rsid w:val="006E15FF"/>
    <w:rsid w:val="006E7610"/>
    <w:rsid w:val="006E7DBC"/>
    <w:rsid w:val="006E7F30"/>
    <w:rsid w:val="006F065B"/>
    <w:rsid w:val="006F0BDE"/>
    <w:rsid w:val="006F4CC7"/>
    <w:rsid w:val="00702EC2"/>
    <w:rsid w:val="00704E0B"/>
    <w:rsid w:val="00707C67"/>
    <w:rsid w:val="007179DC"/>
    <w:rsid w:val="00720718"/>
    <w:rsid w:val="00722889"/>
    <w:rsid w:val="00724E67"/>
    <w:rsid w:val="00727DD5"/>
    <w:rsid w:val="007302DC"/>
    <w:rsid w:val="007345F9"/>
    <w:rsid w:val="0074296C"/>
    <w:rsid w:val="007433E3"/>
    <w:rsid w:val="00743EEF"/>
    <w:rsid w:val="00744DB3"/>
    <w:rsid w:val="0075115A"/>
    <w:rsid w:val="00760295"/>
    <w:rsid w:val="00761152"/>
    <w:rsid w:val="00761DBE"/>
    <w:rsid w:val="00761FCF"/>
    <w:rsid w:val="00764D6A"/>
    <w:rsid w:val="0077102B"/>
    <w:rsid w:val="00773056"/>
    <w:rsid w:val="00774047"/>
    <w:rsid w:val="007764A2"/>
    <w:rsid w:val="0077650E"/>
    <w:rsid w:val="00780D18"/>
    <w:rsid w:val="007819F2"/>
    <w:rsid w:val="00786DA6"/>
    <w:rsid w:val="007953B4"/>
    <w:rsid w:val="007964DA"/>
    <w:rsid w:val="007969BB"/>
    <w:rsid w:val="00797EC0"/>
    <w:rsid w:val="007A31B4"/>
    <w:rsid w:val="007A5D10"/>
    <w:rsid w:val="007A71BE"/>
    <w:rsid w:val="007B0859"/>
    <w:rsid w:val="007B0C0E"/>
    <w:rsid w:val="007B3ED0"/>
    <w:rsid w:val="007B5562"/>
    <w:rsid w:val="007C358A"/>
    <w:rsid w:val="007C441D"/>
    <w:rsid w:val="007C70DF"/>
    <w:rsid w:val="007D1E11"/>
    <w:rsid w:val="007D20A2"/>
    <w:rsid w:val="007E17A1"/>
    <w:rsid w:val="007E226E"/>
    <w:rsid w:val="007E4705"/>
    <w:rsid w:val="007E6697"/>
    <w:rsid w:val="007E7E2E"/>
    <w:rsid w:val="007F1A41"/>
    <w:rsid w:val="007F3DE6"/>
    <w:rsid w:val="00806748"/>
    <w:rsid w:val="008071E6"/>
    <w:rsid w:val="008103B6"/>
    <w:rsid w:val="0081387B"/>
    <w:rsid w:val="00814A0B"/>
    <w:rsid w:val="00814AD1"/>
    <w:rsid w:val="008156DE"/>
    <w:rsid w:val="008156E9"/>
    <w:rsid w:val="008159AB"/>
    <w:rsid w:val="00815FD7"/>
    <w:rsid w:val="008168DA"/>
    <w:rsid w:val="00820F04"/>
    <w:rsid w:val="008231FF"/>
    <w:rsid w:val="00830226"/>
    <w:rsid w:val="0083042E"/>
    <w:rsid w:val="00831453"/>
    <w:rsid w:val="008324B6"/>
    <w:rsid w:val="00833741"/>
    <w:rsid w:val="00835C73"/>
    <w:rsid w:val="00837145"/>
    <w:rsid w:val="0084629D"/>
    <w:rsid w:val="00846B55"/>
    <w:rsid w:val="00850639"/>
    <w:rsid w:val="008530F7"/>
    <w:rsid w:val="008547EE"/>
    <w:rsid w:val="00854AF0"/>
    <w:rsid w:val="00857F84"/>
    <w:rsid w:val="00861097"/>
    <w:rsid w:val="0086305B"/>
    <w:rsid w:val="0086727B"/>
    <w:rsid w:val="008741BC"/>
    <w:rsid w:val="00884E3A"/>
    <w:rsid w:val="00890F1A"/>
    <w:rsid w:val="00892CC1"/>
    <w:rsid w:val="00893D7A"/>
    <w:rsid w:val="00896674"/>
    <w:rsid w:val="008975E1"/>
    <w:rsid w:val="008A0EE3"/>
    <w:rsid w:val="008A23BE"/>
    <w:rsid w:val="008A3B2F"/>
    <w:rsid w:val="008B164C"/>
    <w:rsid w:val="008B7ED6"/>
    <w:rsid w:val="008C0BD1"/>
    <w:rsid w:val="008C0CD7"/>
    <w:rsid w:val="008D11A7"/>
    <w:rsid w:val="008D1858"/>
    <w:rsid w:val="008D2545"/>
    <w:rsid w:val="008D2B54"/>
    <w:rsid w:val="008D2E8D"/>
    <w:rsid w:val="008D416B"/>
    <w:rsid w:val="008D42EB"/>
    <w:rsid w:val="008D4E4C"/>
    <w:rsid w:val="008D619B"/>
    <w:rsid w:val="008E2377"/>
    <w:rsid w:val="008E778A"/>
    <w:rsid w:val="008F161C"/>
    <w:rsid w:val="008F4BFB"/>
    <w:rsid w:val="00901113"/>
    <w:rsid w:val="0090139F"/>
    <w:rsid w:val="0090406E"/>
    <w:rsid w:val="00911420"/>
    <w:rsid w:val="009145C9"/>
    <w:rsid w:val="0091789F"/>
    <w:rsid w:val="00923CC9"/>
    <w:rsid w:val="00935871"/>
    <w:rsid w:val="00935FC6"/>
    <w:rsid w:val="00936243"/>
    <w:rsid w:val="0093673C"/>
    <w:rsid w:val="00936BDB"/>
    <w:rsid w:val="00943078"/>
    <w:rsid w:val="00946A37"/>
    <w:rsid w:val="009474B8"/>
    <w:rsid w:val="0095397A"/>
    <w:rsid w:val="009540BF"/>
    <w:rsid w:val="0095482C"/>
    <w:rsid w:val="00955E41"/>
    <w:rsid w:val="009565E8"/>
    <w:rsid w:val="00966583"/>
    <w:rsid w:val="009732FC"/>
    <w:rsid w:val="0097756F"/>
    <w:rsid w:val="00982EC8"/>
    <w:rsid w:val="0098595E"/>
    <w:rsid w:val="00990C75"/>
    <w:rsid w:val="009936A5"/>
    <w:rsid w:val="009B2B7C"/>
    <w:rsid w:val="009C2A28"/>
    <w:rsid w:val="009C4505"/>
    <w:rsid w:val="009C4EEB"/>
    <w:rsid w:val="009D468C"/>
    <w:rsid w:val="009D5007"/>
    <w:rsid w:val="009D7126"/>
    <w:rsid w:val="009E2823"/>
    <w:rsid w:val="009F091C"/>
    <w:rsid w:val="009F1489"/>
    <w:rsid w:val="009F35B3"/>
    <w:rsid w:val="009F398F"/>
    <w:rsid w:val="009F45B0"/>
    <w:rsid w:val="009F536E"/>
    <w:rsid w:val="009F78DF"/>
    <w:rsid w:val="00A00EF3"/>
    <w:rsid w:val="00A051C0"/>
    <w:rsid w:val="00A05A46"/>
    <w:rsid w:val="00A14AE6"/>
    <w:rsid w:val="00A15118"/>
    <w:rsid w:val="00A252DA"/>
    <w:rsid w:val="00A268AC"/>
    <w:rsid w:val="00A32CE8"/>
    <w:rsid w:val="00A41396"/>
    <w:rsid w:val="00A44369"/>
    <w:rsid w:val="00A4558F"/>
    <w:rsid w:val="00A45753"/>
    <w:rsid w:val="00A50461"/>
    <w:rsid w:val="00A531AF"/>
    <w:rsid w:val="00A532E4"/>
    <w:rsid w:val="00A534AD"/>
    <w:rsid w:val="00A566D9"/>
    <w:rsid w:val="00A57039"/>
    <w:rsid w:val="00A675D3"/>
    <w:rsid w:val="00A87474"/>
    <w:rsid w:val="00A91307"/>
    <w:rsid w:val="00A91C61"/>
    <w:rsid w:val="00A94A9F"/>
    <w:rsid w:val="00A95D7E"/>
    <w:rsid w:val="00A96682"/>
    <w:rsid w:val="00AA1458"/>
    <w:rsid w:val="00AA63B9"/>
    <w:rsid w:val="00AA6717"/>
    <w:rsid w:val="00AA6962"/>
    <w:rsid w:val="00AB6DDA"/>
    <w:rsid w:val="00AB73FB"/>
    <w:rsid w:val="00AB7911"/>
    <w:rsid w:val="00AC35F5"/>
    <w:rsid w:val="00AC4FB0"/>
    <w:rsid w:val="00AD1375"/>
    <w:rsid w:val="00AD15E1"/>
    <w:rsid w:val="00AE4237"/>
    <w:rsid w:val="00AE66CA"/>
    <w:rsid w:val="00AF03CF"/>
    <w:rsid w:val="00AF2F95"/>
    <w:rsid w:val="00AF49E2"/>
    <w:rsid w:val="00AF6ABF"/>
    <w:rsid w:val="00AF7CD2"/>
    <w:rsid w:val="00AF7F88"/>
    <w:rsid w:val="00B02B9B"/>
    <w:rsid w:val="00B07CA4"/>
    <w:rsid w:val="00B1449B"/>
    <w:rsid w:val="00B14BEF"/>
    <w:rsid w:val="00B166AF"/>
    <w:rsid w:val="00B16BE5"/>
    <w:rsid w:val="00B1727A"/>
    <w:rsid w:val="00B17564"/>
    <w:rsid w:val="00B20A19"/>
    <w:rsid w:val="00B25C8A"/>
    <w:rsid w:val="00B277B3"/>
    <w:rsid w:val="00B345F4"/>
    <w:rsid w:val="00B35A88"/>
    <w:rsid w:val="00B37262"/>
    <w:rsid w:val="00B3772D"/>
    <w:rsid w:val="00B378C4"/>
    <w:rsid w:val="00B41E7B"/>
    <w:rsid w:val="00B47D3B"/>
    <w:rsid w:val="00B5584A"/>
    <w:rsid w:val="00B5740E"/>
    <w:rsid w:val="00B63832"/>
    <w:rsid w:val="00B6433A"/>
    <w:rsid w:val="00B678F5"/>
    <w:rsid w:val="00B7037B"/>
    <w:rsid w:val="00B77A01"/>
    <w:rsid w:val="00B8048F"/>
    <w:rsid w:val="00B84485"/>
    <w:rsid w:val="00B861B4"/>
    <w:rsid w:val="00B86A29"/>
    <w:rsid w:val="00B870F5"/>
    <w:rsid w:val="00B87FAF"/>
    <w:rsid w:val="00B90405"/>
    <w:rsid w:val="00B90BFD"/>
    <w:rsid w:val="00B93B0C"/>
    <w:rsid w:val="00B94714"/>
    <w:rsid w:val="00B954F8"/>
    <w:rsid w:val="00B95EC3"/>
    <w:rsid w:val="00B97E61"/>
    <w:rsid w:val="00BA196F"/>
    <w:rsid w:val="00BA1DDA"/>
    <w:rsid w:val="00BA32D3"/>
    <w:rsid w:val="00BA4E1B"/>
    <w:rsid w:val="00BA5B19"/>
    <w:rsid w:val="00BA64DB"/>
    <w:rsid w:val="00BA6CE6"/>
    <w:rsid w:val="00BA7470"/>
    <w:rsid w:val="00BB1D63"/>
    <w:rsid w:val="00BB2AEF"/>
    <w:rsid w:val="00BC1616"/>
    <w:rsid w:val="00BC3475"/>
    <w:rsid w:val="00BC4415"/>
    <w:rsid w:val="00BC7908"/>
    <w:rsid w:val="00BC7F35"/>
    <w:rsid w:val="00BD63D8"/>
    <w:rsid w:val="00BE022D"/>
    <w:rsid w:val="00BE0F87"/>
    <w:rsid w:val="00BE21F4"/>
    <w:rsid w:val="00BE561A"/>
    <w:rsid w:val="00BE6681"/>
    <w:rsid w:val="00BE71F0"/>
    <w:rsid w:val="00BF246E"/>
    <w:rsid w:val="00BF4E55"/>
    <w:rsid w:val="00BF53BB"/>
    <w:rsid w:val="00BF6B04"/>
    <w:rsid w:val="00C003C5"/>
    <w:rsid w:val="00C00D7A"/>
    <w:rsid w:val="00C01748"/>
    <w:rsid w:val="00C0214F"/>
    <w:rsid w:val="00C02519"/>
    <w:rsid w:val="00C03B6B"/>
    <w:rsid w:val="00C0446B"/>
    <w:rsid w:val="00C06D68"/>
    <w:rsid w:val="00C0714A"/>
    <w:rsid w:val="00C10801"/>
    <w:rsid w:val="00C10FFB"/>
    <w:rsid w:val="00C12ACE"/>
    <w:rsid w:val="00C15DA5"/>
    <w:rsid w:val="00C256B9"/>
    <w:rsid w:val="00C26418"/>
    <w:rsid w:val="00C270C3"/>
    <w:rsid w:val="00C30606"/>
    <w:rsid w:val="00C33358"/>
    <w:rsid w:val="00C348BE"/>
    <w:rsid w:val="00C35EB7"/>
    <w:rsid w:val="00C402CE"/>
    <w:rsid w:val="00C416EC"/>
    <w:rsid w:val="00C4799E"/>
    <w:rsid w:val="00C51F15"/>
    <w:rsid w:val="00C6069E"/>
    <w:rsid w:val="00C76972"/>
    <w:rsid w:val="00C85701"/>
    <w:rsid w:val="00C85C62"/>
    <w:rsid w:val="00C907A1"/>
    <w:rsid w:val="00C90D85"/>
    <w:rsid w:val="00C9298A"/>
    <w:rsid w:val="00C9451C"/>
    <w:rsid w:val="00C9668C"/>
    <w:rsid w:val="00CA449E"/>
    <w:rsid w:val="00CB1F64"/>
    <w:rsid w:val="00CB2006"/>
    <w:rsid w:val="00CB2439"/>
    <w:rsid w:val="00CB44CE"/>
    <w:rsid w:val="00CB493C"/>
    <w:rsid w:val="00CC05EE"/>
    <w:rsid w:val="00CC08ED"/>
    <w:rsid w:val="00CC2432"/>
    <w:rsid w:val="00CC4C02"/>
    <w:rsid w:val="00CD5C34"/>
    <w:rsid w:val="00CD7280"/>
    <w:rsid w:val="00CE0744"/>
    <w:rsid w:val="00CE30EF"/>
    <w:rsid w:val="00CE3A7F"/>
    <w:rsid w:val="00CE3C72"/>
    <w:rsid w:val="00CE4205"/>
    <w:rsid w:val="00CF0071"/>
    <w:rsid w:val="00CF3ED5"/>
    <w:rsid w:val="00CF4F5E"/>
    <w:rsid w:val="00CF7CA3"/>
    <w:rsid w:val="00D01C97"/>
    <w:rsid w:val="00D01F09"/>
    <w:rsid w:val="00D025E8"/>
    <w:rsid w:val="00D031A8"/>
    <w:rsid w:val="00D045A4"/>
    <w:rsid w:val="00D060CE"/>
    <w:rsid w:val="00D07F7D"/>
    <w:rsid w:val="00D1032B"/>
    <w:rsid w:val="00D11296"/>
    <w:rsid w:val="00D11597"/>
    <w:rsid w:val="00D15661"/>
    <w:rsid w:val="00D16FEC"/>
    <w:rsid w:val="00D17AAA"/>
    <w:rsid w:val="00D2042D"/>
    <w:rsid w:val="00D208CA"/>
    <w:rsid w:val="00D22564"/>
    <w:rsid w:val="00D22DDC"/>
    <w:rsid w:val="00D27218"/>
    <w:rsid w:val="00D324A4"/>
    <w:rsid w:val="00D33300"/>
    <w:rsid w:val="00D36433"/>
    <w:rsid w:val="00D364FA"/>
    <w:rsid w:val="00D377BD"/>
    <w:rsid w:val="00D37C42"/>
    <w:rsid w:val="00D44A49"/>
    <w:rsid w:val="00D45151"/>
    <w:rsid w:val="00D46F7F"/>
    <w:rsid w:val="00D47121"/>
    <w:rsid w:val="00D50333"/>
    <w:rsid w:val="00D51752"/>
    <w:rsid w:val="00D572A5"/>
    <w:rsid w:val="00D602D5"/>
    <w:rsid w:val="00D60B6F"/>
    <w:rsid w:val="00D6109A"/>
    <w:rsid w:val="00D61FA5"/>
    <w:rsid w:val="00D65CD1"/>
    <w:rsid w:val="00D6626A"/>
    <w:rsid w:val="00D70307"/>
    <w:rsid w:val="00D76B4B"/>
    <w:rsid w:val="00D76D32"/>
    <w:rsid w:val="00D7765C"/>
    <w:rsid w:val="00D82EC2"/>
    <w:rsid w:val="00D86640"/>
    <w:rsid w:val="00D87F05"/>
    <w:rsid w:val="00D909D9"/>
    <w:rsid w:val="00D95E37"/>
    <w:rsid w:val="00DA03D3"/>
    <w:rsid w:val="00DA5D88"/>
    <w:rsid w:val="00DA71B8"/>
    <w:rsid w:val="00DB1548"/>
    <w:rsid w:val="00DB4619"/>
    <w:rsid w:val="00DC0590"/>
    <w:rsid w:val="00DC3455"/>
    <w:rsid w:val="00DC473B"/>
    <w:rsid w:val="00DC5A6C"/>
    <w:rsid w:val="00DC5BF7"/>
    <w:rsid w:val="00DC61BF"/>
    <w:rsid w:val="00DC6738"/>
    <w:rsid w:val="00DC67BA"/>
    <w:rsid w:val="00DD044E"/>
    <w:rsid w:val="00DD52F0"/>
    <w:rsid w:val="00DE0AAE"/>
    <w:rsid w:val="00DE0C3D"/>
    <w:rsid w:val="00DE376F"/>
    <w:rsid w:val="00DE46F3"/>
    <w:rsid w:val="00DE7A8B"/>
    <w:rsid w:val="00DF01A1"/>
    <w:rsid w:val="00DF5279"/>
    <w:rsid w:val="00DF7217"/>
    <w:rsid w:val="00DF7ABD"/>
    <w:rsid w:val="00E123F5"/>
    <w:rsid w:val="00E13AA3"/>
    <w:rsid w:val="00E15C89"/>
    <w:rsid w:val="00E200C4"/>
    <w:rsid w:val="00E20433"/>
    <w:rsid w:val="00E20810"/>
    <w:rsid w:val="00E22C0C"/>
    <w:rsid w:val="00E23C96"/>
    <w:rsid w:val="00E23DD9"/>
    <w:rsid w:val="00E25671"/>
    <w:rsid w:val="00E35FA9"/>
    <w:rsid w:val="00E37B49"/>
    <w:rsid w:val="00E419D7"/>
    <w:rsid w:val="00E43DB7"/>
    <w:rsid w:val="00E5557C"/>
    <w:rsid w:val="00E55EA3"/>
    <w:rsid w:val="00E604EC"/>
    <w:rsid w:val="00E60F73"/>
    <w:rsid w:val="00E66405"/>
    <w:rsid w:val="00E75F5B"/>
    <w:rsid w:val="00E773E1"/>
    <w:rsid w:val="00E8100C"/>
    <w:rsid w:val="00E830FC"/>
    <w:rsid w:val="00E85A8E"/>
    <w:rsid w:val="00E86B35"/>
    <w:rsid w:val="00E905E6"/>
    <w:rsid w:val="00E90742"/>
    <w:rsid w:val="00E91D72"/>
    <w:rsid w:val="00E95434"/>
    <w:rsid w:val="00E9578C"/>
    <w:rsid w:val="00E96A40"/>
    <w:rsid w:val="00EA2A9A"/>
    <w:rsid w:val="00EB1659"/>
    <w:rsid w:val="00EB336B"/>
    <w:rsid w:val="00EB51B0"/>
    <w:rsid w:val="00EB5AA1"/>
    <w:rsid w:val="00EC1978"/>
    <w:rsid w:val="00EC40D3"/>
    <w:rsid w:val="00EC759E"/>
    <w:rsid w:val="00ED7E1D"/>
    <w:rsid w:val="00EE13B3"/>
    <w:rsid w:val="00EE30DE"/>
    <w:rsid w:val="00EE4833"/>
    <w:rsid w:val="00EE6A4B"/>
    <w:rsid w:val="00EF2252"/>
    <w:rsid w:val="00EF52CB"/>
    <w:rsid w:val="00EF55CC"/>
    <w:rsid w:val="00EF7315"/>
    <w:rsid w:val="00EF7A42"/>
    <w:rsid w:val="00F02189"/>
    <w:rsid w:val="00F04729"/>
    <w:rsid w:val="00F052BF"/>
    <w:rsid w:val="00F11E2F"/>
    <w:rsid w:val="00F11F7F"/>
    <w:rsid w:val="00F23DA0"/>
    <w:rsid w:val="00F3212A"/>
    <w:rsid w:val="00F338CB"/>
    <w:rsid w:val="00F33F23"/>
    <w:rsid w:val="00F35382"/>
    <w:rsid w:val="00F361D0"/>
    <w:rsid w:val="00F3641C"/>
    <w:rsid w:val="00F40BA3"/>
    <w:rsid w:val="00F425F0"/>
    <w:rsid w:val="00F43048"/>
    <w:rsid w:val="00F448C4"/>
    <w:rsid w:val="00F45E5B"/>
    <w:rsid w:val="00F50F63"/>
    <w:rsid w:val="00F52CB8"/>
    <w:rsid w:val="00F53EEC"/>
    <w:rsid w:val="00F57375"/>
    <w:rsid w:val="00F643D7"/>
    <w:rsid w:val="00F654A2"/>
    <w:rsid w:val="00F66413"/>
    <w:rsid w:val="00F71ADC"/>
    <w:rsid w:val="00F722B9"/>
    <w:rsid w:val="00F75227"/>
    <w:rsid w:val="00F7543B"/>
    <w:rsid w:val="00F766FC"/>
    <w:rsid w:val="00F77515"/>
    <w:rsid w:val="00F77E70"/>
    <w:rsid w:val="00F82F27"/>
    <w:rsid w:val="00F84976"/>
    <w:rsid w:val="00F93A7C"/>
    <w:rsid w:val="00F94A77"/>
    <w:rsid w:val="00F95043"/>
    <w:rsid w:val="00F9719B"/>
    <w:rsid w:val="00FA04DB"/>
    <w:rsid w:val="00FA0C26"/>
    <w:rsid w:val="00FA2743"/>
    <w:rsid w:val="00FA69E8"/>
    <w:rsid w:val="00FB18EB"/>
    <w:rsid w:val="00FB7AE8"/>
    <w:rsid w:val="00FC1759"/>
    <w:rsid w:val="00FD322A"/>
    <w:rsid w:val="00FD7560"/>
    <w:rsid w:val="00FD7E02"/>
    <w:rsid w:val="00FD7F8D"/>
    <w:rsid w:val="00FE04BD"/>
    <w:rsid w:val="00FE274C"/>
    <w:rsid w:val="00FE2958"/>
    <w:rsid w:val="00FE4328"/>
    <w:rsid w:val="00FE4435"/>
    <w:rsid w:val="00FE4511"/>
    <w:rsid w:val="00FE64BC"/>
    <w:rsid w:val="00FE7A78"/>
    <w:rsid w:val="00FF011B"/>
    <w:rsid w:val="00FF464C"/>
    <w:rsid w:val="00FF47EC"/>
    <w:rsid w:val="00FF4FC8"/>
    <w:rsid w:val="00FF6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D8CD6"/>
  <w15:docId w15:val="{18DA1DC7-6A93-4FF2-9B05-AE5BEDAE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locked="1" w:uiPriority="21" w:qFormat="1"/>
    <w:lsdException w:name="Subtle Reference" w:semiHidden="1" w:uiPriority="31" w:qFormat="1"/>
    <w:lsdException w:name="Intense Reference" w:locked="1"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6C"/>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1"/>
    <w:qFormat/>
    <w:rsid w:val="00DF01A1"/>
    <w:pPr>
      <w:widowControl w:val="0"/>
      <w:spacing w:before="360"/>
      <w:contextualSpacing/>
      <w:outlineLvl w:val="0"/>
    </w:pPr>
    <w:rPr>
      <w:rFonts w:ascii="Calibri" w:eastAsiaTheme="minorHAnsi" w:hAnsi="Calibri" w:cstheme="minorBidi"/>
      <w:b/>
      <w:bCs/>
      <w:color w:val="083A42"/>
      <w:spacing w:val="5"/>
      <w:kern w:val="28"/>
      <w:sz w:val="72"/>
      <w:szCs w:val="28"/>
      <w:lang w:eastAsia="en-US"/>
    </w:rPr>
  </w:style>
  <w:style w:type="paragraph" w:styleId="Heading2">
    <w:name w:val="heading 2"/>
    <w:basedOn w:val="Normal"/>
    <w:next w:val="Normal"/>
    <w:link w:val="Heading2Char"/>
    <w:uiPriority w:val="3"/>
    <w:rsid w:val="00CB2439"/>
    <w:pPr>
      <w:pageBreakBefore/>
      <w:numPr>
        <w:numId w:val="6"/>
      </w:numPr>
      <w:spacing w:after="240" w:line="240" w:lineRule="auto"/>
      <w:ind w:left="720"/>
      <w:outlineLvl w:val="1"/>
    </w:pPr>
    <w:rPr>
      <w:rFonts w:ascii="Calibri" w:eastAsiaTheme="minorEastAsia" w:hAnsi="Calibri"/>
      <w:bCs/>
      <w:color w:val="197C7D"/>
      <w:sz w:val="56"/>
      <w:szCs w:val="28"/>
      <w:lang w:eastAsia="ja-JP"/>
    </w:rPr>
  </w:style>
  <w:style w:type="paragraph" w:styleId="Heading3">
    <w:name w:val="heading 3"/>
    <w:next w:val="Normal"/>
    <w:link w:val="Heading3Char"/>
    <w:uiPriority w:val="4"/>
    <w:qFormat/>
    <w:pPr>
      <w:keepNext/>
      <w:keepLines/>
      <w:numPr>
        <w:ilvl w:val="1"/>
        <w:numId w:val="6"/>
      </w:numPr>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pPr>
      <w:keepNext/>
      <w:numPr>
        <w:ilvl w:val="2"/>
        <w:numId w:val="6"/>
      </w:numPr>
      <w:ind w:left="964"/>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27"/>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27"/>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sid w:val="00DF01A1"/>
    <w:rPr>
      <w:rFonts w:ascii="Calibri" w:eastAsiaTheme="minorHAnsi" w:hAnsi="Calibri" w:cstheme="minorBidi"/>
      <w:b/>
      <w:bCs/>
      <w:color w:val="083A42"/>
      <w:spacing w:val="5"/>
      <w:kern w:val="28"/>
      <w:sz w:val="72"/>
      <w:szCs w:val="28"/>
      <w:lang w:eastAsia="en-US"/>
    </w:rPr>
  </w:style>
  <w:style w:type="character" w:customStyle="1" w:styleId="Heading2Char">
    <w:name w:val="Heading 2 Char"/>
    <w:basedOn w:val="DefaultParagraphFont"/>
    <w:link w:val="Heading2"/>
    <w:uiPriority w:val="3"/>
    <w:rsid w:val="00CB2439"/>
    <w:rPr>
      <w:rFonts w:ascii="Calibri" w:eastAsiaTheme="minorEastAsia" w:hAnsi="Calibri" w:cstheme="minorBidi"/>
      <w:bCs/>
      <w:color w:val="197C7D"/>
      <w:sz w:val="5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rsid w:val="00123033"/>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rsid w:val="00DF01A1"/>
    <w:pPr>
      <w:spacing w:before="120"/>
    </w:pPr>
    <w:rPr>
      <w:b w:val="0"/>
      <w:sz w:val="56"/>
      <w:szCs w:val="56"/>
    </w:rPr>
  </w:style>
  <w:style w:type="character" w:customStyle="1" w:styleId="SubtitleChar">
    <w:name w:val="Subtitle Char"/>
    <w:basedOn w:val="DefaultParagraphFont"/>
    <w:link w:val="Subtitle"/>
    <w:uiPriority w:val="23"/>
    <w:rsid w:val="00DF01A1"/>
    <w:rPr>
      <w:rFonts w:ascii="Calibri" w:eastAsiaTheme="minorHAnsi" w:hAnsi="Calibri" w:cstheme="minorBidi"/>
      <w:bCs/>
      <w:color w:val="083A42"/>
      <w:spacing w:val="5"/>
      <w:kern w:val="28"/>
      <w:sz w:val="56"/>
      <w:szCs w:val="56"/>
      <w:lang w:eastAsia="en-US"/>
    </w:rPr>
  </w:style>
  <w:style w:type="paragraph" w:styleId="TOCHeading">
    <w:name w:val="TOC Heading"/>
    <w:next w:val="Normal"/>
    <w:uiPriority w:val="39"/>
    <w:qFormat/>
    <w:rsid w:val="0093673C"/>
    <w:pPr>
      <w:spacing w:before="480" w:line="276" w:lineRule="auto"/>
    </w:pPr>
    <w:rPr>
      <w:rFonts w:ascii="Calibri" w:eastAsiaTheme="minorEastAsia" w:hAnsi="Calibri" w:cstheme="minorBidi"/>
      <w:bCs/>
      <w:color w:val="197C7D"/>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rsid w:val="00123033"/>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rsid w:val="00123033"/>
    <w:pPr>
      <w:numPr>
        <w:ilvl w:val="1"/>
        <w:numId w:val="3"/>
      </w:numPr>
      <w:spacing w:before="120" w:after="120"/>
      <w:contextualSpacing/>
    </w:pPr>
  </w:style>
  <w:style w:type="paragraph" w:styleId="ListNumber">
    <w:name w:val="List Number"/>
    <w:basedOn w:val="Normal"/>
    <w:uiPriority w:val="9"/>
    <w:qFormat/>
    <w:rsid w:val="00123033"/>
    <w:pPr>
      <w:numPr>
        <w:numId w:val="8"/>
      </w:numPr>
      <w:tabs>
        <w:tab w:val="left" w:pos="142"/>
      </w:tabs>
      <w:spacing w:before="120" w:after="120"/>
    </w:pPr>
  </w:style>
  <w:style w:type="paragraph" w:styleId="ListNumber2">
    <w:name w:val="List Number 2"/>
    <w:uiPriority w:val="10"/>
    <w:qFormat/>
    <w:rsid w:val="00884E3A"/>
    <w:pPr>
      <w:numPr>
        <w:ilvl w:val="1"/>
        <w:numId w:val="8"/>
      </w:numPr>
      <w:tabs>
        <w:tab w:val="left" w:pos="567"/>
      </w:tabs>
      <w:spacing w:before="120" w:after="120" w:line="264" w:lineRule="auto"/>
      <w:ind w:left="879" w:hanging="425"/>
    </w:pPr>
    <w:rPr>
      <w:rFonts w:asciiTheme="minorHAnsi" w:eastAsia="Times New Roman" w:hAnsiTheme="minorHAnsi"/>
      <w:sz w:val="22"/>
      <w:szCs w:val="24"/>
      <w:lang w:eastAsia="en-US"/>
    </w:rPr>
  </w:style>
  <w:style w:type="paragraph" w:styleId="ListNumber3">
    <w:name w:val="List Number 3"/>
    <w:uiPriority w:val="11"/>
    <w:qFormat/>
    <w:rsid w:val="00884E3A"/>
    <w:pPr>
      <w:numPr>
        <w:ilvl w:val="2"/>
        <w:numId w:val="8"/>
      </w:numPr>
      <w:spacing w:before="120" w:after="120" w:line="264" w:lineRule="auto"/>
      <w:ind w:left="1247"/>
    </w:pPr>
    <w:rPr>
      <w:rFonts w:asciiTheme="minorHAnsi" w:eastAsia="Times New Roman" w:hAnsiTheme="minorHAnsi"/>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rsid w:val="00123033"/>
    <w:pPr>
      <w:spacing w:after="60"/>
    </w:pPr>
    <w:rPr>
      <w:b/>
      <w:sz w:val="28"/>
      <w:szCs w:val="28"/>
    </w:rPr>
  </w:style>
  <w:style w:type="paragraph" w:customStyle="1" w:styleId="AuthorOrganisationAffiliation">
    <w:name w:val="Author Organisation/Affiliation"/>
    <w:basedOn w:val="Normal"/>
    <w:next w:val="Normal"/>
    <w:uiPriority w:val="25"/>
    <w:qFormat/>
    <w:rsid w:val="00123033"/>
    <w:pPr>
      <w:spacing w:after="720"/>
    </w:pPr>
  </w:style>
  <w:style w:type="character" w:styleId="Strong">
    <w:name w:val="Strong"/>
    <w:basedOn w:val="DefaultParagraphFont"/>
    <w:uiPriority w:val="22"/>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20"/>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rsid w:val="00123033"/>
    <w:pPr>
      <w:numPr>
        <w:numId w:val="1"/>
      </w:numPr>
      <w:ind w:left="357" w:hanging="357"/>
    </w:pPr>
  </w:style>
  <w:style w:type="paragraph" w:customStyle="1" w:styleId="TableBullet1">
    <w:name w:val="Table Bullet 1"/>
    <w:basedOn w:val="TableText"/>
    <w:uiPriority w:val="15"/>
    <w:qFormat/>
    <w:pPr>
      <w:numPr>
        <w:numId w:val="2"/>
      </w:numPr>
      <w:ind w:left="284" w:hanging="284"/>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rsid w:val="00123033"/>
    <w:pPr>
      <w:spacing w:line="240" w:lineRule="auto"/>
    </w:pPr>
    <w:rPr>
      <w:b/>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123033"/>
    <w:pPr>
      <w:spacing w:after="60" w:line="264"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123033"/>
    <w:rPr>
      <w:rFonts w:asciiTheme="minorHAnsi" w:eastAsiaTheme="minorHAnsi" w:hAnsiTheme="minorHAnsi" w:cstheme="minorBidi"/>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Pr>
      <w:vertAlign w:val="superscript"/>
    </w:rPr>
  </w:style>
  <w:style w:type="paragraph" w:styleId="EndnoteText">
    <w:name w:val="endnote text"/>
    <w:basedOn w:val="Normal"/>
    <w:link w:val="EndnoteTextChar"/>
    <w:uiPriority w:val="99"/>
    <w:unhideWhenUsed/>
    <w:rsid w:val="00123033"/>
    <w:pPr>
      <w:spacing w:after="60" w:line="264" w:lineRule="auto"/>
    </w:pPr>
    <w:rPr>
      <w:sz w:val="20"/>
      <w:szCs w:val="20"/>
    </w:rPr>
  </w:style>
  <w:style w:type="character" w:customStyle="1" w:styleId="EndnoteTextChar">
    <w:name w:val="Endnote Text Char"/>
    <w:basedOn w:val="DefaultParagraphFont"/>
    <w:link w:val="EndnoteText"/>
    <w:uiPriority w:val="99"/>
    <w:rsid w:val="00123033"/>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rsid w:val="00123033"/>
    <w:pPr>
      <w:pBdr>
        <w:top w:val="single" w:sz="4" w:space="10" w:color="auto"/>
        <w:left w:val="single" w:sz="4" w:space="10" w:color="auto"/>
        <w:bottom w:val="single" w:sz="4" w:space="10" w:color="auto"/>
        <w:right w:val="single" w:sz="4" w:space="10" w:color="auto"/>
      </w:pBdr>
    </w:pPr>
    <w:rPr>
      <w:rFonts w:asciiTheme="minorHAnsi" w:hAnsiTheme="minorHAnsi"/>
    </w:r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rsid w:val="00123033"/>
    <w:pPr>
      <w:spacing w:after="120" w:line="276" w:lineRule="auto"/>
    </w:pPr>
    <w:rPr>
      <w:rFonts w:asciiTheme="minorHAnsi" w:eastAsiaTheme="minorHAnsi" w:hAnsi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rsid w:val="00123033"/>
    <w:pPr>
      <w:numPr>
        <w:numId w:val="7"/>
      </w:numPr>
      <w:spacing w:before="60" w:after="60"/>
      <w:ind w:left="403"/>
      <w:contextualSpacing/>
    </w:pPr>
    <w:rPr>
      <w:rFonts w:asciiTheme="minorHAnsi" w:eastAsia="Calibri" w:hAnsiTheme="minorHAns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character" w:styleId="UnresolvedMention">
    <w:name w:val="Unresolved Mention"/>
    <w:basedOn w:val="DefaultParagraphFont"/>
    <w:uiPriority w:val="99"/>
    <w:semiHidden/>
    <w:unhideWhenUsed/>
    <w:rsid w:val="00EE4833"/>
    <w:rPr>
      <w:color w:val="605E5C"/>
      <w:shd w:val="clear" w:color="auto" w:fill="E1DFDD"/>
    </w:rPr>
  </w:style>
  <w:style w:type="paragraph" w:styleId="ListParagraph">
    <w:name w:val="List Paragraph"/>
    <w:aliases w:val="List Paragraph1,Recommendation,List Paragraph11,Number List,table bullets,CAB - List Bullet,List Bullet Cab,NFP GP Bulleted List,List Paragraph2,FooterText,numbered,Paragraphe de liste1,Bulletr List Paragraph,列出段落,列出段落1,List Paragraph21,L"/>
    <w:basedOn w:val="Normal"/>
    <w:link w:val="ListParagraphChar"/>
    <w:uiPriority w:val="34"/>
    <w:qFormat/>
    <w:rsid w:val="006C261F"/>
    <w:pPr>
      <w:spacing w:after="0" w:line="240" w:lineRule="auto"/>
      <w:ind w:left="720"/>
    </w:pPr>
    <w:rPr>
      <w:rFonts w:ascii="Calibri" w:hAnsi="Calibri" w:cs="Calibri"/>
    </w:rPr>
  </w:style>
  <w:style w:type="character" w:customStyle="1" w:styleId="ListParagraphChar">
    <w:name w:val="List Paragraph Char"/>
    <w:aliases w:val="List Paragraph1 Char,Recommendation Char,List Paragraph11 Char,Number List Char,table bullets Char,CAB - List Bullet Char,List Bullet Cab Char,NFP GP Bulleted List Char,List Paragraph2 Char,FooterText Char,numbered Char,列出段落 Char"/>
    <w:basedOn w:val="DefaultParagraphFont"/>
    <w:link w:val="ListParagraph"/>
    <w:uiPriority w:val="34"/>
    <w:qFormat/>
    <w:locked/>
    <w:rsid w:val="00536FD9"/>
    <w:rPr>
      <w:rFonts w:ascii="Calibri" w:eastAsiaTheme="minorHAnsi" w:hAnsi="Calibri" w:cs="Calibri"/>
      <w:sz w:val="22"/>
      <w:szCs w:val="22"/>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36FD9"/>
    <w:pPr>
      <w:spacing w:after="160" w:line="240" w:lineRule="exact"/>
      <w:jc w:val="both"/>
    </w:pPr>
    <w:rPr>
      <w:rFonts w:ascii="Cambria" w:eastAsia="Cambria" w:hAnsi="Cambria" w:cs="Times New Roman"/>
      <w:sz w:val="20"/>
      <w:szCs w:val="20"/>
      <w:vertAlign w:val="superscript"/>
      <w:lang w:eastAsia="en-AU"/>
    </w:rPr>
  </w:style>
  <w:style w:type="numbering" w:customStyle="1" w:styleId="CurrentList1">
    <w:name w:val="Current List1"/>
    <w:uiPriority w:val="99"/>
    <w:rsid w:val="00BE022D"/>
    <w:pPr>
      <w:numPr>
        <w:numId w:val="11"/>
      </w:numPr>
    </w:pPr>
  </w:style>
  <w:style w:type="character" w:customStyle="1" w:styleId="cf01">
    <w:name w:val="cf01"/>
    <w:basedOn w:val="DefaultParagraphFont"/>
    <w:rsid w:val="00E13AA3"/>
    <w:rPr>
      <w:rFonts w:ascii="Segoe UI" w:hAnsi="Segoe UI" w:cs="Segoe UI" w:hint="default"/>
      <w:sz w:val="18"/>
      <w:szCs w:val="18"/>
    </w:rPr>
  </w:style>
  <w:style w:type="paragraph" w:styleId="Revision">
    <w:name w:val="Revision"/>
    <w:hidden/>
    <w:uiPriority w:val="99"/>
    <w:semiHidden/>
    <w:rsid w:val="007345F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7151">
      <w:bodyDiv w:val="1"/>
      <w:marLeft w:val="0"/>
      <w:marRight w:val="0"/>
      <w:marTop w:val="0"/>
      <w:marBottom w:val="0"/>
      <w:divBdr>
        <w:top w:val="none" w:sz="0" w:space="0" w:color="auto"/>
        <w:left w:val="none" w:sz="0" w:space="0" w:color="auto"/>
        <w:bottom w:val="none" w:sz="0" w:space="0" w:color="auto"/>
        <w:right w:val="none" w:sz="0" w:space="0" w:color="auto"/>
      </w:divBdr>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00699">
      <w:bodyDiv w:val="1"/>
      <w:marLeft w:val="0"/>
      <w:marRight w:val="0"/>
      <w:marTop w:val="0"/>
      <w:marBottom w:val="0"/>
      <w:divBdr>
        <w:top w:val="none" w:sz="0" w:space="0" w:color="auto"/>
        <w:left w:val="none" w:sz="0" w:space="0" w:color="auto"/>
        <w:bottom w:val="none" w:sz="0" w:space="0" w:color="auto"/>
        <w:right w:val="none" w:sz="0" w:space="0" w:color="auto"/>
      </w:divBdr>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4072">
      <w:bodyDiv w:val="1"/>
      <w:marLeft w:val="0"/>
      <w:marRight w:val="0"/>
      <w:marTop w:val="0"/>
      <w:marBottom w:val="0"/>
      <w:divBdr>
        <w:top w:val="none" w:sz="0" w:space="0" w:color="auto"/>
        <w:left w:val="none" w:sz="0" w:space="0" w:color="auto"/>
        <w:bottom w:val="none" w:sz="0" w:space="0" w:color="auto"/>
        <w:right w:val="none" w:sz="0" w:space="0" w:color="auto"/>
      </w:divBdr>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2351179">
      <w:bodyDiv w:val="1"/>
      <w:marLeft w:val="0"/>
      <w:marRight w:val="0"/>
      <w:marTop w:val="0"/>
      <w:marBottom w:val="0"/>
      <w:divBdr>
        <w:top w:val="none" w:sz="0" w:space="0" w:color="auto"/>
        <w:left w:val="none" w:sz="0" w:space="0" w:color="auto"/>
        <w:bottom w:val="none" w:sz="0" w:space="0" w:color="auto"/>
        <w:right w:val="none" w:sz="0" w:space="0" w:color="auto"/>
      </w:divBdr>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85662892">
      <w:bodyDiv w:val="1"/>
      <w:marLeft w:val="0"/>
      <w:marRight w:val="0"/>
      <w:marTop w:val="0"/>
      <w:marBottom w:val="0"/>
      <w:divBdr>
        <w:top w:val="none" w:sz="0" w:space="0" w:color="auto"/>
        <w:left w:val="none" w:sz="0" w:space="0" w:color="auto"/>
        <w:bottom w:val="none" w:sz="0" w:space="0" w:color="auto"/>
        <w:right w:val="none" w:sz="0" w:space="0" w:color="auto"/>
      </w:divBdr>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15209">
      <w:bodyDiv w:val="1"/>
      <w:marLeft w:val="0"/>
      <w:marRight w:val="0"/>
      <w:marTop w:val="0"/>
      <w:marBottom w:val="0"/>
      <w:divBdr>
        <w:top w:val="none" w:sz="0" w:space="0" w:color="auto"/>
        <w:left w:val="none" w:sz="0" w:space="0" w:color="auto"/>
        <w:bottom w:val="none" w:sz="0" w:space="0" w:color="auto"/>
        <w:right w:val="none" w:sz="0" w:space="0" w:color="auto"/>
      </w:divBdr>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87752">
      <w:bodyDiv w:val="1"/>
      <w:marLeft w:val="0"/>
      <w:marRight w:val="0"/>
      <w:marTop w:val="0"/>
      <w:marBottom w:val="0"/>
      <w:divBdr>
        <w:top w:val="none" w:sz="0" w:space="0" w:color="auto"/>
        <w:left w:val="none" w:sz="0" w:space="0" w:color="auto"/>
        <w:bottom w:val="none" w:sz="0" w:space="0" w:color="auto"/>
        <w:right w:val="none" w:sz="0" w:space="0" w:color="auto"/>
      </w:divBdr>
      <w:divsChild>
        <w:div w:id="1628853531">
          <w:marLeft w:val="547"/>
          <w:marRight w:val="0"/>
          <w:marTop w:val="0"/>
          <w:marBottom w:val="0"/>
          <w:divBdr>
            <w:top w:val="none" w:sz="0" w:space="0" w:color="auto"/>
            <w:left w:val="none" w:sz="0" w:space="0" w:color="auto"/>
            <w:bottom w:val="none" w:sz="0" w:space="0" w:color="auto"/>
            <w:right w:val="none" w:sz="0" w:space="0" w:color="auto"/>
          </w:divBdr>
        </w:div>
        <w:div w:id="254367768">
          <w:marLeft w:val="547"/>
          <w:marRight w:val="0"/>
          <w:marTop w:val="0"/>
          <w:marBottom w:val="0"/>
          <w:divBdr>
            <w:top w:val="none" w:sz="0" w:space="0" w:color="auto"/>
            <w:left w:val="none" w:sz="0" w:space="0" w:color="auto"/>
            <w:bottom w:val="none" w:sz="0" w:space="0" w:color="auto"/>
            <w:right w:val="none" w:sz="0" w:space="0" w:color="auto"/>
          </w:divBdr>
        </w:div>
      </w:divsChild>
    </w:div>
    <w:div w:id="1189366667">
      <w:bodyDiv w:val="1"/>
      <w:marLeft w:val="0"/>
      <w:marRight w:val="0"/>
      <w:marTop w:val="0"/>
      <w:marBottom w:val="0"/>
      <w:divBdr>
        <w:top w:val="none" w:sz="0" w:space="0" w:color="auto"/>
        <w:left w:val="none" w:sz="0" w:space="0" w:color="auto"/>
        <w:bottom w:val="none" w:sz="0" w:space="0" w:color="auto"/>
        <w:right w:val="none" w:sz="0" w:space="0" w:color="auto"/>
      </w:divBdr>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64752003">
      <w:bodyDiv w:val="1"/>
      <w:marLeft w:val="0"/>
      <w:marRight w:val="0"/>
      <w:marTop w:val="0"/>
      <w:marBottom w:val="0"/>
      <w:divBdr>
        <w:top w:val="none" w:sz="0" w:space="0" w:color="auto"/>
        <w:left w:val="none" w:sz="0" w:space="0" w:color="auto"/>
        <w:bottom w:val="none" w:sz="0" w:space="0" w:color="auto"/>
        <w:right w:val="none" w:sz="0" w:space="0" w:color="auto"/>
      </w:divBdr>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3912">
      <w:bodyDiv w:val="1"/>
      <w:marLeft w:val="0"/>
      <w:marRight w:val="0"/>
      <w:marTop w:val="0"/>
      <w:marBottom w:val="0"/>
      <w:divBdr>
        <w:top w:val="none" w:sz="0" w:space="0" w:color="auto"/>
        <w:left w:val="none" w:sz="0" w:space="0" w:color="auto"/>
        <w:bottom w:val="none" w:sz="0" w:space="0" w:color="auto"/>
        <w:right w:val="none" w:sz="0" w:space="0" w:color="auto"/>
      </w:divBdr>
      <w:divsChild>
        <w:div w:id="1286735923">
          <w:marLeft w:val="547"/>
          <w:marRight w:val="0"/>
          <w:marTop w:val="0"/>
          <w:marBottom w:val="0"/>
          <w:divBdr>
            <w:top w:val="none" w:sz="0" w:space="0" w:color="auto"/>
            <w:left w:val="none" w:sz="0" w:space="0" w:color="auto"/>
            <w:bottom w:val="none" w:sz="0" w:space="0" w:color="auto"/>
            <w:right w:val="none" w:sz="0" w:space="0" w:color="auto"/>
          </w:divBdr>
        </w:div>
        <w:div w:id="227888983">
          <w:marLeft w:val="547"/>
          <w:marRight w:val="0"/>
          <w:marTop w:val="0"/>
          <w:marBottom w:val="0"/>
          <w:divBdr>
            <w:top w:val="none" w:sz="0" w:space="0" w:color="auto"/>
            <w:left w:val="none" w:sz="0" w:space="0" w:color="auto"/>
            <w:bottom w:val="none" w:sz="0" w:space="0" w:color="auto"/>
            <w:right w:val="none" w:sz="0" w:space="0" w:color="auto"/>
          </w:divBdr>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31134890">
      <w:bodyDiv w:val="1"/>
      <w:marLeft w:val="0"/>
      <w:marRight w:val="0"/>
      <w:marTop w:val="0"/>
      <w:marBottom w:val="0"/>
      <w:divBdr>
        <w:top w:val="none" w:sz="0" w:space="0" w:color="auto"/>
        <w:left w:val="none" w:sz="0" w:space="0" w:color="auto"/>
        <w:bottom w:val="none" w:sz="0" w:space="0" w:color="auto"/>
        <w:right w:val="none" w:sz="0" w:space="0" w:color="auto"/>
      </w:divBdr>
      <w:divsChild>
        <w:div w:id="1475444250">
          <w:marLeft w:val="547"/>
          <w:marRight w:val="0"/>
          <w:marTop w:val="0"/>
          <w:marBottom w:val="0"/>
          <w:divBdr>
            <w:top w:val="none" w:sz="0" w:space="0" w:color="auto"/>
            <w:left w:val="none" w:sz="0" w:space="0" w:color="auto"/>
            <w:bottom w:val="none" w:sz="0" w:space="0" w:color="auto"/>
            <w:right w:val="none" w:sz="0" w:space="0" w:color="auto"/>
          </w:divBdr>
        </w:div>
        <w:div w:id="1887372020">
          <w:marLeft w:val="547"/>
          <w:marRight w:val="0"/>
          <w:marTop w:val="0"/>
          <w:marBottom w:val="0"/>
          <w:divBdr>
            <w:top w:val="none" w:sz="0" w:space="0" w:color="auto"/>
            <w:left w:val="none" w:sz="0" w:space="0" w:color="auto"/>
            <w:bottom w:val="none" w:sz="0" w:space="0" w:color="auto"/>
            <w:right w:val="none" w:sz="0" w:space="0" w:color="auto"/>
          </w:divBdr>
        </w:div>
      </w:divsChild>
    </w:div>
    <w:div w:id="1643542393">
      <w:bodyDiv w:val="1"/>
      <w:marLeft w:val="0"/>
      <w:marRight w:val="0"/>
      <w:marTop w:val="0"/>
      <w:marBottom w:val="0"/>
      <w:divBdr>
        <w:top w:val="none" w:sz="0" w:space="0" w:color="auto"/>
        <w:left w:val="none" w:sz="0" w:space="0" w:color="auto"/>
        <w:bottom w:val="none" w:sz="0" w:space="0" w:color="auto"/>
        <w:right w:val="none" w:sz="0" w:space="0" w:color="auto"/>
      </w:divBdr>
    </w:div>
    <w:div w:id="1654065513">
      <w:bodyDiv w:val="1"/>
      <w:marLeft w:val="0"/>
      <w:marRight w:val="0"/>
      <w:marTop w:val="0"/>
      <w:marBottom w:val="0"/>
      <w:divBdr>
        <w:top w:val="none" w:sz="0" w:space="0" w:color="auto"/>
        <w:left w:val="none" w:sz="0" w:space="0" w:color="auto"/>
        <w:bottom w:val="none" w:sz="0" w:space="0" w:color="auto"/>
        <w:right w:val="none" w:sz="0" w:space="0" w:color="auto"/>
      </w:divBdr>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92785">
      <w:bodyDiv w:val="1"/>
      <w:marLeft w:val="0"/>
      <w:marRight w:val="0"/>
      <w:marTop w:val="0"/>
      <w:marBottom w:val="0"/>
      <w:divBdr>
        <w:top w:val="none" w:sz="0" w:space="0" w:color="auto"/>
        <w:left w:val="none" w:sz="0" w:space="0" w:color="auto"/>
        <w:bottom w:val="none" w:sz="0" w:space="0" w:color="auto"/>
        <w:right w:val="none" w:sz="0" w:space="0" w:color="auto"/>
      </w:divBdr>
    </w:div>
    <w:div w:id="1813523653">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40739257">
      <w:bodyDiv w:val="1"/>
      <w:marLeft w:val="0"/>
      <w:marRight w:val="0"/>
      <w:marTop w:val="0"/>
      <w:marBottom w:val="0"/>
      <w:divBdr>
        <w:top w:val="none" w:sz="0" w:space="0" w:color="auto"/>
        <w:left w:val="none" w:sz="0" w:space="0" w:color="auto"/>
        <w:bottom w:val="none" w:sz="0" w:space="0" w:color="auto"/>
        <w:right w:val="none" w:sz="0" w:space="0" w:color="auto"/>
      </w:divBdr>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6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cbd.int/doc/decisions/cop-14/cop-14-dec-08-en.docx" TargetMode="External"/><Relationship Id="rId26" Type="http://schemas.openxmlformats.org/officeDocument/2006/relationships/hyperlink" Target="https://www.un.org/development/desa/indigenouspeoples/wp-content/uploads/sites/19/2018/11/UNDRIP_E_web.pdf" TargetMode="External"/><Relationship Id="rId39" Type="http://schemas.openxmlformats.org/officeDocument/2006/relationships/hyperlink" Target="https://www.ohchr.org/sites/default/files/Documents/Issues/IPeoples/EMRIP/AEVfinalreportStudyIPRightParticipate.pdf" TargetMode="External"/><Relationship Id="rId21" Type="http://schemas.openxmlformats.org/officeDocument/2006/relationships/diagramLayout" Target="diagrams/layout1.xml"/><Relationship Id="rId34" Type="http://schemas.openxmlformats.org/officeDocument/2006/relationships/hyperlink" Target="https://www.dcceew.gov.au/environment/land/nrs" TargetMode="External"/><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Data" Target="diagrams/data1.xml"/><Relationship Id="rId29" Type="http://schemas.openxmlformats.org/officeDocument/2006/relationships/hyperlink" Target="https://www.cbd.int/doc/strategic-plan/targets/T11-quick-guide-en.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diagramDrawing" Target="diagrams/drawing1.xml"/><Relationship Id="rId32" Type="http://schemas.openxmlformats.org/officeDocument/2006/relationships/hyperlink" Target="https://www.cbd.int/convention/articles/?a=cbd-02" TargetMode="External"/><Relationship Id="rId37" Type="http://schemas.openxmlformats.org/officeDocument/2006/relationships/hyperlink" Target="https://www.un.org/development/desa/indigenouspeoples/wp-content/uploads/sites/19/2018/11/UNDRIP_E_web.pdf"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opyright@dcceew.gov.au" TargetMode="External"/><Relationship Id="rId23" Type="http://schemas.openxmlformats.org/officeDocument/2006/relationships/diagramColors" Target="diagrams/colors1.xml"/><Relationship Id="rId28" Type="http://schemas.openxmlformats.org/officeDocument/2006/relationships/hyperlink" Target="https://www.cbd.int/convention/articles/?a=cbd-02" TargetMode="External"/><Relationship Id="rId36" Type="http://schemas.openxmlformats.org/officeDocument/2006/relationships/hyperlink" Target="https://www.iucn.org/our-union/commissions/group/iucn-wcpa-other-effective-area-based-conservation-measures-specialist" TargetMode="External"/><Relationship Id="rId10" Type="http://schemas.openxmlformats.org/officeDocument/2006/relationships/webSettings" Target="webSettings.xml"/><Relationship Id="rId19" Type="http://schemas.openxmlformats.org/officeDocument/2006/relationships/hyperlink" Target="https://www.protectedplanet.net/en/thematic-areas/oecms?tab=OECMs" TargetMode="External"/><Relationship Id="rId31" Type="http://schemas.openxmlformats.org/officeDocument/2006/relationships/hyperlink" Target="https://www.dcceew.gov.au/environment/land/nrs/science/capa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reativecommons.org/licenses/by/4.0/legalcode" TargetMode="External"/><Relationship Id="rId22" Type="http://schemas.openxmlformats.org/officeDocument/2006/relationships/diagramQuickStyle" Target="diagrams/quickStyle1.xml"/><Relationship Id="rId27" Type="http://schemas.openxmlformats.org/officeDocument/2006/relationships/hyperlink" Target="https://www.industry.nsw.gov.au/__data/assets/pdf_file/0005/290750/IND-O-261-Biodiversity-conservation-agreements-on-Crown-land.pdf" TargetMode="External"/><Relationship Id="rId30" Type="http://schemas.openxmlformats.org/officeDocument/2006/relationships/hyperlink" Target="https://www.dcceew.gov.au/environment/land/nrs/publications/strategy-national-reserve-system" TargetMode="External"/><Relationship Id="rId35" Type="http://schemas.openxmlformats.org/officeDocument/2006/relationships/hyperlink" Target="https://www.cbd.int/doc/c/e6d3/cd1d/daf663719a03902a9b116c34/cop-15-l-25-en.pdf"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dcceew.gov.au" TargetMode="External"/><Relationship Id="rId25" Type="http://schemas.openxmlformats.org/officeDocument/2006/relationships/hyperlink" Target="https://www.cbd.int/doc/c/e6d3/cd1d/daf663719a03902a9b116c34/cop-15-l-25-en.pdf" TargetMode="External"/><Relationship Id="rId33" Type="http://schemas.openxmlformats.org/officeDocument/2006/relationships/hyperlink" Target="https://www.iucn.org/" TargetMode="External"/><Relationship Id="rId38" Type="http://schemas.openxmlformats.org/officeDocument/2006/relationships/hyperlink" Target="https://www.protectedplanet.net/en/search-areas?geo_type=si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0024\OneDrive%20-%20Agriculture\Desktop\Consultations\OECMs\OECMs%20-%20Principles%20consultation%20paper.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https://www.iucn.org/our-union/commissions/group/iucn-wcpa-other-effective-area-based-conservation-measures-specialist#:~:text=What%20is%20an%20%27OECM%27%3F,WCPA%20Task%20Force%20on%20OECMs." TargetMode="External"/><Relationship Id="rId2" Type="http://schemas.openxmlformats.org/officeDocument/2006/relationships/hyperlink" Target="https://www.cbd.int/doc/decisions/cop-14/cop-14-dec-08-en.docx" TargetMode="External"/><Relationship Id="rId1" Type="http://schemas.openxmlformats.org/officeDocument/2006/relationships/hyperlink" Target="https://www.cbd.int/aichi-targets/target/11" TargetMode="External"/><Relationship Id="rId5" Type="http://schemas.openxmlformats.org/officeDocument/2006/relationships/hyperlink" Target="https://www.cbd.int/doc/c/e6d3/cd1d/daf663719a03902a9b116c34/cop-15-l-25-en.pdf" TargetMode="External"/><Relationship Id="rId4" Type="http://schemas.openxmlformats.org/officeDocument/2006/relationships/hyperlink" Target="https://www.iucn.org/resources/file/oecms-site-level-assessment-too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B2106B-CD40-4ED5-8B8F-BF1BC67FD821}"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AU"/>
        </a:p>
      </dgm:t>
    </dgm:pt>
    <dgm:pt modelId="{605B1B54-7EC9-4EF6-A6CA-BDC9BA431449}">
      <dgm:prSet phldrT="[Text]"/>
      <dgm:spPr/>
      <dgm:t>
        <a:bodyPr/>
        <a:lstStyle/>
        <a:p>
          <a:pPr algn="ctr"/>
          <a:r>
            <a:rPr lang="en-AU"/>
            <a:t>2011</a:t>
          </a:r>
        </a:p>
        <a:p>
          <a:pPr algn="ctr"/>
          <a:r>
            <a:rPr lang="en-AU"/>
            <a:t>OECM concept introduced - </a:t>
          </a:r>
          <a:r>
            <a:rPr lang="en-AU" u="sng"/>
            <a:t>Aichi Target 11</a:t>
          </a:r>
        </a:p>
      </dgm:t>
      <dgm:extLst>
        <a:ext uri="{E40237B7-FDA0-4F09-8148-C483321AD2D9}">
          <dgm14:cNvPr xmlns:dgm14="http://schemas.microsoft.com/office/drawing/2010/diagram" id="0" name="">
            <a:hlinkClick xmlns:r="http://schemas.openxmlformats.org/officeDocument/2006/relationships" r:id="rId1"/>
          </dgm14:cNvPr>
        </a:ext>
      </dgm:extLst>
    </dgm:pt>
    <dgm:pt modelId="{E82CD63D-20F8-46EB-84BE-CA5DB5532BEE}" type="parTrans" cxnId="{B5E72806-F6D0-4C06-98E1-5C6A0B0516C5}">
      <dgm:prSet/>
      <dgm:spPr/>
      <dgm:t>
        <a:bodyPr/>
        <a:lstStyle/>
        <a:p>
          <a:pPr algn="ctr"/>
          <a:endParaRPr lang="en-AU"/>
        </a:p>
      </dgm:t>
    </dgm:pt>
    <dgm:pt modelId="{10BC2591-ADD7-4913-A2FD-494E3D14C992}" type="sibTrans" cxnId="{B5E72806-F6D0-4C06-98E1-5C6A0B0516C5}">
      <dgm:prSet/>
      <dgm:spPr/>
      <dgm:t>
        <a:bodyPr/>
        <a:lstStyle/>
        <a:p>
          <a:pPr algn="ctr"/>
          <a:endParaRPr lang="en-AU"/>
        </a:p>
      </dgm:t>
    </dgm:pt>
    <dgm:pt modelId="{96789ABF-88AB-4057-87BD-FD95457BB065}">
      <dgm:prSet phldrT="[Text]"/>
      <dgm:spPr/>
      <dgm:t>
        <a:bodyPr/>
        <a:lstStyle/>
        <a:p>
          <a:pPr algn="ctr"/>
          <a:r>
            <a:rPr lang="en-AU"/>
            <a:t>2018 </a:t>
          </a:r>
        </a:p>
        <a:p>
          <a:pPr algn="ctr"/>
          <a:r>
            <a:rPr lang="en-AU"/>
            <a:t>OECMs defined by CBD - </a:t>
          </a:r>
          <a:r>
            <a:rPr lang="en-AU" u="sng"/>
            <a:t>Decision 14/8</a:t>
          </a:r>
        </a:p>
      </dgm:t>
      <dgm:extLst>
        <a:ext uri="{E40237B7-FDA0-4F09-8148-C483321AD2D9}">
          <dgm14:cNvPr xmlns:dgm14="http://schemas.microsoft.com/office/drawing/2010/diagram" id="0" name="">
            <a:hlinkClick xmlns:r="http://schemas.openxmlformats.org/officeDocument/2006/relationships" r:id="rId2"/>
          </dgm14:cNvPr>
        </a:ext>
      </dgm:extLst>
    </dgm:pt>
    <dgm:pt modelId="{970401E9-32E2-478C-9C49-FB4B7D39C94B}" type="parTrans" cxnId="{C5BFA847-DE4D-47FF-A120-F5541A24294D}">
      <dgm:prSet/>
      <dgm:spPr/>
      <dgm:t>
        <a:bodyPr/>
        <a:lstStyle/>
        <a:p>
          <a:pPr algn="ctr"/>
          <a:endParaRPr lang="en-AU"/>
        </a:p>
      </dgm:t>
    </dgm:pt>
    <dgm:pt modelId="{43024C0E-6115-410A-9E96-2401BDE9C106}" type="sibTrans" cxnId="{C5BFA847-DE4D-47FF-A120-F5541A24294D}">
      <dgm:prSet/>
      <dgm:spPr/>
      <dgm:t>
        <a:bodyPr/>
        <a:lstStyle/>
        <a:p>
          <a:pPr algn="ctr"/>
          <a:endParaRPr lang="en-AU"/>
        </a:p>
      </dgm:t>
    </dgm:pt>
    <dgm:pt modelId="{52D48DFB-BD1C-4E15-86B3-BFF452AEC933}">
      <dgm:prSet phldrT="[Text]"/>
      <dgm:spPr/>
      <dgm:t>
        <a:bodyPr/>
        <a:lstStyle/>
        <a:p>
          <a:pPr algn="ctr"/>
          <a:r>
            <a:rPr lang="en-AU"/>
            <a:t>2019</a:t>
          </a:r>
        </a:p>
        <a:p>
          <a:pPr algn="ctr"/>
          <a:r>
            <a:rPr lang="en-AU"/>
            <a:t>IUCN OECM </a:t>
          </a:r>
          <a:r>
            <a:rPr lang="en-AU" u="sng"/>
            <a:t>guidance</a:t>
          </a:r>
          <a:r>
            <a:rPr lang="en-AU"/>
            <a:t> released</a:t>
          </a:r>
        </a:p>
      </dgm:t>
      <dgm:extLst>
        <a:ext uri="{E40237B7-FDA0-4F09-8148-C483321AD2D9}">
          <dgm14:cNvPr xmlns:dgm14="http://schemas.microsoft.com/office/drawing/2010/diagram" id="0" name="">
            <a:hlinkClick xmlns:r="http://schemas.openxmlformats.org/officeDocument/2006/relationships" r:id="rId3"/>
          </dgm14:cNvPr>
        </a:ext>
      </dgm:extLst>
    </dgm:pt>
    <dgm:pt modelId="{38797DD5-9908-4A27-BF25-88D1D153C0CE}" type="parTrans" cxnId="{28895CE9-0733-46CC-AAAC-13E2E937534D}">
      <dgm:prSet/>
      <dgm:spPr/>
      <dgm:t>
        <a:bodyPr/>
        <a:lstStyle/>
        <a:p>
          <a:pPr algn="ctr"/>
          <a:endParaRPr lang="en-AU"/>
        </a:p>
      </dgm:t>
    </dgm:pt>
    <dgm:pt modelId="{7D9639EF-47F2-45EE-B29E-45B5F5F32D97}" type="sibTrans" cxnId="{28895CE9-0733-46CC-AAAC-13E2E937534D}">
      <dgm:prSet/>
      <dgm:spPr/>
      <dgm:t>
        <a:bodyPr/>
        <a:lstStyle/>
        <a:p>
          <a:pPr algn="ctr"/>
          <a:endParaRPr lang="en-AU"/>
        </a:p>
      </dgm:t>
    </dgm:pt>
    <dgm:pt modelId="{F1022E75-EE72-459A-936E-090E3237E754}">
      <dgm:prSet/>
      <dgm:spPr/>
      <dgm:t>
        <a:bodyPr/>
        <a:lstStyle/>
        <a:p>
          <a:pPr algn="ctr"/>
          <a:r>
            <a:rPr lang="en-AU"/>
            <a:t>2020</a:t>
          </a:r>
        </a:p>
        <a:p>
          <a:pPr algn="ctr"/>
          <a:r>
            <a:rPr lang="en-AU"/>
            <a:t>IUCN OECM draft site level methodology released</a:t>
          </a:r>
        </a:p>
      </dgm:t>
    </dgm:pt>
    <dgm:pt modelId="{8C612A90-E220-4EC8-9207-5CDEDF7FF0F5}" type="parTrans" cxnId="{02BA7BE7-F2C4-45FF-A537-7F2DE1087C8E}">
      <dgm:prSet/>
      <dgm:spPr/>
      <dgm:t>
        <a:bodyPr/>
        <a:lstStyle/>
        <a:p>
          <a:pPr algn="ctr"/>
          <a:endParaRPr lang="en-AU"/>
        </a:p>
      </dgm:t>
    </dgm:pt>
    <dgm:pt modelId="{5BDE8BD7-4DEB-4266-B812-774293BC2BF9}" type="sibTrans" cxnId="{02BA7BE7-F2C4-45FF-A537-7F2DE1087C8E}">
      <dgm:prSet/>
      <dgm:spPr/>
      <dgm:t>
        <a:bodyPr/>
        <a:lstStyle/>
        <a:p>
          <a:pPr algn="ctr"/>
          <a:endParaRPr lang="en-AU"/>
        </a:p>
      </dgm:t>
    </dgm:pt>
    <dgm:pt modelId="{B98CCCBD-5E48-4096-8BA8-61E8517D8B38}">
      <dgm:prSet/>
      <dgm:spPr/>
      <dgm:t>
        <a:bodyPr/>
        <a:lstStyle/>
        <a:p>
          <a:pPr algn="ctr"/>
          <a:r>
            <a:rPr lang="en-AU"/>
            <a:t>2022</a:t>
          </a:r>
        </a:p>
        <a:p>
          <a:pPr algn="ctr"/>
          <a:r>
            <a:rPr lang="en-AU"/>
            <a:t>IUCN OECM </a:t>
          </a:r>
          <a:r>
            <a:rPr lang="en-AU" u="sng"/>
            <a:t>revised draft site level methodology</a:t>
          </a:r>
          <a:r>
            <a:rPr lang="en-AU" u="none"/>
            <a:t> </a:t>
          </a:r>
          <a:r>
            <a:rPr lang="en-AU"/>
            <a:t>released</a:t>
          </a:r>
        </a:p>
      </dgm:t>
      <dgm:extLst>
        <a:ext uri="{E40237B7-FDA0-4F09-8148-C483321AD2D9}">
          <dgm14:cNvPr xmlns:dgm14="http://schemas.microsoft.com/office/drawing/2010/diagram" id="0" name="">
            <a:hlinkClick xmlns:r="http://schemas.openxmlformats.org/officeDocument/2006/relationships" r:id="rId4"/>
          </dgm14:cNvPr>
        </a:ext>
      </dgm:extLst>
    </dgm:pt>
    <dgm:pt modelId="{2723DBFF-7277-4EE1-AEDA-349FBDEFF1C6}" type="parTrans" cxnId="{E704316E-C95D-4444-BAF0-433D6299B2C9}">
      <dgm:prSet/>
      <dgm:spPr/>
      <dgm:t>
        <a:bodyPr/>
        <a:lstStyle/>
        <a:p>
          <a:pPr algn="ctr"/>
          <a:endParaRPr lang="en-AU"/>
        </a:p>
      </dgm:t>
    </dgm:pt>
    <dgm:pt modelId="{27B2AEA8-DCE9-4BF1-B225-9E605C11B7A2}" type="sibTrans" cxnId="{E704316E-C95D-4444-BAF0-433D6299B2C9}">
      <dgm:prSet/>
      <dgm:spPr/>
      <dgm:t>
        <a:bodyPr/>
        <a:lstStyle/>
        <a:p>
          <a:pPr algn="ctr"/>
          <a:endParaRPr lang="en-AU"/>
        </a:p>
      </dgm:t>
    </dgm:pt>
    <dgm:pt modelId="{B0E63BBB-4460-4690-BD63-88023F016700}">
      <dgm:prSet/>
      <dgm:spPr/>
      <dgm:t>
        <a:bodyPr/>
        <a:lstStyle/>
        <a:p>
          <a:pPr algn="ctr"/>
          <a:r>
            <a:rPr lang="en-AU"/>
            <a:t>2022</a:t>
          </a:r>
        </a:p>
        <a:p>
          <a:pPr algn="ctr"/>
          <a:r>
            <a:rPr lang="en-AU"/>
            <a:t>Kunming-Montreal </a:t>
          </a:r>
          <a:r>
            <a:rPr lang="en-AU" u="sng"/>
            <a:t>Global Biodiversity Framework</a:t>
          </a:r>
          <a:r>
            <a:rPr lang="en-AU" u="none"/>
            <a:t> </a:t>
          </a:r>
          <a:r>
            <a:rPr lang="en-AU"/>
            <a:t>/ 30 by 30 target adopted</a:t>
          </a:r>
        </a:p>
      </dgm:t>
      <dgm:extLst>
        <a:ext uri="{E40237B7-FDA0-4F09-8148-C483321AD2D9}">
          <dgm14:cNvPr xmlns:dgm14="http://schemas.microsoft.com/office/drawing/2010/diagram" id="0" name="">
            <a:hlinkClick xmlns:r="http://schemas.openxmlformats.org/officeDocument/2006/relationships" r:id="rId5"/>
          </dgm14:cNvPr>
        </a:ext>
      </dgm:extLst>
    </dgm:pt>
    <dgm:pt modelId="{CD7FAC4A-3EF7-4765-A7E0-9D61662BC314}" type="parTrans" cxnId="{68E83C10-CED5-4F2B-9286-2C45077DEB96}">
      <dgm:prSet/>
      <dgm:spPr/>
      <dgm:t>
        <a:bodyPr/>
        <a:lstStyle/>
        <a:p>
          <a:pPr algn="ctr"/>
          <a:endParaRPr lang="en-AU"/>
        </a:p>
      </dgm:t>
    </dgm:pt>
    <dgm:pt modelId="{7E85ED5E-6559-401A-951F-4E8204BC6BC5}" type="sibTrans" cxnId="{68E83C10-CED5-4F2B-9286-2C45077DEB96}">
      <dgm:prSet/>
      <dgm:spPr/>
      <dgm:t>
        <a:bodyPr/>
        <a:lstStyle/>
        <a:p>
          <a:pPr algn="ctr"/>
          <a:endParaRPr lang="en-AU"/>
        </a:p>
      </dgm:t>
    </dgm:pt>
    <dgm:pt modelId="{BB89B837-0F51-4862-B58F-6F1F90F78794}" type="pres">
      <dgm:prSet presAssocID="{3DB2106B-CD40-4ED5-8B8F-BF1BC67FD821}" presName="Name0" presStyleCnt="0">
        <dgm:presLayoutVars>
          <dgm:dir/>
          <dgm:animLvl val="lvl"/>
          <dgm:resizeHandles val="exact"/>
        </dgm:presLayoutVars>
      </dgm:prSet>
      <dgm:spPr/>
    </dgm:pt>
    <dgm:pt modelId="{29B0F510-207F-4C4F-80C1-27166F69A82E}" type="pres">
      <dgm:prSet presAssocID="{B0E63BBB-4460-4690-BD63-88023F016700}" presName="boxAndChildren" presStyleCnt="0"/>
      <dgm:spPr/>
    </dgm:pt>
    <dgm:pt modelId="{42459832-85D0-4F1B-BED9-445B979697BF}" type="pres">
      <dgm:prSet presAssocID="{B0E63BBB-4460-4690-BD63-88023F016700}" presName="parentTextBox" presStyleLbl="node1" presStyleIdx="0" presStyleCnt="6" custScaleX="64821"/>
      <dgm:spPr/>
    </dgm:pt>
    <dgm:pt modelId="{48DA416D-C66D-4108-9942-75C11178DA27}" type="pres">
      <dgm:prSet presAssocID="{27B2AEA8-DCE9-4BF1-B225-9E605C11B7A2}" presName="sp" presStyleCnt="0"/>
      <dgm:spPr/>
    </dgm:pt>
    <dgm:pt modelId="{81B08AB7-4496-4ACE-9656-DCB9415AC276}" type="pres">
      <dgm:prSet presAssocID="{B98CCCBD-5E48-4096-8BA8-61E8517D8B38}" presName="arrowAndChildren" presStyleCnt="0"/>
      <dgm:spPr/>
    </dgm:pt>
    <dgm:pt modelId="{C6DE2FE1-23E7-42F8-B31C-130F9D409DFB}" type="pres">
      <dgm:prSet presAssocID="{B98CCCBD-5E48-4096-8BA8-61E8517D8B38}" presName="parentTextArrow" presStyleLbl="node1" presStyleIdx="1" presStyleCnt="6" custScaleX="52250"/>
      <dgm:spPr/>
    </dgm:pt>
    <dgm:pt modelId="{06CA18D3-C704-4A30-912D-3E58B3BBD771}" type="pres">
      <dgm:prSet presAssocID="{5BDE8BD7-4DEB-4266-B812-774293BC2BF9}" presName="sp" presStyleCnt="0"/>
      <dgm:spPr/>
    </dgm:pt>
    <dgm:pt modelId="{9B8CB9DC-F228-4AAB-B253-26D51F6BA885}" type="pres">
      <dgm:prSet presAssocID="{F1022E75-EE72-459A-936E-090E3237E754}" presName="arrowAndChildren" presStyleCnt="0"/>
      <dgm:spPr/>
    </dgm:pt>
    <dgm:pt modelId="{BB65B2B7-5F27-4EAA-AEDA-0B8F929A585C}" type="pres">
      <dgm:prSet presAssocID="{F1022E75-EE72-459A-936E-090E3237E754}" presName="parentTextArrow" presStyleLbl="node1" presStyleIdx="2" presStyleCnt="6" custScaleX="43224"/>
      <dgm:spPr/>
    </dgm:pt>
    <dgm:pt modelId="{9787A5AC-4655-4ADE-8626-741557900F20}" type="pres">
      <dgm:prSet presAssocID="{7D9639EF-47F2-45EE-B29E-45B5F5F32D97}" presName="sp" presStyleCnt="0"/>
      <dgm:spPr/>
    </dgm:pt>
    <dgm:pt modelId="{ED5C5415-BD6B-479C-9D89-1368C0A5E247}" type="pres">
      <dgm:prSet presAssocID="{52D48DFB-BD1C-4E15-86B3-BFF452AEC933}" presName="arrowAndChildren" presStyleCnt="0"/>
      <dgm:spPr/>
    </dgm:pt>
    <dgm:pt modelId="{B560BAF9-AF4C-4E50-B4F5-042C859CA398}" type="pres">
      <dgm:prSet presAssocID="{52D48DFB-BD1C-4E15-86B3-BFF452AEC933}" presName="parentTextArrow" presStyleLbl="node1" presStyleIdx="3" presStyleCnt="6" custScaleX="30461"/>
      <dgm:spPr/>
    </dgm:pt>
    <dgm:pt modelId="{016CD5AF-73DF-4291-A546-5EF2F59611B7}" type="pres">
      <dgm:prSet presAssocID="{43024C0E-6115-410A-9E96-2401BDE9C106}" presName="sp" presStyleCnt="0"/>
      <dgm:spPr/>
    </dgm:pt>
    <dgm:pt modelId="{A981A25F-320A-4E51-B1C4-4C6C7933168E}" type="pres">
      <dgm:prSet presAssocID="{96789ABF-88AB-4057-87BD-FD95457BB065}" presName="arrowAndChildren" presStyleCnt="0"/>
      <dgm:spPr/>
    </dgm:pt>
    <dgm:pt modelId="{12942451-98FF-4D26-B4A3-BFC06008E3FA}" type="pres">
      <dgm:prSet presAssocID="{96789ABF-88AB-4057-87BD-FD95457BB065}" presName="parentTextArrow" presStyleLbl="node1" presStyleIdx="4" presStyleCnt="6" custScaleX="35527"/>
      <dgm:spPr/>
    </dgm:pt>
    <dgm:pt modelId="{F6FD53E6-DA35-42DB-B200-CFC20B3186D0}" type="pres">
      <dgm:prSet presAssocID="{10BC2591-ADD7-4913-A2FD-494E3D14C992}" presName="sp" presStyleCnt="0"/>
      <dgm:spPr/>
    </dgm:pt>
    <dgm:pt modelId="{81EDDD4D-1A1F-4C84-A4D4-71A7FB40118E}" type="pres">
      <dgm:prSet presAssocID="{605B1B54-7EC9-4EF6-A6CA-BDC9BA431449}" presName="arrowAndChildren" presStyleCnt="0"/>
      <dgm:spPr/>
    </dgm:pt>
    <dgm:pt modelId="{B4EF4A13-FFB8-4D59-A9F8-C5EE45D9713F}" type="pres">
      <dgm:prSet presAssocID="{605B1B54-7EC9-4EF6-A6CA-BDC9BA431449}" presName="parentTextArrow" presStyleLbl="node1" presStyleIdx="5" presStyleCnt="6" custScaleX="38539"/>
      <dgm:spPr/>
    </dgm:pt>
  </dgm:ptLst>
  <dgm:cxnLst>
    <dgm:cxn modelId="{B5E72806-F6D0-4C06-98E1-5C6A0B0516C5}" srcId="{3DB2106B-CD40-4ED5-8B8F-BF1BC67FD821}" destId="{605B1B54-7EC9-4EF6-A6CA-BDC9BA431449}" srcOrd="0" destOrd="0" parTransId="{E82CD63D-20F8-46EB-84BE-CA5DB5532BEE}" sibTransId="{10BC2591-ADD7-4913-A2FD-494E3D14C992}"/>
    <dgm:cxn modelId="{68E83C10-CED5-4F2B-9286-2C45077DEB96}" srcId="{3DB2106B-CD40-4ED5-8B8F-BF1BC67FD821}" destId="{B0E63BBB-4460-4690-BD63-88023F016700}" srcOrd="5" destOrd="0" parTransId="{CD7FAC4A-3EF7-4765-A7E0-9D61662BC314}" sibTransId="{7E85ED5E-6559-401A-951F-4E8204BC6BC5}"/>
    <dgm:cxn modelId="{C5BFA847-DE4D-47FF-A120-F5541A24294D}" srcId="{3DB2106B-CD40-4ED5-8B8F-BF1BC67FD821}" destId="{96789ABF-88AB-4057-87BD-FD95457BB065}" srcOrd="1" destOrd="0" parTransId="{970401E9-32E2-478C-9C49-FB4B7D39C94B}" sibTransId="{43024C0E-6115-410A-9E96-2401BDE9C106}"/>
    <dgm:cxn modelId="{4E3B9D68-654B-49ED-A7B3-8B4FBA1D464A}" type="presOf" srcId="{605B1B54-7EC9-4EF6-A6CA-BDC9BA431449}" destId="{B4EF4A13-FFB8-4D59-A9F8-C5EE45D9713F}" srcOrd="0" destOrd="0" presId="urn:microsoft.com/office/officeart/2005/8/layout/process4"/>
    <dgm:cxn modelId="{E704316E-C95D-4444-BAF0-433D6299B2C9}" srcId="{3DB2106B-CD40-4ED5-8B8F-BF1BC67FD821}" destId="{B98CCCBD-5E48-4096-8BA8-61E8517D8B38}" srcOrd="4" destOrd="0" parTransId="{2723DBFF-7277-4EE1-AEDA-349FBDEFF1C6}" sibTransId="{27B2AEA8-DCE9-4BF1-B225-9E605C11B7A2}"/>
    <dgm:cxn modelId="{1103BF93-FF7B-4029-8222-D8A917CFDA8C}" type="presOf" srcId="{3DB2106B-CD40-4ED5-8B8F-BF1BC67FD821}" destId="{BB89B837-0F51-4862-B58F-6F1F90F78794}" srcOrd="0" destOrd="0" presId="urn:microsoft.com/office/officeart/2005/8/layout/process4"/>
    <dgm:cxn modelId="{92640799-30B6-4B31-AD2D-4B1E923C0638}" type="presOf" srcId="{B0E63BBB-4460-4690-BD63-88023F016700}" destId="{42459832-85D0-4F1B-BED9-445B979697BF}" srcOrd="0" destOrd="0" presId="urn:microsoft.com/office/officeart/2005/8/layout/process4"/>
    <dgm:cxn modelId="{80274AA9-9A65-4453-92CB-2A74258A0EC6}" type="presOf" srcId="{B98CCCBD-5E48-4096-8BA8-61E8517D8B38}" destId="{C6DE2FE1-23E7-42F8-B31C-130F9D409DFB}" srcOrd="0" destOrd="0" presId="urn:microsoft.com/office/officeart/2005/8/layout/process4"/>
    <dgm:cxn modelId="{027863E2-D870-4F93-A32B-7374C559A7E7}" type="presOf" srcId="{F1022E75-EE72-459A-936E-090E3237E754}" destId="{BB65B2B7-5F27-4EAA-AEDA-0B8F929A585C}" srcOrd="0" destOrd="0" presId="urn:microsoft.com/office/officeart/2005/8/layout/process4"/>
    <dgm:cxn modelId="{02BA7BE7-F2C4-45FF-A537-7F2DE1087C8E}" srcId="{3DB2106B-CD40-4ED5-8B8F-BF1BC67FD821}" destId="{F1022E75-EE72-459A-936E-090E3237E754}" srcOrd="3" destOrd="0" parTransId="{8C612A90-E220-4EC8-9207-5CDEDF7FF0F5}" sibTransId="{5BDE8BD7-4DEB-4266-B812-774293BC2BF9}"/>
    <dgm:cxn modelId="{28895CE9-0733-46CC-AAAC-13E2E937534D}" srcId="{3DB2106B-CD40-4ED5-8B8F-BF1BC67FD821}" destId="{52D48DFB-BD1C-4E15-86B3-BFF452AEC933}" srcOrd="2" destOrd="0" parTransId="{38797DD5-9908-4A27-BF25-88D1D153C0CE}" sibTransId="{7D9639EF-47F2-45EE-B29E-45B5F5F32D97}"/>
    <dgm:cxn modelId="{B19B42F5-477C-4401-A684-7505B4B12B2E}" type="presOf" srcId="{52D48DFB-BD1C-4E15-86B3-BFF452AEC933}" destId="{B560BAF9-AF4C-4E50-B4F5-042C859CA398}" srcOrd="0" destOrd="0" presId="urn:microsoft.com/office/officeart/2005/8/layout/process4"/>
    <dgm:cxn modelId="{6945D3FE-D651-4F0D-B785-C2B6DE4EDE1E}" type="presOf" srcId="{96789ABF-88AB-4057-87BD-FD95457BB065}" destId="{12942451-98FF-4D26-B4A3-BFC06008E3FA}" srcOrd="0" destOrd="0" presId="urn:microsoft.com/office/officeart/2005/8/layout/process4"/>
    <dgm:cxn modelId="{31611B5D-F69A-4D05-B97E-60BEB172B811}" type="presParOf" srcId="{BB89B837-0F51-4862-B58F-6F1F90F78794}" destId="{29B0F510-207F-4C4F-80C1-27166F69A82E}" srcOrd="0" destOrd="0" presId="urn:microsoft.com/office/officeart/2005/8/layout/process4"/>
    <dgm:cxn modelId="{68108ED3-5755-48B4-8C15-5461C02C256D}" type="presParOf" srcId="{29B0F510-207F-4C4F-80C1-27166F69A82E}" destId="{42459832-85D0-4F1B-BED9-445B979697BF}" srcOrd="0" destOrd="0" presId="urn:microsoft.com/office/officeart/2005/8/layout/process4"/>
    <dgm:cxn modelId="{4866E3B1-D1CA-4488-8505-5A918E9BC9F1}" type="presParOf" srcId="{BB89B837-0F51-4862-B58F-6F1F90F78794}" destId="{48DA416D-C66D-4108-9942-75C11178DA27}" srcOrd="1" destOrd="0" presId="urn:microsoft.com/office/officeart/2005/8/layout/process4"/>
    <dgm:cxn modelId="{D65C3686-4056-4414-820A-B0BB44CBAD84}" type="presParOf" srcId="{BB89B837-0F51-4862-B58F-6F1F90F78794}" destId="{81B08AB7-4496-4ACE-9656-DCB9415AC276}" srcOrd="2" destOrd="0" presId="urn:microsoft.com/office/officeart/2005/8/layout/process4"/>
    <dgm:cxn modelId="{8D2AC6BA-6F98-4F70-AC78-41C4FB8E947B}" type="presParOf" srcId="{81B08AB7-4496-4ACE-9656-DCB9415AC276}" destId="{C6DE2FE1-23E7-42F8-B31C-130F9D409DFB}" srcOrd="0" destOrd="0" presId="urn:microsoft.com/office/officeart/2005/8/layout/process4"/>
    <dgm:cxn modelId="{95E1CBD9-32FA-4CAC-9F0C-B492CA1CC663}" type="presParOf" srcId="{BB89B837-0F51-4862-B58F-6F1F90F78794}" destId="{06CA18D3-C704-4A30-912D-3E58B3BBD771}" srcOrd="3" destOrd="0" presId="urn:microsoft.com/office/officeart/2005/8/layout/process4"/>
    <dgm:cxn modelId="{C78E60D8-49E6-405E-9BD9-D5824FD956A5}" type="presParOf" srcId="{BB89B837-0F51-4862-B58F-6F1F90F78794}" destId="{9B8CB9DC-F228-4AAB-B253-26D51F6BA885}" srcOrd="4" destOrd="0" presId="urn:microsoft.com/office/officeart/2005/8/layout/process4"/>
    <dgm:cxn modelId="{8A09E53B-E9A7-4A10-ADBC-C76223C88109}" type="presParOf" srcId="{9B8CB9DC-F228-4AAB-B253-26D51F6BA885}" destId="{BB65B2B7-5F27-4EAA-AEDA-0B8F929A585C}" srcOrd="0" destOrd="0" presId="urn:microsoft.com/office/officeart/2005/8/layout/process4"/>
    <dgm:cxn modelId="{4BEEAAE9-040A-4913-9619-1CE67B6B9407}" type="presParOf" srcId="{BB89B837-0F51-4862-B58F-6F1F90F78794}" destId="{9787A5AC-4655-4ADE-8626-741557900F20}" srcOrd="5" destOrd="0" presId="urn:microsoft.com/office/officeart/2005/8/layout/process4"/>
    <dgm:cxn modelId="{15E9D1B7-90B8-4391-A74C-FEF39A168D55}" type="presParOf" srcId="{BB89B837-0F51-4862-B58F-6F1F90F78794}" destId="{ED5C5415-BD6B-479C-9D89-1368C0A5E247}" srcOrd="6" destOrd="0" presId="urn:microsoft.com/office/officeart/2005/8/layout/process4"/>
    <dgm:cxn modelId="{F5731CDF-53CB-40EA-8A9C-7BC2FC138515}" type="presParOf" srcId="{ED5C5415-BD6B-479C-9D89-1368C0A5E247}" destId="{B560BAF9-AF4C-4E50-B4F5-042C859CA398}" srcOrd="0" destOrd="0" presId="urn:microsoft.com/office/officeart/2005/8/layout/process4"/>
    <dgm:cxn modelId="{53CF5677-B1AF-4A39-A549-78AFCA0859EB}" type="presParOf" srcId="{BB89B837-0F51-4862-B58F-6F1F90F78794}" destId="{016CD5AF-73DF-4291-A546-5EF2F59611B7}" srcOrd="7" destOrd="0" presId="urn:microsoft.com/office/officeart/2005/8/layout/process4"/>
    <dgm:cxn modelId="{FE67A364-8C70-4B10-B20F-7870E26E3514}" type="presParOf" srcId="{BB89B837-0F51-4862-B58F-6F1F90F78794}" destId="{A981A25F-320A-4E51-B1C4-4C6C7933168E}" srcOrd="8" destOrd="0" presId="urn:microsoft.com/office/officeart/2005/8/layout/process4"/>
    <dgm:cxn modelId="{158F67FB-B306-46EA-8C22-8196B4AC9F10}" type="presParOf" srcId="{A981A25F-320A-4E51-B1C4-4C6C7933168E}" destId="{12942451-98FF-4D26-B4A3-BFC06008E3FA}" srcOrd="0" destOrd="0" presId="urn:microsoft.com/office/officeart/2005/8/layout/process4"/>
    <dgm:cxn modelId="{B06E56C2-CD65-4356-8414-C9DFDE1247BF}" type="presParOf" srcId="{BB89B837-0F51-4862-B58F-6F1F90F78794}" destId="{F6FD53E6-DA35-42DB-B200-CFC20B3186D0}" srcOrd="9" destOrd="0" presId="urn:microsoft.com/office/officeart/2005/8/layout/process4"/>
    <dgm:cxn modelId="{4FA2946D-FB46-4E4A-BA9A-E66099BD03B3}" type="presParOf" srcId="{BB89B837-0F51-4862-B58F-6F1F90F78794}" destId="{81EDDD4D-1A1F-4C84-A4D4-71A7FB40118E}" srcOrd="10" destOrd="0" presId="urn:microsoft.com/office/officeart/2005/8/layout/process4"/>
    <dgm:cxn modelId="{9130D207-12B0-4AF9-80B3-23254D4B3083}" type="presParOf" srcId="{81EDDD4D-1A1F-4C84-A4D4-71A7FB40118E}" destId="{B4EF4A13-FFB8-4D59-A9F8-C5EE45D9713F}"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459832-85D0-4F1B-BED9-445B979697BF}">
      <dsp:nvSpPr>
        <dsp:cNvPr id="0" name=""/>
        <dsp:cNvSpPr/>
      </dsp:nvSpPr>
      <dsp:spPr>
        <a:xfrm>
          <a:off x="1001330" y="3293426"/>
          <a:ext cx="3690113" cy="4322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2022</a:t>
          </a:r>
        </a:p>
        <a:p>
          <a:pPr marL="0" lvl="0" indent="0" algn="ctr" defTabSz="400050">
            <a:lnSpc>
              <a:spcPct val="90000"/>
            </a:lnSpc>
            <a:spcBef>
              <a:spcPct val="0"/>
            </a:spcBef>
            <a:spcAft>
              <a:spcPct val="35000"/>
            </a:spcAft>
            <a:buNone/>
          </a:pPr>
          <a:r>
            <a:rPr lang="en-AU" sz="900" kern="1200"/>
            <a:t>Kunming-Montreal </a:t>
          </a:r>
          <a:r>
            <a:rPr lang="en-AU" sz="900" u="sng" kern="1200"/>
            <a:t>Global Biodiversity Framework</a:t>
          </a:r>
          <a:r>
            <a:rPr lang="en-AU" sz="900" u="none" kern="1200"/>
            <a:t> </a:t>
          </a:r>
          <a:r>
            <a:rPr lang="en-AU" sz="900" kern="1200"/>
            <a:t>/ 30 by 30 target adopted</a:t>
          </a:r>
        </a:p>
      </dsp:txBody>
      <dsp:txXfrm>
        <a:off x="1001330" y="3293426"/>
        <a:ext cx="3690113" cy="432260"/>
      </dsp:txXfrm>
    </dsp:sp>
    <dsp:sp modelId="{C6DE2FE1-23E7-42F8-B31C-130F9D409DFB}">
      <dsp:nvSpPr>
        <dsp:cNvPr id="0" name=""/>
        <dsp:cNvSpPr/>
      </dsp:nvSpPr>
      <dsp:spPr>
        <a:xfrm rot="10800000">
          <a:off x="1359150" y="2635093"/>
          <a:ext cx="2974474" cy="66481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2022</a:t>
          </a:r>
        </a:p>
        <a:p>
          <a:pPr marL="0" lvl="0" indent="0" algn="ctr" defTabSz="400050">
            <a:lnSpc>
              <a:spcPct val="90000"/>
            </a:lnSpc>
            <a:spcBef>
              <a:spcPct val="0"/>
            </a:spcBef>
            <a:spcAft>
              <a:spcPct val="35000"/>
            </a:spcAft>
            <a:buNone/>
          </a:pPr>
          <a:r>
            <a:rPr lang="en-AU" sz="900" kern="1200"/>
            <a:t>IUCN OECM </a:t>
          </a:r>
          <a:r>
            <a:rPr lang="en-AU" sz="900" u="sng" kern="1200"/>
            <a:t>revised draft site level methodology</a:t>
          </a:r>
          <a:r>
            <a:rPr lang="en-AU" sz="900" u="none" kern="1200"/>
            <a:t> </a:t>
          </a:r>
          <a:r>
            <a:rPr lang="en-AU" sz="900" kern="1200"/>
            <a:t>released</a:t>
          </a:r>
        </a:p>
      </dsp:txBody>
      <dsp:txXfrm rot="10800000">
        <a:off x="1359150" y="2635093"/>
        <a:ext cx="2974474" cy="431977"/>
      </dsp:txXfrm>
    </dsp:sp>
    <dsp:sp modelId="{BB65B2B7-5F27-4EAA-AEDA-0B8F929A585C}">
      <dsp:nvSpPr>
        <dsp:cNvPr id="0" name=""/>
        <dsp:cNvSpPr/>
      </dsp:nvSpPr>
      <dsp:spPr>
        <a:xfrm rot="10800000">
          <a:off x="1616064" y="1976761"/>
          <a:ext cx="2460645" cy="66481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2020</a:t>
          </a:r>
        </a:p>
        <a:p>
          <a:pPr marL="0" lvl="0" indent="0" algn="ctr" defTabSz="400050">
            <a:lnSpc>
              <a:spcPct val="90000"/>
            </a:lnSpc>
            <a:spcBef>
              <a:spcPct val="0"/>
            </a:spcBef>
            <a:spcAft>
              <a:spcPct val="35000"/>
            </a:spcAft>
            <a:buNone/>
          </a:pPr>
          <a:r>
            <a:rPr lang="en-AU" sz="900" kern="1200"/>
            <a:t>IUCN OECM draft site level methodology released</a:t>
          </a:r>
        </a:p>
      </dsp:txBody>
      <dsp:txXfrm rot="10800000">
        <a:off x="1616064" y="1976761"/>
        <a:ext cx="2460645" cy="431977"/>
      </dsp:txXfrm>
    </dsp:sp>
    <dsp:sp modelId="{B560BAF9-AF4C-4E50-B4F5-042C859CA398}">
      <dsp:nvSpPr>
        <dsp:cNvPr id="0" name=""/>
        <dsp:cNvSpPr/>
      </dsp:nvSpPr>
      <dsp:spPr>
        <a:xfrm rot="10800000">
          <a:off x="1979349" y="1318428"/>
          <a:ext cx="1734076" cy="66481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2019</a:t>
          </a:r>
        </a:p>
        <a:p>
          <a:pPr marL="0" lvl="0" indent="0" algn="ctr" defTabSz="400050">
            <a:lnSpc>
              <a:spcPct val="90000"/>
            </a:lnSpc>
            <a:spcBef>
              <a:spcPct val="0"/>
            </a:spcBef>
            <a:spcAft>
              <a:spcPct val="35000"/>
            </a:spcAft>
            <a:buNone/>
          </a:pPr>
          <a:r>
            <a:rPr lang="en-AU" sz="900" kern="1200"/>
            <a:t>IUCN OECM </a:t>
          </a:r>
          <a:r>
            <a:rPr lang="en-AU" sz="900" u="sng" kern="1200"/>
            <a:t>guidance</a:t>
          </a:r>
          <a:r>
            <a:rPr lang="en-AU" sz="900" kern="1200"/>
            <a:t> released</a:t>
          </a:r>
        </a:p>
      </dsp:txBody>
      <dsp:txXfrm rot="10800000">
        <a:off x="1979349" y="1318428"/>
        <a:ext cx="1734076" cy="431977"/>
      </dsp:txXfrm>
    </dsp:sp>
    <dsp:sp modelId="{12942451-98FF-4D26-B4A3-BFC06008E3FA}">
      <dsp:nvSpPr>
        <dsp:cNvPr id="0" name=""/>
        <dsp:cNvSpPr/>
      </dsp:nvSpPr>
      <dsp:spPr>
        <a:xfrm rot="10800000">
          <a:off x="1835151" y="660095"/>
          <a:ext cx="2022472" cy="66481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2018 </a:t>
          </a:r>
        </a:p>
        <a:p>
          <a:pPr marL="0" lvl="0" indent="0" algn="ctr" defTabSz="400050">
            <a:lnSpc>
              <a:spcPct val="90000"/>
            </a:lnSpc>
            <a:spcBef>
              <a:spcPct val="0"/>
            </a:spcBef>
            <a:spcAft>
              <a:spcPct val="35000"/>
            </a:spcAft>
            <a:buNone/>
          </a:pPr>
          <a:r>
            <a:rPr lang="en-AU" sz="900" kern="1200"/>
            <a:t>OECMs defined by CBD - </a:t>
          </a:r>
          <a:r>
            <a:rPr lang="en-AU" sz="900" u="sng" kern="1200"/>
            <a:t>Decision 14/8</a:t>
          </a:r>
        </a:p>
      </dsp:txBody>
      <dsp:txXfrm rot="10800000">
        <a:off x="1835151" y="660095"/>
        <a:ext cx="2022472" cy="431977"/>
      </dsp:txXfrm>
    </dsp:sp>
    <dsp:sp modelId="{B4EF4A13-FFB8-4D59-A9F8-C5EE45D9713F}">
      <dsp:nvSpPr>
        <dsp:cNvPr id="0" name=""/>
        <dsp:cNvSpPr/>
      </dsp:nvSpPr>
      <dsp:spPr>
        <a:xfrm rot="10800000">
          <a:off x="1749418" y="1763"/>
          <a:ext cx="2193938" cy="66481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2011</a:t>
          </a:r>
        </a:p>
        <a:p>
          <a:pPr marL="0" lvl="0" indent="0" algn="ctr" defTabSz="400050">
            <a:lnSpc>
              <a:spcPct val="90000"/>
            </a:lnSpc>
            <a:spcBef>
              <a:spcPct val="0"/>
            </a:spcBef>
            <a:spcAft>
              <a:spcPct val="35000"/>
            </a:spcAft>
            <a:buNone/>
          </a:pPr>
          <a:r>
            <a:rPr lang="en-AU" sz="900" kern="1200"/>
            <a:t>OECM concept introduced - </a:t>
          </a:r>
          <a:r>
            <a:rPr lang="en-AU" sz="900" u="sng" kern="1200"/>
            <a:t>Aichi Target 11</a:t>
          </a:r>
        </a:p>
      </dsp:txBody>
      <dsp:txXfrm rot="10800000">
        <a:off x="1749418" y="1763"/>
        <a:ext cx="2193938" cy="4319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799a1582-8582-406f-ad09-2bf004bcd4b6" xsi:nil="true"/>
    <IconOverlay xmlns="http://schemas.microsoft.com/sharepoint/v4" xsi:nil="true"/>
    <DocumentDescription xmlns="799a1582-8582-406f-ad09-2bf004bcd4b6">For public consultation</DocumentDescription>
    <RecordNumber xmlns="799a1582-8582-406f-ad09-2bf004bcd4b6" xsi:nil="true"/>
    <Approval xmlns="799a1582-8582-406f-ad09-2bf004bcd4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21AA5E3E5A95C428AE2185AC18324B3" ma:contentTypeVersion="8" ma:contentTypeDescription="SPIRE Document" ma:contentTypeScope="" ma:versionID="65a80c428123d8428f4e57b332cf8aa7">
  <xsd:schema xmlns:xsd="http://www.w3.org/2001/XMLSchema" xmlns:xs="http://www.w3.org/2001/XMLSchema" xmlns:p="http://schemas.microsoft.com/office/2006/metadata/properties" xmlns:ns2="799a1582-8582-406f-ad09-2bf004bcd4b6" xmlns:ns3="http://schemas.microsoft.com/sharepoint/v4" targetNamespace="http://schemas.microsoft.com/office/2006/metadata/properties" ma:root="true" ma:fieldsID="aa768b1c0f345cc0c35c82725a826db9" ns2:_="" ns3:_="">
    <xsd:import namespace="799a1582-8582-406f-ad09-2bf004bcd4b6"/>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3:IconOverlay"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2" nillable="true" ma:displayName="Function" ma:description="Select the relevance function" ma:format="Dropdown" ma:internalName="Function">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GPS.XSL" StyleName="Harvard - AGP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D1CAD33-3B39-4665-A5E6-666D035120E9}">
  <ds:schemaRefs>
    <ds:schemaRef ds:uri="http://schemas.microsoft.com/office/2006/metadata/properties"/>
    <ds:schemaRef ds:uri="http://schemas.microsoft.com/office/infopath/2007/PartnerControls"/>
    <ds:schemaRef ds:uri="799a1582-8582-406f-ad09-2bf004bcd4b6"/>
    <ds:schemaRef ds:uri="http://schemas.microsoft.com/sharepoint/v4"/>
  </ds:schemaRefs>
</ds:datastoreItem>
</file>

<file path=customXml/itemProps2.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3.xml><?xml version="1.0" encoding="utf-8"?>
<ds:datastoreItem xmlns:ds="http://schemas.openxmlformats.org/officeDocument/2006/customXml" ds:itemID="{E86B27EE-E176-4159-899A-633ABED42E4A}">
  <ds:schemaRefs>
    <ds:schemaRef ds:uri="http://schemas.microsoft.com/sharepoint/events"/>
  </ds:schemaRefs>
</ds:datastoreItem>
</file>

<file path=customXml/itemProps4.xml><?xml version="1.0" encoding="utf-8"?>
<ds:datastoreItem xmlns:ds="http://schemas.openxmlformats.org/officeDocument/2006/customXml" ds:itemID="{E4EC2005-F29A-4BFD-B7E0-C673B62C7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EDD9B-2A9B-49C9-B274-737FCC3913CD}">
  <ds:schemaRefs>
    <ds:schemaRef ds:uri="http://schemas.openxmlformats.org/officeDocument/2006/bibliography"/>
  </ds:schemaRefs>
</ds:datastoreItem>
</file>

<file path=customXml/itemProps6.xml><?xml version="1.0" encoding="utf-8"?>
<ds:datastoreItem xmlns:ds="http://schemas.openxmlformats.org/officeDocument/2006/customXml" ds:itemID="{2479B5AA-A50F-4A5B-ACC2-8FE9266B6E9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OECMs - Principles consultation paper</Template>
  <TotalTime>2</TotalTime>
  <Pages>18</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2023.02.17_OECMs - Principles consultation paper</vt:lpstr>
    </vt:vector>
  </TitlesOfParts>
  <Company/>
  <LinksUpToDate>false</LinksUpToDate>
  <CharactersWithSpaces>41009</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OECMs - Principles consultation paper</dc:title>
  <dc:creator>Farrelly, Bronwyn</dc:creator>
  <cp:lastModifiedBy>Farrelly, Bronwyn</cp:lastModifiedBy>
  <cp:revision>1</cp:revision>
  <cp:lastPrinted>2023-02-20T04:34:00Z</cp:lastPrinted>
  <dcterms:created xsi:type="dcterms:W3CDTF">2023-03-09T04:31:00Z</dcterms:created>
  <dcterms:modified xsi:type="dcterms:W3CDTF">2023-03-09T04:33:00Z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0x010100FB3E7E962A8DB4438F88F528BCA9FB3600221AA5E3E5A95C428AE2185AC18324B3</vt:lpwstr>
  </property>
  <property fmtid="{D5CDD505-2E9C-101B-9397-08002B2CF9AE}" pid="3" name="RecordPoint_ActiveItemSiteId">
    <vt:lpwstr>{592f51bd-7f6c-40bf-afb4-0f69d5494f0f}</vt:lpwstr>
  </property>
  <property fmtid="{D5CDD505-2E9C-101B-9397-08002B2CF9AE}" pid="4" name="RecordPoint_ActiveItemListId">
    <vt:lpwstr>{39002f0e-d95c-4250-80bf-6caa15e3bbc1}</vt:lpwstr>
  </property>
  <property fmtid="{D5CDD505-2E9C-101B-9397-08002B2CF9AE}" pid="5" name="RecordPoint_ActiveItemUniqueId">
    <vt:lpwstr>{e9eb2f3e-fc15-4fb8-88cd-c3821715c097}</vt:lpwstr>
  </property>
  <property fmtid="{D5CDD505-2E9C-101B-9397-08002B2CF9AE}" pid="6" name="RecordPoint_ActiveItemWebId">
    <vt:lpwstr>{7f0dbcdb-8733-46c7-8260-b6bc98d8a954}</vt:lpwstr>
  </property>
  <property fmtid="{D5CDD505-2E9C-101B-9397-08002B2CF9AE}" pid="7" name="RecordPoint_WorkflowType">
    <vt:lpwstr>ActiveSubmitStub</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