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2E6F" w14:textId="3209BCEA" w:rsidR="00464775" w:rsidRPr="00B1352D" w:rsidRDefault="00464775" w:rsidP="00464775">
      <w:pPr>
        <w:pStyle w:val="Heading1"/>
        <w:shd w:val="clear" w:color="auto" w:fill="FFFFFF"/>
        <w:spacing w:after="120"/>
      </w:pPr>
      <w:r w:rsidRPr="00B1352D">
        <w:t>Survey Responses</w:t>
      </w:r>
      <w:r w:rsidRPr="00B1352D" w:rsidDel="00B40E8B">
        <w:t xml:space="preserve"> </w:t>
      </w:r>
      <w:r w:rsidRPr="00B1352D">
        <w:t xml:space="preserve">Climate Change Considerations chapter: </w:t>
      </w:r>
      <w:r w:rsidRPr="004D5758">
        <w:rPr>
          <w:i/>
        </w:rPr>
        <w:t>Australian Rainfall and Runoff: A guide to flood estimation</w:t>
      </w:r>
    </w:p>
    <w:p w14:paraId="76EF4934" w14:textId="66C8314A" w:rsidR="00A63463" w:rsidRDefault="00A63463" w:rsidP="00C50496">
      <w:pPr>
        <w:rPr>
          <w:color w:val="000000"/>
        </w:rPr>
      </w:pPr>
      <w:r>
        <w:rPr>
          <w:color w:val="000000"/>
        </w:rPr>
        <w:t>12 October 2023</w:t>
      </w:r>
    </w:p>
    <w:p w14:paraId="14C5DC61" w14:textId="4F687F7A" w:rsidR="00C50496" w:rsidRDefault="00C50496" w:rsidP="00C50496">
      <w:pPr>
        <w:rPr>
          <w:lang w:eastAsia="ja-JP"/>
        </w:rPr>
      </w:pPr>
      <w:r>
        <w:rPr>
          <w:color w:val="000000"/>
        </w:rPr>
        <w:t xml:space="preserve">Earlier this year DCCEEW invited </w:t>
      </w:r>
      <w:r>
        <w:rPr>
          <w:lang w:eastAsia="ja-JP"/>
        </w:rPr>
        <w:t xml:space="preserve">feedback from engineers, peak industry bodies, governments and subject matter experts on a </w:t>
      </w:r>
      <w:hyperlink r:id="rId11" w:history="1">
        <w:r w:rsidRPr="00B51188">
          <w:rPr>
            <w:rStyle w:val="Hyperlink"/>
            <w:lang w:eastAsia="ja-JP"/>
          </w:rPr>
          <w:t>discussion paper</w:t>
        </w:r>
      </w:hyperlink>
      <w:r>
        <w:rPr>
          <w:lang w:eastAsia="ja-JP"/>
        </w:rPr>
        <w:t xml:space="preserve"> that outlined the proposed guiding principles and key considerations for the update to the climate change considerations chapter in </w:t>
      </w:r>
      <w:hyperlink r:id="rId12" w:history="1">
        <w:r w:rsidRPr="00D642F5">
          <w:rPr>
            <w:rStyle w:val="Hyperlink"/>
            <w:i/>
            <w:iCs/>
            <w:lang w:eastAsia="ja-JP"/>
          </w:rPr>
          <w:t>Australian Rainfall and Runoff</w:t>
        </w:r>
      </w:hyperlink>
      <w:r>
        <w:rPr>
          <w:lang w:eastAsia="ja-JP"/>
        </w:rPr>
        <w:t>.</w:t>
      </w:r>
    </w:p>
    <w:p w14:paraId="737D6ECE" w14:textId="28D392EB" w:rsidR="00A54D07" w:rsidRDefault="00C50496" w:rsidP="00C50496">
      <w:r>
        <w:t xml:space="preserve">The consultation returned </w:t>
      </w:r>
      <w:r w:rsidR="00FC0CA6">
        <w:t>over 50</w:t>
      </w:r>
      <w:r>
        <w:t xml:space="preserve"> submissions from a range of stakeholder groups including government, asset owners, industry, engineering consultants and academia. </w:t>
      </w:r>
      <w:r w:rsidR="00094869">
        <w:t xml:space="preserve">This update summarises the findings and next steps. </w:t>
      </w:r>
    </w:p>
    <w:p w14:paraId="4714D699" w14:textId="0D41FF57" w:rsidR="00094869" w:rsidRDefault="00094869" w:rsidP="00C50496">
      <w:r>
        <w:t>Thank you for your interest in th</w:t>
      </w:r>
      <w:r w:rsidR="00A54D07">
        <w:t xml:space="preserve">e </w:t>
      </w:r>
      <w:r w:rsidR="00A9767A">
        <w:t>update to this important guidance.</w:t>
      </w:r>
    </w:p>
    <w:p w14:paraId="2CD204D6" w14:textId="77777777" w:rsidR="00C50496" w:rsidRPr="004B0E30" w:rsidRDefault="00C50496" w:rsidP="00C50496">
      <w:pPr>
        <w:pStyle w:val="Calloutbox"/>
        <w:rPr>
          <w:lang w:eastAsia="ja-JP"/>
        </w:rPr>
      </w:pPr>
      <w:r>
        <w:rPr>
          <w:lang w:eastAsia="ja-JP"/>
        </w:rPr>
        <w:t>Survey Findings</w:t>
      </w:r>
    </w:p>
    <w:p w14:paraId="1010455C" w14:textId="7BEF4F02" w:rsidR="00C50496" w:rsidRDefault="00C50496" w:rsidP="00C50496">
      <w:pPr>
        <w:rPr>
          <w:lang w:eastAsia="ja-JP"/>
        </w:rPr>
      </w:pPr>
      <w:r>
        <w:rPr>
          <w:lang w:eastAsia="ja-JP"/>
        </w:rPr>
        <w:t xml:space="preserve">The survey responses revealed an overwhelming support for the update and overall agreement to the proposed key considerations and guiding principles. It confirmed </w:t>
      </w:r>
      <w:r w:rsidR="00837580">
        <w:rPr>
          <w:lang w:eastAsia="ja-JP"/>
        </w:rPr>
        <w:t>the</w:t>
      </w:r>
      <w:r>
        <w:rPr>
          <w:lang w:eastAsia="ja-JP"/>
        </w:rPr>
        <w:t xml:space="preserve"> primary issues that respondents wish to be addressed are:</w:t>
      </w:r>
    </w:p>
    <w:p w14:paraId="5B419610" w14:textId="5611F8CB" w:rsidR="00C50496" w:rsidRPr="00CB05BD" w:rsidRDefault="00C50496" w:rsidP="00C50496">
      <w:pPr>
        <w:numPr>
          <w:ilvl w:val="0"/>
          <w:numId w:val="17"/>
        </w:numPr>
        <w:spacing w:after="160" w:line="259" w:lineRule="auto"/>
        <w:contextualSpacing/>
        <w:jc w:val="both"/>
        <w:rPr>
          <w:kern w:val="2"/>
        </w:rPr>
      </w:pPr>
      <w:r w:rsidRPr="00CB05BD">
        <w:rPr>
          <w:kern w:val="2"/>
        </w:rPr>
        <w:t xml:space="preserve">the guidance should be updated to reflect the current science and the science review should be separated from the </w:t>
      </w:r>
      <w:proofErr w:type="gramStart"/>
      <w:r w:rsidRPr="00CB05BD">
        <w:rPr>
          <w:kern w:val="2"/>
        </w:rPr>
        <w:t>guidance</w:t>
      </w:r>
      <w:proofErr w:type="gramEnd"/>
    </w:p>
    <w:p w14:paraId="7E26D420" w14:textId="186FC5BE" w:rsidR="00C50496" w:rsidRPr="00CB05BD" w:rsidRDefault="00C50496" w:rsidP="00C50496">
      <w:pPr>
        <w:numPr>
          <w:ilvl w:val="0"/>
          <w:numId w:val="17"/>
        </w:numPr>
        <w:spacing w:after="160" w:line="259" w:lineRule="auto"/>
        <w:contextualSpacing/>
        <w:jc w:val="both"/>
        <w:rPr>
          <w:kern w:val="2"/>
        </w:rPr>
      </w:pPr>
      <w:r w:rsidRPr="00CB05BD">
        <w:rPr>
          <w:kern w:val="2"/>
        </w:rPr>
        <w:t xml:space="preserve">the guidance </w:t>
      </w:r>
      <w:r w:rsidR="008341BD">
        <w:rPr>
          <w:kern w:val="2"/>
        </w:rPr>
        <w:t>should</w:t>
      </w:r>
      <w:r w:rsidRPr="00CB05BD">
        <w:rPr>
          <w:kern w:val="2"/>
        </w:rPr>
        <w:t xml:space="preserve"> be updated to be consistent and applicable across the greatest range of design flood approaches </w:t>
      </w:r>
      <w:proofErr w:type="gramStart"/>
      <w:r w:rsidRPr="00CB05BD">
        <w:rPr>
          <w:kern w:val="2"/>
        </w:rPr>
        <w:t>possible</w:t>
      </w:r>
      <w:proofErr w:type="gramEnd"/>
    </w:p>
    <w:p w14:paraId="32A4DA8B" w14:textId="56107AC1" w:rsidR="00C50496" w:rsidRPr="00CB05BD" w:rsidRDefault="00C50496" w:rsidP="00C50496">
      <w:pPr>
        <w:numPr>
          <w:ilvl w:val="0"/>
          <w:numId w:val="17"/>
        </w:numPr>
        <w:spacing w:after="160" w:line="259" w:lineRule="auto"/>
        <w:contextualSpacing/>
        <w:jc w:val="both"/>
        <w:rPr>
          <w:kern w:val="2"/>
        </w:rPr>
      </w:pPr>
      <w:r w:rsidRPr="00CB05BD">
        <w:rPr>
          <w:kern w:val="2"/>
        </w:rPr>
        <w:t>to the greatest extent possible the wording of the guidance should be unambiguous so that the application of the guidance is consistent</w:t>
      </w:r>
    </w:p>
    <w:p w14:paraId="7960D757" w14:textId="1301BF4D" w:rsidR="00C50496" w:rsidRPr="00CB05BD" w:rsidRDefault="00C50496" w:rsidP="00C50496">
      <w:pPr>
        <w:numPr>
          <w:ilvl w:val="0"/>
          <w:numId w:val="17"/>
        </w:numPr>
        <w:spacing w:after="160" w:line="259" w:lineRule="auto"/>
        <w:contextualSpacing/>
        <w:jc w:val="both"/>
        <w:rPr>
          <w:kern w:val="2"/>
        </w:rPr>
      </w:pPr>
      <w:r w:rsidRPr="00CB05BD">
        <w:rPr>
          <w:kern w:val="2"/>
        </w:rPr>
        <w:t>to the extent that the guidance is advisory and not direct</w:t>
      </w:r>
      <w:r w:rsidR="008341BD">
        <w:rPr>
          <w:kern w:val="2"/>
        </w:rPr>
        <w:t>ive</w:t>
      </w:r>
      <w:r w:rsidRPr="00CB05BD">
        <w:rPr>
          <w:kern w:val="2"/>
        </w:rPr>
        <w:t xml:space="preserve"> or a substitute for regulation, provide clear guidance around decision </w:t>
      </w:r>
      <w:proofErr w:type="gramStart"/>
      <w:r w:rsidRPr="00CB05BD">
        <w:rPr>
          <w:kern w:val="2"/>
        </w:rPr>
        <w:t>making</w:t>
      </w:r>
      <w:proofErr w:type="gramEnd"/>
    </w:p>
    <w:p w14:paraId="13322470" w14:textId="4433C3C0" w:rsidR="00C50496" w:rsidRPr="00CB05BD" w:rsidRDefault="00C50496" w:rsidP="00C50496">
      <w:pPr>
        <w:numPr>
          <w:ilvl w:val="0"/>
          <w:numId w:val="17"/>
        </w:numPr>
        <w:spacing w:after="160" w:line="259" w:lineRule="auto"/>
        <w:contextualSpacing/>
        <w:jc w:val="both"/>
        <w:rPr>
          <w:kern w:val="2"/>
        </w:rPr>
      </w:pPr>
      <w:r w:rsidRPr="00CB05BD">
        <w:rPr>
          <w:kern w:val="2"/>
        </w:rPr>
        <w:t>provide stronger recommendations around choices for future emissions scenarios (</w:t>
      </w:r>
      <w:proofErr w:type="gramStart"/>
      <w:r w:rsidRPr="00CB05BD">
        <w:rPr>
          <w:kern w:val="2"/>
        </w:rPr>
        <w:t>e.g.</w:t>
      </w:r>
      <w:proofErr w:type="gramEnd"/>
      <w:r w:rsidRPr="00CB05BD">
        <w:rPr>
          <w:kern w:val="2"/>
        </w:rPr>
        <w:t xml:space="preserve"> Shared Socioeconomic Pathways</w:t>
      </w:r>
      <w:r w:rsidR="008341BD">
        <w:rPr>
          <w:kern w:val="2"/>
        </w:rPr>
        <w:t xml:space="preserve"> (</w:t>
      </w:r>
      <w:r w:rsidRPr="00CB05BD">
        <w:rPr>
          <w:kern w:val="2"/>
        </w:rPr>
        <w:t>SSPs</w:t>
      </w:r>
      <w:r w:rsidR="008341BD">
        <w:rPr>
          <w:kern w:val="2"/>
        </w:rPr>
        <w:t>)</w:t>
      </w:r>
      <w:r w:rsidRPr="00CB05BD">
        <w:rPr>
          <w:kern w:val="2"/>
        </w:rPr>
        <w:t xml:space="preserve"> or warming levels)</w:t>
      </w:r>
    </w:p>
    <w:p w14:paraId="4776F4B0" w14:textId="0CC80903" w:rsidR="00075A02" w:rsidRDefault="00C50496" w:rsidP="00075A02">
      <w:pPr>
        <w:numPr>
          <w:ilvl w:val="0"/>
          <w:numId w:val="17"/>
        </w:numPr>
        <w:spacing w:after="160" w:line="259" w:lineRule="auto"/>
        <w:contextualSpacing/>
        <w:jc w:val="both"/>
        <w:rPr>
          <w:rFonts w:ascii="Calibri" w:hAnsi="Calibri" w:cs="Calibri"/>
          <w:lang w:eastAsia="ja-JP"/>
        </w:rPr>
      </w:pPr>
      <w:r w:rsidRPr="003B4597">
        <w:rPr>
          <w:kern w:val="2"/>
        </w:rPr>
        <w:t>provide uncertainty bounds in the climate change projections where feasible.</w:t>
      </w:r>
    </w:p>
    <w:p w14:paraId="53436A38" w14:textId="77777777" w:rsidR="00075A02" w:rsidRPr="00075A02" w:rsidRDefault="00075A02" w:rsidP="00075A02">
      <w:pPr>
        <w:spacing w:after="160" w:line="259" w:lineRule="auto"/>
        <w:ind w:left="360"/>
        <w:contextualSpacing/>
        <w:jc w:val="both"/>
        <w:rPr>
          <w:rFonts w:ascii="Calibri" w:hAnsi="Calibri" w:cs="Calibri"/>
          <w:lang w:eastAsia="ja-JP"/>
        </w:rPr>
      </w:pPr>
    </w:p>
    <w:p w14:paraId="3995EE69" w14:textId="6712B50D" w:rsidR="00C50496" w:rsidRDefault="00C50496" w:rsidP="00C50496">
      <w:pPr>
        <w:rPr>
          <w:color w:val="000000"/>
        </w:rPr>
      </w:pPr>
      <w:r>
        <w:rPr>
          <w:lang w:eastAsia="ja-JP"/>
        </w:rPr>
        <w:t xml:space="preserve">The survey results also revealed </w:t>
      </w:r>
      <w:r w:rsidR="008341BD">
        <w:rPr>
          <w:lang w:eastAsia="ja-JP"/>
        </w:rPr>
        <w:t xml:space="preserve">other </w:t>
      </w:r>
      <w:r>
        <w:rPr>
          <w:lang w:eastAsia="ja-JP"/>
        </w:rPr>
        <w:t xml:space="preserve">areas where the update can better reflect the needs of users. </w:t>
      </w:r>
      <w:r>
        <w:rPr>
          <w:color w:val="000000"/>
        </w:rPr>
        <w:t xml:space="preserve">A high-level summary of actions resulting from the survey information is </w:t>
      </w:r>
      <w:r w:rsidR="008341BD">
        <w:rPr>
          <w:color w:val="000000"/>
        </w:rPr>
        <w:t>in the next</w:t>
      </w:r>
      <w:r>
        <w:rPr>
          <w:color w:val="000000"/>
        </w:rPr>
        <w:t xml:space="preserve"> table.</w:t>
      </w:r>
    </w:p>
    <w:p w14:paraId="47E81041" w14:textId="1F19D434" w:rsidR="0065525A" w:rsidRDefault="0065525A">
      <w:pPr>
        <w:spacing w:after="160" w:line="259" w:lineRule="auto"/>
        <w:rPr>
          <w:color w:val="000000"/>
        </w:rPr>
      </w:pPr>
      <w:r>
        <w:rPr>
          <w:color w:val="000000"/>
        </w:rPr>
        <w:br w:type="page"/>
      </w:r>
    </w:p>
    <w:p w14:paraId="38A2B573" w14:textId="77777777" w:rsidR="009338DF" w:rsidRDefault="00FC70DC" w:rsidP="009822C8">
      <w:pPr>
        <w:pStyle w:val="Calloutbox"/>
        <w:rPr>
          <w:i/>
          <w:iCs/>
        </w:rPr>
      </w:pPr>
      <w:r>
        <w:lastRenderedPageBreak/>
        <w:t xml:space="preserve">Update </w:t>
      </w:r>
      <w:r w:rsidR="009338DF">
        <w:t xml:space="preserve">to the Climate Change Considerations chapter of </w:t>
      </w:r>
      <w:r w:rsidR="009338DF">
        <w:rPr>
          <w:i/>
          <w:iCs/>
        </w:rPr>
        <w:t xml:space="preserve">Australian Rainfall and </w:t>
      </w:r>
      <w:r w:rsidR="009338DF" w:rsidRPr="009338DF">
        <w:rPr>
          <w:i/>
          <w:iCs/>
        </w:rPr>
        <w:t>Runoff</w:t>
      </w:r>
    </w:p>
    <w:p w14:paraId="3CEE842A" w14:textId="7B2E94F8" w:rsidR="00C50496" w:rsidRDefault="005A7D70" w:rsidP="009822C8">
      <w:pPr>
        <w:pStyle w:val="Calloutbox"/>
      </w:pPr>
      <w:r>
        <w:t xml:space="preserve">Survey </w:t>
      </w:r>
      <w:r w:rsidR="008341BD">
        <w:t xml:space="preserve">- other </w:t>
      </w:r>
      <w:r>
        <w:t>identified u</w:t>
      </w:r>
      <w:r w:rsidR="009338DF">
        <w:t>ser needs</w:t>
      </w:r>
      <w:r w:rsidR="00513C4B">
        <w:t xml:space="preserve"> </w:t>
      </w:r>
    </w:p>
    <w:tbl>
      <w:tblPr>
        <w:tblStyle w:val="TableGrid"/>
        <w:tblW w:w="9067" w:type="dxa"/>
        <w:tblLook w:val="04A0" w:firstRow="1" w:lastRow="0" w:firstColumn="1" w:lastColumn="0" w:noHBand="0" w:noVBand="1"/>
      </w:tblPr>
      <w:tblGrid>
        <w:gridCol w:w="3823"/>
        <w:gridCol w:w="5244"/>
      </w:tblGrid>
      <w:tr w:rsidR="00C50496" w14:paraId="73C43314" w14:textId="77777777" w:rsidTr="00891BC6">
        <w:tc>
          <w:tcPr>
            <w:tcW w:w="3823" w:type="dxa"/>
          </w:tcPr>
          <w:p w14:paraId="2CC46CD9" w14:textId="77777777" w:rsidR="00C50496" w:rsidRPr="00B618C4" w:rsidRDefault="00C50496" w:rsidP="008341BD">
            <w:pPr>
              <w:rPr>
                <w:b/>
                <w:color w:val="000000"/>
              </w:rPr>
            </w:pPr>
            <w:r w:rsidRPr="00B618C4">
              <w:rPr>
                <w:b/>
                <w:color w:val="000000"/>
              </w:rPr>
              <w:t>High-level survey findings</w:t>
            </w:r>
          </w:p>
        </w:tc>
        <w:tc>
          <w:tcPr>
            <w:tcW w:w="5244" w:type="dxa"/>
          </w:tcPr>
          <w:p w14:paraId="06909581" w14:textId="77777777" w:rsidR="00C50496" w:rsidRPr="00B618C4" w:rsidRDefault="00C50496" w:rsidP="008341BD">
            <w:pPr>
              <w:rPr>
                <w:b/>
                <w:color w:val="000000"/>
              </w:rPr>
            </w:pPr>
            <w:r w:rsidRPr="00B618C4">
              <w:rPr>
                <w:b/>
                <w:color w:val="000000"/>
              </w:rPr>
              <w:t xml:space="preserve">Proposed treatment in the </w:t>
            </w:r>
            <w:r w:rsidRPr="00B618C4">
              <w:rPr>
                <w:b/>
                <w:bCs/>
                <w:color w:val="000000"/>
              </w:rPr>
              <w:t>update</w:t>
            </w:r>
            <w:r>
              <w:rPr>
                <w:b/>
                <w:bCs/>
                <w:color w:val="000000"/>
              </w:rPr>
              <w:t>d guidance</w:t>
            </w:r>
          </w:p>
        </w:tc>
      </w:tr>
      <w:tr w:rsidR="00C50496" w14:paraId="2CC3BCA9" w14:textId="77777777" w:rsidTr="00891BC6">
        <w:tc>
          <w:tcPr>
            <w:tcW w:w="3823" w:type="dxa"/>
          </w:tcPr>
          <w:p w14:paraId="48E86F77" w14:textId="77777777" w:rsidR="00C50496" w:rsidRDefault="00C50496" w:rsidP="008341BD">
            <w:pPr>
              <w:rPr>
                <w:color w:val="000000"/>
              </w:rPr>
            </w:pPr>
            <w:r>
              <w:rPr>
                <w:color w:val="000000"/>
              </w:rPr>
              <w:t>The application of the guidance is highly variable</w:t>
            </w:r>
          </w:p>
        </w:tc>
        <w:tc>
          <w:tcPr>
            <w:tcW w:w="5244" w:type="dxa"/>
          </w:tcPr>
          <w:p w14:paraId="180902F9" w14:textId="77777777" w:rsidR="00C50496" w:rsidRPr="002A0BC3" w:rsidRDefault="00C50496" w:rsidP="008341BD">
            <w:pPr>
              <w:rPr>
                <w:color w:val="000000"/>
              </w:rPr>
            </w:pPr>
            <w:r>
              <w:rPr>
                <w:color w:val="000000"/>
              </w:rPr>
              <w:t>Provision of</w:t>
            </w:r>
            <w:r w:rsidRPr="002A0BC3">
              <w:rPr>
                <w:color w:val="000000"/>
              </w:rPr>
              <w:t xml:space="preserve"> nuanced discussions about climate change elements in practical design</w:t>
            </w:r>
            <w:r>
              <w:rPr>
                <w:color w:val="000000"/>
              </w:rPr>
              <w:t xml:space="preserve"> and the provision of worked examples to help users apply guidance consistently.</w:t>
            </w:r>
            <w:r>
              <w:rPr>
                <w:lang w:eastAsia="ja-JP"/>
              </w:rPr>
              <w:t xml:space="preserve"> This will include clear guidance around consideration of uncertainty, and choice of climate scenarios, baselines, </w:t>
            </w:r>
            <w:proofErr w:type="gramStart"/>
            <w:r>
              <w:rPr>
                <w:lang w:eastAsia="ja-JP"/>
              </w:rPr>
              <w:t>losses</w:t>
            </w:r>
            <w:proofErr w:type="gramEnd"/>
            <w:r>
              <w:rPr>
                <w:lang w:eastAsia="ja-JP"/>
              </w:rPr>
              <w:t xml:space="preserve"> and continuous simulation.</w:t>
            </w:r>
          </w:p>
        </w:tc>
      </w:tr>
      <w:tr w:rsidR="00C50496" w14:paraId="30110752" w14:textId="77777777" w:rsidTr="00891BC6">
        <w:tc>
          <w:tcPr>
            <w:tcW w:w="3823" w:type="dxa"/>
          </w:tcPr>
          <w:p w14:paraId="6C296DB1" w14:textId="77777777" w:rsidR="00C50496" w:rsidRDefault="00C50496" w:rsidP="008341BD">
            <w:pPr>
              <w:rPr>
                <w:color w:val="000000"/>
              </w:rPr>
            </w:pPr>
            <w:r>
              <w:rPr>
                <w:color w:val="000000"/>
              </w:rPr>
              <w:t>The guidance should support users in decision making</w:t>
            </w:r>
          </w:p>
        </w:tc>
        <w:tc>
          <w:tcPr>
            <w:tcW w:w="5244" w:type="dxa"/>
          </w:tcPr>
          <w:p w14:paraId="0C621863" w14:textId="77777777" w:rsidR="00C50496" w:rsidRPr="00463FDC" w:rsidRDefault="00C50496" w:rsidP="008341BD">
            <w:pPr>
              <w:rPr>
                <w:lang w:eastAsia="ja-JP"/>
              </w:rPr>
            </w:pPr>
            <w:r w:rsidRPr="00463FDC">
              <w:rPr>
                <w:lang w:eastAsia="ja-JP"/>
              </w:rPr>
              <w:t xml:space="preserve">'Layering' guidance to provide an easy-to-apply method as a default, with guidance on more sophisticated methods where appropriate. </w:t>
            </w:r>
          </w:p>
          <w:p w14:paraId="2A4E55D3" w14:textId="77777777" w:rsidR="00C50496" w:rsidRDefault="00C50496" w:rsidP="008341BD">
            <w:pPr>
              <w:rPr>
                <w:lang w:eastAsia="ja-JP"/>
              </w:rPr>
            </w:pPr>
            <w:r>
              <w:rPr>
                <w:lang w:eastAsia="ja-JP"/>
              </w:rPr>
              <w:t>Inclusion of worked examples.</w:t>
            </w:r>
          </w:p>
          <w:p w14:paraId="1A3F3A8C" w14:textId="77777777" w:rsidR="00C50496" w:rsidRDefault="00C50496" w:rsidP="008341BD">
            <w:pPr>
              <w:rPr>
                <w:color w:val="000000"/>
              </w:rPr>
            </w:pPr>
            <w:r>
              <w:rPr>
                <w:color w:val="000000"/>
              </w:rPr>
              <w:t xml:space="preserve">Ensuring the scope of the guidance covers all annual exceedance probabilities up to and including the Probable Maximum Precipitation. </w:t>
            </w:r>
          </w:p>
          <w:p w14:paraId="06B5DDDC" w14:textId="77777777" w:rsidR="00C50496" w:rsidRDefault="00C50496" w:rsidP="008341BD">
            <w:pPr>
              <w:rPr>
                <w:color w:val="000000"/>
              </w:rPr>
            </w:pPr>
            <w:r>
              <w:rPr>
                <w:color w:val="000000"/>
              </w:rPr>
              <w:t xml:space="preserve">Provision of information / guidance on spatial variability. </w:t>
            </w:r>
          </w:p>
          <w:p w14:paraId="0A0D01F7" w14:textId="395CE737" w:rsidR="00C50496" w:rsidRDefault="00C50496" w:rsidP="008341BD">
            <w:pPr>
              <w:rPr>
                <w:color w:val="000000"/>
              </w:rPr>
            </w:pPr>
            <w:r>
              <w:rPr>
                <w:color w:val="000000"/>
              </w:rPr>
              <w:t>Decoupling of I</w:t>
            </w:r>
            <w:r w:rsidR="00463FDC">
              <w:rPr>
                <w:color w:val="000000"/>
              </w:rPr>
              <w:t>ntensity-</w:t>
            </w:r>
            <w:r w:rsidR="00CB4F18">
              <w:rPr>
                <w:color w:val="000000"/>
              </w:rPr>
              <w:t>Frequency-Duration</w:t>
            </w:r>
            <w:r>
              <w:rPr>
                <w:color w:val="000000"/>
              </w:rPr>
              <w:t xml:space="preserve"> </w:t>
            </w:r>
            <w:r w:rsidR="00CB4F18">
              <w:rPr>
                <w:color w:val="000000"/>
              </w:rPr>
              <w:t xml:space="preserve">(IFD) </w:t>
            </w:r>
            <w:r>
              <w:rPr>
                <w:color w:val="000000"/>
              </w:rPr>
              <w:t>scaling factors from temperature projections to allow independent updates in response to new data or policy changes.</w:t>
            </w:r>
          </w:p>
        </w:tc>
      </w:tr>
      <w:tr w:rsidR="00C50496" w14:paraId="7453A229" w14:textId="77777777" w:rsidTr="00891BC6">
        <w:tc>
          <w:tcPr>
            <w:tcW w:w="3823" w:type="dxa"/>
          </w:tcPr>
          <w:p w14:paraId="53B975FF" w14:textId="5B44AC1C" w:rsidR="00897086" w:rsidRPr="00B72A73" w:rsidRDefault="00897086" w:rsidP="38766641">
            <w:pPr>
              <w:rPr>
                <w:color w:val="000000" w:themeColor="accent5"/>
              </w:rPr>
            </w:pPr>
            <w:r>
              <w:rPr>
                <w:color w:val="000000" w:themeColor="accent5"/>
              </w:rPr>
              <w:t>The guidance should contain an update mechanism.</w:t>
            </w:r>
          </w:p>
          <w:p w14:paraId="18529D2C" w14:textId="1C636D4A" w:rsidR="00C50496" w:rsidRDefault="00C50496" w:rsidP="008341BD">
            <w:pPr>
              <w:rPr>
                <w:color w:val="000000"/>
              </w:rPr>
            </w:pPr>
          </w:p>
        </w:tc>
        <w:tc>
          <w:tcPr>
            <w:tcW w:w="5244" w:type="dxa"/>
          </w:tcPr>
          <w:p w14:paraId="1A819A35" w14:textId="6BFCF44C" w:rsidR="00FE643E" w:rsidRDefault="00AE7F67" w:rsidP="00C520B8">
            <w:r w:rsidRPr="00EF5B8C">
              <w:t xml:space="preserve">The updated guidance </w:t>
            </w:r>
            <w:r w:rsidR="00A27B5E" w:rsidRPr="00EF5B8C">
              <w:t xml:space="preserve">will include </w:t>
            </w:r>
            <w:r w:rsidR="00C32502">
              <w:t xml:space="preserve">advice </w:t>
            </w:r>
            <w:r w:rsidR="00CB00EF">
              <w:t>to update temperature projections</w:t>
            </w:r>
            <w:r w:rsidR="007B007B" w:rsidRPr="00EF5B8C">
              <w:t xml:space="preserve"> independently </w:t>
            </w:r>
            <w:r w:rsidR="00F06760" w:rsidRPr="00EF5B8C">
              <w:t xml:space="preserve">of </w:t>
            </w:r>
            <w:r w:rsidR="00CB00EF">
              <w:t xml:space="preserve">an update to the science review. </w:t>
            </w:r>
          </w:p>
          <w:p w14:paraId="62766D80" w14:textId="61A2031B" w:rsidR="00C50496" w:rsidRDefault="00CB5205" w:rsidP="00A63463">
            <w:pPr>
              <w:rPr>
                <w:color w:val="000000"/>
              </w:rPr>
            </w:pPr>
            <w:r>
              <w:t xml:space="preserve">The project scope includes the consideration of </w:t>
            </w:r>
            <w:r w:rsidR="00FE0F2A">
              <w:t xml:space="preserve">appropriate </w:t>
            </w:r>
            <w:r w:rsidRPr="00EF5B8C">
              <w:t>chapter update</w:t>
            </w:r>
            <w:r>
              <w:t xml:space="preserve"> </w:t>
            </w:r>
            <w:r w:rsidR="00592A55">
              <w:t xml:space="preserve">triggers </w:t>
            </w:r>
            <w:r w:rsidR="00FE0F2A">
              <w:t xml:space="preserve">and </w:t>
            </w:r>
            <w:r>
              <w:t>mechanisms</w:t>
            </w:r>
            <w:r w:rsidR="004B33BF">
              <w:t>.</w:t>
            </w:r>
          </w:p>
        </w:tc>
      </w:tr>
      <w:tr w:rsidR="00C50496" w14:paraId="24DAAC67" w14:textId="77777777" w:rsidTr="00891BC6">
        <w:tc>
          <w:tcPr>
            <w:tcW w:w="3823" w:type="dxa"/>
          </w:tcPr>
          <w:p w14:paraId="4780F6DB" w14:textId="77777777" w:rsidR="00C50496" w:rsidRDefault="00C50496" w:rsidP="008341BD">
            <w:pPr>
              <w:rPr>
                <w:color w:val="000000"/>
              </w:rPr>
            </w:pPr>
            <w:r>
              <w:rPr>
                <w:color w:val="000000"/>
              </w:rPr>
              <w:t>The AR&amp;R should not be a substitute for regulation</w:t>
            </w:r>
          </w:p>
        </w:tc>
        <w:tc>
          <w:tcPr>
            <w:tcW w:w="5244" w:type="dxa"/>
          </w:tcPr>
          <w:p w14:paraId="398B020E" w14:textId="72A755FB" w:rsidR="00C50496" w:rsidRDefault="00C50496" w:rsidP="008341BD">
            <w:pPr>
              <w:rPr>
                <w:color w:val="000000"/>
              </w:rPr>
            </w:pPr>
            <w:r>
              <w:t xml:space="preserve">ARR is an advisory document and is not a substitute for regulation. </w:t>
            </w:r>
          </w:p>
        </w:tc>
      </w:tr>
    </w:tbl>
    <w:p w14:paraId="7414B2AC" w14:textId="3D9E9B5C" w:rsidR="00B1211C" w:rsidRDefault="00B1211C" w:rsidP="00C50496">
      <w:pPr>
        <w:rPr>
          <w:color w:val="000000"/>
        </w:rPr>
      </w:pPr>
    </w:p>
    <w:p w14:paraId="08BB005A" w14:textId="77777777" w:rsidR="00B1211C" w:rsidRDefault="00B1211C">
      <w:pPr>
        <w:spacing w:after="160" w:line="259" w:lineRule="auto"/>
        <w:rPr>
          <w:color w:val="000000"/>
        </w:rPr>
      </w:pPr>
      <w:r>
        <w:rPr>
          <w:color w:val="000000"/>
        </w:rPr>
        <w:br w:type="page"/>
      </w:r>
    </w:p>
    <w:p w14:paraId="591766B8" w14:textId="77777777" w:rsidR="00C50496" w:rsidRPr="004B0E30" w:rsidRDefault="00C50496" w:rsidP="00B1211C">
      <w:pPr>
        <w:pStyle w:val="Calloutbox"/>
      </w:pPr>
      <w:r>
        <w:lastRenderedPageBreak/>
        <w:t>Next Steps</w:t>
      </w:r>
    </w:p>
    <w:p w14:paraId="71CC92F5" w14:textId="6D452123" w:rsidR="00C50496" w:rsidRDefault="00C50496" w:rsidP="00C50496">
      <w:pPr>
        <w:jc w:val="both"/>
      </w:pPr>
      <w:r>
        <w:t xml:space="preserve">We invite you to continue to influence the </w:t>
      </w:r>
      <w:r w:rsidR="00DE723A">
        <w:t xml:space="preserve">update to the </w:t>
      </w:r>
      <w:r>
        <w:t xml:space="preserve">Climate Change Considerations chapter </w:t>
      </w:r>
      <w:r w:rsidR="00DE723A">
        <w:t xml:space="preserve">of </w:t>
      </w:r>
      <w:r w:rsidR="00DE723A">
        <w:rPr>
          <w:i/>
          <w:iCs/>
        </w:rPr>
        <w:t>Australian Rainfall and Runoff</w:t>
      </w:r>
      <w:r w:rsidR="00DE723A" w:rsidRPr="001D50F7">
        <w:t>,</w:t>
      </w:r>
      <w:r w:rsidR="00DE723A">
        <w:rPr>
          <w:i/>
          <w:iCs/>
        </w:rPr>
        <w:t xml:space="preserve"> </w:t>
      </w:r>
      <w:r>
        <w:t>ahead of the final guidance publication in early 2024.</w:t>
      </w:r>
    </w:p>
    <w:p w14:paraId="2AA31801" w14:textId="77777777" w:rsidR="00C50496" w:rsidRDefault="00C50496" w:rsidP="00C50496">
      <w:pPr>
        <w:rPr>
          <w:sz w:val="21"/>
          <w:szCs w:val="21"/>
          <w:highlight w:val="yellow"/>
          <w:lang w:eastAsia="ja-JP"/>
        </w:rPr>
      </w:pPr>
      <w:r>
        <w:rPr>
          <w:lang w:eastAsia="ja-JP"/>
        </w:rPr>
        <w:t>To have your say:</w:t>
      </w:r>
    </w:p>
    <w:p w14:paraId="4DDC9A75" w14:textId="6C9649F5" w:rsidR="00C50496" w:rsidRPr="00585879" w:rsidRDefault="00C50496" w:rsidP="00C50496">
      <w:pPr>
        <w:numPr>
          <w:ilvl w:val="0"/>
          <w:numId w:val="16"/>
        </w:numPr>
        <w:spacing w:after="0" w:line="240" w:lineRule="auto"/>
        <w:rPr>
          <w:rFonts w:eastAsia="Times New Roman"/>
          <w:color w:val="000000"/>
          <w:shd w:val="clear" w:color="auto" w:fill="FFFFFF"/>
          <w:lang w:eastAsia="en-AU"/>
        </w:rPr>
      </w:pPr>
      <w:r w:rsidRPr="00585879">
        <w:rPr>
          <w:rFonts w:eastAsia="Times New Roman"/>
          <w:color w:val="000000"/>
          <w:shd w:val="clear" w:color="auto" w:fill="FFFFFF"/>
          <w:lang w:eastAsia="en-AU"/>
        </w:rPr>
        <w:t xml:space="preserve">Review the science </w:t>
      </w:r>
      <w:r>
        <w:rPr>
          <w:rFonts w:eastAsia="Times New Roman"/>
          <w:color w:val="000000"/>
          <w:shd w:val="clear" w:color="auto" w:fill="FFFFFF"/>
          <w:lang w:eastAsia="en-AU"/>
        </w:rPr>
        <w:t xml:space="preserve">underpinning the update </w:t>
      </w:r>
      <w:r w:rsidRPr="00585879">
        <w:rPr>
          <w:rFonts w:eastAsia="Times New Roman"/>
          <w:color w:val="000000"/>
          <w:shd w:val="clear" w:color="auto" w:fill="FFFFFF"/>
          <w:lang w:eastAsia="en-AU"/>
        </w:rPr>
        <w:t>in Hydrology and Earth Systems Sciences</w:t>
      </w:r>
      <w:r w:rsidR="00DB2D8E">
        <w:rPr>
          <w:rFonts w:eastAsia="Times New Roman"/>
          <w:color w:val="000000"/>
          <w:shd w:val="clear" w:color="auto" w:fill="FFFFFF"/>
          <w:lang w:eastAsia="en-AU"/>
        </w:rPr>
        <w:br/>
      </w:r>
      <w:hyperlink r:id="rId13" w:history="1">
        <w:r w:rsidR="00D92CAB">
          <w:rPr>
            <w:rStyle w:val="Hyperlink"/>
          </w:rPr>
          <w:t>HESSD - A systematic review of climate change science relevant to Australian design flood estimation (copernicus.org)</w:t>
        </w:r>
      </w:hyperlink>
    </w:p>
    <w:p w14:paraId="231E47E8" w14:textId="0C3D7D05" w:rsidR="00C50496" w:rsidRPr="00585879" w:rsidRDefault="00C50496" w:rsidP="00C50496">
      <w:pPr>
        <w:numPr>
          <w:ilvl w:val="0"/>
          <w:numId w:val="16"/>
        </w:numPr>
        <w:spacing w:after="0" w:line="240" w:lineRule="auto"/>
        <w:rPr>
          <w:rFonts w:eastAsia="Times New Roman"/>
          <w:color w:val="000000"/>
          <w:shd w:val="clear" w:color="auto" w:fill="FFFFFF"/>
          <w:lang w:eastAsia="en-AU"/>
        </w:rPr>
      </w:pPr>
      <w:r>
        <w:rPr>
          <w:rFonts w:eastAsia="Times New Roman"/>
          <w:color w:val="000000"/>
          <w:shd w:val="clear" w:color="auto" w:fill="FFFFFF"/>
          <w:lang w:eastAsia="en-AU"/>
        </w:rPr>
        <w:t>P</w:t>
      </w:r>
      <w:r w:rsidRPr="00585879">
        <w:rPr>
          <w:rFonts w:eastAsia="Times New Roman"/>
          <w:color w:val="000000"/>
          <w:shd w:val="clear" w:color="auto" w:fill="FFFFFF"/>
          <w:lang w:eastAsia="en-AU"/>
        </w:rPr>
        <w:t>rovide feedback on the draft guidance in a second public consultation process</w:t>
      </w:r>
      <w:r>
        <w:rPr>
          <w:rFonts w:eastAsia="Times New Roman"/>
          <w:color w:val="000000"/>
          <w:shd w:val="clear" w:color="auto" w:fill="FFFFFF"/>
          <w:lang w:eastAsia="en-AU"/>
        </w:rPr>
        <w:t xml:space="preserve"> opening in November</w:t>
      </w:r>
      <w:r w:rsidR="00FB20C7">
        <w:rPr>
          <w:rFonts w:eastAsia="Times New Roman"/>
          <w:color w:val="000000"/>
          <w:shd w:val="clear" w:color="auto" w:fill="FFFFFF"/>
          <w:lang w:eastAsia="en-AU"/>
        </w:rPr>
        <w:t>. Conta</w:t>
      </w:r>
      <w:r w:rsidR="005524F8">
        <w:rPr>
          <w:rFonts w:eastAsia="Times New Roman"/>
          <w:color w:val="000000"/>
          <w:shd w:val="clear" w:color="auto" w:fill="FFFFFF"/>
          <w:lang w:eastAsia="en-AU"/>
        </w:rPr>
        <w:t>ct</w:t>
      </w:r>
      <w:r w:rsidR="004B33BF">
        <w:rPr>
          <w:rFonts w:eastAsia="Times New Roman"/>
          <w:color w:val="000000"/>
          <w:shd w:val="clear" w:color="auto" w:fill="FFFFFF"/>
          <w:lang w:eastAsia="en-AU"/>
        </w:rPr>
        <w:t xml:space="preserve"> </w:t>
      </w:r>
      <w:hyperlink r:id="rId14" w:history="1">
        <w:r w:rsidR="004B33BF" w:rsidRPr="004C7195">
          <w:rPr>
            <w:rStyle w:val="Hyperlink"/>
            <w:rFonts w:eastAsia="Times New Roman"/>
            <w:shd w:val="clear" w:color="auto" w:fill="FFFFFF"/>
            <w:lang w:eastAsia="en-AU"/>
          </w:rPr>
          <w:t>climate.science@dcceew.gov.au</w:t>
        </w:r>
      </w:hyperlink>
      <w:r w:rsidR="005524F8">
        <w:rPr>
          <w:rFonts w:eastAsia="Times New Roman"/>
          <w:color w:val="000000"/>
          <w:shd w:val="clear" w:color="auto" w:fill="FFFFFF"/>
          <w:lang w:eastAsia="en-AU"/>
        </w:rPr>
        <w:t xml:space="preserve"> to </w:t>
      </w:r>
      <w:r>
        <w:rPr>
          <w:rFonts w:eastAsia="Times New Roman"/>
          <w:color w:val="000000"/>
          <w:shd w:val="clear" w:color="auto" w:fill="FFFFFF"/>
          <w:lang w:eastAsia="en-AU"/>
        </w:rPr>
        <w:t>stay in touch</w:t>
      </w:r>
      <w:r w:rsidR="005524F8">
        <w:rPr>
          <w:rFonts w:eastAsia="Times New Roman"/>
          <w:color w:val="000000"/>
          <w:shd w:val="clear" w:color="auto" w:fill="FFFFFF"/>
          <w:lang w:eastAsia="en-AU"/>
        </w:rPr>
        <w:t>.</w:t>
      </w:r>
    </w:p>
    <w:p w14:paraId="5BB95B1B" w14:textId="77777777" w:rsidR="00C50496" w:rsidRDefault="00C50496" w:rsidP="00C50496">
      <w:pPr>
        <w:jc w:val="both"/>
      </w:pPr>
    </w:p>
    <w:p w14:paraId="2BDF622C" w14:textId="77777777" w:rsidR="00BF3007" w:rsidRDefault="00BF3007" w:rsidP="00BF3007">
      <w:pPr>
        <w:pStyle w:val="Calloutbox"/>
      </w:pPr>
      <w:r>
        <w:t>Read More</w:t>
      </w:r>
    </w:p>
    <w:p w14:paraId="7D5D7144" w14:textId="77777777" w:rsidR="00BF3007" w:rsidRDefault="00BF3007" w:rsidP="00BF3007">
      <w:pPr>
        <w:rPr>
          <w:color w:val="000000"/>
        </w:rPr>
      </w:pPr>
      <w:r>
        <w:rPr>
          <w:lang w:eastAsia="ja-JP"/>
        </w:rPr>
        <w:t xml:space="preserve">The Department of Climate Change, Energy, the Environment and Water (DCCEEW) in partnership with Engineers Australia is </w:t>
      </w:r>
      <w:r>
        <w:rPr>
          <w:color w:val="000000"/>
        </w:rPr>
        <w:t xml:space="preserve">updating the Climate Change Considerations chapter of </w:t>
      </w:r>
      <w:r>
        <w:rPr>
          <w:i/>
          <w:iCs/>
          <w:color w:val="000000"/>
        </w:rPr>
        <w:t>Australian Rainfall and Runoff: A Guide to Flood Estimation</w:t>
      </w:r>
      <w:r>
        <w:rPr>
          <w:color w:val="000000"/>
        </w:rPr>
        <w:t>.</w:t>
      </w:r>
    </w:p>
    <w:p w14:paraId="1D951E4F" w14:textId="77777777" w:rsidR="00BF3007" w:rsidRDefault="00BF3007" w:rsidP="00BF3007">
      <w:pPr>
        <w:rPr>
          <w:color w:val="000000"/>
        </w:rPr>
      </w:pPr>
      <w:r>
        <w:rPr>
          <w:color w:val="000000"/>
        </w:rPr>
        <w:t xml:space="preserve">The publication is one of the most widely used references to help engineers and the construction industry manage flood risk for the built environment. </w:t>
      </w:r>
      <w:r w:rsidRPr="0007742B">
        <w:rPr>
          <w:color w:val="000000"/>
        </w:rPr>
        <w:t>The latest version was published in 2019 and since this time, significant new research findings have been generated. Both the scientific and engineering community recognise that an update is required.</w:t>
      </w:r>
    </w:p>
    <w:p w14:paraId="4D4C4225" w14:textId="77777777" w:rsidR="00BF3007" w:rsidRDefault="00BF3007" w:rsidP="00BF3007">
      <w:pPr>
        <w:rPr>
          <w:color w:val="000000"/>
        </w:rPr>
      </w:pPr>
      <w:r>
        <w:rPr>
          <w:color w:val="000000"/>
        </w:rPr>
        <w:t xml:space="preserve">Earlier this year DCCEEW invited </w:t>
      </w:r>
      <w:r w:rsidRPr="0007742B">
        <w:rPr>
          <w:color w:val="000000"/>
        </w:rPr>
        <w:t>feedback from engineers, peak industry bodies, governments and subject matter experts on a discussion paper that outlines the proposed guiding principles and key considerations for the update.</w:t>
      </w:r>
      <w:r>
        <w:rPr>
          <w:color w:val="000000"/>
        </w:rPr>
        <w:t xml:space="preserve"> The survey results have been addressed across three key areas:</w:t>
      </w:r>
    </w:p>
    <w:p w14:paraId="6860D330" w14:textId="1F4E3E98" w:rsidR="00BF3007" w:rsidRDefault="00BF3007" w:rsidP="00BF3007">
      <w:pPr>
        <w:pStyle w:val="ListParagraph"/>
        <w:numPr>
          <w:ilvl w:val="0"/>
          <w:numId w:val="18"/>
        </w:numPr>
        <w:spacing w:after="0" w:line="240" w:lineRule="auto"/>
        <w:rPr>
          <w:color w:val="000000"/>
        </w:rPr>
      </w:pPr>
      <w:r>
        <w:rPr>
          <w:color w:val="000000"/>
        </w:rPr>
        <w:t xml:space="preserve">Submission of a </w:t>
      </w:r>
      <w:r w:rsidRPr="00615A97">
        <w:rPr>
          <w:color w:val="000000"/>
        </w:rPr>
        <w:t>meta-analysis of scientific</w:t>
      </w:r>
      <w:r>
        <w:rPr>
          <w:color w:val="000000"/>
        </w:rPr>
        <w:t xml:space="preserve"> literature </w:t>
      </w:r>
      <w:r w:rsidRPr="00615A97">
        <w:rPr>
          <w:color w:val="000000"/>
        </w:rPr>
        <w:t>for peer review</w:t>
      </w:r>
      <w:r>
        <w:rPr>
          <w:color w:val="000000"/>
        </w:rPr>
        <w:t xml:space="preserve">. The review of science will </w:t>
      </w:r>
      <w:r w:rsidRPr="00615A97">
        <w:rPr>
          <w:color w:val="000000"/>
        </w:rPr>
        <w:t>underpin the updated guidance</w:t>
      </w:r>
      <w:r>
        <w:rPr>
          <w:color w:val="000000"/>
        </w:rPr>
        <w:t xml:space="preserve"> and provide scientific consensus when incorporating elements of climate change in design flood estimation. The paper is in an open </w:t>
      </w:r>
      <w:r>
        <w:rPr>
          <w:lang w:eastAsia="ja-JP"/>
        </w:rPr>
        <w:t>peer review process in Hydrology and Earth System Sciences (HESS).</w:t>
      </w:r>
      <w:r w:rsidR="00DB2D8E">
        <w:rPr>
          <w:lang w:eastAsia="ja-JP"/>
        </w:rPr>
        <w:br/>
      </w:r>
      <w:hyperlink r:id="rId15" w:history="1">
        <w:r w:rsidR="00D92CAB">
          <w:rPr>
            <w:rStyle w:val="Hyperlink"/>
          </w:rPr>
          <w:t>HESSD - A systematic review of climate change science relevant to Australian design flood estimation (copernicus.org)</w:t>
        </w:r>
      </w:hyperlink>
    </w:p>
    <w:p w14:paraId="6592BE90" w14:textId="485B84B7" w:rsidR="00BF3007" w:rsidRDefault="00BF3007" w:rsidP="00BF3007">
      <w:pPr>
        <w:pStyle w:val="ListParagraph"/>
        <w:numPr>
          <w:ilvl w:val="0"/>
          <w:numId w:val="18"/>
        </w:numPr>
        <w:spacing w:after="0" w:line="240" w:lineRule="auto"/>
        <w:rPr>
          <w:color w:val="000000"/>
        </w:rPr>
      </w:pPr>
      <w:r>
        <w:rPr>
          <w:color w:val="000000"/>
        </w:rPr>
        <w:t>Direct inclusion in draft updated guidance. The updated guidance will include nuanced discussions and worked examples of recommendations in design flood estimation. This will support users to apply the updated guidance.</w:t>
      </w:r>
      <w:r w:rsidRPr="00615A97">
        <w:rPr>
          <w:color w:val="000000"/>
        </w:rPr>
        <w:t xml:space="preserve"> DCCEEW will seek</w:t>
      </w:r>
      <w:r>
        <w:rPr>
          <w:color w:val="000000"/>
        </w:rPr>
        <w:t xml:space="preserve"> user</w:t>
      </w:r>
      <w:r w:rsidRPr="00615A97">
        <w:rPr>
          <w:color w:val="000000"/>
        </w:rPr>
        <w:t xml:space="preserve"> feedback on the draft updated guidance in November 2023, ahead of </w:t>
      </w:r>
      <w:r>
        <w:rPr>
          <w:color w:val="000000"/>
        </w:rPr>
        <w:t xml:space="preserve">final </w:t>
      </w:r>
      <w:r w:rsidRPr="00615A97">
        <w:rPr>
          <w:color w:val="000000"/>
        </w:rPr>
        <w:t>publication in early 2024.</w:t>
      </w:r>
      <w:r w:rsidR="00FB219D">
        <w:rPr>
          <w:color w:val="000000"/>
        </w:rPr>
        <w:br/>
      </w:r>
      <w:hyperlink r:id="rId16" w:history="1">
        <w:r w:rsidR="00AD78F1">
          <w:rPr>
            <w:rStyle w:val="Hyperlink"/>
          </w:rPr>
          <w:t>Consultation hub | Climate (dcceew.gov.au)</w:t>
        </w:r>
      </w:hyperlink>
    </w:p>
    <w:p w14:paraId="706D93E6" w14:textId="61D39E00" w:rsidR="00BF3007" w:rsidRDefault="008341BD">
      <w:pPr>
        <w:pStyle w:val="ListParagraph"/>
        <w:numPr>
          <w:ilvl w:val="0"/>
          <w:numId w:val="18"/>
        </w:numPr>
        <w:spacing w:after="0" w:line="240" w:lineRule="auto"/>
        <w:rPr>
          <w:lang w:val="en-US"/>
        </w:rPr>
      </w:pPr>
      <w:r w:rsidRPr="00FB219D">
        <w:rPr>
          <w:color w:val="000000" w:themeColor="accent5"/>
        </w:rPr>
        <w:t>Referrals to other sources of information</w:t>
      </w:r>
      <w:r w:rsidR="00BF3007" w:rsidRPr="00FB219D">
        <w:rPr>
          <w:color w:val="000000" w:themeColor="accent5"/>
        </w:rPr>
        <w:t xml:space="preserve">. </w:t>
      </w:r>
      <w:r w:rsidR="00B65826">
        <w:rPr>
          <w:color w:val="000000" w:themeColor="accent5"/>
        </w:rPr>
        <w:t xml:space="preserve">In some cases, survey respondents expressed interest in the guidance including </w:t>
      </w:r>
      <w:r w:rsidR="00BF3007" w:rsidRPr="00FB219D">
        <w:rPr>
          <w:color w:val="000000" w:themeColor="accent5"/>
        </w:rPr>
        <w:t>information that falls out of scope of the Climate Change Considerations chapter of ARR</w:t>
      </w:r>
      <w:r w:rsidR="00B65826">
        <w:rPr>
          <w:color w:val="000000" w:themeColor="accent5"/>
        </w:rPr>
        <w:t>. In these cases, t</w:t>
      </w:r>
      <w:r w:rsidR="166DA581" w:rsidRPr="00FB219D">
        <w:rPr>
          <w:color w:val="000000" w:themeColor="accent5"/>
        </w:rPr>
        <w:t xml:space="preserve">he guidance will provide links to relevant references </w:t>
      </w:r>
      <w:r w:rsidR="00B65826">
        <w:rPr>
          <w:color w:val="000000" w:themeColor="accent5"/>
        </w:rPr>
        <w:t>to</w:t>
      </w:r>
      <w:r w:rsidR="166DA581" w:rsidRPr="00FB219D">
        <w:rPr>
          <w:color w:val="000000" w:themeColor="accent5"/>
        </w:rPr>
        <w:t xml:space="preserve"> support users to apply the guidance. </w:t>
      </w:r>
      <w:r w:rsidR="000836E8" w:rsidRPr="00FB219D">
        <w:rPr>
          <w:color w:val="000000" w:themeColor="accent5"/>
        </w:rPr>
        <w:t xml:space="preserve"> </w:t>
      </w:r>
    </w:p>
    <w:p w14:paraId="2A287004" w14:textId="77777777" w:rsidR="00D97581" w:rsidRPr="00FB219D" w:rsidRDefault="00D97581" w:rsidP="00FB219D">
      <w:pPr>
        <w:pStyle w:val="ListParagraph"/>
        <w:numPr>
          <w:ilvl w:val="0"/>
          <w:numId w:val="0"/>
        </w:numPr>
        <w:spacing w:after="0" w:line="240" w:lineRule="auto"/>
        <w:ind w:left="720"/>
        <w:rPr>
          <w:lang w:val="en-US"/>
        </w:rPr>
      </w:pPr>
    </w:p>
    <w:p w14:paraId="36CFD983" w14:textId="77777777" w:rsidR="00BF3007" w:rsidRDefault="00BF3007" w:rsidP="00BF3007">
      <w:pPr>
        <w:rPr>
          <w:lang w:eastAsia="ja-JP"/>
        </w:rPr>
      </w:pPr>
      <w:r>
        <w:t>Funded via a grant from the National Emergency Management Authority (NEMA) Disaster Risk Reduction (DRR) Package, t</w:t>
      </w:r>
      <w:r>
        <w:rPr>
          <w:color w:val="000000"/>
        </w:rPr>
        <w:t>he update will improve the climate and disaster resilience of Australia’s buildings and infrastructure and</w:t>
      </w:r>
      <w:r>
        <w:rPr>
          <w:lang w:eastAsia="ja-JP"/>
        </w:rPr>
        <w:t xml:space="preserve"> will reflect the most recent climate science research, projections and observed data.</w:t>
      </w:r>
    </w:p>
    <w:p w14:paraId="35DC00E4" w14:textId="5D5698DE" w:rsidR="00BF3007" w:rsidRDefault="00BF3007" w:rsidP="00D14BD8">
      <w:r>
        <w:rPr>
          <w:color w:val="000000"/>
        </w:rPr>
        <w:t xml:space="preserve">For more information or if you have any questions, please email </w:t>
      </w:r>
      <w:hyperlink r:id="rId17" w:history="1">
        <w:r>
          <w:rPr>
            <w:rStyle w:val="Hyperlink"/>
          </w:rPr>
          <w:t>climate.science@dcceew.gov.au</w:t>
        </w:r>
      </w:hyperlink>
      <w:r w:rsidR="000E00C6">
        <w:rPr>
          <w:color w:val="000000"/>
        </w:rPr>
        <w:t xml:space="preserve"> </w:t>
      </w:r>
      <w:r w:rsidR="00D14BD8">
        <w:rPr>
          <w:color w:val="000000"/>
        </w:rPr>
        <w:t xml:space="preserve">or read more at </w:t>
      </w:r>
      <w:hyperlink r:id="rId18" w:history="1">
        <w:r>
          <w:rPr>
            <w:rStyle w:val="Hyperlink"/>
          </w:rPr>
          <w:t>Climate science in Australia- DCCEEW</w:t>
        </w:r>
      </w:hyperlink>
      <w:r w:rsidR="008341BD">
        <w:rPr>
          <w:rStyle w:val="Hyperlink"/>
        </w:rPr>
        <w:t>.</w:t>
      </w:r>
    </w:p>
    <w:sectPr w:rsidR="00BF3007" w:rsidSect="003343A0">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25A1" w14:textId="77777777" w:rsidR="00805DDF" w:rsidRDefault="00805DDF" w:rsidP="00B251DB">
      <w:pPr>
        <w:spacing w:after="0" w:line="240" w:lineRule="auto"/>
      </w:pPr>
      <w:r>
        <w:separator/>
      </w:r>
    </w:p>
  </w:endnote>
  <w:endnote w:type="continuationSeparator" w:id="0">
    <w:p w14:paraId="524AF125" w14:textId="77777777" w:rsidR="00805DDF" w:rsidRDefault="00805DDF" w:rsidP="00B251DB">
      <w:pPr>
        <w:spacing w:after="0" w:line="240" w:lineRule="auto"/>
      </w:pPr>
      <w:r>
        <w:continuationSeparator/>
      </w:r>
    </w:p>
  </w:endnote>
  <w:endnote w:type="continuationNotice" w:id="1">
    <w:p w14:paraId="6D09B47F" w14:textId="77777777" w:rsidR="005E5761" w:rsidRDefault="005E5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531D" w14:textId="77777777" w:rsidR="003343A0" w:rsidRDefault="00334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1F0E" w14:textId="2CDB8A7C" w:rsidR="00BD0F8A" w:rsidRDefault="003343A0" w:rsidP="00BD0F8A">
    <w:pPr>
      <w:pStyle w:val="Footer"/>
      <w:jc w:val="right"/>
    </w:pPr>
    <w:sdt>
      <w:sdtPr>
        <w:alias w:val="Title"/>
        <w:tag w:val=""/>
        <w:id w:val="-806242154"/>
        <w:dataBinding w:prefixMappings="xmlns:ns0='http://purl.org/dc/elements/1.1/' xmlns:ns1='http://schemas.openxmlformats.org/package/2006/metadata/core-properties' " w:xpath="/ns1:coreProperties[1]/ns0:title[1]" w:storeItemID="{6C3C8BC8-F283-45AE-878A-BAB7291924A1}"/>
        <w:text/>
      </w:sdtPr>
      <w:sdtEndPr/>
      <w:sdtContent>
        <w:r w:rsidR="00F9461D">
          <w:t>Survey Findings</w:t>
        </w:r>
      </w:sdtContent>
    </w:sdt>
    <w:r w:rsidR="00BD0F8A">
      <w:tab/>
    </w:r>
    <w:r w:rsidR="006607F7">
      <w:t>dcceew.gov.au</w:t>
    </w:r>
    <w:r w:rsidR="00BD0F8A">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1F11" w14:textId="77777777" w:rsidR="00CF4966" w:rsidRPr="00AE399D" w:rsidRDefault="00A10EEF" w:rsidP="00CF4966">
    <w:pPr>
      <w:pStyle w:val="Footer"/>
      <w:ind w:right="360"/>
      <w:rPr>
        <w:sz w:val="20"/>
        <w:szCs w:val="20"/>
      </w:rPr>
    </w:pPr>
    <w:r>
      <w:rPr>
        <w:b/>
        <w:sz w:val="20"/>
        <w:szCs w:val="20"/>
      </w:rPr>
      <w:t>DCCEEW</w:t>
    </w:r>
    <w:r w:rsidR="00CF4966" w:rsidRPr="00AE399D">
      <w:rPr>
        <w:b/>
        <w:sz w:val="20"/>
        <w:szCs w:val="20"/>
      </w:rPr>
      <w:t>.gov.au</w:t>
    </w:r>
    <w:r w:rsidR="00CF4966" w:rsidRPr="00AE399D">
      <w:rPr>
        <w:sz w:val="20"/>
        <w:szCs w:val="20"/>
      </w:rPr>
      <w:t xml:space="preserve"> </w:t>
    </w:r>
  </w:p>
  <w:p w14:paraId="7A9F1F12" w14:textId="77777777" w:rsidR="00CF4966" w:rsidRPr="00AE399D" w:rsidRDefault="00CF4966" w:rsidP="00CF4966">
    <w:pPr>
      <w:pStyle w:val="Footer"/>
      <w:framePr w:wrap="around" w:vAnchor="text" w:hAnchor="page" w:x="10369" w:y="27"/>
      <w:rPr>
        <w:rStyle w:val="PageNumber"/>
        <w:sz w:val="20"/>
        <w:szCs w:val="20"/>
      </w:rPr>
    </w:pPr>
    <w:r w:rsidRPr="00AE399D">
      <w:rPr>
        <w:rStyle w:val="PageNumber"/>
        <w:sz w:val="20"/>
        <w:szCs w:val="20"/>
      </w:rPr>
      <w:fldChar w:fldCharType="begin"/>
    </w:r>
    <w:r w:rsidRPr="00AE399D">
      <w:rPr>
        <w:rStyle w:val="PageNumber"/>
        <w:sz w:val="20"/>
        <w:szCs w:val="20"/>
      </w:rPr>
      <w:instrText xml:space="preserve">PAGE  </w:instrText>
    </w:r>
    <w:r w:rsidRPr="00AE399D">
      <w:rPr>
        <w:rStyle w:val="PageNumber"/>
        <w:sz w:val="20"/>
        <w:szCs w:val="20"/>
      </w:rPr>
      <w:fldChar w:fldCharType="separate"/>
    </w:r>
    <w:r w:rsidR="00617496">
      <w:rPr>
        <w:rStyle w:val="PageNumber"/>
        <w:noProof/>
        <w:sz w:val="20"/>
        <w:szCs w:val="20"/>
      </w:rPr>
      <w:t>1</w:t>
    </w:r>
    <w:r w:rsidRPr="00AE399D">
      <w:rPr>
        <w:rStyle w:val="PageNumber"/>
        <w:sz w:val="20"/>
        <w:szCs w:val="20"/>
      </w:rPr>
      <w:fldChar w:fldCharType="end"/>
    </w:r>
  </w:p>
  <w:p w14:paraId="7A9F1F13" w14:textId="77777777" w:rsidR="00CF4966" w:rsidRPr="00AE399D" w:rsidRDefault="00FE6964" w:rsidP="00CF4966">
    <w:pPr>
      <w:pStyle w:val="Footer"/>
      <w:ind w:right="360"/>
      <w:rPr>
        <w:sz w:val="20"/>
        <w:szCs w:val="20"/>
      </w:rPr>
    </w:pPr>
    <w:r w:rsidRPr="00FE6964">
      <w:rPr>
        <w:sz w:val="20"/>
        <w:szCs w:val="20"/>
      </w:rPr>
      <w:t>John Gorton Building</w:t>
    </w:r>
    <w:r w:rsidR="00CF4966" w:rsidRPr="00AE399D">
      <w:rPr>
        <w:sz w:val="20"/>
        <w:szCs w:val="20"/>
      </w:rPr>
      <w:t xml:space="preserve"> -</w:t>
    </w:r>
    <w:r w:rsidRPr="00FE6964">
      <w:rPr>
        <w:sz w:val="20"/>
        <w:szCs w:val="20"/>
      </w:rPr>
      <w:t xml:space="preserve"> King Edward Terrace, Parkes ACT 2600 Australia</w:t>
    </w:r>
  </w:p>
  <w:p w14:paraId="7A9F1F14" w14:textId="1BC2F174" w:rsidR="00607188" w:rsidRDefault="00CF4966" w:rsidP="00CF4966">
    <w:pPr>
      <w:pStyle w:val="Footer"/>
      <w:ind w:right="360"/>
      <w:rPr>
        <w:sz w:val="20"/>
        <w:szCs w:val="20"/>
      </w:rPr>
    </w:pPr>
    <w:r w:rsidRPr="00A10EEF">
      <w:rPr>
        <w:sz w:val="20"/>
        <w:szCs w:val="20"/>
      </w:rPr>
      <w:t xml:space="preserve">GPO Box </w:t>
    </w:r>
    <w:r w:rsidR="001C21D7">
      <w:rPr>
        <w:sz w:val="20"/>
        <w:szCs w:val="20"/>
      </w:rPr>
      <w:t>3090</w:t>
    </w:r>
    <w:r w:rsidRPr="00A10EEF">
      <w:rPr>
        <w:sz w:val="20"/>
        <w:szCs w:val="20"/>
      </w:rPr>
      <w:t xml:space="preserve"> Canberra ACT </w:t>
    </w:r>
    <w:r w:rsidR="00617496">
      <w:rPr>
        <w:sz w:val="20"/>
        <w:szCs w:val="20"/>
      </w:rPr>
      <w:t>2601</w:t>
    </w:r>
    <w:r w:rsidRPr="00ED2FB7">
      <w:rPr>
        <w:sz w:val="20"/>
        <w:szCs w:val="20"/>
      </w:rPr>
      <w:t xml:space="preserve"> ABN: </w:t>
    </w:r>
    <w:r w:rsidR="00617496" w:rsidRPr="00617496">
      <w:rPr>
        <w:bCs/>
        <w:sz w:val="20"/>
        <w:szCs w:val="20"/>
      </w:rPr>
      <w:t>63 573 932 849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CA0D" w14:textId="77777777" w:rsidR="00805DDF" w:rsidRDefault="00805DDF" w:rsidP="00B251DB">
      <w:pPr>
        <w:spacing w:after="0" w:line="240" w:lineRule="auto"/>
      </w:pPr>
      <w:r>
        <w:separator/>
      </w:r>
    </w:p>
  </w:footnote>
  <w:footnote w:type="continuationSeparator" w:id="0">
    <w:p w14:paraId="5F8FE2E9" w14:textId="77777777" w:rsidR="00805DDF" w:rsidRDefault="00805DDF" w:rsidP="00B251DB">
      <w:pPr>
        <w:spacing w:after="0" w:line="240" w:lineRule="auto"/>
      </w:pPr>
      <w:r>
        <w:continuationSeparator/>
      </w:r>
    </w:p>
  </w:footnote>
  <w:footnote w:type="continuationNotice" w:id="1">
    <w:p w14:paraId="743E5761" w14:textId="77777777" w:rsidR="005E5761" w:rsidRDefault="005E5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9F28" w14:textId="77777777" w:rsidR="003343A0" w:rsidRDefault="00334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0D5A" w14:textId="77777777" w:rsidR="003343A0" w:rsidRDefault="00334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1F10" w14:textId="062EC1D5" w:rsidR="00D968DF" w:rsidRDefault="00144A00" w:rsidP="00BB72B3">
    <w:pPr>
      <w:pStyle w:val="Header"/>
    </w:pPr>
    <w:r w:rsidRPr="00180BF8">
      <w:rPr>
        <w:noProof/>
        <w:lang w:eastAsia="en-AU"/>
      </w:rPr>
      <w:drawing>
        <wp:inline distT="0" distB="0" distL="0" distR="0" wp14:anchorId="3B3CFA47" wp14:editId="2D5A5BFF">
          <wp:extent cx="2923111" cy="607375"/>
          <wp:effectExtent l="0" t="0" r="0" b="2540"/>
          <wp:docPr id="1" name="Picture 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8004" cy="618781"/>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4538B5"/>
    <w:multiLevelType w:val="multilevel"/>
    <w:tmpl w:val="5510D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8B803A5"/>
    <w:multiLevelType w:val="hybridMultilevel"/>
    <w:tmpl w:val="4E660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762914"/>
    <w:multiLevelType w:val="hybridMultilevel"/>
    <w:tmpl w:val="56A21C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973560872">
    <w:abstractNumId w:val="5"/>
  </w:num>
  <w:num w:numId="2" w16cid:durableId="1301036522">
    <w:abstractNumId w:val="4"/>
  </w:num>
  <w:num w:numId="3" w16cid:durableId="784693231">
    <w:abstractNumId w:val="11"/>
  </w:num>
  <w:num w:numId="4" w16cid:durableId="938635014">
    <w:abstractNumId w:val="7"/>
  </w:num>
  <w:num w:numId="5" w16cid:durableId="393895901">
    <w:abstractNumId w:val="14"/>
  </w:num>
  <w:num w:numId="6" w16cid:durableId="1912306942">
    <w:abstractNumId w:val="2"/>
  </w:num>
  <w:num w:numId="7" w16cid:durableId="228275089">
    <w:abstractNumId w:val="0"/>
  </w:num>
  <w:num w:numId="8" w16cid:durableId="983047221">
    <w:abstractNumId w:val="1"/>
  </w:num>
  <w:num w:numId="9" w16cid:durableId="1164198448">
    <w:abstractNumId w:val="10"/>
  </w:num>
  <w:num w:numId="10" w16cid:durableId="1704163527">
    <w:abstractNumId w:val="12"/>
  </w:num>
  <w:num w:numId="11" w16cid:durableId="1517112850">
    <w:abstractNumId w:val="3"/>
  </w:num>
  <w:num w:numId="12" w16cid:durableId="1717966286">
    <w:abstractNumId w:val="17"/>
  </w:num>
  <w:num w:numId="13" w16cid:durableId="355693623">
    <w:abstractNumId w:val="15"/>
  </w:num>
  <w:num w:numId="14" w16cid:durableId="12076319">
    <w:abstractNumId w:val="6"/>
  </w:num>
  <w:num w:numId="15" w16cid:durableId="2122870142">
    <w:abstractNumId w:val="16"/>
  </w:num>
  <w:num w:numId="16" w16cid:durableId="574319556">
    <w:abstractNumId w:val="8"/>
  </w:num>
  <w:num w:numId="17" w16cid:durableId="210112997">
    <w:abstractNumId w:val="13"/>
  </w:num>
  <w:num w:numId="18" w16cid:durableId="1898861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96"/>
    <w:rsid w:val="0000739D"/>
    <w:rsid w:val="000325D7"/>
    <w:rsid w:val="00032995"/>
    <w:rsid w:val="00046C20"/>
    <w:rsid w:val="00051BCB"/>
    <w:rsid w:val="000552B3"/>
    <w:rsid w:val="0007067B"/>
    <w:rsid w:val="00075A02"/>
    <w:rsid w:val="00081D07"/>
    <w:rsid w:val="000836E8"/>
    <w:rsid w:val="0009423F"/>
    <w:rsid w:val="00094869"/>
    <w:rsid w:val="000A0360"/>
    <w:rsid w:val="000A5572"/>
    <w:rsid w:val="000C3494"/>
    <w:rsid w:val="000D4EEF"/>
    <w:rsid w:val="000E00C6"/>
    <w:rsid w:val="000E599A"/>
    <w:rsid w:val="000F2564"/>
    <w:rsid w:val="000F5014"/>
    <w:rsid w:val="001339FD"/>
    <w:rsid w:val="00144A00"/>
    <w:rsid w:val="00153C15"/>
    <w:rsid w:val="00167D52"/>
    <w:rsid w:val="001B30E4"/>
    <w:rsid w:val="001C21D7"/>
    <w:rsid w:val="001C6A17"/>
    <w:rsid w:val="001D216A"/>
    <w:rsid w:val="001D2E82"/>
    <w:rsid w:val="001D50F7"/>
    <w:rsid w:val="001F5AB1"/>
    <w:rsid w:val="00205DF3"/>
    <w:rsid w:val="0022083E"/>
    <w:rsid w:val="00222D0B"/>
    <w:rsid w:val="00241A30"/>
    <w:rsid w:val="00241D3D"/>
    <w:rsid w:val="00251BA3"/>
    <w:rsid w:val="00254DA8"/>
    <w:rsid w:val="00271084"/>
    <w:rsid w:val="00272B04"/>
    <w:rsid w:val="00272BFD"/>
    <w:rsid w:val="002B4464"/>
    <w:rsid w:val="002B58A3"/>
    <w:rsid w:val="002B5C69"/>
    <w:rsid w:val="002D230B"/>
    <w:rsid w:val="002E2FE1"/>
    <w:rsid w:val="00311C59"/>
    <w:rsid w:val="003343A0"/>
    <w:rsid w:val="00352443"/>
    <w:rsid w:val="00372227"/>
    <w:rsid w:val="00375D86"/>
    <w:rsid w:val="00381A41"/>
    <w:rsid w:val="003A62D6"/>
    <w:rsid w:val="003A7D17"/>
    <w:rsid w:val="003B7B0D"/>
    <w:rsid w:val="003D38ED"/>
    <w:rsid w:val="003F17A3"/>
    <w:rsid w:val="003F226D"/>
    <w:rsid w:val="003F5A41"/>
    <w:rsid w:val="004632E9"/>
    <w:rsid w:val="00463FDC"/>
    <w:rsid w:val="00464775"/>
    <w:rsid w:val="0046678C"/>
    <w:rsid w:val="004771AD"/>
    <w:rsid w:val="00491CDD"/>
    <w:rsid w:val="004B0531"/>
    <w:rsid w:val="004B33BF"/>
    <w:rsid w:val="004B4254"/>
    <w:rsid w:val="004B5D85"/>
    <w:rsid w:val="004D2CB4"/>
    <w:rsid w:val="004D3B0F"/>
    <w:rsid w:val="004D5758"/>
    <w:rsid w:val="004E6FF7"/>
    <w:rsid w:val="00501652"/>
    <w:rsid w:val="00513C4B"/>
    <w:rsid w:val="00516B0E"/>
    <w:rsid w:val="005327B0"/>
    <w:rsid w:val="005524F8"/>
    <w:rsid w:val="00584B74"/>
    <w:rsid w:val="00592A55"/>
    <w:rsid w:val="0059458C"/>
    <w:rsid w:val="005A7D70"/>
    <w:rsid w:val="005E5761"/>
    <w:rsid w:val="00603DDF"/>
    <w:rsid w:val="00607188"/>
    <w:rsid w:val="00617496"/>
    <w:rsid w:val="00624FB5"/>
    <w:rsid w:val="00634A7E"/>
    <w:rsid w:val="006419C0"/>
    <w:rsid w:val="00647A5F"/>
    <w:rsid w:val="00653D86"/>
    <w:rsid w:val="0065525A"/>
    <w:rsid w:val="006607F7"/>
    <w:rsid w:val="006609A2"/>
    <w:rsid w:val="00671D1D"/>
    <w:rsid w:val="0068286F"/>
    <w:rsid w:val="00692A9C"/>
    <w:rsid w:val="006C4C9C"/>
    <w:rsid w:val="006C5288"/>
    <w:rsid w:val="006D2221"/>
    <w:rsid w:val="006E1E6A"/>
    <w:rsid w:val="006E2390"/>
    <w:rsid w:val="006E4001"/>
    <w:rsid w:val="006F00C4"/>
    <w:rsid w:val="006F4F4C"/>
    <w:rsid w:val="006F58A5"/>
    <w:rsid w:val="00711349"/>
    <w:rsid w:val="00723C5D"/>
    <w:rsid w:val="0074071A"/>
    <w:rsid w:val="00781B36"/>
    <w:rsid w:val="007833EE"/>
    <w:rsid w:val="00796DAA"/>
    <w:rsid w:val="007B007B"/>
    <w:rsid w:val="007B146B"/>
    <w:rsid w:val="007B553F"/>
    <w:rsid w:val="007E0C98"/>
    <w:rsid w:val="007F1D2D"/>
    <w:rsid w:val="007F582E"/>
    <w:rsid w:val="0080043C"/>
    <w:rsid w:val="00805DDF"/>
    <w:rsid w:val="00806473"/>
    <w:rsid w:val="008341BD"/>
    <w:rsid w:val="00836D3C"/>
    <w:rsid w:val="00837580"/>
    <w:rsid w:val="00845ACF"/>
    <w:rsid w:val="0085305A"/>
    <w:rsid w:val="00853A7A"/>
    <w:rsid w:val="00856B1C"/>
    <w:rsid w:val="00891BC6"/>
    <w:rsid w:val="00892B6E"/>
    <w:rsid w:val="00897086"/>
    <w:rsid w:val="008A1771"/>
    <w:rsid w:val="008A3091"/>
    <w:rsid w:val="008B17D7"/>
    <w:rsid w:val="008C6DF1"/>
    <w:rsid w:val="008D11D3"/>
    <w:rsid w:val="008D6268"/>
    <w:rsid w:val="009338DF"/>
    <w:rsid w:val="00956086"/>
    <w:rsid w:val="009563D5"/>
    <w:rsid w:val="00964709"/>
    <w:rsid w:val="009822C8"/>
    <w:rsid w:val="009948F5"/>
    <w:rsid w:val="009A549D"/>
    <w:rsid w:val="009A7A11"/>
    <w:rsid w:val="009D55C1"/>
    <w:rsid w:val="009E34FA"/>
    <w:rsid w:val="009F1082"/>
    <w:rsid w:val="00A10EEF"/>
    <w:rsid w:val="00A27B5E"/>
    <w:rsid w:val="00A3663D"/>
    <w:rsid w:val="00A36803"/>
    <w:rsid w:val="00A4431D"/>
    <w:rsid w:val="00A52F3D"/>
    <w:rsid w:val="00A54D07"/>
    <w:rsid w:val="00A577AC"/>
    <w:rsid w:val="00A63463"/>
    <w:rsid w:val="00A731BB"/>
    <w:rsid w:val="00A7615C"/>
    <w:rsid w:val="00A9767A"/>
    <w:rsid w:val="00AA740C"/>
    <w:rsid w:val="00AD742D"/>
    <w:rsid w:val="00AD78F1"/>
    <w:rsid w:val="00AE3543"/>
    <w:rsid w:val="00AE399D"/>
    <w:rsid w:val="00AE7F67"/>
    <w:rsid w:val="00AF6BA2"/>
    <w:rsid w:val="00B1211C"/>
    <w:rsid w:val="00B169DA"/>
    <w:rsid w:val="00B251DB"/>
    <w:rsid w:val="00B26C25"/>
    <w:rsid w:val="00B35C0C"/>
    <w:rsid w:val="00B40E8B"/>
    <w:rsid w:val="00B51188"/>
    <w:rsid w:val="00B6117F"/>
    <w:rsid w:val="00B648AA"/>
    <w:rsid w:val="00B65826"/>
    <w:rsid w:val="00B70D1F"/>
    <w:rsid w:val="00B72A73"/>
    <w:rsid w:val="00B940F1"/>
    <w:rsid w:val="00BB72B3"/>
    <w:rsid w:val="00BD0F8A"/>
    <w:rsid w:val="00BE37DB"/>
    <w:rsid w:val="00BE6EEA"/>
    <w:rsid w:val="00BF3007"/>
    <w:rsid w:val="00BF38AD"/>
    <w:rsid w:val="00C0779B"/>
    <w:rsid w:val="00C32502"/>
    <w:rsid w:val="00C40327"/>
    <w:rsid w:val="00C50496"/>
    <w:rsid w:val="00C520B8"/>
    <w:rsid w:val="00CA288C"/>
    <w:rsid w:val="00CB00EF"/>
    <w:rsid w:val="00CB4F18"/>
    <w:rsid w:val="00CB5205"/>
    <w:rsid w:val="00CB798B"/>
    <w:rsid w:val="00CC50A0"/>
    <w:rsid w:val="00CC6B15"/>
    <w:rsid w:val="00CE4055"/>
    <w:rsid w:val="00CF4966"/>
    <w:rsid w:val="00D025D0"/>
    <w:rsid w:val="00D02F06"/>
    <w:rsid w:val="00D14BD8"/>
    <w:rsid w:val="00D220CF"/>
    <w:rsid w:val="00D22B2A"/>
    <w:rsid w:val="00D36B5B"/>
    <w:rsid w:val="00D642F5"/>
    <w:rsid w:val="00D80E97"/>
    <w:rsid w:val="00D841E9"/>
    <w:rsid w:val="00D852A8"/>
    <w:rsid w:val="00D92CAB"/>
    <w:rsid w:val="00D968DF"/>
    <w:rsid w:val="00D97581"/>
    <w:rsid w:val="00DA6922"/>
    <w:rsid w:val="00DB2D8E"/>
    <w:rsid w:val="00DB3EE3"/>
    <w:rsid w:val="00DC52BC"/>
    <w:rsid w:val="00DD2245"/>
    <w:rsid w:val="00DE0C1A"/>
    <w:rsid w:val="00DE4895"/>
    <w:rsid w:val="00DE723A"/>
    <w:rsid w:val="00E01D7D"/>
    <w:rsid w:val="00E3027E"/>
    <w:rsid w:val="00E413A1"/>
    <w:rsid w:val="00E836E2"/>
    <w:rsid w:val="00E90E9C"/>
    <w:rsid w:val="00E96870"/>
    <w:rsid w:val="00EC00A2"/>
    <w:rsid w:val="00EC65CB"/>
    <w:rsid w:val="00ED2FB7"/>
    <w:rsid w:val="00EE1E11"/>
    <w:rsid w:val="00EF5B8C"/>
    <w:rsid w:val="00F06760"/>
    <w:rsid w:val="00F22BB9"/>
    <w:rsid w:val="00F3078E"/>
    <w:rsid w:val="00F72F1D"/>
    <w:rsid w:val="00F80B62"/>
    <w:rsid w:val="00F82D5A"/>
    <w:rsid w:val="00F8778B"/>
    <w:rsid w:val="00F9461D"/>
    <w:rsid w:val="00FA3DEC"/>
    <w:rsid w:val="00FB20C7"/>
    <w:rsid w:val="00FB219D"/>
    <w:rsid w:val="00FC0CA6"/>
    <w:rsid w:val="00FC70DC"/>
    <w:rsid w:val="00FD1791"/>
    <w:rsid w:val="00FE0F2A"/>
    <w:rsid w:val="00FE643E"/>
    <w:rsid w:val="00FE6964"/>
    <w:rsid w:val="01EB1849"/>
    <w:rsid w:val="06822953"/>
    <w:rsid w:val="068544E9"/>
    <w:rsid w:val="08622755"/>
    <w:rsid w:val="09B1738E"/>
    <w:rsid w:val="11EFE13E"/>
    <w:rsid w:val="14A779E6"/>
    <w:rsid w:val="166DA581"/>
    <w:rsid w:val="1934D5F3"/>
    <w:rsid w:val="197AEB09"/>
    <w:rsid w:val="1BCA5F1F"/>
    <w:rsid w:val="215776CA"/>
    <w:rsid w:val="2185FCEE"/>
    <w:rsid w:val="219F254B"/>
    <w:rsid w:val="2C0779CA"/>
    <w:rsid w:val="2F3F1A8C"/>
    <w:rsid w:val="338C9B88"/>
    <w:rsid w:val="36B634B5"/>
    <w:rsid w:val="38766641"/>
    <w:rsid w:val="39047E57"/>
    <w:rsid w:val="3995F30A"/>
    <w:rsid w:val="39C60691"/>
    <w:rsid w:val="3DB96DF5"/>
    <w:rsid w:val="3F553E56"/>
    <w:rsid w:val="3FBD973E"/>
    <w:rsid w:val="428CDF18"/>
    <w:rsid w:val="45CC6D60"/>
    <w:rsid w:val="46F689D5"/>
    <w:rsid w:val="4760503B"/>
    <w:rsid w:val="4A969554"/>
    <w:rsid w:val="4C3BAEE4"/>
    <w:rsid w:val="4D4CCAF1"/>
    <w:rsid w:val="54F16885"/>
    <w:rsid w:val="55E2912A"/>
    <w:rsid w:val="5A19F7B9"/>
    <w:rsid w:val="5A8FF0C1"/>
    <w:rsid w:val="6013886B"/>
    <w:rsid w:val="62B29198"/>
    <w:rsid w:val="6A4EB84B"/>
    <w:rsid w:val="6BA3FE26"/>
    <w:rsid w:val="6D2968B1"/>
    <w:rsid w:val="6DA9BCEF"/>
    <w:rsid w:val="720D5023"/>
    <w:rsid w:val="72160231"/>
    <w:rsid w:val="75347A96"/>
    <w:rsid w:val="787408DE"/>
    <w:rsid w:val="7AE00FB7"/>
    <w:rsid w:val="7B3D7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9F1EE9"/>
  <w15:chartTrackingRefBased/>
  <w15:docId w15:val="{E3F02066-EBF8-4817-924F-330CAE7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9D"/>
    <w:pPr>
      <w:spacing w:after="120" w:line="276" w:lineRule="auto"/>
    </w:pPr>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FE6964"/>
    <w:pPr>
      <w:keepNext/>
      <w:keepLines/>
      <w:spacing w:before="4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FE6964"/>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9D55C1"/>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semiHidden/>
    <w:unhideWhenUsed/>
    <w:qFormat/>
    <w:rsid w:val="009D55C1"/>
    <w:pPr>
      <w:keepNext/>
      <w:keepLines/>
      <w:spacing w:before="40" w:after="0"/>
      <w:outlineLvl w:val="6"/>
    </w:pPr>
    <w:rPr>
      <w:rFonts w:asciiTheme="majorHAnsi" w:eastAsiaTheme="majorEastAsia" w:hAnsiTheme="majorHAnsi" w:cstheme="majorBidi"/>
      <w:i/>
      <w:iCs/>
      <w:color w:val="083A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FE6964"/>
    <w:pPr>
      <w:numPr>
        <w:ilvl w:val="1"/>
      </w:numPr>
    </w:pPr>
    <w:rPr>
      <w:rFonts w:eastAsiaTheme="minorEastAsia"/>
      <w:color w:val="71BAAF" w:themeColor="accent2" w:themeTint="80"/>
      <w:sz w:val="32"/>
    </w:rPr>
  </w:style>
  <w:style w:type="character" w:customStyle="1" w:styleId="SubtitleChar">
    <w:name w:val="Subtitle Char"/>
    <w:basedOn w:val="DefaultParagraphFont"/>
    <w:link w:val="Subtitle"/>
    <w:uiPriority w:val="11"/>
    <w:rsid w:val="00FE6964"/>
    <w:rPr>
      <w:rFonts w:eastAsiaTheme="minorEastAsia"/>
      <w:color w:val="71BAAF" w:themeColor="accent2" w:themeTint="80"/>
      <w:sz w:val="32"/>
    </w:rPr>
  </w:style>
  <w:style w:type="character" w:customStyle="1" w:styleId="Heading2Char">
    <w:name w:val="Heading 2 Char"/>
    <w:basedOn w:val="DefaultParagraphFont"/>
    <w:link w:val="Heading2"/>
    <w:uiPriority w:val="9"/>
    <w:rsid w:val="00FE6964"/>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FE6964"/>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FE6964"/>
    <w:pPr>
      <w:spacing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562403" w:themeFill="accent3"/>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FE6964"/>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FE6964"/>
    <w:rPr>
      <w:i/>
      <w:iCs/>
      <w:shd w:val="clear" w:color="auto" w:fill="B8DCD7" w:themeFill="accent2" w:themeFillTint="40"/>
    </w:rPr>
  </w:style>
  <w:style w:type="paragraph" w:customStyle="1" w:styleId="Calloutbox">
    <w:name w:val="Call out box"/>
    <w:basedOn w:val="Normal"/>
    <w:qFormat/>
    <w:rsid w:val="00FE6964"/>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9D55C1"/>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styleId="Salutation">
    <w:name w:val="Salutation"/>
    <w:basedOn w:val="Normal"/>
    <w:next w:val="Normal"/>
    <w:link w:val="SalutationChar"/>
    <w:uiPriority w:val="99"/>
    <w:unhideWhenUsed/>
    <w:rsid w:val="00CF4966"/>
    <w:pPr>
      <w:spacing w:before="480" w:after="240"/>
    </w:pPr>
    <w:rPr>
      <w:b/>
    </w:rPr>
  </w:style>
  <w:style w:type="character" w:customStyle="1" w:styleId="SalutationChar">
    <w:name w:val="Salutation Char"/>
    <w:basedOn w:val="DefaultParagraphFont"/>
    <w:link w:val="Salutation"/>
    <w:uiPriority w:val="99"/>
    <w:rsid w:val="00CF4966"/>
    <w:rPr>
      <w:b/>
    </w:rPr>
  </w:style>
  <w:style w:type="character" w:styleId="PageNumber">
    <w:name w:val="page number"/>
    <w:basedOn w:val="DefaultParagraphFont"/>
    <w:uiPriority w:val="99"/>
    <w:semiHidden/>
    <w:unhideWhenUsed/>
    <w:rsid w:val="00CF4966"/>
  </w:style>
  <w:style w:type="character" w:customStyle="1" w:styleId="Heading7Char">
    <w:name w:val="Heading 7 Char"/>
    <w:basedOn w:val="DefaultParagraphFont"/>
    <w:link w:val="Heading7"/>
    <w:uiPriority w:val="9"/>
    <w:semiHidden/>
    <w:rsid w:val="009D55C1"/>
    <w:rPr>
      <w:rFonts w:asciiTheme="majorHAnsi" w:eastAsiaTheme="majorEastAsia" w:hAnsiTheme="majorHAnsi" w:cstheme="majorBidi"/>
      <w:i/>
      <w:iCs/>
      <w:color w:val="083A42" w:themeColor="text2"/>
    </w:rPr>
  </w:style>
  <w:style w:type="paragraph" w:styleId="CommentText">
    <w:name w:val="annotation text"/>
    <w:basedOn w:val="Normal"/>
    <w:link w:val="CommentTextChar"/>
    <w:uiPriority w:val="99"/>
    <w:unhideWhenUsed/>
    <w:rsid w:val="00C50496"/>
    <w:pPr>
      <w:spacing w:after="0" w:line="240" w:lineRule="auto"/>
    </w:pPr>
    <w:rPr>
      <w:rFonts w:ascii="Calibri" w:hAnsi="Calibri" w:cs="Calibri"/>
      <w:sz w:val="20"/>
      <w:szCs w:val="20"/>
      <w14:ligatures w14:val="standardContextual"/>
    </w:rPr>
  </w:style>
  <w:style w:type="character" w:customStyle="1" w:styleId="CommentTextChar">
    <w:name w:val="Comment Text Char"/>
    <w:basedOn w:val="DefaultParagraphFont"/>
    <w:link w:val="CommentText"/>
    <w:uiPriority w:val="99"/>
    <w:rsid w:val="00C50496"/>
    <w:rPr>
      <w:rFonts w:ascii="Calibri" w:hAnsi="Calibri" w:cs="Calibri"/>
      <w:sz w:val="20"/>
      <w:szCs w:val="20"/>
      <w14:ligatures w14:val="standardContextual"/>
    </w:rPr>
  </w:style>
  <w:style w:type="character" w:styleId="CommentReference">
    <w:name w:val="annotation reference"/>
    <w:basedOn w:val="DefaultParagraphFont"/>
    <w:uiPriority w:val="99"/>
    <w:semiHidden/>
    <w:unhideWhenUsed/>
    <w:rsid w:val="00C50496"/>
    <w:rPr>
      <w:sz w:val="16"/>
      <w:szCs w:val="16"/>
    </w:rPr>
  </w:style>
  <w:style w:type="paragraph" w:styleId="Revision">
    <w:name w:val="Revision"/>
    <w:hidden/>
    <w:uiPriority w:val="99"/>
    <w:semiHidden/>
    <w:rsid w:val="00B40E8B"/>
    <w:pPr>
      <w:spacing w:after="0" w:line="240" w:lineRule="auto"/>
    </w:pPr>
  </w:style>
  <w:style w:type="character" w:styleId="UnresolvedMention">
    <w:name w:val="Unresolved Mention"/>
    <w:basedOn w:val="DefaultParagraphFont"/>
    <w:uiPriority w:val="99"/>
    <w:semiHidden/>
    <w:unhideWhenUsed/>
    <w:rsid w:val="00B5118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7A11"/>
    <w:pPr>
      <w:spacing w:after="120"/>
    </w:pPr>
    <w:rPr>
      <w:rFonts w:asciiTheme="minorHAnsi" w:hAnsiTheme="minorHAnsi" w:cstheme="minorBidi"/>
      <w:b/>
      <w:bCs/>
      <w14:ligatures w14:val="none"/>
    </w:rPr>
  </w:style>
  <w:style w:type="character" w:customStyle="1" w:styleId="CommentSubjectChar">
    <w:name w:val="Comment Subject Char"/>
    <w:basedOn w:val="CommentTextChar"/>
    <w:link w:val="CommentSubject"/>
    <w:uiPriority w:val="99"/>
    <w:semiHidden/>
    <w:rsid w:val="009A7A11"/>
    <w:rPr>
      <w:rFonts w:ascii="Calibri" w:hAnsi="Calibri" w:cs="Calibri"/>
      <w:b/>
      <w:bCs/>
      <w:sz w:val="20"/>
      <w:szCs w:val="20"/>
      <w14:ligatures w14:val="standardContextual"/>
    </w:rPr>
  </w:style>
  <w:style w:type="character" w:styleId="Mention">
    <w:name w:val="Mention"/>
    <w:basedOn w:val="DefaultParagraphFont"/>
    <w:uiPriority w:val="99"/>
    <w:unhideWhenUsed/>
    <w:rsid w:val="00836D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699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ss.copernicus.org/preprints/hess-2023-232/" TargetMode="External"/><Relationship Id="rId18" Type="http://schemas.openxmlformats.org/officeDocument/2006/relationships/hyperlink" Target="https://www.dcceew.gov.au/climate-change/policy/climate-scie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r.ga.gov.au/" TargetMode="External"/><Relationship Id="rId17" Type="http://schemas.openxmlformats.org/officeDocument/2006/relationships/hyperlink" Target="mailto:climate.science@dcceew.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dcceew.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update-to-the-cc-considerations-in-the-ar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hess.copernicus.org/preprints/hess-2023-23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mate.science@dcceew.gov.a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15daa0-8aeb-4e42-ab85-05f27da8bfe8">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59BBD15EB6747AF4E47F461D336FA" ma:contentTypeVersion="4" ma:contentTypeDescription="Create a new document." ma:contentTypeScope="" ma:versionID="a8815cc3d3988ad6b6b369d083f1b180">
  <xsd:schema xmlns:xsd="http://www.w3.org/2001/XMLSchema" xmlns:xs="http://www.w3.org/2001/XMLSchema" xmlns:p="http://schemas.microsoft.com/office/2006/metadata/properties" xmlns:ns2="6015daa0-8aeb-4e42-ab85-05f27da8bfe8" xmlns:ns3="81c01dc6-2c49-4730-b140-874c95cac377" xmlns:ns4="d2259523-a1da-4387-b361-00b2eef9e669" xmlns:ns5="3795364d-bbf9-4e57-a3bc-3cba4470183f" targetNamespace="http://schemas.microsoft.com/office/2006/metadata/properties" ma:root="true" ma:fieldsID="f53d9d223cfe87903942f7fc04490667" ns2:_="" ns3:_="" ns4:_="" ns5:_="">
    <xsd:import namespace="6015daa0-8aeb-4e42-ab85-05f27da8bfe8"/>
    <xsd:import namespace="81c01dc6-2c49-4730-b140-874c95cac377"/>
    <xsd:import namespace="d2259523-a1da-4387-b361-00b2eef9e669"/>
    <xsd:import namespace="3795364d-bbf9-4e57-a3bc-3cba4470183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daa0-8aeb-4e42-ab85-05f27da8bfe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ab6ee1-b36a-4f51-b0b7-c9ede2eca426}" ma:internalName="TaxCatchAll" ma:showField="CatchAllData" ma:web="b8f004c7-739e-4bf2-9f1b-6c799f2044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59523-a1da-4387-b361-00b2eef9e6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5364d-bbf9-4e57-a3bc-3cba447018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F99F-E8B3-449E-B370-A804E53FFF8F}">
  <ds:schemaRefs>
    <ds:schemaRef ds:uri="http://schemas.microsoft.com/office/2006/documentManagement/types"/>
    <ds:schemaRef ds:uri="http://schemas.microsoft.com/office/2006/metadata/properties"/>
    <ds:schemaRef ds:uri="http://schemas.microsoft.com/office/infopath/2007/PartnerControls"/>
    <ds:schemaRef ds:uri="6015daa0-8aeb-4e42-ab85-05f27da8bfe8"/>
    <ds:schemaRef ds:uri="3795364d-bbf9-4e57-a3bc-3cba4470183f"/>
    <ds:schemaRef ds:uri="http://purl.org/dc/elements/1.1/"/>
    <ds:schemaRef ds:uri="http://purl.org/dc/terms/"/>
    <ds:schemaRef ds:uri="81c01dc6-2c49-4730-b140-874c95cac377"/>
    <ds:schemaRef ds:uri="http://schemas.openxmlformats.org/package/2006/metadata/core-properties"/>
    <ds:schemaRef ds:uri="d2259523-a1da-4387-b361-00b2eef9e669"/>
    <ds:schemaRef ds:uri="http://www.w3.org/XML/1998/namespace"/>
    <ds:schemaRef ds:uri="http://purl.org/dc/dcmitype/"/>
  </ds:schemaRefs>
</ds:datastoreItem>
</file>

<file path=customXml/itemProps2.xml><?xml version="1.0" encoding="utf-8"?>
<ds:datastoreItem xmlns:ds="http://schemas.openxmlformats.org/officeDocument/2006/customXml" ds:itemID="{CF74D6A3-06E4-488D-9DC0-5265A34C9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daa0-8aeb-4e42-ab85-05f27da8bfe8"/>
    <ds:schemaRef ds:uri="81c01dc6-2c49-4730-b140-874c95cac377"/>
    <ds:schemaRef ds:uri="d2259523-a1da-4387-b361-00b2eef9e669"/>
    <ds:schemaRef ds:uri="3795364d-bbf9-4e57-a3bc-3cba44701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27AD9-E0AB-44D0-988B-C79C50F083F2}">
  <ds:schemaRefs>
    <ds:schemaRef ds:uri="http://schemas.microsoft.com/sharepoint/v3/contenttype/forms"/>
  </ds:schemaRefs>
</ds:datastoreItem>
</file>

<file path=customXml/itemProps4.xml><?xml version="1.0" encoding="utf-8"?>
<ds:datastoreItem xmlns:ds="http://schemas.openxmlformats.org/officeDocument/2006/customXml" ds:itemID="{8944DFED-1977-466B-8F9D-3547FA81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Survey Findings</vt:lpstr>
    </vt:vector>
  </TitlesOfParts>
  <Manager/>
  <Company/>
  <LinksUpToDate>false</LinksUpToDate>
  <CharactersWithSpaces>6989</CharactersWithSpaces>
  <SharedDoc>false</SharedDoc>
  <HLinks>
    <vt:vector size="24" baseType="variant">
      <vt:variant>
        <vt:i4>3145849</vt:i4>
      </vt:variant>
      <vt:variant>
        <vt:i4>12</vt:i4>
      </vt:variant>
      <vt:variant>
        <vt:i4>0</vt:i4>
      </vt:variant>
      <vt:variant>
        <vt:i4>5</vt:i4>
      </vt:variant>
      <vt:variant>
        <vt:lpwstr>https://www.dcceew.gov.au/climate-change/policy/climate-science</vt:lpwstr>
      </vt:variant>
      <vt:variant>
        <vt:lpwstr/>
      </vt:variant>
      <vt:variant>
        <vt:i4>327733</vt:i4>
      </vt:variant>
      <vt:variant>
        <vt:i4>9</vt:i4>
      </vt:variant>
      <vt:variant>
        <vt:i4>0</vt:i4>
      </vt:variant>
      <vt:variant>
        <vt:i4>5</vt:i4>
      </vt:variant>
      <vt:variant>
        <vt:lpwstr>mailto:climate.science@dcceew.gov.au</vt:lpwstr>
      </vt:variant>
      <vt:variant>
        <vt:lpwstr/>
      </vt:variant>
      <vt:variant>
        <vt:i4>7536686</vt:i4>
      </vt:variant>
      <vt:variant>
        <vt:i4>6</vt:i4>
      </vt:variant>
      <vt:variant>
        <vt:i4>0</vt:i4>
      </vt:variant>
      <vt:variant>
        <vt:i4>5</vt:i4>
      </vt:variant>
      <vt:variant>
        <vt:lpwstr>https://arr.ga.gov.au/</vt:lpwstr>
      </vt:variant>
      <vt:variant>
        <vt:lpwstr/>
      </vt:variant>
      <vt:variant>
        <vt:i4>4980829</vt:i4>
      </vt:variant>
      <vt:variant>
        <vt:i4>3</vt:i4>
      </vt:variant>
      <vt:variant>
        <vt:i4>0</vt:i4>
      </vt:variant>
      <vt:variant>
        <vt:i4>5</vt:i4>
      </vt:variant>
      <vt:variant>
        <vt:lpwstr>https://consult.dcceew.gov.au/update-to-the-cc-considerations-in-the-arrg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Findings</dc:title>
  <dc:subject/>
  <dc:creator>Wilson, Russell</dc:creator>
  <cp:keywords/>
  <dc:description/>
  <cp:lastModifiedBy>Mackay, Kirsty</cp:lastModifiedBy>
  <cp:revision>3</cp:revision>
  <dcterms:created xsi:type="dcterms:W3CDTF">2023-10-12T00:56:00Z</dcterms:created>
  <dcterms:modified xsi:type="dcterms:W3CDTF">2023-11-24T08:09:00Z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0x010100AEF59BBD15EB6747AF4E47F461D336FA</vt:lpwstr>
  </property>
  <property fmtid="{D5CDD505-2E9C-101B-9397-08002B2CF9AE}" pid="3" name="MediaServiceImageTags">
    <vt:lpwstr/>
  </property>
  <property fmtid="{D5CDD505-2E9C-101B-9397-08002B2CF9AE}" pid="4" name="Order">
    <vt:r8>130500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