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1A55" w14:textId="77777777" w:rsidR="00C769C8" w:rsidRDefault="00C769C8" w:rsidP="00C769C8">
      <w:pPr>
        <w:pStyle w:val="Heading1"/>
        <w:rPr>
          <w:sz w:val="28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E4B0E3B" wp14:editId="006DCC39">
            <wp:simplePos x="0" y="0"/>
            <wp:positionH relativeFrom="page">
              <wp:align>left</wp:align>
            </wp:positionH>
            <wp:positionV relativeFrom="paragraph">
              <wp:posOffset>-532682</wp:posOffset>
            </wp:positionV>
            <wp:extent cx="7809086" cy="137160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08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AA60113" w14:textId="77777777" w:rsidR="00C769C8" w:rsidRDefault="00C769C8" w:rsidP="00C769C8">
      <w:pPr>
        <w:pStyle w:val="Heading1"/>
        <w:rPr>
          <w:sz w:val="28"/>
          <w:szCs w:val="28"/>
        </w:rPr>
      </w:pPr>
    </w:p>
    <w:p w14:paraId="2D8419B5" w14:textId="199E8162" w:rsidR="00C769C8" w:rsidRDefault="00C769C8" w:rsidP="00C769C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Offshore Wind Industry </w:t>
      </w:r>
      <w:r w:rsidR="00842ABC">
        <w:rPr>
          <w:sz w:val="28"/>
          <w:szCs w:val="28"/>
        </w:rPr>
        <w:t>–</w:t>
      </w:r>
      <w:r w:rsidRPr="00FD54F4">
        <w:rPr>
          <w:sz w:val="28"/>
          <w:szCs w:val="28"/>
        </w:rPr>
        <w:t xml:space="preserve"> </w:t>
      </w:r>
      <w:r w:rsidR="00842ABC">
        <w:rPr>
          <w:sz w:val="28"/>
          <w:szCs w:val="28"/>
        </w:rPr>
        <w:t>Southern Ocean</w:t>
      </w:r>
      <w:r w:rsidR="009022C0">
        <w:rPr>
          <w:sz w:val="28"/>
          <w:szCs w:val="28"/>
        </w:rPr>
        <w:t xml:space="preserve"> </w:t>
      </w:r>
      <w:r w:rsidR="00230366">
        <w:rPr>
          <w:sz w:val="28"/>
          <w:szCs w:val="28"/>
        </w:rPr>
        <w:t>region</w:t>
      </w:r>
      <w:r w:rsidR="00842ABC" w:rsidRPr="00FD54F4">
        <w:rPr>
          <w:sz w:val="28"/>
          <w:szCs w:val="28"/>
        </w:rPr>
        <w:t xml:space="preserve"> </w:t>
      </w:r>
      <w:r w:rsidR="00A134CA">
        <w:rPr>
          <w:sz w:val="28"/>
          <w:szCs w:val="28"/>
        </w:rPr>
        <w:t>c</w:t>
      </w:r>
      <w:r w:rsidRPr="00FD54F4">
        <w:rPr>
          <w:sz w:val="28"/>
          <w:szCs w:val="28"/>
        </w:rPr>
        <w:t xml:space="preserve">onsultation </w:t>
      </w:r>
    </w:p>
    <w:p w14:paraId="3FDB0C7F" w14:textId="656DDC0F" w:rsidR="00C769C8" w:rsidRDefault="00C769C8" w:rsidP="000E644E">
      <w:pPr>
        <w:spacing w:line="276" w:lineRule="auto"/>
      </w:pPr>
      <w:r>
        <w:t xml:space="preserve">The </w:t>
      </w:r>
      <w:r w:rsidR="009022C0">
        <w:t xml:space="preserve">Southern Ocean </w:t>
      </w:r>
      <w:r>
        <w:t xml:space="preserve">region is well suited for offshore wind due to a range of factors like excellent offshore wind capacity, nearby energy workforce, and proximity to existing grid infrastructure. </w:t>
      </w:r>
    </w:p>
    <w:p w14:paraId="69B81BD4" w14:textId="263AFCEB" w:rsidR="00C1367E" w:rsidRDefault="00832C8F" w:rsidP="000E644E">
      <w:pPr>
        <w:spacing w:line="276" w:lineRule="auto"/>
      </w:pPr>
      <w:r>
        <w:t>A</w:t>
      </w:r>
      <w:r w:rsidR="007B4E13">
        <w:t>n area was proposed for declaration</w:t>
      </w:r>
      <w:r w:rsidR="00996EFD">
        <w:t xml:space="preserve"> in the </w:t>
      </w:r>
      <w:r w:rsidR="005452D2">
        <w:t>Southern Ocean</w:t>
      </w:r>
      <w:r w:rsidR="00996EFD">
        <w:t xml:space="preserve"> </w:t>
      </w:r>
      <w:r w:rsidR="00E55045">
        <w:t xml:space="preserve">region </w:t>
      </w:r>
      <w:r w:rsidR="00996EFD">
        <w:t xml:space="preserve">off </w:t>
      </w:r>
      <w:r w:rsidR="00A91BF2">
        <w:t>Victoria and South Australia</w:t>
      </w:r>
      <w:r w:rsidR="00342E72">
        <w:t xml:space="preserve"> by the Minister for Climate Change and Energy on </w:t>
      </w:r>
      <w:r w:rsidR="002C4C7F">
        <w:t>28 June</w:t>
      </w:r>
      <w:r w:rsidR="00342E72">
        <w:t xml:space="preserve"> 2023. </w:t>
      </w:r>
      <w:r w:rsidR="004F08A3">
        <w:t>Th</w:t>
      </w:r>
      <w:r w:rsidR="00974D1C">
        <w:t>i</w:t>
      </w:r>
      <w:r w:rsidR="002149B2">
        <w:t>s began the</w:t>
      </w:r>
      <w:r w:rsidR="00B20F58">
        <w:t xml:space="preserve"> </w:t>
      </w:r>
      <w:r w:rsidR="000173EB">
        <w:t>65</w:t>
      </w:r>
      <w:r w:rsidR="0033629F">
        <w:t>-</w:t>
      </w:r>
      <w:r w:rsidR="000173EB">
        <w:t xml:space="preserve">day </w:t>
      </w:r>
      <w:r w:rsidR="00B20F58">
        <w:t>public consultation period,</w:t>
      </w:r>
      <w:r w:rsidR="000173EB">
        <w:t xml:space="preserve"> in which </w:t>
      </w:r>
      <w:r w:rsidR="00CC4ADA">
        <w:t>the Minister invited submission</w:t>
      </w:r>
      <w:r w:rsidR="009053CB">
        <w:t>s</w:t>
      </w:r>
      <w:r w:rsidR="00CC4ADA">
        <w:t xml:space="preserve"> on the propos</w:t>
      </w:r>
      <w:r w:rsidR="0021619D">
        <w:t>ed area</w:t>
      </w:r>
      <w:r w:rsidR="00CC4ADA">
        <w:t>.</w:t>
      </w:r>
      <w:r w:rsidR="0021619D">
        <w:t xml:space="preserve"> </w:t>
      </w:r>
      <w:r w:rsidR="0033629F">
        <w:t xml:space="preserve">A total of </w:t>
      </w:r>
      <w:r w:rsidR="004621C5">
        <w:t>3,285</w:t>
      </w:r>
      <w:r w:rsidR="00D57F29">
        <w:t xml:space="preserve"> submissions were received during the consultation period.</w:t>
      </w:r>
    </w:p>
    <w:p w14:paraId="4E2716FD" w14:textId="2AE54BCF" w:rsidR="00CF7EEF" w:rsidRPr="00CF7EEF" w:rsidRDefault="00C769C8" w:rsidP="000E644E">
      <w:pPr>
        <w:spacing w:after="120" w:line="276" w:lineRule="auto"/>
      </w:pPr>
      <w:bookmarkStart w:id="0" w:name="_Toc114053658"/>
      <w:bookmarkStart w:id="1" w:name="_Toc114053875"/>
      <w:r w:rsidRPr="008A63DE">
        <w:t xml:space="preserve">The Australian Government worked closely with the </w:t>
      </w:r>
      <w:r w:rsidR="004621C5">
        <w:t>Victorian and South Australian</w:t>
      </w:r>
      <w:r w:rsidR="00A57E76">
        <w:t xml:space="preserve"> Governments</w:t>
      </w:r>
      <w:r w:rsidRPr="008A63DE">
        <w:t xml:space="preserve"> to understand the views of the community on a future offshore wind industry. </w:t>
      </w:r>
      <w:r w:rsidR="00CF7EEF" w:rsidRPr="008A63DE">
        <w:t xml:space="preserve">The department undertook consultation across the </w:t>
      </w:r>
      <w:r w:rsidR="00F422C8">
        <w:t xml:space="preserve">coastal </w:t>
      </w:r>
      <w:r w:rsidR="00446016">
        <w:t xml:space="preserve">regions of </w:t>
      </w:r>
      <w:r w:rsidR="006D6EC3">
        <w:rPr>
          <w:rStyle w:val="normaltextrun"/>
          <w:rFonts w:ascii="Calibri" w:hAnsi="Calibri" w:cs="Calibri"/>
        </w:rPr>
        <w:t>southwest Victoria and southeast South Australia</w:t>
      </w:r>
      <w:r w:rsidR="00446016">
        <w:rPr>
          <w:rStyle w:val="normaltextrun"/>
          <w:rFonts w:ascii="Calibri" w:hAnsi="Calibri" w:cs="Calibri"/>
        </w:rPr>
        <w:t xml:space="preserve"> </w:t>
      </w:r>
      <w:r w:rsidR="00CF7EEF" w:rsidRPr="008A63DE">
        <w:t>using the following</w:t>
      </w:r>
      <w:r w:rsidR="00CF7EEF">
        <w:t xml:space="preserve"> methods:</w:t>
      </w:r>
    </w:p>
    <w:p w14:paraId="4CA9D707" w14:textId="77777777" w:rsidR="00CF7EEF" w:rsidRPr="00CF7EEF" w:rsidRDefault="00CF7EEF" w:rsidP="000E644E">
      <w:pPr>
        <w:pStyle w:val="ListParagraph"/>
        <w:numPr>
          <w:ilvl w:val="0"/>
          <w:numId w:val="3"/>
        </w:numPr>
        <w:spacing w:after="0" w:line="276" w:lineRule="auto"/>
      </w:pPr>
      <w:r w:rsidRPr="00CF7EEF">
        <w:t>advertising through newspapers, radio, and social media </w:t>
      </w:r>
    </w:p>
    <w:p w14:paraId="2AAB0FB2" w14:textId="77777777" w:rsidR="00CF7EEF" w:rsidRPr="00CF7EEF" w:rsidRDefault="00CF7EEF" w:rsidP="000E644E">
      <w:pPr>
        <w:pStyle w:val="ListParagraph"/>
        <w:numPr>
          <w:ilvl w:val="0"/>
          <w:numId w:val="3"/>
        </w:numPr>
        <w:spacing w:after="0" w:line="276" w:lineRule="auto"/>
      </w:pPr>
      <w:r w:rsidRPr="00CF7EEF">
        <w:t>letterbox drop of flyers encouraging the community to make a submission </w:t>
      </w:r>
    </w:p>
    <w:p w14:paraId="7F85E592" w14:textId="77777777" w:rsidR="00CF7EEF" w:rsidRPr="00CF7EEF" w:rsidRDefault="00CF7EEF" w:rsidP="000E644E">
      <w:pPr>
        <w:pStyle w:val="ListParagraph"/>
        <w:numPr>
          <w:ilvl w:val="0"/>
          <w:numId w:val="3"/>
        </w:numPr>
        <w:spacing w:after="0" w:line="276" w:lineRule="auto"/>
      </w:pPr>
      <w:r w:rsidRPr="00CF7EEF">
        <w:t xml:space="preserve">detailed information about the proposal and how to make a submission on the department’s website </w:t>
      </w:r>
    </w:p>
    <w:p w14:paraId="21F5A776" w14:textId="68D6E413" w:rsidR="00C0629D" w:rsidRDefault="00CF7EEF" w:rsidP="000E644E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targeted stakeholder meetings with federal, </w:t>
      </w:r>
      <w:r w:rsidR="3ED5BBD3">
        <w:t>state,</w:t>
      </w:r>
      <w:r>
        <w:t xml:space="preserve"> and local government agencies, industry, business, and community groups</w:t>
      </w:r>
    </w:p>
    <w:p w14:paraId="51EDD9AA" w14:textId="561A9667" w:rsidR="00C0629D" w:rsidRDefault="00D76E66" w:rsidP="000E644E">
      <w:pPr>
        <w:pStyle w:val="ListParagraph"/>
        <w:numPr>
          <w:ilvl w:val="0"/>
          <w:numId w:val="3"/>
        </w:numPr>
        <w:spacing w:after="0" w:line="276" w:lineRule="auto"/>
      </w:pPr>
      <w:r>
        <w:t>five</w:t>
      </w:r>
      <w:r w:rsidRPr="00CF7EEF">
        <w:t xml:space="preserve"> </w:t>
      </w:r>
      <w:r w:rsidR="00CF7EEF" w:rsidRPr="00CF7EEF">
        <w:t xml:space="preserve">community information sessions from </w:t>
      </w:r>
      <w:r w:rsidR="001A530E">
        <w:t>1 August</w:t>
      </w:r>
      <w:r w:rsidR="00CF7EEF" w:rsidRPr="00CF7EEF">
        <w:t xml:space="preserve"> to </w:t>
      </w:r>
      <w:r w:rsidR="00374DCF">
        <w:t>3 August</w:t>
      </w:r>
      <w:r w:rsidR="00CF7EEF" w:rsidRPr="00CF7EEF">
        <w:t xml:space="preserve"> 2023 in </w:t>
      </w:r>
      <w:r w:rsidR="00374DCF" w:rsidRPr="00374DCF">
        <w:t xml:space="preserve">Warrnambool, Port Fairy, Portland, Mount Gambier and Port MacDonnell </w:t>
      </w:r>
      <w:r w:rsidR="00CF7EEF" w:rsidRPr="00CF7EEF">
        <w:t>to answer questions and to encourage the community to make a submission</w:t>
      </w:r>
      <w:r w:rsidR="00C0629D">
        <w:t>.</w:t>
      </w:r>
    </w:p>
    <w:p w14:paraId="7B30D6F7" w14:textId="1BC0B3C0" w:rsidR="00470CA1" w:rsidRDefault="000B50F3" w:rsidP="00470CA1">
      <w:pPr>
        <w:spacing w:before="200" w:line="276" w:lineRule="auto"/>
      </w:pPr>
      <w:r>
        <w:t>The majority of submissions expressed concerns about the environment</w:t>
      </w:r>
      <w:r w:rsidR="005B3439">
        <w:t xml:space="preserve">, commercial and </w:t>
      </w:r>
      <w:r w:rsidR="0057579D">
        <w:t>recreational fishing,</w:t>
      </w:r>
      <w:r>
        <w:t xml:space="preserve"> and visual impacts. </w:t>
      </w:r>
      <w:r w:rsidR="00C84F45">
        <w:t>Details of these concerns, and other concerns</w:t>
      </w:r>
      <w:r w:rsidR="00C55645">
        <w:t xml:space="preserve"> raised</w:t>
      </w:r>
      <w:r w:rsidR="00C84F45">
        <w:t xml:space="preserve"> within</w:t>
      </w:r>
      <w:r w:rsidR="00C55645">
        <w:t xml:space="preserve"> submissions were:</w:t>
      </w:r>
    </w:p>
    <w:p w14:paraId="047E0F22" w14:textId="3421762B" w:rsidR="00351B58" w:rsidRDefault="00351B58" w:rsidP="00470CA1">
      <w:pPr>
        <w:pStyle w:val="ListParagraph"/>
        <w:numPr>
          <w:ilvl w:val="0"/>
          <w:numId w:val="2"/>
        </w:numPr>
        <w:spacing w:line="276" w:lineRule="auto"/>
      </w:pPr>
      <w:r>
        <w:t>Environmental impacts</w:t>
      </w:r>
      <w:r w:rsidR="002F2AD1">
        <w:t xml:space="preserve"> - </w:t>
      </w:r>
      <w:r>
        <w:t xml:space="preserve">the potential impact of turbines on </w:t>
      </w:r>
      <w:r w:rsidR="00590396">
        <w:t>the Bonney coastal upwelling</w:t>
      </w:r>
      <w:r w:rsidR="00515B77">
        <w:t xml:space="preserve">, </w:t>
      </w:r>
      <w:r>
        <w:t>endangered migratory bird species</w:t>
      </w:r>
      <w:r w:rsidR="00515B77">
        <w:t xml:space="preserve">, </w:t>
      </w:r>
      <w:r>
        <w:t xml:space="preserve">whales, dolphins, </w:t>
      </w:r>
      <w:r w:rsidR="00D85916">
        <w:t xml:space="preserve">rock lobsters </w:t>
      </w:r>
      <w:r>
        <w:t>and other sea life.</w:t>
      </w:r>
    </w:p>
    <w:p w14:paraId="22D8E4D0" w14:textId="544DEE85" w:rsidR="00F603C6" w:rsidRDefault="00F603C6" w:rsidP="00470CA1">
      <w:pPr>
        <w:pStyle w:val="ListParagraph"/>
        <w:numPr>
          <w:ilvl w:val="0"/>
          <w:numId w:val="2"/>
        </w:numPr>
        <w:spacing w:line="276" w:lineRule="auto"/>
      </w:pPr>
      <w:r>
        <w:t>Commercial and recreational fishing impacts – commercial and recreational fisher</w:t>
      </w:r>
      <w:r w:rsidR="00DA365D">
        <w:t xml:space="preserve">s were concerned that an offshore wind industry could mean they will be excluded from the </w:t>
      </w:r>
      <w:r w:rsidR="00FD53CA">
        <w:t>area and</w:t>
      </w:r>
      <w:r w:rsidR="00DA365D">
        <w:t xml:space="preserve"> could impact on the viability of the industry</w:t>
      </w:r>
      <w:r w:rsidR="00FD53CA">
        <w:t>.</w:t>
      </w:r>
    </w:p>
    <w:p w14:paraId="67EF51AA" w14:textId="08470D2B" w:rsidR="005A10F7" w:rsidRDefault="00C769C8" w:rsidP="00C876C3">
      <w:pPr>
        <w:pStyle w:val="ListParagraph"/>
        <w:numPr>
          <w:ilvl w:val="0"/>
          <w:numId w:val="2"/>
        </w:numPr>
        <w:spacing w:line="276" w:lineRule="auto"/>
      </w:pPr>
      <w:r>
        <w:t>Visual impacts</w:t>
      </w:r>
      <w:r w:rsidR="002F2AD1">
        <w:t xml:space="preserve"> - </w:t>
      </w:r>
      <w:r>
        <w:t>view of turbines and o</w:t>
      </w:r>
      <w:r w:rsidR="00A72843">
        <w:t>nshore</w:t>
      </w:r>
      <w:r w:rsidR="00B20123">
        <w:t xml:space="preserve"> </w:t>
      </w:r>
      <w:r>
        <w:t xml:space="preserve">transmission reducing the visual amenity of places </w:t>
      </w:r>
      <w:r w:rsidR="0D330FC2">
        <w:t>along the coastline</w:t>
      </w:r>
      <w:r>
        <w:t>.</w:t>
      </w:r>
    </w:p>
    <w:p w14:paraId="2739710E" w14:textId="35320CBA" w:rsidR="0002108C" w:rsidRDefault="0002108C" w:rsidP="00C876C3">
      <w:pPr>
        <w:pStyle w:val="ListParagraph"/>
        <w:numPr>
          <w:ilvl w:val="0"/>
          <w:numId w:val="2"/>
        </w:numPr>
        <w:spacing w:line="276" w:lineRule="auto"/>
      </w:pPr>
      <w:r>
        <w:t xml:space="preserve">Local </w:t>
      </w:r>
      <w:r w:rsidR="00585BE9">
        <w:t xml:space="preserve">infrastructure and community concerns </w:t>
      </w:r>
      <w:r w:rsidR="00847993">
        <w:t>–</w:t>
      </w:r>
      <w:r w:rsidR="00585BE9">
        <w:t xml:space="preserve"> </w:t>
      </w:r>
      <w:r w:rsidR="009D2DA4">
        <w:t xml:space="preserve">the potential impact </w:t>
      </w:r>
      <w:r w:rsidR="007A1660">
        <w:t xml:space="preserve">on existing </w:t>
      </w:r>
      <w:r w:rsidR="00C25F36">
        <w:t>community services</w:t>
      </w:r>
      <w:r w:rsidR="00CB02B8">
        <w:t>,</w:t>
      </w:r>
      <w:r w:rsidR="00C25F36">
        <w:t xml:space="preserve"> </w:t>
      </w:r>
      <w:r w:rsidR="005133A1">
        <w:t>housing,</w:t>
      </w:r>
      <w:r w:rsidR="00CB02B8">
        <w:t xml:space="preserve"> and the concentration of </w:t>
      </w:r>
      <w:r w:rsidR="0013413E">
        <w:t xml:space="preserve">regional </w:t>
      </w:r>
      <w:r w:rsidR="000B5F3A">
        <w:t>infrastructure</w:t>
      </w:r>
      <w:r w:rsidR="0013413E">
        <w:t xml:space="preserve"> </w:t>
      </w:r>
      <w:r w:rsidR="004C3028">
        <w:t xml:space="preserve">investment </w:t>
      </w:r>
      <w:r w:rsidR="00F1641A">
        <w:t>with</w:t>
      </w:r>
      <w:r w:rsidR="004C3028">
        <w:t xml:space="preserve">in the Victorian region. </w:t>
      </w:r>
    </w:p>
    <w:p w14:paraId="18E5EF78" w14:textId="1FB7F67D" w:rsidR="00F21A37" w:rsidRDefault="00F21A37" w:rsidP="000E644E">
      <w:pPr>
        <w:pStyle w:val="ListParagraph"/>
        <w:numPr>
          <w:ilvl w:val="0"/>
          <w:numId w:val="2"/>
        </w:numPr>
        <w:spacing w:line="276" w:lineRule="auto"/>
      </w:pPr>
      <w:r>
        <w:t xml:space="preserve">Shipping impacts </w:t>
      </w:r>
      <w:r w:rsidR="002F2AD1">
        <w:t>-</w:t>
      </w:r>
      <w:r>
        <w:t xml:space="preserve"> </w:t>
      </w:r>
      <w:r w:rsidR="00B05209">
        <w:t>the risk to safe management of vessel traffic</w:t>
      </w:r>
      <w:r w:rsidR="007909EE">
        <w:t xml:space="preserve"> in and around the area</w:t>
      </w:r>
      <w:r w:rsidR="14660BB6">
        <w:t>.</w:t>
      </w:r>
    </w:p>
    <w:p w14:paraId="50AE3C71" w14:textId="27964EDB" w:rsidR="00635C03" w:rsidRDefault="000564BF" w:rsidP="00635C03">
      <w:pPr>
        <w:spacing w:before="200" w:after="120" w:line="276" w:lineRule="auto"/>
      </w:pPr>
      <w:r>
        <w:t>A</w:t>
      </w:r>
      <w:r w:rsidR="00635C03">
        <w:t xml:space="preserve"> </w:t>
      </w:r>
      <w:r>
        <w:t xml:space="preserve">number of submissions </w:t>
      </w:r>
      <w:r w:rsidR="00635C03">
        <w:t>expressed support for the development of an offshore wind industry.</w:t>
      </w:r>
      <w:r w:rsidR="00470CA1">
        <w:t xml:space="preserve"> </w:t>
      </w:r>
      <w:r w:rsidR="00264954">
        <w:t xml:space="preserve">Potential benefits and opportunities </w:t>
      </w:r>
      <w:r w:rsidR="00635C03">
        <w:t xml:space="preserve">highlighted </w:t>
      </w:r>
      <w:r w:rsidR="00077D60">
        <w:t>in submissions</w:t>
      </w:r>
      <w:r w:rsidR="00635C03">
        <w:t xml:space="preserve"> </w:t>
      </w:r>
      <w:r w:rsidR="00077D60">
        <w:t>included</w:t>
      </w:r>
      <w:r w:rsidR="00635C03">
        <w:t xml:space="preserve">: </w:t>
      </w:r>
    </w:p>
    <w:p w14:paraId="475191E4" w14:textId="5D15E64A" w:rsidR="00635C03" w:rsidRPr="00554CB4" w:rsidRDefault="00635C03" w:rsidP="00635C03">
      <w:pPr>
        <w:pStyle w:val="ListParagraph"/>
        <w:numPr>
          <w:ilvl w:val="0"/>
          <w:numId w:val="3"/>
        </w:numPr>
        <w:spacing w:after="0" w:line="276" w:lineRule="auto"/>
      </w:pPr>
      <w:r w:rsidRPr="00554CB4">
        <w:t>Local economy</w:t>
      </w:r>
      <w:r>
        <w:t xml:space="preserve"> - </w:t>
      </w:r>
      <w:r w:rsidRPr="00470766">
        <w:t xml:space="preserve">local jobs </w:t>
      </w:r>
      <w:r>
        <w:t xml:space="preserve">and industry growth, including </w:t>
      </w:r>
      <w:r w:rsidR="00397938">
        <w:t xml:space="preserve">employment </w:t>
      </w:r>
      <w:r>
        <w:t>opportunit</w:t>
      </w:r>
      <w:r w:rsidR="00397938">
        <w:t>ies related to construction, manufacturing and maintenance</w:t>
      </w:r>
      <w:r>
        <w:t xml:space="preserve"> </w:t>
      </w:r>
      <w:r w:rsidR="007B6E6E">
        <w:t xml:space="preserve">of </w:t>
      </w:r>
      <w:r>
        <w:t>offshore renewables, opportunity for local skills and training development, and local content.</w:t>
      </w:r>
    </w:p>
    <w:p w14:paraId="1F56C5AD" w14:textId="77777777" w:rsidR="00635C03" w:rsidRPr="00554CB4" w:rsidRDefault="00635C03" w:rsidP="00635C03">
      <w:pPr>
        <w:pStyle w:val="ListParagraph"/>
        <w:numPr>
          <w:ilvl w:val="0"/>
          <w:numId w:val="3"/>
        </w:numPr>
        <w:spacing w:after="0" w:line="276" w:lineRule="auto"/>
      </w:pPr>
      <w:r w:rsidRPr="00554CB4">
        <w:t xml:space="preserve">Clean </w:t>
      </w:r>
      <w:r>
        <w:t>r</w:t>
      </w:r>
      <w:r w:rsidRPr="00554CB4">
        <w:t xml:space="preserve">enewable </w:t>
      </w:r>
      <w:r>
        <w:t>e</w:t>
      </w:r>
      <w:r w:rsidRPr="00554CB4">
        <w:t>nergy</w:t>
      </w:r>
      <w:r>
        <w:t xml:space="preserve"> - the</w:t>
      </w:r>
      <w:r w:rsidRPr="00470766">
        <w:t xml:space="preserve"> transition to sustainable low-emissions energy sources</w:t>
      </w:r>
      <w:r>
        <w:t xml:space="preserve"> was widely supported.</w:t>
      </w:r>
    </w:p>
    <w:p w14:paraId="5EEA3C43" w14:textId="77777777" w:rsidR="00635C03" w:rsidRPr="00470766" w:rsidRDefault="00635C03" w:rsidP="00635C03">
      <w:pPr>
        <w:pStyle w:val="ListParagraph"/>
        <w:numPr>
          <w:ilvl w:val="0"/>
          <w:numId w:val="3"/>
        </w:numPr>
        <w:spacing w:after="0" w:line="276" w:lineRule="auto"/>
      </w:pPr>
      <w:r>
        <w:t>Environment - the potential of offshore wind projects to create new habitats for marine species.</w:t>
      </w:r>
    </w:p>
    <w:p w14:paraId="7BC8429E" w14:textId="5E0F7322" w:rsidR="00C769C8" w:rsidRDefault="00C769C8" w:rsidP="000E644E">
      <w:pPr>
        <w:spacing w:before="200" w:after="120" w:line="276" w:lineRule="auto"/>
      </w:pPr>
      <w:r>
        <w:lastRenderedPageBreak/>
        <w:t>The Minister for Climate Change and Energy has listened</w:t>
      </w:r>
      <w:r w:rsidR="00314B45">
        <w:t>,</w:t>
      </w:r>
      <w:r>
        <w:t xml:space="preserve"> </w:t>
      </w:r>
      <w:r w:rsidR="00314B45">
        <w:t>taking on board reservations expressed as part of the consultation process</w:t>
      </w:r>
      <w:r w:rsidR="00A134CA">
        <w:t>,</w:t>
      </w:r>
      <w:r w:rsidR="00314B45">
        <w:t xml:space="preserve"> </w:t>
      </w:r>
      <w:r>
        <w:t xml:space="preserve">and declared an updated, smaller area for offshore wind </w:t>
      </w:r>
      <w:r w:rsidR="47C18B25">
        <w:t>development</w:t>
      </w:r>
      <w:r>
        <w:t xml:space="preserve">:  </w:t>
      </w:r>
    </w:p>
    <w:p w14:paraId="72569B42" w14:textId="3979C84A" w:rsidR="0067102D" w:rsidRDefault="0067102D" w:rsidP="000E644E">
      <w:pPr>
        <w:pStyle w:val="ListParagraph"/>
        <w:numPr>
          <w:ilvl w:val="0"/>
          <w:numId w:val="2"/>
        </w:numPr>
        <w:spacing w:line="276" w:lineRule="auto"/>
      </w:pPr>
      <w:r w:rsidRPr="0067102D">
        <w:t xml:space="preserve">The declared area </w:t>
      </w:r>
      <w:r w:rsidR="4A9C0D63" w:rsidRPr="0067102D">
        <w:t xml:space="preserve">offshore </w:t>
      </w:r>
      <w:r w:rsidR="00424437">
        <w:t>in the Southern Ocean off Victoria</w:t>
      </w:r>
      <w:r w:rsidRPr="0067102D">
        <w:t xml:space="preserve">, covers </w:t>
      </w:r>
      <w:r w:rsidR="00BB6A36" w:rsidRPr="000623E4">
        <w:rPr>
          <w:rStyle w:val="normaltextrun"/>
          <w:rFonts w:ascii="Calibri" w:hAnsi="Calibri" w:cs="Calibri"/>
          <w:color w:val="000000"/>
          <w:shd w:val="clear" w:color="auto" w:fill="FFFFFF"/>
        </w:rPr>
        <w:t>1,</w:t>
      </w:r>
      <w:r w:rsidR="00424437" w:rsidRPr="000623E4">
        <w:rPr>
          <w:rStyle w:val="normaltextrun"/>
          <w:rFonts w:ascii="Calibri" w:hAnsi="Calibri" w:cs="Calibri"/>
          <w:color w:val="000000" w:themeColor="text1"/>
        </w:rPr>
        <w:t>0</w:t>
      </w:r>
      <w:r w:rsidR="000623E4" w:rsidRPr="000623E4">
        <w:rPr>
          <w:rStyle w:val="normaltextrun"/>
          <w:rFonts w:ascii="Calibri" w:hAnsi="Calibri" w:cs="Calibri"/>
          <w:color w:val="000000" w:themeColor="text1"/>
        </w:rPr>
        <w:t>30</w:t>
      </w:r>
      <w:r w:rsidR="00424437" w:rsidRPr="151A2C15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Pr="0067102D">
        <w:t xml:space="preserve">square kilometres, and </w:t>
      </w:r>
      <w:r w:rsidR="00790610">
        <w:t>s</w:t>
      </w:r>
      <w:r w:rsidR="00562962">
        <w:t>its to the</w:t>
      </w:r>
      <w:r w:rsidR="00122344">
        <w:t xml:space="preserve"> south of Port Fairy and Warrnambool</w:t>
      </w:r>
      <w:r w:rsidR="008A6A14">
        <w:t>.</w:t>
      </w:r>
    </w:p>
    <w:p w14:paraId="1A664BB6" w14:textId="38BFB1F2" w:rsidR="001242A8" w:rsidRPr="006B094A" w:rsidRDefault="001242A8" w:rsidP="007F02DF">
      <w:pPr>
        <w:pStyle w:val="ListParagraph"/>
        <w:numPr>
          <w:ilvl w:val="0"/>
          <w:numId w:val="2"/>
        </w:numPr>
        <w:spacing w:after="200" w:line="276" w:lineRule="auto"/>
        <w:rPr>
          <w:i/>
          <w:iCs/>
        </w:rPr>
      </w:pPr>
      <w:r>
        <w:t xml:space="preserve">The declared area contains conditions </w:t>
      </w:r>
      <w:r w:rsidR="00AF0E48">
        <w:t>for prospective feasibility lice</w:t>
      </w:r>
      <w:r w:rsidR="00E0453B">
        <w:t xml:space="preserve">nce holders, </w:t>
      </w:r>
      <w:r w:rsidR="002457D0">
        <w:t>including the need</w:t>
      </w:r>
      <w:r w:rsidR="00176718">
        <w:t xml:space="preserve"> to consult with the Department of Defence, </w:t>
      </w:r>
      <w:r w:rsidR="00272C37">
        <w:t>the Australian Maritime Safety Authority</w:t>
      </w:r>
      <w:r w:rsidR="00D87321">
        <w:t xml:space="preserve">, </w:t>
      </w:r>
      <w:r w:rsidR="002457D0">
        <w:t xml:space="preserve">as well as </w:t>
      </w:r>
      <w:r w:rsidR="006F3A92">
        <w:t xml:space="preserve">concession or licence holders </w:t>
      </w:r>
      <w:r w:rsidR="006B094A">
        <w:t>under the</w:t>
      </w:r>
      <w:r w:rsidR="00717B89">
        <w:t xml:space="preserve"> Commonwealth </w:t>
      </w:r>
      <w:r w:rsidR="00717B89" w:rsidRPr="007F02DF">
        <w:rPr>
          <w:i/>
          <w:iCs/>
        </w:rPr>
        <w:t>Fisheries Management Act 1991</w:t>
      </w:r>
      <w:r w:rsidR="00717B89">
        <w:t xml:space="preserve"> or the Victorian</w:t>
      </w:r>
      <w:r w:rsidR="006B094A">
        <w:t xml:space="preserve"> </w:t>
      </w:r>
      <w:r w:rsidR="006B094A" w:rsidRPr="151A2C15">
        <w:rPr>
          <w:i/>
          <w:iCs/>
        </w:rPr>
        <w:t>Fisheries Act 199</w:t>
      </w:r>
      <w:r w:rsidR="001E0BE9" w:rsidRPr="151A2C15">
        <w:rPr>
          <w:i/>
          <w:iCs/>
        </w:rPr>
        <w:t>5</w:t>
      </w:r>
      <w:r w:rsidR="006B094A" w:rsidRPr="151A2C15">
        <w:rPr>
          <w:i/>
          <w:iCs/>
        </w:rPr>
        <w:t>.</w:t>
      </w:r>
    </w:p>
    <w:bookmarkEnd w:id="0"/>
    <w:bookmarkEnd w:id="1"/>
    <w:p w14:paraId="72EA93CE" w14:textId="161CFFF1" w:rsidR="00C769C8" w:rsidRDefault="008C3D21" w:rsidP="003A0C56">
      <w:pPr>
        <w:spacing w:before="200" w:after="0" w:line="276" w:lineRule="auto"/>
      </w:pPr>
      <w:r>
        <w:t>The area declared in the Southern Ocean</w:t>
      </w:r>
      <w:r w:rsidR="00C769C8">
        <w:t xml:space="preserve"> will</w:t>
      </w:r>
      <w:r w:rsidR="00BE600B">
        <w:t xml:space="preserve"> assist in supporting</w:t>
      </w:r>
      <w:r w:rsidR="00C769C8">
        <w:t xml:space="preserve"> the growth of an offshore </w:t>
      </w:r>
      <w:r w:rsidR="2ED2DE9F">
        <w:t xml:space="preserve">wind </w:t>
      </w:r>
      <w:r w:rsidR="00C769C8">
        <w:t xml:space="preserve">industry in </w:t>
      </w:r>
      <w:r w:rsidR="00200D53">
        <w:t>Victoria</w:t>
      </w:r>
      <w:r w:rsidR="00C769C8">
        <w:t xml:space="preserve"> and</w:t>
      </w:r>
      <w:r w:rsidR="00FF03A6">
        <w:t xml:space="preserve"> </w:t>
      </w:r>
      <w:r w:rsidR="00C769C8">
        <w:t xml:space="preserve">increase regional investment, create job </w:t>
      </w:r>
      <w:r w:rsidR="5B91D42E">
        <w:t>opportunities,</w:t>
      </w:r>
      <w:r w:rsidR="00C769C8">
        <w:t xml:space="preserve"> and improve energy security, while helping </w:t>
      </w:r>
      <w:r w:rsidR="00635900">
        <w:t>Victoria</w:t>
      </w:r>
      <w:r w:rsidR="00C769C8">
        <w:t xml:space="preserve"> and the nation reach our climate goals.</w:t>
      </w:r>
    </w:p>
    <w:p w14:paraId="0F06EAD6" w14:textId="5F0303B7" w:rsidR="00C769C8" w:rsidRDefault="00C769C8" w:rsidP="007008F2">
      <w:pPr>
        <w:spacing w:before="120" w:after="0" w:line="240" w:lineRule="auto"/>
      </w:pPr>
      <w:r>
        <w:t xml:space="preserve">Further consultations will take place on any proposed </w:t>
      </w:r>
      <w:r w:rsidR="782B595C">
        <w:t>developments</w:t>
      </w:r>
      <w:r w:rsidR="705B05B1">
        <w:t xml:space="preserve"> and environmental studies</w:t>
      </w:r>
      <w:r w:rsidR="782B595C">
        <w:t xml:space="preserve"> once</w:t>
      </w:r>
      <w:r>
        <w:t xml:space="preserve"> feasibility licences are issued.</w:t>
      </w:r>
    </w:p>
    <w:p w14:paraId="1E4A8F8F" w14:textId="660BCD74" w:rsidR="00C769C8" w:rsidRPr="00F42D20" w:rsidRDefault="00C769C8" w:rsidP="00F42D20">
      <w:pPr>
        <w:pStyle w:val="Caption"/>
        <w:spacing w:before="240" w:after="120"/>
        <w:rPr>
          <w:rFonts w:cstheme="minorHAnsi"/>
          <w:b/>
          <w:i w:val="0"/>
          <w:iCs w:val="0"/>
          <w:color w:val="auto"/>
          <w:sz w:val="22"/>
          <w:szCs w:val="22"/>
        </w:rPr>
      </w:pPr>
      <w:r w:rsidRPr="00F42D20">
        <w:rPr>
          <w:rFonts w:cstheme="minorHAnsi"/>
          <w:b/>
          <w:i w:val="0"/>
          <w:iCs w:val="0"/>
          <w:color w:val="auto"/>
          <w:sz w:val="22"/>
          <w:szCs w:val="22"/>
        </w:rPr>
        <w:t xml:space="preserve">Figure </w:t>
      </w:r>
      <w:r w:rsidRPr="00F42D20">
        <w:rPr>
          <w:rFonts w:cstheme="minorHAnsi"/>
          <w:b/>
          <w:i w:val="0"/>
          <w:iCs w:val="0"/>
          <w:color w:val="auto"/>
          <w:sz w:val="22"/>
          <w:szCs w:val="22"/>
        </w:rPr>
        <w:fldChar w:fldCharType="begin"/>
      </w:r>
      <w:r w:rsidRPr="00F42D20">
        <w:rPr>
          <w:rFonts w:cstheme="minorHAnsi"/>
          <w:b/>
          <w:i w:val="0"/>
          <w:iCs w:val="0"/>
          <w:color w:val="auto"/>
          <w:sz w:val="22"/>
          <w:szCs w:val="22"/>
        </w:rPr>
        <w:instrText xml:space="preserve"> SEQ Figure \* ARABIC </w:instrText>
      </w:r>
      <w:r w:rsidRPr="00F42D20">
        <w:rPr>
          <w:rFonts w:cstheme="minorHAnsi"/>
          <w:b/>
          <w:i w:val="0"/>
          <w:iCs w:val="0"/>
          <w:color w:val="auto"/>
          <w:sz w:val="22"/>
          <w:szCs w:val="22"/>
        </w:rPr>
        <w:fldChar w:fldCharType="separate"/>
      </w:r>
      <w:r w:rsidR="00813590">
        <w:rPr>
          <w:rFonts w:cstheme="minorHAnsi"/>
          <w:b/>
          <w:i w:val="0"/>
          <w:iCs w:val="0"/>
          <w:noProof/>
          <w:color w:val="auto"/>
          <w:sz w:val="22"/>
          <w:szCs w:val="22"/>
        </w:rPr>
        <w:t>1</w:t>
      </w:r>
      <w:r w:rsidRPr="00F42D20">
        <w:rPr>
          <w:rFonts w:cstheme="minorHAnsi"/>
          <w:b/>
          <w:i w:val="0"/>
          <w:iCs w:val="0"/>
          <w:color w:val="auto"/>
          <w:sz w:val="22"/>
          <w:szCs w:val="22"/>
        </w:rPr>
        <w:fldChar w:fldCharType="end"/>
      </w:r>
      <w:r w:rsidRPr="00F42D20">
        <w:rPr>
          <w:rFonts w:cstheme="minorHAnsi"/>
          <w:b/>
          <w:i w:val="0"/>
          <w:iCs w:val="0"/>
          <w:color w:val="auto"/>
          <w:sz w:val="22"/>
          <w:szCs w:val="22"/>
        </w:rPr>
        <w:t xml:space="preserve">: Map of </w:t>
      </w:r>
      <w:r w:rsidR="001A7352">
        <w:rPr>
          <w:rFonts w:cstheme="minorHAnsi"/>
          <w:b/>
          <w:i w:val="0"/>
          <w:iCs w:val="0"/>
          <w:color w:val="auto"/>
          <w:sz w:val="22"/>
          <w:szCs w:val="22"/>
        </w:rPr>
        <w:t>Southern Ocean</w:t>
      </w:r>
      <w:r w:rsidR="001A7352" w:rsidRPr="00F42D20">
        <w:rPr>
          <w:rFonts w:cstheme="minorHAnsi"/>
          <w:b/>
          <w:i w:val="0"/>
          <w:iCs w:val="0"/>
          <w:color w:val="auto"/>
          <w:sz w:val="22"/>
          <w:szCs w:val="22"/>
        </w:rPr>
        <w:t xml:space="preserve"> </w:t>
      </w:r>
      <w:r w:rsidRPr="00F42D20">
        <w:rPr>
          <w:rFonts w:cstheme="minorHAnsi"/>
          <w:b/>
          <w:i w:val="0"/>
          <w:iCs w:val="0"/>
          <w:color w:val="auto"/>
          <w:sz w:val="22"/>
          <w:szCs w:val="22"/>
        </w:rPr>
        <w:t>declared area</w:t>
      </w:r>
    </w:p>
    <w:p w14:paraId="0F522B12" w14:textId="5B05DF16" w:rsidR="00C769C8" w:rsidRDefault="0031156A" w:rsidP="00C769C8">
      <w:pPr>
        <w:spacing w:after="0" w:line="240" w:lineRule="auto"/>
      </w:pPr>
      <w:r>
        <w:rPr>
          <w:noProof/>
        </w:rPr>
        <w:drawing>
          <wp:inline distT="0" distB="0" distL="0" distR="0" wp14:anchorId="0B4C2E61" wp14:editId="0869DE99">
            <wp:extent cx="6336030" cy="3959860"/>
            <wp:effectExtent l="0" t="0" r="7620" b="2540"/>
            <wp:docPr id="774439844" name="Picture 1" descr="A map of the ocean with a green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439844" name="Picture 1" descr="A map of the ocean with a green rectang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06D78" w14:textId="77777777" w:rsidR="0009062C" w:rsidRDefault="0009062C"/>
    <w:sectPr w:rsidR="0009062C" w:rsidSect="007F02DF">
      <w:pgSz w:w="11906" w:h="16838"/>
      <w:pgMar w:top="720" w:right="964" w:bottom="992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0FC1"/>
    <w:multiLevelType w:val="hybridMultilevel"/>
    <w:tmpl w:val="2F983B62"/>
    <w:lvl w:ilvl="0" w:tplc="C922C47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835AAF3E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6FE05CB6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3A508A6C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B13861F8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DA3CB8C2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841C9CE6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CB16C790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6AB636CE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 w15:restartNumberingAfterBreak="0">
    <w:nsid w:val="31D7353B"/>
    <w:multiLevelType w:val="hybridMultilevel"/>
    <w:tmpl w:val="A06604E4"/>
    <w:lvl w:ilvl="0" w:tplc="0C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7E91D5E"/>
    <w:multiLevelType w:val="hybridMultilevel"/>
    <w:tmpl w:val="B5E80D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4D267B82"/>
    <w:multiLevelType w:val="hybridMultilevel"/>
    <w:tmpl w:val="1932E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D46CD"/>
    <w:multiLevelType w:val="hybridMultilevel"/>
    <w:tmpl w:val="C152D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80255">
    <w:abstractNumId w:val="1"/>
  </w:num>
  <w:num w:numId="2" w16cid:durableId="1761634758">
    <w:abstractNumId w:val="3"/>
  </w:num>
  <w:num w:numId="3" w16cid:durableId="756095545">
    <w:abstractNumId w:val="4"/>
  </w:num>
  <w:num w:numId="4" w16cid:durableId="388040047">
    <w:abstractNumId w:val="0"/>
  </w:num>
  <w:num w:numId="5" w16cid:durableId="879702970">
    <w:abstractNumId w:val="0"/>
  </w:num>
  <w:num w:numId="6" w16cid:durableId="1159148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C8"/>
    <w:rsid w:val="000173EB"/>
    <w:rsid w:val="0002108C"/>
    <w:rsid w:val="00043D98"/>
    <w:rsid w:val="00050FA7"/>
    <w:rsid w:val="000564BF"/>
    <w:rsid w:val="000623E4"/>
    <w:rsid w:val="00077933"/>
    <w:rsid w:val="00077D60"/>
    <w:rsid w:val="00086AB0"/>
    <w:rsid w:val="0009062C"/>
    <w:rsid w:val="000B50F3"/>
    <w:rsid w:val="000B5F3A"/>
    <w:rsid w:val="000C7C66"/>
    <w:rsid w:val="000E4F56"/>
    <w:rsid w:val="000E644E"/>
    <w:rsid w:val="001008B2"/>
    <w:rsid w:val="001134EF"/>
    <w:rsid w:val="00122344"/>
    <w:rsid w:val="001242A8"/>
    <w:rsid w:val="0013413E"/>
    <w:rsid w:val="00147FFD"/>
    <w:rsid w:val="00151438"/>
    <w:rsid w:val="00176718"/>
    <w:rsid w:val="001A530E"/>
    <w:rsid w:val="001A6088"/>
    <w:rsid w:val="001A7352"/>
    <w:rsid w:val="001C646F"/>
    <w:rsid w:val="001E0BE9"/>
    <w:rsid w:val="001E4985"/>
    <w:rsid w:val="00200D53"/>
    <w:rsid w:val="00206260"/>
    <w:rsid w:val="00214231"/>
    <w:rsid w:val="002149B2"/>
    <w:rsid w:val="0021619D"/>
    <w:rsid w:val="0022332E"/>
    <w:rsid w:val="00230366"/>
    <w:rsid w:val="002457D0"/>
    <w:rsid w:val="00261232"/>
    <w:rsid w:val="00264954"/>
    <w:rsid w:val="00272C37"/>
    <w:rsid w:val="002C4C7F"/>
    <w:rsid w:val="002F2AD1"/>
    <w:rsid w:val="0031156A"/>
    <w:rsid w:val="00314B45"/>
    <w:rsid w:val="0033629F"/>
    <w:rsid w:val="00342E72"/>
    <w:rsid w:val="00351B58"/>
    <w:rsid w:val="00374DCF"/>
    <w:rsid w:val="00397938"/>
    <w:rsid w:val="003A0C56"/>
    <w:rsid w:val="003E41D6"/>
    <w:rsid w:val="00424437"/>
    <w:rsid w:val="00446016"/>
    <w:rsid w:val="004621C5"/>
    <w:rsid w:val="00470CA1"/>
    <w:rsid w:val="004A55FD"/>
    <w:rsid w:val="004C3028"/>
    <w:rsid w:val="004C737F"/>
    <w:rsid w:val="004F08A3"/>
    <w:rsid w:val="004F581C"/>
    <w:rsid w:val="00500C14"/>
    <w:rsid w:val="005133A1"/>
    <w:rsid w:val="00515B77"/>
    <w:rsid w:val="00522D36"/>
    <w:rsid w:val="00524B46"/>
    <w:rsid w:val="005452D2"/>
    <w:rsid w:val="00562962"/>
    <w:rsid w:val="0057579D"/>
    <w:rsid w:val="00585BE9"/>
    <w:rsid w:val="00590396"/>
    <w:rsid w:val="005A10F7"/>
    <w:rsid w:val="005B3439"/>
    <w:rsid w:val="005D511D"/>
    <w:rsid w:val="005E79D2"/>
    <w:rsid w:val="00635900"/>
    <w:rsid w:val="00635C03"/>
    <w:rsid w:val="0067102D"/>
    <w:rsid w:val="006A2E86"/>
    <w:rsid w:val="006B094A"/>
    <w:rsid w:val="006D6EC3"/>
    <w:rsid w:val="006F3A92"/>
    <w:rsid w:val="007008F2"/>
    <w:rsid w:val="00717B89"/>
    <w:rsid w:val="00767A92"/>
    <w:rsid w:val="00790610"/>
    <w:rsid w:val="007909EE"/>
    <w:rsid w:val="007A1660"/>
    <w:rsid w:val="007A4A52"/>
    <w:rsid w:val="007B4E13"/>
    <w:rsid w:val="007B6E6E"/>
    <w:rsid w:val="007F02DF"/>
    <w:rsid w:val="007F1DFA"/>
    <w:rsid w:val="00813590"/>
    <w:rsid w:val="00832C8F"/>
    <w:rsid w:val="00835E76"/>
    <w:rsid w:val="00842ABC"/>
    <w:rsid w:val="00847993"/>
    <w:rsid w:val="00852AA1"/>
    <w:rsid w:val="00876F6E"/>
    <w:rsid w:val="008A63DE"/>
    <w:rsid w:val="008A6A14"/>
    <w:rsid w:val="008C3D21"/>
    <w:rsid w:val="009022C0"/>
    <w:rsid w:val="009053CB"/>
    <w:rsid w:val="00913AA5"/>
    <w:rsid w:val="00925C0D"/>
    <w:rsid w:val="00935368"/>
    <w:rsid w:val="00974D1C"/>
    <w:rsid w:val="00996EFD"/>
    <w:rsid w:val="009A0579"/>
    <w:rsid w:val="009D2DA4"/>
    <w:rsid w:val="00A134CA"/>
    <w:rsid w:val="00A13695"/>
    <w:rsid w:val="00A14704"/>
    <w:rsid w:val="00A473F6"/>
    <w:rsid w:val="00A57E76"/>
    <w:rsid w:val="00A65252"/>
    <w:rsid w:val="00A71998"/>
    <w:rsid w:val="00A72843"/>
    <w:rsid w:val="00A91BF2"/>
    <w:rsid w:val="00AF0E48"/>
    <w:rsid w:val="00B00E09"/>
    <w:rsid w:val="00B05209"/>
    <w:rsid w:val="00B1481A"/>
    <w:rsid w:val="00B20123"/>
    <w:rsid w:val="00B20F58"/>
    <w:rsid w:val="00B96FE9"/>
    <w:rsid w:val="00B97F19"/>
    <w:rsid w:val="00BB6A36"/>
    <w:rsid w:val="00BD5090"/>
    <w:rsid w:val="00BE600B"/>
    <w:rsid w:val="00BF36E3"/>
    <w:rsid w:val="00BF4A91"/>
    <w:rsid w:val="00C0629D"/>
    <w:rsid w:val="00C1367E"/>
    <w:rsid w:val="00C25F36"/>
    <w:rsid w:val="00C37540"/>
    <w:rsid w:val="00C55645"/>
    <w:rsid w:val="00C769C8"/>
    <w:rsid w:val="00C84F45"/>
    <w:rsid w:val="00C876C3"/>
    <w:rsid w:val="00C95F2C"/>
    <w:rsid w:val="00CA7303"/>
    <w:rsid w:val="00CB02B8"/>
    <w:rsid w:val="00CC4ADA"/>
    <w:rsid w:val="00CF7EEF"/>
    <w:rsid w:val="00D04F21"/>
    <w:rsid w:val="00D360B6"/>
    <w:rsid w:val="00D53B9E"/>
    <w:rsid w:val="00D57F29"/>
    <w:rsid w:val="00D76E66"/>
    <w:rsid w:val="00D85916"/>
    <w:rsid w:val="00D86BE9"/>
    <w:rsid w:val="00D87321"/>
    <w:rsid w:val="00DA365D"/>
    <w:rsid w:val="00E0453B"/>
    <w:rsid w:val="00E0629D"/>
    <w:rsid w:val="00E55045"/>
    <w:rsid w:val="00EA0165"/>
    <w:rsid w:val="00EB45FD"/>
    <w:rsid w:val="00F10437"/>
    <w:rsid w:val="00F1641A"/>
    <w:rsid w:val="00F21A37"/>
    <w:rsid w:val="00F41C41"/>
    <w:rsid w:val="00F422C8"/>
    <w:rsid w:val="00F42D20"/>
    <w:rsid w:val="00F44BCC"/>
    <w:rsid w:val="00F603C6"/>
    <w:rsid w:val="00FC4446"/>
    <w:rsid w:val="00FD53CA"/>
    <w:rsid w:val="00FE2C45"/>
    <w:rsid w:val="00FF03A6"/>
    <w:rsid w:val="0100E418"/>
    <w:rsid w:val="055824A0"/>
    <w:rsid w:val="0D330FC2"/>
    <w:rsid w:val="14382A35"/>
    <w:rsid w:val="14660BB6"/>
    <w:rsid w:val="151A2C15"/>
    <w:rsid w:val="1A784744"/>
    <w:rsid w:val="1D15BEF3"/>
    <w:rsid w:val="2ED2DE9F"/>
    <w:rsid w:val="3450AF48"/>
    <w:rsid w:val="3B4817D5"/>
    <w:rsid w:val="3B6959D4"/>
    <w:rsid w:val="3ED5BBD3"/>
    <w:rsid w:val="43155608"/>
    <w:rsid w:val="43BEC5A4"/>
    <w:rsid w:val="44623FCD"/>
    <w:rsid w:val="45715E8F"/>
    <w:rsid w:val="4785FF52"/>
    <w:rsid w:val="47C18B25"/>
    <w:rsid w:val="4A9C0D63"/>
    <w:rsid w:val="5B91D42E"/>
    <w:rsid w:val="6E1E601B"/>
    <w:rsid w:val="705B05B1"/>
    <w:rsid w:val="782B595C"/>
    <w:rsid w:val="78AA069E"/>
    <w:rsid w:val="7DDA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408E"/>
  <w15:chartTrackingRefBased/>
  <w15:docId w15:val="{D77EF6C9-4D5C-48AB-A604-50E0B25A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9C8"/>
  </w:style>
  <w:style w:type="paragraph" w:styleId="Heading1">
    <w:name w:val="heading 1"/>
    <w:basedOn w:val="Normal"/>
    <w:next w:val="Normal"/>
    <w:link w:val="Heading1Char"/>
    <w:uiPriority w:val="9"/>
    <w:qFormat/>
    <w:rsid w:val="00C76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76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9C8"/>
    <w:rPr>
      <w:sz w:val="20"/>
      <w:szCs w:val="20"/>
    </w:rPr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 para,Recommendation,numbered,列出段落,列出段落1"/>
    <w:basedOn w:val="Normal"/>
    <w:link w:val="ListParagraphChar"/>
    <w:uiPriority w:val="34"/>
    <w:qFormat/>
    <w:rsid w:val="00C769C8"/>
    <w:pPr>
      <w:ind w:left="720" w:hanging="360"/>
      <w:contextualSpacing/>
    </w:p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basedOn w:val="DefaultParagraphFont"/>
    <w:link w:val="ListParagraph"/>
    <w:uiPriority w:val="34"/>
    <w:qFormat/>
    <w:locked/>
    <w:rsid w:val="00C769C8"/>
  </w:style>
  <w:style w:type="paragraph" w:styleId="Caption">
    <w:name w:val="caption"/>
    <w:basedOn w:val="Normal"/>
    <w:next w:val="Normal"/>
    <w:uiPriority w:val="35"/>
    <w:semiHidden/>
    <w:unhideWhenUsed/>
    <w:qFormat/>
    <w:rsid w:val="00C769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CF7EEF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customStyle="1" w:styleId="normaltextrun">
    <w:name w:val="normaltextrun"/>
    <w:basedOn w:val="DefaultParagraphFont"/>
    <w:rsid w:val="00BB6A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4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5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ship xmlns="263e80a3-83eb-403e-a237-b3125a65bc88" xsi:nil="true"/>
    <lcf76f155ced4ddcb4097134ff3c332f xmlns="263e80a3-83eb-403e-a237-b3125a65bc88">
      <Terms xmlns="http://schemas.microsoft.com/office/infopath/2007/PartnerControls"/>
    </lcf76f155ced4ddcb4097134ff3c332f>
    <TaxCatchAll xmlns="81c01dc6-2c49-4730-b140-874c95cac377" xsi:nil="true"/>
    <SharedWithUsers xmlns="a6e86820-684a-4c77-a2e2-d773523b5b34">
      <UserInfo>
        <DisplayName>Murphy, Paul</DisplayName>
        <AccountId>146</AccountId>
        <AccountType/>
      </UserInfo>
      <UserInfo>
        <DisplayName>Cox, Victoria</DisplayName>
        <AccountId>47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3F020C0D66A408AC5E2F51A8D5F99" ma:contentTypeVersion="16" ma:contentTypeDescription="Create a new document." ma:contentTypeScope="" ma:versionID="79be7a56ffb3441d792104c0386641c1">
  <xsd:schema xmlns:xsd="http://www.w3.org/2001/XMLSchema" xmlns:xs="http://www.w3.org/2001/XMLSchema" xmlns:p="http://schemas.microsoft.com/office/2006/metadata/properties" xmlns:ns2="a6e86820-684a-4c77-a2e2-d773523b5b34" xmlns:ns3="263e80a3-83eb-403e-a237-b3125a65bc88" xmlns:ns4="81c01dc6-2c49-4730-b140-874c95cac377" targetNamespace="http://schemas.microsoft.com/office/2006/metadata/properties" ma:root="true" ma:fieldsID="5a50de049631a995e9e002b19bc1b6bd" ns2:_="" ns3:_="" ns4:_="">
    <xsd:import namespace="a6e86820-684a-4c77-a2e2-d773523b5b34"/>
    <xsd:import namespace="263e80a3-83eb-403e-a237-b3125a65bc88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uthorship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86820-684a-4c77-a2e2-d773523b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80a3-83eb-403e-a237-b3125a65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Authorship" ma:index="20" nillable="true" ma:displayName="Authorship" ma:format="Dropdown" ma:internalName="Authorship">
      <xsd:simpleType>
        <xsd:restriction base="dms:Choice">
          <xsd:enumeration value="Government"/>
          <xsd:enumeration value="Industry"/>
          <xsd:enumeration value="Academic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45d8e6-bb2d-417b-a0ab-3512baac0c97}" ma:internalName="TaxCatchAll" ma:showField="CatchAllData" ma:web="a6e86820-684a-4c77-a2e2-d773523b5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7ED95-70C3-4A3E-9568-9E559F6B012B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a6e86820-684a-4c77-a2e2-d773523b5b3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1c01dc6-2c49-4730-b140-874c95cac377"/>
    <ds:schemaRef ds:uri="263e80a3-83eb-403e-a237-b3125a65bc88"/>
  </ds:schemaRefs>
</ds:datastoreItem>
</file>

<file path=customXml/itemProps2.xml><?xml version="1.0" encoding="utf-8"?>
<ds:datastoreItem xmlns:ds="http://schemas.openxmlformats.org/officeDocument/2006/customXml" ds:itemID="{D7D366C2-7894-4216-A6E6-12C74D2E4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49173-5A0B-4E03-AC3F-01CD4FB0C2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7C0005-918C-4483-BA25-D56B9E6C0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86820-684a-4c77-a2e2-d773523b5b34"/>
    <ds:schemaRef ds:uri="263e80a3-83eb-403e-a237-b3125a65bc88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Company>Department of Industry, Science, Energy and Resources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Dwan, Ash</dc:creator>
  <cp:keywords/>
  <dc:description/>
  <cp:lastModifiedBy>Anglin, Tirzah</cp:lastModifiedBy>
  <cp:revision>2</cp:revision>
  <cp:lastPrinted>2024-03-03T22:59:00Z</cp:lastPrinted>
  <dcterms:created xsi:type="dcterms:W3CDTF">2024-03-05T00:09:00Z</dcterms:created>
  <dcterms:modified xsi:type="dcterms:W3CDTF">2024-03-05T00:09:00Z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0x0101009583F020C0D66A408AC5E2F51A8D5F99</vt:lpwstr>
  </property>
  <property fmtid="{D5CDD505-2E9C-101B-9397-08002B2CF9AE}" pid="3" name="MediaServiceImageTags">
    <vt:lpwstr/>
  </property>
</Properties>
</file>