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1050" w14:textId="77777777" w:rsidR="00F31463" w:rsidRDefault="00302B18" w:rsidP="0061341E">
      <w:pPr>
        <w:keepNext/>
        <w:keepLines/>
        <w:jc w:val="center"/>
        <w:rPr>
          <w:rFonts w:ascii="Arial" w:hAnsi="Arial" w:cs="Arial"/>
          <w:sz w:val="24"/>
          <w:szCs w:val="24"/>
        </w:rPr>
      </w:pPr>
      <w:r>
        <w:rPr>
          <w:rFonts w:ascii="Arial" w:hAnsi="Arial" w:cs="Arial"/>
          <w:b/>
          <w:sz w:val="24"/>
          <w:szCs w:val="24"/>
        </w:rPr>
        <w:t>Emissions Reduction Fund</w:t>
      </w:r>
      <w:r w:rsidRPr="00BA70C1">
        <w:rPr>
          <w:rFonts w:ascii="Arial" w:hAnsi="Arial" w:cs="Arial"/>
          <w:b/>
          <w:sz w:val="24"/>
          <w:szCs w:val="24"/>
        </w:rPr>
        <w:t xml:space="preserve"> Safeguard </w:t>
      </w:r>
      <w:r w:rsidR="009F1665">
        <w:rPr>
          <w:rFonts w:ascii="Arial" w:hAnsi="Arial" w:cs="Arial"/>
          <w:b/>
          <w:sz w:val="24"/>
          <w:szCs w:val="24"/>
        </w:rPr>
        <w:t>M</w:t>
      </w:r>
      <w:r w:rsidRPr="00BA70C1">
        <w:rPr>
          <w:rFonts w:ascii="Arial" w:hAnsi="Arial" w:cs="Arial"/>
          <w:b/>
          <w:sz w:val="24"/>
          <w:szCs w:val="24"/>
        </w:rPr>
        <w:t>echanism</w:t>
      </w:r>
      <w:r w:rsidR="008D5BA5">
        <w:rPr>
          <w:rFonts w:ascii="Arial" w:hAnsi="Arial" w:cs="Arial"/>
          <w:sz w:val="24"/>
          <w:szCs w:val="24"/>
        </w:rPr>
        <w:t xml:space="preserve"> </w:t>
      </w:r>
    </w:p>
    <w:p w14:paraId="0F88B446" w14:textId="6685D44C" w:rsidR="0061341E" w:rsidRPr="0061341E" w:rsidRDefault="00302B18" w:rsidP="0061341E">
      <w:pPr>
        <w:keepNext/>
        <w:keepLines/>
        <w:jc w:val="center"/>
        <w:rPr>
          <w:rFonts w:ascii="Arial" w:hAnsi="Arial" w:cs="Arial"/>
          <w:b/>
          <w:sz w:val="24"/>
          <w:szCs w:val="24"/>
        </w:rPr>
      </w:pPr>
      <w:r>
        <w:rPr>
          <w:rFonts w:ascii="Arial" w:hAnsi="Arial" w:cs="Arial"/>
          <w:b/>
          <w:sz w:val="24"/>
          <w:szCs w:val="24"/>
        </w:rPr>
        <w:t>Framework for developing</w:t>
      </w:r>
      <w:r w:rsidRPr="00BA70C1">
        <w:rPr>
          <w:rFonts w:ascii="Arial" w:hAnsi="Arial" w:cs="Arial"/>
          <w:b/>
          <w:sz w:val="24"/>
          <w:szCs w:val="24"/>
        </w:rPr>
        <w:t xml:space="preserve"> default production variables and </w:t>
      </w:r>
      <w:r w:rsidR="00F31463">
        <w:rPr>
          <w:rFonts w:ascii="Arial" w:hAnsi="Arial" w:cs="Arial"/>
          <w:b/>
          <w:sz w:val="24"/>
          <w:szCs w:val="24"/>
        </w:rPr>
        <w:br/>
      </w:r>
      <w:r w:rsidRPr="00BA70C1">
        <w:rPr>
          <w:rFonts w:ascii="Arial" w:hAnsi="Arial" w:cs="Arial"/>
          <w:b/>
          <w:sz w:val="24"/>
          <w:szCs w:val="24"/>
        </w:rPr>
        <w:t xml:space="preserve">emissions-intensity </w:t>
      </w:r>
      <w:proofErr w:type="gramStart"/>
      <w:r w:rsidRPr="00BA70C1">
        <w:rPr>
          <w:rFonts w:ascii="Arial" w:hAnsi="Arial" w:cs="Arial"/>
          <w:b/>
          <w:sz w:val="24"/>
          <w:szCs w:val="24"/>
        </w:rPr>
        <w:t>values</w:t>
      </w:r>
      <w:proofErr w:type="gramEnd"/>
    </w:p>
    <w:p w14:paraId="7F1D4113" w14:textId="77777777" w:rsidR="004E0883" w:rsidRDefault="004E0883" w:rsidP="003F0590">
      <w:pPr>
        <w:shd w:val="clear" w:color="auto" w:fill="FFFFFF" w:themeFill="background1"/>
        <w:spacing w:before="100" w:after="240"/>
        <w:rPr>
          <w:rFonts w:ascii="Arial" w:hAnsi="Arial" w:cs="Arial"/>
          <w:sz w:val="24"/>
          <w:szCs w:val="24"/>
        </w:rPr>
      </w:pPr>
    </w:p>
    <w:tbl>
      <w:tblPr>
        <w:tblStyle w:val="TableGrid"/>
        <w:tblW w:w="9493" w:type="dxa"/>
        <w:tblLook w:val="04A0" w:firstRow="1" w:lastRow="0" w:firstColumn="1" w:lastColumn="0" w:noHBand="0" w:noVBand="1"/>
      </w:tblPr>
      <w:tblGrid>
        <w:gridCol w:w="1897"/>
        <w:gridCol w:w="1217"/>
        <w:gridCol w:w="6379"/>
      </w:tblGrid>
      <w:tr w:rsidR="00FA701F" w14:paraId="7385BF44" w14:textId="77777777" w:rsidTr="00C11F2A">
        <w:tc>
          <w:tcPr>
            <w:tcW w:w="1897" w:type="dxa"/>
            <w:shd w:val="clear" w:color="auto" w:fill="D9D9D9" w:themeFill="background1" w:themeFillShade="D9"/>
          </w:tcPr>
          <w:p w14:paraId="29DB2541" w14:textId="27735386" w:rsidR="00FA701F" w:rsidRPr="00B763A6" w:rsidRDefault="00FA701F" w:rsidP="00C11F2A">
            <w:pPr>
              <w:spacing w:before="100" w:after="0"/>
              <w:rPr>
                <w:rFonts w:cs="Arial"/>
                <w:b/>
                <w:sz w:val="20"/>
                <w:szCs w:val="24"/>
              </w:rPr>
            </w:pPr>
            <w:r w:rsidRPr="00B763A6">
              <w:rPr>
                <w:rFonts w:cs="Arial"/>
                <w:b/>
                <w:sz w:val="20"/>
                <w:szCs w:val="24"/>
              </w:rPr>
              <w:t xml:space="preserve">Date  </w:t>
            </w:r>
          </w:p>
        </w:tc>
        <w:tc>
          <w:tcPr>
            <w:tcW w:w="1217" w:type="dxa"/>
            <w:shd w:val="clear" w:color="auto" w:fill="D9D9D9" w:themeFill="background1" w:themeFillShade="D9"/>
          </w:tcPr>
          <w:p w14:paraId="5730E95B" w14:textId="2127FC74" w:rsidR="00FA701F" w:rsidRPr="00B763A6" w:rsidRDefault="00FA701F" w:rsidP="00C11F2A">
            <w:pPr>
              <w:spacing w:before="100" w:after="0"/>
              <w:rPr>
                <w:rFonts w:cs="Arial"/>
                <w:b/>
                <w:sz w:val="20"/>
                <w:szCs w:val="24"/>
              </w:rPr>
            </w:pPr>
            <w:r w:rsidRPr="00B763A6">
              <w:rPr>
                <w:rFonts w:cs="Arial"/>
                <w:b/>
                <w:sz w:val="20"/>
                <w:szCs w:val="24"/>
              </w:rPr>
              <w:t xml:space="preserve">Version  </w:t>
            </w:r>
          </w:p>
        </w:tc>
        <w:tc>
          <w:tcPr>
            <w:tcW w:w="6379" w:type="dxa"/>
            <w:shd w:val="clear" w:color="auto" w:fill="D9D9D9" w:themeFill="background1" w:themeFillShade="D9"/>
          </w:tcPr>
          <w:p w14:paraId="0A75317C" w14:textId="433466C4" w:rsidR="00FA701F" w:rsidRPr="00B763A6" w:rsidRDefault="00FA701F" w:rsidP="00C11F2A">
            <w:pPr>
              <w:spacing w:before="100" w:after="0"/>
              <w:rPr>
                <w:rFonts w:cs="Arial"/>
                <w:b/>
                <w:sz w:val="20"/>
                <w:szCs w:val="24"/>
              </w:rPr>
            </w:pPr>
            <w:r w:rsidRPr="00B763A6">
              <w:rPr>
                <w:rFonts w:cs="Arial"/>
                <w:b/>
                <w:sz w:val="20"/>
                <w:szCs w:val="24"/>
              </w:rPr>
              <w:t xml:space="preserve">Description  </w:t>
            </w:r>
          </w:p>
        </w:tc>
      </w:tr>
      <w:tr w:rsidR="00FA701F" w:rsidRPr="009961B4" w14:paraId="1955BC71" w14:textId="77777777" w:rsidTr="00C11F2A">
        <w:tc>
          <w:tcPr>
            <w:tcW w:w="1897" w:type="dxa"/>
            <w:shd w:val="clear" w:color="auto" w:fill="auto"/>
          </w:tcPr>
          <w:p w14:paraId="6D078238" w14:textId="680AF918" w:rsidR="00FA701F" w:rsidRPr="00B763A6" w:rsidRDefault="00FA701F" w:rsidP="00C11F2A">
            <w:pPr>
              <w:spacing w:before="100" w:after="0"/>
              <w:rPr>
                <w:rFonts w:cs="Arial"/>
                <w:sz w:val="20"/>
                <w:szCs w:val="24"/>
              </w:rPr>
            </w:pPr>
            <w:r w:rsidRPr="00B763A6">
              <w:rPr>
                <w:rFonts w:cs="Arial"/>
                <w:sz w:val="20"/>
                <w:szCs w:val="24"/>
              </w:rPr>
              <w:t>21 February 2018</w:t>
            </w:r>
          </w:p>
        </w:tc>
        <w:tc>
          <w:tcPr>
            <w:tcW w:w="1217" w:type="dxa"/>
            <w:shd w:val="clear" w:color="auto" w:fill="auto"/>
          </w:tcPr>
          <w:p w14:paraId="541B9B8C" w14:textId="11A5D0D7" w:rsidR="00FA701F" w:rsidRPr="00B763A6" w:rsidRDefault="00FA701F" w:rsidP="00C11F2A">
            <w:pPr>
              <w:spacing w:before="100" w:after="0"/>
              <w:rPr>
                <w:rFonts w:cs="Arial"/>
                <w:sz w:val="20"/>
                <w:szCs w:val="24"/>
              </w:rPr>
            </w:pPr>
            <w:r w:rsidRPr="00B763A6">
              <w:rPr>
                <w:rFonts w:cs="Arial"/>
                <w:sz w:val="20"/>
                <w:szCs w:val="24"/>
              </w:rPr>
              <w:t>1.0</w:t>
            </w:r>
          </w:p>
        </w:tc>
        <w:tc>
          <w:tcPr>
            <w:tcW w:w="6379" w:type="dxa"/>
            <w:shd w:val="clear" w:color="auto" w:fill="auto"/>
          </w:tcPr>
          <w:p w14:paraId="422B37C8" w14:textId="571E8621" w:rsidR="00FA701F" w:rsidRPr="00B763A6" w:rsidRDefault="00FA701F" w:rsidP="00C11F2A">
            <w:pPr>
              <w:spacing w:before="100" w:after="0"/>
              <w:rPr>
                <w:rFonts w:cs="Arial"/>
                <w:sz w:val="20"/>
                <w:szCs w:val="24"/>
              </w:rPr>
            </w:pPr>
            <w:r w:rsidRPr="00B763A6">
              <w:rPr>
                <w:rFonts w:cs="Arial"/>
                <w:sz w:val="20"/>
                <w:szCs w:val="24"/>
              </w:rPr>
              <w:t xml:space="preserve">Rereleased for consultation as part of consultation on the March 2019 amendments to the Safeguard Rule.  </w:t>
            </w:r>
          </w:p>
        </w:tc>
      </w:tr>
      <w:tr w:rsidR="00FA701F" w14:paraId="4E6C1A7D" w14:textId="77777777" w:rsidTr="004B40FA">
        <w:trPr>
          <w:trHeight w:val="1278"/>
        </w:trPr>
        <w:tc>
          <w:tcPr>
            <w:tcW w:w="1897" w:type="dxa"/>
            <w:shd w:val="clear" w:color="auto" w:fill="auto"/>
          </w:tcPr>
          <w:p w14:paraId="092AEFBB" w14:textId="3F6166D5" w:rsidR="00FA701F" w:rsidRPr="00B763A6" w:rsidRDefault="00FA701F" w:rsidP="00C11F2A">
            <w:pPr>
              <w:spacing w:before="100" w:after="0"/>
              <w:rPr>
                <w:rFonts w:cs="Arial"/>
                <w:sz w:val="20"/>
                <w:szCs w:val="24"/>
              </w:rPr>
            </w:pPr>
            <w:r w:rsidRPr="00B763A6">
              <w:rPr>
                <w:rFonts w:cs="Arial"/>
                <w:sz w:val="20"/>
                <w:szCs w:val="24"/>
              </w:rPr>
              <w:t>13 August 2019</w:t>
            </w:r>
          </w:p>
        </w:tc>
        <w:tc>
          <w:tcPr>
            <w:tcW w:w="1217" w:type="dxa"/>
            <w:shd w:val="clear" w:color="auto" w:fill="auto"/>
          </w:tcPr>
          <w:p w14:paraId="4F3B80A5" w14:textId="637D0C85" w:rsidR="00FA701F" w:rsidRPr="00B763A6" w:rsidRDefault="00FA701F" w:rsidP="00C11F2A">
            <w:pPr>
              <w:spacing w:before="100" w:after="0"/>
              <w:rPr>
                <w:rFonts w:cs="Arial"/>
                <w:sz w:val="20"/>
                <w:szCs w:val="24"/>
              </w:rPr>
            </w:pPr>
            <w:r w:rsidRPr="00B763A6">
              <w:rPr>
                <w:rFonts w:cs="Arial"/>
                <w:sz w:val="20"/>
                <w:szCs w:val="24"/>
              </w:rPr>
              <w:t>1.1</w:t>
            </w:r>
          </w:p>
        </w:tc>
        <w:tc>
          <w:tcPr>
            <w:tcW w:w="6379" w:type="dxa"/>
            <w:shd w:val="clear" w:color="auto" w:fill="auto"/>
          </w:tcPr>
          <w:p w14:paraId="38C31E1F" w14:textId="215298B3" w:rsidR="00FA701F" w:rsidRPr="00B763A6" w:rsidRDefault="002D72FB">
            <w:pPr>
              <w:spacing w:before="100" w:after="0"/>
              <w:rPr>
                <w:rFonts w:cs="Arial"/>
                <w:sz w:val="20"/>
                <w:szCs w:val="24"/>
              </w:rPr>
            </w:pPr>
            <w:r w:rsidRPr="00B763A6">
              <w:rPr>
                <w:rFonts w:cs="Arial"/>
                <w:sz w:val="20"/>
                <w:szCs w:val="24"/>
              </w:rPr>
              <w:t>Amended to allow partial emissions intensity data points to be used in the calculation of the default emissions intensity in certain circumstances, and</w:t>
            </w:r>
            <w:r w:rsidR="004B40FA" w:rsidRPr="00B763A6">
              <w:rPr>
                <w:rFonts w:cs="Arial"/>
                <w:sz w:val="20"/>
                <w:szCs w:val="24"/>
              </w:rPr>
              <w:t xml:space="preserve"> to target 50 per cent of production volume when calculating default values. </w:t>
            </w:r>
          </w:p>
        </w:tc>
      </w:tr>
    </w:tbl>
    <w:p w14:paraId="66883486" w14:textId="77777777" w:rsidR="004E0883" w:rsidRDefault="004E0883" w:rsidP="003F0590">
      <w:pPr>
        <w:shd w:val="clear" w:color="auto" w:fill="FFFFFF" w:themeFill="background1"/>
        <w:spacing w:before="100" w:after="240"/>
        <w:rPr>
          <w:rFonts w:ascii="Arial" w:hAnsi="Arial" w:cs="Arial"/>
          <w:sz w:val="24"/>
          <w:szCs w:val="24"/>
        </w:rPr>
      </w:pPr>
    </w:p>
    <w:p w14:paraId="38411D36" w14:textId="77777777" w:rsidR="004E0883" w:rsidRDefault="004E0883" w:rsidP="003F0590">
      <w:pPr>
        <w:shd w:val="clear" w:color="auto" w:fill="FFFFFF" w:themeFill="background1"/>
        <w:spacing w:before="100" w:after="240"/>
        <w:rPr>
          <w:rFonts w:ascii="Arial" w:hAnsi="Arial" w:cs="Arial"/>
          <w:sz w:val="24"/>
          <w:szCs w:val="24"/>
        </w:rPr>
      </w:pPr>
    </w:p>
    <w:p w14:paraId="2372619D" w14:textId="4AA89BB0" w:rsidR="00152FB6" w:rsidRDefault="00152FB6" w:rsidP="003F0590">
      <w:pPr>
        <w:shd w:val="clear" w:color="auto" w:fill="FFFFFF" w:themeFill="background1"/>
        <w:spacing w:before="100" w:after="240"/>
        <w:rPr>
          <w:rFonts w:ascii="Arial" w:hAnsi="Arial" w:cs="Arial"/>
          <w:sz w:val="24"/>
          <w:szCs w:val="24"/>
        </w:rPr>
      </w:pPr>
      <w:r>
        <w:rPr>
          <w:rFonts w:ascii="Arial" w:hAnsi="Arial" w:cs="Arial"/>
          <w:sz w:val="24"/>
          <w:szCs w:val="24"/>
        </w:rPr>
        <w:t xml:space="preserve">As set out in the 2017 review of climate change polices and the </w:t>
      </w:r>
      <w:r w:rsidR="0015606E">
        <w:rPr>
          <w:rFonts w:ascii="Arial" w:hAnsi="Arial" w:cs="Arial"/>
          <w:sz w:val="24"/>
          <w:szCs w:val="24"/>
        </w:rPr>
        <w:t>S</w:t>
      </w:r>
      <w:r>
        <w:rPr>
          <w:rFonts w:ascii="Arial" w:hAnsi="Arial" w:cs="Arial"/>
          <w:sz w:val="24"/>
          <w:szCs w:val="24"/>
        </w:rPr>
        <w:t xml:space="preserve">afeguard </w:t>
      </w:r>
      <w:r w:rsidR="0015606E">
        <w:rPr>
          <w:rFonts w:ascii="Arial" w:hAnsi="Arial" w:cs="Arial"/>
          <w:sz w:val="24"/>
          <w:szCs w:val="24"/>
        </w:rPr>
        <w:t>M</w:t>
      </w:r>
      <w:r>
        <w:rPr>
          <w:rFonts w:ascii="Arial" w:hAnsi="Arial" w:cs="Arial"/>
          <w:sz w:val="24"/>
          <w:szCs w:val="24"/>
        </w:rPr>
        <w:t>echanism consultation paper, the government will develop default production variable</w:t>
      </w:r>
      <w:r w:rsidR="00824242">
        <w:rPr>
          <w:rFonts w:ascii="Arial" w:hAnsi="Arial" w:cs="Arial"/>
          <w:sz w:val="24"/>
          <w:szCs w:val="24"/>
        </w:rPr>
        <w:t>s</w:t>
      </w:r>
      <w:r>
        <w:rPr>
          <w:rFonts w:ascii="Arial" w:hAnsi="Arial" w:cs="Arial"/>
          <w:sz w:val="24"/>
          <w:szCs w:val="24"/>
        </w:rPr>
        <w:t xml:space="preserve"> and emission intensity values to simplify and streamline baseline applications and lower administrative costs for businesses.</w:t>
      </w:r>
    </w:p>
    <w:p w14:paraId="3EF91A3E" w14:textId="00504A72" w:rsidR="003F0590" w:rsidRPr="003F0590" w:rsidRDefault="003F0590" w:rsidP="003F0590">
      <w:pPr>
        <w:shd w:val="clear" w:color="auto" w:fill="FFFFFF" w:themeFill="background1"/>
        <w:spacing w:before="100" w:after="240"/>
        <w:rPr>
          <w:rFonts w:ascii="Arial" w:hAnsi="Arial" w:cs="Arial"/>
          <w:sz w:val="24"/>
          <w:szCs w:val="24"/>
        </w:rPr>
      </w:pPr>
      <w:r w:rsidRPr="003F0590">
        <w:rPr>
          <w:rFonts w:ascii="Arial" w:hAnsi="Arial" w:cs="Arial"/>
          <w:sz w:val="24"/>
          <w:szCs w:val="24"/>
        </w:rPr>
        <w:t xml:space="preserve">This document sets out a framework to guide the selection of default production variables and emissions-intensity values for the Emissions Reduction Fund Safeguard </w:t>
      </w:r>
      <w:proofErr w:type="gramStart"/>
      <w:r w:rsidRPr="003F0590">
        <w:rPr>
          <w:rFonts w:ascii="Arial" w:hAnsi="Arial" w:cs="Arial"/>
          <w:sz w:val="24"/>
          <w:szCs w:val="24"/>
        </w:rPr>
        <w:t>Mechanism, and</w:t>
      </w:r>
      <w:proofErr w:type="gramEnd"/>
      <w:r w:rsidRPr="003F0590">
        <w:rPr>
          <w:rFonts w:ascii="Arial" w:hAnsi="Arial" w:cs="Arial"/>
          <w:sz w:val="24"/>
          <w:szCs w:val="24"/>
        </w:rPr>
        <w:t xml:space="preserve"> identify which production variables will be eligible for annually </w:t>
      </w:r>
      <w:r w:rsidR="00824242">
        <w:rPr>
          <w:rFonts w:ascii="Arial" w:hAnsi="Arial" w:cs="Arial"/>
          <w:sz w:val="24"/>
          <w:szCs w:val="24"/>
        </w:rPr>
        <w:t xml:space="preserve">adjusted </w:t>
      </w:r>
      <w:r w:rsidRPr="003F0590">
        <w:rPr>
          <w:rFonts w:ascii="Arial" w:hAnsi="Arial" w:cs="Arial"/>
          <w:sz w:val="24"/>
          <w:szCs w:val="24"/>
        </w:rPr>
        <w:t>production-adjusted baselines. The framework includes:</w:t>
      </w:r>
    </w:p>
    <w:p w14:paraId="7570844D" w14:textId="77777777" w:rsidR="003F0590" w:rsidRPr="003F0590" w:rsidRDefault="003F0590" w:rsidP="003F0590">
      <w:pPr>
        <w:pStyle w:val="ListBullet"/>
        <w:tabs>
          <w:tab w:val="clear" w:pos="360"/>
        </w:tabs>
        <w:spacing w:after="240"/>
        <w:ind w:left="369" w:hanging="369"/>
        <w:contextualSpacing w:val="0"/>
        <w:rPr>
          <w:rFonts w:ascii="Arial" w:hAnsi="Arial" w:cs="Arial"/>
          <w:sz w:val="24"/>
          <w:szCs w:val="24"/>
        </w:rPr>
      </w:pPr>
      <w:r w:rsidRPr="003F0590">
        <w:rPr>
          <w:rFonts w:ascii="Arial" w:hAnsi="Arial" w:cs="Arial"/>
          <w:sz w:val="24"/>
          <w:szCs w:val="24"/>
        </w:rPr>
        <w:t>Background on production variables</w:t>
      </w:r>
    </w:p>
    <w:p w14:paraId="78907E9F" w14:textId="77777777" w:rsidR="003F0590" w:rsidRPr="003F0590" w:rsidRDefault="003F0590" w:rsidP="003F0590">
      <w:pPr>
        <w:pStyle w:val="ListBullet"/>
        <w:tabs>
          <w:tab w:val="clear" w:pos="360"/>
        </w:tabs>
        <w:spacing w:after="240"/>
        <w:ind w:left="369" w:hanging="369"/>
        <w:contextualSpacing w:val="0"/>
        <w:rPr>
          <w:rFonts w:ascii="Arial" w:hAnsi="Arial" w:cs="Arial"/>
          <w:sz w:val="24"/>
          <w:szCs w:val="24"/>
        </w:rPr>
      </w:pPr>
      <w:r w:rsidRPr="003F0590">
        <w:rPr>
          <w:rFonts w:ascii="Arial" w:hAnsi="Arial" w:cs="Arial"/>
          <w:sz w:val="24"/>
          <w:szCs w:val="24"/>
        </w:rPr>
        <w:t xml:space="preserve">Principles for selecting default production </w:t>
      </w:r>
      <w:proofErr w:type="gramStart"/>
      <w:r w:rsidRPr="003F0590">
        <w:rPr>
          <w:rFonts w:ascii="Arial" w:hAnsi="Arial" w:cs="Arial"/>
          <w:sz w:val="24"/>
          <w:szCs w:val="24"/>
        </w:rPr>
        <w:t>variables</w:t>
      </w:r>
      <w:proofErr w:type="gramEnd"/>
    </w:p>
    <w:p w14:paraId="5A569551" w14:textId="7349FACB" w:rsidR="003F0590" w:rsidRPr="003F0590" w:rsidRDefault="003F0590" w:rsidP="003F0590">
      <w:pPr>
        <w:pStyle w:val="ListBullet"/>
        <w:tabs>
          <w:tab w:val="clear" w:pos="360"/>
        </w:tabs>
        <w:spacing w:after="240"/>
        <w:ind w:left="369" w:hanging="369"/>
        <w:contextualSpacing w:val="0"/>
        <w:rPr>
          <w:rFonts w:ascii="Arial" w:hAnsi="Arial" w:cs="Arial"/>
          <w:sz w:val="24"/>
          <w:szCs w:val="24"/>
        </w:rPr>
      </w:pPr>
      <w:r w:rsidRPr="003F0590">
        <w:rPr>
          <w:rFonts w:ascii="Arial" w:hAnsi="Arial" w:cs="Arial"/>
          <w:sz w:val="24"/>
          <w:szCs w:val="24"/>
        </w:rPr>
        <w:t>The</w:t>
      </w:r>
      <w:r w:rsidR="00824242">
        <w:rPr>
          <w:rFonts w:ascii="Arial" w:hAnsi="Arial" w:cs="Arial"/>
          <w:sz w:val="24"/>
          <w:szCs w:val="24"/>
        </w:rPr>
        <w:t xml:space="preserve"> default</w:t>
      </w:r>
      <w:r w:rsidRPr="003F0590">
        <w:rPr>
          <w:rFonts w:ascii="Arial" w:hAnsi="Arial" w:cs="Arial"/>
          <w:sz w:val="24"/>
          <w:szCs w:val="24"/>
        </w:rPr>
        <w:t xml:space="preserve"> calculation method for determining default emissions i</w:t>
      </w:r>
      <w:r w:rsidR="00C3257C">
        <w:rPr>
          <w:rFonts w:ascii="Arial" w:hAnsi="Arial" w:cs="Arial"/>
          <w:sz w:val="24"/>
          <w:szCs w:val="24"/>
        </w:rPr>
        <w:t>ntensities.</w:t>
      </w:r>
    </w:p>
    <w:p w14:paraId="30BD0575" w14:textId="5A976446" w:rsidR="003F0590" w:rsidRPr="003F0590" w:rsidRDefault="003F0590" w:rsidP="003F0590">
      <w:pPr>
        <w:pStyle w:val="Heading1"/>
        <w:spacing w:after="240"/>
        <w:ind w:left="432" w:hanging="432"/>
        <w:rPr>
          <w:rFonts w:ascii="Arial" w:hAnsi="Arial" w:cs="Arial"/>
          <w:sz w:val="24"/>
          <w:szCs w:val="24"/>
        </w:rPr>
      </w:pPr>
      <w:r w:rsidRPr="003F0590">
        <w:rPr>
          <w:rFonts w:ascii="Arial" w:hAnsi="Arial" w:cs="Arial"/>
          <w:sz w:val="24"/>
          <w:szCs w:val="24"/>
        </w:rPr>
        <w:t>Process and timing</w:t>
      </w:r>
    </w:p>
    <w:p w14:paraId="5E8732BE" w14:textId="70C8A7AA" w:rsidR="003F0590" w:rsidRPr="003F0590" w:rsidRDefault="003F0590" w:rsidP="003F0590">
      <w:pPr>
        <w:pStyle w:val="ListBullet"/>
        <w:keepNext/>
        <w:keepLines/>
        <w:numPr>
          <w:ilvl w:val="0"/>
          <w:numId w:val="0"/>
        </w:numPr>
        <w:spacing w:after="240"/>
        <w:rPr>
          <w:rFonts w:ascii="Arial" w:hAnsi="Arial" w:cs="Arial"/>
          <w:sz w:val="24"/>
          <w:szCs w:val="24"/>
        </w:rPr>
      </w:pPr>
      <w:r w:rsidRPr="003F0590">
        <w:rPr>
          <w:rFonts w:ascii="Arial" w:hAnsi="Arial" w:cs="Arial"/>
          <w:sz w:val="24"/>
          <w:szCs w:val="24"/>
        </w:rPr>
        <w:t xml:space="preserve">The Government will develop default values and identify which production variables </w:t>
      </w:r>
      <w:r w:rsidR="00824242">
        <w:rPr>
          <w:rFonts w:ascii="Arial" w:hAnsi="Arial" w:cs="Arial"/>
          <w:sz w:val="24"/>
          <w:szCs w:val="24"/>
        </w:rPr>
        <w:t>can</w:t>
      </w:r>
      <w:r w:rsidRPr="003F0590">
        <w:rPr>
          <w:rFonts w:ascii="Arial" w:hAnsi="Arial" w:cs="Arial"/>
          <w:sz w:val="24"/>
          <w:szCs w:val="24"/>
        </w:rPr>
        <w:t xml:space="preserve"> be used for </w:t>
      </w:r>
      <w:proofErr w:type="gramStart"/>
      <w:r w:rsidRPr="003F0590">
        <w:rPr>
          <w:rFonts w:ascii="Arial" w:hAnsi="Arial" w:cs="Arial"/>
          <w:sz w:val="24"/>
          <w:szCs w:val="24"/>
        </w:rPr>
        <w:t>annually-adjusted</w:t>
      </w:r>
      <w:proofErr w:type="gramEnd"/>
      <w:r w:rsidRPr="003F0590">
        <w:rPr>
          <w:rFonts w:ascii="Arial" w:hAnsi="Arial" w:cs="Arial"/>
          <w:sz w:val="24"/>
          <w:szCs w:val="24"/>
        </w:rPr>
        <w:t xml:space="preserve"> baselines, in consultation with businesses and supported by independent technical advice. Final default values wil</w:t>
      </w:r>
      <w:r w:rsidR="0049095A">
        <w:rPr>
          <w:rFonts w:ascii="Arial" w:hAnsi="Arial" w:cs="Arial"/>
          <w:sz w:val="24"/>
          <w:szCs w:val="24"/>
        </w:rPr>
        <w:t>l be included in the Safeguard R</w:t>
      </w:r>
      <w:r w:rsidRPr="003F0590">
        <w:rPr>
          <w:rFonts w:ascii="Arial" w:hAnsi="Arial" w:cs="Arial"/>
          <w:sz w:val="24"/>
          <w:szCs w:val="24"/>
        </w:rPr>
        <w:t>ule in two schedules:</w:t>
      </w:r>
    </w:p>
    <w:p w14:paraId="03B289AE" w14:textId="22A10367" w:rsidR="003F0590" w:rsidRPr="003F0590" w:rsidRDefault="003F0590" w:rsidP="003F0590">
      <w:pPr>
        <w:pStyle w:val="ListParagraph"/>
        <w:numPr>
          <w:ilvl w:val="0"/>
          <w:numId w:val="30"/>
        </w:numPr>
        <w:spacing w:after="240"/>
        <w:ind w:left="426" w:hanging="426"/>
        <w:contextualSpacing w:val="0"/>
        <w:rPr>
          <w:rFonts w:ascii="Arial" w:hAnsi="Arial" w:cs="Arial"/>
          <w:sz w:val="24"/>
          <w:szCs w:val="24"/>
        </w:rPr>
      </w:pPr>
      <w:r w:rsidRPr="003F0590">
        <w:rPr>
          <w:rFonts w:ascii="Arial" w:hAnsi="Arial" w:cs="Arial"/>
          <w:sz w:val="24"/>
          <w:szCs w:val="24"/>
        </w:rPr>
        <w:t xml:space="preserve">production variables that </w:t>
      </w:r>
      <w:r w:rsidR="00824242" w:rsidRPr="00824242">
        <w:rPr>
          <w:rFonts w:ascii="Arial" w:hAnsi="Arial" w:cs="Arial"/>
          <w:sz w:val="24"/>
          <w:szCs w:val="24"/>
        </w:rPr>
        <w:t xml:space="preserve">apply to production-adjusted baselines that are updated </w:t>
      </w:r>
      <w:r w:rsidR="00824242" w:rsidRPr="00824242">
        <w:rPr>
          <w:rFonts w:ascii="Arial" w:hAnsi="Arial" w:cs="Arial"/>
          <w:b/>
          <w:i/>
          <w:sz w:val="24"/>
          <w:szCs w:val="24"/>
        </w:rPr>
        <w:t>once</w:t>
      </w:r>
      <w:r w:rsidR="00824242" w:rsidRPr="00824242">
        <w:rPr>
          <w:rFonts w:ascii="Arial" w:hAnsi="Arial" w:cs="Arial"/>
          <w:sz w:val="24"/>
          <w:szCs w:val="24"/>
        </w:rPr>
        <w:t xml:space="preserve"> for production, and then remain fixed</w:t>
      </w:r>
      <w:r w:rsidRPr="003F0590">
        <w:rPr>
          <w:rFonts w:ascii="Arial" w:hAnsi="Arial" w:cs="Arial"/>
          <w:sz w:val="24"/>
          <w:szCs w:val="24"/>
        </w:rPr>
        <w:t xml:space="preserve"> (the current approach), and</w:t>
      </w:r>
    </w:p>
    <w:p w14:paraId="735885D7" w14:textId="336CFE1C" w:rsidR="003F0590" w:rsidRPr="003F0590" w:rsidRDefault="003F0590" w:rsidP="003F0590">
      <w:pPr>
        <w:pStyle w:val="ListParagraph"/>
        <w:numPr>
          <w:ilvl w:val="0"/>
          <w:numId w:val="30"/>
        </w:numPr>
        <w:spacing w:after="240"/>
        <w:ind w:left="426" w:hanging="426"/>
        <w:contextualSpacing w:val="0"/>
        <w:rPr>
          <w:rFonts w:ascii="Arial" w:hAnsi="Arial" w:cs="Arial"/>
          <w:sz w:val="24"/>
          <w:szCs w:val="24"/>
        </w:rPr>
      </w:pPr>
      <w:r w:rsidRPr="003F0590">
        <w:rPr>
          <w:rFonts w:ascii="Arial" w:hAnsi="Arial" w:cs="Arial"/>
          <w:sz w:val="24"/>
          <w:szCs w:val="24"/>
        </w:rPr>
        <w:t xml:space="preserve">production variables </w:t>
      </w:r>
      <w:r w:rsidR="00824242">
        <w:rPr>
          <w:rFonts w:ascii="Arial" w:hAnsi="Arial" w:cs="Arial"/>
          <w:sz w:val="24"/>
          <w:szCs w:val="24"/>
        </w:rPr>
        <w:t xml:space="preserve">that </w:t>
      </w:r>
      <w:r w:rsidR="00824242" w:rsidRPr="00824242">
        <w:rPr>
          <w:rFonts w:ascii="Arial" w:hAnsi="Arial" w:cs="Arial"/>
          <w:sz w:val="24"/>
          <w:szCs w:val="24"/>
        </w:rPr>
        <w:t xml:space="preserve">apply to production-adjusted baselines that update </w:t>
      </w:r>
      <w:r w:rsidR="00824242" w:rsidRPr="00824242">
        <w:rPr>
          <w:rFonts w:ascii="Arial" w:hAnsi="Arial" w:cs="Arial"/>
          <w:b/>
          <w:i/>
          <w:sz w:val="24"/>
          <w:szCs w:val="24"/>
        </w:rPr>
        <w:t>annually</w:t>
      </w:r>
      <w:r w:rsidR="00824242" w:rsidRPr="00824242">
        <w:rPr>
          <w:rFonts w:ascii="Arial" w:hAnsi="Arial" w:cs="Arial"/>
          <w:sz w:val="24"/>
          <w:szCs w:val="24"/>
        </w:rPr>
        <w:t xml:space="preserve"> with production</w:t>
      </w:r>
      <w:r w:rsidRPr="003F0590">
        <w:rPr>
          <w:rFonts w:ascii="Arial" w:hAnsi="Arial" w:cs="Arial"/>
          <w:sz w:val="24"/>
          <w:szCs w:val="24"/>
        </w:rPr>
        <w:t>.</w:t>
      </w:r>
    </w:p>
    <w:p w14:paraId="26137AB3" w14:textId="77777777" w:rsidR="003F0590" w:rsidRPr="003F0590" w:rsidRDefault="003F0590" w:rsidP="003F0590">
      <w:pPr>
        <w:spacing w:after="240"/>
        <w:rPr>
          <w:rFonts w:ascii="Arial" w:hAnsi="Arial" w:cs="Arial"/>
          <w:sz w:val="24"/>
          <w:szCs w:val="24"/>
        </w:rPr>
      </w:pPr>
      <w:r w:rsidRPr="003F0590">
        <w:rPr>
          <w:rFonts w:ascii="Arial" w:hAnsi="Arial" w:cs="Arial"/>
          <w:sz w:val="24"/>
          <w:szCs w:val="24"/>
        </w:rPr>
        <w:lastRenderedPageBreak/>
        <w:t xml:space="preserve">The Government will aim to publish as many as possible in the first half of 2019, for use in 2018-19—noting that calculated baseline applications for this year are due by 31 October 2019. </w:t>
      </w:r>
    </w:p>
    <w:p w14:paraId="630F0C13" w14:textId="47DD10F8" w:rsidR="003F0590" w:rsidRPr="003F0590" w:rsidRDefault="003F0590" w:rsidP="003F0590">
      <w:pPr>
        <w:pStyle w:val="Heading1"/>
        <w:rPr>
          <w:rFonts w:ascii="Arial" w:hAnsi="Arial" w:cs="Arial"/>
          <w:sz w:val="24"/>
        </w:rPr>
      </w:pPr>
      <w:r>
        <w:rPr>
          <w:rFonts w:ascii="Arial" w:hAnsi="Arial" w:cs="Arial"/>
          <w:sz w:val="24"/>
        </w:rPr>
        <w:t>BACKGROUND ON PRODUCTION VARIABLES</w:t>
      </w:r>
    </w:p>
    <w:p w14:paraId="534F2A74" w14:textId="77777777" w:rsidR="003F0590" w:rsidRPr="003F0590" w:rsidRDefault="003F0590" w:rsidP="003F0590">
      <w:pPr>
        <w:pStyle w:val="Heading1"/>
        <w:spacing w:after="240"/>
        <w:ind w:left="432" w:hanging="432"/>
        <w:rPr>
          <w:rFonts w:ascii="Arial" w:hAnsi="Arial" w:cs="Arial"/>
          <w:sz w:val="24"/>
          <w:szCs w:val="24"/>
        </w:rPr>
      </w:pPr>
      <w:r w:rsidRPr="003F0590">
        <w:rPr>
          <w:rFonts w:ascii="Arial" w:hAnsi="Arial" w:cs="Arial"/>
          <w:sz w:val="24"/>
          <w:szCs w:val="24"/>
        </w:rPr>
        <w:t>What are production variables?</w:t>
      </w:r>
    </w:p>
    <w:p w14:paraId="2686906A" w14:textId="0D9C2E2D" w:rsidR="003F0590" w:rsidRPr="003F0590" w:rsidRDefault="003F0590" w:rsidP="003F0590">
      <w:pPr>
        <w:spacing w:after="240"/>
        <w:rPr>
          <w:rFonts w:ascii="Arial" w:hAnsi="Arial" w:cs="Arial"/>
          <w:sz w:val="24"/>
          <w:szCs w:val="24"/>
        </w:rPr>
      </w:pPr>
      <w:r w:rsidRPr="003F0590">
        <w:rPr>
          <w:rFonts w:ascii="Arial" w:hAnsi="Arial" w:cs="Arial"/>
          <w:sz w:val="24"/>
          <w:szCs w:val="24"/>
        </w:rPr>
        <w:t>Production variables and emissions-intensity values are used to set facility baselines using a ‘calculated baseline’ approach (</w:t>
      </w:r>
      <w:r w:rsidR="00F34D19" w:rsidRPr="00506D7A">
        <w:rPr>
          <w:rFonts w:ascii="Arial" w:hAnsi="Arial" w:cs="Arial"/>
          <w:i/>
          <w:sz w:val="24"/>
          <w:szCs w:val="24"/>
        </w:rPr>
        <w:t>sub</w:t>
      </w:r>
      <w:r w:rsidRPr="00506D7A">
        <w:rPr>
          <w:rFonts w:ascii="Arial" w:hAnsi="Arial" w:cs="Arial"/>
          <w:i/>
          <w:sz w:val="24"/>
          <w:szCs w:val="24"/>
        </w:rPr>
        <w:t>section 30(3)</w:t>
      </w:r>
      <w:r w:rsidRPr="003F0590">
        <w:rPr>
          <w:rFonts w:ascii="Arial" w:hAnsi="Arial" w:cs="Arial"/>
          <w:sz w:val="24"/>
          <w:szCs w:val="24"/>
        </w:rPr>
        <w:t xml:space="preserve"> of the Safeguard Rule). </w:t>
      </w:r>
      <w:r w:rsidR="00BA16AE">
        <w:rPr>
          <w:rFonts w:ascii="Arial" w:hAnsi="Arial" w:cs="Arial"/>
          <w:sz w:val="24"/>
          <w:szCs w:val="24"/>
        </w:rPr>
        <w:t xml:space="preserve">They have been part of the </w:t>
      </w:r>
      <w:r w:rsidR="0015606E">
        <w:rPr>
          <w:rFonts w:ascii="Arial" w:hAnsi="Arial" w:cs="Arial"/>
          <w:sz w:val="24"/>
          <w:szCs w:val="24"/>
        </w:rPr>
        <w:t>S</w:t>
      </w:r>
      <w:r w:rsidR="00BA16AE">
        <w:rPr>
          <w:rFonts w:ascii="Arial" w:hAnsi="Arial" w:cs="Arial"/>
          <w:sz w:val="24"/>
          <w:szCs w:val="24"/>
        </w:rPr>
        <w:t xml:space="preserve">afeguard </w:t>
      </w:r>
      <w:r w:rsidR="0015606E">
        <w:rPr>
          <w:rFonts w:ascii="Arial" w:hAnsi="Arial" w:cs="Arial"/>
          <w:sz w:val="24"/>
          <w:szCs w:val="24"/>
        </w:rPr>
        <w:t>M</w:t>
      </w:r>
      <w:r w:rsidR="00BA16AE">
        <w:rPr>
          <w:rFonts w:ascii="Arial" w:hAnsi="Arial" w:cs="Arial"/>
          <w:sz w:val="24"/>
          <w:szCs w:val="24"/>
        </w:rPr>
        <w:t xml:space="preserve">echanism since its inception in 2016. </w:t>
      </w:r>
      <w:r w:rsidRPr="003F0590">
        <w:rPr>
          <w:rFonts w:ascii="Arial" w:hAnsi="Arial" w:cs="Arial"/>
          <w:sz w:val="24"/>
          <w:szCs w:val="24"/>
        </w:rPr>
        <w:t xml:space="preserve">A calculated baseline is the sum of ‘production’ </w:t>
      </w:r>
      <w:r w:rsidR="00824242">
        <w:rPr>
          <w:rFonts w:ascii="Arial" w:hAnsi="Arial" w:cs="Arial"/>
          <w:sz w:val="24"/>
          <w:szCs w:val="24"/>
        </w:rPr>
        <w:t>multiplied by</w:t>
      </w:r>
      <w:r w:rsidRPr="003F0590">
        <w:rPr>
          <w:rFonts w:ascii="Arial" w:hAnsi="Arial" w:cs="Arial"/>
          <w:sz w:val="24"/>
          <w:szCs w:val="24"/>
        </w:rPr>
        <w:t xml:space="preserve"> the ‘emissions-intensity of production’ for each relevant production variable nominated by the facility, where the:</w:t>
      </w:r>
    </w:p>
    <w:p w14:paraId="135EEE9A" w14:textId="77777777" w:rsidR="003F0590" w:rsidRPr="003F0590" w:rsidRDefault="003F0590" w:rsidP="003F0590">
      <w:pPr>
        <w:pStyle w:val="ListParagraph"/>
        <w:numPr>
          <w:ilvl w:val="0"/>
          <w:numId w:val="29"/>
        </w:numPr>
        <w:spacing w:after="240"/>
        <w:ind w:left="426" w:hanging="426"/>
        <w:contextualSpacing w:val="0"/>
        <w:rPr>
          <w:rFonts w:ascii="Arial" w:hAnsi="Arial" w:cs="Arial"/>
          <w:sz w:val="24"/>
          <w:szCs w:val="24"/>
        </w:rPr>
      </w:pPr>
      <w:r w:rsidRPr="003F0590">
        <w:rPr>
          <w:rFonts w:ascii="Arial" w:hAnsi="Arial" w:cs="Arial"/>
          <w:b/>
          <w:sz w:val="24"/>
          <w:szCs w:val="24"/>
        </w:rPr>
        <w:t>Production variable</w:t>
      </w:r>
      <w:r w:rsidRPr="003F0590">
        <w:rPr>
          <w:rFonts w:ascii="Arial" w:hAnsi="Arial" w:cs="Arial"/>
          <w:sz w:val="24"/>
          <w:szCs w:val="24"/>
        </w:rPr>
        <w:t xml:space="preserve"> identifies the product or service being delivered, for example, tonnes of alumina or passenger kilometres. </w:t>
      </w:r>
    </w:p>
    <w:p w14:paraId="3BF45759" w14:textId="77777777" w:rsidR="003F0590" w:rsidRPr="003F0590" w:rsidRDefault="003F0590" w:rsidP="003F0590">
      <w:pPr>
        <w:pStyle w:val="ListParagraph"/>
        <w:numPr>
          <w:ilvl w:val="0"/>
          <w:numId w:val="29"/>
        </w:numPr>
        <w:spacing w:after="240"/>
        <w:ind w:left="426" w:hanging="426"/>
        <w:contextualSpacing w:val="0"/>
        <w:rPr>
          <w:rFonts w:ascii="Arial" w:hAnsi="Arial" w:cs="Arial"/>
          <w:sz w:val="24"/>
          <w:szCs w:val="24"/>
        </w:rPr>
      </w:pPr>
      <w:r w:rsidRPr="003F0590">
        <w:rPr>
          <w:rFonts w:ascii="Arial" w:hAnsi="Arial" w:cs="Arial"/>
          <w:b/>
          <w:sz w:val="24"/>
          <w:szCs w:val="24"/>
        </w:rPr>
        <w:t>Emissions-intensity value</w:t>
      </w:r>
      <w:r w:rsidRPr="003F0590">
        <w:rPr>
          <w:rFonts w:ascii="Arial" w:hAnsi="Arial" w:cs="Arial"/>
          <w:sz w:val="24"/>
          <w:szCs w:val="24"/>
        </w:rPr>
        <w:t xml:space="preserve"> specifies the emissions-intensity of production, for example, emissions per tonne of alumina or emissions per passenger kilometre. </w:t>
      </w:r>
    </w:p>
    <w:p w14:paraId="27C7BD29" w14:textId="723E9084" w:rsidR="003F0590" w:rsidRDefault="003F0590" w:rsidP="003F0590">
      <w:pPr>
        <w:spacing w:after="240"/>
        <w:rPr>
          <w:rFonts w:ascii="Arial" w:hAnsi="Arial" w:cs="Arial"/>
          <w:sz w:val="24"/>
          <w:szCs w:val="24"/>
        </w:rPr>
      </w:pPr>
      <w:r w:rsidRPr="003F0590">
        <w:rPr>
          <w:rFonts w:ascii="Arial" w:hAnsi="Arial" w:cs="Arial"/>
          <w:sz w:val="24"/>
          <w:szCs w:val="24"/>
        </w:rPr>
        <w:t xml:space="preserve">A facility can nominate its own production variables (consistent with </w:t>
      </w:r>
      <w:r w:rsidRPr="00506D7A">
        <w:rPr>
          <w:rFonts w:ascii="Arial" w:hAnsi="Arial" w:cs="Arial"/>
          <w:i/>
          <w:sz w:val="24"/>
          <w:szCs w:val="24"/>
        </w:rPr>
        <w:t>section 5</w:t>
      </w:r>
      <w:r w:rsidRPr="003F0590">
        <w:rPr>
          <w:rFonts w:ascii="Arial" w:hAnsi="Arial" w:cs="Arial"/>
          <w:sz w:val="24"/>
          <w:szCs w:val="24"/>
        </w:rPr>
        <w:t xml:space="preserve"> of the Safeguard Rule) and estimate a site-specific emissions-intensity value using audited forecasts of its production and emissions over three years (or five years for</w:t>
      </w:r>
      <w:r w:rsidR="00BA16AE">
        <w:rPr>
          <w:rFonts w:ascii="Arial" w:hAnsi="Arial" w:cs="Arial"/>
          <w:sz w:val="24"/>
          <w:szCs w:val="24"/>
        </w:rPr>
        <w:t xml:space="preserve"> </w:t>
      </w:r>
      <w:proofErr w:type="gramStart"/>
      <w:r w:rsidR="00BA16AE">
        <w:rPr>
          <w:rFonts w:ascii="Arial" w:hAnsi="Arial" w:cs="Arial"/>
          <w:sz w:val="24"/>
          <w:szCs w:val="24"/>
        </w:rPr>
        <w:t xml:space="preserve">new </w:t>
      </w:r>
      <w:r w:rsidRPr="003F0590">
        <w:rPr>
          <w:rFonts w:ascii="Arial" w:hAnsi="Arial" w:cs="Arial"/>
          <w:sz w:val="24"/>
          <w:szCs w:val="24"/>
        </w:rPr>
        <w:t>large</w:t>
      </w:r>
      <w:proofErr w:type="gramEnd"/>
      <w:r w:rsidRPr="003F0590">
        <w:rPr>
          <w:rFonts w:ascii="Arial" w:hAnsi="Arial" w:cs="Arial"/>
          <w:sz w:val="24"/>
          <w:szCs w:val="24"/>
        </w:rPr>
        <w:t xml:space="preserve"> facilities). Baselines are </w:t>
      </w:r>
      <w:r w:rsidR="00824242">
        <w:rPr>
          <w:rFonts w:ascii="Arial" w:hAnsi="Arial" w:cs="Arial"/>
          <w:sz w:val="24"/>
          <w:szCs w:val="24"/>
        </w:rPr>
        <w:t>‘</w:t>
      </w:r>
      <w:r w:rsidRPr="003F0590">
        <w:rPr>
          <w:rFonts w:ascii="Arial" w:hAnsi="Arial" w:cs="Arial"/>
          <w:sz w:val="24"/>
          <w:szCs w:val="24"/>
        </w:rPr>
        <w:t>trued-up</w:t>
      </w:r>
      <w:r w:rsidR="00824242">
        <w:rPr>
          <w:rFonts w:ascii="Arial" w:hAnsi="Arial" w:cs="Arial"/>
          <w:sz w:val="24"/>
          <w:szCs w:val="24"/>
        </w:rPr>
        <w:t>’</w:t>
      </w:r>
      <w:r w:rsidRPr="003F0590">
        <w:rPr>
          <w:rFonts w:ascii="Arial" w:hAnsi="Arial" w:cs="Arial"/>
          <w:sz w:val="24"/>
          <w:szCs w:val="24"/>
        </w:rPr>
        <w:t xml:space="preserve"> for actual production after the forecast period, and then remain fixed. </w:t>
      </w:r>
    </w:p>
    <w:p w14:paraId="3D78A241" w14:textId="77777777" w:rsidR="00F71D2C" w:rsidRPr="00350EFF" w:rsidRDefault="00F71D2C" w:rsidP="00F71D2C">
      <w:pPr>
        <w:pStyle w:val="Heading1"/>
        <w:spacing w:after="240"/>
        <w:ind w:left="432" w:hanging="432"/>
        <w:rPr>
          <w:rFonts w:ascii="Arial" w:hAnsi="Arial" w:cs="Arial"/>
          <w:sz w:val="24"/>
          <w:szCs w:val="24"/>
        </w:rPr>
      </w:pPr>
      <w:r>
        <w:rPr>
          <w:rFonts w:ascii="Arial" w:hAnsi="Arial" w:cs="Arial"/>
          <w:sz w:val="24"/>
          <w:szCs w:val="24"/>
        </w:rPr>
        <w:t>How will d</w:t>
      </w:r>
      <w:r w:rsidRPr="00350EFF">
        <w:rPr>
          <w:rFonts w:ascii="Arial" w:hAnsi="Arial" w:cs="Arial"/>
          <w:sz w:val="24"/>
          <w:szCs w:val="24"/>
        </w:rPr>
        <w:t>efault production variables</w:t>
      </w:r>
      <w:r>
        <w:rPr>
          <w:rFonts w:ascii="Arial" w:hAnsi="Arial" w:cs="Arial"/>
          <w:sz w:val="24"/>
          <w:szCs w:val="24"/>
        </w:rPr>
        <w:t xml:space="preserve"> be defined?</w:t>
      </w:r>
    </w:p>
    <w:p w14:paraId="34B0A0D7" w14:textId="2220CDEC" w:rsidR="003F0590" w:rsidRPr="003F0590" w:rsidRDefault="003F0590" w:rsidP="003F0590">
      <w:pPr>
        <w:spacing w:after="240"/>
        <w:rPr>
          <w:rFonts w:ascii="Arial" w:hAnsi="Arial" w:cs="Arial"/>
          <w:sz w:val="24"/>
          <w:szCs w:val="24"/>
        </w:rPr>
      </w:pPr>
      <w:r w:rsidRPr="003F0590">
        <w:rPr>
          <w:rFonts w:ascii="Arial" w:hAnsi="Arial" w:cs="Arial"/>
          <w:sz w:val="24"/>
          <w:szCs w:val="24"/>
        </w:rPr>
        <w:t>Default production variables would ideally be an output of a facility (</w:t>
      </w:r>
      <w:proofErr w:type="gramStart"/>
      <w:r w:rsidRPr="003F0590">
        <w:rPr>
          <w:rFonts w:ascii="Arial" w:hAnsi="Arial" w:cs="Arial"/>
          <w:sz w:val="24"/>
          <w:szCs w:val="24"/>
        </w:rPr>
        <w:t>e.g.</w:t>
      </w:r>
      <w:proofErr w:type="gramEnd"/>
      <w:r w:rsidRPr="003F0590">
        <w:rPr>
          <w:rFonts w:ascii="Arial" w:hAnsi="Arial" w:cs="Arial"/>
          <w:sz w:val="24"/>
          <w:szCs w:val="24"/>
        </w:rPr>
        <w:t xml:space="preserve"> tonnes of aluminium). However, in some cases, it may be impractical to define the production variable as an output, and an alternative—such as an input or intermediate product—may be sought.  For instance, a production variable for an intermediate product may be required if the intermediate product can be sold or traded between facilities. An intermediate product or input may also be practical if a facility produces a large number of </w:t>
      </w:r>
      <w:proofErr w:type="gramStart"/>
      <w:r w:rsidRPr="003F0590">
        <w:rPr>
          <w:rFonts w:ascii="Arial" w:hAnsi="Arial" w:cs="Arial"/>
          <w:sz w:val="24"/>
          <w:szCs w:val="24"/>
        </w:rPr>
        <w:t>outputs</w:t>
      </w:r>
      <w:proofErr w:type="gramEnd"/>
      <w:r w:rsidRPr="003F0590">
        <w:rPr>
          <w:rFonts w:ascii="Arial" w:hAnsi="Arial" w:cs="Arial"/>
          <w:sz w:val="24"/>
          <w:szCs w:val="24"/>
        </w:rPr>
        <w:t xml:space="preserve"> and it is difficult to apportion emissions among them. </w:t>
      </w:r>
    </w:p>
    <w:p w14:paraId="771734DD" w14:textId="77777777" w:rsidR="003F0590" w:rsidRPr="003F0590" w:rsidRDefault="003F0590" w:rsidP="003F0590">
      <w:pPr>
        <w:spacing w:after="240"/>
        <w:rPr>
          <w:rFonts w:ascii="Arial" w:hAnsi="Arial" w:cs="Arial"/>
          <w:sz w:val="24"/>
          <w:szCs w:val="24"/>
        </w:rPr>
      </w:pPr>
      <w:r w:rsidRPr="003F0590">
        <w:rPr>
          <w:rFonts w:ascii="Arial" w:hAnsi="Arial" w:cs="Arial"/>
          <w:sz w:val="24"/>
          <w:szCs w:val="24"/>
        </w:rPr>
        <w:t xml:space="preserve">There may be instances where it is not practical to develop a production variable. In these cases, a more generic fall-back—such as energy consumed—may be the only option, though this would be a last resort and used as an interim measure. </w:t>
      </w:r>
    </w:p>
    <w:p w14:paraId="41328FB1" w14:textId="57B0972F" w:rsidR="003F0590" w:rsidRPr="003F0590" w:rsidRDefault="003F0590" w:rsidP="003F0590">
      <w:pPr>
        <w:pStyle w:val="Heading1"/>
        <w:spacing w:after="240"/>
        <w:ind w:hanging="6"/>
        <w:rPr>
          <w:rFonts w:ascii="Arial" w:hAnsi="Arial" w:cs="Arial"/>
          <w:sz w:val="24"/>
          <w:szCs w:val="24"/>
        </w:rPr>
      </w:pPr>
      <w:r w:rsidRPr="003F0590">
        <w:rPr>
          <w:rFonts w:ascii="Arial" w:hAnsi="Arial" w:cs="Arial"/>
          <w:sz w:val="24"/>
          <w:szCs w:val="24"/>
        </w:rPr>
        <w:t>Why can’t all production variables be adjusted annually for production?</w:t>
      </w:r>
    </w:p>
    <w:p w14:paraId="4BBF5D1B" w14:textId="77777777" w:rsidR="003F0590" w:rsidRPr="003F0590" w:rsidRDefault="003F0590" w:rsidP="003F0590">
      <w:pPr>
        <w:spacing w:after="240"/>
        <w:rPr>
          <w:rFonts w:ascii="Arial" w:hAnsi="Arial" w:cs="Arial"/>
          <w:sz w:val="24"/>
          <w:szCs w:val="24"/>
        </w:rPr>
      </w:pPr>
      <w:r w:rsidRPr="003F0590">
        <w:rPr>
          <w:rFonts w:ascii="Arial" w:hAnsi="Arial" w:cs="Arial"/>
          <w:sz w:val="24"/>
          <w:szCs w:val="24"/>
        </w:rPr>
        <w:t xml:space="preserve">Aligning a production variable closely with an output will best allow a baseline to reflect the emissions of production. The further removed the production variable is from the output, the more difficult it is for the baseline to reflect emissions. </w:t>
      </w:r>
    </w:p>
    <w:p w14:paraId="0763AC8E" w14:textId="77777777" w:rsidR="003F0590" w:rsidRPr="003F0590" w:rsidRDefault="003F0590" w:rsidP="003F0590">
      <w:pPr>
        <w:spacing w:after="240"/>
        <w:rPr>
          <w:rFonts w:ascii="Arial" w:hAnsi="Arial" w:cs="Arial"/>
          <w:sz w:val="24"/>
          <w:szCs w:val="24"/>
        </w:rPr>
      </w:pPr>
      <w:r w:rsidRPr="003F0590">
        <w:rPr>
          <w:rFonts w:ascii="Arial" w:hAnsi="Arial" w:cs="Arial"/>
          <w:sz w:val="24"/>
          <w:szCs w:val="24"/>
        </w:rPr>
        <w:t xml:space="preserve">In general, output-based production variables will be suitable for annual production adjustments, whereas input-based production variables will not. Intermediate production variables may be suitable under certain circumstances, for example, if they only cover </w:t>
      </w:r>
      <w:r w:rsidRPr="003F0590">
        <w:rPr>
          <w:rFonts w:ascii="Arial" w:hAnsi="Arial" w:cs="Arial"/>
          <w:sz w:val="24"/>
          <w:szCs w:val="24"/>
        </w:rPr>
        <w:lastRenderedPageBreak/>
        <w:t>the emissions associated with making the intermediate product. They may not be suitable if they are a proxy for an output (and cover emissions that occur downstream of the intermediate product).</w:t>
      </w:r>
    </w:p>
    <w:p w14:paraId="15DF6B9A" w14:textId="1310023C" w:rsidR="003F0590" w:rsidRPr="003F0590" w:rsidRDefault="003F0590" w:rsidP="003F0590">
      <w:pPr>
        <w:pStyle w:val="Heading1"/>
        <w:spacing w:after="240"/>
        <w:ind w:left="432" w:hanging="432"/>
        <w:rPr>
          <w:rFonts w:ascii="Arial" w:hAnsi="Arial" w:cs="Arial"/>
          <w:sz w:val="24"/>
          <w:szCs w:val="24"/>
        </w:rPr>
      </w:pPr>
      <w:r>
        <w:rPr>
          <w:rFonts w:ascii="Arial" w:hAnsi="Arial" w:cs="Arial"/>
          <w:sz w:val="24"/>
          <w:szCs w:val="24"/>
        </w:rPr>
        <w:t>What are e</w:t>
      </w:r>
      <w:r w:rsidRPr="003F0590">
        <w:rPr>
          <w:rFonts w:ascii="Arial" w:hAnsi="Arial" w:cs="Arial"/>
          <w:sz w:val="24"/>
          <w:szCs w:val="24"/>
        </w:rPr>
        <w:t>missions-intensity values?</w:t>
      </w:r>
    </w:p>
    <w:p w14:paraId="383D75A8" w14:textId="4E128EC1" w:rsidR="00BA16AE" w:rsidRDefault="003F0590" w:rsidP="003F0590">
      <w:pPr>
        <w:spacing w:after="240"/>
        <w:rPr>
          <w:rFonts w:ascii="Arial" w:hAnsi="Arial" w:cs="Arial"/>
          <w:sz w:val="24"/>
          <w:szCs w:val="24"/>
        </w:rPr>
      </w:pPr>
      <w:r w:rsidRPr="003F0590">
        <w:rPr>
          <w:rFonts w:ascii="Arial" w:hAnsi="Arial" w:cs="Arial"/>
          <w:sz w:val="24"/>
          <w:szCs w:val="24"/>
        </w:rPr>
        <w:t>Emissions-intensity values</w:t>
      </w:r>
      <w:r w:rsidR="00BA16AE">
        <w:rPr>
          <w:rFonts w:ascii="Arial" w:hAnsi="Arial" w:cs="Arial"/>
          <w:sz w:val="24"/>
          <w:szCs w:val="24"/>
        </w:rPr>
        <w:t xml:space="preserve"> are </w:t>
      </w:r>
      <w:r w:rsidR="00FD7533">
        <w:rPr>
          <w:rFonts w:ascii="Arial" w:hAnsi="Arial" w:cs="Arial"/>
          <w:sz w:val="24"/>
          <w:szCs w:val="24"/>
        </w:rPr>
        <w:t>expressed as</w:t>
      </w:r>
      <w:r w:rsidR="006711D8">
        <w:rPr>
          <w:rFonts w:ascii="Arial" w:hAnsi="Arial" w:cs="Arial"/>
          <w:sz w:val="24"/>
          <w:szCs w:val="24"/>
        </w:rPr>
        <w:t xml:space="preserve"> emissions per unit of production variable and are </w:t>
      </w:r>
      <w:r w:rsidR="00BA16AE">
        <w:rPr>
          <w:rFonts w:ascii="Arial" w:hAnsi="Arial" w:cs="Arial"/>
          <w:sz w:val="24"/>
          <w:szCs w:val="24"/>
        </w:rPr>
        <w:t xml:space="preserve">used under the </w:t>
      </w:r>
      <w:r w:rsidR="0015606E">
        <w:rPr>
          <w:rFonts w:ascii="Arial" w:hAnsi="Arial" w:cs="Arial"/>
          <w:sz w:val="24"/>
          <w:szCs w:val="24"/>
        </w:rPr>
        <w:t>S</w:t>
      </w:r>
      <w:r w:rsidR="00BA16AE">
        <w:rPr>
          <w:rFonts w:ascii="Arial" w:hAnsi="Arial" w:cs="Arial"/>
          <w:sz w:val="24"/>
          <w:szCs w:val="24"/>
        </w:rPr>
        <w:t xml:space="preserve">afeguard </w:t>
      </w:r>
      <w:r w:rsidR="0015606E">
        <w:rPr>
          <w:rFonts w:ascii="Arial" w:hAnsi="Arial" w:cs="Arial"/>
          <w:sz w:val="24"/>
          <w:szCs w:val="24"/>
        </w:rPr>
        <w:t>M</w:t>
      </w:r>
      <w:r w:rsidR="00BA16AE">
        <w:rPr>
          <w:rFonts w:ascii="Arial" w:hAnsi="Arial" w:cs="Arial"/>
          <w:sz w:val="24"/>
          <w:szCs w:val="24"/>
        </w:rPr>
        <w:t xml:space="preserve">echanism to develop baselines, consistent with the </w:t>
      </w:r>
      <w:r w:rsidR="00A92385">
        <w:rPr>
          <w:rFonts w:ascii="Arial" w:hAnsi="Arial" w:cs="Arial"/>
          <w:sz w:val="24"/>
          <w:szCs w:val="24"/>
        </w:rPr>
        <w:t>legislative framework used</w:t>
      </w:r>
      <w:r w:rsidR="00BA16AE">
        <w:rPr>
          <w:rFonts w:ascii="Arial" w:hAnsi="Arial" w:cs="Arial"/>
          <w:sz w:val="24"/>
          <w:szCs w:val="24"/>
        </w:rPr>
        <w:t xml:space="preserve"> since the </w:t>
      </w:r>
      <w:r w:rsidR="00FD7533">
        <w:rPr>
          <w:rFonts w:ascii="Arial" w:hAnsi="Arial" w:cs="Arial"/>
          <w:sz w:val="24"/>
          <w:szCs w:val="24"/>
        </w:rPr>
        <w:t xml:space="preserve">scheme’s </w:t>
      </w:r>
      <w:r w:rsidR="00BA16AE">
        <w:rPr>
          <w:rFonts w:ascii="Arial" w:hAnsi="Arial" w:cs="Arial"/>
          <w:sz w:val="24"/>
          <w:szCs w:val="24"/>
        </w:rPr>
        <w:t>inception.</w:t>
      </w:r>
    </w:p>
    <w:p w14:paraId="372FA646" w14:textId="4361BAC1" w:rsidR="003F0590" w:rsidRPr="003F0590" w:rsidRDefault="00BA16AE" w:rsidP="003F0590">
      <w:pPr>
        <w:spacing w:after="240"/>
        <w:rPr>
          <w:rFonts w:ascii="Arial" w:hAnsi="Arial" w:cs="Arial"/>
          <w:sz w:val="24"/>
          <w:szCs w:val="24"/>
        </w:rPr>
      </w:pPr>
      <w:r>
        <w:rPr>
          <w:rFonts w:ascii="Arial" w:hAnsi="Arial" w:cs="Arial"/>
          <w:sz w:val="24"/>
          <w:szCs w:val="24"/>
        </w:rPr>
        <w:t xml:space="preserve">The Government set out in its 2017 </w:t>
      </w:r>
      <w:r w:rsidR="00FD7533">
        <w:rPr>
          <w:rFonts w:ascii="Arial" w:hAnsi="Arial" w:cs="Arial"/>
          <w:sz w:val="24"/>
          <w:szCs w:val="24"/>
        </w:rPr>
        <w:t xml:space="preserve">review of </w:t>
      </w:r>
      <w:r>
        <w:rPr>
          <w:rFonts w:ascii="Arial" w:hAnsi="Arial" w:cs="Arial"/>
          <w:sz w:val="24"/>
          <w:szCs w:val="24"/>
        </w:rPr>
        <w:t xml:space="preserve">climate change </w:t>
      </w:r>
      <w:r w:rsidR="00FD7533">
        <w:rPr>
          <w:rFonts w:ascii="Arial" w:hAnsi="Arial" w:cs="Arial"/>
          <w:sz w:val="24"/>
          <w:szCs w:val="24"/>
        </w:rPr>
        <w:t>policies</w:t>
      </w:r>
      <w:r>
        <w:rPr>
          <w:rFonts w:ascii="Arial" w:hAnsi="Arial" w:cs="Arial"/>
          <w:sz w:val="24"/>
          <w:szCs w:val="24"/>
        </w:rPr>
        <w:t xml:space="preserve"> that it would develop ready-made default emissions intensity values that businesses could use if they so choose as an alternative to developing their own site-specific emissions intensity values. This option would simplify baseline applications for businesses and lower administrative costs. A facility can continue to estimate its own site-specific emissions-intensity value rather than use the default.</w:t>
      </w:r>
      <w:r w:rsidR="003F0590" w:rsidRPr="003F0590">
        <w:rPr>
          <w:rFonts w:ascii="Arial" w:hAnsi="Arial" w:cs="Arial"/>
          <w:sz w:val="24"/>
          <w:szCs w:val="24"/>
        </w:rPr>
        <w:t xml:space="preserve"> </w:t>
      </w:r>
    </w:p>
    <w:p w14:paraId="3A0A8F2A" w14:textId="2154955A" w:rsidR="003F0590" w:rsidRPr="003F0590" w:rsidRDefault="003F0590" w:rsidP="003F0590">
      <w:pPr>
        <w:spacing w:after="240"/>
        <w:rPr>
          <w:rFonts w:ascii="Arial" w:hAnsi="Arial" w:cs="Arial"/>
          <w:sz w:val="24"/>
          <w:szCs w:val="24"/>
        </w:rPr>
      </w:pPr>
      <w:r w:rsidRPr="003F0590">
        <w:rPr>
          <w:rFonts w:ascii="Arial" w:hAnsi="Arial" w:cs="Arial"/>
          <w:sz w:val="24"/>
          <w:szCs w:val="24"/>
        </w:rPr>
        <w:t xml:space="preserve">It is proposed </w:t>
      </w:r>
      <w:r w:rsidR="00BB22B6">
        <w:rPr>
          <w:rFonts w:ascii="Arial" w:hAnsi="Arial" w:cs="Arial"/>
          <w:sz w:val="24"/>
          <w:szCs w:val="24"/>
        </w:rPr>
        <w:t>default emissions intensity</w:t>
      </w:r>
      <w:r w:rsidRPr="003F0590">
        <w:rPr>
          <w:rFonts w:ascii="Arial" w:hAnsi="Arial" w:cs="Arial"/>
          <w:sz w:val="24"/>
          <w:szCs w:val="24"/>
        </w:rPr>
        <w:t xml:space="preserve"> values for the Safeguard Mechanism will be set at a level that is representative of </w:t>
      </w:r>
      <w:r w:rsidR="00824242">
        <w:rPr>
          <w:rFonts w:ascii="Arial" w:hAnsi="Arial" w:cs="Arial"/>
          <w:sz w:val="24"/>
          <w:szCs w:val="24"/>
        </w:rPr>
        <w:t xml:space="preserve">a </w:t>
      </w:r>
      <w:r w:rsidRPr="003F0590">
        <w:rPr>
          <w:rFonts w:ascii="Arial" w:hAnsi="Arial" w:cs="Arial"/>
          <w:sz w:val="24"/>
          <w:szCs w:val="24"/>
        </w:rPr>
        <w:t xml:space="preserve">sectoral average. </w:t>
      </w:r>
    </w:p>
    <w:p w14:paraId="46196ACC" w14:textId="1AA0652C" w:rsidR="00302B18" w:rsidRPr="003F0590" w:rsidRDefault="009F1665" w:rsidP="00BA70C1">
      <w:pPr>
        <w:spacing w:after="240"/>
        <w:rPr>
          <w:rFonts w:ascii="Arial" w:hAnsi="Arial" w:cs="Arial"/>
          <w:sz w:val="24"/>
        </w:rPr>
      </w:pPr>
      <w:r w:rsidRPr="003F0590">
        <w:rPr>
          <w:rFonts w:ascii="Arial" w:hAnsi="Arial" w:cs="Arial"/>
          <w:b/>
          <w:sz w:val="24"/>
        </w:rPr>
        <w:t>PRINCIPLES FOR SELECTING DEFAULT PRODUCTION VARIABLES</w:t>
      </w:r>
    </w:p>
    <w:p w14:paraId="22511108" w14:textId="34EC06B2" w:rsidR="003F0590" w:rsidRPr="003F0590" w:rsidRDefault="003F0590" w:rsidP="003F0590">
      <w:pPr>
        <w:keepNext/>
        <w:spacing w:after="240"/>
        <w:rPr>
          <w:rFonts w:ascii="Arial" w:hAnsi="Arial" w:cs="Arial"/>
          <w:sz w:val="24"/>
          <w:szCs w:val="24"/>
        </w:rPr>
      </w:pPr>
      <w:r w:rsidRPr="003F0590">
        <w:rPr>
          <w:rFonts w:ascii="Arial" w:hAnsi="Arial" w:cs="Arial"/>
          <w:sz w:val="24"/>
          <w:szCs w:val="24"/>
        </w:rPr>
        <w:t xml:space="preserve">The following principles will guide the selection of </w:t>
      </w:r>
      <w:r w:rsidR="00824242" w:rsidRPr="00824242">
        <w:rPr>
          <w:rFonts w:ascii="Arial" w:hAnsi="Arial" w:cs="Arial"/>
          <w:i/>
          <w:sz w:val="24"/>
          <w:szCs w:val="24"/>
        </w:rPr>
        <w:t xml:space="preserve">prescribed </w:t>
      </w:r>
      <w:r w:rsidRPr="00824242">
        <w:rPr>
          <w:rFonts w:ascii="Arial" w:hAnsi="Arial" w:cs="Arial"/>
          <w:i/>
          <w:sz w:val="24"/>
          <w:szCs w:val="24"/>
        </w:rPr>
        <w:t>production variables</w:t>
      </w:r>
      <w:r w:rsidRPr="003F0590">
        <w:rPr>
          <w:rFonts w:ascii="Arial" w:hAnsi="Arial" w:cs="Arial"/>
          <w:sz w:val="24"/>
          <w:szCs w:val="24"/>
        </w:rPr>
        <w:t xml:space="preserve"> and calculation of </w:t>
      </w:r>
      <w:r w:rsidR="00824242" w:rsidRPr="00824242">
        <w:rPr>
          <w:rFonts w:ascii="Arial" w:hAnsi="Arial" w:cs="Arial"/>
          <w:i/>
          <w:sz w:val="24"/>
          <w:szCs w:val="24"/>
        </w:rPr>
        <w:t xml:space="preserve">default </w:t>
      </w:r>
      <w:r w:rsidR="00824242">
        <w:rPr>
          <w:rFonts w:ascii="Arial" w:hAnsi="Arial" w:cs="Arial"/>
          <w:i/>
          <w:sz w:val="24"/>
          <w:szCs w:val="24"/>
        </w:rPr>
        <w:t xml:space="preserve">emissions </w:t>
      </w:r>
      <w:r w:rsidRPr="00824242">
        <w:rPr>
          <w:rFonts w:ascii="Arial" w:hAnsi="Arial" w:cs="Arial"/>
          <w:i/>
          <w:sz w:val="24"/>
          <w:szCs w:val="24"/>
        </w:rPr>
        <w:t>intensity</w:t>
      </w:r>
      <w:r w:rsidRPr="003F0590">
        <w:rPr>
          <w:rFonts w:ascii="Arial" w:hAnsi="Arial" w:cs="Arial"/>
          <w:sz w:val="24"/>
          <w:szCs w:val="24"/>
        </w:rPr>
        <w:t xml:space="preserve"> values, and a decision on which production variables will be used for annually </w:t>
      </w:r>
      <w:r w:rsidR="00824242">
        <w:rPr>
          <w:rFonts w:ascii="Arial" w:hAnsi="Arial" w:cs="Arial"/>
          <w:sz w:val="24"/>
          <w:szCs w:val="24"/>
        </w:rPr>
        <w:t xml:space="preserve">adjusted </w:t>
      </w:r>
      <w:r w:rsidRPr="003F0590">
        <w:rPr>
          <w:rFonts w:ascii="Arial" w:hAnsi="Arial" w:cs="Arial"/>
          <w:sz w:val="24"/>
          <w:szCs w:val="24"/>
        </w:rPr>
        <w:t xml:space="preserve">production-adjusted baselines. In practice, the process will involve a balance of these principles. </w:t>
      </w:r>
    </w:p>
    <w:p w14:paraId="1B071DE0" w14:textId="77777777" w:rsidR="003F0590" w:rsidRPr="003F0590" w:rsidRDefault="003F0590" w:rsidP="003F059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240"/>
        <w:ind w:left="-10"/>
        <w:rPr>
          <w:rFonts w:ascii="Arial" w:hAnsi="Arial" w:cs="Arial"/>
          <w:b/>
          <w:sz w:val="24"/>
          <w:szCs w:val="24"/>
        </w:rPr>
      </w:pPr>
      <w:r w:rsidRPr="003F0590">
        <w:rPr>
          <w:rFonts w:ascii="Arial" w:hAnsi="Arial" w:cs="Arial"/>
          <w:b/>
          <w:sz w:val="24"/>
          <w:szCs w:val="24"/>
        </w:rPr>
        <w:t>Principle 1: Effective</w:t>
      </w:r>
    </w:p>
    <w:p w14:paraId="7B11D62A" w14:textId="77777777" w:rsidR="003F0590" w:rsidRPr="003F0590" w:rsidRDefault="003F0590" w:rsidP="003F059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240"/>
        <w:ind w:left="-10"/>
        <w:rPr>
          <w:rFonts w:ascii="Arial" w:hAnsi="Arial" w:cs="Arial"/>
          <w:sz w:val="24"/>
          <w:szCs w:val="24"/>
        </w:rPr>
      </w:pPr>
      <w:r w:rsidRPr="003F0590">
        <w:rPr>
          <w:rFonts w:ascii="Arial" w:hAnsi="Arial" w:cs="Arial"/>
          <w:sz w:val="24"/>
          <w:szCs w:val="24"/>
        </w:rPr>
        <w:t>Provide a suitable basis for setting baselines that reflect emissions per unit of production.</w:t>
      </w:r>
    </w:p>
    <w:p w14:paraId="76520782" w14:textId="04BDFCF9" w:rsidR="003F0590" w:rsidRPr="003F0590" w:rsidRDefault="003F0590" w:rsidP="003F059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240"/>
        <w:ind w:left="-10"/>
        <w:rPr>
          <w:rFonts w:ascii="Arial" w:hAnsi="Arial" w:cs="Arial"/>
          <w:b/>
          <w:sz w:val="24"/>
          <w:szCs w:val="24"/>
        </w:rPr>
      </w:pPr>
      <w:r w:rsidRPr="003F0590">
        <w:rPr>
          <w:rFonts w:ascii="Arial" w:hAnsi="Arial" w:cs="Arial"/>
          <w:b/>
          <w:sz w:val="24"/>
          <w:szCs w:val="24"/>
        </w:rPr>
        <w:t xml:space="preserve">Principle 2: </w:t>
      </w:r>
      <w:r w:rsidR="00BA16AE">
        <w:rPr>
          <w:rFonts w:ascii="Arial" w:hAnsi="Arial" w:cs="Arial"/>
          <w:b/>
          <w:sz w:val="24"/>
          <w:szCs w:val="24"/>
        </w:rPr>
        <w:t>Consistent</w:t>
      </w:r>
    </w:p>
    <w:p w14:paraId="43F708FA" w14:textId="77777777" w:rsidR="003F0590" w:rsidRPr="003F0590" w:rsidRDefault="003F0590" w:rsidP="003F059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240"/>
        <w:ind w:left="-10"/>
        <w:rPr>
          <w:rFonts w:ascii="Arial" w:hAnsi="Arial" w:cs="Arial"/>
          <w:sz w:val="24"/>
          <w:szCs w:val="24"/>
        </w:rPr>
      </w:pPr>
      <w:r w:rsidRPr="003F0590">
        <w:rPr>
          <w:rFonts w:ascii="Arial" w:hAnsi="Arial" w:cs="Arial"/>
          <w:sz w:val="24"/>
          <w:szCs w:val="24"/>
        </w:rPr>
        <w:t>Treat facilities and industries consistently. Provide a suitable reference point that is representative of a sectoral average.</w:t>
      </w:r>
    </w:p>
    <w:p w14:paraId="7720374F" w14:textId="77777777" w:rsidR="003F0590" w:rsidRPr="003F0590" w:rsidRDefault="003F0590" w:rsidP="003F059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240"/>
        <w:ind w:left="-10"/>
        <w:rPr>
          <w:rFonts w:ascii="Arial" w:hAnsi="Arial" w:cs="Arial"/>
          <w:b/>
          <w:sz w:val="24"/>
          <w:szCs w:val="24"/>
        </w:rPr>
      </w:pPr>
      <w:r w:rsidRPr="003F0590">
        <w:rPr>
          <w:rFonts w:ascii="Arial" w:hAnsi="Arial" w:cs="Arial"/>
          <w:b/>
          <w:sz w:val="24"/>
          <w:szCs w:val="24"/>
        </w:rPr>
        <w:t>Principle 3: Practical</w:t>
      </w:r>
    </w:p>
    <w:p w14:paraId="29F6BF65" w14:textId="77777777" w:rsidR="003F0590" w:rsidRPr="003F0590" w:rsidRDefault="003F0590" w:rsidP="003F059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240"/>
        <w:ind w:left="-10"/>
        <w:rPr>
          <w:rFonts w:ascii="Arial" w:hAnsi="Arial" w:cs="Arial"/>
          <w:sz w:val="24"/>
          <w:szCs w:val="24"/>
        </w:rPr>
      </w:pPr>
      <w:r w:rsidRPr="003F0590">
        <w:rPr>
          <w:rFonts w:ascii="Arial" w:hAnsi="Arial" w:cs="Arial"/>
          <w:sz w:val="24"/>
          <w:szCs w:val="24"/>
        </w:rPr>
        <w:t xml:space="preserve">Be as simple and low cost as possible, avoiding excessive measurement and reporting requirements and building on existing schemes, where possible. </w:t>
      </w:r>
    </w:p>
    <w:p w14:paraId="7A195C88" w14:textId="77777777" w:rsidR="003F0590" w:rsidRPr="003F0590" w:rsidRDefault="003F0590" w:rsidP="003F059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240"/>
        <w:ind w:left="-10"/>
        <w:rPr>
          <w:rFonts w:ascii="Arial" w:hAnsi="Arial" w:cs="Arial"/>
          <w:b/>
          <w:sz w:val="24"/>
          <w:szCs w:val="24"/>
        </w:rPr>
      </w:pPr>
      <w:r w:rsidRPr="003F0590">
        <w:rPr>
          <w:rFonts w:ascii="Arial" w:hAnsi="Arial" w:cs="Arial"/>
          <w:b/>
          <w:sz w:val="24"/>
          <w:szCs w:val="24"/>
        </w:rPr>
        <w:t>Principle 4: Robust</w:t>
      </w:r>
    </w:p>
    <w:p w14:paraId="39FFBB40" w14:textId="77777777" w:rsidR="003F0590" w:rsidRPr="003F0590" w:rsidRDefault="003F0590" w:rsidP="003F059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240"/>
        <w:ind w:left="-10"/>
        <w:rPr>
          <w:rFonts w:ascii="Arial" w:hAnsi="Arial" w:cs="Arial"/>
          <w:sz w:val="24"/>
          <w:szCs w:val="24"/>
        </w:rPr>
      </w:pPr>
      <w:r w:rsidRPr="003F0590">
        <w:rPr>
          <w:rFonts w:ascii="Arial" w:hAnsi="Arial" w:cs="Arial"/>
          <w:sz w:val="24"/>
          <w:szCs w:val="24"/>
        </w:rPr>
        <w:t>Be based on high quality data and robust methodology that protects the confidentiality of sensitive industry data.</w:t>
      </w:r>
    </w:p>
    <w:p w14:paraId="4CE631C0" w14:textId="77777777" w:rsidR="003F0590" w:rsidRPr="003F0590" w:rsidRDefault="003F0590" w:rsidP="003F0590">
      <w:pPr>
        <w:pStyle w:val="Heading3"/>
        <w:spacing w:after="240" w:line="276" w:lineRule="auto"/>
        <w:rPr>
          <w:rFonts w:ascii="Arial" w:hAnsi="Arial" w:cs="Arial"/>
        </w:rPr>
      </w:pPr>
      <w:r w:rsidRPr="003F0590">
        <w:rPr>
          <w:rFonts w:ascii="Arial" w:hAnsi="Arial" w:cs="Arial"/>
          <w:b w:val="0"/>
        </w:rPr>
        <w:t xml:space="preserve">Guidance on implementing these principles is provided below. </w:t>
      </w:r>
    </w:p>
    <w:p w14:paraId="360F720F" w14:textId="77777777" w:rsidR="003F0590" w:rsidRPr="003F0590" w:rsidRDefault="003F0590" w:rsidP="003F0590">
      <w:pPr>
        <w:pStyle w:val="Heading3"/>
        <w:pBdr>
          <w:bottom w:val="single" w:sz="4" w:space="1" w:color="auto"/>
        </w:pBdr>
        <w:spacing w:after="240" w:line="276" w:lineRule="auto"/>
        <w:rPr>
          <w:rFonts w:ascii="Arial" w:hAnsi="Arial" w:cs="Arial"/>
        </w:rPr>
      </w:pPr>
      <w:r w:rsidRPr="003F0590">
        <w:rPr>
          <w:rFonts w:ascii="Arial" w:hAnsi="Arial" w:cs="Arial"/>
        </w:rPr>
        <w:t xml:space="preserve">Principle 1: Effective </w:t>
      </w:r>
    </w:p>
    <w:p w14:paraId="09978517" w14:textId="77777777" w:rsidR="003F0590" w:rsidRPr="003F0590" w:rsidRDefault="003F0590" w:rsidP="003F0590">
      <w:pPr>
        <w:pStyle w:val="Heading3"/>
        <w:spacing w:after="240" w:line="276" w:lineRule="auto"/>
        <w:rPr>
          <w:rFonts w:ascii="Arial" w:hAnsi="Arial" w:cs="Arial"/>
          <w:b w:val="0"/>
          <w:i/>
        </w:rPr>
      </w:pPr>
      <w:r w:rsidRPr="003F0590">
        <w:rPr>
          <w:rFonts w:ascii="Arial" w:hAnsi="Arial" w:cs="Arial"/>
          <w:b w:val="0"/>
          <w:i/>
        </w:rPr>
        <w:lastRenderedPageBreak/>
        <w:t>Provide a suitable basis for setting baselines that reflect emissions per unit of production.</w:t>
      </w:r>
    </w:p>
    <w:p w14:paraId="14D97C74" w14:textId="0AAFD5F3" w:rsidR="003F0590" w:rsidRPr="003F0590" w:rsidRDefault="00824242" w:rsidP="003F0590">
      <w:pPr>
        <w:spacing w:after="240"/>
        <w:rPr>
          <w:rFonts w:ascii="Arial" w:hAnsi="Arial" w:cs="Arial"/>
          <w:sz w:val="24"/>
          <w:szCs w:val="24"/>
        </w:rPr>
      </w:pPr>
      <w:r>
        <w:rPr>
          <w:rFonts w:ascii="Arial" w:hAnsi="Arial" w:cs="Arial"/>
          <w:sz w:val="24"/>
          <w:szCs w:val="24"/>
        </w:rPr>
        <w:t>P</w:t>
      </w:r>
      <w:r w:rsidR="003F0590" w:rsidRPr="003F0590">
        <w:rPr>
          <w:rFonts w:ascii="Arial" w:hAnsi="Arial" w:cs="Arial"/>
          <w:sz w:val="24"/>
          <w:szCs w:val="24"/>
        </w:rPr>
        <w:t>roduction variables should:</w:t>
      </w:r>
    </w:p>
    <w:p w14:paraId="76883159" w14:textId="77777777"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t xml:space="preserve">represent products or activities that are similar or </w:t>
      </w:r>
      <w:proofErr w:type="gramStart"/>
      <w:r w:rsidRPr="003F0590">
        <w:rPr>
          <w:rFonts w:ascii="Arial" w:hAnsi="Arial" w:cs="Arial"/>
          <w:sz w:val="24"/>
          <w:szCs w:val="24"/>
        </w:rPr>
        <w:t>interchangeable</w:t>
      </w:r>
      <w:proofErr w:type="gramEnd"/>
    </w:p>
    <w:p w14:paraId="61DA20E9" w14:textId="024EC34A" w:rsidR="003F0590" w:rsidRPr="003F0590" w:rsidRDefault="003F0590" w:rsidP="003F0590">
      <w:pPr>
        <w:pStyle w:val="ListBullet"/>
        <w:numPr>
          <w:ilvl w:val="1"/>
          <w:numId w:val="28"/>
        </w:numPr>
        <w:spacing w:after="240"/>
        <w:ind w:left="851" w:hanging="425"/>
        <w:contextualSpacing w:val="0"/>
        <w:rPr>
          <w:rFonts w:ascii="Arial" w:hAnsi="Arial" w:cs="Arial"/>
          <w:sz w:val="24"/>
          <w:szCs w:val="24"/>
        </w:rPr>
      </w:pPr>
      <w:r w:rsidRPr="003F0590">
        <w:rPr>
          <w:rFonts w:ascii="Arial" w:hAnsi="Arial" w:cs="Arial"/>
          <w:sz w:val="24"/>
          <w:szCs w:val="24"/>
        </w:rPr>
        <w:t xml:space="preserve">they should not be adjusted, </w:t>
      </w:r>
      <w:proofErr w:type="gramStart"/>
      <w:r w:rsidRPr="003F0590">
        <w:rPr>
          <w:rFonts w:ascii="Arial" w:hAnsi="Arial" w:cs="Arial"/>
          <w:sz w:val="24"/>
          <w:szCs w:val="24"/>
        </w:rPr>
        <w:t>corrected</w:t>
      </w:r>
      <w:proofErr w:type="gramEnd"/>
      <w:r w:rsidRPr="003F0590">
        <w:rPr>
          <w:rFonts w:ascii="Arial" w:hAnsi="Arial" w:cs="Arial"/>
          <w:sz w:val="24"/>
          <w:szCs w:val="24"/>
        </w:rPr>
        <w:t xml:space="preserve"> or discounted for different technologies, geographies, inputs, or practices, among other things</w:t>
      </w:r>
      <w:r w:rsidR="00BA16AE">
        <w:rPr>
          <w:rFonts w:ascii="Arial" w:hAnsi="Arial" w:cs="Arial"/>
          <w:sz w:val="24"/>
          <w:szCs w:val="24"/>
        </w:rPr>
        <w:t xml:space="preserve"> as this would undermine the administrative benefits of the government developing broadly applicable production variables. Highly tailored production variables adjusted for such factors are available through site specific production variables nominated by businesses.</w:t>
      </w:r>
    </w:p>
    <w:p w14:paraId="082D74F9" w14:textId="77777777"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t>include all activities that contribute to direct (scope 1) emissions, with no overlap between production variables, and</w:t>
      </w:r>
    </w:p>
    <w:p w14:paraId="52ED1E44" w14:textId="77777777"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t>ideally be based on outputs, noting that there may be instances where intermediate products or inputs are appropriate and practical alternatives, depending on:</w:t>
      </w:r>
    </w:p>
    <w:p w14:paraId="6DAEFE2D" w14:textId="77777777" w:rsidR="003F0590" w:rsidRPr="003F0590" w:rsidRDefault="003F0590" w:rsidP="003F0590">
      <w:pPr>
        <w:pStyle w:val="ListBullet"/>
        <w:numPr>
          <w:ilvl w:val="1"/>
          <w:numId w:val="28"/>
        </w:numPr>
        <w:spacing w:after="240"/>
        <w:ind w:left="851" w:hanging="425"/>
        <w:contextualSpacing w:val="0"/>
        <w:rPr>
          <w:rFonts w:ascii="Arial" w:hAnsi="Arial" w:cs="Arial"/>
          <w:sz w:val="24"/>
          <w:szCs w:val="24"/>
        </w:rPr>
      </w:pPr>
      <w:r w:rsidRPr="003F0590">
        <w:rPr>
          <w:rFonts w:ascii="Arial" w:hAnsi="Arial" w:cs="Arial"/>
          <w:sz w:val="24"/>
          <w:szCs w:val="24"/>
        </w:rPr>
        <w:t xml:space="preserve">data availability and quality, including the ability to apportion emissions between activities, </w:t>
      </w:r>
      <w:proofErr w:type="gramStart"/>
      <w:r w:rsidRPr="003F0590">
        <w:rPr>
          <w:rFonts w:ascii="Arial" w:hAnsi="Arial" w:cs="Arial"/>
          <w:sz w:val="24"/>
          <w:szCs w:val="24"/>
        </w:rPr>
        <w:t>processes</w:t>
      </w:r>
      <w:proofErr w:type="gramEnd"/>
      <w:r w:rsidRPr="003F0590">
        <w:rPr>
          <w:rFonts w:ascii="Arial" w:hAnsi="Arial" w:cs="Arial"/>
          <w:sz w:val="24"/>
          <w:szCs w:val="24"/>
        </w:rPr>
        <w:t xml:space="preserve"> and products.</w:t>
      </w:r>
    </w:p>
    <w:p w14:paraId="6D59FEA1" w14:textId="77777777" w:rsidR="003F0590" w:rsidRPr="003F0590" w:rsidRDefault="003F0590" w:rsidP="003F0590">
      <w:pPr>
        <w:spacing w:after="240"/>
        <w:rPr>
          <w:rFonts w:ascii="Arial" w:hAnsi="Arial" w:cs="Arial"/>
          <w:sz w:val="24"/>
          <w:szCs w:val="24"/>
        </w:rPr>
      </w:pPr>
      <w:r w:rsidRPr="003F0590">
        <w:rPr>
          <w:rFonts w:ascii="Arial" w:hAnsi="Arial" w:cs="Arial"/>
          <w:sz w:val="24"/>
          <w:szCs w:val="24"/>
        </w:rPr>
        <w:t xml:space="preserve">They should </w:t>
      </w:r>
      <w:r w:rsidRPr="00506D7A">
        <w:rPr>
          <w:rFonts w:ascii="Arial" w:hAnsi="Arial" w:cs="Arial"/>
          <w:sz w:val="24"/>
          <w:szCs w:val="24"/>
        </w:rPr>
        <w:t>not</w:t>
      </w:r>
      <w:r w:rsidRPr="003F0590">
        <w:rPr>
          <w:rFonts w:ascii="Arial" w:hAnsi="Arial" w:cs="Arial"/>
          <w:sz w:val="24"/>
          <w:szCs w:val="24"/>
        </w:rPr>
        <w:t>:</w:t>
      </w:r>
    </w:p>
    <w:p w14:paraId="308A511D" w14:textId="77777777"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t xml:space="preserve">affect investment decisions that are not related to greenhouse gas emissions or encourage businesses to restructure themselves to avoid compliance </w:t>
      </w:r>
      <w:proofErr w:type="gramStart"/>
      <w:r w:rsidRPr="003F0590">
        <w:rPr>
          <w:rFonts w:ascii="Arial" w:hAnsi="Arial" w:cs="Arial"/>
          <w:sz w:val="24"/>
          <w:szCs w:val="24"/>
        </w:rPr>
        <w:t>obligations</w:t>
      </w:r>
      <w:proofErr w:type="gramEnd"/>
    </w:p>
    <w:p w14:paraId="45568B4B" w14:textId="77777777"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t>encourage a facility to shift emissions causing processes outside the facility, for example by purchasing an intermediate product instead of producing it on-site.</w:t>
      </w:r>
    </w:p>
    <w:p w14:paraId="242A9A35" w14:textId="77777777" w:rsidR="003F0590" w:rsidRPr="003F0590" w:rsidRDefault="003F0590" w:rsidP="003F0590">
      <w:pPr>
        <w:spacing w:after="240"/>
        <w:rPr>
          <w:rFonts w:ascii="Arial" w:hAnsi="Arial" w:cs="Arial"/>
          <w:sz w:val="24"/>
          <w:szCs w:val="24"/>
        </w:rPr>
      </w:pPr>
      <w:r w:rsidRPr="003F0590">
        <w:rPr>
          <w:rFonts w:ascii="Arial" w:hAnsi="Arial" w:cs="Arial"/>
          <w:sz w:val="24"/>
          <w:szCs w:val="24"/>
        </w:rPr>
        <w:t>Where practical, production variables should allow for the calculation of an emissions-intensity value—for example, a site-specific or industry average emissions-intensity—that can be used to update baselines annually to reflect actual production. To be suitable for annual production adjustments, a production variable should:</w:t>
      </w:r>
    </w:p>
    <w:p w14:paraId="116AB48E" w14:textId="77777777"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t xml:space="preserve">represent the final output, to best reflect emissions of the entire production </w:t>
      </w:r>
      <w:proofErr w:type="gramStart"/>
      <w:r w:rsidRPr="003F0590">
        <w:rPr>
          <w:rFonts w:ascii="Arial" w:hAnsi="Arial" w:cs="Arial"/>
          <w:sz w:val="24"/>
          <w:szCs w:val="24"/>
        </w:rPr>
        <w:t>process</w:t>
      </w:r>
      <w:proofErr w:type="gramEnd"/>
    </w:p>
    <w:p w14:paraId="459D6222" w14:textId="77777777"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t>reflect discrete steps/processes in the supply chain, where multiple production variables are required, and</w:t>
      </w:r>
    </w:p>
    <w:p w14:paraId="41CA952F" w14:textId="01DE388B"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t>in</w:t>
      </w:r>
      <w:r w:rsidR="00824242">
        <w:rPr>
          <w:rFonts w:ascii="Arial" w:hAnsi="Arial" w:cs="Arial"/>
          <w:sz w:val="24"/>
          <w:szCs w:val="24"/>
        </w:rPr>
        <w:t xml:space="preserve">clude </w:t>
      </w:r>
      <w:proofErr w:type="gramStart"/>
      <w:r w:rsidR="00824242">
        <w:rPr>
          <w:rFonts w:ascii="Arial" w:hAnsi="Arial" w:cs="Arial"/>
          <w:sz w:val="24"/>
          <w:szCs w:val="24"/>
        </w:rPr>
        <w:t>the majority of</w:t>
      </w:r>
      <w:proofErr w:type="gramEnd"/>
      <w:r w:rsidR="00824242">
        <w:rPr>
          <w:rFonts w:ascii="Arial" w:hAnsi="Arial" w:cs="Arial"/>
          <w:sz w:val="24"/>
          <w:szCs w:val="24"/>
        </w:rPr>
        <w:t xml:space="preserve"> emissions-</w:t>
      </w:r>
      <w:r w:rsidRPr="003F0590">
        <w:rPr>
          <w:rFonts w:ascii="Arial" w:hAnsi="Arial" w:cs="Arial"/>
          <w:sz w:val="24"/>
          <w:szCs w:val="24"/>
        </w:rPr>
        <w:t>causing processes (in conjunction with other sector production variables).</w:t>
      </w:r>
    </w:p>
    <w:p w14:paraId="13C9F5F5" w14:textId="77777777" w:rsidR="003F0590" w:rsidRPr="003F0590" w:rsidRDefault="003F0590" w:rsidP="003F0590">
      <w:pPr>
        <w:spacing w:after="240"/>
        <w:rPr>
          <w:rFonts w:ascii="Arial" w:hAnsi="Arial" w:cs="Arial"/>
          <w:sz w:val="24"/>
          <w:szCs w:val="24"/>
        </w:rPr>
      </w:pPr>
      <w:r w:rsidRPr="003F0590">
        <w:rPr>
          <w:rFonts w:ascii="Arial" w:hAnsi="Arial" w:cs="Arial"/>
          <w:sz w:val="24"/>
          <w:szCs w:val="24"/>
        </w:rPr>
        <w:t xml:space="preserve">To be suitable for annual production adjustments, a production variable should </w:t>
      </w:r>
      <w:r w:rsidRPr="003F0590">
        <w:rPr>
          <w:rFonts w:ascii="Arial" w:hAnsi="Arial" w:cs="Arial"/>
          <w:sz w:val="24"/>
          <w:szCs w:val="24"/>
          <w:u w:val="single"/>
        </w:rPr>
        <w:t>not</w:t>
      </w:r>
      <w:r w:rsidRPr="003F0590">
        <w:rPr>
          <w:rFonts w:ascii="Arial" w:hAnsi="Arial" w:cs="Arial"/>
          <w:sz w:val="24"/>
          <w:szCs w:val="24"/>
        </w:rPr>
        <w:t>:</w:t>
      </w:r>
    </w:p>
    <w:p w14:paraId="45ED6F3A" w14:textId="77777777"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t xml:space="preserve">be an input, as this does not best reflect emissions per unit of </w:t>
      </w:r>
      <w:proofErr w:type="gramStart"/>
      <w:r w:rsidRPr="003F0590">
        <w:rPr>
          <w:rFonts w:ascii="Arial" w:hAnsi="Arial" w:cs="Arial"/>
          <w:sz w:val="24"/>
          <w:szCs w:val="24"/>
        </w:rPr>
        <w:t>production</w:t>
      </w:r>
      <w:proofErr w:type="gramEnd"/>
    </w:p>
    <w:p w14:paraId="40D0D8E4" w14:textId="77777777"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t xml:space="preserve">be (or include) a waste product or by-product, to avoid encouraging the use of inefficient processes and </w:t>
      </w:r>
      <w:proofErr w:type="gramStart"/>
      <w:r w:rsidRPr="003F0590">
        <w:rPr>
          <w:rFonts w:ascii="Arial" w:hAnsi="Arial" w:cs="Arial"/>
          <w:sz w:val="24"/>
          <w:szCs w:val="24"/>
        </w:rPr>
        <w:t>poor quality</w:t>
      </w:r>
      <w:proofErr w:type="gramEnd"/>
      <w:r w:rsidRPr="003F0590">
        <w:rPr>
          <w:rFonts w:ascii="Arial" w:hAnsi="Arial" w:cs="Arial"/>
          <w:sz w:val="24"/>
          <w:szCs w:val="24"/>
        </w:rPr>
        <w:t xml:space="preserve"> inputs, or</w:t>
      </w:r>
    </w:p>
    <w:p w14:paraId="271D6DFC" w14:textId="77777777" w:rsidR="003F0590" w:rsidRPr="003F0590" w:rsidRDefault="003F0590" w:rsidP="003F0590">
      <w:pPr>
        <w:pStyle w:val="ListParagraph"/>
        <w:numPr>
          <w:ilvl w:val="0"/>
          <w:numId w:val="25"/>
        </w:numPr>
        <w:spacing w:after="240"/>
        <w:ind w:left="426" w:hanging="426"/>
        <w:contextualSpacing w:val="0"/>
        <w:rPr>
          <w:rFonts w:ascii="Arial" w:hAnsi="Arial" w:cs="Arial"/>
          <w:sz w:val="24"/>
          <w:szCs w:val="24"/>
        </w:rPr>
      </w:pPr>
      <w:r w:rsidRPr="003F0590">
        <w:rPr>
          <w:rFonts w:ascii="Arial" w:hAnsi="Arial" w:cs="Arial"/>
          <w:sz w:val="24"/>
          <w:szCs w:val="24"/>
        </w:rPr>
        <w:lastRenderedPageBreak/>
        <w:t>encourage facilities to buy intermediate products instead of making them on-site to externalise emissions.</w:t>
      </w:r>
    </w:p>
    <w:p w14:paraId="2F111724" w14:textId="175B7EF4" w:rsidR="003F0590" w:rsidRPr="003F0590" w:rsidRDefault="003F0590" w:rsidP="00506D7A">
      <w:pPr>
        <w:pStyle w:val="Heading3"/>
        <w:keepNext/>
        <w:pBdr>
          <w:bottom w:val="single" w:sz="4" w:space="1" w:color="auto"/>
        </w:pBdr>
        <w:spacing w:after="240" w:line="276" w:lineRule="auto"/>
        <w:rPr>
          <w:rFonts w:ascii="Arial" w:hAnsi="Arial" w:cs="Arial"/>
        </w:rPr>
      </w:pPr>
      <w:r w:rsidRPr="003F0590">
        <w:rPr>
          <w:rFonts w:ascii="Arial" w:hAnsi="Arial" w:cs="Arial"/>
        </w:rPr>
        <w:t xml:space="preserve">Principle 2: </w:t>
      </w:r>
      <w:r w:rsidR="00BA16AE">
        <w:rPr>
          <w:rFonts w:ascii="Arial" w:hAnsi="Arial" w:cs="Arial"/>
        </w:rPr>
        <w:t>Consistent</w:t>
      </w:r>
    </w:p>
    <w:p w14:paraId="3DB19B91" w14:textId="77777777" w:rsidR="003F0590" w:rsidRPr="003F0590" w:rsidRDefault="003F0590" w:rsidP="00506D7A">
      <w:pPr>
        <w:pStyle w:val="Heading3"/>
        <w:keepNext/>
        <w:spacing w:after="240" w:line="276" w:lineRule="auto"/>
        <w:rPr>
          <w:rFonts w:ascii="Arial" w:hAnsi="Arial" w:cs="Arial"/>
          <w:b w:val="0"/>
          <w:i/>
        </w:rPr>
      </w:pPr>
      <w:r w:rsidRPr="003F0590">
        <w:rPr>
          <w:rFonts w:ascii="Arial" w:hAnsi="Arial" w:cs="Arial"/>
          <w:b w:val="0"/>
          <w:i/>
        </w:rPr>
        <w:t xml:space="preserve">Treat facilities and industries consistently. Provide a suitable reference point that is representative of a sectoral average. </w:t>
      </w:r>
    </w:p>
    <w:p w14:paraId="61A9DB32" w14:textId="77777777" w:rsidR="003F0590" w:rsidRPr="003F0590" w:rsidRDefault="003F0590" w:rsidP="00506D7A">
      <w:pPr>
        <w:keepNext/>
        <w:spacing w:after="240"/>
        <w:rPr>
          <w:rFonts w:ascii="Arial" w:hAnsi="Arial" w:cs="Arial"/>
          <w:sz w:val="24"/>
          <w:szCs w:val="24"/>
        </w:rPr>
      </w:pPr>
      <w:r w:rsidRPr="003F0590">
        <w:rPr>
          <w:rFonts w:ascii="Arial" w:hAnsi="Arial" w:cs="Arial"/>
          <w:sz w:val="24"/>
          <w:szCs w:val="24"/>
        </w:rPr>
        <w:t>Production variables should be defined in a way that is equitable and consistent across facilities and sectors. This means:</w:t>
      </w:r>
    </w:p>
    <w:p w14:paraId="4C4AFEFB" w14:textId="323E9C3C" w:rsidR="003F0590" w:rsidRPr="003F0590" w:rsidRDefault="003F0590" w:rsidP="00506D7A">
      <w:pPr>
        <w:pStyle w:val="ListParagraph"/>
        <w:keepNext/>
        <w:numPr>
          <w:ilvl w:val="0"/>
          <w:numId w:val="26"/>
        </w:numPr>
        <w:spacing w:after="240"/>
        <w:ind w:left="426" w:hanging="426"/>
        <w:contextualSpacing w:val="0"/>
        <w:rPr>
          <w:rFonts w:ascii="Arial" w:hAnsi="Arial" w:cs="Arial"/>
          <w:sz w:val="24"/>
          <w:szCs w:val="24"/>
        </w:rPr>
      </w:pPr>
      <w:r w:rsidRPr="003F0590">
        <w:rPr>
          <w:rFonts w:ascii="Arial" w:hAnsi="Arial" w:cs="Arial"/>
          <w:sz w:val="24"/>
          <w:szCs w:val="24"/>
        </w:rPr>
        <w:t xml:space="preserve">facilities undertaking the same processes and activities should be </w:t>
      </w:r>
      <w:r w:rsidR="00BA16AE">
        <w:rPr>
          <w:rFonts w:ascii="Arial" w:hAnsi="Arial" w:cs="Arial"/>
          <w:sz w:val="24"/>
          <w:szCs w:val="24"/>
        </w:rPr>
        <w:t>able to use</w:t>
      </w:r>
      <w:r w:rsidRPr="003F0590">
        <w:rPr>
          <w:rFonts w:ascii="Arial" w:hAnsi="Arial" w:cs="Arial"/>
          <w:sz w:val="24"/>
          <w:szCs w:val="24"/>
        </w:rPr>
        <w:t xml:space="preserve"> the same production </w:t>
      </w:r>
      <w:proofErr w:type="gramStart"/>
      <w:r w:rsidRPr="003F0590">
        <w:rPr>
          <w:rFonts w:ascii="Arial" w:hAnsi="Arial" w:cs="Arial"/>
          <w:sz w:val="24"/>
          <w:szCs w:val="24"/>
        </w:rPr>
        <w:t>variables</w:t>
      </w:r>
      <w:proofErr w:type="gramEnd"/>
    </w:p>
    <w:p w14:paraId="7424B9A6" w14:textId="77777777" w:rsidR="003F0590" w:rsidRPr="003F0590" w:rsidRDefault="003F0590" w:rsidP="003F0590">
      <w:pPr>
        <w:pStyle w:val="ListBullet"/>
        <w:numPr>
          <w:ilvl w:val="1"/>
          <w:numId w:val="28"/>
        </w:numPr>
        <w:spacing w:after="240"/>
        <w:ind w:left="851" w:hanging="425"/>
        <w:contextualSpacing w:val="0"/>
        <w:rPr>
          <w:rFonts w:ascii="Arial" w:hAnsi="Arial" w:cs="Arial"/>
          <w:sz w:val="24"/>
          <w:szCs w:val="24"/>
        </w:rPr>
      </w:pPr>
      <w:r w:rsidRPr="003F0590">
        <w:rPr>
          <w:rFonts w:ascii="Arial" w:hAnsi="Arial" w:cs="Arial"/>
          <w:sz w:val="24"/>
          <w:szCs w:val="24"/>
        </w:rPr>
        <w:t>a production variable may be applicable to multiple sectors where an activity is common (for example, on-site electricity generation)</w:t>
      </w:r>
    </w:p>
    <w:p w14:paraId="3FF306AC" w14:textId="77777777" w:rsidR="003F0590" w:rsidRPr="003F0590" w:rsidRDefault="003F0590" w:rsidP="003F0590">
      <w:pPr>
        <w:pStyle w:val="ListParagraph"/>
        <w:numPr>
          <w:ilvl w:val="0"/>
          <w:numId w:val="26"/>
        </w:numPr>
        <w:spacing w:after="240"/>
        <w:ind w:left="426" w:hanging="426"/>
        <w:contextualSpacing w:val="0"/>
        <w:rPr>
          <w:rFonts w:ascii="Arial" w:hAnsi="Arial" w:cs="Arial"/>
          <w:sz w:val="24"/>
          <w:szCs w:val="24"/>
        </w:rPr>
      </w:pPr>
      <w:r w:rsidRPr="003F0590">
        <w:rPr>
          <w:rFonts w:ascii="Arial" w:hAnsi="Arial" w:cs="Arial"/>
          <w:sz w:val="24"/>
          <w:szCs w:val="24"/>
        </w:rPr>
        <w:t xml:space="preserve">multiple production variables may be required where there are multiple discrete steps along a supply </w:t>
      </w:r>
      <w:proofErr w:type="gramStart"/>
      <w:r w:rsidRPr="003F0590">
        <w:rPr>
          <w:rFonts w:ascii="Arial" w:hAnsi="Arial" w:cs="Arial"/>
          <w:sz w:val="24"/>
          <w:szCs w:val="24"/>
        </w:rPr>
        <w:t>chain</w:t>
      </w:r>
      <w:proofErr w:type="gramEnd"/>
    </w:p>
    <w:p w14:paraId="6953C794" w14:textId="77777777" w:rsidR="003F0590" w:rsidRPr="003F0590" w:rsidRDefault="003F0590" w:rsidP="003F0590">
      <w:pPr>
        <w:pStyle w:val="ListBullet"/>
        <w:numPr>
          <w:ilvl w:val="1"/>
          <w:numId w:val="28"/>
        </w:numPr>
        <w:spacing w:after="240"/>
        <w:ind w:left="851" w:hanging="425"/>
        <w:contextualSpacing w:val="0"/>
        <w:rPr>
          <w:rFonts w:ascii="Arial" w:hAnsi="Arial" w:cs="Arial"/>
          <w:sz w:val="24"/>
          <w:szCs w:val="24"/>
        </w:rPr>
      </w:pPr>
      <w:r w:rsidRPr="003F0590">
        <w:rPr>
          <w:rFonts w:ascii="Arial" w:hAnsi="Arial" w:cs="Arial"/>
          <w:sz w:val="24"/>
          <w:szCs w:val="24"/>
        </w:rPr>
        <w:t xml:space="preserve">this will enable production variables to apply consistently across industries where individual facilities could undertake one, more or </w:t>
      </w:r>
      <w:proofErr w:type="gramStart"/>
      <w:r w:rsidRPr="003F0590">
        <w:rPr>
          <w:rFonts w:ascii="Arial" w:hAnsi="Arial" w:cs="Arial"/>
          <w:sz w:val="24"/>
          <w:szCs w:val="24"/>
        </w:rPr>
        <w:t>all of</w:t>
      </w:r>
      <w:proofErr w:type="gramEnd"/>
      <w:r w:rsidRPr="003F0590">
        <w:rPr>
          <w:rFonts w:ascii="Arial" w:hAnsi="Arial" w:cs="Arial"/>
          <w:sz w:val="24"/>
          <w:szCs w:val="24"/>
        </w:rPr>
        <w:t xml:space="preserve"> the activities (for example, mining and mineral processing).</w:t>
      </w:r>
    </w:p>
    <w:p w14:paraId="322098E2" w14:textId="5A05654C" w:rsidR="003F0590" w:rsidRPr="003F0590" w:rsidRDefault="00BA16AE" w:rsidP="00100F5E">
      <w:pPr>
        <w:keepNext/>
        <w:spacing w:after="240"/>
        <w:rPr>
          <w:rFonts w:ascii="Arial" w:hAnsi="Arial" w:cs="Arial"/>
          <w:sz w:val="24"/>
          <w:szCs w:val="24"/>
        </w:rPr>
      </w:pPr>
      <w:r>
        <w:rPr>
          <w:rFonts w:ascii="Arial" w:hAnsi="Arial" w:cs="Arial"/>
          <w:sz w:val="24"/>
          <w:szCs w:val="24"/>
        </w:rPr>
        <w:t>P</w:t>
      </w:r>
      <w:r w:rsidRPr="003F0590">
        <w:rPr>
          <w:rFonts w:ascii="Arial" w:hAnsi="Arial" w:cs="Arial"/>
          <w:sz w:val="24"/>
          <w:szCs w:val="24"/>
        </w:rPr>
        <w:t xml:space="preserve">roduction </w:t>
      </w:r>
      <w:r w:rsidR="003F0590" w:rsidRPr="003F0590">
        <w:rPr>
          <w:rFonts w:ascii="Arial" w:hAnsi="Arial" w:cs="Arial"/>
          <w:sz w:val="24"/>
          <w:szCs w:val="24"/>
        </w:rPr>
        <w:t>variable selection should consider the distribution of emissions-intensity within an industry</w:t>
      </w:r>
      <w:r>
        <w:rPr>
          <w:rFonts w:ascii="Arial" w:hAnsi="Arial" w:cs="Arial"/>
          <w:sz w:val="24"/>
          <w:szCs w:val="24"/>
        </w:rPr>
        <w:t>.</w:t>
      </w:r>
    </w:p>
    <w:p w14:paraId="2795E8F9" w14:textId="77777777" w:rsidR="003F0590" w:rsidRPr="003F0590" w:rsidRDefault="003F0590" w:rsidP="003F0590">
      <w:pPr>
        <w:pStyle w:val="Heading3"/>
        <w:pBdr>
          <w:bottom w:val="single" w:sz="4" w:space="1" w:color="auto"/>
        </w:pBdr>
        <w:spacing w:after="240" w:line="276" w:lineRule="auto"/>
        <w:rPr>
          <w:rFonts w:ascii="Arial" w:hAnsi="Arial" w:cs="Arial"/>
        </w:rPr>
      </w:pPr>
      <w:r w:rsidRPr="003F0590">
        <w:rPr>
          <w:rFonts w:ascii="Arial" w:hAnsi="Arial" w:cs="Arial"/>
        </w:rPr>
        <w:t xml:space="preserve">Principle 3: Practical </w:t>
      </w:r>
    </w:p>
    <w:p w14:paraId="3D176E40" w14:textId="77777777" w:rsidR="003F0590" w:rsidRPr="003F0590" w:rsidRDefault="003F0590" w:rsidP="003F0590">
      <w:pPr>
        <w:pStyle w:val="Heading3"/>
        <w:spacing w:after="240" w:line="276" w:lineRule="auto"/>
        <w:rPr>
          <w:rFonts w:ascii="Arial" w:hAnsi="Arial" w:cs="Arial"/>
          <w:b w:val="0"/>
          <w:i/>
        </w:rPr>
      </w:pPr>
      <w:r w:rsidRPr="003F0590">
        <w:rPr>
          <w:rFonts w:ascii="Arial" w:hAnsi="Arial" w:cs="Arial"/>
          <w:b w:val="0"/>
          <w:i/>
        </w:rPr>
        <w:t>Be as simple and low cost as possible, avoiding excessive measurement and reporting requirements and building on existing frameworks, where possible.</w:t>
      </w:r>
    </w:p>
    <w:p w14:paraId="46ED6644" w14:textId="77777777" w:rsidR="003F0590" w:rsidRPr="003F0590" w:rsidRDefault="003F0590" w:rsidP="003F0590">
      <w:pPr>
        <w:spacing w:after="240"/>
        <w:rPr>
          <w:rFonts w:ascii="Arial" w:hAnsi="Arial" w:cs="Arial"/>
          <w:sz w:val="24"/>
          <w:szCs w:val="24"/>
        </w:rPr>
      </w:pPr>
      <w:r w:rsidRPr="003F0590">
        <w:rPr>
          <w:rFonts w:ascii="Arial" w:hAnsi="Arial" w:cs="Arial"/>
          <w:sz w:val="24"/>
          <w:szCs w:val="24"/>
        </w:rPr>
        <w:t xml:space="preserve">The selection of production variables should support the calculation of baselines and emissions-intensity values that are as practical and simple as possible. </w:t>
      </w:r>
    </w:p>
    <w:p w14:paraId="1C791074" w14:textId="5A347BB4" w:rsidR="003F0590" w:rsidRPr="003F0590" w:rsidRDefault="003F0590" w:rsidP="003F0590">
      <w:pPr>
        <w:keepNext/>
        <w:spacing w:after="240"/>
        <w:rPr>
          <w:rFonts w:ascii="Arial" w:hAnsi="Arial" w:cs="Arial"/>
          <w:sz w:val="24"/>
          <w:szCs w:val="24"/>
        </w:rPr>
      </w:pPr>
      <w:r w:rsidRPr="003F0590">
        <w:rPr>
          <w:rFonts w:ascii="Arial" w:hAnsi="Arial" w:cs="Arial"/>
          <w:sz w:val="24"/>
          <w:szCs w:val="24"/>
        </w:rPr>
        <w:t>To achieve this</w:t>
      </w:r>
      <w:r w:rsidR="005A69B3">
        <w:rPr>
          <w:rFonts w:ascii="Arial" w:hAnsi="Arial" w:cs="Arial"/>
          <w:sz w:val="24"/>
          <w:szCs w:val="24"/>
        </w:rPr>
        <w:t>,</w:t>
      </w:r>
      <w:r w:rsidRPr="003F0590">
        <w:rPr>
          <w:rFonts w:ascii="Arial" w:hAnsi="Arial" w:cs="Arial"/>
          <w:sz w:val="24"/>
          <w:szCs w:val="24"/>
        </w:rPr>
        <w:t xml:space="preserve"> production variable selection should:</w:t>
      </w:r>
    </w:p>
    <w:p w14:paraId="6B78EC22" w14:textId="3E33B108" w:rsidR="003F0590" w:rsidRPr="003F0590" w:rsidRDefault="003F0590" w:rsidP="003F0590">
      <w:pPr>
        <w:pStyle w:val="ListParagraph"/>
        <w:keepNext/>
        <w:numPr>
          <w:ilvl w:val="0"/>
          <w:numId w:val="26"/>
        </w:numPr>
        <w:spacing w:after="240"/>
        <w:ind w:left="425" w:hanging="425"/>
        <w:contextualSpacing w:val="0"/>
        <w:rPr>
          <w:rFonts w:ascii="Arial" w:hAnsi="Arial" w:cs="Arial"/>
          <w:sz w:val="24"/>
          <w:szCs w:val="24"/>
        </w:rPr>
      </w:pPr>
      <w:r w:rsidRPr="003F0590">
        <w:rPr>
          <w:rFonts w:ascii="Arial" w:hAnsi="Arial" w:cs="Arial"/>
          <w:sz w:val="24"/>
          <w:szCs w:val="24"/>
        </w:rPr>
        <w:t>align with standard industry definitions an</w:t>
      </w:r>
      <w:r w:rsidR="00824242">
        <w:rPr>
          <w:rFonts w:ascii="Arial" w:hAnsi="Arial" w:cs="Arial"/>
          <w:sz w:val="24"/>
          <w:szCs w:val="24"/>
        </w:rPr>
        <w:t xml:space="preserve">d existing reporting </w:t>
      </w:r>
      <w:proofErr w:type="gramStart"/>
      <w:r w:rsidR="00824242">
        <w:rPr>
          <w:rFonts w:ascii="Arial" w:hAnsi="Arial" w:cs="Arial"/>
          <w:sz w:val="24"/>
          <w:szCs w:val="24"/>
        </w:rPr>
        <w:t>frameworks</w:t>
      </w:r>
      <w:proofErr w:type="gramEnd"/>
    </w:p>
    <w:p w14:paraId="1907C4D2" w14:textId="3EF3FBEE" w:rsidR="003F0590" w:rsidRPr="003F0590" w:rsidRDefault="003F0590" w:rsidP="003F0590">
      <w:pPr>
        <w:pStyle w:val="ListParagraph"/>
        <w:keepNext/>
        <w:numPr>
          <w:ilvl w:val="0"/>
          <w:numId w:val="26"/>
        </w:numPr>
        <w:spacing w:after="240"/>
        <w:ind w:left="425" w:hanging="425"/>
        <w:contextualSpacing w:val="0"/>
        <w:rPr>
          <w:rFonts w:ascii="Arial" w:hAnsi="Arial" w:cs="Arial"/>
          <w:sz w:val="24"/>
          <w:szCs w:val="24"/>
        </w:rPr>
      </w:pPr>
      <w:r w:rsidRPr="003F0590">
        <w:rPr>
          <w:rFonts w:ascii="Arial" w:hAnsi="Arial" w:cs="Arial"/>
          <w:sz w:val="24"/>
          <w:szCs w:val="24"/>
        </w:rPr>
        <w:t>build on other Government programmes</w:t>
      </w:r>
      <w:proofErr w:type="gramStart"/>
      <w:r w:rsidRPr="003F0590">
        <w:rPr>
          <w:rFonts w:ascii="Arial" w:hAnsi="Arial" w:cs="Arial"/>
          <w:sz w:val="24"/>
          <w:szCs w:val="24"/>
        </w:rPr>
        <w:t>,</w:t>
      </w:r>
      <w:r w:rsidR="00BA16AE">
        <w:rPr>
          <w:rFonts w:ascii="Arial" w:hAnsi="Arial" w:cs="Arial"/>
          <w:sz w:val="24"/>
          <w:szCs w:val="24"/>
        </w:rPr>
        <w:t xml:space="preserve"> in particular, adopting</w:t>
      </w:r>
      <w:proofErr w:type="gramEnd"/>
      <w:r w:rsidR="00BA16AE">
        <w:rPr>
          <w:rFonts w:ascii="Arial" w:hAnsi="Arial" w:cs="Arial"/>
          <w:sz w:val="24"/>
          <w:szCs w:val="24"/>
        </w:rPr>
        <w:t xml:space="preserve"> existing production variables, where practical, for emissions-intensive, trade-exposed activities from Schedule 6 of the </w:t>
      </w:r>
      <w:r w:rsidR="00BA16AE" w:rsidRPr="00100F5E">
        <w:rPr>
          <w:rFonts w:ascii="Arial" w:hAnsi="Arial" w:cs="Arial"/>
          <w:i/>
          <w:sz w:val="24"/>
          <w:szCs w:val="24"/>
        </w:rPr>
        <w:t>Renewable Energy</w:t>
      </w:r>
      <w:r w:rsidR="00824242">
        <w:rPr>
          <w:rFonts w:ascii="Arial" w:hAnsi="Arial" w:cs="Arial"/>
          <w:i/>
          <w:sz w:val="24"/>
          <w:szCs w:val="24"/>
        </w:rPr>
        <w:t xml:space="preserve"> (Electricity) Regulations 2001</w:t>
      </w:r>
    </w:p>
    <w:p w14:paraId="5A16787D" w14:textId="77777777" w:rsidR="003F0590" w:rsidRPr="003F0590" w:rsidRDefault="003F0590" w:rsidP="003F0590">
      <w:pPr>
        <w:pStyle w:val="ListParagraph"/>
        <w:keepNext/>
        <w:numPr>
          <w:ilvl w:val="0"/>
          <w:numId w:val="26"/>
        </w:numPr>
        <w:spacing w:after="240"/>
        <w:ind w:left="425" w:hanging="425"/>
        <w:contextualSpacing w:val="0"/>
        <w:rPr>
          <w:rFonts w:ascii="Arial" w:hAnsi="Arial" w:cs="Arial"/>
          <w:sz w:val="24"/>
          <w:szCs w:val="24"/>
        </w:rPr>
      </w:pPr>
      <w:r w:rsidRPr="003F0590">
        <w:rPr>
          <w:rFonts w:ascii="Arial" w:hAnsi="Arial" w:cs="Arial"/>
          <w:sz w:val="24"/>
          <w:szCs w:val="24"/>
        </w:rPr>
        <w:t xml:space="preserve">avoid unreasonable measurement and reporting </w:t>
      </w:r>
      <w:proofErr w:type="gramStart"/>
      <w:r w:rsidRPr="003F0590">
        <w:rPr>
          <w:rFonts w:ascii="Arial" w:hAnsi="Arial" w:cs="Arial"/>
          <w:sz w:val="24"/>
          <w:szCs w:val="24"/>
        </w:rPr>
        <w:t>requirements</w:t>
      </w:r>
      <w:proofErr w:type="gramEnd"/>
    </w:p>
    <w:p w14:paraId="2B194933" w14:textId="77777777" w:rsidR="003F0590" w:rsidRPr="003F0590" w:rsidRDefault="003F0590" w:rsidP="003F0590">
      <w:pPr>
        <w:pStyle w:val="ListParagraph"/>
        <w:numPr>
          <w:ilvl w:val="0"/>
          <w:numId w:val="26"/>
        </w:numPr>
        <w:spacing w:after="240"/>
        <w:ind w:left="425" w:hanging="425"/>
        <w:contextualSpacing w:val="0"/>
        <w:rPr>
          <w:rFonts w:ascii="Arial" w:hAnsi="Arial" w:cs="Arial"/>
          <w:sz w:val="24"/>
          <w:szCs w:val="24"/>
        </w:rPr>
      </w:pPr>
      <w:r w:rsidRPr="003F0590">
        <w:rPr>
          <w:rFonts w:ascii="Arial" w:hAnsi="Arial" w:cs="Arial"/>
          <w:sz w:val="24"/>
          <w:szCs w:val="24"/>
        </w:rPr>
        <w:t xml:space="preserve">include a fall-back option, such as the use of input, fuel, </w:t>
      </w:r>
      <w:proofErr w:type="gramStart"/>
      <w:r w:rsidRPr="003F0590">
        <w:rPr>
          <w:rFonts w:ascii="Arial" w:hAnsi="Arial" w:cs="Arial"/>
          <w:sz w:val="24"/>
          <w:szCs w:val="24"/>
        </w:rPr>
        <w:t>heat</w:t>
      </w:r>
      <w:proofErr w:type="gramEnd"/>
      <w:r w:rsidRPr="003F0590">
        <w:rPr>
          <w:rFonts w:ascii="Arial" w:hAnsi="Arial" w:cs="Arial"/>
          <w:sz w:val="24"/>
          <w:szCs w:val="24"/>
        </w:rPr>
        <w:t xml:space="preserve"> or value-added metric, where other options are not practical due to lack of data or excessive cost (particularly for smaller emissions sources).</w:t>
      </w:r>
    </w:p>
    <w:p w14:paraId="0419F1B0" w14:textId="77777777" w:rsidR="003F0590" w:rsidRPr="003F0590" w:rsidRDefault="003F0590" w:rsidP="00506D7A">
      <w:pPr>
        <w:pStyle w:val="Heading3"/>
        <w:keepNext/>
        <w:pBdr>
          <w:bottom w:val="single" w:sz="4" w:space="1" w:color="auto"/>
        </w:pBdr>
        <w:spacing w:after="240" w:line="276" w:lineRule="auto"/>
        <w:rPr>
          <w:rFonts w:ascii="Arial" w:hAnsi="Arial" w:cs="Arial"/>
        </w:rPr>
      </w:pPr>
      <w:r w:rsidRPr="003F0590">
        <w:rPr>
          <w:rFonts w:ascii="Arial" w:hAnsi="Arial" w:cs="Arial"/>
        </w:rPr>
        <w:lastRenderedPageBreak/>
        <w:t xml:space="preserve">Principle 4: Robust </w:t>
      </w:r>
    </w:p>
    <w:p w14:paraId="72599D57" w14:textId="77777777" w:rsidR="003F0590" w:rsidRPr="003F0590" w:rsidRDefault="003F0590" w:rsidP="00506D7A">
      <w:pPr>
        <w:pStyle w:val="Heading3"/>
        <w:keepNext/>
        <w:spacing w:after="240" w:line="276" w:lineRule="auto"/>
        <w:rPr>
          <w:rFonts w:ascii="Arial" w:hAnsi="Arial" w:cs="Arial"/>
          <w:b w:val="0"/>
          <w:i/>
        </w:rPr>
      </w:pPr>
      <w:r w:rsidRPr="003F0590">
        <w:rPr>
          <w:rFonts w:ascii="Arial" w:hAnsi="Arial" w:cs="Arial"/>
          <w:b w:val="0"/>
          <w:i/>
        </w:rPr>
        <w:t>Be based on high quality data and robust methodology that protects the confidentiality of sensitive industry data.</w:t>
      </w:r>
    </w:p>
    <w:p w14:paraId="72F5F97B" w14:textId="77777777" w:rsidR="003F0590" w:rsidRPr="003F0590" w:rsidRDefault="003F0590" w:rsidP="003F0590">
      <w:pPr>
        <w:spacing w:after="240"/>
        <w:rPr>
          <w:rFonts w:ascii="Arial" w:hAnsi="Arial" w:cs="Arial"/>
          <w:sz w:val="24"/>
          <w:szCs w:val="24"/>
        </w:rPr>
      </w:pPr>
      <w:r w:rsidRPr="003F0590">
        <w:rPr>
          <w:rFonts w:ascii="Arial" w:hAnsi="Arial" w:cs="Arial"/>
          <w:sz w:val="24"/>
          <w:szCs w:val="24"/>
        </w:rPr>
        <w:t>Emissions-intensity values should be calculated using high quality data, with a preference for:</w:t>
      </w:r>
    </w:p>
    <w:p w14:paraId="6170CCA8" w14:textId="77777777" w:rsidR="003F0590" w:rsidRPr="003F0590" w:rsidRDefault="003F0590" w:rsidP="003F0590">
      <w:pPr>
        <w:pStyle w:val="ListBullet"/>
        <w:numPr>
          <w:ilvl w:val="0"/>
          <w:numId w:val="27"/>
        </w:numPr>
        <w:spacing w:after="240"/>
        <w:ind w:left="426" w:hanging="426"/>
        <w:contextualSpacing w:val="0"/>
        <w:rPr>
          <w:rFonts w:ascii="Arial" w:hAnsi="Arial" w:cs="Arial"/>
          <w:sz w:val="24"/>
          <w:szCs w:val="24"/>
        </w:rPr>
      </w:pPr>
      <w:r w:rsidRPr="003F0590">
        <w:rPr>
          <w:rFonts w:ascii="Arial" w:hAnsi="Arial" w:cs="Arial"/>
          <w:sz w:val="24"/>
          <w:szCs w:val="24"/>
        </w:rPr>
        <w:t xml:space="preserve">recent data, where it is available and of a sufficient </w:t>
      </w:r>
      <w:proofErr w:type="gramStart"/>
      <w:r w:rsidRPr="003F0590">
        <w:rPr>
          <w:rFonts w:ascii="Arial" w:hAnsi="Arial" w:cs="Arial"/>
          <w:sz w:val="24"/>
          <w:szCs w:val="24"/>
        </w:rPr>
        <w:t>quality</w:t>
      </w:r>
      <w:proofErr w:type="gramEnd"/>
    </w:p>
    <w:p w14:paraId="3F68354E" w14:textId="77777777" w:rsidR="003F0590" w:rsidRPr="003F0590" w:rsidRDefault="003F0590" w:rsidP="003F0590">
      <w:pPr>
        <w:pStyle w:val="ListBullet"/>
        <w:numPr>
          <w:ilvl w:val="0"/>
          <w:numId w:val="27"/>
        </w:numPr>
        <w:spacing w:after="240"/>
        <w:ind w:left="426" w:hanging="426"/>
        <w:contextualSpacing w:val="0"/>
        <w:rPr>
          <w:rFonts w:ascii="Arial" w:hAnsi="Arial" w:cs="Arial"/>
          <w:sz w:val="24"/>
          <w:szCs w:val="24"/>
        </w:rPr>
      </w:pPr>
      <w:r w:rsidRPr="003F0590">
        <w:rPr>
          <w:rFonts w:ascii="Arial" w:hAnsi="Arial" w:cs="Arial"/>
          <w:sz w:val="24"/>
          <w:szCs w:val="24"/>
        </w:rPr>
        <w:t>data that has been subjected to audits, and</w:t>
      </w:r>
    </w:p>
    <w:p w14:paraId="1BD1B6DF" w14:textId="77777777" w:rsidR="003F0590" w:rsidRPr="003F0590" w:rsidRDefault="003F0590" w:rsidP="003F0590">
      <w:pPr>
        <w:pStyle w:val="ListBullet"/>
        <w:numPr>
          <w:ilvl w:val="0"/>
          <w:numId w:val="27"/>
        </w:numPr>
        <w:spacing w:after="240"/>
        <w:ind w:left="426" w:hanging="426"/>
        <w:contextualSpacing w:val="0"/>
        <w:rPr>
          <w:rFonts w:ascii="Arial" w:hAnsi="Arial" w:cs="Arial"/>
          <w:sz w:val="24"/>
          <w:szCs w:val="24"/>
        </w:rPr>
      </w:pPr>
      <w:r w:rsidRPr="003F0590">
        <w:rPr>
          <w:rFonts w:ascii="Arial" w:hAnsi="Arial" w:cs="Arial"/>
          <w:sz w:val="24"/>
          <w:szCs w:val="24"/>
        </w:rPr>
        <w:t>data points derived using higher order methods, where there is evidence that lower order methods are less accurate at the facility level.</w:t>
      </w:r>
    </w:p>
    <w:p w14:paraId="57615211" w14:textId="77777777" w:rsidR="003F0590" w:rsidRPr="003F0590" w:rsidRDefault="003F0590" w:rsidP="003F0590">
      <w:pPr>
        <w:keepNext/>
        <w:spacing w:after="240"/>
        <w:rPr>
          <w:rFonts w:ascii="Arial" w:hAnsi="Arial" w:cs="Arial"/>
          <w:sz w:val="24"/>
          <w:szCs w:val="24"/>
        </w:rPr>
      </w:pPr>
      <w:r w:rsidRPr="003F0590">
        <w:rPr>
          <w:rFonts w:ascii="Arial" w:hAnsi="Arial" w:cs="Arial"/>
          <w:sz w:val="24"/>
          <w:szCs w:val="24"/>
        </w:rPr>
        <w:t xml:space="preserve">The emissions-intensity value </w:t>
      </w:r>
      <w:r w:rsidRPr="00506D7A">
        <w:rPr>
          <w:rFonts w:ascii="Arial" w:hAnsi="Arial" w:cs="Arial"/>
          <w:sz w:val="24"/>
          <w:szCs w:val="24"/>
        </w:rPr>
        <w:t>should</w:t>
      </w:r>
      <w:r w:rsidRPr="003F0590">
        <w:rPr>
          <w:rFonts w:ascii="Arial" w:hAnsi="Arial" w:cs="Arial"/>
          <w:sz w:val="24"/>
          <w:szCs w:val="24"/>
        </w:rPr>
        <w:t>:</w:t>
      </w:r>
    </w:p>
    <w:p w14:paraId="4B9633D6" w14:textId="77777777" w:rsidR="003F0590" w:rsidRPr="003F0590" w:rsidRDefault="003F0590" w:rsidP="003F0590">
      <w:pPr>
        <w:pStyle w:val="ListBullet"/>
        <w:numPr>
          <w:ilvl w:val="0"/>
          <w:numId w:val="27"/>
        </w:numPr>
        <w:spacing w:after="240"/>
        <w:ind w:left="426" w:hanging="426"/>
        <w:contextualSpacing w:val="0"/>
        <w:rPr>
          <w:rFonts w:ascii="Arial" w:hAnsi="Arial" w:cs="Arial"/>
          <w:sz w:val="24"/>
          <w:szCs w:val="24"/>
        </w:rPr>
      </w:pPr>
      <w:r w:rsidRPr="003F0590">
        <w:rPr>
          <w:rFonts w:ascii="Arial" w:hAnsi="Arial" w:cs="Arial"/>
          <w:sz w:val="24"/>
          <w:szCs w:val="24"/>
        </w:rPr>
        <w:t xml:space="preserve">represent a </w:t>
      </w:r>
      <w:r w:rsidRPr="003F0590">
        <w:rPr>
          <w:rFonts w:ascii="Arial" w:hAnsi="Arial" w:cs="Arial"/>
          <w:b/>
          <w:sz w:val="24"/>
          <w:szCs w:val="24"/>
        </w:rPr>
        <w:t>sectoral average</w:t>
      </w:r>
      <w:r w:rsidRPr="003F0590">
        <w:rPr>
          <w:rFonts w:ascii="Arial" w:hAnsi="Arial" w:cs="Arial"/>
          <w:sz w:val="24"/>
          <w:szCs w:val="24"/>
        </w:rPr>
        <w:t xml:space="preserve">, based on data from facilities operating in </w:t>
      </w:r>
      <w:proofErr w:type="gramStart"/>
      <w:r w:rsidRPr="003F0590">
        <w:rPr>
          <w:rFonts w:ascii="Arial" w:hAnsi="Arial" w:cs="Arial"/>
          <w:sz w:val="24"/>
          <w:szCs w:val="24"/>
        </w:rPr>
        <w:t>Australia</w:t>
      </w:r>
      <w:proofErr w:type="gramEnd"/>
    </w:p>
    <w:p w14:paraId="5C4F7487" w14:textId="77777777" w:rsidR="003F0590" w:rsidRPr="003F0590" w:rsidRDefault="003F0590" w:rsidP="003F0590">
      <w:pPr>
        <w:pStyle w:val="ListBullet"/>
        <w:numPr>
          <w:ilvl w:val="1"/>
          <w:numId w:val="28"/>
        </w:numPr>
        <w:spacing w:after="240"/>
        <w:ind w:left="851" w:hanging="425"/>
        <w:contextualSpacing w:val="0"/>
        <w:rPr>
          <w:rFonts w:ascii="Arial" w:hAnsi="Arial" w:cs="Arial"/>
          <w:sz w:val="24"/>
          <w:szCs w:val="24"/>
        </w:rPr>
      </w:pPr>
      <w:r w:rsidRPr="003F0590">
        <w:rPr>
          <w:rFonts w:ascii="Arial" w:hAnsi="Arial" w:cs="Arial"/>
          <w:sz w:val="24"/>
          <w:szCs w:val="24"/>
        </w:rPr>
        <w:t xml:space="preserve">calculations should be production-weighted to account for different industry profiles, which may include different mixes of large and small </w:t>
      </w:r>
      <w:proofErr w:type="gramStart"/>
      <w:r w:rsidRPr="003F0590">
        <w:rPr>
          <w:rFonts w:ascii="Arial" w:hAnsi="Arial" w:cs="Arial"/>
          <w:sz w:val="24"/>
          <w:szCs w:val="24"/>
        </w:rPr>
        <w:t>facilities</w:t>
      </w:r>
      <w:proofErr w:type="gramEnd"/>
    </w:p>
    <w:p w14:paraId="6F364C70" w14:textId="77777777" w:rsidR="003F0590" w:rsidRPr="003F0590" w:rsidRDefault="003F0590" w:rsidP="003F0590">
      <w:pPr>
        <w:pStyle w:val="ListBullet"/>
        <w:keepNext/>
        <w:numPr>
          <w:ilvl w:val="0"/>
          <w:numId w:val="27"/>
        </w:numPr>
        <w:spacing w:after="240"/>
        <w:ind w:left="425" w:hanging="425"/>
        <w:contextualSpacing w:val="0"/>
        <w:rPr>
          <w:rFonts w:ascii="Arial" w:hAnsi="Arial" w:cs="Arial"/>
          <w:sz w:val="24"/>
          <w:szCs w:val="24"/>
        </w:rPr>
      </w:pPr>
      <w:r w:rsidRPr="003F0590">
        <w:rPr>
          <w:rFonts w:ascii="Arial" w:hAnsi="Arial" w:cs="Arial"/>
          <w:sz w:val="24"/>
          <w:szCs w:val="24"/>
        </w:rPr>
        <w:t xml:space="preserve">take account of </w:t>
      </w:r>
      <w:r w:rsidRPr="003F0590">
        <w:rPr>
          <w:rFonts w:ascii="Arial" w:hAnsi="Arial" w:cs="Arial"/>
          <w:b/>
          <w:sz w:val="24"/>
          <w:szCs w:val="24"/>
        </w:rPr>
        <w:t>natural business cycles</w:t>
      </w:r>
    </w:p>
    <w:p w14:paraId="111F4606" w14:textId="77777777" w:rsidR="003F0590" w:rsidRPr="003F0590" w:rsidRDefault="003F0590" w:rsidP="003F0590">
      <w:pPr>
        <w:pStyle w:val="ListBullet"/>
        <w:numPr>
          <w:ilvl w:val="1"/>
          <w:numId w:val="28"/>
        </w:numPr>
        <w:spacing w:after="240"/>
        <w:ind w:left="851" w:hanging="425"/>
        <w:contextualSpacing w:val="0"/>
        <w:rPr>
          <w:rFonts w:ascii="Arial" w:hAnsi="Arial" w:cs="Arial"/>
          <w:sz w:val="24"/>
          <w:szCs w:val="24"/>
        </w:rPr>
      </w:pPr>
      <w:r w:rsidRPr="003F0590">
        <w:rPr>
          <w:rFonts w:ascii="Arial" w:hAnsi="Arial" w:cs="Arial"/>
          <w:sz w:val="24"/>
          <w:szCs w:val="24"/>
        </w:rPr>
        <w:t>use multiple years of data to avoid setting a value on an unrepresentative year (for example, a year which includes a maintenance shutdown)</w:t>
      </w:r>
    </w:p>
    <w:p w14:paraId="77CE05DB" w14:textId="77777777" w:rsidR="003F0590" w:rsidRPr="003F0590" w:rsidRDefault="003F0590" w:rsidP="003F0590">
      <w:pPr>
        <w:pStyle w:val="ListBullet"/>
        <w:numPr>
          <w:ilvl w:val="0"/>
          <w:numId w:val="27"/>
        </w:numPr>
        <w:spacing w:after="240"/>
        <w:ind w:left="426" w:hanging="426"/>
        <w:contextualSpacing w:val="0"/>
        <w:rPr>
          <w:rFonts w:ascii="Arial" w:hAnsi="Arial" w:cs="Arial"/>
          <w:sz w:val="24"/>
          <w:szCs w:val="24"/>
        </w:rPr>
      </w:pPr>
      <w:r w:rsidRPr="003F0590">
        <w:rPr>
          <w:rFonts w:ascii="Arial" w:hAnsi="Arial" w:cs="Arial"/>
          <w:b/>
          <w:sz w:val="24"/>
          <w:szCs w:val="24"/>
        </w:rPr>
        <w:t xml:space="preserve">avoid </w:t>
      </w:r>
      <w:proofErr w:type="gramStart"/>
      <w:r w:rsidRPr="003F0590">
        <w:rPr>
          <w:rFonts w:ascii="Arial" w:hAnsi="Arial" w:cs="Arial"/>
          <w:b/>
          <w:sz w:val="24"/>
          <w:szCs w:val="24"/>
        </w:rPr>
        <w:t>outliers</w:t>
      </w:r>
      <w:proofErr w:type="gramEnd"/>
    </w:p>
    <w:p w14:paraId="35C38CCF" w14:textId="77777777" w:rsidR="003F0590" w:rsidRPr="003F0590" w:rsidRDefault="003F0590" w:rsidP="003F0590">
      <w:pPr>
        <w:pStyle w:val="ListBullet"/>
        <w:numPr>
          <w:ilvl w:val="1"/>
          <w:numId w:val="28"/>
        </w:numPr>
        <w:spacing w:after="240"/>
        <w:ind w:left="851" w:hanging="425"/>
        <w:contextualSpacing w:val="0"/>
        <w:rPr>
          <w:rFonts w:ascii="Arial" w:hAnsi="Arial" w:cs="Arial"/>
          <w:sz w:val="24"/>
          <w:szCs w:val="24"/>
        </w:rPr>
      </w:pPr>
      <w:r w:rsidRPr="003F0590">
        <w:rPr>
          <w:rFonts w:ascii="Arial" w:hAnsi="Arial" w:cs="Arial"/>
          <w:sz w:val="24"/>
          <w:szCs w:val="24"/>
        </w:rPr>
        <w:t>use the average of the median (or middle) data points, rather than the average of all data points, to automatically remove outliers (for example where a facility is under construction or in a ramp-up phase)</w:t>
      </w:r>
    </w:p>
    <w:p w14:paraId="29FDAA8E" w14:textId="77777777" w:rsidR="003F0590" w:rsidRPr="003F0590" w:rsidRDefault="003F0590" w:rsidP="003F0590">
      <w:pPr>
        <w:pStyle w:val="ListBullet3"/>
        <w:numPr>
          <w:ilvl w:val="2"/>
          <w:numId w:val="39"/>
        </w:numPr>
        <w:spacing w:after="240"/>
        <w:contextualSpacing w:val="0"/>
        <w:rPr>
          <w:rFonts w:ascii="Arial" w:hAnsi="Arial" w:cs="Arial"/>
          <w:sz w:val="24"/>
          <w:szCs w:val="24"/>
        </w:rPr>
      </w:pPr>
      <w:r w:rsidRPr="003F0590">
        <w:rPr>
          <w:rFonts w:ascii="Arial" w:hAnsi="Arial" w:cs="Arial"/>
          <w:sz w:val="24"/>
          <w:szCs w:val="24"/>
        </w:rPr>
        <w:t xml:space="preserve">this may not be necessary in sectors with a small number of facilities and/or no </w:t>
      </w:r>
      <w:proofErr w:type="gramStart"/>
      <w:r w:rsidRPr="003F0590">
        <w:rPr>
          <w:rFonts w:ascii="Arial" w:hAnsi="Arial" w:cs="Arial"/>
          <w:sz w:val="24"/>
          <w:szCs w:val="24"/>
        </w:rPr>
        <w:t>outliers;</w:t>
      </w:r>
      <w:proofErr w:type="gramEnd"/>
    </w:p>
    <w:p w14:paraId="0384DCC3" w14:textId="77777777" w:rsidR="003F0590" w:rsidRPr="003F0590" w:rsidRDefault="003F0590" w:rsidP="003F0590">
      <w:pPr>
        <w:pStyle w:val="ListBullet"/>
        <w:numPr>
          <w:ilvl w:val="0"/>
          <w:numId w:val="27"/>
        </w:numPr>
        <w:spacing w:after="240"/>
        <w:ind w:left="426" w:hanging="426"/>
        <w:contextualSpacing w:val="0"/>
        <w:rPr>
          <w:rFonts w:ascii="Arial" w:hAnsi="Arial" w:cs="Arial"/>
          <w:sz w:val="24"/>
          <w:szCs w:val="24"/>
        </w:rPr>
      </w:pPr>
      <w:r w:rsidRPr="003F0590">
        <w:rPr>
          <w:rFonts w:ascii="Arial" w:hAnsi="Arial" w:cs="Arial"/>
          <w:sz w:val="24"/>
          <w:szCs w:val="24"/>
        </w:rPr>
        <w:t xml:space="preserve">protect data </w:t>
      </w:r>
      <w:proofErr w:type="gramStart"/>
      <w:r w:rsidRPr="003F0590">
        <w:rPr>
          <w:rFonts w:ascii="Arial" w:hAnsi="Arial" w:cs="Arial"/>
          <w:b/>
          <w:sz w:val="24"/>
          <w:szCs w:val="24"/>
        </w:rPr>
        <w:t>confidentiality</w:t>
      </w:r>
      <w:proofErr w:type="gramEnd"/>
    </w:p>
    <w:p w14:paraId="1B15C9C8" w14:textId="77777777" w:rsidR="003F0590" w:rsidRPr="003F0590" w:rsidRDefault="003F0590" w:rsidP="003F0590">
      <w:pPr>
        <w:pStyle w:val="ListBullet"/>
        <w:numPr>
          <w:ilvl w:val="1"/>
          <w:numId w:val="28"/>
        </w:numPr>
        <w:spacing w:after="240"/>
        <w:ind w:left="851" w:hanging="425"/>
        <w:contextualSpacing w:val="0"/>
        <w:rPr>
          <w:rFonts w:ascii="Arial" w:hAnsi="Arial" w:cs="Arial"/>
          <w:sz w:val="24"/>
          <w:szCs w:val="24"/>
        </w:rPr>
      </w:pPr>
      <w:r w:rsidRPr="003F0590">
        <w:rPr>
          <w:rFonts w:ascii="Arial" w:hAnsi="Arial" w:cs="Arial"/>
          <w:sz w:val="24"/>
          <w:szCs w:val="24"/>
        </w:rPr>
        <w:t>average multiple data points, rather than using a single data point.</w:t>
      </w:r>
    </w:p>
    <w:p w14:paraId="4680F8CC" w14:textId="0EF38E71" w:rsidR="00302B18" w:rsidRPr="00BA70C1" w:rsidRDefault="00BB22B6" w:rsidP="00BA70C1">
      <w:pPr>
        <w:spacing w:after="240"/>
        <w:rPr>
          <w:rFonts w:ascii="Arial" w:hAnsi="Arial" w:cs="Arial"/>
          <w:sz w:val="24"/>
        </w:rPr>
      </w:pPr>
      <w:r>
        <w:rPr>
          <w:rFonts w:ascii="Arial" w:hAnsi="Arial" w:cs="Arial"/>
          <w:b/>
          <w:sz w:val="24"/>
        </w:rPr>
        <w:t>DEFAULT EMISSIONS INTENSITY</w:t>
      </w:r>
      <w:r w:rsidR="009F1665" w:rsidRPr="00BA70C1">
        <w:rPr>
          <w:rFonts w:ascii="Arial" w:hAnsi="Arial" w:cs="Arial"/>
          <w:b/>
          <w:sz w:val="24"/>
        </w:rPr>
        <w:t xml:space="preserve"> </w:t>
      </w:r>
      <w:r w:rsidR="009F1665">
        <w:rPr>
          <w:rFonts w:ascii="Arial" w:hAnsi="Arial" w:cs="Arial"/>
          <w:b/>
          <w:sz w:val="24"/>
        </w:rPr>
        <w:t>CALCULATION</w:t>
      </w:r>
      <w:r w:rsidR="009F1665" w:rsidRPr="00BA70C1">
        <w:rPr>
          <w:rFonts w:ascii="Arial" w:hAnsi="Arial" w:cs="Arial"/>
          <w:b/>
          <w:sz w:val="24"/>
        </w:rPr>
        <w:t xml:space="preserve"> </w:t>
      </w:r>
      <w:r w:rsidR="009F1665">
        <w:rPr>
          <w:rFonts w:ascii="Arial" w:hAnsi="Arial" w:cs="Arial"/>
          <w:b/>
          <w:sz w:val="24"/>
        </w:rPr>
        <w:t>METHOD</w:t>
      </w:r>
    </w:p>
    <w:p w14:paraId="3AF25C59" w14:textId="46EB7B2F" w:rsidR="00DD2A2A" w:rsidRDefault="003F0590" w:rsidP="003F0590">
      <w:pPr>
        <w:spacing w:after="240"/>
        <w:rPr>
          <w:rFonts w:ascii="Arial" w:hAnsi="Arial" w:cs="Arial"/>
          <w:sz w:val="24"/>
        </w:rPr>
      </w:pPr>
      <w:r w:rsidRPr="003F0590">
        <w:rPr>
          <w:rFonts w:ascii="Arial" w:hAnsi="Arial" w:cs="Arial"/>
          <w:sz w:val="24"/>
        </w:rPr>
        <w:t xml:space="preserve">Where possible, the following methods will be used to calculate </w:t>
      </w:r>
      <w:r w:rsidR="00824242" w:rsidRPr="00824242">
        <w:rPr>
          <w:rFonts w:ascii="Arial" w:hAnsi="Arial" w:cs="Arial"/>
          <w:i/>
          <w:sz w:val="24"/>
        </w:rPr>
        <w:t xml:space="preserve">default </w:t>
      </w:r>
      <w:r w:rsidRPr="00824242">
        <w:rPr>
          <w:rFonts w:ascii="Arial" w:hAnsi="Arial" w:cs="Arial"/>
          <w:i/>
          <w:sz w:val="24"/>
        </w:rPr>
        <w:t>emissions-intensity</w:t>
      </w:r>
      <w:r w:rsidRPr="003F0590">
        <w:rPr>
          <w:rFonts w:ascii="Arial" w:hAnsi="Arial" w:cs="Arial"/>
          <w:sz w:val="24"/>
        </w:rPr>
        <w:t xml:space="preserve"> values for each </w:t>
      </w:r>
      <w:r w:rsidR="00824242" w:rsidRPr="00824242">
        <w:rPr>
          <w:rFonts w:ascii="Arial" w:hAnsi="Arial" w:cs="Arial"/>
          <w:i/>
          <w:sz w:val="24"/>
        </w:rPr>
        <w:t xml:space="preserve">prescribed </w:t>
      </w:r>
      <w:r w:rsidRPr="00824242">
        <w:rPr>
          <w:rFonts w:ascii="Arial" w:hAnsi="Arial" w:cs="Arial"/>
          <w:i/>
          <w:sz w:val="24"/>
        </w:rPr>
        <w:t>production variable</w:t>
      </w:r>
      <w:r w:rsidRPr="003F0590">
        <w:rPr>
          <w:rFonts w:ascii="Arial" w:hAnsi="Arial" w:cs="Arial"/>
          <w:sz w:val="24"/>
        </w:rPr>
        <w:t>.</w:t>
      </w:r>
    </w:p>
    <w:p w14:paraId="776C6EA3" w14:textId="5DDC12EA" w:rsidR="00DD2A2A" w:rsidRDefault="00DD2A2A" w:rsidP="003F0590">
      <w:pPr>
        <w:spacing w:after="240"/>
        <w:rPr>
          <w:rFonts w:ascii="Arial" w:hAnsi="Arial" w:cs="Arial"/>
          <w:sz w:val="24"/>
        </w:rPr>
      </w:pPr>
      <w:r>
        <w:rPr>
          <w:rFonts w:ascii="Arial" w:hAnsi="Arial" w:cs="Arial"/>
          <w:sz w:val="24"/>
        </w:rPr>
        <w:t xml:space="preserve">This approach aims to develop </w:t>
      </w:r>
      <w:r w:rsidR="00626A40">
        <w:rPr>
          <w:rFonts w:ascii="Arial" w:hAnsi="Arial" w:cs="Arial"/>
          <w:sz w:val="24"/>
        </w:rPr>
        <w:t xml:space="preserve">emissions intensity </w:t>
      </w:r>
      <w:r>
        <w:rPr>
          <w:rFonts w:ascii="Arial" w:hAnsi="Arial" w:cs="Arial"/>
          <w:sz w:val="24"/>
        </w:rPr>
        <w:t>values that are representative of a sectoral average</w:t>
      </w:r>
      <w:r w:rsidR="00A92385">
        <w:rPr>
          <w:rFonts w:ascii="Arial" w:hAnsi="Arial" w:cs="Arial"/>
          <w:sz w:val="24"/>
        </w:rPr>
        <w:t xml:space="preserve"> and protect facility specific information</w:t>
      </w:r>
      <w:r>
        <w:rPr>
          <w:rFonts w:ascii="Arial" w:hAnsi="Arial" w:cs="Arial"/>
          <w:sz w:val="24"/>
        </w:rPr>
        <w:t>.</w:t>
      </w:r>
    </w:p>
    <w:p w14:paraId="630CEE7D" w14:textId="525E77A0" w:rsidR="003F0590" w:rsidRPr="003F0590" w:rsidRDefault="003F0590" w:rsidP="003F0590">
      <w:pPr>
        <w:spacing w:after="240"/>
        <w:rPr>
          <w:rFonts w:ascii="Arial" w:hAnsi="Arial" w:cs="Arial"/>
          <w:sz w:val="24"/>
        </w:rPr>
      </w:pPr>
      <w:r w:rsidRPr="003F0590">
        <w:rPr>
          <w:rFonts w:ascii="Arial" w:hAnsi="Arial" w:cs="Arial"/>
          <w:sz w:val="24"/>
        </w:rPr>
        <w:t>In cases where this is not practical, alternative methods will be considered in consultation with relevant businesses.</w:t>
      </w:r>
    </w:p>
    <w:p w14:paraId="02261C90" w14:textId="4AADB2C8" w:rsidR="003F0590" w:rsidRPr="003F0590" w:rsidRDefault="003F0590" w:rsidP="003F0590">
      <w:pPr>
        <w:spacing w:after="240"/>
        <w:rPr>
          <w:rFonts w:ascii="Arial" w:hAnsi="Arial" w:cs="Arial"/>
          <w:b/>
          <w:sz w:val="24"/>
        </w:rPr>
      </w:pPr>
      <w:r w:rsidRPr="003F0590">
        <w:rPr>
          <w:rFonts w:ascii="Arial" w:hAnsi="Arial" w:cs="Arial"/>
          <w:b/>
          <w:sz w:val="24"/>
        </w:rPr>
        <w:lastRenderedPageBreak/>
        <w:t xml:space="preserve">Production-weighted median using five individual years of </w:t>
      </w:r>
      <w:proofErr w:type="gramStart"/>
      <w:r w:rsidRPr="003F0590">
        <w:rPr>
          <w:rFonts w:ascii="Arial" w:hAnsi="Arial" w:cs="Arial"/>
          <w:b/>
          <w:sz w:val="24"/>
        </w:rPr>
        <w:t>data</w:t>
      </w:r>
      <w:proofErr w:type="gramEnd"/>
    </w:p>
    <w:p w14:paraId="40959E30" w14:textId="77777777" w:rsidR="003F0590" w:rsidRDefault="003F0590" w:rsidP="00506D7A">
      <w:pPr>
        <w:pStyle w:val="ListParagraph"/>
        <w:numPr>
          <w:ilvl w:val="0"/>
          <w:numId w:val="27"/>
        </w:numPr>
        <w:spacing w:after="240"/>
        <w:ind w:left="357" w:hanging="357"/>
        <w:contextualSpacing w:val="0"/>
        <w:rPr>
          <w:rFonts w:ascii="Arial" w:hAnsi="Arial" w:cs="Arial"/>
          <w:sz w:val="24"/>
        </w:rPr>
      </w:pPr>
      <w:r w:rsidRPr="003F0590">
        <w:rPr>
          <w:rFonts w:ascii="Arial" w:hAnsi="Arial" w:cs="Arial"/>
          <w:sz w:val="24"/>
        </w:rPr>
        <w:t xml:space="preserve">For each production variable: </w:t>
      </w:r>
    </w:p>
    <w:p w14:paraId="6845F272" w14:textId="77777777" w:rsidR="003F0590" w:rsidRDefault="003F0590" w:rsidP="00506D7A">
      <w:pPr>
        <w:pStyle w:val="ListParagraph"/>
        <w:numPr>
          <w:ilvl w:val="1"/>
          <w:numId w:val="27"/>
        </w:numPr>
        <w:spacing w:after="240"/>
        <w:ind w:left="1080" w:hanging="357"/>
        <w:contextualSpacing w:val="0"/>
        <w:rPr>
          <w:rFonts w:ascii="Arial" w:hAnsi="Arial" w:cs="Arial"/>
          <w:sz w:val="24"/>
        </w:rPr>
      </w:pPr>
      <w:r w:rsidRPr="003F0590">
        <w:rPr>
          <w:rFonts w:ascii="Arial" w:hAnsi="Arial" w:cs="Arial"/>
          <w:sz w:val="24"/>
        </w:rPr>
        <w:t xml:space="preserve">Calculate the emissions intensity of production for each relevant facility for the five years from 2012-13 to 2016-17 (that is, five data points per facility), in so far as this is feasible and data is of a sufficient quality. </w:t>
      </w:r>
    </w:p>
    <w:p w14:paraId="171B4133" w14:textId="77777777" w:rsidR="003F0590" w:rsidRDefault="003F0590" w:rsidP="00506D7A">
      <w:pPr>
        <w:pStyle w:val="ListParagraph"/>
        <w:numPr>
          <w:ilvl w:val="2"/>
          <w:numId w:val="27"/>
        </w:numPr>
        <w:spacing w:after="240"/>
        <w:ind w:left="1800" w:hanging="357"/>
        <w:contextualSpacing w:val="0"/>
        <w:rPr>
          <w:rFonts w:ascii="Arial" w:hAnsi="Arial" w:cs="Arial"/>
          <w:sz w:val="24"/>
        </w:rPr>
      </w:pPr>
      <w:r w:rsidRPr="003F0590">
        <w:rPr>
          <w:rFonts w:ascii="Arial" w:hAnsi="Arial" w:cs="Arial"/>
          <w:sz w:val="24"/>
        </w:rPr>
        <w:t>Fewer years may be used if data is not of a sufficient quality. Some facilities or years may be omitted if the data is of a relatively poor quality.</w:t>
      </w:r>
    </w:p>
    <w:p w14:paraId="1A64D131" w14:textId="77777777" w:rsidR="003F0590" w:rsidRDefault="003F0590" w:rsidP="00506D7A">
      <w:pPr>
        <w:pStyle w:val="ListParagraph"/>
        <w:numPr>
          <w:ilvl w:val="2"/>
          <w:numId w:val="27"/>
        </w:numPr>
        <w:spacing w:after="240"/>
        <w:ind w:left="1800" w:hanging="357"/>
        <w:contextualSpacing w:val="0"/>
        <w:rPr>
          <w:rFonts w:ascii="Arial" w:hAnsi="Arial" w:cs="Arial"/>
          <w:sz w:val="24"/>
        </w:rPr>
      </w:pPr>
      <w:r w:rsidRPr="003F0590">
        <w:rPr>
          <w:rFonts w:ascii="Arial" w:hAnsi="Arial" w:cs="Arial"/>
          <w:sz w:val="24"/>
        </w:rPr>
        <w:t>Some facilities may be omitted from the calculation if emissions cannot be apportioned among multiple production variables.</w:t>
      </w:r>
    </w:p>
    <w:p w14:paraId="57B3A61A" w14:textId="49CEA97D" w:rsidR="003F0590" w:rsidRPr="003F0590" w:rsidDel="00FE27EB" w:rsidRDefault="003F0590" w:rsidP="00506D7A">
      <w:pPr>
        <w:pStyle w:val="ListParagraph"/>
        <w:numPr>
          <w:ilvl w:val="2"/>
          <w:numId w:val="27"/>
        </w:numPr>
        <w:spacing w:after="240"/>
        <w:ind w:left="1800" w:hanging="357"/>
        <w:contextualSpacing w:val="0"/>
        <w:rPr>
          <w:rFonts w:ascii="Arial" w:hAnsi="Arial" w:cs="Arial"/>
          <w:sz w:val="24"/>
        </w:rPr>
      </w:pPr>
      <w:r w:rsidRPr="003F0590" w:rsidDel="00FE27EB">
        <w:rPr>
          <w:rFonts w:ascii="Arial" w:hAnsi="Arial" w:cs="Arial"/>
          <w:sz w:val="24"/>
        </w:rPr>
        <w:t>Where practical, emissions could be apportioned in the same ratio used for calculating the Jobs and Competitiveness Program emissions-intensity values.</w:t>
      </w:r>
    </w:p>
    <w:p w14:paraId="1B6EB4C8" w14:textId="77777777" w:rsidR="003F0590" w:rsidRDefault="003F0590" w:rsidP="00506D7A">
      <w:pPr>
        <w:pStyle w:val="ListParagraph"/>
        <w:numPr>
          <w:ilvl w:val="1"/>
          <w:numId w:val="27"/>
        </w:numPr>
        <w:spacing w:after="240"/>
        <w:ind w:left="1080" w:hanging="357"/>
        <w:contextualSpacing w:val="0"/>
        <w:rPr>
          <w:rFonts w:ascii="Arial" w:hAnsi="Arial" w:cs="Arial"/>
          <w:sz w:val="24"/>
        </w:rPr>
      </w:pPr>
      <w:r w:rsidRPr="003F0590">
        <w:rPr>
          <w:rFonts w:ascii="Arial" w:hAnsi="Arial" w:cs="Arial"/>
          <w:sz w:val="24"/>
        </w:rPr>
        <w:t>Rank the data by emissions-intensity (including up to five data points for each facility).</w:t>
      </w:r>
    </w:p>
    <w:p w14:paraId="64920DA6" w14:textId="107785C4" w:rsidR="003F0590" w:rsidRDefault="003F0590" w:rsidP="00506D7A">
      <w:pPr>
        <w:pStyle w:val="ListParagraph"/>
        <w:numPr>
          <w:ilvl w:val="1"/>
          <w:numId w:val="27"/>
        </w:numPr>
        <w:spacing w:after="240"/>
        <w:ind w:left="1080" w:hanging="357"/>
        <w:contextualSpacing w:val="0"/>
        <w:rPr>
          <w:rFonts w:ascii="Arial" w:hAnsi="Arial" w:cs="Arial"/>
          <w:sz w:val="24"/>
        </w:rPr>
      </w:pPr>
      <w:r w:rsidRPr="003F0590">
        <w:rPr>
          <w:rFonts w:ascii="Arial" w:hAnsi="Arial" w:cs="Arial"/>
          <w:sz w:val="24"/>
        </w:rPr>
        <w:t>Determine the production-weighted, average emissions-intensity of around half the emissions intensity values</w:t>
      </w:r>
      <w:r w:rsidR="00FF2CE1">
        <w:rPr>
          <w:rFonts w:ascii="Arial" w:hAnsi="Arial" w:cs="Arial"/>
          <w:sz w:val="24"/>
        </w:rPr>
        <w:t>,</w:t>
      </w:r>
      <w:r w:rsidRPr="003F0590">
        <w:rPr>
          <w:rFonts w:ascii="Arial" w:hAnsi="Arial" w:cs="Arial"/>
          <w:sz w:val="24"/>
        </w:rPr>
        <w:t xml:space="preserve"> </w:t>
      </w:r>
      <w:r w:rsidR="00FF2CE1">
        <w:rPr>
          <w:rFonts w:ascii="Arial" w:hAnsi="Arial" w:cs="Arial"/>
          <w:sz w:val="24"/>
        </w:rPr>
        <w:t>centred on</w:t>
      </w:r>
      <w:r w:rsidRPr="003F0590">
        <w:rPr>
          <w:rFonts w:ascii="Arial" w:hAnsi="Arial" w:cs="Arial"/>
          <w:sz w:val="24"/>
        </w:rPr>
        <w:t xml:space="preserve"> the median production unit</w:t>
      </w:r>
      <w:r w:rsidR="00C73AF5">
        <w:rPr>
          <w:rFonts w:ascii="Arial" w:hAnsi="Arial" w:cs="Arial"/>
          <w:sz w:val="24"/>
        </w:rPr>
        <w:t>, and targeting around half the production volume</w:t>
      </w:r>
      <w:r w:rsidRPr="003F0590">
        <w:rPr>
          <w:rFonts w:ascii="Arial" w:hAnsi="Arial" w:cs="Arial"/>
          <w:sz w:val="24"/>
        </w:rPr>
        <w:t>.</w:t>
      </w:r>
    </w:p>
    <w:p w14:paraId="40B311C1" w14:textId="2746440F" w:rsidR="003F0590" w:rsidRDefault="003F0590" w:rsidP="00506D7A">
      <w:pPr>
        <w:pStyle w:val="ListParagraph"/>
        <w:numPr>
          <w:ilvl w:val="2"/>
          <w:numId w:val="27"/>
        </w:numPr>
        <w:spacing w:after="240"/>
        <w:ind w:left="1800" w:hanging="357"/>
        <w:contextualSpacing w:val="0"/>
        <w:rPr>
          <w:rFonts w:ascii="Arial" w:hAnsi="Arial" w:cs="Arial"/>
          <w:sz w:val="24"/>
        </w:rPr>
      </w:pPr>
      <w:r w:rsidRPr="003F0590">
        <w:rPr>
          <w:rFonts w:ascii="Arial" w:hAnsi="Arial" w:cs="Arial"/>
          <w:sz w:val="24"/>
        </w:rPr>
        <w:t>Where practical, a minimum of 5 values, from at least 2 facilities should be used. If data is only available for a single facility, it should not be used without that facility’s agreement.</w:t>
      </w:r>
    </w:p>
    <w:p w14:paraId="159C6C26" w14:textId="30BCF3B4" w:rsidR="003F0590" w:rsidRDefault="003F0590" w:rsidP="00506D7A">
      <w:pPr>
        <w:pStyle w:val="ListParagraph"/>
        <w:numPr>
          <w:ilvl w:val="2"/>
          <w:numId w:val="27"/>
        </w:numPr>
        <w:spacing w:after="240"/>
        <w:ind w:left="1800" w:hanging="357"/>
        <w:contextualSpacing w:val="0"/>
        <w:rPr>
          <w:rFonts w:ascii="Arial" w:hAnsi="Arial" w:cs="Arial"/>
          <w:sz w:val="24"/>
        </w:rPr>
      </w:pPr>
      <w:r w:rsidRPr="003F0590">
        <w:rPr>
          <w:rFonts w:ascii="Arial" w:hAnsi="Arial" w:cs="Arial"/>
          <w:sz w:val="24"/>
        </w:rPr>
        <w:t xml:space="preserve">The data that is used for averaging should represent the median of the </w:t>
      </w:r>
      <w:proofErr w:type="gramStart"/>
      <w:r w:rsidRPr="003F0590">
        <w:rPr>
          <w:rFonts w:ascii="Arial" w:hAnsi="Arial" w:cs="Arial"/>
          <w:sz w:val="24"/>
        </w:rPr>
        <w:t>sector, but</w:t>
      </w:r>
      <w:proofErr w:type="gramEnd"/>
      <w:r w:rsidRPr="003F0590">
        <w:rPr>
          <w:rFonts w:ascii="Arial" w:hAnsi="Arial" w:cs="Arial"/>
          <w:sz w:val="24"/>
        </w:rPr>
        <w:t xml:space="preserve"> should not reveal protected information about any particular facilities.</w:t>
      </w:r>
    </w:p>
    <w:p w14:paraId="4011CFA5" w14:textId="2432777F" w:rsidR="00961D23" w:rsidRDefault="00841A32" w:rsidP="00506D7A">
      <w:pPr>
        <w:pStyle w:val="ListParagraph"/>
        <w:numPr>
          <w:ilvl w:val="2"/>
          <w:numId w:val="27"/>
        </w:numPr>
        <w:spacing w:after="240"/>
        <w:ind w:left="1800" w:hanging="357"/>
        <w:contextualSpacing w:val="0"/>
        <w:rPr>
          <w:rFonts w:ascii="Arial" w:hAnsi="Arial" w:cs="Arial"/>
          <w:sz w:val="24"/>
        </w:rPr>
      </w:pPr>
      <w:r>
        <w:rPr>
          <w:rFonts w:ascii="Arial" w:hAnsi="Arial" w:cs="Arial"/>
          <w:sz w:val="24"/>
        </w:rPr>
        <w:t>Where the inclusion or exclusion of the marginal facility record in the data set results in much more (or less) than half of cumulative production being represented in the calculation, the Department will consider splitting that record to include only a portion of its production in the default emissions intensity calculation.</w:t>
      </w:r>
    </w:p>
    <w:p w14:paraId="2AB82F88" w14:textId="1735C02D" w:rsidR="0036604D" w:rsidRPr="00100F5E" w:rsidRDefault="0036604D" w:rsidP="00842F95">
      <w:pPr>
        <w:spacing w:after="240"/>
        <w:ind w:left="360"/>
        <w:rPr>
          <w:rFonts w:ascii="Arial" w:hAnsi="Arial" w:cs="Arial"/>
          <w:sz w:val="24"/>
          <w:szCs w:val="24"/>
        </w:rPr>
      </w:pPr>
      <w:r w:rsidRPr="00100F5E">
        <w:rPr>
          <w:rFonts w:ascii="Arial" w:hAnsi="Arial" w:cs="Arial"/>
          <w:sz w:val="24"/>
          <w:szCs w:val="24"/>
        </w:rPr>
        <w:t xml:space="preserve">In some </w:t>
      </w:r>
      <w:proofErr w:type="gramStart"/>
      <w:r w:rsidRPr="00100F5E">
        <w:rPr>
          <w:rFonts w:ascii="Arial" w:hAnsi="Arial" w:cs="Arial"/>
          <w:sz w:val="24"/>
          <w:szCs w:val="24"/>
        </w:rPr>
        <w:t>cases</w:t>
      </w:r>
      <w:proofErr w:type="gramEnd"/>
      <w:r w:rsidRPr="00100F5E">
        <w:rPr>
          <w:rFonts w:ascii="Arial" w:hAnsi="Arial" w:cs="Arial"/>
          <w:sz w:val="24"/>
          <w:szCs w:val="24"/>
        </w:rPr>
        <w:t xml:space="preserve"> </w:t>
      </w:r>
      <w:r w:rsidR="00AE6379">
        <w:rPr>
          <w:rFonts w:ascii="Arial" w:hAnsi="Arial" w:cs="Arial"/>
          <w:sz w:val="24"/>
          <w:szCs w:val="24"/>
        </w:rPr>
        <w:t>t</w:t>
      </w:r>
      <w:r w:rsidRPr="00100F5E">
        <w:rPr>
          <w:rFonts w:ascii="Arial" w:hAnsi="Arial" w:cs="Arial"/>
          <w:sz w:val="24"/>
          <w:szCs w:val="24"/>
        </w:rPr>
        <w:t xml:space="preserve">he </w:t>
      </w:r>
      <w:r>
        <w:rPr>
          <w:rFonts w:ascii="Arial" w:hAnsi="Arial" w:cs="Arial"/>
          <w:sz w:val="24"/>
          <w:szCs w:val="24"/>
        </w:rPr>
        <w:t xml:space="preserve">above approach </w:t>
      </w:r>
      <w:r w:rsidR="00B47F46">
        <w:rPr>
          <w:rFonts w:ascii="Arial" w:hAnsi="Arial" w:cs="Arial"/>
          <w:sz w:val="24"/>
          <w:szCs w:val="24"/>
        </w:rPr>
        <w:t>may</w:t>
      </w:r>
      <w:r>
        <w:rPr>
          <w:rFonts w:ascii="Arial" w:hAnsi="Arial" w:cs="Arial"/>
          <w:sz w:val="24"/>
          <w:szCs w:val="24"/>
        </w:rPr>
        <w:t xml:space="preserve"> not </w:t>
      </w:r>
      <w:r w:rsidR="00B47F46">
        <w:rPr>
          <w:rFonts w:ascii="Arial" w:hAnsi="Arial" w:cs="Arial"/>
          <w:sz w:val="24"/>
          <w:szCs w:val="24"/>
        </w:rPr>
        <w:t xml:space="preserve">be </w:t>
      </w:r>
      <w:r>
        <w:rPr>
          <w:rFonts w:ascii="Arial" w:hAnsi="Arial" w:cs="Arial"/>
          <w:sz w:val="24"/>
          <w:szCs w:val="24"/>
        </w:rPr>
        <w:t>practical</w:t>
      </w:r>
      <w:r w:rsidR="00AC1E81">
        <w:rPr>
          <w:rFonts w:ascii="Arial" w:hAnsi="Arial" w:cs="Arial"/>
          <w:sz w:val="24"/>
          <w:szCs w:val="24"/>
        </w:rPr>
        <w:t>, for example</w:t>
      </w:r>
      <w:r>
        <w:rPr>
          <w:rFonts w:ascii="Arial" w:hAnsi="Arial" w:cs="Arial"/>
          <w:sz w:val="24"/>
          <w:szCs w:val="24"/>
        </w:rPr>
        <w:t xml:space="preserve"> where apportioning data between activities at a facility is not possible</w:t>
      </w:r>
      <w:r w:rsidR="00AC1E81">
        <w:rPr>
          <w:rFonts w:ascii="Arial" w:hAnsi="Arial" w:cs="Arial"/>
          <w:sz w:val="24"/>
          <w:szCs w:val="24"/>
        </w:rPr>
        <w:t xml:space="preserve"> or</w:t>
      </w:r>
      <w:r>
        <w:rPr>
          <w:rFonts w:ascii="Arial" w:hAnsi="Arial" w:cs="Arial"/>
          <w:sz w:val="24"/>
          <w:szCs w:val="24"/>
        </w:rPr>
        <w:t xml:space="preserve"> where there are confidentiality issues</w:t>
      </w:r>
      <w:r w:rsidR="00F36863">
        <w:rPr>
          <w:rFonts w:ascii="Arial" w:hAnsi="Arial" w:cs="Arial"/>
          <w:sz w:val="24"/>
          <w:szCs w:val="24"/>
        </w:rPr>
        <w:t>. In these cases</w:t>
      </w:r>
      <w:r>
        <w:rPr>
          <w:rFonts w:ascii="Arial" w:hAnsi="Arial" w:cs="Arial"/>
          <w:sz w:val="24"/>
          <w:szCs w:val="24"/>
        </w:rPr>
        <w:t xml:space="preserve">, it may be necessary to draw more heavily from previously apportioned data, such as that </w:t>
      </w:r>
      <w:r w:rsidRPr="0036604D">
        <w:rPr>
          <w:rFonts w:ascii="Arial" w:hAnsi="Arial" w:cs="Arial"/>
          <w:sz w:val="24"/>
          <w:szCs w:val="24"/>
        </w:rPr>
        <w:t>used for calculating Renewable Energy Target exemptions</w:t>
      </w:r>
      <w:r>
        <w:rPr>
          <w:rFonts w:ascii="Arial" w:hAnsi="Arial" w:cs="Arial"/>
          <w:sz w:val="24"/>
          <w:szCs w:val="24"/>
        </w:rPr>
        <w:t>.</w:t>
      </w:r>
    </w:p>
    <w:p w14:paraId="4B69F3AA" w14:textId="77777777" w:rsidR="0061341E" w:rsidRDefault="003F0590" w:rsidP="00506D7A">
      <w:pPr>
        <w:pStyle w:val="ListParagraph"/>
        <w:numPr>
          <w:ilvl w:val="0"/>
          <w:numId w:val="27"/>
        </w:numPr>
        <w:spacing w:after="240"/>
        <w:ind w:left="357" w:hanging="357"/>
        <w:contextualSpacing w:val="0"/>
        <w:rPr>
          <w:rFonts w:ascii="Arial" w:hAnsi="Arial" w:cs="Arial"/>
          <w:sz w:val="24"/>
        </w:rPr>
      </w:pPr>
      <w:r w:rsidRPr="0061341E">
        <w:rPr>
          <w:rFonts w:ascii="Arial" w:hAnsi="Arial" w:cs="Arial"/>
          <w:b/>
          <w:sz w:val="24"/>
        </w:rPr>
        <w:t>Relevant facilities</w:t>
      </w:r>
      <w:r w:rsidRPr="003F0590">
        <w:rPr>
          <w:rFonts w:ascii="Arial" w:hAnsi="Arial" w:cs="Arial"/>
          <w:sz w:val="24"/>
        </w:rPr>
        <w:t xml:space="preserve"> include Safeguard Mechanism </w:t>
      </w:r>
      <w:proofErr w:type="gramStart"/>
      <w:r w:rsidRPr="003F0590">
        <w:rPr>
          <w:rFonts w:ascii="Arial" w:hAnsi="Arial" w:cs="Arial"/>
          <w:sz w:val="24"/>
        </w:rPr>
        <w:t>facilities, and</w:t>
      </w:r>
      <w:proofErr w:type="gramEnd"/>
      <w:r w:rsidRPr="003F0590">
        <w:rPr>
          <w:rFonts w:ascii="Arial" w:hAnsi="Arial" w:cs="Arial"/>
          <w:sz w:val="24"/>
        </w:rPr>
        <w:t xml:space="preserve"> may include other relevant National Greenhouse and Energy Reporting Scheme (NGERS) facilities where data is of a sufficient quality. </w:t>
      </w:r>
    </w:p>
    <w:p w14:paraId="6E645431" w14:textId="77777777" w:rsidR="0061341E" w:rsidRDefault="003F0590" w:rsidP="00506D7A">
      <w:pPr>
        <w:pStyle w:val="ListParagraph"/>
        <w:numPr>
          <w:ilvl w:val="0"/>
          <w:numId w:val="27"/>
        </w:numPr>
        <w:spacing w:after="240"/>
        <w:ind w:left="357" w:hanging="357"/>
        <w:contextualSpacing w:val="0"/>
        <w:rPr>
          <w:rFonts w:ascii="Arial" w:hAnsi="Arial" w:cs="Arial"/>
          <w:sz w:val="24"/>
        </w:rPr>
      </w:pPr>
      <w:r w:rsidRPr="0061341E">
        <w:rPr>
          <w:rFonts w:ascii="Arial" w:hAnsi="Arial" w:cs="Arial"/>
          <w:b/>
          <w:sz w:val="24"/>
        </w:rPr>
        <w:lastRenderedPageBreak/>
        <w:t>Emissions data</w:t>
      </w:r>
      <w:r w:rsidRPr="0061341E">
        <w:rPr>
          <w:rFonts w:ascii="Arial" w:hAnsi="Arial" w:cs="Arial"/>
          <w:sz w:val="24"/>
        </w:rPr>
        <w:t xml:space="preserve"> will be drawn from NGERS reports. </w:t>
      </w:r>
    </w:p>
    <w:p w14:paraId="76B22E31" w14:textId="77777777" w:rsidR="0061341E" w:rsidRDefault="003F0590" w:rsidP="00506D7A">
      <w:pPr>
        <w:pStyle w:val="ListParagraph"/>
        <w:numPr>
          <w:ilvl w:val="0"/>
          <w:numId w:val="27"/>
        </w:numPr>
        <w:spacing w:after="240"/>
        <w:ind w:left="357" w:hanging="357"/>
        <w:contextualSpacing w:val="0"/>
        <w:rPr>
          <w:rFonts w:ascii="Arial" w:hAnsi="Arial" w:cs="Arial"/>
          <w:sz w:val="24"/>
        </w:rPr>
      </w:pPr>
      <w:r w:rsidRPr="0061341E">
        <w:rPr>
          <w:rFonts w:ascii="Arial" w:hAnsi="Arial" w:cs="Arial"/>
          <w:b/>
          <w:sz w:val="24"/>
        </w:rPr>
        <w:t>Production data</w:t>
      </w:r>
      <w:r w:rsidRPr="0061341E">
        <w:rPr>
          <w:rFonts w:ascii="Arial" w:hAnsi="Arial" w:cs="Arial"/>
          <w:sz w:val="24"/>
        </w:rPr>
        <w:t xml:space="preserve"> may be drawn from NGERS reports, Renewable Energy Target data or other sources, including public reports and industry databases (for example, AME).</w:t>
      </w:r>
    </w:p>
    <w:p w14:paraId="2465C8F1" w14:textId="2CA2F3A1" w:rsidR="003F0590" w:rsidRPr="0061341E" w:rsidRDefault="003F0590" w:rsidP="00506D7A">
      <w:pPr>
        <w:pStyle w:val="ListParagraph"/>
        <w:numPr>
          <w:ilvl w:val="0"/>
          <w:numId w:val="27"/>
        </w:numPr>
        <w:spacing w:after="240"/>
        <w:ind w:left="357" w:hanging="357"/>
        <w:contextualSpacing w:val="0"/>
        <w:rPr>
          <w:rFonts w:ascii="Arial" w:hAnsi="Arial" w:cs="Arial"/>
          <w:sz w:val="24"/>
        </w:rPr>
      </w:pPr>
      <w:r w:rsidRPr="0061341E">
        <w:rPr>
          <w:rFonts w:ascii="Arial" w:hAnsi="Arial" w:cs="Arial"/>
          <w:sz w:val="24"/>
        </w:rPr>
        <w:t>An illustrative example is provided below.</w:t>
      </w:r>
    </w:p>
    <w:p w14:paraId="770C2E07" w14:textId="628F7083" w:rsidR="0061341E" w:rsidRDefault="0061341E" w:rsidP="0061341E">
      <w:pPr>
        <w:spacing w:after="240" w:line="240" w:lineRule="auto"/>
        <w:rPr>
          <w:rFonts w:ascii="Arial" w:hAnsi="Arial" w:cs="Arial"/>
          <w:sz w:val="24"/>
          <w:szCs w:val="24"/>
        </w:rPr>
      </w:pPr>
      <w:r w:rsidRPr="0061341E">
        <w:rPr>
          <w:rFonts w:asciiTheme="minorHAnsi" w:eastAsiaTheme="minorHAnsi" w:hAnsiTheme="minorHAnsi" w:cstheme="minorBidi"/>
          <w:noProof/>
          <w:lang w:eastAsia="en-AU"/>
        </w:rPr>
        <w:lastRenderedPageBreak/>
        <mc:AlternateContent>
          <mc:Choice Requires="wps">
            <w:drawing>
              <wp:anchor distT="0" distB="0" distL="114300" distR="114300" simplePos="0" relativeHeight="251658245" behindDoc="1" locked="0" layoutInCell="1" allowOverlap="1" wp14:anchorId="59644103" wp14:editId="3B89D895">
                <wp:simplePos x="0" y="0"/>
                <wp:positionH relativeFrom="margin">
                  <wp:posOffset>-66040</wp:posOffset>
                </wp:positionH>
                <wp:positionV relativeFrom="paragraph">
                  <wp:posOffset>161290</wp:posOffset>
                </wp:positionV>
                <wp:extent cx="5677535" cy="7962900"/>
                <wp:effectExtent l="0" t="0" r="18415" b="19050"/>
                <wp:wrapTight wrapText="bothSides">
                  <wp:wrapPolygon edited="0">
                    <wp:start x="0" y="0"/>
                    <wp:lineTo x="0" y="21600"/>
                    <wp:lineTo x="21598" y="21600"/>
                    <wp:lineTo x="2159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7962900"/>
                        </a:xfrm>
                        <a:prstGeom prst="rect">
                          <a:avLst/>
                        </a:prstGeom>
                        <a:solidFill>
                          <a:srgbClr val="FFFFFF"/>
                        </a:solidFill>
                        <a:ln w="19050">
                          <a:solidFill>
                            <a:sysClr val="windowText" lastClr="000000">
                              <a:lumMod val="100000"/>
                              <a:lumOff val="0"/>
                            </a:sysClr>
                          </a:solidFill>
                          <a:miter lim="800000"/>
                          <a:headEnd/>
                          <a:tailEnd/>
                        </a:ln>
                        <a:effectLst>
                          <a:outerShdw dist="35921" dir="2700000" sx="1000" sy="1000" algn="ctr" rotWithShape="0">
                            <a:srgbClr val="808080"/>
                          </a:outerShdw>
                        </a:effectLst>
                      </wps:spPr>
                      <wps:txbx>
                        <w:txbxContent>
                          <w:p w14:paraId="12893893" w14:textId="77777777" w:rsidR="002047BF" w:rsidRPr="0088575C" w:rsidRDefault="002047BF" w:rsidP="0061341E">
                            <w:pPr>
                              <w:pStyle w:val="Caption"/>
                            </w:pPr>
                            <w:bookmarkStart w:id="0" w:name="_Ref441666247"/>
                            <w:r>
                              <w:t>Emissions-intensity calculation method: illustrative e</w:t>
                            </w:r>
                            <w:r w:rsidRPr="0088575C">
                              <w:t xml:space="preserve">xample </w:t>
                            </w:r>
                            <w:bookmarkEnd w:id="0"/>
                          </w:p>
                          <w:tbl>
                            <w:tblPr>
                              <w:tblW w:w="8222" w:type="dxa"/>
                              <w:tblLook w:val="04A0" w:firstRow="1" w:lastRow="0" w:firstColumn="1" w:lastColumn="0" w:noHBand="0" w:noVBand="1"/>
                            </w:tblPr>
                            <w:tblGrid>
                              <w:gridCol w:w="858"/>
                              <w:gridCol w:w="1033"/>
                              <w:gridCol w:w="956"/>
                              <w:gridCol w:w="1272"/>
                              <w:gridCol w:w="1225"/>
                              <w:gridCol w:w="1226"/>
                              <w:gridCol w:w="1652"/>
                            </w:tblGrid>
                            <w:tr w:rsidR="002047BF" w:rsidRPr="00BC26DD" w14:paraId="1AC792C2" w14:textId="77777777" w:rsidTr="00F62931">
                              <w:trPr>
                                <w:trHeight w:val="900"/>
                              </w:trPr>
                              <w:tc>
                                <w:tcPr>
                                  <w:tcW w:w="858" w:type="dxa"/>
                                  <w:tcBorders>
                                    <w:top w:val="nil"/>
                                    <w:left w:val="nil"/>
                                    <w:bottom w:val="single" w:sz="12" w:space="0" w:color="FFFFFF"/>
                                    <w:right w:val="single" w:sz="4" w:space="0" w:color="FFFFFF"/>
                                  </w:tcBorders>
                                  <w:shd w:val="clear" w:color="4F81BD" w:fill="4F81BD"/>
                                </w:tcPr>
                                <w:p w14:paraId="354C12E1"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Record # (n)</w:t>
                                  </w:r>
                                </w:p>
                              </w:tc>
                              <w:tc>
                                <w:tcPr>
                                  <w:tcW w:w="1033" w:type="dxa"/>
                                  <w:tcBorders>
                                    <w:top w:val="nil"/>
                                    <w:left w:val="nil"/>
                                    <w:bottom w:val="single" w:sz="12" w:space="0" w:color="FFFFFF"/>
                                    <w:right w:val="single" w:sz="4" w:space="0" w:color="FFFFFF"/>
                                  </w:tcBorders>
                                  <w:shd w:val="clear" w:color="4F81BD" w:fill="4F81BD"/>
                                  <w:hideMark/>
                                </w:tcPr>
                                <w:p w14:paraId="427D1369"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 xml:space="preserve">Facility </w:t>
                                  </w:r>
                                </w:p>
                              </w:tc>
                              <w:tc>
                                <w:tcPr>
                                  <w:tcW w:w="956" w:type="dxa"/>
                                  <w:tcBorders>
                                    <w:top w:val="nil"/>
                                    <w:left w:val="single" w:sz="4" w:space="0" w:color="FFFFFF"/>
                                    <w:bottom w:val="single" w:sz="12" w:space="0" w:color="FFFFFF"/>
                                    <w:right w:val="single" w:sz="4" w:space="0" w:color="FFFFFF"/>
                                  </w:tcBorders>
                                  <w:shd w:val="clear" w:color="4F81BD" w:fill="4F81BD"/>
                                  <w:hideMark/>
                                </w:tcPr>
                                <w:p w14:paraId="535E7C88"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Year</w:t>
                                  </w:r>
                                </w:p>
                              </w:tc>
                              <w:tc>
                                <w:tcPr>
                                  <w:tcW w:w="1272" w:type="dxa"/>
                                  <w:tcBorders>
                                    <w:top w:val="nil"/>
                                    <w:left w:val="single" w:sz="4" w:space="0" w:color="FFFFFF"/>
                                    <w:bottom w:val="single" w:sz="12" w:space="0" w:color="FFFFFF"/>
                                    <w:right w:val="single" w:sz="4" w:space="0" w:color="FFFFFF"/>
                                  </w:tcBorders>
                                  <w:shd w:val="clear" w:color="4F81BD" w:fill="4F81BD"/>
                                  <w:hideMark/>
                                </w:tcPr>
                                <w:p w14:paraId="6ADC61FE"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EI  (t CO2e/ t prod.)</w:t>
                                  </w:r>
                                </w:p>
                              </w:tc>
                              <w:tc>
                                <w:tcPr>
                                  <w:tcW w:w="1225" w:type="dxa"/>
                                  <w:tcBorders>
                                    <w:top w:val="nil"/>
                                    <w:left w:val="single" w:sz="4" w:space="0" w:color="FFFFFF"/>
                                    <w:bottom w:val="single" w:sz="12" w:space="0" w:color="FFFFFF"/>
                                    <w:right w:val="single" w:sz="4" w:space="0" w:color="FFFFFF"/>
                                  </w:tcBorders>
                                  <w:shd w:val="clear" w:color="4F81BD" w:fill="4F81BD"/>
                                  <w:hideMark/>
                                </w:tcPr>
                                <w:p w14:paraId="23A83F64"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Production (tonnes)</w:t>
                                  </w:r>
                                </w:p>
                              </w:tc>
                              <w:tc>
                                <w:tcPr>
                                  <w:tcW w:w="1226" w:type="dxa"/>
                                  <w:tcBorders>
                                    <w:top w:val="nil"/>
                                    <w:left w:val="single" w:sz="4" w:space="0" w:color="FFFFFF"/>
                                    <w:bottom w:val="single" w:sz="12" w:space="0" w:color="FFFFFF"/>
                                    <w:right w:val="single" w:sz="4" w:space="0" w:color="FFFFFF"/>
                                  </w:tcBorders>
                                  <w:shd w:val="clear" w:color="4F81BD" w:fill="4F81BD"/>
                                  <w:hideMark/>
                                </w:tcPr>
                                <w:p w14:paraId="0894AB62"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Total production (%)</w:t>
                                  </w:r>
                                </w:p>
                              </w:tc>
                              <w:tc>
                                <w:tcPr>
                                  <w:tcW w:w="1652" w:type="dxa"/>
                                  <w:tcBorders>
                                    <w:top w:val="nil"/>
                                    <w:left w:val="single" w:sz="4" w:space="0" w:color="FFFFFF"/>
                                    <w:bottom w:val="single" w:sz="12" w:space="0" w:color="FFFFFF"/>
                                    <w:right w:val="nil"/>
                                  </w:tcBorders>
                                  <w:shd w:val="clear" w:color="4F81BD" w:fill="4F81BD"/>
                                  <w:hideMark/>
                                </w:tcPr>
                                <w:p w14:paraId="4A7F9017"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Cumulative Production (%)</w:t>
                                  </w:r>
                                </w:p>
                              </w:tc>
                            </w:tr>
                            <w:tr w:rsidR="002047BF" w:rsidRPr="00BC26DD" w14:paraId="5E0E2F9E"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7555CC21"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7784FBE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A</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3C0DF1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2014-15</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93BD0F8"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0.53</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6CCA2D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228,365</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3900FC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1.49%</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58B976C4"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1.49%</w:t>
                                  </w:r>
                                </w:p>
                              </w:tc>
                            </w:tr>
                            <w:tr w:rsidR="002047BF" w:rsidRPr="00BC26DD" w14:paraId="0AA436DC"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6145A83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48546FA6"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A</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A4C0952"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2013-14</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20E7CB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0.54</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0D3178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301,988</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D396AF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1.97%</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5ECA1C15"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3.46%</w:t>
                                  </w:r>
                                </w:p>
                              </w:tc>
                            </w:tr>
                            <w:tr w:rsidR="002047BF" w:rsidRPr="00BC26DD" w14:paraId="3FD7CC2A"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58D9589B"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3</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2529257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A</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68F73C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2016-17</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858F3C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0.56</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78C0CE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227,888</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2D6DE7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1.49%</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6820728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4.95%</w:t>
                                  </w:r>
                                </w:p>
                              </w:tc>
                            </w:tr>
                            <w:tr w:rsidR="002047BF" w:rsidRPr="00BC26DD" w14:paraId="57A9FD4C"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54C0368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4</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6CF8DFFD"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A</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2B5CBE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2015-16</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35CDC8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0.58</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C83E415"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221,896</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AD1BB5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1.45%</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1B0CDDE9"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6.39%</w:t>
                                  </w:r>
                                </w:p>
                              </w:tc>
                            </w:tr>
                            <w:tr w:rsidR="002047BF" w:rsidRPr="00BC26DD" w14:paraId="311ADAF3"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2F673BA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5</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266856D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B</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BD8B33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2013-14</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3607D3B"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0.59</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7B10D0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561,204</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E4CF7FE"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3.66%</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49D2A543"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10.05%</w:t>
                                  </w:r>
                                </w:p>
                              </w:tc>
                            </w:tr>
                            <w:tr w:rsidR="002047BF" w:rsidRPr="00BC26DD" w14:paraId="07854A9A"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6E4E6D6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6</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51C8BD92"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B</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D1D754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2014-15</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E286269"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0.59</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E540C2B"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976,703</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963A60A"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6.37%</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3EE58DF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16.43%</w:t>
                                  </w:r>
                                </w:p>
                              </w:tc>
                            </w:tr>
                            <w:tr w:rsidR="002047BF" w:rsidRPr="00BC26DD" w14:paraId="5DB8611E"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1F8BBD0E"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7</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4EE08406"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B</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635AE07"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2016-17</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461FFD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0.6</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EA07E8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698,315</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E23977A"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4.56%</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4676FC43"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20.98%</w:t>
                                  </w:r>
                                </w:p>
                              </w:tc>
                            </w:tr>
                            <w:tr w:rsidR="002047BF" w:rsidRPr="00BC26DD" w14:paraId="6EBDB410"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0572A062"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8</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197F72F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B</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96A63BE"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2015-16</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1814D1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0.62</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8770F6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668,874</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A967DB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4.36%</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7A60CDA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25.34%</w:t>
                                  </w:r>
                                </w:p>
                              </w:tc>
                            </w:tr>
                            <w:tr w:rsidR="002047BF" w:rsidRPr="00BC26DD" w14:paraId="78C56DA2" w14:textId="77777777" w:rsidTr="00226C92">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7EB1BF85"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9</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040D5F4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C</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100E1545"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2015-16</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0752BB0E"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0.62</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0BDECA6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815,223</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7D077B6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5.32%</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2315074A"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30.66%</w:t>
                                  </w:r>
                                </w:p>
                              </w:tc>
                            </w:tr>
                            <w:tr w:rsidR="002047BF" w:rsidRPr="00BC26DD" w14:paraId="7EE36A16"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490BD231"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10</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658B82D5"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A</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342707D6"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2012-13</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8646A24"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0.63</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1F48D945"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214,315</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48C3FF03"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1.40%</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221AF2DA"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32.06%</w:t>
                                  </w:r>
                                </w:p>
                              </w:tc>
                            </w:tr>
                            <w:tr w:rsidR="002047BF" w:rsidRPr="00BC26DD" w14:paraId="58F80CB4"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7569C679"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11</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75F01327"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C</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161BC179"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2014-15</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41D9EDA3"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0.64</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607E6645"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794,611</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6C266005"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5.18%</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173EA2CB"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37.24%</w:t>
                                  </w:r>
                                </w:p>
                              </w:tc>
                            </w:tr>
                            <w:tr w:rsidR="002047BF" w:rsidRPr="00BC26DD" w14:paraId="6670FCB5"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3F0C2FC1"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12</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5190DB33"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B</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3D36166F"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2012-13</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F07712C"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0.68</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3B8D7E73"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658,444</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3E38D6F9"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4.30%</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259BD617"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41.54%</w:t>
                                  </w:r>
                                </w:p>
                              </w:tc>
                            </w:tr>
                            <w:tr w:rsidR="002047BF" w:rsidRPr="00BC26DD" w14:paraId="33CFAA22"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000000" w:fill="FFFF00"/>
                                </w:tcPr>
                                <w:p w14:paraId="179B891E"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13</w:t>
                                  </w:r>
                                </w:p>
                              </w:tc>
                              <w:tc>
                                <w:tcPr>
                                  <w:tcW w:w="1033" w:type="dxa"/>
                                  <w:tcBorders>
                                    <w:top w:val="single" w:sz="4" w:space="0" w:color="FFFFFF"/>
                                    <w:left w:val="nil"/>
                                    <w:bottom w:val="single" w:sz="4" w:space="0" w:color="FFFFFF"/>
                                    <w:right w:val="single" w:sz="4" w:space="0" w:color="FFFFFF"/>
                                  </w:tcBorders>
                                  <w:shd w:val="clear" w:color="000000" w:fill="FFFF00"/>
                                  <w:noWrap/>
                                  <w:vAlign w:val="bottom"/>
                                  <w:hideMark/>
                                </w:tcPr>
                                <w:p w14:paraId="44E803D0"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C</w:t>
                                  </w:r>
                                </w:p>
                              </w:tc>
                              <w:tc>
                                <w:tcPr>
                                  <w:tcW w:w="95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13E71A15"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2016-17</w:t>
                                  </w:r>
                                </w:p>
                              </w:tc>
                              <w:tc>
                                <w:tcPr>
                                  <w:tcW w:w="1272"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23E0511A"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0.68</w:t>
                                  </w:r>
                                </w:p>
                              </w:tc>
                              <w:tc>
                                <w:tcPr>
                                  <w:tcW w:w="1225"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6F941222"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766,114</w:t>
                                  </w:r>
                                </w:p>
                              </w:tc>
                              <w:tc>
                                <w:tcPr>
                                  <w:tcW w:w="122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1E888B54"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5.00%</w:t>
                                  </w:r>
                                </w:p>
                              </w:tc>
                              <w:tc>
                                <w:tcPr>
                                  <w:tcW w:w="1652" w:type="dxa"/>
                                  <w:tcBorders>
                                    <w:top w:val="single" w:sz="4" w:space="0" w:color="FFFFFF"/>
                                    <w:left w:val="single" w:sz="4" w:space="0" w:color="FFFFFF"/>
                                    <w:bottom w:val="single" w:sz="4" w:space="0" w:color="FFFFFF"/>
                                    <w:right w:val="nil"/>
                                  </w:tcBorders>
                                  <w:shd w:val="clear" w:color="000000" w:fill="FFFF00"/>
                                  <w:noWrap/>
                                  <w:vAlign w:val="bottom"/>
                                  <w:hideMark/>
                                </w:tcPr>
                                <w:p w14:paraId="7755DB6C" w14:textId="77777777" w:rsidR="002047BF" w:rsidRPr="00BC26DD" w:rsidRDefault="002047BF" w:rsidP="00F62931">
                                  <w:pPr>
                                    <w:spacing w:after="0" w:line="240" w:lineRule="auto"/>
                                    <w:jc w:val="right"/>
                                    <w:rPr>
                                      <w:rFonts w:eastAsia="Times New Roman"/>
                                      <w:lang w:eastAsia="en-AU"/>
                                    </w:rPr>
                                  </w:pPr>
                                  <w:r w:rsidRPr="00BC26DD">
                                    <w:rPr>
                                      <w:rFonts w:eastAsia="Times New Roman"/>
                                      <w:highlight w:val="yellow"/>
                                      <w:lang w:eastAsia="en-AU"/>
                                    </w:rPr>
                                    <w:t>46.54%</w:t>
                                  </w:r>
                                </w:p>
                              </w:tc>
                            </w:tr>
                            <w:tr w:rsidR="002047BF" w:rsidRPr="00BC26DD" w14:paraId="4D999D05"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000000" w:fill="FFFF00"/>
                                </w:tcPr>
                                <w:p w14:paraId="40BEA36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14</w:t>
                                  </w:r>
                                </w:p>
                              </w:tc>
                              <w:tc>
                                <w:tcPr>
                                  <w:tcW w:w="1033" w:type="dxa"/>
                                  <w:tcBorders>
                                    <w:top w:val="single" w:sz="4" w:space="0" w:color="FFFFFF"/>
                                    <w:left w:val="nil"/>
                                    <w:bottom w:val="single" w:sz="4" w:space="0" w:color="FFFFFF"/>
                                    <w:right w:val="single" w:sz="4" w:space="0" w:color="FFFFFF"/>
                                  </w:tcBorders>
                                  <w:shd w:val="clear" w:color="000000" w:fill="FFFF00"/>
                                  <w:noWrap/>
                                  <w:vAlign w:val="bottom"/>
                                  <w:hideMark/>
                                </w:tcPr>
                                <w:p w14:paraId="6C8FAA70"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D</w:t>
                                  </w:r>
                                </w:p>
                              </w:tc>
                              <w:tc>
                                <w:tcPr>
                                  <w:tcW w:w="95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5E8A8CD6"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2016-17</w:t>
                                  </w:r>
                                </w:p>
                              </w:tc>
                              <w:tc>
                                <w:tcPr>
                                  <w:tcW w:w="1272"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0449DB3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0.73</w:t>
                                  </w:r>
                                </w:p>
                              </w:tc>
                              <w:tc>
                                <w:tcPr>
                                  <w:tcW w:w="1225"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206B8EEB"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555,669</w:t>
                                  </w:r>
                                </w:p>
                              </w:tc>
                              <w:tc>
                                <w:tcPr>
                                  <w:tcW w:w="122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5956A13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3.62%</w:t>
                                  </w:r>
                                </w:p>
                              </w:tc>
                              <w:tc>
                                <w:tcPr>
                                  <w:tcW w:w="1652" w:type="dxa"/>
                                  <w:tcBorders>
                                    <w:top w:val="single" w:sz="4" w:space="0" w:color="FFFFFF"/>
                                    <w:left w:val="single" w:sz="4" w:space="0" w:color="FFFFFF"/>
                                    <w:bottom w:val="single" w:sz="4" w:space="0" w:color="FFFFFF"/>
                                    <w:right w:val="nil"/>
                                  </w:tcBorders>
                                  <w:shd w:val="clear" w:color="000000" w:fill="FFFF00"/>
                                  <w:noWrap/>
                                  <w:vAlign w:val="bottom"/>
                                  <w:hideMark/>
                                </w:tcPr>
                                <w:p w14:paraId="6B739EA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50.16%</w:t>
                                  </w:r>
                                </w:p>
                              </w:tc>
                            </w:tr>
                            <w:tr w:rsidR="002047BF" w:rsidRPr="00BC26DD" w14:paraId="359AD5CA"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000000" w:fill="FFFF00"/>
                                </w:tcPr>
                                <w:p w14:paraId="19299F83"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15</w:t>
                                  </w:r>
                                </w:p>
                              </w:tc>
                              <w:tc>
                                <w:tcPr>
                                  <w:tcW w:w="1033" w:type="dxa"/>
                                  <w:tcBorders>
                                    <w:top w:val="single" w:sz="4" w:space="0" w:color="FFFFFF"/>
                                    <w:left w:val="nil"/>
                                    <w:bottom w:val="single" w:sz="4" w:space="0" w:color="FFFFFF"/>
                                    <w:right w:val="single" w:sz="4" w:space="0" w:color="FFFFFF"/>
                                  </w:tcBorders>
                                  <w:shd w:val="clear" w:color="000000" w:fill="FFFF00"/>
                                  <w:noWrap/>
                                  <w:vAlign w:val="bottom"/>
                                  <w:hideMark/>
                                </w:tcPr>
                                <w:p w14:paraId="6CD91E22"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D</w:t>
                                  </w:r>
                                </w:p>
                              </w:tc>
                              <w:tc>
                                <w:tcPr>
                                  <w:tcW w:w="95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6065EB5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2015-16</w:t>
                                  </w:r>
                                </w:p>
                              </w:tc>
                              <w:tc>
                                <w:tcPr>
                                  <w:tcW w:w="1272"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4103807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0.75</w:t>
                                  </w:r>
                                </w:p>
                              </w:tc>
                              <w:tc>
                                <w:tcPr>
                                  <w:tcW w:w="1225"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3E633C3A"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546,778</w:t>
                                  </w:r>
                                </w:p>
                              </w:tc>
                              <w:tc>
                                <w:tcPr>
                                  <w:tcW w:w="122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000A5A5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3.57%</w:t>
                                  </w:r>
                                </w:p>
                              </w:tc>
                              <w:tc>
                                <w:tcPr>
                                  <w:tcW w:w="1652" w:type="dxa"/>
                                  <w:tcBorders>
                                    <w:top w:val="single" w:sz="4" w:space="0" w:color="FFFFFF"/>
                                    <w:left w:val="single" w:sz="4" w:space="0" w:color="FFFFFF"/>
                                    <w:bottom w:val="single" w:sz="4" w:space="0" w:color="FFFFFF"/>
                                    <w:right w:val="nil"/>
                                  </w:tcBorders>
                                  <w:shd w:val="clear" w:color="000000" w:fill="FFFF00"/>
                                  <w:noWrap/>
                                  <w:vAlign w:val="bottom"/>
                                  <w:hideMark/>
                                </w:tcPr>
                                <w:p w14:paraId="2839345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53.73%</w:t>
                                  </w:r>
                                </w:p>
                              </w:tc>
                            </w:tr>
                            <w:tr w:rsidR="002047BF" w:rsidRPr="00BC26DD" w14:paraId="431709D7"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10086D1E"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16</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2E4EDD5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C</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228ED483"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2012-13</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C7B610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0.76</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04456525"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764,154</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7545E0A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4.98%</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14C7766E"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58.71%</w:t>
                                  </w:r>
                                </w:p>
                              </w:tc>
                            </w:tr>
                            <w:tr w:rsidR="002047BF" w:rsidRPr="00BC26DD" w14:paraId="3D65A191"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65E15991"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17</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1135EF10"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D</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D20F50E"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2014-15</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465F56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0.78</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66851A2E"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504,914</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1B4A50C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3.29%</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0D096B4A"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62.01%</w:t>
                                  </w:r>
                                </w:p>
                              </w:tc>
                            </w:tr>
                            <w:tr w:rsidR="002047BF" w:rsidRPr="00BC26DD" w14:paraId="4025A696"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7EF40D8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18</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73B86D7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E</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054CD563"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2013-14</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6FA2F86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0.79</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A1F6AAB"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582,407</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024BFC44"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3.80%</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38195D8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65.81%</w:t>
                                  </w:r>
                                </w:p>
                              </w:tc>
                            </w:tr>
                            <w:tr w:rsidR="002047BF" w:rsidRPr="00BC26DD" w14:paraId="01B4D7DC"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7F74AF37"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19</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3A72D24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C</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61FAE7F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2013-14</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71A171E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0.8</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99A905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919,315</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19A03E1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6.00%</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337A9BB9"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71.80%</w:t>
                                  </w:r>
                                </w:p>
                              </w:tc>
                            </w:tr>
                            <w:tr w:rsidR="002047BF" w:rsidRPr="00BC26DD" w14:paraId="0AFB35BF"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11C9C99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0548A32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D</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EA88143"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2012-13</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173BC9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0.81</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0177B4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550,551</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FE0F4A9"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3.59%</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5416D52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75.39%</w:t>
                                  </w:r>
                                </w:p>
                              </w:tc>
                            </w:tr>
                            <w:tr w:rsidR="002047BF" w:rsidRPr="00BC26DD" w14:paraId="58B7A7B1"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6249A34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21</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3E0A7C51"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D</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35003D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2013-14</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FB150B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0.83</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0713F2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964,866</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38FFB54"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6.29%</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05A9A8A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81.69%</w:t>
                                  </w:r>
                                </w:p>
                              </w:tc>
                            </w:tr>
                            <w:tr w:rsidR="002047BF" w:rsidRPr="00BC26DD" w14:paraId="272F3710"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18A924C5"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22</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2BF44986"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E</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5B556B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2016-17</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8CDB8A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0.93</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7319B48"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564,223</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51F175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3.68%</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54CF139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85.37%</w:t>
                                  </w:r>
                                </w:p>
                              </w:tc>
                            </w:tr>
                            <w:tr w:rsidR="002047BF" w:rsidRPr="00BC26DD" w14:paraId="6BACA267"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596024E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23</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58754FD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E</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784F0B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2012-13</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212FE1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0.94</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DA96908"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632,351</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72F1AB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4.13%</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3521C5C3"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89.49%</w:t>
                                  </w:r>
                                </w:p>
                              </w:tc>
                            </w:tr>
                            <w:tr w:rsidR="002047BF" w:rsidRPr="00BC26DD" w14:paraId="2622E252"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58DF3E15"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24</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075D7E6E"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E</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8C7EA6D"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2014-15</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8790E5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0.94</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72923E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844,964</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05278F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5.51%</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76F813F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95.01%</w:t>
                                  </w:r>
                                </w:p>
                              </w:tc>
                            </w:tr>
                            <w:tr w:rsidR="002047BF" w:rsidRPr="00BC26DD" w14:paraId="6244CACA" w14:textId="77777777" w:rsidTr="00F62931">
                              <w:trPr>
                                <w:trHeight w:val="300"/>
                              </w:trPr>
                              <w:tc>
                                <w:tcPr>
                                  <w:tcW w:w="858" w:type="dxa"/>
                                  <w:tcBorders>
                                    <w:top w:val="single" w:sz="4" w:space="0" w:color="FFFFFF"/>
                                    <w:left w:val="nil"/>
                                    <w:bottom w:val="nil"/>
                                    <w:right w:val="single" w:sz="4" w:space="0" w:color="FFFFFF"/>
                                  </w:tcBorders>
                                  <w:shd w:val="clear" w:color="B8CCE4" w:fill="B8CCE4"/>
                                </w:tcPr>
                                <w:p w14:paraId="235121C2"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25</w:t>
                                  </w:r>
                                </w:p>
                              </w:tc>
                              <w:tc>
                                <w:tcPr>
                                  <w:tcW w:w="1033" w:type="dxa"/>
                                  <w:tcBorders>
                                    <w:top w:val="single" w:sz="4" w:space="0" w:color="FFFFFF"/>
                                    <w:left w:val="nil"/>
                                    <w:bottom w:val="nil"/>
                                    <w:right w:val="single" w:sz="4" w:space="0" w:color="FFFFFF"/>
                                  </w:tcBorders>
                                  <w:shd w:val="clear" w:color="B8CCE4" w:fill="B8CCE4"/>
                                  <w:noWrap/>
                                  <w:vAlign w:val="bottom"/>
                                  <w:hideMark/>
                                </w:tcPr>
                                <w:p w14:paraId="7A88CB4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E</w:t>
                                  </w:r>
                                </w:p>
                              </w:tc>
                              <w:tc>
                                <w:tcPr>
                                  <w:tcW w:w="956" w:type="dxa"/>
                                  <w:tcBorders>
                                    <w:top w:val="single" w:sz="4" w:space="0" w:color="FFFFFF"/>
                                    <w:left w:val="single" w:sz="4" w:space="0" w:color="FFFFFF"/>
                                    <w:bottom w:val="nil"/>
                                    <w:right w:val="single" w:sz="4" w:space="0" w:color="FFFFFF"/>
                                  </w:tcBorders>
                                  <w:shd w:val="clear" w:color="B8CCE4" w:fill="B8CCE4"/>
                                  <w:noWrap/>
                                  <w:vAlign w:val="bottom"/>
                                  <w:hideMark/>
                                </w:tcPr>
                                <w:p w14:paraId="6CEAEDF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2015-16</w:t>
                                  </w:r>
                                </w:p>
                              </w:tc>
                              <w:tc>
                                <w:tcPr>
                                  <w:tcW w:w="1272" w:type="dxa"/>
                                  <w:tcBorders>
                                    <w:top w:val="single" w:sz="4" w:space="0" w:color="FFFFFF"/>
                                    <w:left w:val="single" w:sz="4" w:space="0" w:color="FFFFFF"/>
                                    <w:bottom w:val="nil"/>
                                    <w:right w:val="single" w:sz="4" w:space="0" w:color="FFFFFF"/>
                                  </w:tcBorders>
                                  <w:shd w:val="clear" w:color="B8CCE4" w:fill="B8CCE4"/>
                                  <w:noWrap/>
                                  <w:vAlign w:val="bottom"/>
                                  <w:hideMark/>
                                </w:tcPr>
                                <w:p w14:paraId="0BB7AC65"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0.95</w:t>
                                  </w:r>
                                </w:p>
                              </w:tc>
                              <w:tc>
                                <w:tcPr>
                                  <w:tcW w:w="1225" w:type="dxa"/>
                                  <w:tcBorders>
                                    <w:top w:val="single" w:sz="4" w:space="0" w:color="FFFFFF"/>
                                    <w:left w:val="single" w:sz="4" w:space="0" w:color="FFFFFF"/>
                                    <w:bottom w:val="nil"/>
                                    <w:right w:val="single" w:sz="4" w:space="0" w:color="FFFFFF"/>
                                  </w:tcBorders>
                                  <w:shd w:val="clear" w:color="B8CCE4" w:fill="B8CCE4"/>
                                  <w:noWrap/>
                                  <w:vAlign w:val="bottom"/>
                                  <w:hideMark/>
                                </w:tcPr>
                                <w:p w14:paraId="205D50D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765,445</w:t>
                                  </w:r>
                                </w:p>
                              </w:tc>
                              <w:tc>
                                <w:tcPr>
                                  <w:tcW w:w="1226" w:type="dxa"/>
                                  <w:tcBorders>
                                    <w:top w:val="single" w:sz="4" w:space="0" w:color="FFFFFF"/>
                                    <w:left w:val="single" w:sz="4" w:space="0" w:color="FFFFFF"/>
                                    <w:bottom w:val="nil"/>
                                    <w:right w:val="single" w:sz="4" w:space="0" w:color="FFFFFF"/>
                                  </w:tcBorders>
                                  <w:shd w:val="clear" w:color="B8CCE4" w:fill="B8CCE4"/>
                                  <w:noWrap/>
                                  <w:vAlign w:val="bottom"/>
                                  <w:hideMark/>
                                </w:tcPr>
                                <w:p w14:paraId="36F24F9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4.99%</w:t>
                                  </w:r>
                                </w:p>
                              </w:tc>
                              <w:tc>
                                <w:tcPr>
                                  <w:tcW w:w="1652" w:type="dxa"/>
                                  <w:tcBorders>
                                    <w:top w:val="single" w:sz="4" w:space="0" w:color="FFFFFF"/>
                                    <w:left w:val="single" w:sz="4" w:space="0" w:color="FFFFFF"/>
                                    <w:bottom w:val="nil"/>
                                    <w:right w:val="nil"/>
                                  </w:tcBorders>
                                  <w:shd w:val="clear" w:color="B8CCE4" w:fill="B8CCE4"/>
                                  <w:noWrap/>
                                  <w:vAlign w:val="bottom"/>
                                  <w:hideMark/>
                                </w:tcPr>
                                <w:p w14:paraId="08E55D9B"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100.00%</w:t>
                                  </w:r>
                                </w:p>
                              </w:tc>
                            </w:tr>
                          </w:tbl>
                          <w:p w14:paraId="04248C2A" w14:textId="77777777" w:rsidR="002047BF" w:rsidRPr="00F23BD6" w:rsidRDefault="002047BF" w:rsidP="0061341E">
                            <w:pPr>
                              <w:rPr>
                                <w:i/>
                                <w:sz w:val="4"/>
                                <w:szCs w:val="4"/>
                              </w:rPr>
                            </w:pPr>
                          </w:p>
                          <w:p w14:paraId="0921E680" w14:textId="586017D8" w:rsidR="002047BF" w:rsidRPr="00F72F1E" w:rsidRDefault="002047BF" w:rsidP="0061341E">
                            <w:r w:rsidRPr="00F72F1E">
                              <w:t xml:space="preserve">In this example, the </w:t>
                            </w:r>
                            <w:r>
                              <w:t>records</w:t>
                            </w:r>
                            <w:r w:rsidRPr="00F72F1E">
                              <w:t xml:space="preserve"> highlighted in yellow are the 1</w:t>
                            </w:r>
                            <w:r w:rsidR="00EE1F79">
                              <w:t>1</w:t>
                            </w:r>
                            <w:r w:rsidRPr="00F72F1E">
                              <w:t xml:space="preserve"> </w:t>
                            </w:r>
                            <w:r>
                              <w:t>records</w:t>
                            </w:r>
                            <w:r w:rsidRPr="00F72F1E">
                              <w:t xml:space="preserve"> </w:t>
                            </w:r>
                            <w:r>
                              <w:t>centred on</w:t>
                            </w:r>
                            <w:r w:rsidRPr="00F72F1E">
                              <w:t xml:space="preserve"> the median production unit</w:t>
                            </w:r>
                            <w:r>
                              <w:t>, five records above, and five records below</w:t>
                            </w:r>
                            <w:r w:rsidR="00226C92">
                              <w:t xml:space="preserve">.  </w:t>
                            </w:r>
                            <w:r w:rsidRPr="00F72F1E">
                              <w:t xml:space="preserve">These </w:t>
                            </w:r>
                            <w:r>
                              <w:t>records</w:t>
                            </w:r>
                            <w:r w:rsidRPr="00F72F1E">
                              <w:t xml:space="preserve"> will be used to calculate the default value.</w:t>
                            </w:r>
                          </w:p>
                          <w:p w14:paraId="74947BA9" w14:textId="77777777" w:rsidR="002047BF" w:rsidRPr="00F72F1E" w:rsidRDefault="002047BF" w:rsidP="0061341E">
                            <w:r w:rsidRPr="00F72F1E">
                              <w:t>The default value is:</w:t>
                            </w:r>
                          </w:p>
                          <w:p w14:paraId="7F590750" w14:textId="63B5D1DB" w:rsidR="002047BF" w:rsidRPr="00F72F1E" w:rsidRDefault="002047BF" w:rsidP="0061341E">
                            <w:pPr>
                              <w:spacing w:after="0" w:line="360" w:lineRule="auto"/>
                              <w:ind w:firstLine="720"/>
                            </w:pPr>
                            <w:r w:rsidRPr="00F72F1E">
                              <w:rPr>
                                <w:b/>
                              </w:rPr>
                              <w:t>Default EI</w:t>
                            </w:r>
                            <w:r w:rsidRPr="00F72F1E">
                              <w:t xml:space="preserve"> </w:t>
                            </w:r>
                            <w:r w:rsidRPr="00F72F1E">
                              <w:tab/>
                            </w:r>
                            <w:r w:rsidRPr="00F72F1E">
                              <w:rPr>
                                <w:sz w:val="24"/>
                              </w:rPr>
                              <w:t>=</w:t>
                            </w:r>
                            <w:r w:rsidRPr="00F72F1E">
                              <w:t xml:space="preserve"> </w:t>
                            </w:r>
                            <m:oMath>
                              <m:f>
                                <m:fPr>
                                  <m:ctrlPr>
                                    <w:rPr>
                                      <w:rFonts w:ascii="Cambria Math" w:hAnsi="Cambria Math" w:cs="Arial"/>
                                      <w:sz w:val="32"/>
                                    </w:rPr>
                                  </m:ctrlPr>
                                </m:fPr>
                                <m:num>
                                  <m:nary>
                                    <m:naryPr>
                                      <m:chr m:val="∑"/>
                                      <m:limLoc m:val="undOvr"/>
                                      <m:ctrlPr>
                                        <w:rPr>
                                          <w:rFonts w:ascii="Cambria Math" w:hAnsi="Cambria Math" w:cs="Arial"/>
                                          <w:sz w:val="32"/>
                                        </w:rPr>
                                      </m:ctrlPr>
                                    </m:naryPr>
                                    <m:sub>
                                      <m:r>
                                        <m:rPr>
                                          <m:sty m:val="p"/>
                                        </m:rPr>
                                        <w:rPr>
                                          <w:rFonts w:ascii="Cambria Math" w:hAnsi="Cambria Math" w:cs="Arial"/>
                                          <w:sz w:val="32"/>
                                        </w:rPr>
                                        <m:t>n=9</m:t>
                                      </m:r>
                                    </m:sub>
                                    <m:sup>
                                      <m:r>
                                        <m:rPr>
                                          <m:sty m:val="p"/>
                                        </m:rPr>
                                        <w:rPr>
                                          <w:rFonts w:ascii="Cambria Math" w:hAnsi="Cambria Math" w:cs="Arial"/>
                                          <w:sz w:val="32"/>
                                        </w:rPr>
                                        <m:t>19</m:t>
                                      </m:r>
                                    </m:sup>
                                    <m:e>
                                      <m:r>
                                        <m:rPr>
                                          <m:sty m:val="p"/>
                                        </m:rPr>
                                        <w:rPr>
                                          <w:rFonts w:ascii="Cambria Math" w:hAnsi="Cambria Math" w:cs="Arial"/>
                                          <w:sz w:val="32"/>
                                        </w:rPr>
                                        <m:t>(EI x Production)</m:t>
                                      </m:r>
                                    </m:e>
                                  </m:nary>
                                </m:num>
                                <m:den>
                                  <m:nary>
                                    <m:naryPr>
                                      <m:chr m:val="∑"/>
                                      <m:limLoc m:val="undOvr"/>
                                      <m:ctrlPr>
                                        <w:rPr>
                                          <w:rFonts w:ascii="Cambria Math" w:hAnsi="Cambria Math" w:cs="Arial"/>
                                          <w:sz w:val="32"/>
                                        </w:rPr>
                                      </m:ctrlPr>
                                    </m:naryPr>
                                    <m:sub>
                                      <m:r>
                                        <m:rPr>
                                          <m:sty m:val="p"/>
                                        </m:rPr>
                                        <w:rPr>
                                          <w:rFonts w:ascii="Cambria Math" w:hAnsi="Cambria Math" w:cs="Arial"/>
                                          <w:sz w:val="32"/>
                                        </w:rPr>
                                        <m:t>n=9</m:t>
                                      </m:r>
                                    </m:sub>
                                    <m:sup>
                                      <m:r>
                                        <m:rPr>
                                          <m:sty m:val="p"/>
                                        </m:rPr>
                                        <w:rPr>
                                          <w:rFonts w:ascii="Cambria Math" w:hAnsi="Cambria Math" w:cs="Arial"/>
                                          <w:sz w:val="32"/>
                                        </w:rPr>
                                        <m:t>19</m:t>
                                      </m:r>
                                    </m:sup>
                                    <m:e>
                                      <m:r>
                                        <m:rPr>
                                          <m:sty m:val="p"/>
                                        </m:rPr>
                                        <w:rPr>
                                          <w:rFonts w:ascii="Cambria Math" w:hAnsi="Cambria Math" w:cs="Arial"/>
                                          <w:sz w:val="32"/>
                                        </w:rPr>
                                        <m:t>Production</m:t>
                                      </m:r>
                                    </m:e>
                                  </m:nary>
                                </m:den>
                              </m:f>
                            </m:oMath>
                          </w:p>
                          <w:p w14:paraId="157A9142" w14:textId="0AA6B266" w:rsidR="002047BF" w:rsidRPr="00F72F1E" w:rsidRDefault="002047BF" w:rsidP="0061341E">
                            <w:pPr>
                              <w:spacing w:before="100" w:after="100" w:line="360" w:lineRule="auto"/>
                            </w:pPr>
                            <w:r w:rsidRPr="00F72F1E">
                              <w:tab/>
                            </w:r>
                            <w:r w:rsidRPr="00F72F1E">
                              <w:tab/>
                            </w:r>
                            <w:r w:rsidRPr="00F72F1E">
                              <w:tab/>
                              <w:t xml:space="preserve">= </w:t>
                            </w:r>
                            <w:r w:rsidRPr="00F72F1E">
                              <w:rPr>
                                <w:b/>
                              </w:rPr>
                              <w:t>0.7</w:t>
                            </w:r>
                            <w:r w:rsidR="00EE1F79">
                              <w:rPr>
                                <w:b/>
                              </w:rPr>
                              <w:t>17</w:t>
                            </w:r>
                            <w:r w:rsidRPr="00F72F1E">
                              <w:rPr>
                                <w:b/>
                              </w:rPr>
                              <w:t xml:space="preserve"> t CO</w:t>
                            </w:r>
                            <w:r w:rsidRPr="00F72F1E">
                              <w:rPr>
                                <w:b/>
                                <w:vertAlign w:val="subscript"/>
                              </w:rPr>
                              <w:t>2</w:t>
                            </w:r>
                            <w:r w:rsidRPr="00F72F1E">
                              <w:rPr>
                                <w:b/>
                              </w:rPr>
                              <w:t>-e / t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44103" id="_x0000_t202" coordsize="21600,21600" o:spt="202" path="m,l,21600r21600,l21600,xe">
                <v:stroke joinstyle="miter"/>
                <v:path gradientshapeok="t" o:connecttype="rect"/>
              </v:shapetype>
              <v:shape id="Text Box 2" o:spid="_x0000_s1026" type="#_x0000_t202" style="position:absolute;margin-left:-5.2pt;margin-top:12.7pt;width:447.05pt;height:627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PYiAIAABAFAAAOAAAAZHJzL2Uyb0RvYy54bWysVMtu2zAQvBfoPxC8N5KdOI6FyEGaNEWB&#10;9AEkRc80SUlEKa5K0pacr+9yZTtOcisqAQQf4uzO7Kwur4bWso32wYAr+eQk50w7Ccq4uuQ/H+8+&#10;XHAWonBKWHC65Fsd+NXy/bvLviv0FBqwSnuGIC4UfVfyJsauyLIgG92KcAKddnhYgW9FxKWvM+VF&#10;j+itzaZ5fp714FXnQeoQcPd2PORLwq8qLeP3qgo6MltyzC3S6GlcpTFbXoqi9qJrjNylIf4hi1YY&#10;h0EPULciCrb25g1Ua6SHAFU8kdBmUFVGauKAbCb5KzYPjeg0cUFxQneQKfw/WPlt89D98CwOH2HA&#10;AhKJ0N2D/B2Yg5tGuFpfew99o4XCwJMkWdZ3odhdTVKHIiSQVf8VFBZZrCMQ0FD5NqmCPBmiYwG2&#10;B9H1EJnEzdn5fD47nXEm8Wy+OJ8ucipLJor99c6H+FlDy9Kk5B6rSvBicx9iSkcU+09StADWqDtj&#10;LS18vbqxnm0EOuCOHmLw6jPrWI/kFvksHyV4gbENBwj0noL+EbPnzIoQ8QAp0UMX7bpFEcZwk3Gb&#10;PIb76MRxf88vEC7l/yLn1kRsCmvakl8cQaQKfHKK4KIwdpwjeesSU012R0VI8TVCPDSqZ8okzU5n&#10;i+mE4wKznc5HUBZSxXGOLYrajzNha2xkGT1nHuIvExtyYSrbGzkv8vTu5IR9ROJzlAyZJfljdEoc&#10;VgNSSKZZgdqibTBOgk+/EZw04J8467ElSx7+rIXXKPQXh9ZbTM7OUg/T4mw2n+LCH5+sjk+EkwhV&#10;cqzTOL2JqVKcrTtv6gYjjWZ3cI12rQwZ6Tmrncmx7YjP7heR+vp4TV89/8iWfwEAAP//AwBQSwME&#10;FAAGAAgAAAAhAI9NqJHiAAAACwEAAA8AAABkcnMvZG93bnJldi54bWxMj01Lw0AQhu+C/2EZwVu7&#10;aYw2jdkUPxBREGla0OMmO2ZD9yNkt238944nPQ3DPLzzvOV6soYdcQy9dwIW8wQYutar3nUCdtun&#10;WQ4sROmUNN6hgG8MsK7Oz0pZKH9yGzzWsWMU4kIhBegYh4Lz0Gq0Msz9gI5uX360MtI6dlyN8kTh&#10;1vA0SW64lb2jD1oO+KCx3dcHK+DFa/N2nzy+v+qP54lvsn3dfO6EuLyY7m6BRZziHwy/+qQOFTk1&#10;/uBUYEbAbJFkhApIr2kSkOdXS2ANkelylQGvSv6/Q/UDAAD//wMAUEsBAi0AFAAGAAgAAAAhALaD&#10;OJL+AAAA4QEAABMAAAAAAAAAAAAAAAAAAAAAAFtDb250ZW50X1R5cGVzXS54bWxQSwECLQAUAAYA&#10;CAAAACEAOP0h/9YAAACUAQAACwAAAAAAAAAAAAAAAAAvAQAAX3JlbHMvLnJlbHNQSwECLQAUAAYA&#10;CAAAACEAnfBT2IgCAAAQBQAADgAAAAAAAAAAAAAAAAAuAgAAZHJzL2Uyb0RvYy54bWxQSwECLQAU&#10;AAYACAAAACEAj02okeIAAAALAQAADwAAAAAAAAAAAAAAAADiBAAAZHJzL2Rvd25yZXYueG1sUEsF&#10;BgAAAAAEAAQA8wAAAPEFAAAAAA==&#10;" strokeweight="1.5pt">
                <v:shadow on="t" type="perspective" matrix="655f,,,655f"/>
                <v:textbox>
                  <w:txbxContent>
                    <w:p w14:paraId="12893893" w14:textId="77777777" w:rsidR="002047BF" w:rsidRPr="0088575C" w:rsidRDefault="002047BF" w:rsidP="0061341E">
                      <w:pPr>
                        <w:pStyle w:val="Caption"/>
                      </w:pPr>
                      <w:bookmarkStart w:id="1" w:name="_Ref441666247"/>
                      <w:r>
                        <w:t>Emissions-intensity calculation method: illustrative e</w:t>
                      </w:r>
                      <w:r w:rsidRPr="0088575C">
                        <w:t xml:space="preserve">xample </w:t>
                      </w:r>
                      <w:bookmarkEnd w:id="1"/>
                    </w:p>
                    <w:tbl>
                      <w:tblPr>
                        <w:tblW w:w="8222" w:type="dxa"/>
                        <w:tblLook w:val="04A0" w:firstRow="1" w:lastRow="0" w:firstColumn="1" w:lastColumn="0" w:noHBand="0" w:noVBand="1"/>
                      </w:tblPr>
                      <w:tblGrid>
                        <w:gridCol w:w="858"/>
                        <w:gridCol w:w="1033"/>
                        <w:gridCol w:w="956"/>
                        <w:gridCol w:w="1272"/>
                        <w:gridCol w:w="1225"/>
                        <w:gridCol w:w="1226"/>
                        <w:gridCol w:w="1652"/>
                      </w:tblGrid>
                      <w:tr w:rsidR="002047BF" w:rsidRPr="00BC26DD" w14:paraId="1AC792C2" w14:textId="77777777" w:rsidTr="00F62931">
                        <w:trPr>
                          <w:trHeight w:val="900"/>
                        </w:trPr>
                        <w:tc>
                          <w:tcPr>
                            <w:tcW w:w="858" w:type="dxa"/>
                            <w:tcBorders>
                              <w:top w:val="nil"/>
                              <w:left w:val="nil"/>
                              <w:bottom w:val="single" w:sz="12" w:space="0" w:color="FFFFFF"/>
                              <w:right w:val="single" w:sz="4" w:space="0" w:color="FFFFFF"/>
                            </w:tcBorders>
                            <w:shd w:val="clear" w:color="4F81BD" w:fill="4F81BD"/>
                          </w:tcPr>
                          <w:p w14:paraId="354C12E1"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Record # (n)</w:t>
                            </w:r>
                          </w:p>
                        </w:tc>
                        <w:tc>
                          <w:tcPr>
                            <w:tcW w:w="1033" w:type="dxa"/>
                            <w:tcBorders>
                              <w:top w:val="nil"/>
                              <w:left w:val="nil"/>
                              <w:bottom w:val="single" w:sz="12" w:space="0" w:color="FFFFFF"/>
                              <w:right w:val="single" w:sz="4" w:space="0" w:color="FFFFFF"/>
                            </w:tcBorders>
                            <w:shd w:val="clear" w:color="4F81BD" w:fill="4F81BD"/>
                            <w:hideMark/>
                          </w:tcPr>
                          <w:p w14:paraId="427D1369"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 xml:space="preserve">Facility </w:t>
                            </w:r>
                          </w:p>
                        </w:tc>
                        <w:tc>
                          <w:tcPr>
                            <w:tcW w:w="956" w:type="dxa"/>
                            <w:tcBorders>
                              <w:top w:val="nil"/>
                              <w:left w:val="single" w:sz="4" w:space="0" w:color="FFFFFF"/>
                              <w:bottom w:val="single" w:sz="12" w:space="0" w:color="FFFFFF"/>
                              <w:right w:val="single" w:sz="4" w:space="0" w:color="FFFFFF"/>
                            </w:tcBorders>
                            <w:shd w:val="clear" w:color="4F81BD" w:fill="4F81BD"/>
                            <w:hideMark/>
                          </w:tcPr>
                          <w:p w14:paraId="535E7C88"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Year</w:t>
                            </w:r>
                          </w:p>
                        </w:tc>
                        <w:tc>
                          <w:tcPr>
                            <w:tcW w:w="1272" w:type="dxa"/>
                            <w:tcBorders>
                              <w:top w:val="nil"/>
                              <w:left w:val="single" w:sz="4" w:space="0" w:color="FFFFFF"/>
                              <w:bottom w:val="single" w:sz="12" w:space="0" w:color="FFFFFF"/>
                              <w:right w:val="single" w:sz="4" w:space="0" w:color="FFFFFF"/>
                            </w:tcBorders>
                            <w:shd w:val="clear" w:color="4F81BD" w:fill="4F81BD"/>
                            <w:hideMark/>
                          </w:tcPr>
                          <w:p w14:paraId="6ADC61FE"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EI  (t CO2e/ t prod.)</w:t>
                            </w:r>
                          </w:p>
                        </w:tc>
                        <w:tc>
                          <w:tcPr>
                            <w:tcW w:w="1225" w:type="dxa"/>
                            <w:tcBorders>
                              <w:top w:val="nil"/>
                              <w:left w:val="single" w:sz="4" w:space="0" w:color="FFFFFF"/>
                              <w:bottom w:val="single" w:sz="12" w:space="0" w:color="FFFFFF"/>
                              <w:right w:val="single" w:sz="4" w:space="0" w:color="FFFFFF"/>
                            </w:tcBorders>
                            <w:shd w:val="clear" w:color="4F81BD" w:fill="4F81BD"/>
                            <w:hideMark/>
                          </w:tcPr>
                          <w:p w14:paraId="23A83F64"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Production (tonnes)</w:t>
                            </w:r>
                          </w:p>
                        </w:tc>
                        <w:tc>
                          <w:tcPr>
                            <w:tcW w:w="1226" w:type="dxa"/>
                            <w:tcBorders>
                              <w:top w:val="nil"/>
                              <w:left w:val="single" w:sz="4" w:space="0" w:color="FFFFFF"/>
                              <w:bottom w:val="single" w:sz="12" w:space="0" w:color="FFFFFF"/>
                              <w:right w:val="single" w:sz="4" w:space="0" w:color="FFFFFF"/>
                            </w:tcBorders>
                            <w:shd w:val="clear" w:color="4F81BD" w:fill="4F81BD"/>
                            <w:hideMark/>
                          </w:tcPr>
                          <w:p w14:paraId="0894AB62"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Total production (%)</w:t>
                            </w:r>
                          </w:p>
                        </w:tc>
                        <w:tc>
                          <w:tcPr>
                            <w:tcW w:w="1652" w:type="dxa"/>
                            <w:tcBorders>
                              <w:top w:val="nil"/>
                              <w:left w:val="single" w:sz="4" w:space="0" w:color="FFFFFF"/>
                              <w:bottom w:val="single" w:sz="12" w:space="0" w:color="FFFFFF"/>
                              <w:right w:val="nil"/>
                            </w:tcBorders>
                            <w:shd w:val="clear" w:color="4F81BD" w:fill="4F81BD"/>
                            <w:hideMark/>
                          </w:tcPr>
                          <w:p w14:paraId="4A7F9017" w14:textId="77777777" w:rsidR="002047BF" w:rsidRPr="00BC26DD" w:rsidRDefault="002047BF" w:rsidP="00F62931">
                            <w:pPr>
                              <w:spacing w:after="0" w:line="240" w:lineRule="auto"/>
                              <w:rPr>
                                <w:rFonts w:eastAsia="Times New Roman"/>
                                <w:b/>
                                <w:bCs/>
                                <w:color w:val="FFFFFF" w:themeColor="background1"/>
                                <w:lang w:eastAsia="en-AU"/>
                              </w:rPr>
                            </w:pPr>
                            <w:r w:rsidRPr="00BC26DD">
                              <w:rPr>
                                <w:rFonts w:eastAsia="Times New Roman"/>
                                <w:b/>
                                <w:bCs/>
                                <w:color w:val="FFFFFF" w:themeColor="background1"/>
                                <w:lang w:eastAsia="en-AU"/>
                              </w:rPr>
                              <w:t>Cumulative Production (%)</w:t>
                            </w:r>
                          </w:p>
                        </w:tc>
                      </w:tr>
                      <w:tr w:rsidR="002047BF" w:rsidRPr="00BC26DD" w14:paraId="5E0E2F9E"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7555CC21"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7784FBE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A</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3C0DF1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2014-15</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93BD0F8"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0.53</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6CCA2D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228,365</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3900FC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1.49%</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58B976C4"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1.49%</w:t>
                            </w:r>
                          </w:p>
                        </w:tc>
                      </w:tr>
                      <w:tr w:rsidR="002047BF" w:rsidRPr="00BC26DD" w14:paraId="0AA436DC"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6145A83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48546FA6"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A</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A4C0952"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2013-14</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20E7CB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0.54</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0D3178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301,988</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D396AF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1.97%</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5ECA1C15"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3.46%</w:t>
                            </w:r>
                          </w:p>
                        </w:tc>
                      </w:tr>
                      <w:tr w:rsidR="002047BF" w:rsidRPr="00BC26DD" w14:paraId="3FD7CC2A"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58D9589B"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3</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2529257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A</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68F73C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2016-17</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858F3C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0.56</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78C0CE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227,888</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2D6DE7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1.49%</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6820728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4.95%</w:t>
                            </w:r>
                          </w:p>
                        </w:tc>
                      </w:tr>
                      <w:tr w:rsidR="002047BF" w:rsidRPr="00BC26DD" w14:paraId="57A9FD4C"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54C0368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4</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6CF8DFFD"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A</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2B5CBE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2015-16</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35CDC8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0.58</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C83E415"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221,896</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AD1BB5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1.45%</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1B0CDDE9"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6.39%</w:t>
                            </w:r>
                          </w:p>
                        </w:tc>
                      </w:tr>
                      <w:tr w:rsidR="002047BF" w:rsidRPr="00BC26DD" w14:paraId="311ADAF3"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2F673BA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5</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266856D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B</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BD8B33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2013-14</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3607D3B"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0.59</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7B10D0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561,204</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E4CF7FE"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3.66%</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49D2A543"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10.05%</w:t>
                            </w:r>
                          </w:p>
                        </w:tc>
                      </w:tr>
                      <w:tr w:rsidR="002047BF" w:rsidRPr="00BC26DD" w14:paraId="07854A9A"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6E4E6D6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6</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51C8BD92"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B</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D1D754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2014-15</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E286269"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0.59</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E540C2B"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976,703</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963A60A"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6.37%</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3EE58DF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16.43%</w:t>
                            </w:r>
                          </w:p>
                        </w:tc>
                      </w:tr>
                      <w:tr w:rsidR="002047BF" w:rsidRPr="00BC26DD" w14:paraId="5DB8611E"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1F8BBD0E"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7</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4EE08406"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B</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635AE07"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2016-17</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461FFD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0.6</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EA07E8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698,315</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E23977A"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4.56%</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4676FC43"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20.98%</w:t>
                            </w:r>
                          </w:p>
                        </w:tc>
                      </w:tr>
                      <w:tr w:rsidR="002047BF" w:rsidRPr="00BC26DD" w14:paraId="6EBDB410"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0572A062"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8</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197F72F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B</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96A63BE"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2015-16</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1814D1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0.62</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8770F6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668,874</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A967DB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4.36%</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7A60CDA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25.34%</w:t>
                            </w:r>
                          </w:p>
                        </w:tc>
                      </w:tr>
                      <w:tr w:rsidR="002047BF" w:rsidRPr="00BC26DD" w14:paraId="78C56DA2" w14:textId="77777777" w:rsidTr="00226C92">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7EB1BF85"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9</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040D5F4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C</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100E1545"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2015-16</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0752BB0E"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0.62</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0BDECA6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815,223</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7D077B6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5.32%</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2315074A"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30.66%</w:t>
                            </w:r>
                          </w:p>
                        </w:tc>
                      </w:tr>
                      <w:tr w:rsidR="002047BF" w:rsidRPr="00BC26DD" w14:paraId="7EE36A16"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490BD231"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10</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658B82D5"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A</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342707D6"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2012-13</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8646A24"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0.63</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1F48D945"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214,315</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48C3FF03"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1.40%</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221AF2DA"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32.06%</w:t>
                            </w:r>
                          </w:p>
                        </w:tc>
                      </w:tr>
                      <w:tr w:rsidR="002047BF" w:rsidRPr="00BC26DD" w14:paraId="58F80CB4"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7569C679"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11</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75F01327"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C</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161BC179"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2014-15</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41D9EDA3"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0.64</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607E6645"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794,611</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6C266005"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5.18%</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173EA2CB"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37.24%</w:t>
                            </w:r>
                          </w:p>
                        </w:tc>
                      </w:tr>
                      <w:tr w:rsidR="002047BF" w:rsidRPr="00BC26DD" w14:paraId="6670FCB5"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3F0C2FC1"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12</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5190DB33"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B</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3D36166F"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2012-13</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F07712C"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0.68</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3B8D7E73"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658,444</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3E38D6F9"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4.30%</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259BD617"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41.54%</w:t>
                            </w:r>
                          </w:p>
                        </w:tc>
                      </w:tr>
                      <w:tr w:rsidR="002047BF" w:rsidRPr="00BC26DD" w14:paraId="33CFAA22"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000000" w:fill="FFFF00"/>
                          </w:tcPr>
                          <w:p w14:paraId="179B891E"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13</w:t>
                            </w:r>
                          </w:p>
                        </w:tc>
                        <w:tc>
                          <w:tcPr>
                            <w:tcW w:w="1033" w:type="dxa"/>
                            <w:tcBorders>
                              <w:top w:val="single" w:sz="4" w:space="0" w:color="FFFFFF"/>
                              <w:left w:val="nil"/>
                              <w:bottom w:val="single" w:sz="4" w:space="0" w:color="FFFFFF"/>
                              <w:right w:val="single" w:sz="4" w:space="0" w:color="FFFFFF"/>
                            </w:tcBorders>
                            <w:shd w:val="clear" w:color="000000" w:fill="FFFF00"/>
                            <w:noWrap/>
                            <w:vAlign w:val="bottom"/>
                            <w:hideMark/>
                          </w:tcPr>
                          <w:p w14:paraId="44E803D0"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C</w:t>
                            </w:r>
                          </w:p>
                        </w:tc>
                        <w:tc>
                          <w:tcPr>
                            <w:tcW w:w="95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13E71A15" w14:textId="77777777" w:rsidR="002047BF" w:rsidRPr="00BC26DD" w:rsidRDefault="002047BF" w:rsidP="00F62931">
                            <w:pPr>
                              <w:spacing w:after="0" w:line="240" w:lineRule="auto"/>
                              <w:rPr>
                                <w:rFonts w:eastAsia="Times New Roman"/>
                                <w:highlight w:val="yellow"/>
                                <w:lang w:eastAsia="en-AU"/>
                              </w:rPr>
                            </w:pPr>
                            <w:r w:rsidRPr="00BC26DD">
                              <w:rPr>
                                <w:rFonts w:eastAsia="Times New Roman"/>
                                <w:highlight w:val="yellow"/>
                                <w:lang w:eastAsia="en-AU"/>
                              </w:rPr>
                              <w:t>2016-17</w:t>
                            </w:r>
                          </w:p>
                        </w:tc>
                        <w:tc>
                          <w:tcPr>
                            <w:tcW w:w="1272"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23E0511A"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0.68</w:t>
                            </w:r>
                          </w:p>
                        </w:tc>
                        <w:tc>
                          <w:tcPr>
                            <w:tcW w:w="1225"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6F941222"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766,114</w:t>
                            </w:r>
                          </w:p>
                        </w:tc>
                        <w:tc>
                          <w:tcPr>
                            <w:tcW w:w="122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1E888B54" w14:textId="77777777" w:rsidR="002047BF" w:rsidRPr="00BC26DD" w:rsidRDefault="002047BF" w:rsidP="00F62931">
                            <w:pPr>
                              <w:spacing w:after="0" w:line="240" w:lineRule="auto"/>
                              <w:jc w:val="right"/>
                              <w:rPr>
                                <w:rFonts w:eastAsia="Times New Roman"/>
                                <w:highlight w:val="yellow"/>
                                <w:lang w:eastAsia="en-AU"/>
                              </w:rPr>
                            </w:pPr>
                            <w:r w:rsidRPr="00BC26DD">
                              <w:rPr>
                                <w:rFonts w:eastAsia="Times New Roman"/>
                                <w:highlight w:val="yellow"/>
                                <w:lang w:eastAsia="en-AU"/>
                              </w:rPr>
                              <w:t>5.00%</w:t>
                            </w:r>
                          </w:p>
                        </w:tc>
                        <w:tc>
                          <w:tcPr>
                            <w:tcW w:w="1652" w:type="dxa"/>
                            <w:tcBorders>
                              <w:top w:val="single" w:sz="4" w:space="0" w:color="FFFFFF"/>
                              <w:left w:val="single" w:sz="4" w:space="0" w:color="FFFFFF"/>
                              <w:bottom w:val="single" w:sz="4" w:space="0" w:color="FFFFFF"/>
                              <w:right w:val="nil"/>
                            </w:tcBorders>
                            <w:shd w:val="clear" w:color="000000" w:fill="FFFF00"/>
                            <w:noWrap/>
                            <w:vAlign w:val="bottom"/>
                            <w:hideMark/>
                          </w:tcPr>
                          <w:p w14:paraId="7755DB6C" w14:textId="77777777" w:rsidR="002047BF" w:rsidRPr="00BC26DD" w:rsidRDefault="002047BF" w:rsidP="00F62931">
                            <w:pPr>
                              <w:spacing w:after="0" w:line="240" w:lineRule="auto"/>
                              <w:jc w:val="right"/>
                              <w:rPr>
                                <w:rFonts w:eastAsia="Times New Roman"/>
                                <w:lang w:eastAsia="en-AU"/>
                              </w:rPr>
                            </w:pPr>
                            <w:r w:rsidRPr="00BC26DD">
                              <w:rPr>
                                <w:rFonts w:eastAsia="Times New Roman"/>
                                <w:highlight w:val="yellow"/>
                                <w:lang w:eastAsia="en-AU"/>
                              </w:rPr>
                              <w:t>46.54%</w:t>
                            </w:r>
                          </w:p>
                        </w:tc>
                      </w:tr>
                      <w:tr w:rsidR="002047BF" w:rsidRPr="00BC26DD" w14:paraId="4D999D05"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000000" w:fill="FFFF00"/>
                          </w:tcPr>
                          <w:p w14:paraId="40BEA36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14</w:t>
                            </w:r>
                          </w:p>
                        </w:tc>
                        <w:tc>
                          <w:tcPr>
                            <w:tcW w:w="1033" w:type="dxa"/>
                            <w:tcBorders>
                              <w:top w:val="single" w:sz="4" w:space="0" w:color="FFFFFF"/>
                              <w:left w:val="nil"/>
                              <w:bottom w:val="single" w:sz="4" w:space="0" w:color="FFFFFF"/>
                              <w:right w:val="single" w:sz="4" w:space="0" w:color="FFFFFF"/>
                            </w:tcBorders>
                            <w:shd w:val="clear" w:color="000000" w:fill="FFFF00"/>
                            <w:noWrap/>
                            <w:vAlign w:val="bottom"/>
                            <w:hideMark/>
                          </w:tcPr>
                          <w:p w14:paraId="6C8FAA70"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D</w:t>
                            </w:r>
                          </w:p>
                        </w:tc>
                        <w:tc>
                          <w:tcPr>
                            <w:tcW w:w="95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5E8A8CD6"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2016-17</w:t>
                            </w:r>
                          </w:p>
                        </w:tc>
                        <w:tc>
                          <w:tcPr>
                            <w:tcW w:w="1272"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0449DB3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0.73</w:t>
                            </w:r>
                          </w:p>
                        </w:tc>
                        <w:tc>
                          <w:tcPr>
                            <w:tcW w:w="1225"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206B8EEB"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555,669</w:t>
                            </w:r>
                          </w:p>
                        </w:tc>
                        <w:tc>
                          <w:tcPr>
                            <w:tcW w:w="122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5956A13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3.62%</w:t>
                            </w:r>
                          </w:p>
                        </w:tc>
                        <w:tc>
                          <w:tcPr>
                            <w:tcW w:w="1652" w:type="dxa"/>
                            <w:tcBorders>
                              <w:top w:val="single" w:sz="4" w:space="0" w:color="FFFFFF"/>
                              <w:left w:val="single" w:sz="4" w:space="0" w:color="FFFFFF"/>
                              <w:bottom w:val="single" w:sz="4" w:space="0" w:color="FFFFFF"/>
                              <w:right w:val="nil"/>
                            </w:tcBorders>
                            <w:shd w:val="clear" w:color="000000" w:fill="FFFF00"/>
                            <w:noWrap/>
                            <w:vAlign w:val="bottom"/>
                            <w:hideMark/>
                          </w:tcPr>
                          <w:p w14:paraId="6B739EA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50.16%</w:t>
                            </w:r>
                          </w:p>
                        </w:tc>
                      </w:tr>
                      <w:tr w:rsidR="002047BF" w:rsidRPr="00BC26DD" w14:paraId="359AD5CA"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000000" w:fill="FFFF00"/>
                          </w:tcPr>
                          <w:p w14:paraId="19299F83"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15</w:t>
                            </w:r>
                          </w:p>
                        </w:tc>
                        <w:tc>
                          <w:tcPr>
                            <w:tcW w:w="1033" w:type="dxa"/>
                            <w:tcBorders>
                              <w:top w:val="single" w:sz="4" w:space="0" w:color="FFFFFF"/>
                              <w:left w:val="nil"/>
                              <w:bottom w:val="single" w:sz="4" w:space="0" w:color="FFFFFF"/>
                              <w:right w:val="single" w:sz="4" w:space="0" w:color="FFFFFF"/>
                            </w:tcBorders>
                            <w:shd w:val="clear" w:color="000000" w:fill="FFFF00"/>
                            <w:noWrap/>
                            <w:vAlign w:val="bottom"/>
                            <w:hideMark/>
                          </w:tcPr>
                          <w:p w14:paraId="6CD91E22"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D</w:t>
                            </w:r>
                          </w:p>
                        </w:tc>
                        <w:tc>
                          <w:tcPr>
                            <w:tcW w:w="95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6065EB5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2015-16</w:t>
                            </w:r>
                          </w:p>
                        </w:tc>
                        <w:tc>
                          <w:tcPr>
                            <w:tcW w:w="1272"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4103807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0.75</w:t>
                            </w:r>
                          </w:p>
                        </w:tc>
                        <w:tc>
                          <w:tcPr>
                            <w:tcW w:w="1225"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3E633C3A"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546,778</w:t>
                            </w:r>
                          </w:p>
                        </w:tc>
                        <w:tc>
                          <w:tcPr>
                            <w:tcW w:w="1226" w:type="dxa"/>
                            <w:tcBorders>
                              <w:top w:val="single" w:sz="4" w:space="0" w:color="FFFFFF"/>
                              <w:left w:val="single" w:sz="4" w:space="0" w:color="FFFFFF"/>
                              <w:bottom w:val="single" w:sz="4" w:space="0" w:color="FFFFFF"/>
                              <w:right w:val="single" w:sz="4" w:space="0" w:color="FFFFFF"/>
                            </w:tcBorders>
                            <w:shd w:val="clear" w:color="000000" w:fill="FFFF00"/>
                            <w:noWrap/>
                            <w:vAlign w:val="bottom"/>
                            <w:hideMark/>
                          </w:tcPr>
                          <w:p w14:paraId="000A5A5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3.57%</w:t>
                            </w:r>
                          </w:p>
                        </w:tc>
                        <w:tc>
                          <w:tcPr>
                            <w:tcW w:w="1652" w:type="dxa"/>
                            <w:tcBorders>
                              <w:top w:val="single" w:sz="4" w:space="0" w:color="FFFFFF"/>
                              <w:left w:val="single" w:sz="4" w:space="0" w:color="FFFFFF"/>
                              <w:bottom w:val="single" w:sz="4" w:space="0" w:color="FFFFFF"/>
                              <w:right w:val="nil"/>
                            </w:tcBorders>
                            <w:shd w:val="clear" w:color="000000" w:fill="FFFF00"/>
                            <w:noWrap/>
                            <w:vAlign w:val="bottom"/>
                            <w:hideMark/>
                          </w:tcPr>
                          <w:p w14:paraId="2839345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53.73%</w:t>
                            </w:r>
                          </w:p>
                        </w:tc>
                      </w:tr>
                      <w:tr w:rsidR="002047BF" w:rsidRPr="00BC26DD" w14:paraId="431709D7"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10086D1E"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16</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2E4EDD5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C</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228ED483"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2012-13</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C7B610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0.76</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04456525"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764,154</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7545E0A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4.98%</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14C7766E"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58.71%</w:t>
                            </w:r>
                          </w:p>
                        </w:tc>
                      </w:tr>
                      <w:tr w:rsidR="002047BF" w:rsidRPr="00BC26DD" w14:paraId="3D65A191"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65E15991"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17</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1135EF10"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D</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D20F50E"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2014-15</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465F56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0.78</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66851A2E"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504,914</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1B4A50C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3.29%</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0D096B4A"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62.01%</w:t>
                            </w:r>
                          </w:p>
                        </w:tc>
                      </w:tr>
                      <w:tr w:rsidR="002047BF" w:rsidRPr="00BC26DD" w14:paraId="4025A696"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7EF40D8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18</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73B86D7A"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E</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054CD563"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2013-14</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6FA2F86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0.79</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A1F6AAB"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582,407</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024BFC44"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3.80%</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38195D8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65.81%</w:t>
                            </w:r>
                          </w:p>
                        </w:tc>
                      </w:tr>
                      <w:tr w:rsidR="002047BF" w:rsidRPr="00BC26DD" w14:paraId="01B4D7DC"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auto" w:fill="FFFF00"/>
                          </w:tcPr>
                          <w:p w14:paraId="7F74AF37"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19</w:t>
                            </w:r>
                          </w:p>
                        </w:tc>
                        <w:tc>
                          <w:tcPr>
                            <w:tcW w:w="1033" w:type="dxa"/>
                            <w:tcBorders>
                              <w:top w:val="single" w:sz="4" w:space="0" w:color="FFFFFF"/>
                              <w:left w:val="nil"/>
                              <w:bottom w:val="single" w:sz="4" w:space="0" w:color="FFFFFF"/>
                              <w:right w:val="single" w:sz="4" w:space="0" w:color="FFFFFF"/>
                            </w:tcBorders>
                            <w:shd w:val="clear" w:color="auto" w:fill="FFFF00"/>
                            <w:noWrap/>
                            <w:vAlign w:val="bottom"/>
                            <w:hideMark/>
                          </w:tcPr>
                          <w:p w14:paraId="3A72D24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C</w:t>
                            </w:r>
                          </w:p>
                        </w:tc>
                        <w:tc>
                          <w:tcPr>
                            <w:tcW w:w="95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61FAE7F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2013-14</w:t>
                            </w:r>
                          </w:p>
                        </w:tc>
                        <w:tc>
                          <w:tcPr>
                            <w:tcW w:w="1272"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71A171E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0.8</w:t>
                            </w:r>
                          </w:p>
                        </w:tc>
                        <w:tc>
                          <w:tcPr>
                            <w:tcW w:w="1225"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599A905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919,315</w:t>
                            </w:r>
                          </w:p>
                        </w:tc>
                        <w:tc>
                          <w:tcPr>
                            <w:tcW w:w="1226" w:type="dxa"/>
                            <w:tcBorders>
                              <w:top w:val="single" w:sz="4" w:space="0" w:color="FFFFFF"/>
                              <w:left w:val="single" w:sz="4" w:space="0" w:color="FFFFFF"/>
                              <w:bottom w:val="single" w:sz="4" w:space="0" w:color="FFFFFF"/>
                              <w:right w:val="single" w:sz="4" w:space="0" w:color="FFFFFF"/>
                            </w:tcBorders>
                            <w:shd w:val="clear" w:color="auto" w:fill="FFFF00"/>
                            <w:noWrap/>
                            <w:vAlign w:val="bottom"/>
                            <w:hideMark/>
                          </w:tcPr>
                          <w:p w14:paraId="19A03E1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6.00%</w:t>
                            </w:r>
                          </w:p>
                        </w:tc>
                        <w:tc>
                          <w:tcPr>
                            <w:tcW w:w="1652" w:type="dxa"/>
                            <w:tcBorders>
                              <w:top w:val="single" w:sz="4" w:space="0" w:color="FFFFFF"/>
                              <w:left w:val="single" w:sz="4" w:space="0" w:color="FFFFFF"/>
                              <w:bottom w:val="single" w:sz="4" w:space="0" w:color="FFFFFF"/>
                              <w:right w:val="nil"/>
                            </w:tcBorders>
                            <w:shd w:val="clear" w:color="auto" w:fill="FFFF00"/>
                            <w:noWrap/>
                            <w:vAlign w:val="bottom"/>
                            <w:hideMark/>
                          </w:tcPr>
                          <w:p w14:paraId="337A9BB9"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71.80%</w:t>
                            </w:r>
                          </w:p>
                        </w:tc>
                      </w:tr>
                      <w:tr w:rsidR="002047BF" w:rsidRPr="00BC26DD" w14:paraId="0AFB35BF"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11C9C99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0548A32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D</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EA88143"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2012-13</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173BC9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0.81</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0177B4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550,551</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FE0F4A9"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3.59%</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5416D52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75.39%</w:t>
                            </w:r>
                          </w:p>
                        </w:tc>
                      </w:tr>
                      <w:tr w:rsidR="002047BF" w:rsidRPr="00BC26DD" w14:paraId="58B7A7B1"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6249A34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21</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3E0A7C51"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D</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35003D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2013-14</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FB150B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0.83</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0713F2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964,866</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38FFB54"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6.29%</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05A9A8A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81.69%</w:t>
                            </w:r>
                          </w:p>
                        </w:tc>
                      </w:tr>
                      <w:tr w:rsidR="002047BF" w:rsidRPr="00BC26DD" w14:paraId="272F3710"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18A924C5"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22</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2BF44986"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E</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5B556BF"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2016-17</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8CDB8A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0.93</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7319B48"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564,223</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51F175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3.68%</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54CF1396"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85.37%</w:t>
                            </w:r>
                          </w:p>
                        </w:tc>
                      </w:tr>
                      <w:tr w:rsidR="002047BF" w:rsidRPr="00BC26DD" w14:paraId="6BACA267"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B8CCE4" w:fill="B8CCE4"/>
                          </w:tcPr>
                          <w:p w14:paraId="596024EC"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23</w:t>
                            </w:r>
                          </w:p>
                        </w:tc>
                        <w:tc>
                          <w:tcPr>
                            <w:tcW w:w="1033" w:type="dxa"/>
                            <w:tcBorders>
                              <w:top w:val="single" w:sz="4" w:space="0" w:color="FFFFFF"/>
                              <w:left w:val="nil"/>
                              <w:bottom w:val="single" w:sz="4" w:space="0" w:color="FFFFFF"/>
                              <w:right w:val="single" w:sz="4" w:space="0" w:color="FFFFFF"/>
                            </w:tcBorders>
                            <w:shd w:val="clear" w:color="B8CCE4" w:fill="B8CCE4"/>
                            <w:noWrap/>
                            <w:vAlign w:val="bottom"/>
                            <w:hideMark/>
                          </w:tcPr>
                          <w:p w14:paraId="58754FD8"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E</w:t>
                            </w:r>
                          </w:p>
                        </w:tc>
                        <w:tc>
                          <w:tcPr>
                            <w:tcW w:w="95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784F0B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2012-13</w:t>
                            </w:r>
                          </w:p>
                        </w:tc>
                        <w:tc>
                          <w:tcPr>
                            <w:tcW w:w="12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212FE10"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0.94</w:t>
                            </w:r>
                          </w:p>
                        </w:tc>
                        <w:tc>
                          <w:tcPr>
                            <w:tcW w:w="122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DA96908"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632,351</w:t>
                            </w:r>
                          </w:p>
                        </w:tc>
                        <w:tc>
                          <w:tcPr>
                            <w:tcW w:w="1226"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72F1AB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4.13%</w:t>
                            </w:r>
                          </w:p>
                        </w:tc>
                        <w:tc>
                          <w:tcPr>
                            <w:tcW w:w="1652" w:type="dxa"/>
                            <w:tcBorders>
                              <w:top w:val="single" w:sz="4" w:space="0" w:color="FFFFFF"/>
                              <w:left w:val="single" w:sz="4" w:space="0" w:color="FFFFFF"/>
                              <w:bottom w:val="single" w:sz="4" w:space="0" w:color="FFFFFF"/>
                              <w:right w:val="nil"/>
                            </w:tcBorders>
                            <w:shd w:val="clear" w:color="B8CCE4" w:fill="B8CCE4"/>
                            <w:noWrap/>
                            <w:vAlign w:val="bottom"/>
                            <w:hideMark/>
                          </w:tcPr>
                          <w:p w14:paraId="3521C5C3"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89.49%</w:t>
                            </w:r>
                          </w:p>
                        </w:tc>
                      </w:tr>
                      <w:tr w:rsidR="002047BF" w:rsidRPr="00BC26DD" w14:paraId="2622E252" w14:textId="77777777" w:rsidTr="00F62931">
                        <w:trPr>
                          <w:trHeight w:val="300"/>
                        </w:trPr>
                        <w:tc>
                          <w:tcPr>
                            <w:tcW w:w="858" w:type="dxa"/>
                            <w:tcBorders>
                              <w:top w:val="single" w:sz="4" w:space="0" w:color="FFFFFF"/>
                              <w:left w:val="nil"/>
                              <w:bottom w:val="single" w:sz="4" w:space="0" w:color="FFFFFF"/>
                              <w:right w:val="single" w:sz="4" w:space="0" w:color="FFFFFF"/>
                            </w:tcBorders>
                            <w:shd w:val="clear" w:color="DCE6F1" w:fill="DCE6F1"/>
                          </w:tcPr>
                          <w:p w14:paraId="58DF3E15"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24</w:t>
                            </w:r>
                          </w:p>
                        </w:tc>
                        <w:tc>
                          <w:tcPr>
                            <w:tcW w:w="1033" w:type="dxa"/>
                            <w:tcBorders>
                              <w:top w:val="single" w:sz="4" w:space="0" w:color="FFFFFF"/>
                              <w:left w:val="nil"/>
                              <w:bottom w:val="single" w:sz="4" w:space="0" w:color="FFFFFF"/>
                              <w:right w:val="single" w:sz="4" w:space="0" w:color="FFFFFF"/>
                            </w:tcBorders>
                            <w:shd w:val="clear" w:color="DCE6F1" w:fill="DCE6F1"/>
                            <w:noWrap/>
                            <w:vAlign w:val="bottom"/>
                            <w:hideMark/>
                          </w:tcPr>
                          <w:p w14:paraId="075D7E6E"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E</w:t>
                            </w:r>
                          </w:p>
                        </w:tc>
                        <w:tc>
                          <w:tcPr>
                            <w:tcW w:w="95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8C7EA6D"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2014-15</w:t>
                            </w:r>
                          </w:p>
                        </w:tc>
                        <w:tc>
                          <w:tcPr>
                            <w:tcW w:w="12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8790E5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0.94</w:t>
                            </w:r>
                          </w:p>
                        </w:tc>
                        <w:tc>
                          <w:tcPr>
                            <w:tcW w:w="122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72923E1"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844,964</w:t>
                            </w:r>
                          </w:p>
                        </w:tc>
                        <w:tc>
                          <w:tcPr>
                            <w:tcW w:w="1226"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05278FC"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5.51%</w:t>
                            </w:r>
                          </w:p>
                        </w:tc>
                        <w:tc>
                          <w:tcPr>
                            <w:tcW w:w="1652" w:type="dxa"/>
                            <w:tcBorders>
                              <w:top w:val="single" w:sz="4" w:space="0" w:color="FFFFFF"/>
                              <w:left w:val="single" w:sz="4" w:space="0" w:color="FFFFFF"/>
                              <w:bottom w:val="single" w:sz="4" w:space="0" w:color="FFFFFF"/>
                              <w:right w:val="nil"/>
                            </w:tcBorders>
                            <w:shd w:val="clear" w:color="DCE6F1" w:fill="DCE6F1"/>
                            <w:noWrap/>
                            <w:vAlign w:val="bottom"/>
                            <w:hideMark/>
                          </w:tcPr>
                          <w:p w14:paraId="76F813F7"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95.01%</w:t>
                            </w:r>
                          </w:p>
                        </w:tc>
                      </w:tr>
                      <w:tr w:rsidR="002047BF" w:rsidRPr="00BC26DD" w14:paraId="6244CACA" w14:textId="77777777" w:rsidTr="00F62931">
                        <w:trPr>
                          <w:trHeight w:val="300"/>
                        </w:trPr>
                        <w:tc>
                          <w:tcPr>
                            <w:tcW w:w="858" w:type="dxa"/>
                            <w:tcBorders>
                              <w:top w:val="single" w:sz="4" w:space="0" w:color="FFFFFF"/>
                              <w:left w:val="nil"/>
                              <w:bottom w:val="nil"/>
                              <w:right w:val="single" w:sz="4" w:space="0" w:color="FFFFFF"/>
                            </w:tcBorders>
                            <w:shd w:val="clear" w:color="B8CCE4" w:fill="B8CCE4"/>
                          </w:tcPr>
                          <w:p w14:paraId="235121C2"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25</w:t>
                            </w:r>
                          </w:p>
                        </w:tc>
                        <w:tc>
                          <w:tcPr>
                            <w:tcW w:w="1033" w:type="dxa"/>
                            <w:tcBorders>
                              <w:top w:val="single" w:sz="4" w:space="0" w:color="FFFFFF"/>
                              <w:left w:val="nil"/>
                              <w:bottom w:val="nil"/>
                              <w:right w:val="single" w:sz="4" w:space="0" w:color="FFFFFF"/>
                            </w:tcBorders>
                            <w:shd w:val="clear" w:color="B8CCE4" w:fill="B8CCE4"/>
                            <w:noWrap/>
                            <w:vAlign w:val="bottom"/>
                            <w:hideMark/>
                          </w:tcPr>
                          <w:p w14:paraId="7A88CB4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E</w:t>
                            </w:r>
                          </w:p>
                        </w:tc>
                        <w:tc>
                          <w:tcPr>
                            <w:tcW w:w="956" w:type="dxa"/>
                            <w:tcBorders>
                              <w:top w:val="single" w:sz="4" w:space="0" w:color="FFFFFF"/>
                              <w:left w:val="single" w:sz="4" w:space="0" w:color="FFFFFF"/>
                              <w:bottom w:val="nil"/>
                              <w:right w:val="single" w:sz="4" w:space="0" w:color="FFFFFF"/>
                            </w:tcBorders>
                            <w:shd w:val="clear" w:color="B8CCE4" w:fill="B8CCE4"/>
                            <w:noWrap/>
                            <w:vAlign w:val="bottom"/>
                            <w:hideMark/>
                          </w:tcPr>
                          <w:p w14:paraId="6CEAEDF4" w14:textId="77777777" w:rsidR="002047BF" w:rsidRPr="00BC26DD" w:rsidRDefault="002047BF" w:rsidP="00F62931">
                            <w:pPr>
                              <w:spacing w:after="0" w:line="240" w:lineRule="auto"/>
                              <w:rPr>
                                <w:rFonts w:eastAsia="Times New Roman"/>
                                <w:lang w:eastAsia="en-AU"/>
                              </w:rPr>
                            </w:pPr>
                            <w:r w:rsidRPr="00BC26DD">
                              <w:rPr>
                                <w:rFonts w:eastAsia="Times New Roman"/>
                                <w:lang w:eastAsia="en-AU"/>
                              </w:rPr>
                              <w:t>2015-16</w:t>
                            </w:r>
                          </w:p>
                        </w:tc>
                        <w:tc>
                          <w:tcPr>
                            <w:tcW w:w="1272" w:type="dxa"/>
                            <w:tcBorders>
                              <w:top w:val="single" w:sz="4" w:space="0" w:color="FFFFFF"/>
                              <w:left w:val="single" w:sz="4" w:space="0" w:color="FFFFFF"/>
                              <w:bottom w:val="nil"/>
                              <w:right w:val="single" w:sz="4" w:space="0" w:color="FFFFFF"/>
                            </w:tcBorders>
                            <w:shd w:val="clear" w:color="B8CCE4" w:fill="B8CCE4"/>
                            <w:noWrap/>
                            <w:vAlign w:val="bottom"/>
                            <w:hideMark/>
                          </w:tcPr>
                          <w:p w14:paraId="0BB7AC65"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0.95</w:t>
                            </w:r>
                          </w:p>
                        </w:tc>
                        <w:tc>
                          <w:tcPr>
                            <w:tcW w:w="1225" w:type="dxa"/>
                            <w:tcBorders>
                              <w:top w:val="single" w:sz="4" w:space="0" w:color="FFFFFF"/>
                              <w:left w:val="single" w:sz="4" w:space="0" w:color="FFFFFF"/>
                              <w:bottom w:val="nil"/>
                              <w:right w:val="single" w:sz="4" w:space="0" w:color="FFFFFF"/>
                            </w:tcBorders>
                            <w:shd w:val="clear" w:color="B8CCE4" w:fill="B8CCE4"/>
                            <w:noWrap/>
                            <w:vAlign w:val="bottom"/>
                            <w:hideMark/>
                          </w:tcPr>
                          <w:p w14:paraId="205D50D2"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765,445</w:t>
                            </w:r>
                          </w:p>
                        </w:tc>
                        <w:tc>
                          <w:tcPr>
                            <w:tcW w:w="1226" w:type="dxa"/>
                            <w:tcBorders>
                              <w:top w:val="single" w:sz="4" w:space="0" w:color="FFFFFF"/>
                              <w:left w:val="single" w:sz="4" w:space="0" w:color="FFFFFF"/>
                              <w:bottom w:val="nil"/>
                              <w:right w:val="single" w:sz="4" w:space="0" w:color="FFFFFF"/>
                            </w:tcBorders>
                            <w:shd w:val="clear" w:color="B8CCE4" w:fill="B8CCE4"/>
                            <w:noWrap/>
                            <w:vAlign w:val="bottom"/>
                            <w:hideMark/>
                          </w:tcPr>
                          <w:p w14:paraId="36F24F9F"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4.99%</w:t>
                            </w:r>
                          </w:p>
                        </w:tc>
                        <w:tc>
                          <w:tcPr>
                            <w:tcW w:w="1652" w:type="dxa"/>
                            <w:tcBorders>
                              <w:top w:val="single" w:sz="4" w:space="0" w:color="FFFFFF"/>
                              <w:left w:val="single" w:sz="4" w:space="0" w:color="FFFFFF"/>
                              <w:bottom w:val="nil"/>
                              <w:right w:val="nil"/>
                            </w:tcBorders>
                            <w:shd w:val="clear" w:color="B8CCE4" w:fill="B8CCE4"/>
                            <w:noWrap/>
                            <w:vAlign w:val="bottom"/>
                            <w:hideMark/>
                          </w:tcPr>
                          <w:p w14:paraId="08E55D9B" w14:textId="77777777" w:rsidR="002047BF" w:rsidRPr="00BC26DD" w:rsidRDefault="002047BF" w:rsidP="00F62931">
                            <w:pPr>
                              <w:spacing w:after="0" w:line="240" w:lineRule="auto"/>
                              <w:jc w:val="right"/>
                              <w:rPr>
                                <w:rFonts w:eastAsia="Times New Roman"/>
                                <w:lang w:eastAsia="en-AU"/>
                              </w:rPr>
                            </w:pPr>
                            <w:r w:rsidRPr="00BC26DD">
                              <w:rPr>
                                <w:rFonts w:eastAsia="Times New Roman"/>
                                <w:lang w:eastAsia="en-AU"/>
                              </w:rPr>
                              <w:t>100.00%</w:t>
                            </w:r>
                          </w:p>
                        </w:tc>
                      </w:tr>
                    </w:tbl>
                    <w:p w14:paraId="04248C2A" w14:textId="77777777" w:rsidR="002047BF" w:rsidRPr="00F23BD6" w:rsidRDefault="002047BF" w:rsidP="0061341E">
                      <w:pPr>
                        <w:rPr>
                          <w:i/>
                          <w:sz w:val="4"/>
                          <w:szCs w:val="4"/>
                        </w:rPr>
                      </w:pPr>
                    </w:p>
                    <w:p w14:paraId="0921E680" w14:textId="586017D8" w:rsidR="002047BF" w:rsidRPr="00F72F1E" w:rsidRDefault="002047BF" w:rsidP="0061341E">
                      <w:r w:rsidRPr="00F72F1E">
                        <w:t xml:space="preserve">In this example, the </w:t>
                      </w:r>
                      <w:r>
                        <w:t>records</w:t>
                      </w:r>
                      <w:r w:rsidRPr="00F72F1E">
                        <w:t xml:space="preserve"> highlighted in yellow are the 1</w:t>
                      </w:r>
                      <w:r w:rsidR="00EE1F79">
                        <w:t>1</w:t>
                      </w:r>
                      <w:r w:rsidRPr="00F72F1E">
                        <w:t xml:space="preserve"> </w:t>
                      </w:r>
                      <w:r>
                        <w:t>records</w:t>
                      </w:r>
                      <w:r w:rsidRPr="00F72F1E">
                        <w:t xml:space="preserve"> </w:t>
                      </w:r>
                      <w:r>
                        <w:t>centred on</w:t>
                      </w:r>
                      <w:r w:rsidRPr="00F72F1E">
                        <w:t xml:space="preserve"> the median production unit</w:t>
                      </w:r>
                      <w:r>
                        <w:t>, five records above, and five records below</w:t>
                      </w:r>
                      <w:r w:rsidR="00226C92">
                        <w:t xml:space="preserve">.  </w:t>
                      </w:r>
                      <w:r w:rsidRPr="00F72F1E">
                        <w:t xml:space="preserve">These </w:t>
                      </w:r>
                      <w:r>
                        <w:t>records</w:t>
                      </w:r>
                      <w:r w:rsidRPr="00F72F1E">
                        <w:t xml:space="preserve"> will be used to calculate the default value.</w:t>
                      </w:r>
                    </w:p>
                    <w:p w14:paraId="74947BA9" w14:textId="77777777" w:rsidR="002047BF" w:rsidRPr="00F72F1E" w:rsidRDefault="002047BF" w:rsidP="0061341E">
                      <w:r w:rsidRPr="00F72F1E">
                        <w:t>The default value is:</w:t>
                      </w:r>
                    </w:p>
                    <w:p w14:paraId="7F590750" w14:textId="63B5D1DB" w:rsidR="002047BF" w:rsidRPr="00F72F1E" w:rsidRDefault="002047BF" w:rsidP="0061341E">
                      <w:pPr>
                        <w:spacing w:after="0" w:line="360" w:lineRule="auto"/>
                        <w:ind w:firstLine="720"/>
                      </w:pPr>
                      <w:r w:rsidRPr="00F72F1E">
                        <w:rPr>
                          <w:b/>
                        </w:rPr>
                        <w:t>Default EI</w:t>
                      </w:r>
                      <w:r w:rsidRPr="00F72F1E">
                        <w:t xml:space="preserve"> </w:t>
                      </w:r>
                      <w:r w:rsidRPr="00F72F1E">
                        <w:tab/>
                      </w:r>
                      <w:r w:rsidRPr="00F72F1E">
                        <w:rPr>
                          <w:sz w:val="24"/>
                        </w:rPr>
                        <w:t>=</w:t>
                      </w:r>
                      <w:r w:rsidRPr="00F72F1E">
                        <w:t xml:space="preserve"> </w:t>
                      </w:r>
                      <m:oMath>
                        <m:f>
                          <m:fPr>
                            <m:ctrlPr>
                              <w:rPr>
                                <w:rFonts w:ascii="Cambria Math" w:hAnsi="Cambria Math" w:cs="Arial"/>
                                <w:sz w:val="32"/>
                              </w:rPr>
                            </m:ctrlPr>
                          </m:fPr>
                          <m:num>
                            <m:nary>
                              <m:naryPr>
                                <m:chr m:val="∑"/>
                                <m:limLoc m:val="undOvr"/>
                                <m:ctrlPr>
                                  <w:rPr>
                                    <w:rFonts w:ascii="Cambria Math" w:hAnsi="Cambria Math" w:cs="Arial"/>
                                    <w:sz w:val="32"/>
                                  </w:rPr>
                                </m:ctrlPr>
                              </m:naryPr>
                              <m:sub>
                                <m:r>
                                  <m:rPr>
                                    <m:sty m:val="p"/>
                                  </m:rPr>
                                  <w:rPr>
                                    <w:rFonts w:ascii="Cambria Math" w:hAnsi="Cambria Math" w:cs="Arial"/>
                                    <w:sz w:val="32"/>
                                  </w:rPr>
                                  <m:t>n=9</m:t>
                                </m:r>
                              </m:sub>
                              <m:sup>
                                <m:r>
                                  <m:rPr>
                                    <m:sty m:val="p"/>
                                  </m:rPr>
                                  <w:rPr>
                                    <w:rFonts w:ascii="Cambria Math" w:hAnsi="Cambria Math" w:cs="Arial"/>
                                    <w:sz w:val="32"/>
                                  </w:rPr>
                                  <m:t>19</m:t>
                                </m:r>
                              </m:sup>
                              <m:e>
                                <m:r>
                                  <m:rPr>
                                    <m:sty m:val="p"/>
                                  </m:rPr>
                                  <w:rPr>
                                    <w:rFonts w:ascii="Cambria Math" w:hAnsi="Cambria Math" w:cs="Arial"/>
                                    <w:sz w:val="32"/>
                                  </w:rPr>
                                  <m:t>(EI x Production)</m:t>
                                </m:r>
                              </m:e>
                            </m:nary>
                          </m:num>
                          <m:den>
                            <m:nary>
                              <m:naryPr>
                                <m:chr m:val="∑"/>
                                <m:limLoc m:val="undOvr"/>
                                <m:ctrlPr>
                                  <w:rPr>
                                    <w:rFonts w:ascii="Cambria Math" w:hAnsi="Cambria Math" w:cs="Arial"/>
                                    <w:sz w:val="32"/>
                                  </w:rPr>
                                </m:ctrlPr>
                              </m:naryPr>
                              <m:sub>
                                <m:r>
                                  <m:rPr>
                                    <m:sty m:val="p"/>
                                  </m:rPr>
                                  <w:rPr>
                                    <w:rFonts w:ascii="Cambria Math" w:hAnsi="Cambria Math" w:cs="Arial"/>
                                    <w:sz w:val="32"/>
                                  </w:rPr>
                                  <m:t>n=9</m:t>
                                </m:r>
                              </m:sub>
                              <m:sup>
                                <m:r>
                                  <m:rPr>
                                    <m:sty m:val="p"/>
                                  </m:rPr>
                                  <w:rPr>
                                    <w:rFonts w:ascii="Cambria Math" w:hAnsi="Cambria Math" w:cs="Arial"/>
                                    <w:sz w:val="32"/>
                                  </w:rPr>
                                  <m:t>19</m:t>
                                </m:r>
                              </m:sup>
                              <m:e>
                                <m:r>
                                  <m:rPr>
                                    <m:sty m:val="p"/>
                                  </m:rPr>
                                  <w:rPr>
                                    <w:rFonts w:ascii="Cambria Math" w:hAnsi="Cambria Math" w:cs="Arial"/>
                                    <w:sz w:val="32"/>
                                  </w:rPr>
                                  <m:t>Production</m:t>
                                </m:r>
                              </m:e>
                            </m:nary>
                          </m:den>
                        </m:f>
                      </m:oMath>
                    </w:p>
                    <w:p w14:paraId="157A9142" w14:textId="0AA6B266" w:rsidR="002047BF" w:rsidRPr="00F72F1E" w:rsidRDefault="002047BF" w:rsidP="0061341E">
                      <w:pPr>
                        <w:spacing w:before="100" w:after="100" w:line="360" w:lineRule="auto"/>
                      </w:pPr>
                      <w:r w:rsidRPr="00F72F1E">
                        <w:tab/>
                      </w:r>
                      <w:r w:rsidRPr="00F72F1E">
                        <w:tab/>
                      </w:r>
                      <w:r w:rsidRPr="00F72F1E">
                        <w:tab/>
                        <w:t xml:space="preserve">= </w:t>
                      </w:r>
                      <w:r w:rsidRPr="00F72F1E">
                        <w:rPr>
                          <w:b/>
                        </w:rPr>
                        <w:t>0.7</w:t>
                      </w:r>
                      <w:r w:rsidR="00EE1F79">
                        <w:rPr>
                          <w:b/>
                        </w:rPr>
                        <w:t>17</w:t>
                      </w:r>
                      <w:r w:rsidRPr="00F72F1E">
                        <w:rPr>
                          <w:b/>
                        </w:rPr>
                        <w:t xml:space="preserve"> t CO</w:t>
                      </w:r>
                      <w:r w:rsidRPr="00F72F1E">
                        <w:rPr>
                          <w:b/>
                          <w:vertAlign w:val="subscript"/>
                        </w:rPr>
                        <w:t>2</w:t>
                      </w:r>
                      <w:r w:rsidRPr="00F72F1E">
                        <w:rPr>
                          <w:b/>
                        </w:rPr>
                        <w:t>-e / t production</w:t>
                      </w:r>
                    </w:p>
                  </w:txbxContent>
                </v:textbox>
                <w10:wrap type="tight" anchorx="margin"/>
              </v:shape>
            </w:pict>
          </mc:Fallback>
        </mc:AlternateContent>
      </w:r>
    </w:p>
    <w:p w14:paraId="1DCED001" w14:textId="77777777" w:rsidR="0061341E" w:rsidRPr="0061341E" w:rsidRDefault="0061341E" w:rsidP="0061341E">
      <w:pPr>
        <w:rPr>
          <w:rFonts w:ascii="Arial" w:hAnsi="Arial" w:cs="Arial"/>
          <w:sz w:val="24"/>
          <w:szCs w:val="24"/>
        </w:rPr>
      </w:pPr>
    </w:p>
    <w:p w14:paraId="1E1BED7D" w14:textId="77777777" w:rsidR="0061341E" w:rsidRPr="0061341E" w:rsidRDefault="0061341E" w:rsidP="0061341E">
      <w:pPr>
        <w:rPr>
          <w:rFonts w:ascii="Arial" w:hAnsi="Arial" w:cs="Arial"/>
          <w:sz w:val="24"/>
          <w:szCs w:val="24"/>
        </w:rPr>
      </w:pPr>
    </w:p>
    <w:p w14:paraId="345566D4" w14:textId="77777777" w:rsidR="0061341E" w:rsidRPr="0061341E" w:rsidRDefault="0061341E" w:rsidP="0061341E">
      <w:pPr>
        <w:rPr>
          <w:rFonts w:ascii="Arial" w:hAnsi="Arial" w:cs="Arial"/>
          <w:sz w:val="24"/>
          <w:szCs w:val="24"/>
        </w:rPr>
      </w:pPr>
    </w:p>
    <w:p w14:paraId="558E721C" w14:textId="77777777" w:rsidR="0061341E" w:rsidRPr="0061341E" w:rsidRDefault="0061341E" w:rsidP="0061341E">
      <w:pPr>
        <w:rPr>
          <w:rFonts w:ascii="Arial" w:hAnsi="Arial" w:cs="Arial"/>
          <w:sz w:val="24"/>
          <w:szCs w:val="24"/>
        </w:rPr>
      </w:pPr>
    </w:p>
    <w:p w14:paraId="60E4F646" w14:textId="77777777" w:rsidR="0061341E" w:rsidRPr="0061341E" w:rsidRDefault="0061341E" w:rsidP="0061341E">
      <w:pPr>
        <w:rPr>
          <w:rFonts w:ascii="Arial" w:hAnsi="Arial" w:cs="Arial"/>
          <w:sz w:val="24"/>
          <w:szCs w:val="24"/>
        </w:rPr>
      </w:pPr>
    </w:p>
    <w:p w14:paraId="1112A76A" w14:textId="77777777" w:rsidR="0061341E" w:rsidRPr="0061341E" w:rsidRDefault="0061341E" w:rsidP="0061341E">
      <w:pPr>
        <w:rPr>
          <w:rFonts w:ascii="Arial" w:hAnsi="Arial" w:cs="Arial"/>
          <w:sz w:val="24"/>
          <w:szCs w:val="24"/>
        </w:rPr>
      </w:pPr>
    </w:p>
    <w:p w14:paraId="78F35198" w14:textId="77777777" w:rsidR="0061341E" w:rsidRPr="0061341E" w:rsidRDefault="0061341E" w:rsidP="0061341E">
      <w:pPr>
        <w:rPr>
          <w:rFonts w:ascii="Arial" w:hAnsi="Arial" w:cs="Arial"/>
          <w:sz w:val="24"/>
          <w:szCs w:val="24"/>
        </w:rPr>
      </w:pPr>
    </w:p>
    <w:p w14:paraId="4F612646" w14:textId="77777777" w:rsidR="0061341E" w:rsidRPr="0061341E" w:rsidRDefault="0061341E" w:rsidP="0061341E">
      <w:pPr>
        <w:rPr>
          <w:rFonts w:ascii="Arial" w:hAnsi="Arial" w:cs="Arial"/>
          <w:sz w:val="24"/>
          <w:szCs w:val="24"/>
        </w:rPr>
      </w:pPr>
    </w:p>
    <w:p w14:paraId="5137E992" w14:textId="77777777" w:rsidR="0061341E" w:rsidRPr="0061341E" w:rsidRDefault="0061341E" w:rsidP="0061341E">
      <w:pPr>
        <w:rPr>
          <w:rFonts w:ascii="Arial" w:hAnsi="Arial" w:cs="Arial"/>
          <w:sz w:val="24"/>
          <w:szCs w:val="24"/>
        </w:rPr>
      </w:pPr>
    </w:p>
    <w:p w14:paraId="048C074C" w14:textId="77777777" w:rsidR="0061341E" w:rsidRPr="0061341E" w:rsidRDefault="0061341E" w:rsidP="0061341E">
      <w:pPr>
        <w:rPr>
          <w:rFonts w:ascii="Arial" w:hAnsi="Arial" w:cs="Arial"/>
          <w:sz w:val="24"/>
          <w:szCs w:val="24"/>
        </w:rPr>
      </w:pPr>
    </w:p>
    <w:p w14:paraId="333FCD31" w14:textId="77777777" w:rsidR="0061341E" w:rsidRPr="0061341E" w:rsidRDefault="0061341E" w:rsidP="0061341E">
      <w:pPr>
        <w:rPr>
          <w:rFonts w:ascii="Arial" w:hAnsi="Arial" w:cs="Arial"/>
          <w:sz w:val="24"/>
          <w:szCs w:val="24"/>
        </w:rPr>
      </w:pPr>
    </w:p>
    <w:p w14:paraId="3718F674" w14:textId="77777777" w:rsidR="0061341E" w:rsidRPr="0061341E" w:rsidRDefault="0061341E" w:rsidP="0061341E">
      <w:pPr>
        <w:rPr>
          <w:rFonts w:ascii="Arial" w:hAnsi="Arial" w:cs="Arial"/>
          <w:sz w:val="24"/>
          <w:szCs w:val="24"/>
        </w:rPr>
      </w:pPr>
    </w:p>
    <w:p w14:paraId="2D4956CC" w14:textId="77777777" w:rsidR="0061341E" w:rsidRPr="0061341E" w:rsidRDefault="0061341E" w:rsidP="0061341E">
      <w:pPr>
        <w:rPr>
          <w:rFonts w:ascii="Arial" w:hAnsi="Arial" w:cs="Arial"/>
          <w:sz w:val="24"/>
          <w:szCs w:val="24"/>
        </w:rPr>
      </w:pPr>
    </w:p>
    <w:p w14:paraId="43F7F9FB" w14:textId="77777777" w:rsidR="0061341E" w:rsidRPr="0061341E" w:rsidRDefault="0061341E" w:rsidP="0061341E">
      <w:pPr>
        <w:rPr>
          <w:rFonts w:ascii="Arial" w:hAnsi="Arial" w:cs="Arial"/>
          <w:sz w:val="24"/>
          <w:szCs w:val="24"/>
        </w:rPr>
      </w:pPr>
    </w:p>
    <w:p w14:paraId="33AB1BCC" w14:textId="77777777" w:rsidR="0061341E" w:rsidRPr="0061341E" w:rsidRDefault="0061341E" w:rsidP="0061341E">
      <w:pPr>
        <w:rPr>
          <w:rFonts w:ascii="Arial" w:hAnsi="Arial" w:cs="Arial"/>
          <w:sz w:val="24"/>
          <w:szCs w:val="24"/>
        </w:rPr>
      </w:pPr>
    </w:p>
    <w:p w14:paraId="752BCD6E" w14:textId="77777777" w:rsidR="0061341E" w:rsidRPr="0061341E" w:rsidRDefault="0061341E" w:rsidP="0061341E">
      <w:pPr>
        <w:rPr>
          <w:rFonts w:ascii="Arial" w:hAnsi="Arial" w:cs="Arial"/>
          <w:sz w:val="24"/>
          <w:szCs w:val="24"/>
        </w:rPr>
      </w:pPr>
    </w:p>
    <w:p w14:paraId="1B647B3C" w14:textId="77777777" w:rsidR="0061341E" w:rsidRPr="0061341E" w:rsidRDefault="0061341E" w:rsidP="0061341E">
      <w:pPr>
        <w:rPr>
          <w:rFonts w:ascii="Arial" w:hAnsi="Arial" w:cs="Arial"/>
          <w:sz w:val="24"/>
          <w:szCs w:val="24"/>
        </w:rPr>
      </w:pPr>
    </w:p>
    <w:p w14:paraId="2284717D" w14:textId="77777777" w:rsidR="0061341E" w:rsidRPr="0061341E" w:rsidRDefault="0061341E" w:rsidP="0061341E">
      <w:pPr>
        <w:rPr>
          <w:rFonts w:ascii="Arial" w:hAnsi="Arial" w:cs="Arial"/>
          <w:sz w:val="24"/>
          <w:szCs w:val="24"/>
        </w:rPr>
      </w:pPr>
    </w:p>
    <w:p w14:paraId="52966B45" w14:textId="77777777" w:rsidR="0061341E" w:rsidRPr="0061341E" w:rsidRDefault="0061341E" w:rsidP="0061341E">
      <w:pPr>
        <w:rPr>
          <w:rFonts w:ascii="Arial" w:hAnsi="Arial" w:cs="Arial"/>
          <w:sz w:val="24"/>
          <w:szCs w:val="24"/>
        </w:rPr>
      </w:pPr>
    </w:p>
    <w:p w14:paraId="20BAA797" w14:textId="77777777" w:rsidR="0061341E" w:rsidRPr="0061341E" w:rsidRDefault="0061341E" w:rsidP="0061341E">
      <w:pPr>
        <w:rPr>
          <w:rFonts w:ascii="Arial" w:hAnsi="Arial" w:cs="Arial"/>
          <w:sz w:val="24"/>
          <w:szCs w:val="24"/>
        </w:rPr>
      </w:pPr>
    </w:p>
    <w:p w14:paraId="4FD19F72" w14:textId="77777777" w:rsidR="0061341E" w:rsidRPr="0061341E" w:rsidRDefault="0061341E" w:rsidP="0061341E">
      <w:pPr>
        <w:rPr>
          <w:rFonts w:ascii="Arial" w:hAnsi="Arial" w:cs="Arial"/>
          <w:sz w:val="24"/>
          <w:szCs w:val="24"/>
        </w:rPr>
      </w:pPr>
    </w:p>
    <w:p w14:paraId="751E7CA5" w14:textId="77777777" w:rsidR="0061341E" w:rsidRPr="0061341E" w:rsidRDefault="0061341E" w:rsidP="0061341E">
      <w:pPr>
        <w:rPr>
          <w:rFonts w:ascii="Arial" w:hAnsi="Arial" w:cs="Arial"/>
          <w:sz w:val="24"/>
          <w:szCs w:val="24"/>
        </w:rPr>
      </w:pPr>
    </w:p>
    <w:p w14:paraId="0A9C59AD" w14:textId="77777777" w:rsidR="0061341E" w:rsidRPr="0061341E" w:rsidRDefault="0061341E" w:rsidP="0061341E">
      <w:pPr>
        <w:rPr>
          <w:rFonts w:ascii="Arial" w:hAnsi="Arial" w:cs="Arial"/>
          <w:sz w:val="24"/>
          <w:szCs w:val="24"/>
        </w:rPr>
      </w:pPr>
    </w:p>
    <w:p w14:paraId="5E805581" w14:textId="77777777" w:rsidR="0061341E" w:rsidRPr="0061341E" w:rsidRDefault="0061341E" w:rsidP="0061341E">
      <w:pPr>
        <w:rPr>
          <w:rFonts w:ascii="Arial" w:hAnsi="Arial" w:cs="Arial"/>
          <w:sz w:val="24"/>
          <w:szCs w:val="24"/>
        </w:rPr>
      </w:pPr>
    </w:p>
    <w:p w14:paraId="33DC3FCF" w14:textId="5320EE39" w:rsidR="0061341E" w:rsidRDefault="0061341E" w:rsidP="0061341E">
      <w:pPr>
        <w:ind w:firstLine="720"/>
        <w:rPr>
          <w:rFonts w:ascii="Arial" w:hAnsi="Arial" w:cs="Arial"/>
          <w:sz w:val="24"/>
          <w:szCs w:val="24"/>
        </w:rPr>
      </w:pPr>
    </w:p>
    <w:p w14:paraId="28ECCFD5" w14:textId="77777777" w:rsidR="0061341E" w:rsidRDefault="0061341E" w:rsidP="0061341E">
      <w:pPr>
        <w:rPr>
          <w:rFonts w:ascii="Arial" w:hAnsi="Arial" w:cs="Arial"/>
          <w:sz w:val="24"/>
          <w:szCs w:val="24"/>
        </w:rPr>
      </w:pPr>
    </w:p>
    <w:p w14:paraId="700DDDF4" w14:textId="111B43CB" w:rsidR="00EE1F79" w:rsidRDefault="0061341E" w:rsidP="0061341E">
      <w:pPr>
        <w:rPr>
          <w:rFonts w:ascii="Arial" w:hAnsi="Arial" w:cs="Arial"/>
          <w:sz w:val="24"/>
          <w:szCs w:val="24"/>
        </w:rPr>
      </w:pPr>
      <w:r w:rsidRPr="0061341E">
        <w:rPr>
          <w:rFonts w:asciiTheme="minorHAnsi" w:eastAsiaTheme="minorHAnsi" w:hAnsiTheme="minorHAnsi" w:cstheme="minorBidi"/>
          <w:noProof/>
          <w:lang w:eastAsia="en-AU"/>
        </w:rPr>
        <w:lastRenderedPageBreak/>
        <mc:AlternateContent>
          <mc:Choice Requires="wps">
            <w:drawing>
              <wp:inline distT="0" distB="0" distL="0" distR="0" wp14:anchorId="5F392B07" wp14:editId="2F3496C4">
                <wp:extent cx="5849620" cy="5114925"/>
                <wp:effectExtent l="0" t="0" r="15875" b="2286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5114925"/>
                        </a:xfrm>
                        <a:prstGeom prst="rect">
                          <a:avLst/>
                        </a:prstGeom>
                        <a:solidFill>
                          <a:srgbClr val="FFFFFF"/>
                        </a:solidFill>
                        <a:ln w="19050">
                          <a:solidFill>
                            <a:sysClr val="windowText" lastClr="000000">
                              <a:lumMod val="100000"/>
                              <a:lumOff val="0"/>
                            </a:sysClr>
                          </a:solidFill>
                          <a:miter lim="800000"/>
                          <a:headEnd/>
                          <a:tailEnd/>
                        </a:ln>
                        <a:effectLst>
                          <a:outerShdw dist="35921" sx="1000" sy="1000" algn="ctr" rotWithShape="0">
                            <a:srgbClr val="808080"/>
                          </a:outerShdw>
                        </a:effectLst>
                      </wps:spPr>
                      <wps:txbx>
                        <w:txbxContent>
                          <w:p w14:paraId="62F200F7" w14:textId="5637DFF9" w:rsidR="002047BF" w:rsidRPr="002113A5" w:rsidRDefault="002047BF" w:rsidP="0061341E">
                            <w:pPr>
                              <w:pStyle w:val="Caption"/>
                            </w:pPr>
                            <w:r>
                              <w:t>Continued</w:t>
                            </w:r>
                            <w:r>
                              <w:rPr>
                                <w:noProof/>
                                <w:lang w:eastAsia="en-AU"/>
                              </w:rPr>
                              <w:t xml:space="preserve"> </w:t>
                            </w:r>
                          </w:p>
                          <w:p w14:paraId="791BF6AB" w14:textId="4D8720BD" w:rsidR="002047BF" w:rsidRPr="00B42530" w:rsidRDefault="00EE1F79" w:rsidP="0061341E">
                            <w:pPr>
                              <w:jc w:val="both"/>
                              <w:rPr>
                                <w:highlight w:val="yellow"/>
                              </w:rPr>
                            </w:pPr>
                            <w:r>
                              <w:rPr>
                                <w:rFonts w:ascii="Arial" w:hAnsi="Arial" w:cs="Arial"/>
                                <w:noProof/>
                                <w:sz w:val="24"/>
                                <w:szCs w:val="24"/>
                                <w:lang w:eastAsia="en-AU"/>
                              </w:rPr>
                              <w:drawing>
                                <wp:inline distT="0" distB="0" distL="0" distR="0" wp14:anchorId="53FFD963" wp14:editId="1F0F3B6A">
                                  <wp:extent cx="5647690" cy="3955221"/>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7690" cy="3955221"/>
                                          </a:xfrm>
                                          <a:prstGeom prst="rect">
                                            <a:avLst/>
                                          </a:prstGeom>
                                          <a:noFill/>
                                        </pic:spPr>
                                      </pic:pic>
                                    </a:graphicData>
                                  </a:graphic>
                                </wp:inline>
                              </w:drawing>
                            </w:r>
                          </w:p>
                          <w:p w14:paraId="40D2F063" w14:textId="730DFA20" w:rsidR="002047BF" w:rsidRPr="003D123D" w:rsidRDefault="002047BF" w:rsidP="0061341E">
                            <w:r>
                              <w:t xml:space="preserve">The graph shows emissions-intensity </w:t>
                            </w:r>
                            <w:r w:rsidRPr="002113A5">
                              <w:t xml:space="preserve">plotted by cumulative production for the example dataset. The proportion of production for </w:t>
                            </w:r>
                            <w:r>
                              <w:t>the sector</w:t>
                            </w:r>
                            <w:r w:rsidRPr="002113A5">
                              <w:t xml:space="preserve"> that contributes to the </w:t>
                            </w:r>
                            <w:r>
                              <w:t>default</w:t>
                            </w:r>
                            <w:r w:rsidRPr="002113A5">
                              <w:t xml:space="preserve"> value is indicated by the </w:t>
                            </w:r>
                            <w:r w:rsidRPr="002113A5">
                              <w:rPr>
                                <w:color w:val="FF0000"/>
                              </w:rPr>
                              <w:t>red dashed line</w:t>
                            </w:r>
                            <w:r w:rsidRPr="002113A5">
                              <w:t xml:space="preserve">. The emissions intensity </w:t>
                            </w:r>
                            <w:r>
                              <w:t>default</w:t>
                            </w:r>
                            <w:r w:rsidRPr="002113A5">
                              <w:t xml:space="preserve"> value is represented by the </w:t>
                            </w:r>
                            <w:r w:rsidRPr="00F72F1E">
                              <w:rPr>
                                <w:b/>
                              </w:rPr>
                              <w:t>black line</w:t>
                            </w:r>
                            <w:r w:rsidRPr="002113A5">
                              <w:rPr>
                                <w:color w:val="00B050"/>
                              </w:rPr>
                              <w:t xml:space="preserve"> </w:t>
                            </w:r>
                            <w:r w:rsidRPr="002113A5">
                              <w:t>(0.</w:t>
                            </w:r>
                            <w:r>
                              <w:t>7</w:t>
                            </w:r>
                            <w:r w:rsidR="00EE1F79">
                              <w:t>17</w:t>
                            </w:r>
                            <w:r w:rsidRPr="002113A5">
                              <w:t xml:space="preserve"> tonnes CO</w:t>
                            </w:r>
                            <w:r w:rsidRPr="002113A5">
                              <w:rPr>
                                <w:snapToGrid w:val="0"/>
                                <w:color w:val="000000"/>
                                <w:position w:val="-5"/>
                                <w:sz w:val="15"/>
                                <w:szCs w:val="0"/>
                                <w:u w:color="000000"/>
                              </w:rPr>
                              <w:t>2</w:t>
                            </w:r>
                            <w:r w:rsidRPr="002113A5">
                              <w:rPr>
                                <w:snapToGrid w:val="0"/>
                                <w:color w:val="000000"/>
                                <w:szCs w:val="0"/>
                                <w:u w:color="000000"/>
                              </w:rPr>
                              <w:t xml:space="preserve">-e/ </w:t>
                            </w:r>
                            <w:r>
                              <w:rPr>
                                <w:snapToGrid w:val="0"/>
                                <w:color w:val="000000"/>
                                <w:szCs w:val="0"/>
                                <w:u w:color="000000"/>
                              </w:rPr>
                              <w:t>t production</w:t>
                            </w:r>
                            <w:r w:rsidRPr="002113A5">
                              <w:rPr>
                                <w:snapToGrid w:val="0"/>
                                <w:color w:val="000000"/>
                                <w:szCs w:val="0"/>
                                <w:u w:color="000000"/>
                              </w:rPr>
                              <w:t>)</w:t>
                            </w:r>
                            <w:r w:rsidRPr="002113A5">
                              <w:t>.</w:t>
                            </w:r>
                          </w:p>
                        </w:txbxContent>
                      </wps:txbx>
                      <wps:bodyPr rot="0" vert="horz" wrap="square" lIns="91440" tIns="45720" rIns="91440" bIns="45720" anchor="t" anchorCtr="0" upright="1">
                        <a:spAutoFit/>
                      </wps:bodyPr>
                    </wps:wsp>
                  </a:graphicData>
                </a:graphic>
              </wp:inline>
            </w:drawing>
          </mc:Choice>
          <mc:Fallback>
            <w:pict>
              <v:shape w14:anchorId="5F392B07" id="Text Box 3" o:spid="_x0000_s1027" type="#_x0000_t202" style="width:460.6pt;height:4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sakwIAAC4FAAAOAAAAZHJzL2Uyb0RvYy54bWysVN9v2yAQfp+0/wHxvtpOky6x6lRdu0yT&#10;uh9SOu2ZALbRMDAgsdO/fsc5SdP1bZotIeDgu7vvvuP6Zug02UkflDUVLS5ySqThVijTVPTH4+rd&#10;nJIQmRFMWyMrupeB3izfvrnuXSkntrVaSE8AxISydxVtY3RllgXeyo6FC+ukAWNtfcciLH2TCc96&#10;QO90Nsnzq6y3XjhvuQwBdu9HI10ifl1LHr/VdZCR6IpCbBFHj+MmjdnympWNZ65V/BAG+4coOqYM&#10;OD1B3bPIyNarV1Cd4t4GW8cLbrvM1rXiEnOAbIr8r2zWLXMScwFygjvRFP4fLP+6++6JEhW9pMSw&#10;Dkr0KIdIPtiBXCZ2ehdKOLR2cCwOsA1VxkyDe7D8VyDG3rXMNPLWe9u3kgmIrkg3s7OrI05IIJv+&#10;ixXghm2jRaCh9l2iDsgggA5V2p8qk0LhsDmbTxdXEzBxsM2KYrqYzNAHK4/XnQ/xk7QdSZOKeig9&#10;wrPdQ4gpHFYejyRvwWolVkprXPhmc6c92TGQyQq/A/qLY9qQHpJb5LN8pOAFxj6cIECgwvaJSEo0&#10;CxEMkBJ+eFFvOyBhdFeM2yhE2Ae5jvuoTQg6IC7G/yKYTkXoHK26is7PIFIFPhqBcJEpPc4BR5uU&#10;qcSeAEaQ8S1ArFvRE6ESZ5ezxaSAfk01BkiYAdvjjOkG+ptHT4m38aeKLYozFeoVgfM8/QcC7dEH&#10;ZnDmHuWRFDFqIw6bAXWI2knS2VixB72Au+QlPTIwaa1/oqSHhq1o+L1lXgLDnw1oblFMp3As4mI6&#10;e5/U4s8tm3MLMxygKgoFGqd3cXwVts6rpgVPR5Xfgk5XChX0HNVB3dCUmNbhAUldf77GU8/P3PIP&#10;AAAA//8DAFBLAwQUAAYACAAAACEAI/AiVt4AAAAFAQAADwAAAGRycy9kb3ducmV2LnhtbEyPQUvD&#10;QBCF70L/wzKCF7GbBlJrzKQUoaWCIMYWPG6zYxKSnQ3ZbRv/fbde9DLweI/3vsmWo+nEiQbXWEaY&#10;TSMQxKXVDVcIu8/1wwKE84q16iwTwg85WOaTm0yl2p75g06Fr0QoYZcqhNr7PpXSlTUZ5aa2Jw7e&#10;tx2M8kEOldSDOody08k4iubSqIbDQq16eqmpbIujQZDl/etubzdF+/W43c/t2r23yRvi3e24egbh&#10;afR/YbjiB3TIA9PBHlk70SGER/zvDd5TPItBHBAWUZKAzDP5nz6/AAAA//8DAFBLAQItABQABgAI&#10;AAAAIQC2gziS/gAAAOEBAAATAAAAAAAAAAAAAAAAAAAAAABbQ29udGVudF9UeXBlc10ueG1sUEsB&#10;Ai0AFAAGAAgAAAAhADj9If/WAAAAlAEAAAsAAAAAAAAAAAAAAAAALwEAAF9yZWxzLy5yZWxzUEsB&#10;Ai0AFAAGAAgAAAAhACTwixqTAgAALgUAAA4AAAAAAAAAAAAAAAAALgIAAGRycy9lMm9Eb2MueG1s&#10;UEsBAi0AFAAGAAgAAAAhACPwIlbeAAAABQEAAA8AAAAAAAAAAAAAAAAA7QQAAGRycy9kb3ducmV2&#10;LnhtbFBLBQYAAAAABAAEAPMAAAD4BQAAAAA=&#10;" strokeweight="1.5pt">
                <v:shadow on="t" type="perspective" offset=".99781mm,0" matrix="655f,,,655f"/>
                <v:textbox style="mso-fit-shape-to-text:t">
                  <w:txbxContent>
                    <w:p w14:paraId="62F200F7" w14:textId="5637DFF9" w:rsidR="002047BF" w:rsidRPr="002113A5" w:rsidRDefault="002047BF" w:rsidP="0061341E">
                      <w:pPr>
                        <w:pStyle w:val="Caption"/>
                      </w:pPr>
                      <w:r>
                        <w:t>Continued</w:t>
                      </w:r>
                      <w:r>
                        <w:rPr>
                          <w:noProof/>
                          <w:lang w:eastAsia="en-AU"/>
                        </w:rPr>
                        <w:t xml:space="preserve"> </w:t>
                      </w:r>
                    </w:p>
                    <w:p w14:paraId="791BF6AB" w14:textId="4D8720BD" w:rsidR="002047BF" w:rsidRPr="00B42530" w:rsidRDefault="00EE1F79" w:rsidP="0061341E">
                      <w:pPr>
                        <w:jc w:val="both"/>
                        <w:rPr>
                          <w:highlight w:val="yellow"/>
                        </w:rPr>
                      </w:pPr>
                      <w:r>
                        <w:rPr>
                          <w:rFonts w:ascii="Arial" w:hAnsi="Arial" w:cs="Arial"/>
                          <w:noProof/>
                          <w:sz w:val="24"/>
                          <w:szCs w:val="24"/>
                          <w:lang w:eastAsia="en-AU"/>
                        </w:rPr>
                        <w:drawing>
                          <wp:inline distT="0" distB="0" distL="0" distR="0" wp14:anchorId="53FFD963" wp14:editId="1F0F3B6A">
                            <wp:extent cx="5647690" cy="3955221"/>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7690" cy="3955221"/>
                                    </a:xfrm>
                                    <a:prstGeom prst="rect">
                                      <a:avLst/>
                                    </a:prstGeom>
                                    <a:noFill/>
                                  </pic:spPr>
                                </pic:pic>
                              </a:graphicData>
                            </a:graphic>
                          </wp:inline>
                        </w:drawing>
                      </w:r>
                    </w:p>
                    <w:p w14:paraId="40D2F063" w14:textId="730DFA20" w:rsidR="002047BF" w:rsidRPr="003D123D" w:rsidRDefault="002047BF" w:rsidP="0061341E">
                      <w:r>
                        <w:t xml:space="preserve">The graph shows emissions-intensity </w:t>
                      </w:r>
                      <w:r w:rsidRPr="002113A5">
                        <w:t xml:space="preserve">plotted by cumulative production for the example dataset. The proportion of production for </w:t>
                      </w:r>
                      <w:r>
                        <w:t>the sector</w:t>
                      </w:r>
                      <w:r w:rsidRPr="002113A5">
                        <w:t xml:space="preserve"> that contributes to the </w:t>
                      </w:r>
                      <w:r>
                        <w:t>default</w:t>
                      </w:r>
                      <w:r w:rsidRPr="002113A5">
                        <w:t xml:space="preserve"> value is indicated by the </w:t>
                      </w:r>
                      <w:r w:rsidRPr="002113A5">
                        <w:rPr>
                          <w:color w:val="FF0000"/>
                        </w:rPr>
                        <w:t>red dashed line</w:t>
                      </w:r>
                      <w:r w:rsidRPr="002113A5">
                        <w:t xml:space="preserve">. The emissions intensity </w:t>
                      </w:r>
                      <w:r>
                        <w:t>default</w:t>
                      </w:r>
                      <w:r w:rsidRPr="002113A5">
                        <w:t xml:space="preserve"> value is represented by the </w:t>
                      </w:r>
                      <w:r w:rsidRPr="00F72F1E">
                        <w:rPr>
                          <w:b/>
                        </w:rPr>
                        <w:t>black line</w:t>
                      </w:r>
                      <w:r w:rsidRPr="002113A5">
                        <w:rPr>
                          <w:color w:val="00B050"/>
                        </w:rPr>
                        <w:t xml:space="preserve"> </w:t>
                      </w:r>
                      <w:r w:rsidRPr="002113A5">
                        <w:t>(0.</w:t>
                      </w:r>
                      <w:r>
                        <w:t>7</w:t>
                      </w:r>
                      <w:r w:rsidR="00EE1F79">
                        <w:t>17</w:t>
                      </w:r>
                      <w:r w:rsidRPr="002113A5">
                        <w:t xml:space="preserve"> tonnes CO</w:t>
                      </w:r>
                      <w:r w:rsidRPr="002113A5">
                        <w:rPr>
                          <w:snapToGrid w:val="0"/>
                          <w:color w:val="000000"/>
                          <w:position w:val="-5"/>
                          <w:sz w:val="15"/>
                          <w:szCs w:val="0"/>
                          <w:u w:color="000000"/>
                        </w:rPr>
                        <w:t>2</w:t>
                      </w:r>
                      <w:r w:rsidRPr="002113A5">
                        <w:rPr>
                          <w:snapToGrid w:val="0"/>
                          <w:color w:val="000000"/>
                          <w:szCs w:val="0"/>
                          <w:u w:color="000000"/>
                        </w:rPr>
                        <w:t xml:space="preserve">-e/ </w:t>
                      </w:r>
                      <w:r>
                        <w:rPr>
                          <w:snapToGrid w:val="0"/>
                          <w:color w:val="000000"/>
                          <w:szCs w:val="0"/>
                          <w:u w:color="000000"/>
                        </w:rPr>
                        <w:t>t production</w:t>
                      </w:r>
                      <w:r w:rsidRPr="002113A5">
                        <w:rPr>
                          <w:snapToGrid w:val="0"/>
                          <w:color w:val="000000"/>
                          <w:szCs w:val="0"/>
                          <w:u w:color="000000"/>
                        </w:rPr>
                        <w:t>)</w:t>
                      </w:r>
                      <w:r w:rsidRPr="002113A5">
                        <w:t>.</w:t>
                      </w:r>
                    </w:p>
                  </w:txbxContent>
                </v:textbox>
                <w10:anchorlock/>
              </v:shape>
            </w:pict>
          </mc:Fallback>
        </mc:AlternateContent>
      </w:r>
    </w:p>
    <w:p w14:paraId="66DA33B0" w14:textId="5969DE6F" w:rsidR="00EE1F79" w:rsidRPr="00EE1F79" w:rsidRDefault="00EE1F79" w:rsidP="00EE1F79">
      <w:pPr>
        <w:rPr>
          <w:rFonts w:ascii="Arial" w:hAnsi="Arial" w:cs="Arial"/>
          <w:sz w:val="24"/>
          <w:szCs w:val="24"/>
        </w:rPr>
      </w:pPr>
    </w:p>
    <w:p w14:paraId="5E046E34" w14:textId="57B1CE50" w:rsidR="00EE1F79" w:rsidRDefault="00EE1F79" w:rsidP="00EE1F79">
      <w:pPr>
        <w:rPr>
          <w:rFonts w:ascii="Arial" w:hAnsi="Arial" w:cs="Arial"/>
          <w:sz w:val="24"/>
          <w:szCs w:val="24"/>
        </w:rPr>
      </w:pPr>
    </w:p>
    <w:p w14:paraId="3562AFB8" w14:textId="77777777" w:rsidR="0061341E" w:rsidRPr="00EE1F79" w:rsidRDefault="0061341E" w:rsidP="00EE1F79">
      <w:pPr>
        <w:rPr>
          <w:rFonts w:ascii="Arial" w:hAnsi="Arial" w:cs="Arial"/>
          <w:sz w:val="24"/>
          <w:szCs w:val="24"/>
        </w:rPr>
      </w:pPr>
    </w:p>
    <w:sectPr w:rsidR="0061341E" w:rsidRPr="00EE1F79" w:rsidSect="00F31463">
      <w:pgSz w:w="11906" w:h="16838"/>
      <w:pgMar w:top="1134" w:right="1135" w:bottom="851" w:left="1276"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F6D1" w14:textId="77777777" w:rsidR="002047BF" w:rsidRDefault="002047BF" w:rsidP="00025181">
      <w:pPr>
        <w:spacing w:after="0" w:line="240" w:lineRule="auto"/>
      </w:pPr>
      <w:r>
        <w:separator/>
      </w:r>
    </w:p>
  </w:endnote>
  <w:endnote w:type="continuationSeparator" w:id="0">
    <w:p w14:paraId="323EFE36" w14:textId="77777777" w:rsidR="002047BF" w:rsidRDefault="002047BF" w:rsidP="00025181">
      <w:pPr>
        <w:spacing w:after="0" w:line="240" w:lineRule="auto"/>
      </w:pPr>
      <w:r>
        <w:continuationSeparator/>
      </w:r>
    </w:p>
  </w:endnote>
  <w:endnote w:type="continuationNotice" w:id="1">
    <w:p w14:paraId="00A1618A" w14:textId="77777777" w:rsidR="002047BF" w:rsidRDefault="00204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EEEA" w14:textId="77777777" w:rsidR="002047BF" w:rsidRDefault="002047BF" w:rsidP="00025181">
      <w:pPr>
        <w:spacing w:after="0" w:line="240" w:lineRule="auto"/>
      </w:pPr>
      <w:r>
        <w:separator/>
      </w:r>
    </w:p>
  </w:footnote>
  <w:footnote w:type="continuationSeparator" w:id="0">
    <w:p w14:paraId="409C0E19" w14:textId="77777777" w:rsidR="002047BF" w:rsidRDefault="002047BF" w:rsidP="00025181">
      <w:pPr>
        <w:spacing w:after="0" w:line="240" w:lineRule="auto"/>
      </w:pPr>
      <w:r>
        <w:continuationSeparator/>
      </w:r>
    </w:p>
  </w:footnote>
  <w:footnote w:type="continuationNotice" w:id="1">
    <w:p w14:paraId="49AD0505" w14:textId="77777777" w:rsidR="002047BF" w:rsidRDefault="002047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1E28BD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7B1AFB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1E84F2C"/>
    <w:multiLevelType w:val="hybridMultilevel"/>
    <w:tmpl w:val="19C02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A3A93"/>
    <w:multiLevelType w:val="singleLevel"/>
    <w:tmpl w:val="0C090005"/>
    <w:lvl w:ilvl="0">
      <w:start w:val="1"/>
      <w:numFmt w:val="bullet"/>
      <w:lvlText w:val=""/>
      <w:lvlJc w:val="left"/>
      <w:pPr>
        <w:ind w:left="360" w:hanging="360"/>
      </w:pPr>
      <w:rPr>
        <w:rFonts w:ascii="Wingdings" w:hAnsi="Wingdings" w:hint="default"/>
      </w:rPr>
    </w:lvl>
  </w:abstractNum>
  <w:abstractNum w:abstractNumId="5" w15:restartNumberingAfterBreak="0">
    <w:nsid w:val="0A405C7A"/>
    <w:multiLevelType w:val="hybridMultilevel"/>
    <w:tmpl w:val="07AE1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F2678"/>
    <w:multiLevelType w:val="hybridMultilevel"/>
    <w:tmpl w:val="BE14B53E"/>
    <w:lvl w:ilvl="0" w:tplc="72CC6D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63955"/>
    <w:multiLevelType w:val="hybridMultilevel"/>
    <w:tmpl w:val="770C8E5C"/>
    <w:lvl w:ilvl="0" w:tplc="959C031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833114"/>
    <w:multiLevelType w:val="hybridMultilevel"/>
    <w:tmpl w:val="0F8CA932"/>
    <w:lvl w:ilvl="0" w:tplc="0C4624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E47936"/>
    <w:multiLevelType w:val="singleLevel"/>
    <w:tmpl w:val="959C0314"/>
    <w:lvl w:ilvl="0">
      <w:start w:val="1"/>
      <w:numFmt w:val="bullet"/>
      <w:lvlText w:val="­"/>
      <w:lvlJc w:val="left"/>
      <w:pPr>
        <w:ind w:left="360" w:hanging="360"/>
      </w:pPr>
      <w:rPr>
        <w:rFonts w:ascii="Courier New" w:hAnsi="Courier New" w:hint="default"/>
      </w:rPr>
    </w:lvl>
  </w:abstractNum>
  <w:abstractNum w:abstractNumId="10" w15:restartNumberingAfterBreak="0">
    <w:nsid w:val="1E000E22"/>
    <w:multiLevelType w:val="hybridMultilevel"/>
    <w:tmpl w:val="26E0AD7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207572F4"/>
    <w:multiLevelType w:val="hybridMultilevel"/>
    <w:tmpl w:val="B046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C6F56"/>
    <w:multiLevelType w:val="hybridMultilevel"/>
    <w:tmpl w:val="270E8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8E6D2C"/>
    <w:multiLevelType w:val="hybridMultilevel"/>
    <w:tmpl w:val="EC64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CE73FE"/>
    <w:multiLevelType w:val="hybridMultilevel"/>
    <w:tmpl w:val="2B802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4E5515"/>
    <w:multiLevelType w:val="hybridMultilevel"/>
    <w:tmpl w:val="90B60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4E2961"/>
    <w:multiLevelType w:val="hybridMultilevel"/>
    <w:tmpl w:val="4F587968"/>
    <w:lvl w:ilvl="0" w:tplc="72CC6D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AF6B62"/>
    <w:multiLevelType w:val="hybridMultilevel"/>
    <w:tmpl w:val="B0FC5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80A1F50"/>
    <w:multiLevelType w:val="hybridMultilevel"/>
    <w:tmpl w:val="E9CAA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AF48BF"/>
    <w:multiLevelType w:val="hybridMultilevel"/>
    <w:tmpl w:val="DA185DBA"/>
    <w:lvl w:ilvl="0" w:tplc="0C090001">
      <w:start w:val="1"/>
      <w:numFmt w:val="bullet"/>
      <w:lvlText w:val=""/>
      <w:lvlJc w:val="left"/>
      <w:pPr>
        <w:ind w:left="720" w:hanging="360"/>
      </w:pPr>
      <w:rPr>
        <w:rFonts w:ascii="Symbol" w:hAnsi="Symbol" w:hint="default"/>
      </w:rPr>
    </w:lvl>
    <w:lvl w:ilvl="1" w:tplc="959C0314">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3D2ABC"/>
    <w:multiLevelType w:val="hybridMultilevel"/>
    <w:tmpl w:val="6F7C4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D416E5"/>
    <w:multiLevelType w:val="singleLevel"/>
    <w:tmpl w:val="959C0314"/>
    <w:lvl w:ilvl="0">
      <w:start w:val="1"/>
      <w:numFmt w:val="bullet"/>
      <w:lvlText w:val="­"/>
      <w:lvlJc w:val="left"/>
      <w:pPr>
        <w:ind w:left="360" w:hanging="360"/>
      </w:pPr>
      <w:rPr>
        <w:rFonts w:ascii="Courier New" w:hAnsi="Courier New" w:hint="default"/>
      </w:rPr>
    </w:lvl>
  </w:abstractNum>
  <w:abstractNum w:abstractNumId="24" w15:restartNumberingAfterBreak="0">
    <w:nsid w:val="3BD4651A"/>
    <w:multiLevelType w:val="hybridMultilevel"/>
    <w:tmpl w:val="D4BA9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5B1157"/>
    <w:multiLevelType w:val="singleLevel"/>
    <w:tmpl w:val="7B1AFBF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0100E7"/>
    <w:multiLevelType w:val="singleLevel"/>
    <w:tmpl w:val="0C090005"/>
    <w:lvl w:ilvl="0">
      <w:start w:val="1"/>
      <w:numFmt w:val="bullet"/>
      <w:lvlText w:val=""/>
      <w:lvlJc w:val="left"/>
      <w:pPr>
        <w:ind w:left="360" w:hanging="360"/>
      </w:pPr>
      <w:rPr>
        <w:rFonts w:ascii="Wingdings" w:hAnsi="Wingdings" w:hint="default"/>
      </w:rPr>
    </w:lvl>
  </w:abstractNum>
  <w:abstractNum w:abstractNumId="27" w15:restartNumberingAfterBreak="0">
    <w:nsid w:val="49AC00A2"/>
    <w:multiLevelType w:val="hybridMultilevel"/>
    <w:tmpl w:val="F4248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D1515E"/>
    <w:multiLevelType w:val="singleLevel"/>
    <w:tmpl w:val="7B1AFBF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497C86"/>
    <w:multiLevelType w:val="singleLevel"/>
    <w:tmpl w:val="7B1AFBF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455007"/>
    <w:multiLevelType w:val="hybridMultilevel"/>
    <w:tmpl w:val="CBEE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EA1399"/>
    <w:multiLevelType w:val="hybridMultilevel"/>
    <w:tmpl w:val="0D4EC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C26D57"/>
    <w:multiLevelType w:val="hybridMultilevel"/>
    <w:tmpl w:val="E920FD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456429"/>
    <w:multiLevelType w:val="multilevel"/>
    <w:tmpl w:val="E898CC72"/>
    <w:numStyleLink w:val="KeyPoints"/>
  </w:abstractNum>
  <w:abstractNum w:abstractNumId="34" w15:restartNumberingAfterBreak="0">
    <w:nsid w:val="69522E26"/>
    <w:multiLevelType w:val="hybridMultilevel"/>
    <w:tmpl w:val="61626998"/>
    <w:lvl w:ilvl="0" w:tplc="0C090001">
      <w:start w:val="1"/>
      <w:numFmt w:val="bullet"/>
      <w:lvlText w:val=""/>
      <w:lvlJc w:val="left"/>
      <w:pPr>
        <w:ind w:left="720" w:hanging="360"/>
      </w:pPr>
      <w:rPr>
        <w:rFonts w:ascii="Symbol" w:hAnsi="Symbol" w:hint="default"/>
      </w:rPr>
    </w:lvl>
    <w:lvl w:ilvl="1" w:tplc="D36EA37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F53093"/>
    <w:multiLevelType w:val="singleLevel"/>
    <w:tmpl w:val="959C0314"/>
    <w:lvl w:ilvl="0">
      <w:start w:val="1"/>
      <w:numFmt w:val="bullet"/>
      <w:lvlText w:val="­"/>
      <w:lvlJc w:val="left"/>
      <w:pPr>
        <w:ind w:left="360" w:hanging="360"/>
      </w:pPr>
      <w:rPr>
        <w:rFonts w:ascii="Courier New" w:hAnsi="Courier New" w:hint="default"/>
      </w:rPr>
    </w:lvl>
  </w:abstractNum>
  <w:abstractNum w:abstractNumId="36" w15:restartNumberingAfterBreak="0">
    <w:nsid w:val="7253188F"/>
    <w:multiLevelType w:val="hybridMultilevel"/>
    <w:tmpl w:val="AF8ACDC8"/>
    <w:lvl w:ilvl="0" w:tplc="37F890E2">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3BD5964"/>
    <w:multiLevelType w:val="hybridMultilevel"/>
    <w:tmpl w:val="4A7020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9" w15:restartNumberingAfterBreak="0">
    <w:nsid w:val="76347EC9"/>
    <w:multiLevelType w:val="singleLevel"/>
    <w:tmpl w:val="959C0314"/>
    <w:lvl w:ilvl="0">
      <w:start w:val="1"/>
      <w:numFmt w:val="bullet"/>
      <w:lvlText w:val="­"/>
      <w:lvlJc w:val="left"/>
      <w:pPr>
        <w:ind w:left="720" w:hanging="360"/>
      </w:pPr>
      <w:rPr>
        <w:rFonts w:ascii="Courier New" w:hAnsi="Courier New" w:hint="default"/>
      </w:rPr>
    </w:lvl>
  </w:abstractNum>
  <w:abstractNum w:abstractNumId="40" w15:restartNumberingAfterBreak="0">
    <w:nsid w:val="79016ACA"/>
    <w:multiLevelType w:val="hybridMultilevel"/>
    <w:tmpl w:val="37EA7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71797488">
    <w:abstractNumId w:val="38"/>
  </w:num>
  <w:num w:numId="2" w16cid:durableId="1986163023">
    <w:abstractNumId w:val="33"/>
  </w:num>
  <w:num w:numId="3" w16cid:durableId="655064990">
    <w:abstractNumId w:val="10"/>
  </w:num>
  <w:num w:numId="4" w16cid:durableId="1434745811">
    <w:abstractNumId w:val="1"/>
  </w:num>
  <w:num w:numId="5" w16cid:durableId="346445485">
    <w:abstractNumId w:val="1"/>
  </w:num>
  <w:num w:numId="6" w16cid:durableId="1869753313">
    <w:abstractNumId w:val="16"/>
  </w:num>
  <w:num w:numId="7" w16cid:durableId="280306240">
    <w:abstractNumId w:val="40"/>
  </w:num>
  <w:num w:numId="8" w16cid:durableId="1205600680">
    <w:abstractNumId w:val="8"/>
  </w:num>
  <w:num w:numId="9" w16cid:durableId="1020400876">
    <w:abstractNumId w:val="12"/>
  </w:num>
  <w:num w:numId="10" w16cid:durableId="1030495025">
    <w:abstractNumId w:val="17"/>
  </w:num>
  <w:num w:numId="11" w16cid:durableId="2096511589">
    <w:abstractNumId w:val="19"/>
  </w:num>
  <w:num w:numId="12" w16cid:durableId="1761221801">
    <w:abstractNumId w:val="36"/>
  </w:num>
  <w:num w:numId="13" w16cid:durableId="678193131">
    <w:abstractNumId w:val="31"/>
  </w:num>
  <w:num w:numId="14" w16cid:durableId="1348484749">
    <w:abstractNumId w:val="6"/>
  </w:num>
  <w:num w:numId="15" w16cid:durableId="2042127792">
    <w:abstractNumId w:val="15"/>
  </w:num>
  <w:num w:numId="16" w16cid:durableId="1969244193">
    <w:abstractNumId w:val="37"/>
  </w:num>
  <w:num w:numId="17" w16cid:durableId="557253383">
    <w:abstractNumId w:val="13"/>
  </w:num>
  <w:num w:numId="18" w16cid:durableId="1409957975">
    <w:abstractNumId w:val="20"/>
  </w:num>
  <w:num w:numId="19" w16cid:durableId="176114184">
    <w:abstractNumId w:val="32"/>
  </w:num>
  <w:num w:numId="20" w16cid:durableId="660699893">
    <w:abstractNumId w:val="5"/>
  </w:num>
  <w:num w:numId="21" w16cid:durableId="252200830">
    <w:abstractNumId w:val="24"/>
  </w:num>
  <w:num w:numId="22" w16cid:durableId="473641324">
    <w:abstractNumId w:val="33"/>
    <w:lvlOverride w:ilvl="0">
      <w:lvl w:ilvl="0">
        <w:start w:val="1"/>
        <w:numFmt w:val="decimal"/>
        <w:pStyle w:val="ListNumber"/>
        <w:lvlText w:val="%1."/>
        <w:lvlJc w:val="left"/>
        <w:pPr>
          <w:ind w:left="1449" w:hanging="369"/>
        </w:pPr>
        <w:rPr>
          <w:rFonts w:ascii="Arial" w:hAnsi="Arial" w:hint="default"/>
          <w:sz w:val="22"/>
        </w:rPr>
      </w:lvl>
    </w:lvlOverride>
  </w:num>
  <w:num w:numId="23" w16cid:durableId="599991760">
    <w:abstractNumId w:val="0"/>
  </w:num>
  <w:num w:numId="24" w16cid:durableId="418872783">
    <w:abstractNumId w:val="18"/>
  </w:num>
  <w:num w:numId="25" w16cid:durableId="227039041">
    <w:abstractNumId w:val="27"/>
  </w:num>
  <w:num w:numId="26" w16cid:durableId="118109171">
    <w:abstractNumId w:val="30"/>
  </w:num>
  <w:num w:numId="27" w16cid:durableId="2044820024">
    <w:abstractNumId w:val="21"/>
  </w:num>
  <w:num w:numId="28" w16cid:durableId="819731243">
    <w:abstractNumId w:val="34"/>
  </w:num>
  <w:num w:numId="29" w16cid:durableId="1099330869">
    <w:abstractNumId w:val="3"/>
  </w:num>
  <w:num w:numId="30" w16cid:durableId="418792723">
    <w:abstractNumId w:val="14"/>
  </w:num>
  <w:num w:numId="31" w16cid:durableId="710613246">
    <w:abstractNumId w:val="9"/>
  </w:num>
  <w:num w:numId="32" w16cid:durableId="208297837">
    <w:abstractNumId w:val="26"/>
  </w:num>
  <w:num w:numId="33" w16cid:durableId="715277460">
    <w:abstractNumId w:val="28"/>
  </w:num>
  <w:num w:numId="34" w16cid:durableId="1322544595">
    <w:abstractNumId w:val="25"/>
  </w:num>
  <w:num w:numId="35" w16cid:durableId="1692031937">
    <w:abstractNumId w:val="7"/>
  </w:num>
  <w:num w:numId="36" w16cid:durableId="214700141">
    <w:abstractNumId w:val="35"/>
  </w:num>
  <w:num w:numId="37" w16cid:durableId="1085154364">
    <w:abstractNumId w:val="29"/>
  </w:num>
  <w:num w:numId="38" w16cid:durableId="1151871891">
    <w:abstractNumId w:val="2"/>
  </w:num>
  <w:num w:numId="39" w16cid:durableId="1498032086">
    <w:abstractNumId w:val="11"/>
  </w:num>
  <w:num w:numId="40" w16cid:durableId="1116676297">
    <w:abstractNumId w:val="23"/>
  </w:num>
  <w:num w:numId="41" w16cid:durableId="1668510093">
    <w:abstractNumId w:val="4"/>
  </w:num>
  <w:num w:numId="42" w16cid:durableId="276178595">
    <w:abstractNumId w:val="39"/>
  </w:num>
  <w:num w:numId="43" w16cid:durableId="18283548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8A6"/>
    <w:rsid w:val="00000CD2"/>
    <w:rsid w:val="00003224"/>
    <w:rsid w:val="000058C0"/>
    <w:rsid w:val="00025181"/>
    <w:rsid w:val="000303D8"/>
    <w:rsid w:val="000319C7"/>
    <w:rsid w:val="000371DA"/>
    <w:rsid w:val="00040EC5"/>
    <w:rsid w:val="00042AA2"/>
    <w:rsid w:val="000523BB"/>
    <w:rsid w:val="00053F6F"/>
    <w:rsid w:val="0006020B"/>
    <w:rsid w:val="00061E50"/>
    <w:rsid w:val="00065700"/>
    <w:rsid w:val="00070B88"/>
    <w:rsid w:val="00071889"/>
    <w:rsid w:val="00075407"/>
    <w:rsid w:val="00090E17"/>
    <w:rsid w:val="00093DB8"/>
    <w:rsid w:val="000B073A"/>
    <w:rsid w:val="000B2002"/>
    <w:rsid w:val="000B30D1"/>
    <w:rsid w:val="000B4ADB"/>
    <w:rsid w:val="000C34D9"/>
    <w:rsid w:val="000C42C5"/>
    <w:rsid w:val="000D04CB"/>
    <w:rsid w:val="000D1855"/>
    <w:rsid w:val="000E3EED"/>
    <w:rsid w:val="000E639A"/>
    <w:rsid w:val="00100DA2"/>
    <w:rsid w:val="00100F5E"/>
    <w:rsid w:val="00102EB2"/>
    <w:rsid w:val="001030C3"/>
    <w:rsid w:val="00106DFA"/>
    <w:rsid w:val="00112327"/>
    <w:rsid w:val="00120942"/>
    <w:rsid w:val="00120E13"/>
    <w:rsid w:val="00125709"/>
    <w:rsid w:val="00130839"/>
    <w:rsid w:val="00132C2F"/>
    <w:rsid w:val="00133F1C"/>
    <w:rsid w:val="00137A8D"/>
    <w:rsid w:val="00140113"/>
    <w:rsid w:val="00141F5C"/>
    <w:rsid w:val="00145691"/>
    <w:rsid w:val="001500D7"/>
    <w:rsid w:val="001526A7"/>
    <w:rsid w:val="00152FB6"/>
    <w:rsid w:val="0015606E"/>
    <w:rsid w:val="001703AD"/>
    <w:rsid w:val="00180463"/>
    <w:rsid w:val="001872D3"/>
    <w:rsid w:val="00187488"/>
    <w:rsid w:val="00193C79"/>
    <w:rsid w:val="00194047"/>
    <w:rsid w:val="001A1B17"/>
    <w:rsid w:val="001A32FF"/>
    <w:rsid w:val="001B1C7A"/>
    <w:rsid w:val="001B482B"/>
    <w:rsid w:val="001B7C26"/>
    <w:rsid w:val="001C1B22"/>
    <w:rsid w:val="001C5A5C"/>
    <w:rsid w:val="001C7088"/>
    <w:rsid w:val="001E6D96"/>
    <w:rsid w:val="001F0E5D"/>
    <w:rsid w:val="001F22CC"/>
    <w:rsid w:val="001F3969"/>
    <w:rsid w:val="001F4D54"/>
    <w:rsid w:val="001F5F05"/>
    <w:rsid w:val="002047BF"/>
    <w:rsid w:val="00205123"/>
    <w:rsid w:val="0020643D"/>
    <w:rsid w:val="00206F14"/>
    <w:rsid w:val="002130E4"/>
    <w:rsid w:val="00220F08"/>
    <w:rsid w:val="00221892"/>
    <w:rsid w:val="00224E06"/>
    <w:rsid w:val="00224F1E"/>
    <w:rsid w:val="002257BD"/>
    <w:rsid w:val="00226C92"/>
    <w:rsid w:val="00232779"/>
    <w:rsid w:val="002339A7"/>
    <w:rsid w:val="00234684"/>
    <w:rsid w:val="00235E48"/>
    <w:rsid w:val="00240A8A"/>
    <w:rsid w:val="002428EE"/>
    <w:rsid w:val="00253533"/>
    <w:rsid w:val="00253A17"/>
    <w:rsid w:val="00256E6C"/>
    <w:rsid w:val="002704A9"/>
    <w:rsid w:val="00270BDF"/>
    <w:rsid w:val="00270DE8"/>
    <w:rsid w:val="0027201A"/>
    <w:rsid w:val="0027259D"/>
    <w:rsid w:val="002812AB"/>
    <w:rsid w:val="0029387E"/>
    <w:rsid w:val="0029457F"/>
    <w:rsid w:val="0029523E"/>
    <w:rsid w:val="002A0458"/>
    <w:rsid w:val="002A321B"/>
    <w:rsid w:val="002A35D5"/>
    <w:rsid w:val="002A37D5"/>
    <w:rsid w:val="002A65D3"/>
    <w:rsid w:val="002A78A4"/>
    <w:rsid w:val="002B0D09"/>
    <w:rsid w:val="002B320C"/>
    <w:rsid w:val="002B7DA4"/>
    <w:rsid w:val="002C2109"/>
    <w:rsid w:val="002C7200"/>
    <w:rsid w:val="002D1A92"/>
    <w:rsid w:val="002D72FB"/>
    <w:rsid w:val="002E7E76"/>
    <w:rsid w:val="002F2874"/>
    <w:rsid w:val="002F51D9"/>
    <w:rsid w:val="0030197C"/>
    <w:rsid w:val="00301ACC"/>
    <w:rsid w:val="00302164"/>
    <w:rsid w:val="00302B18"/>
    <w:rsid w:val="00307CC2"/>
    <w:rsid w:val="00331740"/>
    <w:rsid w:val="003362E4"/>
    <w:rsid w:val="00341C18"/>
    <w:rsid w:val="003458F4"/>
    <w:rsid w:val="00345A9F"/>
    <w:rsid w:val="00352E3F"/>
    <w:rsid w:val="00360A20"/>
    <w:rsid w:val="00363ECB"/>
    <w:rsid w:val="0036604D"/>
    <w:rsid w:val="00370CF5"/>
    <w:rsid w:val="00373709"/>
    <w:rsid w:val="00375750"/>
    <w:rsid w:val="00384708"/>
    <w:rsid w:val="003861C8"/>
    <w:rsid w:val="0039067C"/>
    <w:rsid w:val="00390D10"/>
    <w:rsid w:val="003975CC"/>
    <w:rsid w:val="003A1FE4"/>
    <w:rsid w:val="003A2AE5"/>
    <w:rsid w:val="003A2D97"/>
    <w:rsid w:val="003A435E"/>
    <w:rsid w:val="003A4D39"/>
    <w:rsid w:val="003C1416"/>
    <w:rsid w:val="003C2B8D"/>
    <w:rsid w:val="003C4719"/>
    <w:rsid w:val="003C5401"/>
    <w:rsid w:val="003C60F9"/>
    <w:rsid w:val="003D2930"/>
    <w:rsid w:val="003D4330"/>
    <w:rsid w:val="003D5D20"/>
    <w:rsid w:val="003E16F5"/>
    <w:rsid w:val="003E1D4B"/>
    <w:rsid w:val="003E2B69"/>
    <w:rsid w:val="003E5E0D"/>
    <w:rsid w:val="003F0590"/>
    <w:rsid w:val="003F0812"/>
    <w:rsid w:val="003F1A13"/>
    <w:rsid w:val="003F37B4"/>
    <w:rsid w:val="003F671E"/>
    <w:rsid w:val="003F7B48"/>
    <w:rsid w:val="003F7EEA"/>
    <w:rsid w:val="00400CBF"/>
    <w:rsid w:val="00406722"/>
    <w:rsid w:val="00407BA5"/>
    <w:rsid w:val="00426CED"/>
    <w:rsid w:val="00432EA6"/>
    <w:rsid w:val="0043462B"/>
    <w:rsid w:val="00436333"/>
    <w:rsid w:val="00455933"/>
    <w:rsid w:val="0045683F"/>
    <w:rsid w:val="00457746"/>
    <w:rsid w:val="0046320F"/>
    <w:rsid w:val="00466ACE"/>
    <w:rsid w:val="00472EB4"/>
    <w:rsid w:val="00476629"/>
    <w:rsid w:val="00480057"/>
    <w:rsid w:val="00482B88"/>
    <w:rsid w:val="004903EB"/>
    <w:rsid w:val="0049095A"/>
    <w:rsid w:val="00496745"/>
    <w:rsid w:val="004A2385"/>
    <w:rsid w:val="004A57E8"/>
    <w:rsid w:val="004B40FA"/>
    <w:rsid w:val="004C1358"/>
    <w:rsid w:val="004C2657"/>
    <w:rsid w:val="004C4DBD"/>
    <w:rsid w:val="004C7B48"/>
    <w:rsid w:val="004D4AC5"/>
    <w:rsid w:val="004D503F"/>
    <w:rsid w:val="004E0883"/>
    <w:rsid w:val="004E40BC"/>
    <w:rsid w:val="004F133A"/>
    <w:rsid w:val="004F2AF2"/>
    <w:rsid w:val="004F47F2"/>
    <w:rsid w:val="004F7EDB"/>
    <w:rsid w:val="005021A6"/>
    <w:rsid w:val="00504D71"/>
    <w:rsid w:val="00506D7A"/>
    <w:rsid w:val="00507177"/>
    <w:rsid w:val="00512263"/>
    <w:rsid w:val="00515080"/>
    <w:rsid w:val="005225AD"/>
    <w:rsid w:val="00523AF3"/>
    <w:rsid w:val="00534757"/>
    <w:rsid w:val="00537A7C"/>
    <w:rsid w:val="00547DF3"/>
    <w:rsid w:val="00551697"/>
    <w:rsid w:val="00553C64"/>
    <w:rsid w:val="00553C7A"/>
    <w:rsid w:val="00555009"/>
    <w:rsid w:val="00560EC4"/>
    <w:rsid w:val="005615E1"/>
    <w:rsid w:val="00562A8B"/>
    <w:rsid w:val="0057042C"/>
    <w:rsid w:val="00572A53"/>
    <w:rsid w:val="00573CD4"/>
    <w:rsid w:val="00574053"/>
    <w:rsid w:val="0057416B"/>
    <w:rsid w:val="00577857"/>
    <w:rsid w:val="0058049F"/>
    <w:rsid w:val="00580F2B"/>
    <w:rsid w:val="00586FCD"/>
    <w:rsid w:val="00587463"/>
    <w:rsid w:val="00595AB2"/>
    <w:rsid w:val="005A0E2C"/>
    <w:rsid w:val="005A69B3"/>
    <w:rsid w:val="005A764F"/>
    <w:rsid w:val="005C34F0"/>
    <w:rsid w:val="005C5D6D"/>
    <w:rsid w:val="005C7D76"/>
    <w:rsid w:val="005C7F57"/>
    <w:rsid w:val="005D1250"/>
    <w:rsid w:val="005D583A"/>
    <w:rsid w:val="005D7661"/>
    <w:rsid w:val="005E1DE0"/>
    <w:rsid w:val="005F7AED"/>
    <w:rsid w:val="0060051A"/>
    <w:rsid w:val="0060254C"/>
    <w:rsid w:val="006035A0"/>
    <w:rsid w:val="0061341E"/>
    <w:rsid w:val="0061400A"/>
    <w:rsid w:val="00616FA2"/>
    <w:rsid w:val="00621E06"/>
    <w:rsid w:val="00622341"/>
    <w:rsid w:val="00626A40"/>
    <w:rsid w:val="00631474"/>
    <w:rsid w:val="0063357F"/>
    <w:rsid w:val="00634E5A"/>
    <w:rsid w:val="00641673"/>
    <w:rsid w:val="00641DA9"/>
    <w:rsid w:val="0064235E"/>
    <w:rsid w:val="006430E4"/>
    <w:rsid w:val="00644B07"/>
    <w:rsid w:val="006510BC"/>
    <w:rsid w:val="00656DC4"/>
    <w:rsid w:val="00661ECC"/>
    <w:rsid w:val="00662AD6"/>
    <w:rsid w:val="006648E9"/>
    <w:rsid w:val="00665817"/>
    <w:rsid w:val="00667A07"/>
    <w:rsid w:val="006711D8"/>
    <w:rsid w:val="006713C9"/>
    <w:rsid w:val="0067547C"/>
    <w:rsid w:val="00675926"/>
    <w:rsid w:val="00676E15"/>
    <w:rsid w:val="00681257"/>
    <w:rsid w:val="006853B2"/>
    <w:rsid w:val="006873CE"/>
    <w:rsid w:val="0068762A"/>
    <w:rsid w:val="00694736"/>
    <w:rsid w:val="00695A18"/>
    <w:rsid w:val="006A43D3"/>
    <w:rsid w:val="006A7BB6"/>
    <w:rsid w:val="006B1091"/>
    <w:rsid w:val="006B1B6A"/>
    <w:rsid w:val="006B1C00"/>
    <w:rsid w:val="006B2853"/>
    <w:rsid w:val="006B7F7C"/>
    <w:rsid w:val="006C22C7"/>
    <w:rsid w:val="006C2979"/>
    <w:rsid w:val="006C4080"/>
    <w:rsid w:val="006D17AC"/>
    <w:rsid w:val="006D1F93"/>
    <w:rsid w:val="006D4825"/>
    <w:rsid w:val="006D48A6"/>
    <w:rsid w:val="006E3831"/>
    <w:rsid w:val="006E631F"/>
    <w:rsid w:val="006E73D6"/>
    <w:rsid w:val="006F276B"/>
    <w:rsid w:val="006F2EE5"/>
    <w:rsid w:val="006F42C3"/>
    <w:rsid w:val="00704EF7"/>
    <w:rsid w:val="00705D06"/>
    <w:rsid w:val="00706C7C"/>
    <w:rsid w:val="00707ABA"/>
    <w:rsid w:val="00710CDD"/>
    <w:rsid w:val="007169E8"/>
    <w:rsid w:val="00722C0B"/>
    <w:rsid w:val="007240AE"/>
    <w:rsid w:val="007245A8"/>
    <w:rsid w:val="007300BC"/>
    <w:rsid w:val="00734309"/>
    <w:rsid w:val="00736947"/>
    <w:rsid w:val="007423BB"/>
    <w:rsid w:val="00754960"/>
    <w:rsid w:val="00755EC1"/>
    <w:rsid w:val="00762B00"/>
    <w:rsid w:val="00764CEF"/>
    <w:rsid w:val="00767547"/>
    <w:rsid w:val="007737FE"/>
    <w:rsid w:val="007753F8"/>
    <w:rsid w:val="00776167"/>
    <w:rsid w:val="0077677D"/>
    <w:rsid w:val="00780039"/>
    <w:rsid w:val="00780EDA"/>
    <w:rsid w:val="00781449"/>
    <w:rsid w:val="00794D38"/>
    <w:rsid w:val="00797CFC"/>
    <w:rsid w:val="007A139B"/>
    <w:rsid w:val="007A4743"/>
    <w:rsid w:val="007B6454"/>
    <w:rsid w:val="007B7CF2"/>
    <w:rsid w:val="007D2EC2"/>
    <w:rsid w:val="007D3BD0"/>
    <w:rsid w:val="007D3CAA"/>
    <w:rsid w:val="007D3F3F"/>
    <w:rsid w:val="007D64A2"/>
    <w:rsid w:val="007E5856"/>
    <w:rsid w:val="007F447D"/>
    <w:rsid w:val="007F760B"/>
    <w:rsid w:val="0080299D"/>
    <w:rsid w:val="00803028"/>
    <w:rsid w:val="00803582"/>
    <w:rsid w:val="008064E9"/>
    <w:rsid w:val="008072E4"/>
    <w:rsid w:val="00810F7A"/>
    <w:rsid w:val="00821660"/>
    <w:rsid w:val="00822435"/>
    <w:rsid w:val="00824242"/>
    <w:rsid w:val="00837C5E"/>
    <w:rsid w:val="00840FCF"/>
    <w:rsid w:val="00841100"/>
    <w:rsid w:val="00841A32"/>
    <w:rsid w:val="00842F95"/>
    <w:rsid w:val="00850B27"/>
    <w:rsid w:val="00850BAD"/>
    <w:rsid w:val="0085716A"/>
    <w:rsid w:val="00857B08"/>
    <w:rsid w:val="0086084D"/>
    <w:rsid w:val="008611D2"/>
    <w:rsid w:val="00863E03"/>
    <w:rsid w:val="0087254D"/>
    <w:rsid w:val="00874E98"/>
    <w:rsid w:val="00880779"/>
    <w:rsid w:val="00881C8D"/>
    <w:rsid w:val="0089130C"/>
    <w:rsid w:val="0089193A"/>
    <w:rsid w:val="00892B42"/>
    <w:rsid w:val="008968F9"/>
    <w:rsid w:val="008A6584"/>
    <w:rsid w:val="008B41A2"/>
    <w:rsid w:val="008B65CB"/>
    <w:rsid w:val="008B6DDA"/>
    <w:rsid w:val="008B72BB"/>
    <w:rsid w:val="008C713C"/>
    <w:rsid w:val="008D5BA5"/>
    <w:rsid w:val="008E0951"/>
    <w:rsid w:val="008E1CB3"/>
    <w:rsid w:val="008E7958"/>
    <w:rsid w:val="008F0AED"/>
    <w:rsid w:val="008F1526"/>
    <w:rsid w:val="009005DA"/>
    <w:rsid w:val="00902B52"/>
    <w:rsid w:val="009079C5"/>
    <w:rsid w:val="00907AD9"/>
    <w:rsid w:val="00912DD4"/>
    <w:rsid w:val="00913F5E"/>
    <w:rsid w:val="0091442A"/>
    <w:rsid w:val="00924194"/>
    <w:rsid w:val="00925D07"/>
    <w:rsid w:val="009266EF"/>
    <w:rsid w:val="00927A92"/>
    <w:rsid w:val="009336C9"/>
    <w:rsid w:val="00937F68"/>
    <w:rsid w:val="00940DFF"/>
    <w:rsid w:val="009416B6"/>
    <w:rsid w:val="00941E6B"/>
    <w:rsid w:val="00947F40"/>
    <w:rsid w:val="00953C3F"/>
    <w:rsid w:val="00953FD7"/>
    <w:rsid w:val="00956412"/>
    <w:rsid w:val="0096114F"/>
    <w:rsid w:val="00961D23"/>
    <w:rsid w:val="00965E46"/>
    <w:rsid w:val="00967DED"/>
    <w:rsid w:val="00985967"/>
    <w:rsid w:val="00986F90"/>
    <w:rsid w:val="0099132C"/>
    <w:rsid w:val="009961B4"/>
    <w:rsid w:val="00997F44"/>
    <w:rsid w:val="009A68AC"/>
    <w:rsid w:val="009B0FD4"/>
    <w:rsid w:val="009B14CB"/>
    <w:rsid w:val="009B1DD4"/>
    <w:rsid w:val="009C2D10"/>
    <w:rsid w:val="009C6DB6"/>
    <w:rsid w:val="009D56EE"/>
    <w:rsid w:val="009D780F"/>
    <w:rsid w:val="009E4612"/>
    <w:rsid w:val="009E6149"/>
    <w:rsid w:val="009F05C7"/>
    <w:rsid w:val="009F1665"/>
    <w:rsid w:val="009F5AE3"/>
    <w:rsid w:val="00A00A30"/>
    <w:rsid w:val="00A02F38"/>
    <w:rsid w:val="00A0342C"/>
    <w:rsid w:val="00A05574"/>
    <w:rsid w:val="00A06C93"/>
    <w:rsid w:val="00A06EE0"/>
    <w:rsid w:val="00A11B97"/>
    <w:rsid w:val="00A127A4"/>
    <w:rsid w:val="00A2626B"/>
    <w:rsid w:val="00A27122"/>
    <w:rsid w:val="00A33BCF"/>
    <w:rsid w:val="00A45A07"/>
    <w:rsid w:val="00A5187B"/>
    <w:rsid w:val="00A5356A"/>
    <w:rsid w:val="00A6043C"/>
    <w:rsid w:val="00A61F8A"/>
    <w:rsid w:val="00A64E9E"/>
    <w:rsid w:val="00A67146"/>
    <w:rsid w:val="00A731A5"/>
    <w:rsid w:val="00A77FA1"/>
    <w:rsid w:val="00A84257"/>
    <w:rsid w:val="00A84353"/>
    <w:rsid w:val="00A8480F"/>
    <w:rsid w:val="00A84993"/>
    <w:rsid w:val="00A90CA5"/>
    <w:rsid w:val="00A911C5"/>
    <w:rsid w:val="00A92385"/>
    <w:rsid w:val="00A94898"/>
    <w:rsid w:val="00A96A92"/>
    <w:rsid w:val="00A96D1E"/>
    <w:rsid w:val="00A97E65"/>
    <w:rsid w:val="00AB0191"/>
    <w:rsid w:val="00AB0628"/>
    <w:rsid w:val="00AB1349"/>
    <w:rsid w:val="00AB14ED"/>
    <w:rsid w:val="00AB6560"/>
    <w:rsid w:val="00AC1E81"/>
    <w:rsid w:val="00AD095D"/>
    <w:rsid w:val="00AD0F3B"/>
    <w:rsid w:val="00AD3B63"/>
    <w:rsid w:val="00AD58B8"/>
    <w:rsid w:val="00AD7248"/>
    <w:rsid w:val="00AE175C"/>
    <w:rsid w:val="00AE6379"/>
    <w:rsid w:val="00AF0E78"/>
    <w:rsid w:val="00AF1D13"/>
    <w:rsid w:val="00AF2EBD"/>
    <w:rsid w:val="00AF4E4C"/>
    <w:rsid w:val="00B00A77"/>
    <w:rsid w:val="00B0509F"/>
    <w:rsid w:val="00B0699D"/>
    <w:rsid w:val="00B10279"/>
    <w:rsid w:val="00B14B3C"/>
    <w:rsid w:val="00B2116F"/>
    <w:rsid w:val="00B2634C"/>
    <w:rsid w:val="00B2669E"/>
    <w:rsid w:val="00B30739"/>
    <w:rsid w:val="00B327B2"/>
    <w:rsid w:val="00B35282"/>
    <w:rsid w:val="00B37A01"/>
    <w:rsid w:val="00B439B2"/>
    <w:rsid w:val="00B45C26"/>
    <w:rsid w:val="00B47F46"/>
    <w:rsid w:val="00B55FB3"/>
    <w:rsid w:val="00B60B55"/>
    <w:rsid w:val="00B622AB"/>
    <w:rsid w:val="00B763A6"/>
    <w:rsid w:val="00B8578A"/>
    <w:rsid w:val="00B86BCD"/>
    <w:rsid w:val="00B932DB"/>
    <w:rsid w:val="00B95651"/>
    <w:rsid w:val="00BA0FDF"/>
    <w:rsid w:val="00BA16AE"/>
    <w:rsid w:val="00BA3CFC"/>
    <w:rsid w:val="00BA4770"/>
    <w:rsid w:val="00BA4D82"/>
    <w:rsid w:val="00BA66D1"/>
    <w:rsid w:val="00BA70C1"/>
    <w:rsid w:val="00BB22B6"/>
    <w:rsid w:val="00BB2ACA"/>
    <w:rsid w:val="00BB2D01"/>
    <w:rsid w:val="00BB6AB6"/>
    <w:rsid w:val="00BC2C8A"/>
    <w:rsid w:val="00BC3344"/>
    <w:rsid w:val="00BC751B"/>
    <w:rsid w:val="00BD00AB"/>
    <w:rsid w:val="00BD3B13"/>
    <w:rsid w:val="00BE4274"/>
    <w:rsid w:val="00BE5E99"/>
    <w:rsid w:val="00BF1D60"/>
    <w:rsid w:val="00BF37B9"/>
    <w:rsid w:val="00BF629E"/>
    <w:rsid w:val="00C059BE"/>
    <w:rsid w:val="00C06042"/>
    <w:rsid w:val="00C073F5"/>
    <w:rsid w:val="00C1079C"/>
    <w:rsid w:val="00C11F2A"/>
    <w:rsid w:val="00C13163"/>
    <w:rsid w:val="00C13CF6"/>
    <w:rsid w:val="00C143CF"/>
    <w:rsid w:val="00C1454A"/>
    <w:rsid w:val="00C150C5"/>
    <w:rsid w:val="00C17AA1"/>
    <w:rsid w:val="00C2574B"/>
    <w:rsid w:val="00C3257C"/>
    <w:rsid w:val="00C35D21"/>
    <w:rsid w:val="00C36746"/>
    <w:rsid w:val="00C41F5C"/>
    <w:rsid w:val="00C474EC"/>
    <w:rsid w:val="00C535D7"/>
    <w:rsid w:val="00C60FA1"/>
    <w:rsid w:val="00C66E5B"/>
    <w:rsid w:val="00C67EB7"/>
    <w:rsid w:val="00C73AF5"/>
    <w:rsid w:val="00C82D52"/>
    <w:rsid w:val="00C87E68"/>
    <w:rsid w:val="00C93534"/>
    <w:rsid w:val="00C96F39"/>
    <w:rsid w:val="00CA0432"/>
    <w:rsid w:val="00CA46E3"/>
    <w:rsid w:val="00CA57C9"/>
    <w:rsid w:val="00CA6FA5"/>
    <w:rsid w:val="00CB15ED"/>
    <w:rsid w:val="00CB2B01"/>
    <w:rsid w:val="00CB521A"/>
    <w:rsid w:val="00CC0413"/>
    <w:rsid w:val="00CC4F07"/>
    <w:rsid w:val="00CC518C"/>
    <w:rsid w:val="00CC5C60"/>
    <w:rsid w:val="00CC6B8E"/>
    <w:rsid w:val="00CD1FEB"/>
    <w:rsid w:val="00CD736F"/>
    <w:rsid w:val="00CE3598"/>
    <w:rsid w:val="00CF1AED"/>
    <w:rsid w:val="00CF2B21"/>
    <w:rsid w:val="00D04C50"/>
    <w:rsid w:val="00D061D9"/>
    <w:rsid w:val="00D0692D"/>
    <w:rsid w:val="00D1539F"/>
    <w:rsid w:val="00D20BBD"/>
    <w:rsid w:val="00D22AC2"/>
    <w:rsid w:val="00D30DAD"/>
    <w:rsid w:val="00D37858"/>
    <w:rsid w:val="00D37EC7"/>
    <w:rsid w:val="00D42FBD"/>
    <w:rsid w:val="00D4424B"/>
    <w:rsid w:val="00D45BC9"/>
    <w:rsid w:val="00D51D05"/>
    <w:rsid w:val="00D56225"/>
    <w:rsid w:val="00D57D48"/>
    <w:rsid w:val="00D67FE5"/>
    <w:rsid w:val="00D7135F"/>
    <w:rsid w:val="00D764ED"/>
    <w:rsid w:val="00D843B2"/>
    <w:rsid w:val="00D84AF1"/>
    <w:rsid w:val="00D938EB"/>
    <w:rsid w:val="00D941E1"/>
    <w:rsid w:val="00D9789C"/>
    <w:rsid w:val="00DA5B42"/>
    <w:rsid w:val="00DB0327"/>
    <w:rsid w:val="00DB1ED1"/>
    <w:rsid w:val="00DB3AD8"/>
    <w:rsid w:val="00DB49EF"/>
    <w:rsid w:val="00DD1FB1"/>
    <w:rsid w:val="00DD2A2A"/>
    <w:rsid w:val="00DD2F9F"/>
    <w:rsid w:val="00DE1FCF"/>
    <w:rsid w:val="00DE421A"/>
    <w:rsid w:val="00DE5219"/>
    <w:rsid w:val="00DF7009"/>
    <w:rsid w:val="00E05980"/>
    <w:rsid w:val="00E110E6"/>
    <w:rsid w:val="00E132B1"/>
    <w:rsid w:val="00E2102A"/>
    <w:rsid w:val="00E22220"/>
    <w:rsid w:val="00E25E0D"/>
    <w:rsid w:val="00E317BE"/>
    <w:rsid w:val="00E3198C"/>
    <w:rsid w:val="00E31A8D"/>
    <w:rsid w:val="00E44233"/>
    <w:rsid w:val="00E525DF"/>
    <w:rsid w:val="00E61A3C"/>
    <w:rsid w:val="00E62BBC"/>
    <w:rsid w:val="00E6633D"/>
    <w:rsid w:val="00E6770B"/>
    <w:rsid w:val="00E718DE"/>
    <w:rsid w:val="00E73CFA"/>
    <w:rsid w:val="00E7631A"/>
    <w:rsid w:val="00E800D9"/>
    <w:rsid w:val="00E8572B"/>
    <w:rsid w:val="00E86B1D"/>
    <w:rsid w:val="00E92443"/>
    <w:rsid w:val="00EA0CDF"/>
    <w:rsid w:val="00EA2C13"/>
    <w:rsid w:val="00EA2F9D"/>
    <w:rsid w:val="00EB05E0"/>
    <w:rsid w:val="00EC2656"/>
    <w:rsid w:val="00ED3B08"/>
    <w:rsid w:val="00ED5CC8"/>
    <w:rsid w:val="00ED5EFF"/>
    <w:rsid w:val="00EE1250"/>
    <w:rsid w:val="00EE1F79"/>
    <w:rsid w:val="00EE5786"/>
    <w:rsid w:val="00EF3712"/>
    <w:rsid w:val="00EF4018"/>
    <w:rsid w:val="00EF7628"/>
    <w:rsid w:val="00F116B5"/>
    <w:rsid w:val="00F1418F"/>
    <w:rsid w:val="00F1552B"/>
    <w:rsid w:val="00F2398C"/>
    <w:rsid w:val="00F300AE"/>
    <w:rsid w:val="00F31463"/>
    <w:rsid w:val="00F34D19"/>
    <w:rsid w:val="00F356EB"/>
    <w:rsid w:val="00F36863"/>
    <w:rsid w:val="00F516A1"/>
    <w:rsid w:val="00F544EA"/>
    <w:rsid w:val="00F60204"/>
    <w:rsid w:val="00F620CC"/>
    <w:rsid w:val="00F62931"/>
    <w:rsid w:val="00F71D2C"/>
    <w:rsid w:val="00F72B06"/>
    <w:rsid w:val="00F76274"/>
    <w:rsid w:val="00F764D0"/>
    <w:rsid w:val="00F76782"/>
    <w:rsid w:val="00F77EBF"/>
    <w:rsid w:val="00F81D67"/>
    <w:rsid w:val="00F85756"/>
    <w:rsid w:val="00F90EC0"/>
    <w:rsid w:val="00F947D5"/>
    <w:rsid w:val="00F97614"/>
    <w:rsid w:val="00FA4947"/>
    <w:rsid w:val="00FA4FFC"/>
    <w:rsid w:val="00FA67FF"/>
    <w:rsid w:val="00FA701F"/>
    <w:rsid w:val="00FB4940"/>
    <w:rsid w:val="00FC154A"/>
    <w:rsid w:val="00FC6CB6"/>
    <w:rsid w:val="00FD0F92"/>
    <w:rsid w:val="00FD4834"/>
    <w:rsid w:val="00FD7533"/>
    <w:rsid w:val="00FD7A11"/>
    <w:rsid w:val="00FE27EB"/>
    <w:rsid w:val="00FE2E05"/>
    <w:rsid w:val="00FE7636"/>
    <w:rsid w:val="00FF2CE1"/>
    <w:rsid w:val="00FF678A"/>
    <w:rsid w:val="00FF7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3E6B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8A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95AB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95AB2"/>
    <w:pPr>
      <w:spacing w:before="360" w:after="120" w:line="240" w:lineRule="auto"/>
      <w:jc w:val="center"/>
      <w:outlineLvl w:val="1"/>
    </w:pPr>
    <w:rPr>
      <w:rFonts w:ascii="Times New Roman" w:eastAsia="Times New Roman" w:hAnsi="Times New Roman" w:cstheme="minorBidi"/>
      <w:b/>
      <w:sz w:val="28"/>
      <w:szCs w:val="28"/>
    </w:rPr>
  </w:style>
  <w:style w:type="paragraph" w:styleId="Heading3">
    <w:name w:val="heading 3"/>
    <w:basedOn w:val="Normal"/>
    <w:next w:val="Normal"/>
    <w:link w:val="Heading3Char"/>
    <w:uiPriority w:val="9"/>
    <w:semiHidden/>
    <w:unhideWhenUsed/>
    <w:qFormat/>
    <w:rsid w:val="00595AB2"/>
    <w:pPr>
      <w:spacing w:before="120" w:after="120" w:line="240" w:lineRule="auto"/>
      <w:jc w:val="both"/>
      <w:outlineLvl w:val="2"/>
    </w:pPr>
    <w:rPr>
      <w:rFonts w:ascii="Times New Roman" w:eastAsia="Times New Roman" w:hAnsi="Times New Roman" w:cstheme="min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48A6"/>
    <w:pPr>
      <w:spacing w:before="60" w:after="24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6D48A6"/>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595AB2"/>
    <w:rPr>
      <w:sz w:val="16"/>
      <w:szCs w:val="16"/>
    </w:rPr>
  </w:style>
  <w:style w:type="paragraph" w:styleId="CommentText">
    <w:name w:val="annotation text"/>
    <w:basedOn w:val="Normal"/>
    <w:link w:val="CommentTextChar"/>
    <w:uiPriority w:val="99"/>
    <w:unhideWhenUsed/>
    <w:rsid w:val="00595AB2"/>
    <w:pPr>
      <w:spacing w:line="240" w:lineRule="auto"/>
    </w:pPr>
    <w:rPr>
      <w:sz w:val="20"/>
      <w:szCs w:val="20"/>
    </w:rPr>
  </w:style>
  <w:style w:type="character" w:customStyle="1" w:styleId="CommentTextChar">
    <w:name w:val="Comment Text Char"/>
    <w:basedOn w:val="DefaultParagraphFont"/>
    <w:link w:val="CommentText"/>
    <w:uiPriority w:val="99"/>
    <w:rsid w:val="00595A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5AB2"/>
    <w:rPr>
      <w:b/>
      <w:bCs/>
    </w:rPr>
  </w:style>
  <w:style w:type="character" w:customStyle="1" w:styleId="CommentSubjectChar">
    <w:name w:val="Comment Subject Char"/>
    <w:basedOn w:val="CommentTextChar"/>
    <w:link w:val="CommentSubject"/>
    <w:uiPriority w:val="99"/>
    <w:semiHidden/>
    <w:rsid w:val="00595AB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95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AB2"/>
    <w:rPr>
      <w:rFonts w:ascii="Segoe UI" w:eastAsia="Calibri" w:hAnsi="Segoe UI" w:cs="Segoe UI"/>
      <w:sz w:val="18"/>
      <w:szCs w:val="18"/>
    </w:rPr>
  </w:style>
  <w:style w:type="paragraph" w:customStyle="1" w:styleId="Default">
    <w:name w:val="Default"/>
    <w:rsid w:val="00595A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95AB2"/>
    <w:rPr>
      <w:color w:val="0563C1" w:themeColor="hyperlink"/>
      <w:u w:val="single"/>
    </w:rPr>
  </w:style>
  <w:style w:type="character" w:customStyle="1" w:styleId="Heading1Char">
    <w:name w:val="Heading 1 Char"/>
    <w:basedOn w:val="DefaultParagraphFont"/>
    <w:link w:val="Heading1"/>
    <w:uiPriority w:val="9"/>
    <w:rsid w:val="00595AB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95AB2"/>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595AB2"/>
    <w:rPr>
      <w:rFonts w:ascii="Times New Roman" w:eastAsia="Times New Roman" w:hAnsi="Times New Roman"/>
      <w:b/>
      <w:sz w:val="24"/>
      <w:szCs w:val="24"/>
    </w:rPr>
  </w:style>
  <w:style w:type="paragraph" w:styleId="Header">
    <w:name w:val="header"/>
    <w:basedOn w:val="Normal"/>
    <w:link w:val="HeaderChar"/>
    <w:uiPriority w:val="99"/>
    <w:unhideWhenUsed/>
    <w:rsid w:val="00595AB2"/>
    <w:pPr>
      <w:tabs>
        <w:tab w:val="center" w:pos="4513"/>
        <w:tab w:val="right" w:pos="9026"/>
      </w:tabs>
    </w:pPr>
  </w:style>
  <w:style w:type="character" w:customStyle="1" w:styleId="HeaderChar">
    <w:name w:val="Header Char"/>
    <w:basedOn w:val="DefaultParagraphFont"/>
    <w:link w:val="Header"/>
    <w:uiPriority w:val="99"/>
    <w:rsid w:val="00595AB2"/>
    <w:rPr>
      <w:rFonts w:ascii="Calibri" w:eastAsia="Calibri" w:hAnsi="Calibri" w:cs="Times New Roman"/>
    </w:rPr>
  </w:style>
  <w:style w:type="character" w:styleId="FollowedHyperlink">
    <w:name w:val="FollowedHyperlink"/>
    <w:basedOn w:val="DefaultParagraphFont"/>
    <w:uiPriority w:val="99"/>
    <w:semiHidden/>
    <w:unhideWhenUsed/>
    <w:rsid w:val="00120E13"/>
    <w:rPr>
      <w:color w:val="954F72" w:themeColor="followedHyperlink"/>
      <w:u w:val="single"/>
    </w:rPr>
  </w:style>
  <w:style w:type="numbering" w:customStyle="1" w:styleId="KeyPoints">
    <w:name w:val="Key Points"/>
    <w:basedOn w:val="NoList"/>
    <w:uiPriority w:val="99"/>
    <w:rsid w:val="006853B2"/>
    <w:pPr>
      <w:numPr>
        <w:numId w:val="1"/>
      </w:numPr>
    </w:pPr>
  </w:style>
  <w:style w:type="paragraph" w:styleId="ListNumber">
    <w:name w:val="List Number"/>
    <w:basedOn w:val="Normal"/>
    <w:uiPriority w:val="99"/>
    <w:qFormat/>
    <w:rsid w:val="006853B2"/>
    <w:pPr>
      <w:numPr>
        <w:numId w:val="22"/>
      </w:numPr>
    </w:pPr>
    <w:rPr>
      <w:rFonts w:ascii="Arial" w:hAnsi="Arial"/>
    </w:rPr>
  </w:style>
  <w:style w:type="paragraph" w:styleId="ListNumber2">
    <w:name w:val="List Number 2"/>
    <w:basedOn w:val="Normal"/>
    <w:uiPriority w:val="99"/>
    <w:rsid w:val="006853B2"/>
    <w:pPr>
      <w:numPr>
        <w:ilvl w:val="1"/>
        <w:numId w:val="22"/>
      </w:numPr>
    </w:pPr>
    <w:rPr>
      <w:rFonts w:ascii="Arial" w:hAnsi="Arial"/>
    </w:rPr>
  </w:style>
  <w:style w:type="paragraph" w:styleId="ListNumber3">
    <w:name w:val="List Number 3"/>
    <w:basedOn w:val="Normal"/>
    <w:uiPriority w:val="99"/>
    <w:rsid w:val="006853B2"/>
    <w:pPr>
      <w:numPr>
        <w:ilvl w:val="2"/>
        <w:numId w:val="22"/>
      </w:numPr>
    </w:pPr>
    <w:rPr>
      <w:rFonts w:ascii="Arial" w:hAnsi="Arial"/>
    </w:rPr>
  </w:style>
  <w:style w:type="paragraph" w:styleId="ListNumber4">
    <w:name w:val="List Number 4"/>
    <w:basedOn w:val="Normal"/>
    <w:uiPriority w:val="99"/>
    <w:rsid w:val="006853B2"/>
    <w:pPr>
      <w:numPr>
        <w:ilvl w:val="3"/>
        <w:numId w:val="22"/>
      </w:numPr>
    </w:pPr>
    <w:rPr>
      <w:rFonts w:ascii="Arial" w:hAnsi="Arial"/>
    </w:rPr>
  </w:style>
  <w:style w:type="paragraph" w:styleId="ListNumber5">
    <w:name w:val="List Number 5"/>
    <w:basedOn w:val="Normal"/>
    <w:uiPriority w:val="99"/>
    <w:rsid w:val="006853B2"/>
    <w:pPr>
      <w:numPr>
        <w:ilvl w:val="4"/>
        <w:numId w:val="22"/>
      </w:numPr>
    </w:pPr>
    <w:rPr>
      <w:rFonts w:ascii="Arial" w:hAnsi="Arial"/>
    </w:rPr>
  </w:style>
  <w:style w:type="paragraph" w:styleId="ListBullet2">
    <w:name w:val="List Bullet 2"/>
    <w:basedOn w:val="Normal"/>
    <w:uiPriority w:val="99"/>
    <w:unhideWhenUsed/>
    <w:qFormat/>
    <w:rsid w:val="006853B2"/>
    <w:rPr>
      <w:rFonts w:ascii="Arial" w:hAnsi="Arial"/>
    </w:rPr>
  </w:style>
  <w:style w:type="paragraph" w:styleId="ListBullet">
    <w:name w:val="List Bullet"/>
    <w:basedOn w:val="Normal"/>
    <w:uiPriority w:val="99"/>
    <w:unhideWhenUsed/>
    <w:qFormat/>
    <w:rsid w:val="006853B2"/>
    <w:pPr>
      <w:numPr>
        <w:numId w:val="4"/>
      </w:numPr>
      <w:contextualSpacing/>
    </w:pPr>
  </w:style>
  <w:style w:type="paragraph" w:styleId="ListParagraph">
    <w:name w:val="List Paragraph"/>
    <w:basedOn w:val="Normal"/>
    <w:link w:val="ListParagraphChar"/>
    <w:uiPriority w:val="34"/>
    <w:qFormat/>
    <w:rsid w:val="006F2EE5"/>
    <w:pPr>
      <w:ind w:left="720"/>
      <w:contextualSpacing/>
    </w:pPr>
  </w:style>
  <w:style w:type="paragraph" w:styleId="Revision">
    <w:name w:val="Revision"/>
    <w:hidden/>
    <w:uiPriority w:val="99"/>
    <w:semiHidden/>
    <w:rsid w:val="00586FCD"/>
    <w:pPr>
      <w:spacing w:after="0" w:line="240" w:lineRule="auto"/>
    </w:pPr>
    <w:rPr>
      <w:rFonts w:ascii="Calibri" w:eastAsia="Calibri" w:hAnsi="Calibri" w:cs="Times New Roman"/>
    </w:rPr>
  </w:style>
  <w:style w:type="table" w:styleId="TableGrid">
    <w:name w:val="Table Grid"/>
    <w:basedOn w:val="TableNormal"/>
    <w:uiPriority w:val="39"/>
    <w:rsid w:val="00120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181"/>
    <w:rPr>
      <w:rFonts w:ascii="Calibri" w:eastAsia="Calibri" w:hAnsi="Calibri" w:cs="Times New Roman"/>
    </w:rPr>
  </w:style>
  <w:style w:type="character" w:customStyle="1" w:styleId="ListParagraphChar">
    <w:name w:val="List Paragraph Char"/>
    <w:link w:val="ListParagraph"/>
    <w:uiPriority w:val="34"/>
    <w:rsid w:val="002812AB"/>
    <w:rPr>
      <w:rFonts w:ascii="Calibri" w:eastAsia="Calibri" w:hAnsi="Calibri" w:cs="Times New Roman"/>
    </w:rPr>
  </w:style>
  <w:style w:type="table" w:customStyle="1" w:styleId="TableGridLight1">
    <w:name w:val="Table Grid Light1"/>
    <w:basedOn w:val="TableNormal"/>
    <w:next w:val="TableGridLight"/>
    <w:uiPriority w:val="40"/>
    <w:rsid w:val="00D56225"/>
    <w:pPr>
      <w:spacing w:after="0" w:line="240" w:lineRule="auto"/>
    </w:pPr>
    <w:rPr>
      <w:rFonts w:ascii="Arial" w:eastAsia="Calibri" w:hAnsi="Arial"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562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D56225"/>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FootnoteText">
    <w:name w:val="footnote text"/>
    <w:basedOn w:val="Normal"/>
    <w:link w:val="FootnoteTextChar"/>
    <w:uiPriority w:val="99"/>
    <w:semiHidden/>
    <w:unhideWhenUsed/>
    <w:rsid w:val="00D562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22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56225"/>
    <w:rPr>
      <w:vertAlign w:val="superscript"/>
    </w:rPr>
  </w:style>
  <w:style w:type="paragraph" w:styleId="ListBullet3">
    <w:name w:val="List Bullet 3"/>
    <w:basedOn w:val="Normal"/>
    <w:uiPriority w:val="99"/>
    <w:unhideWhenUsed/>
    <w:rsid w:val="00480057"/>
    <w:pPr>
      <w:numPr>
        <w:numId w:val="23"/>
      </w:numPr>
      <w:contextualSpacing/>
    </w:pPr>
  </w:style>
  <w:style w:type="paragraph" w:styleId="Caption">
    <w:name w:val="caption"/>
    <w:basedOn w:val="Normal"/>
    <w:next w:val="Normal"/>
    <w:uiPriority w:val="35"/>
    <w:unhideWhenUsed/>
    <w:qFormat/>
    <w:rsid w:val="00480057"/>
    <w:pPr>
      <w:keepNext/>
      <w:spacing w:line="240" w:lineRule="auto"/>
    </w:pPr>
    <w:rPr>
      <w:rFonts w:ascii="Arial" w:hAnsi="Arial"/>
      <w:b/>
      <w:bCs/>
      <w:szCs w:val="18"/>
    </w:rPr>
  </w:style>
  <w:style w:type="numbering" w:customStyle="1" w:styleId="BulletList">
    <w:name w:val="Bullet List"/>
    <w:uiPriority w:val="99"/>
    <w:rsid w:val="003F0590"/>
    <w:pPr>
      <w:numPr>
        <w:numId w:val="38"/>
      </w:numPr>
    </w:pPr>
  </w:style>
  <w:style w:type="paragraph" w:styleId="ListBullet4">
    <w:name w:val="List Bullet 4"/>
    <w:basedOn w:val="Normal"/>
    <w:uiPriority w:val="99"/>
    <w:unhideWhenUsed/>
    <w:rsid w:val="003F0590"/>
    <w:pPr>
      <w:ind w:left="1474" w:hanging="368"/>
    </w:pPr>
    <w:rPr>
      <w:rFonts w:ascii="Arial" w:hAnsi="Arial"/>
    </w:rPr>
  </w:style>
  <w:style w:type="paragraph" w:styleId="ListBullet5">
    <w:name w:val="List Bullet 5"/>
    <w:basedOn w:val="Normal"/>
    <w:uiPriority w:val="99"/>
    <w:unhideWhenUsed/>
    <w:rsid w:val="003F0590"/>
    <w:pPr>
      <w:ind w:left="1800" w:hanging="36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5318">
      <w:bodyDiv w:val="1"/>
      <w:marLeft w:val="0"/>
      <w:marRight w:val="0"/>
      <w:marTop w:val="0"/>
      <w:marBottom w:val="0"/>
      <w:divBdr>
        <w:top w:val="none" w:sz="0" w:space="0" w:color="auto"/>
        <w:left w:val="none" w:sz="0" w:space="0" w:color="auto"/>
        <w:bottom w:val="none" w:sz="0" w:space="0" w:color="auto"/>
        <w:right w:val="none" w:sz="0" w:space="0" w:color="auto"/>
      </w:divBdr>
    </w:div>
    <w:div w:id="921110605">
      <w:bodyDiv w:val="1"/>
      <w:marLeft w:val="0"/>
      <w:marRight w:val="0"/>
      <w:marTop w:val="0"/>
      <w:marBottom w:val="0"/>
      <w:divBdr>
        <w:top w:val="none" w:sz="0" w:space="0" w:color="auto"/>
        <w:left w:val="none" w:sz="0" w:space="0" w:color="auto"/>
        <w:bottom w:val="none" w:sz="0" w:space="0" w:color="auto"/>
        <w:right w:val="none" w:sz="0" w:space="0" w:color="auto"/>
      </w:divBdr>
    </w:div>
    <w:div w:id="1010914869">
      <w:bodyDiv w:val="1"/>
      <w:marLeft w:val="0"/>
      <w:marRight w:val="0"/>
      <w:marTop w:val="0"/>
      <w:marBottom w:val="0"/>
      <w:divBdr>
        <w:top w:val="none" w:sz="0" w:space="0" w:color="auto"/>
        <w:left w:val="none" w:sz="0" w:space="0" w:color="auto"/>
        <w:bottom w:val="none" w:sz="0" w:space="0" w:color="auto"/>
        <w:right w:val="none" w:sz="0" w:space="0" w:color="auto"/>
      </w:divBdr>
    </w:div>
    <w:div w:id="1164013422">
      <w:bodyDiv w:val="1"/>
      <w:marLeft w:val="0"/>
      <w:marRight w:val="0"/>
      <w:marTop w:val="0"/>
      <w:marBottom w:val="0"/>
      <w:divBdr>
        <w:top w:val="none" w:sz="0" w:space="0" w:color="auto"/>
        <w:left w:val="none" w:sz="0" w:space="0" w:color="auto"/>
        <w:bottom w:val="none" w:sz="0" w:space="0" w:color="auto"/>
        <w:right w:val="none" w:sz="0" w:space="0" w:color="auto"/>
      </w:divBdr>
    </w:div>
    <w:div w:id="1198814136">
      <w:bodyDiv w:val="1"/>
      <w:marLeft w:val="0"/>
      <w:marRight w:val="0"/>
      <w:marTop w:val="0"/>
      <w:marBottom w:val="0"/>
      <w:divBdr>
        <w:top w:val="none" w:sz="0" w:space="0" w:color="auto"/>
        <w:left w:val="none" w:sz="0" w:space="0" w:color="auto"/>
        <w:bottom w:val="none" w:sz="0" w:space="0" w:color="auto"/>
        <w:right w:val="none" w:sz="0" w:space="0" w:color="auto"/>
      </w:divBdr>
    </w:div>
    <w:div w:id="1415394741">
      <w:bodyDiv w:val="1"/>
      <w:marLeft w:val="0"/>
      <w:marRight w:val="0"/>
      <w:marTop w:val="0"/>
      <w:marBottom w:val="0"/>
      <w:divBdr>
        <w:top w:val="none" w:sz="0" w:space="0" w:color="auto"/>
        <w:left w:val="none" w:sz="0" w:space="0" w:color="auto"/>
        <w:bottom w:val="none" w:sz="0" w:space="0" w:color="auto"/>
        <w:right w:val="none" w:sz="0" w:space="0" w:color="auto"/>
      </w:divBdr>
    </w:div>
    <w:div w:id="1577400401">
      <w:bodyDiv w:val="1"/>
      <w:marLeft w:val="0"/>
      <w:marRight w:val="0"/>
      <w:marTop w:val="0"/>
      <w:marBottom w:val="0"/>
      <w:divBdr>
        <w:top w:val="none" w:sz="0" w:space="0" w:color="auto"/>
        <w:left w:val="none" w:sz="0" w:space="0" w:color="auto"/>
        <w:bottom w:val="none" w:sz="0" w:space="0" w:color="auto"/>
        <w:right w:val="none" w:sz="0" w:space="0" w:color="auto"/>
      </w:divBdr>
    </w:div>
    <w:div w:id="20313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8430d0f-47e2-4fb7-b3bb-dd4f7c79b414">002413653</RecordNumber>
    <IconOverlay xmlns="http://schemas.microsoft.com/sharepoint/v4" xsi:nil="true"/>
    <Approval xmlns="d8430d0f-47e2-4fb7-b3bb-dd4f7c79b414" xsi:nil="true"/>
    <Function xmlns="d8430d0f-47e2-4fb7-b3bb-dd4f7c79b414" xsi:nil="true"/>
    <DocumentDescription xmlns="d8430d0f-47e2-4fb7-b3bb-dd4f7c79b4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53158623521E02459344FD72CDD99ED60070F63910BEF1374ABFFA24B2D37CD0E8" ma:contentTypeVersion="5" ma:contentTypeDescription="SPIRE Document" ma:contentTypeScope="" ma:versionID="6c62294be992b3ee20392d018ce0bbdb">
  <xsd:schema xmlns:xsd="http://www.w3.org/2001/XMLSchema" xmlns:xs="http://www.w3.org/2001/XMLSchema" xmlns:p="http://schemas.microsoft.com/office/2006/metadata/properties" xmlns:ns2="d8430d0f-47e2-4fb7-b3bb-dd4f7c79b414" xmlns:ns3="http://schemas.microsoft.com/sharepoint/v4" targetNamespace="http://schemas.microsoft.com/office/2006/metadata/properties" ma:root="true" ma:fieldsID="bc7f9b0746c72335ffb69749fd7f70ea" ns2:_="" ns3:_="">
    <xsd:import namespace="d8430d0f-47e2-4fb7-b3bb-dd4f7c79b41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0d0f-47e2-4fb7-b3bb-dd4f7c79b41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AAF0-063B-4C69-8D06-9FDD5D494E54}">
  <ds:schemaRefs>
    <ds:schemaRef ds:uri="http://schemas.microsoft.com/sharepoint/v3/contenttype/forms"/>
  </ds:schemaRefs>
</ds:datastoreItem>
</file>

<file path=customXml/itemProps2.xml><?xml version="1.0" encoding="utf-8"?>
<ds:datastoreItem xmlns:ds="http://schemas.openxmlformats.org/officeDocument/2006/customXml" ds:itemID="{31D99C23-E5EE-4FA2-AF26-95A8E3040554}">
  <ds:schemaRefs>
    <ds:schemaRef ds:uri="http://schemas.microsoft.com/office/2006/metadata/properties"/>
    <ds:schemaRef ds:uri="http://schemas.microsoft.com/office/infopath/2007/PartnerControls"/>
    <ds:schemaRef ds:uri="d8430d0f-47e2-4fb7-b3bb-dd4f7c79b414"/>
    <ds:schemaRef ds:uri="http://schemas.microsoft.com/sharepoint/v4"/>
  </ds:schemaRefs>
</ds:datastoreItem>
</file>

<file path=customXml/itemProps3.xml><?xml version="1.0" encoding="utf-8"?>
<ds:datastoreItem xmlns:ds="http://schemas.openxmlformats.org/officeDocument/2006/customXml" ds:itemID="{0E70DFD7-49DE-461C-B481-0BAB670D4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0d0f-47e2-4fb7-b3bb-dd4f7c79b4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8AE65-22C7-49B8-BC7E-2B529F14C5C5}">
  <ds:schemaRefs>
    <ds:schemaRef ds:uri="http://schemas.microsoft.com/office/2006/metadata/customXsn"/>
  </ds:schemaRefs>
</ds:datastoreItem>
</file>

<file path=customXml/itemProps5.xml><?xml version="1.0" encoding="utf-8"?>
<ds:datastoreItem xmlns:ds="http://schemas.openxmlformats.org/officeDocument/2006/customXml" ds:itemID="{CCFEE5EA-7571-45CE-8A31-79BA601433B1}">
  <ds:schemaRefs>
    <ds:schemaRef ds:uri="http://schemas.microsoft.com/sharepoint/events"/>
  </ds:schemaRefs>
</ds:datastoreItem>
</file>

<file path=customXml/itemProps6.xml><?xml version="1.0" encoding="utf-8"?>
<ds:datastoreItem xmlns:ds="http://schemas.openxmlformats.org/officeDocument/2006/customXml" ds:itemID="{A09E1AC3-1396-47DB-B20D-F771B20A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Default values - Process - Framework document - FINAL</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values - Process - Framework document - FINAL</dc:title>
  <dc:subject/>
  <dc:creator/>
  <cp:keywords/>
  <dc:description/>
  <cp:lastModifiedBy/>
  <cp:revision>1</cp:revision>
  <dcterms:created xsi:type="dcterms:W3CDTF">2023-07-13T07:02:00Z</dcterms:created>
  <dcterms:modified xsi:type="dcterms:W3CDTF">2023-07-13T07:02:00Z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0x01010053158623521E02459344FD72CDD99ED60070F63910BEF1374ABFFA24B2D37CD0E8</vt:lpwstr>
  </property>
  <property fmtid="{D5CDD505-2E9C-101B-9397-08002B2CF9AE}" pid="3" name="RecordPoint_ActiveItemUniqueId">
    <vt:lpwstr>{e9fc59f4-ab8e-4103-88a5-412114c8c9aa}</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{6b1783c5-c994-4964-80d8-d975877aea85}</vt:lpwstr>
  </property>
  <property fmtid="{D5CDD505-2E9C-101B-9397-08002B2CF9AE}" pid="7" name="RecordPoint_ActiveItemWebId">
    <vt:lpwstr>{95896362-88ff-4a5a-baa5-b7ccbdc85523}</vt:lpwstr>
  </property>
  <property fmtid="{D5CDD505-2E9C-101B-9397-08002B2CF9AE}" pid="8" name="RecordPoint_SubmissionDate">
    <vt:lpwstr/>
  </property>
  <property fmtid="{D5CDD505-2E9C-101B-9397-08002B2CF9AE}" pid="9" name="RecordPoint_RecordNumberSubmitted">
    <vt:lpwstr>002413653</vt:lpwstr>
  </property>
  <property fmtid="{D5CDD505-2E9C-101B-9397-08002B2CF9AE}" pid="10" name="RecordPoint_ActiveItemMoved">
    <vt:lpwstr/>
  </property>
  <property fmtid="{D5CDD505-2E9C-101B-9397-08002B2CF9AE}" pid="11" name="RecordPoint_SubmissionCompleted">
    <vt:lpwstr>2019-08-24T20:55:46.4981033+10:00</vt:lpwstr>
  </property>
  <property fmtid="{D5CDD505-2E9C-101B-9397-08002B2CF9AE}" pid="12" name="RecordPoint_RecordFormat">
    <vt:lpwstr/>
  </property>
</Properties>
</file>