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941A" w14:textId="77777777" w:rsidR="0001291E" w:rsidRDefault="0001291E" w:rsidP="0001291E">
      <w:pPr>
        <w:pStyle w:val="NoSpacing"/>
        <w:rPr>
          <w:b/>
          <w:bCs/>
          <w:color w:val="4472C4" w:themeColor="accent1"/>
          <w:sz w:val="44"/>
          <w:szCs w:val="44"/>
        </w:rPr>
      </w:pPr>
    </w:p>
    <w:p w14:paraId="1FAB918C" w14:textId="77777777" w:rsidR="0001291E" w:rsidRDefault="0001291E" w:rsidP="0001291E">
      <w:pPr>
        <w:pStyle w:val="NoSpacing"/>
        <w:rPr>
          <w:b/>
          <w:bCs/>
          <w:color w:val="4472C4" w:themeColor="accent1"/>
          <w:sz w:val="44"/>
          <w:szCs w:val="44"/>
        </w:rPr>
      </w:pPr>
      <w:r w:rsidRPr="00180BF8">
        <w:rPr>
          <w:noProof/>
          <w:lang w:eastAsia="en-AU"/>
        </w:rPr>
        <w:drawing>
          <wp:inline distT="0" distB="0" distL="0" distR="0" wp14:anchorId="13FB709E" wp14:editId="301C1F30">
            <wp:extent cx="3019480" cy="627399"/>
            <wp:effectExtent l="0" t="0" r="0" b="1270"/>
            <wp:docPr id="634731718" name="Picture 634731718"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0BB13A6" w14:textId="77777777" w:rsidR="0001291E" w:rsidRDefault="0001291E" w:rsidP="0001291E">
      <w:pPr>
        <w:pStyle w:val="NoSpacing"/>
        <w:rPr>
          <w:b/>
          <w:bCs/>
          <w:color w:val="4472C4" w:themeColor="accent1"/>
          <w:sz w:val="44"/>
          <w:szCs w:val="44"/>
        </w:rPr>
      </w:pPr>
    </w:p>
    <w:p w14:paraId="63ED8F9C" w14:textId="77777777" w:rsidR="0001291E" w:rsidRDefault="0001291E" w:rsidP="0001291E">
      <w:pPr>
        <w:pStyle w:val="NoSpacing"/>
        <w:rPr>
          <w:b/>
          <w:bCs/>
          <w:color w:val="4472C4" w:themeColor="accent1"/>
          <w:sz w:val="44"/>
          <w:szCs w:val="44"/>
        </w:rPr>
      </w:pPr>
    </w:p>
    <w:p w14:paraId="2BAB3861" w14:textId="77777777" w:rsidR="0001291E" w:rsidRDefault="0001291E" w:rsidP="0001291E">
      <w:pPr>
        <w:pStyle w:val="NoSpacing"/>
        <w:rPr>
          <w:b/>
          <w:bCs/>
          <w:color w:val="4472C4" w:themeColor="accent1"/>
          <w:sz w:val="44"/>
          <w:szCs w:val="44"/>
        </w:rPr>
      </w:pPr>
    </w:p>
    <w:p w14:paraId="629E9982" w14:textId="77777777" w:rsidR="0001291E" w:rsidRDefault="0001291E" w:rsidP="0001291E">
      <w:pPr>
        <w:pStyle w:val="NoSpacing"/>
        <w:rPr>
          <w:b/>
          <w:bCs/>
          <w:color w:val="4472C4" w:themeColor="accent1"/>
          <w:sz w:val="44"/>
          <w:szCs w:val="44"/>
        </w:rPr>
      </w:pPr>
    </w:p>
    <w:p w14:paraId="7973F9DF" w14:textId="77777777" w:rsidR="0001291E" w:rsidRDefault="0001291E" w:rsidP="0001291E">
      <w:pPr>
        <w:pStyle w:val="NoSpacing"/>
        <w:rPr>
          <w:b/>
          <w:bCs/>
          <w:color w:val="4472C4" w:themeColor="accent1"/>
          <w:sz w:val="44"/>
          <w:szCs w:val="44"/>
        </w:rPr>
      </w:pPr>
    </w:p>
    <w:p w14:paraId="7145E48F" w14:textId="77777777" w:rsidR="0001291E" w:rsidRDefault="0001291E" w:rsidP="0001291E">
      <w:pPr>
        <w:pStyle w:val="NoSpacing"/>
        <w:rPr>
          <w:b/>
          <w:bCs/>
          <w:color w:val="4472C4" w:themeColor="accent1"/>
          <w:sz w:val="44"/>
          <w:szCs w:val="44"/>
        </w:rPr>
      </w:pPr>
    </w:p>
    <w:p w14:paraId="215E283B" w14:textId="77777777" w:rsidR="0001291E" w:rsidRDefault="0001291E" w:rsidP="0001291E">
      <w:pPr>
        <w:pStyle w:val="NoSpacing"/>
        <w:rPr>
          <w:b/>
          <w:bCs/>
          <w:color w:val="4472C4" w:themeColor="accent1"/>
          <w:sz w:val="44"/>
          <w:szCs w:val="44"/>
        </w:rPr>
      </w:pPr>
    </w:p>
    <w:p w14:paraId="343A10AA" w14:textId="77777777" w:rsidR="0001291E" w:rsidRDefault="0001291E" w:rsidP="0001291E">
      <w:pPr>
        <w:pStyle w:val="NoSpacing"/>
        <w:rPr>
          <w:b/>
          <w:bCs/>
          <w:color w:val="4472C4" w:themeColor="accent1"/>
          <w:sz w:val="44"/>
          <w:szCs w:val="44"/>
        </w:rPr>
      </w:pPr>
      <w:r w:rsidRPr="002F6769">
        <w:rPr>
          <w:b/>
          <w:bCs/>
          <w:color w:val="4472C4" w:themeColor="accent1"/>
          <w:sz w:val="44"/>
          <w:szCs w:val="44"/>
        </w:rPr>
        <w:t>Guideline: Offshore Electricity Infrastructure Licen</w:t>
      </w:r>
      <w:r>
        <w:rPr>
          <w:b/>
          <w:bCs/>
          <w:color w:val="4472C4" w:themeColor="accent1"/>
          <w:sz w:val="44"/>
          <w:szCs w:val="44"/>
        </w:rPr>
        <w:t>ce Administration</w:t>
      </w:r>
      <w:r w:rsidRPr="002F6769">
        <w:rPr>
          <w:b/>
          <w:bCs/>
          <w:color w:val="4472C4" w:themeColor="accent1"/>
          <w:sz w:val="44"/>
          <w:szCs w:val="44"/>
        </w:rPr>
        <w:t xml:space="preserve"> </w:t>
      </w:r>
      <w:r>
        <w:rPr>
          <w:b/>
          <w:bCs/>
          <w:color w:val="4472C4" w:themeColor="accent1"/>
          <w:sz w:val="44"/>
          <w:szCs w:val="44"/>
        </w:rPr>
        <w:t>– Feasibility Licences and Transmission &amp; Infrastructure Licences</w:t>
      </w:r>
    </w:p>
    <w:p w14:paraId="329E0A33" w14:textId="77777777" w:rsidR="0001291E" w:rsidRDefault="0001291E" w:rsidP="0001291E">
      <w:pPr>
        <w:pStyle w:val="NoSpacing"/>
        <w:rPr>
          <w:b/>
          <w:bCs/>
          <w:color w:val="4472C4" w:themeColor="accent1"/>
          <w:sz w:val="44"/>
          <w:szCs w:val="44"/>
        </w:rPr>
      </w:pPr>
    </w:p>
    <w:p w14:paraId="73FA0218" w14:textId="77777777" w:rsidR="0001291E" w:rsidRPr="00F51EEF" w:rsidRDefault="0001291E" w:rsidP="0001291E">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592F3C11" w14:textId="77777777" w:rsidR="0001291E" w:rsidRPr="00F51EEF" w:rsidRDefault="0001291E" w:rsidP="0001291E">
      <w:pPr>
        <w:pStyle w:val="NoSpacing"/>
        <w:rPr>
          <w:b/>
          <w:bCs/>
          <w:color w:val="4472C4" w:themeColor="accent1"/>
          <w:sz w:val="28"/>
          <w:szCs w:val="28"/>
        </w:rPr>
      </w:pPr>
    </w:p>
    <w:p w14:paraId="41E53A59" w14:textId="77777777" w:rsidR="0001291E" w:rsidRDefault="60A8091C" w:rsidP="4A5251DC">
      <w:pPr>
        <w:pStyle w:val="NoSpacing"/>
        <w:rPr>
          <w:b/>
          <w:bCs/>
          <w:i/>
          <w:iCs/>
          <w:color w:val="4472C4" w:themeColor="accent1"/>
          <w:sz w:val="28"/>
          <w:szCs w:val="28"/>
        </w:rPr>
      </w:pPr>
      <w:r w:rsidRPr="4A5251DC">
        <w:rPr>
          <w:b/>
          <w:bCs/>
          <w:i/>
          <w:iCs/>
          <w:color w:val="4472C4" w:themeColor="accent1"/>
          <w:sz w:val="28"/>
          <w:szCs w:val="28"/>
        </w:rPr>
        <w:t>April</w:t>
      </w:r>
      <w:r w:rsidR="0001291E" w:rsidRPr="4A5251DC">
        <w:rPr>
          <w:b/>
          <w:bCs/>
          <w:i/>
          <w:iCs/>
          <w:color w:val="4472C4" w:themeColor="accent1"/>
          <w:sz w:val="28"/>
          <w:szCs w:val="28"/>
        </w:rPr>
        <w:t xml:space="preserve"> 202</w:t>
      </w:r>
      <w:r w:rsidR="00FB32D3" w:rsidRPr="4A5251DC">
        <w:rPr>
          <w:b/>
          <w:bCs/>
          <w:i/>
          <w:iCs/>
          <w:color w:val="4472C4" w:themeColor="accent1"/>
          <w:sz w:val="28"/>
          <w:szCs w:val="28"/>
        </w:rPr>
        <w:t>4</w:t>
      </w:r>
    </w:p>
    <w:p w14:paraId="646A7B42" w14:textId="77777777" w:rsidR="0001291E" w:rsidRDefault="0001291E" w:rsidP="0001291E">
      <w:pPr>
        <w:pStyle w:val="NoSpacing"/>
        <w:rPr>
          <w:b/>
          <w:bCs/>
          <w:i/>
          <w:iCs/>
          <w:color w:val="4472C4" w:themeColor="accent1"/>
          <w:sz w:val="28"/>
          <w:szCs w:val="28"/>
        </w:rPr>
      </w:pPr>
    </w:p>
    <w:p w14:paraId="64078025" w14:textId="77777777" w:rsidR="0001291E" w:rsidRDefault="0001291E" w:rsidP="0001291E">
      <w:pPr>
        <w:pStyle w:val="NoSpacing"/>
        <w:rPr>
          <w:b/>
          <w:bCs/>
          <w:i/>
          <w:iCs/>
          <w:color w:val="4472C4" w:themeColor="accent1"/>
          <w:sz w:val="28"/>
          <w:szCs w:val="28"/>
        </w:rPr>
      </w:pPr>
    </w:p>
    <w:p w14:paraId="0ECBFE3C" w14:textId="77777777" w:rsidR="0001291E" w:rsidRDefault="0001291E" w:rsidP="0001291E">
      <w:pPr>
        <w:pStyle w:val="NoSpacing"/>
        <w:rPr>
          <w:b/>
          <w:bCs/>
          <w:i/>
          <w:iCs/>
          <w:color w:val="4472C4" w:themeColor="accent1"/>
          <w:sz w:val="28"/>
          <w:szCs w:val="28"/>
        </w:rPr>
      </w:pPr>
    </w:p>
    <w:p w14:paraId="42E501C3" w14:textId="77777777" w:rsidR="0001291E" w:rsidRPr="001E06F2" w:rsidRDefault="0001291E" w:rsidP="0001291E">
      <w:pPr>
        <w:pStyle w:val="NoSpacing"/>
        <w:rPr>
          <w:rFonts w:cstheme="minorHAnsi"/>
          <w:b/>
          <w:bCs/>
          <w:i/>
          <w:iCs/>
          <w:color w:val="4472C4" w:themeColor="accent1"/>
          <w:sz w:val="18"/>
          <w:szCs w:val="18"/>
        </w:rPr>
      </w:pPr>
    </w:p>
    <w:p w14:paraId="668177FE" w14:textId="1F2AFF39" w:rsidR="0001291E" w:rsidRPr="001E06F2" w:rsidRDefault="0001291E" w:rsidP="0001291E">
      <w:pPr>
        <w:autoSpaceDE w:val="0"/>
        <w:autoSpaceDN w:val="0"/>
        <w:rPr>
          <w:rFonts w:cstheme="minorHAnsi"/>
          <w:color w:val="000000"/>
          <w:sz w:val="18"/>
          <w:szCs w:val="18"/>
        </w:rPr>
      </w:pPr>
      <w:r w:rsidRPr="001E06F2">
        <w:rPr>
          <w:rFonts w:cstheme="minorHAnsi"/>
          <w:color w:val="000000"/>
          <w:sz w:val="18"/>
          <w:szCs w:val="18"/>
        </w:rPr>
        <w:t xml:space="preserve">This document has been developed as a general guide only. It is subject to, and does not replace or amend the requirements </w:t>
      </w:r>
      <w:r>
        <w:rPr>
          <w:rFonts w:cstheme="minorHAnsi"/>
          <w:color w:val="000000"/>
          <w:sz w:val="18"/>
          <w:szCs w:val="18"/>
        </w:rPr>
        <w:br/>
      </w:r>
      <w:r w:rsidRPr="001E06F2">
        <w:rPr>
          <w:rFonts w:cstheme="minorHAnsi"/>
          <w:color w:val="000000"/>
          <w:sz w:val="18"/>
          <w:szCs w:val="18"/>
        </w:rPr>
        <w:t>of</w:t>
      </w:r>
      <w:r>
        <w:rPr>
          <w:rFonts w:cstheme="minorHAnsi"/>
          <w:color w:val="000000"/>
          <w:sz w:val="18"/>
          <w:szCs w:val="18"/>
        </w:rPr>
        <w:t xml:space="preserve">, the </w:t>
      </w:r>
      <w:hyperlink r:id="rId12" w:history="1">
        <w:r w:rsidRPr="0001291E">
          <w:rPr>
            <w:rStyle w:val="Hyperlink"/>
            <w:rFonts w:cstheme="minorHAnsi"/>
            <w:i/>
            <w:iCs/>
            <w:sz w:val="18"/>
            <w:szCs w:val="18"/>
          </w:rPr>
          <w:t>Offshore Electricity Infrastructure Act 2021</w:t>
        </w:r>
      </w:hyperlink>
      <w:r>
        <w:rPr>
          <w:rFonts w:cstheme="minorHAnsi"/>
          <w:i/>
          <w:iCs/>
          <w:color w:val="000000"/>
          <w:sz w:val="18"/>
          <w:szCs w:val="18"/>
        </w:rPr>
        <w:t xml:space="preserve"> </w:t>
      </w:r>
      <w:r w:rsidRPr="001E06F2">
        <w:rPr>
          <w:rFonts w:cstheme="minorHAnsi"/>
          <w:color w:val="000000"/>
          <w:sz w:val="18"/>
          <w:szCs w:val="18"/>
        </w:rPr>
        <w:t xml:space="preserve">and associated </w:t>
      </w:r>
      <w:hyperlink r:id="rId13" w:history="1">
        <w:r w:rsidRPr="0001291E">
          <w:rPr>
            <w:rStyle w:val="Hyperlink"/>
            <w:rFonts w:cstheme="minorHAnsi"/>
            <w:sz w:val="18"/>
            <w:szCs w:val="18"/>
          </w:rPr>
          <w:t>Regulations</w:t>
        </w:r>
      </w:hyperlink>
      <w:r w:rsidRPr="001E06F2">
        <w:rPr>
          <w:rFonts w:cstheme="minorHAnsi"/>
          <w:color w:val="000000"/>
          <w:sz w:val="18"/>
          <w:szCs w:val="18"/>
        </w:rPr>
        <w:t>, which should be read in conjunction with this guideline.</w:t>
      </w:r>
    </w:p>
    <w:p w14:paraId="0FE54988" w14:textId="77777777" w:rsidR="0001291E" w:rsidRPr="001E06F2" w:rsidRDefault="0001291E" w:rsidP="0001291E">
      <w:pPr>
        <w:autoSpaceDE w:val="0"/>
        <w:autoSpaceDN w:val="0"/>
        <w:rPr>
          <w:rFonts w:cstheme="minorHAnsi"/>
          <w:color w:val="000000"/>
          <w:sz w:val="18"/>
          <w:szCs w:val="18"/>
        </w:rPr>
      </w:pPr>
    </w:p>
    <w:p w14:paraId="6A429C5A" w14:textId="77777777" w:rsidR="0001291E" w:rsidRPr="001E06F2" w:rsidRDefault="0001291E" w:rsidP="0001291E">
      <w:pPr>
        <w:spacing w:after="200"/>
        <w:rPr>
          <w:rFonts w:cstheme="minorHAnsi"/>
          <w:sz w:val="18"/>
          <w:szCs w:val="18"/>
        </w:rPr>
      </w:pPr>
      <w:r w:rsidRPr="001E06F2">
        <w:rPr>
          <w:rFonts w:cstheme="minorHAnsi"/>
          <w:color w:val="000000"/>
          <w:sz w:val="18"/>
          <w:szCs w:val="18"/>
        </w:rPr>
        <w:t xml:space="preserve">This guideline is made available by the Australian Government for information only. Before relying on this material, users should carefully evaluate the accuracy, currency, </w:t>
      </w:r>
      <w:proofErr w:type="gramStart"/>
      <w:r w:rsidRPr="001E06F2">
        <w:rPr>
          <w:rFonts w:cstheme="minorHAnsi"/>
          <w:color w:val="000000"/>
          <w:sz w:val="18"/>
          <w:szCs w:val="18"/>
        </w:rPr>
        <w:t>completeness</w:t>
      </w:r>
      <w:proofErr w:type="gramEnd"/>
      <w:r w:rsidRPr="001E06F2">
        <w:rPr>
          <w:rFonts w:cstheme="minorHAnsi"/>
          <w:color w:val="000000"/>
          <w:sz w:val="18"/>
          <w:szCs w:val="18"/>
        </w:rPr>
        <w:t xml:space="preserve"> and relevance of the information and obtain independent, </w:t>
      </w:r>
      <w:r>
        <w:rPr>
          <w:rFonts w:cstheme="minorHAnsi"/>
          <w:color w:val="000000"/>
          <w:sz w:val="18"/>
          <w:szCs w:val="18"/>
        </w:rPr>
        <w:br/>
      </w:r>
      <w:r w:rsidRPr="001E06F2">
        <w:rPr>
          <w:rFonts w:cstheme="minorHAnsi"/>
          <w:sz w:val="18"/>
          <w:szCs w:val="18"/>
        </w:rPr>
        <w:t xml:space="preserve">legal or other </w:t>
      </w:r>
      <w:r w:rsidRPr="001E06F2">
        <w:rPr>
          <w:rFonts w:cstheme="minorHAnsi"/>
          <w:color w:val="000000"/>
          <w:sz w:val="18"/>
          <w:szCs w:val="18"/>
        </w:rPr>
        <w:t>professional advice relevant to their particular circumstances.</w:t>
      </w:r>
    </w:p>
    <w:p w14:paraId="18752082" w14:textId="110B3DD8" w:rsidR="0001291E" w:rsidRPr="001E06F2" w:rsidRDefault="0001291E" w:rsidP="0001291E">
      <w:pPr>
        <w:rPr>
          <w:rFonts w:cstheme="minorHAnsi"/>
          <w:sz w:val="18"/>
          <w:szCs w:val="18"/>
        </w:rPr>
      </w:pPr>
      <w:r w:rsidRPr="001E06F2">
        <w:rPr>
          <w:rFonts w:cstheme="minorHAnsi"/>
          <w:sz w:val="18"/>
          <w:szCs w:val="18"/>
        </w:rPr>
        <w:t>This document will be reviewed and updated as required</w:t>
      </w:r>
      <w:r w:rsidR="00FB4652">
        <w:rPr>
          <w:rFonts w:cstheme="minorHAnsi"/>
          <w:sz w:val="18"/>
          <w:szCs w:val="18"/>
        </w:rPr>
        <w:t xml:space="preserve"> including to add guidance material for commercial licences</w:t>
      </w:r>
      <w:r w:rsidR="00CB0F47">
        <w:rPr>
          <w:rFonts w:cstheme="minorHAnsi"/>
          <w:sz w:val="18"/>
          <w:szCs w:val="18"/>
        </w:rPr>
        <w:t xml:space="preserve"> (Chapter 5)</w:t>
      </w:r>
      <w:r w:rsidR="00FB4652">
        <w:rPr>
          <w:rFonts w:cstheme="minorHAnsi"/>
          <w:sz w:val="18"/>
          <w:szCs w:val="18"/>
        </w:rPr>
        <w:t xml:space="preserve"> and research and demonstration licences </w:t>
      </w:r>
      <w:r w:rsidR="00CB0F47">
        <w:rPr>
          <w:rFonts w:cstheme="minorHAnsi"/>
          <w:sz w:val="18"/>
          <w:szCs w:val="18"/>
        </w:rPr>
        <w:t xml:space="preserve">(Chapter 6) </w:t>
      </w:r>
      <w:r w:rsidR="00FB4652">
        <w:rPr>
          <w:rFonts w:cstheme="minorHAnsi"/>
          <w:sz w:val="18"/>
          <w:szCs w:val="18"/>
        </w:rPr>
        <w:t>in future</w:t>
      </w:r>
      <w:r w:rsidRPr="001E06F2">
        <w:rPr>
          <w:rFonts w:cstheme="minorHAnsi"/>
          <w:sz w:val="18"/>
          <w:szCs w:val="18"/>
        </w:rPr>
        <w:t>.</w:t>
      </w:r>
    </w:p>
    <w:p w14:paraId="606CDFB6" w14:textId="77777777" w:rsidR="0001291E" w:rsidRPr="001E06F2" w:rsidRDefault="0001291E" w:rsidP="0001291E">
      <w:pPr>
        <w:rPr>
          <w:rFonts w:cstheme="minorHAnsi"/>
          <w:sz w:val="18"/>
          <w:szCs w:val="18"/>
        </w:rPr>
      </w:pPr>
    </w:p>
    <w:p w14:paraId="05454CB7" w14:textId="77777777" w:rsidR="0001291E" w:rsidRDefault="0001291E">
      <w:pPr>
        <w:rPr>
          <w:rFonts w:eastAsiaTheme="majorEastAsia" w:cstheme="majorBidi"/>
          <w:b/>
          <w:color w:val="4472C4" w:themeColor="accent1"/>
          <w:sz w:val="40"/>
          <w:szCs w:val="32"/>
        </w:rPr>
      </w:pPr>
      <w:bookmarkStart w:id="0" w:name="_Toc133220095"/>
      <w:r>
        <w:br w:type="page"/>
      </w:r>
    </w:p>
    <w:p w14:paraId="1528A46A" w14:textId="77777777" w:rsidR="0001291E" w:rsidRPr="0001291E" w:rsidRDefault="0001291E" w:rsidP="00064CEF">
      <w:pPr>
        <w:spacing w:after="120" w:line="240" w:lineRule="auto"/>
        <w:rPr>
          <w:b/>
          <w:bCs/>
          <w:color w:val="4472C4" w:themeColor="accent1"/>
          <w:sz w:val="40"/>
          <w:szCs w:val="40"/>
        </w:rPr>
      </w:pPr>
      <w:r w:rsidRPr="0001291E">
        <w:rPr>
          <w:b/>
          <w:bCs/>
          <w:color w:val="4472C4" w:themeColor="accent1"/>
          <w:sz w:val="40"/>
          <w:szCs w:val="40"/>
        </w:rPr>
        <w:lastRenderedPageBreak/>
        <w:t>Contents</w:t>
      </w:r>
    </w:p>
    <w:p w14:paraId="2D591297" w14:textId="78B88C02" w:rsidR="0001291E" w:rsidRDefault="0001291E" w:rsidP="00064CEF">
      <w:pPr>
        <w:pStyle w:val="ListParagraph"/>
        <w:numPr>
          <w:ilvl w:val="0"/>
          <w:numId w:val="29"/>
        </w:numPr>
        <w:spacing w:after="80" w:line="240" w:lineRule="auto"/>
        <w:ind w:hanging="578"/>
        <w:contextualSpacing w:val="0"/>
      </w:pPr>
      <w:r>
        <w:t>Overview</w:t>
      </w:r>
    </w:p>
    <w:p w14:paraId="5AE01E10" w14:textId="224AAA15" w:rsidR="0001291E" w:rsidRDefault="0001291E" w:rsidP="00064CEF">
      <w:pPr>
        <w:pStyle w:val="ListParagraph"/>
        <w:numPr>
          <w:ilvl w:val="0"/>
          <w:numId w:val="29"/>
        </w:numPr>
        <w:spacing w:after="80" w:line="240" w:lineRule="auto"/>
        <w:ind w:hanging="578"/>
        <w:contextualSpacing w:val="0"/>
      </w:pPr>
      <w:r>
        <w:t>General Administrative Information</w:t>
      </w:r>
    </w:p>
    <w:p w14:paraId="256BB4BB" w14:textId="768D1C9D" w:rsidR="0001291E" w:rsidRDefault="0001291E" w:rsidP="00064CEF">
      <w:pPr>
        <w:pStyle w:val="ListParagraph"/>
        <w:numPr>
          <w:ilvl w:val="0"/>
          <w:numId w:val="29"/>
        </w:numPr>
        <w:spacing w:after="80" w:line="240" w:lineRule="auto"/>
        <w:ind w:hanging="578"/>
        <w:contextualSpacing w:val="0"/>
      </w:pPr>
      <w:r>
        <w:t>Declaration (Chapter 2, Part 2 OEI Act)</w:t>
      </w:r>
    </w:p>
    <w:p w14:paraId="1E8FBB2F" w14:textId="180C25AC" w:rsidR="0001291E" w:rsidRDefault="0001291E" w:rsidP="00064CEF">
      <w:pPr>
        <w:pStyle w:val="ListParagraph"/>
        <w:numPr>
          <w:ilvl w:val="0"/>
          <w:numId w:val="29"/>
        </w:numPr>
        <w:spacing w:after="80" w:line="240" w:lineRule="auto"/>
        <w:ind w:hanging="578"/>
        <w:contextualSpacing w:val="0"/>
      </w:pPr>
      <w:r>
        <w:t>Feasibility Licence Applications</w:t>
      </w:r>
    </w:p>
    <w:p w14:paraId="250DEB90" w14:textId="3507A950" w:rsidR="0001291E" w:rsidRDefault="0001291E" w:rsidP="00064CEF">
      <w:pPr>
        <w:spacing w:after="80" w:line="240" w:lineRule="auto"/>
        <w:ind w:left="720"/>
      </w:pPr>
      <w:r>
        <w:t>4.1</w:t>
      </w:r>
      <w:r>
        <w:tab/>
        <w:t>Purpose of a Feasibility Licence (sections 30 and 31 OEI Act)</w:t>
      </w:r>
    </w:p>
    <w:p w14:paraId="01F7432C" w14:textId="202D0921" w:rsidR="0001291E" w:rsidRDefault="0001291E" w:rsidP="00064CEF">
      <w:pPr>
        <w:spacing w:after="80" w:line="240" w:lineRule="auto"/>
        <w:ind w:left="720"/>
      </w:pPr>
      <w:r>
        <w:t>4.2</w:t>
      </w:r>
      <w:r>
        <w:tab/>
        <w:t>Invitation to Apply (section 9 OEI Regulations)</w:t>
      </w:r>
    </w:p>
    <w:p w14:paraId="7AC3EC55" w14:textId="6403ECB0" w:rsidR="0001291E" w:rsidRDefault="0001291E" w:rsidP="00064CEF">
      <w:pPr>
        <w:spacing w:after="80" w:line="240" w:lineRule="auto"/>
        <w:ind w:left="720"/>
      </w:pPr>
      <w:r>
        <w:t>4.3</w:t>
      </w:r>
      <w:r>
        <w:tab/>
        <w:t>Receipt and Screening of Feasibility Licence Application by the Registrar</w:t>
      </w:r>
    </w:p>
    <w:p w14:paraId="059C1181" w14:textId="5996F5FF" w:rsidR="0001291E" w:rsidRDefault="0001291E" w:rsidP="00064CEF">
      <w:pPr>
        <w:spacing w:after="80" w:line="240" w:lineRule="auto"/>
        <w:ind w:left="720"/>
      </w:pPr>
      <w:r>
        <w:t>4.4</w:t>
      </w:r>
      <w:r>
        <w:tab/>
        <w:t>Assessment of Feasibility Licence Application by the Registrar</w:t>
      </w:r>
    </w:p>
    <w:p w14:paraId="0F682B08" w14:textId="1BD2B5CB" w:rsidR="0001291E" w:rsidRDefault="0001291E" w:rsidP="00064CEF">
      <w:pPr>
        <w:spacing w:after="80" w:line="240" w:lineRule="auto"/>
        <w:ind w:left="720"/>
      </w:pPr>
      <w:r>
        <w:t>4.5</w:t>
      </w:r>
      <w:r>
        <w:tab/>
        <w:t>Request for Further Information from the Registrar (section 41 OEI Regulations)</w:t>
      </w:r>
    </w:p>
    <w:p w14:paraId="7D94EEAE" w14:textId="19F0C3F0" w:rsidR="0001291E" w:rsidRDefault="0001291E" w:rsidP="00064CEF">
      <w:pPr>
        <w:spacing w:after="80" w:line="240" w:lineRule="auto"/>
        <w:ind w:left="720"/>
      </w:pPr>
      <w:r>
        <w:t>4.6</w:t>
      </w:r>
      <w:r>
        <w:tab/>
        <w:t>Decision-Making (section 42 OEI Regulations)</w:t>
      </w:r>
    </w:p>
    <w:p w14:paraId="449981BD" w14:textId="13E4883B" w:rsidR="0001291E" w:rsidRDefault="0001291E" w:rsidP="00064CEF">
      <w:pPr>
        <w:spacing w:after="80" w:line="240" w:lineRule="auto"/>
        <w:ind w:left="720"/>
      </w:pPr>
      <w:r>
        <w:t>4.7</w:t>
      </w:r>
      <w:r>
        <w:tab/>
        <w:t>Overlap of Feasibility Licence Application Areas (sections 11-16 OEI Regulations)</w:t>
      </w:r>
    </w:p>
    <w:p w14:paraId="414AF874" w14:textId="48A51086" w:rsidR="0001291E" w:rsidRDefault="0001291E" w:rsidP="00064CEF">
      <w:pPr>
        <w:spacing w:after="80" w:line="240" w:lineRule="auto"/>
        <w:ind w:left="720"/>
      </w:pPr>
      <w:r>
        <w:t>4.8</w:t>
      </w:r>
      <w:r>
        <w:tab/>
        <w:t>Offer to Grant a Feasibility Licence (section 27 OEI Regulations)</w:t>
      </w:r>
    </w:p>
    <w:p w14:paraId="7F77BD8B" w14:textId="7D82E61D" w:rsidR="0001291E" w:rsidRDefault="0001291E" w:rsidP="00064CEF">
      <w:pPr>
        <w:spacing w:after="80" w:line="240" w:lineRule="auto"/>
        <w:ind w:left="720"/>
      </w:pPr>
      <w:r>
        <w:t>4.9</w:t>
      </w:r>
      <w:r>
        <w:tab/>
        <w:t>Grant of Feasibility Licence (section 33 OEI Act and section 28 OEI Regulations)</w:t>
      </w:r>
    </w:p>
    <w:p w14:paraId="21C2F068" w14:textId="6ACA7609" w:rsidR="0001291E" w:rsidRDefault="0001291E" w:rsidP="00064CEF">
      <w:pPr>
        <w:spacing w:after="80" w:line="240" w:lineRule="auto"/>
        <w:ind w:left="720"/>
      </w:pPr>
      <w:r>
        <w:t>4.10</w:t>
      </w:r>
      <w:r>
        <w:tab/>
        <w:t>Conditions on a Feasibility Licence (section 35 OEI Act)</w:t>
      </w:r>
    </w:p>
    <w:p w14:paraId="741F354C" w14:textId="6E06C652" w:rsidR="0001291E" w:rsidRDefault="0001291E" w:rsidP="00064CEF">
      <w:pPr>
        <w:spacing w:after="80" w:line="240" w:lineRule="auto"/>
        <w:ind w:left="720"/>
      </w:pPr>
      <w:r>
        <w:t>4.11</w:t>
      </w:r>
      <w:r>
        <w:tab/>
        <w:t>Refusal of Feasibility Licence Application</w:t>
      </w:r>
    </w:p>
    <w:p w14:paraId="2D7979AA" w14:textId="53CE459F" w:rsidR="0001291E" w:rsidRDefault="0001291E" w:rsidP="00CB0F47">
      <w:pPr>
        <w:pStyle w:val="ListParagraph"/>
        <w:numPr>
          <w:ilvl w:val="0"/>
          <w:numId w:val="32"/>
        </w:numPr>
        <w:spacing w:after="80" w:line="240" w:lineRule="auto"/>
        <w:ind w:hanging="578"/>
        <w:contextualSpacing w:val="0"/>
      </w:pPr>
      <w:r>
        <w:t>Transmission &amp; Infrastructure Licence Applications</w:t>
      </w:r>
    </w:p>
    <w:p w14:paraId="2B51B4A3" w14:textId="603CA9C2" w:rsidR="00D13521" w:rsidRDefault="006C2387" w:rsidP="00064CEF">
      <w:pPr>
        <w:spacing w:after="80" w:line="240" w:lineRule="auto"/>
        <w:ind w:left="720"/>
      </w:pPr>
      <w:r>
        <w:t>7</w:t>
      </w:r>
      <w:r w:rsidR="00D13521">
        <w:t>.1</w:t>
      </w:r>
      <w:r w:rsidR="00D13521">
        <w:tab/>
      </w:r>
      <w:r w:rsidR="00D13521" w:rsidRPr="00D13521">
        <w:t>Purpose of a Transmission &amp; Infrastructure Licence (TIL) (section 58 OEI Act)</w:t>
      </w:r>
    </w:p>
    <w:p w14:paraId="11474BB5" w14:textId="124950DE" w:rsidR="00D13521" w:rsidRDefault="006C2387" w:rsidP="00064CEF">
      <w:pPr>
        <w:spacing w:after="80" w:line="240" w:lineRule="auto"/>
        <w:ind w:left="720"/>
      </w:pPr>
      <w:r>
        <w:t>7</w:t>
      </w:r>
      <w:r w:rsidR="00D13521">
        <w:t>.2</w:t>
      </w:r>
      <w:r w:rsidR="00D13521">
        <w:tab/>
      </w:r>
      <w:r w:rsidR="00D13521" w:rsidRPr="00D13521">
        <w:t>TIL Associated with a Commercial Project under the OEI Act</w:t>
      </w:r>
    </w:p>
    <w:p w14:paraId="2B9D0BF4" w14:textId="21B022E0" w:rsidR="00D13521" w:rsidRDefault="006C2387" w:rsidP="00064CEF">
      <w:pPr>
        <w:spacing w:after="80" w:line="240" w:lineRule="auto"/>
        <w:ind w:left="720"/>
      </w:pPr>
      <w:r>
        <w:t>7</w:t>
      </w:r>
      <w:r w:rsidR="00D13521">
        <w:t>.3</w:t>
      </w:r>
      <w:r w:rsidR="00D13521">
        <w:tab/>
      </w:r>
      <w:r w:rsidR="004B0AE5">
        <w:t>Standalone TIL</w:t>
      </w:r>
    </w:p>
    <w:p w14:paraId="51BDB29B" w14:textId="7D36B720" w:rsidR="004B0AE5" w:rsidRDefault="006C2387" w:rsidP="00064CEF">
      <w:pPr>
        <w:spacing w:after="80" w:line="240" w:lineRule="auto"/>
        <w:ind w:left="720"/>
      </w:pPr>
      <w:r>
        <w:t>7</w:t>
      </w:r>
      <w:r w:rsidR="004B0AE5">
        <w:t>.4</w:t>
      </w:r>
      <w:r w:rsidR="004B0AE5">
        <w:tab/>
      </w:r>
      <w:r w:rsidR="00BB5E05">
        <w:t>Other Uses and Users of the Proposed Licence Area</w:t>
      </w:r>
    </w:p>
    <w:p w14:paraId="1319391F" w14:textId="371C38F7" w:rsidR="004B0AE5" w:rsidRDefault="006C2387" w:rsidP="00064CEF">
      <w:pPr>
        <w:spacing w:after="80" w:line="240" w:lineRule="auto"/>
        <w:ind w:left="720"/>
      </w:pPr>
      <w:r>
        <w:t>7</w:t>
      </w:r>
      <w:r w:rsidR="004B0AE5">
        <w:t>.5</w:t>
      </w:r>
      <w:r w:rsidR="004B0AE5">
        <w:tab/>
        <w:t>Receipt and Screening of TIL Application by the Registrar</w:t>
      </w:r>
    </w:p>
    <w:p w14:paraId="5D50DD47" w14:textId="50C23CC3" w:rsidR="004B0AE5" w:rsidRDefault="006C2387" w:rsidP="00064CEF">
      <w:pPr>
        <w:spacing w:after="80" w:line="240" w:lineRule="auto"/>
        <w:ind w:left="720"/>
      </w:pPr>
      <w:r>
        <w:t>7</w:t>
      </w:r>
      <w:r w:rsidR="004B0AE5">
        <w:t>.6</w:t>
      </w:r>
      <w:r w:rsidR="004B0AE5">
        <w:tab/>
        <w:t>Assessment of TIL Application by the Registrar</w:t>
      </w:r>
    </w:p>
    <w:p w14:paraId="5903B4A2" w14:textId="46A1E74C" w:rsidR="004B0AE5" w:rsidRDefault="006C2387" w:rsidP="00064CEF">
      <w:pPr>
        <w:spacing w:after="80" w:line="240" w:lineRule="auto"/>
        <w:ind w:left="720"/>
      </w:pPr>
      <w:r>
        <w:t>7</w:t>
      </w:r>
      <w:r w:rsidR="004B0AE5">
        <w:t>.7</w:t>
      </w:r>
      <w:r w:rsidR="004B0AE5">
        <w:tab/>
        <w:t>Request for Further Information from the Registrar (section 41 OEI Regulations)</w:t>
      </w:r>
    </w:p>
    <w:p w14:paraId="30EFD68C" w14:textId="4C331C03" w:rsidR="004B0AE5" w:rsidRDefault="006C2387" w:rsidP="00064CEF">
      <w:pPr>
        <w:spacing w:after="80" w:line="240" w:lineRule="auto"/>
        <w:ind w:left="720"/>
      </w:pPr>
      <w:r>
        <w:t>7</w:t>
      </w:r>
      <w:r w:rsidR="004B0AE5">
        <w:t>.8</w:t>
      </w:r>
      <w:r w:rsidR="004B0AE5">
        <w:tab/>
        <w:t>Overlap of TIL Application Licence Areas (sections 22 and 23 OEI Regulations)</w:t>
      </w:r>
    </w:p>
    <w:p w14:paraId="7509FF23" w14:textId="5FC66AEA" w:rsidR="004B0AE5" w:rsidRDefault="006C2387" w:rsidP="00064CEF">
      <w:pPr>
        <w:spacing w:after="80" w:line="240" w:lineRule="auto"/>
        <w:ind w:left="720"/>
      </w:pPr>
      <w:r>
        <w:t>7</w:t>
      </w:r>
      <w:r w:rsidR="004B0AE5">
        <w:t>.9</w:t>
      </w:r>
      <w:r w:rsidR="004B0AE5">
        <w:tab/>
        <w:t>Decision-Making (section 42 OEI Regulations)</w:t>
      </w:r>
    </w:p>
    <w:p w14:paraId="5FB5CC03" w14:textId="5A008C51" w:rsidR="004B0AE5" w:rsidRDefault="006C2387" w:rsidP="00064CEF">
      <w:pPr>
        <w:spacing w:after="80" w:line="240" w:lineRule="auto"/>
        <w:ind w:left="720"/>
      </w:pPr>
      <w:r>
        <w:t>7</w:t>
      </w:r>
      <w:r w:rsidR="004B0AE5">
        <w:t>.10</w:t>
      </w:r>
      <w:r w:rsidR="004B0AE5">
        <w:tab/>
        <w:t xml:space="preserve">Offer to Grant a TIL (section 27 OEI Regulations) </w:t>
      </w:r>
    </w:p>
    <w:p w14:paraId="4CE28E22" w14:textId="6213DC2F" w:rsidR="004B0AE5" w:rsidRDefault="006C2387" w:rsidP="00064CEF">
      <w:pPr>
        <w:spacing w:after="80" w:line="240" w:lineRule="auto"/>
        <w:ind w:left="720"/>
      </w:pPr>
      <w:r>
        <w:t>7</w:t>
      </w:r>
      <w:r w:rsidR="004B0AE5">
        <w:t>.11</w:t>
      </w:r>
      <w:r w:rsidR="004B0AE5">
        <w:tab/>
        <w:t>Grant of TIL (section 61 OEI Act and section 28 OEI Regulations)</w:t>
      </w:r>
    </w:p>
    <w:p w14:paraId="32E4C288" w14:textId="2EF2F255" w:rsidR="004B0AE5" w:rsidRDefault="006C2387" w:rsidP="00064CEF">
      <w:pPr>
        <w:spacing w:after="80" w:line="240" w:lineRule="auto"/>
        <w:ind w:left="720"/>
      </w:pPr>
      <w:r>
        <w:t>7</w:t>
      </w:r>
      <w:r w:rsidR="004B0AE5">
        <w:t>.12</w:t>
      </w:r>
      <w:r w:rsidR="004B0AE5">
        <w:tab/>
        <w:t>Conditions on a TIL (section 63 OEI Act)</w:t>
      </w:r>
    </w:p>
    <w:p w14:paraId="13ACC385" w14:textId="39477900" w:rsidR="004B0AE5" w:rsidRDefault="006C2387" w:rsidP="00064CEF">
      <w:pPr>
        <w:spacing w:after="80" w:line="240" w:lineRule="auto"/>
        <w:ind w:left="720"/>
      </w:pPr>
      <w:r>
        <w:t>7</w:t>
      </w:r>
      <w:r w:rsidR="004B0AE5">
        <w:t>.13</w:t>
      </w:r>
      <w:r w:rsidR="004B0AE5">
        <w:tab/>
        <w:t>Refusal of TIL Application (sections 43 and 44 OEI Regulations)</w:t>
      </w:r>
    </w:p>
    <w:p w14:paraId="78DF1FE8" w14:textId="6667A7F0" w:rsidR="0001291E" w:rsidRDefault="0001291E" w:rsidP="00CB0F47">
      <w:pPr>
        <w:pStyle w:val="ListParagraph"/>
        <w:numPr>
          <w:ilvl w:val="0"/>
          <w:numId w:val="32"/>
        </w:numPr>
        <w:spacing w:after="80" w:line="240" w:lineRule="auto"/>
        <w:ind w:hanging="578"/>
        <w:contextualSpacing w:val="0"/>
      </w:pPr>
      <w:r>
        <w:t>Licence Administration</w:t>
      </w:r>
    </w:p>
    <w:p w14:paraId="31A292A8" w14:textId="05F9D1D7" w:rsidR="00D13521" w:rsidRDefault="00E36385" w:rsidP="00064CEF">
      <w:pPr>
        <w:pStyle w:val="ListParagraph"/>
        <w:spacing w:after="80" w:line="240" w:lineRule="auto"/>
        <w:contextualSpacing w:val="0"/>
      </w:pPr>
      <w:r>
        <w:t>8</w:t>
      </w:r>
      <w:r w:rsidR="00D13521">
        <w:t>.1</w:t>
      </w:r>
      <w:r w:rsidR="00D13521">
        <w:tab/>
        <w:t>Extension of a Licence Term (sections 37, 47, 56 and 65 OEI Act)</w:t>
      </w:r>
    </w:p>
    <w:p w14:paraId="62C6D02E" w14:textId="5BF3DA9A" w:rsidR="00D13521" w:rsidRDefault="00E36385" w:rsidP="00064CEF">
      <w:pPr>
        <w:pStyle w:val="ListParagraph"/>
        <w:spacing w:after="80" w:line="240" w:lineRule="auto"/>
        <w:contextualSpacing w:val="0"/>
      </w:pPr>
      <w:r>
        <w:t>8</w:t>
      </w:r>
      <w:r w:rsidR="00D13521">
        <w:t>.2</w:t>
      </w:r>
      <w:r w:rsidR="00D13521">
        <w:tab/>
        <w:t>Variation of a Licence (sections 38, 48, 57 and 66 OEI Act)</w:t>
      </w:r>
    </w:p>
    <w:p w14:paraId="614A2374" w14:textId="35163A4F" w:rsidR="00D13521" w:rsidRDefault="00E36385" w:rsidP="00064CEF">
      <w:pPr>
        <w:pStyle w:val="ListParagraph"/>
        <w:spacing w:after="80" w:line="240" w:lineRule="auto"/>
        <w:contextualSpacing w:val="0"/>
      </w:pPr>
      <w:r>
        <w:t>8</w:t>
      </w:r>
      <w:r w:rsidR="00D13521">
        <w:t>.3</w:t>
      </w:r>
      <w:r w:rsidR="00D13521">
        <w:tab/>
        <w:t>Cancellation of a Licence (section 73 OEI Act)</w:t>
      </w:r>
    </w:p>
    <w:p w14:paraId="566801AA" w14:textId="30C7C5E9" w:rsidR="00D13521" w:rsidRDefault="00E36385" w:rsidP="00064CEF">
      <w:pPr>
        <w:pStyle w:val="ListParagraph"/>
        <w:spacing w:after="80" w:line="240" w:lineRule="auto"/>
        <w:contextualSpacing w:val="0"/>
      </w:pPr>
      <w:r>
        <w:t>8</w:t>
      </w:r>
      <w:r w:rsidR="00D13521">
        <w:t>.4</w:t>
      </w:r>
      <w:r w:rsidR="00D13521">
        <w:tab/>
        <w:t>Surrender of a Licence (section 74 OEI Act)</w:t>
      </w:r>
    </w:p>
    <w:p w14:paraId="7CDFF3CD" w14:textId="7B0053FB" w:rsidR="00D13521" w:rsidRDefault="00E36385" w:rsidP="00064CEF">
      <w:pPr>
        <w:pStyle w:val="ListParagraph"/>
        <w:spacing w:after="80" w:line="240" w:lineRule="auto"/>
        <w:contextualSpacing w:val="0"/>
      </w:pPr>
      <w:r>
        <w:t>8</w:t>
      </w:r>
      <w:r w:rsidR="00D13521">
        <w:t>.5</w:t>
      </w:r>
      <w:r w:rsidR="00D13521">
        <w:tab/>
        <w:t>Procedural Fairness</w:t>
      </w:r>
    </w:p>
    <w:p w14:paraId="636CE486" w14:textId="56A2CA4E" w:rsidR="00D13521" w:rsidRDefault="00E36385" w:rsidP="00064CEF">
      <w:pPr>
        <w:pStyle w:val="ListParagraph"/>
        <w:spacing w:after="80" w:line="240" w:lineRule="auto"/>
        <w:contextualSpacing w:val="0"/>
      </w:pPr>
      <w:r>
        <w:t>8</w:t>
      </w:r>
      <w:r w:rsidR="00D13521">
        <w:t>.6</w:t>
      </w:r>
      <w:r w:rsidR="00D13521">
        <w:tab/>
        <w:t>Review of Decisions</w:t>
      </w:r>
    </w:p>
    <w:p w14:paraId="6A28B812" w14:textId="5F523E88" w:rsidR="0001291E" w:rsidRDefault="0001291E" w:rsidP="00CB0F47">
      <w:pPr>
        <w:pStyle w:val="ListParagraph"/>
        <w:numPr>
          <w:ilvl w:val="0"/>
          <w:numId w:val="32"/>
        </w:numPr>
        <w:spacing w:after="80" w:line="240" w:lineRule="auto"/>
        <w:ind w:hanging="578"/>
        <w:contextualSpacing w:val="0"/>
      </w:pPr>
      <w:r>
        <w:t>The Register of Licences</w:t>
      </w:r>
    </w:p>
    <w:p w14:paraId="7135CCB5" w14:textId="20CB6068" w:rsidR="0001291E" w:rsidRDefault="0001291E" w:rsidP="00CB0F47">
      <w:pPr>
        <w:pStyle w:val="ListParagraph"/>
        <w:numPr>
          <w:ilvl w:val="0"/>
          <w:numId w:val="32"/>
        </w:numPr>
        <w:spacing w:after="80" w:line="240" w:lineRule="auto"/>
        <w:ind w:hanging="578"/>
        <w:contextualSpacing w:val="0"/>
      </w:pPr>
      <w:r>
        <w:t>Notification Requirements</w:t>
      </w:r>
    </w:p>
    <w:p w14:paraId="353E473B" w14:textId="1351F262" w:rsidR="0001291E" w:rsidRDefault="0001291E" w:rsidP="00CB0F47">
      <w:pPr>
        <w:pStyle w:val="ListParagraph"/>
        <w:numPr>
          <w:ilvl w:val="0"/>
          <w:numId w:val="32"/>
        </w:numPr>
        <w:spacing w:after="80" w:line="240" w:lineRule="auto"/>
        <w:ind w:hanging="578"/>
        <w:contextualSpacing w:val="0"/>
      </w:pPr>
      <w:r>
        <w:t>Ongoing Compliance Obligations</w:t>
      </w:r>
    </w:p>
    <w:p w14:paraId="49CC655B" w14:textId="68F9540E" w:rsidR="0001291E" w:rsidRDefault="0001291E" w:rsidP="00CB0F47">
      <w:pPr>
        <w:pStyle w:val="ListParagraph"/>
        <w:numPr>
          <w:ilvl w:val="0"/>
          <w:numId w:val="32"/>
        </w:numPr>
        <w:spacing w:after="80" w:line="240" w:lineRule="auto"/>
        <w:ind w:hanging="578"/>
        <w:contextualSpacing w:val="0"/>
      </w:pPr>
      <w:r>
        <w:t>Transfer of Licence Applications</w:t>
      </w:r>
    </w:p>
    <w:p w14:paraId="401A957F" w14:textId="30199BF0" w:rsidR="0001291E" w:rsidRDefault="0001291E" w:rsidP="00CB0F47">
      <w:pPr>
        <w:pStyle w:val="ListParagraph"/>
        <w:numPr>
          <w:ilvl w:val="0"/>
          <w:numId w:val="32"/>
        </w:numPr>
        <w:spacing w:after="80" w:line="240" w:lineRule="auto"/>
        <w:ind w:hanging="578"/>
        <w:contextualSpacing w:val="0"/>
      </w:pPr>
      <w:r>
        <w:t xml:space="preserve">Change in Control Applications </w:t>
      </w:r>
    </w:p>
    <w:p w14:paraId="4ADE5B30" w14:textId="4E9CCE17" w:rsidR="00AF37CB" w:rsidRDefault="00AF37CB">
      <w:pPr>
        <w:pStyle w:val="Heading1"/>
        <w:numPr>
          <w:ilvl w:val="0"/>
          <w:numId w:val="1"/>
        </w:numPr>
        <w:ind w:hanging="720"/>
      </w:pPr>
      <w:r>
        <w:lastRenderedPageBreak/>
        <w:t xml:space="preserve">Transmission &amp; Infrastructure </w:t>
      </w:r>
      <w:r w:rsidRPr="00FD03EE">
        <w:t>Licence</w:t>
      </w:r>
      <w:r>
        <w:t xml:space="preserve"> </w:t>
      </w:r>
      <w:r w:rsidRPr="00FD03EE">
        <w:t>Applications</w:t>
      </w:r>
      <w:bookmarkEnd w:id="0"/>
    </w:p>
    <w:p w14:paraId="4F5D164E" w14:textId="77777777" w:rsidR="00AF37CB" w:rsidRDefault="00AF37CB" w:rsidP="00AF37CB">
      <w:pPr>
        <w:pStyle w:val="Heading2"/>
        <w:numPr>
          <w:ilvl w:val="1"/>
          <w:numId w:val="1"/>
        </w:numPr>
        <w:spacing w:before="120"/>
        <w:ind w:hanging="720"/>
      </w:pPr>
      <w:bookmarkStart w:id="1" w:name="_Toc112329546"/>
      <w:bookmarkStart w:id="2" w:name="_Toc133220096"/>
      <w:r>
        <w:t xml:space="preserve">Purpose of a Transmission &amp; Infrastructure Licence (TIL) </w:t>
      </w:r>
      <w:r>
        <w:rPr>
          <w:b w:val="0"/>
          <w:bCs/>
        </w:rPr>
        <w:t>(section 58 OEI Act)</w:t>
      </w:r>
      <w:bookmarkEnd w:id="1"/>
      <w:bookmarkEnd w:id="2"/>
    </w:p>
    <w:p w14:paraId="412D8E52" w14:textId="77777777" w:rsidR="00AF37CB" w:rsidRDefault="00AF37CB" w:rsidP="00FF03CA">
      <w:pPr>
        <w:pStyle w:val="ListParagraph"/>
        <w:numPr>
          <w:ilvl w:val="2"/>
          <w:numId w:val="1"/>
        </w:numPr>
        <w:spacing w:after="60" w:line="240" w:lineRule="auto"/>
        <w:ind w:left="709"/>
        <w:contextualSpacing w:val="0"/>
      </w:pPr>
      <w:r>
        <w:t xml:space="preserve">A TIL is provided to allow the licence holder to carry out an offshore infrastructure project to: </w:t>
      </w:r>
    </w:p>
    <w:p w14:paraId="0BB9AD6B" w14:textId="77777777" w:rsidR="00AF37CB" w:rsidRPr="004B57D8" w:rsidRDefault="00AF37CB" w:rsidP="00FF03CA">
      <w:pPr>
        <w:pStyle w:val="ListParagraph"/>
        <w:numPr>
          <w:ilvl w:val="0"/>
          <w:numId w:val="4"/>
        </w:numPr>
        <w:spacing w:after="60" w:line="240" w:lineRule="auto"/>
        <w:ind w:left="924" w:hanging="357"/>
        <w:contextualSpacing w:val="0"/>
      </w:pPr>
      <w:r w:rsidRPr="004B57D8">
        <w:t>Assess the feasibility of storing, transmitting or conveying electricity or a renewable energy product in or through the licence area.</w:t>
      </w:r>
    </w:p>
    <w:p w14:paraId="6D3E9C3D" w14:textId="77777777" w:rsidR="00AF37CB" w:rsidRPr="004B57D8" w:rsidRDefault="00AF37CB" w:rsidP="00AF37CB">
      <w:pPr>
        <w:pStyle w:val="ListParagraph"/>
        <w:numPr>
          <w:ilvl w:val="0"/>
          <w:numId w:val="4"/>
        </w:numPr>
        <w:spacing w:after="60" w:line="240" w:lineRule="auto"/>
        <w:ind w:left="924" w:hanging="357"/>
        <w:contextualSpacing w:val="0"/>
      </w:pPr>
      <w:r w:rsidRPr="004B57D8">
        <w:t>Store, transmit or convey electricity or a renewable energy product in or through the licence area.</w:t>
      </w:r>
    </w:p>
    <w:p w14:paraId="15FCBD1C" w14:textId="0D7FE2A1" w:rsidR="00AF37CB" w:rsidRDefault="00AF37CB" w:rsidP="00FF03CA">
      <w:pPr>
        <w:pStyle w:val="ListParagraph"/>
        <w:numPr>
          <w:ilvl w:val="2"/>
          <w:numId w:val="1"/>
        </w:numPr>
        <w:spacing w:after="40" w:line="240" w:lineRule="auto"/>
        <w:ind w:left="709"/>
        <w:contextualSpacing w:val="0"/>
      </w:pPr>
      <w:r>
        <w:t xml:space="preserve">A TIL authorises the licence holder to construct, install, commission, operate, maintain and decommission offshore renewable energy infrastructure or offshore electricity transmission </w:t>
      </w:r>
      <w:r w:rsidRPr="00603D74">
        <w:t xml:space="preserve">infrastructure in the licence area, </w:t>
      </w:r>
      <w:r>
        <w:t>if</w:t>
      </w:r>
      <w:r w:rsidRPr="00603D74">
        <w:t xml:space="preserve"> the legislative requirements are met (s</w:t>
      </w:r>
      <w:r>
        <w:t xml:space="preserve">ection </w:t>
      </w:r>
      <w:r w:rsidRPr="00603D74">
        <w:t xml:space="preserve">59 OEI Act). </w:t>
      </w:r>
    </w:p>
    <w:p w14:paraId="7E25FA40" w14:textId="70D61EA7" w:rsidR="00953A0F" w:rsidRPr="002B2D82" w:rsidRDefault="00A05DAF" w:rsidP="00FF03CA">
      <w:pPr>
        <w:pStyle w:val="ListParagraph"/>
        <w:spacing w:after="0" w:line="240" w:lineRule="auto"/>
        <w:ind w:left="709"/>
        <w:contextualSpacing w:val="0"/>
        <w:rPr>
          <w:sz w:val="20"/>
          <w:szCs w:val="20"/>
        </w:rPr>
      </w:pPr>
      <w:r w:rsidRPr="002B2D82">
        <w:rPr>
          <w:b/>
          <w:bCs/>
          <w:sz w:val="20"/>
          <w:szCs w:val="20"/>
        </w:rPr>
        <w:t>Note 1:</w:t>
      </w:r>
      <w:r w:rsidRPr="002B2D82">
        <w:rPr>
          <w:sz w:val="20"/>
          <w:szCs w:val="20"/>
        </w:rPr>
        <w:t xml:space="preserve"> </w:t>
      </w:r>
      <w:r w:rsidR="00953A0F" w:rsidRPr="002B2D82">
        <w:rPr>
          <w:sz w:val="20"/>
          <w:szCs w:val="20"/>
        </w:rPr>
        <w:t xml:space="preserve">‘Offshore renewable energy infrastructure’ is defined in section 10 of the OEI Act. ‘Offshore electricity transmission infrastructure’ is defined in section 11 of the OEI Act. </w:t>
      </w:r>
    </w:p>
    <w:p w14:paraId="464FD033" w14:textId="0827CD2F" w:rsidR="00ED0A4F" w:rsidRPr="002B2D82" w:rsidRDefault="00ED0A4F" w:rsidP="00ED0A4F">
      <w:pPr>
        <w:pStyle w:val="ListParagraph"/>
        <w:spacing w:after="60" w:line="240" w:lineRule="auto"/>
        <w:ind w:left="709"/>
        <w:contextualSpacing w:val="0"/>
        <w:rPr>
          <w:sz w:val="20"/>
          <w:szCs w:val="20"/>
        </w:rPr>
      </w:pPr>
      <w:r w:rsidRPr="002B2D82">
        <w:rPr>
          <w:b/>
          <w:bCs/>
          <w:sz w:val="20"/>
          <w:szCs w:val="20"/>
        </w:rPr>
        <w:t>Note</w:t>
      </w:r>
      <w:r w:rsidR="00A05DAF" w:rsidRPr="002B2D82">
        <w:rPr>
          <w:b/>
          <w:bCs/>
          <w:sz w:val="20"/>
          <w:szCs w:val="20"/>
        </w:rPr>
        <w:t xml:space="preserve"> 2</w:t>
      </w:r>
      <w:r w:rsidRPr="002B2D82">
        <w:rPr>
          <w:b/>
          <w:bCs/>
          <w:sz w:val="20"/>
          <w:szCs w:val="20"/>
        </w:rPr>
        <w:t>:</w:t>
      </w:r>
      <w:r w:rsidRPr="002B2D82">
        <w:rPr>
          <w:sz w:val="20"/>
          <w:szCs w:val="20"/>
        </w:rPr>
        <w:t xml:space="preserve"> The Explanatory Memorandum to the </w:t>
      </w:r>
      <w:r w:rsidRPr="002B2D82">
        <w:rPr>
          <w:i/>
          <w:iCs/>
          <w:sz w:val="20"/>
          <w:szCs w:val="20"/>
        </w:rPr>
        <w:t>Offshore Electricity Infrastructure Bill 2021</w:t>
      </w:r>
      <w:r w:rsidRPr="002B2D82">
        <w:rPr>
          <w:sz w:val="20"/>
          <w:szCs w:val="20"/>
        </w:rPr>
        <w:t xml:space="preserve"> states: </w:t>
      </w:r>
      <w:bookmarkStart w:id="3" w:name="_Toc75958397"/>
      <w:r w:rsidRPr="002B2D82">
        <w:rPr>
          <w:sz w:val="20"/>
          <w:szCs w:val="20"/>
        </w:rPr>
        <w:t>“</w:t>
      </w:r>
      <w:r w:rsidRPr="002B2D82">
        <w:rPr>
          <w:i/>
          <w:iCs/>
          <w:sz w:val="20"/>
          <w:szCs w:val="20"/>
        </w:rPr>
        <w:t>I</w:t>
      </w:r>
      <w:r w:rsidRPr="002B2D82">
        <w:rPr>
          <w:i/>
          <w:iCs/>
          <w:color w:val="000000"/>
          <w:sz w:val="20"/>
          <w:szCs w:val="20"/>
          <w:shd w:val="clear" w:color="auto" w:fill="FFFFFF"/>
        </w:rPr>
        <w:t>nfrastructure that is either fixed or tethered, but will have the primary purpose of storing, transmitting or otherwise conveying electricity, is OETI for the purposes of the Bill”</w:t>
      </w:r>
      <w:bookmarkEnd w:id="3"/>
      <w:r w:rsidRPr="002B2D82">
        <w:rPr>
          <w:color w:val="000000"/>
          <w:sz w:val="20"/>
          <w:szCs w:val="20"/>
          <w:shd w:val="clear" w:color="auto" w:fill="FFFFFF"/>
        </w:rPr>
        <w:t xml:space="preserve"> (</w:t>
      </w:r>
      <w:r w:rsidR="00E357FE" w:rsidRPr="002B2D82">
        <w:rPr>
          <w:color w:val="000000"/>
          <w:sz w:val="20"/>
          <w:szCs w:val="20"/>
          <w:shd w:val="clear" w:color="auto" w:fill="FFFFFF"/>
        </w:rPr>
        <w:t>cl. 11, at</w:t>
      </w:r>
      <w:r w:rsidRPr="002B2D82">
        <w:rPr>
          <w:color w:val="000000"/>
          <w:sz w:val="20"/>
          <w:szCs w:val="20"/>
          <w:shd w:val="clear" w:color="auto" w:fill="FFFFFF"/>
        </w:rPr>
        <w:t xml:space="preserve"> 26). </w:t>
      </w:r>
    </w:p>
    <w:p w14:paraId="1BEF92D9" w14:textId="49C26F4B" w:rsidR="00AF37CB" w:rsidRDefault="00AF37CB" w:rsidP="00AF37CB">
      <w:pPr>
        <w:pStyle w:val="ListParagraph"/>
        <w:numPr>
          <w:ilvl w:val="2"/>
          <w:numId w:val="1"/>
        </w:numPr>
        <w:spacing w:after="60" w:line="240" w:lineRule="auto"/>
        <w:ind w:left="709"/>
        <w:contextualSpacing w:val="0"/>
      </w:pPr>
      <w:r w:rsidRPr="00F4659A">
        <w:t>A</w:t>
      </w:r>
      <w:r w:rsidR="006A6E7E">
        <w:t xml:space="preserve">n eligible person </w:t>
      </w:r>
      <w:r w:rsidRPr="00F4659A">
        <w:t xml:space="preserve">may be able to carry out certain activities prior to applying for a TIL where </w:t>
      </w:r>
      <w:r w:rsidR="00BE2122">
        <w:t>the activity does not breach the prohibition in section 15 of the OEI Act</w:t>
      </w:r>
      <w:r w:rsidR="00BE2122" w:rsidRPr="00F4659A">
        <w:t xml:space="preserve"> </w:t>
      </w:r>
      <w:r w:rsidR="00BE2122">
        <w:t xml:space="preserve">and </w:t>
      </w:r>
      <w:r w:rsidRPr="00F4659A">
        <w:t>required approvals are first obtained (e.g. EPBC Act approvals</w:t>
      </w:r>
      <w:r>
        <w:t xml:space="preserve"> and Director of National Parks (DNP) authorisations</w:t>
      </w:r>
      <w:r w:rsidRPr="00F4659A">
        <w:t xml:space="preserve">). </w:t>
      </w:r>
      <w:r>
        <w:t xml:space="preserve">Guidance information can be found on the Offshore Infrastructure Regulator website </w:t>
      </w:r>
      <w:hyperlink r:id="rId14" w:history="1">
        <w:r w:rsidRPr="00876A87">
          <w:rPr>
            <w:rStyle w:val="Hyperlink"/>
          </w:rPr>
          <w:t>here.</w:t>
        </w:r>
      </w:hyperlink>
      <w:r>
        <w:t xml:space="preserve"> </w:t>
      </w:r>
    </w:p>
    <w:p w14:paraId="433474F3" w14:textId="7BF3B94B" w:rsidR="00B1505D" w:rsidRDefault="00B1505D" w:rsidP="00AF37CB">
      <w:pPr>
        <w:pStyle w:val="ListParagraph"/>
        <w:numPr>
          <w:ilvl w:val="2"/>
          <w:numId w:val="1"/>
        </w:numPr>
        <w:spacing w:after="60" w:line="240" w:lineRule="auto"/>
        <w:ind w:left="709"/>
        <w:contextualSpacing w:val="0"/>
      </w:pPr>
      <w:r>
        <w:t xml:space="preserve">TILs may overlap with each other and other OEI Act licences </w:t>
      </w:r>
      <w:r w:rsidR="00736DF4">
        <w:rPr>
          <w:color w:val="000000"/>
          <w:shd w:val="clear" w:color="auto" w:fill="FFFFFF"/>
        </w:rPr>
        <w:t>only if the Minister is satisfied that the activities undertaken under each licence will not interfere with each other</w:t>
      </w:r>
      <w:r w:rsidR="00736DF4">
        <w:t xml:space="preserve"> </w:t>
      </w:r>
      <w:r w:rsidR="0075453A">
        <w:t>and appropriate consultation is undertaken</w:t>
      </w:r>
      <w:r w:rsidR="00D2246D">
        <w:t xml:space="preserve"> (</w:t>
      </w:r>
      <w:r w:rsidR="00BF6122">
        <w:t>section 61 OEI Act)</w:t>
      </w:r>
      <w:r>
        <w:t xml:space="preserve">. </w:t>
      </w:r>
    </w:p>
    <w:p w14:paraId="73DCEE9D" w14:textId="5CCA0DFD" w:rsidR="00067A09" w:rsidRPr="00037B83" w:rsidRDefault="00037B83" w:rsidP="00037B83">
      <w:pPr>
        <w:pStyle w:val="ListParagraph"/>
        <w:spacing w:after="60" w:line="240" w:lineRule="auto"/>
        <w:ind w:left="709"/>
        <w:contextualSpacing w:val="0"/>
        <w:rPr>
          <w:sz w:val="20"/>
          <w:szCs w:val="20"/>
        </w:rPr>
      </w:pPr>
      <w:r>
        <w:rPr>
          <w:b/>
          <w:bCs/>
          <w:sz w:val="20"/>
          <w:szCs w:val="20"/>
        </w:rPr>
        <w:t xml:space="preserve">Note: </w:t>
      </w:r>
      <w:r>
        <w:rPr>
          <w:sz w:val="20"/>
          <w:szCs w:val="20"/>
        </w:rPr>
        <w:t xml:space="preserve">For </w:t>
      </w:r>
      <w:r w:rsidR="003F347A">
        <w:rPr>
          <w:sz w:val="20"/>
          <w:szCs w:val="20"/>
        </w:rPr>
        <w:t>further detail about overlapping TIL applications, see section 7.8 of this Guideline.</w:t>
      </w:r>
    </w:p>
    <w:p w14:paraId="50E140BC" w14:textId="77777777" w:rsidR="00AF37CB" w:rsidRDefault="00AF37CB" w:rsidP="00AF37CB">
      <w:pPr>
        <w:pStyle w:val="Heading2"/>
        <w:numPr>
          <w:ilvl w:val="1"/>
          <w:numId w:val="1"/>
        </w:numPr>
        <w:spacing w:before="120"/>
        <w:ind w:hanging="720"/>
      </w:pPr>
      <w:bookmarkStart w:id="4" w:name="_Toc133220097"/>
      <w:bookmarkStart w:id="5" w:name="_Toc112329547"/>
      <w:r>
        <w:t>TIL Associated with a Commercial Project under the OEI Act</w:t>
      </w:r>
      <w:bookmarkEnd w:id="4"/>
    </w:p>
    <w:p w14:paraId="6C7D4516" w14:textId="5E2A8122" w:rsidR="00AF37CB" w:rsidRPr="00B52616" w:rsidRDefault="00AF37CB" w:rsidP="00AF37CB">
      <w:pPr>
        <w:pStyle w:val="ListParagraph"/>
        <w:numPr>
          <w:ilvl w:val="2"/>
          <w:numId w:val="1"/>
        </w:numPr>
        <w:spacing w:after="60" w:line="240" w:lineRule="auto"/>
        <w:ind w:left="709"/>
        <w:contextualSpacing w:val="0"/>
      </w:pPr>
      <w:r w:rsidRPr="00603D74">
        <w:t>If a</w:t>
      </w:r>
      <w:r w:rsidR="006A6E7E">
        <w:t>n eligible person</w:t>
      </w:r>
      <w:r w:rsidRPr="00603D74">
        <w:t xml:space="preserve"> intends to transmit electricity generated from a</w:t>
      </w:r>
      <w:r w:rsidR="00B416F6">
        <w:t xml:space="preserve">n </w:t>
      </w:r>
      <w:r w:rsidRPr="00603D74">
        <w:t>offshore infrastructure project</w:t>
      </w:r>
      <w:r w:rsidR="00B416F6">
        <w:t xml:space="preserve"> under a commercial licence</w:t>
      </w:r>
      <w:r w:rsidRPr="00603D74">
        <w:t xml:space="preserve">, the TIL application </w:t>
      </w:r>
      <w:r w:rsidRPr="00603D74">
        <w:rPr>
          <w:b/>
          <w:bCs/>
        </w:rPr>
        <w:t>should not</w:t>
      </w:r>
      <w:r w:rsidRPr="00603D74">
        <w:t xml:space="preserve"> </w:t>
      </w:r>
      <w:r w:rsidRPr="00603D74">
        <w:rPr>
          <w:b/>
          <w:bCs/>
        </w:rPr>
        <w:t>be submitted</w:t>
      </w:r>
      <w:r w:rsidRPr="00603D74">
        <w:t xml:space="preserve"> until after </w:t>
      </w:r>
      <w:r w:rsidR="00B416F6">
        <w:br/>
      </w:r>
      <w:r w:rsidRPr="00603D74">
        <w:t>a feasibility licence has been granted in relation to the proposed commercial offshore infrastructure project as the TIL applied for may fail the merit criteri</w:t>
      </w:r>
      <w:r w:rsidR="00CE1A5C">
        <w:t>a</w:t>
      </w:r>
      <w:r>
        <w:rPr>
          <w:color w:val="000000"/>
          <w:shd w:val="clear" w:color="auto" w:fill="FFFFFF"/>
        </w:rPr>
        <w:t xml:space="preserve"> (</w:t>
      </w:r>
      <w:r w:rsidR="00C67A38">
        <w:rPr>
          <w:color w:val="000000"/>
          <w:shd w:val="clear" w:color="auto" w:fill="FFFFFF"/>
        </w:rPr>
        <w:t>E</w:t>
      </w:r>
      <w:r w:rsidR="00161465">
        <w:rPr>
          <w:color w:val="000000"/>
          <w:shd w:val="clear" w:color="auto" w:fill="FFFFFF"/>
        </w:rPr>
        <w:t xml:space="preserve">.g. </w:t>
      </w:r>
      <w:r w:rsidRPr="00B92BCF">
        <w:rPr>
          <w:i/>
          <w:iCs/>
          <w:color w:val="000000"/>
          <w:shd w:val="clear" w:color="auto" w:fill="FFFFFF"/>
        </w:rPr>
        <w:t>likely to be viable</w:t>
      </w:r>
      <w:r>
        <w:rPr>
          <w:color w:val="000000"/>
          <w:shd w:val="clear" w:color="auto" w:fill="FFFFFF"/>
        </w:rPr>
        <w:t xml:space="preserve">). </w:t>
      </w:r>
    </w:p>
    <w:p w14:paraId="1CD04033" w14:textId="77777777" w:rsidR="00AF37CB" w:rsidRDefault="00AF37CB" w:rsidP="00AF37CB">
      <w:pPr>
        <w:pStyle w:val="Heading2"/>
        <w:numPr>
          <w:ilvl w:val="1"/>
          <w:numId w:val="1"/>
        </w:numPr>
        <w:spacing w:before="120"/>
        <w:ind w:hanging="720"/>
      </w:pPr>
      <w:bookmarkStart w:id="6" w:name="_Toc133220098"/>
      <w:r>
        <w:t>Standalone TIL</w:t>
      </w:r>
      <w:bookmarkEnd w:id="6"/>
    </w:p>
    <w:p w14:paraId="7C3BAAE2" w14:textId="3D3E0F8C" w:rsidR="00AF37CB" w:rsidRDefault="00AF37CB" w:rsidP="00AF37CB">
      <w:pPr>
        <w:pStyle w:val="ListParagraph"/>
        <w:numPr>
          <w:ilvl w:val="2"/>
          <w:numId w:val="1"/>
        </w:numPr>
        <w:spacing w:after="40" w:line="240" w:lineRule="auto"/>
        <w:ind w:left="709"/>
        <w:contextualSpacing w:val="0"/>
      </w:pPr>
      <w:r w:rsidRPr="00603D74">
        <w:t>If a</w:t>
      </w:r>
      <w:r w:rsidR="006A6E7E">
        <w:t>n eligible person</w:t>
      </w:r>
      <w:r w:rsidRPr="00603D74">
        <w:t xml:space="preserve"> </w:t>
      </w:r>
      <w:r>
        <w:t xml:space="preserve">does not intend to transmit electricity generated in the Commonwealth offshore area, the TIL application may be submitted at any time. However, the Minister </w:t>
      </w:r>
      <w:r w:rsidR="00513785">
        <w:t xml:space="preserve">must be satisfied that the licence meets </w:t>
      </w:r>
      <w:proofErr w:type="gramStart"/>
      <w:r w:rsidR="00ED6689" w:rsidRPr="00D53632">
        <w:rPr>
          <w:b/>
          <w:bCs/>
        </w:rPr>
        <w:t>all</w:t>
      </w:r>
      <w:r w:rsidRPr="00D53632">
        <w:rPr>
          <w:b/>
          <w:bCs/>
        </w:rPr>
        <w:t xml:space="preserve"> </w:t>
      </w:r>
      <w:r w:rsidR="00B303D3" w:rsidRPr="00D53632">
        <w:rPr>
          <w:b/>
          <w:bCs/>
        </w:rPr>
        <w:t>of</w:t>
      </w:r>
      <w:proofErr w:type="gramEnd"/>
      <w:r w:rsidR="00B303D3" w:rsidRPr="00D53632">
        <w:rPr>
          <w:b/>
          <w:bCs/>
        </w:rPr>
        <w:t xml:space="preserve"> the </w:t>
      </w:r>
      <w:r w:rsidRPr="00D53632">
        <w:rPr>
          <w:b/>
          <w:bCs/>
        </w:rPr>
        <w:t>merit criteria</w:t>
      </w:r>
      <w:r>
        <w:t>.</w:t>
      </w:r>
    </w:p>
    <w:bookmarkEnd w:id="5"/>
    <w:p w14:paraId="7AC7F5AE" w14:textId="7707DCA9" w:rsidR="00413B2C" w:rsidRDefault="00413B2C" w:rsidP="00413B2C">
      <w:pPr>
        <w:pStyle w:val="Heading2"/>
        <w:numPr>
          <w:ilvl w:val="1"/>
          <w:numId w:val="1"/>
        </w:numPr>
        <w:spacing w:before="120"/>
        <w:ind w:hanging="720"/>
      </w:pPr>
      <w:r>
        <w:t>Other Uses and Users of the Proposed Licence Area</w:t>
      </w:r>
    </w:p>
    <w:p w14:paraId="03A927D9" w14:textId="6303FD34" w:rsidR="00413B2C" w:rsidRPr="00413B2C" w:rsidRDefault="00413B2C" w:rsidP="00413B2C">
      <w:r>
        <w:rPr>
          <w:i/>
          <w:color w:val="4472C4" w:themeColor="accent1"/>
          <w:u w:val="single"/>
        </w:rPr>
        <w:t>Marine Parks</w:t>
      </w:r>
    </w:p>
    <w:p w14:paraId="660FAE75" w14:textId="3BF6212E" w:rsidR="00AF37CB" w:rsidRDefault="00AF37CB" w:rsidP="00FF03CA">
      <w:pPr>
        <w:pStyle w:val="ListParagraph"/>
        <w:numPr>
          <w:ilvl w:val="2"/>
          <w:numId w:val="1"/>
        </w:numPr>
        <w:spacing w:after="60" w:line="240" w:lineRule="auto"/>
        <w:ind w:left="709"/>
        <w:contextualSpacing w:val="0"/>
      </w:pPr>
      <w:r>
        <w:t xml:space="preserve">As no </w:t>
      </w:r>
      <w:r w:rsidR="00B57159">
        <w:t xml:space="preserve">area </w:t>
      </w:r>
      <w:r>
        <w:t>declaration assessment is required for a TIL, a</w:t>
      </w:r>
      <w:r w:rsidR="006A6E7E">
        <w:t xml:space="preserve">n eligible </w:t>
      </w:r>
      <w:r>
        <w:t>person intending to apply for a TIL should</w:t>
      </w:r>
      <w:r w:rsidRPr="00A020B9">
        <w:t xml:space="preserve"> </w:t>
      </w:r>
      <w:r>
        <w:t>make themselves</w:t>
      </w:r>
      <w:r w:rsidRPr="00A020B9">
        <w:t xml:space="preserve"> aware of </w:t>
      </w:r>
      <w:r w:rsidR="00797572">
        <w:t xml:space="preserve">Australian </w:t>
      </w:r>
      <w:r w:rsidR="00EB385A">
        <w:t>M</w:t>
      </w:r>
      <w:r w:rsidRPr="00A020B9">
        <w:t xml:space="preserve">arine </w:t>
      </w:r>
      <w:r w:rsidR="00EB385A">
        <w:t>P</w:t>
      </w:r>
      <w:r w:rsidRPr="00A020B9">
        <w:t xml:space="preserve">arks </w:t>
      </w:r>
      <w:r w:rsidR="00EB385A">
        <w:t xml:space="preserve">located in Commonwealth waters established </w:t>
      </w:r>
      <w:r w:rsidRPr="00A020B9">
        <w:t>under the</w:t>
      </w:r>
      <w:r>
        <w:t xml:space="preserve"> EPBC Act a</w:t>
      </w:r>
      <w:r w:rsidRPr="00A020B9">
        <w:t xml:space="preserve">nd the </w:t>
      </w:r>
      <w:r w:rsidR="00AA6F0F">
        <w:t xml:space="preserve">IUCN </w:t>
      </w:r>
      <w:r w:rsidRPr="00A020B9">
        <w:t xml:space="preserve">zones through which the licence may pass. </w:t>
      </w:r>
    </w:p>
    <w:p w14:paraId="0118E6C3" w14:textId="46FF9A56" w:rsidR="00AF37CB" w:rsidRDefault="00624497" w:rsidP="00AF37CB">
      <w:pPr>
        <w:pStyle w:val="ListParagraph"/>
        <w:numPr>
          <w:ilvl w:val="2"/>
          <w:numId w:val="1"/>
        </w:numPr>
        <w:spacing w:after="80" w:line="240" w:lineRule="auto"/>
        <w:ind w:left="709"/>
        <w:contextualSpacing w:val="0"/>
      </w:pPr>
      <w:r>
        <w:t xml:space="preserve">An eligible </w:t>
      </w:r>
      <w:r w:rsidR="00AF37CB">
        <w:t>person</w:t>
      </w:r>
      <w:r w:rsidR="00AF37CB" w:rsidRPr="00A020B9">
        <w:t xml:space="preserve"> </w:t>
      </w:r>
      <w:r w:rsidR="00AF37CB">
        <w:t xml:space="preserve">may need to </w:t>
      </w:r>
      <w:r w:rsidR="00AF37CB" w:rsidRPr="00A020B9">
        <w:t xml:space="preserve">seek </w:t>
      </w:r>
      <w:r w:rsidR="00AF37CB" w:rsidRPr="00E037CC">
        <w:rPr>
          <w:b/>
          <w:bCs/>
        </w:rPr>
        <w:t>prior a</w:t>
      </w:r>
      <w:r w:rsidR="00D72995">
        <w:rPr>
          <w:b/>
          <w:bCs/>
        </w:rPr>
        <w:t>uthorisation</w:t>
      </w:r>
      <w:r w:rsidR="00AF37CB" w:rsidRPr="00A020B9">
        <w:t xml:space="preserve"> from </w:t>
      </w:r>
      <w:r w:rsidR="00AF37CB">
        <w:t>DNP</w:t>
      </w:r>
      <w:r w:rsidR="00AF37CB" w:rsidRPr="00A020B9">
        <w:t xml:space="preserve"> before </w:t>
      </w:r>
      <w:r w:rsidR="00AF37CB">
        <w:t>submitting a TIL application to the Registrar</w:t>
      </w:r>
      <w:r w:rsidR="00AF37CB" w:rsidRPr="00A020B9">
        <w:t xml:space="preserve">. </w:t>
      </w:r>
      <w:r>
        <w:t>The person</w:t>
      </w:r>
      <w:r w:rsidR="00AF37CB">
        <w:t xml:space="preserve"> should engage with Parks Australia to ascertain the requirements for their circumstances. </w:t>
      </w:r>
      <w:r w:rsidR="00AF37CB" w:rsidRPr="00A020B9">
        <w:t xml:space="preserve">Applications for </w:t>
      </w:r>
      <w:r w:rsidR="00AF37CB">
        <w:t xml:space="preserve">the grant of </w:t>
      </w:r>
      <w:r w:rsidR="00AF37CB" w:rsidRPr="00A020B9">
        <w:t xml:space="preserve">a </w:t>
      </w:r>
      <w:r w:rsidR="00AF37CB">
        <w:t>TIL</w:t>
      </w:r>
      <w:r w:rsidR="00AF37CB" w:rsidRPr="00A020B9">
        <w:t xml:space="preserve"> (or variation</w:t>
      </w:r>
      <w:r w:rsidR="00AF37CB">
        <w:t xml:space="preserve"> of a TIL</w:t>
      </w:r>
      <w:r w:rsidR="00AF37CB" w:rsidRPr="00A020B9">
        <w:t>) should indicate consultation with</w:t>
      </w:r>
      <w:r w:rsidR="00FB0D0D">
        <w:t>,</w:t>
      </w:r>
      <w:r w:rsidR="00AF37CB" w:rsidRPr="00A020B9">
        <w:t xml:space="preserve"> and if </w:t>
      </w:r>
      <w:proofErr w:type="gramStart"/>
      <w:r w:rsidR="00AF37CB" w:rsidRPr="00A020B9">
        <w:t>necessary</w:t>
      </w:r>
      <w:proofErr w:type="gramEnd"/>
      <w:r w:rsidR="00AF37CB" w:rsidRPr="00A020B9">
        <w:t xml:space="preserve"> a</w:t>
      </w:r>
      <w:r w:rsidR="00D72995">
        <w:t>uthorisation</w:t>
      </w:r>
      <w:r w:rsidR="00AF37CB" w:rsidRPr="00A020B9">
        <w:t xml:space="preserve"> from</w:t>
      </w:r>
      <w:r w:rsidR="00FB0D0D">
        <w:t>,</w:t>
      </w:r>
      <w:r w:rsidR="00AF37CB" w:rsidRPr="00A020B9">
        <w:t xml:space="preserve"> Parks Australia prior to submission of the licence application to the Registrar. </w:t>
      </w:r>
    </w:p>
    <w:p w14:paraId="619F85AC" w14:textId="204D63B1" w:rsidR="00413B2C" w:rsidRPr="00413B2C" w:rsidRDefault="00413B2C" w:rsidP="00413B2C">
      <w:r>
        <w:rPr>
          <w:i/>
          <w:color w:val="4472C4" w:themeColor="accent1"/>
          <w:u w:val="single"/>
        </w:rPr>
        <w:t>Shipping, Fishing, Telecommunications, Oil &amp; Gas Etc</w:t>
      </w:r>
    </w:p>
    <w:p w14:paraId="191DA701" w14:textId="7678C6CF" w:rsidR="00413B2C" w:rsidRPr="00577F34" w:rsidRDefault="00413B2C" w:rsidP="00AF37CB">
      <w:pPr>
        <w:pStyle w:val="ListParagraph"/>
        <w:numPr>
          <w:ilvl w:val="2"/>
          <w:numId w:val="1"/>
        </w:numPr>
        <w:spacing w:after="80" w:line="240" w:lineRule="auto"/>
        <w:ind w:left="709"/>
        <w:contextualSpacing w:val="0"/>
      </w:pPr>
      <w:r>
        <w:t xml:space="preserve">An eligible person intending to apply for a TIL should make themselves aware of any relevant existing uses or users of the proposed licence area and have carefully considered these existing rights in relation to the offshore infrastructure project for the TIL before submitting the TIL application to the Registrar. </w:t>
      </w:r>
    </w:p>
    <w:p w14:paraId="33598602" w14:textId="7A5A458E" w:rsidR="00AF37CB" w:rsidRPr="00667FC0" w:rsidRDefault="00AF37CB" w:rsidP="00AF37CB">
      <w:pPr>
        <w:pStyle w:val="Heading2"/>
        <w:numPr>
          <w:ilvl w:val="1"/>
          <w:numId w:val="1"/>
        </w:numPr>
        <w:spacing w:before="120"/>
        <w:ind w:hanging="720"/>
      </w:pPr>
      <w:bookmarkStart w:id="7" w:name="_Toc112329548"/>
      <w:bookmarkStart w:id="8" w:name="_Toc133220100"/>
      <w:r w:rsidRPr="00667FC0">
        <w:lastRenderedPageBreak/>
        <w:t xml:space="preserve">Receipt and Screening of </w:t>
      </w:r>
      <w:r>
        <w:t>TIL</w:t>
      </w:r>
      <w:r w:rsidRPr="00667FC0">
        <w:t xml:space="preserve"> Application by the Registrar</w:t>
      </w:r>
      <w:bookmarkEnd w:id="7"/>
      <w:bookmarkEnd w:id="8"/>
    </w:p>
    <w:p w14:paraId="0C76C9EC" w14:textId="1890AB7F" w:rsidR="00AF37CB" w:rsidRDefault="00AF37CB" w:rsidP="00AF37CB">
      <w:pPr>
        <w:pStyle w:val="ListParagraph"/>
        <w:numPr>
          <w:ilvl w:val="2"/>
          <w:numId w:val="1"/>
        </w:numPr>
        <w:spacing w:after="80" w:line="240" w:lineRule="auto"/>
        <w:ind w:left="709"/>
        <w:contextualSpacing w:val="0"/>
      </w:pPr>
      <w:r>
        <w:t xml:space="preserve">Upon receipt of a TIL application, the Registrar will screen the application to check it meets the application submission requirements in the OEI Act and OEI Regulations. </w:t>
      </w:r>
    </w:p>
    <w:tbl>
      <w:tblPr>
        <w:tblStyle w:val="TableGrid"/>
        <w:tblW w:w="0" w:type="auto"/>
        <w:jc w:val="center"/>
        <w:tblLook w:val="04A0" w:firstRow="1" w:lastRow="0" w:firstColumn="1" w:lastColumn="0" w:noHBand="0" w:noVBand="1"/>
      </w:tblPr>
      <w:tblGrid>
        <w:gridCol w:w="5098"/>
        <w:gridCol w:w="2977"/>
        <w:gridCol w:w="1247"/>
      </w:tblGrid>
      <w:tr w:rsidR="00AF37CB" w:rsidRPr="008C2142" w14:paraId="3EFAD61F" w14:textId="77777777" w:rsidTr="00CF3F04">
        <w:trPr>
          <w:trHeight w:val="387"/>
          <w:jc w:val="center"/>
        </w:trPr>
        <w:tc>
          <w:tcPr>
            <w:tcW w:w="5098" w:type="dxa"/>
            <w:shd w:val="clear" w:color="auto" w:fill="B4C6E7" w:themeFill="accent1" w:themeFillTint="66"/>
          </w:tcPr>
          <w:p w14:paraId="442D2934" w14:textId="77777777" w:rsidR="00AF37CB" w:rsidRPr="008C2142" w:rsidRDefault="00AF37CB" w:rsidP="00FF5BFF">
            <w:pPr>
              <w:rPr>
                <w:b/>
                <w:bCs/>
                <w:sz w:val="20"/>
                <w:szCs w:val="20"/>
              </w:rPr>
            </w:pPr>
            <w:r>
              <w:rPr>
                <w:b/>
                <w:bCs/>
                <w:sz w:val="20"/>
                <w:szCs w:val="20"/>
              </w:rPr>
              <w:t>Application Screening</w:t>
            </w:r>
          </w:p>
        </w:tc>
        <w:tc>
          <w:tcPr>
            <w:tcW w:w="2977" w:type="dxa"/>
            <w:shd w:val="clear" w:color="auto" w:fill="B4C6E7" w:themeFill="accent1" w:themeFillTint="66"/>
          </w:tcPr>
          <w:p w14:paraId="13929682" w14:textId="77777777" w:rsidR="00AF37CB" w:rsidRPr="008C2142" w:rsidRDefault="00AF37CB" w:rsidP="00FF5BFF">
            <w:pPr>
              <w:rPr>
                <w:b/>
                <w:bCs/>
                <w:sz w:val="20"/>
                <w:szCs w:val="20"/>
              </w:rPr>
            </w:pPr>
            <w:r>
              <w:rPr>
                <w:b/>
                <w:bCs/>
                <w:sz w:val="20"/>
                <w:szCs w:val="20"/>
              </w:rPr>
              <w:t>Reference</w:t>
            </w:r>
          </w:p>
        </w:tc>
        <w:tc>
          <w:tcPr>
            <w:tcW w:w="1247" w:type="dxa"/>
            <w:shd w:val="clear" w:color="auto" w:fill="B4C6E7" w:themeFill="accent1" w:themeFillTint="66"/>
          </w:tcPr>
          <w:p w14:paraId="79A4B684" w14:textId="77777777" w:rsidR="00AF37CB" w:rsidRDefault="00AF37CB" w:rsidP="00FF5BFF">
            <w:pPr>
              <w:jc w:val="center"/>
              <w:rPr>
                <w:b/>
                <w:bCs/>
                <w:sz w:val="20"/>
                <w:szCs w:val="20"/>
              </w:rPr>
            </w:pPr>
            <w:r>
              <w:rPr>
                <w:b/>
                <w:bCs/>
                <w:sz w:val="20"/>
                <w:szCs w:val="20"/>
              </w:rPr>
              <w:t>Assessment</w:t>
            </w:r>
          </w:p>
        </w:tc>
      </w:tr>
      <w:tr w:rsidR="00AF37CB" w:rsidRPr="008C2142" w14:paraId="0F9C9498" w14:textId="77777777" w:rsidTr="00CF3F04">
        <w:trPr>
          <w:trHeight w:val="332"/>
          <w:jc w:val="center"/>
        </w:trPr>
        <w:tc>
          <w:tcPr>
            <w:tcW w:w="5098" w:type="dxa"/>
          </w:tcPr>
          <w:p w14:paraId="37F539F4" w14:textId="1DAC0345" w:rsidR="00AF37CB" w:rsidRPr="008C2142" w:rsidRDefault="00AF37CB" w:rsidP="00FF5BFF">
            <w:pPr>
              <w:spacing w:before="40" w:after="40"/>
              <w:rPr>
                <w:sz w:val="20"/>
                <w:szCs w:val="20"/>
              </w:rPr>
            </w:pPr>
            <w:r>
              <w:rPr>
                <w:sz w:val="20"/>
                <w:szCs w:val="20"/>
              </w:rPr>
              <w:t>Eligible person</w:t>
            </w:r>
            <w:r w:rsidR="00AA48AF">
              <w:rPr>
                <w:sz w:val="20"/>
                <w:szCs w:val="20"/>
              </w:rPr>
              <w:t xml:space="preserve"> (for definition see section 8 OEI Act)</w:t>
            </w:r>
          </w:p>
        </w:tc>
        <w:tc>
          <w:tcPr>
            <w:tcW w:w="2977" w:type="dxa"/>
          </w:tcPr>
          <w:p w14:paraId="55BD258C" w14:textId="73665E2C" w:rsidR="00AF37CB" w:rsidRPr="008C2142" w:rsidRDefault="00AF37CB" w:rsidP="00FF5BFF">
            <w:pPr>
              <w:spacing w:before="40" w:after="40"/>
              <w:rPr>
                <w:sz w:val="20"/>
                <w:szCs w:val="20"/>
              </w:rPr>
            </w:pPr>
            <w:r>
              <w:rPr>
                <w:sz w:val="20"/>
                <w:szCs w:val="20"/>
              </w:rPr>
              <w:t>S</w:t>
            </w:r>
            <w:r w:rsidR="00D52F1E">
              <w:rPr>
                <w:sz w:val="20"/>
                <w:szCs w:val="20"/>
              </w:rPr>
              <w:t>ub</w:t>
            </w:r>
            <w:r w:rsidR="005B1A63">
              <w:rPr>
                <w:sz w:val="20"/>
                <w:szCs w:val="20"/>
              </w:rPr>
              <w:t>s</w:t>
            </w:r>
            <w:r>
              <w:rPr>
                <w:sz w:val="20"/>
                <w:szCs w:val="20"/>
              </w:rPr>
              <w:t>ection 61</w:t>
            </w:r>
            <w:r w:rsidR="002D746C">
              <w:rPr>
                <w:sz w:val="20"/>
                <w:szCs w:val="20"/>
              </w:rPr>
              <w:t>(1)</w:t>
            </w:r>
            <w:r>
              <w:rPr>
                <w:sz w:val="20"/>
                <w:szCs w:val="20"/>
              </w:rPr>
              <w:t xml:space="preserve"> OEI Act</w:t>
            </w:r>
          </w:p>
        </w:tc>
        <w:tc>
          <w:tcPr>
            <w:tcW w:w="1247" w:type="dxa"/>
          </w:tcPr>
          <w:p w14:paraId="545658E1" w14:textId="77777777" w:rsidR="00AF37CB" w:rsidRPr="008C2142" w:rsidRDefault="00AF37CB" w:rsidP="00FF5BFF">
            <w:pPr>
              <w:spacing w:before="40" w:after="40"/>
              <w:jc w:val="center"/>
              <w:rPr>
                <w:sz w:val="20"/>
                <w:szCs w:val="20"/>
              </w:rPr>
            </w:pPr>
            <w:r w:rsidRPr="00FB024C">
              <w:rPr>
                <w:sz w:val="20"/>
                <w:szCs w:val="20"/>
              </w:rPr>
              <w:t>Yes / No</w:t>
            </w:r>
          </w:p>
        </w:tc>
      </w:tr>
      <w:tr w:rsidR="00AF37CB" w:rsidRPr="008C2142" w14:paraId="0556D7C6" w14:textId="77777777" w:rsidTr="00CF3F04">
        <w:trPr>
          <w:trHeight w:val="266"/>
          <w:jc w:val="center"/>
        </w:trPr>
        <w:tc>
          <w:tcPr>
            <w:tcW w:w="5098" w:type="dxa"/>
          </w:tcPr>
          <w:p w14:paraId="04FD516E" w14:textId="77777777" w:rsidR="00AF37CB" w:rsidRDefault="00AF37CB" w:rsidP="00FF5BFF">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2977" w:type="dxa"/>
          </w:tcPr>
          <w:p w14:paraId="0529A402" w14:textId="175504A9" w:rsidR="00AF37CB" w:rsidRDefault="00AF37CB" w:rsidP="00FF5BFF">
            <w:pPr>
              <w:spacing w:before="40" w:after="40"/>
              <w:rPr>
                <w:sz w:val="20"/>
                <w:szCs w:val="20"/>
              </w:rPr>
            </w:pPr>
            <w:r>
              <w:rPr>
                <w:sz w:val="20"/>
                <w:szCs w:val="20"/>
              </w:rPr>
              <w:t>S</w:t>
            </w:r>
            <w:r w:rsidR="005B1A63">
              <w:rPr>
                <w:sz w:val="20"/>
                <w:szCs w:val="20"/>
              </w:rPr>
              <w:t>ubs</w:t>
            </w:r>
            <w:r>
              <w:rPr>
                <w:sz w:val="20"/>
                <w:szCs w:val="20"/>
              </w:rPr>
              <w:t>ectio</w:t>
            </w:r>
            <w:r w:rsidRPr="005D64F2">
              <w:rPr>
                <w:sz w:val="20"/>
                <w:szCs w:val="20"/>
              </w:rPr>
              <w:t xml:space="preserve">n </w:t>
            </w:r>
            <w:r>
              <w:rPr>
                <w:sz w:val="20"/>
                <w:szCs w:val="20"/>
              </w:rPr>
              <w:t>21</w:t>
            </w:r>
            <w:r w:rsidR="00B87A58">
              <w:rPr>
                <w:sz w:val="20"/>
                <w:szCs w:val="20"/>
              </w:rPr>
              <w:t>(2)</w:t>
            </w:r>
            <w:r>
              <w:rPr>
                <w:sz w:val="20"/>
                <w:szCs w:val="20"/>
              </w:rPr>
              <w:t xml:space="preserve"> </w:t>
            </w:r>
            <w:r w:rsidRPr="005D64F2">
              <w:rPr>
                <w:sz w:val="20"/>
                <w:szCs w:val="20"/>
              </w:rPr>
              <w:t>OEI Regulations</w:t>
            </w:r>
          </w:p>
        </w:tc>
        <w:tc>
          <w:tcPr>
            <w:tcW w:w="1247" w:type="dxa"/>
          </w:tcPr>
          <w:p w14:paraId="2985994D" w14:textId="77777777" w:rsidR="00AF37CB" w:rsidRDefault="00AF37CB" w:rsidP="00FF5BFF">
            <w:pPr>
              <w:spacing w:before="40" w:after="40"/>
              <w:jc w:val="center"/>
              <w:rPr>
                <w:sz w:val="20"/>
                <w:szCs w:val="20"/>
              </w:rPr>
            </w:pPr>
            <w:r w:rsidRPr="00FB024C">
              <w:rPr>
                <w:sz w:val="20"/>
                <w:szCs w:val="20"/>
              </w:rPr>
              <w:t>Yes / No</w:t>
            </w:r>
          </w:p>
        </w:tc>
      </w:tr>
      <w:tr w:rsidR="00AF37CB" w:rsidRPr="008C2142" w14:paraId="115E1EDD" w14:textId="77777777" w:rsidTr="00CF3F04">
        <w:trPr>
          <w:trHeight w:val="372"/>
          <w:jc w:val="center"/>
        </w:trPr>
        <w:tc>
          <w:tcPr>
            <w:tcW w:w="5098" w:type="dxa"/>
          </w:tcPr>
          <w:p w14:paraId="6FA06E44" w14:textId="77777777" w:rsidR="00AF37CB" w:rsidRPr="00AF37CB" w:rsidRDefault="00AF37CB" w:rsidP="00FF5BFF">
            <w:pPr>
              <w:spacing w:before="40" w:after="40"/>
              <w:rPr>
                <w:sz w:val="20"/>
                <w:szCs w:val="20"/>
              </w:rPr>
            </w:pPr>
            <w:r w:rsidRPr="00AF37CB">
              <w:rPr>
                <w:sz w:val="20"/>
                <w:szCs w:val="20"/>
              </w:rPr>
              <w:t xml:space="preserve">Payment of application fee (for fee amount see </w:t>
            </w:r>
            <w:r w:rsidRPr="00AF37CB">
              <w:rPr>
                <w:sz w:val="20"/>
                <w:szCs w:val="20"/>
              </w:rPr>
              <w:br/>
              <w:t>section 45 of the OEI Regulations)</w:t>
            </w:r>
          </w:p>
        </w:tc>
        <w:tc>
          <w:tcPr>
            <w:tcW w:w="2977" w:type="dxa"/>
          </w:tcPr>
          <w:p w14:paraId="78B30E67" w14:textId="77777777" w:rsidR="00AF37CB" w:rsidRPr="00AF37CB" w:rsidRDefault="00AF37CB" w:rsidP="00FF5BFF">
            <w:pPr>
              <w:spacing w:before="40" w:after="40"/>
              <w:rPr>
                <w:sz w:val="20"/>
                <w:szCs w:val="20"/>
              </w:rPr>
            </w:pPr>
            <w:r w:rsidRPr="00AF37CB">
              <w:rPr>
                <w:sz w:val="20"/>
                <w:szCs w:val="20"/>
              </w:rPr>
              <w:t>Section 46 OEI Regulations</w:t>
            </w:r>
          </w:p>
        </w:tc>
        <w:tc>
          <w:tcPr>
            <w:tcW w:w="1247" w:type="dxa"/>
          </w:tcPr>
          <w:p w14:paraId="083C6E3F" w14:textId="77777777" w:rsidR="00AF37CB" w:rsidRDefault="00AF37CB" w:rsidP="00FF5BFF">
            <w:pPr>
              <w:spacing w:before="40" w:after="40"/>
              <w:jc w:val="center"/>
              <w:rPr>
                <w:sz w:val="20"/>
                <w:szCs w:val="20"/>
              </w:rPr>
            </w:pPr>
            <w:r w:rsidRPr="00FB024C">
              <w:rPr>
                <w:sz w:val="20"/>
                <w:szCs w:val="20"/>
              </w:rPr>
              <w:t>Yes / No</w:t>
            </w:r>
          </w:p>
        </w:tc>
      </w:tr>
      <w:tr w:rsidR="00AF37CB" w:rsidRPr="008C2142" w14:paraId="6A95B9C3" w14:textId="77777777" w:rsidTr="00CF3F04">
        <w:trPr>
          <w:trHeight w:val="387"/>
          <w:jc w:val="center"/>
        </w:trPr>
        <w:tc>
          <w:tcPr>
            <w:tcW w:w="5098" w:type="dxa"/>
          </w:tcPr>
          <w:p w14:paraId="62D2ABB2" w14:textId="77777777" w:rsidR="00AF37CB" w:rsidRPr="008C2142" w:rsidRDefault="00AF37CB" w:rsidP="00FF5BFF">
            <w:pPr>
              <w:spacing w:before="40" w:after="40"/>
              <w:rPr>
                <w:sz w:val="20"/>
                <w:szCs w:val="20"/>
              </w:rPr>
            </w:pPr>
            <w:r>
              <w:rPr>
                <w:sz w:val="20"/>
                <w:szCs w:val="20"/>
              </w:rPr>
              <w:t>Description of the offshore infrastructure project</w:t>
            </w:r>
          </w:p>
        </w:tc>
        <w:tc>
          <w:tcPr>
            <w:tcW w:w="2977" w:type="dxa"/>
          </w:tcPr>
          <w:p w14:paraId="4711BA55" w14:textId="5C1F38CB" w:rsidR="00AF37CB" w:rsidRPr="008C2142" w:rsidRDefault="00AF37CB" w:rsidP="00FF5BFF">
            <w:pPr>
              <w:spacing w:before="40" w:after="40"/>
              <w:rPr>
                <w:sz w:val="20"/>
                <w:szCs w:val="20"/>
              </w:rPr>
            </w:pPr>
            <w:r>
              <w:rPr>
                <w:sz w:val="20"/>
                <w:szCs w:val="20"/>
              </w:rPr>
              <w:t>Subsection 60(2) OEI Act and s</w:t>
            </w:r>
            <w:r w:rsidR="005B1A63">
              <w:rPr>
                <w:sz w:val="20"/>
                <w:szCs w:val="20"/>
              </w:rPr>
              <w:t>ubs</w:t>
            </w:r>
            <w:r>
              <w:rPr>
                <w:sz w:val="20"/>
                <w:szCs w:val="20"/>
              </w:rPr>
              <w:t>ection 21</w:t>
            </w:r>
            <w:r w:rsidR="00B87A58">
              <w:rPr>
                <w:sz w:val="20"/>
                <w:szCs w:val="20"/>
              </w:rPr>
              <w:t>(2)</w:t>
            </w:r>
            <w:r>
              <w:rPr>
                <w:sz w:val="20"/>
                <w:szCs w:val="20"/>
              </w:rPr>
              <w:t xml:space="preserve"> OEI Regulations</w:t>
            </w:r>
          </w:p>
        </w:tc>
        <w:tc>
          <w:tcPr>
            <w:tcW w:w="1247" w:type="dxa"/>
          </w:tcPr>
          <w:p w14:paraId="0E263396" w14:textId="77777777" w:rsidR="00AF37CB" w:rsidRPr="008C2142" w:rsidRDefault="00AF37CB" w:rsidP="00FF5BFF">
            <w:pPr>
              <w:spacing w:before="40" w:after="40"/>
              <w:jc w:val="center"/>
              <w:rPr>
                <w:sz w:val="20"/>
                <w:szCs w:val="20"/>
              </w:rPr>
            </w:pPr>
            <w:r w:rsidRPr="00FB024C">
              <w:rPr>
                <w:sz w:val="20"/>
                <w:szCs w:val="20"/>
              </w:rPr>
              <w:t>Yes / No</w:t>
            </w:r>
          </w:p>
        </w:tc>
      </w:tr>
      <w:tr w:rsidR="00AF37CB" w:rsidRPr="008C2142" w14:paraId="6392ACC8" w14:textId="77777777" w:rsidTr="00CF3F04">
        <w:trPr>
          <w:trHeight w:val="387"/>
          <w:jc w:val="center"/>
        </w:trPr>
        <w:tc>
          <w:tcPr>
            <w:tcW w:w="5098" w:type="dxa"/>
          </w:tcPr>
          <w:p w14:paraId="0D04577E" w14:textId="77777777" w:rsidR="00AF37CB" w:rsidRDefault="00AF37CB" w:rsidP="00FF5BFF">
            <w:pPr>
              <w:spacing w:before="40" w:after="40"/>
              <w:rPr>
                <w:sz w:val="20"/>
                <w:szCs w:val="20"/>
              </w:rPr>
            </w:pPr>
            <w:r>
              <w:rPr>
                <w:sz w:val="20"/>
                <w:szCs w:val="20"/>
              </w:rPr>
              <w:t xml:space="preserve">Be accompanied by </w:t>
            </w:r>
            <w:r w:rsidRPr="008B469B">
              <w:rPr>
                <w:sz w:val="20"/>
                <w:szCs w:val="20"/>
              </w:rPr>
              <w:t>any other information or documents required by the approved form</w:t>
            </w:r>
          </w:p>
        </w:tc>
        <w:tc>
          <w:tcPr>
            <w:tcW w:w="2977" w:type="dxa"/>
          </w:tcPr>
          <w:p w14:paraId="7A9D3497" w14:textId="27DE0A89" w:rsidR="00AF37CB" w:rsidRDefault="00AF37CB" w:rsidP="00FF5BFF">
            <w:pPr>
              <w:spacing w:before="40" w:after="40"/>
              <w:rPr>
                <w:sz w:val="20"/>
                <w:szCs w:val="20"/>
              </w:rPr>
            </w:pPr>
            <w:r>
              <w:rPr>
                <w:sz w:val="20"/>
                <w:szCs w:val="20"/>
              </w:rPr>
              <w:t>S</w:t>
            </w:r>
            <w:r w:rsidR="005B1A63">
              <w:rPr>
                <w:sz w:val="20"/>
                <w:szCs w:val="20"/>
              </w:rPr>
              <w:t>ubs</w:t>
            </w:r>
            <w:r>
              <w:rPr>
                <w:sz w:val="20"/>
                <w:szCs w:val="20"/>
              </w:rPr>
              <w:t>ectio</w:t>
            </w:r>
            <w:r w:rsidRPr="005D64F2">
              <w:rPr>
                <w:sz w:val="20"/>
                <w:szCs w:val="20"/>
              </w:rPr>
              <w:t xml:space="preserve">n </w:t>
            </w:r>
            <w:r>
              <w:rPr>
                <w:sz w:val="20"/>
                <w:szCs w:val="20"/>
              </w:rPr>
              <w:t>21</w:t>
            </w:r>
            <w:r w:rsidR="00A34B84">
              <w:rPr>
                <w:sz w:val="20"/>
                <w:szCs w:val="20"/>
              </w:rPr>
              <w:t>(2)</w:t>
            </w:r>
            <w:r w:rsidRPr="005D64F2">
              <w:rPr>
                <w:sz w:val="20"/>
                <w:szCs w:val="20"/>
              </w:rPr>
              <w:t xml:space="preserve"> OEI Regulations</w:t>
            </w:r>
          </w:p>
        </w:tc>
        <w:tc>
          <w:tcPr>
            <w:tcW w:w="1247" w:type="dxa"/>
          </w:tcPr>
          <w:p w14:paraId="7BF7916B" w14:textId="77777777" w:rsidR="00AF37CB" w:rsidRDefault="00AF37CB" w:rsidP="00FF5BFF">
            <w:pPr>
              <w:spacing w:before="40" w:after="40"/>
              <w:jc w:val="center"/>
              <w:rPr>
                <w:sz w:val="20"/>
                <w:szCs w:val="20"/>
              </w:rPr>
            </w:pPr>
            <w:r w:rsidRPr="00FB024C">
              <w:rPr>
                <w:sz w:val="20"/>
                <w:szCs w:val="20"/>
              </w:rPr>
              <w:t>Yes / No</w:t>
            </w:r>
          </w:p>
        </w:tc>
      </w:tr>
      <w:tr w:rsidR="00AF37CB" w:rsidRPr="008C2142" w14:paraId="53A097A8" w14:textId="77777777" w:rsidTr="00CF3F04">
        <w:trPr>
          <w:trHeight w:val="372"/>
          <w:jc w:val="center"/>
        </w:trPr>
        <w:tc>
          <w:tcPr>
            <w:tcW w:w="5098" w:type="dxa"/>
          </w:tcPr>
          <w:p w14:paraId="0CFB58B0" w14:textId="77777777" w:rsidR="00AF37CB" w:rsidRPr="008C2142" w:rsidRDefault="00AF37CB" w:rsidP="00FF03CA">
            <w:pPr>
              <w:spacing w:before="40"/>
              <w:rPr>
                <w:sz w:val="20"/>
                <w:szCs w:val="20"/>
              </w:rPr>
            </w:pPr>
            <w:r>
              <w:rPr>
                <w:sz w:val="20"/>
                <w:szCs w:val="20"/>
              </w:rPr>
              <w:t>Licence area</w:t>
            </w:r>
          </w:p>
        </w:tc>
        <w:tc>
          <w:tcPr>
            <w:tcW w:w="2977" w:type="dxa"/>
          </w:tcPr>
          <w:p w14:paraId="21861E39" w14:textId="77777777" w:rsidR="00AF37CB" w:rsidRPr="008C2142" w:rsidRDefault="00AF37CB" w:rsidP="00FF03CA">
            <w:pPr>
              <w:spacing w:before="40"/>
              <w:rPr>
                <w:sz w:val="20"/>
                <w:szCs w:val="20"/>
              </w:rPr>
            </w:pPr>
            <w:r>
              <w:rPr>
                <w:sz w:val="20"/>
                <w:szCs w:val="20"/>
              </w:rPr>
              <w:t>Subsection 61(2) OEI Act</w:t>
            </w:r>
          </w:p>
        </w:tc>
        <w:tc>
          <w:tcPr>
            <w:tcW w:w="1247" w:type="dxa"/>
          </w:tcPr>
          <w:p w14:paraId="314232B8" w14:textId="77777777" w:rsidR="00AF37CB" w:rsidRPr="008C2142" w:rsidRDefault="00AF37CB" w:rsidP="00FF03CA">
            <w:pPr>
              <w:spacing w:before="40"/>
              <w:jc w:val="center"/>
              <w:rPr>
                <w:sz w:val="20"/>
                <w:szCs w:val="20"/>
              </w:rPr>
            </w:pPr>
            <w:r w:rsidRPr="00FB024C">
              <w:rPr>
                <w:sz w:val="20"/>
                <w:szCs w:val="20"/>
              </w:rPr>
              <w:t>Yes / No</w:t>
            </w:r>
          </w:p>
        </w:tc>
      </w:tr>
    </w:tbl>
    <w:p w14:paraId="52E6E790" w14:textId="76D312CD" w:rsidR="00AF37CB" w:rsidRPr="000036D1" w:rsidRDefault="00AF37CB" w:rsidP="00FF4855">
      <w:pPr>
        <w:spacing w:before="80" w:after="120" w:line="240" w:lineRule="auto"/>
        <w:rPr>
          <w:iCs/>
          <w:color w:val="4472C4" w:themeColor="accent1"/>
        </w:rPr>
      </w:pPr>
      <w:r w:rsidRPr="00E84856">
        <w:rPr>
          <w:i/>
          <w:color w:val="4472C4" w:themeColor="accent1"/>
          <w:u w:val="single"/>
        </w:rPr>
        <w:t>Eligible Person</w:t>
      </w:r>
      <w:r>
        <w:rPr>
          <w:iCs/>
          <w:color w:val="4472C4" w:themeColor="accent1"/>
        </w:rPr>
        <w:t xml:space="preserve"> (</w:t>
      </w:r>
      <w:r w:rsidR="005B1A63">
        <w:rPr>
          <w:iCs/>
          <w:color w:val="4472C4" w:themeColor="accent1"/>
        </w:rPr>
        <w:t>sub</w:t>
      </w:r>
      <w:r>
        <w:rPr>
          <w:iCs/>
          <w:color w:val="4472C4" w:themeColor="accent1"/>
        </w:rPr>
        <w:t>section 61</w:t>
      </w:r>
      <w:r w:rsidR="002D746C">
        <w:rPr>
          <w:iCs/>
          <w:color w:val="4472C4" w:themeColor="accent1"/>
        </w:rPr>
        <w:t>(1)</w:t>
      </w:r>
      <w:r>
        <w:rPr>
          <w:iCs/>
          <w:color w:val="4472C4" w:themeColor="accent1"/>
        </w:rPr>
        <w:t xml:space="preserve"> OEI Act)</w:t>
      </w:r>
    </w:p>
    <w:p w14:paraId="7F4E6FDA" w14:textId="064F8517" w:rsidR="00AF37CB" w:rsidRPr="00AF37CB" w:rsidRDefault="00AF37CB" w:rsidP="00AF37CB">
      <w:pPr>
        <w:pStyle w:val="ListParagraph"/>
        <w:numPr>
          <w:ilvl w:val="2"/>
          <w:numId w:val="1"/>
        </w:numPr>
        <w:spacing w:after="80" w:line="240" w:lineRule="auto"/>
        <w:ind w:left="709"/>
        <w:contextualSpacing w:val="0"/>
      </w:pPr>
      <w:r w:rsidRPr="00C06A21">
        <w:t xml:space="preserve">A person must be an eligible person </w:t>
      </w:r>
      <w:r>
        <w:t xml:space="preserve">(as defined in section 8 OEI Act). Merit-based considerations regarding the person’s suitability to hold a licence are </w:t>
      </w:r>
      <w:r w:rsidRPr="00AF37CB">
        <w:t xml:space="preserve">in sections </w:t>
      </w:r>
      <w:r w:rsidR="00E36385">
        <w:t>7</w:t>
      </w:r>
      <w:r w:rsidRPr="00246B0B">
        <w:t>.6.4–</w:t>
      </w:r>
      <w:r w:rsidR="00E36385">
        <w:t>7</w:t>
      </w:r>
      <w:r w:rsidRPr="00246B0B">
        <w:t>.6.</w:t>
      </w:r>
      <w:r w:rsidR="00AC0A82">
        <w:t>10</w:t>
      </w:r>
      <w:r w:rsidRPr="00246B0B">
        <w:t xml:space="preserve"> of</w:t>
      </w:r>
      <w:r w:rsidRPr="00AF37CB">
        <w:t xml:space="preserve"> this Guideline.      </w:t>
      </w:r>
    </w:p>
    <w:p w14:paraId="7F25F7A7" w14:textId="77777777" w:rsidR="00AF37CB" w:rsidRPr="00AF37CB" w:rsidRDefault="00AF37CB" w:rsidP="00FF4855">
      <w:pPr>
        <w:spacing w:after="120" w:line="240" w:lineRule="auto"/>
        <w:rPr>
          <w:iCs/>
          <w:color w:val="4472C4" w:themeColor="accent1"/>
        </w:rPr>
      </w:pPr>
      <w:r w:rsidRPr="00AF37CB">
        <w:rPr>
          <w:i/>
          <w:color w:val="4472C4" w:themeColor="accent1"/>
          <w:u w:val="single"/>
        </w:rPr>
        <w:t>Description of the Offshore Infrastructure Project</w:t>
      </w:r>
      <w:r w:rsidRPr="00AF37CB">
        <w:rPr>
          <w:iCs/>
          <w:color w:val="4472C4" w:themeColor="accent1"/>
        </w:rPr>
        <w:t xml:space="preserve"> (subsection 60(2) OEI Act)</w:t>
      </w:r>
    </w:p>
    <w:p w14:paraId="5C3A5E65" w14:textId="625762D7" w:rsidR="007F3549" w:rsidRDefault="00AF37CB" w:rsidP="00FF03CA">
      <w:pPr>
        <w:pStyle w:val="ListParagraph"/>
        <w:numPr>
          <w:ilvl w:val="2"/>
          <w:numId w:val="1"/>
        </w:numPr>
        <w:spacing w:after="40" w:line="240" w:lineRule="auto"/>
        <w:ind w:left="709"/>
        <w:contextualSpacing w:val="0"/>
      </w:pPr>
      <w:r w:rsidRPr="00AF37CB">
        <w:t>The application must describe the offshore infrastructure project to be carried out under the licence</w:t>
      </w:r>
      <w:r w:rsidR="00A31B1C">
        <w:t xml:space="preserve"> (i.e. the TIL project)</w:t>
      </w:r>
      <w:r w:rsidRPr="00AF37CB">
        <w:t xml:space="preserve">. </w:t>
      </w:r>
    </w:p>
    <w:p w14:paraId="5B440B60" w14:textId="1D5EE402" w:rsidR="007F3549" w:rsidRPr="002B2D82" w:rsidRDefault="007F3549" w:rsidP="007F3549">
      <w:pPr>
        <w:pStyle w:val="ListParagraph"/>
        <w:spacing w:after="60" w:line="240" w:lineRule="auto"/>
        <w:contextualSpacing w:val="0"/>
        <w:rPr>
          <w:sz w:val="20"/>
          <w:szCs w:val="20"/>
        </w:rPr>
      </w:pPr>
      <w:r w:rsidRPr="002B2D82">
        <w:rPr>
          <w:b/>
          <w:bCs/>
          <w:sz w:val="20"/>
          <w:szCs w:val="20"/>
        </w:rPr>
        <w:t>Note:</w:t>
      </w:r>
      <w:r w:rsidRPr="002B2D82">
        <w:rPr>
          <w:sz w:val="20"/>
          <w:szCs w:val="20"/>
        </w:rPr>
        <w:t xml:space="preserve"> A condition may be placed on the grant of a TIL in relation to the offshore infrastructure project </w:t>
      </w:r>
      <w:r w:rsidR="003A751E" w:rsidRPr="002B2D82">
        <w:rPr>
          <w:sz w:val="20"/>
          <w:szCs w:val="20"/>
        </w:rPr>
        <w:t>described in the application</w:t>
      </w:r>
      <w:r w:rsidR="00307B09">
        <w:rPr>
          <w:sz w:val="20"/>
          <w:szCs w:val="20"/>
        </w:rPr>
        <w:t xml:space="preserve"> form</w:t>
      </w:r>
      <w:r w:rsidR="003A751E" w:rsidRPr="002B2D82">
        <w:rPr>
          <w:sz w:val="20"/>
          <w:szCs w:val="20"/>
        </w:rPr>
        <w:t xml:space="preserve"> </w:t>
      </w:r>
      <w:r w:rsidRPr="002B2D82">
        <w:rPr>
          <w:sz w:val="20"/>
          <w:szCs w:val="20"/>
        </w:rPr>
        <w:t xml:space="preserve">(subsection 63(2) OEI Act and section </w:t>
      </w:r>
      <w:r w:rsidR="00E36385">
        <w:rPr>
          <w:sz w:val="20"/>
          <w:szCs w:val="20"/>
        </w:rPr>
        <w:t>7</w:t>
      </w:r>
      <w:r w:rsidRPr="002B2D82">
        <w:rPr>
          <w:sz w:val="20"/>
          <w:szCs w:val="20"/>
        </w:rPr>
        <w:t xml:space="preserve">.12 of this Guideline).    </w:t>
      </w:r>
    </w:p>
    <w:p w14:paraId="6E9AAC70" w14:textId="67DDD224" w:rsidR="00AF37CB" w:rsidRDefault="007F3549" w:rsidP="00FF03CA">
      <w:pPr>
        <w:pStyle w:val="ListParagraph"/>
        <w:numPr>
          <w:ilvl w:val="2"/>
          <w:numId w:val="1"/>
        </w:numPr>
        <w:spacing w:after="60" w:line="240" w:lineRule="auto"/>
        <w:ind w:left="709"/>
        <w:contextualSpacing w:val="0"/>
      </w:pPr>
      <w:r>
        <w:t>At a minimum, a person should provide the following information in</w:t>
      </w:r>
      <w:r w:rsidR="00AB357D">
        <w:t xml:space="preserve"> relation to</w:t>
      </w:r>
      <w:r>
        <w:t xml:space="preserve"> </w:t>
      </w:r>
      <w:r w:rsidR="003A751E">
        <w:t>the description of</w:t>
      </w:r>
      <w:r>
        <w:t xml:space="preserve"> the offshore infrastructure project</w:t>
      </w:r>
      <w:r w:rsidR="00A31B1C">
        <w:t xml:space="preserve"> for the TIL</w:t>
      </w:r>
      <w:r>
        <w:t>:</w:t>
      </w:r>
      <w:r w:rsidR="00AF37CB" w:rsidRPr="00AF37CB">
        <w:t xml:space="preserve"> </w:t>
      </w:r>
    </w:p>
    <w:p w14:paraId="53DAA00C" w14:textId="37CF05EF" w:rsidR="007F3549" w:rsidRDefault="007F3549" w:rsidP="00FF03CA">
      <w:pPr>
        <w:pStyle w:val="Style1"/>
        <w:numPr>
          <w:ilvl w:val="0"/>
          <w:numId w:val="30"/>
        </w:numPr>
        <w:spacing w:after="40"/>
        <w:ind w:left="992" w:hanging="357"/>
      </w:pPr>
      <w:r>
        <w:t>Design, construction and operati</w:t>
      </w:r>
      <w:r w:rsidR="00574BB5">
        <w:t>ng</w:t>
      </w:r>
      <w:r>
        <w:t xml:space="preserve"> standards to be applied. </w:t>
      </w:r>
    </w:p>
    <w:p w14:paraId="0F5028E0" w14:textId="4F498E08" w:rsidR="007F3549" w:rsidRPr="007F3549" w:rsidRDefault="007F3549" w:rsidP="00FF03CA">
      <w:pPr>
        <w:pStyle w:val="Style1"/>
        <w:numPr>
          <w:ilvl w:val="0"/>
          <w:numId w:val="30"/>
        </w:numPr>
        <w:spacing w:after="40"/>
        <w:ind w:left="992" w:hanging="357"/>
      </w:pPr>
      <w:r>
        <w:t>C</w:t>
      </w:r>
      <w:r w:rsidRPr="007F3549">
        <w:t>apacity in MW or GW</w:t>
      </w:r>
      <w:r>
        <w:t>.</w:t>
      </w:r>
    </w:p>
    <w:p w14:paraId="113CDD30" w14:textId="4E9B4C78" w:rsidR="007F3549" w:rsidRPr="007F3549" w:rsidRDefault="007F3549" w:rsidP="00FF03CA">
      <w:pPr>
        <w:pStyle w:val="Style1"/>
        <w:numPr>
          <w:ilvl w:val="0"/>
          <w:numId w:val="30"/>
        </w:numPr>
        <w:spacing w:after="40"/>
        <w:ind w:left="992" w:hanging="357"/>
      </w:pPr>
      <w:r w:rsidRPr="007F3549">
        <w:t>Maximum design voltage (in kV)</w:t>
      </w:r>
      <w:r>
        <w:t>.</w:t>
      </w:r>
    </w:p>
    <w:p w14:paraId="66FE3CAC" w14:textId="6D7B2C7A" w:rsidR="007F3549" w:rsidRPr="007F3549" w:rsidRDefault="007F3549" w:rsidP="00FF03CA">
      <w:pPr>
        <w:pStyle w:val="Style1"/>
        <w:numPr>
          <w:ilvl w:val="0"/>
          <w:numId w:val="30"/>
        </w:numPr>
        <w:spacing w:after="40"/>
        <w:ind w:left="992" w:hanging="357"/>
      </w:pPr>
      <w:r w:rsidRPr="007F3549">
        <w:t>Transmission system (HVAC or HVDC)</w:t>
      </w:r>
      <w:r>
        <w:t>.</w:t>
      </w:r>
    </w:p>
    <w:p w14:paraId="426A8234" w14:textId="67670E34" w:rsidR="007F3549" w:rsidRPr="007F3549" w:rsidRDefault="007F3549" w:rsidP="00FF03CA">
      <w:pPr>
        <w:pStyle w:val="Style1"/>
        <w:numPr>
          <w:ilvl w:val="0"/>
          <w:numId w:val="30"/>
        </w:numPr>
        <w:spacing w:after="40"/>
        <w:ind w:left="992" w:hanging="357"/>
      </w:pPr>
      <w:r w:rsidRPr="007F3549">
        <w:t xml:space="preserve">Cable system – number of </w:t>
      </w:r>
      <w:r w:rsidR="00EA7EE7">
        <w:t xml:space="preserve">cable </w:t>
      </w:r>
      <w:r w:rsidRPr="007F3549">
        <w:t>lines, placement</w:t>
      </w:r>
      <w:r w:rsidR="00874BE3">
        <w:t xml:space="preserve"> including spacing (see </w:t>
      </w:r>
      <w:r w:rsidR="00874BE3" w:rsidRPr="00874BE3">
        <w:rPr>
          <w:b/>
          <w:bCs/>
        </w:rPr>
        <w:t>Licence Area</w:t>
      </w:r>
      <w:r w:rsidR="00874BE3">
        <w:t xml:space="preserve"> below)</w:t>
      </w:r>
      <w:r>
        <w:t>.</w:t>
      </w:r>
    </w:p>
    <w:p w14:paraId="0B11D811" w14:textId="27CAC6E2" w:rsidR="007F3549" w:rsidRPr="007F3549" w:rsidRDefault="007F3549" w:rsidP="00FF03CA">
      <w:pPr>
        <w:pStyle w:val="Style1"/>
        <w:numPr>
          <w:ilvl w:val="0"/>
          <w:numId w:val="30"/>
        </w:numPr>
        <w:spacing w:after="40"/>
        <w:ind w:left="992" w:hanging="357"/>
      </w:pPr>
      <w:r w:rsidRPr="007F3549">
        <w:t xml:space="preserve">Nominal outside diameter in mm and cross-sectional area in </w:t>
      </w:r>
      <w:r>
        <w:t>m</w:t>
      </w:r>
      <w:r w:rsidRPr="007F3549">
        <w:t>m</w:t>
      </w:r>
      <w:r w:rsidRPr="007F3549">
        <w:rPr>
          <w:vertAlign w:val="superscript"/>
        </w:rPr>
        <w:t>2</w:t>
      </w:r>
      <w:r>
        <w:t>.</w:t>
      </w:r>
    </w:p>
    <w:p w14:paraId="469AA91E" w14:textId="2D0C8DB4" w:rsidR="007F3549" w:rsidRPr="007F3549" w:rsidRDefault="007F3549" w:rsidP="00FF03CA">
      <w:pPr>
        <w:pStyle w:val="Style1"/>
        <w:numPr>
          <w:ilvl w:val="0"/>
          <w:numId w:val="30"/>
        </w:numPr>
        <w:spacing w:after="40"/>
        <w:ind w:left="992" w:hanging="357"/>
      </w:pPr>
      <w:r w:rsidRPr="007F3549">
        <w:t xml:space="preserve">Structure – conductor, </w:t>
      </w:r>
      <w:r w:rsidR="004B1E2A">
        <w:t>screens</w:t>
      </w:r>
      <w:r w:rsidRPr="007F3549">
        <w:t>, insulation, protective sheath</w:t>
      </w:r>
      <w:r w:rsidR="004B1E2A">
        <w:t xml:space="preserve">, etc. </w:t>
      </w:r>
    </w:p>
    <w:p w14:paraId="3656AC6E" w14:textId="2EAD740B" w:rsidR="007F3549" w:rsidRPr="007F3549" w:rsidRDefault="007F3549" w:rsidP="00FF03CA">
      <w:pPr>
        <w:pStyle w:val="Style1"/>
        <w:numPr>
          <w:ilvl w:val="0"/>
          <w:numId w:val="30"/>
        </w:numPr>
        <w:spacing w:after="40"/>
        <w:ind w:left="992" w:hanging="357"/>
      </w:pPr>
      <w:r w:rsidRPr="007F3549">
        <w:t>Core design – number of cores, design</w:t>
      </w:r>
      <w:r>
        <w:t>.</w:t>
      </w:r>
    </w:p>
    <w:p w14:paraId="7076ED7B" w14:textId="35AA1BBE" w:rsidR="00970CBB" w:rsidRDefault="00970CBB" w:rsidP="00970CBB">
      <w:pPr>
        <w:pStyle w:val="Style1"/>
        <w:numPr>
          <w:ilvl w:val="0"/>
          <w:numId w:val="30"/>
        </w:numPr>
        <w:spacing w:after="40"/>
        <w:ind w:left="992" w:hanging="357"/>
      </w:pPr>
      <w:r w:rsidRPr="007F3549">
        <w:t>Burial depth and method</w:t>
      </w:r>
      <w:r>
        <w:t>.</w:t>
      </w:r>
      <w:r w:rsidRPr="007F3549">
        <w:t xml:space="preserve"> </w:t>
      </w:r>
    </w:p>
    <w:p w14:paraId="1D817E39" w14:textId="5B7E3E9F" w:rsidR="00970CBB" w:rsidRPr="007F3549" w:rsidRDefault="00970CBB" w:rsidP="00970CBB">
      <w:pPr>
        <w:pStyle w:val="Style1"/>
        <w:numPr>
          <w:ilvl w:val="0"/>
          <w:numId w:val="30"/>
        </w:numPr>
        <w:spacing w:after="60"/>
        <w:ind w:left="992" w:hanging="357"/>
      </w:pPr>
      <w:r w:rsidRPr="007F3549">
        <w:t>Stability controls</w:t>
      </w:r>
      <w:r>
        <w:t xml:space="preserve">, if relevant. </w:t>
      </w:r>
    </w:p>
    <w:p w14:paraId="3621CB35" w14:textId="062640B1" w:rsidR="007F3549" w:rsidRPr="00A60299" w:rsidRDefault="007F3549" w:rsidP="00FF03CA">
      <w:pPr>
        <w:pStyle w:val="Style1"/>
        <w:numPr>
          <w:ilvl w:val="0"/>
          <w:numId w:val="30"/>
        </w:numPr>
        <w:spacing w:after="40"/>
        <w:ind w:left="992" w:hanging="357"/>
      </w:pPr>
      <w:r w:rsidRPr="00A60299">
        <w:t>Estimated costs of design, construction/installation and operation.</w:t>
      </w:r>
    </w:p>
    <w:p w14:paraId="395221AB" w14:textId="3434DA9B" w:rsidR="007F3549" w:rsidRDefault="007F3549" w:rsidP="00E357FE">
      <w:pPr>
        <w:pStyle w:val="Style1"/>
        <w:numPr>
          <w:ilvl w:val="0"/>
          <w:numId w:val="30"/>
        </w:numPr>
        <w:spacing w:after="60"/>
        <w:ind w:left="992" w:hanging="357"/>
      </w:pPr>
      <w:r w:rsidRPr="00A60299">
        <w:t>Offshore Substation Platforms – number, design, capacity</w:t>
      </w:r>
      <w:r w:rsidR="00E357FE" w:rsidRPr="00A60299">
        <w:t xml:space="preserve">, </w:t>
      </w:r>
      <w:r w:rsidRPr="00A60299">
        <w:t>location</w:t>
      </w:r>
      <w:r w:rsidR="00E357FE" w:rsidRPr="00A60299">
        <w:t xml:space="preserve"> (</w:t>
      </w:r>
      <w:r w:rsidR="00CD5D1C" w:rsidRPr="00A60299">
        <w:t>if within TIL licence area</w:t>
      </w:r>
      <w:r w:rsidR="00E357FE" w:rsidRPr="00A60299">
        <w:t>)</w:t>
      </w:r>
      <w:r w:rsidRPr="00A60299">
        <w:t>.</w:t>
      </w:r>
    </w:p>
    <w:p w14:paraId="6AB34911" w14:textId="541D0539" w:rsidR="00A60299" w:rsidRDefault="00A60299" w:rsidP="00E357FE">
      <w:pPr>
        <w:pStyle w:val="Style1"/>
        <w:numPr>
          <w:ilvl w:val="0"/>
          <w:numId w:val="30"/>
        </w:numPr>
        <w:spacing w:after="60"/>
        <w:ind w:left="992" w:hanging="357"/>
      </w:pPr>
      <w:r>
        <w:t xml:space="preserve">Source of electricity to be transmitted through the TIL and discussion of any key interlinkages between the offshore infrastructure project for the TIL and the source project (e.g. capacity, </w:t>
      </w:r>
      <w:r w:rsidR="00465637">
        <w:t xml:space="preserve">risks, </w:t>
      </w:r>
      <w:r>
        <w:t xml:space="preserve">timing). </w:t>
      </w:r>
    </w:p>
    <w:p w14:paraId="7D899F18" w14:textId="287539BD" w:rsidR="00A60299" w:rsidRPr="00A60299" w:rsidRDefault="00A60299" w:rsidP="00E357FE">
      <w:pPr>
        <w:pStyle w:val="Style1"/>
        <w:numPr>
          <w:ilvl w:val="0"/>
          <w:numId w:val="30"/>
        </w:numPr>
        <w:spacing w:after="60"/>
        <w:ind w:left="992" w:hanging="357"/>
      </w:pPr>
      <w:r>
        <w:t xml:space="preserve">Any other matters the person considers relevant. </w:t>
      </w:r>
    </w:p>
    <w:p w14:paraId="3E7845B7" w14:textId="5C5DF060" w:rsidR="007F3549" w:rsidRDefault="004A33B5" w:rsidP="00A91615">
      <w:pPr>
        <w:pStyle w:val="Style1"/>
        <w:numPr>
          <w:ilvl w:val="0"/>
          <w:numId w:val="0"/>
        </w:numPr>
        <w:spacing w:after="80"/>
        <w:ind w:left="635" w:hanging="635"/>
      </w:pPr>
      <w:r>
        <w:t>7</w:t>
      </w:r>
      <w:r w:rsidR="007F3549">
        <w:t>.5.5</w:t>
      </w:r>
      <w:r w:rsidR="007F3549">
        <w:tab/>
        <w:t>A person should identify any p</w:t>
      </w:r>
      <w:r w:rsidR="007F3549" w:rsidRPr="007F3549">
        <w:t>otential crossings</w:t>
      </w:r>
      <w:r w:rsidR="007F3549">
        <w:t xml:space="preserve"> with existing infrastructure</w:t>
      </w:r>
      <w:r w:rsidR="007F3549" w:rsidRPr="007F3549">
        <w:t xml:space="preserve"> and </w:t>
      </w:r>
      <w:r w:rsidR="00A60299">
        <w:t xml:space="preserve">outline their </w:t>
      </w:r>
      <w:r w:rsidR="007F3549" w:rsidRPr="007F3549">
        <w:t xml:space="preserve">plans to </w:t>
      </w:r>
      <w:r w:rsidR="007F3549">
        <w:t>mitigate and manage these activities and risks</w:t>
      </w:r>
      <w:r w:rsidR="00096CD3">
        <w:t>, including a schedule for consultation</w:t>
      </w:r>
      <w:r w:rsidR="007F3549">
        <w:t xml:space="preserve">. </w:t>
      </w:r>
    </w:p>
    <w:p w14:paraId="253FB0B6" w14:textId="77777777" w:rsidR="00A60299" w:rsidRDefault="00A60299">
      <w:pPr>
        <w:rPr>
          <w:i/>
          <w:color w:val="4472C4" w:themeColor="accent1"/>
          <w:u w:val="single"/>
        </w:rPr>
      </w:pPr>
      <w:r>
        <w:rPr>
          <w:i/>
          <w:color w:val="4472C4" w:themeColor="accent1"/>
          <w:u w:val="single"/>
        </w:rPr>
        <w:br w:type="page"/>
      </w:r>
    </w:p>
    <w:p w14:paraId="3C31FB2E" w14:textId="2A29EB96" w:rsidR="00AF37CB" w:rsidRPr="00AF37CB" w:rsidRDefault="00AF37CB" w:rsidP="00FF4855">
      <w:pPr>
        <w:spacing w:before="80" w:after="120" w:line="240" w:lineRule="auto"/>
        <w:rPr>
          <w:iCs/>
          <w:color w:val="4472C4" w:themeColor="accent1"/>
        </w:rPr>
      </w:pPr>
      <w:r w:rsidRPr="00AF37CB">
        <w:rPr>
          <w:i/>
          <w:color w:val="4472C4" w:themeColor="accent1"/>
          <w:u w:val="single"/>
        </w:rPr>
        <w:lastRenderedPageBreak/>
        <w:t>Licence Area</w:t>
      </w:r>
      <w:r w:rsidRPr="00AF37CB">
        <w:rPr>
          <w:iCs/>
          <w:color w:val="4472C4" w:themeColor="accent1"/>
        </w:rPr>
        <w:t xml:space="preserve"> (subsection 61(2) OEI Act)</w:t>
      </w:r>
    </w:p>
    <w:p w14:paraId="647DECB9" w14:textId="662CDE41" w:rsidR="00AF37CB" w:rsidRDefault="00A60299" w:rsidP="00CB0F47">
      <w:pPr>
        <w:pStyle w:val="ListParagraph"/>
        <w:numPr>
          <w:ilvl w:val="2"/>
          <w:numId w:val="33"/>
        </w:numPr>
        <w:spacing w:after="60" w:line="240" w:lineRule="auto"/>
        <w:ind w:left="709" w:hanging="709"/>
        <w:contextualSpacing w:val="0"/>
      </w:pPr>
      <w:r>
        <w:t xml:space="preserve">The application must specify the proposed licence area for the TIL. This </w:t>
      </w:r>
      <w:r w:rsidR="00AF37CB" w:rsidRPr="00AF37CB">
        <w:t xml:space="preserve">must be entirely within the Commonwealth offshore area at the time the licence is granted. </w:t>
      </w:r>
    </w:p>
    <w:p w14:paraId="5F689A0E" w14:textId="77777777" w:rsidR="00E36385" w:rsidRDefault="007B661A" w:rsidP="00AF37CB">
      <w:pPr>
        <w:pStyle w:val="ListParagraph"/>
        <w:numPr>
          <w:ilvl w:val="2"/>
          <w:numId w:val="1"/>
        </w:numPr>
        <w:spacing w:after="60" w:line="240" w:lineRule="auto"/>
        <w:ind w:left="709"/>
        <w:contextualSpacing w:val="0"/>
      </w:pPr>
      <w:r w:rsidRPr="008E2778">
        <w:t>The proposed licence area must include any proposed corridor</w:t>
      </w:r>
      <w:r w:rsidR="00345253">
        <w:t xml:space="preserve"> or</w:t>
      </w:r>
      <w:r w:rsidR="008E2778">
        <w:t xml:space="preserve"> spacing</w:t>
      </w:r>
      <w:r w:rsidRPr="008E2778">
        <w:t xml:space="preserve"> around </w:t>
      </w:r>
      <w:r w:rsidR="001462AB" w:rsidRPr="008E2778">
        <w:t>a cable</w:t>
      </w:r>
      <w:r w:rsidRPr="008E2778">
        <w:t xml:space="preserve">. </w:t>
      </w:r>
      <w:r w:rsidR="00666BA1" w:rsidRPr="008E2778">
        <w:t>The corridor</w:t>
      </w:r>
      <w:r w:rsidR="008E2778">
        <w:t xml:space="preserve"> </w:t>
      </w:r>
      <w:r w:rsidR="00345253">
        <w:t xml:space="preserve">or </w:t>
      </w:r>
      <w:r w:rsidR="008E2778">
        <w:t>spacing</w:t>
      </w:r>
      <w:r w:rsidR="00666BA1" w:rsidRPr="008E2778">
        <w:t xml:space="preserve"> </w:t>
      </w:r>
      <w:r w:rsidR="00666BA1" w:rsidRPr="00F043A5">
        <w:t>should</w:t>
      </w:r>
      <w:r w:rsidR="00666BA1" w:rsidRPr="00A902E4">
        <w:rPr>
          <w:b/>
          <w:bCs/>
        </w:rPr>
        <w:t xml:space="preserve"> not</w:t>
      </w:r>
      <w:r w:rsidR="00666BA1" w:rsidRPr="008E2778">
        <w:t xml:space="preserve"> </w:t>
      </w:r>
      <w:r w:rsidR="00666BA1" w:rsidRPr="00A902E4">
        <w:rPr>
          <w:b/>
          <w:bCs/>
        </w:rPr>
        <w:t>exceed</w:t>
      </w:r>
      <w:r w:rsidR="00666BA1" w:rsidRPr="008E2778">
        <w:t xml:space="preserve"> 3 x water depth</w:t>
      </w:r>
      <w:r w:rsidRPr="008E2778">
        <w:t xml:space="preserve"> </w:t>
      </w:r>
      <w:r w:rsidR="001462AB" w:rsidRPr="008E2778">
        <w:t>on either side of</w:t>
      </w:r>
      <w:r w:rsidRPr="008E2778">
        <w:t xml:space="preserve"> a cable. </w:t>
      </w:r>
    </w:p>
    <w:p w14:paraId="42E2B8B5" w14:textId="37DD68E6" w:rsidR="007B661A" w:rsidRPr="00CB0F47" w:rsidRDefault="00E36385" w:rsidP="00CB0F47">
      <w:pPr>
        <w:pStyle w:val="ListParagraph"/>
        <w:spacing w:after="60" w:line="240" w:lineRule="auto"/>
        <w:ind w:left="709"/>
        <w:contextualSpacing w:val="0"/>
        <w:rPr>
          <w:sz w:val="20"/>
          <w:szCs w:val="20"/>
        </w:rPr>
      </w:pPr>
      <w:r w:rsidRPr="008B48FD">
        <w:rPr>
          <w:b/>
          <w:bCs/>
          <w:sz w:val="20"/>
          <w:szCs w:val="20"/>
        </w:rPr>
        <w:t>Note:</w:t>
      </w:r>
      <w:r w:rsidRPr="008B48FD">
        <w:rPr>
          <w:sz w:val="20"/>
          <w:szCs w:val="20"/>
        </w:rPr>
        <w:t xml:space="preserve"> </w:t>
      </w:r>
      <w:r w:rsidRPr="00CB0F47">
        <w:rPr>
          <w:sz w:val="20"/>
          <w:szCs w:val="20"/>
        </w:rPr>
        <w:t>U</w:t>
      </w:r>
      <w:r w:rsidR="00FD62D6" w:rsidRPr="00CB0F47">
        <w:rPr>
          <w:sz w:val="20"/>
          <w:szCs w:val="20"/>
        </w:rPr>
        <w:t>nder s</w:t>
      </w:r>
      <w:r w:rsidRPr="00CB0F47">
        <w:rPr>
          <w:sz w:val="20"/>
          <w:szCs w:val="20"/>
        </w:rPr>
        <w:t>ubs</w:t>
      </w:r>
      <w:r w:rsidR="00FD62D6" w:rsidRPr="00CB0F47">
        <w:rPr>
          <w:sz w:val="20"/>
          <w:szCs w:val="20"/>
        </w:rPr>
        <w:t>ection 61(2) of the OEI Act, a</w:t>
      </w:r>
      <w:r w:rsidR="00936EF8" w:rsidRPr="00CB0F47">
        <w:rPr>
          <w:sz w:val="20"/>
          <w:szCs w:val="20"/>
        </w:rPr>
        <w:t xml:space="preserve"> </w:t>
      </w:r>
      <w:r w:rsidRPr="00CB0F47">
        <w:rPr>
          <w:sz w:val="20"/>
          <w:szCs w:val="20"/>
        </w:rPr>
        <w:t>TIL</w:t>
      </w:r>
      <w:r w:rsidR="00FD62D6" w:rsidRPr="00CB0F47">
        <w:rPr>
          <w:sz w:val="20"/>
          <w:szCs w:val="20"/>
        </w:rPr>
        <w:t xml:space="preserve"> </w:t>
      </w:r>
      <w:r w:rsidR="0095545F" w:rsidRPr="00CB0F47">
        <w:rPr>
          <w:color w:val="000000"/>
          <w:sz w:val="20"/>
          <w:szCs w:val="20"/>
          <w:shd w:val="clear" w:color="auto" w:fill="FFFFFF"/>
        </w:rPr>
        <w:t xml:space="preserve">may be granted in respect of one or more areas </w:t>
      </w:r>
      <w:r w:rsidR="00FE7E62">
        <w:rPr>
          <w:color w:val="000000"/>
          <w:sz w:val="20"/>
          <w:szCs w:val="20"/>
          <w:shd w:val="clear" w:color="auto" w:fill="FFFFFF"/>
        </w:rPr>
        <w:br/>
      </w:r>
      <w:r w:rsidR="0095545F" w:rsidRPr="00CB0F47">
        <w:rPr>
          <w:color w:val="000000"/>
          <w:sz w:val="20"/>
          <w:szCs w:val="20"/>
          <w:shd w:val="clear" w:color="auto" w:fill="FFFFFF"/>
        </w:rPr>
        <w:t>(which need not be continuous) that are within the Commonwealth offshore area at the time the licence is granted</w:t>
      </w:r>
      <w:r w:rsidR="00FD62D6" w:rsidRPr="00CB0F47">
        <w:rPr>
          <w:sz w:val="20"/>
          <w:szCs w:val="20"/>
        </w:rPr>
        <w:t>.</w:t>
      </w:r>
    </w:p>
    <w:p w14:paraId="2776EDFB" w14:textId="20F7030E" w:rsidR="008E2778" w:rsidRDefault="00A60299" w:rsidP="00311003">
      <w:pPr>
        <w:pStyle w:val="Style1"/>
        <w:numPr>
          <w:ilvl w:val="1"/>
          <w:numId w:val="0"/>
        </w:numPr>
        <w:spacing w:after="0"/>
        <w:ind w:left="1066" w:hanging="357"/>
        <w:rPr>
          <w:i/>
          <w:iCs/>
          <w:sz w:val="16"/>
          <w:szCs w:val="16"/>
        </w:rPr>
      </w:pPr>
      <w:r>
        <w:rPr>
          <w:noProof/>
        </w:rPr>
        <mc:AlternateContent>
          <mc:Choice Requires="wps">
            <w:drawing>
              <wp:anchor distT="45720" distB="45720" distL="114300" distR="114300" simplePos="0" relativeHeight="251658242" behindDoc="0" locked="0" layoutInCell="1" allowOverlap="1" wp14:anchorId="649EFD14" wp14:editId="2A092B82">
                <wp:simplePos x="0" y="0"/>
                <wp:positionH relativeFrom="column">
                  <wp:posOffset>2578459</wp:posOffset>
                </wp:positionH>
                <wp:positionV relativeFrom="paragraph">
                  <wp:posOffset>2247900</wp:posOffset>
                </wp:positionV>
                <wp:extent cx="730250" cy="322580"/>
                <wp:effectExtent l="0" t="114300" r="0" b="1155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64232">
                          <a:off x="0" y="0"/>
                          <a:ext cx="730250" cy="322580"/>
                        </a:xfrm>
                        <a:prstGeom prst="rect">
                          <a:avLst/>
                        </a:prstGeom>
                        <a:noFill/>
                        <a:ln w="9525">
                          <a:noFill/>
                          <a:miter lim="800000"/>
                          <a:headEnd/>
                          <a:tailEnd/>
                        </a:ln>
                      </wps:spPr>
                      <wps:txbx>
                        <w:txbxContent>
                          <w:p w14:paraId="236ADC1E" w14:textId="77777777" w:rsidR="00465637" w:rsidRPr="00A60299" w:rsidRDefault="00465637" w:rsidP="0004401C">
                            <w:pPr>
                              <w:spacing w:after="0" w:line="240" w:lineRule="auto"/>
                              <w:rPr>
                                <w:sz w:val="16"/>
                                <w:szCs w:val="16"/>
                              </w:rPr>
                            </w:pPr>
                            <w:r w:rsidRPr="00A60299">
                              <w:rPr>
                                <w:sz w:val="16"/>
                                <w:szCs w:val="16"/>
                              </w:rPr>
                              <w:t>Cable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EFD14" id="_x0000_t202" coordsize="21600,21600" o:spt="202" path="m,l,21600r21600,l21600,xe">
                <v:stroke joinstyle="miter"/>
                <v:path gradientshapeok="t" o:connecttype="rect"/>
              </v:shapetype>
              <v:shape id="Text Box 3" o:spid="_x0000_s1026" type="#_x0000_t202" style="position:absolute;left:0;text-align:left;margin-left:203.05pt;margin-top:177pt;width:57.5pt;height:25.4pt;rotation:-1895922fd;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" filled="f" stroked="f">
                <v:textbox>
                  <w:txbxContent>
                    <w:p w14:paraId="236ADC1E" w14:textId="77777777" w:rsidR="00465637" w:rsidRPr="00A60299" w:rsidRDefault="00465637" w:rsidP="0004401C">
                      <w:pPr>
                        <w:spacing w:after="0" w:line="240" w:lineRule="auto"/>
                        <w:rPr>
                          <w:sz w:val="16"/>
                          <w:szCs w:val="16"/>
                        </w:rPr>
                      </w:pPr>
                      <w:r w:rsidRPr="00A60299">
                        <w:rPr>
                          <w:sz w:val="16"/>
                          <w:szCs w:val="16"/>
                        </w:rPr>
                        <w:t>Cable 2</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75F877B0" wp14:editId="5A43828E">
                <wp:simplePos x="0" y="0"/>
                <wp:positionH relativeFrom="page">
                  <wp:posOffset>3235933</wp:posOffset>
                </wp:positionH>
                <wp:positionV relativeFrom="paragraph">
                  <wp:posOffset>1768835</wp:posOffset>
                </wp:positionV>
                <wp:extent cx="528955" cy="243205"/>
                <wp:effectExtent l="0" t="57150" r="0" b="615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64232">
                          <a:off x="0" y="0"/>
                          <a:ext cx="528955" cy="243205"/>
                        </a:xfrm>
                        <a:prstGeom prst="rect">
                          <a:avLst/>
                        </a:prstGeom>
                        <a:noFill/>
                        <a:ln w="9525">
                          <a:noFill/>
                          <a:miter lim="800000"/>
                          <a:headEnd/>
                          <a:tailEnd/>
                        </a:ln>
                      </wps:spPr>
                      <wps:txbx>
                        <w:txbxContent>
                          <w:p w14:paraId="75E97560" w14:textId="4C30C79B" w:rsidR="00465637" w:rsidRPr="00A60299" w:rsidRDefault="00465637" w:rsidP="00537698">
                            <w:pPr>
                              <w:spacing w:after="0" w:line="240" w:lineRule="auto"/>
                              <w:rPr>
                                <w:sz w:val="16"/>
                                <w:szCs w:val="16"/>
                              </w:rPr>
                            </w:pPr>
                            <w:r w:rsidRPr="00A60299">
                              <w:rPr>
                                <w:sz w:val="16"/>
                                <w:szCs w:val="16"/>
                              </w:rPr>
                              <w:t>Cable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877B0" id="Text Box 6" o:spid="_x0000_s1027" type="#_x0000_t202" style="position:absolute;left:0;text-align:left;margin-left:254.8pt;margin-top:139.3pt;width:41.65pt;height:19.15pt;rotation:-1895922fd;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" filled="f" stroked="f">
                <v:textbox>
                  <w:txbxContent>
                    <w:p w14:paraId="75E97560" w14:textId="4C30C79B" w:rsidR="00465637" w:rsidRPr="00A60299" w:rsidRDefault="00465637" w:rsidP="00537698">
                      <w:pPr>
                        <w:spacing w:after="0" w:line="240" w:lineRule="auto"/>
                        <w:rPr>
                          <w:sz w:val="16"/>
                          <w:szCs w:val="16"/>
                        </w:rPr>
                      </w:pPr>
                      <w:r w:rsidRPr="00A60299">
                        <w:rPr>
                          <w:sz w:val="16"/>
                          <w:szCs w:val="16"/>
                        </w:rPr>
                        <w:t>Cable 1</w:t>
                      </w:r>
                    </w:p>
                  </w:txbxContent>
                </v:textbox>
                <w10:wrap type="square" anchorx="page"/>
              </v:shape>
            </w:pict>
          </mc:Fallback>
        </mc:AlternateContent>
      </w:r>
      <w:r>
        <w:rPr>
          <w:noProof/>
        </w:rPr>
        <mc:AlternateContent>
          <mc:Choice Requires="wps">
            <w:drawing>
              <wp:anchor distT="45720" distB="45720" distL="114300" distR="114300" simplePos="0" relativeHeight="251658243" behindDoc="0" locked="0" layoutInCell="1" allowOverlap="1" wp14:anchorId="1180936F" wp14:editId="2DB4C732">
                <wp:simplePos x="0" y="0"/>
                <wp:positionH relativeFrom="page">
                  <wp:posOffset>2747204</wp:posOffset>
                </wp:positionH>
                <wp:positionV relativeFrom="paragraph">
                  <wp:posOffset>405876</wp:posOffset>
                </wp:positionV>
                <wp:extent cx="1403985" cy="255905"/>
                <wp:effectExtent l="0" t="0" r="571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55905"/>
                        </a:xfrm>
                        <a:prstGeom prst="rect">
                          <a:avLst/>
                        </a:prstGeom>
                        <a:solidFill>
                          <a:srgbClr val="FFFFFF"/>
                        </a:solidFill>
                        <a:ln w="9525">
                          <a:noFill/>
                          <a:miter lim="800000"/>
                          <a:headEnd/>
                          <a:tailEnd/>
                        </a:ln>
                      </wps:spPr>
                      <wps:txbx>
                        <w:txbxContent>
                          <w:p w14:paraId="021B6D63" w14:textId="4A4AB9C2" w:rsidR="00465637" w:rsidRPr="00537698" w:rsidRDefault="00465637" w:rsidP="0004401C">
                            <w:pPr>
                              <w:spacing w:after="0" w:line="240" w:lineRule="auto"/>
                              <w:rPr>
                                <w:sz w:val="16"/>
                                <w:szCs w:val="16"/>
                              </w:rPr>
                            </w:pPr>
                            <w:r w:rsidRPr="00537698">
                              <w:rPr>
                                <w:sz w:val="16"/>
                                <w:szCs w:val="16"/>
                              </w:rPr>
                              <w:t>Commonwealth waters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0936F" id="Text Box 217" o:spid="_x0000_s1028" type="#_x0000_t202" style="position:absolute;left:0;text-align:left;margin-left:216.3pt;margin-top:31.95pt;width:110.55pt;height:20.1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" stroked="f">
                <v:textbox>
                  <w:txbxContent>
                    <w:p w14:paraId="021B6D63" w14:textId="4A4AB9C2" w:rsidR="00465637" w:rsidRPr="00537698" w:rsidRDefault="00465637" w:rsidP="0004401C">
                      <w:pPr>
                        <w:spacing w:after="0" w:line="240" w:lineRule="auto"/>
                        <w:rPr>
                          <w:sz w:val="16"/>
                          <w:szCs w:val="16"/>
                        </w:rPr>
                      </w:pPr>
                      <w:r w:rsidRPr="00537698">
                        <w:rPr>
                          <w:sz w:val="16"/>
                          <w:szCs w:val="16"/>
                        </w:rPr>
                        <w:t>Commonwealth waters</w:t>
                      </w:r>
                    </w:p>
                  </w:txbxContent>
                </v:textbox>
                <w10:wrap type="square" anchorx="page"/>
              </v:shape>
            </w:pict>
          </mc:Fallback>
        </mc:AlternateContent>
      </w:r>
      <w:r>
        <w:rPr>
          <w:noProof/>
        </w:rPr>
        <w:drawing>
          <wp:anchor distT="0" distB="0" distL="114300" distR="114300" simplePos="0" relativeHeight="251658240" behindDoc="0" locked="0" layoutInCell="1" allowOverlap="1" wp14:anchorId="6A68B5D1" wp14:editId="52D3E01F">
            <wp:simplePos x="0" y="0"/>
            <wp:positionH relativeFrom="margin">
              <wp:align>right</wp:align>
            </wp:positionH>
            <wp:positionV relativeFrom="paragraph">
              <wp:posOffset>214271</wp:posOffset>
            </wp:positionV>
            <wp:extent cx="5654675" cy="2787650"/>
            <wp:effectExtent l="19050" t="19050" r="2222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654675" cy="278765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8E2778" w:rsidRPr="008E2778">
        <w:rPr>
          <w:i/>
          <w:iCs/>
          <w:sz w:val="16"/>
          <w:szCs w:val="16"/>
        </w:rPr>
        <w:t>Example</w:t>
      </w:r>
      <w:r w:rsidR="008E2778">
        <w:rPr>
          <w:i/>
          <w:iCs/>
          <w:sz w:val="16"/>
          <w:szCs w:val="16"/>
        </w:rPr>
        <w:t xml:space="preserve"> of corridor </w:t>
      </w:r>
      <w:r w:rsidR="00345253">
        <w:rPr>
          <w:i/>
          <w:iCs/>
          <w:sz w:val="16"/>
          <w:szCs w:val="16"/>
        </w:rPr>
        <w:t xml:space="preserve">or </w:t>
      </w:r>
      <w:r w:rsidR="008E2778">
        <w:rPr>
          <w:i/>
          <w:iCs/>
          <w:sz w:val="16"/>
          <w:szCs w:val="16"/>
        </w:rPr>
        <w:t xml:space="preserve">spacing within a </w:t>
      </w:r>
      <w:r w:rsidR="00311003">
        <w:rPr>
          <w:i/>
          <w:iCs/>
          <w:sz w:val="16"/>
          <w:szCs w:val="16"/>
        </w:rPr>
        <w:t xml:space="preserve">transmission and infrastructure </w:t>
      </w:r>
      <w:r w:rsidR="008E2778">
        <w:rPr>
          <w:i/>
          <w:iCs/>
          <w:sz w:val="16"/>
          <w:szCs w:val="16"/>
        </w:rPr>
        <w:t>licence area</w:t>
      </w:r>
      <w:r w:rsidR="00797F1F">
        <w:rPr>
          <w:i/>
          <w:iCs/>
          <w:sz w:val="16"/>
          <w:szCs w:val="16"/>
        </w:rPr>
        <w:t xml:space="preserve"> in Commonwealth waters</w:t>
      </w:r>
      <w:r w:rsidR="00AE4276">
        <w:rPr>
          <w:i/>
          <w:iCs/>
          <w:sz w:val="16"/>
          <w:szCs w:val="16"/>
        </w:rPr>
        <w:t xml:space="preserve"> – one area:</w:t>
      </w:r>
    </w:p>
    <w:p w14:paraId="3564D0BC" w14:textId="77777777" w:rsidR="00AE4276" w:rsidRDefault="00AE4276" w:rsidP="00AE4276">
      <w:pPr>
        <w:pStyle w:val="Style1"/>
        <w:numPr>
          <w:ilvl w:val="0"/>
          <w:numId w:val="0"/>
        </w:numPr>
        <w:spacing w:after="0"/>
        <w:ind w:left="1066" w:hanging="357"/>
        <w:rPr>
          <w:i/>
          <w:iCs/>
          <w:sz w:val="16"/>
          <w:szCs w:val="16"/>
        </w:rPr>
      </w:pPr>
    </w:p>
    <w:p w14:paraId="3E45B999" w14:textId="3ED66321" w:rsidR="00AE4276" w:rsidRDefault="00AE4276" w:rsidP="00FE7E62">
      <w:pPr>
        <w:pStyle w:val="Style1"/>
        <w:numPr>
          <w:ilvl w:val="0"/>
          <w:numId w:val="0"/>
        </w:numPr>
        <w:spacing w:after="60"/>
        <w:ind w:left="1066" w:hanging="357"/>
        <w:rPr>
          <w:i/>
          <w:iCs/>
          <w:sz w:val="16"/>
          <w:szCs w:val="16"/>
        </w:rPr>
      </w:pPr>
      <w:r>
        <w:rPr>
          <w:i/>
          <w:iCs/>
          <w:sz w:val="16"/>
          <w:szCs w:val="16"/>
        </w:rPr>
        <w:t>Example of corridor or spacing within a transmission and infrastructure licence area in Commonwealth waters – more than one area:</w:t>
      </w:r>
    </w:p>
    <w:p w14:paraId="2B3EB550" w14:textId="689105CB" w:rsidR="00AE4276" w:rsidRDefault="000B2CFD" w:rsidP="00AE4276">
      <w:pPr>
        <w:pStyle w:val="Style1"/>
        <w:numPr>
          <w:ilvl w:val="0"/>
          <w:numId w:val="0"/>
        </w:numPr>
        <w:spacing w:after="0"/>
        <w:ind w:left="709" w:hanging="357"/>
        <w:rPr>
          <w:i/>
          <w:iCs/>
          <w:sz w:val="16"/>
          <w:szCs w:val="16"/>
        </w:rPr>
      </w:pPr>
      <w:r>
        <w:rPr>
          <w:noProof/>
        </w:rPr>
        <w:drawing>
          <wp:inline distT="0" distB="0" distL="0" distR="0" wp14:anchorId="1E983D1A" wp14:editId="682C6508">
            <wp:extent cx="5781675" cy="3326765"/>
            <wp:effectExtent l="0" t="0" r="952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1675" cy="3326765"/>
                    </a:xfrm>
                    <a:prstGeom prst="rect">
                      <a:avLst/>
                    </a:prstGeom>
                  </pic:spPr>
                </pic:pic>
              </a:graphicData>
            </a:graphic>
          </wp:inline>
        </w:drawing>
      </w:r>
    </w:p>
    <w:p w14:paraId="3F3CF096" w14:textId="4EAF4044" w:rsidR="00573D4C" w:rsidRDefault="00573D4C" w:rsidP="00A60299">
      <w:pPr>
        <w:pStyle w:val="Style1"/>
        <w:numPr>
          <w:ilvl w:val="0"/>
          <w:numId w:val="0"/>
        </w:numPr>
        <w:spacing w:after="0"/>
        <w:ind w:left="1066" w:hanging="357"/>
        <w:jc w:val="center"/>
        <w:rPr>
          <w:i/>
          <w:iCs/>
          <w:sz w:val="16"/>
          <w:szCs w:val="16"/>
        </w:rPr>
      </w:pPr>
    </w:p>
    <w:p w14:paraId="5BE5FAC3" w14:textId="77777777" w:rsidR="00573D4C" w:rsidRDefault="00573D4C" w:rsidP="00A60299">
      <w:pPr>
        <w:pStyle w:val="Style1"/>
        <w:numPr>
          <w:ilvl w:val="0"/>
          <w:numId w:val="0"/>
        </w:numPr>
        <w:spacing w:after="0"/>
        <w:ind w:left="1066" w:hanging="357"/>
        <w:jc w:val="center"/>
        <w:rPr>
          <w:i/>
          <w:iCs/>
          <w:sz w:val="16"/>
          <w:szCs w:val="16"/>
        </w:rPr>
      </w:pPr>
    </w:p>
    <w:p w14:paraId="1EDDC72A" w14:textId="77777777" w:rsidR="00AE4276" w:rsidRDefault="00AE4276">
      <w:pPr>
        <w:rPr>
          <w:rFonts w:eastAsiaTheme="majorEastAsia" w:cstheme="majorBidi"/>
          <w:b/>
          <w:color w:val="4472C4" w:themeColor="accent1"/>
          <w:sz w:val="26"/>
          <w:szCs w:val="26"/>
        </w:rPr>
      </w:pPr>
      <w:bookmarkStart w:id="9" w:name="_Toc112329549"/>
      <w:bookmarkStart w:id="10" w:name="_Toc133220101"/>
      <w:r>
        <w:br w:type="page"/>
      </w:r>
    </w:p>
    <w:p w14:paraId="4DEF6D51" w14:textId="05DA32DC" w:rsidR="00AF37CB" w:rsidRPr="00667FC0" w:rsidRDefault="00AF37CB" w:rsidP="00AF37CB">
      <w:pPr>
        <w:pStyle w:val="Heading2"/>
        <w:numPr>
          <w:ilvl w:val="1"/>
          <w:numId w:val="1"/>
        </w:numPr>
        <w:spacing w:before="120"/>
        <w:ind w:hanging="720"/>
      </w:pPr>
      <w:r w:rsidRPr="00667FC0">
        <w:lastRenderedPageBreak/>
        <w:t xml:space="preserve">Assessment of </w:t>
      </w:r>
      <w:r>
        <w:t>TIL</w:t>
      </w:r>
      <w:r w:rsidRPr="00667FC0">
        <w:t xml:space="preserve"> Application</w:t>
      </w:r>
      <w:r>
        <w:t xml:space="preserve"> by the Registrar</w:t>
      </w:r>
      <w:bookmarkEnd w:id="9"/>
      <w:bookmarkEnd w:id="10"/>
    </w:p>
    <w:p w14:paraId="75419CC8" w14:textId="3579FD06" w:rsidR="00AF37CB" w:rsidRDefault="00AF37CB" w:rsidP="00AF37CB">
      <w:pPr>
        <w:pStyle w:val="ListParagraph"/>
        <w:numPr>
          <w:ilvl w:val="2"/>
          <w:numId w:val="1"/>
        </w:numPr>
        <w:spacing w:after="80" w:line="240" w:lineRule="auto"/>
        <w:ind w:left="709"/>
        <w:contextualSpacing w:val="0"/>
      </w:pPr>
      <w:r>
        <w:t>Applications are assessed by the Registrar and advice is provided to the Minister for decision.</w:t>
      </w:r>
    </w:p>
    <w:p w14:paraId="7128951F" w14:textId="263F0399" w:rsidR="00AF37CB" w:rsidRPr="00675A9E" w:rsidRDefault="00AF37CB" w:rsidP="00AF37CB">
      <w:pPr>
        <w:spacing w:after="0" w:line="240" w:lineRule="auto"/>
        <w:rPr>
          <w:sz w:val="4"/>
          <w:szCs w:val="4"/>
        </w:rPr>
      </w:pPr>
    </w:p>
    <w:tbl>
      <w:tblPr>
        <w:tblStyle w:val="TableGrid"/>
        <w:tblW w:w="0" w:type="auto"/>
        <w:jc w:val="center"/>
        <w:tblLook w:val="04A0" w:firstRow="1" w:lastRow="0" w:firstColumn="1" w:lastColumn="0" w:noHBand="0" w:noVBand="1"/>
      </w:tblPr>
      <w:tblGrid>
        <w:gridCol w:w="5240"/>
        <w:gridCol w:w="2693"/>
        <w:gridCol w:w="1389"/>
      </w:tblGrid>
      <w:tr w:rsidR="00AF37CB" w:rsidRPr="008C2142" w14:paraId="07F978EA" w14:textId="77777777" w:rsidTr="00F20928">
        <w:trPr>
          <w:trHeight w:val="387"/>
          <w:jc w:val="center"/>
        </w:trPr>
        <w:tc>
          <w:tcPr>
            <w:tcW w:w="5240" w:type="dxa"/>
            <w:shd w:val="clear" w:color="auto" w:fill="B4C6E7" w:themeFill="accent1" w:themeFillTint="66"/>
          </w:tcPr>
          <w:p w14:paraId="3CEDB8D4" w14:textId="77777777" w:rsidR="00AF37CB" w:rsidRPr="008C2142" w:rsidRDefault="00AF37CB" w:rsidP="00FF5BFF">
            <w:pPr>
              <w:rPr>
                <w:b/>
                <w:bCs/>
                <w:sz w:val="20"/>
                <w:szCs w:val="20"/>
              </w:rPr>
            </w:pPr>
            <w:r>
              <w:rPr>
                <w:b/>
                <w:bCs/>
                <w:sz w:val="20"/>
                <w:szCs w:val="20"/>
              </w:rPr>
              <w:t xml:space="preserve">Assessment </w:t>
            </w:r>
            <w:r w:rsidRPr="008C2142">
              <w:rPr>
                <w:b/>
                <w:bCs/>
                <w:sz w:val="20"/>
                <w:szCs w:val="20"/>
              </w:rPr>
              <w:t>Criteri</w:t>
            </w:r>
            <w:r>
              <w:rPr>
                <w:b/>
                <w:bCs/>
                <w:sz w:val="20"/>
                <w:szCs w:val="20"/>
              </w:rPr>
              <w:t>on</w:t>
            </w:r>
          </w:p>
        </w:tc>
        <w:tc>
          <w:tcPr>
            <w:tcW w:w="2693" w:type="dxa"/>
            <w:shd w:val="clear" w:color="auto" w:fill="B4C6E7" w:themeFill="accent1" w:themeFillTint="66"/>
          </w:tcPr>
          <w:p w14:paraId="06D86C85" w14:textId="77777777" w:rsidR="00AF37CB" w:rsidRPr="008C2142" w:rsidRDefault="00AF37CB" w:rsidP="00FF5BFF">
            <w:pPr>
              <w:rPr>
                <w:b/>
                <w:bCs/>
                <w:sz w:val="20"/>
                <w:szCs w:val="20"/>
              </w:rPr>
            </w:pPr>
            <w:r>
              <w:rPr>
                <w:b/>
                <w:bCs/>
                <w:sz w:val="20"/>
                <w:szCs w:val="20"/>
              </w:rPr>
              <w:t>Reference</w:t>
            </w:r>
          </w:p>
        </w:tc>
        <w:tc>
          <w:tcPr>
            <w:tcW w:w="1389" w:type="dxa"/>
            <w:shd w:val="clear" w:color="auto" w:fill="B4C6E7" w:themeFill="accent1" w:themeFillTint="66"/>
          </w:tcPr>
          <w:p w14:paraId="37C7D314" w14:textId="77777777" w:rsidR="00AF37CB" w:rsidRDefault="00AF37CB" w:rsidP="00FF5BFF">
            <w:pPr>
              <w:jc w:val="center"/>
              <w:rPr>
                <w:b/>
                <w:bCs/>
                <w:sz w:val="20"/>
                <w:szCs w:val="20"/>
              </w:rPr>
            </w:pPr>
            <w:r>
              <w:rPr>
                <w:b/>
                <w:bCs/>
                <w:sz w:val="20"/>
                <w:szCs w:val="20"/>
              </w:rPr>
              <w:t>Assessment</w:t>
            </w:r>
          </w:p>
        </w:tc>
      </w:tr>
      <w:tr w:rsidR="00AF37CB" w:rsidRPr="008C2142" w14:paraId="221FFE52" w14:textId="77777777" w:rsidTr="00F20928">
        <w:trPr>
          <w:trHeight w:val="175"/>
          <w:jc w:val="center"/>
        </w:trPr>
        <w:tc>
          <w:tcPr>
            <w:tcW w:w="5240" w:type="dxa"/>
          </w:tcPr>
          <w:p w14:paraId="08A069E6" w14:textId="32671A5C" w:rsidR="00AF37CB" w:rsidRDefault="00D12023" w:rsidP="00FF5BFF">
            <w:pPr>
              <w:spacing w:before="40" w:after="40"/>
              <w:rPr>
                <w:sz w:val="20"/>
                <w:szCs w:val="20"/>
              </w:rPr>
            </w:pPr>
            <w:r>
              <w:rPr>
                <w:sz w:val="20"/>
                <w:szCs w:val="20"/>
              </w:rPr>
              <w:t>Undue i</w:t>
            </w:r>
            <w:r w:rsidR="00AF37CB" w:rsidRPr="009C0DCC">
              <w:rPr>
                <w:sz w:val="20"/>
                <w:szCs w:val="20"/>
              </w:rPr>
              <w:t>nterference with other OEI licence areas</w:t>
            </w:r>
          </w:p>
        </w:tc>
        <w:tc>
          <w:tcPr>
            <w:tcW w:w="2693" w:type="dxa"/>
          </w:tcPr>
          <w:p w14:paraId="0D0B5B93" w14:textId="62A67578" w:rsidR="00AF37CB" w:rsidRDefault="006B1BED" w:rsidP="00FF5BFF">
            <w:pPr>
              <w:spacing w:before="40" w:after="40"/>
              <w:rPr>
                <w:sz w:val="20"/>
                <w:szCs w:val="20"/>
              </w:rPr>
            </w:pPr>
            <w:r>
              <w:rPr>
                <w:sz w:val="20"/>
                <w:szCs w:val="20"/>
              </w:rPr>
              <w:t>Subsection</w:t>
            </w:r>
            <w:r w:rsidR="00AF37CB">
              <w:rPr>
                <w:sz w:val="20"/>
                <w:szCs w:val="20"/>
              </w:rPr>
              <w:t xml:space="preserve"> 61(1) OEI Act</w:t>
            </w:r>
          </w:p>
        </w:tc>
        <w:tc>
          <w:tcPr>
            <w:tcW w:w="1389" w:type="dxa"/>
          </w:tcPr>
          <w:p w14:paraId="07C4C0AA" w14:textId="77777777" w:rsidR="00AF37CB" w:rsidRDefault="00AF37CB" w:rsidP="00FF5BFF">
            <w:pPr>
              <w:spacing w:before="40" w:after="40"/>
              <w:jc w:val="center"/>
              <w:rPr>
                <w:color w:val="000000"/>
                <w:sz w:val="20"/>
                <w:szCs w:val="20"/>
              </w:rPr>
            </w:pPr>
            <w:r w:rsidRPr="00FB024C">
              <w:rPr>
                <w:sz w:val="20"/>
                <w:szCs w:val="20"/>
              </w:rPr>
              <w:t>Yes / No</w:t>
            </w:r>
          </w:p>
        </w:tc>
      </w:tr>
      <w:tr w:rsidR="00AF37CB" w:rsidRPr="008C2142" w14:paraId="2D9C3036" w14:textId="77777777" w:rsidTr="00F20928">
        <w:trPr>
          <w:trHeight w:val="1900"/>
          <w:jc w:val="center"/>
        </w:trPr>
        <w:tc>
          <w:tcPr>
            <w:tcW w:w="5240" w:type="dxa"/>
          </w:tcPr>
          <w:p w14:paraId="406C4AFC" w14:textId="77777777" w:rsidR="00AF37CB" w:rsidRDefault="00AF37CB" w:rsidP="00FF5BFF">
            <w:pPr>
              <w:spacing w:before="40" w:after="40"/>
              <w:rPr>
                <w:sz w:val="20"/>
                <w:szCs w:val="20"/>
              </w:rPr>
            </w:pPr>
            <w:r>
              <w:rPr>
                <w:sz w:val="20"/>
                <w:szCs w:val="20"/>
              </w:rPr>
              <w:t>Merit criteria:</w:t>
            </w:r>
          </w:p>
          <w:p w14:paraId="15856C0F" w14:textId="66785BD3" w:rsidR="00AF37CB" w:rsidRPr="00401D91" w:rsidRDefault="00AF37CB" w:rsidP="00FF5BFF">
            <w:pPr>
              <w:pStyle w:val="ListParagraph"/>
              <w:numPr>
                <w:ilvl w:val="0"/>
                <w:numId w:val="23"/>
              </w:numPr>
              <w:spacing w:before="40" w:after="40"/>
              <w:ind w:left="414" w:hanging="357"/>
              <w:rPr>
                <w:sz w:val="20"/>
                <w:szCs w:val="20"/>
              </w:rPr>
            </w:pPr>
            <w:r>
              <w:rPr>
                <w:sz w:val="20"/>
                <w:szCs w:val="20"/>
              </w:rPr>
              <w:t>The</w:t>
            </w:r>
            <w:r w:rsidRPr="00401D91">
              <w:rPr>
                <w:sz w:val="20"/>
                <w:szCs w:val="20"/>
              </w:rPr>
              <w:t xml:space="preserve"> </w:t>
            </w:r>
            <w:r w:rsidR="00791684">
              <w:rPr>
                <w:sz w:val="20"/>
                <w:szCs w:val="20"/>
              </w:rPr>
              <w:t xml:space="preserve">eligible person has the </w:t>
            </w:r>
            <w:r w:rsidRPr="00401D91">
              <w:rPr>
                <w:sz w:val="20"/>
                <w:szCs w:val="20"/>
              </w:rPr>
              <w:t xml:space="preserve">technical and financial capability to carry out </w:t>
            </w:r>
            <w:r>
              <w:rPr>
                <w:sz w:val="20"/>
                <w:szCs w:val="20"/>
              </w:rPr>
              <w:t xml:space="preserve">the </w:t>
            </w:r>
            <w:r w:rsidRPr="00401D91">
              <w:rPr>
                <w:sz w:val="20"/>
                <w:szCs w:val="20"/>
              </w:rPr>
              <w:t xml:space="preserve">offshore infrastructure project </w:t>
            </w:r>
            <w:r w:rsidR="00791684">
              <w:rPr>
                <w:sz w:val="20"/>
                <w:szCs w:val="20"/>
              </w:rPr>
              <w:t xml:space="preserve">that is proposed to be carried out </w:t>
            </w:r>
            <w:r>
              <w:rPr>
                <w:sz w:val="20"/>
                <w:szCs w:val="20"/>
              </w:rPr>
              <w:t>under</w:t>
            </w:r>
            <w:r w:rsidRPr="00401D91">
              <w:rPr>
                <w:sz w:val="20"/>
                <w:szCs w:val="20"/>
              </w:rPr>
              <w:t xml:space="preserve"> the licence</w:t>
            </w:r>
            <w:r>
              <w:rPr>
                <w:sz w:val="20"/>
                <w:szCs w:val="20"/>
              </w:rPr>
              <w:t>.</w:t>
            </w:r>
          </w:p>
          <w:p w14:paraId="3A8F2C01" w14:textId="77777777" w:rsidR="00AF37CB" w:rsidRPr="00401D91" w:rsidRDefault="00AF37CB" w:rsidP="00FF5BFF">
            <w:pPr>
              <w:pStyle w:val="ListParagraph"/>
              <w:numPr>
                <w:ilvl w:val="0"/>
                <w:numId w:val="23"/>
              </w:numPr>
              <w:spacing w:before="40" w:after="40"/>
              <w:ind w:left="414" w:hanging="357"/>
              <w:rPr>
                <w:sz w:val="20"/>
                <w:szCs w:val="20"/>
              </w:rPr>
            </w:pPr>
            <w:r>
              <w:rPr>
                <w:sz w:val="20"/>
                <w:szCs w:val="20"/>
              </w:rPr>
              <w:t xml:space="preserve">The </w:t>
            </w:r>
            <w:r w:rsidRPr="00401D91">
              <w:rPr>
                <w:sz w:val="20"/>
                <w:szCs w:val="20"/>
              </w:rPr>
              <w:t>offshore infrastructure project is likely to be viable</w:t>
            </w:r>
            <w:r>
              <w:rPr>
                <w:sz w:val="20"/>
                <w:szCs w:val="20"/>
              </w:rPr>
              <w:t>.</w:t>
            </w:r>
          </w:p>
          <w:p w14:paraId="2197F0D1" w14:textId="77777777" w:rsidR="00AF37CB" w:rsidRPr="00401D91" w:rsidRDefault="00AF37CB" w:rsidP="00FF5BFF">
            <w:pPr>
              <w:pStyle w:val="ListParagraph"/>
              <w:numPr>
                <w:ilvl w:val="0"/>
                <w:numId w:val="23"/>
              </w:numPr>
              <w:spacing w:before="40" w:after="40"/>
              <w:ind w:left="414" w:hanging="357"/>
              <w:rPr>
                <w:sz w:val="20"/>
                <w:szCs w:val="20"/>
              </w:rPr>
            </w:pPr>
            <w:r>
              <w:rPr>
                <w:sz w:val="20"/>
                <w:szCs w:val="20"/>
              </w:rPr>
              <w:t>T</w:t>
            </w:r>
            <w:r w:rsidRPr="00401D91">
              <w:rPr>
                <w:sz w:val="20"/>
                <w:szCs w:val="20"/>
              </w:rPr>
              <w:t>he eligible person is suitable to hold the licence</w:t>
            </w:r>
            <w:r>
              <w:rPr>
                <w:sz w:val="20"/>
                <w:szCs w:val="20"/>
              </w:rPr>
              <w:t>.</w:t>
            </w:r>
          </w:p>
          <w:p w14:paraId="5CFE3C38" w14:textId="548D4115" w:rsidR="00AF37CB" w:rsidRPr="00401D91" w:rsidRDefault="00AF37CB" w:rsidP="00FF5BFF">
            <w:pPr>
              <w:pStyle w:val="ListParagraph"/>
              <w:numPr>
                <w:ilvl w:val="0"/>
                <w:numId w:val="23"/>
              </w:numPr>
              <w:spacing w:before="40" w:after="40"/>
              <w:ind w:left="414" w:hanging="357"/>
              <w:rPr>
                <w:sz w:val="20"/>
                <w:szCs w:val="20"/>
              </w:rPr>
            </w:pPr>
            <w:r>
              <w:rPr>
                <w:sz w:val="20"/>
                <w:szCs w:val="20"/>
              </w:rPr>
              <w:t>A</w:t>
            </w:r>
            <w:r w:rsidRPr="00401D91">
              <w:rPr>
                <w:sz w:val="20"/>
                <w:szCs w:val="20"/>
              </w:rPr>
              <w:t>ny criteria prescribed by the licensing scheme are satisfied</w:t>
            </w:r>
            <w:r>
              <w:rPr>
                <w:sz w:val="20"/>
                <w:szCs w:val="20"/>
              </w:rPr>
              <w:t xml:space="preserve">, including that </w:t>
            </w:r>
            <w:r w:rsidR="009B6E0D" w:rsidRPr="009B6E0D">
              <w:rPr>
                <w:sz w:val="20"/>
                <w:szCs w:val="20"/>
              </w:rPr>
              <w:t>the proposed project for the licence is in the national interest</w:t>
            </w:r>
            <w:r w:rsidR="009B6E0D">
              <w:rPr>
                <w:sz w:val="20"/>
                <w:szCs w:val="20"/>
              </w:rPr>
              <w:t xml:space="preserve">. </w:t>
            </w:r>
          </w:p>
        </w:tc>
        <w:tc>
          <w:tcPr>
            <w:tcW w:w="2693" w:type="dxa"/>
          </w:tcPr>
          <w:p w14:paraId="20591653" w14:textId="77777777" w:rsidR="00AF37CB" w:rsidRDefault="00AF37CB" w:rsidP="00FF5BFF">
            <w:pPr>
              <w:spacing w:before="40" w:after="40"/>
              <w:rPr>
                <w:sz w:val="20"/>
                <w:szCs w:val="20"/>
              </w:rPr>
            </w:pPr>
          </w:p>
          <w:p w14:paraId="14BA29CC" w14:textId="489ED931" w:rsidR="00AF37CB" w:rsidRDefault="006F2D91" w:rsidP="00FF5BFF">
            <w:pPr>
              <w:spacing w:before="40" w:after="40"/>
              <w:contextualSpacing/>
              <w:rPr>
                <w:sz w:val="20"/>
                <w:szCs w:val="20"/>
              </w:rPr>
            </w:pPr>
            <w:r>
              <w:rPr>
                <w:sz w:val="20"/>
                <w:szCs w:val="20"/>
              </w:rPr>
              <w:t>Paragraph</w:t>
            </w:r>
            <w:r w:rsidR="00AF37CB" w:rsidRPr="00297191">
              <w:rPr>
                <w:sz w:val="20"/>
                <w:szCs w:val="20"/>
              </w:rPr>
              <w:t xml:space="preserve"> </w:t>
            </w:r>
            <w:r w:rsidR="00AF37CB">
              <w:rPr>
                <w:sz w:val="20"/>
                <w:szCs w:val="20"/>
              </w:rPr>
              <w:t>62</w:t>
            </w:r>
            <w:r w:rsidR="00AF37CB" w:rsidRPr="00297191">
              <w:rPr>
                <w:sz w:val="20"/>
                <w:szCs w:val="20"/>
              </w:rPr>
              <w:t>(1)(a) OEI Act</w:t>
            </w:r>
          </w:p>
          <w:p w14:paraId="4E771CE0" w14:textId="4A9BAB5F" w:rsidR="00791684" w:rsidRDefault="00791684" w:rsidP="00FF5BFF">
            <w:pPr>
              <w:spacing w:before="40" w:after="40"/>
              <w:contextualSpacing/>
              <w:rPr>
                <w:sz w:val="20"/>
                <w:szCs w:val="20"/>
              </w:rPr>
            </w:pPr>
          </w:p>
          <w:p w14:paraId="510A27DD" w14:textId="77777777" w:rsidR="00791684" w:rsidRDefault="00791684" w:rsidP="00FF5BFF">
            <w:pPr>
              <w:spacing w:before="40" w:after="40"/>
              <w:contextualSpacing/>
              <w:rPr>
                <w:sz w:val="20"/>
                <w:szCs w:val="20"/>
              </w:rPr>
            </w:pPr>
          </w:p>
          <w:p w14:paraId="041E9A47" w14:textId="77777777" w:rsidR="004A33B5" w:rsidRDefault="004A33B5" w:rsidP="00FF5BFF">
            <w:pPr>
              <w:spacing w:before="40" w:after="40"/>
              <w:contextualSpacing/>
              <w:rPr>
                <w:sz w:val="20"/>
                <w:szCs w:val="20"/>
              </w:rPr>
            </w:pPr>
          </w:p>
          <w:p w14:paraId="36E6E75E" w14:textId="10FF0AB0" w:rsidR="00AF37CB" w:rsidRDefault="006F2D91" w:rsidP="00FF5BFF">
            <w:pPr>
              <w:spacing w:before="40" w:after="40"/>
              <w:contextualSpacing/>
              <w:rPr>
                <w:sz w:val="20"/>
                <w:szCs w:val="20"/>
              </w:rPr>
            </w:pPr>
            <w:r>
              <w:rPr>
                <w:sz w:val="20"/>
                <w:szCs w:val="20"/>
              </w:rPr>
              <w:t>Paragraph</w:t>
            </w:r>
            <w:r w:rsidR="00AF37CB" w:rsidRPr="00297191">
              <w:rPr>
                <w:sz w:val="20"/>
                <w:szCs w:val="20"/>
              </w:rPr>
              <w:t xml:space="preserve"> </w:t>
            </w:r>
            <w:r w:rsidR="00AF37CB">
              <w:rPr>
                <w:sz w:val="20"/>
                <w:szCs w:val="20"/>
              </w:rPr>
              <w:t>62</w:t>
            </w:r>
            <w:r w:rsidR="00AF37CB" w:rsidRPr="00297191">
              <w:rPr>
                <w:sz w:val="20"/>
                <w:szCs w:val="20"/>
              </w:rPr>
              <w:t>(1)(b) OEI Act</w:t>
            </w:r>
          </w:p>
          <w:p w14:paraId="5346D1D8" w14:textId="2349CC45" w:rsidR="00AF37CB" w:rsidRDefault="006F2D91" w:rsidP="00FF5BFF">
            <w:pPr>
              <w:spacing w:before="40" w:after="40"/>
              <w:contextualSpacing/>
              <w:rPr>
                <w:sz w:val="20"/>
                <w:szCs w:val="20"/>
              </w:rPr>
            </w:pPr>
            <w:r>
              <w:rPr>
                <w:sz w:val="20"/>
                <w:szCs w:val="20"/>
              </w:rPr>
              <w:t>Paragraph</w:t>
            </w:r>
            <w:r w:rsidR="00AF37CB" w:rsidRPr="00297191">
              <w:rPr>
                <w:sz w:val="20"/>
                <w:szCs w:val="20"/>
              </w:rPr>
              <w:t xml:space="preserve"> </w:t>
            </w:r>
            <w:r w:rsidR="00AF37CB">
              <w:rPr>
                <w:sz w:val="20"/>
                <w:szCs w:val="20"/>
              </w:rPr>
              <w:t>62</w:t>
            </w:r>
            <w:r w:rsidR="00AF37CB" w:rsidRPr="00297191">
              <w:rPr>
                <w:sz w:val="20"/>
                <w:szCs w:val="20"/>
              </w:rPr>
              <w:t>(1)(c) OEI Act</w:t>
            </w:r>
          </w:p>
          <w:p w14:paraId="5EED3D5C" w14:textId="612E2DBC" w:rsidR="00AF37CB" w:rsidRDefault="006F2D91" w:rsidP="00FF5BFF">
            <w:pPr>
              <w:spacing w:before="40" w:after="40"/>
              <w:contextualSpacing/>
              <w:rPr>
                <w:sz w:val="20"/>
                <w:szCs w:val="20"/>
              </w:rPr>
            </w:pPr>
            <w:r>
              <w:rPr>
                <w:sz w:val="20"/>
                <w:szCs w:val="20"/>
              </w:rPr>
              <w:t>Paragraph</w:t>
            </w:r>
            <w:r w:rsidR="00AF37CB" w:rsidRPr="00297191">
              <w:rPr>
                <w:sz w:val="20"/>
                <w:szCs w:val="20"/>
              </w:rPr>
              <w:t xml:space="preserve"> </w:t>
            </w:r>
            <w:r w:rsidR="00AF37CB">
              <w:rPr>
                <w:sz w:val="20"/>
                <w:szCs w:val="20"/>
              </w:rPr>
              <w:t>62</w:t>
            </w:r>
            <w:r w:rsidR="00AF37CB" w:rsidRPr="00297191">
              <w:rPr>
                <w:sz w:val="20"/>
                <w:szCs w:val="20"/>
              </w:rPr>
              <w:t>(1)(d) OEI Act</w:t>
            </w:r>
          </w:p>
          <w:p w14:paraId="4E57CFDB" w14:textId="77777777" w:rsidR="00AF37CB" w:rsidRDefault="00AF37CB" w:rsidP="00FF5BFF">
            <w:pPr>
              <w:spacing w:before="40" w:after="40"/>
              <w:contextualSpacing/>
              <w:rPr>
                <w:sz w:val="20"/>
                <w:szCs w:val="20"/>
              </w:rPr>
            </w:pPr>
          </w:p>
          <w:p w14:paraId="19CDF1CF" w14:textId="77777777" w:rsidR="00AF37CB" w:rsidRPr="008C2142" w:rsidRDefault="00AF37CB" w:rsidP="00FF5BFF">
            <w:pPr>
              <w:spacing w:before="40" w:after="40"/>
              <w:rPr>
                <w:sz w:val="20"/>
                <w:szCs w:val="20"/>
              </w:rPr>
            </w:pPr>
          </w:p>
        </w:tc>
        <w:tc>
          <w:tcPr>
            <w:tcW w:w="1389" w:type="dxa"/>
          </w:tcPr>
          <w:p w14:paraId="0CC23F3C" w14:textId="77777777" w:rsidR="00AF37CB" w:rsidRDefault="00AF37CB" w:rsidP="00FF5BFF">
            <w:pPr>
              <w:spacing w:before="40" w:after="40"/>
              <w:rPr>
                <w:color w:val="000000"/>
                <w:sz w:val="20"/>
                <w:szCs w:val="20"/>
              </w:rPr>
            </w:pPr>
          </w:p>
          <w:p w14:paraId="13009AA5" w14:textId="77777777" w:rsidR="00AF37CB" w:rsidRDefault="00AF37CB" w:rsidP="00FF5BFF">
            <w:pPr>
              <w:spacing w:before="40" w:after="40"/>
              <w:jc w:val="center"/>
              <w:rPr>
                <w:color w:val="000000"/>
                <w:sz w:val="20"/>
                <w:szCs w:val="20"/>
              </w:rPr>
            </w:pPr>
            <w:r>
              <w:rPr>
                <w:color w:val="000000"/>
                <w:sz w:val="20"/>
                <w:szCs w:val="20"/>
              </w:rPr>
              <w:t>Merit-based</w:t>
            </w:r>
          </w:p>
          <w:p w14:paraId="1939681D" w14:textId="0DA826A6" w:rsidR="00AF37CB" w:rsidRDefault="00AF37CB" w:rsidP="00791684">
            <w:pPr>
              <w:jc w:val="center"/>
              <w:rPr>
                <w:color w:val="000000"/>
                <w:sz w:val="8"/>
                <w:szCs w:val="8"/>
              </w:rPr>
            </w:pPr>
          </w:p>
          <w:p w14:paraId="06DF6E39" w14:textId="449431DC" w:rsidR="00791684" w:rsidRDefault="00791684" w:rsidP="00791684">
            <w:pPr>
              <w:jc w:val="center"/>
              <w:rPr>
                <w:color w:val="000000"/>
                <w:sz w:val="8"/>
                <w:szCs w:val="8"/>
              </w:rPr>
            </w:pPr>
          </w:p>
          <w:p w14:paraId="0449A4C2" w14:textId="7AB1BA96" w:rsidR="00791684" w:rsidRDefault="00791684" w:rsidP="00791684">
            <w:pPr>
              <w:jc w:val="center"/>
              <w:rPr>
                <w:color w:val="000000"/>
                <w:sz w:val="8"/>
                <w:szCs w:val="8"/>
              </w:rPr>
            </w:pPr>
          </w:p>
          <w:p w14:paraId="0F50097A" w14:textId="0C883FE6" w:rsidR="00791684" w:rsidRDefault="00791684" w:rsidP="00791684">
            <w:pPr>
              <w:jc w:val="center"/>
              <w:rPr>
                <w:color w:val="000000"/>
                <w:sz w:val="8"/>
                <w:szCs w:val="8"/>
              </w:rPr>
            </w:pPr>
          </w:p>
          <w:p w14:paraId="62082555" w14:textId="77777777" w:rsidR="00791684" w:rsidRDefault="00791684" w:rsidP="00791684">
            <w:pPr>
              <w:jc w:val="center"/>
              <w:rPr>
                <w:color w:val="000000"/>
                <w:sz w:val="8"/>
                <w:szCs w:val="8"/>
              </w:rPr>
            </w:pPr>
          </w:p>
          <w:p w14:paraId="4656423B" w14:textId="7637BDA1" w:rsidR="00791684" w:rsidRDefault="00791684" w:rsidP="00791684">
            <w:pPr>
              <w:jc w:val="center"/>
              <w:rPr>
                <w:color w:val="000000"/>
                <w:sz w:val="8"/>
                <w:szCs w:val="8"/>
              </w:rPr>
            </w:pPr>
          </w:p>
          <w:p w14:paraId="5372AE6A" w14:textId="77777777" w:rsidR="00791684" w:rsidRPr="00D267B7" w:rsidRDefault="00791684" w:rsidP="00791684">
            <w:pPr>
              <w:jc w:val="center"/>
              <w:rPr>
                <w:color w:val="000000"/>
                <w:sz w:val="8"/>
                <w:szCs w:val="8"/>
              </w:rPr>
            </w:pPr>
          </w:p>
          <w:p w14:paraId="4A5BCE8A" w14:textId="77777777" w:rsidR="00AF37CB" w:rsidRDefault="00AF37CB" w:rsidP="00791684">
            <w:pPr>
              <w:jc w:val="center"/>
              <w:rPr>
                <w:color w:val="000000"/>
                <w:sz w:val="20"/>
                <w:szCs w:val="20"/>
              </w:rPr>
            </w:pPr>
            <w:r>
              <w:rPr>
                <w:color w:val="000000"/>
                <w:sz w:val="20"/>
                <w:szCs w:val="20"/>
              </w:rPr>
              <w:t>Merit-based</w:t>
            </w:r>
          </w:p>
          <w:p w14:paraId="3F0F7234" w14:textId="77777777" w:rsidR="00AF37CB" w:rsidRDefault="00AF37CB" w:rsidP="00791684">
            <w:pPr>
              <w:jc w:val="center"/>
              <w:rPr>
                <w:color w:val="000000"/>
                <w:sz w:val="20"/>
                <w:szCs w:val="20"/>
              </w:rPr>
            </w:pPr>
            <w:r>
              <w:rPr>
                <w:color w:val="000000"/>
                <w:sz w:val="20"/>
                <w:szCs w:val="20"/>
              </w:rPr>
              <w:t>Merit-based</w:t>
            </w:r>
          </w:p>
          <w:p w14:paraId="4E9D0836" w14:textId="77777777" w:rsidR="00AF37CB" w:rsidRDefault="00AF37CB" w:rsidP="00791684">
            <w:pPr>
              <w:jc w:val="center"/>
              <w:rPr>
                <w:color w:val="000000"/>
                <w:sz w:val="20"/>
                <w:szCs w:val="20"/>
              </w:rPr>
            </w:pPr>
            <w:r>
              <w:rPr>
                <w:color w:val="000000"/>
                <w:sz w:val="20"/>
                <w:szCs w:val="20"/>
              </w:rPr>
              <w:t>Merit-based</w:t>
            </w:r>
          </w:p>
          <w:p w14:paraId="7950D8DB" w14:textId="77777777" w:rsidR="00AF37CB" w:rsidRDefault="00AF37CB" w:rsidP="00FF5BFF">
            <w:pPr>
              <w:spacing w:before="40" w:after="40"/>
              <w:contextualSpacing/>
              <w:rPr>
                <w:color w:val="000000"/>
                <w:sz w:val="20"/>
                <w:szCs w:val="20"/>
              </w:rPr>
            </w:pPr>
          </w:p>
        </w:tc>
      </w:tr>
    </w:tbl>
    <w:p w14:paraId="5BF25BC3" w14:textId="03FED2B9" w:rsidR="00AF37CB" w:rsidRPr="005C2E97" w:rsidRDefault="009878F1" w:rsidP="00AF37CB">
      <w:pPr>
        <w:spacing w:before="80" w:after="120" w:line="240" w:lineRule="auto"/>
        <w:rPr>
          <w:iCs/>
          <w:color w:val="4472C4" w:themeColor="accent1"/>
        </w:rPr>
      </w:pPr>
      <w:r>
        <w:rPr>
          <w:i/>
          <w:color w:val="4472C4" w:themeColor="accent1"/>
          <w:u w:val="single"/>
        </w:rPr>
        <w:t xml:space="preserve">Undue </w:t>
      </w:r>
      <w:r w:rsidR="00AF37CB">
        <w:rPr>
          <w:i/>
          <w:color w:val="4472C4" w:themeColor="accent1"/>
          <w:u w:val="single"/>
        </w:rPr>
        <w:t>Interference with Other Offshore Electricity Licence Areas</w:t>
      </w:r>
      <w:r w:rsidR="00AF37CB">
        <w:rPr>
          <w:iCs/>
          <w:color w:val="4472C4" w:themeColor="accent1"/>
        </w:rPr>
        <w:t xml:space="preserve"> (subsection 61(1) OEI Act)</w:t>
      </w:r>
    </w:p>
    <w:p w14:paraId="7BB72100" w14:textId="167A70B2" w:rsidR="00AF37CB" w:rsidRDefault="00AF37CB" w:rsidP="00AF37CB">
      <w:pPr>
        <w:pStyle w:val="ListParagraph"/>
        <w:numPr>
          <w:ilvl w:val="2"/>
          <w:numId w:val="1"/>
        </w:numPr>
        <w:spacing w:after="60" w:line="240" w:lineRule="auto"/>
        <w:ind w:left="709"/>
        <w:contextualSpacing w:val="0"/>
      </w:pPr>
      <w:r>
        <w:t xml:space="preserve">If the TIL would authorise activities in any part of the licence area of another licence granted under the OEI Act, </w:t>
      </w:r>
      <w:r w:rsidR="009878F1">
        <w:t xml:space="preserve">the Minister must be satisfied that </w:t>
      </w:r>
      <w:r>
        <w:t xml:space="preserve">activities carried out in accordance with the proposed TIL </w:t>
      </w:r>
      <w:r w:rsidR="009878F1">
        <w:t>would</w:t>
      </w:r>
      <w:r>
        <w:t xml:space="preserve"> not unduly interfere with the activities of the holder of the other licence. </w:t>
      </w:r>
    </w:p>
    <w:p w14:paraId="3B7A030C" w14:textId="3BCBB14B" w:rsidR="00AF37CB" w:rsidRPr="002F07E0" w:rsidRDefault="00AF37CB" w:rsidP="00AF37CB">
      <w:pPr>
        <w:pStyle w:val="ListParagraph"/>
        <w:numPr>
          <w:ilvl w:val="2"/>
          <w:numId w:val="1"/>
        </w:numPr>
        <w:spacing w:after="80" w:line="240" w:lineRule="auto"/>
        <w:ind w:left="709"/>
        <w:contextualSpacing w:val="0"/>
      </w:pPr>
      <w:r>
        <w:t xml:space="preserve">This assessment will </w:t>
      </w:r>
      <w:proofErr w:type="gramStart"/>
      <w:r>
        <w:t>take into account</w:t>
      </w:r>
      <w:proofErr w:type="gramEnd"/>
      <w:r>
        <w:t xml:space="preserve"> any consultation with impacted licence holders as evidenced in the TIL application. If consultation with</w:t>
      </w:r>
      <w:r w:rsidRPr="00CF5745">
        <w:t xml:space="preserve"> </w:t>
      </w:r>
      <w:r>
        <w:t>relevant</w:t>
      </w:r>
      <w:r w:rsidRPr="00FD7E29">
        <w:t xml:space="preserve"> existing</w:t>
      </w:r>
      <w:r>
        <w:t xml:space="preserve"> licence holders has</w:t>
      </w:r>
      <w:r w:rsidRPr="00FD7E29">
        <w:t xml:space="preserve"> not </w:t>
      </w:r>
      <w:r>
        <w:t xml:space="preserve">been </w:t>
      </w:r>
      <w:r w:rsidRPr="00FD7E29">
        <w:t>done to an appropriate standard</w:t>
      </w:r>
      <w:r>
        <w:t xml:space="preserve"> as evidenced in the application,</w:t>
      </w:r>
      <w:r w:rsidRPr="00FD7E29">
        <w:t xml:space="preserve"> submission</w:t>
      </w:r>
      <w:r>
        <w:t>s</w:t>
      </w:r>
      <w:r w:rsidRPr="00FD7E29">
        <w:t xml:space="preserve"> </w:t>
      </w:r>
      <w:r>
        <w:t xml:space="preserve">may be </w:t>
      </w:r>
      <w:r w:rsidRPr="00FD7E29">
        <w:t xml:space="preserve">invited </w:t>
      </w:r>
      <w:r>
        <w:t xml:space="preserve">by the Registrar </w:t>
      </w:r>
      <w:r w:rsidRPr="00FD7E29">
        <w:t xml:space="preserve">from </w:t>
      </w:r>
      <w:r w:rsidR="00B07F42">
        <w:t xml:space="preserve">existing </w:t>
      </w:r>
      <w:r w:rsidRPr="00FD7E29">
        <w:t>licence holder</w:t>
      </w:r>
      <w:r>
        <w:t>s as appropriate and considered during the assessment (subsection 21(4) OEI Regulations)</w:t>
      </w:r>
      <w:r w:rsidRPr="00FD7E29">
        <w:t xml:space="preserve">. </w:t>
      </w:r>
      <w:r>
        <w:t xml:space="preserve">This will extend the assessment process by </w:t>
      </w:r>
      <w:r w:rsidR="00D9516F">
        <w:br/>
      </w:r>
      <w:r>
        <w:t>a minimum of 30 days.</w:t>
      </w:r>
    </w:p>
    <w:p w14:paraId="52D3BB8D" w14:textId="4AF0B5C5" w:rsidR="00AF37CB" w:rsidRPr="000036D1" w:rsidRDefault="00AF37CB" w:rsidP="00CB0F47">
      <w:pPr>
        <w:rPr>
          <w:iCs/>
          <w:color w:val="4472C4" w:themeColor="accent1"/>
        </w:rPr>
      </w:pPr>
      <w:r w:rsidRPr="00E84856">
        <w:rPr>
          <w:i/>
          <w:color w:val="4472C4" w:themeColor="accent1"/>
          <w:u w:val="single"/>
        </w:rPr>
        <w:t>Merit Criteria</w:t>
      </w:r>
      <w:r>
        <w:rPr>
          <w:iCs/>
          <w:color w:val="4472C4" w:themeColor="accent1"/>
        </w:rPr>
        <w:t xml:space="preserve"> (section 62 OEI Act and sections 25 and 26 OEI Regulations)</w:t>
      </w:r>
    </w:p>
    <w:p w14:paraId="1FCEE20C" w14:textId="77777777" w:rsidR="00AF37CB" w:rsidRDefault="00AF37CB" w:rsidP="00AF37CB">
      <w:pPr>
        <w:pStyle w:val="ListParagraph"/>
        <w:numPr>
          <w:ilvl w:val="2"/>
          <w:numId w:val="1"/>
        </w:numPr>
        <w:spacing w:after="60" w:line="240" w:lineRule="auto"/>
        <w:ind w:left="709"/>
        <w:contextualSpacing w:val="0"/>
      </w:pPr>
      <w:r>
        <w:t xml:space="preserve">For a TIL to be granted to an eligible person, the Minister must be satisfied that the licence applied for meets the merit criteria. </w:t>
      </w:r>
    </w:p>
    <w:p w14:paraId="5EC2A752" w14:textId="7330CC6B" w:rsidR="00AF37CB" w:rsidRDefault="00AF37CB" w:rsidP="00AF37CB">
      <w:pPr>
        <w:pStyle w:val="ListParagraph"/>
        <w:numPr>
          <w:ilvl w:val="2"/>
          <w:numId w:val="1"/>
        </w:numPr>
        <w:spacing w:after="60" w:line="240" w:lineRule="auto"/>
        <w:ind w:left="709"/>
        <w:contextualSpacing w:val="0"/>
      </w:pPr>
      <w:r>
        <w:t xml:space="preserve">The assessment of a TIL application against the merit criteria will reflect the transmission and/or infrastructure focus of the proposal. </w:t>
      </w:r>
      <w:r w:rsidR="003404D0">
        <w:t>The assessment will consider the full scope of the offshore infrastructure project for the</w:t>
      </w:r>
      <w:r w:rsidR="00390892">
        <w:t xml:space="preserve"> TIL</w:t>
      </w:r>
      <w:r w:rsidR="003404D0">
        <w:t xml:space="preserve">, </w:t>
      </w:r>
      <w:r w:rsidR="00BF0974">
        <w:t>including</w:t>
      </w:r>
      <w:r w:rsidR="003404D0">
        <w:t xml:space="preserve"> scoping/planning </w:t>
      </w:r>
      <w:r w:rsidR="008A22F3">
        <w:t>and</w:t>
      </w:r>
      <w:r w:rsidR="003404D0">
        <w:t xml:space="preserve"> design, </w:t>
      </w:r>
      <w:r w:rsidR="00BF0974">
        <w:t xml:space="preserve">final investment decision, </w:t>
      </w:r>
      <w:r w:rsidR="003404D0">
        <w:t>construction</w:t>
      </w:r>
      <w:r w:rsidR="004C2420">
        <w:t>, commissioning</w:t>
      </w:r>
      <w:r w:rsidR="006F1E78">
        <w:t>,</w:t>
      </w:r>
      <w:r w:rsidR="003404D0">
        <w:t xml:space="preserve"> operation</w:t>
      </w:r>
      <w:r w:rsidR="006F1E78">
        <w:t>, and decommissioning</w:t>
      </w:r>
      <w:r w:rsidR="003404D0">
        <w:t xml:space="preserve">. </w:t>
      </w:r>
      <w:r>
        <w:t xml:space="preserve">A person will be assessed </w:t>
      </w:r>
      <w:r w:rsidR="0041578D">
        <w:t>on</w:t>
      </w:r>
      <w:r>
        <w:t xml:space="preserve"> how their proposal meets the merit criteria and the likelihood that the criterion can be met as demonstrated by the person’s project development plan and identification of the activities and risks to be undertaken during </w:t>
      </w:r>
      <w:r w:rsidR="0041578D">
        <w:t>scoping</w:t>
      </w:r>
      <w:r>
        <w:t xml:space="preserve">, planning, </w:t>
      </w:r>
      <w:r w:rsidR="004C2420">
        <w:t xml:space="preserve">design, </w:t>
      </w:r>
      <w:r>
        <w:t>construction</w:t>
      </w:r>
      <w:r w:rsidR="004C2420">
        <w:t>, commissioning</w:t>
      </w:r>
      <w:r w:rsidR="006F1E78">
        <w:t>,</w:t>
      </w:r>
      <w:r>
        <w:t xml:space="preserve"> operation</w:t>
      </w:r>
      <w:r w:rsidR="006F1E78">
        <w:t>, and decommissioning</w:t>
      </w:r>
      <w:r>
        <w:t xml:space="preserve"> phases of the offshore infrastructure project. </w:t>
      </w:r>
    </w:p>
    <w:p w14:paraId="6C99E122" w14:textId="2CDBB4E7" w:rsidR="00AF37CB" w:rsidRPr="00F16FAB" w:rsidRDefault="00AF37CB" w:rsidP="00AF37CB">
      <w:pPr>
        <w:spacing w:after="80" w:line="240" w:lineRule="auto"/>
        <w:ind w:left="-11"/>
        <w:rPr>
          <w:color w:val="4472C4" w:themeColor="accent1"/>
        </w:rPr>
      </w:pPr>
      <w:r w:rsidRPr="00F16FAB">
        <w:rPr>
          <w:color w:val="4472C4" w:themeColor="accent1"/>
        </w:rPr>
        <w:t>Technical and Financial Capability (</w:t>
      </w:r>
      <w:r w:rsidR="006F2D91">
        <w:rPr>
          <w:color w:val="4472C4" w:themeColor="accent1"/>
        </w:rPr>
        <w:t>paragraph</w:t>
      </w:r>
      <w:r w:rsidRPr="00F16FAB">
        <w:rPr>
          <w:color w:val="4472C4" w:themeColor="accent1"/>
        </w:rPr>
        <w:t xml:space="preserve"> 62(1)(a) OEI Act and </w:t>
      </w:r>
      <w:r w:rsidR="00AB0E30">
        <w:rPr>
          <w:color w:val="4472C4" w:themeColor="accent1"/>
        </w:rPr>
        <w:t>sub</w:t>
      </w:r>
      <w:r w:rsidRPr="00F16FAB">
        <w:rPr>
          <w:color w:val="4472C4" w:themeColor="accent1"/>
        </w:rPr>
        <w:t>section 26(1) OEI Regulations)</w:t>
      </w:r>
    </w:p>
    <w:p w14:paraId="325BE0B3" w14:textId="77777777" w:rsidR="003231BA" w:rsidRDefault="00AF37CB" w:rsidP="00AF37CB">
      <w:pPr>
        <w:pStyle w:val="ListParagraph"/>
        <w:numPr>
          <w:ilvl w:val="2"/>
          <w:numId w:val="1"/>
        </w:numPr>
        <w:spacing w:after="80" w:line="240" w:lineRule="auto"/>
        <w:ind w:left="709"/>
        <w:contextualSpacing w:val="0"/>
      </w:pPr>
      <w:r w:rsidRPr="00E80CA1">
        <w:t xml:space="preserve">The </w:t>
      </w:r>
      <w:r>
        <w:t xml:space="preserve">Minister must be satisfied </w:t>
      </w:r>
      <w:r w:rsidRPr="00E80CA1">
        <w:t>that</w:t>
      </w:r>
      <w:r>
        <w:t xml:space="preserve"> the </w:t>
      </w:r>
      <w:r w:rsidR="00772060">
        <w:t xml:space="preserve">eligible </w:t>
      </w:r>
      <w:r>
        <w:t>person</w:t>
      </w:r>
      <w:r w:rsidRPr="00E80CA1">
        <w:t xml:space="preserve"> has </w:t>
      </w:r>
      <w:r>
        <w:rPr>
          <w:color w:val="000000"/>
          <w:shd w:val="clear" w:color="auto" w:fill="FFFFFF"/>
        </w:rPr>
        <w:t>the technical and financial capability to carry out the offshore infrastructure project that is</w:t>
      </w:r>
      <w:r w:rsidR="00772060">
        <w:rPr>
          <w:color w:val="000000"/>
          <w:shd w:val="clear" w:color="auto" w:fill="FFFFFF"/>
        </w:rPr>
        <w:t xml:space="preserve"> proposed</w:t>
      </w:r>
      <w:r>
        <w:rPr>
          <w:color w:val="000000"/>
          <w:shd w:val="clear" w:color="auto" w:fill="FFFFFF"/>
        </w:rPr>
        <w:t xml:space="preserve"> to be carried out under the licence</w:t>
      </w:r>
      <w:r>
        <w:t xml:space="preserve">. </w:t>
      </w:r>
    </w:p>
    <w:p w14:paraId="56EB19AF" w14:textId="274DD9A8" w:rsidR="003231BA" w:rsidRPr="008813A8" w:rsidRDefault="003231BA" w:rsidP="008813A8">
      <w:pPr>
        <w:spacing w:after="60" w:line="240" w:lineRule="auto"/>
        <w:ind w:left="709"/>
        <w:rPr>
          <w:sz w:val="20"/>
          <w:szCs w:val="20"/>
        </w:rPr>
      </w:pPr>
      <w:r w:rsidRPr="008813A8">
        <w:rPr>
          <w:b/>
          <w:bCs/>
          <w:sz w:val="20"/>
          <w:szCs w:val="20"/>
        </w:rPr>
        <w:t>Note:</w:t>
      </w:r>
      <w:r w:rsidRPr="008813A8">
        <w:rPr>
          <w:sz w:val="20"/>
          <w:szCs w:val="20"/>
        </w:rPr>
        <w:t xml:space="preserve"> For clarity, the wording of “</w:t>
      </w:r>
      <w:r w:rsidRPr="008813A8">
        <w:rPr>
          <w:i/>
          <w:iCs/>
          <w:sz w:val="20"/>
          <w:szCs w:val="20"/>
        </w:rPr>
        <w:t>is likely to have or is likely to be able to arrange to have</w:t>
      </w:r>
      <w:r w:rsidRPr="008813A8">
        <w:rPr>
          <w:sz w:val="20"/>
          <w:szCs w:val="20"/>
        </w:rPr>
        <w:t>” in subsection 26(1) Regulations does not apply to the assessment of a TIL application.</w:t>
      </w:r>
    </w:p>
    <w:p w14:paraId="665EC837" w14:textId="783F603C" w:rsidR="00AF37CB" w:rsidRDefault="00AF37CB" w:rsidP="00AF37CB">
      <w:pPr>
        <w:pStyle w:val="ListParagraph"/>
        <w:numPr>
          <w:ilvl w:val="2"/>
          <w:numId w:val="1"/>
        </w:numPr>
        <w:spacing w:after="80" w:line="240" w:lineRule="auto"/>
        <w:ind w:left="709"/>
        <w:contextualSpacing w:val="0"/>
      </w:pPr>
      <w:r>
        <w:t>The merit-based assessment may consider one or more of the following:</w:t>
      </w:r>
    </w:p>
    <w:p w14:paraId="5D33D15A" w14:textId="4E3BCE36" w:rsidR="00AF37CB" w:rsidRDefault="00AF37CB" w:rsidP="00AF37CB">
      <w:pPr>
        <w:pStyle w:val="ListParagraph"/>
        <w:numPr>
          <w:ilvl w:val="0"/>
          <w:numId w:val="5"/>
        </w:numPr>
        <w:spacing w:after="80" w:line="240" w:lineRule="auto"/>
        <w:ind w:left="924" w:hanging="357"/>
        <w:contextualSpacing w:val="0"/>
      </w:pPr>
      <w:r>
        <w:t>The technical advice that is available to the person.</w:t>
      </w:r>
    </w:p>
    <w:p w14:paraId="27F34EB3" w14:textId="0EEBE46B" w:rsidR="00AF37CB" w:rsidRDefault="00AF37CB" w:rsidP="00AF37CB">
      <w:pPr>
        <w:pStyle w:val="ListParagraph"/>
        <w:numPr>
          <w:ilvl w:val="1"/>
          <w:numId w:val="12"/>
        </w:numPr>
        <w:spacing w:after="60" w:line="240" w:lineRule="auto"/>
        <w:ind w:left="1208" w:hanging="357"/>
        <w:contextualSpacing w:val="0"/>
      </w:pPr>
      <w:r>
        <w:t xml:space="preserve">This will be an assessment of the quality of advice or expertise </w:t>
      </w:r>
      <w:r w:rsidR="00772060">
        <w:t xml:space="preserve">that is </w:t>
      </w:r>
      <w:r>
        <w:t xml:space="preserve">available to the person </w:t>
      </w:r>
      <w:r w:rsidR="00FC7525">
        <w:t>to deliver the</w:t>
      </w:r>
      <w:r>
        <w:t xml:space="preserve"> offshore infrastructure project</w:t>
      </w:r>
      <w:r w:rsidR="00772060">
        <w:t xml:space="preserve"> </w:t>
      </w:r>
      <w:r w:rsidR="00402692">
        <w:t xml:space="preserve">for the TIL </w:t>
      </w:r>
      <w:r w:rsidR="00772060">
        <w:t>(</w:t>
      </w:r>
      <w:r w:rsidR="000652EF">
        <w:t>full life cycle</w:t>
      </w:r>
      <w:r w:rsidR="00772060">
        <w:t>)</w:t>
      </w:r>
      <w:r>
        <w:t xml:space="preserve">. </w:t>
      </w:r>
    </w:p>
    <w:p w14:paraId="3C1EFD2C" w14:textId="5AA81560" w:rsidR="00AF37CB" w:rsidRDefault="00AF37CB" w:rsidP="00AF37CB">
      <w:pPr>
        <w:pStyle w:val="ListParagraph"/>
        <w:numPr>
          <w:ilvl w:val="1"/>
          <w:numId w:val="12"/>
        </w:numPr>
        <w:spacing w:after="60" w:line="240" w:lineRule="auto"/>
        <w:ind w:left="1208" w:hanging="357"/>
        <w:contextualSpacing w:val="0"/>
      </w:pPr>
      <w:r>
        <w:t>The assessment will consider the role of each identified member of the project team in delivering the offshore infrastructure project</w:t>
      </w:r>
      <w:r w:rsidR="00402692" w:rsidRPr="00402692">
        <w:t xml:space="preserve"> </w:t>
      </w:r>
      <w:r w:rsidR="00402692">
        <w:t>for the TIL</w:t>
      </w:r>
      <w:r>
        <w:t xml:space="preserve">. </w:t>
      </w:r>
    </w:p>
    <w:p w14:paraId="0BE35A27" w14:textId="57C0525A" w:rsidR="00AF37CB" w:rsidRDefault="00AF37CB" w:rsidP="00AF37CB">
      <w:pPr>
        <w:pStyle w:val="ListParagraph"/>
        <w:numPr>
          <w:ilvl w:val="1"/>
          <w:numId w:val="12"/>
        </w:numPr>
        <w:spacing w:after="60" w:line="240" w:lineRule="auto"/>
        <w:ind w:left="1208" w:hanging="357"/>
        <w:contextualSpacing w:val="0"/>
      </w:pPr>
      <w:r>
        <w:t>A</w:t>
      </w:r>
      <w:r w:rsidR="00772060">
        <w:t>t a minimum, a</w:t>
      </w:r>
      <w:r>
        <w:t xml:space="preserve"> person</w:t>
      </w:r>
      <w:r w:rsidR="00772060">
        <w:t xml:space="preserve"> should have a</w:t>
      </w:r>
      <w:r>
        <w:t xml:space="preserve"> project team </w:t>
      </w:r>
      <w:r w:rsidR="00772060">
        <w:t xml:space="preserve">in place </w:t>
      </w:r>
      <w:r>
        <w:t>with demonstrated experience in successfully delivering similar large-scale infrastructure projects</w:t>
      </w:r>
      <w:r w:rsidR="00067A09">
        <w:t xml:space="preserve"> of a commensurate scale</w:t>
      </w:r>
      <w:r>
        <w:t xml:space="preserve"> in a timely manner. </w:t>
      </w:r>
    </w:p>
    <w:p w14:paraId="2C06437D" w14:textId="7C6A5629" w:rsidR="00AF37CB" w:rsidRDefault="00EA5091" w:rsidP="00AF37CB">
      <w:pPr>
        <w:pStyle w:val="ListParagraph"/>
        <w:numPr>
          <w:ilvl w:val="1"/>
          <w:numId w:val="12"/>
        </w:numPr>
        <w:spacing w:after="80" w:line="240" w:lineRule="auto"/>
        <w:ind w:left="1208" w:hanging="357"/>
        <w:contextualSpacing w:val="0"/>
      </w:pPr>
      <w:r>
        <w:lastRenderedPageBreak/>
        <w:t>Proof of a</w:t>
      </w:r>
      <w:r w:rsidR="00AF37CB">
        <w:t xml:space="preserve"> contract of engagement is required where the technical advice </w:t>
      </w:r>
      <w:r w:rsidR="00772060">
        <w:t>is</w:t>
      </w:r>
      <w:r w:rsidR="00AF37CB">
        <w:t xml:space="preserve"> contracted. </w:t>
      </w:r>
    </w:p>
    <w:p w14:paraId="0757EA88" w14:textId="77777777" w:rsidR="00AF37CB" w:rsidRPr="008A595F" w:rsidRDefault="00AF37CB" w:rsidP="00AF37CB">
      <w:pPr>
        <w:pStyle w:val="ListParagraph"/>
        <w:numPr>
          <w:ilvl w:val="1"/>
          <w:numId w:val="12"/>
        </w:numPr>
        <w:spacing w:after="80" w:line="240" w:lineRule="auto"/>
        <w:ind w:left="1208" w:hanging="357"/>
        <w:contextualSpacing w:val="0"/>
      </w:pPr>
      <w:r w:rsidRPr="008A595F">
        <w:t xml:space="preserve">A person that has multiple offshore electricity infrastructure project proposals or licences in Australia or internationally will be assessed on its ability to provide resources for each project or licence in a timely manner.  </w:t>
      </w:r>
    </w:p>
    <w:p w14:paraId="52CD07E5" w14:textId="778FEDCE" w:rsidR="00AF37CB" w:rsidRDefault="00AF37CB" w:rsidP="00AF37CB">
      <w:pPr>
        <w:pStyle w:val="ListParagraph"/>
        <w:numPr>
          <w:ilvl w:val="0"/>
          <w:numId w:val="5"/>
        </w:numPr>
        <w:spacing w:after="80" w:line="240" w:lineRule="auto"/>
        <w:ind w:left="924" w:hanging="357"/>
        <w:contextualSpacing w:val="0"/>
      </w:pPr>
      <w:r>
        <w:t>The financial resources that are available to the person.</w:t>
      </w:r>
    </w:p>
    <w:p w14:paraId="1EB4C7A4" w14:textId="6CFDE1B2" w:rsidR="00AF37CB" w:rsidRDefault="00AF37CB" w:rsidP="00AF37CB">
      <w:pPr>
        <w:pStyle w:val="ListParagraph"/>
        <w:numPr>
          <w:ilvl w:val="1"/>
          <w:numId w:val="13"/>
        </w:numPr>
        <w:spacing w:after="60" w:line="240" w:lineRule="auto"/>
        <w:ind w:left="1208" w:hanging="357"/>
        <w:contextualSpacing w:val="0"/>
      </w:pPr>
      <w:r>
        <w:t xml:space="preserve">This will be an assessment of the financial resources </w:t>
      </w:r>
      <w:r w:rsidR="000062C8">
        <w:t xml:space="preserve">that </w:t>
      </w:r>
      <w:r w:rsidR="006F1E78">
        <w:t xml:space="preserve">are </w:t>
      </w:r>
      <w:r>
        <w:t>available to the person</w:t>
      </w:r>
      <w:r w:rsidRPr="007E2FB4">
        <w:t xml:space="preserve"> </w:t>
      </w:r>
      <w:r>
        <w:t xml:space="preserve">to </w:t>
      </w:r>
      <w:r w:rsidRPr="00037BD8">
        <w:t xml:space="preserve">finance the </w:t>
      </w:r>
      <w:r>
        <w:t xml:space="preserve">offshore infrastructure </w:t>
      </w:r>
      <w:r w:rsidRPr="00037BD8">
        <w:t xml:space="preserve">project </w:t>
      </w:r>
      <w:r w:rsidR="00402692">
        <w:t xml:space="preserve">for the TIL </w:t>
      </w:r>
      <w:r>
        <w:t>through planning, construction, installation, commissioning</w:t>
      </w:r>
      <w:r w:rsidR="006E6FC7">
        <w:t xml:space="preserve">, </w:t>
      </w:r>
      <w:r>
        <w:t>operation</w:t>
      </w:r>
      <w:r w:rsidR="006F1E78">
        <w:t>,</w:t>
      </w:r>
      <w:r>
        <w:t xml:space="preserve"> </w:t>
      </w:r>
      <w:r w:rsidR="006E6FC7">
        <w:t xml:space="preserve">and decommissioning </w:t>
      </w:r>
      <w:r>
        <w:t>stages.</w:t>
      </w:r>
    </w:p>
    <w:p w14:paraId="185BA430" w14:textId="1CE2033A" w:rsidR="00AF37CB" w:rsidRDefault="00AF37CB" w:rsidP="00AF37CB">
      <w:pPr>
        <w:pStyle w:val="ListParagraph"/>
        <w:numPr>
          <w:ilvl w:val="1"/>
          <w:numId w:val="13"/>
        </w:numPr>
        <w:spacing w:after="60" w:line="240" w:lineRule="auto"/>
        <w:ind w:left="1208" w:hanging="357"/>
        <w:contextualSpacing w:val="0"/>
      </w:pPr>
      <w:r>
        <w:t>At a minimum, the person should have</w:t>
      </w:r>
      <w:r w:rsidR="006F0162">
        <w:t>:</w:t>
      </w:r>
    </w:p>
    <w:p w14:paraId="0EB69577" w14:textId="5C9EE19D" w:rsidR="00AF37CB" w:rsidRDefault="00AF37CB" w:rsidP="00AF37CB">
      <w:pPr>
        <w:pStyle w:val="ListParagraph"/>
        <w:numPr>
          <w:ilvl w:val="2"/>
          <w:numId w:val="3"/>
        </w:numPr>
        <w:spacing w:after="40" w:line="240" w:lineRule="auto"/>
        <w:ind w:left="1491" w:hanging="357"/>
        <w:contextualSpacing w:val="0"/>
      </w:pPr>
      <w:r w:rsidRPr="00833ED6">
        <w:t xml:space="preserve">Funds in place (in its own accounts) for at least 150% of the estimated cost of the </w:t>
      </w:r>
      <w:r>
        <w:t>pr</w:t>
      </w:r>
      <w:r w:rsidRPr="00833ED6">
        <w:t>oposed work for the</w:t>
      </w:r>
      <w:r>
        <w:t xml:space="preserve"> </w:t>
      </w:r>
      <w:r w:rsidRPr="00833ED6">
        <w:t>next 12 months</w:t>
      </w:r>
      <w:r>
        <w:t xml:space="preserve"> of the licence term</w:t>
      </w:r>
      <w:r w:rsidR="00BA1E8D">
        <w:t xml:space="preserve"> until a positive FID is taken</w:t>
      </w:r>
      <w:r>
        <w:t xml:space="preserve">. </w:t>
      </w:r>
    </w:p>
    <w:p w14:paraId="0D90A969" w14:textId="5109C5CF" w:rsidR="00AF37CB" w:rsidRPr="002B2D82" w:rsidRDefault="00AF37CB" w:rsidP="00AF37CB">
      <w:pPr>
        <w:pStyle w:val="ListParagraph"/>
        <w:spacing w:after="0" w:line="240" w:lineRule="auto"/>
        <w:ind w:left="1491" w:right="-85"/>
        <w:contextualSpacing w:val="0"/>
        <w:rPr>
          <w:sz w:val="20"/>
          <w:szCs w:val="20"/>
        </w:rPr>
      </w:pPr>
      <w:r w:rsidRPr="002B2D82">
        <w:rPr>
          <w:b/>
          <w:bCs/>
          <w:sz w:val="20"/>
          <w:szCs w:val="20"/>
        </w:rPr>
        <w:t xml:space="preserve">Note 1: </w:t>
      </w:r>
      <w:r w:rsidRPr="002B2D82">
        <w:rPr>
          <w:sz w:val="20"/>
          <w:szCs w:val="20"/>
        </w:rPr>
        <w:t xml:space="preserve">This may include cash or cash equivalents, </w:t>
      </w:r>
      <w:r w:rsidR="00F812D4" w:rsidRPr="004036A3">
        <w:rPr>
          <w:sz w:val="20"/>
          <w:szCs w:val="20"/>
        </w:rPr>
        <w:t xml:space="preserve">which are </w:t>
      </w:r>
      <w:r w:rsidR="00AC7DCC" w:rsidRPr="002B2D82">
        <w:rPr>
          <w:sz w:val="20"/>
          <w:szCs w:val="20"/>
        </w:rPr>
        <w:t xml:space="preserve">in the </w:t>
      </w:r>
      <w:r w:rsidR="00F812D4" w:rsidRPr="004036A3">
        <w:rPr>
          <w:sz w:val="20"/>
          <w:szCs w:val="20"/>
        </w:rPr>
        <w:t>person’s</w:t>
      </w:r>
      <w:r w:rsidR="00AC7DCC" w:rsidRPr="002B2D82">
        <w:rPr>
          <w:sz w:val="20"/>
          <w:szCs w:val="20"/>
        </w:rPr>
        <w:t xml:space="preserve"> own </w:t>
      </w:r>
      <w:r w:rsidR="00BA1E8D">
        <w:rPr>
          <w:sz w:val="20"/>
          <w:szCs w:val="20"/>
        </w:rPr>
        <w:t>name</w:t>
      </w:r>
      <w:r w:rsidR="00BA1E8D" w:rsidRPr="002B2D82">
        <w:rPr>
          <w:sz w:val="20"/>
          <w:szCs w:val="20"/>
        </w:rPr>
        <w:t xml:space="preserve"> </w:t>
      </w:r>
      <w:r w:rsidR="00AC7DCC" w:rsidRPr="002B2D82">
        <w:rPr>
          <w:sz w:val="20"/>
          <w:szCs w:val="20"/>
        </w:rPr>
        <w:t>upon grant of a licence</w:t>
      </w:r>
      <w:r w:rsidRPr="002B2D82">
        <w:rPr>
          <w:sz w:val="20"/>
          <w:szCs w:val="20"/>
        </w:rPr>
        <w:t>.</w:t>
      </w:r>
    </w:p>
    <w:p w14:paraId="01BFD6F2" w14:textId="7EF66C83" w:rsidR="00AF37CB" w:rsidRDefault="00AF37CB" w:rsidP="00AF37CB">
      <w:pPr>
        <w:pStyle w:val="ListParagraph"/>
        <w:spacing w:after="40" w:line="240" w:lineRule="auto"/>
        <w:ind w:left="1491"/>
        <w:contextualSpacing w:val="0"/>
        <w:rPr>
          <w:sz w:val="20"/>
          <w:szCs w:val="20"/>
        </w:rPr>
      </w:pPr>
      <w:r w:rsidRPr="002B2D82">
        <w:rPr>
          <w:b/>
          <w:bCs/>
          <w:sz w:val="20"/>
          <w:szCs w:val="20"/>
        </w:rPr>
        <w:t>Note 2:</w:t>
      </w:r>
      <w:r w:rsidRPr="002B2D82">
        <w:rPr>
          <w:sz w:val="20"/>
          <w:szCs w:val="20"/>
        </w:rPr>
        <w:t xml:space="preserve"> A guarantee from another entity that the funds will be </w:t>
      </w:r>
      <w:r w:rsidR="00C71F7B" w:rsidRPr="004036A3">
        <w:rPr>
          <w:sz w:val="20"/>
          <w:szCs w:val="20"/>
        </w:rPr>
        <w:t xml:space="preserve">made </w:t>
      </w:r>
      <w:r w:rsidRPr="002B2D82">
        <w:rPr>
          <w:sz w:val="20"/>
          <w:szCs w:val="20"/>
        </w:rPr>
        <w:t xml:space="preserve">available </w:t>
      </w:r>
      <w:r w:rsidR="00010EFA">
        <w:rPr>
          <w:sz w:val="20"/>
          <w:szCs w:val="20"/>
        </w:rPr>
        <w:t>in the name of the person</w:t>
      </w:r>
      <w:r w:rsidRPr="004036A3">
        <w:rPr>
          <w:sz w:val="20"/>
          <w:szCs w:val="20"/>
        </w:rPr>
        <w:t xml:space="preserve"> </w:t>
      </w:r>
      <w:r w:rsidR="00C71F7B" w:rsidRPr="004036A3">
        <w:rPr>
          <w:sz w:val="20"/>
          <w:szCs w:val="20"/>
        </w:rPr>
        <w:t>conditional only</w:t>
      </w:r>
      <w:r w:rsidRPr="002B2D82">
        <w:rPr>
          <w:sz w:val="20"/>
          <w:szCs w:val="20"/>
        </w:rPr>
        <w:t xml:space="preserve"> upon the grant of a licence may be considered.</w:t>
      </w:r>
    </w:p>
    <w:p w14:paraId="6819E112" w14:textId="002D5C8E" w:rsidR="00010EFA" w:rsidRPr="002B2D82" w:rsidRDefault="00010EFA" w:rsidP="00AF37CB">
      <w:pPr>
        <w:pStyle w:val="ListParagraph"/>
        <w:spacing w:after="40" w:line="240" w:lineRule="auto"/>
        <w:ind w:left="1491"/>
        <w:contextualSpacing w:val="0"/>
        <w:rPr>
          <w:sz w:val="20"/>
          <w:szCs w:val="20"/>
        </w:rPr>
      </w:pPr>
      <w:r>
        <w:rPr>
          <w:b/>
          <w:bCs/>
          <w:sz w:val="20"/>
          <w:szCs w:val="20"/>
        </w:rPr>
        <w:t>Note 3:</w:t>
      </w:r>
      <w:r>
        <w:rPr>
          <w:sz w:val="20"/>
          <w:szCs w:val="20"/>
        </w:rPr>
        <w:t xml:space="preserve"> Proposed work means all the activities required to reach FID and carry out the offshore infrastructure project for the TIL, not just funds for activities that are to be </w:t>
      </w:r>
      <w:r w:rsidR="00823D97">
        <w:rPr>
          <w:sz w:val="20"/>
          <w:szCs w:val="20"/>
        </w:rPr>
        <w:t>carried</w:t>
      </w:r>
      <w:r>
        <w:rPr>
          <w:sz w:val="20"/>
          <w:szCs w:val="20"/>
        </w:rPr>
        <w:t xml:space="preserve"> out within the proposed </w:t>
      </w:r>
      <w:r w:rsidR="006F1E78">
        <w:rPr>
          <w:sz w:val="20"/>
          <w:szCs w:val="20"/>
        </w:rPr>
        <w:t xml:space="preserve">TIL </w:t>
      </w:r>
      <w:r>
        <w:rPr>
          <w:sz w:val="20"/>
          <w:szCs w:val="20"/>
        </w:rPr>
        <w:t xml:space="preserve">licence area. </w:t>
      </w:r>
    </w:p>
    <w:p w14:paraId="37A5C56D" w14:textId="2893E4EE" w:rsidR="00AF37CB" w:rsidRDefault="00AF37CB" w:rsidP="00AF37CB">
      <w:pPr>
        <w:pStyle w:val="ListParagraph"/>
        <w:numPr>
          <w:ilvl w:val="2"/>
          <w:numId w:val="3"/>
        </w:numPr>
        <w:spacing w:after="40" w:line="240" w:lineRule="auto"/>
        <w:ind w:left="1491" w:hanging="357"/>
        <w:contextualSpacing w:val="0"/>
      </w:pPr>
      <w:r w:rsidRPr="00833ED6">
        <w:t>A detailed funding plan for</w:t>
      </w:r>
      <w:r>
        <w:t xml:space="preserve"> how to arrange the financial resources to carry out the offshore infrastructure project</w:t>
      </w:r>
      <w:r w:rsidRPr="00833ED6">
        <w:t xml:space="preserve"> showing all funding requirements </w:t>
      </w:r>
      <w:r>
        <w:t xml:space="preserve">are </w:t>
      </w:r>
      <w:r w:rsidR="009C2D25">
        <w:t xml:space="preserve">likely </w:t>
      </w:r>
      <w:r>
        <w:t xml:space="preserve">to be </w:t>
      </w:r>
      <w:r w:rsidRPr="00833ED6">
        <w:t>met</w:t>
      </w:r>
      <w:r w:rsidR="00716525">
        <w:t xml:space="preserve"> for each phase of the project life cycle</w:t>
      </w:r>
      <w:r>
        <w:t>.</w:t>
      </w:r>
    </w:p>
    <w:p w14:paraId="6D93B353" w14:textId="77777777" w:rsidR="00AF37CB" w:rsidRDefault="00AF37CB" w:rsidP="00AF37CB">
      <w:pPr>
        <w:pStyle w:val="ListParagraph"/>
        <w:numPr>
          <w:ilvl w:val="0"/>
          <w:numId w:val="5"/>
        </w:numPr>
        <w:spacing w:after="80" w:line="240" w:lineRule="auto"/>
        <w:ind w:left="924" w:hanging="357"/>
        <w:contextualSpacing w:val="0"/>
      </w:pPr>
      <w:r>
        <w:t>The person’s ability to carry out the operations and works that will be authorised by the licence.</w:t>
      </w:r>
    </w:p>
    <w:p w14:paraId="565367FE" w14:textId="77777777" w:rsidR="00AF37CB" w:rsidRDefault="00AF37CB" w:rsidP="00AF37CB">
      <w:pPr>
        <w:pStyle w:val="ListParagraph"/>
        <w:numPr>
          <w:ilvl w:val="1"/>
          <w:numId w:val="14"/>
        </w:numPr>
        <w:spacing w:after="80" w:line="240" w:lineRule="auto"/>
        <w:ind w:left="1208" w:hanging="357"/>
        <w:contextualSpacing w:val="0"/>
      </w:pPr>
      <w:r>
        <w:t xml:space="preserve">This will be an assessment of whether the technical advice and the financial resources that are available to the person are suitable for the person to carry out the operations and works that will be authorised by the licence.   </w:t>
      </w:r>
    </w:p>
    <w:p w14:paraId="58C96A64" w14:textId="75184C40" w:rsidR="00AF37CB" w:rsidRDefault="00AF37CB" w:rsidP="00AF37CB">
      <w:pPr>
        <w:pStyle w:val="ListParagraph"/>
        <w:numPr>
          <w:ilvl w:val="1"/>
          <w:numId w:val="14"/>
        </w:numPr>
        <w:spacing w:after="80" w:line="240" w:lineRule="auto"/>
        <w:ind w:left="1208" w:hanging="357"/>
        <w:contextualSpacing w:val="0"/>
      </w:pPr>
      <w:r w:rsidRPr="00F46D6E">
        <w:t>The assessment will consider the person’s other project interests in Australia and</w:t>
      </w:r>
      <w:r>
        <w:t xml:space="preserve"> </w:t>
      </w:r>
      <w:r w:rsidRPr="00F46D6E">
        <w:t>internationally</w:t>
      </w:r>
      <w:r>
        <w:t xml:space="preserve"> </w:t>
      </w:r>
      <w:r w:rsidRPr="00F46D6E">
        <w:t xml:space="preserve">which may impact upon the person’s ability to deliver the </w:t>
      </w:r>
      <w:r>
        <w:t xml:space="preserve">offshore infrastructure </w:t>
      </w:r>
      <w:r w:rsidRPr="00F46D6E">
        <w:t xml:space="preserve">project within a reasonable time. </w:t>
      </w:r>
    </w:p>
    <w:p w14:paraId="4203667B" w14:textId="77777777" w:rsidR="00AF37CB" w:rsidRDefault="00AF37CB" w:rsidP="00AF37CB">
      <w:pPr>
        <w:pStyle w:val="ListParagraph"/>
        <w:numPr>
          <w:ilvl w:val="0"/>
          <w:numId w:val="5"/>
        </w:numPr>
        <w:spacing w:after="80" w:line="240" w:lineRule="auto"/>
        <w:ind w:left="924" w:hanging="357"/>
        <w:contextualSpacing w:val="0"/>
      </w:pPr>
      <w:r>
        <w:t>The person’s ability to discharge the obligations in relation to the licence that will be imposed by the Act, the OEI Regulations or any other instrument made under the Act.</w:t>
      </w:r>
    </w:p>
    <w:p w14:paraId="177F4298" w14:textId="564F58D1" w:rsidR="00AF37CB" w:rsidRDefault="00AF37CB" w:rsidP="00AF37CB">
      <w:pPr>
        <w:pStyle w:val="ListParagraph"/>
        <w:numPr>
          <w:ilvl w:val="1"/>
          <w:numId w:val="15"/>
        </w:numPr>
        <w:spacing w:after="60" w:line="240" w:lineRule="auto"/>
        <w:ind w:left="1208" w:hanging="357"/>
        <w:contextualSpacing w:val="0"/>
      </w:pPr>
      <w:r>
        <w:t xml:space="preserve">This will be an assessment of whether the technical advice and the financial resources that are available to the person are sufficient to enable the person to meet all compliance obligations in relation to the licence, including but not limited to, directions issued under the OEI Act or OEI Regulations, </w:t>
      </w:r>
      <w:r w:rsidR="00075FF4" w:rsidRPr="004036A3">
        <w:t xml:space="preserve">reporting, </w:t>
      </w:r>
      <w:r>
        <w:t>fees and annual licence levies</w:t>
      </w:r>
      <w:r w:rsidR="008A4B8C" w:rsidRPr="004036A3">
        <w:t>,</w:t>
      </w:r>
      <w:r>
        <w:t xml:space="preserve"> and financial security obligations. </w:t>
      </w:r>
    </w:p>
    <w:p w14:paraId="082A86C2" w14:textId="3D0F2EB4" w:rsidR="00AF37CB" w:rsidRDefault="00AF37CB" w:rsidP="00AF37CB">
      <w:pPr>
        <w:pStyle w:val="ListParagraph"/>
        <w:numPr>
          <w:ilvl w:val="1"/>
          <w:numId w:val="15"/>
        </w:numPr>
        <w:spacing w:after="80" w:line="240" w:lineRule="auto"/>
        <w:ind w:left="1208" w:hanging="357"/>
        <w:contextualSpacing w:val="0"/>
      </w:pPr>
      <w:r>
        <w:t>A</w:t>
      </w:r>
      <w:r w:rsidR="006F0162">
        <w:t xml:space="preserve">t a minimum, a </w:t>
      </w:r>
      <w:r>
        <w:t xml:space="preserve">person </w:t>
      </w:r>
      <w:r w:rsidR="008F36DE">
        <w:t>should</w:t>
      </w:r>
      <w:r>
        <w:t xml:space="preserve"> have experienced project team members with designated responsibility for licence compliance</w:t>
      </w:r>
      <w:r w:rsidR="008A4B8C" w:rsidRPr="004036A3">
        <w:t xml:space="preserve"> with the OEI Act</w:t>
      </w:r>
      <w:r>
        <w:t xml:space="preserve">, risk management and audit and assurance. </w:t>
      </w:r>
    </w:p>
    <w:p w14:paraId="4A6B43AB" w14:textId="17736E04" w:rsidR="00AF37CB" w:rsidRPr="00D9516F" w:rsidRDefault="00AF37CB" w:rsidP="00FF4855">
      <w:pPr>
        <w:pStyle w:val="ListParagraph"/>
        <w:numPr>
          <w:ilvl w:val="0"/>
          <w:numId w:val="5"/>
        </w:numPr>
        <w:spacing w:after="80" w:line="240" w:lineRule="auto"/>
        <w:ind w:left="924" w:hanging="357"/>
        <w:contextualSpacing w:val="0"/>
      </w:pPr>
      <w:r>
        <w:t>Any other matters the Minister considers relevant.</w:t>
      </w:r>
    </w:p>
    <w:p w14:paraId="72694647" w14:textId="75BE58D2" w:rsidR="00AF37CB" w:rsidRPr="00144983" w:rsidRDefault="00AF37CB" w:rsidP="00AF37CB">
      <w:pPr>
        <w:spacing w:before="120" w:after="120" w:line="240" w:lineRule="auto"/>
        <w:rPr>
          <w:color w:val="4472C4" w:themeColor="accent1"/>
        </w:rPr>
      </w:pPr>
      <w:r w:rsidRPr="00144983">
        <w:rPr>
          <w:color w:val="4472C4" w:themeColor="accent1"/>
        </w:rPr>
        <w:t xml:space="preserve">Project </w:t>
      </w:r>
      <w:r w:rsidR="00F20928">
        <w:rPr>
          <w:color w:val="4472C4" w:themeColor="accent1"/>
        </w:rPr>
        <w:t xml:space="preserve">is Likely to be </w:t>
      </w:r>
      <w:r w:rsidRPr="00144983">
        <w:rPr>
          <w:color w:val="4472C4" w:themeColor="accent1"/>
        </w:rPr>
        <w:t>Viab</w:t>
      </w:r>
      <w:r w:rsidR="00F20928">
        <w:rPr>
          <w:color w:val="4472C4" w:themeColor="accent1"/>
        </w:rPr>
        <w:t>le</w:t>
      </w:r>
      <w:r w:rsidRPr="00014410">
        <w:rPr>
          <w:color w:val="4472C4" w:themeColor="accent1"/>
        </w:rPr>
        <w:t xml:space="preserve"> </w:t>
      </w:r>
      <w:r>
        <w:rPr>
          <w:color w:val="4472C4" w:themeColor="accent1"/>
        </w:rPr>
        <w:t>(</w:t>
      </w:r>
      <w:r w:rsidR="006F2D91" w:rsidRPr="004036A3">
        <w:rPr>
          <w:color w:val="4472C4" w:themeColor="accent1"/>
        </w:rPr>
        <w:t>paragraph</w:t>
      </w:r>
      <w:r>
        <w:rPr>
          <w:color w:val="4472C4" w:themeColor="accent1"/>
        </w:rPr>
        <w:t xml:space="preserve"> 62(1)(b) OEI Act and </w:t>
      </w:r>
      <w:r w:rsidR="00AB0E30">
        <w:rPr>
          <w:color w:val="4472C4" w:themeColor="accent1"/>
        </w:rPr>
        <w:t>sub</w:t>
      </w:r>
      <w:r>
        <w:rPr>
          <w:color w:val="4472C4" w:themeColor="accent1"/>
        </w:rPr>
        <w:t>section 26(2) OEI Regulations)</w:t>
      </w:r>
    </w:p>
    <w:p w14:paraId="4BBA13F1" w14:textId="77777777" w:rsidR="00AF37CB" w:rsidRDefault="00AF37CB" w:rsidP="00AF37CB">
      <w:pPr>
        <w:pStyle w:val="ListParagraph"/>
        <w:numPr>
          <w:ilvl w:val="2"/>
          <w:numId w:val="1"/>
        </w:numPr>
        <w:spacing w:after="80" w:line="240" w:lineRule="auto"/>
        <w:ind w:left="709"/>
        <w:contextualSpacing w:val="0"/>
      </w:pPr>
      <w:r w:rsidRPr="00ED2BEC">
        <w:t xml:space="preserve">The </w:t>
      </w:r>
      <w:r>
        <w:t xml:space="preserve">Minister must be satisfied that </w:t>
      </w:r>
      <w:r w:rsidRPr="00E80CA1">
        <w:t xml:space="preserve">the offshore infrastructure project </w:t>
      </w:r>
      <w:r>
        <w:t>is likely to be viable. The merit-based assessment may consider one or more of the following:</w:t>
      </w:r>
    </w:p>
    <w:p w14:paraId="3C9BF206" w14:textId="77777777" w:rsidR="00AF37CB" w:rsidRDefault="00AF37CB" w:rsidP="00AF37CB">
      <w:pPr>
        <w:pStyle w:val="ListParagraph"/>
        <w:numPr>
          <w:ilvl w:val="0"/>
          <w:numId w:val="6"/>
        </w:numPr>
        <w:spacing w:after="80" w:line="240" w:lineRule="auto"/>
        <w:ind w:left="924" w:hanging="357"/>
        <w:contextualSpacing w:val="0"/>
      </w:pPr>
      <w:r>
        <w:t xml:space="preserve">The complexity of the project. </w:t>
      </w:r>
    </w:p>
    <w:p w14:paraId="45A0921E" w14:textId="5750977A" w:rsidR="00AF37CB" w:rsidRDefault="00AF37CB" w:rsidP="00AF37CB">
      <w:pPr>
        <w:pStyle w:val="ListParagraph"/>
        <w:numPr>
          <w:ilvl w:val="1"/>
          <w:numId w:val="16"/>
        </w:numPr>
        <w:spacing w:after="60" w:line="240" w:lineRule="auto"/>
        <w:ind w:left="1208" w:hanging="357"/>
        <w:contextualSpacing w:val="0"/>
      </w:pPr>
      <w:r>
        <w:t xml:space="preserve">This will be an assessment of the likely viability of taking a positive FID on the offshore infrastructure project </w:t>
      </w:r>
      <w:r w:rsidR="007B1D40">
        <w:t xml:space="preserve">for the TIL </w:t>
      </w:r>
      <w:r>
        <w:t xml:space="preserve">and delivering the project in a timely manner. </w:t>
      </w:r>
    </w:p>
    <w:p w14:paraId="3C125CBE" w14:textId="77777777" w:rsidR="00AF37CB" w:rsidRDefault="00AF37CB" w:rsidP="00AF37CB">
      <w:pPr>
        <w:pStyle w:val="ListParagraph"/>
        <w:numPr>
          <w:ilvl w:val="1"/>
          <w:numId w:val="16"/>
        </w:numPr>
        <w:spacing w:after="40" w:line="240" w:lineRule="auto"/>
        <w:ind w:left="1208" w:hanging="357"/>
        <w:contextualSpacing w:val="0"/>
      </w:pPr>
      <w:r>
        <w:t>The assessment will consider key risks and potential mitigation strategies in relation to the offshore infrastructure project including:</w:t>
      </w:r>
    </w:p>
    <w:p w14:paraId="277CC8AE" w14:textId="1682D034" w:rsidR="00AF37CB" w:rsidRDefault="00AF37CB" w:rsidP="00AF37CB">
      <w:pPr>
        <w:pStyle w:val="ListParagraph"/>
        <w:numPr>
          <w:ilvl w:val="2"/>
          <w:numId w:val="3"/>
        </w:numPr>
        <w:spacing w:after="40" w:line="240" w:lineRule="auto"/>
        <w:ind w:left="1491" w:hanging="357"/>
        <w:contextualSpacing w:val="0"/>
      </w:pPr>
      <w:r>
        <w:t xml:space="preserve">Site-specific considerations. </w:t>
      </w:r>
    </w:p>
    <w:p w14:paraId="337A0BE5" w14:textId="0DFD4019" w:rsidR="007B1D40" w:rsidRDefault="007B1D40" w:rsidP="00AF37CB">
      <w:pPr>
        <w:pStyle w:val="ListParagraph"/>
        <w:numPr>
          <w:ilvl w:val="2"/>
          <w:numId w:val="3"/>
        </w:numPr>
        <w:spacing w:after="40" w:line="240" w:lineRule="auto"/>
        <w:ind w:left="1491" w:hanging="357"/>
        <w:contextualSpacing w:val="0"/>
      </w:pPr>
      <w:r>
        <w:lastRenderedPageBreak/>
        <w:t>Source of electricity considerations including</w:t>
      </w:r>
      <w:r w:rsidR="00057549">
        <w:t xml:space="preserve"> the source project,</w:t>
      </w:r>
      <w:r>
        <w:t xml:space="preserve"> interlinkages</w:t>
      </w:r>
      <w:r w:rsidR="00085EBC">
        <w:t xml:space="preserve">, </w:t>
      </w:r>
      <w:proofErr w:type="gramStart"/>
      <w:r>
        <w:t>risks</w:t>
      </w:r>
      <w:r w:rsidR="008F36DE">
        <w:t xml:space="preserve">, </w:t>
      </w:r>
      <w:r w:rsidR="00085EBC">
        <w:t xml:space="preserve"> and</w:t>
      </w:r>
      <w:proofErr w:type="gramEnd"/>
      <w:r w:rsidR="00085EBC">
        <w:t xml:space="preserve"> </w:t>
      </w:r>
      <w:r>
        <w:t>timing.</w:t>
      </w:r>
    </w:p>
    <w:p w14:paraId="792B8503" w14:textId="77777777" w:rsidR="00AF37CB" w:rsidRDefault="00AF37CB" w:rsidP="00AF37CB">
      <w:pPr>
        <w:pStyle w:val="ListParagraph"/>
        <w:numPr>
          <w:ilvl w:val="2"/>
          <w:numId w:val="3"/>
        </w:numPr>
        <w:spacing w:after="40" w:line="240" w:lineRule="auto"/>
        <w:ind w:left="1491" w:hanging="357"/>
        <w:contextualSpacing w:val="0"/>
      </w:pPr>
      <w:r>
        <w:t xml:space="preserve">Project capacity considerations. </w:t>
      </w:r>
    </w:p>
    <w:p w14:paraId="159AC113" w14:textId="77777777" w:rsidR="00AF37CB" w:rsidRDefault="00AF37CB" w:rsidP="00AF37CB">
      <w:pPr>
        <w:pStyle w:val="ListParagraph"/>
        <w:numPr>
          <w:ilvl w:val="2"/>
          <w:numId w:val="3"/>
        </w:numPr>
        <w:spacing w:after="40" w:line="240" w:lineRule="auto"/>
        <w:ind w:left="1491" w:hanging="357"/>
        <w:contextualSpacing w:val="0"/>
      </w:pPr>
      <w:r>
        <w:t xml:space="preserve">Technology and infrastructure considerations such as engineering requirements, potential infrastructure options, required technological advances and installation requirements. </w:t>
      </w:r>
    </w:p>
    <w:p w14:paraId="6CEDA87A" w14:textId="77777777" w:rsidR="00AF37CB" w:rsidRDefault="00AF37CB" w:rsidP="00AF37CB">
      <w:pPr>
        <w:pStyle w:val="ListParagraph"/>
        <w:numPr>
          <w:ilvl w:val="2"/>
          <w:numId w:val="3"/>
        </w:numPr>
        <w:spacing w:after="40" w:line="240" w:lineRule="auto"/>
        <w:ind w:left="1491" w:hanging="357"/>
        <w:contextualSpacing w:val="0"/>
      </w:pPr>
      <w:r>
        <w:t>Supply chain assumptions</w:t>
      </w:r>
      <w:r w:rsidRPr="00C32EE4">
        <w:t xml:space="preserve"> </w:t>
      </w:r>
      <w:r>
        <w:t>such as estimated support services for the proposed project during construction, installation and operation including capability and accessibility and the likely source of support services (global and local).</w:t>
      </w:r>
    </w:p>
    <w:p w14:paraId="74654176" w14:textId="1CE4C473" w:rsidR="00AF37CB" w:rsidRDefault="006A3378" w:rsidP="00AF37CB">
      <w:pPr>
        <w:pStyle w:val="ListParagraph"/>
        <w:numPr>
          <w:ilvl w:val="1"/>
          <w:numId w:val="16"/>
        </w:numPr>
        <w:spacing w:after="80" w:line="240" w:lineRule="auto"/>
        <w:ind w:left="1208" w:hanging="357"/>
        <w:contextualSpacing w:val="0"/>
      </w:pPr>
      <w:r>
        <w:t xml:space="preserve">At a minimum, the person must </w:t>
      </w:r>
      <w:r w:rsidR="00AF080C">
        <w:t>provide</w:t>
      </w:r>
      <w:r w:rsidR="00AF37CB">
        <w:t xml:space="preserve"> a comprehensive project development plan and risk assessment identifying how the offshore infrastructure project </w:t>
      </w:r>
      <w:r w:rsidR="00454372">
        <w:t xml:space="preserve">for the TIL </w:t>
      </w:r>
      <w:r w:rsidR="00AF37CB">
        <w:t xml:space="preserve">will be delivered </w:t>
      </w:r>
      <w:r w:rsidR="00BF47EC">
        <w:t>in</w:t>
      </w:r>
      <w:r w:rsidR="00AF37CB">
        <w:t xml:space="preserve"> a </w:t>
      </w:r>
      <w:r w:rsidR="00BF47EC">
        <w:t>timely manner</w:t>
      </w:r>
      <w:r w:rsidR="00CD4F9C">
        <w:t xml:space="preserve">, </w:t>
      </w:r>
      <w:r>
        <w:t>providing specific details relevant to each phase of the project life cycle</w:t>
      </w:r>
      <w:r w:rsidR="00CD4F9C">
        <w:t xml:space="preserve">. </w:t>
      </w:r>
      <w:r w:rsidR="00AF37CB">
        <w:t xml:space="preserve"> </w:t>
      </w:r>
    </w:p>
    <w:p w14:paraId="6B8D307E" w14:textId="2B3F4337" w:rsidR="00AF37CB" w:rsidRPr="002E2EF1" w:rsidRDefault="00BF47EC" w:rsidP="00AF37CB">
      <w:pPr>
        <w:pStyle w:val="ListParagraph"/>
        <w:numPr>
          <w:ilvl w:val="1"/>
          <w:numId w:val="16"/>
        </w:numPr>
        <w:spacing w:after="80" w:line="240" w:lineRule="auto"/>
        <w:ind w:left="1208" w:hanging="357"/>
        <w:contextualSpacing w:val="0"/>
      </w:pPr>
      <w:r>
        <w:t>A</w:t>
      </w:r>
      <w:r w:rsidR="00AF080C">
        <w:t xml:space="preserve"> person</w:t>
      </w:r>
      <w:r>
        <w:t xml:space="preserve"> should</w:t>
      </w:r>
      <w:r w:rsidR="00AF080C">
        <w:t xml:space="preserve"> identif</w:t>
      </w:r>
      <w:r>
        <w:t xml:space="preserve">y </w:t>
      </w:r>
      <w:r w:rsidR="00AF37CB">
        <w:t>the specific complexities relevant to the proposed licence area</w:t>
      </w:r>
      <w:r w:rsidR="00AF080C">
        <w:t xml:space="preserve">, </w:t>
      </w:r>
      <w:r w:rsidR="00AF37CB">
        <w:t xml:space="preserve">rather than </w:t>
      </w:r>
      <w:r w:rsidR="00AF080C">
        <w:t xml:space="preserve">providing </w:t>
      </w:r>
      <w:r w:rsidR="00AF37CB">
        <w:t xml:space="preserve">a general discussion of common project complexities. </w:t>
      </w:r>
    </w:p>
    <w:p w14:paraId="5366B471" w14:textId="6454C39B" w:rsidR="00465637" w:rsidRDefault="00565D7E" w:rsidP="00AF37CB">
      <w:pPr>
        <w:pStyle w:val="ListParagraph"/>
        <w:numPr>
          <w:ilvl w:val="1"/>
          <w:numId w:val="16"/>
        </w:numPr>
        <w:spacing w:after="60" w:line="240" w:lineRule="auto"/>
        <w:ind w:left="1208" w:hanging="357"/>
        <w:contextualSpacing w:val="0"/>
      </w:pPr>
      <w:r>
        <w:t>T</w:t>
      </w:r>
      <w:r w:rsidR="00AF37CB" w:rsidRPr="002E2EF1">
        <w:t xml:space="preserve">he </w:t>
      </w:r>
      <w:r w:rsidR="00AF37CB">
        <w:t>assessment will consider the status, timing</w:t>
      </w:r>
      <w:r w:rsidR="00454372">
        <w:t>, risks</w:t>
      </w:r>
      <w:r w:rsidR="00AF37CB">
        <w:t xml:space="preserve"> and likely viability of the </w:t>
      </w:r>
      <w:r>
        <w:t xml:space="preserve">source project which will supply electricity to be transmitted by the TIL. </w:t>
      </w:r>
      <w:r w:rsidR="00AF37CB" w:rsidRPr="002E2EF1">
        <w:t xml:space="preserve"> </w:t>
      </w:r>
    </w:p>
    <w:p w14:paraId="59699456" w14:textId="01FE001E" w:rsidR="00565D7E" w:rsidRDefault="00565D7E" w:rsidP="00F93B27">
      <w:pPr>
        <w:pStyle w:val="ListParagraph"/>
        <w:numPr>
          <w:ilvl w:val="0"/>
          <w:numId w:val="31"/>
        </w:numPr>
        <w:spacing w:after="60" w:line="240" w:lineRule="auto"/>
        <w:contextualSpacing w:val="0"/>
      </w:pPr>
      <w:r>
        <w:t xml:space="preserve">Where there </w:t>
      </w:r>
      <w:r w:rsidR="00896D75">
        <w:t>are</w:t>
      </w:r>
      <w:r>
        <w:t xml:space="preserve"> different ownership/equity interests between the source project and the TIL, evidence of </w:t>
      </w:r>
      <w:r w:rsidR="00896D75">
        <w:t>agreement</w:t>
      </w:r>
      <w:r>
        <w:t xml:space="preserve">s for supply of the </w:t>
      </w:r>
      <w:r w:rsidR="00896D75">
        <w:t xml:space="preserve">source </w:t>
      </w:r>
      <w:r>
        <w:t xml:space="preserve">electricity </w:t>
      </w:r>
      <w:r w:rsidR="00896D75">
        <w:t xml:space="preserve">to the </w:t>
      </w:r>
      <w:r w:rsidR="00E24336">
        <w:br/>
      </w:r>
      <w:r w:rsidR="00896D75">
        <w:t xml:space="preserve">TIL project </w:t>
      </w:r>
      <w:r>
        <w:t xml:space="preserve">should be provided. </w:t>
      </w:r>
    </w:p>
    <w:p w14:paraId="2F273931" w14:textId="77777777" w:rsidR="00AF37CB" w:rsidRDefault="00AF37CB" w:rsidP="00AF37CB">
      <w:pPr>
        <w:pStyle w:val="ListParagraph"/>
        <w:numPr>
          <w:ilvl w:val="0"/>
          <w:numId w:val="6"/>
        </w:numPr>
        <w:spacing w:after="80" w:line="240" w:lineRule="auto"/>
        <w:ind w:left="924" w:hanging="357"/>
        <w:contextualSpacing w:val="0"/>
      </w:pPr>
      <w:r>
        <w:t>The potential route-to-market for the project.</w:t>
      </w:r>
    </w:p>
    <w:p w14:paraId="0EC9C719" w14:textId="34888583" w:rsidR="00AF37CB" w:rsidRDefault="00AF37CB" w:rsidP="00AF37CB">
      <w:pPr>
        <w:pStyle w:val="ListParagraph"/>
        <w:numPr>
          <w:ilvl w:val="1"/>
          <w:numId w:val="17"/>
        </w:numPr>
        <w:spacing w:after="80" w:line="240" w:lineRule="auto"/>
        <w:ind w:left="1208" w:hanging="357"/>
        <w:contextualSpacing w:val="0"/>
      </w:pPr>
      <w:r>
        <w:t xml:space="preserve">This will be an assessment of the person’s identified end user for the electricity to be transmitted under the TIL and the likelihood that the option </w:t>
      </w:r>
      <w:r w:rsidR="000F3EB5">
        <w:t>will be</w:t>
      </w:r>
      <w:r>
        <w:t xml:space="preserve"> viable to support a positive FID on the offshore infrastructure project</w:t>
      </w:r>
      <w:r w:rsidR="00BF47EC">
        <w:t xml:space="preserve"> and delivery in a timely manner</w:t>
      </w:r>
      <w:r>
        <w:t xml:space="preserve">. </w:t>
      </w:r>
    </w:p>
    <w:p w14:paraId="7476C77B" w14:textId="60B6DDEB" w:rsidR="00454372" w:rsidRDefault="00454372" w:rsidP="00AF37CB">
      <w:pPr>
        <w:pStyle w:val="ListParagraph"/>
        <w:numPr>
          <w:ilvl w:val="1"/>
          <w:numId w:val="17"/>
        </w:numPr>
        <w:spacing w:after="80" w:line="240" w:lineRule="auto"/>
        <w:ind w:left="1208" w:hanging="357"/>
        <w:contextualSpacing w:val="0"/>
      </w:pPr>
      <w:r>
        <w:t xml:space="preserve">Where the TIL </w:t>
      </w:r>
      <w:r w:rsidRPr="002E2EF1">
        <w:t xml:space="preserve">intends to transmit electricity generated from a proposed commercial </w:t>
      </w:r>
      <w:r>
        <w:t xml:space="preserve">offshore infrastructure </w:t>
      </w:r>
      <w:r w:rsidRPr="002E2EF1">
        <w:t>project</w:t>
      </w:r>
      <w:r>
        <w:t xml:space="preserve"> in Commonwealth waters, th</w:t>
      </w:r>
      <w:r w:rsidR="006D0CDE">
        <w:t>ere should be clear links and consistencies</w:t>
      </w:r>
      <w:r w:rsidR="004536DF">
        <w:t xml:space="preserve"> between the projects</w:t>
      </w:r>
      <w:r w:rsidR="006D0CDE">
        <w:t xml:space="preserve">. </w:t>
      </w:r>
    </w:p>
    <w:p w14:paraId="6DE7C9B2" w14:textId="77777777" w:rsidR="00AF37CB" w:rsidRDefault="00AF37CB" w:rsidP="00AF37CB">
      <w:pPr>
        <w:pStyle w:val="ListParagraph"/>
        <w:numPr>
          <w:ilvl w:val="0"/>
          <w:numId w:val="6"/>
        </w:numPr>
        <w:spacing w:after="80" w:line="240" w:lineRule="auto"/>
        <w:ind w:left="924" w:hanging="357"/>
        <w:contextualSpacing w:val="0"/>
      </w:pPr>
      <w:r>
        <w:t xml:space="preserve">The estimated commercial return to the licence holder. </w:t>
      </w:r>
    </w:p>
    <w:p w14:paraId="703193AB" w14:textId="111EA984" w:rsidR="00AF37CB" w:rsidRDefault="00AF37CB" w:rsidP="00AF37CB">
      <w:pPr>
        <w:pStyle w:val="ListParagraph"/>
        <w:numPr>
          <w:ilvl w:val="1"/>
          <w:numId w:val="2"/>
        </w:numPr>
        <w:spacing w:after="60" w:line="240" w:lineRule="auto"/>
        <w:ind w:left="1208" w:hanging="357"/>
        <w:contextualSpacing w:val="0"/>
      </w:pPr>
      <w:r>
        <w:t xml:space="preserve">This will be an assessment of the likelihood of the offshore infrastructure project </w:t>
      </w:r>
      <w:r w:rsidR="007B1D40">
        <w:t xml:space="preserve">for the TIL </w:t>
      </w:r>
      <w:r>
        <w:t xml:space="preserve">meeting the person’s commercial conditions </w:t>
      </w:r>
      <w:r w:rsidR="00205447">
        <w:t>to deliver the project</w:t>
      </w:r>
      <w:r>
        <w:t xml:space="preserve">. As commercial conditions are specific to each person and may differ between entities in the person’s corporate structure, there are no standard conditions or threshold values for this assessment. </w:t>
      </w:r>
    </w:p>
    <w:p w14:paraId="38FAF770" w14:textId="506E27D1" w:rsidR="00AF37CB" w:rsidRDefault="00AF37CB" w:rsidP="00AF37CB">
      <w:pPr>
        <w:pStyle w:val="ListParagraph"/>
        <w:numPr>
          <w:ilvl w:val="1"/>
          <w:numId w:val="2"/>
        </w:numPr>
        <w:spacing w:after="60" w:line="240" w:lineRule="auto"/>
        <w:ind w:left="1208" w:hanging="357"/>
        <w:contextualSpacing w:val="0"/>
      </w:pPr>
      <w:r>
        <w:t>The assessment</w:t>
      </w:r>
      <w:r w:rsidRPr="00050C16">
        <w:t xml:space="preserve"> will consider commercial </w:t>
      </w:r>
      <w:r w:rsidR="00722414" w:rsidRPr="004036A3">
        <w:t>agreements and milestones</w:t>
      </w:r>
      <w:r w:rsidRPr="00050C16">
        <w:t xml:space="preserve"> that need to be addressed to</w:t>
      </w:r>
      <w:r>
        <w:t xml:space="preserve"> </w:t>
      </w:r>
      <w:r w:rsidR="00D6157D">
        <w:t>deliver</w:t>
      </w:r>
      <w:r>
        <w:t xml:space="preserve"> </w:t>
      </w:r>
      <w:r w:rsidRPr="00050C16">
        <w:t xml:space="preserve">the </w:t>
      </w:r>
      <w:r>
        <w:t xml:space="preserve">offshore infrastructure </w:t>
      </w:r>
      <w:r w:rsidRPr="00D6157D">
        <w:t>project</w:t>
      </w:r>
      <w:r w:rsidR="00205447">
        <w:t xml:space="preserve"> for the TIL</w:t>
      </w:r>
      <w:r w:rsidRPr="00D6157D">
        <w:t>.</w:t>
      </w:r>
      <w:r w:rsidRPr="00050C16">
        <w:t xml:space="preserve"> </w:t>
      </w:r>
    </w:p>
    <w:p w14:paraId="0EF36852" w14:textId="77777777" w:rsidR="00AF37CB" w:rsidRDefault="00AF37CB" w:rsidP="00AF37CB">
      <w:pPr>
        <w:pStyle w:val="ListParagraph"/>
        <w:numPr>
          <w:ilvl w:val="1"/>
          <w:numId w:val="2"/>
        </w:numPr>
        <w:spacing w:after="40" w:line="240" w:lineRule="auto"/>
        <w:ind w:left="1208" w:hanging="357"/>
        <w:contextualSpacing w:val="0"/>
      </w:pPr>
      <w:r>
        <w:t>The assessment will consider the reasonableness of proposed financing methods, project construction schedules, commercial and economic assumptions, cost and price estimates,</w:t>
      </w:r>
      <w:r w:rsidRPr="008D53C0">
        <w:t xml:space="preserve"> </w:t>
      </w:r>
      <w:r>
        <w:t xml:space="preserve">annual energy </w:t>
      </w:r>
      <w:r w:rsidRPr="00BF0D79">
        <w:t xml:space="preserve">production </w:t>
      </w:r>
      <w:r>
        <w:t>forecasts, and before and after tax cashflows. Base, low and high case scenarios will be assessed; project economics are understood to be preliminary at this stage.</w:t>
      </w:r>
      <w:r w:rsidRPr="0071549D">
        <w:t xml:space="preserve"> </w:t>
      </w:r>
      <w:r>
        <w:t>Cost and price estimates will be benchmarked with reference to industry standards.</w:t>
      </w:r>
    </w:p>
    <w:p w14:paraId="2AF5C318" w14:textId="77777777" w:rsidR="00AF37CB" w:rsidRDefault="00AF37CB" w:rsidP="00AF37CB">
      <w:pPr>
        <w:pStyle w:val="ListParagraph"/>
        <w:numPr>
          <w:ilvl w:val="1"/>
          <w:numId w:val="2"/>
        </w:numPr>
        <w:spacing w:after="40" w:line="240" w:lineRule="auto"/>
        <w:ind w:left="1208" w:hanging="357"/>
        <w:contextualSpacing w:val="0"/>
      </w:pPr>
      <w:r>
        <w:t xml:space="preserve">Likelihood will be assessed as the potential to resolve commercial barriers and refine uncertainty ranges for significant variables, and the appropriateness of the project development plan. </w:t>
      </w:r>
    </w:p>
    <w:p w14:paraId="42CB8231" w14:textId="3EBCAEEE" w:rsidR="00620E78" w:rsidRPr="002B2D82" w:rsidRDefault="00AF37CB" w:rsidP="0069359D">
      <w:pPr>
        <w:pStyle w:val="ListParagraph"/>
        <w:spacing w:after="60" w:line="240" w:lineRule="auto"/>
        <w:ind w:left="1208"/>
        <w:contextualSpacing w:val="0"/>
        <w:rPr>
          <w:sz w:val="20"/>
          <w:szCs w:val="20"/>
        </w:rPr>
      </w:pPr>
      <w:r w:rsidRPr="002B2D82">
        <w:rPr>
          <w:b/>
          <w:bCs/>
          <w:sz w:val="20"/>
          <w:szCs w:val="20"/>
        </w:rPr>
        <w:t>Note:</w:t>
      </w:r>
      <w:r w:rsidRPr="002B2D82">
        <w:rPr>
          <w:sz w:val="20"/>
          <w:szCs w:val="20"/>
        </w:rPr>
        <w:t xml:space="preserve"> Uncertainty ranges around estimates of key variables are expected to be refined and commercial agreements are expected to progress towards finalisation as work is undertaken during the licence term. The results of the work and updated project economics should be provided in annual licence reports.</w:t>
      </w:r>
    </w:p>
    <w:p w14:paraId="0731A470" w14:textId="77777777" w:rsidR="00AF37CB" w:rsidRDefault="00AF37CB" w:rsidP="00AF37CB">
      <w:pPr>
        <w:pStyle w:val="ListParagraph"/>
        <w:numPr>
          <w:ilvl w:val="0"/>
          <w:numId w:val="6"/>
        </w:numPr>
        <w:spacing w:after="80" w:line="240" w:lineRule="auto"/>
        <w:ind w:left="924" w:hanging="357"/>
        <w:contextualSpacing w:val="0"/>
      </w:pPr>
      <w:r>
        <w:t>Any other matters the Minister considers relevant, which might include:</w:t>
      </w:r>
    </w:p>
    <w:p w14:paraId="167E200D" w14:textId="533395A4" w:rsidR="00AF37CB" w:rsidRDefault="00AF37CB" w:rsidP="00AF37CB">
      <w:pPr>
        <w:pStyle w:val="ListParagraph"/>
        <w:numPr>
          <w:ilvl w:val="1"/>
          <w:numId w:val="18"/>
        </w:numPr>
        <w:spacing w:after="80" w:line="240" w:lineRule="auto"/>
        <w:ind w:left="1208" w:hanging="357"/>
        <w:contextualSpacing w:val="0"/>
      </w:pPr>
      <w:r>
        <w:t xml:space="preserve">Consenting requirements and stakeholder consultation: This will be an assessment of the person’s plans and schedules to obtain all relevant consents, approvals and stakeholder agreements to </w:t>
      </w:r>
      <w:r w:rsidR="007608FE">
        <w:t>deliver</w:t>
      </w:r>
      <w:r>
        <w:t xml:space="preserve"> the offshore infrastructure project</w:t>
      </w:r>
      <w:r w:rsidR="00205447" w:rsidRPr="00205447">
        <w:t xml:space="preserve"> </w:t>
      </w:r>
      <w:r w:rsidR="00205447">
        <w:t>for the TIL</w:t>
      </w:r>
      <w:r>
        <w:t xml:space="preserve">. </w:t>
      </w:r>
    </w:p>
    <w:p w14:paraId="7FA05182" w14:textId="17BA08C6" w:rsidR="00AF37CB" w:rsidRPr="00144983" w:rsidRDefault="00AF37CB" w:rsidP="00AF37CB">
      <w:pPr>
        <w:spacing w:before="120" w:after="120" w:line="240" w:lineRule="auto"/>
        <w:rPr>
          <w:color w:val="4472C4" w:themeColor="accent1"/>
        </w:rPr>
      </w:pPr>
      <w:r w:rsidRPr="00144983">
        <w:rPr>
          <w:color w:val="4472C4" w:themeColor="accent1"/>
        </w:rPr>
        <w:lastRenderedPageBreak/>
        <w:t>Suitable to Hold the Licence</w:t>
      </w:r>
      <w:r>
        <w:rPr>
          <w:color w:val="4472C4" w:themeColor="accent1"/>
        </w:rPr>
        <w:t xml:space="preserve"> (</w:t>
      </w:r>
      <w:r w:rsidR="00103F2B">
        <w:rPr>
          <w:color w:val="4472C4" w:themeColor="accent1"/>
        </w:rPr>
        <w:t>paragraph</w:t>
      </w:r>
      <w:r>
        <w:rPr>
          <w:color w:val="4472C4" w:themeColor="accent1"/>
        </w:rPr>
        <w:t xml:space="preserve"> 62(1)(c) OEI Act and subsection 26(3) OEI Regulations)</w:t>
      </w:r>
    </w:p>
    <w:p w14:paraId="4463F0AC" w14:textId="77777777" w:rsidR="00AF37CB" w:rsidRDefault="00AF37CB" w:rsidP="00AF37CB">
      <w:pPr>
        <w:pStyle w:val="ListParagraph"/>
        <w:numPr>
          <w:ilvl w:val="2"/>
          <w:numId w:val="1"/>
        </w:numPr>
        <w:spacing w:after="80" w:line="240" w:lineRule="auto"/>
        <w:ind w:left="709"/>
        <w:contextualSpacing w:val="0"/>
      </w:pPr>
      <w:r>
        <w:t>The Minister must be satisfied that the eligible person is suitable to hold the licence. The merit-based assessment may consider one or more of the following:</w:t>
      </w:r>
    </w:p>
    <w:p w14:paraId="4914C77B" w14:textId="3E82E331" w:rsidR="00AF37CB" w:rsidRDefault="00AF37CB" w:rsidP="00AF37CB">
      <w:pPr>
        <w:pStyle w:val="ListParagraph"/>
        <w:numPr>
          <w:ilvl w:val="0"/>
          <w:numId w:val="7"/>
        </w:numPr>
        <w:spacing w:after="60" w:line="240" w:lineRule="auto"/>
        <w:ind w:left="924" w:hanging="357"/>
        <w:contextualSpacing w:val="0"/>
      </w:pPr>
      <w:r>
        <w:t>The person’s past performance in offshore infrastructure projects</w:t>
      </w:r>
      <w:r w:rsidR="00CA053B">
        <w:t>,</w:t>
      </w:r>
      <w:r>
        <w:t xml:space="preserve"> </w:t>
      </w:r>
      <w:r w:rsidR="00C357D8">
        <w:t xml:space="preserve">or other large </w:t>
      </w:r>
      <w:r w:rsidR="00CA053B">
        <w:t xml:space="preserve">infrastructure </w:t>
      </w:r>
      <w:r w:rsidR="00C357D8">
        <w:t>projects</w:t>
      </w:r>
      <w:r w:rsidR="00CA053B">
        <w:t>,</w:t>
      </w:r>
      <w:r w:rsidR="00C357D8">
        <w:t xml:space="preserve"> </w:t>
      </w:r>
      <w:r>
        <w:t>in Australia or internationally.</w:t>
      </w:r>
    </w:p>
    <w:p w14:paraId="3D35A116" w14:textId="570721F1" w:rsidR="00AF37CB" w:rsidRDefault="00AF37CB" w:rsidP="00AF37CB">
      <w:pPr>
        <w:pStyle w:val="ListParagraph"/>
        <w:numPr>
          <w:ilvl w:val="0"/>
          <w:numId w:val="25"/>
        </w:numPr>
        <w:spacing w:after="60" w:line="240" w:lineRule="auto"/>
        <w:ind w:left="1208" w:hanging="357"/>
        <w:contextualSpacing w:val="0"/>
      </w:pPr>
      <w:r>
        <w:t>Past performance and conduct of the person (body corporate</w:t>
      </w:r>
      <w:r w:rsidRPr="00E21146">
        <w:t xml:space="preserve"> </w:t>
      </w:r>
      <w:r>
        <w:t xml:space="preserve">and its key officers) refers to compliance matters in similar operating environments in Australia or internationally. </w:t>
      </w:r>
    </w:p>
    <w:p w14:paraId="4D7195F1" w14:textId="77777777" w:rsidR="00AF37CB" w:rsidRDefault="00AF37CB" w:rsidP="00AF37CB">
      <w:pPr>
        <w:pStyle w:val="ListParagraph"/>
        <w:numPr>
          <w:ilvl w:val="0"/>
          <w:numId w:val="25"/>
        </w:numPr>
        <w:spacing w:after="60" w:line="240" w:lineRule="auto"/>
        <w:ind w:left="1208" w:hanging="357"/>
        <w:contextualSpacing w:val="0"/>
      </w:pPr>
      <w:r>
        <w:t xml:space="preserve">The Minister may choose not to not offer a licence to a person if the person’s past performance or conduct indicates a history of non-compliance with relevant legislation or the person has been declared bankrupt, insolvent, had their affairs placed in administration, has been disqualified from managing a company, or has been found guilty of certain offences. </w:t>
      </w:r>
    </w:p>
    <w:p w14:paraId="19922D4C" w14:textId="77777777" w:rsidR="00AF37CB" w:rsidRDefault="00AF37CB" w:rsidP="00AF37CB">
      <w:pPr>
        <w:pStyle w:val="ListParagraph"/>
        <w:numPr>
          <w:ilvl w:val="0"/>
          <w:numId w:val="25"/>
        </w:numPr>
        <w:spacing w:after="60" w:line="240" w:lineRule="auto"/>
        <w:ind w:left="1208" w:hanging="357"/>
        <w:contextualSpacing w:val="0"/>
      </w:pPr>
      <w:r>
        <w:t xml:space="preserve">A disclosure of </w:t>
      </w:r>
      <w:r w:rsidRPr="008A552F">
        <w:t xml:space="preserve">past </w:t>
      </w:r>
      <w:r>
        <w:t>mis</w:t>
      </w:r>
      <w:r w:rsidRPr="008A552F">
        <w:t xml:space="preserve">conduct will not necessarily </w:t>
      </w:r>
      <w:r>
        <w:t>result in an</w:t>
      </w:r>
      <w:r w:rsidRPr="008A552F">
        <w:t xml:space="preserve"> </w:t>
      </w:r>
      <w:r>
        <w:t>assessment</w:t>
      </w:r>
      <w:r w:rsidRPr="008A552F">
        <w:t xml:space="preserve"> that the </w:t>
      </w:r>
      <w:r>
        <w:t xml:space="preserve">eligible person </w:t>
      </w:r>
      <w:r w:rsidRPr="008A552F">
        <w:t xml:space="preserve">is not suitable to hold a licence. The </w:t>
      </w:r>
      <w:r>
        <w:t>assessment</w:t>
      </w:r>
      <w:r w:rsidRPr="008A552F">
        <w:t xml:space="preserve"> will have regard to the disclosures in the context of the application in its entirety to determine what relevance they bear to the suitability of the </w:t>
      </w:r>
      <w:r>
        <w:t>person</w:t>
      </w:r>
      <w:r w:rsidRPr="008A552F">
        <w:t xml:space="preserve"> </w:t>
      </w:r>
      <w:r>
        <w:t>regarding</w:t>
      </w:r>
      <w:r w:rsidRPr="008A552F">
        <w:t xml:space="preserve"> the </w:t>
      </w:r>
      <w:proofErr w:type="gramStart"/>
      <w:r w:rsidRPr="008A552F">
        <w:t xml:space="preserve">particular </w:t>
      </w:r>
      <w:r>
        <w:t>licence</w:t>
      </w:r>
      <w:proofErr w:type="gramEnd"/>
      <w:r w:rsidRPr="008A552F">
        <w:t xml:space="preserve"> for which they have applied.</w:t>
      </w:r>
    </w:p>
    <w:p w14:paraId="17E081EC" w14:textId="77777777" w:rsidR="00AF37CB" w:rsidRDefault="00AF37CB" w:rsidP="00AF37CB">
      <w:pPr>
        <w:pStyle w:val="ListParagraph"/>
        <w:numPr>
          <w:ilvl w:val="0"/>
          <w:numId w:val="25"/>
        </w:numPr>
        <w:spacing w:after="60" w:line="240" w:lineRule="auto"/>
        <w:ind w:left="1208" w:hanging="357"/>
        <w:contextualSpacing w:val="0"/>
      </w:pPr>
      <w:r>
        <w:t>The assessment of the person’s (and any of the entities in its Corporate Structure that it is relying on) past performance will include an assessment of the experience of the person in prior and current offshore infrastructure or large-scale infrastructure projects of a similar size to that proposed in the TIL application.</w:t>
      </w:r>
    </w:p>
    <w:p w14:paraId="1AE4EEE3" w14:textId="3F445F22" w:rsidR="00AF37CB" w:rsidRDefault="00AF37CB" w:rsidP="00AF37CB">
      <w:pPr>
        <w:pStyle w:val="ListParagraph"/>
        <w:numPr>
          <w:ilvl w:val="0"/>
          <w:numId w:val="25"/>
        </w:numPr>
        <w:spacing w:after="60" w:line="240" w:lineRule="auto"/>
        <w:ind w:left="1208" w:hanging="357"/>
        <w:contextualSpacing w:val="0"/>
      </w:pPr>
      <w:r>
        <w:t>The assessment may consider the person’s (and any of the entities in its Corporate Structure that it is relying on) experience in reaching a positive FID and successfully delivering prior project(s)</w:t>
      </w:r>
      <w:r w:rsidRPr="003F5FBD">
        <w:t xml:space="preserve"> </w:t>
      </w:r>
      <w:r>
        <w:t>in a timely manner.</w:t>
      </w:r>
    </w:p>
    <w:p w14:paraId="5BAD3E20" w14:textId="77777777" w:rsidR="00AF37CB" w:rsidRDefault="00AF37CB" w:rsidP="00AF37CB">
      <w:pPr>
        <w:pStyle w:val="ListParagraph"/>
        <w:numPr>
          <w:ilvl w:val="0"/>
          <w:numId w:val="7"/>
        </w:numPr>
        <w:spacing w:after="60" w:line="240" w:lineRule="auto"/>
        <w:ind w:left="924" w:hanging="357"/>
        <w:contextualSpacing w:val="0"/>
      </w:pPr>
      <w:r>
        <w:t xml:space="preserve">The person’s past financial performance. </w:t>
      </w:r>
    </w:p>
    <w:p w14:paraId="20352C4A" w14:textId="25B7B09C" w:rsidR="00AF37CB" w:rsidRDefault="00AF37CB" w:rsidP="00AF37CB">
      <w:pPr>
        <w:pStyle w:val="ListParagraph"/>
        <w:numPr>
          <w:ilvl w:val="0"/>
          <w:numId w:val="26"/>
        </w:numPr>
        <w:spacing w:after="60" w:line="240" w:lineRule="auto"/>
        <w:ind w:left="1208" w:hanging="357"/>
        <w:contextualSpacing w:val="0"/>
      </w:pPr>
      <w:r>
        <w:t xml:space="preserve">A person should meet </w:t>
      </w:r>
      <w:r w:rsidRPr="001271FE">
        <w:rPr>
          <w:b/>
          <w:bCs/>
        </w:rPr>
        <w:t>at least one</w:t>
      </w:r>
      <w:r>
        <w:t xml:space="preserve"> of the criteria in </w:t>
      </w:r>
      <w:r w:rsidRPr="001271FE">
        <w:rPr>
          <w:b/>
          <w:bCs/>
        </w:rPr>
        <w:t>Table 1</w:t>
      </w:r>
      <w:r w:rsidR="00205447">
        <w:rPr>
          <w:b/>
          <w:bCs/>
        </w:rPr>
        <w:t xml:space="preserve"> </w:t>
      </w:r>
      <w:r w:rsidR="00205447">
        <w:t>of this Guideline (below)</w:t>
      </w:r>
      <w:r>
        <w:t xml:space="preserve">. Where appropriate this assessment may consider the financial </w:t>
      </w:r>
      <w:r w:rsidRPr="00673C54">
        <w:t xml:space="preserve">performance of any entity in </w:t>
      </w:r>
      <w:r>
        <w:t>the person’s</w:t>
      </w:r>
      <w:r w:rsidRPr="00673C54">
        <w:t xml:space="preserve"> corporate structure, or any entity providing financial resources to the</w:t>
      </w:r>
      <w:r>
        <w:t xml:space="preserve"> person and will apply in aggregate across these entities.</w:t>
      </w:r>
    </w:p>
    <w:tbl>
      <w:tblPr>
        <w:tblStyle w:val="TableGrid"/>
        <w:tblW w:w="0" w:type="auto"/>
        <w:jc w:val="center"/>
        <w:tblLook w:val="04A0" w:firstRow="1" w:lastRow="0" w:firstColumn="1" w:lastColumn="0" w:noHBand="0" w:noVBand="1"/>
      </w:tblPr>
      <w:tblGrid>
        <w:gridCol w:w="3462"/>
        <w:gridCol w:w="3462"/>
      </w:tblGrid>
      <w:tr w:rsidR="00AF37CB" w:rsidRPr="008C2142" w14:paraId="18C77625" w14:textId="77777777" w:rsidTr="00FF5BFF">
        <w:trPr>
          <w:trHeight w:val="449"/>
          <w:jc w:val="center"/>
        </w:trPr>
        <w:tc>
          <w:tcPr>
            <w:tcW w:w="3462" w:type="dxa"/>
            <w:shd w:val="clear" w:color="auto" w:fill="B4C6E7" w:themeFill="accent1" w:themeFillTint="66"/>
          </w:tcPr>
          <w:p w14:paraId="32F0E47B" w14:textId="77777777" w:rsidR="00AF37CB" w:rsidRPr="008C2142" w:rsidRDefault="00AF37CB" w:rsidP="00FF5BFF">
            <w:pPr>
              <w:jc w:val="center"/>
              <w:rPr>
                <w:b/>
                <w:bCs/>
                <w:sz w:val="20"/>
                <w:szCs w:val="20"/>
              </w:rPr>
            </w:pPr>
            <w:r w:rsidRPr="008C2142">
              <w:rPr>
                <w:b/>
                <w:bCs/>
                <w:sz w:val="20"/>
                <w:szCs w:val="20"/>
              </w:rPr>
              <w:t>Criteria</w:t>
            </w:r>
          </w:p>
          <w:p w14:paraId="5E7A151A" w14:textId="77777777" w:rsidR="00AF37CB" w:rsidRPr="008C2142" w:rsidRDefault="00AF37CB" w:rsidP="00FF5BFF">
            <w:pPr>
              <w:jc w:val="center"/>
              <w:rPr>
                <w:b/>
                <w:bCs/>
                <w:sz w:val="20"/>
                <w:szCs w:val="20"/>
              </w:rPr>
            </w:pPr>
            <w:r w:rsidRPr="008C2142">
              <w:rPr>
                <w:b/>
                <w:bCs/>
                <w:sz w:val="20"/>
                <w:szCs w:val="20"/>
              </w:rPr>
              <w:t xml:space="preserve">Previous </w:t>
            </w:r>
            <w:r>
              <w:rPr>
                <w:b/>
                <w:bCs/>
                <w:sz w:val="20"/>
                <w:szCs w:val="20"/>
              </w:rPr>
              <w:t>T</w:t>
            </w:r>
            <w:r w:rsidRPr="008C2142">
              <w:rPr>
                <w:b/>
                <w:bCs/>
                <w:sz w:val="20"/>
                <w:szCs w:val="20"/>
              </w:rPr>
              <w:t>hree-</w:t>
            </w:r>
            <w:r>
              <w:rPr>
                <w:b/>
                <w:bCs/>
                <w:sz w:val="20"/>
                <w:szCs w:val="20"/>
              </w:rPr>
              <w:t>Y</w:t>
            </w:r>
            <w:r w:rsidRPr="008C2142">
              <w:rPr>
                <w:b/>
                <w:bCs/>
                <w:sz w:val="20"/>
                <w:szCs w:val="20"/>
              </w:rPr>
              <w:t xml:space="preserve">ear </w:t>
            </w:r>
            <w:r>
              <w:rPr>
                <w:b/>
                <w:bCs/>
                <w:sz w:val="20"/>
                <w:szCs w:val="20"/>
              </w:rPr>
              <w:t>A</w:t>
            </w:r>
            <w:r w:rsidRPr="008C2142">
              <w:rPr>
                <w:b/>
                <w:bCs/>
                <w:sz w:val="20"/>
                <w:szCs w:val="20"/>
              </w:rPr>
              <w:t>verage</w:t>
            </w:r>
          </w:p>
        </w:tc>
        <w:tc>
          <w:tcPr>
            <w:tcW w:w="3462" w:type="dxa"/>
            <w:shd w:val="clear" w:color="auto" w:fill="B4C6E7" w:themeFill="accent1" w:themeFillTint="66"/>
          </w:tcPr>
          <w:p w14:paraId="0C887F29" w14:textId="77777777" w:rsidR="00AF37CB" w:rsidRDefault="00AF37CB" w:rsidP="00FF5BFF">
            <w:pPr>
              <w:jc w:val="center"/>
              <w:rPr>
                <w:b/>
                <w:bCs/>
                <w:sz w:val="20"/>
                <w:szCs w:val="20"/>
              </w:rPr>
            </w:pPr>
            <w:r>
              <w:rPr>
                <w:b/>
                <w:bCs/>
                <w:sz w:val="20"/>
                <w:szCs w:val="20"/>
              </w:rPr>
              <w:t xml:space="preserve">TIL </w:t>
            </w:r>
            <w:r w:rsidRPr="008C2142">
              <w:rPr>
                <w:b/>
                <w:bCs/>
                <w:sz w:val="20"/>
                <w:szCs w:val="20"/>
              </w:rPr>
              <w:t>Requirements</w:t>
            </w:r>
            <w:r>
              <w:rPr>
                <w:b/>
                <w:bCs/>
                <w:sz w:val="20"/>
                <w:szCs w:val="20"/>
              </w:rPr>
              <w:t xml:space="preserve"> </w:t>
            </w:r>
          </w:p>
          <w:p w14:paraId="6B82ECE8" w14:textId="77777777" w:rsidR="00AF37CB" w:rsidRPr="008C2142" w:rsidRDefault="00AF37CB" w:rsidP="00FF5BFF">
            <w:pPr>
              <w:jc w:val="center"/>
              <w:rPr>
                <w:b/>
                <w:bCs/>
                <w:sz w:val="20"/>
                <w:szCs w:val="20"/>
              </w:rPr>
            </w:pPr>
            <w:r>
              <w:rPr>
                <w:b/>
                <w:bCs/>
                <w:sz w:val="20"/>
                <w:szCs w:val="20"/>
              </w:rPr>
              <w:t>(USD)</w:t>
            </w:r>
          </w:p>
        </w:tc>
      </w:tr>
      <w:tr w:rsidR="00AF37CB" w:rsidRPr="008C2142" w14:paraId="0BCACBEF" w14:textId="77777777" w:rsidTr="00FF5BFF">
        <w:trPr>
          <w:trHeight w:val="118"/>
          <w:jc w:val="center"/>
        </w:trPr>
        <w:tc>
          <w:tcPr>
            <w:tcW w:w="3462" w:type="dxa"/>
          </w:tcPr>
          <w:p w14:paraId="370C38A4" w14:textId="77777777" w:rsidR="00AF37CB" w:rsidRPr="008C2142" w:rsidRDefault="00AF37CB" w:rsidP="00FF5BFF">
            <w:pPr>
              <w:spacing w:before="40" w:after="40"/>
              <w:jc w:val="center"/>
              <w:rPr>
                <w:sz w:val="20"/>
                <w:szCs w:val="20"/>
              </w:rPr>
            </w:pPr>
            <w:r w:rsidRPr="008C2142">
              <w:rPr>
                <w:sz w:val="20"/>
                <w:szCs w:val="20"/>
              </w:rPr>
              <w:t>Annual turnover</w:t>
            </w:r>
          </w:p>
        </w:tc>
        <w:tc>
          <w:tcPr>
            <w:tcW w:w="3462" w:type="dxa"/>
          </w:tcPr>
          <w:p w14:paraId="6AE5C531" w14:textId="77777777" w:rsidR="00AF37CB" w:rsidRPr="008C2142" w:rsidRDefault="00AF37CB" w:rsidP="00FF5BFF">
            <w:pPr>
              <w:spacing w:before="40" w:after="40"/>
              <w:jc w:val="center"/>
              <w:rPr>
                <w:sz w:val="20"/>
                <w:szCs w:val="20"/>
              </w:rPr>
            </w:pPr>
            <w:r w:rsidRPr="006E3964">
              <w:rPr>
                <w:sz w:val="20"/>
                <w:szCs w:val="20"/>
              </w:rPr>
              <w:t>&gt; $300 million</w:t>
            </w:r>
          </w:p>
        </w:tc>
      </w:tr>
      <w:tr w:rsidR="00AF37CB" w:rsidRPr="008C2142" w14:paraId="1D9C6BFD" w14:textId="77777777" w:rsidTr="00FF5BFF">
        <w:trPr>
          <w:trHeight w:val="70"/>
          <w:jc w:val="center"/>
        </w:trPr>
        <w:tc>
          <w:tcPr>
            <w:tcW w:w="3462" w:type="dxa"/>
          </w:tcPr>
          <w:p w14:paraId="7DFE4F49" w14:textId="77777777" w:rsidR="00AF37CB" w:rsidRPr="008C2142" w:rsidRDefault="00AF37CB" w:rsidP="00FF5BFF">
            <w:pPr>
              <w:spacing w:before="40" w:after="40"/>
              <w:jc w:val="center"/>
              <w:rPr>
                <w:sz w:val="20"/>
                <w:szCs w:val="20"/>
              </w:rPr>
            </w:pPr>
            <w:r w:rsidRPr="008C2142">
              <w:rPr>
                <w:sz w:val="20"/>
                <w:szCs w:val="20"/>
              </w:rPr>
              <w:t>Net assets</w:t>
            </w:r>
          </w:p>
        </w:tc>
        <w:tc>
          <w:tcPr>
            <w:tcW w:w="3462" w:type="dxa"/>
          </w:tcPr>
          <w:p w14:paraId="20349DF4" w14:textId="77777777" w:rsidR="00AF37CB" w:rsidRPr="008C2142" w:rsidRDefault="00AF37CB" w:rsidP="00FF5BFF">
            <w:pPr>
              <w:spacing w:before="40" w:after="40"/>
              <w:jc w:val="center"/>
              <w:rPr>
                <w:sz w:val="20"/>
                <w:szCs w:val="20"/>
              </w:rPr>
            </w:pPr>
            <w:r w:rsidRPr="008C2142">
              <w:rPr>
                <w:sz w:val="20"/>
                <w:szCs w:val="20"/>
              </w:rPr>
              <w:t>&gt; $100 million</w:t>
            </w:r>
          </w:p>
        </w:tc>
      </w:tr>
      <w:tr w:rsidR="00AF37CB" w:rsidRPr="008C2142" w14:paraId="4D0540BA" w14:textId="77777777" w:rsidTr="00FF5BFF">
        <w:trPr>
          <w:trHeight w:val="70"/>
          <w:jc w:val="center"/>
        </w:trPr>
        <w:tc>
          <w:tcPr>
            <w:tcW w:w="3462" w:type="dxa"/>
          </w:tcPr>
          <w:p w14:paraId="14E7944A" w14:textId="77777777" w:rsidR="00AF37CB" w:rsidRPr="008C2142" w:rsidRDefault="00AF37CB" w:rsidP="00FF5BFF">
            <w:pPr>
              <w:spacing w:before="40" w:after="40"/>
              <w:jc w:val="center"/>
              <w:rPr>
                <w:sz w:val="20"/>
                <w:szCs w:val="20"/>
              </w:rPr>
            </w:pPr>
            <w:r w:rsidRPr="008C2142">
              <w:rPr>
                <w:sz w:val="20"/>
                <w:szCs w:val="20"/>
              </w:rPr>
              <w:t>Cash at bank</w:t>
            </w:r>
          </w:p>
        </w:tc>
        <w:tc>
          <w:tcPr>
            <w:tcW w:w="3462" w:type="dxa"/>
          </w:tcPr>
          <w:p w14:paraId="1330AA63" w14:textId="77777777" w:rsidR="00AF37CB" w:rsidRPr="008C2142" w:rsidRDefault="00AF37CB" w:rsidP="00FF5BFF">
            <w:pPr>
              <w:spacing w:before="40" w:after="40"/>
              <w:jc w:val="center"/>
              <w:rPr>
                <w:sz w:val="20"/>
                <w:szCs w:val="20"/>
              </w:rPr>
            </w:pPr>
            <w:r w:rsidRPr="008C2142">
              <w:rPr>
                <w:sz w:val="20"/>
                <w:szCs w:val="20"/>
              </w:rPr>
              <w:t>&gt; $300 million</w:t>
            </w:r>
          </w:p>
        </w:tc>
      </w:tr>
      <w:tr w:rsidR="00AF37CB" w:rsidRPr="008C2142" w14:paraId="1CBA2FD0" w14:textId="77777777" w:rsidTr="00FF5BFF">
        <w:trPr>
          <w:trHeight w:val="70"/>
          <w:jc w:val="center"/>
        </w:trPr>
        <w:tc>
          <w:tcPr>
            <w:tcW w:w="3462" w:type="dxa"/>
          </w:tcPr>
          <w:p w14:paraId="5D90F237" w14:textId="77777777" w:rsidR="00AF37CB" w:rsidRPr="008C2142" w:rsidRDefault="00AF37CB" w:rsidP="00FF5BFF">
            <w:pPr>
              <w:spacing w:before="40" w:after="40"/>
              <w:jc w:val="center"/>
              <w:rPr>
                <w:sz w:val="20"/>
                <w:szCs w:val="20"/>
              </w:rPr>
            </w:pPr>
            <w:r w:rsidRPr="008C2142">
              <w:rPr>
                <w:sz w:val="20"/>
                <w:szCs w:val="20"/>
              </w:rPr>
              <w:t>Assets / funds under management</w:t>
            </w:r>
          </w:p>
        </w:tc>
        <w:tc>
          <w:tcPr>
            <w:tcW w:w="3462" w:type="dxa"/>
          </w:tcPr>
          <w:p w14:paraId="1CA90F3C" w14:textId="77777777" w:rsidR="00AF37CB" w:rsidRPr="008C2142" w:rsidRDefault="00AF37CB" w:rsidP="00FF5BFF">
            <w:pPr>
              <w:spacing w:before="40" w:after="40"/>
              <w:jc w:val="center"/>
              <w:rPr>
                <w:sz w:val="20"/>
                <w:szCs w:val="20"/>
              </w:rPr>
            </w:pPr>
            <w:r>
              <w:rPr>
                <w:color w:val="000000"/>
                <w:sz w:val="20"/>
                <w:szCs w:val="20"/>
              </w:rPr>
              <w:t>&gt; $500 million</w:t>
            </w:r>
          </w:p>
        </w:tc>
      </w:tr>
      <w:tr w:rsidR="00AF37CB" w:rsidRPr="008C2142" w14:paraId="7BC0E031" w14:textId="77777777" w:rsidTr="00FF5BFF">
        <w:trPr>
          <w:trHeight w:val="70"/>
          <w:jc w:val="center"/>
        </w:trPr>
        <w:tc>
          <w:tcPr>
            <w:tcW w:w="3462" w:type="dxa"/>
          </w:tcPr>
          <w:p w14:paraId="2DC90F30" w14:textId="77777777" w:rsidR="00AF37CB" w:rsidRPr="008C2142" w:rsidRDefault="00AF37CB" w:rsidP="00FF5BFF">
            <w:pPr>
              <w:spacing w:before="40" w:after="40"/>
              <w:jc w:val="center"/>
              <w:rPr>
                <w:sz w:val="20"/>
                <w:szCs w:val="20"/>
              </w:rPr>
            </w:pPr>
            <w:r w:rsidRPr="008C2142">
              <w:rPr>
                <w:sz w:val="20"/>
                <w:szCs w:val="20"/>
              </w:rPr>
              <w:t>Undrawn debt facilities</w:t>
            </w:r>
          </w:p>
        </w:tc>
        <w:tc>
          <w:tcPr>
            <w:tcW w:w="3462" w:type="dxa"/>
          </w:tcPr>
          <w:p w14:paraId="15586900" w14:textId="77777777" w:rsidR="00AF37CB" w:rsidRPr="008C2142" w:rsidRDefault="00AF37CB" w:rsidP="00FF5BFF">
            <w:pPr>
              <w:spacing w:before="40" w:after="40"/>
              <w:jc w:val="center"/>
              <w:rPr>
                <w:sz w:val="20"/>
                <w:szCs w:val="20"/>
              </w:rPr>
            </w:pPr>
            <w:r>
              <w:rPr>
                <w:color w:val="000000"/>
                <w:sz w:val="20"/>
                <w:szCs w:val="20"/>
              </w:rPr>
              <w:t>&gt; $300 million</w:t>
            </w:r>
          </w:p>
        </w:tc>
      </w:tr>
    </w:tbl>
    <w:p w14:paraId="3165A4AC" w14:textId="77777777" w:rsidR="00AF37CB" w:rsidRDefault="00AF37CB" w:rsidP="00AF37CB">
      <w:pPr>
        <w:spacing w:after="120" w:line="240" w:lineRule="auto"/>
      </w:pPr>
      <w:r>
        <w:rPr>
          <w:sz w:val="18"/>
          <w:szCs w:val="18"/>
        </w:rPr>
        <w:t xml:space="preserve">                      </w:t>
      </w:r>
      <w:r w:rsidRPr="005C77E0">
        <w:rPr>
          <w:sz w:val="18"/>
          <w:szCs w:val="18"/>
        </w:rPr>
        <w:t xml:space="preserve">Table 1. Financial performance criteria previous three-year average of </w:t>
      </w:r>
      <w:r>
        <w:rPr>
          <w:sz w:val="18"/>
          <w:szCs w:val="18"/>
        </w:rPr>
        <w:t>person</w:t>
      </w:r>
      <w:r w:rsidRPr="005C77E0">
        <w:rPr>
          <w:sz w:val="18"/>
          <w:szCs w:val="18"/>
        </w:rPr>
        <w:t xml:space="preserve"> or controlling/funding entity. </w:t>
      </w:r>
    </w:p>
    <w:p w14:paraId="66065CEF" w14:textId="77777777" w:rsidR="00CA3191" w:rsidRPr="004056BA" w:rsidRDefault="00CA3191" w:rsidP="00707A1C">
      <w:pPr>
        <w:pStyle w:val="ListParagraph"/>
        <w:numPr>
          <w:ilvl w:val="0"/>
          <w:numId w:val="26"/>
        </w:numPr>
      </w:pPr>
      <w:r w:rsidRPr="004056BA">
        <w:t xml:space="preserve">Past financial performance of the person (body corporate and its key officers) refers to financial performance in similar operating environments in Australia or internationally. The assessment of the person’s (and any of the entities in its Corporate Structure that it is relying on) past financial performance will include an assessment of the experience of the person in prior and current offshore infrastructure or large-scale infrastructure projects of a similar size to that proposed in the </w:t>
      </w:r>
      <w:r w:rsidR="004036A3" w:rsidRPr="004056BA">
        <w:t>TIL</w:t>
      </w:r>
      <w:r w:rsidRPr="004056BA">
        <w:t xml:space="preserve"> application.</w:t>
      </w:r>
    </w:p>
    <w:p w14:paraId="236B317A" w14:textId="77777777" w:rsidR="00AF37CB" w:rsidRDefault="00AF37CB" w:rsidP="00AF37CB">
      <w:pPr>
        <w:pStyle w:val="ListParagraph"/>
        <w:numPr>
          <w:ilvl w:val="0"/>
          <w:numId w:val="7"/>
        </w:numPr>
        <w:spacing w:after="60" w:line="240" w:lineRule="auto"/>
        <w:ind w:left="924" w:hanging="357"/>
        <w:contextualSpacing w:val="0"/>
      </w:pPr>
      <w:r>
        <w:t xml:space="preserve">The person’s corporate governance structure, including the relevant Board’s size, collective skills and experience to operate an offshore infrastructure project. </w:t>
      </w:r>
    </w:p>
    <w:p w14:paraId="6255EABD" w14:textId="77777777" w:rsidR="00AF37CB" w:rsidRDefault="00AF37CB" w:rsidP="00AF37CB">
      <w:pPr>
        <w:pStyle w:val="ListParagraph"/>
        <w:numPr>
          <w:ilvl w:val="0"/>
          <w:numId w:val="27"/>
        </w:numPr>
        <w:spacing w:after="60" w:line="240" w:lineRule="auto"/>
        <w:ind w:left="1208" w:hanging="357"/>
        <w:contextualSpacing w:val="0"/>
      </w:pPr>
      <w:r>
        <w:t xml:space="preserve">Corporate governance arrangement refers to the structure and oversight of the person and may </w:t>
      </w:r>
      <w:proofErr w:type="gramStart"/>
      <w:r>
        <w:t>take into account</w:t>
      </w:r>
      <w:proofErr w:type="gramEnd"/>
      <w:r>
        <w:t xml:space="preserve"> how the person has been established including transparency, chain of command and responsibilities and relevant skills and experience of the Board. </w:t>
      </w:r>
    </w:p>
    <w:p w14:paraId="151B3133" w14:textId="77777777" w:rsidR="00AF37CB" w:rsidRPr="00235003" w:rsidRDefault="00AF37CB" w:rsidP="00AF37CB">
      <w:pPr>
        <w:pStyle w:val="ListParagraph"/>
        <w:numPr>
          <w:ilvl w:val="0"/>
          <w:numId w:val="27"/>
        </w:numPr>
        <w:spacing w:after="60" w:line="240" w:lineRule="auto"/>
        <w:ind w:left="1208" w:hanging="357"/>
        <w:contextualSpacing w:val="0"/>
      </w:pPr>
      <w:r>
        <w:t xml:space="preserve">At a minimum, </w:t>
      </w:r>
      <w:r w:rsidRPr="00235003">
        <w:t xml:space="preserve">a person </w:t>
      </w:r>
      <w:r>
        <w:t>should</w:t>
      </w:r>
      <w:r w:rsidRPr="00235003">
        <w:t xml:space="preserve"> be implementing the principles of a recognised corporate governance code and have:</w:t>
      </w:r>
    </w:p>
    <w:p w14:paraId="4F3B3184" w14:textId="77777777" w:rsidR="00AF37CB" w:rsidRPr="00235003" w:rsidRDefault="00AF37CB" w:rsidP="00273915">
      <w:pPr>
        <w:pStyle w:val="ListParagraph"/>
        <w:numPr>
          <w:ilvl w:val="1"/>
          <w:numId w:val="24"/>
        </w:numPr>
        <w:spacing w:after="40" w:line="240" w:lineRule="auto"/>
        <w:ind w:left="1701" w:hanging="357"/>
        <w:contextualSpacing w:val="0"/>
      </w:pPr>
      <w:r w:rsidRPr="00235003">
        <w:lastRenderedPageBreak/>
        <w:t xml:space="preserve">An appropriately sized Board with the skills, commitment and knowledge of the entity and industry in which it operates. </w:t>
      </w:r>
    </w:p>
    <w:p w14:paraId="2CE77370" w14:textId="6E3FEAAC" w:rsidR="00AF37CB" w:rsidRPr="00235003" w:rsidRDefault="00AF37CB" w:rsidP="00273915">
      <w:pPr>
        <w:pStyle w:val="ListParagraph"/>
        <w:numPr>
          <w:ilvl w:val="1"/>
          <w:numId w:val="24"/>
        </w:numPr>
        <w:spacing w:after="40" w:line="240" w:lineRule="auto"/>
        <w:ind w:left="1701" w:hanging="357"/>
        <w:contextualSpacing w:val="0"/>
      </w:pPr>
      <w:r w:rsidRPr="00235003">
        <w:t xml:space="preserve">Clearly defined roles and responsibility of the Board and Management with a regular </w:t>
      </w:r>
      <w:r w:rsidR="00273915">
        <w:t xml:space="preserve">audit and </w:t>
      </w:r>
      <w:r w:rsidRPr="00235003">
        <w:t xml:space="preserve">review process. </w:t>
      </w:r>
    </w:p>
    <w:p w14:paraId="46446B66" w14:textId="77777777" w:rsidR="00AF37CB" w:rsidRDefault="00AF37CB" w:rsidP="00273915">
      <w:pPr>
        <w:pStyle w:val="ListParagraph"/>
        <w:numPr>
          <w:ilvl w:val="1"/>
          <w:numId w:val="24"/>
        </w:numPr>
        <w:spacing w:after="60" w:line="240" w:lineRule="auto"/>
        <w:ind w:left="1701" w:hanging="357"/>
        <w:contextualSpacing w:val="0"/>
      </w:pPr>
      <w:r w:rsidRPr="00235003">
        <w:t xml:space="preserve">A sound risk management framework. </w:t>
      </w:r>
    </w:p>
    <w:p w14:paraId="49D90E7B" w14:textId="77777777" w:rsidR="00AF37CB" w:rsidRDefault="00AF37CB" w:rsidP="00AF37CB">
      <w:pPr>
        <w:pStyle w:val="ListParagraph"/>
        <w:numPr>
          <w:ilvl w:val="0"/>
          <w:numId w:val="7"/>
        </w:numPr>
        <w:spacing w:after="60" w:line="240" w:lineRule="auto"/>
        <w:ind w:left="924" w:hanging="357"/>
        <w:contextualSpacing w:val="0"/>
      </w:pPr>
      <w:r>
        <w:t>Any other matters the Minister considers relevant.</w:t>
      </w:r>
    </w:p>
    <w:p w14:paraId="270D6A23" w14:textId="0D538323" w:rsidR="00AF37CB" w:rsidRPr="00144983" w:rsidRDefault="00AF37CB" w:rsidP="00AF37CB">
      <w:pPr>
        <w:spacing w:before="120" w:after="120" w:line="240" w:lineRule="auto"/>
        <w:rPr>
          <w:color w:val="4472C4" w:themeColor="accent1"/>
        </w:rPr>
      </w:pPr>
      <w:r w:rsidRPr="00144983">
        <w:rPr>
          <w:color w:val="4472C4" w:themeColor="accent1"/>
        </w:rPr>
        <w:t>National Interest</w:t>
      </w:r>
      <w:r>
        <w:rPr>
          <w:color w:val="4472C4" w:themeColor="accent1"/>
        </w:rPr>
        <w:t xml:space="preserve"> (</w:t>
      </w:r>
      <w:r w:rsidR="00103F2B">
        <w:rPr>
          <w:color w:val="4472C4" w:themeColor="accent1"/>
        </w:rPr>
        <w:t>paragraph</w:t>
      </w:r>
      <w:r>
        <w:rPr>
          <w:color w:val="4472C4" w:themeColor="accent1"/>
        </w:rPr>
        <w:t xml:space="preserve"> 62(1)(d) OEI Act and sections 25 and 26(4) OEI Regulations)</w:t>
      </w:r>
    </w:p>
    <w:p w14:paraId="48AD984E" w14:textId="77777777" w:rsidR="00AF37CB" w:rsidRDefault="00AF37CB" w:rsidP="00AF37CB">
      <w:pPr>
        <w:pStyle w:val="ListParagraph"/>
        <w:numPr>
          <w:ilvl w:val="2"/>
          <w:numId w:val="1"/>
        </w:numPr>
        <w:spacing w:after="80" w:line="240" w:lineRule="auto"/>
        <w:ind w:left="709"/>
        <w:contextualSpacing w:val="0"/>
      </w:pPr>
      <w:r>
        <w:t>The Minister must be satisfied that the offshore infrastructure project for the licence is in the national interest. The merit-based assessment may consider one or more of the following:</w:t>
      </w:r>
    </w:p>
    <w:p w14:paraId="46B8CF23" w14:textId="77777777" w:rsidR="00AF37CB" w:rsidRDefault="00AF37CB" w:rsidP="00AF37CB">
      <w:pPr>
        <w:pStyle w:val="ListParagraph"/>
        <w:numPr>
          <w:ilvl w:val="0"/>
          <w:numId w:val="8"/>
        </w:numPr>
        <w:spacing w:after="80" w:line="240" w:lineRule="auto"/>
        <w:ind w:left="924" w:hanging="357"/>
        <w:contextualSpacing w:val="0"/>
      </w:pPr>
      <w:r>
        <w:t xml:space="preserve">The </w:t>
      </w:r>
      <w:r w:rsidRPr="00C82A68">
        <w:t>project’s impact on, and contribution to, the Australian economy and local communities, including in relation to regional development, job creation, Australian industries</w:t>
      </w:r>
      <w:r>
        <w:t xml:space="preserve"> and the use of Australian goods and services. </w:t>
      </w:r>
    </w:p>
    <w:p w14:paraId="3AEF53A6" w14:textId="406BF7AF" w:rsidR="00AF37CB" w:rsidRDefault="00AF37CB" w:rsidP="00AF37CB">
      <w:pPr>
        <w:pStyle w:val="ListParagraph"/>
        <w:numPr>
          <w:ilvl w:val="0"/>
          <w:numId w:val="28"/>
        </w:numPr>
        <w:spacing w:after="60" w:line="240" w:lineRule="auto"/>
        <w:ind w:left="1208" w:hanging="357"/>
        <w:contextualSpacing w:val="0"/>
      </w:pPr>
      <w:r>
        <w:t>This will be an assessment of the forecast socio-economic benefits of the offshore infrastructure project</w:t>
      </w:r>
      <w:r w:rsidR="002243A7" w:rsidRPr="004036A3">
        <w:t>, to assess the potential community benefits that could be provided from the project if it proceeds</w:t>
      </w:r>
      <w:r w:rsidRPr="004036A3">
        <w:t xml:space="preserve">. It </w:t>
      </w:r>
      <w:r w:rsidR="00AD127B" w:rsidRPr="004036A3">
        <w:t>will</w:t>
      </w:r>
      <w:r>
        <w:t xml:space="preserve"> consider current assumptions and forecasts relating to benefits to the broader economy, potential jobs creation, </w:t>
      </w:r>
      <w:r w:rsidR="003D68FB" w:rsidRPr="004036A3">
        <w:t xml:space="preserve">workforce training, </w:t>
      </w:r>
      <w:r>
        <w:t>regional dev</w:t>
      </w:r>
      <w:r w:rsidRPr="00540994">
        <w:t xml:space="preserve">elopment, </w:t>
      </w:r>
      <w:r w:rsidR="003D68FB" w:rsidRPr="004036A3">
        <w:t xml:space="preserve">local </w:t>
      </w:r>
      <w:r w:rsidRPr="004036A3">
        <w:t xml:space="preserve">content, </w:t>
      </w:r>
      <w:r w:rsidR="008A36C3" w:rsidRPr="004036A3">
        <w:t>Gross Value Add, a breakdown of investment across local and foreign</w:t>
      </w:r>
      <w:r w:rsidRPr="00540994">
        <w:t xml:space="preserve"> content,</w:t>
      </w:r>
      <w:r>
        <w:t xml:space="preserve"> potential contribution to electricity grid supply, energy security, emissions reduction assumptions and/or benefits to international relations, where relevant. </w:t>
      </w:r>
    </w:p>
    <w:p w14:paraId="3BC48F2F" w14:textId="75D18E31" w:rsidR="004536DF" w:rsidRDefault="00057549" w:rsidP="00AF37CB">
      <w:pPr>
        <w:pStyle w:val="ListParagraph"/>
        <w:numPr>
          <w:ilvl w:val="0"/>
          <w:numId w:val="28"/>
        </w:numPr>
        <w:spacing w:after="60" w:line="240" w:lineRule="auto"/>
        <w:ind w:left="1208" w:hanging="357"/>
        <w:contextualSpacing w:val="0"/>
      </w:pPr>
      <w:r>
        <w:t xml:space="preserve">There </w:t>
      </w:r>
      <w:r w:rsidR="004536DF">
        <w:t xml:space="preserve">should be clear links and consistencies between the </w:t>
      </w:r>
      <w:r>
        <w:t xml:space="preserve">TIL </w:t>
      </w:r>
      <w:r w:rsidR="004536DF">
        <w:t>project</w:t>
      </w:r>
      <w:r>
        <w:t xml:space="preserve"> and source project. </w:t>
      </w:r>
    </w:p>
    <w:p w14:paraId="0A68CA4B" w14:textId="5CD33818" w:rsidR="00AF37CB" w:rsidRPr="002B2D82" w:rsidRDefault="00AF37CB" w:rsidP="00AF37CB">
      <w:pPr>
        <w:pStyle w:val="ListParagraph"/>
        <w:spacing w:after="60" w:line="240" w:lineRule="auto"/>
        <w:ind w:left="1208"/>
        <w:contextualSpacing w:val="0"/>
        <w:rPr>
          <w:sz w:val="20"/>
          <w:szCs w:val="20"/>
        </w:rPr>
      </w:pPr>
      <w:r w:rsidRPr="002B2D82">
        <w:rPr>
          <w:b/>
          <w:bCs/>
          <w:sz w:val="20"/>
          <w:szCs w:val="20"/>
        </w:rPr>
        <w:t>Note</w:t>
      </w:r>
      <w:r w:rsidR="00154124" w:rsidRPr="004036A3">
        <w:rPr>
          <w:b/>
          <w:bCs/>
          <w:sz w:val="20"/>
          <w:szCs w:val="20"/>
        </w:rPr>
        <w:t xml:space="preserve"> 1</w:t>
      </w:r>
      <w:r w:rsidRPr="002B2D82">
        <w:rPr>
          <w:b/>
          <w:bCs/>
          <w:sz w:val="20"/>
          <w:szCs w:val="20"/>
        </w:rPr>
        <w:t>:</w:t>
      </w:r>
      <w:r w:rsidRPr="002B2D82">
        <w:rPr>
          <w:sz w:val="20"/>
          <w:szCs w:val="20"/>
        </w:rPr>
        <w:t xml:space="preserve"> Local communities </w:t>
      </w:r>
      <w:proofErr w:type="gramStart"/>
      <w:r w:rsidRPr="002B2D82">
        <w:rPr>
          <w:sz w:val="20"/>
          <w:szCs w:val="20"/>
        </w:rPr>
        <w:t>means</w:t>
      </w:r>
      <w:proofErr w:type="gramEnd"/>
      <w:r w:rsidRPr="002B2D82">
        <w:rPr>
          <w:sz w:val="20"/>
          <w:szCs w:val="20"/>
        </w:rPr>
        <w:t xml:space="preserve"> the communities that are located adjacent to or in close proximity to the proposed licence area.  </w:t>
      </w:r>
    </w:p>
    <w:p w14:paraId="2E1BDDAA" w14:textId="77777777" w:rsidR="00154124" w:rsidRPr="004036A3" w:rsidRDefault="00154124" w:rsidP="00AF37CB">
      <w:pPr>
        <w:pStyle w:val="ListParagraph"/>
        <w:spacing w:after="60" w:line="240" w:lineRule="auto"/>
        <w:ind w:left="1208"/>
        <w:contextualSpacing w:val="0"/>
        <w:rPr>
          <w:sz w:val="20"/>
          <w:szCs w:val="20"/>
        </w:rPr>
      </w:pPr>
      <w:r w:rsidRPr="004036A3">
        <w:rPr>
          <w:b/>
          <w:bCs/>
          <w:sz w:val="20"/>
          <w:szCs w:val="20"/>
        </w:rPr>
        <w:t>Note 2:</w:t>
      </w:r>
      <w:r w:rsidRPr="004036A3">
        <w:rPr>
          <w:sz w:val="20"/>
          <w:szCs w:val="20"/>
        </w:rPr>
        <w:t xml:space="preserve"> Local content </w:t>
      </w:r>
      <w:r w:rsidR="00234C3C" w:rsidRPr="004036A3">
        <w:rPr>
          <w:sz w:val="20"/>
          <w:szCs w:val="20"/>
        </w:rPr>
        <w:t>means Australian and New Zealand suppliers producing</w:t>
      </w:r>
      <w:r w:rsidR="00281E1C" w:rsidRPr="004036A3">
        <w:rPr>
          <w:sz w:val="20"/>
          <w:szCs w:val="20"/>
        </w:rPr>
        <w:t xml:space="preserve"> materials and components or providing services for offshore electricity infrastructure projects, including both construction and operations and maintenance. </w:t>
      </w:r>
    </w:p>
    <w:p w14:paraId="7125618E" w14:textId="77777777" w:rsidR="00AF37CB" w:rsidRDefault="00AF37CB" w:rsidP="00AF37CB">
      <w:pPr>
        <w:pStyle w:val="ListParagraph"/>
        <w:numPr>
          <w:ilvl w:val="0"/>
          <w:numId w:val="8"/>
        </w:numPr>
        <w:spacing w:after="80" w:line="240" w:lineRule="auto"/>
        <w:ind w:left="924" w:hanging="357"/>
        <w:contextualSpacing w:val="0"/>
      </w:pPr>
      <w:r>
        <w:t>National security.</w:t>
      </w:r>
    </w:p>
    <w:p w14:paraId="421C7B46" w14:textId="1965F23B" w:rsidR="00AF37CB" w:rsidRDefault="00AF37CB" w:rsidP="00AF37CB">
      <w:pPr>
        <w:pStyle w:val="ListParagraph"/>
        <w:numPr>
          <w:ilvl w:val="1"/>
          <w:numId w:val="19"/>
        </w:numPr>
        <w:spacing w:after="60" w:line="240" w:lineRule="auto"/>
        <w:ind w:left="1208" w:hanging="357"/>
        <w:contextualSpacing w:val="0"/>
      </w:pPr>
      <w:r>
        <w:t xml:space="preserve">This will be an assessment of whether the offshore infrastructure project </w:t>
      </w:r>
      <w:r w:rsidR="006565AD">
        <w:t xml:space="preserve">for the TIL </w:t>
      </w:r>
      <w:proofErr w:type="gramStart"/>
      <w:r>
        <w:t>has the potential</w:t>
      </w:r>
      <w:proofErr w:type="gramEnd"/>
      <w:r>
        <w:t xml:space="preserve"> to impact negatively on national security.</w:t>
      </w:r>
    </w:p>
    <w:p w14:paraId="59B1FB7A" w14:textId="24B1F6C3" w:rsidR="00AF37CB" w:rsidRDefault="00AF37CB" w:rsidP="00AF37CB">
      <w:pPr>
        <w:pStyle w:val="ListParagraph"/>
        <w:numPr>
          <w:ilvl w:val="1"/>
          <w:numId w:val="19"/>
        </w:numPr>
        <w:spacing w:after="60" w:line="240" w:lineRule="auto"/>
        <w:ind w:left="1208" w:hanging="357"/>
        <w:contextualSpacing w:val="0"/>
      </w:pPr>
      <w:r>
        <w:t xml:space="preserve">The assessment is separate to any assessment by the Foreign Investment Review Board. </w:t>
      </w:r>
    </w:p>
    <w:p w14:paraId="1C09695D" w14:textId="77777777" w:rsidR="00AF37CB" w:rsidRDefault="00AF37CB" w:rsidP="00AF37CB">
      <w:pPr>
        <w:pStyle w:val="ListParagraph"/>
        <w:numPr>
          <w:ilvl w:val="0"/>
          <w:numId w:val="8"/>
        </w:numPr>
        <w:spacing w:after="80" w:line="240" w:lineRule="auto"/>
        <w:ind w:left="924" w:hanging="357"/>
        <w:contextualSpacing w:val="0"/>
      </w:pPr>
      <w:r>
        <w:t xml:space="preserve">Whether the offshore infrastructure project is likely to be delivered within a reasonable time. </w:t>
      </w:r>
    </w:p>
    <w:p w14:paraId="301BD9CC" w14:textId="68097CF5" w:rsidR="00AF37CB" w:rsidRDefault="00AF37CB" w:rsidP="00AF37CB">
      <w:pPr>
        <w:pStyle w:val="ListParagraph"/>
        <w:numPr>
          <w:ilvl w:val="1"/>
          <w:numId w:val="21"/>
        </w:numPr>
        <w:spacing w:after="60" w:line="240" w:lineRule="auto"/>
        <w:ind w:left="1208" w:hanging="357"/>
        <w:contextualSpacing w:val="0"/>
      </w:pPr>
      <w:r>
        <w:t>This will be an assessment of how efficiently the person is planning to deliver the offshore infrastructure project</w:t>
      </w:r>
      <w:r w:rsidR="003609DD">
        <w:t xml:space="preserve"> for the TIL</w:t>
      </w:r>
      <w:r>
        <w:t xml:space="preserve">, supported by </w:t>
      </w:r>
      <w:r w:rsidR="00810F11">
        <w:t>the</w:t>
      </w:r>
      <w:r>
        <w:t xml:space="preserve"> project development plan</w:t>
      </w:r>
      <w:r w:rsidR="00622DF9">
        <w:t>,</w:t>
      </w:r>
      <w:r w:rsidR="002B2D82">
        <w:t xml:space="preserve"> project</w:t>
      </w:r>
      <w:r w:rsidR="00622DF9">
        <w:t xml:space="preserve"> schedule</w:t>
      </w:r>
      <w:r w:rsidR="00810F11">
        <w:t xml:space="preserve"> and risk assessment</w:t>
      </w:r>
      <w:r>
        <w:t xml:space="preserve">, as the most efficient delivery is preferred.  </w:t>
      </w:r>
    </w:p>
    <w:p w14:paraId="190F5F95" w14:textId="05776AC2" w:rsidR="004A3104" w:rsidRDefault="00AF37CB" w:rsidP="004A3104">
      <w:pPr>
        <w:pStyle w:val="ListParagraph"/>
        <w:numPr>
          <w:ilvl w:val="1"/>
          <w:numId w:val="21"/>
        </w:numPr>
        <w:spacing w:after="60" w:line="240" w:lineRule="auto"/>
        <w:ind w:left="1208" w:hanging="357"/>
        <w:contextualSpacing w:val="0"/>
      </w:pPr>
      <w:r>
        <w:t>The assessment will consider whether the offshore infrastructure project</w:t>
      </w:r>
      <w:r w:rsidR="003609DD">
        <w:t xml:space="preserve"> for the TIL</w:t>
      </w:r>
      <w:r>
        <w:t xml:space="preserve"> is proposed to be delivered in phases, the timing of the projected phasing and drivers for </w:t>
      </w:r>
      <w:r w:rsidR="00F44378" w:rsidRPr="004036A3">
        <w:t xml:space="preserve">and likelihood of </w:t>
      </w:r>
      <w:r>
        <w:t xml:space="preserve">delivery of each phase. </w:t>
      </w:r>
    </w:p>
    <w:p w14:paraId="65A587F0" w14:textId="65DF3681" w:rsidR="004A3104" w:rsidRDefault="00057549" w:rsidP="004A3104">
      <w:pPr>
        <w:pStyle w:val="ListParagraph"/>
        <w:numPr>
          <w:ilvl w:val="1"/>
          <w:numId w:val="21"/>
        </w:numPr>
        <w:spacing w:after="60" w:line="240" w:lineRule="auto"/>
        <w:ind w:left="1208" w:hanging="357"/>
        <w:contextualSpacing w:val="0"/>
      </w:pPr>
      <w:r>
        <w:t>T</w:t>
      </w:r>
      <w:r w:rsidR="004A3104">
        <w:t xml:space="preserve">here should be clear links between the </w:t>
      </w:r>
      <w:r>
        <w:t xml:space="preserve">TIL </w:t>
      </w:r>
      <w:r w:rsidR="004A3104">
        <w:t>project</w:t>
      </w:r>
      <w:r>
        <w:t xml:space="preserve"> and the source project </w:t>
      </w:r>
      <w:r w:rsidR="004A3104">
        <w:t>and risks and mitigations for timely delivery should be clearly identified.</w:t>
      </w:r>
    </w:p>
    <w:p w14:paraId="23D80AE6" w14:textId="112FAAA4" w:rsidR="00AF37CB" w:rsidRDefault="00AF37CB" w:rsidP="00AF37CB">
      <w:pPr>
        <w:pStyle w:val="ListParagraph"/>
        <w:numPr>
          <w:ilvl w:val="1"/>
          <w:numId w:val="21"/>
        </w:numPr>
        <w:spacing w:after="60" w:line="240" w:lineRule="auto"/>
        <w:ind w:left="1208" w:hanging="357"/>
        <w:contextualSpacing w:val="0"/>
      </w:pPr>
      <w:r>
        <w:t xml:space="preserve">A person that has multiple offshore electricity infrastructure project proposals or licences in Australia or internationally will be assessed on its ability to deliver the offshore infrastructure project under the licence </w:t>
      </w:r>
      <w:proofErr w:type="gramStart"/>
      <w:r>
        <w:t>taking into account</w:t>
      </w:r>
      <w:proofErr w:type="gramEnd"/>
      <w:r>
        <w:t xml:space="preserve"> all of the current and proposed projects and licences in the portfolio.</w:t>
      </w:r>
    </w:p>
    <w:p w14:paraId="3226CC5B" w14:textId="77777777" w:rsidR="00AF37CB" w:rsidRDefault="00AF37CB" w:rsidP="00AF37CB">
      <w:pPr>
        <w:pStyle w:val="ListParagraph"/>
        <w:numPr>
          <w:ilvl w:val="0"/>
          <w:numId w:val="8"/>
        </w:numPr>
        <w:spacing w:after="80" w:line="240" w:lineRule="auto"/>
        <w:ind w:left="924" w:hanging="357"/>
        <w:contextualSpacing w:val="0"/>
      </w:pPr>
      <w:r>
        <w:t>Whether the offshore infrastructure project is likely to make</w:t>
      </w:r>
      <w:r w:rsidRPr="005B78AE">
        <w:t xml:space="preserve"> efficient use of the </w:t>
      </w:r>
      <w:r>
        <w:t>licence</w:t>
      </w:r>
      <w:r w:rsidRPr="005B78AE">
        <w:t xml:space="preserve"> area</w:t>
      </w:r>
      <w:r>
        <w:t>.</w:t>
      </w:r>
    </w:p>
    <w:p w14:paraId="157A9EBF" w14:textId="77777777" w:rsidR="00AF37CB" w:rsidRDefault="00AF37CB" w:rsidP="00AF37CB">
      <w:pPr>
        <w:pStyle w:val="ListParagraph"/>
        <w:numPr>
          <w:ilvl w:val="1"/>
          <w:numId w:val="20"/>
        </w:numPr>
        <w:spacing w:after="60" w:line="240" w:lineRule="auto"/>
        <w:ind w:left="1208" w:hanging="357"/>
        <w:contextualSpacing w:val="0"/>
      </w:pPr>
      <w:r>
        <w:t>This will be an assessment of the proposed licence area against the proposed transmission capacity to ensure the most efficient use of the Commonwealth seabed area.</w:t>
      </w:r>
    </w:p>
    <w:p w14:paraId="4B77CF4D" w14:textId="77777777" w:rsidR="0050597F" w:rsidRDefault="00AF37CB" w:rsidP="0050597F">
      <w:pPr>
        <w:pStyle w:val="ListParagraph"/>
        <w:numPr>
          <w:ilvl w:val="1"/>
          <w:numId w:val="20"/>
        </w:numPr>
        <w:spacing w:after="60" w:line="240" w:lineRule="auto"/>
        <w:ind w:left="1208" w:hanging="357"/>
        <w:contextualSpacing w:val="0"/>
      </w:pPr>
      <w:r>
        <w:t>The assessment will consider the person’s justification for the proposed operational area</w:t>
      </w:r>
      <w:r w:rsidR="0050597F">
        <w:t xml:space="preserve">. </w:t>
      </w:r>
    </w:p>
    <w:p w14:paraId="3A6EF7A4" w14:textId="0BEA342B" w:rsidR="0050597F" w:rsidRDefault="0050597F" w:rsidP="0050597F">
      <w:pPr>
        <w:pStyle w:val="ListParagraph"/>
        <w:numPr>
          <w:ilvl w:val="1"/>
          <w:numId w:val="20"/>
        </w:numPr>
        <w:spacing w:after="60" w:line="240" w:lineRule="auto"/>
        <w:ind w:left="1208" w:hanging="357"/>
        <w:contextualSpacing w:val="0"/>
      </w:pPr>
      <w:r>
        <w:t>C</w:t>
      </w:r>
      <w:r w:rsidRPr="008E2778">
        <w:t>orridor</w:t>
      </w:r>
      <w:r>
        <w:t xml:space="preserve"> </w:t>
      </w:r>
      <w:r w:rsidR="005A09E7">
        <w:t xml:space="preserve">or </w:t>
      </w:r>
      <w:r>
        <w:t>spacing</w:t>
      </w:r>
      <w:r w:rsidRPr="008E2778">
        <w:t xml:space="preserve"> </w:t>
      </w:r>
      <w:r w:rsidRPr="00F043A5">
        <w:t>should</w:t>
      </w:r>
      <w:r w:rsidRPr="00810F11">
        <w:rPr>
          <w:b/>
          <w:bCs/>
        </w:rPr>
        <w:t xml:space="preserve"> not exceed</w:t>
      </w:r>
      <w:r w:rsidRPr="008E2778">
        <w:t xml:space="preserve"> 3 x water depth on either side of a cable. </w:t>
      </w:r>
    </w:p>
    <w:p w14:paraId="0EC92817" w14:textId="7DC2E536" w:rsidR="005A09E7" w:rsidRPr="006D10AC" w:rsidRDefault="005A09E7" w:rsidP="005A09E7">
      <w:pPr>
        <w:pStyle w:val="ListParagraph"/>
        <w:spacing w:after="60" w:line="240" w:lineRule="auto"/>
        <w:ind w:left="1208"/>
        <w:contextualSpacing w:val="0"/>
        <w:rPr>
          <w:sz w:val="20"/>
          <w:szCs w:val="20"/>
        </w:rPr>
      </w:pPr>
      <w:r w:rsidRPr="006D10AC">
        <w:rPr>
          <w:b/>
          <w:bCs/>
          <w:sz w:val="20"/>
          <w:szCs w:val="20"/>
        </w:rPr>
        <w:t>Note:</w:t>
      </w:r>
      <w:r w:rsidRPr="006D10AC">
        <w:rPr>
          <w:sz w:val="20"/>
          <w:szCs w:val="20"/>
        </w:rPr>
        <w:t xml:space="preserve"> </w:t>
      </w:r>
      <w:r w:rsidR="00E36385" w:rsidRPr="006D10AC">
        <w:rPr>
          <w:sz w:val="20"/>
          <w:szCs w:val="20"/>
        </w:rPr>
        <w:t xml:space="preserve">Under subsection 61(2) of the OEI Act, a TIL </w:t>
      </w:r>
      <w:r w:rsidR="004A33B5" w:rsidRPr="00CB0F47">
        <w:rPr>
          <w:color w:val="000000"/>
          <w:sz w:val="20"/>
          <w:szCs w:val="20"/>
          <w:shd w:val="clear" w:color="auto" w:fill="FFFFFF"/>
        </w:rPr>
        <w:t>may be granted in respect of one or more areas (which need not be continuous) that are within the Commonwealth offshore area at the time the licence is granted</w:t>
      </w:r>
      <w:r w:rsidR="00E36385" w:rsidRPr="006D10AC">
        <w:rPr>
          <w:sz w:val="20"/>
          <w:szCs w:val="20"/>
        </w:rPr>
        <w:t>.</w:t>
      </w:r>
    </w:p>
    <w:p w14:paraId="6106AAEE" w14:textId="13FE4E15" w:rsidR="00AF37CB" w:rsidRDefault="0069359D" w:rsidP="00AF37CB">
      <w:pPr>
        <w:pStyle w:val="ListParagraph"/>
        <w:numPr>
          <w:ilvl w:val="1"/>
          <w:numId w:val="20"/>
        </w:numPr>
        <w:spacing w:after="60" w:line="240" w:lineRule="auto"/>
        <w:ind w:left="1208" w:hanging="357"/>
        <w:contextualSpacing w:val="0"/>
      </w:pPr>
      <w:r>
        <w:lastRenderedPageBreak/>
        <w:t xml:space="preserve">The assessment will consider whether the person has </w:t>
      </w:r>
      <w:r w:rsidR="00541BC2">
        <w:t xml:space="preserve">considered </w:t>
      </w:r>
      <w:r w:rsidR="00AF37CB">
        <w:t xml:space="preserve">factors </w:t>
      </w:r>
      <w:r w:rsidR="00EE23E9">
        <w:t>relevant to</w:t>
      </w:r>
      <w:r w:rsidR="00AF37CB">
        <w:t xml:space="preserve"> infrastructure layout with respect to the characteristics of the proposed licence area</w:t>
      </w:r>
      <w:r w:rsidR="00541BC2">
        <w:t xml:space="preserve"> as currently </w:t>
      </w:r>
      <w:proofErr w:type="gramStart"/>
      <w:r w:rsidR="00541BC2">
        <w:t>understood</w:t>
      </w:r>
      <w:r w:rsidR="00BB01C2">
        <w:t>,</w:t>
      </w:r>
      <w:r w:rsidR="00541BC2">
        <w:t xml:space="preserve"> and</w:t>
      </w:r>
      <w:proofErr w:type="gramEnd"/>
      <w:r w:rsidR="00541BC2">
        <w:t xml:space="preserve"> included appropriate activities to confirm their understanding during the licence term. </w:t>
      </w:r>
    </w:p>
    <w:p w14:paraId="57D857E8" w14:textId="77777777" w:rsidR="00AF37CB" w:rsidRDefault="00AF37CB" w:rsidP="00AF37CB">
      <w:pPr>
        <w:pStyle w:val="ListParagraph"/>
        <w:numPr>
          <w:ilvl w:val="0"/>
          <w:numId w:val="8"/>
        </w:numPr>
        <w:spacing w:after="80" w:line="240" w:lineRule="auto"/>
        <w:ind w:left="924" w:hanging="357"/>
        <w:contextualSpacing w:val="0"/>
      </w:pPr>
      <w:r>
        <w:t xml:space="preserve">Conflicts that might arise with other uses or users of the licence area and the person’s proposed measures and actions to mitigate such conflicts. </w:t>
      </w:r>
    </w:p>
    <w:p w14:paraId="21B14B41" w14:textId="7F8827B7" w:rsidR="00AF37CB" w:rsidRDefault="00AF37CB" w:rsidP="00AF37CB">
      <w:pPr>
        <w:pStyle w:val="ListParagraph"/>
        <w:numPr>
          <w:ilvl w:val="0"/>
          <w:numId w:val="22"/>
        </w:numPr>
        <w:spacing w:after="60" w:line="240" w:lineRule="auto"/>
        <w:ind w:left="1208" w:hanging="357"/>
        <w:contextualSpacing w:val="0"/>
      </w:pPr>
      <w:r>
        <w:t>This will be an assessment of whether the offshore infrastructure project is likely to be incompatible with other uses or users of the licence area or adjacent marine environment including Defence, shipping, aviation, fishing, native title, local communities, oil and gas, greenhouse gas, other subsea infrastructure</w:t>
      </w:r>
      <w:r w:rsidR="00534393">
        <w:t>, existing</w:t>
      </w:r>
      <w:r>
        <w:t xml:space="preserve"> cabling </w:t>
      </w:r>
      <w:r w:rsidR="00E53416">
        <w:t xml:space="preserve">(including but not limited to telecommunications) </w:t>
      </w:r>
      <w:r>
        <w:t>and other offshore electricity infrastructure licences, where relevant.</w:t>
      </w:r>
    </w:p>
    <w:p w14:paraId="29A0CCA3" w14:textId="63D8CC19" w:rsidR="00AF37CB" w:rsidRDefault="00AF37CB" w:rsidP="00AF37CB">
      <w:pPr>
        <w:pStyle w:val="ListParagraph"/>
        <w:numPr>
          <w:ilvl w:val="0"/>
          <w:numId w:val="22"/>
        </w:numPr>
        <w:spacing w:after="60" w:line="240" w:lineRule="auto"/>
        <w:ind w:left="1208" w:hanging="357"/>
        <w:contextualSpacing w:val="0"/>
      </w:pPr>
      <w:r>
        <w:t>The person’s proposed measures and actions to investigate and mitigate such conflicts will also be assessed. A</w:t>
      </w:r>
      <w:r w:rsidR="00825513">
        <w:t>t a minimum, a</w:t>
      </w:r>
      <w:r>
        <w:t xml:space="preserve"> person should have identified relevant stakeholders and have a plan</w:t>
      </w:r>
      <w:r w:rsidR="00825513">
        <w:t xml:space="preserve"> and schedule</w:t>
      </w:r>
      <w:r>
        <w:t xml:space="preserve"> to </w:t>
      </w:r>
      <w:r w:rsidR="00760017" w:rsidRPr="004036A3">
        <w:t xml:space="preserve">investigate, </w:t>
      </w:r>
      <w:r>
        <w:t>manage</w:t>
      </w:r>
      <w:r w:rsidR="00760017" w:rsidRPr="004036A3">
        <w:t>,</w:t>
      </w:r>
      <w:r>
        <w:t xml:space="preserve"> and resolve any conflicts. </w:t>
      </w:r>
    </w:p>
    <w:p w14:paraId="18D762C2" w14:textId="77777777" w:rsidR="00AF37CB" w:rsidRDefault="00AF37CB" w:rsidP="00AF37CB">
      <w:pPr>
        <w:pStyle w:val="ListParagraph"/>
        <w:numPr>
          <w:ilvl w:val="0"/>
          <w:numId w:val="8"/>
        </w:numPr>
        <w:spacing w:after="80" w:line="240" w:lineRule="auto"/>
        <w:ind w:left="924" w:hanging="357"/>
        <w:contextualSpacing w:val="0"/>
      </w:pPr>
      <w:r>
        <w:t>Any other matters the Minister considers relevant.</w:t>
      </w:r>
    </w:p>
    <w:p w14:paraId="19F46247" w14:textId="77777777" w:rsidR="00AF37CB" w:rsidRPr="00667FC0" w:rsidRDefault="00AF37CB" w:rsidP="00AF37CB">
      <w:pPr>
        <w:pStyle w:val="Heading2"/>
        <w:numPr>
          <w:ilvl w:val="1"/>
          <w:numId w:val="1"/>
        </w:numPr>
        <w:spacing w:before="120"/>
        <w:ind w:hanging="720"/>
      </w:pPr>
      <w:bookmarkStart w:id="11" w:name="_Toc112329550"/>
      <w:bookmarkStart w:id="12" w:name="_Toc133220102"/>
      <w:r w:rsidRPr="00667FC0">
        <w:t>Request for Further Information from the Registrar</w:t>
      </w:r>
      <w:r>
        <w:t xml:space="preserve"> </w:t>
      </w:r>
      <w:r>
        <w:rPr>
          <w:b w:val="0"/>
          <w:bCs/>
        </w:rPr>
        <w:t>(</w:t>
      </w:r>
      <w:r w:rsidRPr="00AF37CB">
        <w:rPr>
          <w:b w:val="0"/>
          <w:bCs/>
        </w:rPr>
        <w:t>section 41 OEI</w:t>
      </w:r>
      <w:r>
        <w:rPr>
          <w:b w:val="0"/>
          <w:bCs/>
        </w:rPr>
        <w:t xml:space="preserve"> R</w:t>
      </w:r>
      <w:r w:rsidRPr="00FA4447">
        <w:rPr>
          <w:b w:val="0"/>
          <w:bCs/>
        </w:rPr>
        <w:t>e</w:t>
      </w:r>
      <w:r>
        <w:rPr>
          <w:b w:val="0"/>
          <w:bCs/>
        </w:rPr>
        <w:t>gulation</w:t>
      </w:r>
      <w:r w:rsidRPr="00FA4447">
        <w:rPr>
          <w:b w:val="0"/>
          <w:bCs/>
        </w:rPr>
        <w:t>s)</w:t>
      </w:r>
      <w:bookmarkEnd w:id="11"/>
      <w:bookmarkEnd w:id="12"/>
    </w:p>
    <w:p w14:paraId="4F6B014E" w14:textId="29D0779D" w:rsidR="00AF37CB" w:rsidRDefault="00AF37CB" w:rsidP="00AF37CB">
      <w:pPr>
        <w:pStyle w:val="ListParagraph"/>
        <w:numPr>
          <w:ilvl w:val="2"/>
          <w:numId w:val="1"/>
        </w:numPr>
        <w:spacing w:after="60" w:line="240" w:lineRule="auto"/>
        <w:ind w:left="709"/>
        <w:contextualSpacing w:val="0"/>
      </w:pPr>
      <w:r>
        <w:t>For the purpose</w:t>
      </w:r>
      <w:r w:rsidR="00104F20">
        <w:t>s</w:t>
      </w:r>
      <w:r>
        <w:t xml:space="preserve"> of advising the Minister in relation to an application, the Registrar may request additional information or clarify any aspect of the application through a written RFI</w:t>
      </w:r>
      <w:r w:rsidRPr="005963D9">
        <w:t xml:space="preserve"> </w:t>
      </w:r>
      <w:r>
        <w:t xml:space="preserve">issued to the person. The RFI will specify the information </w:t>
      </w:r>
      <w:r w:rsidR="00104F20">
        <w:t>required</w:t>
      </w:r>
      <w:r>
        <w:t xml:space="preserve"> and </w:t>
      </w:r>
      <w:r w:rsidR="00104F20">
        <w:t>the</w:t>
      </w:r>
      <w:r>
        <w:t xml:space="preserve"> </w:t>
      </w:r>
      <w:r w:rsidR="00104F20">
        <w:t>day on or before which</w:t>
      </w:r>
      <w:r>
        <w:t xml:space="preserve"> </w:t>
      </w:r>
      <w:r w:rsidR="00104F20">
        <w:t xml:space="preserve">the information must be provided and the </w:t>
      </w:r>
      <w:proofErr w:type="gramStart"/>
      <w:r w:rsidR="00104F20">
        <w:t>manner in which</w:t>
      </w:r>
      <w:proofErr w:type="gramEnd"/>
      <w:r w:rsidR="00104F20">
        <w:t xml:space="preserve"> the information must be provided</w:t>
      </w:r>
      <w:r>
        <w:t xml:space="preserve">. </w:t>
      </w:r>
    </w:p>
    <w:p w14:paraId="571DDA10" w14:textId="777B3872" w:rsidR="00AF37CB" w:rsidRPr="002015C3" w:rsidRDefault="00AF37CB" w:rsidP="00AF37CB">
      <w:pPr>
        <w:pStyle w:val="ListParagraph"/>
        <w:numPr>
          <w:ilvl w:val="2"/>
          <w:numId w:val="1"/>
        </w:numPr>
        <w:spacing w:after="60" w:line="240" w:lineRule="auto"/>
        <w:ind w:left="709"/>
        <w:contextualSpacing w:val="0"/>
      </w:pPr>
      <w:r>
        <w:t xml:space="preserve">If </w:t>
      </w:r>
      <w:r w:rsidR="00E70F29">
        <w:t xml:space="preserve">the </w:t>
      </w:r>
      <w:r>
        <w:t xml:space="preserve">information is not </w:t>
      </w:r>
      <w:r w:rsidR="00E70F29">
        <w:t>provided</w:t>
      </w:r>
      <w:r>
        <w:t xml:space="preserve"> </w:t>
      </w:r>
      <w:r w:rsidR="00104F20">
        <w:t>on or before the day</w:t>
      </w:r>
      <w:r>
        <w:t xml:space="preserve"> specified, the Minister may, by written notice given to the person, refuse to consider the application</w:t>
      </w:r>
      <w:r w:rsidR="00E70F29">
        <w:t xml:space="preserve"> further</w:t>
      </w:r>
      <w:r>
        <w:t xml:space="preserve">. The application fee will not be refunded. A person will need to re-apply under the licensing scheme if it wishes to proceed with its proposed project.  </w:t>
      </w:r>
    </w:p>
    <w:p w14:paraId="2F4371A7" w14:textId="6D352FB7" w:rsidR="00AF37CB" w:rsidRPr="005F2E05" w:rsidRDefault="00AF37CB" w:rsidP="00AF37CB">
      <w:pPr>
        <w:pStyle w:val="Heading2"/>
        <w:numPr>
          <w:ilvl w:val="1"/>
          <w:numId w:val="1"/>
        </w:numPr>
        <w:spacing w:before="120"/>
        <w:ind w:hanging="720"/>
      </w:pPr>
      <w:bookmarkStart w:id="13" w:name="_Toc112329551"/>
      <w:bookmarkStart w:id="14" w:name="_Toc133220103"/>
      <w:r w:rsidRPr="00662E91">
        <w:t xml:space="preserve">Overlap of TIL Application </w:t>
      </w:r>
      <w:r w:rsidR="004B0AE5" w:rsidRPr="00662E91">
        <w:t xml:space="preserve">Licence </w:t>
      </w:r>
      <w:r w:rsidRPr="00662E91">
        <w:t xml:space="preserve">Areas </w:t>
      </w:r>
      <w:r w:rsidRPr="00662E91">
        <w:rPr>
          <w:b w:val="0"/>
          <w:bCs/>
        </w:rPr>
        <w:t>(sections</w:t>
      </w:r>
      <w:r>
        <w:rPr>
          <w:b w:val="0"/>
          <w:bCs/>
        </w:rPr>
        <w:t xml:space="preserve"> 22 and 23</w:t>
      </w:r>
      <w:r w:rsidRPr="00FA4447">
        <w:rPr>
          <w:b w:val="0"/>
          <w:bCs/>
        </w:rPr>
        <w:t xml:space="preserve"> OEI Regulations)</w:t>
      </w:r>
      <w:bookmarkEnd w:id="13"/>
      <w:bookmarkEnd w:id="14"/>
    </w:p>
    <w:p w14:paraId="496BE557" w14:textId="78425ADC" w:rsidR="00AF37CB" w:rsidRDefault="00AF37CB" w:rsidP="00AF37CB">
      <w:pPr>
        <w:pStyle w:val="ListParagraph"/>
        <w:numPr>
          <w:ilvl w:val="2"/>
          <w:numId w:val="1"/>
        </w:numPr>
        <w:spacing w:after="60" w:line="240" w:lineRule="auto"/>
        <w:ind w:left="709"/>
        <w:contextualSpacing w:val="0"/>
      </w:pPr>
      <w:r w:rsidRPr="00560768">
        <w:t xml:space="preserve">If </w:t>
      </w:r>
      <w:r>
        <w:t>TIL</w:t>
      </w:r>
      <w:r w:rsidRPr="00560768">
        <w:t xml:space="preserve"> applications cover wholly or partly the same area, the Registrar may notify </w:t>
      </w:r>
      <w:r>
        <w:t>the applicants</w:t>
      </w:r>
      <w:r w:rsidRPr="00560768">
        <w:t xml:space="preserve"> in writing of the overlap and invite </w:t>
      </w:r>
      <w:r>
        <w:t>them</w:t>
      </w:r>
      <w:r w:rsidRPr="00560768">
        <w:t xml:space="preserve"> to revise</w:t>
      </w:r>
      <w:r>
        <w:t xml:space="preserve"> and resubmit</w:t>
      </w:r>
      <w:r w:rsidRPr="00560768">
        <w:t xml:space="preserve"> their applications to remove the overlap. </w:t>
      </w:r>
      <w:r w:rsidR="00840797">
        <w:t xml:space="preserve">The notice and invitation must specify the day on or before which an application, as revised, must be resubmitted. </w:t>
      </w:r>
    </w:p>
    <w:p w14:paraId="4B4A13FF" w14:textId="77777777" w:rsidR="00AF37CB" w:rsidRDefault="00AF37CB" w:rsidP="00AF37CB">
      <w:pPr>
        <w:pStyle w:val="ListParagraph"/>
        <w:numPr>
          <w:ilvl w:val="2"/>
          <w:numId w:val="1"/>
        </w:numPr>
        <w:spacing w:after="60" w:line="240" w:lineRule="auto"/>
        <w:ind w:left="709"/>
        <w:contextualSpacing w:val="0"/>
      </w:pPr>
      <w:r>
        <w:t xml:space="preserve">The notice and invitation must set out, for each other applicant whose application overlaps, the area(s) of overlap; the name of the other applicant; and the kind of project the other applicant proposes to carry out. The notice and invitation may </w:t>
      </w:r>
      <w:r w:rsidRPr="000A3484">
        <w:t>include such information as the Registrar considers reasonable about the applications and other applications that cover areas adjacent to, or nearby, the area covered by the applicant’s application.</w:t>
      </w:r>
    </w:p>
    <w:p w14:paraId="73EDEBDC" w14:textId="45CCB1ED" w:rsidR="00AF37CB" w:rsidRDefault="00AF37CB" w:rsidP="00AF37CB">
      <w:pPr>
        <w:pStyle w:val="ListParagraph"/>
        <w:numPr>
          <w:ilvl w:val="2"/>
          <w:numId w:val="1"/>
        </w:numPr>
        <w:spacing w:after="60" w:line="240" w:lineRule="auto"/>
        <w:ind w:left="709"/>
        <w:contextualSpacing w:val="0"/>
      </w:pPr>
      <w:r w:rsidRPr="00560768">
        <w:t xml:space="preserve">A person who revises </w:t>
      </w:r>
      <w:r w:rsidR="00840797">
        <w:t>an</w:t>
      </w:r>
      <w:r w:rsidRPr="00560768">
        <w:t xml:space="preserve"> application in response to the invitation is not required to pay an additional fee for </w:t>
      </w:r>
      <w:r>
        <w:t xml:space="preserve">revising or </w:t>
      </w:r>
      <w:r w:rsidRPr="008C6BE4">
        <w:t>resubmi</w:t>
      </w:r>
      <w:r>
        <w:t>tting</w:t>
      </w:r>
      <w:r w:rsidRPr="00560768">
        <w:t xml:space="preserve"> the application. </w:t>
      </w:r>
    </w:p>
    <w:p w14:paraId="097E490B" w14:textId="77777777" w:rsidR="00AF37CB" w:rsidRPr="00027AF3" w:rsidRDefault="00AF37CB" w:rsidP="00AF37CB">
      <w:pPr>
        <w:pStyle w:val="ListParagraph"/>
        <w:numPr>
          <w:ilvl w:val="2"/>
          <w:numId w:val="1"/>
        </w:numPr>
        <w:spacing w:after="40" w:line="240" w:lineRule="auto"/>
        <w:ind w:left="709"/>
        <w:contextualSpacing w:val="0"/>
      </w:pPr>
      <w:r w:rsidRPr="00027AF3">
        <w:t xml:space="preserve">If an applicant revises and resubmits an application in response to the invitation, and the revised application is in accordance with </w:t>
      </w:r>
      <w:r>
        <w:t>section</w:t>
      </w:r>
      <w:r w:rsidRPr="00027AF3">
        <w:t xml:space="preserve"> </w:t>
      </w:r>
      <w:r>
        <w:t>23</w:t>
      </w:r>
      <w:r w:rsidRPr="00027AF3">
        <w:t xml:space="preserve"> of the OEI Reg</w:t>
      </w:r>
      <w:r>
        <w:t>ulation</w:t>
      </w:r>
      <w:r w:rsidRPr="00027AF3">
        <w:t>s, the resubmitted application replaces the original application</w:t>
      </w:r>
      <w:r w:rsidRPr="00B34D42">
        <w:t xml:space="preserve"> </w:t>
      </w:r>
      <w:r>
        <w:t>and the original application will be disregarded</w:t>
      </w:r>
      <w:r w:rsidRPr="00027AF3">
        <w:t xml:space="preserve">. </w:t>
      </w:r>
    </w:p>
    <w:p w14:paraId="4C338AFD" w14:textId="77777777" w:rsidR="0037319B" w:rsidRPr="0087716D" w:rsidRDefault="00AF37CB" w:rsidP="00AF37CB">
      <w:pPr>
        <w:pStyle w:val="ListParagraph"/>
        <w:spacing w:after="80" w:line="240" w:lineRule="auto"/>
        <w:ind w:left="709"/>
        <w:contextualSpacing w:val="0"/>
        <w:rPr>
          <w:sz w:val="20"/>
          <w:szCs w:val="20"/>
        </w:rPr>
      </w:pPr>
      <w:r w:rsidRPr="0087716D">
        <w:rPr>
          <w:b/>
          <w:bCs/>
          <w:sz w:val="20"/>
          <w:szCs w:val="20"/>
        </w:rPr>
        <w:t>Note</w:t>
      </w:r>
      <w:r w:rsidR="0037319B" w:rsidRPr="0087716D">
        <w:rPr>
          <w:b/>
          <w:bCs/>
          <w:sz w:val="20"/>
          <w:szCs w:val="20"/>
        </w:rPr>
        <w:t xml:space="preserve"> 1</w:t>
      </w:r>
      <w:r w:rsidRPr="0087716D">
        <w:rPr>
          <w:b/>
          <w:bCs/>
          <w:sz w:val="20"/>
          <w:szCs w:val="20"/>
        </w:rPr>
        <w:t>:</w:t>
      </w:r>
      <w:r w:rsidRPr="0087716D">
        <w:rPr>
          <w:sz w:val="20"/>
          <w:szCs w:val="20"/>
        </w:rPr>
        <w:t xml:space="preserve"> The revised application must be, so far as is reasonably possible, substantially </w:t>
      </w:r>
      <w:proofErr w:type="gramStart"/>
      <w:r w:rsidRPr="0087716D">
        <w:rPr>
          <w:sz w:val="20"/>
          <w:szCs w:val="20"/>
        </w:rPr>
        <w:t>similar to</w:t>
      </w:r>
      <w:proofErr w:type="gramEnd"/>
      <w:r w:rsidRPr="0087716D">
        <w:rPr>
          <w:sz w:val="20"/>
          <w:szCs w:val="20"/>
        </w:rPr>
        <w:t xml:space="preserve"> the original application.</w:t>
      </w:r>
      <w:r w:rsidR="00840797" w:rsidRPr="0087716D">
        <w:rPr>
          <w:sz w:val="20"/>
          <w:szCs w:val="20"/>
        </w:rPr>
        <w:t xml:space="preserve"> </w:t>
      </w:r>
    </w:p>
    <w:p w14:paraId="0B14679A" w14:textId="080DD6FE" w:rsidR="002A62BA" w:rsidRPr="004036A3" w:rsidRDefault="0037319B" w:rsidP="00AF37CB">
      <w:pPr>
        <w:pStyle w:val="ListParagraph"/>
        <w:spacing w:after="80" w:line="240" w:lineRule="auto"/>
        <w:ind w:left="709"/>
        <w:contextualSpacing w:val="0"/>
        <w:rPr>
          <w:sz w:val="20"/>
          <w:szCs w:val="20"/>
        </w:rPr>
      </w:pPr>
      <w:r w:rsidRPr="0087716D">
        <w:rPr>
          <w:b/>
          <w:bCs/>
          <w:sz w:val="20"/>
          <w:szCs w:val="20"/>
        </w:rPr>
        <w:t>Note 2:</w:t>
      </w:r>
      <w:r w:rsidRPr="0087716D">
        <w:rPr>
          <w:sz w:val="20"/>
          <w:szCs w:val="20"/>
        </w:rPr>
        <w:t xml:space="preserve"> </w:t>
      </w:r>
      <w:r w:rsidR="00584A2D" w:rsidRPr="004036A3">
        <w:rPr>
          <w:sz w:val="20"/>
          <w:szCs w:val="20"/>
        </w:rPr>
        <w:t>In considering</w:t>
      </w:r>
      <w:r w:rsidR="00840797" w:rsidRPr="0087716D">
        <w:rPr>
          <w:sz w:val="20"/>
          <w:szCs w:val="20"/>
        </w:rPr>
        <w:t xml:space="preserve"> the </w:t>
      </w:r>
      <w:r w:rsidR="00584A2D" w:rsidRPr="004036A3">
        <w:rPr>
          <w:sz w:val="20"/>
          <w:szCs w:val="20"/>
        </w:rPr>
        <w:t xml:space="preserve">“substantially similar” test, the Registrar may </w:t>
      </w:r>
      <w:proofErr w:type="gramStart"/>
      <w:r w:rsidR="00584A2D" w:rsidRPr="004036A3">
        <w:rPr>
          <w:sz w:val="20"/>
          <w:szCs w:val="20"/>
        </w:rPr>
        <w:t>take into account</w:t>
      </w:r>
      <w:proofErr w:type="gramEnd"/>
      <w:r w:rsidR="00584A2D" w:rsidRPr="004036A3">
        <w:rPr>
          <w:sz w:val="20"/>
          <w:szCs w:val="20"/>
        </w:rPr>
        <w:t xml:space="preserve"> anything it considers relevant, including the location, shape and size of the original and </w:t>
      </w:r>
      <w:r w:rsidR="00840797" w:rsidRPr="0087716D">
        <w:rPr>
          <w:sz w:val="20"/>
          <w:szCs w:val="20"/>
        </w:rPr>
        <w:t xml:space="preserve">revised </w:t>
      </w:r>
      <w:r w:rsidR="00584A2D" w:rsidRPr="004036A3">
        <w:rPr>
          <w:sz w:val="20"/>
          <w:szCs w:val="20"/>
        </w:rPr>
        <w:t>proposed licence areas and the details of the original and revised proposed projects.</w:t>
      </w:r>
    </w:p>
    <w:p w14:paraId="7B3FF0E1" w14:textId="77777777" w:rsidR="003F347A" w:rsidRDefault="0037319B" w:rsidP="003F347A">
      <w:pPr>
        <w:spacing w:before="80" w:after="120" w:line="240" w:lineRule="auto"/>
        <w:ind w:left="709"/>
        <w:rPr>
          <w:sz w:val="20"/>
          <w:szCs w:val="20"/>
        </w:rPr>
      </w:pPr>
      <w:r w:rsidRPr="00356A2C">
        <w:rPr>
          <w:b/>
          <w:bCs/>
          <w:sz w:val="20"/>
          <w:szCs w:val="20"/>
        </w:rPr>
        <w:t xml:space="preserve">Note </w:t>
      </w:r>
      <w:r w:rsidR="00584A2D" w:rsidRPr="00356A2C">
        <w:rPr>
          <w:b/>
          <w:bCs/>
          <w:sz w:val="20"/>
          <w:szCs w:val="20"/>
        </w:rPr>
        <w:t>3</w:t>
      </w:r>
      <w:r w:rsidRPr="00356A2C">
        <w:rPr>
          <w:b/>
          <w:bCs/>
          <w:sz w:val="20"/>
          <w:szCs w:val="20"/>
        </w:rPr>
        <w:t>:</w:t>
      </w:r>
      <w:r w:rsidRPr="00356A2C">
        <w:rPr>
          <w:sz w:val="20"/>
          <w:szCs w:val="20"/>
        </w:rPr>
        <w:t xml:space="preserve"> </w:t>
      </w:r>
      <w:r w:rsidR="009A76A1" w:rsidRPr="00356A2C">
        <w:rPr>
          <w:sz w:val="20"/>
          <w:szCs w:val="20"/>
        </w:rPr>
        <w:t xml:space="preserve">An applicant may choose not to </w:t>
      </w:r>
      <w:r w:rsidR="00840797" w:rsidRPr="00356A2C">
        <w:rPr>
          <w:sz w:val="20"/>
          <w:szCs w:val="20"/>
        </w:rPr>
        <w:t>revise</w:t>
      </w:r>
      <w:r w:rsidR="009A76A1" w:rsidRPr="00356A2C">
        <w:rPr>
          <w:sz w:val="20"/>
          <w:szCs w:val="20"/>
        </w:rPr>
        <w:t xml:space="preserve"> and resubmit its</w:t>
      </w:r>
      <w:r w:rsidR="00840797" w:rsidRPr="00356A2C">
        <w:rPr>
          <w:sz w:val="20"/>
          <w:szCs w:val="20"/>
        </w:rPr>
        <w:t xml:space="preserve"> </w:t>
      </w:r>
      <w:r w:rsidR="00840797" w:rsidRPr="0087716D">
        <w:rPr>
          <w:sz w:val="20"/>
          <w:szCs w:val="20"/>
        </w:rPr>
        <w:t>application</w:t>
      </w:r>
      <w:r w:rsidR="009A76A1" w:rsidRPr="00356A2C">
        <w:rPr>
          <w:sz w:val="20"/>
          <w:szCs w:val="20"/>
        </w:rPr>
        <w:t>,</w:t>
      </w:r>
      <w:r w:rsidR="00840797" w:rsidRPr="0087716D">
        <w:rPr>
          <w:sz w:val="20"/>
          <w:szCs w:val="20"/>
        </w:rPr>
        <w:t xml:space="preserve"> in </w:t>
      </w:r>
      <w:r w:rsidR="009A76A1" w:rsidRPr="00356A2C">
        <w:rPr>
          <w:sz w:val="20"/>
          <w:szCs w:val="20"/>
        </w:rPr>
        <w:t>which case</w:t>
      </w:r>
      <w:r w:rsidR="00840797" w:rsidRPr="0087716D">
        <w:rPr>
          <w:sz w:val="20"/>
          <w:szCs w:val="20"/>
        </w:rPr>
        <w:t xml:space="preserve"> the original application remains </w:t>
      </w:r>
      <w:r w:rsidR="009A76A1" w:rsidRPr="00356A2C">
        <w:rPr>
          <w:sz w:val="20"/>
          <w:szCs w:val="20"/>
        </w:rPr>
        <w:t xml:space="preserve">for the purposes of </w:t>
      </w:r>
      <w:r w:rsidR="00840797" w:rsidRPr="00356A2C">
        <w:rPr>
          <w:sz w:val="20"/>
          <w:szCs w:val="20"/>
        </w:rPr>
        <w:t>section 23 of the OEI Regulations.</w:t>
      </w:r>
      <w:r w:rsidR="00840797" w:rsidRPr="0087716D">
        <w:rPr>
          <w:sz w:val="20"/>
          <w:szCs w:val="20"/>
        </w:rPr>
        <w:t xml:space="preserve"> </w:t>
      </w:r>
    </w:p>
    <w:p w14:paraId="72D98454" w14:textId="77777777" w:rsidR="003F347A" w:rsidRDefault="003F347A" w:rsidP="003F347A">
      <w:pPr>
        <w:spacing w:before="80" w:after="120" w:line="240" w:lineRule="auto"/>
        <w:rPr>
          <w:b/>
          <w:bCs/>
          <w:sz w:val="20"/>
          <w:szCs w:val="20"/>
        </w:rPr>
      </w:pPr>
    </w:p>
    <w:p w14:paraId="3586B16D" w14:textId="5F08E22B" w:rsidR="00AF37CB" w:rsidRPr="00014410" w:rsidRDefault="00AF37CB" w:rsidP="003F347A">
      <w:pPr>
        <w:spacing w:before="80" w:after="120" w:line="240" w:lineRule="auto"/>
        <w:rPr>
          <w:color w:val="4472C4" w:themeColor="accent1"/>
        </w:rPr>
      </w:pPr>
      <w:r w:rsidRPr="005F2E05">
        <w:rPr>
          <w:i/>
          <w:iCs/>
          <w:color w:val="4472C4" w:themeColor="accent1"/>
          <w:u w:val="single"/>
        </w:rPr>
        <w:t xml:space="preserve">Overlap with Other </w:t>
      </w:r>
      <w:r>
        <w:rPr>
          <w:i/>
          <w:iCs/>
          <w:color w:val="4472C4" w:themeColor="accent1"/>
          <w:u w:val="single"/>
        </w:rPr>
        <w:t xml:space="preserve">Offshore Electricity Infrastructure </w:t>
      </w:r>
      <w:r w:rsidRPr="005F2E05">
        <w:rPr>
          <w:i/>
          <w:iCs/>
          <w:color w:val="4472C4" w:themeColor="accent1"/>
          <w:u w:val="single"/>
        </w:rPr>
        <w:t>Licence Areas</w:t>
      </w:r>
      <w:r>
        <w:rPr>
          <w:color w:val="4472C4" w:themeColor="accent1"/>
        </w:rPr>
        <w:t xml:space="preserve"> (subsection 21(4) OEI Regulations)</w:t>
      </w:r>
    </w:p>
    <w:p w14:paraId="0B517300" w14:textId="374AF388" w:rsidR="00AF37CB" w:rsidRPr="00AF37CB" w:rsidRDefault="00AF37CB" w:rsidP="00AF37CB">
      <w:pPr>
        <w:pStyle w:val="ListParagraph"/>
        <w:numPr>
          <w:ilvl w:val="2"/>
          <w:numId w:val="1"/>
        </w:numPr>
        <w:spacing w:after="60" w:line="240" w:lineRule="auto"/>
        <w:ind w:left="709"/>
        <w:contextualSpacing w:val="0"/>
      </w:pPr>
      <w:r w:rsidRPr="005F2E05">
        <w:t xml:space="preserve">If </w:t>
      </w:r>
      <w:r w:rsidRPr="00916B2D">
        <w:t xml:space="preserve">an application for a </w:t>
      </w:r>
      <w:r>
        <w:t>TIL</w:t>
      </w:r>
      <w:r w:rsidRPr="00916B2D">
        <w:t xml:space="preserve"> covers an area that is</w:t>
      </w:r>
      <w:r w:rsidR="007022AF">
        <w:t xml:space="preserve">, or is part of, the licence area of an </w:t>
      </w:r>
      <w:r w:rsidRPr="00916B2D">
        <w:t>existing licence</w:t>
      </w:r>
      <w:r w:rsidR="009F0A0B">
        <w:t xml:space="preserve"> under the OEI Act</w:t>
      </w:r>
      <w:r w:rsidRPr="00916B2D">
        <w:t xml:space="preserve">, </w:t>
      </w:r>
      <w:r>
        <w:t xml:space="preserve">the person </w:t>
      </w:r>
      <w:r w:rsidRPr="00FD7E29">
        <w:t xml:space="preserve">should </w:t>
      </w:r>
      <w:r>
        <w:t xml:space="preserve">have </w:t>
      </w:r>
      <w:r w:rsidRPr="00FD7E29">
        <w:t>consult</w:t>
      </w:r>
      <w:r>
        <w:t>ed</w:t>
      </w:r>
      <w:r w:rsidRPr="00FD7E29">
        <w:t xml:space="preserve"> </w:t>
      </w:r>
      <w:r>
        <w:t xml:space="preserve">with the </w:t>
      </w:r>
      <w:r w:rsidRPr="00FD7E29">
        <w:t xml:space="preserve">existing licence holder prior </w:t>
      </w:r>
      <w:r w:rsidRPr="00FD7E29">
        <w:lastRenderedPageBreak/>
        <w:t xml:space="preserve">to applying for </w:t>
      </w:r>
      <w:r w:rsidR="007022AF">
        <w:t>the</w:t>
      </w:r>
      <w:r w:rsidRPr="00FD7E29">
        <w:t xml:space="preserve"> </w:t>
      </w:r>
      <w:r>
        <w:t>TIL. If</w:t>
      </w:r>
      <w:r w:rsidRPr="00FD7E29">
        <w:t xml:space="preserve"> this is not done to an appropriate standard</w:t>
      </w:r>
      <w:r>
        <w:t xml:space="preserve"> as evidenced in the </w:t>
      </w:r>
      <w:r w:rsidRPr="00AF37CB">
        <w:t xml:space="preserve">application, </w:t>
      </w:r>
      <w:r w:rsidR="007022AF">
        <w:t>the Registrar may invite the holder of the existing licence to make a submission in relation to the potential grant of the TIL (</w:t>
      </w:r>
      <w:r w:rsidR="002D6BF6">
        <w:t>see</w:t>
      </w:r>
      <w:r w:rsidRPr="00AF37CB">
        <w:t xml:space="preserve"> </w:t>
      </w:r>
      <w:r w:rsidRPr="007022AF">
        <w:t xml:space="preserve">sections </w:t>
      </w:r>
      <w:r w:rsidR="001C3447">
        <w:t>7</w:t>
      </w:r>
      <w:r w:rsidRPr="007022AF">
        <w:t>.6.2-</w:t>
      </w:r>
      <w:r w:rsidR="001C3447">
        <w:t>7</w:t>
      </w:r>
      <w:r w:rsidRPr="007022AF">
        <w:t>.6.3 o</w:t>
      </w:r>
      <w:r w:rsidRPr="00AF37CB">
        <w:t xml:space="preserve">f this Guideline). </w:t>
      </w:r>
      <w:r w:rsidR="00205609">
        <w:t xml:space="preserve">This will extend the assessment timeframe. </w:t>
      </w:r>
    </w:p>
    <w:p w14:paraId="4EB576A7" w14:textId="77777777" w:rsidR="00AF37CB" w:rsidRPr="00AF37CB" w:rsidRDefault="00AF37CB" w:rsidP="00AF37CB">
      <w:pPr>
        <w:pStyle w:val="ListParagraph"/>
        <w:numPr>
          <w:ilvl w:val="2"/>
          <w:numId w:val="1"/>
        </w:numPr>
        <w:spacing w:after="60" w:line="240" w:lineRule="auto"/>
        <w:ind w:left="709"/>
        <w:contextualSpacing w:val="0"/>
      </w:pPr>
      <w:r w:rsidRPr="00AF37CB">
        <w:t xml:space="preserve">The Registrar may notify the holder of the existing licence of the name of the applicant; the proposed licence area of the TIL; and the kind of project that the applicant proposes to carry out in the proposed licence area. </w:t>
      </w:r>
    </w:p>
    <w:p w14:paraId="2295D297" w14:textId="77777777" w:rsidR="00AF37CB" w:rsidRPr="00AF37CB" w:rsidRDefault="00AF37CB" w:rsidP="00AF37CB">
      <w:pPr>
        <w:pStyle w:val="Heading2"/>
        <w:numPr>
          <w:ilvl w:val="1"/>
          <w:numId w:val="1"/>
        </w:numPr>
        <w:spacing w:before="120"/>
        <w:ind w:hanging="720"/>
      </w:pPr>
      <w:bookmarkStart w:id="15" w:name="_Toc112329552"/>
      <w:bookmarkStart w:id="16" w:name="_Toc133220104"/>
      <w:r w:rsidRPr="00AF37CB">
        <w:t xml:space="preserve">Decision-Making </w:t>
      </w:r>
      <w:r w:rsidRPr="00AF37CB">
        <w:rPr>
          <w:b w:val="0"/>
          <w:bCs/>
        </w:rPr>
        <w:t>(section 42 OEI Regulations)</w:t>
      </w:r>
      <w:bookmarkEnd w:id="15"/>
      <w:bookmarkEnd w:id="16"/>
    </w:p>
    <w:p w14:paraId="68BCB03D" w14:textId="009CBC8C" w:rsidR="00AF37CB" w:rsidRPr="00AF37CB" w:rsidRDefault="00AF37CB" w:rsidP="00AF37CB">
      <w:pPr>
        <w:pStyle w:val="ListParagraph"/>
        <w:numPr>
          <w:ilvl w:val="2"/>
          <w:numId w:val="1"/>
        </w:numPr>
        <w:spacing w:after="60" w:line="240" w:lineRule="auto"/>
        <w:ind w:left="709"/>
        <w:contextualSpacing w:val="0"/>
      </w:pPr>
      <w:r w:rsidRPr="00AF37CB">
        <w:t xml:space="preserve">When sufficient information has been provided by the person, the Registrar will prepare advice for the Minister </w:t>
      </w:r>
      <w:r w:rsidR="009F26BE">
        <w:t>with</w:t>
      </w:r>
      <w:r w:rsidRPr="00AF37CB">
        <w:t xml:space="preserve"> </w:t>
      </w:r>
      <w:r w:rsidR="009F26BE">
        <w:t xml:space="preserve">a </w:t>
      </w:r>
      <w:r w:rsidRPr="00AF37CB">
        <w:t>recommend</w:t>
      </w:r>
      <w:r w:rsidR="009F26BE">
        <w:t>ation as to</w:t>
      </w:r>
      <w:r w:rsidRPr="00AF37CB">
        <w:t xml:space="preserve"> whether a TIL should be offered to the person. </w:t>
      </w:r>
      <w:r w:rsidR="00F53CD4">
        <w:br/>
      </w:r>
      <w:r w:rsidRPr="00AF37CB">
        <w:t xml:space="preserve">The advice may recommend conditions to be placed on the licence and reasons for the conditions (see section </w:t>
      </w:r>
      <w:r w:rsidR="001C3447">
        <w:t>7</w:t>
      </w:r>
      <w:r w:rsidRPr="009F26BE">
        <w:t>.12 of this</w:t>
      </w:r>
      <w:r w:rsidRPr="00AF37CB">
        <w:t xml:space="preserve"> Guideline). </w:t>
      </w:r>
    </w:p>
    <w:p w14:paraId="29C1F5A5" w14:textId="77777777" w:rsidR="00AF37CB" w:rsidRDefault="00AF37CB" w:rsidP="00AF37CB">
      <w:pPr>
        <w:pStyle w:val="ListParagraph"/>
        <w:numPr>
          <w:ilvl w:val="2"/>
          <w:numId w:val="1"/>
        </w:numPr>
        <w:spacing w:after="60" w:line="240" w:lineRule="auto"/>
        <w:ind w:left="709"/>
        <w:contextualSpacing w:val="0"/>
      </w:pPr>
      <w:r>
        <w:t xml:space="preserve">In considering an application for a licence, the Minister must have regard to any information, assessment, analysis, report, advice or recommendation in relation to the application given to </w:t>
      </w:r>
      <w:r>
        <w:br/>
        <w:t xml:space="preserve">the Minister by the Registrar. </w:t>
      </w:r>
    </w:p>
    <w:p w14:paraId="10F97A7C" w14:textId="77777777" w:rsidR="00AF37CB" w:rsidRPr="0008245F" w:rsidRDefault="00AF37CB" w:rsidP="00AF37CB">
      <w:pPr>
        <w:pStyle w:val="ListParagraph"/>
        <w:numPr>
          <w:ilvl w:val="2"/>
          <w:numId w:val="1"/>
        </w:numPr>
        <w:spacing w:after="60" w:line="240" w:lineRule="auto"/>
        <w:ind w:left="709"/>
        <w:contextualSpacing w:val="0"/>
      </w:pPr>
      <w:r>
        <w:t xml:space="preserve">The Minister will </w:t>
      </w:r>
      <w:proofErr w:type="gramStart"/>
      <w:r>
        <w:t>make a decision</w:t>
      </w:r>
      <w:proofErr w:type="gramEnd"/>
      <w:r>
        <w:t xml:space="preserve"> and advise the Registrar of the decision. </w:t>
      </w:r>
    </w:p>
    <w:p w14:paraId="4DDC9BB9" w14:textId="77777777" w:rsidR="00AF37CB" w:rsidRPr="00667FC0" w:rsidRDefault="00AF37CB" w:rsidP="00AF37CB">
      <w:pPr>
        <w:pStyle w:val="Heading2"/>
        <w:numPr>
          <w:ilvl w:val="1"/>
          <w:numId w:val="1"/>
        </w:numPr>
        <w:spacing w:before="120"/>
        <w:ind w:hanging="720"/>
      </w:pPr>
      <w:bookmarkStart w:id="17" w:name="_Toc112329553"/>
      <w:bookmarkStart w:id="18" w:name="_Toc133220105"/>
      <w:r>
        <w:t>Offer</w:t>
      </w:r>
      <w:r w:rsidRPr="00667FC0">
        <w:t xml:space="preserve"> to Grant a</w:t>
      </w:r>
      <w:r>
        <w:t xml:space="preserve"> TIL </w:t>
      </w:r>
      <w:r w:rsidRPr="00283FD1">
        <w:rPr>
          <w:b w:val="0"/>
          <w:bCs/>
        </w:rPr>
        <w:t>(</w:t>
      </w:r>
      <w:r>
        <w:rPr>
          <w:b w:val="0"/>
          <w:bCs/>
        </w:rPr>
        <w:t xml:space="preserve">section </w:t>
      </w:r>
      <w:r w:rsidRPr="00283FD1">
        <w:rPr>
          <w:b w:val="0"/>
          <w:bCs/>
        </w:rPr>
        <w:t>27 OEI Regulations)</w:t>
      </w:r>
      <w:bookmarkEnd w:id="17"/>
      <w:bookmarkEnd w:id="18"/>
    </w:p>
    <w:p w14:paraId="234ED649" w14:textId="7A9AF56A" w:rsidR="00AF37CB" w:rsidRDefault="00AF37CB" w:rsidP="00AF37CB">
      <w:pPr>
        <w:pStyle w:val="ListParagraph"/>
        <w:numPr>
          <w:ilvl w:val="2"/>
          <w:numId w:val="1"/>
        </w:numPr>
        <w:spacing w:after="60" w:line="240" w:lineRule="auto"/>
        <w:ind w:left="709"/>
        <w:contextualSpacing w:val="0"/>
      </w:pPr>
      <w:r>
        <w:t xml:space="preserve">If the Minister decides to grant a TIL to a person, a written offer </w:t>
      </w:r>
      <w:r w:rsidR="009F26BE">
        <w:t>of licence</w:t>
      </w:r>
      <w:r>
        <w:t xml:space="preserve"> will be given to the person by the Minister or by the Registrar on behalf of the Minister. </w:t>
      </w:r>
    </w:p>
    <w:p w14:paraId="227F6C56" w14:textId="77777777" w:rsidR="00AF37CB" w:rsidRDefault="00AF37CB" w:rsidP="00AF37CB">
      <w:pPr>
        <w:pStyle w:val="ListParagraph"/>
        <w:numPr>
          <w:ilvl w:val="2"/>
          <w:numId w:val="1"/>
        </w:numPr>
        <w:spacing w:after="60" w:line="240" w:lineRule="auto"/>
        <w:ind w:left="709"/>
        <w:contextualSpacing w:val="0"/>
      </w:pPr>
      <w:r>
        <w:t xml:space="preserve">The offer must specify the licence area for the TIL, the day that the licence would come into force if the offer </w:t>
      </w:r>
      <w:proofErr w:type="gramStart"/>
      <w:r>
        <w:t>is</w:t>
      </w:r>
      <w:proofErr w:type="gramEnd"/>
      <w:r>
        <w:t xml:space="preserve"> accepted, the end day of the licence, the conditions that would apply to the licence, the day on or before which the offer must be accepted and the method for accepting the offer.  </w:t>
      </w:r>
    </w:p>
    <w:p w14:paraId="0D6BF377" w14:textId="748081F6" w:rsidR="00AF37CB" w:rsidRDefault="00AF37CB" w:rsidP="00AF37CB">
      <w:pPr>
        <w:pStyle w:val="ListParagraph"/>
        <w:numPr>
          <w:ilvl w:val="2"/>
          <w:numId w:val="1"/>
        </w:numPr>
        <w:spacing w:after="60" w:line="240" w:lineRule="auto"/>
        <w:ind w:left="709"/>
        <w:contextualSpacing w:val="0"/>
      </w:pPr>
      <w:r>
        <w:t xml:space="preserve">If the offer is not accepted by the day specified, the person’s application for the licence will lapse. The application fee will not be refunded. </w:t>
      </w:r>
    </w:p>
    <w:p w14:paraId="0167D601" w14:textId="77777777" w:rsidR="00AF37CB" w:rsidRPr="00667FC0" w:rsidRDefault="00AF37CB" w:rsidP="00AF37CB">
      <w:pPr>
        <w:pStyle w:val="Heading2"/>
        <w:numPr>
          <w:ilvl w:val="1"/>
          <w:numId w:val="1"/>
        </w:numPr>
        <w:spacing w:before="120"/>
        <w:ind w:hanging="720"/>
      </w:pPr>
      <w:bookmarkStart w:id="19" w:name="_Toc112329554"/>
      <w:bookmarkStart w:id="20" w:name="_Toc133220106"/>
      <w:r w:rsidRPr="00667FC0">
        <w:t>Grant of</w:t>
      </w:r>
      <w:r>
        <w:t xml:space="preserve"> TIL </w:t>
      </w:r>
      <w:r>
        <w:rPr>
          <w:b w:val="0"/>
          <w:bCs/>
        </w:rPr>
        <w:t>(section 61 OEI Act and section 28 OEI Regulations)</w:t>
      </w:r>
      <w:bookmarkEnd w:id="19"/>
      <w:bookmarkEnd w:id="20"/>
    </w:p>
    <w:p w14:paraId="4F0086EC" w14:textId="77777777" w:rsidR="00AF37CB" w:rsidRPr="004036A3" w:rsidRDefault="00AF37CB" w:rsidP="00AF37CB">
      <w:pPr>
        <w:pStyle w:val="ListParagraph"/>
        <w:numPr>
          <w:ilvl w:val="2"/>
          <w:numId w:val="1"/>
        </w:numPr>
        <w:spacing w:after="60" w:line="240" w:lineRule="auto"/>
        <w:ind w:left="709"/>
        <w:contextualSpacing w:val="0"/>
      </w:pPr>
      <w:r>
        <w:t xml:space="preserve">If the offer is accepted by the person in the manner and </w:t>
      </w:r>
      <w:r w:rsidR="00266C2E">
        <w:t>on or before</w:t>
      </w:r>
      <w:r>
        <w:t xml:space="preserve"> the day specified in the offer, the licence will be granted to the person. </w:t>
      </w:r>
    </w:p>
    <w:p w14:paraId="44D501CE" w14:textId="5EA8580B" w:rsidR="00AF37CB" w:rsidRPr="00C939CE" w:rsidRDefault="00AF37CB" w:rsidP="00AF37CB">
      <w:pPr>
        <w:pStyle w:val="ListParagraph"/>
        <w:numPr>
          <w:ilvl w:val="2"/>
          <w:numId w:val="1"/>
        </w:numPr>
        <w:spacing w:after="60" w:line="240" w:lineRule="auto"/>
        <w:ind w:left="709"/>
        <w:contextualSpacing w:val="0"/>
      </w:pPr>
      <w:r>
        <w:t xml:space="preserve">The notice of grant of the licence will be given to the person by the Minister or by the Registrar on behalf of the Minister. A TIL granted </w:t>
      </w:r>
      <w:proofErr w:type="gramStart"/>
      <w:r>
        <w:t>as a result of</w:t>
      </w:r>
      <w:proofErr w:type="gramEnd"/>
      <w:r>
        <w:t xml:space="preserve"> the acceptance of an offer under section 27 of the OEI Regulations must be consistent with the details set out in the offer. </w:t>
      </w:r>
    </w:p>
    <w:p w14:paraId="3AB30EAB" w14:textId="77777777" w:rsidR="00AF37CB" w:rsidRDefault="00AF37CB" w:rsidP="00AF37CB">
      <w:pPr>
        <w:pStyle w:val="ListParagraph"/>
        <w:numPr>
          <w:ilvl w:val="2"/>
          <w:numId w:val="1"/>
        </w:numPr>
        <w:spacing w:after="60" w:line="240" w:lineRule="auto"/>
        <w:ind w:left="709"/>
        <w:contextualSpacing w:val="0"/>
      </w:pPr>
      <w:r>
        <w:t>The notice of grant must specify the licence area, the start day and end day of the licence, the conditions that are to apply to the licence and any other matters prescribed by the licensing scheme.</w:t>
      </w:r>
      <w:r w:rsidRPr="00E7085A">
        <w:t xml:space="preserve"> </w:t>
      </w:r>
      <w:r>
        <w:t>It must be given in accordance with the licensing scheme.</w:t>
      </w:r>
    </w:p>
    <w:p w14:paraId="02469B94" w14:textId="77777777" w:rsidR="00AF37CB" w:rsidRPr="00AF37CB" w:rsidRDefault="00AF37CB" w:rsidP="00AF37CB">
      <w:pPr>
        <w:pStyle w:val="ListParagraph"/>
        <w:numPr>
          <w:ilvl w:val="2"/>
          <w:numId w:val="1"/>
        </w:numPr>
        <w:spacing w:after="60" w:line="240" w:lineRule="auto"/>
        <w:ind w:left="709"/>
        <w:contextualSpacing w:val="0"/>
      </w:pPr>
      <w:r w:rsidRPr="00AF37CB">
        <w:t xml:space="preserve">The licence comes into force on the day on which it is granted, or a later day as specified in the notice of grant. </w:t>
      </w:r>
    </w:p>
    <w:p w14:paraId="69CB2DFE" w14:textId="17F9E702" w:rsidR="00AF37CB" w:rsidRPr="00AF37CB" w:rsidRDefault="00AF37CB" w:rsidP="00AF37CB">
      <w:pPr>
        <w:pStyle w:val="ListParagraph"/>
        <w:numPr>
          <w:ilvl w:val="2"/>
          <w:numId w:val="1"/>
        </w:numPr>
        <w:spacing w:after="60" w:line="240" w:lineRule="auto"/>
        <w:ind w:left="709"/>
        <w:contextualSpacing w:val="0"/>
      </w:pPr>
      <w:r w:rsidRPr="00AF37CB">
        <w:t xml:space="preserve">A record of the notice of grant must be entered in the Register of Licences (see </w:t>
      </w:r>
      <w:r w:rsidRPr="00770082">
        <w:rPr>
          <w:b/>
          <w:bCs/>
        </w:rPr>
        <w:t xml:space="preserve">Part </w:t>
      </w:r>
      <w:r w:rsidR="001C3447">
        <w:rPr>
          <w:b/>
          <w:bCs/>
        </w:rPr>
        <w:t>9</w:t>
      </w:r>
      <w:r w:rsidRPr="00AF37CB">
        <w:t xml:space="preserve"> below). </w:t>
      </w:r>
    </w:p>
    <w:p w14:paraId="32B05014" w14:textId="77777777" w:rsidR="00AF37CB" w:rsidRPr="00AF37CB" w:rsidRDefault="00AF37CB" w:rsidP="00AF37CB">
      <w:pPr>
        <w:spacing w:before="80" w:after="120" w:line="240" w:lineRule="auto"/>
        <w:rPr>
          <w:i/>
          <w:color w:val="4472C4" w:themeColor="accent1"/>
          <w:u w:val="single"/>
        </w:rPr>
      </w:pPr>
      <w:r w:rsidRPr="00AF37CB">
        <w:rPr>
          <w:i/>
          <w:color w:val="4472C4" w:themeColor="accent1"/>
          <w:u w:val="single"/>
        </w:rPr>
        <w:t>End Day of a TIL</w:t>
      </w:r>
    </w:p>
    <w:p w14:paraId="30FCE1D6" w14:textId="081EEC1D" w:rsidR="00AF37CB" w:rsidRPr="00AF37CB" w:rsidRDefault="00AF37CB" w:rsidP="00AF37CB">
      <w:pPr>
        <w:pStyle w:val="ListParagraph"/>
        <w:numPr>
          <w:ilvl w:val="2"/>
          <w:numId w:val="1"/>
        </w:numPr>
        <w:spacing w:after="60" w:line="240" w:lineRule="auto"/>
        <w:ind w:left="709"/>
        <w:contextualSpacing w:val="0"/>
      </w:pPr>
      <w:r w:rsidRPr="00AF37CB">
        <w:t xml:space="preserve">The end day will be stated in the notice of grant and may be extended (see </w:t>
      </w:r>
      <w:r w:rsidRPr="00770082">
        <w:rPr>
          <w:b/>
          <w:bCs/>
        </w:rPr>
        <w:t xml:space="preserve">Part </w:t>
      </w:r>
      <w:r w:rsidR="001C3447">
        <w:rPr>
          <w:b/>
          <w:bCs/>
        </w:rPr>
        <w:t>8</w:t>
      </w:r>
      <w:r w:rsidR="001C3447" w:rsidRPr="00AF37CB">
        <w:t xml:space="preserve"> </w:t>
      </w:r>
      <w:r w:rsidRPr="00AF37CB">
        <w:t xml:space="preserve">below).  </w:t>
      </w:r>
    </w:p>
    <w:p w14:paraId="7070AF06" w14:textId="77777777" w:rsidR="00AF37CB" w:rsidRPr="00AF37CB" w:rsidRDefault="00AF37CB" w:rsidP="00AF37CB">
      <w:pPr>
        <w:pStyle w:val="ListParagraph"/>
        <w:numPr>
          <w:ilvl w:val="2"/>
          <w:numId w:val="1"/>
        </w:numPr>
        <w:spacing w:after="60" w:line="240" w:lineRule="auto"/>
        <w:ind w:left="709"/>
        <w:contextualSpacing w:val="0"/>
      </w:pPr>
      <w:r w:rsidRPr="00AF37CB">
        <w:t xml:space="preserve">The end day is calculated from the start day of the licence and includes all calendar days. </w:t>
      </w:r>
    </w:p>
    <w:p w14:paraId="2DF762AE" w14:textId="24268BFE" w:rsidR="00AF37CB" w:rsidRPr="00AF37CB" w:rsidRDefault="00AF37CB" w:rsidP="00AF37CB">
      <w:pPr>
        <w:pStyle w:val="ListParagraph"/>
        <w:numPr>
          <w:ilvl w:val="2"/>
          <w:numId w:val="1"/>
        </w:numPr>
        <w:spacing w:after="60" w:line="240" w:lineRule="auto"/>
        <w:ind w:left="709"/>
        <w:contextualSpacing w:val="0"/>
      </w:pPr>
      <w:r w:rsidRPr="00AF37CB">
        <w:t xml:space="preserve">On or after the end day of a TIL, the licence does not authorise the construction, installation, operation or maintenance of offshore renewable energy infrastructure </w:t>
      </w:r>
      <w:r w:rsidR="00767C54">
        <w:rPr>
          <w:color w:val="000000"/>
          <w:shd w:val="clear" w:color="auto" w:fill="FFFFFF"/>
        </w:rPr>
        <w:t xml:space="preserve">or offshore electricity transmission infrastructure </w:t>
      </w:r>
      <w:r w:rsidRPr="00AF37CB">
        <w:t xml:space="preserve">except to the extent necessary to decommission infrastructure. </w:t>
      </w:r>
    </w:p>
    <w:p w14:paraId="06917D77" w14:textId="6A22FBA1" w:rsidR="00AF37CB" w:rsidRPr="00AF37CB" w:rsidRDefault="00AF37CB" w:rsidP="00AF37CB">
      <w:pPr>
        <w:pStyle w:val="Heading2"/>
        <w:numPr>
          <w:ilvl w:val="1"/>
          <w:numId w:val="1"/>
        </w:numPr>
        <w:spacing w:before="120"/>
        <w:ind w:hanging="720"/>
      </w:pPr>
      <w:bookmarkStart w:id="21" w:name="_Toc112329555"/>
      <w:bookmarkStart w:id="22" w:name="_Toc133220107"/>
      <w:r w:rsidRPr="00AF37CB">
        <w:t xml:space="preserve">Conditions on a TIL </w:t>
      </w:r>
      <w:r w:rsidRPr="00AF37CB">
        <w:rPr>
          <w:b w:val="0"/>
          <w:bCs/>
        </w:rPr>
        <w:t>(section 63 OEI Act)</w:t>
      </w:r>
      <w:bookmarkEnd w:id="21"/>
      <w:bookmarkEnd w:id="22"/>
    </w:p>
    <w:p w14:paraId="1686DFF3" w14:textId="77777777" w:rsidR="00AF37CB" w:rsidRDefault="00AF37CB" w:rsidP="00AF37CB">
      <w:pPr>
        <w:pStyle w:val="ListParagraph"/>
        <w:numPr>
          <w:ilvl w:val="2"/>
          <w:numId w:val="1"/>
        </w:numPr>
        <w:spacing w:after="60" w:line="240" w:lineRule="auto"/>
        <w:ind w:left="709"/>
        <w:contextualSpacing w:val="0"/>
      </w:pPr>
      <w:r>
        <w:t>Licence holders must comply with the conditions of the licence including:</w:t>
      </w:r>
    </w:p>
    <w:p w14:paraId="4F4A3D13" w14:textId="77777777" w:rsidR="00AF37CB" w:rsidRDefault="00AF37CB" w:rsidP="00AF37CB">
      <w:pPr>
        <w:pStyle w:val="ListParagraph"/>
        <w:numPr>
          <w:ilvl w:val="0"/>
          <w:numId w:val="9"/>
        </w:numPr>
        <w:spacing w:after="60" w:line="240" w:lineRule="auto"/>
        <w:ind w:left="924" w:hanging="357"/>
        <w:contextualSpacing w:val="0"/>
      </w:pPr>
      <w:r>
        <w:t>Any conditions on the licence as stated in the OEI Act including:</w:t>
      </w:r>
    </w:p>
    <w:p w14:paraId="6E15ECE6" w14:textId="77777777" w:rsidR="00AF37CB" w:rsidRDefault="00AF37CB" w:rsidP="00AF37CB">
      <w:pPr>
        <w:pStyle w:val="ListParagraph"/>
        <w:numPr>
          <w:ilvl w:val="1"/>
          <w:numId w:val="9"/>
        </w:numPr>
        <w:spacing w:after="60" w:line="240" w:lineRule="auto"/>
        <w:ind w:left="1208" w:hanging="357"/>
        <w:contextualSpacing w:val="0"/>
      </w:pPr>
      <w:r>
        <w:t>To pay an amount of offshore electricity infrastructure levy.</w:t>
      </w:r>
    </w:p>
    <w:p w14:paraId="5A2E1C14" w14:textId="77777777" w:rsidR="00AF37CB" w:rsidRDefault="00AF37CB" w:rsidP="00AF37CB">
      <w:pPr>
        <w:pStyle w:val="ListParagraph"/>
        <w:numPr>
          <w:ilvl w:val="1"/>
          <w:numId w:val="9"/>
        </w:numPr>
        <w:spacing w:after="60" w:line="240" w:lineRule="auto"/>
        <w:ind w:left="1208" w:hanging="357"/>
        <w:contextualSpacing w:val="0"/>
      </w:pPr>
      <w:r>
        <w:t>To comply with any conditions prescribed by the licensing scheme.</w:t>
      </w:r>
    </w:p>
    <w:p w14:paraId="35F81417" w14:textId="77777777" w:rsidR="00AF37CB" w:rsidRDefault="00AF37CB" w:rsidP="00AF37CB">
      <w:pPr>
        <w:pStyle w:val="ListParagraph"/>
        <w:numPr>
          <w:ilvl w:val="1"/>
          <w:numId w:val="9"/>
        </w:numPr>
        <w:spacing w:after="60" w:line="240" w:lineRule="auto"/>
        <w:ind w:left="1208" w:hanging="357"/>
        <w:contextualSpacing w:val="0"/>
      </w:pPr>
      <w:r>
        <w:lastRenderedPageBreak/>
        <w:t xml:space="preserve">That the licence holder, or any other person carrying out activities on behalf of the licence holder, complies with the management plan for the licence. </w:t>
      </w:r>
    </w:p>
    <w:p w14:paraId="0927949E" w14:textId="77777777" w:rsidR="00AF37CB" w:rsidRDefault="00AF37CB" w:rsidP="00AF37CB">
      <w:pPr>
        <w:pStyle w:val="ListParagraph"/>
        <w:numPr>
          <w:ilvl w:val="1"/>
          <w:numId w:val="9"/>
        </w:numPr>
        <w:spacing w:after="60" w:line="240" w:lineRule="auto"/>
        <w:ind w:left="1208" w:hanging="357"/>
        <w:contextualSpacing w:val="0"/>
      </w:pPr>
      <w:r>
        <w:t>To comply with any conditions imposed on the licence in the notice of grant.</w:t>
      </w:r>
    </w:p>
    <w:p w14:paraId="4E7D3835" w14:textId="77777777" w:rsidR="00AF37CB" w:rsidRDefault="00AF37CB" w:rsidP="00AF37CB">
      <w:pPr>
        <w:pStyle w:val="ListParagraph"/>
        <w:numPr>
          <w:ilvl w:val="0"/>
          <w:numId w:val="9"/>
        </w:numPr>
        <w:spacing w:after="60" w:line="240" w:lineRule="auto"/>
        <w:ind w:left="924" w:hanging="357"/>
        <w:contextualSpacing w:val="0"/>
      </w:pPr>
      <w:r>
        <w:t>Any reporting requirements in the OEI Regulations</w:t>
      </w:r>
      <w:r w:rsidRPr="00A020B9">
        <w:t>.</w:t>
      </w:r>
    </w:p>
    <w:p w14:paraId="34E215AF" w14:textId="0811B7F4" w:rsidR="00AF37CB" w:rsidRDefault="00266C2E" w:rsidP="00AF37CB">
      <w:pPr>
        <w:pStyle w:val="ListParagraph"/>
        <w:numPr>
          <w:ilvl w:val="2"/>
          <w:numId w:val="1"/>
        </w:numPr>
        <w:spacing w:after="60" w:line="240" w:lineRule="auto"/>
        <w:ind w:left="709"/>
        <w:contextualSpacing w:val="0"/>
      </w:pPr>
      <w:r w:rsidRPr="00266C2E">
        <w:t xml:space="preserve">The Minister may, when granting a </w:t>
      </w:r>
      <w:r>
        <w:t>TIL</w:t>
      </w:r>
      <w:r w:rsidRPr="00266C2E">
        <w:t>, impose such conditions on the licence as the Minister thinks fit</w:t>
      </w:r>
      <w:r>
        <w:t xml:space="preserve"> (subsection 63(2) OEI Act)</w:t>
      </w:r>
      <w:r w:rsidRPr="00266C2E">
        <w:t>.</w:t>
      </w:r>
      <w:r>
        <w:t xml:space="preserve"> Examples of conditions may include</w:t>
      </w:r>
      <w:r w:rsidR="00AF37CB">
        <w:t>:</w:t>
      </w:r>
    </w:p>
    <w:p w14:paraId="6066988A" w14:textId="77777777" w:rsidR="00AF37CB" w:rsidRDefault="00AF37CB" w:rsidP="00AF37CB">
      <w:pPr>
        <w:pStyle w:val="ListParagraph"/>
        <w:numPr>
          <w:ilvl w:val="0"/>
          <w:numId w:val="10"/>
        </w:numPr>
        <w:spacing w:after="60" w:line="240" w:lineRule="auto"/>
        <w:ind w:left="924" w:hanging="357"/>
        <w:contextualSpacing w:val="0"/>
      </w:pPr>
      <w:r>
        <w:t>Compliance with the provisions of the OEI Act, OEI Regulations and any</w:t>
      </w:r>
      <w:r w:rsidRPr="00B218AC">
        <w:t xml:space="preserve"> </w:t>
      </w:r>
      <w:r>
        <w:t>other instrument made under the OEI Act.</w:t>
      </w:r>
    </w:p>
    <w:p w14:paraId="5AF6C84A" w14:textId="084910BE" w:rsidR="00AF37CB" w:rsidRDefault="00266C2E" w:rsidP="00AF37CB">
      <w:pPr>
        <w:pStyle w:val="ListParagraph"/>
        <w:numPr>
          <w:ilvl w:val="0"/>
          <w:numId w:val="10"/>
        </w:numPr>
        <w:spacing w:after="120" w:line="240" w:lineRule="auto"/>
        <w:ind w:left="924" w:hanging="357"/>
        <w:contextualSpacing w:val="0"/>
      </w:pPr>
      <w:r>
        <w:t xml:space="preserve">Compliance with the offshore infrastructure project </w:t>
      </w:r>
      <w:r w:rsidR="000557B7">
        <w:t>described</w:t>
      </w:r>
      <w:r>
        <w:t xml:space="preserve"> in the application</w:t>
      </w:r>
      <w:r w:rsidR="009646D1">
        <w:t xml:space="preserve"> form</w:t>
      </w:r>
      <w:r>
        <w:t xml:space="preserve">. </w:t>
      </w:r>
    </w:p>
    <w:p w14:paraId="4CFC8FA3" w14:textId="10F091F9" w:rsidR="00266C2E" w:rsidRPr="00266C2E" w:rsidRDefault="00266C2E" w:rsidP="00266C2E">
      <w:pPr>
        <w:spacing w:after="120" w:line="240" w:lineRule="auto"/>
        <w:ind w:left="567"/>
        <w:rPr>
          <w:i/>
          <w:iCs/>
          <w:sz w:val="18"/>
          <w:szCs w:val="18"/>
        </w:rPr>
      </w:pPr>
      <w:r w:rsidRPr="00266C2E">
        <w:rPr>
          <w:i/>
          <w:iCs/>
          <w:sz w:val="18"/>
          <w:szCs w:val="18"/>
        </w:rPr>
        <w:t xml:space="preserve">Example: A condition may be placed on the grant of a </w:t>
      </w:r>
      <w:r>
        <w:rPr>
          <w:i/>
          <w:iCs/>
          <w:sz w:val="18"/>
          <w:szCs w:val="18"/>
        </w:rPr>
        <w:t>TIL</w:t>
      </w:r>
      <w:r w:rsidRPr="00266C2E">
        <w:rPr>
          <w:i/>
          <w:iCs/>
          <w:sz w:val="18"/>
          <w:szCs w:val="18"/>
        </w:rPr>
        <w:t xml:space="preserve"> requiring the licence holder to </w:t>
      </w:r>
      <w:r>
        <w:rPr>
          <w:i/>
          <w:iCs/>
          <w:sz w:val="18"/>
          <w:szCs w:val="18"/>
        </w:rPr>
        <w:t xml:space="preserve">deliver </w:t>
      </w:r>
      <w:r w:rsidR="00B10BAE">
        <w:rPr>
          <w:i/>
          <w:iCs/>
          <w:sz w:val="18"/>
          <w:szCs w:val="18"/>
        </w:rPr>
        <w:t>i</w:t>
      </w:r>
      <w:r w:rsidR="00B10BAE" w:rsidRPr="00266C2E">
        <w:rPr>
          <w:i/>
          <w:iCs/>
          <w:sz w:val="18"/>
          <w:szCs w:val="18"/>
        </w:rPr>
        <w:t>n the licence area</w:t>
      </w:r>
      <w:r w:rsidR="00B10BAE">
        <w:rPr>
          <w:i/>
          <w:iCs/>
          <w:sz w:val="18"/>
          <w:szCs w:val="18"/>
        </w:rPr>
        <w:t xml:space="preserve"> </w:t>
      </w:r>
      <w:r>
        <w:rPr>
          <w:i/>
          <w:iCs/>
          <w:sz w:val="18"/>
          <w:szCs w:val="18"/>
        </w:rPr>
        <w:t xml:space="preserve">the offshore infrastructure project as </w:t>
      </w:r>
      <w:r w:rsidR="00694789">
        <w:rPr>
          <w:i/>
          <w:iCs/>
          <w:sz w:val="18"/>
          <w:szCs w:val="18"/>
        </w:rPr>
        <w:t xml:space="preserve">described </w:t>
      </w:r>
      <w:r>
        <w:rPr>
          <w:i/>
          <w:iCs/>
          <w:sz w:val="18"/>
          <w:szCs w:val="18"/>
        </w:rPr>
        <w:t>in the application</w:t>
      </w:r>
      <w:r w:rsidR="009646D1">
        <w:rPr>
          <w:i/>
          <w:iCs/>
          <w:sz w:val="18"/>
          <w:szCs w:val="18"/>
        </w:rPr>
        <w:t xml:space="preserve"> form</w:t>
      </w:r>
      <w:r w:rsidRPr="00266C2E">
        <w:rPr>
          <w:i/>
          <w:iCs/>
          <w:sz w:val="18"/>
          <w:szCs w:val="18"/>
        </w:rPr>
        <w:t xml:space="preserve">. This will enable the Registrar to monitor compliance with the merit criteria; monitor the requirement for the licence holder to commence activities under the licence within a reasonable time; </w:t>
      </w:r>
      <w:r>
        <w:rPr>
          <w:i/>
          <w:iCs/>
          <w:sz w:val="18"/>
          <w:szCs w:val="18"/>
        </w:rPr>
        <w:t xml:space="preserve">and </w:t>
      </w:r>
      <w:r w:rsidRPr="00266C2E">
        <w:rPr>
          <w:i/>
          <w:iCs/>
          <w:sz w:val="18"/>
          <w:szCs w:val="18"/>
        </w:rPr>
        <w:t>assess the ability of a future transferee to undertake the obligations of the licenc</w:t>
      </w:r>
      <w:r>
        <w:rPr>
          <w:i/>
          <w:iCs/>
          <w:sz w:val="18"/>
          <w:szCs w:val="18"/>
        </w:rPr>
        <w:t>e</w:t>
      </w:r>
      <w:r w:rsidRPr="00266C2E">
        <w:rPr>
          <w:i/>
          <w:iCs/>
          <w:sz w:val="18"/>
          <w:szCs w:val="18"/>
        </w:rPr>
        <w:t xml:space="preserve">. If a licence holder wishes to change the </w:t>
      </w:r>
      <w:r w:rsidR="00694789">
        <w:rPr>
          <w:i/>
          <w:iCs/>
          <w:sz w:val="18"/>
          <w:szCs w:val="18"/>
        </w:rPr>
        <w:t>description</w:t>
      </w:r>
      <w:r w:rsidRPr="00266C2E">
        <w:rPr>
          <w:i/>
          <w:iCs/>
          <w:sz w:val="18"/>
          <w:szCs w:val="18"/>
        </w:rPr>
        <w:t xml:space="preserve"> of</w:t>
      </w:r>
      <w:r w:rsidR="00694789">
        <w:rPr>
          <w:i/>
          <w:iCs/>
          <w:sz w:val="18"/>
          <w:szCs w:val="18"/>
        </w:rPr>
        <w:t xml:space="preserve"> the</w:t>
      </w:r>
      <w:r w:rsidRPr="00266C2E">
        <w:rPr>
          <w:i/>
          <w:iCs/>
          <w:sz w:val="18"/>
          <w:szCs w:val="18"/>
        </w:rPr>
        <w:t xml:space="preserve"> offshore infrastructure project, a variation of the licence conditions may be required.</w:t>
      </w:r>
    </w:p>
    <w:p w14:paraId="486E96C6" w14:textId="77777777" w:rsidR="00AF37CB" w:rsidRPr="00667FC0" w:rsidRDefault="00AF37CB" w:rsidP="00AF37CB">
      <w:pPr>
        <w:pStyle w:val="Heading2"/>
        <w:numPr>
          <w:ilvl w:val="1"/>
          <w:numId w:val="1"/>
        </w:numPr>
        <w:spacing w:before="120"/>
        <w:ind w:hanging="720"/>
      </w:pPr>
      <w:bookmarkStart w:id="23" w:name="_Toc112329556"/>
      <w:bookmarkStart w:id="24" w:name="_Toc133220108"/>
      <w:r w:rsidRPr="00667FC0">
        <w:t xml:space="preserve">Refusal of </w:t>
      </w:r>
      <w:r>
        <w:t>TIL</w:t>
      </w:r>
      <w:r w:rsidRPr="00667FC0">
        <w:t xml:space="preserve"> Application</w:t>
      </w:r>
      <w:r>
        <w:t xml:space="preserve"> </w:t>
      </w:r>
      <w:r>
        <w:rPr>
          <w:b w:val="0"/>
          <w:bCs/>
        </w:rPr>
        <w:t>(sections 43 and 44 OEI Regulations)</w:t>
      </w:r>
      <w:bookmarkEnd w:id="23"/>
      <w:bookmarkEnd w:id="24"/>
    </w:p>
    <w:p w14:paraId="559B063E" w14:textId="77777777" w:rsidR="00AF37CB" w:rsidRDefault="00AF37CB" w:rsidP="00AF37CB">
      <w:pPr>
        <w:pStyle w:val="ListParagraph"/>
        <w:numPr>
          <w:ilvl w:val="2"/>
          <w:numId w:val="1"/>
        </w:numPr>
        <w:spacing w:after="60" w:line="240" w:lineRule="auto"/>
        <w:ind w:left="709"/>
        <w:contextualSpacing w:val="0"/>
      </w:pPr>
      <w:r>
        <w:t xml:space="preserve">The grounds the Minister may </w:t>
      </w:r>
      <w:proofErr w:type="gramStart"/>
      <w:r>
        <w:t>take into account</w:t>
      </w:r>
      <w:proofErr w:type="gramEnd"/>
      <w:r>
        <w:t xml:space="preserve"> for refusing to grant a TIL include, but are not limited to:</w:t>
      </w:r>
    </w:p>
    <w:p w14:paraId="374B49F9" w14:textId="77777777" w:rsidR="00AF37CB" w:rsidRDefault="00AF37CB" w:rsidP="00AF37CB">
      <w:pPr>
        <w:pStyle w:val="ListParagraph"/>
        <w:numPr>
          <w:ilvl w:val="0"/>
          <w:numId w:val="11"/>
        </w:numPr>
        <w:spacing w:after="60" w:line="240" w:lineRule="auto"/>
        <w:ind w:left="924" w:hanging="357"/>
        <w:contextualSpacing w:val="0"/>
      </w:pPr>
      <w:r>
        <w:t xml:space="preserve">The application does not meet the OEI Act or the OEI Regulations. </w:t>
      </w:r>
    </w:p>
    <w:p w14:paraId="5E6199F1" w14:textId="77777777" w:rsidR="00AF37CB" w:rsidRDefault="00AF37CB" w:rsidP="00AF37CB">
      <w:pPr>
        <w:pStyle w:val="ListParagraph"/>
        <w:numPr>
          <w:ilvl w:val="0"/>
          <w:numId w:val="11"/>
        </w:numPr>
        <w:spacing w:after="60" w:line="240" w:lineRule="auto"/>
        <w:ind w:left="924" w:hanging="357"/>
        <w:contextualSpacing w:val="0"/>
      </w:pPr>
      <w:r>
        <w:t xml:space="preserve">The application does not meet the application requirements. </w:t>
      </w:r>
    </w:p>
    <w:p w14:paraId="615B8D23" w14:textId="0FA75BCB" w:rsidR="00AF37CB" w:rsidRDefault="00AF37CB" w:rsidP="00AF37CB">
      <w:pPr>
        <w:pStyle w:val="ListParagraph"/>
        <w:numPr>
          <w:ilvl w:val="0"/>
          <w:numId w:val="11"/>
        </w:numPr>
        <w:spacing w:after="60" w:line="240" w:lineRule="auto"/>
        <w:ind w:left="924" w:hanging="357"/>
        <w:contextualSpacing w:val="0"/>
      </w:pPr>
      <w:r>
        <w:t>The Minister is not satisfied the licence applied for meets the merit criteria</w:t>
      </w:r>
      <w:r w:rsidR="00C60870">
        <w:t xml:space="preserve">. </w:t>
      </w:r>
    </w:p>
    <w:p w14:paraId="104268B6" w14:textId="77777777" w:rsidR="00AF37CB" w:rsidRDefault="00AF37CB" w:rsidP="00AF37CB">
      <w:pPr>
        <w:pStyle w:val="ListParagraph"/>
        <w:numPr>
          <w:ilvl w:val="2"/>
          <w:numId w:val="1"/>
        </w:numPr>
        <w:spacing w:after="60" w:line="240" w:lineRule="auto"/>
        <w:ind w:left="709"/>
        <w:contextualSpacing w:val="0"/>
      </w:pPr>
      <w:r>
        <w:t xml:space="preserve">Written notice of refusal will be provided to the person by the Minister or by the Registrar on behalf of the Minister. </w:t>
      </w:r>
    </w:p>
    <w:p w14:paraId="5EB7BE4B" w14:textId="2554B727" w:rsidR="00AF37CB" w:rsidRPr="00EB0DCF" w:rsidRDefault="00AF37CB" w:rsidP="00AF37CB">
      <w:pPr>
        <w:pStyle w:val="ListParagraph"/>
        <w:numPr>
          <w:ilvl w:val="2"/>
          <w:numId w:val="1"/>
        </w:numPr>
        <w:spacing w:after="80" w:line="240" w:lineRule="auto"/>
        <w:ind w:left="709"/>
        <w:contextualSpacing w:val="0"/>
      </w:pPr>
      <w:r>
        <w:t xml:space="preserve">Information on procedural fairness and review of decisions is </w:t>
      </w:r>
      <w:r w:rsidR="00F40D27">
        <w:t xml:space="preserve">in </w:t>
      </w:r>
      <w:r w:rsidR="00F40D27">
        <w:rPr>
          <w:b/>
          <w:bCs/>
        </w:rPr>
        <w:t xml:space="preserve">Part </w:t>
      </w:r>
      <w:r w:rsidR="001C3447">
        <w:rPr>
          <w:b/>
          <w:bCs/>
        </w:rPr>
        <w:t xml:space="preserve">8 </w:t>
      </w:r>
      <w:r w:rsidR="00F40D27">
        <w:t>of</w:t>
      </w:r>
      <w:r w:rsidRPr="00AF37CB">
        <w:t xml:space="preserve"> this</w:t>
      </w:r>
      <w:r>
        <w:t xml:space="preserve"> Guideline. </w:t>
      </w:r>
    </w:p>
    <w:p w14:paraId="02C7F8BD" w14:textId="77777777" w:rsidR="00FF5BFF" w:rsidRDefault="00FF5BFF"/>
    <w:sectPr w:rsidR="00FF5BFF" w:rsidSect="000A61B1">
      <w:headerReference w:type="even" r:id="rId17"/>
      <w:headerReference w:type="default" r:id="rId18"/>
      <w:footerReference w:type="default" r:id="rId19"/>
      <w:headerReference w:type="first" r:id="rId20"/>
      <w:pgSz w:w="11906" w:h="16838" w:code="9"/>
      <w:pgMar w:top="1134" w:right="1134" w:bottom="567" w:left="136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3D31" w14:textId="77777777" w:rsidR="000A61B1" w:rsidRDefault="000A61B1" w:rsidP="00AF37CB">
      <w:pPr>
        <w:spacing w:after="0" w:line="240" w:lineRule="auto"/>
      </w:pPr>
      <w:r>
        <w:separator/>
      </w:r>
    </w:p>
  </w:endnote>
  <w:endnote w:type="continuationSeparator" w:id="0">
    <w:p w14:paraId="06F8130F" w14:textId="77777777" w:rsidR="000A61B1" w:rsidRDefault="000A61B1" w:rsidP="00AF37CB">
      <w:pPr>
        <w:spacing w:after="0" w:line="240" w:lineRule="auto"/>
      </w:pPr>
      <w:r>
        <w:continuationSeparator/>
      </w:r>
    </w:p>
  </w:endnote>
  <w:endnote w:type="continuationNotice" w:id="1">
    <w:p w14:paraId="73D3C535" w14:textId="77777777" w:rsidR="000A61B1" w:rsidRDefault="000A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790776"/>
      <w:docPartObj>
        <w:docPartGallery w:val="Page Numbers (Bottom of Page)"/>
        <w:docPartUnique/>
      </w:docPartObj>
    </w:sdtPr>
    <w:sdtEndPr>
      <w:rPr>
        <w:noProof/>
      </w:rPr>
    </w:sdtEndPr>
    <w:sdtContent>
      <w:p w14:paraId="1B349154" w14:textId="28B96676" w:rsidR="00465637" w:rsidRDefault="00465637" w:rsidP="004C3962">
        <w:pPr>
          <w:pStyle w:val="Header"/>
        </w:pPr>
        <w:r>
          <w:tab/>
          <w:t>DRAFT – FOR CONSULTATION ONLY</w:t>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9A66" w14:textId="77777777" w:rsidR="000A61B1" w:rsidRDefault="000A61B1" w:rsidP="00AF37CB">
      <w:pPr>
        <w:spacing w:after="0" w:line="240" w:lineRule="auto"/>
      </w:pPr>
      <w:r>
        <w:separator/>
      </w:r>
    </w:p>
  </w:footnote>
  <w:footnote w:type="continuationSeparator" w:id="0">
    <w:p w14:paraId="6171525B" w14:textId="77777777" w:rsidR="000A61B1" w:rsidRDefault="000A61B1" w:rsidP="00AF37CB">
      <w:pPr>
        <w:spacing w:after="0" w:line="240" w:lineRule="auto"/>
      </w:pPr>
      <w:r>
        <w:continuationSeparator/>
      </w:r>
    </w:p>
  </w:footnote>
  <w:footnote w:type="continuationNotice" w:id="1">
    <w:p w14:paraId="40FDDA93" w14:textId="77777777" w:rsidR="000A61B1" w:rsidRDefault="000A6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6E54" w14:textId="5E7A8D95" w:rsidR="00465637" w:rsidRDefault="00D65090">
    <w:pPr>
      <w:pStyle w:val="Header"/>
    </w:pPr>
    <w:r>
      <w:rPr>
        <w:noProof/>
      </w:rPr>
      <w:pict w14:anchorId="0D85B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8626" o:spid="_x0000_s1026" type="#_x0000_t136" style="position:absolute;margin-left:0;margin-top:0;width:414.6pt;height:248.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EC8F" w14:textId="1F774B7A" w:rsidR="00465637" w:rsidRDefault="00D65090" w:rsidP="00AF37CB">
    <w:pPr>
      <w:pStyle w:val="Header"/>
      <w:jc w:val="center"/>
    </w:pPr>
    <w:r>
      <w:rPr>
        <w:noProof/>
      </w:rPr>
      <w:pict w14:anchorId="0A7A2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8627" o:spid="_x0000_s1027" type="#_x0000_t136" style="position:absolute;left:0;text-align:left;margin-left:0;margin-top:0;width:414.6pt;height:248.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65637">
      <w:t>DRAFT – FOR CONSULTATION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8AC0" w14:textId="40865118" w:rsidR="00465637" w:rsidRDefault="00D65090">
    <w:pPr>
      <w:pStyle w:val="Header"/>
    </w:pPr>
    <w:r>
      <w:rPr>
        <w:noProof/>
      </w:rPr>
      <w:pict w14:anchorId="0C980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8625" o:spid="_x0000_s1025" type="#_x0000_t136" style="position:absolute;margin-left:0;margin-top:0;width:414.6pt;height:248.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BCB"/>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1235A09"/>
    <w:multiLevelType w:val="multilevel"/>
    <w:tmpl w:val="470E612A"/>
    <w:lvl w:ilvl="0">
      <w:start w:val="7"/>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b/>
        <w:bCs/>
      </w:rPr>
    </w:lvl>
    <w:lvl w:ilvl="2">
      <w:start w:val="1"/>
      <w:numFmt w:val="decimal"/>
      <w:isLgl/>
      <w:lvlText w:val="%1.%2.%3"/>
      <w:lvlJc w:val="left"/>
      <w:pPr>
        <w:ind w:left="1080" w:hanging="720"/>
      </w:pPr>
      <w:rPr>
        <w:rFonts w:hint="default"/>
        <w:b w:val="0"/>
        <w:bCs w:val="0"/>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F06646"/>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F7AA0"/>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BEF4F4A"/>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5" w15:restartNumberingAfterBreak="0">
    <w:nsid w:val="2116728A"/>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 w15:restartNumberingAfterBreak="0">
    <w:nsid w:val="21770970"/>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6A01DE"/>
    <w:multiLevelType w:val="hybridMultilevel"/>
    <w:tmpl w:val="C718954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0EE4EE0"/>
    <w:multiLevelType w:val="hybridMultilevel"/>
    <w:tmpl w:val="10469BD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C815271"/>
    <w:multiLevelType w:val="hybridMultilevel"/>
    <w:tmpl w:val="79C2930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F846F04"/>
    <w:multiLevelType w:val="hybridMultilevel"/>
    <w:tmpl w:val="49D290C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403654E"/>
    <w:multiLevelType w:val="hybridMultilevel"/>
    <w:tmpl w:val="1CA07986"/>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9307B14"/>
    <w:multiLevelType w:val="hybridMultilevel"/>
    <w:tmpl w:val="800486D4"/>
    <w:lvl w:ilvl="0" w:tplc="C8D2BB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961787"/>
    <w:multiLevelType w:val="hybridMultilevel"/>
    <w:tmpl w:val="ACC8FA7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522B7950"/>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8E2821"/>
    <w:multiLevelType w:val="hybridMultilevel"/>
    <w:tmpl w:val="26CEFE8A"/>
    <w:lvl w:ilvl="0" w:tplc="7F22C786">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2547" w:hanging="36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53C905E1"/>
    <w:multiLevelType w:val="hybridMultilevel"/>
    <w:tmpl w:val="C1D0C48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3F11986"/>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8" w15:restartNumberingAfterBreak="0">
    <w:nsid w:val="57EF3035"/>
    <w:multiLevelType w:val="hybridMultilevel"/>
    <w:tmpl w:val="4A784F84"/>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AEC6404"/>
    <w:multiLevelType w:val="hybridMultilevel"/>
    <w:tmpl w:val="9468FD6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FE820B8"/>
    <w:multiLevelType w:val="hybridMultilevel"/>
    <w:tmpl w:val="22C0A3A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FE9433B"/>
    <w:multiLevelType w:val="hybridMultilevel"/>
    <w:tmpl w:val="B9903DAC"/>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65C34471"/>
    <w:multiLevelType w:val="hybridMultilevel"/>
    <w:tmpl w:val="A6E65688"/>
    <w:lvl w:ilvl="0" w:tplc="91F6170E">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2A146E"/>
    <w:multiLevelType w:val="hybridMultilevel"/>
    <w:tmpl w:val="0D48E220"/>
    <w:lvl w:ilvl="0" w:tplc="0C090003">
      <w:start w:val="1"/>
      <w:numFmt w:val="bullet"/>
      <w:lvlText w:val="o"/>
      <w:lvlJc w:val="left"/>
      <w:pPr>
        <w:ind w:left="1928" w:hanging="360"/>
      </w:pPr>
      <w:rPr>
        <w:rFonts w:ascii="Courier New" w:hAnsi="Courier New" w:cs="Courier New" w:hint="default"/>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24" w15:restartNumberingAfterBreak="0">
    <w:nsid w:val="6C1F291C"/>
    <w:multiLevelType w:val="hybridMultilevel"/>
    <w:tmpl w:val="AE8265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A97EEB"/>
    <w:multiLevelType w:val="hybridMultilevel"/>
    <w:tmpl w:val="C1CA04D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76C53FEE"/>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7" w15:restartNumberingAfterBreak="0">
    <w:nsid w:val="76EB54F9"/>
    <w:multiLevelType w:val="hybridMultilevel"/>
    <w:tmpl w:val="3B9095EA"/>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77EC677B"/>
    <w:multiLevelType w:val="hybridMultilevel"/>
    <w:tmpl w:val="54908A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0D3064"/>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7D94609B"/>
    <w:multiLevelType w:val="hybridMultilevel"/>
    <w:tmpl w:val="A21A4052"/>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7F4130AA"/>
    <w:multiLevelType w:val="hybridMultilevel"/>
    <w:tmpl w:val="C018DE5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792818626">
    <w:abstractNumId w:val="1"/>
  </w:num>
  <w:num w:numId="2" w16cid:durableId="569003926">
    <w:abstractNumId w:val="16"/>
  </w:num>
  <w:num w:numId="3" w16cid:durableId="173618580">
    <w:abstractNumId w:val="15"/>
  </w:num>
  <w:num w:numId="4" w16cid:durableId="1559439742">
    <w:abstractNumId w:val="6"/>
  </w:num>
  <w:num w:numId="5" w16cid:durableId="952906420">
    <w:abstractNumId w:val="8"/>
  </w:num>
  <w:num w:numId="6" w16cid:durableId="675961955">
    <w:abstractNumId w:val="30"/>
  </w:num>
  <w:num w:numId="7" w16cid:durableId="647898297">
    <w:abstractNumId w:val="3"/>
  </w:num>
  <w:num w:numId="8" w16cid:durableId="2049597500">
    <w:abstractNumId w:val="0"/>
  </w:num>
  <w:num w:numId="9" w16cid:durableId="1408571431">
    <w:abstractNumId w:val="2"/>
  </w:num>
  <w:num w:numId="10" w16cid:durableId="104934850">
    <w:abstractNumId w:val="29"/>
  </w:num>
  <w:num w:numId="11" w16cid:durableId="1648168167">
    <w:abstractNumId w:val="14"/>
  </w:num>
  <w:num w:numId="12" w16cid:durableId="1600913665">
    <w:abstractNumId w:val="20"/>
  </w:num>
  <w:num w:numId="13" w16cid:durableId="1921987191">
    <w:abstractNumId w:val="19"/>
  </w:num>
  <w:num w:numId="14" w16cid:durableId="480461119">
    <w:abstractNumId w:val="11"/>
  </w:num>
  <w:num w:numId="15" w16cid:durableId="1945527080">
    <w:abstractNumId w:val="10"/>
  </w:num>
  <w:num w:numId="16" w16cid:durableId="1463890729">
    <w:abstractNumId w:val="13"/>
  </w:num>
  <w:num w:numId="17" w16cid:durableId="572588325">
    <w:abstractNumId w:val="31"/>
  </w:num>
  <w:num w:numId="18" w16cid:durableId="1583027390">
    <w:abstractNumId w:val="18"/>
  </w:num>
  <w:num w:numId="19" w16cid:durableId="321084936">
    <w:abstractNumId w:val="9"/>
  </w:num>
  <w:num w:numId="20" w16cid:durableId="872546740">
    <w:abstractNumId w:val="27"/>
  </w:num>
  <w:num w:numId="21" w16cid:durableId="1170364958">
    <w:abstractNumId w:val="25"/>
  </w:num>
  <w:num w:numId="22" w16cid:durableId="569728691">
    <w:abstractNumId w:val="7"/>
  </w:num>
  <w:num w:numId="23" w16cid:durableId="1280599397">
    <w:abstractNumId w:val="28"/>
  </w:num>
  <w:num w:numId="24" w16cid:durableId="1445419341">
    <w:abstractNumId w:val="21"/>
  </w:num>
  <w:num w:numId="25" w16cid:durableId="326787431">
    <w:abstractNumId w:val="26"/>
  </w:num>
  <w:num w:numId="26" w16cid:durableId="1751192604">
    <w:abstractNumId w:val="5"/>
  </w:num>
  <w:num w:numId="27" w16cid:durableId="1148135939">
    <w:abstractNumId w:val="17"/>
  </w:num>
  <w:num w:numId="28" w16cid:durableId="771781160">
    <w:abstractNumId w:val="4"/>
  </w:num>
  <w:num w:numId="29" w16cid:durableId="1797216705">
    <w:abstractNumId w:val="24"/>
  </w:num>
  <w:num w:numId="30" w16cid:durableId="513804606">
    <w:abstractNumId w:val="12"/>
  </w:num>
  <w:num w:numId="31" w16cid:durableId="2033023854">
    <w:abstractNumId w:val="23"/>
  </w:num>
  <w:num w:numId="32" w16cid:durableId="660622877">
    <w:abstractNumId w:val="22"/>
  </w:num>
  <w:num w:numId="33" w16cid:durableId="1911844511">
    <w:abstractNumId w:val="1"/>
    <w:lvlOverride w:ilvl="0">
      <w:startOverride w:val="7"/>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CB"/>
    <w:rsid w:val="000062C8"/>
    <w:rsid w:val="00010EFA"/>
    <w:rsid w:val="0001291E"/>
    <w:rsid w:val="00030314"/>
    <w:rsid w:val="00037B83"/>
    <w:rsid w:val="0004401C"/>
    <w:rsid w:val="00050A35"/>
    <w:rsid w:val="00054BFA"/>
    <w:rsid w:val="0005561C"/>
    <w:rsid w:val="000557B7"/>
    <w:rsid w:val="00055CBC"/>
    <w:rsid w:val="00057549"/>
    <w:rsid w:val="00064CEF"/>
    <w:rsid w:val="000652EF"/>
    <w:rsid w:val="00067A09"/>
    <w:rsid w:val="00074093"/>
    <w:rsid w:val="00075FF4"/>
    <w:rsid w:val="00085EBC"/>
    <w:rsid w:val="00096CD3"/>
    <w:rsid w:val="000A16D9"/>
    <w:rsid w:val="000A61B1"/>
    <w:rsid w:val="000B04D8"/>
    <w:rsid w:val="000B24B7"/>
    <w:rsid w:val="000B2CFD"/>
    <w:rsid w:val="000C54BD"/>
    <w:rsid w:val="000D64E3"/>
    <w:rsid w:val="000E7BD6"/>
    <w:rsid w:val="000F3EB5"/>
    <w:rsid w:val="00100C75"/>
    <w:rsid w:val="00101F11"/>
    <w:rsid w:val="00103F2B"/>
    <w:rsid w:val="00104F20"/>
    <w:rsid w:val="00110BE1"/>
    <w:rsid w:val="0011669D"/>
    <w:rsid w:val="0011675F"/>
    <w:rsid w:val="00117044"/>
    <w:rsid w:val="00117A38"/>
    <w:rsid w:val="001462AB"/>
    <w:rsid w:val="001475E4"/>
    <w:rsid w:val="00154124"/>
    <w:rsid w:val="001557D2"/>
    <w:rsid w:val="00161465"/>
    <w:rsid w:val="001C3447"/>
    <w:rsid w:val="001D7A8F"/>
    <w:rsid w:val="001F391D"/>
    <w:rsid w:val="002018EF"/>
    <w:rsid w:val="00205447"/>
    <w:rsid w:val="002055F0"/>
    <w:rsid w:val="00205609"/>
    <w:rsid w:val="002100DC"/>
    <w:rsid w:val="002243A7"/>
    <w:rsid w:val="00234C3C"/>
    <w:rsid w:val="00242F1F"/>
    <w:rsid w:val="00244921"/>
    <w:rsid w:val="00245579"/>
    <w:rsid w:val="00246B0B"/>
    <w:rsid w:val="0025175A"/>
    <w:rsid w:val="00266C2E"/>
    <w:rsid w:val="00270D66"/>
    <w:rsid w:val="00271D99"/>
    <w:rsid w:val="00273915"/>
    <w:rsid w:val="00280420"/>
    <w:rsid w:val="00281E1C"/>
    <w:rsid w:val="002907B6"/>
    <w:rsid w:val="002A62BA"/>
    <w:rsid w:val="002B2D82"/>
    <w:rsid w:val="002C18DB"/>
    <w:rsid w:val="002C3CED"/>
    <w:rsid w:val="002C59E2"/>
    <w:rsid w:val="002D6BF6"/>
    <w:rsid w:val="002D746C"/>
    <w:rsid w:val="002E46BE"/>
    <w:rsid w:val="00303FD9"/>
    <w:rsid w:val="00306283"/>
    <w:rsid w:val="00306EFD"/>
    <w:rsid w:val="00307B09"/>
    <w:rsid w:val="00311003"/>
    <w:rsid w:val="003231BA"/>
    <w:rsid w:val="00332078"/>
    <w:rsid w:val="003404D0"/>
    <w:rsid w:val="00345253"/>
    <w:rsid w:val="00346DE6"/>
    <w:rsid w:val="00353B5C"/>
    <w:rsid w:val="00356A2C"/>
    <w:rsid w:val="003609DD"/>
    <w:rsid w:val="0037319B"/>
    <w:rsid w:val="00390892"/>
    <w:rsid w:val="003A751E"/>
    <w:rsid w:val="003B1795"/>
    <w:rsid w:val="003B4241"/>
    <w:rsid w:val="003B5CA9"/>
    <w:rsid w:val="003D4064"/>
    <w:rsid w:val="003D68FB"/>
    <w:rsid w:val="003F347A"/>
    <w:rsid w:val="00402692"/>
    <w:rsid w:val="004036A3"/>
    <w:rsid w:val="004056BA"/>
    <w:rsid w:val="004115A6"/>
    <w:rsid w:val="00413B2C"/>
    <w:rsid w:val="0041578D"/>
    <w:rsid w:val="00416DD9"/>
    <w:rsid w:val="00425162"/>
    <w:rsid w:val="00430A4B"/>
    <w:rsid w:val="00443E11"/>
    <w:rsid w:val="00446C88"/>
    <w:rsid w:val="004536DF"/>
    <w:rsid w:val="00454372"/>
    <w:rsid w:val="00465637"/>
    <w:rsid w:val="004732F4"/>
    <w:rsid w:val="00475C3D"/>
    <w:rsid w:val="00490254"/>
    <w:rsid w:val="00490660"/>
    <w:rsid w:val="0049696C"/>
    <w:rsid w:val="004A3104"/>
    <w:rsid w:val="004A33B5"/>
    <w:rsid w:val="004A3664"/>
    <w:rsid w:val="004A6FFF"/>
    <w:rsid w:val="004B0AE5"/>
    <w:rsid w:val="004B1E2A"/>
    <w:rsid w:val="004B57D8"/>
    <w:rsid w:val="004C2420"/>
    <w:rsid w:val="004C2654"/>
    <w:rsid w:val="004C3962"/>
    <w:rsid w:val="004F3CDB"/>
    <w:rsid w:val="0050597F"/>
    <w:rsid w:val="00513785"/>
    <w:rsid w:val="00516550"/>
    <w:rsid w:val="00534393"/>
    <w:rsid w:val="00537698"/>
    <w:rsid w:val="00541BC2"/>
    <w:rsid w:val="00555523"/>
    <w:rsid w:val="005620F9"/>
    <w:rsid w:val="00565D7E"/>
    <w:rsid w:val="005713E0"/>
    <w:rsid w:val="00573D4C"/>
    <w:rsid w:val="0057492F"/>
    <w:rsid w:val="00574BB5"/>
    <w:rsid w:val="00584A2D"/>
    <w:rsid w:val="00594560"/>
    <w:rsid w:val="005A09E7"/>
    <w:rsid w:val="005B1A63"/>
    <w:rsid w:val="005C1EB0"/>
    <w:rsid w:val="005E2F84"/>
    <w:rsid w:val="005F23F3"/>
    <w:rsid w:val="00600CBE"/>
    <w:rsid w:val="006034DC"/>
    <w:rsid w:val="00620E78"/>
    <w:rsid w:val="00622DF9"/>
    <w:rsid w:val="00624497"/>
    <w:rsid w:val="00635895"/>
    <w:rsid w:val="006565AD"/>
    <w:rsid w:val="00662E91"/>
    <w:rsid w:val="00666BA1"/>
    <w:rsid w:val="00684BE5"/>
    <w:rsid w:val="0069359D"/>
    <w:rsid w:val="00694789"/>
    <w:rsid w:val="006A3378"/>
    <w:rsid w:val="006A6E7E"/>
    <w:rsid w:val="006B1BED"/>
    <w:rsid w:val="006C2387"/>
    <w:rsid w:val="006C243F"/>
    <w:rsid w:val="006C2E48"/>
    <w:rsid w:val="006C32AA"/>
    <w:rsid w:val="006D0CDE"/>
    <w:rsid w:val="006D10AC"/>
    <w:rsid w:val="006D4B0D"/>
    <w:rsid w:val="006E6FC7"/>
    <w:rsid w:val="006F0162"/>
    <w:rsid w:val="006F13AB"/>
    <w:rsid w:val="006F1E78"/>
    <w:rsid w:val="006F2D91"/>
    <w:rsid w:val="006F3549"/>
    <w:rsid w:val="006F575E"/>
    <w:rsid w:val="007022AF"/>
    <w:rsid w:val="00707A1C"/>
    <w:rsid w:val="00716525"/>
    <w:rsid w:val="00722414"/>
    <w:rsid w:val="00736DF4"/>
    <w:rsid w:val="00752F57"/>
    <w:rsid w:val="0075453A"/>
    <w:rsid w:val="00760017"/>
    <w:rsid w:val="007608FE"/>
    <w:rsid w:val="00767C54"/>
    <w:rsid w:val="00770082"/>
    <w:rsid w:val="00772060"/>
    <w:rsid w:val="0078181F"/>
    <w:rsid w:val="00786ACA"/>
    <w:rsid w:val="00786CAC"/>
    <w:rsid w:val="00791684"/>
    <w:rsid w:val="00797572"/>
    <w:rsid w:val="00797F1F"/>
    <w:rsid w:val="007B1D40"/>
    <w:rsid w:val="007B661A"/>
    <w:rsid w:val="007F3549"/>
    <w:rsid w:val="007F62A7"/>
    <w:rsid w:val="00810F11"/>
    <w:rsid w:val="008171C6"/>
    <w:rsid w:val="00823D97"/>
    <w:rsid w:val="00825513"/>
    <w:rsid w:val="008305E7"/>
    <w:rsid w:val="00832CD9"/>
    <w:rsid w:val="008402EC"/>
    <w:rsid w:val="00840797"/>
    <w:rsid w:val="00841254"/>
    <w:rsid w:val="00854B18"/>
    <w:rsid w:val="00856BDC"/>
    <w:rsid w:val="00860B51"/>
    <w:rsid w:val="00874BE3"/>
    <w:rsid w:val="00875671"/>
    <w:rsid w:val="0087716D"/>
    <w:rsid w:val="008813A8"/>
    <w:rsid w:val="00883B05"/>
    <w:rsid w:val="00893826"/>
    <w:rsid w:val="00896D75"/>
    <w:rsid w:val="008A22F3"/>
    <w:rsid w:val="008A36C3"/>
    <w:rsid w:val="008A3B91"/>
    <w:rsid w:val="008A4B8C"/>
    <w:rsid w:val="008B48FD"/>
    <w:rsid w:val="008C1958"/>
    <w:rsid w:val="008E2778"/>
    <w:rsid w:val="008F36DE"/>
    <w:rsid w:val="009050D8"/>
    <w:rsid w:val="00926EE0"/>
    <w:rsid w:val="00927282"/>
    <w:rsid w:val="00936EF8"/>
    <w:rsid w:val="00953A0F"/>
    <w:rsid w:val="0095545F"/>
    <w:rsid w:val="00964389"/>
    <w:rsid w:val="009646D1"/>
    <w:rsid w:val="00964DB0"/>
    <w:rsid w:val="00966E2E"/>
    <w:rsid w:val="0097094C"/>
    <w:rsid w:val="00970CBB"/>
    <w:rsid w:val="009878F1"/>
    <w:rsid w:val="009A76A1"/>
    <w:rsid w:val="009B6E0D"/>
    <w:rsid w:val="009C2D25"/>
    <w:rsid w:val="009C5A1A"/>
    <w:rsid w:val="009D270E"/>
    <w:rsid w:val="009F0A0B"/>
    <w:rsid w:val="009F26BE"/>
    <w:rsid w:val="009F2DAB"/>
    <w:rsid w:val="00A05DAF"/>
    <w:rsid w:val="00A24320"/>
    <w:rsid w:val="00A31B1C"/>
    <w:rsid w:val="00A34B84"/>
    <w:rsid w:val="00A514A7"/>
    <w:rsid w:val="00A5708C"/>
    <w:rsid w:val="00A60299"/>
    <w:rsid w:val="00A63EDF"/>
    <w:rsid w:val="00A71CE5"/>
    <w:rsid w:val="00A81B1A"/>
    <w:rsid w:val="00A824B2"/>
    <w:rsid w:val="00A854BF"/>
    <w:rsid w:val="00A902E4"/>
    <w:rsid w:val="00A91615"/>
    <w:rsid w:val="00AA48AF"/>
    <w:rsid w:val="00AA6F0F"/>
    <w:rsid w:val="00AB0E30"/>
    <w:rsid w:val="00AB21B7"/>
    <w:rsid w:val="00AB357D"/>
    <w:rsid w:val="00AC0206"/>
    <w:rsid w:val="00AC0A82"/>
    <w:rsid w:val="00AC2812"/>
    <w:rsid w:val="00AC7DCC"/>
    <w:rsid w:val="00AD127B"/>
    <w:rsid w:val="00AD4CE0"/>
    <w:rsid w:val="00AE4276"/>
    <w:rsid w:val="00AF080C"/>
    <w:rsid w:val="00AF37CB"/>
    <w:rsid w:val="00B07F42"/>
    <w:rsid w:val="00B10BAE"/>
    <w:rsid w:val="00B1496C"/>
    <w:rsid w:val="00B1505D"/>
    <w:rsid w:val="00B303D3"/>
    <w:rsid w:val="00B30A3D"/>
    <w:rsid w:val="00B32EEE"/>
    <w:rsid w:val="00B416F6"/>
    <w:rsid w:val="00B51423"/>
    <w:rsid w:val="00B57159"/>
    <w:rsid w:val="00B60219"/>
    <w:rsid w:val="00B64D41"/>
    <w:rsid w:val="00B67841"/>
    <w:rsid w:val="00B87A58"/>
    <w:rsid w:val="00B90079"/>
    <w:rsid w:val="00BA1E8D"/>
    <w:rsid w:val="00BB01C2"/>
    <w:rsid w:val="00BB2BFC"/>
    <w:rsid w:val="00BB5E05"/>
    <w:rsid w:val="00BC7A3C"/>
    <w:rsid w:val="00BE2122"/>
    <w:rsid w:val="00BE3299"/>
    <w:rsid w:val="00BF0974"/>
    <w:rsid w:val="00BF47EC"/>
    <w:rsid w:val="00BF6122"/>
    <w:rsid w:val="00BF7940"/>
    <w:rsid w:val="00C03297"/>
    <w:rsid w:val="00C06BB5"/>
    <w:rsid w:val="00C07E62"/>
    <w:rsid w:val="00C15BEA"/>
    <w:rsid w:val="00C357D8"/>
    <w:rsid w:val="00C46D23"/>
    <w:rsid w:val="00C60870"/>
    <w:rsid w:val="00C67A38"/>
    <w:rsid w:val="00C71F7B"/>
    <w:rsid w:val="00C7713A"/>
    <w:rsid w:val="00CA053B"/>
    <w:rsid w:val="00CA3191"/>
    <w:rsid w:val="00CB0F47"/>
    <w:rsid w:val="00CB47BF"/>
    <w:rsid w:val="00CC0A15"/>
    <w:rsid w:val="00CC1EC1"/>
    <w:rsid w:val="00CD26E3"/>
    <w:rsid w:val="00CD4F9C"/>
    <w:rsid w:val="00CD5D1C"/>
    <w:rsid w:val="00CE1A5C"/>
    <w:rsid w:val="00CE47B5"/>
    <w:rsid w:val="00CF3F04"/>
    <w:rsid w:val="00D01249"/>
    <w:rsid w:val="00D12023"/>
    <w:rsid w:val="00D13521"/>
    <w:rsid w:val="00D2246D"/>
    <w:rsid w:val="00D30DFD"/>
    <w:rsid w:val="00D469E5"/>
    <w:rsid w:val="00D5056C"/>
    <w:rsid w:val="00D52F1E"/>
    <w:rsid w:val="00D53632"/>
    <w:rsid w:val="00D55DF4"/>
    <w:rsid w:val="00D56A92"/>
    <w:rsid w:val="00D6157D"/>
    <w:rsid w:val="00D615BF"/>
    <w:rsid w:val="00D65090"/>
    <w:rsid w:val="00D67522"/>
    <w:rsid w:val="00D72995"/>
    <w:rsid w:val="00D9516F"/>
    <w:rsid w:val="00DD28FF"/>
    <w:rsid w:val="00E02235"/>
    <w:rsid w:val="00E0720B"/>
    <w:rsid w:val="00E149DB"/>
    <w:rsid w:val="00E16439"/>
    <w:rsid w:val="00E24336"/>
    <w:rsid w:val="00E336BF"/>
    <w:rsid w:val="00E357FE"/>
    <w:rsid w:val="00E36385"/>
    <w:rsid w:val="00E445CC"/>
    <w:rsid w:val="00E44A4E"/>
    <w:rsid w:val="00E51D65"/>
    <w:rsid w:val="00E53416"/>
    <w:rsid w:val="00E70F29"/>
    <w:rsid w:val="00E74C54"/>
    <w:rsid w:val="00E76347"/>
    <w:rsid w:val="00EA5091"/>
    <w:rsid w:val="00EA7EE7"/>
    <w:rsid w:val="00EB385A"/>
    <w:rsid w:val="00EC15A3"/>
    <w:rsid w:val="00ED0A4F"/>
    <w:rsid w:val="00ED6689"/>
    <w:rsid w:val="00EE23E9"/>
    <w:rsid w:val="00EE2B21"/>
    <w:rsid w:val="00EE5BF9"/>
    <w:rsid w:val="00EF3A46"/>
    <w:rsid w:val="00F037B3"/>
    <w:rsid w:val="00F043A5"/>
    <w:rsid w:val="00F0711A"/>
    <w:rsid w:val="00F15D44"/>
    <w:rsid w:val="00F20928"/>
    <w:rsid w:val="00F26296"/>
    <w:rsid w:val="00F35E40"/>
    <w:rsid w:val="00F40D27"/>
    <w:rsid w:val="00F44378"/>
    <w:rsid w:val="00F53CD4"/>
    <w:rsid w:val="00F54C6A"/>
    <w:rsid w:val="00F56FCD"/>
    <w:rsid w:val="00F812D4"/>
    <w:rsid w:val="00F86A01"/>
    <w:rsid w:val="00FB0D0D"/>
    <w:rsid w:val="00FB32D3"/>
    <w:rsid w:val="00FB4652"/>
    <w:rsid w:val="00FB7046"/>
    <w:rsid w:val="00FC49F2"/>
    <w:rsid w:val="00FC7525"/>
    <w:rsid w:val="00FD62D6"/>
    <w:rsid w:val="00FE7E62"/>
    <w:rsid w:val="00FF03CA"/>
    <w:rsid w:val="00FF4855"/>
    <w:rsid w:val="00FF5BFF"/>
    <w:rsid w:val="04ABFFD8"/>
    <w:rsid w:val="4A5251DC"/>
    <w:rsid w:val="60A80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CBDB"/>
  <w15:chartTrackingRefBased/>
  <w15:docId w15:val="{E6A6A555-3C07-4F52-9B37-F0C31884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2C"/>
  </w:style>
  <w:style w:type="paragraph" w:styleId="Heading1">
    <w:name w:val="heading 1"/>
    <w:basedOn w:val="Normal"/>
    <w:next w:val="Normal"/>
    <w:link w:val="Heading1Char"/>
    <w:uiPriority w:val="9"/>
    <w:qFormat/>
    <w:rsid w:val="00AF37CB"/>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AF37CB"/>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CB"/>
    <w:rPr>
      <w:rFonts w:eastAsiaTheme="majorEastAsia" w:cstheme="majorBidi"/>
      <w:b/>
      <w:color w:val="4472C4" w:themeColor="accent1"/>
      <w:sz w:val="40"/>
      <w:szCs w:val="32"/>
    </w:rPr>
  </w:style>
  <w:style w:type="character" w:customStyle="1" w:styleId="Heading2Char">
    <w:name w:val="Heading 2 Char"/>
    <w:basedOn w:val="DefaultParagraphFont"/>
    <w:link w:val="Heading2"/>
    <w:uiPriority w:val="9"/>
    <w:rsid w:val="00AF37CB"/>
    <w:rPr>
      <w:rFonts w:eastAsiaTheme="majorEastAsia" w:cstheme="majorBidi"/>
      <w:b/>
      <w:color w:val="4472C4" w:themeColor="accent1"/>
      <w:sz w:val="26"/>
      <w:szCs w:val="26"/>
    </w:rPr>
  </w:style>
  <w:style w:type="table" w:styleId="TableGrid">
    <w:name w:val="Table Grid"/>
    <w:basedOn w:val="TableNormal"/>
    <w:uiPriority w:val="39"/>
    <w:rsid w:val="00AF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AF37CB"/>
    <w:pPr>
      <w:ind w:left="720"/>
      <w:contextualSpacing/>
    </w:pPr>
  </w:style>
  <w:style w:type="character" w:styleId="CommentReference">
    <w:name w:val="annotation reference"/>
    <w:basedOn w:val="DefaultParagraphFont"/>
    <w:uiPriority w:val="99"/>
    <w:semiHidden/>
    <w:unhideWhenUsed/>
    <w:rsid w:val="00AF37CB"/>
    <w:rPr>
      <w:sz w:val="16"/>
      <w:szCs w:val="16"/>
    </w:rPr>
  </w:style>
  <w:style w:type="paragraph" w:styleId="CommentText">
    <w:name w:val="annotation text"/>
    <w:basedOn w:val="Normal"/>
    <w:link w:val="CommentTextChar"/>
    <w:uiPriority w:val="99"/>
    <w:unhideWhenUsed/>
    <w:rsid w:val="00AF37CB"/>
    <w:pPr>
      <w:spacing w:line="240" w:lineRule="auto"/>
    </w:pPr>
    <w:rPr>
      <w:sz w:val="20"/>
      <w:szCs w:val="20"/>
    </w:rPr>
  </w:style>
  <w:style w:type="character" w:customStyle="1" w:styleId="CommentTextChar">
    <w:name w:val="Comment Text Char"/>
    <w:basedOn w:val="DefaultParagraphFont"/>
    <w:link w:val="CommentText"/>
    <w:uiPriority w:val="99"/>
    <w:rsid w:val="00AF37CB"/>
    <w:rPr>
      <w:sz w:val="20"/>
      <w:szCs w:val="20"/>
    </w:rPr>
  </w:style>
  <w:style w:type="character" w:styleId="Hyperlink">
    <w:name w:val="Hyperlink"/>
    <w:basedOn w:val="DefaultParagraphFont"/>
    <w:uiPriority w:val="99"/>
    <w:unhideWhenUsed/>
    <w:rsid w:val="00AF37CB"/>
    <w:rPr>
      <w:color w:val="0563C1" w:themeColor="hyperlink"/>
      <w:u w:val="single"/>
    </w:rPr>
  </w:style>
  <w:style w:type="paragraph" w:customStyle="1" w:styleId="Style1">
    <w:name w:val="Style1"/>
    <w:basedOn w:val="ListParagraph"/>
    <w:qFormat/>
    <w:rsid w:val="00AF37CB"/>
    <w:pPr>
      <w:numPr>
        <w:ilvl w:val="1"/>
        <w:numId w:val="1"/>
      </w:numPr>
      <w:spacing w:after="120" w:line="240" w:lineRule="auto"/>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AF37CB"/>
  </w:style>
  <w:style w:type="paragraph" w:styleId="Header">
    <w:name w:val="header"/>
    <w:basedOn w:val="Normal"/>
    <w:link w:val="HeaderChar"/>
    <w:uiPriority w:val="99"/>
    <w:unhideWhenUsed/>
    <w:rsid w:val="00AF3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7CB"/>
  </w:style>
  <w:style w:type="paragraph" w:styleId="Footer">
    <w:name w:val="footer"/>
    <w:basedOn w:val="Normal"/>
    <w:link w:val="FooterChar"/>
    <w:uiPriority w:val="99"/>
    <w:unhideWhenUsed/>
    <w:rsid w:val="00AF3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7CB"/>
  </w:style>
  <w:style w:type="paragraph" w:styleId="CommentSubject">
    <w:name w:val="annotation subject"/>
    <w:basedOn w:val="CommentText"/>
    <w:next w:val="CommentText"/>
    <w:link w:val="CommentSubjectChar"/>
    <w:uiPriority w:val="99"/>
    <w:semiHidden/>
    <w:unhideWhenUsed/>
    <w:rsid w:val="007B661A"/>
    <w:rPr>
      <w:b/>
      <w:bCs/>
    </w:rPr>
  </w:style>
  <w:style w:type="character" w:customStyle="1" w:styleId="CommentSubjectChar">
    <w:name w:val="Comment Subject Char"/>
    <w:basedOn w:val="CommentTextChar"/>
    <w:link w:val="CommentSubject"/>
    <w:uiPriority w:val="99"/>
    <w:semiHidden/>
    <w:rsid w:val="007B661A"/>
    <w:rPr>
      <w:b/>
      <w:bCs/>
      <w:sz w:val="20"/>
      <w:szCs w:val="20"/>
    </w:rPr>
  </w:style>
  <w:style w:type="character" w:styleId="FollowedHyperlink">
    <w:name w:val="FollowedHyperlink"/>
    <w:basedOn w:val="DefaultParagraphFont"/>
    <w:uiPriority w:val="99"/>
    <w:semiHidden/>
    <w:unhideWhenUsed/>
    <w:rsid w:val="000B04D8"/>
    <w:rPr>
      <w:color w:val="954F72" w:themeColor="followedHyperlink"/>
      <w:u w:val="single"/>
    </w:rPr>
  </w:style>
  <w:style w:type="paragraph" w:styleId="TOCHeading">
    <w:name w:val="TOC Heading"/>
    <w:basedOn w:val="Heading1"/>
    <w:next w:val="Normal"/>
    <w:uiPriority w:val="39"/>
    <w:unhideWhenUsed/>
    <w:qFormat/>
    <w:rsid w:val="0001291E"/>
    <w:pPr>
      <w:outlineLvl w:val="9"/>
    </w:pPr>
    <w:rPr>
      <w:lang w:val="en-US"/>
    </w:rPr>
  </w:style>
  <w:style w:type="paragraph" w:styleId="TOC1">
    <w:name w:val="toc 1"/>
    <w:basedOn w:val="Normal"/>
    <w:next w:val="Normal"/>
    <w:autoRedefine/>
    <w:uiPriority w:val="39"/>
    <w:unhideWhenUsed/>
    <w:rsid w:val="0001291E"/>
    <w:pPr>
      <w:tabs>
        <w:tab w:val="left" w:pos="440"/>
        <w:tab w:val="right" w:leader="dot" w:pos="9322"/>
      </w:tabs>
      <w:spacing w:after="100"/>
    </w:pPr>
  </w:style>
  <w:style w:type="paragraph" w:styleId="NoSpacing">
    <w:name w:val="No Spacing"/>
    <w:uiPriority w:val="1"/>
    <w:qFormat/>
    <w:rsid w:val="0001291E"/>
    <w:pPr>
      <w:spacing w:after="0" w:line="240" w:lineRule="auto"/>
    </w:pPr>
  </w:style>
  <w:style w:type="paragraph" w:styleId="TOC2">
    <w:name w:val="toc 2"/>
    <w:basedOn w:val="Normal"/>
    <w:next w:val="Normal"/>
    <w:autoRedefine/>
    <w:uiPriority w:val="39"/>
    <w:unhideWhenUsed/>
    <w:rsid w:val="0001291E"/>
    <w:pPr>
      <w:tabs>
        <w:tab w:val="left" w:pos="880"/>
        <w:tab w:val="right" w:leader="dot" w:pos="9322"/>
      </w:tabs>
      <w:spacing w:after="100"/>
      <w:ind w:left="220"/>
    </w:pPr>
  </w:style>
  <w:style w:type="character" w:styleId="UnresolvedMention">
    <w:name w:val="Unresolved Mention"/>
    <w:basedOn w:val="DefaultParagraphFont"/>
    <w:uiPriority w:val="99"/>
    <w:semiHidden/>
    <w:unhideWhenUsed/>
    <w:rsid w:val="0001291E"/>
    <w:rPr>
      <w:color w:val="605E5C"/>
      <w:shd w:val="clear" w:color="auto" w:fill="E1DFDD"/>
    </w:rPr>
  </w:style>
  <w:style w:type="paragraph" w:styleId="Revision">
    <w:name w:val="Revision"/>
    <w:hidden/>
    <w:uiPriority w:val="99"/>
    <w:semiHidden/>
    <w:rsid w:val="00D22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7714">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9263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2L0142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Details/C2022C0034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nopsema.gov.au%2Fsites%2Fdefault%2Ffiles%2Fdocuments%2FGuidance%2520-%2520Offshore%2520renewables%2520environmental%2520approvals%2520-%2520Rev%25201%2520Oct%25202022.pdf&amp;data=05%7C01%7Ccommunications%40nopsema.gov.au%7Cb32198b1f4974260b12a08dad8c9a894%7Cd74330c4cb7b4969bef760d16fa52008%7C0%7C0%7C638060657875896423%7CUnknown%7CTWFpbGZsb3d8eyJWIjoiMC4wLjAwMDAiLCJQIjoiV2luMzIiLCJBTiI6Ik1haWwiLCJXVCI6Mn0%3D%7C7000%7C%7C%7C&amp;sdata=8R6uXGHOoZp7CphACxV7DWufoPjlq4ea80K7Lsc88CQ%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87E033FE399D5940BAF61D8E939E1AE4" ma:contentTypeVersion="2644" ma:contentTypeDescription="Create a new document." ma:contentTypeScope="" ma:versionID="f0ffd1439fd2122e017e72951db35925">
  <xsd:schema xmlns:xsd="http://www.w3.org/2001/XMLSchema" xmlns:xs="http://www.w3.org/2001/XMLSchema" xmlns:p="http://schemas.microsoft.com/office/2006/metadata/properties" xmlns:ns2="7012054d-3a07-4b40-940b-a148fc76e5c4" xmlns:ns3="16794613-ac41-43de-b5b5-b4113f5c4e63" targetNamespace="http://schemas.microsoft.com/office/2006/metadata/properties" ma:root="true" ma:fieldsID="0a86d5fdffc2ff1ac110a515607802d2" ns2:_="" ns3:_="">
    <xsd:import namespace="7012054d-3a07-4b40-940b-a148fc76e5c4"/>
    <xsd:import namespace="16794613-ac41-43de-b5b5-b4113f5c4e63"/>
    <xsd:element name="properties">
      <xsd:complexType>
        <xsd:sequence>
          <xsd:element name="documentManagement">
            <xsd:complexType>
              <xsd:all>
                <xsd:element ref="ns2:AGRkMSDescription" minOccurs="0"/>
                <xsd:element ref="ns2:SecurityClassification" minOccurs="0"/>
                <xsd:element ref="ns2:RightsType" minOccurs="0"/>
                <xsd:element ref="ns2:RightsStatus" minOccurs="0"/>
                <xsd:element ref="ns2:TaxCatchAllLabel" minOccurs="0"/>
                <xsd:element ref="ns2:TaxKeywordTaxHTField"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OfNationalSignificance"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nillable="true"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nillable="true"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axCatchAllLabel" ma:index="13"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eam_Note" ma:index="18" nillable="true" ma:taxonomy="true" ma:internalName="Team_Note" ma:taxonomyFieldName="Team" ma:displayName="Team" ma:readOnly="false" ma:default="424;#Legislative Compliance|cb4b5b1d-0a66-42b0-ad54-d9e1e7b82ef0"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OfNationalSignificance" ma:index="69" nillable="true" ma:displayName="Of National Significance" ma:format="Dropdown" ma:internalName="Of_x0020_National_x0020_Significance" ma:readOnly="false">
      <xsd:simpleType>
        <xsd:restriction base="dms:Choice">
          <xsd:enumeration value="Yes"/>
          <xsd:enumeration value="No"/>
        </xsd:restriction>
      </xsd:simpleType>
    </xsd:element>
    <xsd:element name="SharedWithUsers" ma:index="7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794613-ac41-43de-b5b5-b4113f5c4e63" elementFormDefault="qualified">
    <xsd:import namespace="http://schemas.microsoft.com/office/2006/documentManagement/types"/>
    <xsd:import namespace="http://schemas.microsoft.com/office/infopath/2007/PartnerControls"/>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EventHashCode" ma:index="79" nillable="true" ma:displayName="MediaServiceEventHashCode" ma:hidden="true" ma:internalName="MediaServiceEventHashCode" ma:readOnly="true">
      <xsd:simpleType>
        <xsd:restriction base="dms:Text"/>
      </xsd:simpleType>
    </xsd:element>
    <xsd:element name="lcf76f155ced4ddcb4097134ff3c332f" ma:index="81" nillable="true" ma:taxonomy="true" ma:internalName="lcf76f155ced4ddcb4097134ff3c332f" ma:taxonomyFieldName="MediaServiceImageTags" ma:displayName="Image Tags" ma:readOnly="false" ma:fieldId="{5cf76f15-5ced-4ddc-b409-7134ff3c332f}" ma:taxonomyMulti="true" ma:sspId="bce47a14-5049-44f5-9725-de9c3b17a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2" nillable="true" ma:displayName="MediaServiceObjectDetectorVersions" ma:hidden="true" ma:indexed="true" ma:internalName="MediaServiceObjectDetectorVersions" ma:readOnly="true">
      <xsd:simpleType>
        <xsd:restriction base="dms:Text"/>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12054d-3a07-4b40-940b-a148fc76e5c4">
      <Value>424</Value>
      <Value>2871</Value>
    </TaxCatchAll>
    <lcf76f155ced4ddcb4097134ff3c332f xmlns="16794613-ac41-43de-b5b5-b4113f5c4e63">
      <Terms xmlns="http://schemas.microsoft.com/office/infopath/2007/PartnerControls"/>
    </lcf76f155ced4ddcb4097134ff3c332f>
    <SharedWithUsers xmlns="7012054d-3a07-4b40-940b-a148fc76e5c4">
      <UserInfo>
        <DisplayName>Von Ahlefeldt, Cai</DisplayName>
        <AccountId>300</AccountId>
        <AccountType/>
      </UserInfo>
      <UserInfo>
        <DisplayName>Richards, Sarah</DisplayName>
        <AccountId>294</AccountId>
        <AccountType/>
      </UserInfo>
      <UserInfo>
        <DisplayName>Alderton, Georgia</DisplayName>
        <AccountId>304</AccountId>
        <AccountType/>
      </UserInfo>
    </SharedWithUsers>
    <BusinessFunction_Note xmlns="7012054d-3a07-4b40-940b-a148fc76e5c4">
      <Terms xmlns="http://schemas.microsoft.com/office/infopath/2007/PartnerControls">
        <TermInfo xmlns="http://schemas.microsoft.com/office/infopath/2007/PartnerControls">
          <TermName xmlns="http://schemas.microsoft.com/office/infopath/2007/PartnerControls">Titles Management</TermName>
          <TermId xmlns="http://schemas.microsoft.com/office/infopath/2007/PartnerControls">ad100a70-3092-4a2a-a021-be62c39ee0f2</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KeywordScheme xmlns="7012054d-3a07-4b40-940b-a148fc76e5c4" xsi:nil="true"/>
    <FormatName xmlns="7012054d-3a07-4b40-940b-a148fc76e5c4">Word</FormatName>
    <RecordContactDetails xmlns="7012054d-3a07-4b40-940b-a148fc76e5c4" xsi:nil="true"/>
    <Quantity xmlns="7012054d-3a07-4b40-940b-a148fc76e5c4" xsi:nil="true"/>
    <Medium xmlns="7012054d-3a07-4b40-940b-a148fc76e5c4">Digital File</Medium>
    <DocumentForm xmlns="7012054d-3a07-4b40-940b-a148fc76e5c4" xsi:nil="true"/>
    <KeywordID xmlns="7012054d-3a07-4b40-940b-a148fc76e5c4" xsi:nil="true"/>
    <FormatRegistry xmlns="7012054d-3a07-4b40-940b-a148fc76e5c4">System generated</FormatRegistry>
    <Entity xmlns="7012054d-3a07-4b40-940b-a148fc76e5c4" xsi:nil="true"/>
    <OfNationalSignificance xmlns="7012054d-3a07-4b40-940b-a148fc76e5c4">No</OfNationalSignificanc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 Sensitive</SecurityClassification>
    <Jurisdiction xmlns="7012054d-3a07-4b40-940b-a148fc76e5c4">
      <Value>AU</Value>
    </Jurisdiction>
    <IdentifierScheme xmlns="7012054d-3a07-4b40-940b-a148fc76e5c4">RecordPoint</IdentifierScheme>
    <_dlc_DocId xmlns="7012054d-3a07-4b40-940b-a148fc76e5c4">NOPTANET-976016514-2365</_dlc_DocId>
    <_dlc_DocIdUrl xmlns="7012054d-3a07-4b40-940b-a148fc76e5c4">
      <Url>https://nopta.sharepoint.com/team/LCT/_layouts/15/DocIdRedir.aspx?ID=NOPTANET-976016514-2365</Url>
      <Description>NOPTANET-976016514-2365</Description>
    </_dlc_DocIdUrl>
  </documentManagement>
</p:properties>
</file>

<file path=customXml/itemProps1.xml><?xml version="1.0" encoding="utf-8"?>
<ds:datastoreItem xmlns:ds="http://schemas.openxmlformats.org/officeDocument/2006/customXml" ds:itemID="{5E9F9990-17CA-49E1-8071-7593246FB642}">
  <ds:schemaRefs>
    <ds:schemaRef ds:uri="http://schemas.microsoft.com/sharepoint/events"/>
  </ds:schemaRefs>
</ds:datastoreItem>
</file>

<file path=customXml/itemProps2.xml><?xml version="1.0" encoding="utf-8"?>
<ds:datastoreItem xmlns:ds="http://schemas.openxmlformats.org/officeDocument/2006/customXml" ds:itemID="{2B9DCA2A-6BFD-48EE-9C68-79481B2C4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16794613-ac41-43de-b5b5-b4113f5c4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C49C8-8A26-404F-81E0-5024728874C2}">
  <ds:schemaRefs>
    <ds:schemaRef ds:uri="http://schemas.microsoft.com/sharepoint/v3/contenttype/forms"/>
  </ds:schemaRefs>
</ds:datastoreItem>
</file>

<file path=customXml/itemProps4.xml><?xml version="1.0" encoding="utf-8"?>
<ds:datastoreItem xmlns:ds="http://schemas.openxmlformats.org/officeDocument/2006/customXml" ds:itemID="{D0EF08E3-244F-4DF2-837B-763617A6CCF5}">
  <ds:schemaRefs>
    <ds:schemaRef ds:uri="7012054d-3a07-4b40-940b-a148fc76e5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794613-ac41-43de-b5b5-b4113f5c4e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5892</Words>
  <Characters>33590</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National Offshore Petroleum Titles Administrator</Company>
  <LinksUpToDate>false</LinksUpToDate>
  <CharactersWithSpaces>39404</CharactersWithSpaces>
  <SharedDoc>false</SharedDoc>
  <HLinks>
    <vt:vector size="18" baseType="variant">
      <vt:variant>
        <vt:i4>8126562</vt:i4>
      </vt:variant>
      <vt:variant>
        <vt:i4>6</vt:i4>
      </vt:variant>
      <vt:variant>
        <vt:i4>0</vt:i4>
      </vt:variant>
      <vt:variant>
        <vt:i4>5</vt:i4>
      </vt:variant>
      <vt:variant>
        <vt:lpwstr>https://aus01.safelinks.protection.outlook.com/?url=https%3A%2F%2Fwww.nopsema.gov.au%2Fsites%2Fdefault%2Ffiles%2Fdocuments%2FGuidance%2520-%2520Offshore%2520renewables%2520environmental%2520approvals%2520-%2520Rev%25201%2520Oct%25202022.pdf&amp;data=05%7C01%7Ccommunications%40nopsema.gov.au%7Cb32198b1f4974260b12a08dad8c9a894%7Cd74330c4cb7b4969bef760d16fa52008%7C0%7C0%7C638060657875896423%7CUnknown%7CTWFpbGZsb3d8eyJWIjoiMC4wLjAwMDAiLCJQIjoiV2luMzIiLCJBTiI6Ik1haWwiLCJXVCI6Mn0%3D%7C7000%7C%7C%7C&amp;sdata=8R6uXGHOoZp7CphACxV7DWufoPjlq4ea80K7Lsc88CQ%3D&amp;reserved=0</vt:lpwstr>
      </vt:variant>
      <vt:variant>
        <vt:lpwstr/>
      </vt:variant>
      <vt:variant>
        <vt:i4>7405609</vt:i4>
      </vt:variant>
      <vt:variant>
        <vt:i4>3</vt:i4>
      </vt:variant>
      <vt:variant>
        <vt:i4>0</vt:i4>
      </vt:variant>
      <vt:variant>
        <vt:i4>5</vt:i4>
      </vt:variant>
      <vt:variant>
        <vt:lpwstr>https://www.legislation.gov.au/Details/F2022L01422</vt:lpwstr>
      </vt:variant>
      <vt:variant>
        <vt:lpwstr/>
      </vt:variant>
      <vt:variant>
        <vt:i4>7798817</vt:i4>
      </vt:variant>
      <vt:variant>
        <vt:i4>0</vt:i4>
      </vt:variant>
      <vt:variant>
        <vt:i4>0</vt:i4>
      </vt:variant>
      <vt:variant>
        <vt:i4>5</vt:i4>
      </vt:variant>
      <vt:variant>
        <vt:lpwstr>https://www.legislation.gov.au/Details/C2022C00346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Dinneen</dc:creator>
  <cp:keywords/>
  <dc:description/>
  <cp:lastModifiedBy>Brodrick, Brenda</cp:lastModifiedBy>
  <cp:revision>2</cp:revision>
  <dcterms:created xsi:type="dcterms:W3CDTF">2024-04-22T06:48:00Z</dcterms:created>
  <dcterms:modified xsi:type="dcterms:W3CDTF">2024-04-22T06:48:00Z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2023-02-27T00:53:55Z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8e1b8103-6732-4c18-9947-b195f8fd611e</vt:lpwstr>
  </property>
  <property fmtid="{D5CDD505-2E9C-101B-9397-08002B2CF9AE}" pid="8" name="MSIP_Label_93cd4f2a-0040-47df-a467-7cba635d669c_ContentBits">
    <vt:lpwstr>0</vt:lpwstr>
  </property>
  <property fmtid="{D5CDD505-2E9C-101B-9397-08002B2CF9AE}" pid="9" name="ContentTypeId">
    <vt:lpwstr>0x01010063547D135F865547B104B3688A6EB0DB0087E033FE399D5940BAF61D8E939E1AE4</vt:lpwstr>
  </property>
  <property fmtid="{D5CDD505-2E9C-101B-9397-08002B2CF9AE}" pid="10" name="BusinessFunction">
    <vt:lpwstr>2871</vt:lpwstr>
  </property>
  <property fmtid="{D5CDD505-2E9C-101B-9397-08002B2CF9AE}" pid="11" name="Team">
    <vt:lpwstr>424;#Legislative Compliance|cb4b5b1d-0a66-42b0-ad54-d9e1e7b82ef0</vt:lpwstr>
  </property>
  <property fmtid="{D5CDD505-2E9C-101B-9397-08002B2CF9AE}" pid="12" name="_dlc_DocIdItemGuid">
    <vt:lpwstr>a510adfb-89f3-47f7-9834-a820929f3498</vt:lpwstr>
  </property>
  <property fmtid="{D5CDD505-2E9C-101B-9397-08002B2CF9AE}" pid="13" name="TaxKeyword">
    <vt:lpwstr/>
  </property>
  <property fmtid="{D5CDD505-2E9C-101B-9397-08002B2CF9AE}" pid="14" name="MediaServiceImageTags">
    <vt:lpwstr/>
  </property>
  <property fmtid="{D5CDD505-2E9C-101B-9397-08002B2CF9AE}" pid="15" name="Titles">
    <vt:lpwstr/>
  </property>
  <property fmtid="{D5CDD505-2E9C-101B-9397-08002B2CF9AE}" pid="16" name="Title Type">
    <vt:lpwstr/>
  </property>
  <property fmtid="{D5CDD505-2E9C-101B-9397-08002B2CF9AE}" pid="17" name="Offshore Region">
    <vt:lpwstr/>
  </property>
  <property fmtid="{D5CDD505-2E9C-101B-9397-08002B2CF9AE}" pid="18" name="Application Library">
    <vt:lpwstr/>
  </property>
  <property fmtid="{D5CDD505-2E9C-101B-9397-08002B2CF9AE}" pid="19" name="DocumentType">
    <vt:lpwstr/>
  </property>
</Properties>
</file>