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2095" w14:textId="77777777" w:rsidR="0010304D" w:rsidRDefault="0010304D" w:rsidP="00554662">
      <w:pPr>
        <w:pStyle w:val="Tabletext"/>
      </w:pPr>
    </w:p>
    <w:p w14:paraId="29AEBD30" w14:textId="77777777" w:rsidR="00EE0503" w:rsidRDefault="00EE0503" w:rsidP="0010304D">
      <w:pPr>
        <w:pStyle w:val="FrontcoverH1"/>
        <w:ind w:left="0" w:right="403"/>
        <w:jc w:val="left"/>
        <w:rPr>
          <w:rFonts w:ascii="Arial" w:hAnsi="Arial" w:cs="Arial"/>
          <w:b/>
          <w:bCs/>
          <w:color w:val="00B0F0"/>
        </w:rPr>
      </w:pPr>
    </w:p>
    <w:p w14:paraId="2F9C91BC" w14:textId="77777777" w:rsidR="00EE0503" w:rsidRDefault="00EE0503" w:rsidP="0010304D">
      <w:pPr>
        <w:pStyle w:val="FrontcoverH1"/>
        <w:ind w:left="0" w:right="403"/>
        <w:jc w:val="left"/>
        <w:rPr>
          <w:rFonts w:ascii="Arial" w:hAnsi="Arial" w:cs="Arial"/>
          <w:b/>
          <w:bCs/>
          <w:color w:val="00B0F0"/>
        </w:rPr>
      </w:pPr>
    </w:p>
    <w:p w14:paraId="248FB516" w14:textId="77777777" w:rsidR="00EE0503" w:rsidRDefault="00EE0503" w:rsidP="0010304D">
      <w:pPr>
        <w:pStyle w:val="FrontcoverH1"/>
        <w:ind w:left="0" w:right="403"/>
        <w:jc w:val="left"/>
        <w:rPr>
          <w:rFonts w:ascii="Arial" w:hAnsi="Arial" w:cs="Arial"/>
          <w:b/>
          <w:bCs/>
          <w:color w:val="00B0F0"/>
        </w:rPr>
      </w:pPr>
    </w:p>
    <w:p w14:paraId="6C5FA62A" w14:textId="77777777" w:rsidR="00EE0503" w:rsidRDefault="00EE0503" w:rsidP="0010304D">
      <w:pPr>
        <w:pStyle w:val="FrontcoverH1"/>
        <w:ind w:left="0" w:right="403"/>
        <w:jc w:val="left"/>
        <w:rPr>
          <w:rFonts w:ascii="Arial" w:hAnsi="Arial" w:cs="Arial"/>
          <w:b/>
          <w:bCs/>
          <w:color w:val="00B0F0"/>
        </w:rPr>
      </w:pPr>
    </w:p>
    <w:p w14:paraId="2C769C75" w14:textId="0703E21F" w:rsidR="0010304D" w:rsidRPr="00D435CC" w:rsidRDefault="00EE0503" w:rsidP="0010304D">
      <w:pPr>
        <w:pStyle w:val="FrontcoverH1"/>
        <w:pBdr>
          <w:bottom w:val="single" w:sz="6" w:space="1" w:color="auto"/>
        </w:pBdr>
        <w:ind w:left="0" w:right="403"/>
        <w:jc w:val="left"/>
        <w:rPr>
          <w:rFonts w:ascii="Arial" w:hAnsi="Arial" w:cs="Arial"/>
          <w:b/>
          <w:bCs/>
          <w:color w:val="00B0F0"/>
          <w:sz w:val="20"/>
          <w:szCs w:val="20"/>
        </w:rPr>
      </w:pPr>
      <w:r w:rsidRPr="002023D2">
        <w:rPr>
          <w:rFonts w:ascii="Arial" w:hAnsi="Arial" w:cs="Arial"/>
          <w:b/>
          <w:bCs/>
          <w:color w:val="00B0F0"/>
          <w:sz w:val="96"/>
          <w:szCs w:val="96"/>
        </w:rPr>
        <w:t>Capacity Investment</w:t>
      </w:r>
      <w:r w:rsidR="0010304D" w:rsidRPr="002023D2">
        <w:rPr>
          <w:rFonts w:ascii="Arial" w:hAnsi="Arial" w:cs="Arial"/>
          <w:b/>
          <w:bCs/>
          <w:color w:val="00B0F0"/>
          <w:sz w:val="96"/>
          <w:szCs w:val="96"/>
        </w:rPr>
        <w:t xml:space="preserve"> </w:t>
      </w:r>
      <w:r w:rsidR="002023D2" w:rsidRPr="002023D2">
        <w:rPr>
          <w:rFonts w:ascii="Arial" w:hAnsi="Arial" w:cs="Arial"/>
          <w:b/>
          <w:bCs/>
          <w:color w:val="00B0F0"/>
          <w:sz w:val="96"/>
          <w:szCs w:val="96"/>
        </w:rPr>
        <w:t xml:space="preserve">Scheme </w:t>
      </w:r>
    </w:p>
    <w:p w14:paraId="5EFCF31E" w14:textId="77777777" w:rsidR="00A23C60" w:rsidRDefault="00D435CC" w:rsidP="0010304D">
      <w:pPr>
        <w:pStyle w:val="FrontcoverH1"/>
        <w:ind w:left="0" w:right="403"/>
        <w:jc w:val="left"/>
        <w:rPr>
          <w:rFonts w:ascii="Arial" w:hAnsi="Arial" w:cs="Arial"/>
          <w:b/>
          <w:bCs/>
          <w:color w:val="00B0F0"/>
          <w:sz w:val="48"/>
          <w:szCs w:val="48"/>
        </w:rPr>
      </w:pPr>
      <w:r>
        <w:rPr>
          <w:rFonts w:ascii="Arial" w:hAnsi="Arial" w:cs="Arial"/>
          <w:b/>
          <w:bCs/>
          <w:color w:val="00B0F0"/>
          <w:sz w:val="48"/>
          <w:szCs w:val="48"/>
        </w:rPr>
        <w:br/>
      </w:r>
      <w:r w:rsidR="004D204A">
        <w:rPr>
          <w:rFonts w:ascii="Arial" w:hAnsi="Arial" w:cs="Arial"/>
          <w:b/>
          <w:bCs/>
          <w:color w:val="00B0F0"/>
          <w:sz w:val="48"/>
          <w:szCs w:val="48"/>
        </w:rPr>
        <w:t xml:space="preserve">Public </w:t>
      </w:r>
      <w:r w:rsidRPr="00D435CC">
        <w:rPr>
          <w:rFonts w:ascii="Arial" w:hAnsi="Arial" w:cs="Arial"/>
          <w:b/>
          <w:bCs/>
          <w:color w:val="00B0F0"/>
          <w:sz w:val="48"/>
          <w:szCs w:val="48"/>
        </w:rPr>
        <w:t>Consultation Paper</w:t>
      </w:r>
      <w:r w:rsidR="00A23C60">
        <w:rPr>
          <w:rFonts w:ascii="Arial" w:hAnsi="Arial" w:cs="Arial"/>
          <w:b/>
          <w:bCs/>
          <w:color w:val="00B0F0"/>
          <w:sz w:val="48"/>
          <w:szCs w:val="48"/>
        </w:rPr>
        <w:t xml:space="preserve"> </w:t>
      </w:r>
    </w:p>
    <w:p w14:paraId="139B3599" w14:textId="08433B28" w:rsidR="00D435CC" w:rsidRDefault="00D435CC" w:rsidP="0010304D">
      <w:pPr>
        <w:pStyle w:val="FrontcoverH1"/>
        <w:ind w:left="0" w:right="403"/>
        <w:jc w:val="left"/>
        <w:rPr>
          <w:rFonts w:ascii="Arial" w:hAnsi="Arial" w:cs="Arial"/>
          <w:b/>
          <w:bCs/>
          <w:color w:val="00B0F0"/>
          <w:sz w:val="48"/>
          <w:szCs w:val="48"/>
        </w:rPr>
      </w:pPr>
    </w:p>
    <w:p w14:paraId="5D5D1071" w14:textId="77777777" w:rsidR="0010304D" w:rsidRDefault="0010304D" w:rsidP="0010304D">
      <w:pPr>
        <w:pStyle w:val="FrontcoverH1"/>
        <w:ind w:left="0" w:right="403"/>
        <w:jc w:val="left"/>
        <w:rPr>
          <w:rFonts w:ascii="Arial" w:hAnsi="Arial" w:cs="Arial"/>
          <w:b/>
          <w:bCs/>
          <w:color w:val="00B0F0"/>
        </w:rPr>
      </w:pPr>
    </w:p>
    <w:p w14:paraId="564C9405" w14:textId="77777777" w:rsidR="0010304D" w:rsidRDefault="0010304D" w:rsidP="0010304D">
      <w:pPr>
        <w:pStyle w:val="FrontcoverH1"/>
        <w:ind w:left="0" w:right="403"/>
        <w:jc w:val="left"/>
        <w:rPr>
          <w:rFonts w:ascii="Arial" w:hAnsi="Arial" w:cs="Arial"/>
          <w:color w:val="auto"/>
          <w:sz w:val="48"/>
          <w:szCs w:val="48"/>
        </w:rPr>
      </w:pPr>
    </w:p>
    <w:p w14:paraId="2B1408FF" w14:textId="77777777" w:rsidR="00EE0503" w:rsidRDefault="00EE0503" w:rsidP="0010304D">
      <w:pPr>
        <w:pStyle w:val="FrontcoverH1"/>
        <w:ind w:left="0" w:right="403"/>
        <w:jc w:val="left"/>
        <w:rPr>
          <w:rFonts w:ascii="Arial" w:hAnsi="Arial" w:cs="Arial"/>
          <w:color w:val="auto"/>
          <w:sz w:val="48"/>
          <w:szCs w:val="48"/>
        </w:rPr>
      </w:pPr>
    </w:p>
    <w:p w14:paraId="019E74FD" w14:textId="77777777" w:rsidR="004D204A" w:rsidRDefault="004D204A" w:rsidP="0010304D">
      <w:pPr>
        <w:pStyle w:val="FrontcoverH1"/>
        <w:ind w:left="0" w:right="403"/>
        <w:jc w:val="left"/>
        <w:rPr>
          <w:rFonts w:ascii="Arial" w:hAnsi="Arial" w:cs="Arial"/>
          <w:color w:val="auto"/>
          <w:sz w:val="48"/>
          <w:szCs w:val="48"/>
        </w:rPr>
      </w:pPr>
    </w:p>
    <w:p w14:paraId="36FAB972" w14:textId="77777777" w:rsidR="004D204A" w:rsidRDefault="004D204A" w:rsidP="0010304D">
      <w:pPr>
        <w:pStyle w:val="FrontcoverH1"/>
        <w:ind w:left="0" w:right="403"/>
        <w:jc w:val="left"/>
        <w:rPr>
          <w:rFonts w:ascii="Arial" w:hAnsi="Arial" w:cs="Arial"/>
          <w:color w:val="auto"/>
          <w:sz w:val="48"/>
          <w:szCs w:val="48"/>
        </w:rPr>
      </w:pPr>
    </w:p>
    <w:p w14:paraId="4BA91259" w14:textId="77777777" w:rsidR="004D204A" w:rsidRDefault="004D204A" w:rsidP="0010304D">
      <w:pPr>
        <w:pStyle w:val="FrontcoverH1"/>
        <w:ind w:left="0" w:right="403"/>
        <w:jc w:val="left"/>
        <w:rPr>
          <w:rFonts w:ascii="Arial" w:hAnsi="Arial" w:cs="Arial"/>
          <w:color w:val="auto"/>
          <w:sz w:val="48"/>
          <w:szCs w:val="48"/>
        </w:rPr>
      </w:pPr>
    </w:p>
    <w:p w14:paraId="3AA9FAE0" w14:textId="782CEDFC" w:rsidR="00EE0503" w:rsidRPr="00F61330" w:rsidRDefault="00D606AF" w:rsidP="0010304D">
      <w:pPr>
        <w:pStyle w:val="FrontcoverH1"/>
        <w:ind w:left="0" w:right="403"/>
        <w:jc w:val="left"/>
        <w:rPr>
          <w:rFonts w:ascii="Arial" w:hAnsi="Arial" w:cs="Arial"/>
          <w:color w:val="auto"/>
          <w:sz w:val="48"/>
          <w:szCs w:val="48"/>
        </w:rPr>
      </w:pPr>
      <w:r>
        <w:rPr>
          <w:rFonts w:ascii="Arial" w:hAnsi="Arial" w:cs="Arial"/>
          <w:color w:val="auto"/>
          <w:sz w:val="48"/>
          <w:szCs w:val="48"/>
        </w:rPr>
        <w:t xml:space="preserve">August </w:t>
      </w:r>
      <w:r w:rsidR="00D435CC">
        <w:rPr>
          <w:rFonts w:ascii="Arial" w:hAnsi="Arial" w:cs="Arial"/>
          <w:color w:val="auto"/>
          <w:sz w:val="48"/>
          <w:szCs w:val="48"/>
        </w:rPr>
        <w:t>2023</w:t>
      </w:r>
    </w:p>
    <w:p w14:paraId="260A2DDB" w14:textId="77777777" w:rsidR="00EE0503" w:rsidRDefault="00EE0503">
      <w:r>
        <w:br w:type="page"/>
      </w:r>
    </w:p>
    <w:p w14:paraId="65509A44" w14:textId="77777777" w:rsidR="00D435CC" w:rsidRDefault="00D435CC" w:rsidP="00D435CC">
      <w:pPr>
        <w:pStyle w:val="Heading2"/>
        <w:numPr>
          <w:ilvl w:val="0"/>
          <w:numId w:val="0"/>
        </w:numPr>
        <w:ind w:left="576" w:hanging="576"/>
      </w:pPr>
      <w:bookmarkStart w:id="0" w:name="_Toc107332553"/>
      <w:bookmarkStart w:id="1" w:name="_Toc19289802"/>
      <w:bookmarkStart w:id="2" w:name="_Toc19023739"/>
      <w:bookmarkStart w:id="3" w:name="_Toc118195038"/>
      <w:bookmarkStart w:id="4" w:name="_Toc118140974"/>
      <w:bookmarkStart w:id="5" w:name="_Toc118140208"/>
      <w:bookmarkStart w:id="6" w:name="_Toc118218122"/>
      <w:bookmarkStart w:id="7" w:name="_Toc118213440"/>
      <w:bookmarkStart w:id="8" w:name="_Toc118216312"/>
      <w:bookmarkStart w:id="9" w:name="_Toc118215783"/>
      <w:bookmarkStart w:id="10" w:name="_Toc117606275"/>
      <w:bookmarkStart w:id="11" w:name="_Toc117089149"/>
      <w:bookmarkStart w:id="12" w:name="_Toc116994838"/>
      <w:bookmarkStart w:id="13" w:name="_Toc116992526"/>
      <w:bookmarkStart w:id="14" w:name="_Toc116662784"/>
      <w:bookmarkStart w:id="15" w:name="_Toc116660778"/>
      <w:bookmarkStart w:id="16" w:name="_Toc116660117"/>
      <w:bookmarkStart w:id="17" w:name="_Toc116298241"/>
      <w:bookmarkStart w:id="18" w:name="_Toc116297028"/>
      <w:bookmarkStart w:id="19" w:name="_Toc116296995"/>
      <w:bookmarkStart w:id="20" w:name="_Toc116053349"/>
      <w:bookmarkStart w:id="21" w:name="_Toc116049871"/>
      <w:bookmarkStart w:id="22" w:name="_Toc115965844"/>
      <w:bookmarkStart w:id="23" w:name="_Toc121317903"/>
      <w:bookmarkStart w:id="24" w:name="_Toc139196494"/>
      <w:bookmarkStart w:id="25" w:name="_Ref141110591"/>
      <w:bookmarkStart w:id="26" w:name="_Toc141783154"/>
      <w:r>
        <w:lastRenderedPageBreak/>
        <w:t>Copyright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03AFE7D" w14:textId="4C793F6F" w:rsidR="00D435CC" w:rsidRDefault="00D435CC" w:rsidP="00D435CC">
      <w:pPr>
        <w:rPr>
          <w:rStyle w:val="Strong"/>
        </w:rPr>
      </w:pPr>
      <w:r>
        <w:rPr>
          <w:rStyle w:val="Strong"/>
        </w:rPr>
        <w:t>© Commonwealth of Australia 2023</w:t>
      </w:r>
    </w:p>
    <w:p w14:paraId="5241EECE" w14:textId="77777777" w:rsidR="00D435CC" w:rsidRDefault="00D435CC" w:rsidP="00D435CC">
      <w:pPr>
        <w:rPr>
          <w:rStyle w:val="Strong"/>
        </w:rPr>
      </w:pPr>
      <w:r>
        <w:rPr>
          <w:rStyle w:val="Strong"/>
        </w:rPr>
        <w:t>Ownership of intellectual property rights</w:t>
      </w:r>
    </w:p>
    <w:p w14:paraId="4673362B" w14:textId="77777777" w:rsidR="00D435CC" w:rsidRDefault="00D435CC" w:rsidP="00D435CC">
      <w:r>
        <w:t>Unless otherwise noted, copyright (and any other intellectual property rights, if any) in this publication is owned by the Commonwealth of Australia.</w:t>
      </w:r>
    </w:p>
    <w:p w14:paraId="4CF1E796" w14:textId="77777777" w:rsidR="00D435CC" w:rsidRDefault="00D435CC" w:rsidP="00D435CC">
      <w:pPr>
        <w:rPr>
          <w:rStyle w:val="Strong"/>
        </w:rPr>
      </w:pPr>
      <w:r>
        <w:rPr>
          <w:rStyle w:val="Strong"/>
        </w:rPr>
        <w:t>Creative Commons licence</w:t>
      </w:r>
    </w:p>
    <w:p w14:paraId="774E48C5" w14:textId="77777777" w:rsidR="00D435CC" w:rsidRDefault="00D435CC" w:rsidP="00D435CC">
      <w:pPr>
        <w:rPr>
          <w:rStyle w:val="Strong"/>
        </w:rPr>
      </w:pPr>
      <w:r>
        <w:rPr>
          <w:b/>
          <w:noProof/>
          <w:lang w:eastAsia="en-AU"/>
        </w:rPr>
        <w:drawing>
          <wp:inline distT="0" distB="0" distL="0" distR="0" wp14:anchorId="414FE2E5" wp14:editId="30C042C9">
            <wp:extent cx="1130300" cy="444500"/>
            <wp:effectExtent l="0" t="0" r="0" b="0"/>
            <wp:docPr id="8" name="Picture 8" descr="Creative Commons CC BY logo" title="Creative Commons CC BY"/>
            <wp:cNvGraphicFramePr/>
            <a:graphic xmlns:a="http://schemas.openxmlformats.org/drawingml/2006/main">
              <a:graphicData uri="http://schemas.openxmlformats.org/drawingml/2006/picture">
                <pic:pic xmlns:pic="http://schemas.openxmlformats.org/drawingml/2006/picture">
                  <pic:nvPicPr>
                    <pic:cNvPr id="4" name="Picture 4" descr="Creative Commons CC BY logo" title="Creative Commons CC BY"/>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8395" cy="440055"/>
                    </a:xfrm>
                    <a:prstGeom prst="rect">
                      <a:avLst/>
                    </a:prstGeom>
                    <a:ln>
                      <a:noFill/>
                    </a:ln>
                    <a:extLst>
                      <a:ext uri="{53640926-AAD7-44D8-BBD7-CCE9431645EC}">
                        <a14:shadowObscured xmlns:a14="http://schemas.microsoft.com/office/drawing/2010/main"/>
                      </a:ext>
                    </a:extLst>
                  </pic:spPr>
                </pic:pic>
              </a:graphicData>
            </a:graphic>
          </wp:inline>
        </w:drawing>
      </w:r>
    </w:p>
    <w:p w14:paraId="114AA142" w14:textId="77777777" w:rsidR="00D435CC" w:rsidRDefault="00D435CC" w:rsidP="00D435CC">
      <w:pPr>
        <w:rPr>
          <w:rStyle w:val="Strong"/>
        </w:rPr>
      </w:pPr>
      <w:r>
        <w:rPr>
          <w:rStyle w:val="Strong"/>
        </w:rPr>
        <w:t xml:space="preserve">Attribution </w:t>
      </w:r>
    </w:p>
    <w:p w14:paraId="771925D5" w14:textId="77777777" w:rsidR="00D435CC" w:rsidRDefault="00D435CC" w:rsidP="00D435CC">
      <w:pPr>
        <w:rPr>
          <w:rStyle w:val="Strong"/>
        </w:rPr>
      </w:pPr>
      <w:r>
        <w:rPr>
          <w:rStyle w:val="Strong"/>
        </w:rPr>
        <w:t>CC BY</w:t>
      </w:r>
    </w:p>
    <w:p w14:paraId="1ACD59D0" w14:textId="77777777" w:rsidR="00D435CC" w:rsidRDefault="00D435CC" w:rsidP="00D435CC">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52FB36BC" w14:textId="5D64D703" w:rsidR="00D435CC" w:rsidRDefault="00D435CC" w:rsidP="00D435CC">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Pr>
            <w:rStyle w:val="Hyperlink"/>
          </w:rPr>
          <w:t>https://creativecommons.org/licenses/by/4.0/</w:t>
        </w:r>
      </w:hyperlink>
    </w:p>
    <w:p w14:paraId="0A6FB0A7" w14:textId="579530C1" w:rsidR="00D435CC" w:rsidRDefault="00D435CC" w:rsidP="00D435CC">
      <w:r>
        <w:t xml:space="preserve">The full licence terms are available from </w:t>
      </w:r>
      <w:hyperlink r:id="rId14" w:history="1">
        <w:r>
          <w:rPr>
            <w:rStyle w:val="Hyperlink"/>
          </w:rPr>
          <w:t>https://creativecommons.org/licenses/by/4.0/legalcode</w:t>
        </w:r>
      </w:hyperlink>
    </w:p>
    <w:p w14:paraId="79D8AEC9" w14:textId="77777777" w:rsidR="00D435CC" w:rsidRDefault="00D435CC" w:rsidP="00D435CC">
      <w:r>
        <w:t xml:space="preserve">Content contained herein should be attributed as </w:t>
      </w:r>
      <w:r>
        <w:rPr>
          <w:i/>
        </w:rPr>
        <w:t>Report title, Australian Government Department of Climate Change, Energy, the Environment and Water</w:t>
      </w:r>
      <w:r>
        <w:t>.</w:t>
      </w:r>
    </w:p>
    <w:p w14:paraId="4CFEA02F" w14:textId="77777777" w:rsidR="00427EA1" w:rsidRDefault="00427EA1" w:rsidP="00427EA1">
      <w:pPr>
        <w:pStyle w:val="Heading2"/>
        <w:numPr>
          <w:ilvl w:val="1"/>
          <w:numId w:val="0"/>
        </w:numPr>
        <w:ind w:left="576" w:hanging="576"/>
      </w:pPr>
      <w:bookmarkStart w:id="27" w:name="_Toc118218123"/>
      <w:bookmarkStart w:id="28" w:name="_Toc118216313"/>
      <w:bookmarkStart w:id="29" w:name="_Toc118215784"/>
      <w:bookmarkStart w:id="30" w:name="_Toc118213441"/>
      <w:bookmarkStart w:id="31" w:name="_Toc118195039"/>
      <w:bookmarkStart w:id="32" w:name="_Toc118140975"/>
      <w:bookmarkStart w:id="33" w:name="_Toc118140209"/>
      <w:bookmarkStart w:id="34" w:name="_Toc117606276"/>
      <w:bookmarkStart w:id="35" w:name="_Toc117089150"/>
      <w:bookmarkStart w:id="36" w:name="_Toc116994839"/>
      <w:bookmarkStart w:id="37" w:name="_Toc116992527"/>
      <w:bookmarkStart w:id="38" w:name="_Toc116662785"/>
      <w:bookmarkStart w:id="39" w:name="_Toc116660779"/>
      <w:bookmarkStart w:id="40" w:name="_Toc116660118"/>
      <w:bookmarkStart w:id="41" w:name="_Toc116298242"/>
      <w:bookmarkStart w:id="42" w:name="_Toc116297029"/>
      <w:bookmarkStart w:id="43" w:name="_Toc116296996"/>
      <w:bookmarkStart w:id="44" w:name="_Toc116053350"/>
      <w:bookmarkStart w:id="45" w:name="_Toc116049872"/>
      <w:bookmarkStart w:id="46" w:name="_Toc115965845"/>
      <w:bookmarkStart w:id="47" w:name="_Toc115449459"/>
      <w:bookmarkStart w:id="48" w:name="_Toc115356657"/>
      <w:bookmarkStart w:id="49" w:name="_Toc115348314"/>
      <w:bookmarkStart w:id="50" w:name="_Toc115345412"/>
      <w:bookmarkStart w:id="51" w:name="_Toc115343849"/>
      <w:bookmarkStart w:id="52" w:name="_Toc115274860"/>
      <w:bookmarkStart w:id="53" w:name="_Toc115266624"/>
      <w:bookmarkStart w:id="54" w:name="_Toc115172022"/>
      <w:bookmarkStart w:id="55" w:name="_Toc115171868"/>
      <w:bookmarkStart w:id="56" w:name="_Toc115101725"/>
      <w:bookmarkStart w:id="57" w:name="_Toc115100065"/>
      <w:bookmarkStart w:id="58" w:name="_Toc115097489"/>
      <w:bookmarkStart w:id="59" w:name="_Toc115093606"/>
      <w:bookmarkStart w:id="60" w:name="_Toc114494886"/>
      <w:bookmarkStart w:id="61" w:name="_Toc114494891"/>
      <w:bookmarkStart w:id="62" w:name="_Toc114487180"/>
      <w:bookmarkStart w:id="63" w:name="_Toc114483864"/>
      <w:bookmarkStart w:id="64" w:name="_Toc114232882"/>
      <w:bookmarkStart w:id="65" w:name="_Toc68105050"/>
      <w:bookmarkStart w:id="66" w:name="_Toc68088364"/>
      <w:bookmarkStart w:id="67" w:name="_Toc68083511"/>
      <w:bookmarkStart w:id="68" w:name="_Toc68083116"/>
      <w:bookmarkStart w:id="69" w:name="_Toc68000185"/>
      <w:bookmarkStart w:id="70" w:name="_Toc67998745"/>
      <w:bookmarkStart w:id="71" w:name="_Toc67562602"/>
      <w:bookmarkStart w:id="72" w:name="_Toc67553858"/>
      <w:bookmarkStart w:id="73" w:name="_Toc67330169"/>
      <w:bookmarkStart w:id="74" w:name="_Toc67329346"/>
      <w:bookmarkStart w:id="75" w:name="_Toc67329098"/>
      <w:bookmarkStart w:id="76" w:name="_Toc67328487"/>
      <w:bookmarkStart w:id="77" w:name="_Toc66865480"/>
      <w:bookmarkStart w:id="78" w:name="_Toc66704766"/>
      <w:bookmarkStart w:id="79" w:name="_Toc65514350"/>
      <w:bookmarkStart w:id="80" w:name="_Toc65168361"/>
      <w:bookmarkStart w:id="81" w:name="_Toc65168111"/>
      <w:bookmarkStart w:id="82" w:name="_Toc64302359"/>
      <w:bookmarkStart w:id="83" w:name="_Toc64299948"/>
      <w:bookmarkStart w:id="84" w:name="_Toc62043714"/>
      <w:bookmarkStart w:id="85" w:name="_Toc57304641"/>
      <w:bookmarkStart w:id="86" w:name="_Toc57204970"/>
      <w:bookmarkStart w:id="87" w:name="_Toc57199103"/>
      <w:bookmarkStart w:id="88" w:name="_Toc57123900"/>
      <w:bookmarkStart w:id="89" w:name="_Toc19289803"/>
      <w:bookmarkStart w:id="90" w:name="_Toc19023740"/>
      <w:bookmarkStart w:id="91" w:name="_Toc121317904"/>
      <w:bookmarkStart w:id="92" w:name="_Toc139196495"/>
      <w:bookmarkStart w:id="93" w:name="_Toc140497762"/>
      <w:bookmarkStart w:id="94" w:name="_Toc139196511"/>
      <w:bookmarkStart w:id="95" w:name="_Toc141783155"/>
      <w:r>
        <w:t>Disclaimer</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5"/>
    </w:p>
    <w:p w14:paraId="5F540BCE" w14:textId="6FD22C68" w:rsidR="00427EA1" w:rsidRPr="00427EA1" w:rsidRDefault="00427EA1" w:rsidP="00427EA1">
      <w:pPr>
        <w:rPr>
          <w:bCs/>
        </w:rPr>
      </w:pPr>
      <w:r w:rsidRPr="00427EA1">
        <w:rPr>
          <w:bCs/>
        </w:rPr>
        <w:t xml:space="preserve">The Commonwealth of Australia, as represented by the Department of Climate Change, Energy, the Environment and Water, has produced this publication to provide high-level and initial guidance on the proposed Capacity Investment Scheme (CIS). The CIS is presently under development and the information contained in this publication is subject to change. This publication does not indicate commitment by the Australian Government to a particular course of action in relation to the CIS or otherwise. </w:t>
      </w:r>
    </w:p>
    <w:p w14:paraId="3655CAC8" w14:textId="77777777" w:rsidR="00427EA1" w:rsidRPr="00427EA1" w:rsidRDefault="00427EA1" w:rsidP="00427EA1">
      <w:pPr>
        <w:rPr>
          <w:bCs/>
        </w:rPr>
      </w:pPr>
      <w:r w:rsidRPr="00427EA1">
        <w:rPr>
          <w:bCs/>
        </w:rPr>
        <w:t>Any transaction implemented under the CIS will have its own terms set out in relevant disclosure and process documents. The reader should make their own inquiries of all relevant information and take necessary legal and other professional advice, before taking any action.</w:t>
      </w:r>
    </w:p>
    <w:p w14:paraId="092679EC" w14:textId="69C259BD" w:rsidR="000F5396" w:rsidRDefault="00427EA1">
      <w:r w:rsidRPr="00427EA1">
        <w:rPr>
          <w:bCs/>
        </w:rPr>
        <w:t>The Commonwealth of Australia has exercised due care and skill in the preparation and compilation of the information and data in this publication, however the Commonwealth of Australia, its officers, employees, representatives, professional advisors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w:t>
      </w:r>
      <w:r w:rsidR="00476E4A">
        <w:br w:type="page"/>
      </w:r>
    </w:p>
    <w:sdt>
      <w:sdtPr>
        <w:id w:val="-1184589423"/>
        <w:docPartObj>
          <w:docPartGallery w:val="Table of Contents"/>
          <w:docPartUnique/>
        </w:docPartObj>
      </w:sdtPr>
      <w:sdtEndPr>
        <w:rPr>
          <w:b/>
          <w:bCs/>
          <w:noProof/>
        </w:rPr>
      </w:sdtEndPr>
      <w:sdtContent>
        <w:p w14:paraId="13A572CB" w14:textId="289577ED" w:rsidR="00476E4A" w:rsidRPr="004E0F6A" w:rsidRDefault="00476E4A" w:rsidP="001C2D4A">
          <w:pPr>
            <w:rPr>
              <w:rFonts w:ascii="Arial" w:eastAsia="MS Gothic" w:hAnsi="Arial" w:cstheme="minorHAnsi"/>
              <w:b/>
              <w:bCs/>
              <w:color w:val="00B0F0"/>
              <w:sz w:val="28"/>
              <w:szCs w:val="28"/>
              <w:lang w:val="en-GB" w:eastAsia="en-AU"/>
            </w:rPr>
          </w:pPr>
          <w:r w:rsidRPr="004E0F6A">
            <w:rPr>
              <w:rFonts w:ascii="Arial" w:eastAsia="MS Gothic" w:hAnsi="Arial" w:cstheme="minorHAnsi"/>
              <w:b/>
              <w:bCs/>
              <w:color w:val="00B0F0"/>
              <w:sz w:val="28"/>
              <w:szCs w:val="28"/>
              <w:lang w:val="en-GB" w:eastAsia="en-AU"/>
            </w:rPr>
            <w:t>Contents</w:t>
          </w:r>
        </w:p>
        <w:p w14:paraId="798DAC75" w14:textId="4C30428F" w:rsidR="007328CE" w:rsidRDefault="00476E4A">
          <w:pPr>
            <w:pStyle w:val="TOC2"/>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41783154" w:history="1">
            <w:r w:rsidR="007328CE" w:rsidRPr="006D25AA">
              <w:rPr>
                <w:rStyle w:val="Hyperlink"/>
                <w:noProof/>
              </w:rPr>
              <w:t>Copyright</w:t>
            </w:r>
            <w:r w:rsidR="007328CE">
              <w:rPr>
                <w:noProof/>
                <w:webHidden/>
              </w:rPr>
              <w:tab/>
            </w:r>
            <w:r w:rsidR="007328CE">
              <w:rPr>
                <w:noProof/>
                <w:webHidden/>
              </w:rPr>
              <w:fldChar w:fldCharType="begin"/>
            </w:r>
            <w:r w:rsidR="007328CE">
              <w:rPr>
                <w:noProof/>
                <w:webHidden/>
              </w:rPr>
              <w:instrText xml:space="preserve"> PAGEREF _Toc141783154 \h </w:instrText>
            </w:r>
            <w:r w:rsidR="007328CE">
              <w:rPr>
                <w:noProof/>
                <w:webHidden/>
              </w:rPr>
            </w:r>
            <w:r w:rsidR="007328CE">
              <w:rPr>
                <w:noProof/>
                <w:webHidden/>
              </w:rPr>
              <w:fldChar w:fldCharType="separate"/>
            </w:r>
            <w:r w:rsidR="0058689A">
              <w:rPr>
                <w:noProof/>
                <w:webHidden/>
              </w:rPr>
              <w:t>2</w:t>
            </w:r>
            <w:r w:rsidR="007328CE">
              <w:rPr>
                <w:noProof/>
                <w:webHidden/>
              </w:rPr>
              <w:fldChar w:fldCharType="end"/>
            </w:r>
          </w:hyperlink>
        </w:p>
        <w:p w14:paraId="4B1DFDBD" w14:textId="3E7965D6" w:rsidR="007328CE" w:rsidRDefault="007328CE">
          <w:pPr>
            <w:pStyle w:val="TOC2"/>
            <w:rPr>
              <w:rFonts w:asciiTheme="minorHAnsi" w:eastAsiaTheme="minorEastAsia" w:hAnsiTheme="minorHAnsi"/>
              <w:noProof/>
              <w:kern w:val="2"/>
              <w:lang w:eastAsia="en-AU"/>
              <w14:ligatures w14:val="standardContextual"/>
            </w:rPr>
          </w:pPr>
          <w:hyperlink w:anchor="_Toc141783155" w:history="1">
            <w:r w:rsidRPr="006D25AA">
              <w:rPr>
                <w:rStyle w:val="Hyperlink"/>
                <w:noProof/>
              </w:rPr>
              <w:t>Disclaimer</w:t>
            </w:r>
            <w:r>
              <w:rPr>
                <w:noProof/>
                <w:webHidden/>
              </w:rPr>
              <w:tab/>
            </w:r>
            <w:r>
              <w:rPr>
                <w:noProof/>
                <w:webHidden/>
              </w:rPr>
              <w:fldChar w:fldCharType="begin"/>
            </w:r>
            <w:r>
              <w:rPr>
                <w:noProof/>
                <w:webHidden/>
              </w:rPr>
              <w:instrText xml:space="preserve"> PAGEREF _Toc141783155 \h </w:instrText>
            </w:r>
            <w:r>
              <w:rPr>
                <w:noProof/>
                <w:webHidden/>
              </w:rPr>
            </w:r>
            <w:r>
              <w:rPr>
                <w:noProof/>
                <w:webHidden/>
              </w:rPr>
              <w:fldChar w:fldCharType="separate"/>
            </w:r>
            <w:r w:rsidR="0058689A">
              <w:rPr>
                <w:noProof/>
                <w:webHidden/>
              </w:rPr>
              <w:t>2</w:t>
            </w:r>
            <w:r>
              <w:rPr>
                <w:noProof/>
                <w:webHidden/>
              </w:rPr>
              <w:fldChar w:fldCharType="end"/>
            </w:r>
          </w:hyperlink>
        </w:p>
        <w:p w14:paraId="589C119A" w14:textId="2C8B5990" w:rsidR="007328CE" w:rsidRDefault="007328CE">
          <w:pPr>
            <w:pStyle w:val="TOC1"/>
            <w:tabs>
              <w:tab w:val="left" w:pos="440"/>
              <w:tab w:val="right" w:leader="dot" w:pos="9016"/>
            </w:tabs>
            <w:rPr>
              <w:rFonts w:asciiTheme="minorHAnsi" w:eastAsiaTheme="minorEastAsia" w:hAnsiTheme="minorHAnsi"/>
              <w:noProof/>
              <w:kern w:val="2"/>
              <w:lang w:eastAsia="en-AU"/>
              <w14:ligatures w14:val="standardContextual"/>
            </w:rPr>
          </w:pPr>
          <w:hyperlink w:anchor="_Toc141783156" w:history="1">
            <w:r w:rsidRPr="006D25AA">
              <w:rPr>
                <w:rStyle w:val="Hyperlink"/>
                <w:noProof/>
              </w:rPr>
              <w:t>1.</w:t>
            </w:r>
            <w:r>
              <w:rPr>
                <w:rFonts w:asciiTheme="minorHAnsi" w:eastAsiaTheme="minorEastAsia" w:hAnsiTheme="minorHAnsi"/>
                <w:noProof/>
                <w:kern w:val="2"/>
                <w:lang w:eastAsia="en-AU"/>
                <w14:ligatures w14:val="standardContextual"/>
              </w:rPr>
              <w:tab/>
            </w:r>
            <w:r w:rsidRPr="006D25AA">
              <w:rPr>
                <w:rStyle w:val="Hyperlink"/>
                <w:noProof/>
              </w:rPr>
              <w:t>Introduction</w:t>
            </w:r>
            <w:r>
              <w:rPr>
                <w:noProof/>
                <w:webHidden/>
              </w:rPr>
              <w:tab/>
            </w:r>
            <w:r>
              <w:rPr>
                <w:noProof/>
                <w:webHidden/>
              </w:rPr>
              <w:fldChar w:fldCharType="begin"/>
            </w:r>
            <w:r>
              <w:rPr>
                <w:noProof/>
                <w:webHidden/>
              </w:rPr>
              <w:instrText xml:space="preserve"> PAGEREF _Toc141783156 \h </w:instrText>
            </w:r>
            <w:r>
              <w:rPr>
                <w:noProof/>
                <w:webHidden/>
              </w:rPr>
            </w:r>
            <w:r>
              <w:rPr>
                <w:noProof/>
                <w:webHidden/>
              </w:rPr>
              <w:fldChar w:fldCharType="separate"/>
            </w:r>
            <w:r w:rsidR="0058689A">
              <w:rPr>
                <w:noProof/>
                <w:webHidden/>
              </w:rPr>
              <w:t>4</w:t>
            </w:r>
            <w:r>
              <w:rPr>
                <w:noProof/>
                <w:webHidden/>
              </w:rPr>
              <w:fldChar w:fldCharType="end"/>
            </w:r>
          </w:hyperlink>
        </w:p>
        <w:p w14:paraId="765C27E5" w14:textId="50C4E658" w:rsidR="007328CE" w:rsidRDefault="007328CE">
          <w:pPr>
            <w:pStyle w:val="TOC2"/>
            <w:rPr>
              <w:rFonts w:asciiTheme="minorHAnsi" w:eastAsiaTheme="minorEastAsia" w:hAnsiTheme="minorHAnsi"/>
              <w:noProof/>
              <w:kern w:val="2"/>
              <w:lang w:eastAsia="en-AU"/>
              <w14:ligatures w14:val="standardContextual"/>
            </w:rPr>
          </w:pPr>
          <w:hyperlink w:anchor="_Toc141783157" w:history="1">
            <w:r w:rsidRPr="006D25AA">
              <w:rPr>
                <w:rStyle w:val="Hyperlink"/>
                <w:noProof/>
              </w:rPr>
              <w:t>1.1.</w:t>
            </w:r>
            <w:r>
              <w:rPr>
                <w:rFonts w:asciiTheme="minorHAnsi" w:eastAsiaTheme="minorEastAsia" w:hAnsiTheme="minorHAnsi"/>
                <w:noProof/>
                <w:kern w:val="2"/>
                <w:lang w:eastAsia="en-AU"/>
                <w14:ligatures w14:val="standardContextual"/>
              </w:rPr>
              <w:tab/>
            </w:r>
            <w:r w:rsidRPr="006D25AA">
              <w:rPr>
                <w:rStyle w:val="Hyperlink"/>
                <w:noProof/>
              </w:rPr>
              <w:t>Background</w:t>
            </w:r>
            <w:r>
              <w:rPr>
                <w:noProof/>
                <w:webHidden/>
              </w:rPr>
              <w:tab/>
            </w:r>
            <w:r>
              <w:rPr>
                <w:noProof/>
                <w:webHidden/>
              </w:rPr>
              <w:fldChar w:fldCharType="begin"/>
            </w:r>
            <w:r>
              <w:rPr>
                <w:noProof/>
                <w:webHidden/>
              </w:rPr>
              <w:instrText xml:space="preserve"> PAGEREF _Toc141783157 \h </w:instrText>
            </w:r>
            <w:r>
              <w:rPr>
                <w:noProof/>
                <w:webHidden/>
              </w:rPr>
            </w:r>
            <w:r>
              <w:rPr>
                <w:noProof/>
                <w:webHidden/>
              </w:rPr>
              <w:fldChar w:fldCharType="separate"/>
            </w:r>
            <w:r w:rsidR="0058689A">
              <w:rPr>
                <w:noProof/>
                <w:webHidden/>
              </w:rPr>
              <w:t>4</w:t>
            </w:r>
            <w:r>
              <w:rPr>
                <w:noProof/>
                <w:webHidden/>
              </w:rPr>
              <w:fldChar w:fldCharType="end"/>
            </w:r>
          </w:hyperlink>
        </w:p>
        <w:p w14:paraId="48736C0F" w14:textId="342CA890" w:rsidR="007328CE" w:rsidRDefault="007328CE">
          <w:pPr>
            <w:pStyle w:val="TOC2"/>
            <w:rPr>
              <w:rFonts w:asciiTheme="minorHAnsi" w:eastAsiaTheme="minorEastAsia" w:hAnsiTheme="minorHAnsi"/>
              <w:noProof/>
              <w:kern w:val="2"/>
              <w:lang w:eastAsia="en-AU"/>
              <w14:ligatures w14:val="standardContextual"/>
            </w:rPr>
          </w:pPr>
          <w:hyperlink w:anchor="_Toc141783158" w:history="1">
            <w:r w:rsidRPr="006D25AA">
              <w:rPr>
                <w:rStyle w:val="Hyperlink"/>
                <w:noProof/>
              </w:rPr>
              <w:t>1.2.</w:t>
            </w:r>
            <w:r>
              <w:rPr>
                <w:rFonts w:asciiTheme="minorHAnsi" w:eastAsiaTheme="minorEastAsia" w:hAnsiTheme="minorHAnsi"/>
                <w:noProof/>
                <w:kern w:val="2"/>
                <w:lang w:eastAsia="en-AU"/>
                <w14:ligatures w14:val="standardContextual"/>
              </w:rPr>
              <w:tab/>
            </w:r>
            <w:r w:rsidRPr="006D25AA">
              <w:rPr>
                <w:rStyle w:val="Hyperlink"/>
                <w:noProof/>
              </w:rPr>
              <w:t>Consultation process</w:t>
            </w:r>
            <w:r>
              <w:rPr>
                <w:noProof/>
                <w:webHidden/>
              </w:rPr>
              <w:tab/>
            </w:r>
            <w:r>
              <w:rPr>
                <w:noProof/>
                <w:webHidden/>
              </w:rPr>
              <w:fldChar w:fldCharType="begin"/>
            </w:r>
            <w:r>
              <w:rPr>
                <w:noProof/>
                <w:webHidden/>
              </w:rPr>
              <w:instrText xml:space="preserve"> PAGEREF _Toc141783158 \h </w:instrText>
            </w:r>
            <w:r>
              <w:rPr>
                <w:noProof/>
                <w:webHidden/>
              </w:rPr>
            </w:r>
            <w:r>
              <w:rPr>
                <w:noProof/>
                <w:webHidden/>
              </w:rPr>
              <w:fldChar w:fldCharType="separate"/>
            </w:r>
            <w:r w:rsidR="0058689A">
              <w:rPr>
                <w:noProof/>
                <w:webHidden/>
              </w:rPr>
              <w:t>5</w:t>
            </w:r>
            <w:r>
              <w:rPr>
                <w:noProof/>
                <w:webHidden/>
              </w:rPr>
              <w:fldChar w:fldCharType="end"/>
            </w:r>
          </w:hyperlink>
        </w:p>
        <w:p w14:paraId="0F055CA2" w14:textId="55B6793E" w:rsidR="007328CE" w:rsidRDefault="007328CE">
          <w:pPr>
            <w:pStyle w:val="TOC2"/>
            <w:rPr>
              <w:rFonts w:asciiTheme="minorHAnsi" w:eastAsiaTheme="minorEastAsia" w:hAnsiTheme="minorHAnsi"/>
              <w:noProof/>
              <w:kern w:val="2"/>
              <w:lang w:eastAsia="en-AU"/>
              <w14:ligatures w14:val="standardContextual"/>
            </w:rPr>
          </w:pPr>
          <w:hyperlink w:anchor="_Toc141783159" w:history="1">
            <w:r w:rsidRPr="006D25AA">
              <w:rPr>
                <w:rStyle w:val="Hyperlink"/>
                <w:noProof/>
              </w:rPr>
              <w:t>1.3.</w:t>
            </w:r>
            <w:r>
              <w:rPr>
                <w:rFonts w:asciiTheme="minorHAnsi" w:eastAsiaTheme="minorEastAsia" w:hAnsiTheme="minorHAnsi"/>
                <w:noProof/>
                <w:kern w:val="2"/>
                <w:lang w:eastAsia="en-AU"/>
                <w14:ligatures w14:val="standardContextual"/>
              </w:rPr>
              <w:tab/>
            </w:r>
            <w:r w:rsidRPr="006D25AA">
              <w:rPr>
                <w:rStyle w:val="Hyperlink"/>
                <w:noProof/>
              </w:rPr>
              <w:t>Context of the CIS</w:t>
            </w:r>
            <w:r>
              <w:rPr>
                <w:noProof/>
                <w:webHidden/>
              </w:rPr>
              <w:tab/>
            </w:r>
            <w:r>
              <w:rPr>
                <w:noProof/>
                <w:webHidden/>
              </w:rPr>
              <w:fldChar w:fldCharType="begin"/>
            </w:r>
            <w:r>
              <w:rPr>
                <w:noProof/>
                <w:webHidden/>
              </w:rPr>
              <w:instrText xml:space="preserve"> PAGEREF _Toc141783159 \h </w:instrText>
            </w:r>
            <w:r>
              <w:rPr>
                <w:noProof/>
                <w:webHidden/>
              </w:rPr>
            </w:r>
            <w:r>
              <w:rPr>
                <w:noProof/>
                <w:webHidden/>
              </w:rPr>
              <w:fldChar w:fldCharType="separate"/>
            </w:r>
            <w:r w:rsidR="0058689A">
              <w:rPr>
                <w:noProof/>
                <w:webHidden/>
              </w:rPr>
              <w:t>5</w:t>
            </w:r>
            <w:r>
              <w:rPr>
                <w:noProof/>
                <w:webHidden/>
              </w:rPr>
              <w:fldChar w:fldCharType="end"/>
            </w:r>
          </w:hyperlink>
        </w:p>
        <w:p w14:paraId="5BBF7CE1" w14:textId="063A54E9" w:rsidR="007328CE" w:rsidRDefault="007328CE">
          <w:pPr>
            <w:pStyle w:val="TOC2"/>
            <w:rPr>
              <w:rFonts w:asciiTheme="minorHAnsi" w:eastAsiaTheme="minorEastAsia" w:hAnsiTheme="minorHAnsi"/>
              <w:noProof/>
              <w:kern w:val="2"/>
              <w:lang w:eastAsia="en-AU"/>
              <w14:ligatures w14:val="standardContextual"/>
            </w:rPr>
          </w:pPr>
          <w:hyperlink w:anchor="_Toc141783160" w:history="1">
            <w:r w:rsidRPr="006D25AA">
              <w:rPr>
                <w:rStyle w:val="Hyperlink"/>
                <w:noProof/>
              </w:rPr>
              <w:t>1.4.</w:t>
            </w:r>
            <w:r>
              <w:rPr>
                <w:rFonts w:asciiTheme="minorHAnsi" w:eastAsiaTheme="minorEastAsia" w:hAnsiTheme="minorHAnsi"/>
                <w:noProof/>
                <w:kern w:val="2"/>
                <w:lang w:eastAsia="en-AU"/>
                <w14:ligatures w14:val="standardContextual"/>
              </w:rPr>
              <w:tab/>
            </w:r>
            <w:r w:rsidRPr="006D25AA">
              <w:rPr>
                <w:rStyle w:val="Hyperlink"/>
                <w:noProof/>
              </w:rPr>
              <w:t>The objectives of the CIS</w:t>
            </w:r>
            <w:r>
              <w:rPr>
                <w:noProof/>
                <w:webHidden/>
              </w:rPr>
              <w:tab/>
            </w:r>
            <w:r>
              <w:rPr>
                <w:noProof/>
                <w:webHidden/>
              </w:rPr>
              <w:fldChar w:fldCharType="begin"/>
            </w:r>
            <w:r>
              <w:rPr>
                <w:noProof/>
                <w:webHidden/>
              </w:rPr>
              <w:instrText xml:space="preserve"> PAGEREF _Toc141783160 \h </w:instrText>
            </w:r>
            <w:r>
              <w:rPr>
                <w:noProof/>
                <w:webHidden/>
              </w:rPr>
            </w:r>
            <w:r>
              <w:rPr>
                <w:noProof/>
                <w:webHidden/>
              </w:rPr>
              <w:fldChar w:fldCharType="separate"/>
            </w:r>
            <w:r w:rsidR="0058689A">
              <w:rPr>
                <w:noProof/>
                <w:webHidden/>
              </w:rPr>
              <w:t>6</w:t>
            </w:r>
            <w:r>
              <w:rPr>
                <w:noProof/>
                <w:webHidden/>
              </w:rPr>
              <w:fldChar w:fldCharType="end"/>
            </w:r>
          </w:hyperlink>
        </w:p>
        <w:p w14:paraId="5C26AF42" w14:textId="2AE724DA" w:rsidR="007328CE" w:rsidRDefault="007328CE">
          <w:pPr>
            <w:pStyle w:val="TOC2"/>
            <w:rPr>
              <w:rFonts w:asciiTheme="minorHAnsi" w:eastAsiaTheme="minorEastAsia" w:hAnsiTheme="minorHAnsi"/>
              <w:noProof/>
              <w:kern w:val="2"/>
              <w:lang w:eastAsia="en-AU"/>
              <w14:ligatures w14:val="standardContextual"/>
            </w:rPr>
          </w:pPr>
          <w:hyperlink w:anchor="_Toc141783161" w:history="1">
            <w:r w:rsidRPr="006D25AA">
              <w:rPr>
                <w:rStyle w:val="Hyperlink"/>
                <w:noProof/>
              </w:rPr>
              <w:t>1.5.</w:t>
            </w:r>
            <w:r>
              <w:rPr>
                <w:rFonts w:asciiTheme="minorHAnsi" w:eastAsiaTheme="minorEastAsia" w:hAnsiTheme="minorHAnsi"/>
                <w:noProof/>
                <w:kern w:val="2"/>
                <w:lang w:eastAsia="en-AU"/>
                <w14:ligatures w14:val="standardContextual"/>
              </w:rPr>
              <w:tab/>
            </w:r>
            <w:r w:rsidRPr="006D25AA">
              <w:rPr>
                <w:rStyle w:val="Hyperlink"/>
                <w:noProof/>
              </w:rPr>
              <w:t>Complementarity with existing Australian electricity policies</w:t>
            </w:r>
            <w:r>
              <w:rPr>
                <w:noProof/>
                <w:webHidden/>
              </w:rPr>
              <w:tab/>
            </w:r>
            <w:r>
              <w:rPr>
                <w:noProof/>
                <w:webHidden/>
              </w:rPr>
              <w:fldChar w:fldCharType="begin"/>
            </w:r>
            <w:r>
              <w:rPr>
                <w:noProof/>
                <w:webHidden/>
              </w:rPr>
              <w:instrText xml:space="preserve"> PAGEREF _Toc141783161 \h </w:instrText>
            </w:r>
            <w:r>
              <w:rPr>
                <w:noProof/>
                <w:webHidden/>
              </w:rPr>
            </w:r>
            <w:r>
              <w:rPr>
                <w:noProof/>
                <w:webHidden/>
              </w:rPr>
              <w:fldChar w:fldCharType="separate"/>
            </w:r>
            <w:r w:rsidR="0058689A">
              <w:rPr>
                <w:noProof/>
                <w:webHidden/>
              </w:rPr>
              <w:t>6</w:t>
            </w:r>
            <w:r>
              <w:rPr>
                <w:noProof/>
                <w:webHidden/>
              </w:rPr>
              <w:fldChar w:fldCharType="end"/>
            </w:r>
          </w:hyperlink>
        </w:p>
        <w:p w14:paraId="531E69EA" w14:textId="6AB2DEFA" w:rsidR="007328CE" w:rsidRDefault="007328CE">
          <w:pPr>
            <w:pStyle w:val="TOC1"/>
            <w:tabs>
              <w:tab w:val="left" w:pos="440"/>
              <w:tab w:val="right" w:leader="dot" w:pos="9016"/>
            </w:tabs>
            <w:rPr>
              <w:rFonts w:asciiTheme="minorHAnsi" w:eastAsiaTheme="minorEastAsia" w:hAnsiTheme="minorHAnsi"/>
              <w:noProof/>
              <w:kern w:val="2"/>
              <w:lang w:eastAsia="en-AU"/>
              <w14:ligatures w14:val="standardContextual"/>
            </w:rPr>
          </w:pPr>
          <w:hyperlink w:anchor="_Toc141783162" w:history="1">
            <w:r w:rsidRPr="006D25AA">
              <w:rPr>
                <w:rStyle w:val="Hyperlink"/>
                <w:noProof/>
              </w:rPr>
              <w:t>2.</w:t>
            </w:r>
            <w:r>
              <w:rPr>
                <w:rFonts w:asciiTheme="minorHAnsi" w:eastAsiaTheme="minorEastAsia" w:hAnsiTheme="minorHAnsi"/>
                <w:noProof/>
                <w:kern w:val="2"/>
                <w:lang w:eastAsia="en-AU"/>
                <w14:ligatures w14:val="standardContextual"/>
              </w:rPr>
              <w:tab/>
            </w:r>
            <w:r w:rsidRPr="006D25AA">
              <w:rPr>
                <w:rStyle w:val="Hyperlink"/>
                <w:noProof/>
              </w:rPr>
              <w:t>Jurisdictional specific implementation</w:t>
            </w:r>
            <w:r>
              <w:rPr>
                <w:noProof/>
                <w:webHidden/>
              </w:rPr>
              <w:tab/>
            </w:r>
            <w:r>
              <w:rPr>
                <w:noProof/>
                <w:webHidden/>
              </w:rPr>
              <w:fldChar w:fldCharType="begin"/>
            </w:r>
            <w:r>
              <w:rPr>
                <w:noProof/>
                <w:webHidden/>
              </w:rPr>
              <w:instrText xml:space="preserve"> PAGEREF _Toc141783162 \h </w:instrText>
            </w:r>
            <w:r>
              <w:rPr>
                <w:noProof/>
                <w:webHidden/>
              </w:rPr>
            </w:r>
            <w:r>
              <w:rPr>
                <w:noProof/>
                <w:webHidden/>
              </w:rPr>
              <w:fldChar w:fldCharType="separate"/>
            </w:r>
            <w:r w:rsidR="0058689A">
              <w:rPr>
                <w:noProof/>
                <w:webHidden/>
              </w:rPr>
              <w:t>8</w:t>
            </w:r>
            <w:r>
              <w:rPr>
                <w:noProof/>
                <w:webHidden/>
              </w:rPr>
              <w:fldChar w:fldCharType="end"/>
            </w:r>
          </w:hyperlink>
        </w:p>
        <w:p w14:paraId="50D22846" w14:textId="6F101B93" w:rsidR="007328CE" w:rsidRDefault="007328CE">
          <w:pPr>
            <w:pStyle w:val="TOC2"/>
            <w:rPr>
              <w:rFonts w:asciiTheme="minorHAnsi" w:eastAsiaTheme="minorEastAsia" w:hAnsiTheme="minorHAnsi"/>
              <w:noProof/>
              <w:kern w:val="2"/>
              <w:lang w:eastAsia="en-AU"/>
              <w14:ligatures w14:val="standardContextual"/>
            </w:rPr>
          </w:pPr>
          <w:hyperlink w:anchor="_Toc141783163" w:history="1">
            <w:r w:rsidRPr="006D25AA">
              <w:rPr>
                <w:rStyle w:val="Hyperlink"/>
                <w:noProof/>
              </w:rPr>
              <w:t>2.1.</w:t>
            </w:r>
            <w:r>
              <w:rPr>
                <w:rFonts w:asciiTheme="minorHAnsi" w:eastAsiaTheme="minorEastAsia" w:hAnsiTheme="minorHAnsi"/>
                <w:noProof/>
                <w:kern w:val="2"/>
                <w:lang w:eastAsia="en-AU"/>
                <w14:ligatures w14:val="standardContextual"/>
              </w:rPr>
              <w:tab/>
            </w:r>
            <w:r w:rsidRPr="006D25AA">
              <w:rPr>
                <w:rStyle w:val="Hyperlink"/>
                <w:noProof/>
              </w:rPr>
              <w:t>Implementation of the CIS in New South Wales</w:t>
            </w:r>
            <w:r>
              <w:rPr>
                <w:noProof/>
                <w:webHidden/>
              </w:rPr>
              <w:tab/>
            </w:r>
            <w:r>
              <w:rPr>
                <w:noProof/>
                <w:webHidden/>
              </w:rPr>
              <w:fldChar w:fldCharType="begin"/>
            </w:r>
            <w:r>
              <w:rPr>
                <w:noProof/>
                <w:webHidden/>
              </w:rPr>
              <w:instrText xml:space="preserve"> PAGEREF _Toc141783163 \h </w:instrText>
            </w:r>
            <w:r>
              <w:rPr>
                <w:noProof/>
                <w:webHidden/>
              </w:rPr>
            </w:r>
            <w:r>
              <w:rPr>
                <w:noProof/>
                <w:webHidden/>
              </w:rPr>
              <w:fldChar w:fldCharType="separate"/>
            </w:r>
            <w:r w:rsidR="0058689A">
              <w:rPr>
                <w:noProof/>
                <w:webHidden/>
              </w:rPr>
              <w:t>8</w:t>
            </w:r>
            <w:r>
              <w:rPr>
                <w:noProof/>
                <w:webHidden/>
              </w:rPr>
              <w:fldChar w:fldCharType="end"/>
            </w:r>
          </w:hyperlink>
        </w:p>
        <w:p w14:paraId="295FDF58" w14:textId="635CAE02" w:rsidR="007328CE" w:rsidRDefault="007328CE">
          <w:pPr>
            <w:pStyle w:val="TOC2"/>
            <w:rPr>
              <w:rFonts w:asciiTheme="minorHAnsi" w:eastAsiaTheme="minorEastAsia" w:hAnsiTheme="minorHAnsi"/>
              <w:noProof/>
              <w:kern w:val="2"/>
              <w:lang w:eastAsia="en-AU"/>
              <w14:ligatures w14:val="standardContextual"/>
            </w:rPr>
          </w:pPr>
          <w:hyperlink w:anchor="_Toc141783164" w:history="1">
            <w:r w:rsidRPr="006D25AA">
              <w:rPr>
                <w:rStyle w:val="Hyperlink"/>
                <w:noProof/>
              </w:rPr>
              <w:t>2.2.</w:t>
            </w:r>
            <w:r>
              <w:rPr>
                <w:rFonts w:asciiTheme="minorHAnsi" w:eastAsiaTheme="minorEastAsia" w:hAnsiTheme="minorHAnsi"/>
                <w:noProof/>
                <w:kern w:val="2"/>
                <w:lang w:eastAsia="en-AU"/>
                <w14:ligatures w14:val="standardContextual"/>
              </w:rPr>
              <w:tab/>
            </w:r>
            <w:r w:rsidRPr="006D25AA">
              <w:rPr>
                <w:rStyle w:val="Hyperlink"/>
                <w:noProof/>
              </w:rPr>
              <w:t>Implementation of the CIS in Western Australia</w:t>
            </w:r>
            <w:r>
              <w:rPr>
                <w:noProof/>
                <w:webHidden/>
              </w:rPr>
              <w:tab/>
            </w:r>
            <w:r>
              <w:rPr>
                <w:noProof/>
                <w:webHidden/>
              </w:rPr>
              <w:fldChar w:fldCharType="begin"/>
            </w:r>
            <w:r>
              <w:rPr>
                <w:noProof/>
                <w:webHidden/>
              </w:rPr>
              <w:instrText xml:space="preserve"> PAGEREF _Toc141783164 \h </w:instrText>
            </w:r>
            <w:r>
              <w:rPr>
                <w:noProof/>
                <w:webHidden/>
              </w:rPr>
            </w:r>
            <w:r>
              <w:rPr>
                <w:noProof/>
                <w:webHidden/>
              </w:rPr>
              <w:fldChar w:fldCharType="separate"/>
            </w:r>
            <w:r w:rsidR="0058689A">
              <w:rPr>
                <w:noProof/>
                <w:webHidden/>
              </w:rPr>
              <w:t>8</w:t>
            </w:r>
            <w:r>
              <w:rPr>
                <w:noProof/>
                <w:webHidden/>
              </w:rPr>
              <w:fldChar w:fldCharType="end"/>
            </w:r>
          </w:hyperlink>
        </w:p>
        <w:p w14:paraId="5E080B9B" w14:textId="24F8D627" w:rsidR="007328CE" w:rsidRDefault="007328CE">
          <w:pPr>
            <w:pStyle w:val="TOC1"/>
            <w:tabs>
              <w:tab w:val="left" w:pos="440"/>
              <w:tab w:val="right" w:leader="dot" w:pos="9016"/>
            </w:tabs>
            <w:rPr>
              <w:rFonts w:asciiTheme="minorHAnsi" w:eastAsiaTheme="minorEastAsia" w:hAnsiTheme="minorHAnsi"/>
              <w:noProof/>
              <w:kern w:val="2"/>
              <w:lang w:eastAsia="en-AU"/>
              <w14:ligatures w14:val="standardContextual"/>
            </w:rPr>
          </w:pPr>
          <w:hyperlink w:anchor="_Toc141783165" w:history="1">
            <w:r w:rsidRPr="006D25AA">
              <w:rPr>
                <w:rStyle w:val="Hyperlink"/>
                <w:noProof/>
              </w:rPr>
              <w:t>3.</w:t>
            </w:r>
            <w:r>
              <w:rPr>
                <w:rFonts w:asciiTheme="minorHAnsi" w:eastAsiaTheme="minorEastAsia" w:hAnsiTheme="minorHAnsi"/>
                <w:noProof/>
                <w:kern w:val="2"/>
                <w:lang w:eastAsia="en-AU"/>
                <w14:ligatures w14:val="standardContextual"/>
              </w:rPr>
              <w:tab/>
            </w:r>
            <w:r w:rsidRPr="006D25AA">
              <w:rPr>
                <w:rStyle w:val="Hyperlink"/>
                <w:noProof/>
              </w:rPr>
              <w:t>Core design elements and delivery stages</w:t>
            </w:r>
            <w:r>
              <w:rPr>
                <w:noProof/>
                <w:webHidden/>
              </w:rPr>
              <w:tab/>
            </w:r>
            <w:r>
              <w:rPr>
                <w:noProof/>
                <w:webHidden/>
              </w:rPr>
              <w:fldChar w:fldCharType="begin"/>
            </w:r>
            <w:r>
              <w:rPr>
                <w:noProof/>
                <w:webHidden/>
              </w:rPr>
              <w:instrText xml:space="preserve"> PAGEREF _Toc141783165 \h </w:instrText>
            </w:r>
            <w:r>
              <w:rPr>
                <w:noProof/>
                <w:webHidden/>
              </w:rPr>
            </w:r>
            <w:r>
              <w:rPr>
                <w:noProof/>
                <w:webHidden/>
              </w:rPr>
              <w:fldChar w:fldCharType="separate"/>
            </w:r>
            <w:r w:rsidR="0058689A">
              <w:rPr>
                <w:noProof/>
                <w:webHidden/>
              </w:rPr>
              <w:t>10</w:t>
            </w:r>
            <w:r>
              <w:rPr>
                <w:noProof/>
                <w:webHidden/>
              </w:rPr>
              <w:fldChar w:fldCharType="end"/>
            </w:r>
          </w:hyperlink>
        </w:p>
        <w:p w14:paraId="75B234F0" w14:textId="19D385C1" w:rsidR="007328CE" w:rsidRDefault="007328CE">
          <w:pPr>
            <w:pStyle w:val="TOC2"/>
            <w:rPr>
              <w:rFonts w:asciiTheme="minorHAnsi" w:eastAsiaTheme="minorEastAsia" w:hAnsiTheme="minorHAnsi"/>
              <w:noProof/>
              <w:kern w:val="2"/>
              <w:lang w:eastAsia="en-AU"/>
              <w14:ligatures w14:val="standardContextual"/>
            </w:rPr>
          </w:pPr>
          <w:hyperlink w:anchor="_Toc141783166" w:history="1">
            <w:r w:rsidRPr="006D25AA">
              <w:rPr>
                <w:rStyle w:val="Hyperlink"/>
                <w:noProof/>
              </w:rPr>
              <w:t>3.1.</w:t>
            </w:r>
            <w:r>
              <w:rPr>
                <w:rFonts w:asciiTheme="minorHAnsi" w:eastAsiaTheme="minorEastAsia" w:hAnsiTheme="minorHAnsi"/>
                <w:noProof/>
                <w:kern w:val="2"/>
                <w:lang w:eastAsia="en-AU"/>
                <w14:ligatures w14:val="standardContextual"/>
              </w:rPr>
              <w:tab/>
            </w:r>
            <w:r w:rsidRPr="006D25AA">
              <w:rPr>
                <w:rStyle w:val="Hyperlink"/>
                <w:noProof/>
              </w:rPr>
              <w:t>Setting the CIS contribution to reliability</w:t>
            </w:r>
            <w:r>
              <w:rPr>
                <w:noProof/>
                <w:webHidden/>
              </w:rPr>
              <w:tab/>
            </w:r>
            <w:r>
              <w:rPr>
                <w:noProof/>
                <w:webHidden/>
              </w:rPr>
              <w:fldChar w:fldCharType="begin"/>
            </w:r>
            <w:r>
              <w:rPr>
                <w:noProof/>
                <w:webHidden/>
              </w:rPr>
              <w:instrText xml:space="preserve"> PAGEREF _Toc141783166 \h </w:instrText>
            </w:r>
            <w:r>
              <w:rPr>
                <w:noProof/>
                <w:webHidden/>
              </w:rPr>
            </w:r>
            <w:r>
              <w:rPr>
                <w:noProof/>
                <w:webHidden/>
              </w:rPr>
              <w:fldChar w:fldCharType="separate"/>
            </w:r>
            <w:r w:rsidR="0058689A">
              <w:rPr>
                <w:noProof/>
                <w:webHidden/>
              </w:rPr>
              <w:t>10</w:t>
            </w:r>
            <w:r>
              <w:rPr>
                <w:noProof/>
                <w:webHidden/>
              </w:rPr>
              <w:fldChar w:fldCharType="end"/>
            </w:r>
          </w:hyperlink>
        </w:p>
        <w:p w14:paraId="50A5D026" w14:textId="51F2A499" w:rsidR="007328CE" w:rsidRDefault="007328CE">
          <w:pPr>
            <w:pStyle w:val="TOC3"/>
            <w:rPr>
              <w:rFonts w:asciiTheme="minorHAnsi" w:eastAsiaTheme="minorEastAsia" w:hAnsiTheme="minorHAnsi"/>
              <w:kern w:val="2"/>
              <w:lang w:eastAsia="en-AU"/>
              <w14:ligatures w14:val="standardContextual"/>
            </w:rPr>
          </w:pPr>
          <w:hyperlink w:anchor="_Toc141783167" w:history="1">
            <w:r w:rsidRPr="006D25AA">
              <w:rPr>
                <w:rStyle w:val="Hyperlink"/>
              </w:rPr>
              <w:t>3.1.1.</w:t>
            </w:r>
            <w:r>
              <w:rPr>
                <w:rFonts w:asciiTheme="minorHAnsi" w:eastAsiaTheme="minorEastAsia" w:hAnsiTheme="minorHAnsi"/>
                <w:kern w:val="2"/>
                <w:lang w:eastAsia="en-AU"/>
                <w14:ligatures w14:val="standardContextual"/>
              </w:rPr>
              <w:tab/>
            </w:r>
            <w:r w:rsidRPr="006D25AA">
              <w:rPr>
                <w:rStyle w:val="Hyperlink"/>
              </w:rPr>
              <w:t>Defining the reliability target</w:t>
            </w:r>
            <w:r>
              <w:rPr>
                <w:webHidden/>
              </w:rPr>
              <w:tab/>
            </w:r>
            <w:r>
              <w:rPr>
                <w:webHidden/>
              </w:rPr>
              <w:fldChar w:fldCharType="begin"/>
            </w:r>
            <w:r>
              <w:rPr>
                <w:webHidden/>
              </w:rPr>
              <w:instrText xml:space="preserve"> PAGEREF _Toc141783167 \h </w:instrText>
            </w:r>
            <w:r>
              <w:rPr>
                <w:webHidden/>
              </w:rPr>
            </w:r>
            <w:r>
              <w:rPr>
                <w:webHidden/>
              </w:rPr>
              <w:fldChar w:fldCharType="separate"/>
            </w:r>
            <w:r w:rsidR="0058689A">
              <w:rPr>
                <w:webHidden/>
              </w:rPr>
              <w:t>10</w:t>
            </w:r>
            <w:r>
              <w:rPr>
                <w:webHidden/>
              </w:rPr>
              <w:fldChar w:fldCharType="end"/>
            </w:r>
          </w:hyperlink>
        </w:p>
        <w:p w14:paraId="042F307A" w14:textId="1B8DE34F" w:rsidR="007328CE" w:rsidRDefault="007328CE">
          <w:pPr>
            <w:pStyle w:val="TOC3"/>
            <w:rPr>
              <w:rFonts w:asciiTheme="minorHAnsi" w:eastAsiaTheme="minorEastAsia" w:hAnsiTheme="minorHAnsi"/>
              <w:kern w:val="2"/>
              <w:lang w:eastAsia="en-AU"/>
              <w14:ligatures w14:val="standardContextual"/>
            </w:rPr>
          </w:pPr>
          <w:hyperlink w:anchor="_Toc141783168" w:history="1">
            <w:r w:rsidRPr="006D25AA">
              <w:rPr>
                <w:rStyle w:val="Hyperlink"/>
              </w:rPr>
              <w:t>3.1.2.</w:t>
            </w:r>
            <w:r>
              <w:rPr>
                <w:rFonts w:asciiTheme="minorHAnsi" w:eastAsiaTheme="minorEastAsia" w:hAnsiTheme="minorHAnsi"/>
                <w:kern w:val="2"/>
                <w:lang w:eastAsia="en-AU"/>
                <w14:ligatures w14:val="standardContextual"/>
              </w:rPr>
              <w:tab/>
            </w:r>
            <w:r w:rsidRPr="006D25AA">
              <w:rPr>
                <w:rStyle w:val="Hyperlink"/>
              </w:rPr>
              <w:t>Modelling system needs and reliability targets</w:t>
            </w:r>
            <w:r>
              <w:rPr>
                <w:webHidden/>
              </w:rPr>
              <w:tab/>
            </w:r>
            <w:r>
              <w:rPr>
                <w:webHidden/>
              </w:rPr>
              <w:fldChar w:fldCharType="begin"/>
            </w:r>
            <w:r>
              <w:rPr>
                <w:webHidden/>
              </w:rPr>
              <w:instrText xml:space="preserve"> PAGEREF _Toc141783168 \h </w:instrText>
            </w:r>
            <w:r>
              <w:rPr>
                <w:webHidden/>
              </w:rPr>
            </w:r>
            <w:r>
              <w:rPr>
                <w:webHidden/>
              </w:rPr>
              <w:fldChar w:fldCharType="separate"/>
            </w:r>
            <w:r w:rsidR="0058689A">
              <w:rPr>
                <w:webHidden/>
              </w:rPr>
              <w:t>11</w:t>
            </w:r>
            <w:r>
              <w:rPr>
                <w:webHidden/>
              </w:rPr>
              <w:fldChar w:fldCharType="end"/>
            </w:r>
          </w:hyperlink>
        </w:p>
        <w:p w14:paraId="216376AA" w14:textId="580D664B" w:rsidR="007328CE" w:rsidRDefault="007328CE">
          <w:pPr>
            <w:pStyle w:val="TOC3"/>
            <w:rPr>
              <w:rFonts w:asciiTheme="minorHAnsi" w:eastAsiaTheme="minorEastAsia" w:hAnsiTheme="minorHAnsi"/>
              <w:kern w:val="2"/>
              <w:lang w:eastAsia="en-AU"/>
              <w14:ligatures w14:val="standardContextual"/>
            </w:rPr>
          </w:pPr>
          <w:hyperlink w:anchor="_Toc141783169" w:history="1">
            <w:r w:rsidRPr="006D25AA">
              <w:rPr>
                <w:rStyle w:val="Hyperlink"/>
              </w:rPr>
              <w:t>3.1.3.</w:t>
            </w:r>
            <w:r>
              <w:rPr>
                <w:rFonts w:asciiTheme="minorHAnsi" w:eastAsiaTheme="minorEastAsia" w:hAnsiTheme="minorHAnsi"/>
                <w:kern w:val="2"/>
                <w:lang w:eastAsia="en-AU"/>
                <w14:ligatures w14:val="standardContextual"/>
              </w:rPr>
              <w:tab/>
            </w:r>
            <w:r w:rsidRPr="006D25AA">
              <w:rPr>
                <w:rStyle w:val="Hyperlink"/>
              </w:rPr>
              <w:t>Converting capacity forecasts into medium storage equivalent capacity</w:t>
            </w:r>
            <w:r>
              <w:rPr>
                <w:webHidden/>
              </w:rPr>
              <w:tab/>
            </w:r>
            <w:r>
              <w:rPr>
                <w:webHidden/>
              </w:rPr>
              <w:fldChar w:fldCharType="begin"/>
            </w:r>
            <w:r>
              <w:rPr>
                <w:webHidden/>
              </w:rPr>
              <w:instrText xml:space="preserve"> PAGEREF _Toc141783169 \h </w:instrText>
            </w:r>
            <w:r>
              <w:rPr>
                <w:webHidden/>
              </w:rPr>
            </w:r>
            <w:r>
              <w:rPr>
                <w:webHidden/>
              </w:rPr>
              <w:fldChar w:fldCharType="separate"/>
            </w:r>
            <w:r w:rsidR="0058689A">
              <w:rPr>
                <w:webHidden/>
              </w:rPr>
              <w:t>12</w:t>
            </w:r>
            <w:r>
              <w:rPr>
                <w:webHidden/>
              </w:rPr>
              <w:fldChar w:fldCharType="end"/>
            </w:r>
          </w:hyperlink>
        </w:p>
        <w:p w14:paraId="7FCC1007" w14:textId="295DB406" w:rsidR="007328CE" w:rsidRDefault="007328CE">
          <w:pPr>
            <w:pStyle w:val="TOC3"/>
            <w:rPr>
              <w:rFonts w:asciiTheme="minorHAnsi" w:eastAsiaTheme="minorEastAsia" w:hAnsiTheme="minorHAnsi"/>
              <w:kern w:val="2"/>
              <w:lang w:eastAsia="en-AU"/>
              <w14:ligatures w14:val="standardContextual"/>
            </w:rPr>
          </w:pPr>
          <w:hyperlink w:anchor="_Toc141783170" w:history="1">
            <w:r w:rsidRPr="006D25AA">
              <w:rPr>
                <w:rStyle w:val="Hyperlink"/>
              </w:rPr>
              <w:t>3.1.4.</w:t>
            </w:r>
            <w:r>
              <w:rPr>
                <w:rFonts w:asciiTheme="minorHAnsi" w:eastAsiaTheme="minorEastAsia" w:hAnsiTheme="minorHAnsi"/>
                <w:kern w:val="2"/>
                <w:lang w:eastAsia="en-AU"/>
                <w14:ligatures w14:val="standardContextual"/>
              </w:rPr>
              <w:tab/>
            </w:r>
            <w:r w:rsidRPr="006D25AA">
              <w:rPr>
                <w:rStyle w:val="Hyperlink"/>
              </w:rPr>
              <w:t>Converting reliability targets into tender targets</w:t>
            </w:r>
            <w:r>
              <w:rPr>
                <w:webHidden/>
              </w:rPr>
              <w:tab/>
            </w:r>
            <w:r>
              <w:rPr>
                <w:webHidden/>
              </w:rPr>
              <w:fldChar w:fldCharType="begin"/>
            </w:r>
            <w:r>
              <w:rPr>
                <w:webHidden/>
              </w:rPr>
              <w:instrText xml:space="preserve"> PAGEREF _Toc141783170 \h </w:instrText>
            </w:r>
            <w:r>
              <w:rPr>
                <w:webHidden/>
              </w:rPr>
            </w:r>
            <w:r>
              <w:rPr>
                <w:webHidden/>
              </w:rPr>
              <w:fldChar w:fldCharType="separate"/>
            </w:r>
            <w:r w:rsidR="0058689A">
              <w:rPr>
                <w:webHidden/>
              </w:rPr>
              <w:t>13</w:t>
            </w:r>
            <w:r>
              <w:rPr>
                <w:webHidden/>
              </w:rPr>
              <w:fldChar w:fldCharType="end"/>
            </w:r>
          </w:hyperlink>
        </w:p>
        <w:p w14:paraId="528FC631" w14:textId="6D33AECC" w:rsidR="007328CE" w:rsidRDefault="007328CE">
          <w:pPr>
            <w:pStyle w:val="TOC2"/>
            <w:rPr>
              <w:rFonts w:asciiTheme="minorHAnsi" w:eastAsiaTheme="minorEastAsia" w:hAnsiTheme="minorHAnsi"/>
              <w:noProof/>
              <w:kern w:val="2"/>
              <w:lang w:eastAsia="en-AU"/>
              <w14:ligatures w14:val="standardContextual"/>
            </w:rPr>
          </w:pPr>
          <w:hyperlink w:anchor="_Toc141783171" w:history="1">
            <w:r w:rsidRPr="006D25AA">
              <w:rPr>
                <w:rStyle w:val="Hyperlink"/>
                <w:noProof/>
              </w:rPr>
              <w:t>3.2.</w:t>
            </w:r>
            <w:r>
              <w:rPr>
                <w:rFonts w:asciiTheme="minorHAnsi" w:eastAsiaTheme="minorEastAsia" w:hAnsiTheme="minorHAnsi"/>
                <w:noProof/>
                <w:kern w:val="2"/>
                <w:lang w:eastAsia="en-AU"/>
                <w14:ligatures w14:val="standardContextual"/>
              </w:rPr>
              <w:tab/>
            </w:r>
            <w:r w:rsidRPr="006D25AA">
              <w:rPr>
                <w:rStyle w:val="Hyperlink"/>
                <w:noProof/>
              </w:rPr>
              <w:t>Jurisdictional CIS allocation</w:t>
            </w:r>
            <w:r>
              <w:rPr>
                <w:noProof/>
                <w:webHidden/>
              </w:rPr>
              <w:tab/>
            </w:r>
            <w:r>
              <w:rPr>
                <w:noProof/>
                <w:webHidden/>
              </w:rPr>
              <w:fldChar w:fldCharType="begin"/>
            </w:r>
            <w:r>
              <w:rPr>
                <w:noProof/>
                <w:webHidden/>
              </w:rPr>
              <w:instrText xml:space="preserve"> PAGEREF _Toc141783171 \h </w:instrText>
            </w:r>
            <w:r>
              <w:rPr>
                <w:noProof/>
                <w:webHidden/>
              </w:rPr>
            </w:r>
            <w:r>
              <w:rPr>
                <w:noProof/>
                <w:webHidden/>
              </w:rPr>
              <w:fldChar w:fldCharType="separate"/>
            </w:r>
            <w:r w:rsidR="0058689A">
              <w:rPr>
                <w:noProof/>
                <w:webHidden/>
              </w:rPr>
              <w:t>13</w:t>
            </w:r>
            <w:r>
              <w:rPr>
                <w:noProof/>
                <w:webHidden/>
              </w:rPr>
              <w:fldChar w:fldCharType="end"/>
            </w:r>
          </w:hyperlink>
        </w:p>
        <w:p w14:paraId="70B32422" w14:textId="270A492D" w:rsidR="007328CE" w:rsidRDefault="007328CE">
          <w:pPr>
            <w:pStyle w:val="TOC2"/>
            <w:rPr>
              <w:rFonts w:asciiTheme="minorHAnsi" w:eastAsiaTheme="minorEastAsia" w:hAnsiTheme="minorHAnsi"/>
              <w:noProof/>
              <w:kern w:val="2"/>
              <w:lang w:eastAsia="en-AU"/>
              <w14:ligatures w14:val="standardContextual"/>
            </w:rPr>
          </w:pPr>
          <w:hyperlink w:anchor="_Toc141783172" w:history="1">
            <w:r w:rsidRPr="006D25AA">
              <w:rPr>
                <w:rStyle w:val="Hyperlink"/>
                <w:noProof/>
              </w:rPr>
              <w:t>3.3.</w:t>
            </w:r>
            <w:r>
              <w:rPr>
                <w:rFonts w:asciiTheme="minorHAnsi" w:eastAsiaTheme="minorEastAsia" w:hAnsiTheme="minorHAnsi"/>
                <w:noProof/>
                <w:kern w:val="2"/>
                <w:lang w:eastAsia="en-AU"/>
                <w14:ligatures w14:val="standardContextual"/>
              </w:rPr>
              <w:tab/>
            </w:r>
            <w:r w:rsidRPr="006D25AA">
              <w:rPr>
                <w:rStyle w:val="Hyperlink"/>
                <w:noProof/>
              </w:rPr>
              <w:t>CIS tenders: minimum duration and evaluation of duration</w:t>
            </w:r>
            <w:r>
              <w:rPr>
                <w:noProof/>
                <w:webHidden/>
              </w:rPr>
              <w:tab/>
            </w:r>
            <w:r>
              <w:rPr>
                <w:noProof/>
                <w:webHidden/>
              </w:rPr>
              <w:fldChar w:fldCharType="begin"/>
            </w:r>
            <w:r>
              <w:rPr>
                <w:noProof/>
                <w:webHidden/>
              </w:rPr>
              <w:instrText xml:space="preserve"> PAGEREF _Toc141783172 \h </w:instrText>
            </w:r>
            <w:r>
              <w:rPr>
                <w:noProof/>
                <w:webHidden/>
              </w:rPr>
            </w:r>
            <w:r>
              <w:rPr>
                <w:noProof/>
                <w:webHidden/>
              </w:rPr>
              <w:fldChar w:fldCharType="separate"/>
            </w:r>
            <w:r w:rsidR="0058689A">
              <w:rPr>
                <w:noProof/>
                <w:webHidden/>
              </w:rPr>
              <w:t>13</w:t>
            </w:r>
            <w:r>
              <w:rPr>
                <w:noProof/>
                <w:webHidden/>
              </w:rPr>
              <w:fldChar w:fldCharType="end"/>
            </w:r>
          </w:hyperlink>
        </w:p>
        <w:p w14:paraId="237E207E" w14:textId="0C6D7222" w:rsidR="007328CE" w:rsidRDefault="007328CE">
          <w:pPr>
            <w:pStyle w:val="TOC1"/>
            <w:tabs>
              <w:tab w:val="left" w:pos="440"/>
              <w:tab w:val="right" w:leader="dot" w:pos="9016"/>
            </w:tabs>
            <w:rPr>
              <w:rFonts w:asciiTheme="minorHAnsi" w:eastAsiaTheme="minorEastAsia" w:hAnsiTheme="minorHAnsi"/>
              <w:noProof/>
              <w:kern w:val="2"/>
              <w:lang w:eastAsia="en-AU"/>
              <w14:ligatures w14:val="standardContextual"/>
            </w:rPr>
          </w:pPr>
          <w:hyperlink w:anchor="_Toc141783173" w:history="1">
            <w:r w:rsidRPr="006D25AA">
              <w:rPr>
                <w:rStyle w:val="Hyperlink"/>
                <w:noProof/>
              </w:rPr>
              <w:t>4.</w:t>
            </w:r>
            <w:r>
              <w:rPr>
                <w:rFonts w:asciiTheme="minorHAnsi" w:eastAsiaTheme="minorEastAsia" w:hAnsiTheme="minorHAnsi"/>
                <w:noProof/>
                <w:kern w:val="2"/>
                <w:lang w:eastAsia="en-AU"/>
                <w14:ligatures w14:val="standardContextual"/>
              </w:rPr>
              <w:tab/>
            </w:r>
            <w:r w:rsidRPr="006D25AA">
              <w:rPr>
                <w:rStyle w:val="Hyperlink"/>
                <w:noProof/>
              </w:rPr>
              <w:t>CIS tender process and design</w:t>
            </w:r>
            <w:r>
              <w:rPr>
                <w:noProof/>
                <w:webHidden/>
              </w:rPr>
              <w:tab/>
            </w:r>
            <w:r>
              <w:rPr>
                <w:noProof/>
                <w:webHidden/>
              </w:rPr>
              <w:fldChar w:fldCharType="begin"/>
            </w:r>
            <w:r>
              <w:rPr>
                <w:noProof/>
                <w:webHidden/>
              </w:rPr>
              <w:instrText xml:space="preserve"> PAGEREF _Toc141783173 \h </w:instrText>
            </w:r>
            <w:r>
              <w:rPr>
                <w:noProof/>
                <w:webHidden/>
              </w:rPr>
            </w:r>
            <w:r>
              <w:rPr>
                <w:noProof/>
                <w:webHidden/>
              </w:rPr>
              <w:fldChar w:fldCharType="separate"/>
            </w:r>
            <w:r w:rsidR="0058689A">
              <w:rPr>
                <w:noProof/>
                <w:webHidden/>
              </w:rPr>
              <w:t>15</w:t>
            </w:r>
            <w:r>
              <w:rPr>
                <w:noProof/>
                <w:webHidden/>
              </w:rPr>
              <w:fldChar w:fldCharType="end"/>
            </w:r>
          </w:hyperlink>
        </w:p>
        <w:p w14:paraId="38B14A3B" w14:textId="352531ED" w:rsidR="007328CE" w:rsidRDefault="007328CE">
          <w:pPr>
            <w:pStyle w:val="TOC2"/>
            <w:rPr>
              <w:rFonts w:asciiTheme="minorHAnsi" w:eastAsiaTheme="minorEastAsia" w:hAnsiTheme="minorHAnsi"/>
              <w:noProof/>
              <w:kern w:val="2"/>
              <w:lang w:eastAsia="en-AU"/>
              <w14:ligatures w14:val="standardContextual"/>
            </w:rPr>
          </w:pPr>
          <w:hyperlink w:anchor="_Toc141783176" w:history="1">
            <w:r w:rsidRPr="006D25AA">
              <w:rPr>
                <w:rStyle w:val="Hyperlink"/>
                <w:noProof/>
              </w:rPr>
              <w:t>4.3.</w:t>
            </w:r>
            <w:r>
              <w:rPr>
                <w:rFonts w:asciiTheme="minorHAnsi" w:eastAsiaTheme="minorEastAsia" w:hAnsiTheme="minorHAnsi"/>
                <w:noProof/>
                <w:kern w:val="2"/>
                <w:lang w:eastAsia="en-AU"/>
                <w14:ligatures w14:val="standardContextual"/>
              </w:rPr>
              <w:tab/>
            </w:r>
            <w:r w:rsidRPr="006D25AA">
              <w:rPr>
                <w:rStyle w:val="Hyperlink"/>
                <w:noProof/>
              </w:rPr>
              <w:t>Merit assessment</w:t>
            </w:r>
            <w:r>
              <w:rPr>
                <w:noProof/>
                <w:webHidden/>
              </w:rPr>
              <w:tab/>
            </w:r>
            <w:r>
              <w:rPr>
                <w:noProof/>
                <w:webHidden/>
              </w:rPr>
              <w:fldChar w:fldCharType="begin"/>
            </w:r>
            <w:r>
              <w:rPr>
                <w:noProof/>
                <w:webHidden/>
              </w:rPr>
              <w:instrText xml:space="preserve"> PAGEREF _Toc141783176 \h </w:instrText>
            </w:r>
            <w:r>
              <w:rPr>
                <w:noProof/>
                <w:webHidden/>
              </w:rPr>
            </w:r>
            <w:r>
              <w:rPr>
                <w:noProof/>
                <w:webHidden/>
              </w:rPr>
              <w:fldChar w:fldCharType="separate"/>
            </w:r>
            <w:r w:rsidR="0058689A">
              <w:rPr>
                <w:noProof/>
                <w:webHidden/>
              </w:rPr>
              <w:t>19</w:t>
            </w:r>
            <w:r>
              <w:rPr>
                <w:noProof/>
                <w:webHidden/>
              </w:rPr>
              <w:fldChar w:fldCharType="end"/>
            </w:r>
          </w:hyperlink>
        </w:p>
        <w:p w14:paraId="047985B7" w14:textId="65C363F2" w:rsidR="007328CE" w:rsidRDefault="007328CE">
          <w:pPr>
            <w:pStyle w:val="TOC3"/>
            <w:rPr>
              <w:rFonts w:asciiTheme="minorHAnsi" w:eastAsiaTheme="minorEastAsia" w:hAnsiTheme="minorHAnsi"/>
              <w:kern w:val="2"/>
              <w:lang w:eastAsia="en-AU"/>
              <w14:ligatures w14:val="standardContextual"/>
            </w:rPr>
          </w:pPr>
          <w:hyperlink w:anchor="_Toc141783177" w:history="1">
            <w:r w:rsidRPr="006D25AA">
              <w:rPr>
                <w:rStyle w:val="Hyperlink"/>
              </w:rPr>
              <w:t>4.3.1.</w:t>
            </w:r>
            <w:r>
              <w:rPr>
                <w:rFonts w:asciiTheme="minorHAnsi" w:eastAsiaTheme="minorEastAsia" w:hAnsiTheme="minorHAnsi"/>
                <w:kern w:val="2"/>
                <w:lang w:eastAsia="en-AU"/>
                <w14:ligatures w14:val="standardContextual"/>
              </w:rPr>
              <w:tab/>
            </w:r>
            <w:r w:rsidRPr="006D25AA">
              <w:rPr>
                <w:rStyle w:val="Hyperlink"/>
              </w:rPr>
              <w:t>Overview of merit assessment process</w:t>
            </w:r>
            <w:r>
              <w:rPr>
                <w:webHidden/>
              </w:rPr>
              <w:tab/>
            </w:r>
            <w:r>
              <w:rPr>
                <w:webHidden/>
              </w:rPr>
              <w:fldChar w:fldCharType="begin"/>
            </w:r>
            <w:r>
              <w:rPr>
                <w:webHidden/>
              </w:rPr>
              <w:instrText xml:space="preserve"> PAGEREF _Toc141783177 \h </w:instrText>
            </w:r>
            <w:r>
              <w:rPr>
                <w:webHidden/>
              </w:rPr>
            </w:r>
            <w:r>
              <w:rPr>
                <w:webHidden/>
              </w:rPr>
              <w:fldChar w:fldCharType="separate"/>
            </w:r>
            <w:r w:rsidR="0058689A">
              <w:rPr>
                <w:webHidden/>
              </w:rPr>
              <w:t>19</w:t>
            </w:r>
            <w:r>
              <w:rPr>
                <w:webHidden/>
              </w:rPr>
              <w:fldChar w:fldCharType="end"/>
            </w:r>
          </w:hyperlink>
        </w:p>
        <w:p w14:paraId="450B6D82" w14:textId="4E91CAF3" w:rsidR="007328CE" w:rsidRDefault="007328CE">
          <w:pPr>
            <w:pStyle w:val="TOC3"/>
            <w:rPr>
              <w:rFonts w:asciiTheme="minorHAnsi" w:eastAsiaTheme="minorEastAsia" w:hAnsiTheme="minorHAnsi"/>
              <w:kern w:val="2"/>
              <w:lang w:eastAsia="en-AU"/>
              <w14:ligatures w14:val="standardContextual"/>
            </w:rPr>
          </w:pPr>
          <w:hyperlink w:anchor="_Toc141783178" w:history="1">
            <w:r w:rsidRPr="006D25AA">
              <w:rPr>
                <w:rStyle w:val="Hyperlink"/>
              </w:rPr>
              <w:t>4.3.2.</w:t>
            </w:r>
            <w:r>
              <w:rPr>
                <w:rFonts w:asciiTheme="minorHAnsi" w:eastAsiaTheme="minorEastAsia" w:hAnsiTheme="minorHAnsi"/>
                <w:kern w:val="2"/>
                <w:lang w:eastAsia="en-AU"/>
                <w14:ligatures w14:val="standardContextual"/>
              </w:rPr>
              <w:tab/>
            </w:r>
            <w:r w:rsidRPr="006D25AA">
              <w:rPr>
                <w:rStyle w:val="Hyperlink"/>
              </w:rPr>
              <w:t>Project bid (Stage A) – technical, commercial and social licence assessment</w:t>
            </w:r>
            <w:r>
              <w:rPr>
                <w:webHidden/>
              </w:rPr>
              <w:tab/>
            </w:r>
            <w:r>
              <w:rPr>
                <w:webHidden/>
              </w:rPr>
              <w:fldChar w:fldCharType="begin"/>
            </w:r>
            <w:r>
              <w:rPr>
                <w:webHidden/>
              </w:rPr>
              <w:instrText xml:space="preserve"> PAGEREF _Toc141783178 \h </w:instrText>
            </w:r>
            <w:r>
              <w:rPr>
                <w:webHidden/>
              </w:rPr>
            </w:r>
            <w:r>
              <w:rPr>
                <w:webHidden/>
              </w:rPr>
              <w:fldChar w:fldCharType="separate"/>
            </w:r>
            <w:r w:rsidR="0058689A">
              <w:rPr>
                <w:webHidden/>
              </w:rPr>
              <w:t>20</w:t>
            </w:r>
            <w:r>
              <w:rPr>
                <w:webHidden/>
              </w:rPr>
              <w:fldChar w:fldCharType="end"/>
            </w:r>
          </w:hyperlink>
        </w:p>
        <w:p w14:paraId="6274FE9F" w14:textId="57324157" w:rsidR="007328CE" w:rsidRDefault="007328CE">
          <w:pPr>
            <w:pStyle w:val="TOC3"/>
            <w:rPr>
              <w:rFonts w:asciiTheme="minorHAnsi" w:eastAsiaTheme="minorEastAsia" w:hAnsiTheme="minorHAnsi"/>
              <w:kern w:val="2"/>
              <w:lang w:eastAsia="en-AU"/>
              <w14:ligatures w14:val="standardContextual"/>
            </w:rPr>
          </w:pPr>
          <w:hyperlink w:anchor="_Toc141783179" w:history="1">
            <w:r w:rsidRPr="006D25AA">
              <w:rPr>
                <w:rStyle w:val="Hyperlink"/>
              </w:rPr>
              <w:t>4.3.3.</w:t>
            </w:r>
            <w:r>
              <w:rPr>
                <w:rFonts w:asciiTheme="minorHAnsi" w:eastAsiaTheme="minorEastAsia" w:hAnsiTheme="minorHAnsi"/>
                <w:kern w:val="2"/>
                <w:lang w:eastAsia="en-AU"/>
                <w14:ligatures w14:val="standardContextual"/>
              </w:rPr>
              <w:tab/>
            </w:r>
            <w:r w:rsidRPr="006D25AA">
              <w:rPr>
                <w:rStyle w:val="Hyperlink"/>
              </w:rPr>
              <w:t>Financial bid (Stage B) – price and reliability assessment</w:t>
            </w:r>
            <w:r>
              <w:rPr>
                <w:webHidden/>
              </w:rPr>
              <w:tab/>
            </w:r>
            <w:r>
              <w:rPr>
                <w:webHidden/>
              </w:rPr>
              <w:fldChar w:fldCharType="begin"/>
            </w:r>
            <w:r>
              <w:rPr>
                <w:webHidden/>
              </w:rPr>
              <w:instrText xml:space="preserve"> PAGEREF _Toc141783179 \h </w:instrText>
            </w:r>
            <w:r>
              <w:rPr>
                <w:webHidden/>
              </w:rPr>
            </w:r>
            <w:r>
              <w:rPr>
                <w:webHidden/>
              </w:rPr>
              <w:fldChar w:fldCharType="separate"/>
            </w:r>
            <w:r w:rsidR="0058689A">
              <w:rPr>
                <w:webHidden/>
              </w:rPr>
              <w:t>21</w:t>
            </w:r>
            <w:r>
              <w:rPr>
                <w:webHidden/>
              </w:rPr>
              <w:fldChar w:fldCharType="end"/>
            </w:r>
          </w:hyperlink>
        </w:p>
        <w:p w14:paraId="3D591744" w14:textId="5EBFB802" w:rsidR="007328CE" w:rsidRDefault="007328CE">
          <w:pPr>
            <w:pStyle w:val="TOC2"/>
            <w:rPr>
              <w:rFonts w:asciiTheme="minorHAnsi" w:eastAsiaTheme="minorEastAsia" w:hAnsiTheme="minorHAnsi"/>
              <w:noProof/>
              <w:kern w:val="2"/>
              <w:lang w:eastAsia="en-AU"/>
              <w14:ligatures w14:val="standardContextual"/>
            </w:rPr>
          </w:pPr>
          <w:hyperlink w:anchor="_Toc141783180" w:history="1">
            <w:r w:rsidRPr="006D25AA">
              <w:rPr>
                <w:rStyle w:val="Hyperlink"/>
                <w:noProof/>
              </w:rPr>
              <w:t>4.4.</w:t>
            </w:r>
            <w:r>
              <w:rPr>
                <w:rFonts w:asciiTheme="minorHAnsi" w:eastAsiaTheme="minorEastAsia" w:hAnsiTheme="minorHAnsi"/>
                <w:noProof/>
                <w:kern w:val="2"/>
                <w:lang w:eastAsia="en-AU"/>
                <w14:ligatures w14:val="standardContextual"/>
              </w:rPr>
              <w:tab/>
            </w:r>
            <w:r w:rsidRPr="006D25AA">
              <w:rPr>
                <w:rStyle w:val="Hyperlink"/>
                <w:noProof/>
              </w:rPr>
              <w:t>Underwriting instrument design</w:t>
            </w:r>
            <w:r>
              <w:rPr>
                <w:noProof/>
                <w:webHidden/>
              </w:rPr>
              <w:tab/>
            </w:r>
            <w:r>
              <w:rPr>
                <w:noProof/>
                <w:webHidden/>
              </w:rPr>
              <w:fldChar w:fldCharType="begin"/>
            </w:r>
            <w:r>
              <w:rPr>
                <w:noProof/>
                <w:webHidden/>
              </w:rPr>
              <w:instrText xml:space="preserve"> PAGEREF _Toc141783180 \h </w:instrText>
            </w:r>
            <w:r>
              <w:rPr>
                <w:noProof/>
                <w:webHidden/>
              </w:rPr>
            </w:r>
            <w:r>
              <w:rPr>
                <w:noProof/>
                <w:webHidden/>
              </w:rPr>
              <w:fldChar w:fldCharType="separate"/>
            </w:r>
            <w:r w:rsidR="0058689A">
              <w:rPr>
                <w:noProof/>
                <w:webHidden/>
              </w:rPr>
              <w:t>22</w:t>
            </w:r>
            <w:r>
              <w:rPr>
                <w:noProof/>
                <w:webHidden/>
              </w:rPr>
              <w:fldChar w:fldCharType="end"/>
            </w:r>
          </w:hyperlink>
        </w:p>
        <w:p w14:paraId="1DDE6F0F" w14:textId="1F05D7A3" w:rsidR="007328CE" w:rsidRDefault="007328CE">
          <w:pPr>
            <w:pStyle w:val="TOC3"/>
            <w:rPr>
              <w:rFonts w:asciiTheme="minorHAnsi" w:eastAsiaTheme="minorEastAsia" w:hAnsiTheme="minorHAnsi"/>
              <w:kern w:val="2"/>
              <w:lang w:eastAsia="en-AU"/>
              <w14:ligatures w14:val="standardContextual"/>
            </w:rPr>
          </w:pPr>
          <w:hyperlink w:anchor="_Toc141783181" w:history="1">
            <w:r w:rsidRPr="006D25AA">
              <w:rPr>
                <w:rStyle w:val="Hyperlink"/>
              </w:rPr>
              <w:t>4.4.1.</w:t>
            </w:r>
            <w:r>
              <w:rPr>
                <w:rFonts w:asciiTheme="minorHAnsi" w:eastAsiaTheme="minorEastAsia" w:hAnsiTheme="minorHAnsi"/>
                <w:kern w:val="2"/>
                <w:lang w:eastAsia="en-AU"/>
                <w14:ligatures w14:val="standardContextual"/>
              </w:rPr>
              <w:tab/>
            </w:r>
            <w:r w:rsidRPr="006D25AA">
              <w:rPr>
                <w:rStyle w:val="Hyperlink"/>
              </w:rPr>
              <w:t>Principles of the CIS commercial structure</w:t>
            </w:r>
            <w:r>
              <w:rPr>
                <w:webHidden/>
              </w:rPr>
              <w:tab/>
            </w:r>
            <w:r>
              <w:rPr>
                <w:webHidden/>
              </w:rPr>
              <w:fldChar w:fldCharType="begin"/>
            </w:r>
            <w:r>
              <w:rPr>
                <w:webHidden/>
              </w:rPr>
              <w:instrText xml:space="preserve"> PAGEREF _Toc141783181 \h </w:instrText>
            </w:r>
            <w:r>
              <w:rPr>
                <w:webHidden/>
              </w:rPr>
            </w:r>
            <w:r>
              <w:rPr>
                <w:webHidden/>
              </w:rPr>
              <w:fldChar w:fldCharType="separate"/>
            </w:r>
            <w:r w:rsidR="0058689A">
              <w:rPr>
                <w:webHidden/>
              </w:rPr>
              <w:t>22</w:t>
            </w:r>
            <w:r>
              <w:rPr>
                <w:webHidden/>
              </w:rPr>
              <w:fldChar w:fldCharType="end"/>
            </w:r>
          </w:hyperlink>
        </w:p>
        <w:p w14:paraId="795766BE" w14:textId="0FF6B87E" w:rsidR="007328CE" w:rsidRDefault="007328CE">
          <w:pPr>
            <w:pStyle w:val="TOC3"/>
            <w:rPr>
              <w:rFonts w:asciiTheme="minorHAnsi" w:eastAsiaTheme="minorEastAsia" w:hAnsiTheme="minorHAnsi"/>
              <w:kern w:val="2"/>
              <w:lang w:eastAsia="en-AU"/>
              <w14:ligatures w14:val="standardContextual"/>
            </w:rPr>
          </w:pPr>
          <w:hyperlink w:anchor="_Toc141783182" w:history="1">
            <w:r w:rsidRPr="006D25AA">
              <w:rPr>
                <w:rStyle w:val="Hyperlink"/>
              </w:rPr>
              <w:t>4.4.2.</w:t>
            </w:r>
            <w:r>
              <w:rPr>
                <w:rFonts w:asciiTheme="minorHAnsi" w:eastAsiaTheme="minorEastAsia" w:hAnsiTheme="minorHAnsi"/>
                <w:kern w:val="2"/>
                <w:lang w:eastAsia="en-AU"/>
                <w14:ligatures w14:val="standardContextual"/>
              </w:rPr>
              <w:tab/>
            </w:r>
            <w:r w:rsidRPr="006D25AA">
              <w:rPr>
                <w:rStyle w:val="Hyperlink"/>
              </w:rPr>
              <w:t>Summary of CIS commercial structure</w:t>
            </w:r>
            <w:r>
              <w:rPr>
                <w:webHidden/>
              </w:rPr>
              <w:tab/>
            </w:r>
            <w:r>
              <w:rPr>
                <w:webHidden/>
              </w:rPr>
              <w:fldChar w:fldCharType="begin"/>
            </w:r>
            <w:r>
              <w:rPr>
                <w:webHidden/>
              </w:rPr>
              <w:instrText xml:space="preserve"> PAGEREF _Toc141783182 \h </w:instrText>
            </w:r>
            <w:r>
              <w:rPr>
                <w:webHidden/>
              </w:rPr>
            </w:r>
            <w:r>
              <w:rPr>
                <w:webHidden/>
              </w:rPr>
              <w:fldChar w:fldCharType="separate"/>
            </w:r>
            <w:r w:rsidR="0058689A">
              <w:rPr>
                <w:webHidden/>
              </w:rPr>
              <w:t>23</w:t>
            </w:r>
            <w:r>
              <w:rPr>
                <w:webHidden/>
              </w:rPr>
              <w:fldChar w:fldCharType="end"/>
            </w:r>
          </w:hyperlink>
        </w:p>
        <w:p w14:paraId="60EA958B" w14:textId="290D6E20" w:rsidR="00DD0961" w:rsidRPr="00754850" w:rsidRDefault="00476E4A" w:rsidP="005D5BE3">
          <w:r>
            <w:rPr>
              <w:rFonts w:ascii="Arial" w:eastAsia="SimSun" w:hAnsi="Arial"/>
            </w:rPr>
            <w:fldChar w:fldCharType="end"/>
          </w:r>
        </w:p>
      </w:sdtContent>
    </w:sdt>
    <w:p w14:paraId="69F1C592" w14:textId="77777777" w:rsidR="00FF64E7" w:rsidRPr="00202137" w:rsidRDefault="00FF64E7" w:rsidP="00C676D5">
      <w:pPr>
        <w:pStyle w:val="Heading1"/>
        <w:keepNext/>
        <w:ind w:left="357" w:hanging="357"/>
      </w:pPr>
      <w:bookmarkStart w:id="96" w:name="_Toc138859457"/>
      <w:bookmarkStart w:id="97" w:name="_Toc138859458"/>
      <w:bookmarkStart w:id="98" w:name="_Toc139033038"/>
      <w:bookmarkStart w:id="99" w:name="_Toc141783156"/>
      <w:bookmarkEnd w:id="96"/>
      <w:bookmarkEnd w:id="97"/>
      <w:r w:rsidRPr="00202137">
        <w:lastRenderedPageBreak/>
        <w:t>Introduction</w:t>
      </w:r>
      <w:bookmarkEnd w:id="98"/>
      <w:bookmarkEnd w:id="99"/>
    </w:p>
    <w:p w14:paraId="07F0CF0D" w14:textId="253D893C" w:rsidR="00C74774" w:rsidRDefault="00A07189" w:rsidP="00C676D5">
      <w:pPr>
        <w:pStyle w:val="Heading2"/>
        <w:keepNext/>
        <w:ind w:left="431" w:hanging="431"/>
      </w:pPr>
      <w:bookmarkStart w:id="100" w:name="_Toc141783157"/>
      <w:r>
        <w:t>Background</w:t>
      </w:r>
      <w:bookmarkEnd w:id="100"/>
    </w:p>
    <w:p w14:paraId="1069F02B" w14:textId="32DAA9C1" w:rsidR="00F017C3" w:rsidRPr="00D00BEE" w:rsidRDefault="00F017C3" w:rsidP="00D00BEE">
      <w:pPr>
        <w:rPr>
          <w:lang w:val="en-GB" w:eastAsia="en-AU"/>
        </w:rPr>
      </w:pPr>
      <w:bookmarkStart w:id="101" w:name="_Hlk140153698"/>
      <w:r w:rsidRPr="00D00BEE">
        <w:rPr>
          <w:lang w:val="en-GB" w:eastAsia="en-AU"/>
        </w:rPr>
        <w:t xml:space="preserve">On 8 December 2022, Commonwealth, state and territory ministers </w:t>
      </w:r>
      <w:r w:rsidR="00731D66">
        <w:rPr>
          <w:lang w:val="en-GB" w:eastAsia="en-AU"/>
        </w:rPr>
        <w:t>provided unanimous endorsement for the design principles of the Capacity Investment Scheme (CIS) as a priority reform to support reliability under the National Energy Transformation Partnership (NETP)</w:t>
      </w:r>
      <w:r w:rsidR="00BF651A">
        <w:rPr>
          <w:lang w:val="en-GB" w:eastAsia="en-AU"/>
        </w:rPr>
        <w:t xml:space="preserve">. </w:t>
      </w:r>
    </w:p>
    <w:p w14:paraId="7C18FBD0" w14:textId="4F5DD763" w:rsidR="00E04015" w:rsidRPr="007026B3" w:rsidRDefault="00F017C3" w:rsidP="00D00BEE">
      <w:pPr>
        <w:rPr>
          <w:rFonts w:cs="Calibri Light"/>
          <w:lang w:val="en-GB" w:eastAsia="en-AU"/>
        </w:rPr>
      </w:pPr>
      <w:r w:rsidRPr="00D00BEE">
        <w:rPr>
          <w:lang w:val="en-GB" w:eastAsia="en-AU"/>
        </w:rPr>
        <w:t>The objective of the CIS is to encourage new investment in clean dispatchable capacity</w:t>
      </w:r>
      <w:r w:rsidR="007209B2">
        <w:rPr>
          <w:lang w:val="en-GB" w:eastAsia="en-AU"/>
        </w:rPr>
        <w:t xml:space="preserve">, </w:t>
      </w:r>
      <w:r w:rsidRPr="00D00BEE">
        <w:rPr>
          <w:lang w:val="en-GB" w:eastAsia="en-AU"/>
        </w:rPr>
        <w:t>support reliability</w:t>
      </w:r>
      <w:r w:rsidR="003E388D">
        <w:rPr>
          <w:lang w:val="en-GB" w:eastAsia="en-AU"/>
        </w:rPr>
        <w:t>,</w:t>
      </w:r>
      <w:r w:rsidRPr="00D00BEE">
        <w:rPr>
          <w:lang w:val="en-GB" w:eastAsia="en-AU"/>
        </w:rPr>
        <w:t xml:space="preserve"> and reduce the risk of price shocks in Australia’s rapidly changing energy market. The CIS expect</w:t>
      </w:r>
      <w:r w:rsidR="003E388D">
        <w:rPr>
          <w:lang w:val="en-GB" w:eastAsia="en-AU"/>
        </w:rPr>
        <w:t>s</w:t>
      </w:r>
      <w:r w:rsidRPr="00D00BEE">
        <w:rPr>
          <w:lang w:val="en-GB" w:eastAsia="en-AU"/>
        </w:rPr>
        <w:t xml:space="preserve"> to bring forward at least $10 billion of new investment and 6GW of clean dispatchable capacity by 2030. </w:t>
      </w:r>
      <w:r w:rsidR="007026B3" w:rsidRPr="00EF4A29">
        <w:t xml:space="preserve">The 6GW figure is based on </w:t>
      </w:r>
      <w:r w:rsidR="00D30CC8">
        <w:t xml:space="preserve">the </w:t>
      </w:r>
      <w:r w:rsidR="0038435E">
        <w:t>Australian Energy Market Operator (</w:t>
      </w:r>
      <w:r w:rsidR="007026B3" w:rsidRPr="00EF4A29">
        <w:t>AEMO</w:t>
      </w:r>
      <w:r w:rsidR="0038435E">
        <w:t>)</w:t>
      </w:r>
      <w:r w:rsidR="007026B3" w:rsidRPr="00EF4A29">
        <w:t xml:space="preserve"> modelling from the ISP </w:t>
      </w:r>
      <w:r w:rsidR="007026B3" w:rsidRPr="00EF4A29">
        <w:rPr>
          <w:i/>
          <w:iCs/>
        </w:rPr>
        <w:t>Step Change</w:t>
      </w:r>
      <w:r w:rsidR="007026B3" w:rsidRPr="00EF4A29">
        <w:t xml:space="preserve"> Scenario, as well as publicly available system plans for other electricity grids.</w:t>
      </w:r>
    </w:p>
    <w:p w14:paraId="73D49B40" w14:textId="0DEADBB4" w:rsidR="00F017C3" w:rsidRDefault="00F017C3" w:rsidP="00D00BEE">
      <w:pPr>
        <w:rPr>
          <w:lang w:val="en-GB" w:eastAsia="en-AU"/>
        </w:rPr>
      </w:pPr>
      <w:r w:rsidRPr="00D00BEE">
        <w:rPr>
          <w:lang w:val="en-GB" w:eastAsia="en-AU"/>
        </w:rPr>
        <w:t xml:space="preserve">The CIS </w:t>
      </w:r>
      <w:r w:rsidR="008E777A">
        <w:rPr>
          <w:lang w:val="en-GB" w:eastAsia="en-AU"/>
        </w:rPr>
        <w:t>is a Commonwealth</w:t>
      </w:r>
      <w:r w:rsidR="006A0D99">
        <w:rPr>
          <w:lang w:val="en-GB" w:eastAsia="en-AU"/>
        </w:rPr>
        <w:t xml:space="preserve"> scheme available to all jurisdictions nationally </w:t>
      </w:r>
      <w:r w:rsidR="00871161">
        <w:rPr>
          <w:lang w:val="en-GB" w:eastAsia="en-AU"/>
        </w:rPr>
        <w:t xml:space="preserve">and </w:t>
      </w:r>
      <w:r w:rsidRPr="00D00BEE">
        <w:rPr>
          <w:lang w:val="en-GB" w:eastAsia="en-AU"/>
        </w:rPr>
        <w:t>will involve a series of competitive tenders seeking bids for clean renewable generation and storage projects to fill expected reliability gaps. Projects selected through tenders will be offered long-term Commonwealth underwriting agreements for an agreed revenue ‘floor’ and ‘ceiling’.</w:t>
      </w:r>
    </w:p>
    <w:p w14:paraId="236A3573" w14:textId="61BEBCC3" w:rsidR="00005A44" w:rsidRDefault="00BA1BF6" w:rsidP="007F1D62">
      <w:pPr>
        <w:keepNext/>
        <w:jc w:val="center"/>
      </w:pPr>
      <w:r>
        <w:rPr>
          <w:noProof/>
          <w:lang w:val="en-GB" w:eastAsia="en-AU"/>
        </w:rPr>
        <w:drawing>
          <wp:inline distT="0" distB="0" distL="0" distR="0" wp14:anchorId="631B5F5D" wp14:editId="1D8CA963">
            <wp:extent cx="4055165" cy="2426188"/>
            <wp:effectExtent l="0" t="0" r="2540" b="0"/>
            <wp:docPr id="4"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68452" cy="2434138"/>
                    </a:xfrm>
                    <a:prstGeom prst="rect">
                      <a:avLst/>
                    </a:prstGeom>
                    <a:ln>
                      <a:noFill/>
                    </a:ln>
                  </pic:spPr>
                </pic:pic>
              </a:graphicData>
            </a:graphic>
          </wp:inline>
        </w:drawing>
      </w:r>
    </w:p>
    <w:p w14:paraId="3A5791D4" w14:textId="6CA70758" w:rsidR="00005A44" w:rsidRPr="00B03E12" w:rsidRDefault="00005A44" w:rsidP="00E81C24">
      <w:pPr>
        <w:pStyle w:val="Caption"/>
        <w:rPr>
          <w:color w:val="000000" w:themeColor="text1"/>
          <w:lang w:val="en-GB" w:eastAsia="en-AU"/>
        </w:rPr>
      </w:pPr>
      <w:r w:rsidRPr="00B03E12">
        <w:rPr>
          <w:b/>
          <w:bCs/>
          <w:i w:val="0"/>
          <w:iCs w:val="0"/>
          <w:color w:val="000000" w:themeColor="text1"/>
        </w:rPr>
        <w:t xml:space="preserve">Figure </w:t>
      </w:r>
      <w:r w:rsidRPr="00B03E12">
        <w:rPr>
          <w:b/>
          <w:bCs/>
          <w:i w:val="0"/>
          <w:iCs w:val="0"/>
          <w:color w:val="000000" w:themeColor="text1"/>
        </w:rPr>
        <w:fldChar w:fldCharType="begin"/>
      </w:r>
      <w:r w:rsidRPr="00B03E12">
        <w:rPr>
          <w:b/>
          <w:bCs/>
          <w:i w:val="0"/>
          <w:iCs w:val="0"/>
          <w:color w:val="000000" w:themeColor="text1"/>
        </w:rPr>
        <w:instrText xml:space="preserve"> SEQ Figure \* ARABIC </w:instrText>
      </w:r>
      <w:r w:rsidRPr="00B03E12">
        <w:rPr>
          <w:b/>
          <w:bCs/>
          <w:i w:val="0"/>
          <w:iCs w:val="0"/>
          <w:color w:val="000000" w:themeColor="text1"/>
        </w:rPr>
        <w:fldChar w:fldCharType="separate"/>
      </w:r>
      <w:r w:rsidR="0058689A">
        <w:rPr>
          <w:b/>
          <w:bCs/>
          <w:i w:val="0"/>
          <w:iCs w:val="0"/>
          <w:noProof/>
          <w:color w:val="000000" w:themeColor="text1"/>
        </w:rPr>
        <w:t>1</w:t>
      </w:r>
      <w:r w:rsidRPr="00B03E12">
        <w:rPr>
          <w:b/>
          <w:bCs/>
          <w:i w:val="0"/>
          <w:iCs w:val="0"/>
          <w:color w:val="000000" w:themeColor="text1"/>
        </w:rPr>
        <w:fldChar w:fldCharType="end"/>
      </w:r>
      <w:r w:rsidRPr="00B03E12">
        <w:rPr>
          <w:b/>
          <w:bCs/>
          <w:i w:val="0"/>
          <w:iCs w:val="0"/>
          <w:color w:val="000000" w:themeColor="text1"/>
        </w:rPr>
        <w:t xml:space="preserve"> Revenue Underwriting Design Instrument.</w:t>
      </w:r>
      <w:r w:rsidRPr="00B03E12">
        <w:rPr>
          <w:i w:val="0"/>
          <w:iCs w:val="0"/>
          <w:color w:val="000000" w:themeColor="text1"/>
        </w:rPr>
        <w:t xml:space="preserve"> Projects under CIS contracts will have</w:t>
      </w:r>
      <w:r w:rsidRPr="00B03E12">
        <w:rPr>
          <w:i w:val="0"/>
          <w:color w:val="000000" w:themeColor="text1"/>
        </w:rPr>
        <w:t xml:space="preserve"> </w:t>
      </w:r>
      <w:r w:rsidR="00B8131D" w:rsidRPr="00B03E12">
        <w:rPr>
          <w:i w:val="0"/>
          <w:iCs w:val="0"/>
          <w:color w:val="000000" w:themeColor="text1"/>
        </w:rPr>
        <w:t>a</w:t>
      </w:r>
      <w:r w:rsidRPr="00B03E12">
        <w:rPr>
          <w:i w:val="0"/>
          <w:iCs w:val="0"/>
          <w:color w:val="000000" w:themeColor="text1"/>
        </w:rPr>
        <w:t xml:space="preserve"> revenue floor and ceiling </w:t>
      </w:r>
      <w:r w:rsidR="009C353B" w:rsidRPr="00B03E12">
        <w:rPr>
          <w:i w:val="0"/>
          <w:iCs w:val="0"/>
          <w:color w:val="000000" w:themeColor="text1"/>
        </w:rPr>
        <w:t xml:space="preserve">agreed with </w:t>
      </w:r>
      <w:r w:rsidR="0096601E" w:rsidRPr="00B03E12">
        <w:rPr>
          <w:i w:val="0"/>
          <w:iCs w:val="0"/>
          <w:color w:val="000000" w:themeColor="text1"/>
        </w:rPr>
        <w:t xml:space="preserve">the </w:t>
      </w:r>
      <w:r w:rsidR="009C353B" w:rsidRPr="00B03E12">
        <w:rPr>
          <w:i w:val="0"/>
          <w:iCs w:val="0"/>
          <w:color w:val="000000" w:themeColor="text1"/>
        </w:rPr>
        <w:t>Commonwealth</w:t>
      </w:r>
      <w:r w:rsidRPr="00B03E12">
        <w:rPr>
          <w:i w:val="0"/>
          <w:iCs w:val="0"/>
          <w:color w:val="000000" w:themeColor="text1"/>
        </w:rPr>
        <w:t xml:space="preserve">. If revenue earned by a project </w:t>
      </w:r>
      <w:r w:rsidR="00913020" w:rsidRPr="00B03E12">
        <w:rPr>
          <w:i w:val="0"/>
          <w:iCs w:val="0"/>
          <w:color w:val="000000" w:themeColor="text1"/>
        </w:rPr>
        <w:t>exceeds</w:t>
      </w:r>
      <w:r w:rsidRPr="00B03E12">
        <w:rPr>
          <w:i w:val="0"/>
          <w:iCs w:val="0"/>
          <w:color w:val="000000" w:themeColor="text1"/>
        </w:rPr>
        <w:t xml:space="preserve"> the net revenue ceiling, the owner </w:t>
      </w:r>
      <w:r w:rsidR="0022730F" w:rsidRPr="00B03E12">
        <w:rPr>
          <w:i w:val="0"/>
          <w:iCs w:val="0"/>
          <w:color w:val="000000" w:themeColor="text1"/>
        </w:rPr>
        <w:t xml:space="preserve">pays </w:t>
      </w:r>
      <w:r w:rsidR="00F27C12" w:rsidRPr="00B03E12">
        <w:rPr>
          <w:i w:val="0"/>
          <w:iCs w:val="0"/>
          <w:color w:val="000000" w:themeColor="text1"/>
        </w:rPr>
        <w:t xml:space="preserve">the Commonwealth an agreed percentage of revenue </w:t>
      </w:r>
      <w:r w:rsidR="00D152A5" w:rsidRPr="00B03E12">
        <w:rPr>
          <w:i w:val="0"/>
          <w:iCs w:val="0"/>
          <w:color w:val="000000" w:themeColor="text1"/>
        </w:rPr>
        <w:t xml:space="preserve">above revenue ceiling. </w:t>
      </w:r>
      <w:r w:rsidR="00FF47FF" w:rsidRPr="00B03E12">
        <w:rPr>
          <w:i w:val="0"/>
          <w:iCs w:val="0"/>
          <w:color w:val="000000" w:themeColor="text1"/>
        </w:rPr>
        <w:t xml:space="preserve">The Commonwealth </w:t>
      </w:r>
      <w:r w:rsidR="00831BC6" w:rsidRPr="00B03E12">
        <w:rPr>
          <w:i w:val="0"/>
          <w:iCs w:val="0"/>
          <w:color w:val="000000" w:themeColor="text1"/>
        </w:rPr>
        <w:t xml:space="preserve">would pay the project </w:t>
      </w:r>
      <w:r w:rsidR="002C5569" w:rsidRPr="00B03E12">
        <w:rPr>
          <w:i w:val="0"/>
          <w:iCs w:val="0"/>
          <w:color w:val="000000" w:themeColor="text1"/>
        </w:rPr>
        <w:t xml:space="preserve">when revenue </w:t>
      </w:r>
      <w:r w:rsidR="00617D5B" w:rsidRPr="00B03E12">
        <w:rPr>
          <w:i w:val="0"/>
          <w:iCs w:val="0"/>
          <w:color w:val="000000" w:themeColor="text1"/>
        </w:rPr>
        <w:t>is below the revenue floor, but not below zero</w:t>
      </w:r>
      <w:r w:rsidR="002C08F0" w:rsidRPr="00B03E12">
        <w:rPr>
          <w:i w:val="0"/>
          <w:iCs w:val="0"/>
          <w:color w:val="000000" w:themeColor="text1"/>
        </w:rPr>
        <w:t>.</w:t>
      </w:r>
    </w:p>
    <w:p w14:paraId="2373224B" w14:textId="11592119" w:rsidR="00BA7876" w:rsidRDefault="002107EC" w:rsidP="00D00BEE">
      <w:pPr>
        <w:rPr>
          <w:lang w:val="en-GB" w:eastAsia="en-AU"/>
        </w:rPr>
      </w:pPr>
      <w:r>
        <w:rPr>
          <w:lang w:val="en-GB" w:eastAsia="en-AU"/>
        </w:rPr>
        <w:t>CIS t</w:t>
      </w:r>
      <w:r w:rsidR="00BA7876" w:rsidRPr="00D00BEE">
        <w:rPr>
          <w:lang w:val="en-GB" w:eastAsia="en-AU"/>
        </w:rPr>
        <w:t xml:space="preserve">enders </w:t>
      </w:r>
      <w:r w:rsidR="00527247">
        <w:rPr>
          <w:lang w:val="en-GB" w:eastAsia="en-AU"/>
        </w:rPr>
        <w:t>are expected to be</w:t>
      </w:r>
      <w:r w:rsidR="00BA7876" w:rsidRPr="00D00BEE">
        <w:rPr>
          <w:lang w:val="en-GB" w:eastAsia="en-AU"/>
        </w:rPr>
        <w:t xml:space="preserve"> progressively rolled out from 2023</w:t>
      </w:r>
      <w:r w:rsidR="00180FBF">
        <w:rPr>
          <w:lang w:val="en-GB" w:eastAsia="en-AU"/>
        </w:rPr>
        <w:t xml:space="preserve"> through to 2027</w:t>
      </w:r>
      <w:r w:rsidR="00BA7876">
        <w:rPr>
          <w:lang w:val="en-GB" w:eastAsia="en-AU"/>
        </w:rPr>
        <w:t xml:space="preserve"> to meet reliability needs between FY26 and FY2030.</w:t>
      </w:r>
      <w:r w:rsidR="00092A02">
        <w:rPr>
          <w:lang w:val="en-GB" w:eastAsia="en-AU"/>
        </w:rPr>
        <w:t xml:space="preserve"> </w:t>
      </w:r>
      <w:r w:rsidR="00BA7876" w:rsidRPr="5B6D599B">
        <w:rPr>
          <w:lang w:val="en-GB" w:eastAsia="en-AU"/>
        </w:rPr>
        <w:t>Further details</w:t>
      </w:r>
      <w:r w:rsidR="00BA7876" w:rsidRPr="00D00BEE">
        <w:rPr>
          <w:lang w:val="en-GB" w:eastAsia="en-AU"/>
        </w:rPr>
        <w:t xml:space="preserve"> on the national roll out of the scheme will be </w:t>
      </w:r>
      <w:r w:rsidR="00BA7876" w:rsidRPr="5B6D599B">
        <w:rPr>
          <w:lang w:val="en-GB" w:eastAsia="en-AU"/>
        </w:rPr>
        <w:t>outlined</w:t>
      </w:r>
      <w:r w:rsidR="00BA7876" w:rsidRPr="00D00BEE">
        <w:rPr>
          <w:lang w:val="en-GB" w:eastAsia="en-AU"/>
        </w:rPr>
        <w:t xml:space="preserve"> by </w:t>
      </w:r>
      <w:r w:rsidR="00BA7876" w:rsidRPr="5B6D599B">
        <w:rPr>
          <w:lang w:val="en-GB" w:eastAsia="en-AU"/>
        </w:rPr>
        <w:t xml:space="preserve">the end of </w:t>
      </w:r>
      <w:r w:rsidR="00BA7876" w:rsidRPr="50482F0C">
        <w:rPr>
          <w:lang w:val="en-GB" w:eastAsia="en-AU"/>
        </w:rPr>
        <w:t>2023.</w:t>
      </w:r>
      <w:r w:rsidR="000B4C9A">
        <w:rPr>
          <w:lang w:val="en-GB" w:eastAsia="en-AU"/>
        </w:rPr>
        <w:t xml:space="preserve"> </w:t>
      </w:r>
      <w:r w:rsidR="00F33B16">
        <w:rPr>
          <w:lang w:val="en-GB" w:eastAsia="en-AU"/>
        </w:rPr>
        <w:t>Following a review</w:t>
      </w:r>
      <w:r w:rsidR="00D80888">
        <w:rPr>
          <w:lang w:val="en-GB" w:eastAsia="en-AU"/>
        </w:rPr>
        <w:t>,</w:t>
      </w:r>
      <w:r w:rsidR="00CF4B0E">
        <w:rPr>
          <w:lang w:val="en-GB" w:eastAsia="en-AU"/>
        </w:rPr>
        <w:t xml:space="preserve"> the Commonwealth will </w:t>
      </w:r>
      <w:r w:rsidR="00C92117">
        <w:rPr>
          <w:lang w:val="en-GB" w:eastAsia="en-AU"/>
        </w:rPr>
        <w:t>re</w:t>
      </w:r>
      <w:r w:rsidR="00CF4B0E">
        <w:rPr>
          <w:lang w:val="en-GB" w:eastAsia="en-AU"/>
        </w:rPr>
        <w:t xml:space="preserve">consider the need </w:t>
      </w:r>
      <w:r w:rsidR="00A10A56">
        <w:rPr>
          <w:lang w:val="en-GB" w:eastAsia="en-AU"/>
        </w:rPr>
        <w:t>for the CIS</w:t>
      </w:r>
      <w:r w:rsidR="005616F2">
        <w:rPr>
          <w:lang w:val="en-GB" w:eastAsia="en-AU"/>
        </w:rPr>
        <w:t xml:space="preserve"> </w:t>
      </w:r>
      <w:r w:rsidR="006607EE">
        <w:rPr>
          <w:lang w:val="en-GB" w:eastAsia="en-AU"/>
        </w:rPr>
        <w:t>tenders after 2027</w:t>
      </w:r>
      <w:r w:rsidR="00A10A56">
        <w:rPr>
          <w:lang w:val="en-GB" w:eastAsia="en-AU"/>
        </w:rPr>
        <w:t xml:space="preserve"> </w:t>
      </w:r>
      <w:r w:rsidR="00046A3F">
        <w:rPr>
          <w:lang w:val="en-GB" w:eastAsia="en-AU"/>
        </w:rPr>
        <w:t xml:space="preserve">as part of the broader </w:t>
      </w:r>
      <w:r w:rsidR="000437A2">
        <w:rPr>
          <w:lang w:val="en-GB" w:eastAsia="en-AU"/>
        </w:rPr>
        <w:t xml:space="preserve">consideration of </w:t>
      </w:r>
      <w:r w:rsidR="00F0012F">
        <w:rPr>
          <w:lang w:val="en-GB" w:eastAsia="en-AU"/>
        </w:rPr>
        <w:t xml:space="preserve">the </w:t>
      </w:r>
      <w:r w:rsidR="00306A2E">
        <w:rPr>
          <w:lang w:val="en-GB" w:eastAsia="en-AU"/>
        </w:rPr>
        <w:t>long</w:t>
      </w:r>
      <w:r w:rsidR="000B2C4A">
        <w:rPr>
          <w:lang w:val="en-GB" w:eastAsia="en-AU"/>
        </w:rPr>
        <w:t>-</w:t>
      </w:r>
      <w:r w:rsidR="00306A2E">
        <w:rPr>
          <w:lang w:val="en-GB" w:eastAsia="en-AU"/>
        </w:rPr>
        <w:t>term national energy market framework</w:t>
      </w:r>
      <w:r w:rsidR="005A237F">
        <w:rPr>
          <w:lang w:val="en-GB" w:eastAsia="en-AU"/>
        </w:rPr>
        <w:t xml:space="preserve">. </w:t>
      </w:r>
    </w:p>
    <w:p w14:paraId="7F25009E" w14:textId="02C20D16" w:rsidR="001170A7" w:rsidRDefault="79B6E1A1" w:rsidP="001170A7">
      <w:r>
        <w:t xml:space="preserve">As per the </w:t>
      </w:r>
      <w:hyperlink r:id="rId16" w:history="1">
        <w:r w:rsidRPr="349EABE3">
          <w:rPr>
            <w:rStyle w:val="Hyperlink"/>
          </w:rPr>
          <w:t>8 December Energy Minister Meeting Communique</w:t>
        </w:r>
      </w:hyperlink>
      <w:r w:rsidR="00A64240">
        <w:rPr>
          <w:rStyle w:val="Hyperlink"/>
        </w:rPr>
        <w:t>,</w:t>
      </w:r>
      <w:r>
        <w:t xml:space="preserve"> </w:t>
      </w:r>
      <w:r w:rsidR="1B5DE4AF">
        <w:t>eligible</w:t>
      </w:r>
      <w:r w:rsidR="00F91F5F" w:rsidRPr="00F118BB">
        <w:t xml:space="preserve"> projects will include those </w:t>
      </w:r>
      <w:r w:rsidR="005164A6">
        <w:t xml:space="preserve">that achieve financial close </w:t>
      </w:r>
      <w:r w:rsidR="00F91F5F" w:rsidRPr="00F118BB">
        <w:t>from 8 December 2022 onwards.</w:t>
      </w:r>
      <w:r w:rsidR="00335CB4">
        <w:t xml:space="preserve"> </w:t>
      </w:r>
      <w:r w:rsidR="00971E8D">
        <w:t>P</w:t>
      </w:r>
      <w:r w:rsidR="003B5BB7">
        <w:t>rojects</w:t>
      </w:r>
      <w:r w:rsidR="00F511BA">
        <w:t xml:space="preserve"> </w:t>
      </w:r>
      <w:r w:rsidR="00971E8D">
        <w:t xml:space="preserve">that </w:t>
      </w:r>
      <w:r w:rsidR="003B5BB7">
        <w:t xml:space="preserve">have </w:t>
      </w:r>
      <w:r w:rsidR="00763F32">
        <w:t xml:space="preserve">achieved financial close </w:t>
      </w:r>
      <w:r w:rsidR="00E54CA3">
        <w:t xml:space="preserve">before 8 December 2022 </w:t>
      </w:r>
      <w:r w:rsidR="00A5517A">
        <w:t>will</w:t>
      </w:r>
      <w:r w:rsidR="00E54CA3">
        <w:t xml:space="preserve"> be ineligible.</w:t>
      </w:r>
      <w:r w:rsidR="00CF2724" w:rsidDel="00F31C16">
        <w:t xml:space="preserve"> </w:t>
      </w:r>
      <w:r w:rsidR="003916FE" w:rsidDel="00443E53">
        <w:t>Both publicly and privately owned utility scale projects will be eligible.</w:t>
      </w:r>
    </w:p>
    <w:p w14:paraId="43EF2390" w14:textId="2F92D69C" w:rsidR="00815579" w:rsidRPr="00F91F5F" w:rsidRDefault="00815579" w:rsidP="001F6800"/>
    <w:p w14:paraId="059B6BE2" w14:textId="2E9405AA" w:rsidR="001F6800" w:rsidRDefault="001F6800" w:rsidP="001F6800">
      <w:r w:rsidRPr="00C676D5">
        <w:t xml:space="preserve">The rationale for this approach is that the Department does not </w:t>
      </w:r>
      <w:r w:rsidR="00345441">
        <w:t>wish</w:t>
      </w:r>
      <w:r w:rsidRPr="00C676D5">
        <w:t xml:space="preserve"> the</w:t>
      </w:r>
      <w:r>
        <w:t xml:space="preserve"> timing of project development, financing and construction activities to artificially concentrate around CIS tenders. This can cause unnecessary cyclicality in project development activity and price volatility in supply chains. Further, under the proposed approach, projects that can construct and operate can progress as quickly as possible </w:t>
      </w:r>
      <w:r w:rsidR="00562D40">
        <w:t xml:space="preserve">while maintaining their eligibility for future </w:t>
      </w:r>
      <w:r>
        <w:t>CIS tenders.</w:t>
      </w:r>
    </w:p>
    <w:p w14:paraId="3E54CB7B" w14:textId="7D267E87" w:rsidR="00F017C3" w:rsidRPr="00D00BEE" w:rsidRDefault="00F017C3" w:rsidP="00D00BEE">
      <w:pPr>
        <w:rPr>
          <w:lang w:val="en-GB" w:eastAsia="en-AU"/>
        </w:rPr>
      </w:pPr>
      <w:r w:rsidRPr="00D00BEE">
        <w:rPr>
          <w:lang w:val="en-GB" w:eastAsia="en-AU"/>
        </w:rPr>
        <w:t xml:space="preserve">The first phase of the CIS is </w:t>
      </w:r>
      <w:r w:rsidR="003C195F">
        <w:rPr>
          <w:lang w:val="en-GB" w:eastAsia="en-AU"/>
        </w:rPr>
        <w:t>proposed to be</w:t>
      </w:r>
      <w:r w:rsidRPr="00D00BEE">
        <w:rPr>
          <w:lang w:val="en-GB" w:eastAsia="en-AU"/>
        </w:rPr>
        <w:t xml:space="preserve"> delivered in 2023,</w:t>
      </w:r>
      <w:r w:rsidR="003C195F">
        <w:rPr>
          <w:lang w:val="en-GB" w:eastAsia="en-AU"/>
        </w:rPr>
        <w:t xml:space="preserve"> and</w:t>
      </w:r>
      <w:r w:rsidR="00A14745">
        <w:rPr>
          <w:lang w:val="en-GB" w:eastAsia="en-AU"/>
        </w:rPr>
        <w:t xml:space="preserve"> is expected to</w:t>
      </w:r>
      <w:r w:rsidRPr="00D00BEE">
        <w:rPr>
          <w:lang w:val="en-GB" w:eastAsia="en-AU"/>
        </w:rPr>
        <w:t xml:space="preserve"> involv</w:t>
      </w:r>
      <w:r w:rsidR="00A14745">
        <w:rPr>
          <w:lang w:val="en-GB" w:eastAsia="en-AU"/>
        </w:rPr>
        <w:t>e</w:t>
      </w:r>
      <w:r w:rsidRPr="00D00BEE">
        <w:rPr>
          <w:lang w:val="en-GB" w:eastAsia="en-AU"/>
        </w:rPr>
        <w:t>:</w:t>
      </w:r>
    </w:p>
    <w:p w14:paraId="560EF072" w14:textId="689E4F46" w:rsidR="00F017C3" w:rsidRDefault="00F017C3" w:rsidP="00D00BEE">
      <w:pPr>
        <w:pStyle w:val="ListParagraph"/>
        <w:numPr>
          <w:ilvl w:val="0"/>
          <w:numId w:val="70"/>
        </w:numPr>
        <w:rPr>
          <w:lang w:val="en-GB" w:eastAsia="en-AU"/>
        </w:rPr>
      </w:pPr>
      <w:r w:rsidRPr="00D00BEE">
        <w:rPr>
          <w:b/>
          <w:bCs/>
          <w:lang w:val="en-GB" w:eastAsia="en-AU"/>
        </w:rPr>
        <w:t xml:space="preserve">Partnership with NSW Electricity Infrastructure Roadmap </w:t>
      </w:r>
      <w:r w:rsidRPr="00D00BEE">
        <w:rPr>
          <w:lang w:val="en-GB" w:eastAsia="en-AU"/>
        </w:rPr>
        <w:t xml:space="preserve">– Commonwealth support </w:t>
      </w:r>
      <w:r w:rsidR="00702D6A">
        <w:rPr>
          <w:lang w:val="en-GB" w:eastAsia="en-AU"/>
        </w:rPr>
        <w:t xml:space="preserve">for </w:t>
      </w:r>
      <w:r w:rsidRPr="00D00BEE">
        <w:rPr>
          <w:lang w:val="en-GB" w:eastAsia="en-AU"/>
        </w:rPr>
        <w:t>up to 550MW of firmed capacity, in addition to 380 MW already committed by NSW.</w:t>
      </w:r>
      <w:r w:rsidR="002156CF">
        <w:rPr>
          <w:lang w:val="en-GB" w:eastAsia="en-AU"/>
        </w:rPr>
        <w:t xml:space="preserve"> The partnership </w:t>
      </w:r>
      <w:r w:rsidR="002A1770">
        <w:rPr>
          <w:lang w:val="en-GB" w:eastAsia="en-AU"/>
        </w:rPr>
        <w:t>between NSW and the Commonwealth was announced on 29 June 2023</w:t>
      </w:r>
      <w:r w:rsidR="00DF688E">
        <w:rPr>
          <w:lang w:val="en-GB" w:eastAsia="en-AU"/>
        </w:rPr>
        <w:t>:</w:t>
      </w:r>
    </w:p>
    <w:p w14:paraId="09136FE4" w14:textId="22844043" w:rsidR="00DF688E" w:rsidRPr="00D00BEE" w:rsidRDefault="00000000" w:rsidP="3037FD53">
      <w:pPr>
        <w:pStyle w:val="ListParagraph"/>
        <w:rPr>
          <w:lang w:val="en-GB" w:eastAsia="en-AU"/>
        </w:rPr>
      </w:pPr>
      <w:hyperlink r:id="rId17" w:history="1">
        <w:r w:rsidR="00B10568">
          <w:rPr>
            <w:rStyle w:val="Hyperlink"/>
          </w:rPr>
          <w:t>Joint media release: Capacity Investment Scheme to power NSW with clean, cheap, reliable energy | Ministers (dcceew.gov.au)</w:t>
        </w:r>
      </w:hyperlink>
    </w:p>
    <w:p w14:paraId="162B1930" w14:textId="77777777" w:rsidR="00F017C3" w:rsidRPr="00D00BEE" w:rsidRDefault="00F017C3" w:rsidP="00D00BEE">
      <w:pPr>
        <w:pStyle w:val="ListParagraph"/>
        <w:numPr>
          <w:ilvl w:val="0"/>
          <w:numId w:val="70"/>
        </w:numPr>
        <w:rPr>
          <w:lang w:val="en-GB" w:eastAsia="en-AU"/>
        </w:rPr>
      </w:pPr>
      <w:r w:rsidRPr="00D00BEE">
        <w:rPr>
          <w:b/>
          <w:bCs/>
          <w:lang w:val="en-GB" w:eastAsia="en-AU"/>
        </w:rPr>
        <w:t xml:space="preserve">South Australia / Victoria tender </w:t>
      </w:r>
      <w:r w:rsidRPr="00D00BEE">
        <w:rPr>
          <w:lang w:val="en-GB" w:eastAsia="en-AU"/>
        </w:rPr>
        <w:t xml:space="preserve">– Tender arrangements to be announced by October 2023. </w:t>
      </w:r>
    </w:p>
    <w:p w14:paraId="35F71C36" w14:textId="0CF17CFE" w:rsidR="004A05C4" w:rsidRDefault="00DB5429" w:rsidP="00C676D5">
      <w:pPr>
        <w:pStyle w:val="Heading2"/>
        <w:keepNext/>
        <w:ind w:left="431" w:hanging="431"/>
      </w:pPr>
      <w:bookmarkStart w:id="102" w:name="_Toc141783158"/>
      <w:r>
        <w:t>C</w:t>
      </w:r>
      <w:r w:rsidR="004A05C4">
        <w:t>onsultation proces</w:t>
      </w:r>
      <w:r w:rsidR="00173A7A">
        <w:t>s</w:t>
      </w:r>
      <w:bookmarkEnd w:id="102"/>
    </w:p>
    <w:p w14:paraId="6402221A" w14:textId="7F22CA03" w:rsidR="004A05C4" w:rsidRPr="002323F1" w:rsidRDefault="004A05C4" w:rsidP="004A05C4">
      <w:pPr>
        <w:rPr>
          <w:lang w:val="en-GB" w:eastAsia="en-AU"/>
        </w:rPr>
      </w:pPr>
      <w:r w:rsidRPr="002323F1">
        <w:rPr>
          <w:lang w:val="en-GB" w:eastAsia="en-AU"/>
        </w:rPr>
        <w:t>The purpose of this consultation paper is to present the proposed approach and design of the CIS</w:t>
      </w:r>
      <w:r w:rsidR="007C1AF9">
        <w:rPr>
          <w:lang w:val="en-GB" w:eastAsia="en-AU"/>
        </w:rPr>
        <w:t xml:space="preserve">. </w:t>
      </w:r>
      <w:r w:rsidR="00331D1D">
        <w:rPr>
          <w:lang w:val="en-GB" w:eastAsia="en-AU"/>
        </w:rPr>
        <w:t xml:space="preserve">The consultation is focussed on the </w:t>
      </w:r>
      <w:r w:rsidR="00904EB6">
        <w:rPr>
          <w:lang w:val="en-GB" w:eastAsia="en-AU"/>
        </w:rPr>
        <w:t>national</w:t>
      </w:r>
      <w:r w:rsidR="00331D1D">
        <w:rPr>
          <w:lang w:val="en-GB" w:eastAsia="en-AU"/>
        </w:rPr>
        <w:t xml:space="preserve"> scheme design</w:t>
      </w:r>
      <w:r w:rsidR="00904EB6">
        <w:rPr>
          <w:lang w:val="en-GB" w:eastAsia="en-AU"/>
        </w:rPr>
        <w:t>.</w:t>
      </w:r>
    </w:p>
    <w:p w14:paraId="342AF827" w14:textId="7BF4575C" w:rsidR="009B31F4" w:rsidRDefault="00D46E76" w:rsidP="009400A2">
      <w:pPr>
        <w:rPr>
          <w:lang w:val="en-GB" w:eastAsia="en-AU"/>
        </w:rPr>
      </w:pPr>
      <w:r>
        <w:rPr>
          <w:lang w:val="en-GB" w:eastAsia="en-AU"/>
        </w:rPr>
        <w:t xml:space="preserve">We are seeking feedback </w:t>
      </w:r>
      <w:r w:rsidR="0035315D">
        <w:rPr>
          <w:lang w:val="en-GB" w:eastAsia="en-AU"/>
        </w:rPr>
        <w:t>on this consultation paper. You can submit feedback through the Department’s Consultation hub (</w:t>
      </w:r>
      <w:hyperlink r:id="rId18" w:history="1">
        <w:r w:rsidR="0035315D" w:rsidRPr="00CF4C63">
          <w:rPr>
            <w:rStyle w:val="Hyperlink"/>
            <w:lang w:val="en-GB" w:eastAsia="en-AU"/>
          </w:rPr>
          <w:t>Have Your Say</w:t>
        </w:r>
      </w:hyperlink>
      <w:r w:rsidR="0035315D">
        <w:rPr>
          <w:lang w:val="en-GB" w:eastAsia="en-AU"/>
        </w:rPr>
        <w:t xml:space="preserve">). </w:t>
      </w:r>
    </w:p>
    <w:p w14:paraId="5A318DC0" w14:textId="7572AC2F" w:rsidR="00C26B3A" w:rsidRDefault="00757FBC" w:rsidP="009400A2">
      <w:pPr>
        <w:rPr>
          <w:lang w:val="en-GB" w:eastAsia="en-AU"/>
        </w:rPr>
      </w:pPr>
      <w:r>
        <w:rPr>
          <w:lang w:val="en-GB" w:eastAsia="en-AU"/>
        </w:rPr>
        <w:t xml:space="preserve">Submit your feedback by 5:00pm AEST </w:t>
      </w:r>
      <w:r w:rsidR="008D2704">
        <w:rPr>
          <w:lang w:val="en-GB" w:eastAsia="en-AU"/>
        </w:rPr>
        <w:t xml:space="preserve">Thursday 31 August. </w:t>
      </w:r>
      <w:r w:rsidR="00CB7D14">
        <w:rPr>
          <w:lang w:val="en-GB" w:eastAsia="en-AU"/>
        </w:rPr>
        <w:t xml:space="preserve"> </w:t>
      </w:r>
    </w:p>
    <w:p w14:paraId="1D9C70FD" w14:textId="5846429E" w:rsidR="008B089E" w:rsidRPr="002323F1" w:rsidRDefault="00C26B3A" w:rsidP="009400A2">
      <w:pPr>
        <w:rPr>
          <w:u w:val="single"/>
          <w:lang w:val="en-GB" w:eastAsia="en-AU"/>
        </w:rPr>
      </w:pPr>
      <w:r w:rsidRPr="002323F1">
        <w:rPr>
          <w:lang w:val="en-GB" w:eastAsia="en-AU"/>
        </w:rPr>
        <w:t>The Department will</w:t>
      </w:r>
      <w:r>
        <w:rPr>
          <w:lang w:val="en-GB" w:eastAsia="en-AU"/>
        </w:rPr>
        <w:t xml:space="preserve"> also</w:t>
      </w:r>
      <w:r w:rsidRPr="002323F1">
        <w:rPr>
          <w:lang w:val="en-GB" w:eastAsia="en-AU"/>
        </w:rPr>
        <w:t xml:space="preserve"> conduct a series of on-line stakeholder forums </w:t>
      </w:r>
      <w:r>
        <w:rPr>
          <w:lang w:val="en-GB" w:eastAsia="en-AU"/>
        </w:rPr>
        <w:t xml:space="preserve">in </w:t>
      </w:r>
      <w:r w:rsidRPr="002323F1">
        <w:rPr>
          <w:lang w:val="en-GB" w:eastAsia="en-AU"/>
        </w:rPr>
        <w:t xml:space="preserve">August. </w:t>
      </w:r>
      <w:r>
        <w:rPr>
          <w:lang w:val="en-GB" w:eastAsia="en-AU"/>
        </w:rPr>
        <w:t>Details of these forums and consultation materials, including this paper, future papers, and any public responses to stakeholder questions, will be posted on the Department’s Consultation hub (</w:t>
      </w:r>
      <w:hyperlink r:id="rId19" w:history="1">
        <w:r w:rsidRPr="00CF4C63">
          <w:rPr>
            <w:rStyle w:val="Hyperlink"/>
            <w:lang w:val="en-GB" w:eastAsia="en-AU"/>
          </w:rPr>
          <w:t>Have Your Say</w:t>
        </w:r>
      </w:hyperlink>
      <w:r>
        <w:rPr>
          <w:lang w:val="en-GB" w:eastAsia="en-AU"/>
        </w:rPr>
        <w:t>) and Capacity Investment Scheme webpage (</w:t>
      </w:r>
      <w:hyperlink r:id="rId20" w:history="1">
        <w:r>
          <w:rPr>
            <w:rStyle w:val="Hyperlink"/>
          </w:rPr>
          <w:t>Capacity Investment Scheme | energy.gov.au</w:t>
        </w:r>
      </w:hyperlink>
      <w:r>
        <w:rPr>
          <w:lang w:val="en-GB" w:eastAsia="en-AU"/>
        </w:rPr>
        <w:t xml:space="preserve">). </w:t>
      </w:r>
    </w:p>
    <w:bookmarkEnd w:id="101"/>
    <w:p w14:paraId="0698DBAE" w14:textId="28E72E3D" w:rsidR="00EE30A3" w:rsidRDefault="00A83666" w:rsidP="00065F4B">
      <w:pPr>
        <w:pStyle w:val="Heading2"/>
        <w:keepNext/>
        <w:ind w:left="431" w:hanging="431"/>
      </w:pPr>
      <w:r>
        <w:t xml:space="preserve"> </w:t>
      </w:r>
      <w:bookmarkStart w:id="103" w:name="_Toc141783159"/>
      <w:r w:rsidR="00A07189">
        <w:t xml:space="preserve">Context of </w:t>
      </w:r>
      <w:r w:rsidR="00542772">
        <w:t>the CIS</w:t>
      </w:r>
      <w:bookmarkEnd w:id="103"/>
      <w:r w:rsidR="00DB1323">
        <w:t xml:space="preserve"> </w:t>
      </w:r>
    </w:p>
    <w:p w14:paraId="764F37E2" w14:textId="26F0519E" w:rsidR="00EA0347" w:rsidRPr="00D00BEE" w:rsidRDefault="00EA0347" w:rsidP="00D00BEE">
      <w:pPr>
        <w:rPr>
          <w:lang w:val="en-GB" w:eastAsia="en-AU"/>
        </w:rPr>
      </w:pPr>
      <w:r w:rsidRPr="00D00BEE">
        <w:rPr>
          <w:lang w:val="en-GB" w:eastAsia="en-AU"/>
        </w:rPr>
        <w:t>The Australian electricity sector is undergoing rapid transformation driven by the combined forces of decarbonisation in the face of climate change, ageing thermal generation plants</w:t>
      </w:r>
      <w:r w:rsidR="33B045B1" w:rsidRPr="4040837E">
        <w:rPr>
          <w:lang w:val="en-GB" w:eastAsia="en-AU"/>
        </w:rPr>
        <w:t xml:space="preserve"> and</w:t>
      </w:r>
      <w:r w:rsidRPr="00D00BEE">
        <w:rPr>
          <w:lang w:val="en-GB" w:eastAsia="en-AU"/>
        </w:rPr>
        <w:t xml:space="preserve"> the rapid development of clean energy technologies.</w:t>
      </w:r>
    </w:p>
    <w:p w14:paraId="581FE18B" w14:textId="77777777" w:rsidR="00EA0347" w:rsidRPr="00D00BEE" w:rsidRDefault="00EA0347" w:rsidP="00D00BEE">
      <w:pPr>
        <w:rPr>
          <w:lang w:val="en-GB" w:eastAsia="en-AU"/>
        </w:rPr>
      </w:pPr>
      <w:r w:rsidRPr="00D00BEE">
        <w:rPr>
          <w:lang w:val="en-GB" w:eastAsia="en-AU"/>
        </w:rPr>
        <w:t xml:space="preserve">Significant investment in new generation and storage capacity is required to secure a smooth transformation that ensures strong economic benefits to Australian households, businesses and communities. </w:t>
      </w:r>
    </w:p>
    <w:p w14:paraId="5A1C88DB" w14:textId="6652F71D" w:rsidR="00EA0347" w:rsidRPr="00D00BEE" w:rsidRDefault="00EA0347" w:rsidP="00D00BEE">
      <w:pPr>
        <w:rPr>
          <w:lang w:val="en-GB" w:eastAsia="en-AU"/>
        </w:rPr>
      </w:pPr>
      <w:r w:rsidRPr="00D00BEE">
        <w:rPr>
          <w:lang w:val="en-GB" w:eastAsia="en-AU"/>
        </w:rPr>
        <w:t>The CIS supports new investment in capacity by providing a long-term revenue safety-net that decreases financial risks for investors. This aims to accelerate the development of new capacity to replace capacity that is forecast to exit the market in coming years</w:t>
      </w:r>
      <w:r w:rsidR="00390171">
        <w:rPr>
          <w:lang w:val="en-GB" w:eastAsia="en-AU"/>
        </w:rPr>
        <w:t>, and meet growing demand</w:t>
      </w:r>
      <w:r w:rsidRPr="00D00BEE">
        <w:rPr>
          <w:lang w:val="en-GB" w:eastAsia="en-AU"/>
        </w:rPr>
        <w:t>.</w:t>
      </w:r>
    </w:p>
    <w:p w14:paraId="13BB20F6" w14:textId="7C1FF3CF" w:rsidR="00EA0347" w:rsidRPr="00D00BEE" w:rsidRDefault="00EA0347" w:rsidP="00D00BEE">
      <w:pPr>
        <w:rPr>
          <w:lang w:val="en-GB" w:eastAsia="en-AU"/>
        </w:rPr>
      </w:pPr>
      <w:r w:rsidRPr="00D00BEE">
        <w:rPr>
          <w:lang w:val="en-GB" w:eastAsia="en-AU"/>
        </w:rPr>
        <w:t>The CIS is not intended to alter the operation of Australia’s electricity systems or markets, but to bring forward investment and place downward pressure on electricity prices for consumers.</w:t>
      </w:r>
    </w:p>
    <w:p w14:paraId="0CEC4A52" w14:textId="3D1713C7" w:rsidR="00EA0347" w:rsidRDefault="00EA0347" w:rsidP="00D00BEE">
      <w:pPr>
        <w:rPr>
          <w:lang w:val="en-GB" w:eastAsia="en-AU"/>
        </w:rPr>
      </w:pPr>
      <w:r w:rsidRPr="00D00BEE">
        <w:rPr>
          <w:lang w:val="en-GB" w:eastAsia="en-AU"/>
        </w:rPr>
        <w:t xml:space="preserve">Delivering </w:t>
      </w:r>
      <w:r w:rsidR="006D1512">
        <w:rPr>
          <w:lang w:val="en-GB" w:eastAsia="en-AU"/>
        </w:rPr>
        <w:t xml:space="preserve">at least </w:t>
      </w:r>
      <w:r w:rsidR="00D60F8F" w:rsidRPr="00D00BEE">
        <w:rPr>
          <w:lang w:val="en-GB" w:eastAsia="en-AU"/>
        </w:rPr>
        <w:t xml:space="preserve">6 GW of clean dispatchable capacity by 2030 </w:t>
      </w:r>
      <w:r w:rsidRPr="00D00BEE">
        <w:rPr>
          <w:lang w:val="en-GB" w:eastAsia="en-AU"/>
        </w:rPr>
        <w:t>will make a significant contribution to support grid reliability and encourage the further development of renewables.</w:t>
      </w:r>
    </w:p>
    <w:p w14:paraId="1D1015D8" w14:textId="77777777" w:rsidR="00077E42" w:rsidRPr="00D00BEE" w:rsidRDefault="00077E42" w:rsidP="00D00BEE">
      <w:pPr>
        <w:rPr>
          <w:lang w:val="en-GB" w:eastAsia="en-AU"/>
        </w:rPr>
      </w:pPr>
    </w:p>
    <w:p w14:paraId="379DDFCD" w14:textId="64B12A28" w:rsidR="00FF64E7" w:rsidRDefault="00FF64E7" w:rsidP="00C676D5">
      <w:pPr>
        <w:pStyle w:val="Heading2"/>
        <w:keepNext/>
        <w:ind w:left="431" w:hanging="431"/>
      </w:pPr>
      <w:bookmarkStart w:id="104" w:name="_Toc139033044"/>
      <w:bookmarkStart w:id="105" w:name="_Toc141783160"/>
      <w:r>
        <w:t>The objectives of the CIS</w:t>
      </w:r>
      <w:bookmarkEnd w:id="104"/>
      <w:bookmarkEnd w:id="105"/>
    </w:p>
    <w:p w14:paraId="73C4476B" w14:textId="17BC3CCC" w:rsidR="00BC7F7E" w:rsidRPr="002323F1" w:rsidRDefault="00851179" w:rsidP="002323F1">
      <w:pPr>
        <w:rPr>
          <w:lang w:val="en-GB" w:eastAsia="en-AU"/>
        </w:rPr>
      </w:pPr>
      <w:r>
        <w:rPr>
          <w:noProof/>
        </w:rPr>
        <mc:AlternateContent>
          <mc:Choice Requires="wps">
            <w:drawing>
              <wp:inline distT="0" distB="0" distL="0" distR="0" wp14:anchorId="6B86AF3A" wp14:editId="79E5218D">
                <wp:extent cx="5731510" cy="723900"/>
                <wp:effectExtent l="0" t="0" r="21590" b="19050"/>
                <wp:docPr id="5" name="Rectangle: Rounded Corners 5">
                  <a:extLst xmlns:a="http://schemas.openxmlformats.org/drawingml/2006/main">
                    <a:ext uri="{FF2B5EF4-FFF2-40B4-BE49-F238E27FC236}">
                      <a16:creationId xmlns:a16="http://schemas.microsoft.com/office/drawing/2014/main" id="{8B792D71-5DF0-32C7-10BA-863D028490B8}"/>
                    </a:ext>
                  </a:extLst>
                </wp:docPr>
                <wp:cNvGraphicFramePr/>
                <a:graphic xmlns:a="http://schemas.openxmlformats.org/drawingml/2006/main">
                  <a:graphicData uri="http://schemas.microsoft.com/office/word/2010/wordprocessingShape">
                    <wps:wsp>
                      <wps:cNvSpPr/>
                      <wps:spPr>
                        <a:xfrm>
                          <a:off x="0" y="0"/>
                          <a:ext cx="5731510" cy="723900"/>
                        </a:xfrm>
                        <a:prstGeom prst="roundRect">
                          <a:avLst/>
                        </a:prstGeom>
                        <a:solidFill>
                          <a:schemeClr val="accent1">
                            <a:lumMod val="20000"/>
                            <a:lumOff val="80000"/>
                          </a:schemeClr>
                        </a:solidFill>
                        <a:ln>
                          <a:solidFill>
                            <a:srgbClr val="B6E2E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23C5F" w14:textId="77777777" w:rsidR="00851179" w:rsidRPr="00853BBB" w:rsidRDefault="00851179" w:rsidP="00851179">
                            <w:pPr>
                              <w:rPr>
                                <w:color w:val="002B49"/>
                                <w:lang w:val="en-GB" w:eastAsia="en-AU"/>
                                <w14:shadow w14:blurRad="50800" w14:dist="50800" w14:dir="5400000" w14:sx="0" w14:sy="0" w14:kx="0" w14:ky="0" w14:algn="ctr">
                                  <w14:schemeClr w14:val="tx1"/>
                                </w14:shadow>
                              </w:rPr>
                            </w:pPr>
                            <w:r w:rsidRPr="00853BBB">
                              <w:rPr>
                                <w:b/>
                                <w:bCs/>
                                <w:color w:val="002B49"/>
                                <w:lang w:val="en-GB" w:eastAsia="en-AU"/>
                                <w14:shadow w14:blurRad="50800" w14:dist="50800" w14:dir="5400000" w14:sx="0" w14:sy="0" w14:kx="0" w14:ky="0" w14:algn="ctr">
                                  <w14:schemeClr w14:val="tx1"/>
                                </w14:shadow>
                              </w:rPr>
                              <w:t>The objective of the CIS</w:t>
                            </w:r>
                            <w:r w:rsidRPr="00853BBB">
                              <w:rPr>
                                <w:color w:val="002B49"/>
                                <w:lang w:val="en-GB" w:eastAsia="en-AU"/>
                                <w14:shadow w14:blurRad="50800" w14:dist="50800" w14:dir="5400000" w14:sx="0" w14:sy="0" w14:kx="0" w14:ky="0" w14:algn="ctr">
                                  <w14:schemeClr w14:val="tx1"/>
                                </w14:shadow>
                              </w:rPr>
                              <w:t xml:space="preserve"> is to encourage new investment in clean dispatchable capacity to support reliability and reduce market volatility in Australia’s rapidly changing energy market. </w:t>
                            </w:r>
                          </w:p>
                          <w:p w14:paraId="1DC2D970" w14:textId="77777777" w:rsidR="00851179" w:rsidRPr="00853BBB" w:rsidRDefault="00851179" w:rsidP="00851179">
                            <w:pPr>
                              <w:jc w:val="center"/>
                              <w:rPr>
                                <w:color w:val="002B49"/>
                                <w:lang w:val="en-GB" w:eastAsia="en-AU"/>
                                <w14:shadow w14:blurRad="50800" w14:dist="50800" w14:dir="5400000" w14:sx="0" w14:sy="0" w14:kx="0" w14:ky="0" w14:algn="ctr">
                                  <w14:schemeClr w14:val="tx1"/>
                                </w14:shadow>
                              </w:rPr>
                            </w:pPr>
                          </w:p>
                        </w:txbxContent>
                      </wps:txbx>
                      <wps:bodyPr wrap="square" lIns="720000" rtlCol="0" anchor="ctr">
                        <a:noAutofit/>
                      </wps:bodyPr>
                    </wps:wsp>
                  </a:graphicData>
                </a:graphic>
              </wp:inline>
            </w:drawing>
          </mc:Choice>
          <mc:Fallback>
            <w:pict>
              <v:roundrect w14:anchorId="6B86AF3A" id="Rectangle: Rounded Corners 5" o:spid="_x0000_s1026" style="width:451.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" fillcolor="#deeaf6 [660]" strokecolor="#b6e2ec" strokeweight="1pt">
                <v:stroke joinstyle="miter"/>
                <v:textbox inset="20mm">
                  <w:txbxContent>
                    <w:p w14:paraId="31B23C5F" w14:textId="77777777" w:rsidR="00851179" w:rsidRPr="00853BBB" w:rsidRDefault="00851179" w:rsidP="00851179">
                      <w:pPr>
                        <w:rPr>
                          <w:color w:val="002B49"/>
                          <w:lang w:val="en-GB" w:eastAsia="en-AU"/>
                          <w14:shadow w14:blurRad="50800" w14:dist="50800" w14:dir="5400000" w14:sx="0" w14:sy="0" w14:kx="0" w14:ky="0" w14:algn="ctr">
                            <w14:schemeClr w14:val="tx1"/>
                          </w14:shadow>
                        </w:rPr>
                      </w:pPr>
                      <w:r w:rsidRPr="00853BBB">
                        <w:rPr>
                          <w:b/>
                          <w:bCs/>
                          <w:color w:val="002B49"/>
                          <w:lang w:val="en-GB" w:eastAsia="en-AU"/>
                          <w14:shadow w14:blurRad="50800" w14:dist="50800" w14:dir="5400000" w14:sx="0" w14:sy="0" w14:kx="0" w14:ky="0" w14:algn="ctr">
                            <w14:schemeClr w14:val="tx1"/>
                          </w14:shadow>
                        </w:rPr>
                        <w:t>The objective of the CIS</w:t>
                      </w:r>
                      <w:r w:rsidRPr="00853BBB">
                        <w:rPr>
                          <w:color w:val="002B49"/>
                          <w:lang w:val="en-GB" w:eastAsia="en-AU"/>
                          <w14:shadow w14:blurRad="50800" w14:dist="50800" w14:dir="5400000" w14:sx="0" w14:sy="0" w14:kx="0" w14:ky="0" w14:algn="ctr">
                            <w14:schemeClr w14:val="tx1"/>
                          </w14:shadow>
                        </w:rPr>
                        <w:t xml:space="preserve"> is to encourage new investment in clean dispatchable capacity to support reliability and reduce market volatility in Australia’s rapidly changing energy market. </w:t>
                      </w:r>
                    </w:p>
                    <w:p w14:paraId="1DC2D970" w14:textId="77777777" w:rsidR="00851179" w:rsidRPr="00853BBB" w:rsidRDefault="00851179" w:rsidP="00851179">
                      <w:pPr>
                        <w:jc w:val="center"/>
                        <w:rPr>
                          <w:color w:val="002B49"/>
                          <w:lang w:val="en-GB" w:eastAsia="en-AU"/>
                          <w14:shadow w14:blurRad="50800" w14:dist="50800" w14:dir="5400000" w14:sx="0" w14:sy="0" w14:kx="0" w14:ky="0" w14:algn="ctr">
                            <w14:schemeClr w14:val="tx1"/>
                          </w14:shadow>
                        </w:rPr>
                      </w:pPr>
                    </w:p>
                  </w:txbxContent>
                </v:textbox>
                <w10:anchorlock/>
              </v:roundrect>
            </w:pict>
          </mc:Fallback>
        </mc:AlternateContent>
      </w:r>
    </w:p>
    <w:p w14:paraId="5FE21B29" w14:textId="09FBD17D" w:rsidR="00AA320C" w:rsidRDefault="00FF64E7" w:rsidP="00EF4A29">
      <w:pPr>
        <w:rPr>
          <w:lang w:val="en-GB" w:eastAsia="en-AU"/>
        </w:rPr>
      </w:pPr>
      <w:r w:rsidRPr="002323F1">
        <w:rPr>
          <w:lang w:val="en-GB" w:eastAsia="en-AU"/>
        </w:rPr>
        <w:t xml:space="preserve">The key features of the CIS </w:t>
      </w:r>
      <w:r w:rsidR="004A7725" w:rsidRPr="002323F1">
        <w:rPr>
          <w:lang w:val="en-GB" w:eastAsia="en-AU"/>
        </w:rPr>
        <w:t xml:space="preserve">implementation will </w:t>
      </w:r>
      <w:r w:rsidRPr="002323F1">
        <w:rPr>
          <w:lang w:val="en-GB" w:eastAsia="en-AU"/>
        </w:rPr>
        <w:t>include:</w:t>
      </w:r>
    </w:p>
    <w:tbl>
      <w:tblPr>
        <w:tblStyle w:val="GridTable2-Accent1"/>
        <w:tblW w:w="9204" w:type="dxa"/>
        <w:tblLook w:val="0480" w:firstRow="0" w:lastRow="0" w:firstColumn="1" w:lastColumn="0" w:noHBand="0" w:noVBand="1"/>
      </w:tblPr>
      <w:tblGrid>
        <w:gridCol w:w="2460"/>
        <w:gridCol w:w="6744"/>
      </w:tblGrid>
      <w:tr w:rsidR="00AA320C" w14:paraId="0339FC28" w14:textId="77777777" w:rsidTr="006A706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204" w:type="dxa"/>
            <w:gridSpan w:val="2"/>
          </w:tcPr>
          <w:p w14:paraId="4A719A51" w14:textId="77777777" w:rsidR="00AA320C" w:rsidRDefault="00AA320C" w:rsidP="006A7065">
            <w:pPr>
              <w:rPr>
                <w:lang w:val="en-GB" w:eastAsia="en-AU"/>
              </w:rPr>
            </w:pPr>
            <w:r>
              <w:rPr>
                <w:lang w:val="en-GB" w:eastAsia="en-AU"/>
              </w:rPr>
              <w:t xml:space="preserve">Key features of the CIS: </w:t>
            </w:r>
          </w:p>
        </w:tc>
      </w:tr>
      <w:tr w:rsidR="00AA320C" w14:paraId="33ABEEC7" w14:textId="77777777" w:rsidTr="006A7065">
        <w:trPr>
          <w:trHeight w:val="2149"/>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628B3F21" w14:textId="77777777" w:rsidR="00AA320C" w:rsidRDefault="00AA320C" w:rsidP="006A7065">
            <w:pPr>
              <w:jc w:val="center"/>
              <w:rPr>
                <w:b w:val="0"/>
                <w:bCs w:val="0"/>
                <w:lang w:val="en-GB" w:eastAsia="en-AU"/>
              </w:rPr>
            </w:pPr>
            <w:r>
              <w:rPr>
                <w:noProof/>
              </w:rPr>
              <w:drawing>
                <wp:anchor distT="0" distB="0" distL="114300" distR="114300" simplePos="0" relativeHeight="251658240" behindDoc="0" locked="0" layoutInCell="1" allowOverlap="1" wp14:anchorId="1881BC2D" wp14:editId="410A0450">
                  <wp:simplePos x="0" y="0"/>
                  <wp:positionH relativeFrom="column">
                    <wp:posOffset>422910</wp:posOffset>
                  </wp:positionH>
                  <wp:positionV relativeFrom="paragraph">
                    <wp:posOffset>-83820</wp:posOffset>
                  </wp:positionV>
                  <wp:extent cx="622935" cy="611505"/>
                  <wp:effectExtent l="0" t="0" r="5715" b="0"/>
                  <wp:wrapNone/>
                  <wp:docPr id="34" name="Graphic 34">
                    <a:extLst xmlns:a="http://schemas.openxmlformats.org/drawingml/2006/main">
                      <a:ext uri="{FF2B5EF4-FFF2-40B4-BE49-F238E27FC236}">
                        <a16:creationId xmlns:a16="http://schemas.microsoft.com/office/drawing/2014/main" id="{B6C8A0FF-0CD8-683F-7702-26AD85BE6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B6C8A0FF-0CD8-683F-7702-26AD85BE6CD3}"/>
                              </a:ext>
                            </a:extLst>
                          </pic:cNvPr>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622935" cy="611505"/>
                          </a:xfrm>
                          <a:prstGeom prst="rect">
                            <a:avLst/>
                          </a:prstGeom>
                        </pic:spPr>
                      </pic:pic>
                    </a:graphicData>
                  </a:graphic>
                  <wp14:sizeRelH relativeFrom="margin">
                    <wp14:pctWidth>0</wp14:pctWidth>
                  </wp14:sizeRelH>
                  <wp14:sizeRelV relativeFrom="margin">
                    <wp14:pctHeight>0</wp14:pctHeight>
                  </wp14:sizeRelV>
                </wp:anchor>
              </w:drawing>
            </w:r>
          </w:p>
          <w:p w14:paraId="1301C277" w14:textId="77777777" w:rsidR="00AA320C" w:rsidRDefault="00AA320C" w:rsidP="006A7065">
            <w:pPr>
              <w:jc w:val="center"/>
              <w:rPr>
                <w:b w:val="0"/>
                <w:bCs w:val="0"/>
                <w:lang w:val="en-GB" w:eastAsia="en-AU"/>
              </w:rPr>
            </w:pPr>
          </w:p>
          <w:p w14:paraId="458E01CF" w14:textId="77777777" w:rsidR="00AA320C" w:rsidRDefault="00AA320C" w:rsidP="006A7065">
            <w:pPr>
              <w:jc w:val="center"/>
              <w:rPr>
                <w:b w:val="0"/>
                <w:bCs w:val="0"/>
                <w:lang w:val="en-GB" w:eastAsia="en-AU"/>
              </w:rPr>
            </w:pPr>
          </w:p>
          <w:p w14:paraId="73E82CFA" w14:textId="4B04C644" w:rsidR="00AA320C" w:rsidRDefault="00323F99" w:rsidP="006A7065">
            <w:pPr>
              <w:jc w:val="center"/>
              <w:rPr>
                <w:lang w:val="en-GB" w:eastAsia="en-AU"/>
              </w:rPr>
            </w:pPr>
            <w:r>
              <w:rPr>
                <w:lang w:val="en-GB" w:eastAsia="en-AU"/>
              </w:rPr>
              <w:t>Transparency</w:t>
            </w:r>
          </w:p>
        </w:tc>
        <w:tc>
          <w:tcPr>
            <w:tcW w:w="6743" w:type="dxa"/>
            <w:vAlign w:val="center"/>
          </w:tcPr>
          <w:p w14:paraId="2D12574D" w14:textId="77777777" w:rsidR="00AA320C" w:rsidRDefault="00AA320C" w:rsidP="006A7065">
            <w:pPr>
              <w:cnfStyle w:val="000000000000" w:firstRow="0" w:lastRow="0" w:firstColumn="0" w:lastColumn="0" w:oddVBand="0" w:evenVBand="0" w:oddHBand="0" w:evenHBand="0" w:firstRowFirstColumn="0" w:firstRowLastColumn="0" w:lastRowFirstColumn="0" w:lastRowLastColumn="0"/>
              <w:rPr>
                <w:lang w:val="en-GB" w:eastAsia="en-AU"/>
              </w:rPr>
            </w:pPr>
            <w:r>
              <w:rPr>
                <w:lang w:val="en-GB" w:eastAsia="en-AU"/>
              </w:rPr>
              <w:t xml:space="preserve">Long-term forecasting </w:t>
            </w:r>
            <w:r w:rsidRPr="00B0563F">
              <w:rPr>
                <w:lang w:val="en-GB" w:eastAsia="en-AU"/>
              </w:rPr>
              <w:t>of the required generation and storage buildout in each Australian jurisdiction, which provides an objective method for establishing capacity requirements to support system reliability, targets for tenders, and a stable environment for investors. Forecasting for the CIS will consider the pace of power station exits, technology costs and adoption, transmission build-out, and behavioural changes in both industrial and household consumer demand.</w:t>
            </w:r>
            <w:r w:rsidRPr="00342C51">
              <w:rPr>
                <w:noProof/>
              </w:rPr>
              <w:t xml:space="preserve"> </w:t>
            </w:r>
          </w:p>
        </w:tc>
      </w:tr>
      <w:tr w:rsidR="00AA320C" w14:paraId="355F4981" w14:textId="77777777" w:rsidTr="006A7065">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65F41EE8" w14:textId="77777777" w:rsidR="00AA320C" w:rsidRDefault="00AA320C" w:rsidP="006A7065">
            <w:pPr>
              <w:jc w:val="center"/>
              <w:rPr>
                <w:b w:val="0"/>
                <w:bCs w:val="0"/>
                <w:lang w:val="en-GB" w:eastAsia="en-AU"/>
              </w:rPr>
            </w:pPr>
            <w:r>
              <w:rPr>
                <w:noProof/>
              </w:rPr>
              <w:drawing>
                <wp:anchor distT="0" distB="0" distL="114300" distR="114300" simplePos="0" relativeHeight="251658241" behindDoc="0" locked="0" layoutInCell="1" allowOverlap="1" wp14:anchorId="1C85E685" wp14:editId="57E92DB1">
                  <wp:simplePos x="0" y="0"/>
                  <wp:positionH relativeFrom="column">
                    <wp:posOffset>527050</wp:posOffset>
                  </wp:positionH>
                  <wp:positionV relativeFrom="paragraph">
                    <wp:posOffset>13970</wp:posOffset>
                  </wp:positionV>
                  <wp:extent cx="386080" cy="490220"/>
                  <wp:effectExtent l="0" t="0" r="0" b="5080"/>
                  <wp:wrapNone/>
                  <wp:docPr id="36" name="Graphic 36">
                    <a:extLst xmlns:a="http://schemas.openxmlformats.org/drawingml/2006/main">
                      <a:ext uri="{FF2B5EF4-FFF2-40B4-BE49-F238E27FC236}">
                        <a16:creationId xmlns:a16="http://schemas.microsoft.com/office/drawing/2014/main" id="{6679509A-E245-5B2C-6242-BED6ED25A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5">
                            <a:extLst>
                              <a:ext uri="{FF2B5EF4-FFF2-40B4-BE49-F238E27FC236}">
                                <a16:creationId xmlns:a16="http://schemas.microsoft.com/office/drawing/2014/main" id="{6679509A-E245-5B2C-6242-BED6ED25A06E}"/>
                              </a:ext>
                            </a:extLst>
                          </pic:cNvPr>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386080" cy="490220"/>
                          </a:xfrm>
                          <a:prstGeom prst="rect">
                            <a:avLst/>
                          </a:prstGeom>
                        </pic:spPr>
                      </pic:pic>
                    </a:graphicData>
                  </a:graphic>
                  <wp14:sizeRelH relativeFrom="margin">
                    <wp14:pctWidth>0</wp14:pctWidth>
                  </wp14:sizeRelH>
                  <wp14:sizeRelV relativeFrom="margin">
                    <wp14:pctHeight>0</wp14:pctHeight>
                  </wp14:sizeRelV>
                </wp:anchor>
              </w:drawing>
            </w:r>
          </w:p>
          <w:p w14:paraId="6152A995" w14:textId="77777777" w:rsidR="00AA320C" w:rsidRDefault="00AA320C" w:rsidP="006A7065">
            <w:pPr>
              <w:jc w:val="center"/>
              <w:rPr>
                <w:b w:val="0"/>
                <w:bCs w:val="0"/>
                <w:lang w:val="en-GB" w:eastAsia="en-AU"/>
              </w:rPr>
            </w:pPr>
          </w:p>
          <w:p w14:paraId="3B40AA45" w14:textId="77777777" w:rsidR="00AA320C" w:rsidRDefault="00AA320C" w:rsidP="006A7065">
            <w:pPr>
              <w:jc w:val="center"/>
              <w:rPr>
                <w:b w:val="0"/>
                <w:bCs w:val="0"/>
                <w:lang w:val="en-GB" w:eastAsia="en-AU"/>
              </w:rPr>
            </w:pPr>
          </w:p>
          <w:p w14:paraId="3AD0FD8C" w14:textId="682235C9" w:rsidR="00AA320C" w:rsidRDefault="00906E69" w:rsidP="006A7065">
            <w:pPr>
              <w:jc w:val="center"/>
              <w:rPr>
                <w:lang w:val="en-GB" w:eastAsia="en-AU"/>
              </w:rPr>
            </w:pPr>
            <w:r>
              <w:rPr>
                <w:lang w:val="en-GB" w:eastAsia="en-AU"/>
              </w:rPr>
              <w:t>Reliability</w:t>
            </w:r>
          </w:p>
        </w:tc>
        <w:tc>
          <w:tcPr>
            <w:tcW w:w="6743" w:type="dxa"/>
            <w:vAlign w:val="center"/>
          </w:tcPr>
          <w:p w14:paraId="7E9BAD96" w14:textId="77777777" w:rsidR="00AA320C" w:rsidRDefault="00AA320C" w:rsidP="006A7065">
            <w:pPr>
              <w:cnfStyle w:val="000000100000" w:firstRow="0" w:lastRow="0" w:firstColumn="0" w:lastColumn="0" w:oddVBand="0" w:evenVBand="0" w:oddHBand="1" w:evenHBand="0" w:firstRowFirstColumn="0" w:firstRowLastColumn="0" w:lastRowFirstColumn="0" w:lastRowLastColumn="0"/>
              <w:rPr>
                <w:lang w:val="en-GB" w:eastAsia="en-AU"/>
              </w:rPr>
            </w:pPr>
            <w:r w:rsidRPr="00C76A9E">
              <w:rPr>
                <w:lang w:val="en-GB" w:eastAsia="en-AU"/>
              </w:rPr>
              <w:t>Competitive tenders to meet capacity targets. The tenders will be predictable and will provide a competitive mechanism to select the lowest cost projects that best meet capacity and reliability requirements.</w:t>
            </w:r>
          </w:p>
        </w:tc>
      </w:tr>
      <w:tr w:rsidR="00AA320C" w14:paraId="6D5F54C1" w14:textId="77777777" w:rsidTr="006A7065">
        <w:trPr>
          <w:trHeight w:val="1361"/>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2393B700" w14:textId="6A099491" w:rsidR="00AA320C" w:rsidRDefault="005C774F" w:rsidP="006A7065">
            <w:pPr>
              <w:jc w:val="center"/>
              <w:rPr>
                <w:b w:val="0"/>
                <w:bCs w:val="0"/>
                <w:lang w:val="en-GB" w:eastAsia="en-AU"/>
              </w:rPr>
            </w:pPr>
            <w:r>
              <w:rPr>
                <w:noProof/>
              </w:rPr>
              <w:drawing>
                <wp:anchor distT="0" distB="0" distL="114300" distR="114300" simplePos="0" relativeHeight="251658242" behindDoc="0" locked="0" layoutInCell="1" allowOverlap="1" wp14:anchorId="278AD40A" wp14:editId="2B7B2887">
                  <wp:simplePos x="0" y="0"/>
                  <wp:positionH relativeFrom="column">
                    <wp:posOffset>527685</wp:posOffset>
                  </wp:positionH>
                  <wp:positionV relativeFrom="paragraph">
                    <wp:posOffset>141605</wp:posOffset>
                  </wp:positionV>
                  <wp:extent cx="325755" cy="502285"/>
                  <wp:effectExtent l="0" t="0" r="0" b="0"/>
                  <wp:wrapNone/>
                  <wp:docPr id="37" name="Graphic 37">
                    <a:extLst xmlns:a="http://schemas.openxmlformats.org/drawingml/2006/main">
                      <a:ext uri="{FF2B5EF4-FFF2-40B4-BE49-F238E27FC236}">
                        <a16:creationId xmlns:a16="http://schemas.microsoft.com/office/drawing/2014/main" id="{806D694D-0295-0ACA-E350-DDCA8B3CF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a:extLst>
                              <a:ext uri="{FF2B5EF4-FFF2-40B4-BE49-F238E27FC236}">
                                <a16:creationId xmlns:a16="http://schemas.microsoft.com/office/drawing/2014/main" id="{806D694D-0295-0ACA-E350-DDCA8B3CF751}"/>
                              </a:ext>
                            </a:extLst>
                          </pic:cNvPr>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0" y="0"/>
                            <a:ext cx="325755" cy="502285"/>
                          </a:xfrm>
                          <a:prstGeom prst="rect">
                            <a:avLst/>
                          </a:prstGeom>
                        </pic:spPr>
                      </pic:pic>
                    </a:graphicData>
                  </a:graphic>
                  <wp14:sizeRelH relativeFrom="margin">
                    <wp14:pctWidth>0</wp14:pctWidth>
                  </wp14:sizeRelH>
                  <wp14:sizeRelV relativeFrom="margin">
                    <wp14:pctHeight>0</wp14:pctHeight>
                  </wp14:sizeRelV>
                </wp:anchor>
              </w:drawing>
            </w:r>
          </w:p>
          <w:p w14:paraId="74E04C5F" w14:textId="77777777" w:rsidR="00AA320C" w:rsidRDefault="00AA320C" w:rsidP="006A7065">
            <w:pPr>
              <w:jc w:val="center"/>
              <w:rPr>
                <w:b w:val="0"/>
                <w:bCs w:val="0"/>
                <w:lang w:val="en-GB" w:eastAsia="en-AU"/>
              </w:rPr>
            </w:pPr>
          </w:p>
          <w:p w14:paraId="69EE35DA" w14:textId="77777777" w:rsidR="002F7E85" w:rsidRDefault="002F7E85" w:rsidP="006A7065">
            <w:pPr>
              <w:jc w:val="center"/>
              <w:rPr>
                <w:b w:val="0"/>
                <w:bCs w:val="0"/>
                <w:lang w:val="en-GB" w:eastAsia="en-AU"/>
              </w:rPr>
            </w:pPr>
          </w:p>
          <w:p w14:paraId="5A6C893F" w14:textId="77777777" w:rsidR="002F7E85" w:rsidRDefault="002F7E85" w:rsidP="006A7065">
            <w:pPr>
              <w:jc w:val="center"/>
              <w:rPr>
                <w:b w:val="0"/>
                <w:bCs w:val="0"/>
                <w:lang w:val="en-GB" w:eastAsia="en-AU"/>
              </w:rPr>
            </w:pPr>
          </w:p>
          <w:p w14:paraId="5BDEBC64" w14:textId="3AC872CA" w:rsidR="00AA320C" w:rsidRDefault="00E17624" w:rsidP="005C774F">
            <w:pPr>
              <w:jc w:val="center"/>
              <w:rPr>
                <w:lang w:val="en-GB" w:eastAsia="en-AU"/>
              </w:rPr>
            </w:pPr>
            <w:r>
              <w:rPr>
                <w:lang w:val="en-GB" w:eastAsia="en-AU"/>
              </w:rPr>
              <w:t>Stimulating investment</w:t>
            </w:r>
          </w:p>
        </w:tc>
        <w:tc>
          <w:tcPr>
            <w:tcW w:w="6743" w:type="dxa"/>
            <w:vAlign w:val="center"/>
          </w:tcPr>
          <w:p w14:paraId="0AEE271E" w14:textId="77777777" w:rsidR="00AA320C" w:rsidRDefault="00AA320C" w:rsidP="006A7065">
            <w:pPr>
              <w:cnfStyle w:val="000000000000" w:firstRow="0" w:lastRow="0" w:firstColumn="0" w:lastColumn="0" w:oddVBand="0" w:evenVBand="0" w:oddHBand="0" w:evenHBand="0" w:firstRowFirstColumn="0" w:firstRowLastColumn="0" w:lastRowFirstColumn="0" w:lastRowLastColumn="0"/>
              <w:rPr>
                <w:lang w:val="en-GB" w:eastAsia="en-AU"/>
              </w:rPr>
            </w:pPr>
            <w:r w:rsidRPr="00C76A9E">
              <w:rPr>
                <w:lang w:val="en-GB" w:eastAsia="en-AU"/>
              </w:rPr>
              <w:t>Financial underwriting offered to projects selected by the tenders. The financial underwriting will provide long-term certainty for financiers and investors, and caps that allow upside profits to be shared with taxpayers.</w:t>
            </w:r>
          </w:p>
        </w:tc>
      </w:tr>
      <w:tr w:rsidR="00AA320C" w14:paraId="6A1A92E1" w14:textId="77777777" w:rsidTr="006A706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460" w:type="dxa"/>
            <w:vAlign w:val="center"/>
          </w:tcPr>
          <w:p w14:paraId="7D436C6A" w14:textId="13F99D05" w:rsidR="00AA320C" w:rsidRDefault="00AA320C" w:rsidP="006A7065">
            <w:pPr>
              <w:jc w:val="center"/>
              <w:rPr>
                <w:b w:val="0"/>
                <w:bCs w:val="0"/>
                <w:lang w:val="en-GB" w:eastAsia="en-AU"/>
              </w:rPr>
            </w:pPr>
            <w:r>
              <w:rPr>
                <w:noProof/>
              </w:rPr>
              <w:drawing>
                <wp:anchor distT="0" distB="0" distL="114300" distR="114300" simplePos="0" relativeHeight="251658243" behindDoc="0" locked="0" layoutInCell="1" allowOverlap="1" wp14:anchorId="4709FCE3" wp14:editId="65377218">
                  <wp:simplePos x="0" y="0"/>
                  <wp:positionH relativeFrom="column">
                    <wp:posOffset>415925</wp:posOffset>
                  </wp:positionH>
                  <wp:positionV relativeFrom="paragraph">
                    <wp:posOffset>-21590</wp:posOffset>
                  </wp:positionV>
                  <wp:extent cx="528955" cy="342265"/>
                  <wp:effectExtent l="0" t="0" r="4445" b="635"/>
                  <wp:wrapNone/>
                  <wp:docPr id="38" name="Graphic 38">
                    <a:extLst xmlns:a="http://schemas.openxmlformats.org/drawingml/2006/main">
                      <a:ext uri="{FF2B5EF4-FFF2-40B4-BE49-F238E27FC236}">
                        <a16:creationId xmlns:a16="http://schemas.microsoft.com/office/drawing/2014/main" id="{F6E3BD5A-3681-0E05-8BAD-A5EAB58557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7">
                            <a:extLst>
                              <a:ext uri="{FF2B5EF4-FFF2-40B4-BE49-F238E27FC236}">
                                <a16:creationId xmlns:a16="http://schemas.microsoft.com/office/drawing/2014/main" id="{F6E3BD5A-3681-0E05-8BAD-A5EAB58557F8}"/>
                              </a:ext>
                            </a:extLst>
                          </pic:cNvPr>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0" y="0"/>
                            <a:ext cx="528955" cy="342265"/>
                          </a:xfrm>
                          <a:prstGeom prst="rect">
                            <a:avLst/>
                          </a:prstGeom>
                        </pic:spPr>
                      </pic:pic>
                    </a:graphicData>
                  </a:graphic>
                  <wp14:sizeRelH relativeFrom="margin">
                    <wp14:pctWidth>0</wp14:pctWidth>
                  </wp14:sizeRelH>
                  <wp14:sizeRelV relativeFrom="margin">
                    <wp14:pctHeight>0</wp14:pctHeight>
                  </wp14:sizeRelV>
                </wp:anchor>
              </w:drawing>
            </w:r>
          </w:p>
          <w:p w14:paraId="1EA32BE6" w14:textId="77777777" w:rsidR="00AA320C" w:rsidRDefault="00AA320C" w:rsidP="006A7065">
            <w:pPr>
              <w:jc w:val="center"/>
              <w:rPr>
                <w:b w:val="0"/>
                <w:bCs w:val="0"/>
                <w:lang w:val="en-GB" w:eastAsia="en-AU"/>
              </w:rPr>
            </w:pPr>
          </w:p>
          <w:p w14:paraId="74D7E71A" w14:textId="247AB313" w:rsidR="00AA320C" w:rsidRDefault="005C774F" w:rsidP="006A7065">
            <w:pPr>
              <w:jc w:val="center"/>
              <w:rPr>
                <w:lang w:val="en-GB" w:eastAsia="en-AU"/>
              </w:rPr>
            </w:pPr>
            <w:r>
              <w:rPr>
                <w:lang w:val="en-GB" w:eastAsia="en-AU"/>
              </w:rPr>
              <w:t>Affordability</w:t>
            </w:r>
          </w:p>
        </w:tc>
        <w:tc>
          <w:tcPr>
            <w:tcW w:w="6743" w:type="dxa"/>
            <w:vAlign w:val="center"/>
          </w:tcPr>
          <w:p w14:paraId="19C9B467" w14:textId="1234AFEE" w:rsidR="00AA320C" w:rsidRDefault="00AA320C" w:rsidP="006A7065">
            <w:pPr>
              <w:cnfStyle w:val="000000100000" w:firstRow="0" w:lastRow="0" w:firstColumn="0" w:lastColumn="0" w:oddVBand="0" w:evenVBand="0" w:oddHBand="1" w:evenHBand="0" w:firstRowFirstColumn="0" w:firstRowLastColumn="0" w:lastRowFirstColumn="0" w:lastRowLastColumn="0"/>
              <w:rPr>
                <w:lang w:val="en-GB" w:eastAsia="en-AU"/>
              </w:rPr>
            </w:pPr>
            <w:r w:rsidRPr="00211AF7">
              <w:rPr>
                <w:lang w:val="en-GB" w:eastAsia="en-AU"/>
              </w:rPr>
              <w:t>Costs being borne</w:t>
            </w:r>
            <w:r w:rsidRPr="00C76A9E">
              <w:rPr>
                <w:b/>
                <w:bCs/>
                <w:lang w:val="en-GB" w:eastAsia="en-AU"/>
              </w:rPr>
              <w:t xml:space="preserve"> </w:t>
            </w:r>
            <w:r w:rsidRPr="00C76A9E">
              <w:rPr>
                <w:lang w:val="en-GB" w:eastAsia="en-AU"/>
              </w:rPr>
              <w:t>by the Commonwealth, and which are therefore not passed on to electricity consumers, including households and industry.</w:t>
            </w:r>
          </w:p>
        </w:tc>
      </w:tr>
    </w:tbl>
    <w:p w14:paraId="38A333F8" w14:textId="77777777" w:rsidR="00AA320C" w:rsidRPr="00AA320C" w:rsidRDefault="00AA320C" w:rsidP="00EF4A29">
      <w:pPr>
        <w:rPr>
          <w:lang w:val="en-GB" w:eastAsia="en-AU"/>
        </w:rPr>
      </w:pPr>
    </w:p>
    <w:p w14:paraId="1AABB906" w14:textId="575D73C2" w:rsidR="007E2B4C" w:rsidRPr="00065F4B" w:rsidRDefault="00FF64E7" w:rsidP="00C676D5">
      <w:pPr>
        <w:pStyle w:val="Heading2"/>
        <w:keepNext/>
        <w:ind w:left="431" w:hanging="431"/>
      </w:pPr>
      <w:bookmarkStart w:id="106" w:name="_Toc141783161"/>
      <w:r>
        <w:t>Complementar</w:t>
      </w:r>
      <w:r w:rsidR="02EE4700">
        <w:t>it</w:t>
      </w:r>
      <w:r>
        <w:t>y with existing Australian electricity policies</w:t>
      </w:r>
      <w:bookmarkEnd w:id="106"/>
    </w:p>
    <w:p w14:paraId="6D44D24D" w14:textId="7956CB34" w:rsidR="00AC0D33" w:rsidRDefault="007E2B4C" w:rsidP="00AC0D33">
      <w:pPr>
        <w:rPr>
          <w:lang w:val="en-GB" w:eastAsia="en-AU"/>
        </w:rPr>
      </w:pPr>
      <w:r>
        <w:rPr>
          <w:lang w:val="en-GB" w:eastAsia="en-AU"/>
        </w:rPr>
        <w:t>The CIS seeks to ensure that new capacity enters Australian energy markets</w:t>
      </w:r>
      <w:r w:rsidR="001A436B">
        <w:rPr>
          <w:lang w:val="en-GB" w:eastAsia="en-AU"/>
        </w:rPr>
        <w:t xml:space="preserve"> with limited to no impact</w:t>
      </w:r>
      <w:r w:rsidR="004928C2">
        <w:rPr>
          <w:lang w:val="en-GB" w:eastAsia="en-AU"/>
        </w:rPr>
        <w:t xml:space="preserve"> on electricity market functions</w:t>
      </w:r>
      <w:r w:rsidR="00AB718F">
        <w:rPr>
          <w:lang w:val="en-GB" w:eastAsia="en-AU"/>
        </w:rPr>
        <w:t xml:space="preserve"> and associated rules</w:t>
      </w:r>
      <w:r w:rsidR="00E670D3">
        <w:rPr>
          <w:lang w:val="en-GB" w:eastAsia="en-AU"/>
        </w:rPr>
        <w:t>,</w:t>
      </w:r>
      <w:r w:rsidR="004928C2">
        <w:rPr>
          <w:lang w:val="en-GB" w:eastAsia="en-AU"/>
        </w:rPr>
        <w:t xml:space="preserve"> </w:t>
      </w:r>
      <w:r w:rsidR="00AB718F">
        <w:rPr>
          <w:lang w:val="en-GB" w:eastAsia="en-AU"/>
        </w:rPr>
        <w:t xml:space="preserve">while </w:t>
      </w:r>
      <w:r>
        <w:rPr>
          <w:lang w:val="en-GB" w:eastAsia="en-AU"/>
        </w:rPr>
        <w:t>support</w:t>
      </w:r>
      <w:r w:rsidR="00AB718F">
        <w:rPr>
          <w:lang w:val="en-GB" w:eastAsia="en-AU"/>
        </w:rPr>
        <w:t>ing</w:t>
      </w:r>
      <w:r>
        <w:rPr>
          <w:lang w:val="en-GB" w:eastAsia="en-AU"/>
        </w:rPr>
        <w:t xml:space="preserve"> reliability and affordability. </w:t>
      </w:r>
      <w:r w:rsidR="00AC0D33">
        <w:rPr>
          <w:lang w:val="en-GB" w:eastAsia="en-AU"/>
        </w:rPr>
        <w:t xml:space="preserve">The CIS is intended to support and facilitate Australia’s existing suite of Commonwealth and jurisdictional energy policies and markets. </w:t>
      </w:r>
    </w:p>
    <w:p w14:paraId="4A324F9A" w14:textId="0810EA8B" w:rsidR="00605CAC" w:rsidRDefault="007E2B4C" w:rsidP="00FF64E7">
      <w:pPr>
        <w:rPr>
          <w:lang w:val="en-GB" w:eastAsia="en-AU"/>
        </w:rPr>
      </w:pPr>
      <w:r>
        <w:rPr>
          <w:lang w:val="en-GB" w:eastAsia="en-AU"/>
        </w:rPr>
        <w:t xml:space="preserve">The </w:t>
      </w:r>
      <w:r w:rsidR="00C86E65">
        <w:rPr>
          <w:lang w:val="en-GB" w:eastAsia="en-AU"/>
        </w:rPr>
        <w:t>CIS underwriting contract</w:t>
      </w:r>
      <w:r w:rsidR="00123E48">
        <w:rPr>
          <w:lang w:val="en-GB" w:eastAsia="en-AU"/>
        </w:rPr>
        <w:t>s</w:t>
      </w:r>
      <w:r w:rsidR="00C86E65">
        <w:rPr>
          <w:lang w:val="en-GB" w:eastAsia="en-AU"/>
        </w:rPr>
        <w:t xml:space="preserve"> will require </w:t>
      </w:r>
      <w:r w:rsidR="00FD645C">
        <w:rPr>
          <w:lang w:val="en-GB" w:eastAsia="en-AU"/>
        </w:rPr>
        <w:t xml:space="preserve">successful </w:t>
      </w:r>
      <w:r w:rsidR="00C86E65">
        <w:rPr>
          <w:lang w:val="en-GB" w:eastAsia="en-AU"/>
        </w:rPr>
        <w:t xml:space="preserve">projects to participate in </w:t>
      </w:r>
      <w:r w:rsidR="00C94D1E">
        <w:rPr>
          <w:lang w:val="en-GB" w:eastAsia="en-AU"/>
        </w:rPr>
        <w:t>Aust</w:t>
      </w:r>
      <w:r w:rsidR="001F2FE5">
        <w:rPr>
          <w:lang w:val="en-GB" w:eastAsia="en-AU"/>
        </w:rPr>
        <w:t xml:space="preserve">ralia’s </w:t>
      </w:r>
      <w:r w:rsidR="00FD645C">
        <w:rPr>
          <w:lang w:val="en-GB" w:eastAsia="en-AU"/>
        </w:rPr>
        <w:t xml:space="preserve">electricity </w:t>
      </w:r>
      <w:r w:rsidR="00C86E65">
        <w:rPr>
          <w:lang w:val="en-GB" w:eastAsia="en-AU"/>
        </w:rPr>
        <w:t>markets</w:t>
      </w:r>
      <w:r w:rsidR="002A1490">
        <w:rPr>
          <w:lang w:val="en-GB" w:eastAsia="en-AU"/>
        </w:rPr>
        <w:t>, ensuring that they add new dispatchable generation and storage</w:t>
      </w:r>
      <w:r w:rsidR="00C86E65">
        <w:rPr>
          <w:lang w:val="en-GB" w:eastAsia="en-AU"/>
        </w:rPr>
        <w:t xml:space="preserve">. There </w:t>
      </w:r>
      <w:r w:rsidR="005E1288">
        <w:rPr>
          <w:lang w:val="en-GB" w:eastAsia="en-AU"/>
        </w:rPr>
        <w:t>are likely to</w:t>
      </w:r>
      <w:r w:rsidR="00C86E65">
        <w:rPr>
          <w:lang w:val="en-GB" w:eastAsia="en-AU"/>
        </w:rPr>
        <w:t xml:space="preserve"> be minimal additional requirements imposed on CIS projects and these </w:t>
      </w:r>
      <w:r w:rsidR="00777A04">
        <w:rPr>
          <w:lang w:val="en-GB" w:eastAsia="en-AU"/>
        </w:rPr>
        <w:t xml:space="preserve">would be </w:t>
      </w:r>
      <w:r w:rsidR="00B212CA">
        <w:rPr>
          <w:lang w:val="en-GB" w:eastAsia="en-AU"/>
        </w:rPr>
        <w:t xml:space="preserve">limited to emergencies such as </w:t>
      </w:r>
      <w:r w:rsidR="00C86E65">
        <w:rPr>
          <w:lang w:val="en-GB" w:eastAsia="en-AU"/>
        </w:rPr>
        <w:t xml:space="preserve">Lack of Reserve (LOR) level 3 events. </w:t>
      </w:r>
    </w:p>
    <w:p w14:paraId="25099372" w14:textId="4FCC0F25" w:rsidR="007E2B4C" w:rsidRDefault="007E2B4C" w:rsidP="00FF64E7">
      <w:pPr>
        <w:rPr>
          <w:lang w:val="en-GB" w:eastAsia="en-AU"/>
        </w:rPr>
      </w:pPr>
      <w:r>
        <w:rPr>
          <w:lang w:val="en-GB" w:eastAsia="en-AU"/>
        </w:rPr>
        <w:t xml:space="preserve">Changes to the National Electricity Rules (NER) that happen over time will apply to CIS projects. For example, changes to the market price cap or access reform initiatives being contemplated by the </w:t>
      </w:r>
      <w:r w:rsidR="00E40696">
        <w:rPr>
          <w:lang w:val="en-GB" w:eastAsia="en-AU"/>
        </w:rPr>
        <w:lastRenderedPageBreak/>
        <w:t>Australian Ener</w:t>
      </w:r>
      <w:r w:rsidR="00EF32BD">
        <w:rPr>
          <w:lang w:val="en-GB" w:eastAsia="en-AU"/>
        </w:rPr>
        <w:t>gy Market Commission (</w:t>
      </w:r>
      <w:r>
        <w:rPr>
          <w:lang w:val="en-GB" w:eastAsia="en-AU"/>
        </w:rPr>
        <w:t>AEMC</w:t>
      </w:r>
      <w:r w:rsidR="00EF32BD">
        <w:rPr>
          <w:lang w:val="en-GB" w:eastAsia="en-AU"/>
        </w:rPr>
        <w:t>)</w:t>
      </w:r>
      <w:r>
        <w:rPr>
          <w:lang w:val="en-GB" w:eastAsia="en-AU"/>
        </w:rPr>
        <w:t xml:space="preserve"> will apply to projects supported by the CIS. Like all generators, CIS projects will remain subject to AEMO directions under the NER.</w:t>
      </w:r>
    </w:p>
    <w:p w14:paraId="01DD8DA2" w14:textId="5CFA14C0" w:rsidR="006A1A06" w:rsidRDefault="006A1A06" w:rsidP="002323F1">
      <w:r w:rsidRPr="002323F1">
        <w:t xml:space="preserve">The CIS will work in unison with other Commonwealth, state and territory government policies and actions by business and communities to underpin Australia’s transformation to net zero emissions by 2050 and 82 per cent renewable energy in the </w:t>
      </w:r>
      <w:r w:rsidR="00BD46A3">
        <w:t xml:space="preserve">on-grid </w:t>
      </w:r>
      <w:r w:rsidRPr="002323F1">
        <w:t xml:space="preserve">electricity sector by 2030. This includes integration with delivery of new transmission infrastructure, including through the Commonwealth’s $20 billion Rewiring the Nation program. </w:t>
      </w:r>
    </w:p>
    <w:p w14:paraId="544A8FB3" w14:textId="36D7941F" w:rsidR="009903EE" w:rsidRDefault="00B271CA" w:rsidP="000078CD">
      <w:pPr>
        <w:rPr>
          <w:lang w:val="en-GB" w:eastAsia="en-AU"/>
        </w:rPr>
      </w:pPr>
      <w:r>
        <w:rPr>
          <w:lang w:val="en-GB" w:eastAsia="en-AU"/>
        </w:rPr>
        <w:t xml:space="preserve">Certain </w:t>
      </w:r>
      <w:r w:rsidR="00465213">
        <w:rPr>
          <w:lang w:val="en-GB" w:eastAsia="en-AU"/>
        </w:rPr>
        <w:t>states and territories have existing schemes in place</w:t>
      </w:r>
      <w:r w:rsidR="00984177">
        <w:rPr>
          <w:lang w:val="en-GB" w:eastAsia="en-AU"/>
        </w:rPr>
        <w:t>,</w:t>
      </w:r>
      <w:r w:rsidR="003971B2">
        <w:rPr>
          <w:lang w:val="en-GB" w:eastAsia="en-AU"/>
        </w:rPr>
        <w:t xml:space="preserve"> </w:t>
      </w:r>
      <w:r w:rsidR="000078CD" w:rsidRPr="7A87543D">
        <w:rPr>
          <w:lang w:val="en-GB" w:eastAsia="en-AU"/>
        </w:rPr>
        <w:t xml:space="preserve">and the CIS product and tender process </w:t>
      </w:r>
      <w:r w:rsidR="00CF3DFB">
        <w:rPr>
          <w:lang w:val="en-GB" w:eastAsia="en-AU"/>
        </w:rPr>
        <w:t>may need to be adapted</w:t>
      </w:r>
      <w:r w:rsidR="000078CD" w:rsidRPr="7A87543D">
        <w:rPr>
          <w:lang w:val="en-GB" w:eastAsia="en-AU"/>
        </w:rPr>
        <w:t xml:space="preserve"> to ensure that the CIS is consistent with </w:t>
      </w:r>
      <w:r w:rsidR="0091578F">
        <w:rPr>
          <w:lang w:val="en-GB" w:eastAsia="en-AU"/>
        </w:rPr>
        <w:t>those</w:t>
      </w:r>
      <w:r w:rsidR="000078CD" w:rsidRPr="7A87543D">
        <w:rPr>
          <w:lang w:val="en-GB" w:eastAsia="en-AU"/>
        </w:rPr>
        <w:t xml:space="preserve"> schemes. For example</w:t>
      </w:r>
      <w:r w:rsidR="009903EE">
        <w:rPr>
          <w:lang w:val="en-GB" w:eastAsia="en-AU"/>
        </w:rPr>
        <w:t>:</w:t>
      </w:r>
    </w:p>
    <w:p w14:paraId="768BADA1" w14:textId="075A28F4" w:rsidR="009903EE" w:rsidRPr="00EF4A29" w:rsidRDefault="000078CD" w:rsidP="009903EE">
      <w:pPr>
        <w:pStyle w:val="ListParagraph"/>
        <w:numPr>
          <w:ilvl w:val="0"/>
          <w:numId w:val="70"/>
        </w:numPr>
        <w:rPr>
          <w:rFonts w:cs="Arial"/>
        </w:rPr>
      </w:pPr>
      <w:r w:rsidRPr="009903EE">
        <w:rPr>
          <w:lang w:val="en-GB" w:eastAsia="en-AU"/>
        </w:rPr>
        <w:t xml:space="preserve">in Western Australia, CIS projects may be required to be eligible for and participate in the Reserve Capacity Mechanism. </w:t>
      </w:r>
    </w:p>
    <w:p w14:paraId="586A4C89" w14:textId="7BA51271" w:rsidR="000078CD" w:rsidRPr="00EF4A29" w:rsidRDefault="000078CD" w:rsidP="009903EE">
      <w:pPr>
        <w:pStyle w:val="ListParagraph"/>
        <w:numPr>
          <w:ilvl w:val="0"/>
          <w:numId w:val="70"/>
        </w:numPr>
        <w:rPr>
          <w:rFonts w:cs="Arial"/>
        </w:rPr>
      </w:pPr>
      <w:r w:rsidRPr="009903EE">
        <w:rPr>
          <w:lang w:val="en-GB" w:eastAsia="en-AU"/>
        </w:rPr>
        <w:t xml:space="preserve">In NSW, the CIS will be </w:t>
      </w:r>
      <w:r w:rsidR="00182999" w:rsidRPr="009903EE">
        <w:rPr>
          <w:lang w:val="en-GB" w:eastAsia="en-AU"/>
        </w:rPr>
        <w:t>integrated</w:t>
      </w:r>
      <w:r w:rsidR="009903EE">
        <w:rPr>
          <w:lang w:val="en-GB" w:eastAsia="en-AU"/>
        </w:rPr>
        <w:t xml:space="preserve"> </w:t>
      </w:r>
      <w:r w:rsidRPr="009903EE">
        <w:rPr>
          <w:lang w:val="en-GB" w:eastAsia="en-AU"/>
        </w:rPr>
        <w:t>with the Electricity Infrastructure Roadmap.</w:t>
      </w:r>
    </w:p>
    <w:p w14:paraId="1D2CD950" w14:textId="3AD8C700" w:rsidR="009903EE" w:rsidRPr="009903EE" w:rsidRDefault="00D77ABB" w:rsidP="00EF4A29">
      <w:pPr>
        <w:pStyle w:val="ListParagraph"/>
        <w:numPr>
          <w:ilvl w:val="0"/>
          <w:numId w:val="70"/>
        </w:numPr>
        <w:rPr>
          <w:rFonts w:cs="Arial"/>
        </w:rPr>
      </w:pPr>
      <w:r>
        <w:rPr>
          <w:lang w:val="en-GB" w:eastAsia="en-AU"/>
        </w:rPr>
        <w:t>R</w:t>
      </w:r>
      <w:r w:rsidR="008321B5">
        <w:rPr>
          <w:lang w:val="en-GB" w:eastAsia="en-AU"/>
        </w:rPr>
        <w:t xml:space="preserve">enewable energy zones (REZs) </w:t>
      </w:r>
      <w:r w:rsidR="003971B2">
        <w:rPr>
          <w:lang w:val="en-GB" w:eastAsia="en-AU"/>
        </w:rPr>
        <w:t xml:space="preserve">identified </w:t>
      </w:r>
      <w:r>
        <w:rPr>
          <w:lang w:val="en-GB" w:eastAsia="en-AU"/>
        </w:rPr>
        <w:t xml:space="preserve">in </w:t>
      </w:r>
      <w:r w:rsidR="002917AB">
        <w:rPr>
          <w:lang w:val="en-GB" w:eastAsia="en-AU"/>
        </w:rPr>
        <w:t xml:space="preserve">particular states and territories. </w:t>
      </w:r>
    </w:p>
    <w:p w14:paraId="2B7F627B" w14:textId="5DD4E268" w:rsidR="00FF64E7" w:rsidRDefault="005E23B0" w:rsidP="00FF64E7">
      <w:pPr>
        <w:rPr>
          <w:lang w:val="en-GB" w:eastAsia="en-AU"/>
        </w:rPr>
      </w:pPr>
      <w:r>
        <w:t>The CIS, aims to complement the current reliability framework and support the entry of new investments during a period of rapid transformation.</w:t>
      </w:r>
      <w:r>
        <w:rPr>
          <w:rStyle w:val="FootnoteReference"/>
        </w:rPr>
        <w:footnoteReference w:id="2"/>
      </w:r>
      <w:r>
        <w:t xml:space="preserve"> </w:t>
      </w:r>
    </w:p>
    <w:p w14:paraId="6AA13BDA" w14:textId="71A729C4" w:rsidR="00D772CF" w:rsidRDefault="00D772CF" w:rsidP="00F31E8B">
      <w:pPr>
        <w:rPr>
          <w:rFonts w:cs="Arial"/>
        </w:rPr>
      </w:pPr>
      <w:r>
        <w:rPr>
          <w:rFonts w:cs="Arial"/>
        </w:rPr>
        <w:t>Lastly,</w:t>
      </w:r>
      <w:r w:rsidR="00453037">
        <w:rPr>
          <w:rFonts w:cs="Arial"/>
        </w:rPr>
        <w:t xml:space="preserve"> the CIS </w:t>
      </w:r>
      <w:r w:rsidR="00B7671B">
        <w:rPr>
          <w:rFonts w:cs="Arial"/>
        </w:rPr>
        <w:t>commercial</w:t>
      </w:r>
      <w:r w:rsidR="00453037">
        <w:rPr>
          <w:rFonts w:cs="Arial"/>
        </w:rPr>
        <w:t xml:space="preserve"> design is intended to support rather than constrain the operation of the </w:t>
      </w:r>
      <w:r w:rsidR="00497659">
        <w:rPr>
          <w:rFonts w:cs="Arial"/>
        </w:rPr>
        <w:t xml:space="preserve">electricity </w:t>
      </w:r>
      <w:r w:rsidR="00453037">
        <w:rPr>
          <w:rFonts w:cs="Arial"/>
        </w:rPr>
        <w:t>wholesale contracts market</w:t>
      </w:r>
      <w:r w:rsidR="00497659">
        <w:rPr>
          <w:rFonts w:cs="Arial"/>
        </w:rPr>
        <w:t>s</w:t>
      </w:r>
      <w:r w:rsidR="00453037">
        <w:rPr>
          <w:rFonts w:cs="Arial"/>
        </w:rPr>
        <w:t xml:space="preserve">. </w:t>
      </w:r>
      <w:r w:rsidR="00500B1F">
        <w:rPr>
          <w:rFonts w:cs="Arial"/>
        </w:rPr>
        <w:t xml:space="preserve">Traditional contract for difference </w:t>
      </w:r>
      <w:r w:rsidR="00630010">
        <w:rPr>
          <w:rFonts w:cs="Arial"/>
        </w:rPr>
        <w:t>contract</w:t>
      </w:r>
      <w:r w:rsidR="00410851">
        <w:rPr>
          <w:rFonts w:cs="Arial"/>
        </w:rPr>
        <w:t>ing</w:t>
      </w:r>
      <w:r w:rsidR="00630010">
        <w:rPr>
          <w:rFonts w:cs="Arial"/>
        </w:rPr>
        <w:t xml:space="preserve"> </w:t>
      </w:r>
      <w:r w:rsidR="00500B1F">
        <w:rPr>
          <w:rFonts w:cs="Arial"/>
        </w:rPr>
        <w:t>models</w:t>
      </w:r>
      <w:r w:rsidR="00497659">
        <w:rPr>
          <w:rFonts w:cs="Arial"/>
        </w:rPr>
        <w:t xml:space="preserve"> used in overseas markets</w:t>
      </w:r>
      <w:r w:rsidR="00630010">
        <w:rPr>
          <w:rFonts w:cs="Arial"/>
        </w:rPr>
        <w:t>, or contracts with highly prescriptive performance requirements,</w:t>
      </w:r>
      <w:r w:rsidR="00500B1F">
        <w:rPr>
          <w:rFonts w:cs="Arial"/>
        </w:rPr>
        <w:t xml:space="preserve"> </w:t>
      </w:r>
      <w:r w:rsidR="00630010">
        <w:rPr>
          <w:rFonts w:cs="Arial"/>
        </w:rPr>
        <w:t xml:space="preserve">remove </w:t>
      </w:r>
      <w:r w:rsidR="00410851">
        <w:rPr>
          <w:rFonts w:cs="Arial"/>
        </w:rPr>
        <w:t xml:space="preserve">capacity from the wholesale contracts </w:t>
      </w:r>
      <w:r w:rsidR="00497659">
        <w:rPr>
          <w:rFonts w:cs="Arial"/>
        </w:rPr>
        <w:t xml:space="preserve">market. This can undermine </w:t>
      </w:r>
      <w:r w:rsidR="00E23AEC">
        <w:rPr>
          <w:rFonts w:cs="Arial"/>
        </w:rPr>
        <w:t xml:space="preserve">electricity customer outcomes by removing the ability for retailers and other wholesale market participants </w:t>
      </w:r>
      <w:r w:rsidR="00BB14F1">
        <w:rPr>
          <w:rFonts w:cs="Arial"/>
        </w:rPr>
        <w:t xml:space="preserve">to undertake risk management activities. </w:t>
      </w:r>
      <w:r w:rsidR="00794875">
        <w:rPr>
          <w:rFonts w:cs="Arial"/>
        </w:rPr>
        <w:t>T</w:t>
      </w:r>
      <w:r w:rsidR="00911584">
        <w:rPr>
          <w:rFonts w:cs="Arial"/>
        </w:rPr>
        <w:t xml:space="preserve">he receipt of financial support through CIS underwriting will </w:t>
      </w:r>
      <w:r w:rsidR="00B7671B">
        <w:rPr>
          <w:rFonts w:cs="Arial"/>
        </w:rPr>
        <w:t xml:space="preserve">not constrain participation in the contracts market. </w:t>
      </w:r>
      <w:r w:rsidR="002F7370">
        <w:rPr>
          <w:rFonts w:cs="Arial"/>
        </w:rPr>
        <w:t xml:space="preserve"> </w:t>
      </w:r>
      <w:r w:rsidR="00497659">
        <w:rPr>
          <w:rFonts w:cs="Arial"/>
        </w:rPr>
        <w:t xml:space="preserve"> </w:t>
      </w:r>
    </w:p>
    <w:tbl>
      <w:tblPr>
        <w:tblStyle w:val="TableGrid"/>
        <w:tblW w:w="9403" w:type="dxa"/>
        <w:tblLook w:val="04A0" w:firstRow="1" w:lastRow="0" w:firstColumn="1" w:lastColumn="0" w:noHBand="0" w:noVBand="1"/>
      </w:tblPr>
      <w:tblGrid>
        <w:gridCol w:w="9403"/>
      </w:tblGrid>
      <w:tr w:rsidR="002D13D3" w14:paraId="7B3D7778" w14:textId="77777777" w:rsidTr="002323F1">
        <w:trPr>
          <w:trHeight w:val="615"/>
        </w:trPr>
        <w:tc>
          <w:tcPr>
            <w:tcW w:w="9403" w:type="dxa"/>
            <w:tcBorders>
              <w:left w:val="nil"/>
              <w:right w:val="nil"/>
            </w:tcBorders>
            <w:shd w:val="clear" w:color="auto" w:fill="DEEAF6" w:themeFill="accent1" w:themeFillTint="33"/>
          </w:tcPr>
          <w:p w14:paraId="24CE8F2F" w14:textId="731EAE39" w:rsidR="002D13D3" w:rsidRDefault="00D772CF" w:rsidP="001502A7">
            <w:pPr>
              <w:rPr>
                <w:lang w:val="en-GB" w:eastAsia="en-AU"/>
              </w:rPr>
            </w:pPr>
            <w:r>
              <w:rPr>
                <w:rFonts w:cs="Arial"/>
              </w:rPr>
              <w:t xml:space="preserve"> </w:t>
            </w:r>
            <w:r w:rsidR="002D13D3">
              <w:rPr>
                <w:b/>
                <w:bCs/>
                <w:lang w:val="en-GB" w:eastAsia="en-AU"/>
              </w:rPr>
              <w:t>Consultation questions:</w:t>
            </w:r>
            <w:r w:rsidR="002D13D3">
              <w:rPr>
                <w:lang w:val="en-GB" w:eastAsia="en-AU"/>
              </w:rPr>
              <w:t xml:space="preserve"> </w:t>
            </w:r>
          </w:p>
          <w:p w14:paraId="32D85AFE" w14:textId="34348722" w:rsidR="00EE3DA2" w:rsidRDefault="00EE3DA2" w:rsidP="00EE3DA2">
            <w:pPr>
              <w:pStyle w:val="ListParagraph"/>
              <w:numPr>
                <w:ilvl w:val="0"/>
                <w:numId w:val="41"/>
              </w:numPr>
              <w:rPr>
                <w:lang w:val="en-GB" w:eastAsia="en-AU"/>
              </w:rPr>
            </w:pPr>
            <w:r w:rsidRPr="007240F8">
              <w:rPr>
                <w:lang w:val="en-GB" w:eastAsia="en-AU"/>
              </w:rPr>
              <w:t xml:space="preserve">The Department is seeking feedback on what </w:t>
            </w:r>
            <w:r>
              <w:t xml:space="preserve">other implications the CIS might have on the energy market, and how </w:t>
            </w:r>
            <w:r>
              <w:rPr>
                <w:lang w:val="en-GB" w:eastAsia="en-AU"/>
              </w:rPr>
              <w:t>the CIS can be designed to mitigate risks while delivering on key policy objectives</w:t>
            </w:r>
            <w:r w:rsidR="007502C9">
              <w:rPr>
                <w:lang w:val="en-GB" w:eastAsia="en-AU"/>
              </w:rPr>
              <w:t>.</w:t>
            </w:r>
          </w:p>
          <w:p w14:paraId="76461FC3" w14:textId="34FA46A7" w:rsidR="006265F8" w:rsidRPr="00057608" w:rsidRDefault="009B6DF2" w:rsidP="001502A7">
            <w:pPr>
              <w:pStyle w:val="ListParagraph"/>
              <w:numPr>
                <w:ilvl w:val="0"/>
                <w:numId w:val="41"/>
              </w:numPr>
              <w:rPr>
                <w:lang w:val="en-GB" w:eastAsia="en-AU"/>
              </w:rPr>
            </w:pPr>
            <w:r>
              <w:rPr>
                <w:lang w:val="en-GB" w:eastAsia="en-AU"/>
              </w:rPr>
              <w:t>The Department is seeking feedback on WA implementation of the CIS, including interaction with the existing Reserve Capacity Mechanism. This will be further canvassed in a WA-specific consultation paper</w:t>
            </w:r>
            <w:r w:rsidR="00636954">
              <w:rPr>
                <w:lang w:val="en-GB" w:eastAsia="en-AU"/>
              </w:rPr>
              <w:t xml:space="preserve">. </w:t>
            </w:r>
          </w:p>
        </w:tc>
      </w:tr>
    </w:tbl>
    <w:p w14:paraId="3A3D4CE2" w14:textId="0C9C9F6E" w:rsidR="00FF64E7" w:rsidRDefault="00FF64E7" w:rsidP="00FF64E7">
      <w:pPr>
        <w:rPr>
          <w:lang w:val="en-GB" w:eastAsia="en-AU"/>
        </w:rPr>
      </w:pPr>
    </w:p>
    <w:p w14:paraId="0D8508C6" w14:textId="5397EA97" w:rsidR="00D460F7" w:rsidRDefault="00D460F7" w:rsidP="00D460F7">
      <w:pPr>
        <w:pStyle w:val="Heading1"/>
      </w:pPr>
      <w:bookmarkStart w:id="107" w:name="_Toc141783162"/>
      <w:r w:rsidRPr="001F420D">
        <w:lastRenderedPageBreak/>
        <w:t>Jurisdictional specific implementation</w:t>
      </w:r>
      <w:bookmarkEnd w:id="107"/>
    </w:p>
    <w:p w14:paraId="64A649A1" w14:textId="76830114" w:rsidR="00426A67" w:rsidRPr="00D30308" w:rsidRDefault="002564D1" w:rsidP="00EF4A29">
      <w:r>
        <w:rPr>
          <w:lang w:val="en-GB" w:eastAsia="en-AU"/>
        </w:rPr>
        <w:t>The CIS will complement and work</w:t>
      </w:r>
      <w:r w:rsidR="00076394">
        <w:rPr>
          <w:lang w:val="en-GB" w:eastAsia="en-AU"/>
        </w:rPr>
        <w:t xml:space="preserve"> alongside</w:t>
      </w:r>
      <w:r>
        <w:rPr>
          <w:lang w:val="en-GB" w:eastAsia="en-AU"/>
        </w:rPr>
        <w:t xml:space="preserve"> existing state and territory </w:t>
      </w:r>
      <w:r w:rsidR="009306AD">
        <w:rPr>
          <w:lang w:val="en-GB" w:eastAsia="en-AU"/>
        </w:rPr>
        <w:t xml:space="preserve">schemes to help deliver the national energy transformation. </w:t>
      </w:r>
      <w:r w:rsidR="00785902">
        <w:rPr>
          <w:lang w:val="en-GB" w:eastAsia="en-AU"/>
        </w:rPr>
        <w:t>To</w:t>
      </w:r>
      <w:r w:rsidR="002D2722">
        <w:rPr>
          <w:lang w:val="en-GB" w:eastAsia="en-AU"/>
        </w:rPr>
        <w:t xml:space="preserve"> ensure market confidence is maintained and avoid duplication</w:t>
      </w:r>
      <w:r w:rsidR="00575B28">
        <w:rPr>
          <w:lang w:val="en-GB" w:eastAsia="en-AU"/>
        </w:rPr>
        <w:t xml:space="preserve">, CIS tenders </w:t>
      </w:r>
      <w:r w:rsidR="00180CFA">
        <w:rPr>
          <w:lang w:val="en-GB" w:eastAsia="en-AU"/>
        </w:rPr>
        <w:t xml:space="preserve">will be </w:t>
      </w:r>
      <w:r w:rsidR="009306AD">
        <w:rPr>
          <w:lang w:val="en-GB" w:eastAsia="en-AU"/>
        </w:rPr>
        <w:t>integrated with existing state and territory schemes where such schemes exist</w:t>
      </w:r>
      <w:r w:rsidR="00180CFA">
        <w:rPr>
          <w:lang w:val="en-GB" w:eastAsia="en-AU"/>
        </w:rPr>
        <w:t>.</w:t>
      </w:r>
    </w:p>
    <w:p w14:paraId="47492615" w14:textId="77777777" w:rsidR="007862DD" w:rsidRDefault="007862DD" w:rsidP="007862DD">
      <w:pPr>
        <w:pStyle w:val="Heading2"/>
      </w:pPr>
      <w:bookmarkStart w:id="108" w:name="_Toc141783163"/>
      <w:r>
        <w:t>Implementation of the CIS in New South Wales</w:t>
      </w:r>
      <w:bookmarkEnd w:id="108"/>
    </w:p>
    <w:p w14:paraId="12CA91DE" w14:textId="5515C8BE" w:rsidR="00D460F7" w:rsidRDefault="007C1F0E" w:rsidP="00D460F7">
      <w:pPr>
        <w:rPr>
          <w:lang w:val="en-GB" w:eastAsia="en-AU"/>
        </w:rPr>
      </w:pPr>
      <w:r>
        <w:rPr>
          <w:lang w:val="en-GB" w:eastAsia="en-AU"/>
        </w:rPr>
        <w:t>T</w:t>
      </w:r>
      <w:r w:rsidR="00D460F7">
        <w:rPr>
          <w:lang w:val="en-GB" w:eastAsia="en-AU"/>
        </w:rPr>
        <w:t xml:space="preserve">he NSW Government </w:t>
      </w:r>
      <w:r>
        <w:rPr>
          <w:lang w:val="en-GB" w:eastAsia="en-AU"/>
        </w:rPr>
        <w:t xml:space="preserve">is implementing </w:t>
      </w:r>
      <w:r w:rsidR="00D460F7">
        <w:rPr>
          <w:lang w:val="en-GB" w:eastAsia="en-AU"/>
        </w:rPr>
        <w:t xml:space="preserve">the NSW Electricity Infrastructure Roadmap, and elements of this policy overlap with the objectives of the CIS. The CIS will be implemented in NSW in collaboration with the NSW Electricity Infrastructure Roadmap, and this collaboration is expected to include: </w:t>
      </w:r>
    </w:p>
    <w:p w14:paraId="5481F8E0" w14:textId="468B8B31" w:rsidR="0011778A" w:rsidRDefault="0011778A" w:rsidP="0011778A">
      <w:pPr>
        <w:pStyle w:val="ListParagraph"/>
        <w:numPr>
          <w:ilvl w:val="0"/>
          <w:numId w:val="29"/>
        </w:numPr>
        <w:rPr>
          <w:lang w:val="en-GB" w:eastAsia="en-AU"/>
        </w:rPr>
      </w:pPr>
      <w:r w:rsidRPr="00AD6B45">
        <w:rPr>
          <w:lang w:val="en-GB" w:eastAsia="en-AU"/>
        </w:rPr>
        <w:t xml:space="preserve">the tenders run in NSW will be run by </w:t>
      </w:r>
      <w:r>
        <w:rPr>
          <w:lang w:val="en-GB" w:eastAsia="en-AU"/>
        </w:rPr>
        <w:t xml:space="preserve">AEMO Services Limited acting as </w:t>
      </w:r>
      <w:r w:rsidRPr="00AD6B45">
        <w:rPr>
          <w:lang w:val="en-GB" w:eastAsia="en-AU"/>
        </w:rPr>
        <w:t xml:space="preserve">the </w:t>
      </w:r>
      <w:r w:rsidRPr="008861BA">
        <w:rPr>
          <w:lang w:val="en-GB" w:eastAsia="en-AU"/>
        </w:rPr>
        <w:t>NSW Consumer Trustee</w:t>
      </w:r>
      <w:r w:rsidRPr="00AD6B45">
        <w:rPr>
          <w:lang w:val="en-GB" w:eastAsia="en-AU"/>
        </w:rPr>
        <w:t xml:space="preserve"> </w:t>
      </w:r>
      <w:r>
        <w:rPr>
          <w:lang w:val="en-GB" w:eastAsia="en-AU"/>
        </w:rPr>
        <w:t xml:space="preserve">and selected projects will be offered financial underwriting in the form of </w:t>
      </w:r>
      <w:r w:rsidR="0023155A">
        <w:rPr>
          <w:lang w:val="en-GB" w:eastAsia="en-AU"/>
        </w:rPr>
        <w:t>long term</w:t>
      </w:r>
      <w:r>
        <w:rPr>
          <w:lang w:val="en-GB" w:eastAsia="en-AU"/>
        </w:rPr>
        <w:t xml:space="preserve"> energy service agreements (LTESA);</w:t>
      </w:r>
    </w:p>
    <w:p w14:paraId="1F16E987" w14:textId="351059DA" w:rsidR="00FD70D4" w:rsidRPr="00FD70D4" w:rsidRDefault="00D460F7" w:rsidP="00202BB9">
      <w:pPr>
        <w:pStyle w:val="ListParagraph"/>
        <w:numPr>
          <w:ilvl w:val="0"/>
          <w:numId w:val="29"/>
        </w:numPr>
        <w:rPr>
          <w:lang w:val="en-GB" w:eastAsia="en-AU"/>
        </w:rPr>
      </w:pPr>
      <w:r w:rsidRPr="003B125F">
        <w:rPr>
          <w:lang w:val="en-GB" w:eastAsia="en-AU"/>
        </w:rPr>
        <w:t>CIS funds may be contributed to support projects selected in NSW tenders, where these projects meet the eligibility requirements of the CIS</w:t>
      </w:r>
      <w:r w:rsidR="005E0296" w:rsidRPr="003B125F">
        <w:rPr>
          <w:lang w:val="en-GB" w:eastAsia="en-AU"/>
        </w:rPr>
        <w:t>;</w:t>
      </w:r>
      <w:r w:rsidR="00956C19">
        <w:rPr>
          <w:lang w:val="en-GB" w:eastAsia="en-AU"/>
        </w:rPr>
        <w:t xml:space="preserve"> </w:t>
      </w:r>
    </w:p>
    <w:p w14:paraId="16DC5E36" w14:textId="6D03F860" w:rsidR="00FD70D4" w:rsidRPr="00FD70D4" w:rsidRDefault="00FD70D4" w:rsidP="00EF4A29">
      <w:pPr>
        <w:rPr>
          <w:lang w:val="en-GB" w:eastAsia="en-AU"/>
        </w:rPr>
      </w:pPr>
      <w:r w:rsidRPr="00FD70D4">
        <w:rPr>
          <w:lang w:val="en-GB" w:eastAsia="en-AU"/>
        </w:rPr>
        <w:t>On 29 June 2023, Minister Bowen and NSW Minister Penny Sharpe announced the Capacity Investment Scheme will expand the NSW Energy Infrastructure Roadmap’s firming tender up to an additional 550 MW, more than doubling the 380 MW of firmed capacity already committed by New South Wales. This will deliver almost 1 GW of dispatchable capacity to eliminate the forecast shortfall in 2028/29 flagged by the AEMO. Only zero-emissions technology projects will receive Commonwealth support through the expanded firming tender.</w:t>
      </w:r>
    </w:p>
    <w:p w14:paraId="5A818AB7" w14:textId="0617FB5A" w:rsidR="00BB09F1" w:rsidRPr="00FD70D4" w:rsidRDefault="00BB09F1" w:rsidP="00EF4A29">
      <w:pPr>
        <w:rPr>
          <w:lang w:val="en-GB" w:eastAsia="en-AU"/>
        </w:rPr>
      </w:pPr>
      <w:r w:rsidRPr="00BB09F1">
        <w:rPr>
          <w:lang w:val="en-GB" w:eastAsia="en-AU"/>
        </w:rPr>
        <w:t xml:space="preserve">Any additional funds allocated to NSW capacity under the CIS will be allocated using the methodology set out in </w:t>
      </w:r>
      <w:r w:rsidRPr="00576DCB">
        <w:rPr>
          <w:lang w:val="en-GB" w:eastAsia="en-AU"/>
        </w:rPr>
        <w:t>Section 3</w:t>
      </w:r>
      <w:r w:rsidRPr="00BB09F1">
        <w:rPr>
          <w:lang w:val="en-GB" w:eastAsia="en-AU"/>
        </w:rPr>
        <w:t>.</w:t>
      </w:r>
    </w:p>
    <w:p w14:paraId="377E5B19" w14:textId="487017EB" w:rsidR="00D460F7" w:rsidRDefault="1B3CE11B" w:rsidP="00D460F7">
      <w:pPr>
        <w:pStyle w:val="Heading2"/>
      </w:pPr>
      <w:bookmarkStart w:id="109" w:name="_Toc141783164"/>
      <w:r>
        <w:t>Implementation of the CIS in Western Australia</w:t>
      </w:r>
      <w:bookmarkEnd w:id="109"/>
    </w:p>
    <w:p w14:paraId="15FEE072" w14:textId="274316D5" w:rsidR="00933F02" w:rsidRPr="001400CD" w:rsidRDefault="00A07FB4" w:rsidP="00A07FB4">
      <w:pPr>
        <w:rPr>
          <w:lang w:val="en-GB" w:eastAsia="en-AU"/>
        </w:rPr>
      </w:pPr>
      <w:r>
        <w:rPr>
          <w:lang w:val="en-GB" w:eastAsia="en-AU"/>
        </w:rPr>
        <w:t>The Wholesale Electricity Market (WEM) has specific features</w:t>
      </w:r>
      <w:r>
        <w:rPr>
          <w:rStyle w:val="FootnoteReference"/>
          <w:lang w:val="en-GB" w:eastAsia="en-AU"/>
        </w:rPr>
        <w:footnoteReference w:id="3"/>
      </w:r>
      <w:r>
        <w:rPr>
          <w:lang w:val="en-GB" w:eastAsia="en-AU"/>
        </w:rPr>
        <w:t xml:space="preserve"> that will be reflected in the implementation of CIS in Western </w:t>
      </w:r>
      <w:r w:rsidR="004A2636">
        <w:rPr>
          <w:lang w:val="en-GB" w:eastAsia="en-AU"/>
        </w:rPr>
        <w:t>Australia,</w:t>
      </w:r>
      <w:r>
        <w:rPr>
          <w:lang w:val="en-GB" w:eastAsia="en-AU"/>
        </w:rPr>
        <w:t xml:space="preserve"> and which will be the subject of targeted upcoming </w:t>
      </w:r>
      <w:r w:rsidRPr="001400CD">
        <w:rPr>
          <w:lang w:val="en-GB" w:eastAsia="en-AU"/>
        </w:rPr>
        <w:t>consultation. The design for the WEM comprises a wholesale electricity trading component and a capacity component. The capacity component of the WEM is implemented via the Reserve Capacity Mechanism, which is a capacity credit scheme placing requirements on retailers (or Market Customers)</w:t>
      </w:r>
      <w:r w:rsidRPr="001400CD">
        <w:rPr>
          <w:color w:val="1F497D"/>
        </w:rPr>
        <w:t xml:space="preserve"> </w:t>
      </w:r>
      <w:r w:rsidRPr="00EF4A29">
        <w:t>to cover their individual capacity requirements</w:t>
      </w:r>
      <w:r w:rsidRPr="001400CD">
        <w:rPr>
          <w:lang w:val="en-GB" w:eastAsia="en-AU"/>
        </w:rPr>
        <w:t xml:space="preserve">. </w:t>
      </w:r>
    </w:p>
    <w:p w14:paraId="2382C492" w14:textId="693F050B" w:rsidR="00D460F7" w:rsidRPr="0080525C" w:rsidRDefault="001E64F4" w:rsidP="00D460F7">
      <w:pPr>
        <w:rPr>
          <w:rFonts w:cs="Calibri Light"/>
          <w:color w:val="000000" w:themeColor="text1"/>
          <w:u w:val="single"/>
          <w:lang w:val="en-GB"/>
        </w:rPr>
      </w:pPr>
      <w:r w:rsidRPr="1670D1C5">
        <w:rPr>
          <w:lang w:val="en-GB" w:eastAsia="en-AU"/>
        </w:rPr>
        <w:t>As the administrator of the Reserve Capacity Mechanism</w:t>
      </w:r>
      <w:r w:rsidRPr="1670D1C5">
        <w:rPr>
          <w:color w:val="000000" w:themeColor="text1"/>
          <w:lang w:val="en-GB" w:eastAsia="en-AU"/>
        </w:rPr>
        <w:t xml:space="preserve">, </w:t>
      </w:r>
      <w:r w:rsidRPr="1670D1C5">
        <w:rPr>
          <w:rStyle w:val="normaltextrun"/>
          <w:rFonts w:cs="Calibri Light"/>
          <w:color w:val="000000" w:themeColor="text1"/>
          <w:lang w:val="en-GB"/>
        </w:rPr>
        <w:t>AEMO assesses applications for the provision of reserve capacity into the WEM via the Reserve Capacity Mechanism, run annually for the Reserve Capacity Year two years ahead. Detailed reserve capacity assessments are undertaken annually which leads to assigned and tradable capacity credits which can be traded bi-laterally or dispersed into the market via AEMO at an administered reserve capacity price. The reserve capacity price is determined by a benchmark reserve capacity price (calculated annually), a reserve capacity target (set by a forecast peak demand and contingency elements) for the specific capacity year, and the final quantity of certified Reserve capacity that has been assigned capacity credits.</w:t>
      </w:r>
      <w:r w:rsidR="0080525C">
        <w:rPr>
          <w:rStyle w:val="normaltextrun"/>
          <w:rFonts w:cs="Calibri Light"/>
          <w:color w:val="000000" w:themeColor="text1"/>
          <w:u w:val="single"/>
          <w:lang w:val="en-GB"/>
        </w:rPr>
        <w:t xml:space="preserve"> </w:t>
      </w:r>
      <w:r w:rsidR="00D460F7">
        <w:rPr>
          <w:lang w:val="en-GB" w:eastAsia="en-AU"/>
        </w:rPr>
        <w:t xml:space="preserve">Implementation of the CIS in WA will be undertaken in consultation with </w:t>
      </w:r>
      <w:r w:rsidR="00DB0986">
        <w:rPr>
          <w:lang w:val="en-GB" w:eastAsia="en-AU"/>
        </w:rPr>
        <w:t>AEMO</w:t>
      </w:r>
      <w:r w:rsidR="00D460F7">
        <w:rPr>
          <w:lang w:val="en-GB" w:eastAsia="en-AU"/>
        </w:rPr>
        <w:t xml:space="preserve"> </w:t>
      </w:r>
      <w:r w:rsidR="00725B62">
        <w:rPr>
          <w:lang w:val="en-GB" w:eastAsia="en-AU"/>
        </w:rPr>
        <w:t>(</w:t>
      </w:r>
      <w:r w:rsidR="00D460F7">
        <w:rPr>
          <w:lang w:val="en-GB" w:eastAsia="en-AU"/>
        </w:rPr>
        <w:t>WEM market operator</w:t>
      </w:r>
      <w:r w:rsidR="00F17378">
        <w:rPr>
          <w:lang w:val="en-GB" w:eastAsia="en-AU"/>
        </w:rPr>
        <w:t>)</w:t>
      </w:r>
      <w:r w:rsidR="00D460F7">
        <w:rPr>
          <w:lang w:val="en-GB" w:eastAsia="en-AU"/>
        </w:rPr>
        <w:t xml:space="preserve"> and the WA </w:t>
      </w:r>
      <w:r w:rsidR="009D576D">
        <w:rPr>
          <w:lang w:val="en-GB" w:eastAsia="en-AU"/>
        </w:rPr>
        <w:t>G</w:t>
      </w:r>
      <w:r w:rsidR="00D460F7">
        <w:rPr>
          <w:lang w:val="en-GB" w:eastAsia="en-AU"/>
        </w:rPr>
        <w:t xml:space="preserve">overnment. </w:t>
      </w:r>
    </w:p>
    <w:p w14:paraId="6ABBC8D0" w14:textId="5496A046" w:rsidR="00D460F7" w:rsidRPr="00E00B07" w:rsidRDefault="00D460F7" w:rsidP="00D460F7">
      <w:pPr>
        <w:rPr>
          <w:lang w:val="en-GB" w:eastAsia="en-AU"/>
        </w:rPr>
      </w:pPr>
      <w:r>
        <w:rPr>
          <w:lang w:val="en-GB" w:eastAsia="en-AU"/>
        </w:rPr>
        <w:lastRenderedPageBreak/>
        <w:t xml:space="preserve">It is expected that CIS contracts issued in WA will be adapted to complement the existing Reserve Capacity Mechanism, for example, by supporting the entry of new, zero emissions plant which can participate in the Reserve Capacity Mechanism.    </w:t>
      </w:r>
    </w:p>
    <w:p w14:paraId="275A3D61" w14:textId="1CA5EBFD" w:rsidR="00A84C99" w:rsidRPr="00202137" w:rsidRDefault="61A1DC36" w:rsidP="00A84C99">
      <w:pPr>
        <w:pStyle w:val="Heading1"/>
      </w:pPr>
      <w:bookmarkStart w:id="110" w:name="_Toc141783165"/>
      <w:r>
        <w:lastRenderedPageBreak/>
        <w:t>Core design elements and delivery stages</w:t>
      </w:r>
      <w:bookmarkEnd w:id="94"/>
      <w:bookmarkEnd w:id="110"/>
    </w:p>
    <w:p w14:paraId="4BF17260" w14:textId="3DD18D88" w:rsidR="00A84C99" w:rsidRDefault="00F30E4D" w:rsidP="00A84C99">
      <w:pPr>
        <w:pStyle w:val="Heading2"/>
      </w:pPr>
      <w:bookmarkStart w:id="111" w:name="_Toc139196512"/>
      <w:bookmarkStart w:id="112" w:name="_Ref139608001"/>
      <w:bookmarkStart w:id="113" w:name="_Toc141783166"/>
      <w:r>
        <w:t xml:space="preserve">Setting the </w:t>
      </w:r>
      <w:r w:rsidR="00177AE2">
        <w:t xml:space="preserve">CIS </w:t>
      </w:r>
      <w:r w:rsidR="006139B9">
        <w:t xml:space="preserve">contribution </w:t>
      </w:r>
      <w:r w:rsidR="005120C1">
        <w:t xml:space="preserve">to </w:t>
      </w:r>
      <w:r>
        <w:t>reliability</w:t>
      </w:r>
      <w:bookmarkEnd w:id="111"/>
      <w:bookmarkEnd w:id="112"/>
      <w:bookmarkEnd w:id="113"/>
    </w:p>
    <w:p w14:paraId="4FD9174C" w14:textId="30D1C0C8" w:rsidR="00731154" w:rsidRDefault="001A094D" w:rsidP="000F6CDA">
      <w:r>
        <w:t>The CIS aims to make a meaningful contribution to</w:t>
      </w:r>
      <w:r w:rsidR="00C649A8">
        <w:t xml:space="preserve"> forecast</w:t>
      </w:r>
      <w:r>
        <w:t xml:space="preserve"> reliability </w:t>
      </w:r>
      <w:r w:rsidR="00C649A8">
        <w:t xml:space="preserve">needs </w:t>
      </w:r>
      <w:r w:rsidR="00C62687">
        <w:t>in Australia</w:t>
      </w:r>
      <w:r w:rsidR="00A2225B">
        <w:t>n electricity grids</w:t>
      </w:r>
      <w:r w:rsidR="00E40608">
        <w:t>.</w:t>
      </w:r>
      <w:r w:rsidR="00B7671B">
        <w:t xml:space="preserve"> </w:t>
      </w:r>
      <w:r w:rsidR="00AD450C">
        <w:t>To deliver reliability improvements, t</w:t>
      </w:r>
      <w:r w:rsidR="00C56C0A">
        <w:t xml:space="preserve">he CIS </w:t>
      </w:r>
      <w:r w:rsidR="00422B2E">
        <w:t>builds upon</w:t>
      </w:r>
      <w:r w:rsidR="00C56C0A">
        <w:t xml:space="preserve"> </w:t>
      </w:r>
      <w:r w:rsidR="00422B2E">
        <w:t>the mechanisms in</w:t>
      </w:r>
      <w:r w:rsidR="00C56C0A">
        <w:t xml:space="preserve"> </w:t>
      </w:r>
      <w:r w:rsidR="00422B2E">
        <w:t>Australia’s</w:t>
      </w:r>
      <w:r w:rsidR="00E82BBB">
        <w:t xml:space="preserve"> </w:t>
      </w:r>
      <w:r w:rsidR="008E2845">
        <w:t xml:space="preserve">competitive and observable </w:t>
      </w:r>
      <w:r w:rsidR="00E82BBB">
        <w:t xml:space="preserve">electricity </w:t>
      </w:r>
      <w:r w:rsidR="008E2845">
        <w:t>wholesale markets</w:t>
      </w:r>
      <w:r w:rsidR="00422B2E">
        <w:t xml:space="preserve">. </w:t>
      </w:r>
      <w:r w:rsidR="008E2845">
        <w:t xml:space="preserve"> </w:t>
      </w:r>
      <w:r w:rsidR="00920ED9">
        <w:t xml:space="preserve">For the purposes of the CIS, </w:t>
      </w:r>
      <w:r w:rsidR="007D40E8">
        <w:t xml:space="preserve">Australian electricity markets refer to </w:t>
      </w:r>
      <w:r w:rsidR="00BE27E8">
        <w:t>the National Electricity Market</w:t>
      </w:r>
      <w:r w:rsidR="007D40E8">
        <w:t xml:space="preserve"> </w:t>
      </w:r>
      <w:r w:rsidR="00FB47AE">
        <w:t xml:space="preserve">(NEM) </w:t>
      </w:r>
      <w:r w:rsidR="007D40E8">
        <w:t xml:space="preserve">and </w:t>
      </w:r>
      <w:r w:rsidR="00E978F8">
        <w:t xml:space="preserve">the </w:t>
      </w:r>
      <w:r w:rsidR="00727C9C">
        <w:t>Western Australian</w:t>
      </w:r>
      <w:r w:rsidR="00EC22BE">
        <w:t>,</w:t>
      </w:r>
      <w:r w:rsidR="00727C9C">
        <w:t xml:space="preserve"> Wholesale Electricity Market</w:t>
      </w:r>
      <w:r w:rsidR="00FB47AE">
        <w:t xml:space="preserve"> (WEM)</w:t>
      </w:r>
      <w:r w:rsidR="0076406D">
        <w:t xml:space="preserve"> for</w:t>
      </w:r>
      <w:r w:rsidR="003844D9">
        <w:t xml:space="preserve"> the </w:t>
      </w:r>
      <w:r w:rsidR="003844D9" w:rsidRPr="00575AAC">
        <w:t>South</w:t>
      </w:r>
      <w:r w:rsidR="007E7B99">
        <w:t>-</w:t>
      </w:r>
      <w:r w:rsidR="003844D9" w:rsidRPr="00575AAC">
        <w:t>West Interconnected System</w:t>
      </w:r>
      <w:r w:rsidR="00FB47AE">
        <w:t xml:space="preserve"> (SWIS)</w:t>
      </w:r>
      <w:r w:rsidR="00BE27E8">
        <w:t xml:space="preserve">. </w:t>
      </w:r>
      <w:r w:rsidR="00AC3281">
        <w:t>O</w:t>
      </w:r>
      <w:r w:rsidR="005843ED">
        <w:t xml:space="preserve">ptions </w:t>
      </w:r>
      <w:r w:rsidR="00AC3281">
        <w:t xml:space="preserve">are also being explored </w:t>
      </w:r>
      <w:r w:rsidR="005843ED">
        <w:t>to support capacity in the Darwin-Katherine Electricity System (DKIS)</w:t>
      </w:r>
      <w:r w:rsidR="00AC3281">
        <w:t xml:space="preserve"> through the CIS</w:t>
      </w:r>
      <w:r w:rsidR="005843ED">
        <w:t xml:space="preserve">. </w:t>
      </w:r>
      <w:r w:rsidR="000F6CDA">
        <w:t>T</w:t>
      </w:r>
      <w:r w:rsidR="00AD2952">
        <w:t xml:space="preserve">he CIS </w:t>
      </w:r>
      <w:r w:rsidR="0011404A">
        <w:t>will not operate in</w:t>
      </w:r>
      <w:r w:rsidR="00AD2952">
        <w:t xml:space="preserve"> </w:t>
      </w:r>
      <w:r w:rsidR="00E12FF9">
        <w:t>off-grid</w:t>
      </w:r>
      <w:r w:rsidR="00AD2952">
        <w:t xml:space="preserve"> electricity grids </w:t>
      </w:r>
      <w:r w:rsidR="00E12FF9">
        <w:t>or small stand-alone electricity networks</w:t>
      </w:r>
      <w:r w:rsidR="00870166">
        <w:t xml:space="preserve"> without established competitive and observable wholesale electricity </w:t>
      </w:r>
      <w:r w:rsidR="009E142F">
        <w:t>markets</w:t>
      </w:r>
      <w:r w:rsidR="00E12FF9">
        <w:t>.</w:t>
      </w:r>
      <w:r w:rsidR="00920ED9">
        <w:t xml:space="preserve"> </w:t>
      </w:r>
    </w:p>
    <w:p w14:paraId="413AD81E" w14:textId="58075A20" w:rsidR="00F31E8B" w:rsidRDefault="00C22E99" w:rsidP="00F31E8B">
      <w:r>
        <w:t xml:space="preserve">A reliability target will be developed to </w:t>
      </w:r>
      <w:r w:rsidR="00865791">
        <w:t xml:space="preserve">guide the </w:t>
      </w:r>
      <w:r w:rsidR="00741542">
        <w:t xml:space="preserve">location of the 6GW of </w:t>
      </w:r>
      <w:r w:rsidR="00865791">
        <w:t xml:space="preserve">dispatchable capacity </w:t>
      </w:r>
      <w:r w:rsidR="005B26B1">
        <w:t>being financed through the CIS</w:t>
      </w:r>
      <w:r w:rsidR="002B571A">
        <w:t xml:space="preserve"> </w:t>
      </w:r>
      <w:r w:rsidR="00865791">
        <w:t xml:space="preserve">across jurisdictions. </w:t>
      </w:r>
      <w:r w:rsidR="00F31E8B">
        <w:t>This involves bespoke modelling leveraging</w:t>
      </w:r>
      <w:r w:rsidR="001B6915">
        <w:t xml:space="preserve"> a combination of analysis</w:t>
      </w:r>
      <w:r w:rsidR="00F31E8B">
        <w:t xml:space="preserve"> from the latest AEMO Integrated System Plan (ISP) and Electricity Statement of Opportunities (ESOO). See below Figure 1 outlining the process. </w:t>
      </w:r>
    </w:p>
    <w:p w14:paraId="5A99A803" w14:textId="77777777" w:rsidR="00FC5882" w:rsidRPr="000979B9" w:rsidRDefault="00FC5882" w:rsidP="00FC5882">
      <w:r>
        <w:rPr>
          <w:noProof/>
        </w:rPr>
        <w:drawing>
          <wp:inline distT="0" distB="0" distL="0" distR="0" wp14:anchorId="53CF6FAD" wp14:editId="2E4EEA54">
            <wp:extent cx="5676900" cy="127867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41FCCA9" w14:textId="46FDB409" w:rsidR="00C17D85" w:rsidRDefault="00C97E59" w:rsidP="00C17D85">
      <w:r>
        <w:t xml:space="preserve">In setting </w:t>
      </w:r>
      <w:r w:rsidR="4B7F5289">
        <w:t xml:space="preserve">overall and jurisdictional </w:t>
      </w:r>
      <w:r>
        <w:t xml:space="preserve">targets for </w:t>
      </w:r>
      <w:r w:rsidR="00C62687">
        <w:t>electricity grids</w:t>
      </w:r>
      <w:r w:rsidR="00354CAD">
        <w:t>,</w:t>
      </w:r>
      <w:r w:rsidR="00C62687">
        <w:t xml:space="preserve"> </w:t>
      </w:r>
      <w:r>
        <w:t>the following principles will be applied:</w:t>
      </w:r>
    </w:p>
    <w:p w14:paraId="574ADE22" w14:textId="57B55B8B" w:rsidR="00C97E59" w:rsidRDefault="00CF4584" w:rsidP="001D13B8">
      <w:pPr>
        <w:pStyle w:val="ListParagraph"/>
        <w:numPr>
          <w:ilvl w:val="0"/>
          <w:numId w:val="13"/>
        </w:numPr>
      </w:pPr>
      <w:r w:rsidRPr="004C2025">
        <w:rPr>
          <w:b/>
        </w:rPr>
        <w:t>Transparent</w:t>
      </w:r>
      <w:r w:rsidRPr="006C6562">
        <w:rPr>
          <w:b/>
          <w:bCs/>
        </w:rPr>
        <w:t>:</w:t>
      </w:r>
      <w:r>
        <w:t xml:space="preserve"> Targets will be set based on publicly available forecasts, </w:t>
      </w:r>
      <w:r w:rsidR="00C62687">
        <w:t>with jurisdictions to be consulted on assumptions and methodology</w:t>
      </w:r>
      <w:r w:rsidR="002E716A">
        <w:t>.</w:t>
      </w:r>
    </w:p>
    <w:p w14:paraId="7920D83B" w14:textId="1BD60CFA" w:rsidR="00C97E59" w:rsidRDefault="00D520D9" w:rsidP="001D13B8">
      <w:pPr>
        <w:pStyle w:val="ListParagraph"/>
        <w:numPr>
          <w:ilvl w:val="0"/>
          <w:numId w:val="13"/>
        </w:numPr>
      </w:pPr>
      <w:r w:rsidRPr="004C2025">
        <w:rPr>
          <w:b/>
        </w:rPr>
        <w:t>Aligned to reliability needs</w:t>
      </w:r>
      <w:r w:rsidR="00E663F8" w:rsidRPr="004C2025">
        <w:rPr>
          <w:b/>
        </w:rPr>
        <w:t>:</w:t>
      </w:r>
      <w:r w:rsidR="00E663F8">
        <w:t xml:space="preserve"> The targets will </w:t>
      </w:r>
      <w:r w:rsidR="0022294D">
        <w:t xml:space="preserve">be </w:t>
      </w:r>
      <w:r w:rsidR="00761744">
        <w:t>set</w:t>
      </w:r>
      <w:r w:rsidR="0022294D">
        <w:t xml:space="preserve"> to align </w:t>
      </w:r>
      <w:r w:rsidR="00761744">
        <w:t>with</w:t>
      </w:r>
      <w:r w:rsidR="0022294D">
        <w:t xml:space="preserve"> reliability needs </w:t>
      </w:r>
      <w:r w:rsidR="00776DA1">
        <w:t>of each jurisdiction</w:t>
      </w:r>
      <w:r w:rsidR="002E716A">
        <w:t>.</w:t>
      </w:r>
    </w:p>
    <w:p w14:paraId="078C7BEC" w14:textId="344B5CFC" w:rsidR="74852CBC" w:rsidRDefault="001D4A3E" w:rsidP="2560C8C2">
      <w:pPr>
        <w:pStyle w:val="ListParagraph"/>
        <w:numPr>
          <w:ilvl w:val="0"/>
          <w:numId w:val="13"/>
        </w:numPr>
      </w:pPr>
      <w:r w:rsidRPr="006C6562">
        <w:rPr>
          <w:b/>
          <w:bCs/>
        </w:rPr>
        <w:t>Affordable</w:t>
      </w:r>
      <w:r w:rsidR="74852CBC" w:rsidRPr="006C6562">
        <w:rPr>
          <w:b/>
          <w:bCs/>
        </w:rPr>
        <w:t>:</w:t>
      </w:r>
      <w:r w:rsidR="74852CBC" w:rsidRPr="2560C8C2">
        <w:t xml:space="preserve"> The targets will be set to incentivise least cost/highest value provision of capacity to del</w:t>
      </w:r>
      <w:r w:rsidR="49DB2326" w:rsidRPr="2560C8C2">
        <w:t>iver affordability outcomes for custo</w:t>
      </w:r>
      <w:r w:rsidR="74852CBC" w:rsidRPr="2560C8C2">
        <w:t>mers</w:t>
      </w:r>
      <w:r w:rsidR="000E4BEA">
        <w:t>.</w:t>
      </w:r>
    </w:p>
    <w:p w14:paraId="6666C018" w14:textId="41F6A27B" w:rsidR="00C97E59" w:rsidRDefault="00F30626" w:rsidP="001D13B8">
      <w:pPr>
        <w:pStyle w:val="ListParagraph"/>
        <w:numPr>
          <w:ilvl w:val="0"/>
          <w:numId w:val="13"/>
        </w:numPr>
      </w:pPr>
      <w:r w:rsidRPr="004C2025">
        <w:rPr>
          <w:b/>
        </w:rPr>
        <w:t xml:space="preserve">Fair and </w:t>
      </w:r>
      <w:r w:rsidR="00761744" w:rsidRPr="004C2025">
        <w:rPr>
          <w:b/>
        </w:rPr>
        <w:t>objective:</w:t>
      </w:r>
      <w:r w:rsidR="00761744">
        <w:t xml:space="preserve"> The targets will be </w:t>
      </w:r>
      <w:r w:rsidR="0009263A">
        <w:t xml:space="preserve">set </w:t>
      </w:r>
      <w:r w:rsidR="00575AAC">
        <w:t xml:space="preserve">based on modelled system needs, </w:t>
      </w:r>
      <w:r w:rsidR="0009263A">
        <w:t>independent of</w:t>
      </w:r>
      <w:r w:rsidR="00A750F5">
        <w:t xml:space="preserve"> existing or announced state </w:t>
      </w:r>
      <w:r w:rsidR="7B654086">
        <w:t>and territory</w:t>
      </w:r>
      <w:r w:rsidR="00A750F5">
        <w:t xml:space="preserve"> targets, </w:t>
      </w:r>
      <w:r w:rsidR="00FB6C14">
        <w:t>initiatives</w:t>
      </w:r>
      <w:r w:rsidR="00AC785E">
        <w:t xml:space="preserve">, or funding programs for </w:t>
      </w:r>
      <w:r w:rsidR="00776DA1">
        <w:t xml:space="preserve">new </w:t>
      </w:r>
      <w:r w:rsidR="00AC785E">
        <w:t>capacity</w:t>
      </w:r>
      <w:r w:rsidR="00A90A13">
        <w:t>.</w:t>
      </w:r>
      <w:r w:rsidR="00494F46">
        <w:t xml:space="preserve"> </w:t>
      </w:r>
    </w:p>
    <w:p w14:paraId="4BE97966" w14:textId="2DC425D2" w:rsidR="00857418" w:rsidRDefault="00323841" w:rsidP="001D13B8">
      <w:pPr>
        <w:pStyle w:val="ListParagraph"/>
        <w:numPr>
          <w:ilvl w:val="0"/>
          <w:numId w:val="13"/>
        </w:numPr>
      </w:pPr>
      <w:r>
        <w:rPr>
          <w:b/>
        </w:rPr>
        <w:t>Clean t</w:t>
      </w:r>
      <w:r w:rsidR="00857418" w:rsidRPr="006C6562">
        <w:rPr>
          <w:b/>
        </w:rPr>
        <w:t>echnology agnostic:</w:t>
      </w:r>
      <w:r w:rsidR="00574CC1">
        <w:t xml:space="preserve"> </w:t>
      </w:r>
      <w:r w:rsidR="00EB2DA6" w:rsidRPr="00EB2DA6">
        <w:t>T</w:t>
      </w:r>
      <w:r w:rsidR="00EB2DA6">
        <w:t>he t</w:t>
      </w:r>
      <w:r w:rsidR="00EB2DA6" w:rsidRPr="00EB2DA6">
        <w:t>argets will be set to recognise the contribution to reliability of a broad range of zero emission technologies</w:t>
      </w:r>
      <w:r w:rsidR="007B236D">
        <w:t xml:space="preserve">, consistent with the Government’s target of an 82% on-grid renewable energy system. </w:t>
      </w:r>
    </w:p>
    <w:p w14:paraId="657D144A" w14:textId="39B0902E" w:rsidR="004608F3" w:rsidRDefault="004608F3" w:rsidP="004608F3">
      <w:pPr>
        <w:pStyle w:val="ListParagraph"/>
        <w:numPr>
          <w:ilvl w:val="0"/>
          <w:numId w:val="13"/>
        </w:numPr>
      </w:pPr>
      <w:r w:rsidRPr="6F4A8F68">
        <w:rPr>
          <w:b/>
          <w:bCs/>
        </w:rPr>
        <w:t>Capped:</w:t>
      </w:r>
      <w:r>
        <w:t xml:space="preserve"> While aligning to reliability needs, the targets will be set with reference to </w:t>
      </w:r>
      <w:r w:rsidR="7D515AC9">
        <w:t xml:space="preserve">financial </w:t>
      </w:r>
      <w:r>
        <w:t>budget caps rather than a specific reliability standard. The budget cap for 2030 has been set based on enabling 6GW of capacity in medium storage equivalents across Australia’s electricity grids.</w:t>
      </w:r>
    </w:p>
    <w:p w14:paraId="08BDB94D" w14:textId="4CA588AA" w:rsidR="00A84C99" w:rsidRDefault="00D461EC" w:rsidP="00C17D85">
      <w:pPr>
        <w:pStyle w:val="Heading3"/>
      </w:pPr>
      <w:bookmarkStart w:id="114" w:name="_Toc139196513"/>
      <w:bookmarkStart w:id="115" w:name="_Toc141783167"/>
      <w:r>
        <w:t xml:space="preserve">Defining the </w:t>
      </w:r>
      <w:r w:rsidR="00A84C99">
        <w:t>reliability target</w:t>
      </w:r>
      <w:bookmarkEnd w:id="114"/>
      <w:bookmarkEnd w:id="115"/>
    </w:p>
    <w:p w14:paraId="5399D5BE" w14:textId="5E2F3BA3" w:rsidR="00603C08" w:rsidRDefault="00603C08" w:rsidP="00603C08">
      <w:r>
        <w:t xml:space="preserve">Reliability targets will be set consistent with forecasts of the total quantum of capacity required to be built in each jurisdiction between </w:t>
      </w:r>
      <w:r w:rsidR="001F48EB">
        <w:t>FY</w:t>
      </w:r>
      <w:r w:rsidDel="00AC1F39">
        <w:t>2</w:t>
      </w:r>
      <w:r w:rsidR="001F48EB">
        <w:t>6</w:t>
      </w:r>
      <w:r w:rsidDel="00AC1F39">
        <w:t xml:space="preserve"> </w:t>
      </w:r>
      <w:r>
        <w:t xml:space="preserve">and </w:t>
      </w:r>
      <w:r w:rsidR="001F48EB">
        <w:t>FY</w:t>
      </w:r>
      <w:r>
        <w:t xml:space="preserve">2030 to meet overall reliability needs, to the extent </w:t>
      </w:r>
      <w:r>
        <w:lastRenderedPageBreak/>
        <w:t xml:space="preserve">achievable </w:t>
      </w:r>
      <w:r w:rsidR="00FD5015">
        <w:t xml:space="preserve">under financial budget caps. </w:t>
      </w:r>
      <w:r>
        <w:t>The reliability targets are expected to be expressed in terms of capacity (MW</w:t>
      </w:r>
      <w:r w:rsidR="00CF15AD">
        <w:t xml:space="preserve">), medium storage (4 hour) equivalents. </w:t>
      </w:r>
    </w:p>
    <w:p w14:paraId="349C1B25" w14:textId="3E5A9612" w:rsidR="00E828E7" w:rsidRDefault="00603C08" w:rsidP="00EF327B">
      <w:r>
        <w:t>It is expected that t</w:t>
      </w:r>
      <w:r w:rsidR="00AF2F8A">
        <w:t>he</w:t>
      </w:r>
      <w:r w:rsidR="00611AFB">
        <w:t xml:space="preserve"> tender process </w:t>
      </w:r>
      <w:r w:rsidR="00AF2F8A">
        <w:t xml:space="preserve">will </w:t>
      </w:r>
      <w:r w:rsidR="00801865">
        <w:t xml:space="preserve">then </w:t>
      </w:r>
      <w:r w:rsidR="00AF2F8A">
        <w:t xml:space="preserve">determine the total rated capacity to be </w:t>
      </w:r>
      <w:r w:rsidR="004956C0">
        <w:t xml:space="preserve">attributed </w:t>
      </w:r>
      <w:r w:rsidR="00611AFB">
        <w:t xml:space="preserve">to individual projects </w:t>
      </w:r>
      <w:r w:rsidR="00941D08">
        <w:t xml:space="preserve">to assess their contribution to </w:t>
      </w:r>
      <w:r w:rsidR="00EF476F">
        <w:t>the reliability target</w:t>
      </w:r>
      <w:r w:rsidR="00801865">
        <w:t xml:space="preserve"> based on both location and technology type.</w:t>
      </w:r>
      <w:r w:rsidR="00106C92">
        <w:t xml:space="preserve"> Further information on this process is set out </w:t>
      </w:r>
      <w:r w:rsidR="00C93E7F">
        <w:t xml:space="preserve">below </w:t>
      </w:r>
      <w:r w:rsidR="00106C92">
        <w:t xml:space="preserve">in </w:t>
      </w:r>
      <w:r w:rsidR="00106C92" w:rsidRPr="0072439F">
        <w:t xml:space="preserve">Section </w:t>
      </w:r>
      <w:r w:rsidR="0072439F" w:rsidRPr="0072439F">
        <w:t>3.1.3</w:t>
      </w:r>
      <w:r w:rsidR="00C46560">
        <w:t xml:space="preserve">. </w:t>
      </w:r>
    </w:p>
    <w:p w14:paraId="243D65C4" w14:textId="69248757" w:rsidR="005435DE" w:rsidRDefault="005435DE" w:rsidP="00EF327B">
      <w:r>
        <w:t>The reliability targets w</w:t>
      </w:r>
      <w:r w:rsidR="0099232D">
        <w:t>ould</w:t>
      </w:r>
      <w:r>
        <w:t xml:space="preserve"> </w:t>
      </w:r>
      <w:r w:rsidR="0086022C">
        <w:t>be expressed as target</w:t>
      </w:r>
      <w:r w:rsidR="00005CD3">
        <w:t>ed commissioning or entry dates for projects (</w:t>
      </w:r>
      <w:r w:rsidR="002374D4">
        <w:t>“build” targets)</w:t>
      </w:r>
      <w:r w:rsidR="00DC6174">
        <w:t xml:space="preserve"> and converted to </w:t>
      </w:r>
      <w:r w:rsidR="00D61CE6">
        <w:t xml:space="preserve">specific tender </w:t>
      </w:r>
      <w:r w:rsidR="00012B42">
        <w:t>targets</w:t>
      </w:r>
      <w:r w:rsidR="00D61CE6">
        <w:t xml:space="preserve"> in each jurisdiction (i.e. </w:t>
      </w:r>
      <w:r w:rsidR="00DC6174">
        <w:t xml:space="preserve">“buy” </w:t>
      </w:r>
      <w:r w:rsidR="00D61CE6">
        <w:t>targets)</w:t>
      </w:r>
      <w:r w:rsidR="007C13B1">
        <w:t xml:space="preserve"> </w:t>
      </w:r>
      <w:r w:rsidR="00DC6174">
        <w:t xml:space="preserve">reflecting </w:t>
      </w:r>
      <w:r w:rsidR="00D95BE2">
        <w:t>lead times between tender award</w:t>
      </w:r>
      <w:r w:rsidR="002D3CBB">
        <w:t xml:space="preserve"> and project operation.</w:t>
      </w:r>
      <w:r w:rsidR="0086022C">
        <w:t xml:space="preserve"> </w:t>
      </w:r>
    </w:p>
    <w:p w14:paraId="4DDF0F36" w14:textId="39690B11" w:rsidR="005435DE" w:rsidRDefault="00E46BD4" w:rsidP="00EF327B">
      <w:r>
        <w:t xml:space="preserve">The reliability targets </w:t>
      </w:r>
      <w:r w:rsidR="007C13B1">
        <w:t xml:space="preserve">and tender targets </w:t>
      </w:r>
      <w:r>
        <w:t>w</w:t>
      </w:r>
      <w:r w:rsidR="001D0406">
        <w:t>ould</w:t>
      </w:r>
      <w:r>
        <w:t xml:space="preserve"> be updated on an annual basis to reflect latest assumptions and changes in market and regulatory settings.</w:t>
      </w:r>
    </w:p>
    <w:p w14:paraId="717A6C14" w14:textId="5248326E" w:rsidR="00A84C99" w:rsidRDefault="0050297E" w:rsidP="00C17D85">
      <w:pPr>
        <w:pStyle w:val="Heading3"/>
      </w:pPr>
      <w:bookmarkStart w:id="116" w:name="_Toc139196514"/>
      <w:bookmarkStart w:id="117" w:name="_Toc141783168"/>
      <w:r>
        <w:t>Modelling system needs and reliability targets</w:t>
      </w:r>
      <w:bookmarkEnd w:id="117"/>
      <w:r>
        <w:t xml:space="preserve"> </w:t>
      </w:r>
      <w:bookmarkEnd w:id="116"/>
    </w:p>
    <w:p w14:paraId="78920A00" w14:textId="77777777" w:rsidR="00C70A19" w:rsidRDefault="008F531A" w:rsidP="00C02C02">
      <w:r w:rsidRPr="008F531A">
        <w:t xml:space="preserve">The CIS is expected to bring forward at least $10 billion of new investment and 6 GW of clean dispatchable capacity by 2030. Tenders for this capacity will be progressively rolled out from 2023. The 6GW figure is based on AEMO modelling from the ISP </w:t>
      </w:r>
      <w:r w:rsidRPr="00EF4A29">
        <w:rPr>
          <w:i/>
          <w:iCs/>
        </w:rPr>
        <w:t>Step Change</w:t>
      </w:r>
      <w:r w:rsidRPr="008F531A">
        <w:t xml:space="preserve"> Scenario, as well as publicly available system plans for other electricity grids.</w:t>
      </w:r>
    </w:p>
    <w:p w14:paraId="74364DFF" w14:textId="16B9FFAB" w:rsidR="00F610C9" w:rsidRDefault="00B5623A" w:rsidP="00C02C02">
      <w:r>
        <w:t xml:space="preserve">Forecasts </w:t>
      </w:r>
      <w:r w:rsidR="00EC14F4">
        <w:t xml:space="preserve">underpinning reliability targets </w:t>
      </w:r>
      <w:r w:rsidR="009C6870">
        <w:t xml:space="preserve">will </w:t>
      </w:r>
      <w:r>
        <w:t xml:space="preserve">be </w:t>
      </w:r>
      <w:r w:rsidR="00EC14F4">
        <w:t>derived from</w:t>
      </w:r>
      <w:r>
        <w:t xml:space="preserve"> modellin</w:t>
      </w:r>
      <w:r w:rsidR="00EC14F4">
        <w:t xml:space="preserve">g </w:t>
      </w:r>
      <w:r w:rsidR="00EC14F4">
        <w:rPr>
          <w:lang w:val="en-GB" w:eastAsia="en-AU"/>
        </w:rPr>
        <w:t>of the total</w:t>
      </w:r>
      <w:r w:rsidR="00FE7E1F">
        <w:rPr>
          <w:lang w:val="en-GB" w:eastAsia="en-AU"/>
        </w:rPr>
        <w:t xml:space="preserve"> dispatchable </w:t>
      </w:r>
      <w:r w:rsidR="007C13B1">
        <w:rPr>
          <w:lang w:val="en-GB" w:eastAsia="en-AU"/>
        </w:rPr>
        <w:t>and</w:t>
      </w:r>
      <w:r w:rsidR="00FE7E1F">
        <w:rPr>
          <w:lang w:val="en-GB" w:eastAsia="en-AU"/>
        </w:rPr>
        <w:t xml:space="preserve"> non-dispatchable capacity</w:t>
      </w:r>
      <w:r w:rsidR="00175885">
        <w:rPr>
          <w:lang w:val="en-GB" w:eastAsia="en-AU"/>
        </w:rPr>
        <w:t xml:space="preserve"> </w:t>
      </w:r>
      <w:r w:rsidR="00111D73">
        <w:rPr>
          <w:lang w:val="en-GB" w:eastAsia="en-AU"/>
        </w:rPr>
        <w:t xml:space="preserve">required in each year </w:t>
      </w:r>
      <w:r w:rsidR="008A08C5">
        <w:rPr>
          <w:lang w:val="en-GB" w:eastAsia="en-AU"/>
        </w:rPr>
        <w:t>to maintain reliability needs</w:t>
      </w:r>
      <w:r w:rsidR="00AF76BC">
        <w:rPr>
          <w:lang w:val="en-GB" w:eastAsia="en-AU"/>
        </w:rPr>
        <w:t>,</w:t>
      </w:r>
      <w:r w:rsidR="0001469D">
        <w:rPr>
          <w:lang w:val="en-GB" w:eastAsia="en-AU"/>
        </w:rPr>
        <w:t xml:space="preserve"> </w:t>
      </w:r>
      <w:r w:rsidR="007C13B1">
        <w:rPr>
          <w:lang w:val="en-GB" w:eastAsia="en-AU"/>
        </w:rPr>
        <w:t xml:space="preserve">in total and </w:t>
      </w:r>
      <w:r w:rsidR="00175885">
        <w:rPr>
          <w:lang w:val="en-GB" w:eastAsia="en-AU"/>
        </w:rPr>
        <w:t>for each jur</w:t>
      </w:r>
      <w:r w:rsidR="002F699E">
        <w:rPr>
          <w:lang w:val="en-GB" w:eastAsia="en-AU"/>
        </w:rPr>
        <w:t>i</w:t>
      </w:r>
      <w:r w:rsidR="00175885">
        <w:rPr>
          <w:lang w:val="en-GB" w:eastAsia="en-AU"/>
        </w:rPr>
        <w:t>s</w:t>
      </w:r>
      <w:r w:rsidR="002F699E">
        <w:rPr>
          <w:lang w:val="en-GB" w:eastAsia="en-AU"/>
        </w:rPr>
        <w:t>d</w:t>
      </w:r>
      <w:r w:rsidR="00175885">
        <w:rPr>
          <w:lang w:val="en-GB" w:eastAsia="en-AU"/>
        </w:rPr>
        <w:t>iction</w:t>
      </w:r>
      <w:r w:rsidR="00AF76BC">
        <w:rPr>
          <w:lang w:val="en-GB" w:eastAsia="en-AU"/>
        </w:rPr>
        <w:t>,</w:t>
      </w:r>
      <w:r w:rsidR="009C6870">
        <w:rPr>
          <w:lang w:val="en-GB" w:eastAsia="en-AU"/>
        </w:rPr>
        <w:t xml:space="preserve"> </w:t>
      </w:r>
      <w:r w:rsidR="00513759">
        <w:rPr>
          <w:lang w:val="en-GB" w:eastAsia="en-AU"/>
        </w:rPr>
        <w:t>and converted to</w:t>
      </w:r>
      <w:r w:rsidR="0034079B">
        <w:rPr>
          <w:lang w:val="en-GB" w:eastAsia="en-AU"/>
        </w:rPr>
        <w:t xml:space="preserve"> </w:t>
      </w:r>
      <w:r w:rsidR="0034079B">
        <w:t>capacity (MW)</w:t>
      </w:r>
      <w:r w:rsidR="00EF072A">
        <w:t xml:space="preserve"> in medium storage equivalents.</w:t>
      </w:r>
      <w:r w:rsidR="00911B2F">
        <w:t xml:space="preserve"> </w:t>
      </w:r>
      <w:r w:rsidR="00F610C9">
        <w:t>The conversion ensures that the target is expressed in a technology agnostic way.</w:t>
      </w:r>
    </w:p>
    <w:p w14:paraId="30E002EC" w14:textId="0DDA6BB0" w:rsidR="00752B44" w:rsidRDefault="00513759" w:rsidP="003B06D0">
      <w:r>
        <w:t>The</w:t>
      </w:r>
      <w:r w:rsidR="00EC14F4">
        <w:t xml:space="preserve"> total capacity requirement forecast for 2030 </w:t>
      </w:r>
      <w:r w:rsidR="009C6870">
        <w:t xml:space="preserve">for Australia’s electricity grids </w:t>
      </w:r>
      <w:r w:rsidR="00EC14F4">
        <w:t>will be compared against the 6GW cap</w:t>
      </w:r>
      <w:r w:rsidR="00B45064">
        <w:t xml:space="preserve"> </w:t>
      </w:r>
      <w:r w:rsidR="007F2021">
        <w:t xml:space="preserve">(in medium storage equivalents) </w:t>
      </w:r>
      <w:r w:rsidR="00B45064">
        <w:t>for 2030</w:t>
      </w:r>
      <w:r w:rsidR="00EC14F4">
        <w:t xml:space="preserve"> </w:t>
      </w:r>
      <w:r w:rsidR="007C13B1">
        <w:t>already</w:t>
      </w:r>
      <w:r w:rsidR="00EC14F4">
        <w:t xml:space="preserve"> identified by the Commonw</w:t>
      </w:r>
      <w:r w:rsidR="009C6870">
        <w:t>e</w:t>
      </w:r>
      <w:r w:rsidR="00EC14F4">
        <w:t>alth</w:t>
      </w:r>
      <w:r w:rsidR="00FB6A8B">
        <w:t xml:space="preserve">. The 6GW is likely to represent a substantial contribution to the overall capacity requirement but </w:t>
      </w:r>
      <w:r w:rsidR="00B51A2B">
        <w:t>is not intended to be</w:t>
      </w:r>
      <w:r w:rsidR="00B45064">
        <w:t xml:space="preserve"> sufficient to meet</w:t>
      </w:r>
      <w:r w:rsidR="00FB6A8B">
        <w:t xml:space="preserve"> 100%</w:t>
      </w:r>
      <w:r w:rsidR="00B45064">
        <w:t xml:space="preserve"> of Australia’s need for both dispatchable and non-dispatchable</w:t>
      </w:r>
      <w:r w:rsidR="00C73C17">
        <w:t xml:space="preserve"> (e.g. VRE)</w:t>
      </w:r>
      <w:r w:rsidR="00B45064">
        <w:t xml:space="preserve"> capacity</w:t>
      </w:r>
      <w:r w:rsidR="00FB6A8B">
        <w:t xml:space="preserve">. </w:t>
      </w:r>
      <w:r w:rsidR="00DD5F1B">
        <w:t>Substantial volumes of</w:t>
      </w:r>
      <w:r w:rsidR="00072359">
        <w:t xml:space="preserve"> dispatchable and non-dispatchable capacity </w:t>
      </w:r>
      <w:r w:rsidR="002B5EC4">
        <w:t xml:space="preserve">are </w:t>
      </w:r>
      <w:r w:rsidR="00DD5F1B">
        <w:t xml:space="preserve">also </w:t>
      </w:r>
      <w:r w:rsidR="00072359">
        <w:t>expected to be built outside of the CIS</w:t>
      </w:r>
      <w:r w:rsidR="00C664EB">
        <w:t>, including by investors responding to market price signals and</w:t>
      </w:r>
      <w:r w:rsidR="00090715">
        <w:t xml:space="preserve"> potentially</w:t>
      </w:r>
      <w:r w:rsidR="00C664EB">
        <w:t xml:space="preserve"> </w:t>
      </w:r>
      <w:r w:rsidR="00752B44">
        <w:t>through</w:t>
      </w:r>
      <w:r w:rsidR="00B7674B">
        <w:t xml:space="preserve"> state and territory</w:t>
      </w:r>
      <w:r w:rsidR="00752B44">
        <w:t xml:space="preserve"> </w:t>
      </w:r>
      <w:r w:rsidR="00C664EB">
        <w:t xml:space="preserve">government </w:t>
      </w:r>
      <w:r w:rsidR="00752B44">
        <w:t>support in each jurisdiction</w:t>
      </w:r>
      <w:r w:rsidR="00A70DC1">
        <w:t xml:space="preserve"> (e.g. NSW Electricity Infrastructure Roadmap, WA </w:t>
      </w:r>
      <w:r w:rsidR="000F12D0">
        <w:t>Reserve Capacity Mechanism)</w:t>
      </w:r>
      <w:r w:rsidR="00752B44">
        <w:t xml:space="preserve">. </w:t>
      </w:r>
    </w:p>
    <w:p w14:paraId="3B211AE9" w14:textId="69D343A9" w:rsidR="00347C35" w:rsidRPr="001F54DD" w:rsidRDefault="002F44FA" w:rsidP="003B06D0">
      <w:r>
        <w:t>Where the CIS allocation of 6GW is not sufficient</w:t>
      </w:r>
      <w:r w:rsidR="00C6201E">
        <w:t xml:space="preserve"> </w:t>
      </w:r>
      <w:r w:rsidR="00172D1F">
        <w:t xml:space="preserve">to meet the </w:t>
      </w:r>
      <w:r w:rsidR="749550A9">
        <w:t xml:space="preserve">total </w:t>
      </w:r>
      <w:r w:rsidR="00172D1F">
        <w:t>capacity requirements identified by the</w:t>
      </w:r>
      <w:r w:rsidR="00C6201E">
        <w:t xml:space="preserve"> model</w:t>
      </w:r>
      <w:r>
        <w:t>,</w:t>
      </w:r>
      <w:r w:rsidR="00FB6A8B">
        <w:t xml:space="preserve"> the </w:t>
      </w:r>
      <w:r w:rsidR="00B45064">
        <w:t xml:space="preserve">capacity </w:t>
      </w:r>
      <w:r>
        <w:t xml:space="preserve">volumes supported by the CIS </w:t>
      </w:r>
      <w:r w:rsidR="00B45064">
        <w:t>for each jurisdiction</w:t>
      </w:r>
      <w:r w:rsidR="0001469D">
        <w:t xml:space="preserve"> for each year</w:t>
      </w:r>
      <w:r w:rsidR="00B45064">
        <w:t xml:space="preserve"> will be adjusted down</w:t>
      </w:r>
      <w:r w:rsidR="007C13B1">
        <w:t xml:space="preserve"> from the total requirement</w:t>
      </w:r>
      <w:r w:rsidR="00811B18">
        <w:t xml:space="preserve"> in </w:t>
      </w:r>
      <w:r w:rsidR="001611D2">
        <w:t>proportion</w:t>
      </w:r>
      <w:r w:rsidR="00811B18">
        <w:t xml:space="preserve"> to each jurisdiction</w:t>
      </w:r>
      <w:r w:rsidR="001611D2">
        <w:t>’s requirement</w:t>
      </w:r>
      <w:r w:rsidR="00555921">
        <w:t>.</w:t>
      </w:r>
      <w:r w:rsidR="003A44DB">
        <w:t xml:space="preserve"> This will occur in advance </w:t>
      </w:r>
      <w:r w:rsidR="001A1E42">
        <w:t xml:space="preserve">of announcing any tender </w:t>
      </w:r>
      <w:r w:rsidR="005F3C7B">
        <w:t xml:space="preserve">and will be communicated clearly. </w:t>
      </w:r>
    </w:p>
    <w:p w14:paraId="16082AAB" w14:textId="2EBD6C55" w:rsidR="00EF327B" w:rsidRDefault="004F08AA" w:rsidP="00EF327B">
      <w:r>
        <w:t xml:space="preserve">The </w:t>
      </w:r>
      <w:r w:rsidR="00B444FC">
        <w:t xml:space="preserve">CIS will be based on </w:t>
      </w:r>
      <w:r w:rsidR="00EF3EBB">
        <w:t>bespoke</w:t>
      </w:r>
      <w:r>
        <w:t xml:space="preserve"> modelling</w:t>
      </w:r>
      <w:r w:rsidR="00233D58">
        <w:t xml:space="preserve"> that will extend existing analysis and reporting. </w:t>
      </w:r>
      <w:r w:rsidR="00EC1D58">
        <w:t xml:space="preserve">AEMO prepares two key reports which use modelling to forecast the overall needs of the energy system </w:t>
      </w:r>
      <w:r w:rsidR="00A66DB4">
        <w:t>to</w:t>
      </w:r>
      <w:r w:rsidR="00233D58">
        <w:t xml:space="preserve"> be considered</w:t>
      </w:r>
      <w:r w:rsidR="00A66DB4">
        <w:t xml:space="preserve"> in the setting of reliability targets</w:t>
      </w:r>
      <w:r w:rsidR="00233D58">
        <w:t xml:space="preserve">: </w:t>
      </w:r>
    </w:p>
    <w:p w14:paraId="38F65492" w14:textId="28DA0E96" w:rsidR="00B4092E" w:rsidRPr="00B4092E" w:rsidRDefault="00906B10" w:rsidP="00554662">
      <w:pPr>
        <w:pStyle w:val="ListParagraph"/>
        <w:numPr>
          <w:ilvl w:val="0"/>
          <w:numId w:val="47"/>
        </w:numPr>
        <w:rPr>
          <w:lang w:val="en-US"/>
        </w:rPr>
      </w:pPr>
      <w:r w:rsidRPr="004658A6">
        <w:rPr>
          <w:bCs/>
          <w:i/>
          <w:iCs/>
          <w:lang w:val="en-US"/>
        </w:rPr>
        <w:t>AEMO’s Integrated System Plan (ISP)</w:t>
      </w:r>
      <w:r w:rsidRPr="00B4092E">
        <w:rPr>
          <w:lang w:val="en-US"/>
        </w:rPr>
        <w:t xml:space="preserve"> – The ISP sets out a forecast of the </w:t>
      </w:r>
      <w:r w:rsidR="00DD5F1B">
        <w:rPr>
          <w:lang w:val="en-US"/>
        </w:rPr>
        <w:t>long-term</w:t>
      </w:r>
      <w:r w:rsidR="00EC5D3B">
        <w:rPr>
          <w:lang w:val="en-US"/>
        </w:rPr>
        <w:t xml:space="preserve"> </w:t>
      </w:r>
      <w:r w:rsidRPr="00B4092E">
        <w:rPr>
          <w:lang w:val="en-US"/>
        </w:rPr>
        <w:t xml:space="preserve">investment required in transmission, generation and storage capacity by technology type to deliver the needs of the NEM, </w:t>
      </w:r>
      <w:r w:rsidR="00233D58">
        <w:rPr>
          <w:lang w:val="en-US"/>
        </w:rPr>
        <w:t xml:space="preserve">consistent with Commonwealth, state and territory policy, </w:t>
      </w:r>
      <w:r w:rsidRPr="00B4092E">
        <w:rPr>
          <w:lang w:val="en-US"/>
        </w:rPr>
        <w:t>at least cost. The ISP provides forecast</w:t>
      </w:r>
      <w:r w:rsidR="00A20284">
        <w:rPr>
          <w:lang w:val="en-US"/>
        </w:rPr>
        <w:t>s</w:t>
      </w:r>
      <w:r w:rsidRPr="00B4092E">
        <w:rPr>
          <w:lang w:val="en-US"/>
        </w:rPr>
        <w:t xml:space="preserve"> under a range of scenarios including a “most likely” scenario</w:t>
      </w:r>
      <w:r w:rsidR="00464FA1">
        <w:rPr>
          <w:lang w:val="en-US"/>
        </w:rPr>
        <w:t xml:space="preserve"> determined through consultation</w:t>
      </w:r>
      <w:r w:rsidRPr="00B4092E">
        <w:rPr>
          <w:lang w:val="en-US"/>
        </w:rPr>
        <w:t xml:space="preserve">. The ISP </w:t>
      </w:r>
      <w:r w:rsidR="00D448D2" w:rsidRPr="00B4092E">
        <w:rPr>
          <w:lang w:val="en-US"/>
        </w:rPr>
        <w:t>considers</w:t>
      </w:r>
      <w:r w:rsidRPr="00B4092E">
        <w:rPr>
          <w:lang w:val="en-US"/>
        </w:rPr>
        <w:t xml:space="preserve"> existing or legislated state targets, initiatives and funding programs for new capacity as well as announced </w:t>
      </w:r>
      <w:r w:rsidR="007D665D">
        <w:rPr>
          <w:lang w:val="en-US"/>
        </w:rPr>
        <w:t xml:space="preserve">and modelled </w:t>
      </w:r>
      <w:r w:rsidRPr="00B4092E">
        <w:rPr>
          <w:lang w:val="en-US"/>
        </w:rPr>
        <w:lastRenderedPageBreak/>
        <w:t xml:space="preserve">retirement dates for existing coal and gas plants. </w:t>
      </w:r>
      <w:r w:rsidR="00CB4613" w:rsidRPr="00B4092E">
        <w:rPr>
          <w:lang w:val="en-US"/>
        </w:rPr>
        <w:t xml:space="preserve">The ISP does not include forecasts for </w:t>
      </w:r>
      <w:r w:rsidR="00106C92" w:rsidRPr="00B4092E">
        <w:rPr>
          <w:lang w:val="en-US"/>
        </w:rPr>
        <w:t>Australia’s other electricity grids</w:t>
      </w:r>
      <w:r w:rsidR="00854EE5" w:rsidRPr="00B4092E">
        <w:rPr>
          <w:lang w:val="en-US"/>
        </w:rPr>
        <w:t xml:space="preserve">, </w:t>
      </w:r>
      <w:r w:rsidR="002F57B0" w:rsidRPr="00B4092E">
        <w:rPr>
          <w:lang w:val="en-US"/>
        </w:rPr>
        <w:t>although somewhat similar forecasts are available</w:t>
      </w:r>
      <w:r w:rsidR="00106C92" w:rsidRPr="00B4092E">
        <w:rPr>
          <w:lang w:val="en-US"/>
        </w:rPr>
        <w:t xml:space="preserve"> for the SWIS</w:t>
      </w:r>
      <w:r w:rsidR="00B43EA4">
        <w:rPr>
          <w:lang w:val="en-US"/>
        </w:rPr>
        <w:t>.</w:t>
      </w:r>
      <w:r w:rsidRPr="166E46B5">
        <w:rPr>
          <w:rStyle w:val="FootnoteReference"/>
          <w:lang w:val="en-US"/>
        </w:rPr>
        <w:footnoteReference w:id="4"/>
      </w:r>
    </w:p>
    <w:p w14:paraId="20045227" w14:textId="0AC1117E" w:rsidR="001705E0" w:rsidRDefault="00906B10" w:rsidP="00554662">
      <w:pPr>
        <w:pStyle w:val="ListParagraph"/>
        <w:numPr>
          <w:ilvl w:val="0"/>
          <w:numId w:val="47"/>
        </w:numPr>
        <w:rPr>
          <w:lang w:val="en-US"/>
        </w:rPr>
      </w:pPr>
      <w:r w:rsidRPr="004658A6">
        <w:rPr>
          <w:i/>
          <w:iCs/>
          <w:lang w:val="en-US"/>
        </w:rPr>
        <w:t xml:space="preserve">AEMO’s Electricity Statement of Opportunities (ESOO) </w:t>
      </w:r>
      <w:r w:rsidRPr="00B4092E">
        <w:rPr>
          <w:lang w:val="en-US"/>
        </w:rPr>
        <w:t xml:space="preserve">– The ESOO sets out the forecast gap in capacity in each jurisdiction to meet both the reliability standard (0.002% of USE) and the Interim Reliability Measure (0.0006% of USE), over a 10-year period. The ESOO </w:t>
      </w:r>
      <w:r w:rsidR="00CF603D">
        <w:rPr>
          <w:lang w:val="en-US"/>
        </w:rPr>
        <w:t>is based on projects having reached</w:t>
      </w:r>
      <w:r w:rsidRPr="00B4092E">
        <w:rPr>
          <w:lang w:val="en-US"/>
        </w:rPr>
        <w:t xml:space="preserve"> </w:t>
      </w:r>
      <w:r w:rsidR="00AF7564">
        <w:rPr>
          <w:lang w:val="en-US"/>
        </w:rPr>
        <w:t xml:space="preserve">a certain stage in their development and on </w:t>
      </w:r>
      <w:r w:rsidR="00442DC1">
        <w:rPr>
          <w:lang w:val="en-US"/>
        </w:rPr>
        <w:t xml:space="preserve">legislated </w:t>
      </w:r>
      <w:r w:rsidRPr="00B4092E">
        <w:rPr>
          <w:lang w:val="en-US"/>
        </w:rPr>
        <w:t xml:space="preserve">jurisdictional policies </w:t>
      </w:r>
      <w:r w:rsidR="00442DC1">
        <w:rPr>
          <w:lang w:val="en-US"/>
        </w:rPr>
        <w:t xml:space="preserve">and </w:t>
      </w:r>
      <w:r w:rsidRPr="00B4092E">
        <w:rPr>
          <w:lang w:val="en-US"/>
        </w:rPr>
        <w:t xml:space="preserve">announced </w:t>
      </w:r>
      <w:r w:rsidR="00C855F1">
        <w:rPr>
          <w:lang w:val="en-US"/>
        </w:rPr>
        <w:t xml:space="preserve">generator </w:t>
      </w:r>
      <w:r w:rsidRPr="00B4092E">
        <w:rPr>
          <w:lang w:val="en-US"/>
        </w:rPr>
        <w:t xml:space="preserve">retirement dates. </w:t>
      </w:r>
      <w:r w:rsidR="004B0AF7" w:rsidRPr="00B4092E">
        <w:rPr>
          <w:lang w:val="en-US"/>
        </w:rPr>
        <w:t xml:space="preserve">The ESOO </w:t>
      </w:r>
      <w:r w:rsidR="009343B8" w:rsidRPr="00B4092E">
        <w:rPr>
          <w:lang w:val="en-US"/>
        </w:rPr>
        <w:t xml:space="preserve">is undertaken for the NEM and </w:t>
      </w:r>
      <w:r w:rsidR="7832E1F2" w:rsidRPr="00B4092E">
        <w:rPr>
          <w:lang w:val="en-US"/>
        </w:rPr>
        <w:t>SWIS</w:t>
      </w:r>
      <w:r w:rsidRPr="24CECFB1">
        <w:rPr>
          <w:rStyle w:val="FootnoteReference"/>
          <w:lang w:val="en-US"/>
        </w:rPr>
        <w:footnoteReference w:id="5"/>
      </w:r>
      <w:r w:rsidR="00A967E1" w:rsidRPr="00EF4A29">
        <w:rPr>
          <w:vertAlign w:val="superscript"/>
          <w:lang w:val="en-US"/>
        </w:rPr>
        <w:t>,</w:t>
      </w:r>
      <w:r w:rsidR="00A967E1">
        <w:rPr>
          <w:rStyle w:val="FootnoteReference"/>
          <w:lang w:val="en-US"/>
        </w:rPr>
        <w:footnoteReference w:id="6"/>
      </w:r>
      <w:r w:rsidR="00A967E1" w:rsidRPr="00B4092E">
        <w:rPr>
          <w:lang w:val="en-US"/>
        </w:rPr>
        <w:t xml:space="preserve"> </w:t>
      </w:r>
      <w:r w:rsidR="7832E1F2" w:rsidRPr="00B4092E">
        <w:rPr>
          <w:lang w:val="en-US"/>
        </w:rPr>
        <w:t xml:space="preserve"> but does not apply to the DKIS. </w:t>
      </w:r>
      <w:r w:rsidR="00B61EA9">
        <w:rPr>
          <w:lang w:val="en-US"/>
        </w:rPr>
        <w:t xml:space="preserve">The ESOO identifies where investment needs exist based on </w:t>
      </w:r>
      <w:r w:rsidR="00A51307">
        <w:rPr>
          <w:lang w:val="en-US"/>
        </w:rPr>
        <w:t>retirements as advised by participants</w:t>
      </w:r>
      <w:r w:rsidR="00B61EA9">
        <w:rPr>
          <w:lang w:val="en-US"/>
        </w:rPr>
        <w:t xml:space="preserve">, but does not model or specify the lowest cost technology </w:t>
      </w:r>
      <w:r w:rsidR="00A62A63">
        <w:rPr>
          <w:lang w:val="en-US"/>
        </w:rPr>
        <w:t xml:space="preserve">or location </w:t>
      </w:r>
      <w:r w:rsidR="00B61EA9">
        <w:rPr>
          <w:lang w:val="en-US"/>
        </w:rPr>
        <w:t>mix that could be used to resolve identified reliability risks.</w:t>
      </w:r>
    </w:p>
    <w:p w14:paraId="5FA086D8" w14:textId="3B58A149" w:rsidR="00DE1617" w:rsidRDefault="00220D3F" w:rsidP="00906B10">
      <w:pPr>
        <w:rPr>
          <w:lang w:val="en-US"/>
        </w:rPr>
      </w:pPr>
      <w:r w:rsidRPr="0BAC2CE2">
        <w:rPr>
          <w:lang w:val="en-US"/>
        </w:rPr>
        <w:t xml:space="preserve">A combination of </w:t>
      </w:r>
      <w:r w:rsidR="482584CF" w:rsidRPr="0BAC2CE2">
        <w:rPr>
          <w:lang w:val="en-US"/>
        </w:rPr>
        <w:t>analysis</w:t>
      </w:r>
      <w:r w:rsidRPr="0BAC2CE2">
        <w:rPr>
          <w:lang w:val="en-US"/>
        </w:rPr>
        <w:t xml:space="preserve"> from the ISP and ESOO will be leveraged to achieve the CIS objectives. A</w:t>
      </w:r>
      <w:r w:rsidR="005D3B4A" w:rsidRPr="0BAC2CE2">
        <w:rPr>
          <w:lang w:val="en-US"/>
        </w:rPr>
        <w:t xml:space="preserve">n ISP type approach </w:t>
      </w:r>
      <w:r w:rsidR="0C58521F" w:rsidRPr="0BAC2CE2">
        <w:rPr>
          <w:lang w:val="en-US"/>
        </w:rPr>
        <w:t>is most suitable for</w:t>
      </w:r>
      <w:r w:rsidR="005D3B4A" w:rsidRPr="0BAC2CE2">
        <w:rPr>
          <w:lang w:val="en-US"/>
        </w:rPr>
        <w:t xml:space="preserve"> </w:t>
      </w:r>
      <w:r w:rsidR="002F699E" w:rsidRPr="0BAC2CE2">
        <w:rPr>
          <w:lang w:val="en-US"/>
        </w:rPr>
        <w:t>assessing</w:t>
      </w:r>
      <w:r w:rsidR="005D3B4A" w:rsidRPr="0BAC2CE2">
        <w:rPr>
          <w:lang w:val="en-US"/>
        </w:rPr>
        <w:t xml:space="preserve"> and allocating the cap</w:t>
      </w:r>
      <w:r w:rsidRPr="0BAC2CE2">
        <w:rPr>
          <w:lang w:val="en-US"/>
        </w:rPr>
        <w:t xml:space="preserve">, while </w:t>
      </w:r>
      <w:r w:rsidR="00E33184" w:rsidRPr="0BAC2CE2">
        <w:rPr>
          <w:lang w:val="en-US"/>
        </w:rPr>
        <w:t>alignment with capacity gaps identified in the</w:t>
      </w:r>
      <w:r w:rsidR="00E170BE" w:rsidRPr="0BAC2CE2">
        <w:rPr>
          <w:lang w:val="en-US"/>
        </w:rPr>
        <w:t xml:space="preserve"> ESOO </w:t>
      </w:r>
      <w:r w:rsidR="00836B46" w:rsidRPr="0BAC2CE2">
        <w:rPr>
          <w:lang w:val="en-US"/>
        </w:rPr>
        <w:t xml:space="preserve">may </w:t>
      </w:r>
      <w:r w:rsidR="00E170BE" w:rsidRPr="0BAC2CE2">
        <w:rPr>
          <w:lang w:val="en-US"/>
        </w:rPr>
        <w:t xml:space="preserve">be used as </w:t>
      </w:r>
      <w:r w:rsidR="00685A34" w:rsidRPr="0BAC2CE2">
        <w:rPr>
          <w:lang w:val="en-US"/>
        </w:rPr>
        <w:t>a confirmatory</w:t>
      </w:r>
      <w:r w:rsidR="00836B46" w:rsidRPr="0BAC2CE2">
        <w:rPr>
          <w:lang w:val="en-US"/>
        </w:rPr>
        <w:t xml:space="preserve"> step</w:t>
      </w:r>
      <w:r w:rsidR="005D3B4A" w:rsidRPr="0BAC2CE2">
        <w:rPr>
          <w:lang w:val="en-US"/>
        </w:rPr>
        <w:t>.</w:t>
      </w:r>
      <w:r w:rsidR="000507D8" w:rsidRPr="0BAC2CE2">
        <w:rPr>
          <w:lang w:val="en-US"/>
        </w:rPr>
        <w:t xml:space="preserve"> </w:t>
      </w:r>
      <w:r w:rsidR="0042051B" w:rsidRPr="0BAC2CE2">
        <w:rPr>
          <w:lang w:val="en-US"/>
        </w:rPr>
        <w:t xml:space="preserve">Consultations with </w:t>
      </w:r>
      <w:r w:rsidR="00D512A0" w:rsidRPr="0BAC2CE2">
        <w:rPr>
          <w:lang w:val="en-US"/>
        </w:rPr>
        <w:t>s</w:t>
      </w:r>
      <w:r w:rsidR="0042051B" w:rsidRPr="0BAC2CE2">
        <w:rPr>
          <w:lang w:val="en-US"/>
        </w:rPr>
        <w:t>tate</w:t>
      </w:r>
      <w:r w:rsidR="00D512A0" w:rsidRPr="0BAC2CE2">
        <w:rPr>
          <w:lang w:val="en-US"/>
        </w:rPr>
        <w:t xml:space="preserve"> and territory</w:t>
      </w:r>
      <w:r w:rsidR="0042051B" w:rsidRPr="0BAC2CE2">
        <w:rPr>
          <w:lang w:val="en-US"/>
        </w:rPr>
        <w:t xml:space="preserve"> governments, including jurisdictional reliability modelling, will also inform </w:t>
      </w:r>
      <w:r w:rsidR="0001359B" w:rsidRPr="0BAC2CE2">
        <w:rPr>
          <w:lang w:val="en-US"/>
        </w:rPr>
        <w:t xml:space="preserve">reliability targets. </w:t>
      </w:r>
    </w:p>
    <w:p w14:paraId="10677A15" w14:textId="01E0A6DB" w:rsidR="008D401D" w:rsidRDefault="00EF77F2" w:rsidP="00A35EFA">
      <w:pPr>
        <w:rPr>
          <w:lang w:val="en-US"/>
        </w:rPr>
      </w:pPr>
      <w:r>
        <w:rPr>
          <w:lang w:val="en-US"/>
        </w:rPr>
        <w:t xml:space="preserve">As the </w:t>
      </w:r>
      <w:r w:rsidR="00D24EBA">
        <w:rPr>
          <w:lang w:val="en-US"/>
        </w:rPr>
        <w:t xml:space="preserve">reliability </w:t>
      </w:r>
      <w:r>
        <w:rPr>
          <w:lang w:val="en-US"/>
        </w:rPr>
        <w:t>targets are updated over time, the Commonwealth will request that AEMO</w:t>
      </w:r>
      <w:r w:rsidR="00481EA4">
        <w:rPr>
          <w:lang w:val="en-US"/>
        </w:rPr>
        <w:t xml:space="preserve"> </w:t>
      </w:r>
      <w:r w:rsidR="00CC1312">
        <w:rPr>
          <w:lang w:val="en-US"/>
        </w:rPr>
        <w:t>undertake</w:t>
      </w:r>
      <w:r w:rsidR="007E1CCF">
        <w:rPr>
          <w:lang w:val="en-US"/>
        </w:rPr>
        <w:t xml:space="preserve"> separate</w:t>
      </w:r>
      <w:r w:rsidR="00CC1312">
        <w:rPr>
          <w:lang w:val="en-US"/>
        </w:rPr>
        <w:t xml:space="preserve"> ISP style modelling for a CIS specific scenario which </w:t>
      </w:r>
      <w:r w:rsidR="00A42721">
        <w:rPr>
          <w:lang w:val="en-US"/>
        </w:rPr>
        <w:t xml:space="preserve">identifies </w:t>
      </w:r>
      <w:r w:rsidR="00211042">
        <w:rPr>
          <w:lang w:val="en-US"/>
        </w:rPr>
        <w:t xml:space="preserve">economically efficient trajectories to achieving </w:t>
      </w:r>
      <w:r w:rsidR="00681A6F">
        <w:rPr>
          <w:lang w:val="en-US"/>
        </w:rPr>
        <w:t>national targets for renewable energy and emissions reductions</w:t>
      </w:r>
      <w:r w:rsidR="00CC1312">
        <w:rPr>
          <w:lang w:val="en-US"/>
        </w:rPr>
        <w:t xml:space="preserve"> </w:t>
      </w:r>
      <w:r w:rsidR="006D4B08">
        <w:rPr>
          <w:lang w:val="en-US"/>
        </w:rPr>
        <w:t xml:space="preserve">and adopts modelled rather than announced dates for coal and gas retirements. The CIS </w:t>
      </w:r>
      <w:r w:rsidR="00D32E49">
        <w:rPr>
          <w:lang w:val="en-US"/>
        </w:rPr>
        <w:t xml:space="preserve">scenario may also consider Australia’s other electricity grids. </w:t>
      </w:r>
      <w:r w:rsidR="00CC1312">
        <w:rPr>
          <w:lang w:val="en-US"/>
        </w:rPr>
        <w:t xml:space="preserve">The assumptions and methodology adopted for the CIS scenario will be consulted on with </w:t>
      </w:r>
      <w:r w:rsidR="0025707C">
        <w:rPr>
          <w:lang w:val="en-US"/>
        </w:rPr>
        <w:t>jurisdiction</w:t>
      </w:r>
      <w:r w:rsidR="00681A6F">
        <w:rPr>
          <w:lang w:val="en-US"/>
        </w:rPr>
        <w:t>s</w:t>
      </w:r>
      <w:r w:rsidR="00CC1312">
        <w:rPr>
          <w:lang w:val="en-US"/>
        </w:rPr>
        <w:t xml:space="preserve"> and the final modelling outcomes made publicly available.</w:t>
      </w:r>
    </w:p>
    <w:p w14:paraId="00912272" w14:textId="3D8A59C6" w:rsidR="00A84C99" w:rsidRDefault="00D53BF9" w:rsidP="00C17D85">
      <w:pPr>
        <w:pStyle w:val="Heading3"/>
      </w:pPr>
      <w:bookmarkStart w:id="118" w:name="_Toc141783169"/>
      <w:r>
        <w:t xml:space="preserve">Converting </w:t>
      </w:r>
      <w:r w:rsidR="00470D05">
        <w:t xml:space="preserve">capacity forecasts into </w:t>
      </w:r>
      <w:r w:rsidR="003C3661">
        <w:t>medium storage equivalent capacity</w:t>
      </w:r>
      <w:bookmarkEnd w:id="118"/>
    </w:p>
    <w:p w14:paraId="5BEC12FA" w14:textId="77777777" w:rsidR="00671C96" w:rsidRDefault="00671C96" w:rsidP="00671C96">
      <w:pPr>
        <w:rPr>
          <w:lang w:val="en-GB" w:eastAsia="en-AU"/>
        </w:rPr>
      </w:pPr>
      <w:r>
        <w:rPr>
          <w:lang w:val="en-GB" w:eastAsia="en-AU"/>
        </w:rPr>
        <w:t xml:space="preserve">The reliability targets will initially be expressed in MW medium storage equivalents, but this may be adapted over time as modelling methodologies improve. A medium storage equivalent metric is a better measure of reliability compared to rated capacity as it reflects </w:t>
      </w:r>
      <w:r w:rsidRPr="77BD6367">
        <w:rPr>
          <w:lang w:val="en-GB" w:eastAsia="en-AU"/>
        </w:rPr>
        <w:t>the</w:t>
      </w:r>
      <w:r>
        <w:rPr>
          <w:lang w:val="en-GB" w:eastAsia="en-AU"/>
        </w:rPr>
        <w:t xml:space="preserve"> actual reliability need and means the target can be set without assuming an underlying technology mix. Some technology types will have a reduced contribution to reliability on a per MW basis when compared to medium storage batteries (</w:t>
      </w:r>
      <w:proofErr w:type="spellStart"/>
      <w:r>
        <w:rPr>
          <w:lang w:val="en-GB" w:eastAsia="en-AU"/>
        </w:rPr>
        <w:t>e.g</w:t>
      </w:r>
      <w:proofErr w:type="spellEnd"/>
      <w:r>
        <w:rPr>
          <w:lang w:val="en-GB" w:eastAsia="en-AU"/>
        </w:rPr>
        <w:t xml:space="preserve"> short duration batteries) and some technologies will have a higher contribution (</w:t>
      </w:r>
      <w:proofErr w:type="spellStart"/>
      <w:r>
        <w:rPr>
          <w:lang w:val="en-GB" w:eastAsia="en-AU"/>
        </w:rPr>
        <w:t>e.g</w:t>
      </w:r>
      <w:proofErr w:type="spellEnd"/>
      <w:r>
        <w:rPr>
          <w:lang w:val="en-GB" w:eastAsia="en-AU"/>
        </w:rPr>
        <w:t xml:space="preserve"> long duration storage). </w:t>
      </w:r>
    </w:p>
    <w:p w14:paraId="623BF480" w14:textId="77777777" w:rsidR="008A294A" w:rsidRDefault="008A294A" w:rsidP="008A294A">
      <w:pPr>
        <w:rPr>
          <w:lang w:val="en-GB" w:eastAsia="en-AU"/>
        </w:rPr>
      </w:pPr>
      <w:r>
        <w:rPr>
          <w:lang w:val="en-GB" w:eastAsia="en-AU"/>
        </w:rPr>
        <w:t>The capacity forecasts derived from ISP style modelling are expressed in MW of rated capacity for each technology type. For the purposes of allocating the 6GW (in medium storage equivalents) cap to jurisdictions, the ISP forecasts will be converted into MW of medium storage equivalents using derating factors. The derating factors will be based on an assessment of the contribution of each technology to demand during low probability (1 in 10 year) unserved energy events. The derating factors for the purposes of setting targets will not consider network constraints. Any derating factors for the purposes of the assessment of individual projects in the tender process will consider the impact of location and network constraints.</w:t>
      </w:r>
    </w:p>
    <w:p w14:paraId="006E7B9F" w14:textId="01F391FA" w:rsidR="007B16E8" w:rsidRDefault="007B16E8" w:rsidP="007B16E8">
      <w:pPr>
        <w:pStyle w:val="Heading3"/>
      </w:pPr>
      <w:bookmarkStart w:id="119" w:name="_Toc141783170"/>
      <w:r>
        <w:lastRenderedPageBreak/>
        <w:t>Co</w:t>
      </w:r>
      <w:r w:rsidR="0025707C">
        <w:t>nverting reliability targets into tender targets</w:t>
      </w:r>
      <w:bookmarkEnd w:id="119"/>
    </w:p>
    <w:p w14:paraId="42F68FD5" w14:textId="73A31158" w:rsidR="007B16E8" w:rsidRDefault="00ED2769" w:rsidP="009C6952">
      <w:r>
        <w:t xml:space="preserve">The reliability targets described above </w:t>
      </w:r>
      <w:r w:rsidR="00832F97">
        <w:t xml:space="preserve">are targets </w:t>
      </w:r>
      <w:r w:rsidR="00B90F0D">
        <w:t xml:space="preserve">representing the amount of </w:t>
      </w:r>
      <w:r w:rsidR="00631B37">
        <w:t>capacity to be built i</w:t>
      </w:r>
      <w:r w:rsidR="003E3273">
        <w:t xml:space="preserve">n any one year. For the purposes of the CIS tenders the reliability targets </w:t>
      </w:r>
      <w:r w:rsidR="00832F97">
        <w:t>will be adjusted to tender</w:t>
      </w:r>
      <w:r w:rsidR="00E1725B">
        <w:t xml:space="preserve"> targets</w:t>
      </w:r>
      <w:r w:rsidR="00832F97">
        <w:t xml:space="preserve"> </w:t>
      </w:r>
      <w:r w:rsidR="003E3273">
        <w:t xml:space="preserve">which reflect the capacity </w:t>
      </w:r>
      <w:r w:rsidR="00E1725B">
        <w:t>in MW medium storage equivalents</w:t>
      </w:r>
      <w:r w:rsidR="00964471">
        <w:t xml:space="preserve"> </w:t>
      </w:r>
      <w:r w:rsidR="003E3273">
        <w:t xml:space="preserve">to be </w:t>
      </w:r>
      <w:r w:rsidR="00964471">
        <w:t>awarded in any one tender</w:t>
      </w:r>
      <w:r w:rsidR="00832F97">
        <w:t>.</w:t>
      </w:r>
      <w:r w:rsidR="00B46157">
        <w:t xml:space="preserve"> This will require </w:t>
      </w:r>
      <w:r w:rsidR="005B39A3">
        <w:t>additional assumption</w:t>
      </w:r>
      <w:r w:rsidR="00377031">
        <w:t>s</w:t>
      </w:r>
      <w:r w:rsidR="00377031" w:rsidRPr="00377031">
        <w:t xml:space="preserve"> </w:t>
      </w:r>
      <w:r w:rsidR="00377031">
        <w:t>including the average time between the award of the tender and project completion.</w:t>
      </w:r>
      <w:r w:rsidR="009C6952">
        <w:t xml:space="preserve"> Technologies will </w:t>
      </w:r>
      <w:r w:rsidR="009872D8">
        <w:t>have</w:t>
      </w:r>
      <w:r w:rsidR="009C6952">
        <w:t xml:space="preserve"> </w:t>
      </w:r>
      <w:r w:rsidR="00F34C50">
        <w:t>different lead times</w:t>
      </w:r>
      <w:r w:rsidR="009872D8">
        <w:t>,</w:t>
      </w:r>
      <w:r w:rsidR="006D63D8">
        <w:t xml:space="preserve"> with short duration batteries having a</w:t>
      </w:r>
      <w:r w:rsidR="005618A8">
        <w:t>round a two</w:t>
      </w:r>
      <w:r w:rsidR="00431EE3">
        <w:t>-</w:t>
      </w:r>
      <w:r w:rsidR="005618A8">
        <w:t xml:space="preserve">year lead </w:t>
      </w:r>
      <w:r w:rsidR="00431EE3">
        <w:t>time and</w:t>
      </w:r>
      <w:r w:rsidR="005618A8">
        <w:t xml:space="preserve"> pumped hydro</w:t>
      </w:r>
      <w:r w:rsidR="009872D8">
        <w:t xml:space="preserve"> projects having lead times of </w:t>
      </w:r>
      <w:r w:rsidR="00431EE3">
        <w:t>greater than five years</w:t>
      </w:r>
      <w:r w:rsidR="005618A8">
        <w:t>.</w:t>
      </w:r>
    </w:p>
    <w:p w14:paraId="17277445" w14:textId="3B642BED" w:rsidR="00690AC2" w:rsidRDefault="001312B6" w:rsidP="001F54DD">
      <w:r>
        <w:t>Accordingly, the</w:t>
      </w:r>
      <w:r w:rsidR="00690AC2">
        <w:t xml:space="preserve"> tender targets </w:t>
      </w:r>
      <w:r w:rsidR="004D6810">
        <w:t>may</w:t>
      </w:r>
      <w:r>
        <w:t xml:space="preserve"> be</w:t>
      </w:r>
      <w:r w:rsidR="00690AC2">
        <w:t xml:space="preserve"> set based on</w:t>
      </w:r>
      <w:r w:rsidR="00DC6B65">
        <w:t xml:space="preserve"> a rolling forward </w:t>
      </w:r>
      <w:r w:rsidR="00BA28F3">
        <w:t xml:space="preserve">annual </w:t>
      </w:r>
      <w:r w:rsidR="00DC6B65">
        <w:t xml:space="preserve">average of </w:t>
      </w:r>
      <w:r>
        <w:t xml:space="preserve">capacity requirements for </w:t>
      </w:r>
      <w:r w:rsidR="00BA28F3">
        <w:t xml:space="preserve">at least </w:t>
      </w:r>
      <w:r w:rsidR="001E1B28">
        <w:t>four</w:t>
      </w:r>
      <w:r w:rsidR="00DC6B65">
        <w:t xml:space="preserve"> years</w:t>
      </w:r>
      <w:r w:rsidR="00BA28F3">
        <w:t xml:space="preserve">, such that </w:t>
      </w:r>
      <w:r>
        <w:t xml:space="preserve">FY24/25 tenders are based on the average annual capacity to </w:t>
      </w:r>
      <w:r w:rsidR="001702C2">
        <w:t xml:space="preserve">be </w:t>
      </w:r>
      <w:r>
        <w:t>procured over the years between FY24/25 and FY28/29</w:t>
      </w:r>
      <w:r w:rsidR="00654564">
        <w:t>.</w:t>
      </w:r>
    </w:p>
    <w:p w14:paraId="289C491A" w14:textId="7E84D2CA" w:rsidR="00C34434" w:rsidRPr="00F8656C" w:rsidRDefault="00F8656C" w:rsidP="00571816">
      <w:pPr>
        <w:pStyle w:val="Heading2"/>
      </w:pPr>
      <w:r>
        <w:t xml:space="preserve"> </w:t>
      </w:r>
      <w:bookmarkStart w:id="120" w:name="_Ref141110505"/>
      <w:bookmarkStart w:id="121" w:name="_Ref141110520"/>
      <w:bookmarkStart w:id="122" w:name="_Ref141110571"/>
      <w:bookmarkStart w:id="123" w:name="_Ref141110599"/>
      <w:bookmarkStart w:id="124" w:name="_Ref141110632"/>
      <w:bookmarkStart w:id="125" w:name="_Toc141783171"/>
      <w:r>
        <w:t>Jurisdictional CIS allocation</w:t>
      </w:r>
      <w:bookmarkEnd w:id="120"/>
      <w:bookmarkEnd w:id="121"/>
      <w:bookmarkEnd w:id="122"/>
      <w:bookmarkEnd w:id="123"/>
      <w:bookmarkEnd w:id="124"/>
      <w:bookmarkEnd w:id="125"/>
      <w:r>
        <w:t xml:space="preserve"> </w:t>
      </w:r>
    </w:p>
    <w:p w14:paraId="6153E400" w14:textId="3B8C3397" w:rsidR="002F46F5" w:rsidRDefault="00B44D54" w:rsidP="00AF6803">
      <w:r>
        <w:t xml:space="preserve">The Commonwealth expects to allocate a MW capacity and financial budget per tender in addition </w:t>
      </w:r>
      <w:r w:rsidR="00D446AE">
        <w:t xml:space="preserve">to </w:t>
      </w:r>
      <w:r w:rsidR="00AF6803">
        <w:t>the</w:t>
      </w:r>
      <w:r w:rsidR="00D446AE">
        <w:t xml:space="preserve"> capacity </w:t>
      </w:r>
      <w:r w:rsidR="005F39B6">
        <w:t xml:space="preserve">per </w:t>
      </w:r>
      <w:r w:rsidR="00C54CC5">
        <w:t xml:space="preserve">tender set through the modelling </w:t>
      </w:r>
      <w:r w:rsidR="00AF6803">
        <w:t>process</w:t>
      </w:r>
      <w:r w:rsidR="00654564">
        <w:t xml:space="preserve"> described </w:t>
      </w:r>
      <w:r w:rsidR="006D01E1">
        <w:t>above. The</w:t>
      </w:r>
      <w:r w:rsidR="009775EB">
        <w:t xml:space="preserve"> MW</w:t>
      </w:r>
      <w:r w:rsidR="006D01E1">
        <w:t xml:space="preserve"> budget per tender will be set based on a range of factors, including estimated cost per MW expected to be required to deliver the targeted capacity. Unit costs are expected to decrease over time as technology costs decline and learning rates reduce the cost of new capacity. The </w:t>
      </w:r>
      <w:r w:rsidR="00B16EB2">
        <w:t>MW</w:t>
      </w:r>
      <w:r w:rsidR="006D01E1">
        <w:t xml:space="preserve"> budget for tenders will be publicised </w:t>
      </w:r>
      <w:r w:rsidR="00B16EB2">
        <w:t xml:space="preserve">as a broad range </w:t>
      </w:r>
      <w:r w:rsidR="006D01E1">
        <w:t xml:space="preserve">and specific details of </w:t>
      </w:r>
      <w:r w:rsidR="006105C3">
        <w:t xml:space="preserve">the capacity </w:t>
      </w:r>
      <w:r w:rsidR="006D01E1">
        <w:t xml:space="preserve">budget </w:t>
      </w:r>
      <w:r w:rsidR="006105C3">
        <w:t xml:space="preserve">and the financial </w:t>
      </w:r>
      <w:r w:rsidR="006D01E1">
        <w:t>budget will be kept confidential to not undermine outcomes of the competitive tender process.</w:t>
      </w:r>
    </w:p>
    <w:p w14:paraId="06290C88" w14:textId="24767115" w:rsidR="00CC2EA4" w:rsidRDefault="00556954" w:rsidP="00AF6803">
      <w:r>
        <w:t xml:space="preserve">In some circumstances, the budget </w:t>
      </w:r>
      <w:r w:rsidR="004759CB">
        <w:t>allocated to a</w:t>
      </w:r>
      <w:r>
        <w:t xml:space="preserve"> </w:t>
      </w:r>
      <w:r w:rsidR="005D0E9E">
        <w:t>tender may be insufficient to deliver</w:t>
      </w:r>
      <w:r w:rsidR="00CC2EA4">
        <w:t xml:space="preserve"> the targeted capacity for the tender.</w:t>
      </w:r>
      <w:r w:rsidR="005D0E9E">
        <w:t xml:space="preserve"> </w:t>
      </w:r>
      <w:r w:rsidR="00CC2EA4">
        <w:t xml:space="preserve">This could be a result of several factors including: </w:t>
      </w:r>
    </w:p>
    <w:p w14:paraId="05E40A6E" w14:textId="4837BADC" w:rsidR="00962E0C" w:rsidRPr="00962E0C" w:rsidRDefault="0024724A" w:rsidP="00962E0C">
      <w:pPr>
        <w:pStyle w:val="ListParagraph"/>
        <w:numPr>
          <w:ilvl w:val="0"/>
          <w:numId w:val="32"/>
        </w:numPr>
      </w:pPr>
      <w:r>
        <w:t xml:space="preserve">a lack of competition </w:t>
      </w:r>
      <w:r w:rsidR="009F7D64">
        <w:t xml:space="preserve">or higher than forecast costs </w:t>
      </w:r>
      <w:r>
        <w:t xml:space="preserve">in a </w:t>
      </w:r>
      <w:r w:rsidR="0070607D">
        <w:t xml:space="preserve">specific </w:t>
      </w:r>
      <w:r>
        <w:t>tender</w:t>
      </w:r>
      <w:r w:rsidR="00962E0C">
        <w:t xml:space="preserve">. For example, because of </w:t>
      </w:r>
      <w:r w:rsidR="00962E0C" w:rsidRPr="00962E0C">
        <w:t>supply chain disruption</w:t>
      </w:r>
      <w:r w:rsidR="00B75E80">
        <w:t>;</w:t>
      </w:r>
    </w:p>
    <w:p w14:paraId="4034FC38" w14:textId="1D08627D" w:rsidR="0070607D" w:rsidRDefault="0024724A" w:rsidP="00CC2EA4">
      <w:pPr>
        <w:pStyle w:val="ListParagraph"/>
        <w:numPr>
          <w:ilvl w:val="0"/>
          <w:numId w:val="32"/>
        </w:numPr>
      </w:pPr>
      <w:r>
        <w:t>changes to technology cost</w:t>
      </w:r>
      <w:r w:rsidR="0070607D">
        <w:t xml:space="preserve">, resulting </w:t>
      </w:r>
      <w:r w:rsidR="00962E0C">
        <w:t>in higher or lower per MW costs</w:t>
      </w:r>
      <w:r w:rsidR="00B75E80">
        <w:t>; and</w:t>
      </w:r>
    </w:p>
    <w:p w14:paraId="79A40953" w14:textId="1974BDA2" w:rsidR="0024724A" w:rsidRDefault="00CC2EA4" w:rsidP="00CC2EA4">
      <w:pPr>
        <w:pStyle w:val="ListParagraph"/>
        <w:numPr>
          <w:ilvl w:val="0"/>
          <w:numId w:val="32"/>
        </w:numPr>
      </w:pPr>
      <w:r>
        <w:t>jurisdictional specific requirements that increase costs (</w:t>
      </w:r>
      <w:r w:rsidR="00053FFF">
        <w:t>e.g.,</w:t>
      </w:r>
      <w:r>
        <w:t xml:space="preserve"> local content requirements, planning requirements)</w:t>
      </w:r>
      <w:r w:rsidR="0024724A">
        <w:t>.</w:t>
      </w:r>
    </w:p>
    <w:p w14:paraId="63071D52" w14:textId="6582E89F" w:rsidR="003E34E8" w:rsidRDefault="00C91C83" w:rsidP="0002446B">
      <w:r>
        <w:t xml:space="preserve">In this case the relevant tender will be constrained to ensure it remains within the allocated budget. </w:t>
      </w:r>
      <w:r w:rsidR="0002446B">
        <w:t xml:space="preserve">Where </w:t>
      </w:r>
      <w:r w:rsidR="00E90F86">
        <w:t xml:space="preserve">the </w:t>
      </w:r>
      <w:r w:rsidR="00067747">
        <w:t xml:space="preserve">causes of </w:t>
      </w:r>
      <w:r w:rsidR="002A5D63">
        <w:t xml:space="preserve">cost shortfall </w:t>
      </w:r>
      <w:r>
        <w:t>are</w:t>
      </w:r>
      <w:r w:rsidR="002A5D63">
        <w:t xml:space="preserve"> outside of</w:t>
      </w:r>
      <w:r w:rsidR="00CE6B66">
        <w:t xml:space="preserve"> the control</w:t>
      </w:r>
      <w:r w:rsidR="002A5D63">
        <w:t xml:space="preserve"> of the </w:t>
      </w:r>
      <w:r w:rsidR="004F7B34">
        <w:t>relevant jurisdiction</w:t>
      </w:r>
      <w:r>
        <w:t>, future revisions to tender budget allocation may be considered.</w:t>
      </w:r>
    </w:p>
    <w:p w14:paraId="3DB419D9" w14:textId="5EA173A9" w:rsidR="0077732C" w:rsidRDefault="0077732C" w:rsidP="0077732C">
      <w:pPr>
        <w:pStyle w:val="Heading2"/>
      </w:pPr>
      <w:bookmarkStart w:id="126" w:name="_Toc141783172"/>
      <w:r>
        <w:t>CIS tender</w:t>
      </w:r>
      <w:r w:rsidR="00421799">
        <w:t>s</w:t>
      </w:r>
      <w:r w:rsidR="005A48A4">
        <w:t xml:space="preserve">: </w:t>
      </w:r>
      <w:r>
        <w:t xml:space="preserve">minimum duration </w:t>
      </w:r>
      <w:r w:rsidR="00421799">
        <w:t xml:space="preserve">and </w:t>
      </w:r>
      <w:r w:rsidR="00107E3A">
        <w:t>evaluation of duration</w:t>
      </w:r>
      <w:bookmarkEnd w:id="126"/>
    </w:p>
    <w:p w14:paraId="2A45CDFD" w14:textId="72DF0DB5" w:rsidR="00111726" w:rsidRPr="00696893" w:rsidRDefault="00111726" w:rsidP="00111726">
      <w:pPr>
        <w:spacing w:after="240"/>
        <w:rPr>
          <w:rFonts w:asciiTheme="majorHAnsi" w:hAnsiTheme="majorHAnsi" w:cstheme="majorHAnsi"/>
        </w:rPr>
      </w:pPr>
      <w:r w:rsidRPr="00696893">
        <w:rPr>
          <w:rFonts w:asciiTheme="majorHAnsi" w:hAnsiTheme="majorHAnsi" w:cstheme="majorHAnsi"/>
        </w:rPr>
        <w:t>AEMO’s ISP identifies that the future power system will require a broad mix of zero-emissions technologies including VRE, demand response and storage to meet the reliability requirements. Each type of technology contributes to capacity, but has different attributes (e.g. duration, intermittency). Further, different technologies have different levels of delivery risk and complexity.</w:t>
      </w:r>
    </w:p>
    <w:p w14:paraId="05D2A046" w14:textId="2F056337" w:rsidR="009D7410" w:rsidRPr="00696893" w:rsidRDefault="009D7410" w:rsidP="00111726">
      <w:pPr>
        <w:spacing w:after="240"/>
        <w:rPr>
          <w:rFonts w:asciiTheme="majorHAnsi" w:hAnsiTheme="majorHAnsi" w:cstheme="majorHAnsi"/>
        </w:rPr>
      </w:pPr>
      <w:r w:rsidRPr="00696893">
        <w:rPr>
          <w:rFonts w:asciiTheme="majorHAnsi" w:hAnsiTheme="majorHAnsi" w:cstheme="majorHAnsi"/>
        </w:rPr>
        <w:t>Three k</w:t>
      </w:r>
      <w:r w:rsidR="008C351D" w:rsidRPr="00696893">
        <w:rPr>
          <w:rFonts w:asciiTheme="majorHAnsi" w:hAnsiTheme="majorHAnsi" w:cstheme="majorHAnsi"/>
        </w:rPr>
        <w:t>ey design parameter</w:t>
      </w:r>
      <w:r w:rsidRPr="00696893">
        <w:rPr>
          <w:rFonts w:asciiTheme="majorHAnsi" w:hAnsiTheme="majorHAnsi" w:cstheme="majorHAnsi"/>
        </w:rPr>
        <w:t>s</w:t>
      </w:r>
      <w:r w:rsidR="008C351D" w:rsidRPr="00696893">
        <w:rPr>
          <w:rFonts w:asciiTheme="majorHAnsi" w:hAnsiTheme="majorHAnsi" w:cstheme="majorHAnsi"/>
        </w:rPr>
        <w:t xml:space="preserve"> </w:t>
      </w:r>
      <w:r w:rsidR="00BF7A0C">
        <w:rPr>
          <w:rFonts w:asciiTheme="majorHAnsi" w:hAnsiTheme="majorHAnsi" w:cstheme="majorHAnsi"/>
        </w:rPr>
        <w:t xml:space="preserve">that must be established </w:t>
      </w:r>
      <w:r w:rsidRPr="00696893">
        <w:rPr>
          <w:rFonts w:asciiTheme="majorHAnsi" w:hAnsiTheme="majorHAnsi" w:cstheme="majorHAnsi"/>
        </w:rPr>
        <w:t xml:space="preserve">for </w:t>
      </w:r>
      <w:r w:rsidR="009C20AC">
        <w:rPr>
          <w:rFonts w:asciiTheme="majorHAnsi" w:hAnsiTheme="majorHAnsi" w:cstheme="majorHAnsi"/>
        </w:rPr>
        <w:t xml:space="preserve">a </w:t>
      </w:r>
      <w:r w:rsidRPr="00696893">
        <w:rPr>
          <w:rFonts w:asciiTheme="majorHAnsi" w:hAnsiTheme="majorHAnsi" w:cstheme="majorHAnsi"/>
        </w:rPr>
        <w:t>CIS</w:t>
      </w:r>
      <w:r w:rsidR="008C351D" w:rsidRPr="00696893">
        <w:rPr>
          <w:rFonts w:asciiTheme="majorHAnsi" w:hAnsiTheme="majorHAnsi" w:cstheme="majorHAnsi"/>
        </w:rPr>
        <w:t xml:space="preserve"> tender </w:t>
      </w:r>
      <w:r w:rsidRPr="00696893">
        <w:rPr>
          <w:rFonts w:asciiTheme="majorHAnsi" w:hAnsiTheme="majorHAnsi" w:cstheme="majorHAnsi"/>
        </w:rPr>
        <w:t>are</w:t>
      </w:r>
      <w:r w:rsidR="009C20AC">
        <w:rPr>
          <w:rFonts w:asciiTheme="majorHAnsi" w:hAnsiTheme="majorHAnsi" w:cstheme="majorHAnsi"/>
        </w:rPr>
        <w:t>:</w:t>
      </w:r>
    </w:p>
    <w:p w14:paraId="23C0CFFA" w14:textId="7B7B3EF5" w:rsidR="008C351D" w:rsidRPr="00696893" w:rsidRDefault="008C351D" w:rsidP="009D7410">
      <w:pPr>
        <w:pStyle w:val="ListParagraph"/>
        <w:numPr>
          <w:ilvl w:val="0"/>
          <w:numId w:val="32"/>
        </w:numPr>
        <w:rPr>
          <w:rFonts w:asciiTheme="majorHAnsi" w:hAnsiTheme="majorHAnsi" w:cstheme="majorHAnsi"/>
        </w:rPr>
      </w:pPr>
      <w:r w:rsidRPr="00696893">
        <w:rPr>
          <w:rFonts w:asciiTheme="majorHAnsi" w:hAnsiTheme="majorHAnsi" w:cstheme="majorHAnsi"/>
        </w:rPr>
        <w:t xml:space="preserve">whether </w:t>
      </w:r>
      <w:r w:rsidR="00CD78F9" w:rsidRPr="00696893">
        <w:rPr>
          <w:rFonts w:asciiTheme="majorHAnsi" w:hAnsiTheme="majorHAnsi" w:cstheme="majorHAnsi"/>
        </w:rPr>
        <w:t xml:space="preserve">there </w:t>
      </w:r>
      <w:r w:rsidR="009D7410" w:rsidRPr="00696893">
        <w:rPr>
          <w:rFonts w:asciiTheme="majorHAnsi" w:hAnsiTheme="majorHAnsi" w:cstheme="majorHAnsi"/>
        </w:rPr>
        <w:t xml:space="preserve">is a minimum duration </w:t>
      </w:r>
      <w:r w:rsidR="005C40CE" w:rsidRPr="00696893">
        <w:rPr>
          <w:rFonts w:asciiTheme="majorHAnsi" w:hAnsiTheme="majorHAnsi" w:cstheme="majorHAnsi"/>
        </w:rPr>
        <w:t>specified as a tender eligibility requirement</w:t>
      </w:r>
      <w:r w:rsidR="00FE4D3F" w:rsidRPr="00696893">
        <w:rPr>
          <w:rFonts w:asciiTheme="majorHAnsi" w:hAnsiTheme="majorHAnsi" w:cstheme="majorHAnsi"/>
        </w:rPr>
        <w:t>. This is typically the minimum duration of output at a project’s full capacity</w:t>
      </w:r>
      <w:r w:rsidR="008244FA">
        <w:rPr>
          <w:rFonts w:asciiTheme="majorHAnsi" w:hAnsiTheme="majorHAnsi" w:cstheme="majorHAnsi"/>
        </w:rPr>
        <w:t>;</w:t>
      </w:r>
    </w:p>
    <w:p w14:paraId="44FEEE5D" w14:textId="19241192" w:rsidR="009D7410" w:rsidRPr="00696893" w:rsidRDefault="00750585" w:rsidP="009D7410">
      <w:pPr>
        <w:pStyle w:val="ListParagraph"/>
        <w:numPr>
          <w:ilvl w:val="0"/>
          <w:numId w:val="32"/>
        </w:numPr>
        <w:rPr>
          <w:rFonts w:asciiTheme="majorHAnsi" w:hAnsiTheme="majorHAnsi" w:cstheme="majorHAnsi"/>
        </w:rPr>
      </w:pPr>
      <w:r>
        <w:rPr>
          <w:rFonts w:asciiTheme="majorHAnsi" w:hAnsiTheme="majorHAnsi" w:cstheme="majorHAnsi"/>
        </w:rPr>
        <w:lastRenderedPageBreak/>
        <w:t xml:space="preserve">how different </w:t>
      </w:r>
      <w:r w:rsidR="00253CB3">
        <w:rPr>
          <w:rFonts w:asciiTheme="majorHAnsi" w:hAnsiTheme="majorHAnsi" w:cstheme="majorHAnsi"/>
        </w:rPr>
        <w:t xml:space="preserve">technologies are compared in the tender evaluation. </w:t>
      </w:r>
      <w:r w:rsidR="00F4738D">
        <w:rPr>
          <w:rFonts w:asciiTheme="majorHAnsi" w:hAnsiTheme="majorHAnsi" w:cstheme="majorHAnsi"/>
        </w:rPr>
        <w:t xml:space="preserve">All durations can be compared in a tender. </w:t>
      </w:r>
      <w:r w:rsidR="000409A8">
        <w:rPr>
          <w:rFonts w:asciiTheme="majorHAnsi" w:hAnsiTheme="majorHAnsi" w:cstheme="majorHAnsi"/>
        </w:rPr>
        <w:t xml:space="preserve">An effective tender evaluation should </w:t>
      </w:r>
      <w:r w:rsidR="005675C2">
        <w:rPr>
          <w:rFonts w:asciiTheme="majorHAnsi" w:hAnsiTheme="majorHAnsi" w:cstheme="majorHAnsi"/>
        </w:rPr>
        <w:t xml:space="preserve">transparently </w:t>
      </w:r>
      <w:r w:rsidR="00F06E36">
        <w:rPr>
          <w:rFonts w:asciiTheme="majorHAnsi" w:hAnsiTheme="majorHAnsi" w:cstheme="majorHAnsi"/>
        </w:rPr>
        <w:t xml:space="preserve">attribute </w:t>
      </w:r>
      <w:r w:rsidR="006F4133">
        <w:rPr>
          <w:rFonts w:asciiTheme="majorHAnsi" w:hAnsiTheme="majorHAnsi" w:cstheme="majorHAnsi"/>
        </w:rPr>
        <w:t>greater</w:t>
      </w:r>
      <w:r w:rsidR="00F06E36">
        <w:rPr>
          <w:rFonts w:asciiTheme="majorHAnsi" w:hAnsiTheme="majorHAnsi" w:cstheme="majorHAnsi"/>
        </w:rPr>
        <w:t xml:space="preserve"> value to </w:t>
      </w:r>
      <w:r w:rsidR="008576D2">
        <w:rPr>
          <w:rFonts w:asciiTheme="majorHAnsi" w:hAnsiTheme="majorHAnsi" w:cstheme="majorHAnsi"/>
        </w:rPr>
        <w:t>longer duration technologies th</w:t>
      </w:r>
      <w:r w:rsidR="00531A0E">
        <w:rPr>
          <w:rFonts w:asciiTheme="majorHAnsi" w:hAnsiTheme="majorHAnsi" w:cstheme="majorHAnsi"/>
        </w:rPr>
        <w:t xml:space="preserve">at </w:t>
      </w:r>
      <w:r w:rsidR="006F4133">
        <w:rPr>
          <w:rFonts w:asciiTheme="majorHAnsi" w:hAnsiTheme="majorHAnsi" w:cstheme="majorHAnsi"/>
        </w:rPr>
        <w:t>better cont</w:t>
      </w:r>
      <w:r w:rsidR="007741F7">
        <w:rPr>
          <w:rFonts w:asciiTheme="majorHAnsi" w:hAnsiTheme="majorHAnsi" w:cstheme="majorHAnsi"/>
        </w:rPr>
        <w:t xml:space="preserve">ribute </w:t>
      </w:r>
      <w:r w:rsidR="003B7ED1">
        <w:rPr>
          <w:rFonts w:asciiTheme="majorHAnsi" w:hAnsiTheme="majorHAnsi" w:cstheme="majorHAnsi"/>
        </w:rPr>
        <w:t>to reliability</w:t>
      </w:r>
      <w:r w:rsidR="008244FA">
        <w:rPr>
          <w:rFonts w:asciiTheme="majorHAnsi" w:hAnsiTheme="majorHAnsi" w:cstheme="majorHAnsi"/>
        </w:rPr>
        <w:t>; and</w:t>
      </w:r>
    </w:p>
    <w:p w14:paraId="71CAF62F" w14:textId="4A4FEDF6" w:rsidR="008E3376" w:rsidRPr="00696893" w:rsidRDefault="004F7131" w:rsidP="009D7410">
      <w:pPr>
        <w:pStyle w:val="ListParagraph"/>
        <w:numPr>
          <w:ilvl w:val="0"/>
          <w:numId w:val="32"/>
        </w:numPr>
        <w:rPr>
          <w:rFonts w:asciiTheme="majorHAnsi" w:hAnsiTheme="majorHAnsi" w:cstheme="majorBidi"/>
        </w:rPr>
      </w:pPr>
      <w:r w:rsidRPr="61AEE4B2">
        <w:rPr>
          <w:rFonts w:asciiTheme="majorHAnsi" w:hAnsiTheme="majorHAnsi" w:cstheme="majorBidi"/>
        </w:rPr>
        <w:t xml:space="preserve">how </w:t>
      </w:r>
      <w:r w:rsidR="002B7A7F" w:rsidRPr="61AEE4B2">
        <w:rPr>
          <w:rFonts w:asciiTheme="majorHAnsi" w:hAnsiTheme="majorHAnsi" w:cstheme="majorBidi"/>
        </w:rPr>
        <w:t xml:space="preserve">these elements of </w:t>
      </w:r>
      <w:r w:rsidR="00550C7A" w:rsidRPr="61AEE4B2">
        <w:rPr>
          <w:rFonts w:asciiTheme="majorHAnsi" w:hAnsiTheme="majorHAnsi" w:cstheme="majorBidi"/>
        </w:rPr>
        <w:t>CIS</w:t>
      </w:r>
      <w:r w:rsidR="002B7A7F" w:rsidRPr="61AEE4B2">
        <w:rPr>
          <w:rFonts w:asciiTheme="majorHAnsi" w:hAnsiTheme="majorHAnsi" w:cstheme="majorBidi"/>
        </w:rPr>
        <w:t xml:space="preserve"> tender</w:t>
      </w:r>
      <w:r w:rsidR="00550C7A" w:rsidRPr="61AEE4B2">
        <w:rPr>
          <w:rFonts w:asciiTheme="majorHAnsi" w:hAnsiTheme="majorHAnsi" w:cstheme="majorBidi"/>
        </w:rPr>
        <w:t>s</w:t>
      </w:r>
      <w:r w:rsidR="002B7A7F" w:rsidRPr="61AEE4B2">
        <w:rPr>
          <w:rFonts w:asciiTheme="majorHAnsi" w:hAnsiTheme="majorHAnsi" w:cstheme="majorBidi"/>
        </w:rPr>
        <w:t xml:space="preserve"> should evolve over time</w:t>
      </w:r>
      <w:r w:rsidR="00BA53C5" w:rsidRPr="61AEE4B2">
        <w:rPr>
          <w:rFonts w:asciiTheme="majorHAnsi" w:hAnsiTheme="majorHAnsi" w:cstheme="majorBidi"/>
        </w:rPr>
        <w:t xml:space="preserve"> </w:t>
      </w:r>
      <w:r w:rsidR="006E4D82" w:rsidRPr="61AEE4B2">
        <w:rPr>
          <w:rFonts w:asciiTheme="majorHAnsi" w:hAnsiTheme="majorHAnsi" w:cstheme="majorBidi"/>
        </w:rPr>
        <w:t>as</w:t>
      </w:r>
      <w:r w:rsidR="00BA53C5" w:rsidRPr="61AEE4B2">
        <w:rPr>
          <w:rFonts w:asciiTheme="majorHAnsi" w:hAnsiTheme="majorHAnsi" w:cstheme="majorBidi"/>
        </w:rPr>
        <w:t xml:space="preserve"> </w:t>
      </w:r>
      <w:r w:rsidR="009F62BB" w:rsidRPr="61AEE4B2">
        <w:rPr>
          <w:rFonts w:asciiTheme="majorHAnsi" w:hAnsiTheme="majorHAnsi" w:cstheme="majorBidi"/>
        </w:rPr>
        <w:t xml:space="preserve">technologies and </w:t>
      </w:r>
      <w:r w:rsidR="003F3B76" w:rsidRPr="61AEE4B2">
        <w:rPr>
          <w:rFonts w:asciiTheme="majorHAnsi" w:hAnsiTheme="majorHAnsi" w:cstheme="majorBidi"/>
        </w:rPr>
        <w:t>operating behaviours are better understood</w:t>
      </w:r>
      <w:r w:rsidR="00500D32" w:rsidRPr="61AEE4B2">
        <w:rPr>
          <w:rFonts w:asciiTheme="majorHAnsi" w:hAnsiTheme="majorHAnsi" w:cstheme="majorBidi"/>
        </w:rPr>
        <w:t xml:space="preserve">. For example, </w:t>
      </w:r>
      <w:r w:rsidR="00E1346C" w:rsidRPr="61AEE4B2">
        <w:rPr>
          <w:rFonts w:asciiTheme="majorHAnsi" w:hAnsiTheme="majorHAnsi" w:cstheme="majorBidi"/>
        </w:rPr>
        <w:t xml:space="preserve">tender </w:t>
      </w:r>
      <w:r w:rsidR="00BA53C5" w:rsidRPr="61AEE4B2">
        <w:rPr>
          <w:rFonts w:asciiTheme="majorHAnsi" w:hAnsiTheme="majorHAnsi" w:cstheme="majorBidi"/>
        </w:rPr>
        <w:t xml:space="preserve">assessment methods can </w:t>
      </w:r>
      <w:r w:rsidR="00746CC3" w:rsidRPr="61AEE4B2">
        <w:rPr>
          <w:rFonts w:asciiTheme="majorHAnsi" w:hAnsiTheme="majorHAnsi" w:cstheme="majorBidi"/>
        </w:rPr>
        <w:t>change to better reflect the contribution of shorter duration storage as evidence of operating patter</w:t>
      </w:r>
      <w:r w:rsidR="5A34670C" w:rsidRPr="61AEE4B2">
        <w:rPr>
          <w:rFonts w:asciiTheme="majorHAnsi" w:hAnsiTheme="majorHAnsi" w:cstheme="majorBidi"/>
        </w:rPr>
        <w:t>n</w:t>
      </w:r>
      <w:r w:rsidR="00746CC3" w:rsidRPr="61AEE4B2">
        <w:rPr>
          <w:rFonts w:asciiTheme="majorHAnsi" w:hAnsiTheme="majorHAnsi" w:cstheme="majorBidi"/>
        </w:rPr>
        <w:t xml:space="preserve">s emerge. </w:t>
      </w:r>
      <w:r w:rsidR="00053BC1" w:rsidRPr="61AEE4B2">
        <w:rPr>
          <w:rFonts w:asciiTheme="majorHAnsi" w:hAnsiTheme="majorHAnsi" w:cstheme="majorBidi"/>
        </w:rPr>
        <w:t xml:space="preserve">This could include derating factors </w:t>
      </w:r>
      <w:r w:rsidR="0086200C" w:rsidRPr="61AEE4B2">
        <w:rPr>
          <w:rFonts w:asciiTheme="majorHAnsi" w:hAnsiTheme="majorHAnsi" w:cstheme="majorBidi"/>
        </w:rPr>
        <w:t>like</w:t>
      </w:r>
      <w:r w:rsidR="00053BC1" w:rsidRPr="61AEE4B2">
        <w:rPr>
          <w:rFonts w:asciiTheme="majorHAnsi" w:hAnsiTheme="majorHAnsi" w:cstheme="majorBidi"/>
        </w:rPr>
        <w:t xml:space="preserve"> </w:t>
      </w:r>
      <w:r w:rsidR="009364EE" w:rsidRPr="61AEE4B2">
        <w:rPr>
          <w:rFonts w:asciiTheme="majorHAnsi" w:hAnsiTheme="majorHAnsi" w:cstheme="majorBidi"/>
        </w:rPr>
        <w:t xml:space="preserve">those used in </w:t>
      </w:r>
      <w:r w:rsidR="0086200C" w:rsidRPr="61AEE4B2">
        <w:rPr>
          <w:rFonts w:asciiTheme="majorHAnsi" w:hAnsiTheme="majorHAnsi" w:cstheme="majorBidi"/>
        </w:rPr>
        <w:t>overseas capacity tender.</w:t>
      </w:r>
      <w:r w:rsidR="00053BC1" w:rsidRPr="61AEE4B2">
        <w:rPr>
          <w:rFonts w:asciiTheme="majorHAnsi" w:hAnsiTheme="majorHAnsi" w:cstheme="majorBidi"/>
        </w:rPr>
        <w:t xml:space="preserve"> </w:t>
      </w:r>
      <w:r w:rsidR="00FF6C79" w:rsidRPr="61AEE4B2">
        <w:rPr>
          <w:rFonts w:asciiTheme="majorHAnsi" w:hAnsiTheme="majorHAnsi" w:cstheme="majorBidi"/>
        </w:rPr>
        <w:t xml:space="preserve">Further, minimum duration requirements in tenders could result in capacity being less flexible. For example, a 4 hour, 100MW hour </w:t>
      </w:r>
      <w:r w:rsidR="00FF6C79">
        <w:t>battery energy storage system (</w:t>
      </w:r>
      <w:r w:rsidR="00FF6C79" w:rsidRPr="61AEE4B2">
        <w:rPr>
          <w:rFonts w:asciiTheme="majorHAnsi" w:hAnsiTheme="majorHAnsi" w:cstheme="majorBidi"/>
        </w:rPr>
        <w:t>BESS) has less operating flexibility compared to a 1 hour, 400MW BESS. These trade-offs will be better understood over</w:t>
      </w:r>
      <w:r w:rsidR="00FF6C79">
        <w:rPr>
          <w:rFonts w:asciiTheme="majorHAnsi" w:hAnsiTheme="majorHAnsi" w:cstheme="majorBidi"/>
        </w:rPr>
        <w:t xml:space="preserve"> </w:t>
      </w:r>
      <w:r w:rsidR="00FF6C79" w:rsidRPr="61AEE4B2">
        <w:rPr>
          <w:rFonts w:asciiTheme="majorHAnsi" w:hAnsiTheme="majorHAnsi" w:cstheme="majorBidi"/>
        </w:rPr>
        <w:t xml:space="preserve">time.  </w:t>
      </w:r>
    </w:p>
    <w:p w14:paraId="464D00D6" w14:textId="1D24B914" w:rsidR="0077732C" w:rsidRDefault="004928ED" w:rsidP="00842277">
      <w:pPr>
        <w:spacing w:after="240"/>
        <w:rPr>
          <w:rFonts w:cs="Arial"/>
        </w:rPr>
      </w:pPr>
      <w:r>
        <w:rPr>
          <w:rFonts w:cs="Arial"/>
        </w:rPr>
        <w:t xml:space="preserve">The next CIS tender is expected </w:t>
      </w:r>
      <w:r w:rsidR="00E732DB">
        <w:rPr>
          <w:rFonts w:cs="Arial"/>
        </w:rPr>
        <w:t>to</w:t>
      </w:r>
      <w:r w:rsidR="0077732C">
        <w:rPr>
          <w:rFonts w:cs="Arial"/>
        </w:rPr>
        <w:t xml:space="preserve"> </w:t>
      </w:r>
      <w:r w:rsidR="00DB5DF0">
        <w:rPr>
          <w:rFonts w:cs="Arial"/>
        </w:rPr>
        <w:t>commence</w:t>
      </w:r>
      <w:r w:rsidR="0077732C">
        <w:rPr>
          <w:rFonts w:cs="Arial"/>
        </w:rPr>
        <w:t xml:space="preserve"> in </w:t>
      </w:r>
      <w:r w:rsidR="0077732C" w:rsidRPr="1A7FD6DE">
        <w:rPr>
          <w:rFonts w:cs="Arial"/>
        </w:rPr>
        <w:t>S</w:t>
      </w:r>
      <w:r w:rsidR="55569610" w:rsidRPr="1A7FD6DE">
        <w:rPr>
          <w:rFonts w:cs="Arial"/>
        </w:rPr>
        <w:t>outh Australia</w:t>
      </w:r>
      <w:r w:rsidR="0077732C">
        <w:rPr>
          <w:rFonts w:cs="Arial"/>
        </w:rPr>
        <w:t xml:space="preserve"> and Victoria</w:t>
      </w:r>
      <w:r w:rsidR="00DB5DF0">
        <w:rPr>
          <w:rFonts w:cs="Arial"/>
        </w:rPr>
        <w:t xml:space="preserve"> in 2023</w:t>
      </w:r>
      <w:r w:rsidR="0077732C">
        <w:rPr>
          <w:rFonts w:cs="Arial"/>
        </w:rPr>
        <w:t xml:space="preserve">. </w:t>
      </w:r>
      <w:r w:rsidR="0077732C" w:rsidRPr="00D30197">
        <w:rPr>
          <w:rFonts w:cs="Arial"/>
        </w:rPr>
        <w:t xml:space="preserve">The tender </w:t>
      </w:r>
      <w:r w:rsidR="005A2922">
        <w:rPr>
          <w:rFonts w:cs="Arial"/>
        </w:rPr>
        <w:t>is expected to</w:t>
      </w:r>
      <w:r w:rsidR="0077732C" w:rsidRPr="00D30197">
        <w:rPr>
          <w:rFonts w:cs="Arial"/>
        </w:rPr>
        <w:t xml:space="preserve"> </w:t>
      </w:r>
      <w:r w:rsidR="00B10308">
        <w:rPr>
          <w:rFonts w:cs="Arial"/>
        </w:rPr>
        <w:t>include</w:t>
      </w:r>
      <w:r w:rsidR="0077732C" w:rsidRPr="00D30197">
        <w:rPr>
          <w:rFonts w:cs="Arial"/>
        </w:rPr>
        <w:t xml:space="preserve"> a</w:t>
      </w:r>
      <w:r w:rsidR="00020B37">
        <w:rPr>
          <w:rFonts w:cs="Arial"/>
        </w:rPr>
        <w:t xml:space="preserve">n eligibility requirement for projects to dispatch at </w:t>
      </w:r>
      <w:r w:rsidR="0077732C" w:rsidRPr="00D30197">
        <w:rPr>
          <w:rFonts w:cs="Arial"/>
        </w:rPr>
        <w:t xml:space="preserve">a minimum duration of output at full capacity. As the duration requirement is set at a minimum threshold, longer duration storage projects </w:t>
      </w:r>
      <w:r w:rsidR="00C030E5">
        <w:rPr>
          <w:rFonts w:cs="Arial"/>
        </w:rPr>
        <w:t>could</w:t>
      </w:r>
      <w:r w:rsidR="0077732C" w:rsidRPr="00D30197">
        <w:rPr>
          <w:rFonts w:cs="Arial"/>
        </w:rPr>
        <w:t xml:space="preserve"> compete in the tender and the evaluation process attributes greater value to longer duration projects. This approach is </w:t>
      </w:r>
      <w:r w:rsidR="003E37EA">
        <w:rPr>
          <w:rFonts w:cs="Arial"/>
        </w:rPr>
        <w:t>similar to</w:t>
      </w:r>
      <w:r w:rsidR="003E37EA" w:rsidRPr="00D30197">
        <w:rPr>
          <w:rFonts w:cs="Arial"/>
        </w:rPr>
        <w:t xml:space="preserve"> </w:t>
      </w:r>
      <w:r w:rsidR="0077732C" w:rsidRPr="00D30197">
        <w:rPr>
          <w:rFonts w:cs="Arial"/>
        </w:rPr>
        <w:t>the NSW Firming and Long Duration Storage (LDS) Long-Term Energy Service Agreement (LTESA) tenders, which prescribe minimum durations of 2 hours and 8 hours respectively, with longer durations being attributed greater financial value.</w:t>
      </w:r>
    </w:p>
    <w:tbl>
      <w:tblPr>
        <w:tblStyle w:val="TableGrid"/>
        <w:tblW w:w="9295" w:type="dxa"/>
        <w:tblLook w:val="04A0" w:firstRow="1" w:lastRow="0" w:firstColumn="1" w:lastColumn="0" w:noHBand="0" w:noVBand="1"/>
      </w:tblPr>
      <w:tblGrid>
        <w:gridCol w:w="9295"/>
      </w:tblGrid>
      <w:tr w:rsidR="0077732C" w14:paraId="66E20252" w14:textId="77777777" w:rsidTr="001502A7">
        <w:trPr>
          <w:trHeight w:val="683"/>
        </w:trPr>
        <w:tc>
          <w:tcPr>
            <w:tcW w:w="9295" w:type="dxa"/>
            <w:tcBorders>
              <w:left w:val="nil"/>
              <w:right w:val="nil"/>
            </w:tcBorders>
            <w:shd w:val="clear" w:color="auto" w:fill="DEEAF6" w:themeFill="accent1" w:themeFillTint="33"/>
          </w:tcPr>
          <w:p w14:paraId="1325FA58" w14:textId="77777777" w:rsidR="0077732C" w:rsidRDefault="0077732C" w:rsidP="001502A7">
            <w:pPr>
              <w:rPr>
                <w:lang w:val="en-GB" w:eastAsia="en-AU"/>
              </w:rPr>
            </w:pPr>
            <w:r>
              <w:rPr>
                <w:b/>
                <w:bCs/>
                <w:lang w:val="en-GB" w:eastAsia="en-AU"/>
              </w:rPr>
              <w:t>Consultation questions:</w:t>
            </w:r>
            <w:r>
              <w:rPr>
                <w:lang w:val="en-GB" w:eastAsia="en-AU"/>
              </w:rPr>
              <w:t xml:space="preserve"> </w:t>
            </w:r>
          </w:p>
          <w:p w14:paraId="7D120ED2" w14:textId="74EAE3B2" w:rsidR="0077732C" w:rsidRDefault="00300D40" w:rsidP="001502A7">
            <w:pPr>
              <w:pStyle w:val="ListParagraph"/>
              <w:numPr>
                <w:ilvl w:val="0"/>
                <w:numId w:val="41"/>
              </w:numPr>
              <w:rPr>
                <w:lang w:val="en-GB" w:eastAsia="en-AU"/>
              </w:rPr>
            </w:pPr>
            <w:r>
              <w:rPr>
                <w:lang w:val="en-GB" w:eastAsia="en-AU"/>
              </w:rPr>
              <w:t>What</w:t>
            </w:r>
            <w:r w:rsidR="0077732C">
              <w:rPr>
                <w:lang w:val="en-GB" w:eastAsia="en-AU"/>
              </w:rPr>
              <w:t xml:space="preserve"> minimum storage duration should be required for tender eligibility, to achieve CIS policy objectives</w:t>
            </w:r>
            <w:r w:rsidR="001A2FEB">
              <w:rPr>
                <w:lang w:val="en-GB" w:eastAsia="en-AU"/>
              </w:rPr>
              <w:t>?</w:t>
            </w:r>
            <w:r w:rsidR="0077732C">
              <w:rPr>
                <w:lang w:val="en-GB" w:eastAsia="en-AU"/>
              </w:rPr>
              <w:t xml:space="preserve"> </w:t>
            </w:r>
          </w:p>
          <w:p w14:paraId="3DE09822" w14:textId="6BEF9DB7" w:rsidR="0002705C" w:rsidRDefault="001A2FEB" w:rsidP="001502A7">
            <w:pPr>
              <w:pStyle w:val="ListParagraph"/>
              <w:numPr>
                <w:ilvl w:val="0"/>
                <w:numId w:val="41"/>
              </w:numPr>
              <w:rPr>
                <w:lang w:val="en-GB" w:eastAsia="en-AU"/>
              </w:rPr>
            </w:pPr>
            <w:r>
              <w:rPr>
                <w:lang w:val="en-GB" w:eastAsia="en-AU"/>
              </w:rPr>
              <w:t>What</w:t>
            </w:r>
            <w:r w:rsidR="0002705C">
              <w:rPr>
                <w:lang w:val="en-GB" w:eastAsia="en-AU"/>
              </w:rPr>
              <w:t xml:space="preserve"> methodology for modelling and measuring duration requirements for various technology durations</w:t>
            </w:r>
            <w:r>
              <w:rPr>
                <w:lang w:val="en-GB" w:eastAsia="en-AU"/>
              </w:rPr>
              <w:t xml:space="preserve"> would be appropriate?</w:t>
            </w:r>
            <w:r w:rsidR="0002705C">
              <w:rPr>
                <w:lang w:val="en-GB" w:eastAsia="en-AU"/>
              </w:rPr>
              <w:t xml:space="preserve"> </w:t>
            </w:r>
          </w:p>
          <w:p w14:paraId="3301CB53" w14:textId="07C9FE1D" w:rsidR="0002705C" w:rsidRPr="00057608" w:rsidRDefault="001A2FEB" w:rsidP="001502A7">
            <w:pPr>
              <w:pStyle w:val="ListParagraph"/>
              <w:numPr>
                <w:ilvl w:val="0"/>
                <w:numId w:val="41"/>
              </w:numPr>
              <w:rPr>
                <w:lang w:val="en-GB" w:eastAsia="en-AU"/>
              </w:rPr>
            </w:pPr>
            <w:r>
              <w:rPr>
                <w:lang w:val="en-GB" w:eastAsia="en-AU"/>
              </w:rPr>
              <w:t>How could the</w:t>
            </w:r>
            <w:r w:rsidR="00C77DB1">
              <w:rPr>
                <w:lang w:val="en-GB" w:eastAsia="en-AU"/>
              </w:rPr>
              <w:t xml:space="preserve"> CIS eligibility</w:t>
            </w:r>
            <w:r>
              <w:rPr>
                <w:lang w:val="en-GB" w:eastAsia="en-AU"/>
              </w:rPr>
              <w:t xml:space="preserve"> criteria</w:t>
            </w:r>
            <w:r w:rsidR="00C77DB1">
              <w:rPr>
                <w:lang w:val="en-GB" w:eastAsia="en-AU"/>
              </w:rPr>
              <w:t xml:space="preserve"> and assessment </w:t>
            </w:r>
            <w:r>
              <w:rPr>
                <w:lang w:val="en-GB" w:eastAsia="en-AU"/>
              </w:rPr>
              <w:t xml:space="preserve">methodology </w:t>
            </w:r>
            <w:r w:rsidR="00C77DB1">
              <w:rPr>
                <w:lang w:val="en-GB" w:eastAsia="en-AU"/>
              </w:rPr>
              <w:t>change and a</w:t>
            </w:r>
            <w:r w:rsidR="00D27BBF">
              <w:rPr>
                <w:lang w:val="en-GB" w:eastAsia="en-AU"/>
              </w:rPr>
              <w:t>dapt over time</w:t>
            </w:r>
            <w:r>
              <w:rPr>
                <w:lang w:val="en-GB" w:eastAsia="en-AU"/>
              </w:rPr>
              <w:t>?</w:t>
            </w:r>
          </w:p>
        </w:tc>
      </w:tr>
    </w:tbl>
    <w:p w14:paraId="3C44EEA0" w14:textId="77777777" w:rsidR="0002705C" w:rsidRDefault="0002705C" w:rsidP="0002446B"/>
    <w:p w14:paraId="2399B5E1" w14:textId="27192485" w:rsidR="003844D9" w:rsidRPr="002F70F9" w:rsidRDefault="1826CC2F" w:rsidP="004E0F6A">
      <w:pPr>
        <w:pStyle w:val="Heading1"/>
      </w:pPr>
      <w:bookmarkStart w:id="127" w:name="_Toc141783173"/>
      <w:r>
        <w:lastRenderedPageBreak/>
        <w:t>CIS tender</w:t>
      </w:r>
      <w:r w:rsidR="3F516A75">
        <w:t xml:space="preserve"> process and design</w:t>
      </w:r>
      <w:bookmarkEnd w:id="127"/>
    </w:p>
    <w:p w14:paraId="0B07A382" w14:textId="770D6094" w:rsidR="00C65C7C" w:rsidRDefault="009B1449" w:rsidP="00C17D85">
      <w:pPr>
        <w:pStyle w:val="Heading2"/>
        <w:rPr>
          <w:vanish/>
        </w:rPr>
      </w:pPr>
      <w:bookmarkStart w:id="128" w:name="_Toc139196516"/>
      <w:r>
        <w:rPr>
          <w:vanish/>
        </w:rPr>
        <w:t>CIS t</w:t>
      </w:r>
      <w:r w:rsidR="00C65C7C">
        <w:rPr>
          <w:vanish/>
        </w:rPr>
        <w:t>ender governance &amp; decision making</w:t>
      </w:r>
      <w:bookmarkStart w:id="129" w:name="_Toc139979051"/>
      <w:bookmarkStart w:id="130" w:name="_Toc139979107"/>
      <w:bookmarkStart w:id="131" w:name="_Toc139979134"/>
      <w:bookmarkStart w:id="132" w:name="_Toc139986357"/>
      <w:bookmarkStart w:id="133" w:name="_Toc139988982"/>
      <w:bookmarkStart w:id="134" w:name="_Toc139990631"/>
      <w:bookmarkStart w:id="135" w:name="_Toc139990660"/>
      <w:bookmarkStart w:id="136" w:name="_Toc139992263"/>
      <w:bookmarkStart w:id="137" w:name="_Toc139992942"/>
      <w:bookmarkStart w:id="138" w:name="_Toc140044302"/>
      <w:bookmarkStart w:id="139" w:name="_Toc140081625"/>
      <w:bookmarkStart w:id="140" w:name="_Toc140085569"/>
      <w:bookmarkStart w:id="141" w:name="_Toc140085601"/>
      <w:bookmarkStart w:id="142" w:name="_Toc140156881"/>
      <w:bookmarkStart w:id="143" w:name="_Toc140156928"/>
      <w:bookmarkStart w:id="144" w:name="_Toc140158355"/>
      <w:bookmarkStart w:id="145" w:name="_Toc140663894"/>
      <w:bookmarkStart w:id="146" w:name="_Toc140698446"/>
      <w:bookmarkStart w:id="147" w:name="_Toc141104599"/>
      <w:bookmarkStart w:id="148" w:name="_Toc141711673"/>
      <w:bookmarkStart w:id="149" w:name="_Toc141783145"/>
      <w:bookmarkStart w:id="150" w:name="_Toc14178317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095D98B" w14:textId="2CE8F7A0" w:rsidR="00C65C7C" w:rsidRDefault="009B1449" w:rsidP="00A7579E">
      <w:pPr>
        <w:rPr>
          <w:rFonts w:cs="Arial"/>
        </w:rPr>
      </w:pPr>
      <w:r>
        <w:rPr>
          <w:rFonts w:cs="Arial"/>
        </w:rPr>
        <w:t>The CIS</w:t>
      </w:r>
      <w:r w:rsidR="00205A97">
        <w:rPr>
          <w:rFonts w:cs="Arial"/>
        </w:rPr>
        <w:t xml:space="preserve"> will</w:t>
      </w:r>
      <w:r w:rsidR="003676E0">
        <w:rPr>
          <w:rFonts w:cs="Arial"/>
        </w:rPr>
        <w:t xml:space="preserve"> </w:t>
      </w:r>
      <w:r w:rsidR="00205A97">
        <w:rPr>
          <w:rFonts w:cs="Arial"/>
        </w:rPr>
        <w:t>establish</w:t>
      </w:r>
      <w:r w:rsidR="00403821">
        <w:rPr>
          <w:rFonts w:cs="Arial"/>
        </w:rPr>
        <w:t xml:space="preserve"> robust, transparent processes and institutions to ensure market trust in the tender</w:t>
      </w:r>
      <w:r w:rsidR="00CE1A1F">
        <w:rPr>
          <w:rFonts w:cs="Arial"/>
        </w:rPr>
        <w:t xml:space="preserve"> process</w:t>
      </w:r>
      <w:r w:rsidR="00403821">
        <w:rPr>
          <w:rFonts w:cs="Arial"/>
        </w:rPr>
        <w:t xml:space="preserve">. International precedent demonstrates that trust is critical to competition and </w:t>
      </w:r>
      <w:r w:rsidR="008F3E78">
        <w:rPr>
          <w:rFonts w:cs="Arial"/>
        </w:rPr>
        <w:t xml:space="preserve">the </w:t>
      </w:r>
      <w:r w:rsidR="00403821">
        <w:rPr>
          <w:rFonts w:cs="Arial"/>
        </w:rPr>
        <w:t>success</w:t>
      </w:r>
      <w:r w:rsidR="00A7579E">
        <w:rPr>
          <w:rFonts w:cs="Arial"/>
        </w:rPr>
        <w:t xml:space="preserve"> of mechanisms like the CIS</w:t>
      </w:r>
      <w:r w:rsidR="00403821">
        <w:rPr>
          <w:rFonts w:cs="Arial"/>
        </w:rPr>
        <w:t xml:space="preserve">.  </w:t>
      </w:r>
      <w:r w:rsidR="00A7579E">
        <w:rPr>
          <w:rFonts w:cs="Arial"/>
        </w:rPr>
        <w:t xml:space="preserve">As part of this governance and decision-making framework, it is currently expected that: </w:t>
      </w:r>
    </w:p>
    <w:p w14:paraId="3864D8DC" w14:textId="573F1576" w:rsidR="00135DF3" w:rsidRDefault="00135DF3" w:rsidP="00135DF3">
      <w:pPr>
        <w:pStyle w:val="ListParagraph"/>
        <w:numPr>
          <w:ilvl w:val="0"/>
          <w:numId w:val="12"/>
        </w:numPr>
        <w:rPr>
          <w:rFonts w:cs="Arial"/>
        </w:rPr>
      </w:pPr>
      <w:r>
        <w:rPr>
          <w:rFonts w:cs="Arial"/>
        </w:rPr>
        <w:t xml:space="preserve">the Commonwealth will set objectives, commercial in-confidence financial budgets and </w:t>
      </w:r>
      <w:r w:rsidR="00416750">
        <w:rPr>
          <w:rFonts w:cs="Arial"/>
        </w:rPr>
        <w:t xml:space="preserve">MW capacity </w:t>
      </w:r>
      <w:r>
        <w:rPr>
          <w:rFonts w:cs="Arial"/>
        </w:rPr>
        <w:t xml:space="preserve">targets for the CIS in each jurisdiction; </w:t>
      </w:r>
    </w:p>
    <w:p w14:paraId="0BF662CA" w14:textId="77777777" w:rsidR="006A7065" w:rsidRPr="00EF4A29" w:rsidRDefault="006A7065" w:rsidP="006A7065">
      <w:pPr>
        <w:pStyle w:val="ListParagraph"/>
        <w:numPr>
          <w:ilvl w:val="0"/>
          <w:numId w:val="12"/>
        </w:numPr>
        <w:rPr>
          <w:rFonts w:cs="Arial"/>
        </w:rPr>
      </w:pPr>
      <w:r w:rsidRPr="00EF4A29">
        <w:rPr>
          <w:rFonts w:cs="Arial"/>
        </w:rPr>
        <w:t xml:space="preserve">AEMO will run competitive tenders in partnership with its subsidiary, AEMO Services, and these tenders will be run in accordance with tender guidelines; and </w:t>
      </w:r>
    </w:p>
    <w:p w14:paraId="3BC1B830" w14:textId="77777777" w:rsidR="00293354" w:rsidRDefault="00293354" w:rsidP="00293354">
      <w:pPr>
        <w:pStyle w:val="ListParagraph"/>
        <w:numPr>
          <w:ilvl w:val="0"/>
          <w:numId w:val="12"/>
        </w:numPr>
        <w:rPr>
          <w:rFonts w:cs="Arial"/>
        </w:rPr>
      </w:pPr>
      <w:r>
        <w:rPr>
          <w:rFonts w:cs="Arial"/>
        </w:rPr>
        <w:t xml:space="preserve">AEMO will recommend projects for underwriting by the Commonwealth based on the tenders, and the Commonwealth makes final contracting decisions based on AEMO recommendations.  </w:t>
      </w:r>
    </w:p>
    <w:p w14:paraId="5AE32789" w14:textId="00FF900A" w:rsidR="00A84C99" w:rsidRPr="00DA179A" w:rsidRDefault="00A84C99" w:rsidP="00C17D85">
      <w:pPr>
        <w:pStyle w:val="Heading2"/>
        <w:rPr>
          <w:vanish/>
        </w:rPr>
      </w:pPr>
      <w:r w:rsidRPr="00DA179A">
        <w:rPr>
          <w:vanish/>
        </w:rPr>
        <w:t>Eligibility criteria</w:t>
      </w:r>
      <w:bookmarkStart w:id="151" w:name="_Toc139979052"/>
      <w:bookmarkStart w:id="152" w:name="_Toc139979108"/>
      <w:bookmarkStart w:id="153" w:name="_Toc139979135"/>
      <w:bookmarkStart w:id="154" w:name="_Toc139986358"/>
      <w:bookmarkStart w:id="155" w:name="_Toc139988983"/>
      <w:bookmarkStart w:id="156" w:name="_Toc139990632"/>
      <w:bookmarkStart w:id="157" w:name="_Toc139990661"/>
      <w:bookmarkStart w:id="158" w:name="_Toc139992264"/>
      <w:bookmarkStart w:id="159" w:name="_Toc139992943"/>
      <w:bookmarkStart w:id="160" w:name="_Toc140044303"/>
      <w:bookmarkStart w:id="161" w:name="_Toc140081626"/>
      <w:bookmarkStart w:id="162" w:name="_Toc140085570"/>
      <w:bookmarkStart w:id="163" w:name="_Toc140085602"/>
      <w:bookmarkStart w:id="164" w:name="_Toc140156882"/>
      <w:bookmarkStart w:id="165" w:name="_Toc140156929"/>
      <w:bookmarkStart w:id="166" w:name="_Toc140158356"/>
      <w:bookmarkStart w:id="167" w:name="_Toc140663895"/>
      <w:bookmarkStart w:id="168" w:name="_Toc140698447"/>
      <w:bookmarkStart w:id="169" w:name="_Toc141104600"/>
      <w:bookmarkStart w:id="170" w:name="_Toc141711674"/>
      <w:bookmarkStart w:id="171" w:name="_Toc141783146"/>
      <w:bookmarkStart w:id="172" w:name="_Toc141783175"/>
      <w:bookmarkEnd w:id="12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C733106" w14:textId="08F082CC" w:rsidR="00691FDA" w:rsidRDefault="00BF741F" w:rsidP="00D14507">
      <w:r>
        <w:t xml:space="preserve">This section provides </w:t>
      </w:r>
      <w:r w:rsidR="0C6D5759">
        <w:t>an</w:t>
      </w:r>
      <w:r>
        <w:t xml:space="preserve"> overview of the </w:t>
      </w:r>
      <w:r w:rsidR="009F1C4E">
        <w:t xml:space="preserve">expected </w:t>
      </w:r>
      <w:r w:rsidR="0063573E">
        <w:t xml:space="preserve">key </w:t>
      </w:r>
      <w:r w:rsidR="007D5FDC">
        <w:t xml:space="preserve">proponent and project </w:t>
      </w:r>
      <w:r>
        <w:t xml:space="preserve">eligibility criteria that potential tender </w:t>
      </w:r>
      <w:r w:rsidR="415A8466">
        <w:t xml:space="preserve">proponents </w:t>
      </w:r>
      <w:r w:rsidR="009840CE">
        <w:t>or project</w:t>
      </w:r>
      <w:r w:rsidR="00F41209">
        <w:t>s</w:t>
      </w:r>
      <w:r w:rsidR="009840CE">
        <w:t xml:space="preserve"> </w:t>
      </w:r>
      <w:r>
        <w:t>will need to satisfy.</w:t>
      </w:r>
      <w:r w:rsidR="00D113AA" w:rsidRPr="00D113AA">
        <w:t xml:space="preserve"> </w:t>
      </w:r>
      <w:r w:rsidR="000C3F1E">
        <w:t>The final eligibility criteria may vary for each tender</w:t>
      </w:r>
      <w:r w:rsidR="00E268CF">
        <w:t>,</w:t>
      </w:r>
      <w:r w:rsidR="000C3F1E">
        <w:t xml:space="preserve"> and within each State</w:t>
      </w:r>
      <w:r w:rsidR="00E268CF">
        <w:t>,</w:t>
      </w:r>
      <w:r w:rsidR="000C3F1E">
        <w:t xml:space="preserve"> and will be outlined in the CIS tender guidelines for the specific tende</w:t>
      </w:r>
      <w:r w:rsidR="00691FDA">
        <w:t>r.</w:t>
      </w:r>
      <w:r w:rsidR="00933DC2">
        <w:rPr>
          <w:rStyle w:val="FootnoteReference"/>
        </w:rPr>
        <w:footnoteReference w:id="7"/>
      </w:r>
    </w:p>
    <w:p w14:paraId="4153B9E4" w14:textId="77777777" w:rsidR="0055715A" w:rsidRDefault="0055715A" w:rsidP="0055715A">
      <w:r>
        <w:t xml:space="preserve">The purpose of specifying eligibility criteria is to establish minimum standards for participating in a CIS tender. Eligibility criteria are intended to achieve consistency and transparency of decision-making and may save proponents money by clearly indicating when projects are sufficiently progressed to participate in a CIS tender. </w:t>
      </w:r>
    </w:p>
    <w:p w14:paraId="41E7A7A7" w14:textId="4434E6CA" w:rsidR="006A0957" w:rsidRPr="00AC14EF" w:rsidRDefault="006A0957" w:rsidP="00D14507">
      <w:bookmarkStart w:id="173" w:name="_Toc139196517"/>
      <w:r w:rsidRPr="00D14507">
        <w:rPr>
          <w:b/>
          <w:bCs/>
        </w:rPr>
        <w:t xml:space="preserve">Location </w:t>
      </w:r>
      <w:r w:rsidRPr="00691FDA">
        <w:rPr>
          <w:b/>
          <w:bCs/>
        </w:rPr>
        <w:t>and ownership</w:t>
      </w:r>
    </w:p>
    <w:p w14:paraId="4D6F3509" w14:textId="77777777" w:rsidR="00AC4A87" w:rsidRDefault="00AC4A87" w:rsidP="00AC4A87">
      <w:r>
        <w:t>There will be a CIS tender in late 2023 open to projects located in Victoria or South Australia. A joint tender in Victoria and South Australia was identified as an early priority due to emerging reliability requirements and the highly interconnected nature of these regions.</w:t>
      </w:r>
    </w:p>
    <w:p w14:paraId="30D06AF3" w14:textId="006B90C3" w:rsidR="009E6352" w:rsidRDefault="009E6352" w:rsidP="009E6352">
      <w:r>
        <w:t xml:space="preserve">CIS tenders may be for specific jurisdictions or could be conducted across multiple jurisdictions. Where multiple jurisdictions are participating, a minimum quota per jurisdiction for contracts may be outlined in the tender guidelines. For example, where a tender’s eligibility is both South Australia and Victoria, the tender guidelines could specify that one-third of allocated capacity must be allocated to South Australia, one-third must be allocated to Victoria, and one-third could be allocated to either.   </w:t>
      </w:r>
    </w:p>
    <w:p w14:paraId="0C36C3F6" w14:textId="51881FA6" w:rsidR="00BE39F0" w:rsidRDefault="00EF231F" w:rsidP="00EA33CA">
      <w:r>
        <w:t xml:space="preserve">There will be distinct allocation thresholds of CIS funding for each </w:t>
      </w:r>
      <w:r w:rsidR="0096173D">
        <w:t>jurisdiction</w:t>
      </w:r>
      <w:r w:rsidR="00915F45">
        <w:t xml:space="preserve">. Allocations </w:t>
      </w:r>
      <w:r>
        <w:t xml:space="preserve">will be determined </w:t>
      </w:r>
      <w:r w:rsidR="00164B93">
        <w:t xml:space="preserve">based </w:t>
      </w:r>
      <w:r>
        <w:t xml:space="preserve">on the reliability </w:t>
      </w:r>
      <w:r w:rsidR="00111E99">
        <w:t xml:space="preserve">requirements of each jurisdiction. </w:t>
      </w:r>
      <w:r w:rsidR="00F22CAB">
        <w:t xml:space="preserve">For further information on this process, </w:t>
      </w:r>
      <w:r w:rsidR="00F22CAB" w:rsidRPr="00D83987">
        <w:t xml:space="preserve">see Section </w:t>
      </w:r>
      <w:r w:rsidR="00D83987" w:rsidRPr="00D83987">
        <w:t>3.2</w:t>
      </w:r>
      <w:r w:rsidR="00F22CAB">
        <w:t>.</w:t>
      </w:r>
    </w:p>
    <w:p w14:paraId="0F45CB50" w14:textId="77777777" w:rsidR="00A35A71" w:rsidRPr="00C676D5" w:rsidRDefault="00A35A71" w:rsidP="00A35A71">
      <w:r>
        <w:t>Both publicly and privately owned projects will be eligible for CIS tenders.</w:t>
      </w:r>
    </w:p>
    <w:p w14:paraId="3E7F25B0" w14:textId="77777777" w:rsidR="007C0676" w:rsidRDefault="007C0676" w:rsidP="003B6273">
      <w:pPr>
        <w:rPr>
          <w:b/>
          <w:bCs/>
        </w:rPr>
      </w:pPr>
    </w:p>
    <w:p w14:paraId="142E3FE6" w14:textId="13FF26C6" w:rsidR="003B6273" w:rsidRPr="00AC14EF" w:rsidRDefault="00865951" w:rsidP="003B6273">
      <w:r>
        <w:rPr>
          <w:b/>
          <w:bCs/>
        </w:rPr>
        <w:lastRenderedPageBreak/>
        <w:t>T</w:t>
      </w:r>
      <w:r w:rsidR="003B6273">
        <w:rPr>
          <w:b/>
          <w:bCs/>
        </w:rPr>
        <w:t xml:space="preserve">echnology contributing to zero emissions </w:t>
      </w:r>
      <w:r w:rsidR="00AE3108">
        <w:rPr>
          <w:b/>
          <w:bCs/>
        </w:rPr>
        <w:t>and reliability</w:t>
      </w:r>
      <w:r w:rsidR="003B6273">
        <w:rPr>
          <w:b/>
          <w:bCs/>
        </w:rPr>
        <w:t xml:space="preserve"> </w:t>
      </w:r>
    </w:p>
    <w:bookmarkEnd w:id="173"/>
    <w:p w14:paraId="1B7DE4DE" w14:textId="4C46EB40" w:rsidR="00406F6E" w:rsidRDefault="00D005D1" w:rsidP="006A0957">
      <w:r>
        <w:t>Detailed eligibility requirements (or merit criteria) related to emissions will be provided for each tender round, however, it is expected that p</w:t>
      </w:r>
      <w:r w:rsidR="00B9505D">
        <w:t>rojects must</w:t>
      </w:r>
      <w:r w:rsidR="00406F6E">
        <w:t>:</w:t>
      </w:r>
      <w:r w:rsidR="00B9505D">
        <w:t xml:space="preserve"> </w:t>
      </w:r>
    </w:p>
    <w:p w14:paraId="5FABAC52" w14:textId="5E442DCD" w:rsidR="001C5F03" w:rsidRDefault="00170953" w:rsidP="001C5F03">
      <w:pPr>
        <w:pStyle w:val="ListParagraph"/>
        <w:numPr>
          <w:ilvl w:val="0"/>
          <w:numId w:val="9"/>
        </w:numPr>
      </w:pPr>
      <w:r>
        <w:t xml:space="preserve">have a fuel source (e.g. hydrogen) or </w:t>
      </w:r>
      <w:r w:rsidR="001C5F03">
        <w:t xml:space="preserve">storage fuel source (e.g. BESS) that contributes to zero scope 1 emissions; or </w:t>
      </w:r>
    </w:p>
    <w:p w14:paraId="57FE9C55" w14:textId="77777777" w:rsidR="001C5F03" w:rsidRDefault="001C5F03" w:rsidP="001C5F03">
      <w:pPr>
        <w:pStyle w:val="ListParagraph"/>
        <w:numPr>
          <w:ilvl w:val="0"/>
          <w:numId w:val="9"/>
        </w:numPr>
      </w:pPr>
      <w:r>
        <w:t xml:space="preserve">for storage projects only, be capable of charging only from the grid. </w:t>
      </w:r>
    </w:p>
    <w:p w14:paraId="7C97924C" w14:textId="77777777" w:rsidR="009179B5" w:rsidRDefault="00C01D23" w:rsidP="00913B8D">
      <w:r>
        <w:t xml:space="preserve">Dispatchable generation that is sourced from renewable energy fuel sources </w:t>
      </w:r>
      <w:r w:rsidR="009F5A5B">
        <w:t>will be</w:t>
      </w:r>
      <w:r>
        <w:t xml:space="preserve"> eligible. This includes projects that have </w:t>
      </w:r>
      <w:r w:rsidR="003A5654">
        <w:t xml:space="preserve">dispatchable </w:t>
      </w:r>
      <w:r>
        <w:t xml:space="preserve">generation using wind, solar, hydrogen sourced from renewables, biomass </w:t>
      </w:r>
      <w:r w:rsidR="00A70D4F">
        <w:t>and concentrated solar thermal.</w:t>
      </w:r>
      <w:r w:rsidR="00997C8E">
        <w:t xml:space="preserve"> </w:t>
      </w:r>
    </w:p>
    <w:p w14:paraId="29464829" w14:textId="58BA2DA5" w:rsidR="00913B8D" w:rsidRDefault="00997C8E" w:rsidP="00913B8D">
      <w:r>
        <w:t xml:space="preserve">Thermal generation such </w:t>
      </w:r>
      <w:r w:rsidR="00BA3CC5">
        <w:t>as</w:t>
      </w:r>
      <w:r>
        <w:t xml:space="preserve"> coal and gas </w:t>
      </w:r>
      <w:r w:rsidR="009179B5">
        <w:t xml:space="preserve">is not eligible for the CIS. </w:t>
      </w:r>
      <w:r w:rsidR="003F7757">
        <w:t>Projects using fuel</w:t>
      </w:r>
      <w:r w:rsidR="00854DD8">
        <w:t xml:space="preserve"> where </w:t>
      </w:r>
      <w:r w:rsidR="00290DFB">
        <w:t xml:space="preserve">coal or gas form </w:t>
      </w:r>
      <w:r w:rsidR="00BA3CC5">
        <w:t xml:space="preserve">a part of the blended fuel will also not be eligible. </w:t>
      </w:r>
    </w:p>
    <w:p w14:paraId="4212F106" w14:textId="7A4D7D3E" w:rsidR="001A35BB" w:rsidRPr="001F54DD" w:rsidRDefault="001A35BB" w:rsidP="00913B8D">
      <w:r>
        <w:t>Variable renewable energy projects that do not generate electricity that is dispatchable and/or comprise a storage component that would enable the electricity to be dispatchable will not be eligible for support under the CIS due to their limited contribution to system reliability.</w:t>
      </w:r>
    </w:p>
    <w:p w14:paraId="55E2BEB6" w14:textId="15E2A450" w:rsidR="00B52985" w:rsidRDefault="00C01D23" w:rsidP="006A0957">
      <w:r>
        <w:t xml:space="preserve">Storage projects that are stand-alone or physically co-located with generation </w:t>
      </w:r>
      <w:r w:rsidR="00CC0070">
        <w:t>will be</w:t>
      </w:r>
      <w:r>
        <w:t xml:space="preserve"> eligible for the CIS tenders. </w:t>
      </w:r>
      <w:r w:rsidR="00B353F0">
        <w:t>This may include expansion projects to existing storage or generation assets, or the addition of new storage or generation assets to existing shared infrastructure.</w:t>
      </w:r>
      <w:r>
        <w:t xml:space="preserve"> </w:t>
      </w:r>
      <w:r w:rsidR="00B52985">
        <w:t xml:space="preserve">Storage projects where the fuel source is the wholesale electricity market (i.e., the storage technology is only capable of charging from </w:t>
      </w:r>
      <w:r w:rsidR="002654F6">
        <w:t xml:space="preserve">one of the Australian electricity </w:t>
      </w:r>
      <w:r w:rsidR="00785DBE">
        <w:t>grids</w:t>
      </w:r>
      <w:r w:rsidR="00B52985">
        <w:t xml:space="preserve">) are considered as having a zero contribution to scope 1 emissions. This is consistent with precedent set in the net zero approach in international markets and the </w:t>
      </w:r>
      <w:r w:rsidR="004C17F7">
        <w:t xml:space="preserve">EII Regulation 2021 (NSW) that informs the NSW </w:t>
      </w:r>
      <w:r w:rsidR="00B52985">
        <w:t xml:space="preserve">LTESA </w:t>
      </w:r>
      <w:r w:rsidR="004C17F7">
        <w:t>F</w:t>
      </w:r>
      <w:r w:rsidR="00B52985">
        <w:t xml:space="preserve">irming </w:t>
      </w:r>
      <w:r w:rsidR="004C17F7">
        <w:t>T</w:t>
      </w:r>
      <w:r w:rsidR="00B52985">
        <w:t>ender</w:t>
      </w:r>
      <w:r w:rsidR="004C17F7">
        <w:t>.</w:t>
      </w:r>
    </w:p>
    <w:p w14:paraId="126874A6" w14:textId="77777777" w:rsidR="00DE3105" w:rsidRDefault="00DE3105" w:rsidP="00DE3105">
      <w:r>
        <w:t xml:space="preserve">In some circumstances demand response projects can contribute to the objectives of the CIS and may be considered eligible in CIS tenders. For example, this could include participants in the NEM wholesale demand response market who can reduce demand for four hours or more. </w:t>
      </w:r>
    </w:p>
    <w:p w14:paraId="4C4FD141" w14:textId="77777777" w:rsidR="00DE3105" w:rsidRDefault="00DE3105" w:rsidP="00DE3105">
      <w:r>
        <w:t xml:space="preserve">By contrast, some demand response projects may not be consistent with the objectives of the CIS. For example, virtual power plants (VPPs) that are used by electricity retailers to manage short-term price volatility within a trading portfolio. These VPPs can be valuable in an electricity market but are not a source of system reliability. Further, some forms of demand response which support reliability are captured under existing mechanisms such as AEMO’s </w:t>
      </w:r>
      <w:r w:rsidRPr="003828EC">
        <w:t>Reliability and Emergency Reserve Trader</w:t>
      </w:r>
      <w:r>
        <w:t xml:space="preserve"> (RERT). </w:t>
      </w:r>
    </w:p>
    <w:p w14:paraId="7B5ADC7F" w14:textId="2D1B995C" w:rsidR="00915047" w:rsidRDefault="00DE3105" w:rsidP="00DE3105">
      <w:r>
        <w:t>Because different types of demand response make different contributions to reliability, eligibility in future CIS tenders may depend upon demand response projects meeting certain requirements to facilitate a contribution to reliability. For example, registration as a Demand Response Service Provider on the NEM and being capable of meeting medium storage duration requirements.</w:t>
      </w:r>
    </w:p>
    <w:tbl>
      <w:tblPr>
        <w:tblStyle w:val="TableGrid"/>
        <w:tblW w:w="9295" w:type="dxa"/>
        <w:tblLook w:val="04A0" w:firstRow="1" w:lastRow="0" w:firstColumn="1" w:lastColumn="0" w:noHBand="0" w:noVBand="1"/>
      </w:tblPr>
      <w:tblGrid>
        <w:gridCol w:w="9295"/>
      </w:tblGrid>
      <w:tr w:rsidR="00D67A6E" w14:paraId="64B6B38E" w14:textId="77777777" w:rsidTr="006A7065">
        <w:trPr>
          <w:trHeight w:val="683"/>
        </w:trPr>
        <w:tc>
          <w:tcPr>
            <w:tcW w:w="9295" w:type="dxa"/>
            <w:tcBorders>
              <w:left w:val="nil"/>
              <w:right w:val="nil"/>
            </w:tcBorders>
            <w:shd w:val="clear" w:color="auto" w:fill="DEEAF6" w:themeFill="accent1" w:themeFillTint="33"/>
          </w:tcPr>
          <w:p w14:paraId="6ED8CC76" w14:textId="77777777" w:rsidR="00D67A6E" w:rsidRDefault="00D67A6E" w:rsidP="006A7065">
            <w:pPr>
              <w:rPr>
                <w:lang w:val="en-GB" w:eastAsia="en-AU"/>
              </w:rPr>
            </w:pPr>
            <w:r>
              <w:rPr>
                <w:b/>
                <w:bCs/>
                <w:lang w:val="en-GB" w:eastAsia="en-AU"/>
              </w:rPr>
              <w:t>Consultation questions:</w:t>
            </w:r>
            <w:r>
              <w:rPr>
                <w:lang w:val="en-GB" w:eastAsia="en-AU"/>
              </w:rPr>
              <w:t xml:space="preserve"> </w:t>
            </w:r>
          </w:p>
          <w:p w14:paraId="0E28BD96" w14:textId="77777777" w:rsidR="00D67A6E" w:rsidRDefault="00D67A6E" w:rsidP="006A7065">
            <w:pPr>
              <w:pStyle w:val="ListParagraph"/>
              <w:numPr>
                <w:ilvl w:val="0"/>
                <w:numId w:val="41"/>
              </w:numPr>
              <w:rPr>
                <w:lang w:val="en-GB" w:eastAsia="en-AU"/>
              </w:rPr>
            </w:pPr>
            <w:r>
              <w:rPr>
                <w:lang w:val="en-GB" w:eastAsia="en-AU"/>
              </w:rPr>
              <w:t xml:space="preserve">What methodology for considering a project’s contribution to zero scope 1 emissions would be appropriate? </w:t>
            </w:r>
          </w:p>
          <w:p w14:paraId="2AE601F7" w14:textId="77777777" w:rsidR="00D67A6E" w:rsidRDefault="00D67A6E" w:rsidP="006A7065">
            <w:pPr>
              <w:pStyle w:val="ListParagraph"/>
              <w:numPr>
                <w:ilvl w:val="0"/>
                <w:numId w:val="41"/>
              </w:numPr>
              <w:rPr>
                <w:lang w:val="en-GB" w:eastAsia="en-AU"/>
              </w:rPr>
            </w:pPr>
            <w:r>
              <w:rPr>
                <w:lang w:val="en-GB" w:eastAsia="en-AU"/>
              </w:rPr>
              <w:t>How could this criteria and assessment methodology adapt as technology matures over time?</w:t>
            </w:r>
          </w:p>
          <w:p w14:paraId="52C0DA20" w14:textId="77777777" w:rsidR="008F4709" w:rsidRDefault="008F4709" w:rsidP="008F4709">
            <w:pPr>
              <w:pStyle w:val="ListParagraph"/>
              <w:numPr>
                <w:ilvl w:val="0"/>
                <w:numId w:val="41"/>
              </w:numPr>
              <w:rPr>
                <w:lang w:val="en-GB" w:eastAsia="en-AU"/>
              </w:rPr>
            </w:pPr>
            <w:r>
              <w:rPr>
                <w:lang w:val="en-GB" w:eastAsia="en-AU"/>
              </w:rPr>
              <w:t>What types of demand response would be consistent or inconsistent with the CIS objectives?</w:t>
            </w:r>
          </w:p>
          <w:p w14:paraId="4BFDDA90" w14:textId="4B7CEFF8" w:rsidR="00D67A6E" w:rsidRPr="00057608" w:rsidRDefault="008F4709" w:rsidP="006A7065">
            <w:pPr>
              <w:pStyle w:val="ListParagraph"/>
              <w:numPr>
                <w:ilvl w:val="0"/>
                <w:numId w:val="41"/>
              </w:numPr>
              <w:rPr>
                <w:lang w:val="en-GB" w:eastAsia="en-AU"/>
              </w:rPr>
            </w:pPr>
            <w:r>
              <w:rPr>
                <w:lang w:val="en-GB" w:eastAsia="en-AU"/>
              </w:rPr>
              <w:t xml:space="preserve">How can the CIS design be future-proofed for an evolving/changing technology mix?  </w:t>
            </w:r>
          </w:p>
        </w:tc>
      </w:tr>
    </w:tbl>
    <w:p w14:paraId="68694D63" w14:textId="77777777" w:rsidR="00D67A6E" w:rsidRDefault="00D67A6E" w:rsidP="006A0957"/>
    <w:p w14:paraId="3939D57C" w14:textId="27E7161F" w:rsidR="00952E7E" w:rsidRDefault="00952E7E" w:rsidP="00EF327B">
      <w:pPr>
        <w:rPr>
          <w:b/>
          <w:bCs/>
        </w:rPr>
      </w:pPr>
      <w:r>
        <w:rPr>
          <w:b/>
          <w:bCs/>
        </w:rPr>
        <w:lastRenderedPageBreak/>
        <w:t>Registration with AEMO</w:t>
      </w:r>
      <w:r w:rsidR="00244B55">
        <w:rPr>
          <w:b/>
          <w:bCs/>
        </w:rPr>
        <w:t xml:space="preserve"> &amp; minimum size</w:t>
      </w:r>
    </w:p>
    <w:p w14:paraId="043BEB0B" w14:textId="12081768" w:rsidR="00BB623C" w:rsidRPr="00952E7E" w:rsidRDefault="005142C9" w:rsidP="00BB623C">
      <w:r>
        <w:t xml:space="preserve">Projects must </w:t>
      </w:r>
      <w:r w:rsidR="00952E7E">
        <w:t>be registered with AEMO</w:t>
      </w:r>
      <w:r>
        <w:t xml:space="preserve"> and intending to participate </w:t>
      </w:r>
      <w:r w:rsidR="00952E7E">
        <w:t>in</w:t>
      </w:r>
      <w:r w:rsidR="0083377C">
        <w:t xml:space="preserve"> </w:t>
      </w:r>
      <w:r w:rsidR="0088623D">
        <w:t>the</w:t>
      </w:r>
      <w:r w:rsidR="008720EE">
        <w:t xml:space="preserve"> central dis</w:t>
      </w:r>
      <w:r w:rsidR="00801861">
        <w:t xml:space="preserve">patch </w:t>
      </w:r>
      <w:r w:rsidR="007F4231">
        <w:t>mechanism used in the relevant Australian electricity grid.</w:t>
      </w:r>
      <w:r w:rsidR="0016692A">
        <w:t xml:space="preserve"> </w:t>
      </w:r>
      <w:r w:rsidR="003636DA" w:rsidRPr="003636DA">
        <w:t xml:space="preserve"> </w:t>
      </w:r>
      <w:r w:rsidR="00BB623C">
        <w:t xml:space="preserve">The requirement to participate in central dispatch ensures that projects supported by the CIS support reliability and affordability for consumers. It is expected that the tender guidelines will outline further requirements on the form of AEMO registration required. </w:t>
      </w:r>
    </w:p>
    <w:p w14:paraId="29C4A720" w14:textId="70E92672" w:rsidR="003F2C4A" w:rsidRDefault="00A62ECB" w:rsidP="003F2C4A">
      <w:pPr>
        <w:spacing w:after="240"/>
        <w:rPr>
          <w:rFonts w:cs="Arial"/>
        </w:rPr>
      </w:pPr>
      <w:r>
        <w:t>It is expected that a</w:t>
      </w:r>
      <w:r w:rsidR="003636DA">
        <w:t>ll projects</w:t>
      </w:r>
      <w:r w:rsidR="00E0387A">
        <w:t xml:space="preserve"> (in the NEM)</w:t>
      </w:r>
      <w:r w:rsidR="003636DA">
        <w:t xml:space="preserve"> must have a</w:t>
      </w:r>
      <w:r w:rsidR="003F2C4A">
        <w:t xml:space="preserve">n AEMO registered capacity of equal to or </w:t>
      </w:r>
      <w:r w:rsidR="003636DA">
        <w:t>greater than 30MW.</w:t>
      </w:r>
      <w:r w:rsidR="00BB623C">
        <w:t xml:space="preserve"> </w:t>
      </w:r>
      <w:r w:rsidR="000C4657">
        <w:rPr>
          <w:lang w:val="en-GB" w:eastAsia="en-AU"/>
        </w:rPr>
        <w:t>This threshold is expected to be lower for the projects</w:t>
      </w:r>
      <w:r w:rsidR="003F22A2">
        <w:rPr>
          <w:lang w:val="en-GB" w:eastAsia="en-AU"/>
        </w:rPr>
        <w:t xml:space="preserve"> in the</w:t>
      </w:r>
      <w:r w:rsidR="000C4657">
        <w:rPr>
          <w:lang w:val="en-GB" w:eastAsia="en-AU"/>
        </w:rPr>
        <w:t xml:space="preserve"> WEM.</w:t>
      </w:r>
      <w:r w:rsidR="003F22A2">
        <w:rPr>
          <w:lang w:val="en-GB" w:eastAsia="en-AU"/>
        </w:rPr>
        <w:t xml:space="preserve"> </w:t>
      </w:r>
      <w:r w:rsidR="00BB623C">
        <w:t xml:space="preserve">This </w:t>
      </w:r>
      <w:r w:rsidR="00C55CEF">
        <w:t>will</w:t>
      </w:r>
      <w:r w:rsidR="00BB623C">
        <w:t xml:space="preserve"> balance </w:t>
      </w:r>
      <w:r w:rsidR="007D0035">
        <w:t>the costs of participating in the tender</w:t>
      </w:r>
      <w:r w:rsidR="0005612B">
        <w:t>, the costs and complexity of evaluating projects</w:t>
      </w:r>
      <w:r w:rsidR="0038645B">
        <w:t>,</w:t>
      </w:r>
      <w:r w:rsidR="0005612B">
        <w:t xml:space="preserve"> and </w:t>
      </w:r>
      <w:r w:rsidR="008E2C7C">
        <w:t>ensuring that projects supported through the CIS make a</w:t>
      </w:r>
      <w:r w:rsidR="00634530">
        <w:t xml:space="preserve"> contribution to </w:t>
      </w:r>
      <w:r w:rsidR="00B17D33">
        <w:t xml:space="preserve">reliability that can be evidenced </w:t>
      </w:r>
      <w:r w:rsidR="00A31BE5">
        <w:t>through market modelling</w:t>
      </w:r>
      <w:r w:rsidR="00BB623C">
        <w:t xml:space="preserve">. </w:t>
      </w:r>
    </w:p>
    <w:tbl>
      <w:tblPr>
        <w:tblStyle w:val="TableGrid"/>
        <w:tblW w:w="9295" w:type="dxa"/>
        <w:tblLook w:val="04A0" w:firstRow="1" w:lastRow="0" w:firstColumn="1" w:lastColumn="0" w:noHBand="0" w:noVBand="1"/>
      </w:tblPr>
      <w:tblGrid>
        <w:gridCol w:w="9295"/>
      </w:tblGrid>
      <w:tr w:rsidR="003F2C4A" w14:paraId="32BEFE13" w14:textId="77777777" w:rsidTr="00C57B01">
        <w:trPr>
          <w:trHeight w:val="1045"/>
        </w:trPr>
        <w:tc>
          <w:tcPr>
            <w:tcW w:w="9295" w:type="dxa"/>
            <w:tcBorders>
              <w:left w:val="nil"/>
              <w:right w:val="nil"/>
            </w:tcBorders>
            <w:shd w:val="clear" w:color="auto" w:fill="DEEAF6" w:themeFill="accent1" w:themeFillTint="33"/>
          </w:tcPr>
          <w:p w14:paraId="784C47B2" w14:textId="77777777" w:rsidR="003F2C4A" w:rsidRDefault="003F2C4A" w:rsidP="001502A7">
            <w:pPr>
              <w:rPr>
                <w:lang w:val="en-GB" w:eastAsia="en-AU"/>
              </w:rPr>
            </w:pPr>
            <w:r>
              <w:rPr>
                <w:b/>
                <w:bCs/>
                <w:lang w:val="en-GB" w:eastAsia="en-AU"/>
              </w:rPr>
              <w:t>Consultation questions:</w:t>
            </w:r>
            <w:r>
              <w:rPr>
                <w:lang w:val="en-GB" w:eastAsia="en-AU"/>
              </w:rPr>
              <w:t xml:space="preserve"> </w:t>
            </w:r>
          </w:p>
          <w:p w14:paraId="16C2302D" w14:textId="41C1B14E" w:rsidR="003F2C4A" w:rsidRPr="00057608" w:rsidRDefault="003F2C4A" w:rsidP="003F2C4A">
            <w:pPr>
              <w:pStyle w:val="ListParagraph"/>
              <w:numPr>
                <w:ilvl w:val="0"/>
                <w:numId w:val="41"/>
              </w:numPr>
              <w:rPr>
                <w:lang w:val="en-GB" w:eastAsia="en-AU"/>
              </w:rPr>
            </w:pPr>
            <w:r>
              <w:rPr>
                <w:lang w:val="en-GB" w:eastAsia="en-AU"/>
              </w:rPr>
              <w:t xml:space="preserve">The Department is seeking feedback on the </w:t>
            </w:r>
            <w:r w:rsidR="00BB623C">
              <w:rPr>
                <w:lang w:val="en-GB" w:eastAsia="en-AU"/>
              </w:rPr>
              <w:t>eligibility requirement</w:t>
            </w:r>
            <w:r w:rsidR="00FD633D">
              <w:rPr>
                <w:lang w:val="en-GB" w:eastAsia="en-AU"/>
              </w:rPr>
              <w:t xml:space="preserve"> of projects in the NEM</w:t>
            </w:r>
            <w:r w:rsidR="00BB623C">
              <w:rPr>
                <w:lang w:val="en-GB" w:eastAsia="en-AU"/>
              </w:rPr>
              <w:t xml:space="preserve"> for equal to or greater than 30MW </w:t>
            </w:r>
            <w:r>
              <w:rPr>
                <w:lang w:val="en-GB" w:eastAsia="en-AU"/>
              </w:rPr>
              <w:t>registered capacity</w:t>
            </w:r>
            <w:r w:rsidR="00BB623C">
              <w:rPr>
                <w:lang w:val="en-GB" w:eastAsia="en-AU"/>
              </w:rPr>
              <w:t>.</w:t>
            </w:r>
          </w:p>
        </w:tc>
      </w:tr>
    </w:tbl>
    <w:p w14:paraId="7890D048" w14:textId="6425DC91" w:rsidR="00B41AED" w:rsidRDefault="00B41AED" w:rsidP="00EF327B"/>
    <w:p w14:paraId="7BB4C176" w14:textId="77777777" w:rsidR="006A02B7" w:rsidRPr="00AC14EF" w:rsidRDefault="006A02B7" w:rsidP="006A02B7">
      <w:bookmarkStart w:id="174" w:name="_Toc139196518"/>
      <w:r>
        <w:rPr>
          <w:b/>
          <w:bCs/>
        </w:rPr>
        <w:t>Expected development status of</w:t>
      </w:r>
      <w:r w:rsidRPr="00105884">
        <w:rPr>
          <w:b/>
          <w:bCs/>
        </w:rPr>
        <w:t xml:space="preserve"> </w:t>
      </w:r>
      <w:r>
        <w:rPr>
          <w:b/>
          <w:bCs/>
        </w:rPr>
        <w:t xml:space="preserve">land tenure, </w:t>
      </w:r>
      <w:r w:rsidRPr="00105884">
        <w:rPr>
          <w:b/>
          <w:bCs/>
        </w:rPr>
        <w:t>planning and connection approvals</w:t>
      </w:r>
    </w:p>
    <w:p w14:paraId="5E217353" w14:textId="057A8A16" w:rsidR="00FE6966" w:rsidRDefault="005E7FE0" w:rsidP="00FE6966">
      <w:r w:rsidRPr="005E7FE0">
        <w:t xml:space="preserve">It is </w:t>
      </w:r>
      <w:r>
        <w:t xml:space="preserve">expected that the </w:t>
      </w:r>
      <w:r w:rsidR="00A83735">
        <w:t xml:space="preserve">eligibility requirements in each State will include specific baseline eligibility requirements </w:t>
      </w:r>
      <w:r w:rsidR="00682124">
        <w:t xml:space="preserve">related to the progress of the projects including: </w:t>
      </w:r>
    </w:p>
    <w:p w14:paraId="1AE8723D" w14:textId="644A34F1" w:rsidR="00682124" w:rsidRPr="001B59DB" w:rsidRDefault="004217BC" w:rsidP="37F6BFD4">
      <w:pPr>
        <w:pStyle w:val="ListParagraph"/>
        <w:numPr>
          <w:ilvl w:val="0"/>
          <w:numId w:val="10"/>
        </w:numPr>
        <w:rPr>
          <w:i/>
          <w:iCs/>
        </w:rPr>
      </w:pPr>
      <w:r>
        <w:t>L</w:t>
      </w:r>
      <w:r w:rsidR="00682124">
        <w:t xml:space="preserve">and tenure – </w:t>
      </w:r>
      <w:r>
        <w:t xml:space="preserve">projects </w:t>
      </w:r>
      <w:r w:rsidR="00F30BAB">
        <w:t xml:space="preserve">are expected to </w:t>
      </w:r>
      <w:r w:rsidR="00290B16">
        <w:t>be able to demonstrate</w:t>
      </w:r>
      <w:r>
        <w:t xml:space="preserve"> secure access to land before participating in a CIS tender. </w:t>
      </w:r>
      <w:r w:rsidR="00D1376C">
        <w:t xml:space="preserve"> This could include a combination of land ownership, </w:t>
      </w:r>
      <w:r w:rsidR="005E6993">
        <w:t xml:space="preserve">leases, </w:t>
      </w:r>
      <w:r w:rsidR="00BA78BA">
        <w:t>and</w:t>
      </w:r>
      <w:r w:rsidR="005E6993">
        <w:t xml:space="preserve"> options to lease</w:t>
      </w:r>
      <w:r>
        <w:t xml:space="preserve">. </w:t>
      </w:r>
      <w:r w:rsidR="005E6993">
        <w:t xml:space="preserve"> </w:t>
      </w:r>
      <w:r w:rsidR="00F2168E">
        <w:t xml:space="preserve"> </w:t>
      </w:r>
    </w:p>
    <w:p w14:paraId="38E91222" w14:textId="308419DF" w:rsidR="00682124" w:rsidRPr="001B59DB" w:rsidRDefault="004217BC" w:rsidP="001D13B8">
      <w:pPr>
        <w:pStyle w:val="ListParagraph"/>
        <w:numPr>
          <w:ilvl w:val="0"/>
          <w:numId w:val="10"/>
        </w:numPr>
      </w:pPr>
      <w:r>
        <w:t>Planning – projects</w:t>
      </w:r>
      <w:r w:rsidR="00290B16">
        <w:t xml:space="preserve"> are expected to be able to demonstrate</w:t>
      </w:r>
      <w:r>
        <w:t xml:space="preserve"> an understanding of the expected planning pathway and </w:t>
      </w:r>
      <w:r w:rsidR="00B535B5">
        <w:t xml:space="preserve">planning approval </w:t>
      </w:r>
      <w:r>
        <w:t xml:space="preserve">requirements necessary to </w:t>
      </w:r>
      <w:r w:rsidR="000A2119">
        <w:t xml:space="preserve">undertake project development, construction and operation of the project. </w:t>
      </w:r>
      <w:r w:rsidR="52E4C13F">
        <w:t xml:space="preserve">This includes </w:t>
      </w:r>
      <w:r w:rsidR="00AA10B2">
        <w:t xml:space="preserve">demonstrating </w:t>
      </w:r>
      <w:r w:rsidR="52E4C13F">
        <w:t xml:space="preserve">an understanding of </w:t>
      </w:r>
      <w:r w:rsidR="00130E9C">
        <w:t xml:space="preserve">the State and Federal </w:t>
      </w:r>
      <w:r w:rsidR="00EE538F">
        <w:t>envi</w:t>
      </w:r>
      <w:r w:rsidR="00E07540">
        <w:t xml:space="preserve">ronmental requirements </w:t>
      </w:r>
      <w:r w:rsidR="00AA10B2">
        <w:t xml:space="preserve">applicable to the project. </w:t>
      </w:r>
    </w:p>
    <w:p w14:paraId="67AE8909" w14:textId="518259BD" w:rsidR="00D45027" w:rsidRPr="00682124" w:rsidRDefault="00D45027" w:rsidP="00D45027">
      <w:pPr>
        <w:pStyle w:val="ListParagraph"/>
        <w:numPr>
          <w:ilvl w:val="0"/>
          <w:numId w:val="10"/>
        </w:numPr>
        <w:rPr>
          <w:i/>
          <w:iCs/>
        </w:rPr>
      </w:pPr>
      <w:bookmarkStart w:id="175" w:name="_Toc139196520"/>
      <w:bookmarkEnd w:id="174"/>
      <w:r w:rsidRPr="001B59DB">
        <w:t>Grid connection</w:t>
      </w:r>
      <w:r>
        <w:rPr>
          <w:i/>
          <w:iCs/>
        </w:rPr>
        <w:t xml:space="preserve"> </w:t>
      </w:r>
      <w:r>
        <w:t xml:space="preserve">– projects are expected to be able to demonstrate an understanding of the grid connection process, the viability of the proposed grid connection, and evidence of engagement with the relevant network service provider (NSP). </w:t>
      </w:r>
    </w:p>
    <w:p w14:paraId="62A60F23" w14:textId="77777777" w:rsidR="00D82976" w:rsidRDefault="00D82976" w:rsidP="00EB0558">
      <w:pPr>
        <w:rPr>
          <w:b/>
          <w:bCs/>
        </w:rPr>
      </w:pPr>
    </w:p>
    <w:p w14:paraId="6856F8FC" w14:textId="75BA5A12" w:rsidR="00A84C99" w:rsidRPr="00AC14EF" w:rsidRDefault="00A84C99" w:rsidP="00EB0558">
      <w:r w:rsidRPr="00EB0558">
        <w:rPr>
          <w:b/>
          <w:bCs/>
        </w:rPr>
        <w:t>Participation in other schemes</w:t>
      </w:r>
      <w:bookmarkEnd w:id="175"/>
      <w:r w:rsidRPr="00EB0558">
        <w:rPr>
          <w:b/>
          <w:bCs/>
        </w:rPr>
        <w:t xml:space="preserve"> </w:t>
      </w:r>
    </w:p>
    <w:p w14:paraId="44C30B55" w14:textId="76ECA505" w:rsidR="0033673C" w:rsidRDefault="001B3716" w:rsidP="00D41E86">
      <w:pPr>
        <w:rPr>
          <w:lang w:val="en-GB" w:eastAsia="en-AU"/>
        </w:rPr>
      </w:pPr>
      <w:r>
        <w:rPr>
          <w:lang w:val="en-GB" w:eastAsia="en-AU"/>
        </w:rPr>
        <w:t xml:space="preserve">Projects that are already, or will be, in receipt of revenue support from Commonwealth or state and territory governments will not be eligible for the CIS tenders. This </w:t>
      </w:r>
      <w:r w:rsidR="000B34FC">
        <w:rPr>
          <w:lang w:val="en-GB" w:eastAsia="en-AU"/>
        </w:rPr>
        <w:t xml:space="preserve">is distinct from public ownership which is not a disqualifying </w:t>
      </w:r>
      <w:r w:rsidR="00E568D8">
        <w:rPr>
          <w:lang w:val="en-GB" w:eastAsia="en-AU"/>
        </w:rPr>
        <w:t>criterion under the CIS.</w:t>
      </w:r>
      <w:r w:rsidR="00D06C87">
        <w:rPr>
          <w:lang w:val="en-GB" w:eastAsia="en-AU"/>
        </w:rPr>
        <w:t xml:space="preserve"> </w:t>
      </w:r>
      <w:r w:rsidR="0033673C">
        <w:rPr>
          <w:lang w:val="en-GB" w:eastAsia="en-AU"/>
        </w:rPr>
        <w:t>Revenue support refers to periodic and/or ongoing payments that are of a similar nature to the CIS product</w:t>
      </w:r>
      <w:r w:rsidR="00E568D8">
        <w:rPr>
          <w:lang w:val="en-GB" w:eastAsia="en-AU"/>
        </w:rPr>
        <w:t>.</w:t>
      </w:r>
    </w:p>
    <w:p w14:paraId="2FBCAE46" w14:textId="0EF7A879" w:rsidR="00A0050D" w:rsidRDefault="000047A4" w:rsidP="00C17D85">
      <w:pPr>
        <w:rPr>
          <w:lang w:val="en-GB" w:eastAsia="en-AU"/>
        </w:rPr>
      </w:pPr>
      <w:r>
        <w:rPr>
          <w:lang w:val="en-GB" w:eastAsia="en-AU"/>
        </w:rPr>
        <w:t xml:space="preserve">The purpose of this eligibility requirement is to ensure that </w:t>
      </w:r>
      <w:r w:rsidR="00547037">
        <w:rPr>
          <w:lang w:val="en-GB" w:eastAsia="en-AU"/>
        </w:rPr>
        <w:t xml:space="preserve">projects do not </w:t>
      </w:r>
      <w:r w:rsidR="006146BC">
        <w:rPr>
          <w:lang w:val="en-GB" w:eastAsia="en-AU"/>
        </w:rPr>
        <w:t>access duplicate sources of government support</w:t>
      </w:r>
      <w:r w:rsidR="00547037">
        <w:rPr>
          <w:lang w:val="en-GB" w:eastAsia="en-AU"/>
        </w:rPr>
        <w:t xml:space="preserve">. </w:t>
      </w:r>
      <w:r w:rsidR="006146BC">
        <w:rPr>
          <w:lang w:val="en-GB" w:eastAsia="en-AU"/>
        </w:rPr>
        <w:t xml:space="preserve">The following forms of government support </w:t>
      </w:r>
      <w:r w:rsidR="003664BC">
        <w:rPr>
          <w:lang w:val="en-GB" w:eastAsia="en-AU"/>
        </w:rPr>
        <w:t xml:space="preserve">are </w:t>
      </w:r>
      <w:r w:rsidR="00A0050D">
        <w:rPr>
          <w:lang w:val="en-GB" w:eastAsia="en-AU"/>
        </w:rPr>
        <w:t xml:space="preserve">not </w:t>
      </w:r>
      <w:r w:rsidR="009E4236">
        <w:rPr>
          <w:lang w:val="en-GB" w:eastAsia="en-AU"/>
        </w:rPr>
        <w:t xml:space="preserve">expected to be </w:t>
      </w:r>
      <w:r w:rsidR="00A0050D">
        <w:rPr>
          <w:lang w:val="en-GB" w:eastAsia="en-AU"/>
        </w:rPr>
        <w:t>considered revenue support</w:t>
      </w:r>
      <w:r w:rsidR="00E1764B">
        <w:rPr>
          <w:lang w:val="en-GB" w:eastAsia="en-AU"/>
        </w:rPr>
        <w:t xml:space="preserve">, and projects </w:t>
      </w:r>
      <w:r w:rsidR="00730CFE">
        <w:rPr>
          <w:lang w:val="en-GB" w:eastAsia="en-AU"/>
        </w:rPr>
        <w:t xml:space="preserve">in receipt of these forms of support </w:t>
      </w:r>
      <w:r w:rsidR="00E1764B">
        <w:rPr>
          <w:lang w:val="en-GB" w:eastAsia="en-AU"/>
        </w:rPr>
        <w:t>will remain eligible for CIS tenders</w:t>
      </w:r>
      <w:r w:rsidR="00A0050D">
        <w:rPr>
          <w:lang w:val="en-GB" w:eastAsia="en-AU"/>
        </w:rPr>
        <w:t xml:space="preserve">: </w:t>
      </w:r>
    </w:p>
    <w:p w14:paraId="617C82CA" w14:textId="75494067" w:rsidR="00D224CA" w:rsidRDefault="001660FF" w:rsidP="00927EAF">
      <w:pPr>
        <w:pStyle w:val="ListParagraph"/>
        <w:numPr>
          <w:ilvl w:val="0"/>
          <w:numId w:val="11"/>
        </w:numPr>
        <w:rPr>
          <w:lang w:val="en-GB" w:eastAsia="en-AU"/>
        </w:rPr>
      </w:pPr>
      <w:r>
        <w:rPr>
          <w:lang w:val="en-GB" w:eastAsia="en-AU"/>
        </w:rPr>
        <w:lastRenderedPageBreak/>
        <w:t xml:space="preserve">certificates </w:t>
      </w:r>
      <w:r w:rsidR="00952D25">
        <w:rPr>
          <w:lang w:val="en-GB" w:eastAsia="en-AU"/>
        </w:rPr>
        <w:t xml:space="preserve">created </w:t>
      </w:r>
      <w:r>
        <w:rPr>
          <w:lang w:val="en-GB" w:eastAsia="en-AU"/>
        </w:rPr>
        <w:t xml:space="preserve">under a </w:t>
      </w:r>
      <w:r w:rsidR="000111EA">
        <w:rPr>
          <w:lang w:val="en-GB" w:eastAsia="en-AU"/>
        </w:rPr>
        <w:t>Commonwealth certificate scheme</w:t>
      </w:r>
      <w:r w:rsidR="009353A0">
        <w:rPr>
          <w:lang w:val="en-GB" w:eastAsia="en-AU"/>
        </w:rPr>
        <w:t>,</w:t>
      </w:r>
      <w:r>
        <w:rPr>
          <w:lang w:val="en-GB" w:eastAsia="en-AU"/>
        </w:rPr>
        <w:t xml:space="preserve"> </w:t>
      </w:r>
      <w:r w:rsidR="000111EA">
        <w:rPr>
          <w:lang w:val="en-GB" w:eastAsia="en-AU"/>
        </w:rPr>
        <w:t>including</w:t>
      </w:r>
      <w:r w:rsidR="00B748CA">
        <w:rPr>
          <w:lang w:val="en-GB" w:eastAsia="en-AU"/>
        </w:rPr>
        <w:t xml:space="preserve"> </w:t>
      </w:r>
      <w:r w:rsidR="00E16E5F" w:rsidRPr="00E16E5F">
        <w:rPr>
          <w:lang w:val="en-GB" w:eastAsia="en-AU"/>
        </w:rPr>
        <w:t>large-scale generation certificates</w:t>
      </w:r>
      <w:r w:rsidR="003A7CB3">
        <w:rPr>
          <w:lang w:val="en-GB" w:eastAsia="en-AU"/>
        </w:rPr>
        <w:t xml:space="preserve"> (LGCs)</w:t>
      </w:r>
      <w:r w:rsidR="00E16E5F" w:rsidRPr="00E16E5F">
        <w:rPr>
          <w:lang w:val="en-GB" w:eastAsia="en-AU"/>
        </w:rPr>
        <w:t xml:space="preserve"> </w:t>
      </w:r>
      <w:r w:rsidR="00E16E5F">
        <w:rPr>
          <w:lang w:val="en-GB" w:eastAsia="en-AU"/>
        </w:rPr>
        <w:t xml:space="preserve">received </w:t>
      </w:r>
      <w:r w:rsidR="005255D4">
        <w:rPr>
          <w:lang w:val="en-GB" w:eastAsia="en-AU"/>
        </w:rPr>
        <w:t>t</w:t>
      </w:r>
      <w:r w:rsidR="00002A8E">
        <w:rPr>
          <w:lang w:val="en-GB" w:eastAsia="en-AU"/>
        </w:rPr>
        <w:t>hrough participation in</w:t>
      </w:r>
      <w:r w:rsidR="00E16E5F">
        <w:rPr>
          <w:lang w:val="en-GB" w:eastAsia="en-AU"/>
        </w:rPr>
        <w:t xml:space="preserve"> </w:t>
      </w:r>
      <w:r w:rsidR="00B748CA">
        <w:rPr>
          <w:lang w:val="en-GB" w:eastAsia="en-AU"/>
        </w:rPr>
        <w:t xml:space="preserve">the </w:t>
      </w:r>
      <w:r w:rsidR="00F85C2F" w:rsidRPr="00F85C2F">
        <w:rPr>
          <w:lang w:val="en-GB" w:eastAsia="en-AU"/>
        </w:rPr>
        <w:t>Renewable Energy Certificate Market</w:t>
      </w:r>
      <w:r w:rsidR="00E16E5F">
        <w:rPr>
          <w:lang w:val="en-GB" w:eastAsia="en-AU"/>
        </w:rPr>
        <w:t>;</w:t>
      </w:r>
      <w:r w:rsidR="000111EA">
        <w:rPr>
          <w:lang w:val="en-GB" w:eastAsia="en-AU"/>
        </w:rPr>
        <w:t xml:space="preserve"> </w:t>
      </w:r>
    </w:p>
    <w:p w14:paraId="5778D01B" w14:textId="4FBD8D01" w:rsidR="008E7225" w:rsidRDefault="00DB2FAB" w:rsidP="00927EAF">
      <w:pPr>
        <w:pStyle w:val="ListParagraph"/>
        <w:numPr>
          <w:ilvl w:val="0"/>
          <w:numId w:val="11"/>
        </w:numPr>
        <w:rPr>
          <w:lang w:val="en-GB" w:eastAsia="en-AU"/>
        </w:rPr>
      </w:pPr>
      <w:r w:rsidRPr="00F91B1F">
        <w:rPr>
          <w:lang w:val="en-GB" w:eastAsia="en-AU"/>
        </w:rPr>
        <w:t>certificates received from complementary jurisdictional schemes such as the WA Reserve Capacity Mechanism capacity credits</w:t>
      </w:r>
      <w:r w:rsidRPr="00F91B1F">
        <w:rPr>
          <w:rStyle w:val="FootnoteReference"/>
          <w:lang w:val="en-GB" w:eastAsia="en-AU"/>
        </w:rPr>
        <w:footnoteReference w:id="8"/>
      </w:r>
      <w:r w:rsidRPr="00F91B1F">
        <w:rPr>
          <w:lang w:val="en-GB" w:eastAsia="en-AU"/>
        </w:rPr>
        <w:t>.</w:t>
      </w:r>
      <w:r>
        <w:rPr>
          <w:lang w:val="en-GB" w:eastAsia="en-AU"/>
        </w:rPr>
        <w:t xml:space="preserve"> </w:t>
      </w:r>
      <w:r w:rsidR="004F39E5">
        <w:rPr>
          <w:lang w:val="en-GB" w:eastAsia="en-AU"/>
        </w:rPr>
        <w:t>It is noted that not all jurisdictional certificate schemes will be complementary</w:t>
      </w:r>
      <w:r w:rsidR="00A27EF0">
        <w:rPr>
          <w:lang w:val="en-GB" w:eastAsia="en-AU"/>
        </w:rPr>
        <w:t xml:space="preserve"> to the CIS</w:t>
      </w:r>
      <w:r w:rsidR="004F39E5">
        <w:rPr>
          <w:lang w:val="en-GB" w:eastAsia="en-AU"/>
        </w:rPr>
        <w:t xml:space="preserve"> (e.g. NSW peak demand reduction scheme)</w:t>
      </w:r>
      <w:r w:rsidR="00366ABC">
        <w:rPr>
          <w:lang w:val="en-GB" w:eastAsia="en-AU"/>
        </w:rPr>
        <w:t xml:space="preserve">. </w:t>
      </w:r>
      <w:r w:rsidR="004F39E5">
        <w:rPr>
          <w:lang w:val="en-GB" w:eastAsia="en-AU"/>
        </w:rPr>
        <w:t xml:space="preserve"> </w:t>
      </w:r>
      <w:r w:rsidR="00C572C8">
        <w:rPr>
          <w:lang w:val="en-GB" w:eastAsia="en-AU"/>
        </w:rPr>
        <w:t>In addition, j</w:t>
      </w:r>
      <w:r w:rsidR="00A84851">
        <w:rPr>
          <w:lang w:val="en-GB" w:eastAsia="en-AU"/>
        </w:rPr>
        <w:t>urisdictions</w:t>
      </w:r>
      <w:r w:rsidR="006B7F40">
        <w:rPr>
          <w:lang w:val="en-GB" w:eastAsia="en-AU"/>
        </w:rPr>
        <w:t xml:space="preserve"> </w:t>
      </w:r>
      <w:r w:rsidR="005152A6">
        <w:rPr>
          <w:lang w:val="en-GB" w:eastAsia="en-AU"/>
        </w:rPr>
        <w:t>may</w:t>
      </w:r>
      <w:r w:rsidR="007501AA">
        <w:rPr>
          <w:lang w:val="en-GB" w:eastAsia="en-AU"/>
        </w:rPr>
        <w:t xml:space="preserve"> impose additional requirements or</w:t>
      </w:r>
      <w:r w:rsidR="004F39E5">
        <w:rPr>
          <w:lang w:val="en-GB" w:eastAsia="en-AU"/>
        </w:rPr>
        <w:t xml:space="preserve"> </w:t>
      </w:r>
      <w:r w:rsidR="00030FBF">
        <w:rPr>
          <w:lang w:val="en-GB" w:eastAsia="en-AU"/>
        </w:rPr>
        <w:t>limit</w:t>
      </w:r>
      <w:r w:rsidR="00466916">
        <w:rPr>
          <w:lang w:val="en-GB" w:eastAsia="en-AU"/>
        </w:rPr>
        <w:t xml:space="preserve"> eligibility to their schemes</w:t>
      </w:r>
      <w:r w:rsidR="009722C6">
        <w:rPr>
          <w:lang w:val="en-GB" w:eastAsia="en-AU"/>
        </w:rPr>
        <w:t xml:space="preserve"> for </w:t>
      </w:r>
      <w:r w:rsidR="006B0DC4">
        <w:rPr>
          <w:lang w:val="en-GB" w:eastAsia="en-AU"/>
        </w:rPr>
        <w:t xml:space="preserve">CIS-contracted </w:t>
      </w:r>
      <w:r w:rsidR="00B95A41">
        <w:rPr>
          <w:lang w:val="en-GB" w:eastAsia="en-AU"/>
        </w:rPr>
        <w:t>project</w:t>
      </w:r>
      <w:r w:rsidR="005E3702">
        <w:rPr>
          <w:lang w:val="en-GB" w:eastAsia="en-AU"/>
        </w:rPr>
        <w:t>s</w:t>
      </w:r>
      <w:r w:rsidR="00466916">
        <w:rPr>
          <w:lang w:val="en-GB" w:eastAsia="en-AU"/>
        </w:rPr>
        <w:t>.</w:t>
      </w:r>
    </w:p>
    <w:p w14:paraId="0AB7D69A" w14:textId="28E7D0EB" w:rsidR="00D41E86" w:rsidRDefault="009E4236" w:rsidP="001D13B8">
      <w:pPr>
        <w:pStyle w:val="ListParagraph"/>
        <w:numPr>
          <w:ilvl w:val="0"/>
          <w:numId w:val="11"/>
        </w:numPr>
        <w:rPr>
          <w:lang w:val="en-GB" w:eastAsia="en-AU"/>
        </w:rPr>
      </w:pPr>
      <w:r>
        <w:rPr>
          <w:lang w:val="en-GB" w:eastAsia="en-AU"/>
        </w:rPr>
        <w:t>i</w:t>
      </w:r>
      <w:r w:rsidR="00E051E4">
        <w:rPr>
          <w:lang w:val="en-GB" w:eastAsia="en-AU"/>
        </w:rPr>
        <w:t xml:space="preserve">nvestment </w:t>
      </w:r>
      <w:r>
        <w:rPr>
          <w:lang w:val="en-GB" w:eastAsia="en-AU"/>
        </w:rPr>
        <w:t xml:space="preserve">received </w:t>
      </w:r>
      <w:r w:rsidR="00E051E4">
        <w:rPr>
          <w:lang w:val="en-GB" w:eastAsia="en-AU"/>
        </w:rPr>
        <w:t>from</w:t>
      </w:r>
      <w:r w:rsidR="00B118E4">
        <w:rPr>
          <w:lang w:val="en-GB" w:eastAsia="en-AU"/>
        </w:rPr>
        <w:t xml:space="preserve"> a Commonwealth </w:t>
      </w:r>
      <w:r w:rsidR="0051532A">
        <w:rPr>
          <w:lang w:val="en-GB" w:eastAsia="en-AU"/>
        </w:rPr>
        <w:t xml:space="preserve">or State </w:t>
      </w:r>
      <w:r w:rsidR="00B118E4">
        <w:rPr>
          <w:lang w:val="en-GB" w:eastAsia="en-AU"/>
        </w:rPr>
        <w:t>government body (e.g.</w:t>
      </w:r>
      <w:r w:rsidR="00E051E4">
        <w:rPr>
          <w:lang w:val="en-GB" w:eastAsia="en-AU"/>
        </w:rPr>
        <w:t xml:space="preserve"> the </w:t>
      </w:r>
      <w:r>
        <w:rPr>
          <w:lang w:val="en-GB" w:eastAsia="en-AU"/>
        </w:rPr>
        <w:t>CEFC</w:t>
      </w:r>
      <w:r w:rsidR="00B118E4">
        <w:rPr>
          <w:lang w:val="en-GB" w:eastAsia="en-AU"/>
        </w:rPr>
        <w:t>)</w:t>
      </w:r>
      <w:r w:rsidR="00CD38E9">
        <w:rPr>
          <w:lang w:val="en-GB" w:eastAsia="en-AU"/>
        </w:rPr>
        <w:t xml:space="preserve">; </w:t>
      </w:r>
    </w:p>
    <w:p w14:paraId="768FCF7C" w14:textId="7F171368" w:rsidR="009E4236" w:rsidRDefault="00B84C19" w:rsidP="001D13B8">
      <w:pPr>
        <w:pStyle w:val="ListParagraph"/>
        <w:numPr>
          <w:ilvl w:val="0"/>
          <w:numId w:val="11"/>
        </w:numPr>
        <w:rPr>
          <w:lang w:val="en-GB" w:eastAsia="en-AU"/>
        </w:rPr>
      </w:pPr>
      <w:r>
        <w:rPr>
          <w:lang w:val="en-GB" w:eastAsia="en-AU"/>
        </w:rPr>
        <w:t>g</w:t>
      </w:r>
      <w:r w:rsidR="009E4236">
        <w:rPr>
          <w:lang w:val="en-GB" w:eastAsia="en-AU"/>
        </w:rPr>
        <w:t xml:space="preserve">rants from </w:t>
      </w:r>
      <w:r w:rsidR="00CD38E9">
        <w:rPr>
          <w:lang w:val="en-GB" w:eastAsia="en-AU"/>
        </w:rPr>
        <w:t xml:space="preserve">a </w:t>
      </w:r>
      <w:r w:rsidR="00B118E4">
        <w:rPr>
          <w:lang w:val="en-GB" w:eastAsia="en-AU"/>
        </w:rPr>
        <w:t xml:space="preserve">Commonwealth </w:t>
      </w:r>
      <w:r w:rsidR="00C52FFC">
        <w:rPr>
          <w:lang w:val="en-GB" w:eastAsia="en-AU"/>
        </w:rPr>
        <w:t xml:space="preserve">(e.g. ARENA) </w:t>
      </w:r>
      <w:r w:rsidR="008D2513">
        <w:rPr>
          <w:lang w:val="en-GB" w:eastAsia="en-AU"/>
        </w:rPr>
        <w:t xml:space="preserve">or State </w:t>
      </w:r>
      <w:r w:rsidR="00CD38E9">
        <w:rPr>
          <w:lang w:val="en-GB" w:eastAsia="en-AU"/>
        </w:rPr>
        <w:t>government body</w:t>
      </w:r>
      <w:r w:rsidR="009E4236">
        <w:rPr>
          <w:lang w:val="en-GB" w:eastAsia="en-AU"/>
        </w:rPr>
        <w:t>, whether repayable or not</w:t>
      </w:r>
      <w:r w:rsidR="00CD38E9">
        <w:rPr>
          <w:lang w:val="en-GB" w:eastAsia="en-AU"/>
        </w:rPr>
        <w:t xml:space="preserve">; </w:t>
      </w:r>
      <w:r w:rsidR="008D2513">
        <w:rPr>
          <w:lang w:val="en-GB" w:eastAsia="en-AU"/>
        </w:rPr>
        <w:t>or</w:t>
      </w:r>
      <w:r w:rsidR="009E4236">
        <w:rPr>
          <w:lang w:val="en-GB" w:eastAsia="en-AU"/>
        </w:rPr>
        <w:t xml:space="preserve"> </w:t>
      </w:r>
    </w:p>
    <w:p w14:paraId="0ABDCDE4" w14:textId="22E604B2" w:rsidR="009E4236" w:rsidRPr="00A0050D" w:rsidRDefault="00B84C19" w:rsidP="001D13B8">
      <w:pPr>
        <w:pStyle w:val="ListParagraph"/>
        <w:numPr>
          <w:ilvl w:val="0"/>
          <w:numId w:val="11"/>
        </w:numPr>
        <w:rPr>
          <w:lang w:val="en-GB" w:eastAsia="en-AU"/>
        </w:rPr>
      </w:pPr>
      <w:r>
        <w:rPr>
          <w:lang w:val="en-GB" w:eastAsia="en-AU"/>
        </w:rPr>
        <w:t xml:space="preserve">other forms of financial support from State </w:t>
      </w:r>
      <w:r w:rsidR="00CD38E9">
        <w:rPr>
          <w:lang w:val="en-GB" w:eastAsia="en-AU"/>
        </w:rPr>
        <w:t>or Commonwealth government where the relevant government intend</w:t>
      </w:r>
      <w:r w:rsidR="003B4916">
        <w:rPr>
          <w:lang w:val="en-GB" w:eastAsia="en-AU"/>
        </w:rPr>
        <w:t>s</w:t>
      </w:r>
      <w:r w:rsidR="00CD38E9">
        <w:rPr>
          <w:lang w:val="en-GB" w:eastAsia="en-AU"/>
        </w:rPr>
        <w:t xml:space="preserve"> the </w:t>
      </w:r>
      <w:r w:rsidR="003B4916">
        <w:rPr>
          <w:lang w:val="en-GB" w:eastAsia="en-AU"/>
        </w:rPr>
        <w:t xml:space="preserve">financial </w:t>
      </w:r>
      <w:r w:rsidR="00CD38E9">
        <w:rPr>
          <w:lang w:val="en-GB" w:eastAsia="en-AU"/>
        </w:rPr>
        <w:t>support to be compl</w:t>
      </w:r>
      <w:r w:rsidR="00C22EF8">
        <w:rPr>
          <w:lang w:val="en-GB" w:eastAsia="en-AU"/>
        </w:rPr>
        <w:t>e</w:t>
      </w:r>
      <w:r w:rsidR="00CD38E9">
        <w:rPr>
          <w:lang w:val="en-GB" w:eastAsia="en-AU"/>
        </w:rPr>
        <w:t>mentary to the CIS</w:t>
      </w:r>
      <w:r w:rsidR="00C02975">
        <w:rPr>
          <w:lang w:val="en-GB" w:eastAsia="en-AU"/>
        </w:rPr>
        <w:t>.</w:t>
      </w:r>
      <w:r>
        <w:rPr>
          <w:lang w:val="en-GB" w:eastAsia="en-AU"/>
        </w:rPr>
        <w:t xml:space="preserve"> </w:t>
      </w:r>
    </w:p>
    <w:p w14:paraId="269DFE9E" w14:textId="7EE73BBC" w:rsidR="00067C8F" w:rsidRDefault="00D47E01" w:rsidP="00067C8F">
      <w:pPr>
        <w:rPr>
          <w:b/>
          <w:bCs/>
        </w:rPr>
      </w:pPr>
      <w:r>
        <w:rPr>
          <w:b/>
          <w:bCs/>
        </w:rPr>
        <w:t>Technology</w:t>
      </w:r>
      <w:r w:rsidR="00265563">
        <w:rPr>
          <w:b/>
          <w:bCs/>
        </w:rPr>
        <w:t>, timing</w:t>
      </w:r>
      <w:r>
        <w:rPr>
          <w:b/>
          <w:bCs/>
        </w:rPr>
        <w:t xml:space="preserve"> and delivery risk</w:t>
      </w:r>
    </w:p>
    <w:p w14:paraId="06FAC42C" w14:textId="07796984" w:rsidR="00067C8F" w:rsidRDefault="00D47E01" w:rsidP="00776687">
      <w:r>
        <w:t>The CIS is a program to improve reliability in</w:t>
      </w:r>
      <w:r w:rsidR="00031124">
        <w:t xml:space="preserve"> Australia’s electricity grids. CIS </w:t>
      </w:r>
      <w:r w:rsidR="00296DDB">
        <w:t xml:space="preserve">tender </w:t>
      </w:r>
      <w:r w:rsidR="00031124">
        <w:t xml:space="preserve">eligibility and merit criteria will focus on </w:t>
      </w:r>
      <w:r w:rsidR="00896CFB">
        <w:t xml:space="preserve">projects that adopt </w:t>
      </w:r>
      <w:r w:rsidR="00F4717E">
        <w:t xml:space="preserve">established, </w:t>
      </w:r>
      <w:r w:rsidR="00896CFB">
        <w:t xml:space="preserve">proven technologies where the delivery risks associated </w:t>
      </w:r>
      <w:r w:rsidR="005E7F4E">
        <w:t>with project</w:t>
      </w:r>
      <w:r w:rsidR="000929C1">
        <w:t>, and the project</w:t>
      </w:r>
      <w:r w:rsidR="00D0547F">
        <w:t>’</w:t>
      </w:r>
      <w:r w:rsidR="000929C1">
        <w:t>s commissioning date,</w:t>
      </w:r>
      <w:r w:rsidR="005E7F4E">
        <w:t xml:space="preserve"> </w:t>
      </w:r>
      <w:r w:rsidR="000929C1">
        <w:t>are</w:t>
      </w:r>
      <w:r w:rsidR="005E7F4E">
        <w:t xml:space="preserve"> </w:t>
      </w:r>
      <w:r w:rsidR="00501C19">
        <w:t xml:space="preserve">reasonably assessable. </w:t>
      </w:r>
      <w:r w:rsidR="00031124">
        <w:t>The CIS com</w:t>
      </w:r>
      <w:r w:rsidR="004152C4">
        <w:t>p</w:t>
      </w:r>
      <w:r w:rsidR="00031124">
        <w:t>l</w:t>
      </w:r>
      <w:r w:rsidR="004152C4">
        <w:t>e</w:t>
      </w:r>
      <w:r w:rsidR="00031124">
        <w:t xml:space="preserve">ments </w:t>
      </w:r>
      <w:r w:rsidR="004152C4">
        <w:t xml:space="preserve">other Commonwealth government </w:t>
      </w:r>
      <w:r w:rsidR="00296DDB">
        <w:t>programs</w:t>
      </w:r>
      <w:r w:rsidR="00F4717E">
        <w:t>,</w:t>
      </w:r>
      <w:r w:rsidR="00296DDB">
        <w:t xml:space="preserve"> </w:t>
      </w:r>
      <w:r w:rsidR="002A3274">
        <w:t>such as those run by ARENA</w:t>
      </w:r>
      <w:r w:rsidR="00F4717E">
        <w:t>,</w:t>
      </w:r>
      <w:r w:rsidR="002A3274">
        <w:t xml:space="preserve"> which aim </w:t>
      </w:r>
      <w:r w:rsidR="00FA2DB0">
        <w:t xml:space="preserve">to </w:t>
      </w:r>
      <w:r w:rsidR="004025A1">
        <w:t xml:space="preserve">support the </w:t>
      </w:r>
      <w:r w:rsidR="00FA2DB0">
        <w:t>demonstrat</w:t>
      </w:r>
      <w:r w:rsidR="004025A1">
        <w:t>ion of</w:t>
      </w:r>
      <w:r w:rsidR="00FA2DB0">
        <w:t xml:space="preserve"> </w:t>
      </w:r>
      <w:r w:rsidR="00F4717E">
        <w:t xml:space="preserve">emerging </w:t>
      </w:r>
      <w:r w:rsidR="00FA2DB0">
        <w:t>technolog</w:t>
      </w:r>
      <w:r w:rsidR="004025A1">
        <w:t>ies.</w:t>
      </w:r>
      <w:r w:rsidR="00FA2DB0">
        <w:t xml:space="preserve"> </w:t>
      </w:r>
      <w:r w:rsidR="00031124">
        <w:t xml:space="preserve"> </w:t>
      </w:r>
    </w:p>
    <w:p w14:paraId="373EA91A" w14:textId="726CA71C" w:rsidR="00865951" w:rsidRDefault="00DF49F2" w:rsidP="009F6E6D">
      <w:pPr>
        <w:rPr>
          <w:b/>
          <w:bCs/>
        </w:rPr>
      </w:pPr>
      <w:r>
        <w:t>Tenders may contain targeted commissioning dates</w:t>
      </w:r>
      <w:r w:rsidR="009500C2">
        <w:t>,</w:t>
      </w:r>
      <w:r>
        <w:t xml:space="preserve"> and</w:t>
      </w:r>
      <w:r w:rsidR="009500C2">
        <w:t xml:space="preserve"> this could constrain eligibility in some circumstances.</w:t>
      </w:r>
      <w:r>
        <w:t xml:space="preserve"> </w:t>
      </w:r>
      <w:r w:rsidR="00265563">
        <w:t>For the SA and VIC tenders commencing in 2023</w:t>
      </w:r>
      <w:r w:rsidR="009500C2">
        <w:t>,</w:t>
      </w:r>
      <w:r w:rsidR="00265563">
        <w:t xml:space="preserve"> the targeted commissioning date </w:t>
      </w:r>
      <w:r w:rsidR="00E8504E">
        <w:t>for projects is 2027</w:t>
      </w:r>
      <w:r w:rsidR="00800CA9">
        <w:t xml:space="preserve"> and </w:t>
      </w:r>
      <w:r w:rsidR="00715464">
        <w:t xml:space="preserve">this reflects the </w:t>
      </w:r>
      <w:r w:rsidR="00C275FD">
        <w:t xml:space="preserve">timing of reliability requirements in those jurisdictions. Projects </w:t>
      </w:r>
      <w:r w:rsidR="004C241B">
        <w:t xml:space="preserve">unable to meet these requirements </w:t>
      </w:r>
      <w:r w:rsidR="00B4717E">
        <w:t>are expected to be ineligible.</w:t>
      </w:r>
    </w:p>
    <w:p w14:paraId="483A62C0" w14:textId="43FF6125" w:rsidR="009F6E6D" w:rsidRPr="00AC14EF" w:rsidRDefault="009F6E6D" w:rsidP="009F6E6D">
      <w:r>
        <w:rPr>
          <w:b/>
          <w:bCs/>
        </w:rPr>
        <w:t>Compliance with law</w:t>
      </w:r>
      <w:r w:rsidRPr="00411B09">
        <w:rPr>
          <w:b/>
          <w:bCs/>
        </w:rPr>
        <w:t xml:space="preserve"> </w:t>
      </w:r>
    </w:p>
    <w:p w14:paraId="308243CB" w14:textId="15795A09" w:rsidR="009F6E6D" w:rsidRDefault="009F6E6D" w:rsidP="00776687">
      <w:r>
        <w:t xml:space="preserve">To be eligible to participate in a CIS tender a proponent and project </w:t>
      </w:r>
      <w:r w:rsidR="00556786">
        <w:t xml:space="preserve">will need to </w:t>
      </w:r>
      <w:r w:rsidR="00244B16">
        <w:t xml:space="preserve">be compliant with </w:t>
      </w:r>
      <w:r w:rsidR="009F755C">
        <w:t xml:space="preserve">applicable State and Commonwealth </w:t>
      </w:r>
      <w:r w:rsidR="009125B4">
        <w:t>law and</w:t>
      </w:r>
      <w:r w:rsidR="009F755C">
        <w:t xml:space="preserve"> may be asked to produce evidence of compliance. </w:t>
      </w:r>
      <w:r w:rsidR="009F53CF">
        <w:t xml:space="preserve">This </w:t>
      </w:r>
      <w:r w:rsidR="00A419D3">
        <w:t xml:space="preserve">will include </w:t>
      </w:r>
      <w:r w:rsidR="009F0678">
        <w:t>ha</w:t>
      </w:r>
      <w:r w:rsidR="00F423F9">
        <w:t>v</w:t>
      </w:r>
      <w:r w:rsidR="009F0678">
        <w:t xml:space="preserve">ing valid </w:t>
      </w:r>
      <w:r w:rsidR="00B122C0">
        <w:t>Foreign Investment Review Board (FIRB)</w:t>
      </w:r>
      <w:r w:rsidR="00F73E8C">
        <w:t xml:space="preserve"> approvals</w:t>
      </w:r>
      <w:r w:rsidR="009125B4">
        <w:t xml:space="preserve">, compliance </w:t>
      </w:r>
      <w:r w:rsidR="00F73E8C">
        <w:t xml:space="preserve">with FIRB conditions, </w:t>
      </w:r>
      <w:r w:rsidR="00F423F9">
        <w:t xml:space="preserve">compliance with modern slavery </w:t>
      </w:r>
      <w:r w:rsidR="000149A6">
        <w:t>legislation</w:t>
      </w:r>
      <w:r w:rsidR="0050726E">
        <w:t xml:space="preserve">, and Australian tax law. </w:t>
      </w:r>
      <w:r w:rsidR="009125B4">
        <w:t xml:space="preserve"> </w:t>
      </w:r>
      <w:r w:rsidR="00B122C0">
        <w:t xml:space="preserve"> </w:t>
      </w:r>
      <w:r>
        <w:t xml:space="preserve"> </w:t>
      </w:r>
    </w:p>
    <w:p w14:paraId="31A32A46" w14:textId="77777777" w:rsidR="00D06B73" w:rsidRDefault="00D06B73" w:rsidP="00776687"/>
    <w:tbl>
      <w:tblPr>
        <w:tblStyle w:val="TableGrid"/>
        <w:tblW w:w="9295" w:type="dxa"/>
        <w:tblLook w:val="04A0" w:firstRow="1" w:lastRow="0" w:firstColumn="1" w:lastColumn="0" w:noHBand="0" w:noVBand="1"/>
      </w:tblPr>
      <w:tblGrid>
        <w:gridCol w:w="9295"/>
      </w:tblGrid>
      <w:tr w:rsidR="008F7305" w14:paraId="78E9A5EB" w14:textId="77777777" w:rsidTr="00C57B01">
        <w:trPr>
          <w:trHeight w:val="2432"/>
        </w:trPr>
        <w:tc>
          <w:tcPr>
            <w:tcW w:w="9295" w:type="dxa"/>
            <w:tcBorders>
              <w:left w:val="nil"/>
              <w:right w:val="nil"/>
            </w:tcBorders>
            <w:shd w:val="clear" w:color="auto" w:fill="DEEAF6" w:themeFill="accent1" w:themeFillTint="33"/>
          </w:tcPr>
          <w:p w14:paraId="6971C1C2" w14:textId="77777777" w:rsidR="008F7305" w:rsidRDefault="009D4BC2">
            <w:pPr>
              <w:rPr>
                <w:lang w:val="en-GB" w:eastAsia="en-AU"/>
              </w:rPr>
            </w:pPr>
            <w:r>
              <w:rPr>
                <w:b/>
                <w:bCs/>
                <w:lang w:val="en-GB" w:eastAsia="en-AU"/>
              </w:rPr>
              <w:t>C</w:t>
            </w:r>
            <w:r w:rsidR="008F7305">
              <w:rPr>
                <w:b/>
                <w:bCs/>
                <w:lang w:val="en-GB" w:eastAsia="en-AU"/>
              </w:rPr>
              <w:t>onsultation questions:</w:t>
            </w:r>
            <w:r w:rsidR="008F7305">
              <w:rPr>
                <w:lang w:val="en-GB" w:eastAsia="en-AU"/>
              </w:rPr>
              <w:t xml:space="preserve"> </w:t>
            </w:r>
          </w:p>
          <w:p w14:paraId="56F63342" w14:textId="77777777" w:rsidR="008F7305" w:rsidRDefault="008F7305">
            <w:pPr>
              <w:pStyle w:val="ListParagraph"/>
              <w:numPr>
                <w:ilvl w:val="0"/>
                <w:numId w:val="41"/>
              </w:numPr>
              <w:rPr>
                <w:lang w:val="en-GB" w:eastAsia="en-AU"/>
              </w:rPr>
            </w:pPr>
            <w:r>
              <w:rPr>
                <w:lang w:val="en-GB" w:eastAsia="en-AU"/>
              </w:rPr>
              <w:t xml:space="preserve">The Department is seeking feedback on each of the eligibility requirements including: </w:t>
            </w:r>
          </w:p>
          <w:p w14:paraId="158ABB43" w14:textId="64FC44B3" w:rsidR="008F7305" w:rsidRDefault="00503D9A" w:rsidP="00FA757D">
            <w:pPr>
              <w:pStyle w:val="ListParagraph"/>
              <w:numPr>
                <w:ilvl w:val="1"/>
                <w:numId w:val="41"/>
              </w:numPr>
              <w:ind w:left="1168"/>
              <w:rPr>
                <w:lang w:val="en-GB" w:eastAsia="en-AU"/>
              </w:rPr>
            </w:pPr>
            <w:r>
              <w:rPr>
                <w:lang w:val="en-GB" w:eastAsia="en-AU"/>
              </w:rPr>
              <w:t>t</w:t>
            </w:r>
            <w:r w:rsidR="00FA757D">
              <w:rPr>
                <w:lang w:val="en-GB" w:eastAsia="en-AU"/>
              </w:rPr>
              <w:t xml:space="preserve">he </w:t>
            </w:r>
            <w:r w:rsidR="00976A29">
              <w:rPr>
                <w:lang w:val="en-GB" w:eastAsia="en-AU"/>
              </w:rPr>
              <w:t xml:space="preserve">focus on a base level of </w:t>
            </w:r>
            <w:r w:rsidR="00FA757D" w:rsidRPr="00FA757D">
              <w:rPr>
                <w:lang w:val="en-GB" w:eastAsia="en-AU"/>
              </w:rPr>
              <w:t>development status of land tenure, planning and connection approvals</w:t>
            </w:r>
            <w:r w:rsidR="00217684">
              <w:rPr>
                <w:lang w:val="en-GB" w:eastAsia="en-AU"/>
              </w:rPr>
              <w:t>.</w:t>
            </w:r>
          </w:p>
          <w:p w14:paraId="7C5CDFAD" w14:textId="7DC9790B" w:rsidR="00FA757D" w:rsidRDefault="00503D9A" w:rsidP="00FA757D">
            <w:pPr>
              <w:pStyle w:val="ListParagraph"/>
              <w:numPr>
                <w:ilvl w:val="1"/>
                <w:numId w:val="41"/>
              </w:numPr>
              <w:ind w:left="1168"/>
              <w:rPr>
                <w:lang w:val="en-GB" w:eastAsia="en-AU"/>
              </w:rPr>
            </w:pPr>
            <w:r>
              <w:rPr>
                <w:lang w:val="en-GB" w:eastAsia="en-AU"/>
              </w:rPr>
              <w:t>t</w:t>
            </w:r>
            <w:r w:rsidR="00217684">
              <w:rPr>
                <w:lang w:val="en-GB" w:eastAsia="en-AU"/>
              </w:rPr>
              <w:t>he impact of p</w:t>
            </w:r>
            <w:r w:rsidR="00976A29" w:rsidRPr="00976A29">
              <w:rPr>
                <w:lang w:val="en-GB" w:eastAsia="en-AU"/>
              </w:rPr>
              <w:t xml:space="preserve">articipation in other </w:t>
            </w:r>
            <w:r w:rsidR="00217684">
              <w:rPr>
                <w:lang w:val="en-GB" w:eastAsia="en-AU"/>
              </w:rPr>
              <w:t xml:space="preserve">government </w:t>
            </w:r>
            <w:r w:rsidR="00976A29" w:rsidRPr="00976A29">
              <w:rPr>
                <w:lang w:val="en-GB" w:eastAsia="en-AU"/>
              </w:rPr>
              <w:t>schemes</w:t>
            </w:r>
            <w:r w:rsidR="00217684">
              <w:rPr>
                <w:lang w:val="en-GB" w:eastAsia="en-AU"/>
              </w:rPr>
              <w:t xml:space="preserve"> on CIS eligibility. </w:t>
            </w:r>
          </w:p>
          <w:p w14:paraId="6895CB72" w14:textId="77777777" w:rsidR="00217684" w:rsidRDefault="00503D9A" w:rsidP="00FA757D">
            <w:pPr>
              <w:pStyle w:val="ListParagraph"/>
              <w:numPr>
                <w:ilvl w:val="1"/>
                <w:numId w:val="41"/>
              </w:numPr>
              <w:ind w:left="1168"/>
              <w:rPr>
                <w:lang w:val="en-GB" w:eastAsia="en-AU"/>
              </w:rPr>
            </w:pPr>
            <w:r>
              <w:rPr>
                <w:lang w:val="en-GB" w:eastAsia="en-AU"/>
              </w:rPr>
              <w:t>t</w:t>
            </w:r>
            <w:r w:rsidR="00217684">
              <w:rPr>
                <w:lang w:val="en-GB" w:eastAsia="en-AU"/>
              </w:rPr>
              <w:t xml:space="preserve">he eligibility of existing projects </w:t>
            </w:r>
            <w:r w:rsidR="00F1022A">
              <w:rPr>
                <w:lang w:val="en-GB" w:eastAsia="en-AU"/>
              </w:rPr>
              <w:t xml:space="preserve">to bid into the CIS, </w:t>
            </w:r>
            <w:r w:rsidR="00217684">
              <w:rPr>
                <w:lang w:val="en-GB" w:eastAsia="en-AU"/>
              </w:rPr>
              <w:t xml:space="preserve">and </w:t>
            </w:r>
            <w:r w:rsidR="00870871">
              <w:rPr>
                <w:lang w:val="en-GB" w:eastAsia="en-AU"/>
              </w:rPr>
              <w:t xml:space="preserve">questions of CIS additionality that </w:t>
            </w:r>
            <w:r w:rsidR="00C03B47">
              <w:rPr>
                <w:lang w:val="en-GB" w:eastAsia="en-AU"/>
              </w:rPr>
              <w:t xml:space="preserve">result from this approach. </w:t>
            </w:r>
          </w:p>
          <w:p w14:paraId="4C231501" w14:textId="0FA40B6F" w:rsidR="00C03B47" w:rsidRPr="00531E4A" w:rsidRDefault="00AC38DD" w:rsidP="00531E4A">
            <w:pPr>
              <w:pStyle w:val="ListParagraph"/>
              <w:numPr>
                <w:ilvl w:val="1"/>
                <w:numId w:val="41"/>
              </w:numPr>
              <w:ind w:left="1168"/>
              <w:rPr>
                <w:lang w:val="en-GB" w:eastAsia="en-AU"/>
              </w:rPr>
            </w:pPr>
            <w:r>
              <w:rPr>
                <w:lang w:val="en-GB" w:eastAsia="en-AU"/>
              </w:rPr>
              <w:t xml:space="preserve">the technology risk appetite </w:t>
            </w:r>
            <w:r w:rsidR="001C084D">
              <w:rPr>
                <w:lang w:val="en-GB" w:eastAsia="en-AU"/>
              </w:rPr>
              <w:t xml:space="preserve">of the CIS </w:t>
            </w:r>
          </w:p>
        </w:tc>
      </w:tr>
    </w:tbl>
    <w:p w14:paraId="70A402CA" w14:textId="77777777" w:rsidR="008F7305" w:rsidRDefault="008F7305" w:rsidP="00776687"/>
    <w:p w14:paraId="330AAF8F" w14:textId="36C03BF5" w:rsidR="00D5753A" w:rsidRPr="00D876D0" w:rsidRDefault="00D5753A" w:rsidP="00D5753A">
      <w:pPr>
        <w:pStyle w:val="Heading2"/>
      </w:pPr>
      <w:bookmarkStart w:id="176" w:name="_Toc140497783"/>
      <w:bookmarkStart w:id="177" w:name="_Toc139196522"/>
      <w:bookmarkStart w:id="178" w:name="_Toc141783176"/>
      <w:r w:rsidRPr="00CF7ED4">
        <w:lastRenderedPageBreak/>
        <w:t>Merit</w:t>
      </w:r>
      <w:r w:rsidRPr="00D876D0">
        <w:t xml:space="preserve"> </w:t>
      </w:r>
      <w:r>
        <w:t>a</w:t>
      </w:r>
      <w:r w:rsidRPr="00CF7ED4">
        <w:t>ssessment</w:t>
      </w:r>
      <w:bookmarkEnd w:id="176"/>
      <w:bookmarkEnd w:id="178"/>
    </w:p>
    <w:bookmarkEnd w:id="177"/>
    <w:p w14:paraId="3871880D" w14:textId="4AE48B10" w:rsidR="00A44D18" w:rsidRDefault="00136E13" w:rsidP="00F43F5F">
      <w:r>
        <w:t xml:space="preserve">The objective of </w:t>
      </w:r>
      <w:r w:rsidR="00524151">
        <w:t xml:space="preserve">CIS tenders will </w:t>
      </w:r>
      <w:r>
        <w:t xml:space="preserve">be to select the </w:t>
      </w:r>
      <w:r w:rsidR="00F31FCF">
        <w:t xml:space="preserve">projects that demonstrate the highest levels of merit, as assessed against objective merit criteria. </w:t>
      </w:r>
      <w:r w:rsidR="00A14875">
        <w:t>This section</w:t>
      </w:r>
      <w:r w:rsidR="00E007BE">
        <w:t xml:space="preserve"> provides an overview</w:t>
      </w:r>
      <w:r w:rsidR="00A14875">
        <w:t xml:space="preserve"> of how projects </w:t>
      </w:r>
      <w:r w:rsidR="00F03991">
        <w:t xml:space="preserve">could </w:t>
      </w:r>
      <w:r w:rsidR="00A14875">
        <w:t xml:space="preserve">be merit assessed </w:t>
      </w:r>
      <w:r w:rsidR="00AC14EF">
        <w:t>during the CIS tenders</w:t>
      </w:r>
      <w:r w:rsidR="00F27230">
        <w:t xml:space="preserve">. Successful projects </w:t>
      </w:r>
      <w:r w:rsidR="0011011D">
        <w:t xml:space="preserve">will be </w:t>
      </w:r>
      <w:r w:rsidR="00F27230">
        <w:t>expected to perform strongly against all the criteri</w:t>
      </w:r>
      <w:r w:rsidR="00C57A62">
        <w:t>a</w:t>
      </w:r>
      <w:r w:rsidR="00F27230">
        <w:t xml:space="preserve">. </w:t>
      </w:r>
      <w:bookmarkStart w:id="179" w:name="_Toc139196523"/>
    </w:p>
    <w:p w14:paraId="3B319AF7" w14:textId="4456290C" w:rsidR="003150F6" w:rsidRDefault="003150F6" w:rsidP="00927EAF">
      <w:pPr>
        <w:pStyle w:val="Heading3"/>
      </w:pPr>
      <w:bookmarkStart w:id="180" w:name="_Toc141783177"/>
      <w:r>
        <w:t>Overview of</w:t>
      </w:r>
      <w:r w:rsidR="00E6612F">
        <w:t xml:space="preserve"> merit</w:t>
      </w:r>
      <w:r>
        <w:t xml:space="preserve"> assessment process</w:t>
      </w:r>
      <w:bookmarkEnd w:id="180"/>
    </w:p>
    <w:p w14:paraId="027DD7B9" w14:textId="68779C9E" w:rsidR="005569C7" w:rsidRDefault="00A15AA0" w:rsidP="00EF4A29">
      <w:r>
        <w:t xml:space="preserve">Merit assessment of project bids will be conducted in two stages: </w:t>
      </w:r>
    </w:p>
    <w:p w14:paraId="028FBAED" w14:textId="54F3D24B" w:rsidR="005569C7" w:rsidRDefault="005569C7" w:rsidP="00E674D9">
      <w:pPr>
        <w:jc w:val="center"/>
      </w:pPr>
      <w:r>
        <w:rPr>
          <w:noProof/>
        </w:rPr>
        <w:drawing>
          <wp:inline distT="0" distB="0" distL="0" distR="0" wp14:anchorId="78B071F4" wp14:editId="7D60ED07">
            <wp:extent cx="5486400" cy="2186609"/>
            <wp:effectExtent l="19050" t="0" r="1905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01276C3" w14:textId="00A63018" w:rsidR="00865951" w:rsidRDefault="00064057" w:rsidP="00064057">
      <w:pPr>
        <w:ind w:left="360"/>
      </w:pPr>
      <w:r>
        <w:t xml:space="preserve">Weighting may be assigned to the merit criteria at either Stage A or Stage B, and </w:t>
      </w:r>
      <w:r w:rsidR="004D7693">
        <w:t xml:space="preserve">price (Cost to taxpayers) is expected to be </w:t>
      </w:r>
      <w:r w:rsidR="00865DB8">
        <w:t xml:space="preserve">the primary consideration in the merit assessment. </w:t>
      </w:r>
      <w:r w:rsidR="004D2777">
        <w:t xml:space="preserve">Minimum requirements for each merit criteria may also be used to ensure all projects supported by the CIS achieve a minimum </w:t>
      </w:r>
      <w:r w:rsidR="00687948">
        <w:t xml:space="preserve">standard across </w:t>
      </w:r>
      <w:r w:rsidR="0040446C">
        <w:t>all</w:t>
      </w:r>
      <w:r w:rsidR="00687948">
        <w:t xml:space="preserve"> the merit criteria. </w:t>
      </w:r>
    </w:p>
    <w:p w14:paraId="01A6042B" w14:textId="77777777" w:rsidR="00725532" w:rsidRDefault="00725532"/>
    <w:p w14:paraId="2290C375" w14:textId="252DE931" w:rsidR="00064057" w:rsidRDefault="00865951" w:rsidP="00B35853">
      <w:r>
        <w:br w:type="page"/>
      </w:r>
    </w:p>
    <w:p w14:paraId="5A761505" w14:textId="629FEEB4" w:rsidR="002C6AB7" w:rsidRDefault="007E0AC4" w:rsidP="00C17D85">
      <w:pPr>
        <w:pStyle w:val="Heading3"/>
      </w:pPr>
      <w:bookmarkStart w:id="181" w:name="_Toc141783178"/>
      <w:r w:rsidRPr="007E0AC4">
        <w:lastRenderedPageBreak/>
        <w:t xml:space="preserve">Project bid </w:t>
      </w:r>
      <w:r>
        <w:rPr>
          <w:b w:val="0"/>
          <w:bCs w:val="0"/>
        </w:rPr>
        <w:t>(</w:t>
      </w:r>
      <w:r w:rsidR="002C6AB7">
        <w:t xml:space="preserve">Stage </w:t>
      </w:r>
      <w:r w:rsidR="009B6B51">
        <w:t>A</w:t>
      </w:r>
      <w:r>
        <w:t>)</w:t>
      </w:r>
      <w:r w:rsidR="002C6AB7">
        <w:t xml:space="preserve"> – technical, commercial and social licence </w:t>
      </w:r>
      <w:r w:rsidR="000468E5">
        <w:t>assessment</w:t>
      </w:r>
      <w:bookmarkEnd w:id="181"/>
      <w:r w:rsidR="000468E5">
        <w:t xml:space="preserve"> </w:t>
      </w:r>
    </w:p>
    <w:p w14:paraId="5849A543" w14:textId="55BCE165" w:rsidR="008D5CE8" w:rsidRDefault="008D5CE8" w:rsidP="002C6AB7">
      <w:r>
        <w:t xml:space="preserve">The initial stage of the CIS tender will assess a project’s technical, commercial and social licence merit. </w:t>
      </w:r>
    </w:p>
    <w:p w14:paraId="7F3FEBDF" w14:textId="19CFBC6B" w:rsidR="00A84C99" w:rsidRPr="00582CA5" w:rsidRDefault="00723B2F" w:rsidP="00D1783C">
      <w:bookmarkStart w:id="182" w:name="_Toc139196524"/>
      <w:bookmarkEnd w:id="179"/>
      <w:r w:rsidRPr="00D1783C">
        <w:rPr>
          <w:b/>
          <w:bCs/>
        </w:rPr>
        <w:t xml:space="preserve">Project </w:t>
      </w:r>
      <w:r w:rsidR="003B7341">
        <w:rPr>
          <w:b/>
          <w:bCs/>
        </w:rPr>
        <w:t xml:space="preserve">technical and </w:t>
      </w:r>
      <w:r w:rsidRPr="00D1783C">
        <w:rPr>
          <w:b/>
          <w:bCs/>
        </w:rPr>
        <w:t>c</w:t>
      </w:r>
      <w:bookmarkEnd w:id="182"/>
      <w:r w:rsidRPr="00D1783C">
        <w:rPr>
          <w:b/>
          <w:bCs/>
        </w:rPr>
        <w:t xml:space="preserve">ommercial viability </w:t>
      </w:r>
    </w:p>
    <w:p w14:paraId="634644CB" w14:textId="6ED50CF3" w:rsidR="0043426C" w:rsidRDefault="003D37A3" w:rsidP="00C92D7A">
      <w:r>
        <w:t>A project</w:t>
      </w:r>
      <w:r w:rsidR="00EB290B">
        <w:t>’</w:t>
      </w:r>
      <w:r>
        <w:t xml:space="preserve">s credibility to reaching </w:t>
      </w:r>
      <w:r w:rsidR="00203117">
        <w:t>target</w:t>
      </w:r>
      <w:r w:rsidR="006510F1">
        <w:t xml:space="preserve"> commercial operation </w:t>
      </w:r>
      <w:r w:rsidR="001A03A1">
        <w:t>date</w:t>
      </w:r>
      <w:r w:rsidR="00203117">
        <w:t xml:space="preserve"> </w:t>
      </w:r>
      <w:r w:rsidR="001A03A1">
        <w:t>(</w:t>
      </w:r>
      <w:r>
        <w:t>COD</w:t>
      </w:r>
      <w:r w:rsidR="001A03A1">
        <w:t>)</w:t>
      </w:r>
      <w:r w:rsidR="006E5EF4">
        <w:t xml:space="preserve"> </w:t>
      </w:r>
      <w:r w:rsidR="001C4D29">
        <w:t>is</w:t>
      </w:r>
      <w:r w:rsidR="006E5EF4">
        <w:t xml:space="preserve"> assessed</w:t>
      </w:r>
      <w:r w:rsidR="00A71AFF">
        <w:t xml:space="preserve"> by examining a project</w:t>
      </w:r>
      <w:r w:rsidR="007D4F90">
        <w:t>’</w:t>
      </w:r>
      <w:r w:rsidR="00A71AFF">
        <w:t xml:space="preserve">s progress against key development milestones. </w:t>
      </w:r>
      <w:r w:rsidR="0043426C">
        <w:t xml:space="preserve">This includes: </w:t>
      </w:r>
    </w:p>
    <w:p w14:paraId="08E57F8E" w14:textId="2FD4E79A" w:rsidR="00A71AFF" w:rsidRDefault="00A71AFF" w:rsidP="001D13B8">
      <w:pPr>
        <w:pStyle w:val="ListParagraph"/>
        <w:numPr>
          <w:ilvl w:val="0"/>
          <w:numId w:val="7"/>
        </w:numPr>
      </w:pPr>
      <w:r>
        <w:t>Progress</w:t>
      </w:r>
      <w:r w:rsidR="006E5EF4">
        <w:t xml:space="preserve"> </w:t>
      </w:r>
      <w:r>
        <w:t>to securing all relevant land, planning and connections approvals;</w:t>
      </w:r>
    </w:p>
    <w:p w14:paraId="26695520" w14:textId="35CEC6E9" w:rsidR="00A71AFF" w:rsidRDefault="00A71AFF" w:rsidP="001D13B8">
      <w:pPr>
        <w:pStyle w:val="ListParagraph"/>
        <w:numPr>
          <w:ilvl w:val="0"/>
          <w:numId w:val="7"/>
        </w:numPr>
      </w:pPr>
      <w:r>
        <w:t>Progress to securing all relevant construction procurement and financing documents; and</w:t>
      </w:r>
    </w:p>
    <w:p w14:paraId="450988B3" w14:textId="7C697463" w:rsidR="003D37A3" w:rsidRDefault="00A71AFF" w:rsidP="001D13B8">
      <w:pPr>
        <w:pStyle w:val="ListParagraph"/>
        <w:numPr>
          <w:ilvl w:val="0"/>
          <w:numId w:val="7"/>
        </w:numPr>
      </w:pPr>
      <w:r>
        <w:t xml:space="preserve">Demonstrated understanding of key project risks to timely project completion, and appropriate mitigation measures. </w:t>
      </w:r>
    </w:p>
    <w:p w14:paraId="05A68EC4" w14:textId="7E5ECB59" w:rsidR="00C614C6" w:rsidRDefault="00C614C6" w:rsidP="00C614C6">
      <w:r>
        <w:t xml:space="preserve">Successful projects will have the target </w:t>
      </w:r>
      <w:r w:rsidR="00C03DB0">
        <w:t xml:space="preserve">final investment decision </w:t>
      </w:r>
      <w:r w:rsidR="00060728">
        <w:t>(</w:t>
      </w:r>
      <w:r>
        <w:t>FID</w:t>
      </w:r>
      <w:r w:rsidR="00060728">
        <w:t>)</w:t>
      </w:r>
      <w:r w:rsidR="00D237DF">
        <w:t xml:space="preserve"> or financial close (</w:t>
      </w:r>
      <w:r>
        <w:t>FC</w:t>
      </w:r>
      <w:r w:rsidR="00D237DF">
        <w:t>)</w:t>
      </w:r>
      <w:r>
        <w:t xml:space="preserve"> and COD key dates as contracted milestones.</w:t>
      </w:r>
    </w:p>
    <w:p w14:paraId="236A94AF" w14:textId="59B03226" w:rsidR="00097FCC" w:rsidRDefault="00097FCC" w:rsidP="00097FCC">
      <w:r>
        <w:t xml:space="preserve">Projects participating in SA and VIC tenders in 2023 may be merit assessed against their pathway to reaching COD </w:t>
      </w:r>
      <w:r w:rsidR="004B2B39">
        <w:t>no later than</w:t>
      </w:r>
      <w:r>
        <w:t xml:space="preserve"> 2027. This is to ensure that </w:t>
      </w:r>
      <w:r w:rsidR="00D1525A">
        <w:t>successful</w:t>
      </w:r>
      <w:r>
        <w:t xml:space="preserve"> projects can contribute to </w:t>
      </w:r>
      <w:r w:rsidR="004B2B39">
        <w:t>near term reliability requirements in those jurisdictions</w:t>
      </w:r>
      <w:r w:rsidR="0040491F">
        <w:t xml:space="preserve"> and delivery on the policy objectives of the CIS. </w:t>
      </w:r>
    </w:p>
    <w:p w14:paraId="3704A1A4" w14:textId="4D9E9625" w:rsidR="00B36E37" w:rsidRPr="00582CA5" w:rsidRDefault="00095FAC" w:rsidP="00D1783C">
      <w:r w:rsidRPr="00D1783C">
        <w:rPr>
          <w:b/>
          <w:bCs/>
        </w:rPr>
        <w:t xml:space="preserve">Proponent capability </w:t>
      </w:r>
    </w:p>
    <w:p w14:paraId="076DA598" w14:textId="625E6529" w:rsidR="00C232DA" w:rsidRDefault="00C232DA" w:rsidP="00B36E37">
      <w:r>
        <w:t xml:space="preserve">A project’s proponent capability, capacity and track record to deliver projects of a similar size and type will also be assessed. Other key relevant entities involved in the project delivery will also be considered. This is to ensure that </w:t>
      </w:r>
      <w:r w:rsidR="001C4D29">
        <w:t>reliable organisations are provided government support to deliver their projects.</w:t>
      </w:r>
    </w:p>
    <w:p w14:paraId="40F08247" w14:textId="15AC05F4" w:rsidR="001C4D29" w:rsidRDefault="001C4D29" w:rsidP="00B36E37">
      <w:r>
        <w:t>A proponent’s capability to deliver their proposed project is assessed by considering the prior and current experience of the proponent.</w:t>
      </w:r>
      <w:r w:rsidR="00DB2F64">
        <w:t xml:space="preserve"> The </w:t>
      </w:r>
      <w:r w:rsidR="00E720D8">
        <w:t>p</w:t>
      </w:r>
      <w:r w:rsidR="00DB2F64">
        <w:t xml:space="preserve">roponent’s project delivery contracting structure, procurement strategy and quality of their delivery plan will also be considered. </w:t>
      </w:r>
    </w:p>
    <w:p w14:paraId="14FDC890" w14:textId="321565AA" w:rsidR="00E674D9" w:rsidRPr="00582CA5" w:rsidRDefault="00E674D9" w:rsidP="00E674D9">
      <w:r w:rsidRPr="00D1783C">
        <w:rPr>
          <w:b/>
          <w:bCs/>
        </w:rPr>
        <w:t>Social licence</w:t>
      </w:r>
      <w:r w:rsidR="00B87062">
        <w:rPr>
          <w:b/>
          <w:bCs/>
        </w:rPr>
        <w:t>, employment</w:t>
      </w:r>
      <w:r w:rsidRPr="00D1783C">
        <w:rPr>
          <w:b/>
          <w:bCs/>
        </w:rPr>
        <w:t xml:space="preserve"> and local benefits </w:t>
      </w:r>
    </w:p>
    <w:p w14:paraId="27BBEC85" w14:textId="772F27EB" w:rsidR="00243D13" w:rsidRDefault="00243D13" w:rsidP="0018659E">
      <w:pPr>
        <w:rPr>
          <w:lang w:val="en-GB" w:eastAsia="en-AU"/>
        </w:rPr>
      </w:pPr>
      <w:r>
        <w:rPr>
          <w:lang w:val="en-GB" w:eastAsia="en-AU"/>
        </w:rPr>
        <w:t xml:space="preserve">The CIS </w:t>
      </w:r>
      <w:r w:rsidR="00C04C64">
        <w:rPr>
          <w:lang w:val="en-GB" w:eastAsia="en-AU"/>
        </w:rPr>
        <w:t>will contribute</w:t>
      </w:r>
      <w:r>
        <w:rPr>
          <w:lang w:val="en-GB" w:eastAsia="en-AU"/>
        </w:rPr>
        <w:t xml:space="preserve"> to </w:t>
      </w:r>
      <w:r w:rsidR="00DF7B0D">
        <w:rPr>
          <w:lang w:val="en-GB" w:eastAsia="en-AU"/>
        </w:rPr>
        <w:t xml:space="preserve">maximising the economic benefits of the transition to net zero, including local and indirect economic benefits </w:t>
      </w:r>
      <w:r w:rsidR="00E14580">
        <w:rPr>
          <w:lang w:val="en-GB" w:eastAsia="en-AU"/>
        </w:rPr>
        <w:t>and p</w:t>
      </w:r>
      <w:r w:rsidR="00F560BC">
        <w:rPr>
          <w:lang w:val="en-GB" w:eastAsia="en-AU"/>
        </w:rPr>
        <w:t xml:space="preserve">rojects will be assessed against their contribution to </w:t>
      </w:r>
      <w:r w:rsidR="008533CD">
        <w:rPr>
          <w:lang w:val="en-GB" w:eastAsia="en-AU"/>
        </w:rPr>
        <w:t xml:space="preserve">achieving </w:t>
      </w:r>
      <w:r w:rsidR="00F560BC">
        <w:rPr>
          <w:lang w:val="en-GB" w:eastAsia="en-AU"/>
        </w:rPr>
        <w:t xml:space="preserve">social licence </w:t>
      </w:r>
      <w:r w:rsidR="008533CD">
        <w:rPr>
          <w:lang w:val="en-GB" w:eastAsia="en-AU"/>
        </w:rPr>
        <w:t xml:space="preserve">and driving </w:t>
      </w:r>
      <w:r w:rsidR="00F560BC">
        <w:rPr>
          <w:lang w:val="en-GB" w:eastAsia="en-AU"/>
        </w:rPr>
        <w:t>local benefits</w:t>
      </w:r>
      <w:r w:rsidR="008533CD">
        <w:rPr>
          <w:lang w:val="en-GB" w:eastAsia="en-AU"/>
        </w:rPr>
        <w:t xml:space="preserve"> for the communities they operate in</w:t>
      </w:r>
      <w:r w:rsidR="00F560BC">
        <w:rPr>
          <w:lang w:val="en-GB" w:eastAsia="en-AU"/>
        </w:rPr>
        <w:t>.</w:t>
      </w:r>
    </w:p>
    <w:p w14:paraId="0AEB6941" w14:textId="1F66C5B0" w:rsidR="00BD766B" w:rsidRDefault="00BD766B" w:rsidP="0018659E">
      <w:pPr>
        <w:rPr>
          <w:lang w:val="en-GB" w:eastAsia="en-AU"/>
        </w:rPr>
      </w:pPr>
      <w:r>
        <w:rPr>
          <w:lang w:val="en-GB" w:eastAsia="en-AU"/>
        </w:rPr>
        <w:t xml:space="preserve">Social licence will be </w:t>
      </w:r>
      <w:r w:rsidR="00793A63">
        <w:rPr>
          <w:lang w:val="en-GB" w:eastAsia="en-AU"/>
        </w:rPr>
        <w:t xml:space="preserve">assessed </w:t>
      </w:r>
      <w:r>
        <w:rPr>
          <w:lang w:val="en-GB" w:eastAsia="en-AU"/>
        </w:rPr>
        <w:t xml:space="preserve">against a </w:t>
      </w:r>
      <w:r w:rsidR="00C04C64">
        <w:rPr>
          <w:lang w:val="en-GB" w:eastAsia="en-AU"/>
        </w:rPr>
        <w:t xml:space="preserve">proponent’s </w:t>
      </w:r>
      <w:r>
        <w:rPr>
          <w:lang w:val="en-GB" w:eastAsia="en-AU"/>
        </w:rPr>
        <w:t xml:space="preserve">demonstrated understanding of the project’s impact and their tailored approach to minimise and/or offset impacts. This can be demonstrated through sophisticated engagement and communication frameworks with local communities and First Nations communities and commitments to local benefit sharing schemes. </w:t>
      </w:r>
    </w:p>
    <w:p w14:paraId="3947CA1E" w14:textId="559175B1" w:rsidR="00793A63" w:rsidRDefault="00BD766B" w:rsidP="0018659E">
      <w:pPr>
        <w:rPr>
          <w:lang w:val="en-GB" w:eastAsia="en-AU"/>
        </w:rPr>
      </w:pPr>
      <w:r>
        <w:rPr>
          <w:lang w:val="en-GB" w:eastAsia="en-AU"/>
        </w:rPr>
        <w:t xml:space="preserve">Local benefits </w:t>
      </w:r>
      <w:r w:rsidR="00793A63">
        <w:rPr>
          <w:lang w:val="en-GB" w:eastAsia="en-AU"/>
        </w:rPr>
        <w:t xml:space="preserve">will be assessed against a project’s commitment to improve local </w:t>
      </w:r>
      <w:r w:rsidR="00DF7B0D">
        <w:rPr>
          <w:lang w:val="en-GB" w:eastAsia="en-AU"/>
        </w:rPr>
        <w:t xml:space="preserve">and national </w:t>
      </w:r>
      <w:r w:rsidR="00793A63">
        <w:rPr>
          <w:lang w:val="en-GB" w:eastAsia="en-AU"/>
        </w:rPr>
        <w:t>economic development</w:t>
      </w:r>
      <w:r w:rsidR="00927FAC">
        <w:rPr>
          <w:lang w:val="en-GB" w:eastAsia="en-AU"/>
        </w:rPr>
        <w:t>, including through the sourcing of materials and equipment</w:t>
      </w:r>
      <w:r w:rsidR="00793A63">
        <w:rPr>
          <w:lang w:val="en-GB" w:eastAsia="en-AU"/>
        </w:rPr>
        <w:t xml:space="preserve">. This can be demonstrated through commitments to employment </w:t>
      </w:r>
      <w:r w:rsidR="00927FAC">
        <w:rPr>
          <w:lang w:val="en-GB" w:eastAsia="en-AU"/>
        </w:rPr>
        <w:t xml:space="preserve">and apprentice </w:t>
      </w:r>
      <w:r w:rsidR="00793A63">
        <w:rPr>
          <w:lang w:val="en-GB" w:eastAsia="en-AU"/>
        </w:rPr>
        <w:t>quotas</w:t>
      </w:r>
      <w:r w:rsidR="00070A58">
        <w:rPr>
          <w:lang w:val="en-GB" w:eastAsia="en-AU"/>
        </w:rPr>
        <w:t xml:space="preserve"> and local procurement</w:t>
      </w:r>
      <w:r w:rsidR="00793A63">
        <w:rPr>
          <w:lang w:val="en-GB" w:eastAsia="en-AU"/>
        </w:rPr>
        <w:t xml:space="preserve">, engagement with First Nations businesses and subcontractors and </w:t>
      </w:r>
      <w:r w:rsidR="0043426C">
        <w:rPr>
          <w:lang w:val="en-GB" w:eastAsia="en-AU"/>
        </w:rPr>
        <w:t xml:space="preserve">contribution to workforce development, training and upskilling initiatives. </w:t>
      </w:r>
    </w:p>
    <w:p w14:paraId="1AD88F01" w14:textId="036D156C" w:rsidR="00D51AD7" w:rsidRDefault="005B5A86" w:rsidP="00BE36FC">
      <w:pPr>
        <w:rPr>
          <w:lang w:val="en-GB" w:eastAsia="en-AU"/>
        </w:rPr>
      </w:pPr>
      <w:r>
        <w:rPr>
          <w:lang w:val="en-GB" w:eastAsia="en-AU"/>
        </w:rPr>
        <w:lastRenderedPageBreak/>
        <w:t xml:space="preserve">All projects </w:t>
      </w:r>
      <w:r w:rsidR="003666F2">
        <w:rPr>
          <w:lang w:val="en-GB" w:eastAsia="en-AU"/>
        </w:rPr>
        <w:t>receiving support</w:t>
      </w:r>
      <w:r w:rsidR="0081235E">
        <w:rPr>
          <w:lang w:val="en-GB" w:eastAsia="en-AU"/>
        </w:rPr>
        <w:t xml:space="preserve"> </w:t>
      </w:r>
      <w:r w:rsidR="002949F0">
        <w:rPr>
          <w:lang w:val="en-GB" w:eastAsia="en-AU"/>
        </w:rPr>
        <w:t xml:space="preserve">under the CIS will be required to </w:t>
      </w:r>
      <w:r w:rsidR="002B7E42">
        <w:rPr>
          <w:lang w:val="en-GB" w:eastAsia="en-AU"/>
        </w:rPr>
        <w:t>prepare an Australian Industry Participation</w:t>
      </w:r>
      <w:r w:rsidR="003C76EA">
        <w:rPr>
          <w:lang w:val="en-GB" w:eastAsia="en-AU"/>
        </w:rPr>
        <w:t xml:space="preserve"> (AIP)</w:t>
      </w:r>
      <w:r w:rsidR="002B7E42">
        <w:rPr>
          <w:lang w:val="en-GB" w:eastAsia="en-AU"/>
        </w:rPr>
        <w:t xml:space="preserve"> Plan</w:t>
      </w:r>
      <w:r w:rsidR="003C76EA">
        <w:rPr>
          <w:lang w:val="en-GB" w:eastAsia="en-AU"/>
        </w:rPr>
        <w:t xml:space="preserve">. </w:t>
      </w:r>
      <w:r w:rsidR="009B2F42">
        <w:rPr>
          <w:lang w:val="en-GB" w:eastAsia="en-AU"/>
        </w:rPr>
        <w:t xml:space="preserve">A draft plan </w:t>
      </w:r>
      <w:r w:rsidR="00BF5943">
        <w:rPr>
          <w:lang w:val="en-GB" w:eastAsia="en-AU"/>
        </w:rPr>
        <w:t xml:space="preserve">can </w:t>
      </w:r>
      <w:r w:rsidR="00EF1F7E">
        <w:rPr>
          <w:lang w:val="en-GB" w:eastAsia="en-AU"/>
        </w:rPr>
        <w:t>support the project’s assessment for social licence and local benefits</w:t>
      </w:r>
      <w:r w:rsidR="00AF6383">
        <w:rPr>
          <w:lang w:val="en-GB" w:eastAsia="en-AU"/>
        </w:rPr>
        <w:t xml:space="preserve"> and </w:t>
      </w:r>
      <w:r w:rsidR="00442035">
        <w:rPr>
          <w:lang w:val="en-GB" w:eastAsia="en-AU"/>
        </w:rPr>
        <w:t xml:space="preserve">commitments made under the </w:t>
      </w:r>
      <w:r w:rsidR="00A447E4">
        <w:rPr>
          <w:lang w:val="en-GB" w:eastAsia="en-AU"/>
        </w:rPr>
        <w:t>AIP</w:t>
      </w:r>
      <w:r w:rsidR="00442035">
        <w:rPr>
          <w:lang w:val="en-GB" w:eastAsia="en-AU"/>
        </w:rPr>
        <w:t xml:space="preserve"> plan are relevant to this assessment criteria.</w:t>
      </w:r>
    </w:p>
    <w:p w14:paraId="45FD755D" w14:textId="1273E87F" w:rsidR="00344DE0" w:rsidRDefault="00EF1F7E" w:rsidP="00344DE0">
      <w:pPr>
        <w:rPr>
          <w:lang w:val="en-GB" w:eastAsia="en-AU"/>
        </w:rPr>
      </w:pPr>
      <w:r>
        <w:rPr>
          <w:lang w:val="en-GB" w:eastAsia="en-AU"/>
        </w:rPr>
        <w:t xml:space="preserve">There are not </w:t>
      </w:r>
      <w:r w:rsidR="00D51AD7">
        <w:rPr>
          <w:lang w:val="en-GB" w:eastAsia="en-AU"/>
        </w:rPr>
        <w:t xml:space="preserve">expected to be other </w:t>
      </w:r>
      <w:r w:rsidR="002E7D37">
        <w:rPr>
          <w:lang w:val="en-GB" w:eastAsia="en-AU"/>
        </w:rPr>
        <w:t>prescribed requirements for social licence or local benefits</w:t>
      </w:r>
      <w:r w:rsidR="00B86D44">
        <w:rPr>
          <w:lang w:val="en-GB" w:eastAsia="en-AU"/>
        </w:rPr>
        <w:t xml:space="preserve"> under the CIS</w:t>
      </w:r>
      <w:r w:rsidR="00344DE0">
        <w:rPr>
          <w:lang w:val="en-GB" w:eastAsia="en-AU"/>
        </w:rPr>
        <w:t xml:space="preserve">. It is noted that individual State and Territory governments have flexibility to create local requirements for social licence and local benefits through regulation, legislation or policies that apply to projects with jurisdictional funding. State-based policies on social licence may be taken into consideration during merit assessment of a project’s social licence. This could include, for example, policies preferring or requiring projects to locate within a State-declared renewable energy zone (REZ). </w:t>
      </w:r>
    </w:p>
    <w:p w14:paraId="7108A9A6" w14:textId="0813F286" w:rsidR="002C6AB7" w:rsidRDefault="00182BA0" w:rsidP="00B36E37">
      <w:pPr>
        <w:pStyle w:val="Heading3"/>
      </w:pPr>
      <w:bookmarkStart w:id="183" w:name="_Toc141783179"/>
      <w:r>
        <w:t>Financial bid (</w:t>
      </w:r>
      <w:r w:rsidR="002C6AB7">
        <w:t xml:space="preserve">Stage </w:t>
      </w:r>
      <w:r w:rsidR="009B6B51">
        <w:t>B</w:t>
      </w:r>
      <w:r>
        <w:t>)</w:t>
      </w:r>
      <w:r w:rsidR="002C6AB7">
        <w:t xml:space="preserve"> –</w:t>
      </w:r>
      <w:r w:rsidR="00332844">
        <w:t xml:space="preserve"> </w:t>
      </w:r>
      <w:r w:rsidR="00AD1DAD">
        <w:t xml:space="preserve">price and reliability </w:t>
      </w:r>
      <w:r w:rsidR="000468E5">
        <w:t>assessment</w:t>
      </w:r>
      <w:bookmarkEnd w:id="183"/>
    </w:p>
    <w:p w14:paraId="10EF552B" w14:textId="471BB123" w:rsidR="00C2724F" w:rsidRDefault="00F256E9" w:rsidP="00C2724F">
      <w:r>
        <w:t xml:space="preserve">The second stage of the merit assessment will require </w:t>
      </w:r>
      <w:r w:rsidR="00E3574B">
        <w:t xml:space="preserve">proponents </w:t>
      </w:r>
      <w:r>
        <w:t>to</w:t>
      </w:r>
      <w:r w:rsidR="00F620F2">
        <w:t xml:space="preserve"> submit </w:t>
      </w:r>
      <w:r>
        <w:t xml:space="preserve">pricing bid variables. Projects will be assessed against the CIS’s policy objectives to </w:t>
      </w:r>
      <w:r w:rsidR="00C2724F">
        <w:t xml:space="preserve">support </w:t>
      </w:r>
      <w:r w:rsidR="00E50BEB">
        <w:t xml:space="preserve">system </w:t>
      </w:r>
      <w:r w:rsidR="00C2724F">
        <w:t xml:space="preserve">reliability at a minimal cost </w:t>
      </w:r>
      <w:r w:rsidR="00E50BEB">
        <w:t>to taxpayers.</w:t>
      </w:r>
    </w:p>
    <w:p w14:paraId="402977D8" w14:textId="77777777" w:rsidR="003F0A9A" w:rsidRDefault="003F0A9A" w:rsidP="00C2724F"/>
    <w:p w14:paraId="14A6A041" w14:textId="3ED7957B" w:rsidR="00332844" w:rsidRDefault="00332844">
      <w:pPr>
        <w:rPr>
          <w:b/>
          <w:bCs/>
        </w:rPr>
      </w:pPr>
      <w:r>
        <w:rPr>
          <w:b/>
          <w:bCs/>
        </w:rPr>
        <w:t>Contribution to system reliability</w:t>
      </w:r>
    </w:p>
    <w:p w14:paraId="49F7AE13" w14:textId="7810378F" w:rsidR="005F6012" w:rsidRPr="001F54DD" w:rsidRDefault="00C944EB" w:rsidP="001F54DD">
      <w:pPr>
        <w:spacing w:after="240" w:line="276" w:lineRule="auto"/>
      </w:pPr>
      <w:r>
        <w:t>A</w:t>
      </w:r>
      <w:r w:rsidR="0045166B">
        <w:t xml:space="preserve"> project’s potential </w:t>
      </w:r>
      <w:r w:rsidR="00DC4497">
        <w:t xml:space="preserve">contribution </w:t>
      </w:r>
      <w:r w:rsidR="0045166B">
        <w:t xml:space="preserve">to </w:t>
      </w:r>
      <w:r w:rsidR="004124D4">
        <w:t xml:space="preserve">avoid </w:t>
      </w:r>
      <w:r w:rsidR="0045166B">
        <w:t xml:space="preserve">unserved energy events </w:t>
      </w:r>
      <w:r w:rsidR="00B95063">
        <w:t xml:space="preserve">and </w:t>
      </w:r>
      <w:r w:rsidR="00286632">
        <w:t xml:space="preserve">to the reliability standard </w:t>
      </w:r>
      <w:r w:rsidR="00555A43">
        <w:t xml:space="preserve">will be assessed. </w:t>
      </w:r>
      <w:r w:rsidR="000C7E39">
        <w:t xml:space="preserve">As part of </w:t>
      </w:r>
      <w:r w:rsidR="003844D9">
        <w:t>a tender</w:t>
      </w:r>
      <w:r w:rsidR="000C7E39">
        <w:t xml:space="preserve"> assessment process, projects </w:t>
      </w:r>
      <w:r w:rsidR="00B27305">
        <w:t>may</w:t>
      </w:r>
      <w:r w:rsidR="000C7E39">
        <w:t xml:space="preserve"> be invited to </w:t>
      </w:r>
      <w:r w:rsidR="00B27305">
        <w:t xml:space="preserve">submit information on its contribution to reliability </w:t>
      </w:r>
      <w:r w:rsidR="007F083D">
        <w:t xml:space="preserve">and this information can be considered as part of </w:t>
      </w:r>
      <w:r w:rsidR="003844D9">
        <w:t>a project’s</w:t>
      </w:r>
      <w:r w:rsidR="007F083D">
        <w:t xml:space="preserve"> evaluation.</w:t>
      </w:r>
      <w:r w:rsidR="00DC7FB4">
        <w:t xml:space="preserve"> It is ex</w:t>
      </w:r>
      <w:r w:rsidR="002109E4">
        <w:t>pected that</w:t>
      </w:r>
      <w:r w:rsidR="00996340">
        <w:t xml:space="preserve"> individual projects </w:t>
      </w:r>
      <w:r w:rsidR="00000FFC">
        <w:t xml:space="preserve">will be assessed </w:t>
      </w:r>
      <w:r w:rsidR="00230519">
        <w:t xml:space="preserve">on their contribution to the reliability </w:t>
      </w:r>
      <w:r w:rsidR="00491E1F">
        <w:t>target based on both location and technology type</w:t>
      </w:r>
      <w:r w:rsidR="00717FB9">
        <w:t xml:space="preserve">. </w:t>
      </w:r>
      <w:r w:rsidR="00717FB9" w:rsidRPr="00717FB9">
        <w:t>Forecasts underpinning reliability targets will be derived from modelling of the total dispatchable and non-dispatchable capacity required in each year, in total and for each jurisdiction, and converted to capacity (MW) in medium storage equivalent</w:t>
      </w:r>
      <w:r w:rsidR="00B6597A">
        <w:t xml:space="preserve">. </w:t>
      </w:r>
      <w:r w:rsidR="00B6597A">
        <w:rPr>
          <w:rFonts w:cs="Calibri Light"/>
          <w:lang w:val="en-US"/>
        </w:rPr>
        <w:t>Consultations with state and territory governments, including jurisdictional reliability modelling, will also inform reliability targets</w:t>
      </w:r>
      <w:r w:rsidR="00AD3794">
        <w:rPr>
          <w:rFonts w:cs="Calibri Light"/>
          <w:lang w:val="en-US"/>
        </w:rPr>
        <w:t>.</w:t>
      </w:r>
    </w:p>
    <w:tbl>
      <w:tblPr>
        <w:tblStyle w:val="TableGrid"/>
        <w:tblW w:w="9295" w:type="dxa"/>
        <w:tblLook w:val="04A0" w:firstRow="1" w:lastRow="0" w:firstColumn="1" w:lastColumn="0" w:noHBand="0" w:noVBand="1"/>
      </w:tblPr>
      <w:tblGrid>
        <w:gridCol w:w="9295"/>
      </w:tblGrid>
      <w:tr w:rsidR="0040491F" w14:paraId="3DC15374" w14:textId="77777777" w:rsidTr="0040491F">
        <w:trPr>
          <w:trHeight w:val="1010"/>
        </w:trPr>
        <w:tc>
          <w:tcPr>
            <w:tcW w:w="9295" w:type="dxa"/>
            <w:tcBorders>
              <w:left w:val="nil"/>
              <w:right w:val="nil"/>
            </w:tcBorders>
            <w:shd w:val="clear" w:color="auto" w:fill="DEEAF6" w:themeFill="accent1" w:themeFillTint="33"/>
          </w:tcPr>
          <w:p w14:paraId="656062F6" w14:textId="42EF2852" w:rsidR="0040491F" w:rsidRPr="00D60AB2" w:rsidRDefault="0040491F" w:rsidP="0040491F">
            <w:pPr>
              <w:rPr>
                <w:lang w:val="en-GB" w:eastAsia="en-AU"/>
              </w:rPr>
            </w:pPr>
            <w:r>
              <w:rPr>
                <w:b/>
                <w:bCs/>
                <w:lang w:val="en-GB" w:eastAsia="en-AU"/>
              </w:rPr>
              <w:t>Consultation question:</w:t>
            </w:r>
            <w:r>
              <w:rPr>
                <w:lang w:val="en-GB" w:eastAsia="en-AU"/>
              </w:rPr>
              <w:t xml:space="preserve"> </w:t>
            </w:r>
            <w:r w:rsidR="00790608">
              <w:rPr>
                <w:lang w:val="en-GB" w:eastAsia="en-AU"/>
              </w:rPr>
              <w:t xml:space="preserve">The Department is seeking feedback on the </w:t>
            </w:r>
            <w:r w:rsidR="00C3406B">
              <w:rPr>
                <w:lang w:val="en-GB" w:eastAsia="en-AU"/>
              </w:rPr>
              <w:t>evaluation criteria, on the</w:t>
            </w:r>
            <w:r w:rsidR="00790608">
              <w:rPr>
                <w:lang w:val="en-GB" w:eastAsia="en-AU"/>
              </w:rPr>
              <w:t xml:space="preserve"> appropriate structure to assess a project’s contribution to system reliability and feedback on the potential development and application of de-rating factors.</w:t>
            </w:r>
          </w:p>
        </w:tc>
      </w:tr>
    </w:tbl>
    <w:p w14:paraId="678CBD3A" w14:textId="77777777" w:rsidR="0040491F" w:rsidRDefault="0040491F" w:rsidP="00D72C46">
      <w:pPr>
        <w:spacing w:after="240" w:line="276" w:lineRule="auto"/>
      </w:pPr>
    </w:p>
    <w:p w14:paraId="0795B3DC" w14:textId="50D05C99" w:rsidR="00D72C46" w:rsidRDefault="009C3A87" w:rsidP="00D72C46">
      <w:pPr>
        <w:spacing w:after="240" w:line="276" w:lineRule="auto"/>
      </w:pPr>
      <w:r>
        <w:t>Further, a</w:t>
      </w:r>
      <w:r w:rsidR="002E6A3D">
        <w:t xml:space="preserve"> project’s duration of storage or dispatchable generation </w:t>
      </w:r>
      <w:r>
        <w:t xml:space="preserve">impacts </w:t>
      </w:r>
      <w:r w:rsidR="0098672B">
        <w:t>its ab</w:t>
      </w:r>
      <w:r w:rsidR="00EF6A91">
        <w:t xml:space="preserve">ility to contribute </w:t>
      </w:r>
      <w:r w:rsidR="002E6A3D">
        <w:t>to the reliability standard</w:t>
      </w:r>
      <w:r w:rsidR="00B32DC9">
        <w:t xml:space="preserve"> and will also be assessed</w:t>
      </w:r>
      <w:r w:rsidR="002E6A3D">
        <w:t>.</w:t>
      </w:r>
      <w:r w:rsidR="0088554B">
        <w:t xml:space="preserve"> This merit criteria adopts a flexible approach to considering a project’s dispatchable duration. For example, a project that has a 100MW/200MWh capacity may bid as a 2-hour 100MW dispatchable storage asset or 4-hour 50MW dispatchable storage asset. </w:t>
      </w:r>
      <w:r w:rsidR="00172A5C">
        <w:t>Other technical features that will be considered in assessment includes</w:t>
      </w:r>
      <w:r w:rsidR="004124D4">
        <w:t>, but is not limited to, c</w:t>
      </w:r>
      <w:r w:rsidR="00D72C46">
        <w:t>o-</w:t>
      </w:r>
      <w:r w:rsidR="00172A5C">
        <w:t xml:space="preserve">located projects, </w:t>
      </w:r>
      <w:r w:rsidR="00D72C46">
        <w:t>geographic location in relation to transmission constraints</w:t>
      </w:r>
      <w:r w:rsidR="00172A5C">
        <w:t xml:space="preserve"> </w:t>
      </w:r>
      <w:r w:rsidR="00D72C46">
        <w:t xml:space="preserve">and optionality for future </w:t>
      </w:r>
      <w:r w:rsidR="00172A5C">
        <w:t>project expansion</w:t>
      </w:r>
      <w:r w:rsidR="004124D4">
        <w:t>.</w:t>
      </w:r>
    </w:p>
    <w:p w14:paraId="2FE7BB53" w14:textId="77777777" w:rsidR="00444147" w:rsidRDefault="00444147" w:rsidP="000C7AC8">
      <w:pPr>
        <w:rPr>
          <w:b/>
          <w:bCs/>
        </w:rPr>
      </w:pPr>
      <w:bookmarkStart w:id="184" w:name="_Hlk141439700"/>
      <w:bookmarkStart w:id="185" w:name="_Toc139196526"/>
    </w:p>
    <w:p w14:paraId="25B87621" w14:textId="77777777" w:rsidR="00444147" w:rsidRDefault="00444147" w:rsidP="000C7AC8">
      <w:pPr>
        <w:rPr>
          <w:b/>
          <w:bCs/>
        </w:rPr>
      </w:pPr>
    </w:p>
    <w:p w14:paraId="618A8D02" w14:textId="5C14D190" w:rsidR="000C7AC8" w:rsidRDefault="000C7AC8" w:rsidP="000C7AC8">
      <w:pPr>
        <w:rPr>
          <w:b/>
          <w:bCs/>
        </w:rPr>
      </w:pPr>
      <w:r>
        <w:rPr>
          <w:b/>
          <w:bCs/>
        </w:rPr>
        <w:lastRenderedPageBreak/>
        <w:t>Cost to taxpayers</w:t>
      </w:r>
    </w:p>
    <w:bookmarkEnd w:id="184"/>
    <w:p w14:paraId="1B505E72" w14:textId="4B85EF52" w:rsidR="000C7AC8" w:rsidRDefault="000C7AC8" w:rsidP="000C7AC8">
      <w:pPr>
        <w:spacing w:after="240" w:line="276" w:lineRule="auto"/>
      </w:pPr>
      <w:r>
        <w:t xml:space="preserve">The final merit criterion is expected to be the cost of the proposed projects to </w:t>
      </w:r>
      <w:r w:rsidR="00267723">
        <w:t xml:space="preserve">the Commonwealth, measured </w:t>
      </w:r>
      <w:r>
        <w:t>as the quantum, timing and likelihood of underwriting payments to be paid by the CIS’s financial vehicle. This will be estimated using stochastic forecasts of future electricity price conditions and expected operation of the project. Projects will be compared and assessed on a range of metrics, including the cost per MW of capacity contributed per annum.</w:t>
      </w:r>
    </w:p>
    <w:p w14:paraId="7543F149" w14:textId="77777777" w:rsidR="000C7AC8" w:rsidRDefault="000C7AC8" w:rsidP="000C7AC8">
      <w:r>
        <w:t>These criteria will also assess the competitiveness of a project’s key bid variables and minimal departures to contractual pro forma.</w:t>
      </w:r>
    </w:p>
    <w:p w14:paraId="4A8C6E5C" w14:textId="77777777" w:rsidR="000C7AC8" w:rsidRPr="00FE6966" w:rsidRDefault="000C7AC8" w:rsidP="000C7AC8">
      <w:pPr>
        <w:spacing w:after="240" w:line="276" w:lineRule="auto"/>
      </w:pPr>
      <w:r>
        <w:t>Projects may be asked to provide an indicative financial bid in Stage A, which is updated with a binding bid in Stage B.</w:t>
      </w:r>
    </w:p>
    <w:p w14:paraId="3DB015C4" w14:textId="77777777" w:rsidR="00A84C99" w:rsidRDefault="00A84C99" w:rsidP="00C17D85">
      <w:pPr>
        <w:pStyle w:val="Heading2"/>
      </w:pPr>
      <w:bookmarkStart w:id="186" w:name="_Toc141783180"/>
      <w:r>
        <w:t>Underwriting instrument design</w:t>
      </w:r>
      <w:bookmarkEnd w:id="185"/>
      <w:bookmarkEnd w:id="186"/>
    </w:p>
    <w:p w14:paraId="342DA551" w14:textId="17BC2F54" w:rsidR="00266B39" w:rsidRDefault="00FE74B6" w:rsidP="00B445F1">
      <w:pPr>
        <w:rPr>
          <w:lang w:val="en-GB" w:eastAsia="en-AU"/>
        </w:rPr>
      </w:pPr>
      <w:r>
        <w:rPr>
          <w:lang w:val="en-GB" w:eastAsia="en-AU"/>
        </w:rPr>
        <w:t xml:space="preserve">An objective of the </w:t>
      </w:r>
      <w:r w:rsidR="003E5720">
        <w:rPr>
          <w:lang w:val="en-GB" w:eastAsia="en-AU"/>
        </w:rPr>
        <w:t xml:space="preserve">CIS is to accelerate </w:t>
      </w:r>
      <w:r w:rsidR="00735F2D">
        <w:rPr>
          <w:lang w:val="en-GB" w:eastAsia="en-AU"/>
        </w:rPr>
        <w:t xml:space="preserve">the deployment of capacity </w:t>
      </w:r>
      <w:r w:rsidR="00284FAA">
        <w:rPr>
          <w:lang w:val="en-GB" w:eastAsia="en-AU"/>
        </w:rPr>
        <w:t>in the Australian energy markets by reducing risk to investors.</w:t>
      </w:r>
      <w:r w:rsidR="00D77735">
        <w:rPr>
          <w:lang w:val="en-GB" w:eastAsia="en-AU"/>
        </w:rPr>
        <w:t xml:space="preserve"> </w:t>
      </w:r>
      <w:r w:rsidR="008A1095">
        <w:rPr>
          <w:lang w:val="en-GB" w:eastAsia="en-AU"/>
        </w:rPr>
        <w:t xml:space="preserve">This section outlines </w:t>
      </w:r>
      <w:r w:rsidR="00594371">
        <w:rPr>
          <w:lang w:val="en-GB" w:eastAsia="en-AU"/>
        </w:rPr>
        <w:t xml:space="preserve">the </w:t>
      </w:r>
      <w:r w:rsidR="00CA513B">
        <w:rPr>
          <w:lang w:val="en-GB" w:eastAsia="en-AU"/>
        </w:rPr>
        <w:t xml:space="preserve">commercial </w:t>
      </w:r>
      <w:r w:rsidR="00594371">
        <w:rPr>
          <w:lang w:val="en-GB" w:eastAsia="en-AU"/>
        </w:rPr>
        <w:t>key features</w:t>
      </w:r>
      <w:r w:rsidR="00CA513B">
        <w:rPr>
          <w:lang w:val="en-GB" w:eastAsia="en-AU"/>
        </w:rPr>
        <w:t xml:space="preserve"> of the underwriting agreement. </w:t>
      </w:r>
      <w:r w:rsidR="00266B39">
        <w:rPr>
          <w:lang w:val="en-GB" w:eastAsia="en-AU"/>
        </w:rPr>
        <w:t>The structure will be developed through:</w:t>
      </w:r>
    </w:p>
    <w:p w14:paraId="315A6F9C" w14:textId="6EC43085" w:rsidR="007A548A" w:rsidRPr="007338E4" w:rsidRDefault="00D10693" w:rsidP="0009795B">
      <w:pPr>
        <w:pStyle w:val="ListParagraph"/>
        <w:numPr>
          <w:ilvl w:val="0"/>
          <w:numId w:val="14"/>
        </w:numPr>
        <w:rPr>
          <w:lang w:val="en-GB" w:eastAsia="en-AU"/>
        </w:rPr>
      </w:pPr>
      <w:r w:rsidRPr="00084CB3">
        <w:rPr>
          <w:lang w:val="en-GB" w:eastAsia="en-AU"/>
        </w:rPr>
        <w:t>c</w:t>
      </w:r>
      <w:r w:rsidR="00266B39" w:rsidRPr="00084CB3">
        <w:rPr>
          <w:lang w:val="en-GB" w:eastAsia="en-AU"/>
        </w:rPr>
        <w:t xml:space="preserve">onsultation and </w:t>
      </w:r>
      <w:r w:rsidRPr="00084CB3">
        <w:rPr>
          <w:lang w:val="en-GB" w:eastAsia="en-AU"/>
        </w:rPr>
        <w:t xml:space="preserve">receipt of feedback on </w:t>
      </w:r>
      <w:r w:rsidR="00F53454">
        <w:rPr>
          <w:lang w:val="en-GB" w:eastAsia="en-AU"/>
        </w:rPr>
        <w:t>this paper;</w:t>
      </w:r>
      <w:r w:rsidR="007A548A" w:rsidRPr="007338E4" w:rsidDel="007338E4">
        <w:rPr>
          <w:lang w:val="en-GB" w:eastAsia="en-AU"/>
        </w:rPr>
        <w:t xml:space="preserve"> </w:t>
      </w:r>
    </w:p>
    <w:p w14:paraId="4DB3540A" w14:textId="7A589DFD" w:rsidR="00084CB3" w:rsidRPr="00084CB3" w:rsidRDefault="007A548A" w:rsidP="001D13B8">
      <w:pPr>
        <w:pStyle w:val="ListParagraph"/>
        <w:numPr>
          <w:ilvl w:val="0"/>
          <w:numId w:val="16"/>
        </w:numPr>
        <w:rPr>
          <w:lang w:val="en-GB" w:eastAsia="en-AU"/>
        </w:rPr>
      </w:pPr>
      <w:r>
        <w:rPr>
          <w:lang w:val="en-GB" w:eastAsia="en-AU"/>
        </w:rPr>
        <w:t xml:space="preserve">publication of a final document for </w:t>
      </w:r>
      <w:r w:rsidR="00BB5054">
        <w:rPr>
          <w:lang w:val="en-GB" w:eastAsia="en-AU"/>
        </w:rPr>
        <w:t xml:space="preserve">Stage B of the </w:t>
      </w:r>
      <w:r w:rsidR="00632D12">
        <w:rPr>
          <w:lang w:val="en-GB" w:eastAsia="en-AU"/>
        </w:rPr>
        <w:t>SA/VIC</w:t>
      </w:r>
      <w:r w:rsidR="00D02FD1">
        <w:rPr>
          <w:lang w:val="en-GB" w:eastAsia="en-AU"/>
        </w:rPr>
        <w:t xml:space="preserve"> </w:t>
      </w:r>
      <w:r>
        <w:rPr>
          <w:lang w:val="en-GB" w:eastAsia="en-AU"/>
        </w:rPr>
        <w:t>tender</w:t>
      </w:r>
      <w:r w:rsidR="00D02FD1">
        <w:rPr>
          <w:lang w:val="en-GB" w:eastAsia="en-AU"/>
        </w:rPr>
        <w:t>s</w:t>
      </w:r>
      <w:r>
        <w:rPr>
          <w:lang w:val="en-GB" w:eastAsia="en-AU"/>
        </w:rPr>
        <w:t xml:space="preserve"> (expected in November </w:t>
      </w:r>
      <w:r w:rsidR="00F14811">
        <w:rPr>
          <w:lang w:val="en-GB" w:eastAsia="en-AU"/>
        </w:rPr>
        <w:t>2023).</w:t>
      </w:r>
    </w:p>
    <w:p w14:paraId="32812A2D" w14:textId="5C50DD09" w:rsidR="00ED59A2" w:rsidRDefault="00ED59A2" w:rsidP="00CA513B">
      <w:pPr>
        <w:pStyle w:val="Heading3"/>
      </w:pPr>
      <w:bookmarkStart w:id="187" w:name="_Toc141783181"/>
      <w:r>
        <w:t xml:space="preserve">Principles </w:t>
      </w:r>
      <w:r w:rsidR="00F41CDA">
        <w:t>of the CIS commercial structure</w:t>
      </w:r>
      <w:bookmarkEnd w:id="187"/>
      <w:r w:rsidR="00F41CDA">
        <w:t xml:space="preserve"> </w:t>
      </w:r>
    </w:p>
    <w:p w14:paraId="67DEE47E" w14:textId="345E4106" w:rsidR="00F41CDA" w:rsidRDefault="00324203" w:rsidP="00F41CDA">
      <w:pPr>
        <w:rPr>
          <w:lang w:val="en-GB" w:eastAsia="en-AU"/>
        </w:rPr>
      </w:pPr>
      <w:r>
        <w:rPr>
          <w:lang w:val="en-GB" w:eastAsia="en-AU"/>
        </w:rPr>
        <w:t xml:space="preserve">The CIS commercial structure is intended to </w:t>
      </w:r>
      <w:r w:rsidR="00531274">
        <w:rPr>
          <w:lang w:val="en-GB" w:eastAsia="en-AU"/>
        </w:rPr>
        <w:t>deliver</w:t>
      </w:r>
      <w:r>
        <w:rPr>
          <w:lang w:val="en-GB" w:eastAsia="en-AU"/>
        </w:rPr>
        <w:t xml:space="preserve"> the broader objectives of the CIS, and </w:t>
      </w:r>
      <w:r w:rsidR="00A31281">
        <w:rPr>
          <w:lang w:val="en-GB" w:eastAsia="en-AU"/>
        </w:rPr>
        <w:t xml:space="preserve">to ensure that the following </w:t>
      </w:r>
      <w:r w:rsidR="00531274">
        <w:rPr>
          <w:lang w:val="en-GB" w:eastAsia="en-AU"/>
        </w:rPr>
        <w:t>subsidiary</w:t>
      </w:r>
      <w:r w:rsidR="00A31281">
        <w:rPr>
          <w:lang w:val="en-GB" w:eastAsia="en-AU"/>
        </w:rPr>
        <w:t xml:space="preserve"> </w:t>
      </w:r>
      <w:r w:rsidR="00531274">
        <w:rPr>
          <w:lang w:val="en-GB" w:eastAsia="en-AU"/>
        </w:rPr>
        <w:t>objectives are achieved:</w:t>
      </w:r>
    </w:p>
    <w:p w14:paraId="0BCFCB37" w14:textId="61076C1A" w:rsidR="00531274" w:rsidRDefault="00634E9A" w:rsidP="001D13B8">
      <w:pPr>
        <w:pStyle w:val="ListParagraph"/>
        <w:numPr>
          <w:ilvl w:val="0"/>
          <w:numId w:val="17"/>
        </w:numPr>
        <w:rPr>
          <w:lang w:val="en-GB" w:eastAsia="en-AU"/>
        </w:rPr>
      </w:pPr>
      <w:r>
        <w:rPr>
          <w:lang w:val="en-GB" w:eastAsia="en-AU"/>
        </w:rPr>
        <w:t xml:space="preserve">Investor certainty is increased through a combination of the long-term </w:t>
      </w:r>
      <w:r w:rsidR="00A15C8B">
        <w:rPr>
          <w:lang w:val="en-GB" w:eastAsia="en-AU"/>
        </w:rPr>
        <w:t>underwriting</w:t>
      </w:r>
      <w:r>
        <w:rPr>
          <w:lang w:val="en-GB" w:eastAsia="en-AU"/>
        </w:rPr>
        <w:t xml:space="preserve"> </w:t>
      </w:r>
      <w:r w:rsidR="00B63906">
        <w:rPr>
          <w:lang w:val="en-GB" w:eastAsia="en-AU"/>
        </w:rPr>
        <w:t>and the tender process</w:t>
      </w:r>
      <w:r w:rsidR="009C1AA0">
        <w:rPr>
          <w:lang w:val="en-GB" w:eastAsia="en-AU"/>
        </w:rPr>
        <w:t xml:space="preserve">. The tender process is used to set </w:t>
      </w:r>
      <w:r w:rsidR="00A15C8B">
        <w:rPr>
          <w:lang w:val="en-GB" w:eastAsia="en-AU"/>
        </w:rPr>
        <w:t xml:space="preserve">key commercial terms in the CIS </w:t>
      </w:r>
      <w:r w:rsidR="006714B9">
        <w:rPr>
          <w:lang w:val="en-GB" w:eastAsia="en-AU"/>
        </w:rPr>
        <w:t>underwriting agreement</w:t>
      </w:r>
      <w:r w:rsidR="0063023F">
        <w:rPr>
          <w:lang w:val="en-GB" w:eastAsia="en-AU"/>
        </w:rPr>
        <w:t>;</w:t>
      </w:r>
    </w:p>
    <w:p w14:paraId="5D1E3073" w14:textId="08730CE0" w:rsidR="006714B9" w:rsidRDefault="00DE3F10" w:rsidP="001D13B8">
      <w:pPr>
        <w:pStyle w:val="ListParagraph"/>
        <w:numPr>
          <w:ilvl w:val="0"/>
          <w:numId w:val="17"/>
        </w:numPr>
        <w:rPr>
          <w:lang w:val="en-GB" w:eastAsia="en-AU"/>
        </w:rPr>
      </w:pPr>
      <w:r>
        <w:rPr>
          <w:lang w:val="en-GB" w:eastAsia="en-AU"/>
        </w:rPr>
        <w:t xml:space="preserve">Limited to no impact on </w:t>
      </w:r>
      <w:r w:rsidR="00CB2C31">
        <w:rPr>
          <w:lang w:val="en-GB" w:eastAsia="en-AU"/>
        </w:rPr>
        <w:t xml:space="preserve">wholesale </w:t>
      </w:r>
      <w:r w:rsidR="00875BA1">
        <w:rPr>
          <w:lang w:val="en-GB" w:eastAsia="en-AU"/>
        </w:rPr>
        <w:t xml:space="preserve">electricity </w:t>
      </w:r>
      <w:r w:rsidR="00C336C9">
        <w:rPr>
          <w:lang w:val="en-GB" w:eastAsia="en-AU"/>
        </w:rPr>
        <w:t xml:space="preserve">market functions. </w:t>
      </w:r>
      <w:r w:rsidR="00EB203B">
        <w:rPr>
          <w:lang w:val="en-GB" w:eastAsia="en-AU"/>
        </w:rPr>
        <w:t>Except for</w:t>
      </w:r>
      <w:r w:rsidR="00E91872">
        <w:rPr>
          <w:lang w:val="en-GB" w:eastAsia="en-AU"/>
        </w:rPr>
        <w:t xml:space="preserve"> performance requirements, the CIS is not seeking to impose operational requirements </w:t>
      </w:r>
      <w:r w:rsidR="002B1E40">
        <w:rPr>
          <w:lang w:val="en-GB" w:eastAsia="en-AU"/>
        </w:rPr>
        <w:t xml:space="preserve">on </w:t>
      </w:r>
      <w:r w:rsidR="00AA2564">
        <w:rPr>
          <w:lang w:val="en-GB" w:eastAsia="en-AU"/>
        </w:rPr>
        <w:t xml:space="preserve">projects. </w:t>
      </w:r>
      <w:r w:rsidR="00E543F4">
        <w:rPr>
          <w:lang w:val="en-GB" w:eastAsia="en-AU"/>
        </w:rPr>
        <w:t>The operation of p</w:t>
      </w:r>
      <w:r w:rsidR="00515766">
        <w:rPr>
          <w:lang w:val="en-GB" w:eastAsia="en-AU"/>
        </w:rPr>
        <w:t xml:space="preserve">rojects </w:t>
      </w:r>
      <w:r w:rsidR="00E543F4">
        <w:rPr>
          <w:lang w:val="en-GB" w:eastAsia="en-AU"/>
        </w:rPr>
        <w:t>contracted under t</w:t>
      </w:r>
      <w:r w:rsidR="00AA2564">
        <w:rPr>
          <w:lang w:val="en-GB" w:eastAsia="en-AU"/>
        </w:rPr>
        <w:t>he CIS</w:t>
      </w:r>
      <w:r w:rsidR="002B1E40">
        <w:rPr>
          <w:lang w:val="en-GB" w:eastAsia="en-AU"/>
        </w:rPr>
        <w:t xml:space="preserve"> </w:t>
      </w:r>
      <w:r w:rsidR="00E543F4">
        <w:rPr>
          <w:lang w:val="en-GB" w:eastAsia="en-AU"/>
        </w:rPr>
        <w:t xml:space="preserve">are </w:t>
      </w:r>
      <w:r w:rsidR="002B1E40">
        <w:rPr>
          <w:lang w:val="en-GB" w:eastAsia="en-AU"/>
        </w:rPr>
        <w:t>expect</w:t>
      </w:r>
      <w:r w:rsidR="00E543F4">
        <w:rPr>
          <w:lang w:val="en-GB" w:eastAsia="en-AU"/>
        </w:rPr>
        <w:t>ed</w:t>
      </w:r>
      <w:r w:rsidR="002B1E40">
        <w:rPr>
          <w:lang w:val="en-GB" w:eastAsia="en-AU"/>
        </w:rPr>
        <w:t xml:space="preserve">  to be directed by the </w:t>
      </w:r>
      <w:r w:rsidR="005D40FA">
        <w:rPr>
          <w:lang w:val="en-GB" w:eastAsia="en-AU"/>
        </w:rPr>
        <w:t xml:space="preserve">relevant wholesale electricity market </w:t>
      </w:r>
      <w:r w:rsidR="002B1E40">
        <w:rPr>
          <w:lang w:val="en-GB" w:eastAsia="en-AU"/>
        </w:rPr>
        <w:t>and its associated rules</w:t>
      </w:r>
      <w:r w:rsidR="0063023F">
        <w:rPr>
          <w:lang w:val="en-GB" w:eastAsia="en-AU"/>
        </w:rPr>
        <w:t>; and</w:t>
      </w:r>
    </w:p>
    <w:p w14:paraId="06E50661" w14:textId="42DBE436" w:rsidR="002B1E40" w:rsidRPr="00E2108C" w:rsidRDefault="002E5C07" w:rsidP="001D13B8">
      <w:pPr>
        <w:pStyle w:val="ListParagraph"/>
        <w:numPr>
          <w:ilvl w:val="0"/>
          <w:numId w:val="17"/>
        </w:numPr>
        <w:rPr>
          <w:lang w:val="en-GB" w:eastAsia="en-AU"/>
        </w:rPr>
      </w:pPr>
      <w:r>
        <w:rPr>
          <w:lang w:val="en-GB" w:eastAsia="en-AU"/>
        </w:rPr>
        <w:t xml:space="preserve">Flexibility in contracting </w:t>
      </w:r>
      <w:r w:rsidR="006F41F3">
        <w:rPr>
          <w:lang w:val="en-GB" w:eastAsia="en-AU"/>
        </w:rPr>
        <w:t xml:space="preserve">and participating in the wholesale contracts market. </w:t>
      </w:r>
      <w:r w:rsidR="00522910">
        <w:rPr>
          <w:lang w:val="en-GB" w:eastAsia="en-AU"/>
        </w:rPr>
        <w:t xml:space="preserve">Projects will </w:t>
      </w:r>
      <w:r w:rsidR="00E1768B">
        <w:rPr>
          <w:lang w:val="en-GB" w:eastAsia="en-AU"/>
        </w:rPr>
        <w:t xml:space="preserve">be able to sign a CIS underwriting agreement and </w:t>
      </w:r>
      <w:r w:rsidR="00BD15F2">
        <w:rPr>
          <w:lang w:val="en-GB" w:eastAsia="en-AU"/>
        </w:rPr>
        <w:t xml:space="preserve">other wholesale contracts. </w:t>
      </w:r>
      <w:r w:rsidR="00BD15F2" w:rsidRPr="400C03BB">
        <w:rPr>
          <w:lang w:val="en-GB" w:eastAsia="en-AU"/>
        </w:rPr>
        <w:t>Th</w:t>
      </w:r>
      <w:r w:rsidR="4FB0ABC1" w:rsidRPr="400C03BB">
        <w:rPr>
          <w:lang w:val="en-GB" w:eastAsia="en-AU"/>
        </w:rPr>
        <w:t>e</w:t>
      </w:r>
      <w:r w:rsidR="00BD15F2">
        <w:rPr>
          <w:lang w:val="en-GB" w:eastAsia="en-AU"/>
        </w:rPr>
        <w:t xml:space="preserve"> CIS is intending to support</w:t>
      </w:r>
      <w:r w:rsidR="003628CC">
        <w:rPr>
          <w:lang w:val="en-GB" w:eastAsia="en-AU"/>
        </w:rPr>
        <w:t xml:space="preserve"> further development of </w:t>
      </w:r>
      <w:r w:rsidR="00545DB3">
        <w:rPr>
          <w:lang w:val="en-GB" w:eastAsia="en-AU"/>
        </w:rPr>
        <w:t>these</w:t>
      </w:r>
      <w:r w:rsidR="003628CC">
        <w:rPr>
          <w:lang w:val="en-GB" w:eastAsia="en-AU"/>
        </w:rPr>
        <w:t xml:space="preserve"> </w:t>
      </w:r>
      <w:r w:rsidR="0051094E">
        <w:rPr>
          <w:lang w:val="en-GB" w:eastAsia="en-AU"/>
        </w:rPr>
        <w:t xml:space="preserve">contracts </w:t>
      </w:r>
      <w:r w:rsidR="003628CC">
        <w:rPr>
          <w:lang w:val="en-GB" w:eastAsia="en-AU"/>
        </w:rPr>
        <w:t>markets.</w:t>
      </w:r>
    </w:p>
    <w:p w14:paraId="60CD911A" w14:textId="30678822" w:rsidR="000A0DA6" w:rsidRDefault="0063321E" w:rsidP="00F41CDA">
      <w:pPr>
        <w:rPr>
          <w:lang w:val="en-GB" w:eastAsia="en-AU"/>
        </w:rPr>
      </w:pPr>
      <w:r>
        <w:rPr>
          <w:lang w:val="en-GB" w:eastAsia="en-AU"/>
        </w:rPr>
        <w:t xml:space="preserve">A limited set of performance requirements </w:t>
      </w:r>
      <w:r w:rsidR="00B543C9">
        <w:rPr>
          <w:lang w:val="en-GB" w:eastAsia="en-AU"/>
        </w:rPr>
        <w:t xml:space="preserve">will be included in the CIS underwriting agreement. </w:t>
      </w:r>
      <w:r w:rsidR="00B57902">
        <w:rPr>
          <w:lang w:val="en-GB" w:eastAsia="en-AU"/>
        </w:rPr>
        <w:t>These performance requirements</w:t>
      </w:r>
      <w:r w:rsidR="00B543C9">
        <w:rPr>
          <w:lang w:val="en-GB" w:eastAsia="en-AU"/>
        </w:rPr>
        <w:t xml:space="preserve"> supplement the existing </w:t>
      </w:r>
      <w:r w:rsidR="004C6BDE">
        <w:rPr>
          <w:lang w:val="en-GB" w:eastAsia="en-AU"/>
        </w:rPr>
        <w:t xml:space="preserve">price </w:t>
      </w:r>
      <w:r w:rsidR="008C21D6">
        <w:rPr>
          <w:lang w:val="en-GB" w:eastAsia="en-AU"/>
        </w:rPr>
        <w:t xml:space="preserve">signals and rules </w:t>
      </w:r>
      <w:r w:rsidR="008E798B">
        <w:rPr>
          <w:lang w:val="en-GB" w:eastAsia="en-AU"/>
        </w:rPr>
        <w:t xml:space="preserve">to ensure that projects receiving financial support from the Commonwealth participate </w:t>
      </w:r>
      <w:r w:rsidR="001643AE">
        <w:rPr>
          <w:lang w:val="en-GB" w:eastAsia="en-AU"/>
        </w:rPr>
        <w:t xml:space="preserve">in </w:t>
      </w:r>
      <w:r w:rsidR="004C6BDE">
        <w:rPr>
          <w:lang w:val="en-GB" w:eastAsia="en-AU"/>
        </w:rPr>
        <w:t>markets</w:t>
      </w:r>
      <w:r w:rsidR="0018133C">
        <w:rPr>
          <w:lang w:val="en-GB" w:eastAsia="en-AU"/>
        </w:rPr>
        <w:t xml:space="preserve"> and </w:t>
      </w:r>
      <w:r w:rsidR="00962B80">
        <w:rPr>
          <w:lang w:val="en-GB" w:eastAsia="en-AU"/>
        </w:rPr>
        <w:t xml:space="preserve">provide capacity at times of acute </w:t>
      </w:r>
      <w:r w:rsidR="00A1156E">
        <w:rPr>
          <w:lang w:val="en-GB" w:eastAsia="en-AU"/>
        </w:rPr>
        <w:t>shortage</w:t>
      </w:r>
      <w:r w:rsidR="001E1360">
        <w:rPr>
          <w:lang w:val="en-GB" w:eastAsia="en-AU"/>
        </w:rPr>
        <w:t xml:space="preserve">. </w:t>
      </w:r>
      <w:r w:rsidR="00D013A5">
        <w:rPr>
          <w:lang w:val="en-GB" w:eastAsia="en-AU"/>
        </w:rPr>
        <w:t xml:space="preserve">These are summarised in </w:t>
      </w:r>
      <w:r w:rsidR="00E270E5" w:rsidRPr="00576DCB">
        <w:rPr>
          <w:lang w:val="en-GB" w:eastAsia="en-AU"/>
        </w:rPr>
        <w:t xml:space="preserve">Section </w:t>
      </w:r>
      <w:r w:rsidR="00C11264" w:rsidRPr="00576DCB">
        <w:rPr>
          <w:lang w:val="en-GB" w:eastAsia="en-AU"/>
        </w:rPr>
        <w:t>4.4.2</w:t>
      </w:r>
      <w:r w:rsidR="00E270E5" w:rsidRPr="00444147">
        <w:rPr>
          <w:lang w:val="en-GB" w:eastAsia="en-AU"/>
        </w:rPr>
        <w:t xml:space="preserve">, </w:t>
      </w:r>
      <w:r w:rsidR="00D013A5" w:rsidRPr="00444147">
        <w:rPr>
          <w:lang w:val="en-GB" w:eastAsia="en-AU"/>
        </w:rPr>
        <w:t>Table 1.</w:t>
      </w:r>
    </w:p>
    <w:tbl>
      <w:tblPr>
        <w:tblStyle w:val="TableGrid"/>
        <w:tblW w:w="9295" w:type="dxa"/>
        <w:tblLook w:val="04A0" w:firstRow="1" w:lastRow="0" w:firstColumn="1" w:lastColumn="0" w:noHBand="0" w:noVBand="1"/>
      </w:tblPr>
      <w:tblGrid>
        <w:gridCol w:w="9295"/>
      </w:tblGrid>
      <w:tr w:rsidR="00D60AB2" w14:paraId="33CAC9D2" w14:textId="77777777" w:rsidTr="000975D7">
        <w:trPr>
          <w:trHeight w:val="1010"/>
        </w:trPr>
        <w:tc>
          <w:tcPr>
            <w:tcW w:w="9295" w:type="dxa"/>
            <w:tcBorders>
              <w:left w:val="nil"/>
              <w:right w:val="nil"/>
            </w:tcBorders>
            <w:shd w:val="clear" w:color="auto" w:fill="DEEAF6" w:themeFill="accent1" w:themeFillTint="33"/>
          </w:tcPr>
          <w:p w14:paraId="0C0B97CA" w14:textId="07C80793" w:rsidR="00D60AB2" w:rsidRPr="00D60AB2" w:rsidRDefault="00D60AB2" w:rsidP="00F41CDA">
            <w:pPr>
              <w:rPr>
                <w:lang w:val="en-GB" w:eastAsia="en-AU"/>
              </w:rPr>
            </w:pPr>
            <w:r>
              <w:rPr>
                <w:b/>
                <w:bCs/>
                <w:lang w:val="en-GB" w:eastAsia="en-AU"/>
              </w:rPr>
              <w:t>Consultation question:</w:t>
            </w:r>
            <w:r>
              <w:rPr>
                <w:lang w:val="en-GB" w:eastAsia="en-AU"/>
              </w:rPr>
              <w:t xml:space="preserve"> </w:t>
            </w:r>
            <w:r w:rsidR="00C75182">
              <w:rPr>
                <w:lang w:val="en-GB" w:eastAsia="en-AU"/>
              </w:rPr>
              <w:t xml:space="preserve">The Department is seeking feedback on </w:t>
            </w:r>
            <w:r w:rsidR="00EA7A3A">
              <w:rPr>
                <w:lang w:val="en-GB" w:eastAsia="en-AU"/>
              </w:rPr>
              <w:t xml:space="preserve">the appropriate structure and sizing </w:t>
            </w:r>
            <w:r w:rsidR="00FF6E6E">
              <w:rPr>
                <w:lang w:val="en-GB" w:eastAsia="en-AU"/>
              </w:rPr>
              <w:t xml:space="preserve">of performance requirements necessary to deliver on the policy objectives of the CIS without </w:t>
            </w:r>
            <w:r w:rsidR="00EA7A3A">
              <w:rPr>
                <w:lang w:val="en-GB" w:eastAsia="en-AU"/>
              </w:rPr>
              <w:t>distorting storage market participation</w:t>
            </w:r>
            <w:r w:rsidR="00BA7019">
              <w:rPr>
                <w:lang w:val="en-GB" w:eastAsia="en-AU"/>
              </w:rPr>
              <w:t>.</w:t>
            </w:r>
          </w:p>
        </w:tc>
      </w:tr>
    </w:tbl>
    <w:p w14:paraId="00DE95A1" w14:textId="77777777" w:rsidR="00D60AB2" w:rsidRDefault="00D60AB2" w:rsidP="00F41CDA">
      <w:pPr>
        <w:rPr>
          <w:lang w:val="en-GB" w:eastAsia="en-AU"/>
        </w:rPr>
      </w:pPr>
    </w:p>
    <w:p w14:paraId="10DA915C" w14:textId="343ABA0C" w:rsidR="001E1360" w:rsidRDefault="00934FA4" w:rsidP="00F41CDA">
      <w:pPr>
        <w:rPr>
          <w:lang w:val="en-GB" w:eastAsia="en-AU"/>
        </w:rPr>
      </w:pPr>
      <w:r>
        <w:rPr>
          <w:lang w:val="en-GB" w:eastAsia="en-AU"/>
        </w:rPr>
        <w:lastRenderedPageBreak/>
        <w:t xml:space="preserve">These </w:t>
      </w:r>
      <w:r w:rsidR="00FF52F1">
        <w:rPr>
          <w:lang w:val="en-GB" w:eastAsia="en-AU"/>
        </w:rPr>
        <w:t xml:space="preserve">performance requirements </w:t>
      </w:r>
      <w:r w:rsidR="00253759">
        <w:rPr>
          <w:lang w:val="en-GB" w:eastAsia="en-AU"/>
        </w:rPr>
        <w:t xml:space="preserve">should </w:t>
      </w:r>
      <w:r w:rsidR="00FF52F1">
        <w:rPr>
          <w:lang w:val="en-GB" w:eastAsia="en-AU"/>
        </w:rPr>
        <w:t xml:space="preserve">supplement existing </w:t>
      </w:r>
      <w:r w:rsidR="00521FBB">
        <w:rPr>
          <w:lang w:val="en-GB" w:eastAsia="en-AU"/>
        </w:rPr>
        <w:t xml:space="preserve">wholesale electricity market regulatory framework and spot </w:t>
      </w:r>
      <w:r w:rsidR="00FF52F1">
        <w:rPr>
          <w:lang w:val="en-GB" w:eastAsia="en-AU"/>
        </w:rPr>
        <w:t>price signals</w:t>
      </w:r>
      <w:r w:rsidR="00253759">
        <w:rPr>
          <w:lang w:val="en-GB" w:eastAsia="en-AU"/>
        </w:rPr>
        <w:t xml:space="preserve">. This is </w:t>
      </w:r>
      <w:r w:rsidR="00713C0B">
        <w:rPr>
          <w:lang w:val="en-GB" w:eastAsia="en-AU"/>
        </w:rPr>
        <w:t xml:space="preserve">because </w:t>
      </w:r>
      <w:r w:rsidR="00EF5BB6">
        <w:rPr>
          <w:lang w:val="en-GB" w:eastAsia="en-AU"/>
        </w:rPr>
        <w:t xml:space="preserve">it may not be appropriate for </w:t>
      </w:r>
      <w:r w:rsidR="00D94CA1">
        <w:rPr>
          <w:lang w:val="en-GB" w:eastAsia="en-AU"/>
        </w:rPr>
        <w:t xml:space="preserve">these requirements to apply to all projects in the market, but it is appropriate that projects receiving additional financial support from government </w:t>
      </w:r>
      <w:r w:rsidR="0089759B">
        <w:rPr>
          <w:lang w:val="en-GB" w:eastAsia="en-AU"/>
        </w:rPr>
        <w:t xml:space="preserve">provide additional support to the market in exchange for that </w:t>
      </w:r>
      <w:r w:rsidR="00846F19">
        <w:rPr>
          <w:lang w:val="en-GB" w:eastAsia="en-AU"/>
        </w:rPr>
        <w:t xml:space="preserve">financial support. </w:t>
      </w:r>
    </w:p>
    <w:p w14:paraId="6534EA15" w14:textId="77777777" w:rsidR="0061074D" w:rsidRDefault="0061074D" w:rsidP="0061074D">
      <w:pPr>
        <w:pStyle w:val="Heading3"/>
      </w:pPr>
      <w:bookmarkStart w:id="188" w:name="_Toc140497789"/>
      <w:bookmarkStart w:id="189" w:name="_Toc141783182"/>
      <w:r>
        <w:t>Summary of CIS commercial structure</w:t>
      </w:r>
      <w:bookmarkEnd w:id="188"/>
      <w:bookmarkEnd w:id="189"/>
    </w:p>
    <w:p w14:paraId="0464C4D4" w14:textId="7FDC1CF3" w:rsidR="00F85DB3" w:rsidRDefault="006F54B2" w:rsidP="00B445F1">
      <w:pPr>
        <w:rPr>
          <w:lang w:val="en-GB" w:eastAsia="en-AU"/>
        </w:rPr>
      </w:pPr>
      <w:r>
        <w:rPr>
          <w:lang w:val="en-GB" w:eastAsia="en-AU"/>
        </w:rPr>
        <w:t xml:space="preserve">The </w:t>
      </w:r>
      <w:r w:rsidR="00A13EEB">
        <w:rPr>
          <w:lang w:val="en-GB" w:eastAsia="en-AU"/>
        </w:rPr>
        <w:t>high</w:t>
      </w:r>
      <w:r w:rsidR="001A67F6">
        <w:rPr>
          <w:lang w:val="en-GB" w:eastAsia="en-AU"/>
        </w:rPr>
        <w:t>-</w:t>
      </w:r>
      <w:r w:rsidR="00A13EEB">
        <w:rPr>
          <w:lang w:val="en-GB" w:eastAsia="en-AU"/>
        </w:rPr>
        <w:t xml:space="preserve">level overview of the CIS commercial structure is provided in Table 1 </w:t>
      </w:r>
      <w:r w:rsidR="001A67F6">
        <w:rPr>
          <w:lang w:val="en-GB" w:eastAsia="en-AU"/>
        </w:rPr>
        <w:t xml:space="preserve">below. </w:t>
      </w:r>
    </w:p>
    <w:p w14:paraId="26494833" w14:textId="2EF7F257" w:rsidR="00495998" w:rsidRPr="00495998" w:rsidRDefault="00495998" w:rsidP="00B445F1">
      <w:pPr>
        <w:rPr>
          <w:b/>
          <w:bCs/>
          <w:lang w:val="en-GB" w:eastAsia="en-AU"/>
        </w:rPr>
      </w:pPr>
      <w:r w:rsidRPr="00495998">
        <w:rPr>
          <w:b/>
          <w:bCs/>
          <w:lang w:val="en-GB" w:eastAsia="en-AU"/>
        </w:rPr>
        <w:t xml:space="preserve">Table 1 – </w:t>
      </w:r>
      <w:r w:rsidR="001A67F6">
        <w:rPr>
          <w:b/>
          <w:bCs/>
          <w:lang w:val="en-GB" w:eastAsia="en-AU"/>
        </w:rPr>
        <w:t>S</w:t>
      </w:r>
      <w:r w:rsidRPr="00495998">
        <w:rPr>
          <w:b/>
          <w:bCs/>
          <w:lang w:val="en-GB" w:eastAsia="en-AU"/>
        </w:rPr>
        <w:t xml:space="preserve">ummary of CIS commercial structure </w:t>
      </w:r>
    </w:p>
    <w:tbl>
      <w:tblPr>
        <w:tblW w:w="8650" w:type="dxa"/>
        <w:tblLook w:val="0600" w:firstRow="0" w:lastRow="0" w:firstColumn="0" w:lastColumn="0" w:noHBand="1" w:noVBand="1"/>
      </w:tblPr>
      <w:tblGrid>
        <w:gridCol w:w="1843"/>
        <w:gridCol w:w="6807"/>
      </w:tblGrid>
      <w:tr w:rsidR="00F85DB3" w:rsidRPr="00D04EAD" w14:paraId="4D939A41" w14:textId="77777777" w:rsidTr="57E361D6">
        <w:trPr>
          <w:trHeight w:val="25"/>
          <w:tblHeader/>
        </w:trPr>
        <w:tc>
          <w:tcPr>
            <w:tcW w:w="1843" w:type="dxa"/>
            <w:tcBorders>
              <w:top w:val="nil"/>
              <w:left w:val="nil"/>
              <w:bottom w:val="single" w:sz="6" w:space="0" w:color="A7A8AB"/>
              <w:right w:val="nil"/>
            </w:tcBorders>
            <w:shd w:val="clear" w:color="auto" w:fill="00B0F0"/>
            <w:noWrap/>
            <w:vAlign w:val="bottom"/>
            <w:hideMark/>
          </w:tcPr>
          <w:p w14:paraId="28DFA813" w14:textId="77777777" w:rsidR="00F85DB3" w:rsidRPr="00D04EAD" w:rsidRDefault="00F85DB3" w:rsidP="00A23C60">
            <w:pPr>
              <w:pStyle w:val="MACtableheaderrow"/>
              <w:rPr>
                <w:rFonts w:asciiTheme="majorHAnsi" w:hAnsiTheme="majorHAnsi" w:cstheme="majorHAnsi"/>
              </w:rPr>
            </w:pPr>
            <w:r w:rsidRPr="00D04EAD">
              <w:rPr>
                <w:rFonts w:asciiTheme="majorHAnsi" w:hAnsiTheme="majorHAnsi" w:cstheme="majorHAnsi"/>
                <w:color w:val="FFFFFF" w:themeColor="background1"/>
                <w:lang w:val="en-GB" w:eastAsia="en-GB"/>
              </w:rPr>
              <w:t>Term</w:t>
            </w:r>
          </w:p>
        </w:tc>
        <w:tc>
          <w:tcPr>
            <w:tcW w:w="6807" w:type="dxa"/>
            <w:tcBorders>
              <w:top w:val="nil"/>
              <w:left w:val="nil"/>
              <w:bottom w:val="single" w:sz="6" w:space="0" w:color="A7A8AB"/>
              <w:right w:val="nil"/>
            </w:tcBorders>
            <w:shd w:val="clear" w:color="auto" w:fill="00B0F0"/>
            <w:noWrap/>
            <w:vAlign w:val="bottom"/>
            <w:hideMark/>
          </w:tcPr>
          <w:p w14:paraId="273F9714" w14:textId="77777777" w:rsidR="00F85DB3" w:rsidRPr="00D04EAD" w:rsidRDefault="00F85DB3" w:rsidP="00A23C60">
            <w:pPr>
              <w:pStyle w:val="MACtableheaderrow"/>
              <w:rPr>
                <w:rFonts w:asciiTheme="majorHAnsi" w:hAnsiTheme="majorHAnsi" w:cstheme="majorHAnsi"/>
              </w:rPr>
            </w:pPr>
            <w:r w:rsidRPr="00D04EAD">
              <w:rPr>
                <w:rFonts w:asciiTheme="majorHAnsi" w:hAnsiTheme="majorHAnsi" w:cstheme="majorHAnsi"/>
                <w:color w:val="FFFFFF" w:themeColor="background1"/>
                <w:lang w:val="en-GB" w:eastAsia="en-GB"/>
              </w:rPr>
              <w:t>Description</w:t>
            </w:r>
          </w:p>
        </w:tc>
      </w:tr>
      <w:tr w:rsidR="00475D95" w:rsidRPr="00D04EAD" w14:paraId="032DC22D" w14:textId="77777777" w:rsidTr="57E361D6">
        <w:trPr>
          <w:trHeight w:val="25"/>
        </w:trPr>
        <w:tc>
          <w:tcPr>
            <w:tcW w:w="1843" w:type="dxa"/>
            <w:vMerge w:val="restart"/>
            <w:tcBorders>
              <w:top w:val="single" w:sz="6" w:space="0" w:color="A7A8AB"/>
              <w:left w:val="nil"/>
              <w:right w:val="nil"/>
            </w:tcBorders>
            <w:shd w:val="clear" w:color="auto" w:fill="D9D9D9" w:themeFill="background1" w:themeFillShade="D9"/>
            <w:noWrap/>
            <w:hideMark/>
          </w:tcPr>
          <w:p w14:paraId="32918E19" w14:textId="116A590C" w:rsidR="00475D95" w:rsidRPr="00D04EAD" w:rsidRDefault="004A276E" w:rsidP="00A23C60">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t>Parties</w:t>
            </w:r>
          </w:p>
        </w:tc>
        <w:tc>
          <w:tcPr>
            <w:tcW w:w="6807" w:type="dxa"/>
            <w:tcBorders>
              <w:top w:val="single" w:sz="6" w:space="0" w:color="A7A8AB"/>
              <w:left w:val="nil"/>
              <w:bottom w:val="single" w:sz="6" w:space="0" w:color="A7A8AB"/>
              <w:right w:val="nil"/>
            </w:tcBorders>
            <w:noWrap/>
          </w:tcPr>
          <w:p w14:paraId="150530CC" w14:textId="2E1909ED" w:rsidR="00475D95" w:rsidRPr="00D04EAD" w:rsidRDefault="00475D95" w:rsidP="00A23C60">
            <w:pPr>
              <w:pStyle w:val="MACtablebulletL1"/>
              <w:numPr>
                <w:ilvl w:val="0"/>
                <w:numId w:val="0"/>
              </w:numPr>
              <w:rPr>
                <w:rFonts w:asciiTheme="majorHAnsi" w:hAnsiTheme="majorHAnsi" w:cstheme="majorBidi"/>
                <w:sz w:val="20"/>
                <w:szCs w:val="20"/>
                <w:lang w:val="en-GB"/>
              </w:rPr>
            </w:pPr>
            <w:r w:rsidRPr="6F35B030">
              <w:rPr>
                <w:rFonts w:asciiTheme="majorHAnsi" w:hAnsiTheme="majorHAnsi" w:cstheme="majorBidi"/>
                <w:sz w:val="20"/>
                <w:szCs w:val="20"/>
                <w:lang w:val="en-GB"/>
              </w:rPr>
              <w:t>Commonwealth</w:t>
            </w:r>
            <w:r w:rsidR="003C2CBF" w:rsidRPr="6F35B030">
              <w:rPr>
                <w:rFonts w:asciiTheme="majorHAnsi" w:hAnsiTheme="majorHAnsi" w:cstheme="majorBidi"/>
                <w:sz w:val="20"/>
                <w:szCs w:val="20"/>
                <w:lang w:val="en-GB"/>
              </w:rPr>
              <w:t xml:space="preserve"> (Guarantor)</w:t>
            </w:r>
            <w:r w:rsidRPr="6F35B030">
              <w:rPr>
                <w:rFonts w:asciiTheme="majorHAnsi" w:hAnsiTheme="majorHAnsi" w:cstheme="majorBidi"/>
                <w:sz w:val="20"/>
                <w:szCs w:val="20"/>
                <w:lang w:val="en-GB"/>
              </w:rPr>
              <w:t>: Commonwealth entity</w:t>
            </w:r>
            <w:r w:rsidR="00B158F8" w:rsidRPr="6F35B030">
              <w:rPr>
                <w:rFonts w:asciiTheme="majorHAnsi" w:hAnsiTheme="majorHAnsi" w:cstheme="majorBidi"/>
                <w:sz w:val="20"/>
                <w:szCs w:val="20"/>
                <w:lang w:val="en-GB"/>
              </w:rPr>
              <w:t>.</w:t>
            </w:r>
          </w:p>
        </w:tc>
      </w:tr>
      <w:tr w:rsidR="00475D95" w:rsidRPr="00D04EAD" w14:paraId="78A5B098" w14:textId="77777777" w:rsidTr="57E361D6">
        <w:trPr>
          <w:trHeight w:val="25"/>
        </w:trPr>
        <w:tc>
          <w:tcPr>
            <w:tcW w:w="1843" w:type="dxa"/>
            <w:vMerge/>
            <w:noWrap/>
          </w:tcPr>
          <w:p w14:paraId="0D7EF771" w14:textId="1F805358" w:rsidR="00475D95" w:rsidRPr="00D04EAD" w:rsidRDefault="00475D95" w:rsidP="00A23C60">
            <w:pPr>
              <w:pStyle w:val="Tabletext"/>
              <w:rPr>
                <w:rFonts w:asciiTheme="majorHAnsi" w:hAnsiTheme="majorHAnsi" w:cstheme="majorHAnsi"/>
                <w:sz w:val="20"/>
                <w:szCs w:val="20"/>
              </w:rPr>
            </w:pPr>
          </w:p>
        </w:tc>
        <w:tc>
          <w:tcPr>
            <w:tcW w:w="6807" w:type="dxa"/>
            <w:tcBorders>
              <w:top w:val="single" w:sz="6" w:space="0" w:color="A7A8AB"/>
              <w:left w:val="nil"/>
              <w:bottom w:val="single" w:sz="6" w:space="0" w:color="A7A8AB"/>
              <w:right w:val="nil"/>
            </w:tcBorders>
            <w:noWrap/>
          </w:tcPr>
          <w:p w14:paraId="5AE75B48" w14:textId="797C7DBD" w:rsidR="00475D95" w:rsidRPr="00D04EAD" w:rsidRDefault="00E20092" w:rsidP="00A23C60">
            <w:pPr>
              <w:pStyle w:val="MACtablebulletL1"/>
              <w:numPr>
                <w:ilvl w:val="0"/>
                <w:numId w:val="0"/>
              </w:numPr>
              <w:rPr>
                <w:rFonts w:asciiTheme="majorHAnsi" w:hAnsiTheme="majorHAnsi" w:cstheme="majorHAnsi"/>
                <w:sz w:val="20"/>
                <w:szCs w:val="20"/>
                <w:lang w:val="en-GB"/>
              </w:rPr>
            </w:pPr>
            <w:r w:rsidRPr="00D04EAD">
              <w:rPr>
                <w:rFonts w:asciiTheme="majorHAnsi" w:hAnsiTheme="majorHAnsi" w:cstheme="majorHAnsi"/>
                <w:sz w:val="20"/>
                <w:szCs w:val="20"/>
                <w:lang w:val="en-GB"/>
              </w:rPr>
              <w:t xml:space="preserve">Project owner </w:t>
            </w:r>
            <w:r w:rsidR="0042312C" w:rsidRPr="00D04EAD">
              <w:rPr>
                <w:rFonts w:asciiTheme="majorHAnsi" w:hAnsiTheme="majorHAnsi" w:cstheme="majorHAnsi"/>
                <w:sz w:val="20"/>
                <w:szCs w:val="20"/>
                <w:lang w:val="en-GB"/>
              </w:rPr>
              <w:t>(</w:t>
            </w:r>
            <w:r w:rsidR="00315EDF" w:rsidRPr="00D04EAD">
              <w:rPr>
                <w:rFonts w:asciiTheme="majorHAnsi" w:hAnsiTheme="majorHAnsi" w:cstheme="majorHAnsi"/>
                <w:sz w:val="20"/>
                <w:szCs w:val="20"/>
                <w:lang w:val="en-GB"/>
              </w:rPr>
              <w:t>Capacity Provider</w:t>
            </w:r>
            <w:r w:rsidR="0042312C" w:rsidRPr="00D04EAD">
              <w:rPr>
                <w:rFonts w:asciiTheme="majorHAnsi" w:hAnsiTheme="majorHAnsi" w:cstheme="majorHAnsi"/>
                <w:sz w:val="20"/>
                <w:szCs w:val="20"/>
                <w:lang w:val="en-GB"/>
              </w:rPr>
              <w:t xml:space="preserve">): </w:t>
            </w:r>
            <w:r w:rsidR="00475D95" w:rsidRPr="00D04EAD">
              <w:rPr>
                <w:rFonts w:asciiTheme="majorHAnsi" w:hAnsiTheme="majorHAnsi" w:cstheme="majorHAnsi"/>
                <w:sz w:val="20"/>
                <w:szCs w:val="20"/>
                <w:lang w:val="en-GB"/>
              </w:rPr>
              <w:t>entity delivering the new storage or renewables asset</w:t>
            </w:r>
            <w:r w:rsidR="00B158F8" w:rsidRPr="00D04EAD">
              <w:rPr>
                <w:rFonts w:asciiTheme="majorHAnsi" w:hAnsiTheme="majorHAnsi" w:cstheme="majorHAnsi"/>
                <w:sz w:val="20"/>
                <w:szCs w:val="20"/>
                <w:lang w:val="en-GB"/>
              </w:rPr>
              <w:t>.</w:t>
            </w:r>
          </w:p>
        </w:tc>
      </w:tr>
      <w:tr w:rsidR="00D40C97" w:rsidRPr="00D04EAD" w14:paraId="384DF4B0"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6992808" w14:textId="25972127" w:rsidR="00D40C97" w:rsidRPr="00D04EAD" w:rsidRDefault="00D40C97" w:rsidP="00A23C60">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t>Project characteristics</w:t>
            </w:r>
          </w:p>
        </w:tc>
        <w:tc>
          <w:tcPr>
            <w:tcW w:w="6807" w:type="dxa"/>
            <w:tcBorders>
              <w:top w:val="single" w:sz="6" w:space="0" w:color="A7A8AB"/>
              <w:left w:val="nil"/>
              <w:bottom w:val="single" w:sz="6" w:space="0" w:color="A7A8AB"/>
              <w:right w:val="nil"/>
            </w:tcBorders>
            <w:noWrap/>
          </w:tcPr>
          <w:p w14:paraId="5CA16FE1" w14:textId="47E62730" w:rsidR="00D40C97" w:rsidRPr="00D04EAD" w:rsidRDefault="00D40C97" w:rsidP="00A23C60">
            <w:pPr>
              <w:pStyle w:val="MACtablebulletL1"/>
              <w:numPr>
                <w:ilvl w:val="0"/>
                <w:numId w:val="0"/>
              </w:numPr>
              <w:rPr>
                <w:rFonts w:asciiTheme="majorHAnsi" w:hAnsiTheme="majorHAnsi" w:cstheme="majorBidi"/>
                <w:sz w:val="20"/>
                <w:szCs w:val="20"/>
                <w:lang w:val="en-GB"/>
              </w:rPr>
            </w:pPr>
            <w:r w:rsidRPr="78E4C7E7">
              <w:rPr>
                <w:rFonts w:asciiTheme="majorHAnsi" w:hAnsiTheme="majorHAnsi" w:cstheme="majorBidi"/>
                <w:sz w:val="20"/>
                <w:szCs w:val="20"/>
                <w:lang w:val="en-GB"/>
              </w:rPr>
              <w:t xml:space="preserve">The </w:t>
            </w:r>
            <w:r w:rsidR="00A12DCF" w:rsidRPr="78E4C7E7">
              <w:rPr>
                <w:rFonts w:asciiTheme="majorHAnsi" w:hAnsiTheme="majorHAnsi" w:cstheme="majorBidi"/>
                <w:sz w:val="20"/>
                <w:szCs w:val="20"/>
                <w:lang w:val="en-GB"/>
              </w:rPr>
              <w:t xml:space="preserve">CIS underwriting agreement will include a description of the project characteristics (e.g. capacity and duration). </w:t>
            </w:r>
            <w:r w:rsidR="00960AF1" w:rsidRPr="78E4C7E7">
              <w:rPr>
                <w:rFonts w:asciiTheme="majorHAnsi" w:hAnsiTheme="majorHAnsi" w:cstheme="majorBidi"/>
                <w:sz w:val="20"/>
                <w:szCs w:val="20"/>
                <w:lang w:val="en-GB"/>
              </w:rPr>
              <w:t xml:space="preserve">The </w:t>
            </w:r>
            <w:r w:rsidR="00204665" w:rsidRPr="78E4C7E7">
              <w:rPr>
                <w:rFonts w:asciiTheme="majorHAnsi" w:hAnsiTheme="majorHAnsi" w:cstheme="majorBidi"/>
                <w:sz w:val="20"/>
                <w:szCs w:val="20"/>
                <w:lang w:val="en-GB"/>
              </w:rPr>
              <w:t xml:space="preserve">Capacity Provider will be required to preserve </w:t>
            </w:r>
            <w:r w:rsidR="09FD5666" w:rsidRPr="78E4C7E7">
              <w:rPr>
                <w:rFonts w:asciiTheme="majorHAnsi" w:hAnsiTheme="majorHAnsi" w:cstheme="majorBidi"/>
                <w:sz w:val="20"/>
                <w:szCs w:val="20"/>
                <w:lang w:val="en-GB"/>
              </w:rPr>
              <w:t>the</w:t>
            </w:r>
            <w:r w:rsidR="250F20A4" w:rsidRPr="78E4C7E7">
              <w:rPr>
                <w:rFonts w:asciiTheme="majorHAnsi" w:hAnsiTheme="majorHAnsi" w:cstheme="majorBidi"/>
                <w:sz w:val="20"/>
                <w:szCs w:val="20"/>
                <w:lang w:val="en-GB"/>
              </w:rPr>
              <w:t xml:space="preserve"> agreed</w:t>
            </w:r>
            <w:r w:rsidR="00204665" w:rsidRPr="78E4C7E7">
              <w:rPr>
                <w:rFonts w:asciiTheme="majorHAnsi" w:hAnsiTheme="majorHAnsi" w:cstheme="majorBidi"/>
                <w:sz w:val="20"/>
                <w:szCs w:val="20"/>
                <w:lang w:val="en-GB"/>
              </w:rPr>
              <w:t xml:space="preserve"> </w:t>
            </w:r>
            <w:r w:rsidR="005469F1" w:rsidRPr="78E4C7E7">
              <w:rPr>
                <w:rFonts w:asciiTheme="majorHAnsi" w:hAnsiTheme="majorHAnsi" w:cstheme="majorBidi"/>
                <w:sz w:val="20"/>
                <w:szCs w:val="20"/>
                <w:lang w:val="en-GB"/>
              </w:rPr>
              <w:t xml:space="preserve">project </w:t>
            </w:r>
            <w:r w:rsidR="00204665" w:rsidRPr="78E4C7E7">
              <w:rPr>
                <w:rFonts w:asciiTheme="majorHAnsi" w:hAnsiTheme="majorHAnsi" w:cstheme="majorBidi"/>
                <w:sz w:val="20"/>
                <w:szCs w:val="20"/>
                <w:lang w:val="en-GB"/>
              </w:rPr>
              <w:t xml:space="preserve">characteristics over the life of the agreement. </w:t>
            </w:r>
          </w:p>
        </w:tc>
      </w:tr>
      <w:tr w:rsidR="0731A585" w14:paraId="085A7ACB"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45B6786" w14:textId="4A45ECDE" w:rsidR="0731A585" w:rsidRDefault="0731A585" w:rsidP="00C676D5">
            <w:pPr>
              <w:spacing w:before="40" w:after="40"/>
              <w:rPr>
                <w:rFonts w:eastAsia="Calibri Light" w:cs="Calibri Light"/>
                <w:i/>
                <w:iCs/>
                <w:color w:val="000000" w:themeColor="text1"/>
                <w:sz w:val="20"/>
                <w:szCs w:val="20"/>
                <w:lang w:val="en-GB"/>
              </w:rPr>
            </w:pPr>
            <w:r w:rsidRPr="0731A585">
              <w:rPr>
                <w:rFonts w:eastAsia="Calibri Light" w:cs="Calibri Light"/>
                <w:i/>
                <w:iCs/>
                <w:color w:val="000000" w:themeColor="text1"/>
                <w:sz w:val="20"/>
                <w:szCs w:val="20"/>
                <w:lang w:val="en-GB"/>
              </w:rPr>
              <w:t>Conditions precedent</w:t>
            </w:r>
          </w:p>
        </w:tc>
        <w:tc>
          <w:tcPr>
            <w:tcW w:w="6807" w:type="dxa"/>
            <w:tcBorders>
              <w:top w:val="single" w:sz="6" w:space="0" w:color="A7A8AB"/>
              <w:left w:val="nil"/>
              <w:bottom w:val="single" w:sz="6" w:space="0" w:color="A7A8AB"/>
              <w:right w:val="nil"/>
            </w:tcBorders>
            <w:noWrap/>
          </w:tcPr>
          <w:p w14:paraId="4275C1E2" w14:textId="0CAEE449" w:rsidR="0731A585" w:rsidRDefault="0731A585" w:rsidP="00C676D5">
            <w:pPr>
              <w:spacing w:before="40" w:after="40"/>
              <w:rPr>
                <w:rFonts w:eastAsia="Calibri Light" w:cs="Calibri Light"/>
                <w:color w:val="000000" w:themeColor="text1"/>
                <w:sz w:val="20"/>
                <w:szCs w:val="20"/>
                <w:lang w:val="en-GB"/>
              </w:rPr>
            </w:pPr>
            <w:r w:rsidRPr="0731A585">
              <w:rPr>
                <w:rFonts w:eastAsia="Calibri Light" w:cs="Calibri Light"/>
                <w:color w:val="000000" w:themeColor="text1"/>
                <w:sz w:val="20"/>
                <w:szCs w:val="20"/>
                <w:lang w:val="en-GB"/>
              </w:rPr>
              <w:t>CIS underwriting agreement will include conditions precedent which need to be satisfied before the construction period commences.  The Commonwealth will have a right to terminate if those conditions precedent are not satisfied or waived by a sunset date.</w:t>
            </w:r>
          </w:p>
        </w:tc>
      </w:tr>
      <w:tr w:rsidR="00012B5A" w:rsidRPr="00D04EAD" w14:paraId="48C3384E"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CE276DE" w14:textId="78C35509" w:rsidR="00012B5A" w:rsidRPr="00D04EAD" w:rsidRDefault="00012B5A" w:rsidP="00012B5A">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t>Revenue</w:t>
            </w:r>
            <w:r w:rsidR="00205A26">
              <w:rPr>
                <w:rFonts w:asciiTheme="majorHAnsi" w:hAnsiTheme="majorHAnsi" w:cstheme="majorHAnsi"/>
                <w:i/>
                <w:iCs/>
                <w:sz w:val="20"/>
                <w:szCs w:val="20"/>
                <w:lang w:val="en-GB" w:eastAsia="en-GB"/>
              </w:rPr>
              <w:t xml:space="preserve"> und</w:t>
            </w:r>
            <w:r w:rsidR="00252F6A">
              <w:rPr>
                <w:rFonts w:asciiTheme="majorHAnsi" w:hAnsiTheme="majorHAnsi" w:cstheme="majorHAnsi"/>
                <w:i/>
                <w:iCs/>
                <w:sz w:val="20"/>
                <w:szCs w:val="20"/>
                <w:lang w:val="en-GB" w:eastAsia="en-GB"/>
              </w:rPr>
              <w:t xml:space="preserve">erwriting </w:t>
            </w:r>
            <w:r w:rsidRPr="00D04EAD">
              <w:rPr>
                <w:rFonts w:asciiTheme="majorHAnsi" w:hAnsiTheme="majorHAnsi" w:cstheme="majorHAnsi"/>
                <w:i/>
                <w:iCs/>
                <w:sz w:val="20"/>
                <w:szCs w:val="20"/>
                <w:lang w:val="en-GB" w:eastAsia="en-GB"/>
              </w:rPr>
              <w:t>&amp; eligible contracts</w:t>
            </w:r>
          </w:p>
        </w:tc>
        <w:tc>
          <w:tcPr>
            <w:tcW w:w="6807" w:type="dxa"/>
            <w:tcBorders>
              <w:top w:val="single" w:sz="6" w:space="0" w:color="A7A8AB"/>
              <w:left w:val="nil"/>
              <w:bottom w:val="single" w:sz="6" w:space="0" w:color="A7A8AB"/>
              <w:right w:val="nil"/>
            </w:tcBorders>
            <w:noWrap/>
          </w:tcPr>
          <w:p w14:paraId="50574EA0" w14:textId="6A12159C" w:rsidR="00012B5A" w:rsidRDefault="624C447A" w:rsidP="50B790E3">
            <w:pPr>
              <w:rPr>
                <w:rFonts w:asciiTheme="majorHAnsi" w:hAnsiTheme="majorHAnsi" w:cstheme="majorBidi"/>
                <w:sz w:val="20"/>
                <w:szCs w:val="20"/>
                <w:lang w:val="en-GB"/>
              </w:rPr>
            </w:pPr>
            <w:r w:rsidRPr="29030C09">
              <w:rPr>
                <w:rFonts w:asciiTheme="majorHAnsi" w:hAnsiTheme="majorHAnsi" w:cstheme="majorBidi"/>
                <w:sz w:val="20"/>
                <w:szCs w:val="20"/>
                <w:lang w:val="en-GB"/>
              </w:rPr>
              <w:t xml:space="preserve">The intent of the CIS is to underwrite </w:t>
            </w:r>
            <w:r w:rsidR="18CDF07E" w:rsidRPr="29030C09">
              <w:rPr>
                <w:rFonts w:asciiTheme="majorHAnsi" w:hAnsiTheme="majorHAnsi" w:cstheme="majorBidi"/>
                <w:sz w:val="20"/>
                <w:szCs w:val="20"/>
                <w:lang w:val="en-GB"/>
              </w:rPr>
              <w:t xml:space="preserve">a </w:t>
            </w:r>
            <w:r w:rsidRPr="29030C09">
              <w:rPr>
                <w:rFonts w:asciiTheme="majorHAnsi" w:hAnsiTheme="majorHAnsi" w:cstheme="majorBidi"/>
                <w:sz w:val="20"/>
                <w:szCs w:val="20"/>
                <w:lang w:val="en-GB"/>
              </w:rPr>
              <w:t>project’s</w:t>
            </w:r>
            <w:r w:rsidR="18CDF07E" w:rsidRPr="29030C09">
              <w:rPr>
                <w:rFonts w:asciiTheme="majorHAnsi" w:hAnsiTheme="majorHAnsi" w:cstheme="majorBidi"/>
                <w:sz w:val="20"/>
                <w:szCs w:val="20"/>
                <w:lang w:val="en-GB"/>
              </w:rPr>
              <w:t xml:space="preserve"> revenues, including </w:t>
            </w:r>
            <w:r w:rsidR="5A817C51" w:rsidRPr="29030C09">
              <w:rPr>
                <w:rFonts w:asciiTheme="majorHAnsi" w:hAnsiTheme="majorHAnsi" w:cstheme="majorBidi"/>
                <w:sz w:val="20"/>
                <w:szCs w:val="20"/>
                <w:lang w:val="en-GB"/>
              </w:rPr>
              <w:t xml:space="preserve">eligible wholesale contracts and net of </w:t>
            </w:r>
            <w:r w:rsidR="55F0987A" w:rsidRPr="29030C09">
              <w:rPr>
                <w:rFonts w:asciiTheme="majorHAnsi" w:hAnsiTheme="majorHAnsi" w:cstheme="majorBidi"/>
                <w:sz w:val="20"/>
                <w:szCs w:val="20"/>
                <w:lang w:val="en-GB"/>
              </w:rPr>
              <w:t>eligible expenses</w:t>
            </w:r>
            <w:r w:rsidR="32C4BF65" w:rsidRPr="29030C09">
              <w:rPr>
                <w:rFonts w:asciiTheme="majorHAnsi" w:hAnsiTheme="majorHAnsi" w:cstheme="majorBidi"/>
                <w:sz w:val="20"/>
                <w:szCs w:val="20"/>
                <w:lang w:val="en-GB"/>
              </w:rPr>
              <w:t xml:space="preserve"> (net revenue).</w:t>
            </w:r>
            <w:r w:rsidR="18CDF07E" w:rsidRPr="29030C09">
              <w:rPr>
                <w:rFonts w:asciiTheme="majorHAnsi" w:hAnsiTheme="majorHAnsi" w:cstheme="majorBidi"/>
                <w:sz w:val="20"/>
                <w:szCs w:val="20"/>
                <w:lang w:val="en-GB"/>
              </w:rPr>
              <w:t xml:space="preserve"> </w:t>
            </w:r>
            <w:r w:rsidR="3E0D1304" w:rsidRPr="29030C09">
              <w:rPr>
                <w:rFonts w:asciiTheme="majorHAnsi" w:hAnsiTheme="majorHAnsi" w:cstheme="majorBidi"/>
                <w:sz w:val="20"/>
                <w:szCs w:val="20"/>
                <w:lang w:val="en-GB"/>
              </w:rPr>
              <w:t xml:space="preserve">Detailed definitions will be included </w:t>
            </w:r>
            <w:r w:rsidR="5D6B09C4" w:rsidRPr="29030C09">
              <w:rPr>
                <w:rFonts w:asciiTheme="majorHAnsi" w:hAnsiTheme="majorHAnsi" w:cstheme="majorBidi"/>
                <w:sz w:val="20"/>
                <w:szCs w:val="20"/>
                <w:lang w:val="en-GB"/>
              </w:rPr>
              <w:t xml:space="preserve">for </w:t>
            </w:r>
            <w:r w:rsidR="3E0D1304" w:rsidRPr="29030C09">
              <w:rPr>
                <w:rFonts w:asciiTheme="majorHAnsi" w:hAnsiTheme="majorHAnsi" w:cstheme="majorBidi"/>
                <w:sz w:val="20"/>
                <w:szCs w:val="20"/>
                <w:lang w:val="en-GB"/>
              </w:rPr>
              <w:t xml:space="preserve">net revenue earned by scheduled generators and eligible wholesale contracts. </w:t>
            </w:r>
            <w:r w:rsidR="354E8677" w:rsidRPr="29030C09">
              <w:rPr>
                <w:rFonts w:asciiTheme="majorHAnsi" w:hAnsiTheme="majorHAnsi" w:cstheme="majorBidi"/>
                <w:sz w:val="20"/>
                <w:szCs w:val="20"/>
                <w:lang w:val="en-GB"/>
              </w:rPr>
              <w:t xml:space="preserve">For avoidance of doubt, </w:t>
            </w:r>
            <w:r w:rsidR="31924328" w:rsidRPr="29030C09">
              <w:rPr>
                <w:rFonts w:asciiTheme="majorHAnsi" w:hAnsiTheme="majorHAnsi" w:cstheme="majorBidi"/>
                <w:sz w:val="20"/>
                <w:szCs w:val="20"/>
                <w:lang w:val="en-GB"/>
              </w:rPr>
              <w:t xml:space="preserve">a project’s revenues are also expected to include </w:t>
            </w:r>
            <w:r w:rsidR="1224FC9C" w:rsidRPr="29030C09">
              <w:rPr>
                <w:rFonts w:asciiTheme="majorHAnsi" w:hAnsiTheme="majorHAnsi" w:cstheme="majorBidi"/>
                <w:sz w:val="20"/>
                <w:szCs w:val="20"/>
                <w:lang w:val="en-GB"/>
              </w:rPr>
              <w:t xml:space="preserve">revenue from </w:t>
            </w:r>
            <w:r w:rsidR="238E9090" w:rsidRPr="29030C09">
              <w:rPr>
                <w:rFonts w:asciiTheme="majorHAnsi" w:hAnsiTheme="majorHAnsi" w:cstheme="majorBidi"/>
                <w:sz w:val="20"/>
                <w:szCs w:val="20"/>
                <w:lang w:val="en-GB"/>
              </w:rPr>
              <w:t xml:space="preserve">participation in markets such as FCAS </w:t>
            </w:r>
            <w:r w:rsidR="3B6EA1B2" w:rsidRPr="29030C09">
              <w:rPr>
                <w:rFonts w:asciiTheme="majorHAnsi" w:hAnsiTheme="majorHAnsi" w:cstheme="majorBidi"/>
                <w:sz w:val="20"/>
                <w:szCs w:val="20"/>
                <w:lang w:val="en-GB"/>
              </w:rPr>
              <w:t>and all other sources of revenue.</w:t>
            </w:r>
          </w:p>
          <w:p w14:paraId="7B6BE8B3" w14:textId="27279FAD" w:rsidR="29030C09" w:rsidRDefault="29030C09" w:rsidP="29030C09">
            <w:pPr>
              <w:rPr>
                <w:rFonts w:asciiTheme="majorHAnsi" w:hAnsiTheme="majorHAnsi" w:cstheme="majorBidi"/>
                <w:sz w:val="20"/>
                <w:szCs w:val="20"/>
                <w:lang w:val="en-GB"/>
              </w:rPr>
            </w:pPr>
          </w:p>
          <w:p w14:paraId="42AB64B2" w14:textId="78A23F90" w:rsidR="00172445" w:rsidRDefault="00012B5A" w:rsidP="00012B5A">
            <w:pPr>
              <w:pStyle w:val="MACtablebulletL1"/>
              <w:numPr>
                <w:ilvl w:val="0"/>
                <w:numId w:val="0"/>
              </w:numPr>
              <w:rPr>
                <w:rFonts w:asciiTheme="majorHAnsi" w:hAnsiTheme="majorHAnsi" w:cstheme="majorHAnsi"/>
                <w:sz w:val="20"/>
                <w:szCs w:val="20"/>
                <w:lang w:val="en-GB"/>
              </w:rPr>
            </w:pPr>
            <w:r w:rsidRPr="00D04EAD">
              <w:rPr>
                <w:rFonts w:asciiTheme="majorHAnsi" w:hAnsiTheme="majorHAnsi" w:cstheme="majorHAnsi"/>
                <w:sz w:val="20"/>
                <w:szCs w:val="20"/>
                <w:lang w:val="en-GB"/>
              </w:rPr>
              <w:t xml:space="preserve">A key feature of the proposed mechanism is that, unlike traditional contracts for difference, projects remain able to participate in the wholesale contracts markets, via eligible wholesale markets contract.  </w:t>
            </w:r>
            <w:r w:rsidR="00172445" w:rsidRPr="00D04EAD">
              <w:rPr>
                <w:rFonts w:asciiTheme="majorHAnsi" w:hAnsiTheme="majorHAnsi" w:cstheme="majorHAnsi"/>
                <w:sz w:val="20"/>
                <w:szCs w:val="20"/>
                <w:lang w:val="en-GB"/>
              </w:rPr>
              <w:t>Eligible wholesale contracts are contracts that are agreed on an arm’s length basis and above the New Revenue per Year Floor bid variable amount. The inclusion of eligible wholesale contracts is intended to allow projects to participate in the wholesale contracts market and</w:t>
            </w:r>
            <w:r w:rsidR="004923A9">
              <w:rPr>
                <w:rFonts w:asciiTheme="majorHAnsi" w:hAnsiTheme="majorHAnsi" w:cstheme="majorHAnsi"/>
                <w:sz w:val="20"/>
                <w:szCs w:val="20"/>
                <w:lang w:val="en-GB"/>
              </w:rPr>
              <w:t xml:space="preserve"> </w:t>
            </w:r>
            <w:r w:rsidR="00172445" w:rsidRPr="00D04EAD">
              <w:rPr>
                <w:rFonts w:asciiTheme="majorHAnsi" w:hAnsiTheme="majorHAnsi" w:cstheme="majorHAnsi"/>
                <w:sz w:val="20"/>
                <w:szCs w:val="20"/>
                <w:lang w:val="en-GB"/>
              </w:rPr>
              <w:t xml:space="preserve">also continue to receive support for projects below the floor prices.  </w:t>
            </w:r>
          </w:p>
          <w:p w14:paraId="47D86401" w14:textId="77777777" w:rsidR="00172445" w:rsidRDefault="00172445" w:rsidP="00012B5A">
            <w:pPr>
              <w:pStyle w:val="MACtablebulletL1"/>
              <w:numPr>
                <w:ilvl w:val="0"/>
                <w:numId w:val="0"/>
              </w:numPr>
              <w:rPr>
                <w:rFonts w:asciiTheme="majorHAnsi" w:hAnsiTheme="majorHAnsi" w:cstheme="majorHAnsi"/>
                <w:sz w:val="20"/>
                <w:szCs w:val="20"/>
                <w:lang w:val="en-GB"/>
              </w:rPr>
            </w:pPr>
          </w:p>
          <w:p w14:paraId="06F6E531" w14:textId="5120C687" w:rsidR="00012B5A" w:rsidRPr="00D04EAD" w:rsidRDefault="00012B5A" w:rsidP="00012B5A">
            <w:pPr>
              <w:pStyle w:val="MACtablebulletL1"/>
              <w:numPr>
                <w:ilvl w:val="0"/>
                <w:numId w:val="0"/>
              </w:numPr>
              <w:rPr>
                <w:rFonts w:asciiTheme="majorHAnsi" w:hAnsiTheme="majorHAnsi" w:cstheme="majorHAnsi"/>
                <w:sz w:val="20"/>
                <w:szCs w:val="20"/>
                <w:lang w:val="en-GB"/>
              </w:rPr>
            </w:pPr>
            <w:r w:rsidRPr="00D04EAD">
              <w:rPr>
                <w:rFonts w:asciiTheme="majorHAnsi" w:hAnsiTheme="majorHAnsi" w:cstheme="majorHAnsi"/>
                <w:sz w:val="20"/>
                <w:szCs w:val="20"/>
                <w:lang w:val="en-GB"/>
              </w:rPr>
              <w:t xml:space="preserve">Further, unlike the NSW LTESA, the CIS underwriting agreement is not expected to be an option and the floor and ceiling mechanisms will operate for the term of </w:t>
            </w:r>
            <w:r w:rsidR="003D4393" w:rsidRPr="00D04EAD">
              <w:rPr>
                <w:rFonts w:asciiTheme="majorHAnsi" w:hAnsiTheme="majorHAnsi" w:cstheme="majorHAnsi"/>
                <w:sz w:val="20"/>
                <w:szCs w:val="20"/>
                <w:lang w:val="en-GB"/>
              </w:rPr>
              <w:t xml:space="preserve">the agreement.    </w:t>
            </w:r>
          </w:p>
        </w:tc>
      </w:tr>
      <w:tr w:rsidR="00012B5A" w:rsidRPr="00D04EAD" w14:paraId="671B7598"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058327B" w14:textId="4600579A" w:rsidR="00012B5A" w:rsidRPr="00D04EAD" w:rsidRDefault="00012B5A" w:rsidP="00012B5A">
            <w:pPr>
              <w:pStyle w:val="Tabletext"/>
              <w:rPr>
                <w:rFonts w:asciiTheme="majorHAnsi" w:hAnsiTheme="majorHAnsi" w:cstheme="majorHAnsi"/>
                <w:sz w:val="20"/>
                <w:szCs w:val="20"/>
              </w:rPr>
            </w:pPr>
            <w:r w:rsidRPr="00D04EAD">
              <w:rPr>
                <w:rFonts w:asciiTheme="majorHAnsi" w:hAnsiTheme="majorHAnsi" w:cstheme="majorHAnsi"/>
                <w:i/>
                <w:iCs/>
                <w:sz w:val="20"/>
                <w:szCs w:val="20"/>
                <w:lang w:val="en-GB" w:eastAsia="en-GB"/>
              </w:rPr>
              <w:t>Floor Price</w:t>
            </w:r>
            <w:r>
              <w:rPr>
                <w:rFonts w:asciiTheme="majorHAnsi" w:hAnsiTheme="majorHAnsi" w:cstheme="majorHAnsi"/>
                <w:i/>
                <w:iCs/>
                <w:sz w:val="20"/>
                <w:szCs w:val="20"/>
                <w:lang w:val="en-GB" w:eastAsia="en-GB"/>
              </w:rPr>
              <w:t xml:space="preserve"> and Sharing %</w:t>
            </w:r>
          </w:p>
        </w:tc>
        <w:tc>
          <w:tcPr>
            <w:tcW w:w="6807" w:type="dxa"/>
            <w:tcBorders>
              <w:top w:val="single" w:sz="6" w:space="0" w:color="A7A8AB"/>
              <w:left w:val="nil"/>
              <w:bottom w:val="single" w:sz="6" w:space="0" w:color="A7A8AB"/>
              <w:right w:val="nil"/>
            </w:tcBorders>
            <w:noWrap/>
          </w:tcPr>
          <w:p w14:paraId="0197ED83" w14:textId="7E7D7BCB" w:rsidR="00012B5A" w:rsidRPr="00D04EAD" w:rsidRDefault="00012B5A" w:rsidP="00012B5A">
            <w:pPr>
              <w:pStyle w:val="MACtablebulletL1"/>
              <w:numPr>
                <w:ilvl w:val="0"/>
                <w:numId w:val="0"/>
              </w:numPr>
              <w:rPr>
                <w:rFonts w:asciiTheme="majorHAnsi" w:hAnsiTheme="majorHAnsi" w:cstheme="majorBidi"/>
                <w:sz w:val="20"/>
                <w:szCs w:val="20"/>
                <w:lang w:val="en-GB"/>
              </w:rPr>
            </w:pPr>
            <w:r w:rsidRPr="09E6E04D">
              <w:rPr>
                <w:rFonts w:asciiTheme="majorHAnsi" w:hAnsiTheme="majorHAnsi" w:cstheme="majorBidi"/>
                <w:sz w:val="20"/>
                <w:szCs w:val="20"/>
                <w:lang w:val="en-GB"/>
              </w:rPr>
              <w:t>For a scheduled generator (including storage), if net revenues (</w:t>
            </w:r>
            <w:r w:rsidRPr="09E6E04D">
              <w:rPr>
                <w:rFonts w:asciiTheme="majorHAnsi" w:hAnsiTheme="majorHAnsi" w:cstheme="majorBidi"/>
                <w:i/>
                <w:sz w:val="20"/>
                <w:szCs w:val="20"/>
                <w:lang w:val="en-GB"/>
              </w:rPr>
              <w:t>including</w:t>
            </w:r>
            <w:r w:rsidRPr="09E6E04D">
              <w:rPr>
                <w:rFonts w:asciiTheme="majorHAnsi" w:hAnsiTheme="majorHAnsi" w:cstheme="majorBidi"/>
                <w:sz w:val="20"/>
                <w:szCs w:val="20"/>
                <w:lang w:val="en-GB"/>
              </w:rPr>
              <w:t xml:space="preserve"> net revenues earned by the project through eligible wholesale contracts (Net Revenue per Year), are below a total annual net revenue amount (Net Revenue per Year Floor), then the Guarantor will top up a percentage (</w:t>
            </w:r>
            <w:r w:rsidR="00580AE4" w:rsidRPr="09E6E04D">
              <w:rPr>
                <w:rFonts w:asciiTheme="majorHAnsi" w:hAnsiTheme="majorHAnsi" w:cstheme="majorBidi"/>
                <w:sz w:val="20"/>
                <w:szCs w:val="20"/>
                <w:lang w:val="en-GB"/>
              </w:rPr>
              <w:t>e.g.</w:t>
            </w:r>
            <w:r w:rsidR="00EA024E" w:rsidRPr="09E6E04D">
              <w:rPr>
                <w:rFonts w:asciiTheme="majorHAnsi" w:hAnsiTheme="majorHAnsi" w:cstheme="majorBidi"/>
                <w:sz w:val="20"/>
                <w:szCs w:val="20"/>
                <w:lang w:val="en-GB"/>
              </w:rPr>
              <w:t xml:space="preserve">, </w:t>
            </w:r>
            <w:r w:rsidRPr="09E6E04D">
              <w:rPr>
                <w:rFonts w:asciiTheme="majorHAnsi" w:hAnsiTheme="majorHAnsi" w:cstheme="majorBidi"/>
                <w:sz w:val="20"/>
                <w:szCs w:val="20"/>
                <w:lang w:val="en-GB"/>
              </w:rPr>
              <w:t>90%) of the difference between the Net Revenue per Year and the Net Revenue per Year Floor. This percentage is the “</w:t>
            </w:r>
            <w:r w:rsidR="00FD135D" w:rsidRPr="09E6E04D">
              <w:rPr>
                <w:rFonts w:asciiTheme="majorHAnsi" w:hAnsiTheme="majorHAnsi" w:cstheme="majorBidi"/>
                <w:sz w:val="20"/>
                <w:szCs w:val="20"/>
                <w:lang w:val="en-GB"/>
              </w:rPr>
              <w:t xml:space="preserve">floor </w:t>
            </w:r>
            <w:r w:rsidRPr="09E6E04D">
              <w:rPr>
                <w:rFonts w:asciiTheme="majorHAnsi" w:hAnsiTheme="majorHAnsi" w:cstheme="majorBidi"/>
                <w:sz w:val="20"/>
                <w:szCs w:val="20"/>
                <w:lang w:val="en-GB"/>
              </w:rPr>
              <w:t xml:space="preserve">sharing </w:t>
            </w:r>
            <w:r w:rsidR="005A3272" w:rsidRPr="09E6E04D">
              <w:rPr>
                <w:rFonts w:asciiTheme="majorHAnsi" w:hAnsiTheme="majorHAnsi" w:cstheme="majorBidi"/>
                <w:sz w:val="20"/>
                <w:szCs w:val="20"/>
                <w:lang w:val="en-GB"/>
              </w:rPr>
              <w:t>percentage</w:t>
            </w:r>
            <w:r w:rsidR="66ABF586" w:rsidRPr="09E6E04D">
              <w:rPr>
                <w:rFonts w:asciiTheme="majorHAnsi" w:hAnsiTheme="majorHAnsi" w:cstheme="majorBidi"/>
                <w:sz w:val="20"/>
                <w:szCs w:val="20"/>
                <w:lang w:val="en-GB"/>
              </w:rPr>
              <w:t>”</w:t>
            </w:r>
            <w:r w:rsidR="26CF9BD8" w:rsidRPr="09E6E04D">
              <w:rPr>
                <w:rFonts w:asciiTheme="majorHAnsi" w:hAnsiTheme="majorHAnsi" w:cstheme="majorBidi"/>
                <w:sz w:val="20"/>
                <w:szCs w:val="20"/>
                <w:lang w:val="en-GB"/>
              </w:rPr>
              <w:t xml:space="preserve"> </w:t>
            </w:r>
            <w:r w:rsidR="26CF9BD8" w:rsidRPr="1FFA1F54">
              <w:rPr>
                <w:rFonts w:asciiTheme="majorHAnsi" w:hAnsiTheme="majorHAnsi" w:cstheme="majorBidi"/>
                <w:sz w:val="20"/>
                <w:szCs w:val="20"/>
                <w:lang w:val="en-GB"/>
              </w:rPr>
              <w:t xml:space="preserve">and will be set by the </w:t>
            </w:r>
            <w:r w:rsidR="26CF9BD8" w:rsidRPr="785633DA">
              <w:rPr>
                <w:rFonts w:asciiTheme="majorHAnsi" w:hAnsiTheme="majorHAnsi" w:cstheme="majorBidi"/>
                <w:sz w:val="20"/>
                <w:szCs w:val="20"/>
                <w:lang w:val="en-GB"/>
              </w:rPr>
              <w:t>Commonwealth</w:t>
            </w:r>
            <w:r w:rsidR="66ABF586" w:rsidRPr="09E6E04D">
              <w:rPr>
                <w:rFonts w:asciiTheme="majorHAnsi" w:hAnsiTheme="majorHAnsi" w:cstheme="majorBidi"/>
                <w:sz w:val="20"/>
                <w:szCs w:val="20"/>
                <w:lang w:val="en-GB"/>
              </w:rPr>
              <w:t>.</w:t>
            </w:r>
          </w:p>
          <w:p w14:paraId="2271DB7E" w14:textId="77777777" w:rsidR="00012B5A" w:rsidRPr="00D04EAD" w:rsidRDefault="00012B5A" w:rsidP="00012B5A">
            <w:pPr>
              <w:pStyle w:val="MACtablebulletL1"/>
              <w:numPr>
                <w:ilvl w:val="0"/>
                <w:numId w:val="0"/>
              </w:numPr>
              <w:rPr>
                <w:rFonts w:asciiTheme="majorHAnsi" w:hAnsiTheme="majorHAnsi" w:cstheme="majorHAnsi"/>
                <w:sz w:val="20"/>
                <w:szCs w:val="20"/>
                <w:lang w:val="en-GB"/>
              </w:rPr>
            </w:pPr>
          </w:p>
          <w:p w14:paraId="72955CF1" w14:textId="59EBC858" w:rsidR="00012B5A" w:rsidRPr="00D04EAD" w:rsidRDefault="00012B5A" w:rsidP="00012B5A">
            <w:pPr>
              <w:pStyle w:val="MACtablebulletL1"/>
              <w:numPr>
                <w:ilvl w:val="0"/>
                <w:numId w:val="0"/>
              </w:numPr>
              <w:rPr>
                <w:rFonts w:asciiTheme="majorHAnsi" w:hAnsiTheme="majorHAnsi" w:cstheme="majorBidi"/>
                <w:sz w:val="20"/>
                <w:szCs w:val="20"/>
                <w:lang w:val="en-GB"/>
              </w:rPr>
            </w:pPr>
            <w:r w:rsidRPr="24023FA5">
              <w:rPr>
                <w:rFonts w:asciiTheme="majorHAnsi" w:hAnsiTheme="majorHAnsi" w:cstheme="majorBidi"/>
                <w:sz w:val="20"/>
                <w:szCs w:val="20"/>
                <w:lang w:val="en-GB"/>
              </w:rPr>
              <w:lastRenderedPageBreak/>
              <w:t xml:space="preserve">The floor prices will be bid by projects in the competitive tender process and set </w:t>
            </w:r>
            <w:r w:rsidRPr="605025F1">
              <w:rPr>
                <w:rFonts w:asciiTheme="majorHAnsi" w:hAnsiTheme="majorHAnsi" w:cstheme="majorBidi"/>
                <w:sz w:val="20"/>
                <w:szCs w:val="20"/>
                <w:lang w:val="en-GB"/>
              </w:rPr>
              <w:t>on</w:t>
            </w:r>
            <w:r w:rsidRPr="24023FA5">
              <w:rPr>
                <w:rFonts w:asciiTheme="majorHAnsi" w:hAnsiTheme="majorHAnsi" w:cstheme="majorBidi"/>
                <w:sz w:val="20"/>
                <w:szCs w:val="20"/>
                <w:lang w:val="en-GB"/>
              </w:rPr>
              <w:t xml:space="preserve"> a “pay as bid” basis. </w:t>
            </w:r>
          </w:p>
        </w:tc>
      </w:tr>
      <w:tr w:rsidR="00012B5A" w:rsidRPr="00D04EAD" w14:paraId="58C5419B" w14:textId="77777777" w:rsidTr="57E361D6">
        <w:trPr>
          <w:trHeight w:val="446"/>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37B45BA" w14:textId="48624F10" w:rsidR="00012B5A" w:rsidRPr="00D04EAD" w:rsidRDefault="00012B5A" w:rsidP="00012B5A">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lastRenderedPageBreak/>
              <w:t>Ceiling Price and Sharing %</w:t>
            </w:r>
          </w:p>
        </w:tc>
        <w:tc>
          <w:tcPr>
            <w:tcW w:w="6807" w:type="dxa"/>
            <w:tcBorders>
              <w:top w:val="single" w:sz="6" w:space="0" w:color="A7A8AB"/>
              <w:left w:val="nil"/>
              <w:bottom w:val="single" w:sz="6" w:space="0" w:color="A7A8AB"/>
              <w:right w:val="nil"/>
            </w:tcBorders>
            <w:noWrap/>
          </w:tcPr>
          <w:p w14:paraId="71D1EAA2" w14:textId="4571AFB6" w:rsidR="00012B5A" w:rsidRPr="00D04EAD" w:rsidRDefault="00012B5A" w:rsidP="00012B5A">
            <w:pPr>
              <w:rPr>
                <w:rFonts w:asciiTheme="majorHAnsi" w:hAnsiTheme="majorHAnsi" w:cstheme="majorHAnsi"/>
                <w:sz w:val="20"/>
                <w:szCs w:val="20"/>
                <w:lang w:val="en-GB"/>
              </w:rPr>
            </w:pPr>
            <w:r>
              <w:rPr>
                <w:rFonts w:asciiTheme="majorHAnsi" w:hAnsiTheme="majorHAnsi" w:cstheme="majorHAnsi"/>
                <w:sz w:val="20"/>
                <w:szCs w:val="20"/>
                <w:lang w:val="en-GB"/>
              </w:rPr>
              <w:t xml:space="preserve">If </w:t>
            </w:r>
            <w:r w:rsidRPr="00D04EAD">
              <w:rPr>
                <w:rFonts w:asciiTheme="majorHAnsi" w:hAnsiTheme="majorHAnsi" w:cstheme="majorHAnsi"/>
                <w:sz w:val="20"/>
                <w:szCs w:val="20"/>
                <w:lang w:val="en-GB"/>
              </w:rPr>
              <w:t xml:space="preserve">Net Revenue per Year </w:t>
            </w:r>
            <w:r>
              <w:rPr>
                <w:rFonts w:asciiTheme="majorHAnsi" w:hAnsiTheme="majorHAnsi" w:cstheme="majorHAnsi"/>
                <w:sz w:val="20"/>
                <w:szCs w:val="20"/>
                <w:lang w:val="en-GB"/>
              </w:rPr>
              <w:t>is</w:t>
            </w:r>
            <w:r w:rsidRPr="00D04EAD">
              <w:rPr>
                <w:rFonts w:asciiTheme="majorHAnsi" w:hAnsiTheme="majorHAnsi" w:cstheme="majorHAnsi"/>
                <w:sz w:val="20"/>
                <w:szCs w:val="20"/>
                <w:lang w:val="en-GB"/>
              </w:rPr>
              <w:t xml:space="preserve"> above a ceiling price on an annual basis, the Capacity Provider will share net revenue for a scheduled generator with the Guarantor. The units and measure for the cap price will align with the unit and method outlined in Floor Price above.</w:t>
            </w:r>
          </w:p>
          <w:p w14:paraId="4B2EAD90" w14:textId="66D62B7E" w:rsidR="00012B5A" w:rsidRPr="00D04EAD" w:rsidRDefault="00012B5A" w:rsidP="00012B5A">
            <w:p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 xml:space="preserve">The cap and % sharing of net revenues will be set through the competitive tender process, with guidance provided in the tender guidelines on expected parameters.  </w:t>
            </w:r>
          </w:p>
        </w:tc>
      </w:tr>
      <w:tr w:rsidR="00012B5A" w:rsidRPr="00D04EAD" w14:paraId="48F00622"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6306755F" w14:textId="2453F624" w:rsidR="00012B5A" w:rsidRPr="00D04EAD" w:rsidRDefault="00012B5A" w:rsidP="00012B5A">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t>Milestones requirements</w:t>
            </w:r>
          </w:p>
        </w:tc>
        <w:tc>
          <w:tcPr>
            <w:tcW w:w="6807" w:type="dxa"/>
            <w:tcBorders>
              <w:top w:val="single" w:sz="6" w:space="0" w:color="A7A8AB"/>
              <w:left w:val="nil"/>
              <w:bottom w:val="single" w:sz="6" w:space="0" w:color="A7A8AB"/>
              <w:right w:val="nil"/>
            </w:tcBorders>
            <w:noWrap/>
          </w:tcPr>
          <w:p w14:paraId="7C6119F1" w14:textId="67D7DCA8" w:rsidR="00012B5A" w:rsidRPr="00D04EAD" w:rsidRDefault="00012B5A" w:rsidP="00012B5A">
            <w:pPr>
              <w:rPr>
                <w:rFonts w:asciiTheme="majorHAnsi" w:eastAsia="Calibri Light" w:hAnsiTheme="majorHAnsi" w:cstheme="majorBidi"/>
                <w:color w:val="000000" w:themeColor="text1"/>
                <w:sz w:val="20"/>
                <w:szCs w:val="20"/>
                <w:lang w:val="en-GB"/>
              </w:rPr>
            </w:pPr>
            <w:r w:rsidRPr="78E4C7E7">
              <w:rPr>
                <w:rFonts w:asciiTheme="majorHAnsi" w:eastAsia="Calibri Light" w:hAnsiTheme="majorHAnsi" w:cstheme="majorBidi"/>
                <w:color w:val="000000" w:themeColor="text1"/>
                <w:sz w:val="20"/>
                <w:szCs w:val="20"/>
                <w:lang w:val="en-GB"/>
              </w:rPr>
              <w:t>The contract will contain provisions requiring the Capacity Provider to progress the project, including targeted and longstop milestone dates</w:t>
            </w:r>
            <w:r w:rsidR="5040A2CB" w:rsidRPr="1D34D7AA">
              <w:rPr>
                <w:rFonts w:asciiTheme="majorHAnsi" w:eastAsia="Calibri Light" w:hAnsiTheme="majorHAnsi" w:cstheme="majorBidi"/>
                <w:color w:val="000000" w:themeColor="text1"/>
                <w:sz w:val="20"/>
                <w:szCs w:val="20"/>
                <w:lang w:val="en-GB"/>
              </w:rPr>
              <w:t xml:space="preserve"> which </w:t>
            </w:r>
            <w:r w:rsidR="5040A2CB" w:rsidRPr="6FE1E458">
              <w:rPr>
                <w:rFonts w:asciiTheme="majorHAnsi" w:eastAsia="Calibri Light" w:hAnsiTheme="majorHAnsi" w:cstheme="majorBidi"/>
                <w:color w:val="000000" w:themeColor="text1"/>
                <w:sz w:val="20"/>
                <w:szCs w:val="20"/>
                <w:lang w:val="en-GB"/>
              </w:rPr>
              <w:t xml:space="preserve">will be identified for the construction </w:t>
            </w:r>
            <w:r w:rsidR="5040A2CB" w:rsidRPr="6CCF8663">
              <w:rPr>
                <w:rFonts w:asciiTheme="majorHAnsi" w:eastAsia="Calibri Light" w:hAnsiTheme="majorHAnsi" w:cstheme="majorBidi"/>
                <w:color w:val="000000" w:themeColor="text1"/>
                <w:sz w:val="20"/>
                <w:szCs w:val="20"/>
                <w:lang w:val="en-GB"/>
              </w:rPr>
              <w:t xml:space="preserve">period </w:t>
            </w:r>
            <w:r w:rsidR="111625F4" w:rsidRPr="09CAEBCC">
              <w:rPr>
                <w:rFonts w:asciiTheme="majorHAnsi" w:eastAsia="Calibri Light" w:hAnsiTheme="majorHAnsi" w:cstheme="majorBidi"/>
                <w:color w:val="000000" w:themeColor="text1"/>
                <w:sz w:val="20"/>
                <w:szCs w:val="20"/>
                <w:lang w:val="en-GB"/>
              </w:rPr>
              <w:t xml:space="preserve">(being after the conditions precedent </w:t>
            </w:r>
            <w:r w:rsidR="45057404" w:rsidRPr="1D262C89">
              <w:rPr>
                <w:rFonts w:asciiTheme="majorHAnsi" w:eastAsia="Calibri Light" w:hAnsiTheme="majorHAnsi" w:cstheme="majorBidi"/>
                <w:color w:val="000000" w:themeColor="text1"/>
                <w:sz w:val="20"/>
                <w:szCs w:val="20"/>
                <w:lang w:val="en-GB"/>
              </w:rPr>
              <w:t xml:space="preserve">have </w:t>
            </w:r>
            <w:r w:rsidR="111625F4" w:rsidRPr="1D262C89">
              <w:rPr>
                <w:rFonts w:asciiTheme="majorHAnsi" w:eastAsia="Calibri Light" w:hAnsiTheme="majorHAnsi" w:cstheme="majorBidi"/>
                <w:color w:val="000000" w:themeColor="text1"/>
                <w:sz w:val="20"/>
                <w:szCs w:val="20"/>
                <w:lang w:val="en-GB"/>
              </w:rPr>
              <w:t>b</w:t>
            </w:r>
            <w:r w:rsidR="6389E9E9" w:rsidRPr="1D262C89">
              <w:rPr>
                <w:rFonts w:asciiTheme="majorHAnsi" w:eastAsia="Calibri Light" w:hAnsiTheme="majorHAnsi" w:cstheme="majorBidi"/>
                <w:color w:val="000000" w:themeColor="text1"/>
                <w:sz w:val="20"/>
                <w:szCs w:val="20"/>
                <w:lang w:val="en-GB"/>
              </w:rPr>
              <w:t>ee</w:t>
            </w:r>
            <w:r w:rsidR="111625F4" w:rsidRPr="1D262C89">
              <w:rPr>
                <w:rFonts w:asciiTheme="majorHAnsi" w:eastAsia="Calibri Light" w:hAnsiTheme="majorHAnsi" w:cstheme="majorBidi"/>
                <w:color w:val="000000" w:themeColor="text1"/>
                <w:sz w:val="20"/>
                <w:szCs w:val="20"/>
                <w:lang w:val="en-GB"/>
              </w:rPr>
              <w:t>n</w:t>
            </w:r>
            <w:r w:rsidR="111625F4" w:rsidRPr="09CAEBCC">
              <w:rPr>
                <w:rFonts w:asciiTheme="majorHAnsi" w:eastAsia="Calibri Light" w:hAnsiTheme="majorHAnsi" w:cstheme="majorBidi"/>
                <w:color w:val="000000" w:themeColor="text1"/>
                <w:sz w:val="20"/>
                <w:szCs w:val="20"/>
                <w:lang w:val="en-GB"/>
              </w:rPr>
              <w:t xml:space="preserve"> </w:t>
            </w:r>
            <w:r w:rsidR="111625F4" w:rsidRPr="740624D0">
              <w:rPr>
                <w:rFonts w:asciiTheme="majorHAnsi" w:eastAsia="Calibri Light" w:hAnsiTheme="majorHAnsi" w:cstheme="majorBidi"/>
                <w:color w:val="000000" w:themeColor="text1"/>
                <w:sz w:val="20"/>
                <w:szCs w:val="20"/>
                <w:lang w:val="en-GB"/>
              </w:rPr>
              <w:t>satisfied</w:t>
            </w:r>
            <w:r w:rsidR="214E0F80" w:rsidRPr="1D262C89">
              <w:rPr>
                <w:rFonts w:asciiTheme="majorHAnsi" w:eastAsia="Calibri Light" w:hAnsiTheme="majorHAnsi" w:cstheme="majorBidi"/>
                <w:color w:val="000000" w:themeColor="text1"/>
                <w:sz w:val="20"/>
                <w:szCs w:val="20"/>
                <w:lang w:val="en-GB"/>
              </w:rPr>
              <w:t xml:space="preserve"> up to the scheduled date </w:t>
            </w:r>
            <w:r w:rsidR="214E0F80" w:rsidRPr="6606E153">
              <w:rPr>
                <w:rFonts w:asciiTheme="majorHAnsi" w:eastAsia="Calibri Light" w:hAnsiTheme="majorHAnsi" w:cstheme="majorBidi"/>
                <w:color w:val="000000" w:themeColor="text1"/>
                <w:sz w:val="20"/>
                <w:szCs w:val="20"/>
                <w:lang w:val="en-GB"/>
              </w:rPr>
              <w:t>for Commercial Operation).</w:t>
            </w:r>
            <w:r w:rsidRPr="78E4C7E7">
              <w:rPr>
                <w:rFonts w:asciiTheme="majorHAnsi" w:eastAsia="Calibri Light" w:hAnsiTheme="majorHAnsi" w:cstheme="majorBidi"/>
                <w:color w:val="000000" w:themeColor="text1"/>
                <w:sz w:val="20"/>
                <w:szCs w:val="20"/>
                <w:lang w:val="en-GB"/>
              </w:rPr>
              <w:t xml:space="preserve">  These milestones are expected to include: </w:t>
            </w:r>
          </w:p>
          <w:p w14:paraId="11811236" w14:textId="5F39048D" w:rsidR="00012B5A" w:rsidRPr="00D04EAD" w:rsidRDefault="00276243" w:rsidP="00012B5A">
            <w:pPr>
              <w:pStyle w:val="ListParagraph"/>
              <w:numPr>
                <w:ilvl w:val="0"/>
                <w:numId w:val="34"/>
              </w:numPr>
              <w:rPr>
                <w:rFonts w:asciiTheme="majorHAnsi" w:eastAsia="Calibri Light" w:hAnsiTheme="majorHAnsi" w:cstheme="majorHAnsi"/>
                <w:color w:val="000000" w:themeColor="text1"/>
                <w:sz w:val="20"/>
                <w:szCs w:val="20"/>
                <w:lang w:val="en-GB"/>
              </w:rPr>
            </w:pPr>
            <w:r>
              <w:rPr>
                <w:rFonts w:asciiTheme="majorHAnsi" w:eastAsia="Calibri Light" w:hAnsiTheme="majorHAnsi" w:cstheme="majorHAnsi"/>
                <w:color w:val="000000" w:themeColor="text1"/>
                <w:sz w:val="20"/>
                <w:szCs w:val="20"/>
                <w:lang w:val="en-GB"/>
              </w:rPr>
              <w:t>p</w:t>
            </w:r>
            <w:r w:rsidR="00012B5A" w:rsidRPr="00D04EAD">
              <w:rPr>
                <w:rFonts w:asciiTheme="majorHAnsi" w:eastAsia="Calibri Light" w:hAnsiTheme="majorHAnsi" w:cstheme="majorHAnsi"/>
                <w:color w:val="000000" w:themeColor="text1"/>
                <w:sz w:val="20"/>
                <w:szCs w:val="20"/>
                <w:lang w:val="en-GB"/>
              </w:rPr>
              <w:t xml:space="preserve">rovision of security amounts; </w:t>
            </w:r>
          </w:p>
          <w:p w14:paraId="1FA457CB" w14:textId="2970882A" w:rsidR="00012B5A" w:rsidRPr="00D04EAD" w:rsidRDefault="00276243" w:rsidP="00012B5A">
            <w:pPr>
              <w:pStyle w:val="ListParagraph"/>
              <w:numPr>
                <w:ilvl w:val="0"/>
                <w:numId w:val="34"/>
              </w:numPr>
              <w:rPr>
                <w:rFonts w:asciiTheme="majorHAnsi" w:eastAsia="Calibri Light" w:hAnsiTheme="majorHAnsi" w:cstheme="majorHAnsi"/>
                <w:color w:val="000000" w:themeColor="text1"/>
                <w:sz w:val="20"/>
                <w:szCs w:val="20"/>
                <w:lang w:val="en-GB"/>
              </w:rPr>
            </w:pPr>
            <w:r>
              <w:rPr>
                <w:rFonts w:asciiTheme="majorHAnsi" w:eastAsia="Calibri Light" w:hAnsiTheme="majorHAnsi" w:cstheme="majorHAnsi"/>
                <w:color w:val="000000" w:themeColor="text1"/>
                <w:sz w:val="20"/>
                <w:szCs w:val="20"/>
                <w:lang w:val="en-GB"/>
              </w:rPr>
              <w:t>i</w:t>
            </w:r>
            <w:r w:rsidR="00012B5A" w:rsidRPr="00D04EAD">
              <w:rPr>
                <w:rFonts w:asciiTheme="majorHAnsi" w:eastAsia="Calibri Light" w:hAnsiTheme="majorHAnsi" w:cstheme="majorHAnsi"/>
                <w:color w:val="000000" w:themeColor="text1"/>
                <w:sz w:val="20"/>
                <w:szCs w:val="20"/>
                <w:lang w:val="en-GB"/>
              </w:rPr>
              <w:t xml:space="preserve">nterim milestone dates including achieving financial or commercial close; </w:t>
            </w:r>
          </w:p>
          <w:p w14:paraId="63D6C35B" w14:textId="5D247F29" w:rsidR="00012B5A" w:rsidRPr="00D04EAD" w:rsidRDefault="00276243" w:rsidP="00012B5A">
            <w:pPr>
              <w:pStyle w:val="ListParagraph"/>
              <w:numPr>
                <w:ilvl w:val="0"/>
                <w:numId w:val="34"/>
              </w:numPr>
              <w:rPr>
                <w:rFonts w:asciiTheme="majorHAnsi" w:eastAsia="Calibri Light" w:hAnsiTheme="majorHAnsi" w:cstheme="majorHAnsi"/>
                <w:color w:val="000000" w:themeColor="text1"/>
                <w:sz w:val="20"/>
                <w:szCs w:val="20"/>
                <w:lang w:val="en-GB"/>
              </w:rPr>
            </w:pPr>
            <w:r>
              <w:rPr>
                <w:rFonts w:asciiTheme="majorHAnsi" w:eastAsia="Calibri Light" w:hAnsiTheme="majorHAnsi" w:cstheme="majorHAnsi"/>
                <w:color w:val="000000" w:themeColor="text1"/>
                <w:sz w:val="20"/>
                <w:szCs w:val="20"/>
                <w:lang w:val="en-GB"/>
              </w:rPr>
              <w:t>c</w:t>
            </w:r>
            <w:r w:rsidR="00012B5A" w:rsidRPr="00D04EAD">
              <w:rPr>
                <w:rFonts w:asciiTheme="majorHAnsi" w:eastAsia="Calibri Light" w:hAnsiTheme="majorHAnsi" w:cstheme="majorHAnsi"/>
                <w:color w:val="000000" w:themeColor="text1"/>
                <w:sz w:val="20"/>
                <w:szCs w:val="20"/>
                <w:lang w:val="en-GB"/>
              </w:rPr>
              <w:t>onstruction milestones such as plant and equipment delivery or completion of civil and electrical infrastructure; and</w:t>
            </w:r>
          </w:p>
          <w:p w14:paraId="7EC8C6BB" w14:textId="5C2F21CF" w:rsidR="00012B5A" w:rsidRPr="00D04EAD" w:rsidRDefault="00276243" w:rsidP="00012B5A">
            <w:pPr>
              <w:pStyle w:val="ListParagraph"/>
              <w:numPr>
                <w:ilvl w:val="0"/>
                <w:numId w:val="34"/>
              </w:numPr>
              <w:rPr>
                <w:rFonts w:asciiTheme="majorHAnsi" w:eastAsia="Calibri Light" w:hAnsiTheme="majorHAnsi" w:cstheme="majorBidi"/>
                <w:color w:val="000000" w:themeColor="text1"/>
                <w:sz w:val="20"/>
                <w:szCs w:val="20"/>
                <w:lang w:val="en-GB"/>
              </w:rPr>
            </w:pPr>
            <w:r w:rsidRPr="78E4C7E7">
              <w:rPr>
                <w:rFonts w:asciiTheme="majorHAnsi" w:eastAsia="Calibri Light" w:hAnsiTheme="majorHAnsi" w:cstheme="majorBidi"/>
                <w:color w:val="000000" w:themeColor="text1"/>
                <w:sz w:val="20"/>
                <w:szCs w:val="20"/>
                <w:lang w:val="en-GB"/>
              </w:rPr>
              <w:t>c</w:t>
            </w:r>
            <w:r w:rsidR="00012B5A" w:rsidRPr="78E4C7E7">
              <w:rPr>
                <w:rFonts w:asciiTheme="majorHAnsi" w:eastAsia="Calibri Light" w:hAnsiTheme="majorHAnsi" w:cstheme="majorBidi"/>
                <w:color w:val="000000" w:themeColor="text1"/>
                <w:sz w:val="20"/>
                <w:szCs w:val="20"/>
                <w:lang w:val="en-GB"/>
              </w:rPr>
              <w:t xml:space="preserve">ommissioning milestones including energisation and commercial operation. </w:t>
            </w:r>
          </w:p>
          <w:p w14:paraId="3E3284AA" w14:textId="5E77C841" w:rsidR="288062D1" w:rsidRDefault="6679A705" w:rsidP="29030C09">
            <w:pPr>
              <w:rPr>
                <w:rFonts w:asciiTheme="majorHAnsi" w:eastAsia="Calibri Light" w:hAnsiTheme="majorHAnsi" w:cstheme="majorBidi"/>
                <w:color w:val="000000" w:themeColor="text1"/>
                <w:sz w:val="20"/>
                <w:szCs w:val="20"/>
                <w:lang w:val="en-GB"/>
              </w:rPr>
            </w:pPr>
            <w:r w:rsidRPr="29030C09">
              <w:rPr>
                <w:rFonts w:asciiTheme="majorHAnsi" w:eastAsia="Calibri Light" w:hAnsiTheme="majorHAnsi" w:cstheme="majorBidi"/>
                <w:color w:val="000000" w:themeColor="text1"/>
                <w:sz w:val="20"/>
                <w:szCs w:val="20"/>
                <w:lang w:val="en-GB"/>
              </w:rPr>
              <w:t>There will be termination rights for the Commonwealth where specific milestones are not achieved. Termination rights will likely not apply to interim construction milestones.</w:t>
            </w:r>
          </w:p>
          <w:p w14:paraId="38BB49C9" w14:textId="2904E418" w:rsidR="29030C09" w:rsidRDefault="29030C09" w:rsidP="29030C09">
            <w:pPr>
              <w:rPr>
                <w:rFonts w:asciiTheme="majorHAnsi" w:eastAsia="Calibri Light" w:hAnsiTheme="majorHAnsi" w:cstheme="majorBidi"/>
                <w:color w:val="000000" w:themeColor="text1"/>
                <w:sz w:val="20"/>
                <w:szCs w:val="20"/>
                <w:lang w:val="en-GB"/>
              </w:rPr>
            </w:pPr>
          </w:p>
          <w:p w14:paraId="09D1993A" w14:textId="72F80595" w:rsidR="00012B5A" w:rsidRPr="00D04EAD" w:rsidRDefault="00012B5A" w:rsidP="01956C1B">
            <w:pPr>
              <w:rPr>
                <w:rFonts w:asciiTheme="majorHAnsi" w:eastAsia="Calibri Light" w:hAnsiTheme="majorHAnsi" w:cstheme="majorBidi"/>
                <w:color w:val="000000" w:themeColor="text1"/>
                <w:sz w:val="20"/>
                <w:szCs w:val="20"/>
                <w:lang w:val="en-GB"/>
              </w:rPr>
            </w:pPr>
            <w:r w:rsidRPr="01956C1B">
              <w:rPr>
                <w:rFonts w:asciiTheme="majorHAnsi" w:eastAsia="Calibri Light" w:hAnsiTheme="majorHAnsi" w:cstheme="majorBidi"/>
                <w:color w:val="000000" w:themeColor="text1"/>
                <w:sz w:val="20"/>
                <w:szCs w:val="20"/>
                <w:lang w:val="en-GB"/>
              </w:rPr>
              <w:t xml:space="preserve">A </w:t>
            </w:r>
            <w:r w:rsidR="00AC59AA">
              <w:rPr>
                <w:rFonts w:asciiTheme="majorHAnsi" w:eastAsia="Calibri Light" w:hAnsiTheme="majorHAnsi" w:cstheme="majorBidi"/>
                <w:color w:val="000000" w:themeColor="text1"/>
                <w:sz w:val="20"/>
                <w:szCs w:val="20"/>
                <w:lang w:val="en-GB"/>
              </w:rPr>
              <w:t>two</w:t>
            </w:r>
            <w:r w:rsidR="00AC59AA" w:rsidRPr="01956C1B">
              <w:rPr>
                <w:rFonts w:asciiTheme="majorHAnsi" w:eastAsia="Calibri Light" w:hAnsiTheme="majorHAnsi" w:cstheme="majorBidi"/>
                <w:color w:val="000000" w:themeColor="text1"/>
                <w:sz w:val="20"/>
                <w:szCs w:val="20"/>
                <w:lang w:val="en-GB"/>
              </w:rPr>
              <w:t>-contract</w:t>
            </w:r>
            <w:r w:rsidRPr="01956C1B">
              <w:rPr>
                <w:rFonts w:asciiTheme="majorHAnsi" w:eastAsia="Calibri Light" w:hAnsiTheme="majorHAnsi" w:cstheme="majorBidi"/>
                <w:color w:val="000000" w:themeColor="text1"/>
                <w:sz w:val="20"/>
                <w:szCs w:val="20"/>
                <w:lang w:val="en-GB"/>
              </w:rPr>
              <w:t xml:space="preserve"> structure may be adopted. The development delivery of a project would be captured under an initial and separate project development agreement. The operational delivery of a project, including authorisation of the revenue top-up mechanism, would be captured under a second underwriting agreement. It is expected that both contracts would be executed at the same time, upon successful tender award. </w:t>
            </w:r>
            <w:r w:rsidR="00AC59AA" w:rsidRPr="01956C1B">
              <w:rPr>
                <w:rFonts w:asciiTheme="majorHAnsi" w:eastAsia="Calibri Light" w:hAnsiTheme="majorHAnsi" w:cstheme="majorBidi"/>
                <w:color w:val="000000" w:themeColor="text1"/>
                <w:sz w:val="20"/>
                <w:szCs w:val="20"/>
                <w:lang w:val="en-GB"/>
              </w:rPr>
              <w:t>Alternatively,</w:t>
            </w:r>
            <w:r w:rsidR="2D4421FC" w:rsidRPr="01956C1B">
              <w:rPr>
                <w:rFonts w:asciiTheme="majorHAnsi" w:eastAsia="Calibri Light" w:hAnsiTheme="majorHAnsi" w:cstheme="majorBidi"/>
                <w:color w:val="000000" w:themeColor="text1"/>
                <w:sz w:val="20"/>
                <w:szCs w:val="20"/>
                <w:lang w:val="en-GB"/>
              </w:rPr>
              <w:t xml:space="preserve"> a single contract may be used covering both project development and operation.</w:t>
            </w:r>
            <w:r w:rsidR="66ABF586" w:rsidRPr="01956C1B">
              <w:rPr>
                <w:rFonts w:asciiTheme="majorHAnsi" w:eastAsia="Calibri Light" w:hAnsiTheme="majorHAnsi" w:cstheme="majorBidi"/>
                <w:color w:val="000000" w:themeColor="text1"/>
                <w:sz w:val="20"/>
                <w:szCs w:val="20"/>
                <w:lang w:val="en-GB"/>
              </w:rPr>
              <w:t xml:space="preserve"> </w:t>
            </w:r>
          </w:p>
        </w:tc>
      </w:tr>
      <w:tr w:rsidR="00012B5A" w:rsidRPr="00D04EAD" w14:paraId="182A1FA1"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272BE69" w14:textId="1730DAD8" w:rsidR="00012B5A" w:rsidRPr="00D04EAD" w:rsidRDefault="00012B5A" w:rsidP="00012B5A">
            <w:pPr>
              <w:pStyle w:val="Tabletext"/>
              <w:rPr>
                <w:rFonts w:asciiTheme="majorHAnsi" w:hAnsiTheme="majorHAnsi" w:cstheme="majorBidi"/>
                <w:i/>
                <w:sz w:val="20"/>
                <w:szCs w:val="20"/>
                <w:lang w:val="en-GB" w:eastAsia="en-GB"/>
              </w:rPr>
            </w:pPr>
            <w:r w:rsidRPr="78E4C7E7">
              <w:rPr>
                <w:rFonts w:asciiTheme="majorHAnsi" w:hAnsiTheme="majorHAnsi" w:cstheme="majorBidi"/>
                <w:i/>
                <w:sz w:val="20"/>
                <w:szCs w:val="20"/>
                <w:lang w:val="en-GB" w:eastAsia="en-GB"/>
              </w:rPr>
              <w:t xml:space="preserve">Term of </w:t>
            </w:r>
            <w:r w:rsidR="2ADC64BD" w:rsidRPr="78E4C7E7">
              <w:rPr>
                <w:rFonts w:asciiTheme="majorHAnsi" w:hAnsiTheme="majorHAnsi" w:cstheme="majorBidi"/>
                <w:i/>
                <w:iCs/>
                <w:sz w:val="20"/>
                <w:szCs w:val="20"/>
                <w:lang w:val="en-GB" w:eastAsia="en-GB"/>
              </w:rPr>
              <w:t>support period</w:t>
            </w:r>
          </w:p>
        </w:tc>
        <w:tc>
          <w:tcPr>
            <w:tcW w:w="6807" w:type="dxa"/>
            <w:tcBorders>
              <w:top w:val="single" w:sz="6" w:space="0" w:color="A7A8AB"/>
              <w:left w:val="nil"/>
              <w:bottom w:val="single" w:sz="6" w:space="0" w:color="A7A8AB"/>
              <w:right w:val="nil"/>
            </w:tcBorders>
            <w:noWrap/>
          </w:tcPr>
          <w:p w14:paraId="302C8AC4" w14:textId="0271E08F" w:rsidR="00012B5A" w:rsidRPr="00D04EAD" w:rsidRDefault="3E0D1304" w:rsidP="29030C09">
            <w:pPr>
              <w:rPr>
                <w:rFonts w:asciiTheme="majorHAnsi" w:hAnsiTheme="majorHAnsi" w:cstheme="majorBidi"/>
                <w:sz w:val="20"/>
                <w:szCs w:val="20"/>
                <w:lang w:val="en-GB"/>
              </w:rPr>
            </w:pPr>
            <w:r w:rsidRPr="29030C09">
              <w:rPr>
                <w:rFonts w:asciiTheme="majorHAnsi" w:eastAsia="Calibri Light" w:hAnsiTheme="majorHAnsi" w:cstheme="majorBidi"/>
                <w:color w:val="000000" w:themeColor="text1"/>
                <w:sz w:val="20"/>
                <w:szCs w:val="20"/>
                <w:lang w:val="en-GB"/>
              </w:rPr>
              <w:t>Term of</w:t>
            </w:r>
            <w:r w:rsidR="3BBC52D1" w:rsidRPr="29030C09">
              <w:rPr>
                <w:rFonts w:asciiTheme="majorHAnsi" w:eastAsia="Calibri Light" w:hAnsiTheme="majorHAnsi" w:cstheme="majorBidi"/>
                <w:color w:val="000000" w:themeColor="text1"/>
                <w:sz w:val="20"/>
                <w:szCs w:val="20"/>
                <w:lang w:val="en-GB"/>
              </w:rPr>
              <w:t xml:space="preserve"> the</w:t>
            </w:r>
            <w:r w:rsidRPr="29030C09">
              <w:rPr>
                <w:rFonts w:asciiTheme="majorHAnsi" w:eastAsia="Calibri Light" w:hAnsiTheme="majorHAnsi" w:cstheme="majorBidi"/>
                <w:color w:val="000000" w:themeColor="text1"/>
                <w:sz w:val="20"/>
                <w:szCs w:val="20"/>
                <w:lang w:val="en-GB"/>
              </w:rPr>
              <w:t xml:space="preserve"> </w:t>
            </w:r>
            <w:r w:rsidR="30B716C1" w:rsidRPr="29030C09">
              <w:rPr>
                <w:rFonts w:asciiTheme="majorHAnsi" w:eastAsia="Calibri Light" w:hAnsiTheme="majorHAnsi" w:cstheme="majorBidi"/>
                <w:color w:val="000000" w:themeColor="text1"/>
                <w:sz w:val="20"/>
                <w:szCs w:val="20"/>
                <w:lang w:val="en-GB"/>
              </w:rPr>
              <w:t>support period (during commercial operation)</w:t>
            </w:r>
            <w:r w:rsidR="0E0AD5FE" w:rsidRPr="29030C09">
              <w:rPr>
                <w:rFonts w:asciiTheme="majorHAnsi" w:eastAsia="Calibri Light" w:hAnsiTheme="majorHAnsi" w:cstheme="majorBidi"/>
                <w:color w:val="000000" w:themeColor="text1"/>
                <w:sz w:val="20"/>
                <w:szCs w:val="20"/>
                <w:lang w:val="en-GB"/>
              </w:rPr>
              <w:t xml:space="preserve"> will be as determined for each tender process. </w:t>
            </w:r>
          </w:p>
          <w:p w14:paraId="433E5FEF" w14:textId="71D11FA2" w:rsidR="00012B5A" w:rsidRPr="00D04EAD" w:rsidRDefault="00012B5A" w:rsidP="29030C09">
            <w:pPr>
              <w:rPr>
                <w:rFonts w:asciiTheme="majorHAnsi" w:eastAsia="Calibri Light" w:hAnsiTheme="majorHAnsi" w:cstheme="majorBidi"/>
                <w:color w:val="000000" w:themeColor="text1"/>
                <w:sz w:val="20"/>
                <w:szCs w:val="20"/>
                <w:lang w:val="en-GB"/>
              </w:rPr>
            </w:pPr>
          </w:p>
          <w:p w14:paraId="42322109" w14:textId="7525B28C" w:rsidR="00012B5A" w:rsidRPr="00D04EAD" w:rsidRDefault="3E0D1304" w:rsidP="29030C09">
            <w:pPr>
              <w:rPr>
                <w:rFonts w:asciiTheme="majorHAnsi" w:hAnsiTheme="majorHAnsi" w:cstheme="majorBidi"/>
                <w:sz w:val="20"/>
                <w:szCs w:val="20"/>
                <w:lang w:val="en-GB"/>
              </w:rPr>
            </w:pPr>
            <w:r w:rsidRPr="29030C09">
              <w:rPr>
                <w:rFonts w:asciiTheme="majorHAnsi" w:eastAsia="Calibri Light" w:hAnsiTheme="majorHAnsi" w:cstheme="majorBidi"/>
                <w:color w:val="000000" w:themeColor="text1"/>
                <w:sz w:val="20"/>
                <w:szCs w:val="20"/>
                <w:lang w:val="en-GB"/>
              </w:rPr>
              <w:t>The term of</w:t>
            </w:r>
            <w:r w:rsidR="27C6DD4F" w:rsidRPr="29030C09">
              <w:rPr>
                <w:rFonts w:asciiTheme="majorHAnsi" w:eastAsia="Calibri Light" w:hAnsiTheme="majorHAnsi" w:cstheme="majorBidi"/>
                <w:color w:val="000000" w:themeColor="text1"/>
                <w:sz w:val="20"/>
                <w:szCs w:val="20"/>
                <w:lang w:val="en-GB"/>
              </w:rPr>
              <w:t xml:space="preserve"> the</w:t>
            </w:r>
            <w:r w:rsidRPr="29030C09">
              <w:rPr>
                <w:rFonts w:asciiTheme="majorHAnsi" w:eastAsia="Calibri Light" w:hAnsiTheme="majorHAnsi" w:cstheme="majorBidi"/>
                <w:color w:val="000000" w:themeColor="text1"/>
                <w:sz w:val="20"/>
                <w:szCs w:val="20"/>
                <w:lang w:val="en-GB"/>
              </w:rPr>
              <w:t xml:space="preserve"> </w:t>
            </w:r>
            <w:r w:rsidR="12F094C5" w:rsidRPr="29030C09">
              <w:rPr>
                <w:rFonts w:asciiTheme="majorHAnsi" w:eastAsia="Calibri Light" w:hAnsiTheme="majorHAnsi" w:cstheme="majorBidi"/>
                <w:color w:val="000000" w:themeColor="text1"/>
                <w:sz w:val="20"/>
                <w:szCs w:val="20"/>
                <w:lang w:val="en-GB"/>
              </w:rPr>
              <w:t>support period</w:t>
            </w:r>
            <w:r w:rsidRPr="29030C09">
              <w:rPr>
                <w:rFonts w:asciiTheme="majorHAnsi" w:eastAsia="Calibri Light" w:hAnsiTheme="majorHAnsi" w:cstheme="majorBidi"/>
                <w:color w:val="000000" w:themeColor="text1"/>
                <w:sz w:val="20"/>
                <w:szCs w:val="20"/>
                <w:lang w:val="en-GB"/>
              </w:rPr>
              <w:t xml:space="preserve"> may be an adjustable bid variable and projects may put forward alternate contract terms where improved value for money can be demonstrated.</w:t>
            </w:r>
          </w:p>
        </w:tc>
      </w:tr>
      <w:tr w:rsidR="00012B5A" w:rsidRPr="00D04EAD" w14:paraId="66151F89"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230C104C" w14:textId="77777777" w:rsidR="00012B5A" w:rsidRPr="00D04EAD" w:rsidRDefault="00012B5A" w:rsidP="00012B5A">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t>Payments and True Up</w:t>
            </w:r>
          </w:p>
        </w:tc>
        <w:tc>
          <w:tcPr>
            <w:tcW w:w="6807" w:type="dxa"/>
            <w:tcBorders>
              <w:top w:val="single" w:sz="6" w:space="0" w:color="A7A8AB"/>
              <w:left w:val="nil"/>
              <w:bottom w:val="single" w:sz="6" w:space="0" w:color="A7A8AB"/>
              <w:right w:val="nil"/>
            </w:tcBorders>
            <w:noWrap/>
          </w:tcPr>
          <w:p w14:paraId="20D9FEEA" w14:textId="42DE8175" w:rsidR="00012B5A" w:rsidRPr="00D04EAD" w:rsidRDefault="00012B5A" w:rsidP="00012B5A">
            <w:pPr>
              <w:rPr>
                <w:rFonts w:asciiTheme="majorHAnsi" w:eastAsia="Calibri Light" w:hAnsiTheme="majorHAnsi" w:cstheme="majorBidi"/>
                <w:color w:val="000000" w:themeColor="text1"/>
                <w:sz w:val="20"/>
                <w:szCs w:val="20"/>
                <w:lang w:val="en-GB"/>
              </w:rPr>
            </w:pPr>
            <w:r w:rsidRPr="78E4C7E7">
              <w:rPr>
                <w:rFonts w:asciiTheme="majorHAnsi" w:eastAsia="Calibri Light" w:hAnsiTheme="majorHAnsi" w:cstheme="majorBidi"/>
                <w:color w:val="000000" w:themeColor="text1"/>
                <w:sz w:val="20"/>
                <w:szCs w:val="20"/>
                <w:lang w:val="en-GB"/>
              </w:rPr>
              <w:t xml:space="preserve">Payments from the Guarantor to the Capacity Provider will be calculated and </w:t>
            </w:r>
            <w:r w:rsidR="0B6E1172" w:rsidRPr="78E4C7E7">
              <w:rPr>
                <w:rFonts w:asciiTheme="majorHAnsi" w:eastAsia="Calibri Light" w:hAnsiTheme="majorHAnsi" w:cstheme="majorBidi"/>
                <w:color w:val="000000" w:themeColor="text1"/>
                <w:sz w:val="20"/>
                <w:szCs w:val="20"/>
                <w:lang w:val="en-GB"/>
              </w:rPr>
              <w:t>paid</w:t>
            </w:r>
            <w:r w:rsidRPr="78E4C7E7">
              <w:rPr>
                <w:rFonts w:asciiTheme="majorHAnsi" w:eastAsia="Calibri Light" w:hAnsiTheme="majorHAnsi" w:cstheme="majorBidi"/>
                <w:color w:val="000000" w:themeColor="text1"/>
                <w:sz w:val="20"/>
                <w:szCs w:val="20"/>
                <w:lang w:val="en-GB"/>
              </w:rPr>
              <w:t xml:space="preserve"> on a quarterly basis. An annual true up will ensure that seasonality in payments is smoothed out at the end of the year.</w:t>
            </w:r>
          </w:p>
        </w:tc>
      </w:tr>
      <w:tr w:rsidR="00012B5A" w:rsidRPr="00D04EAD" w14:paraId="21114D6D"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5367C461" w14:textId="7A88A175" w:rsidR="00012B5A" w:rsidRPr="00D04EAD" w:rsidRDefault="00012B5A" w:rsidP="00012B5A">
            <w:pPr>
              <w:pStyle w:val="Tabletext"/>
              <w:rPr>
                <w:rFonts w:asciiTheme="majorHAnsi" w:hAnsiTheme="majorHAnsi" w:cstheme="majorHAnsi"/>
                <w:i/>
                <w:iCs/>
                <w:sz w:val="20"/>
                <w:szCs w:val="20"/>
                <w:lang w:val="en-GB" w:eastAsia="en-GB"/>
              </w:rPr>
            </w:pPr>
            <w:r w:rsidRPr="00D04EAD">
              <w:rPr>
                <w:rFonts w:asciiTheme="majorHAnsi" w:hAnsiTheme="majorHAnsi" w:cstheme="majorHAnsi"/>
                <w:i/>
                <w:iCs/>
                <w:sz w:val="20"/>
                <w:szCs w:val="20"/>
                <w:lang w:val="en-GB" w:eastAsia="en-GB"/>
              </w:rPr>
              <w:lastRenderedPageBreak/>
              <w:t>Performance requirements</w:t>
            </w:r>
          </w:p>
        </w:tc>
        <w:tc>
          <w:tcPr>
            <w:tcW w:w="6807" w:type="dxa"/>
            <w:tcBorders>
              <w:top w:val="single" w:sz="6" w:space="0" w:color="A7A8AB"/>
              <w:left w:val="nil"/>
              <w:bottom w:val="single" w:sz="6" w:space="0" w:color="A7A8AB"/>
              <w:right w:val="nil"/>
            </w:tcBorders>
            <w:noWrap/>
          </w:tcPr>
          <w:p w14:paraId="3BE07711" w14:textId="7E0DFD33" w:rsidR="00012B5A" w:rsidRPr="00D04EAD" w:rsidRDefault="00012B5A" w:rsidP="00012B5A">
            <w:p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The CIS underwriting agreement will involve a limited set of performance requirements that will require scheduled generators under the CIS to support markets in a limited set of circumstance. A Capacity Provider with a scheduled project will be required to:</w:t>
            </w:r>
          </w:p>
          <w:p w14:paraId="5994D2B3" w14:textId="77777777" w:rsidR="003509F6" w:rsidRPr="00D04EAD" w:rsidRDefault="003509F6" w:rsidP="003509F6">
            <w:pPr>
              <w:pStyle w:val="ListParagraph"/>
              <w:numPr>
                <w:ilvl w:val="0"/>
                <w:numId w:val="18"/>
              </w:num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make the project available. A strict abatement regime will apply where a project is not available at the capacity (other than scheduled maintenance)</w:t>
            </w:r>
            <w:r>
              <w:rPr>
                <w:rFonts w:asciiTheme="majorHAnsi" w:eastAsia="Calibri Light" w:hAnsiTheme="majorHAnsi" w:cstheme="majorHAnsi"/>
                <w:color w:val="000000" w:themeColor="text1"/>
                <w:sz w:val="20"/>
                <w:szCs w:val="20"/>
                <w:lang w:val="en-GB"/>
              </w:rPr>
              <w:t>;</w:t>
            </w:r>
          </w:p>
          <w:p w14:paraId="50AEB097" w14:textId="7BD0EDF3" w:rsidR="00012B5A" w:rsidRPr="00D04EAD" w:rsidRDefault="00012B5A" w:rsidP="00012B5A">
            <w:pPr>
              <w:pStyle w:val="ListParagraph"/>
              <w:numPr>
                <w:ilvl w:val="0"/>
                <w:numId w:val="18"/>
              </w:num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respond to price signals in relevant markets</w:t>
            </w:r>
            <w:r w:rsidR="00276243">
              <w:rPr>
                <w:rFonts w:asciiTheme="majorHAnsi" w:eastAsia="Calibri Light" w:hAnsiTheme="majorHAnsi" w:cstheme="majorHAnsi"/>
                <w:color w:val="000000" w:themeColor="text1"/>
                <w:sz w:val="20"/>
                <w:szCs w:val="20"/>
                <w:lang w:val="en-GB"/>
              </w:rPr>
              <w:t>; and</w:t>
            </w:r>
          </w:p>
          <w:p w14:paraId="1AB9317A" w14:textId="7A48C8F0" w:rsidR="00012B5A" w:rsidRPr="00D04EAD" w:rsidRDefault="00012B5A" w:rsidP="00012B5A">
            <w:pPr>
              <w:pStyle w:val="ListParagraph"/>
              <w:numPr>
                <w:ilvl w:val="0"/>
                <w:numId w:val="18"/>
              </w:num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bid a minimum of 50% of the project capacity in an LOR3 event (or equivalent event in the relevant market), that has been forecast by AEMO more than two hours ahead of the LOR3.</w:t>
            </w:r>
          </w:p>
          <w:p w14:paraId="1934FE6D" w14:textId="74FC7B40" w:rsidR="00012B5A" w:rsidRPr="00D04EAD" w:rsidRDefault="007D5E93" w:rsidP="00012B5A">
            <w:p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 xml:space="preserve">In each case, performance requirements will be limited to the portion of the project that is being supported by the CIS. For example, a partitioned 100MW BESS where 75MW is being supported by the CIS will only be require 75MW to meet performance requirements.  </w:t>
            </w:r>
          </w:p>
        </w:tc>
      </w:tr>
      <w:tr w:rsidR="00012B5A" w:rsidRPr="00D04EAD" w14:paraId="679E0CB3" w14:textId="77777777" w:rsidTr="57E361D6">
        <w:trPr>
          <w:trHeight w:val="25"/>
        </w:trPr>
        <w:tc>
          <w:tcPr>
            <w:tcW w:w="1843" w:type="dxa"/>
            <w:tcBorders>
              <w:top w:val="single" w:sz="6" w:space="0" w:color="A7A8AB"/>
              <w:left w:val="nil"/>
              <w:bottom w:val="single" w:sz="6" w:space="0" w:color="A7A8AB"/>
              <w:right w:val="nil"/>
            </w:tcBorders>
            <w:shd w:val="clear" w:color="auto" w:fill="D9D9D9" w:themeFill="background1" w:themeFillShade="D9"/>
            <w:noWrap/>
          </w:tcPr>
          <w:p w14:paraId="6071C553" w14:textId="2130566C" w:rsidR="00012B5A" w:rsidRPr="00D04EAD" w:rsidRDefault="00012B5A" w:rsidP="57E361D6">
            <w:pPr>
              <w:pStyle w:val="Tabletext"/>
              <w:rPr>
                <w:rFonts w:asciiTheme="majorHAnsi" w:hAnsiTheme="majorHAnsi" w:cstheme="majorBidi"/>
                <w:i/>
                <w:iCs/>
                <w:sz w:val="20"/>
                <w:szCs w:val="20"/>
                <w:lang w:val="en-GB" w:eastAsia="en-GB"/>
              </w:rPr>
            </w:pPr>
            <w:r w:rsidRPr="57E361D6">
              <w:rPr>
                <w:rFonts w:asciiTheme="majorHAnsi" w:hAnsiTheme="majorHAnsi" w:cstheme="majorBidi"/>
                <w:i/>
                <w:iCs/>
                <w:sz w:val="20"/>
                <w:szCs w:val="20"/>
                <w:lang w:val="en-GB" w:eastAsia="en-GB"/>
              </w:rPr>
              <w:t>Non-performance &amp; termination</w:t>
            </w:r>
          </w:p>
        </w:tc>
        <w:tc>
          <w:tcPr>
            <w:tcW w:w="6807" w:type="dxa"/>
            <w:tcBorders>
              <w:top w:val="single" w:sz="6" w:space="0" w:color="A7A8AB"/>
              <w:left w:val="nil"/>
              <w:bottom w:val="single" w:sz="6" w:space="0" w:color="A7A8AB"/>
              <w:right w:val="nil"/>
            </w:tcBorders>
            <w:noWrap/>
          </w:tcPr>
          <w:p w14:paraId="160EA1A8" w14:textId="56702F3F" w:rsidR="00012B5A" w:rsidRPr="00D04EAD" w:rsidRDefault="3E0D1304" w:rsidP="29030C09">
            <w:pPr>
              <w:rPr>
                <w:rFonts w:asciiTheme="majorHAnsi" w:eastAsia="Calibri Light" w:hAnsiTheme="majorHAnsi" w:cstheme="majorBidi"/>
                <w:color w:val="000000" w:themeColor="text1"/>
                <w:sz w:val="20"/>
                <w:szCs w:val="20"/>
                <w:lang w:val="en-GB"/>
              </w:rPr>
            </w:pPr>
            <w:r w:rsidRPr="29030C09">
              <w:rPr>
                <w:rFonts w:asciiTheme="majorHAnsi" w:eastAsia="Calibri Light" w:hAnsiTheme="majorHAnsi" w:cstheme="majorBidi"/>
                <w:color w:val="000000" w:themeColor="text1"/>
                <w:sz w:val="20"/>
                <w:szCs w:val="20"/>
                <w:lang w:val="en-GB"/>
              </w:rPr>
              <w:t xml:space="preserve">The CIS underwriting agreement will contain termination and </w:t>
            </w:r>
            <w:r w:rsidR="56F644A0" w:rsidRPr="29030C09">
              <w:rPr>
                <w:rFonts w:asciiTheme="majorHAnsi" w:eastAsia="Calibri Light" w:hAnsiTheme="majorHAnsi" w:cstheme="majorBidi"/>
                <w:color w:val="000000" w:themeColor="text1"/>
                <w:sz w:val="20"/>
                <w:szCs w:val="20"/>
                <w:lang w:val="en-GB"/>
              </w:rPr>
              <w:t xml:space="preserve">liquidated damages and/or abatement arrangements </w:t>
            </w:r>
            <w:r w:rsidRPr="29030C09">
              <w:rPr>
                <w:rFonts w:asciiTheme="majorHAnsi" w:eastAsia="Calibri Light" w:hAnsiTheme="majorHAnsi" w:cstheme="majorBidi"/>
                <w:color w:val="000000" w:themeColor="text1"/>
                <w:sz w:val="20"/>
                <w:szCs w:val="20"/>
                <w:lang w:val="en-GB"/>
              </w:rPr>
              <w:t xml:space="preserve"> for non-performance typical in a contract of this nature, including: </w:t>
            </w:r>
          </w:p>
          <w:p w14:paraId="651467BF" w14:textId="194578FE" w:rsidR="00012B5A" w:rsidRPr="00D04EAD" w:rsidRDefault="00012B5A" w:rsidP="00012B5A">
            <w:pPr>
              <w:pStyle w:val="ListParagraph"/>
              <w:numPr>
                <w:ilvl w:val="0"/>
                <w:numId w:val="18"/>
              </w:numPr>
              <w:rPr>
                <w:rFonts w:asciiTheme="majorHAnsi" w:eastAsia="Calibri Light" w:hAnsiTheme="majorHAnsi" w:cstheme="majorHAnsi"/>
                <w:color w:val="000000" w:themeColor="text1"/>
                <w:sz w:val="20"/>
                <w:szCs w:val="20"/>
                <w:lang w:val="en-GB"/>
              </w:rPr>
            </w:pPr>
            <w:r w:rsidRPr="00D04EAD">
              <w:rPr>
                <w:rFonts w:asciiTheme="majorHAnsi" w:eastAsia="Calibri Light" w:hAnsiTheme="majorHAnsi" w:cstheme="majorHAnsi"/>
                <w:color w:val="000000" w:themeColor="text1"/>
                <w:sz w:val="20"/>
                <w:szCs w:val="20"/>
                <w:lang w:val="en-GB"/>
              </w:rPr>
              <w:t>failure to meet targeted milestones will result in a requirement to provide a cure plan. Termination would be considered where the cure plan does not indicate that longstop milestone dates can be achieved</w:t>
            </w:r>
            <w:r w:rsidR="00276243">
              <w:rPr>
                <w:rFonts w:asciiTheme="majorHAnsi" w:eastAsia="Calibri Light" w:hAnsiTheme="majorHAnsi" w:cstheme="majorHAnsi"/>
                <w:color w:val="000000" w:themeColor="text1"/>
                <w:sz w:val="20"/>
                <w:szCs w:val="20"/>
                <w:lang w:val="en-GB"/>
              </w:rPr>
              <w:t>; and</w:t>
            </w:r>
          </w:p>
          <w:p w14:paraId="60F8FB66" w14:textId="032AD891" w:rsidR="00012B5A" w:rsidRPr="00D04EAD" w:rsidRDefault="3E0D1304" w:rsidP="29030C09">
            <w:pPr>
              <w:pStyle w:val="ListParagraph"/>
              <w:numPr>
                <w:ilvl w:val="0"/>
                <w:numId w:val="18"/>
              </w:numPr>
              <w:rPr>
                <w:rFonts w:asciiTheme="majorHAnsi" w:eastAsia="Calibri Light" w:hAnsiTheme="majorHAnsi" w:cstheme="majorBidi"/>
                <w:color w:val="000000" w:themeColor="text1"/>
                <w:sz w:val="20"/>
                <w:szCs w:val="20"/>
                <w:lang w:val="en-GB"/>
              </w:rPr>
            </w:pPr>
            <w:r w:rsidRPr="29030C09">
              <w:rPr>
                <w:rFonts w:asciiTheme="majorHAnsi" w:eastAsia="Calibri Light" w:hAnsiTheme="majorHAnsi" w:cstheme="majorBidi"/>
                <w:color w:val="000000" w:themeColor="text1"/>
                <w:sz w:val="20"/>
                <w:szCs w:val="20"/>
                <w:lang w:val="en-GB"/>
              </w:rPr>
              <w:t xml:space="preserve">failure to comply with performance requirements, including availability and LOR 3 performance requirements, would result in financial </w:t>
            </w:r>
            <w:r w:rsidR="7A613802" w:rsidRPr="29030C09">
              <w:rPr>
                <w:rFonts w:asciiTheme="majorHAnsi" w:eastAsia="Calibri Light" w:hAnsiTheme="majorHAnsi" w:cstheme="majorBidi"/>
                <w:color w:val="000000" w:themeColor="text1"/>
                <w:sz w:val="20"/>
                <w:szCs w:val="20"/>
                <w:lang w:val="en-GB"/>
              </w:rPr>
              <w:t>liquidated damages and/or abatements</w:t>
            </w:r>
            <w:r w:rsidRPr="29030C09">
              <w:rPr>
                <w:rFonts w:asciiTheme="majorHAnsi" w:eastAsia="Calibri Light" w:hAnsiTheme="majorHAnsi" w:cstheme="majorBidi"/>
                <w:color w:val="000000" w:themeColor="text1"/>
                <w:sz w:val="20"/>
                <w:szCs w:val="20"/>
                <w:lang w:val="en-GB"/>
              </w:rPr>
              <w:t xml:space="preserve">, and adjustment of future support if not rectified. </w:t>
            </w:r>
          </w:p>
          <w:p w14:paraId="07ABDF31" w14:textId="524356D8" w:rsidR="00012B5A" w:rsidRPr="00D04EAD" w:rsidRDefault="00012B5A" w:rsidP="01956C1B">
            <w:pPr>
              <w:rPr>
                <w:rFonts w:asciiTheme="majorHAnsi" w:eastAsia="Calibri Light" w:hAnsiTheme="majorHAnsi" w:cstheme="majorBidi"/>
                <w:color w:val="000000" w:themeColor="text1"/>
                <w:sz w:val="20"/>
                <w:szCs w:val="20"/>
                <w:lang w:val="en-GB"/>
              </w:rPr>
            </w:pPr>
            <w:r w:rsidRPr="01956C1B">
              <w:rPr>
                <w:rFonts w:asciiTheme="majorHAnsi" w:eastAsia="Calibri Light" w:hAnsiTheme="majorHAnsi" w:cstheme="majorBidi"/>
                <w:color w:val="000000" w:themeColor="text1"/>
                <w:sz w:val="20"/>
                <w:szCs w:val="20"/>
                <w:lang w:val="en-GB"/>
              </w:rPr>
              <w:t xml:space="preserve">Termination rights will also include material breach including financial and non-financial defaults, </w:t>
            </w:r>
            <w:r w:rsidR="687DB8B5" w:rsidRPr="01956C1B">
              <w:rPr>
                <w:rFonts w:asciiTheme="majorHAnsi" w:eastAsia="Calibri Light" w:hAnsiTheme="majorHAnsi" w:cstheme="majorBidi"/>
                <w:color w:val="000000" w:themeColor="text1"/>
                <w:sz w:val="20"/>
                <w:szCs w:val="20"/>
                <w:lang w:val="en-GB"/>
              </w:rPr>
              <w:t xml:space="preserve">extended force majeure </w:t>
            </w:r>
            <w:r w:rsidRPr="01956C1B">
              <w:rPr>
                <w:rFonts w:asciiTheme="majorHAnsi" w:eastAsia="Calibri Light" w:hAnsiTheme="majorHAnsi" w:cstheme="majorBidi"/>
                <w:color w:val="000000" w:themeColor="text1"/>
                <w:sz w:val="20"/>
                <w:szCs w:val="20"/>
                <w:lang w:val="en-GB"/>
              </w:rPr>
              <w:t>and compliance with law</w:t>
            </w:r>
            <w:r w:rsidR="22EFD3C1" w:rsidRPr="01956C1B">
              <w:rPr>
                <w:rFonts w:asciiTheme="majorHAnsi" w:eastAsia="Calibri Light" w:hAnsiTheme="majorHAnsi" w:cstheme="majorBidi"/>
                <w:color w:val="000000" w:themeColor="text1"/>
                <w:sz w:val="20"/>
                <w:szCs w:val="20"/>
                <w:lang w:val="en-GB"/>
              </w:rPr>
              <w:t xml:space="preserve"> and a right for the Commonwealth to terminate for convenience</w:t>
            </w:r>
            <w:r w:rsidRPr="01956C1B">
              <w:rPr>
                <w:rFonts w:asciiTheme="majorHAnsi" w:eastAsia="Calibri Light" w:hAnsiTheme="majorHAnsi" w:cstheme="majorBidi"/>
                <w:color w:val="000000" w:themeColor="text1"/>
                <w:sz w:val="20"/>
                <w:szCs w:val="20"/>
                <w:lang w:val="en-GB"/>
              </w:rPr>
              <w:t xml:space="preserve">.   </w:t>
            </w:r>
          </w:p>
        </w:tc>
      </w:tr>
    </w:tbl>
    <w:p w14:paraId="68AD5623" w14:textId="77777777" w:rsidR="001D632B" w:rsidRDefault="001D632B" w:rsidP="00B445F1">
      <w:pPr>
        <w:rPr>
          <w:lang w:val="en-GB" w:eastAsia="en-AU"/>
        </w:rPr>
      </w:pPr>
    </w:p>
    <w:p w14:paraId="62C56546" w14:textId="4A66E6B4" w:rsidR="00F007D9" w:rsidRDefault="00A10B9D" w:rsidP="00B445F1">
      <w:pPr>
        <w:rPr>
          <w:lang w:val="en-GB" w:eastAsia="en-AU"/>
        </w:rPr>
      </w:pPr>
      <w:r>
        <w:rPr>
          <w:lang w:val="en-GB" w:eastAsia="en-AU"/>
        </w:rPr>
        <w:t>To provide flexibility and encourage commercial innovation, there may be an option for projects to submit two financial value bids for the same project. A default bid would adopt the finalised CIS commercial structure, while an alternative bid would provide adjustments to commercial structure. For example, an alternative bid may seek to adjust the contract tenor and/or adjust the escalation regime.</w:t>
      </w:r>
    </w:p>
    <w:tbl>
      <w:tblPr>
        <w:tblStyle w:val="TableGrid"/>
        <w:tblW w:w="9295" w:type="dxa"/>
        <w:tblLook w:val="04A0" w:firstRow="1" w:lastRow="0" w:firstColumn="1" w:lastColumn="0" w:noHBand="0" w:noVBand="1"/>
      </w:tblPr>
      <w:tblGrid>
        <w:gridCol w:w="9295"/>
      </w:tblGrid>
      <w:tr w:rsidR="00D24EF5" w14:paraId="220689A9" w14:textId="77777777" w:rsidTr="00962526">
        <w:trPr>
          <w:trHeight w:val="3294"/>
        </w:trPr>
        <w:tc>
          <w:tcPr>
            <w:tcW w:w="9295" w:type="dxa"/>
            <w:tcBorders>
              <w:left w:val="nil"/>
              <w:right w:val="nil"/>
            </w:tcBorders>
            <w:shd w:val="clear" w:color="auto" w:fill="DEEAF6" w:themeFill="accent1" w:themeFillTint="33"/>
          </w:tcPr>
          <w:p w14:paraId="09FA8B21" w14:textId="77777777" w:rsidR="00114776" w:rsidRDefault="00D24EF5">
            <w:pPr>
              <w:rPr>
                <w:lang w:val="en-GB" w:eastAsia="en-AU"/>
              </w:rPr>
            </w:pPr>
            <w:r>
              <w:rPr>
                <w:b/>
                <w:bCs/>
                <w:lang w:val="en-GB" w:eastAsia="en-AU"/>
              </w:rPr>
              <w:lastRenderedPageBreak/>
              <w:t>Consultation question:</w:t>
            </w:r>
            <w:r>
              <w:rPr>
                <w:lang w:val="en-GB" w:eastAsia="en-AU"/>
              </w:rPr>
              <w:t xml:space="preserve"> </w:t>
            </w:r>
          </w:p>
          <w:p w14:paraId="2BB2EB3C" w14:textId="7E9E0FAE" w:rsidR="00D24EF5" w:rsidRPr="00114776" w:rsidRDefault="00D24EF5" w:rsidP="00837F4E">
            <w:pPr>
              <w:pStyle w:val="ListParagraph"/>
              <w:numPr>
                <w:ilvl w:val="0"/>
                <w:numId w:val="63"/>
              </w:numPr>
              <w:rPr>
                <w:lang w:val="en-GB" w:eastAsia="en-AU"/>
              </w:rPr>
            </w:pPr>
            <w:r w:rsidRPr="00114776">
              <w:rPr>
                <w:lang w:val="en-GB" w:eastAsia="en-AU"/>
              </w:rPr>
              <w:t xml:space="preserve">The Department is seeking feedback on all aspects of the </w:t>
            </w:r>
            <w:r w:rsidR="00ED2653" w:rsidRPr="00114776">
              <w:rPr>
                <w:lang w:val="en-GB" w:eastAsia="en-AU"/>
              </w:rPr>
              <w:t xml:space="preserve">high-level commercial model including: </w:t>
            </w:r>
          </w:p>
          <w:p w14:paraId="4CBED57C" w14:textId="14F3B5F9" w:rsidR="00ED2653" w:rsidRDefault="00440BE7" w:rsidP="00837F4E">
            <w:pPr>
              <w:pStyle w:val="ListParagraph"/>
              <w:numPr>
                <w:ilvl w:val="0"/>
                <w:numId w:val="64"/>
              </w:numPr>
              <w:rPr>
                <w:lang w:val="en-GB" w:eastAsia="en-AU"/>
              </w:rPr>
            </w:pPr>
            <w:r>
              <w:rPr>
                <w:lang w:val="en-GB" w:eastAsia="en-AU"/>
              </w:rPr>
              <w:t>the floor price support mechanism</w:t>
            </w:r>
          </w:p>
          <w:p w14:paraId="3C504F9E" w14:textId="324574E1" w:rsidR="00440BE7" w:rsidRDefault="00440BE7" w:rsidP="00837F4E">
            <w:pPr>
              <w:pStyle w:val="ListParagraph"/>
              <w:numPr>
                <w:ilvl w:val="0"/>
                <w:numId w:val="64"/>
              </w:numPr>
              <w:rPr>
                <w:lang w:val="en-GB" w:eastAsia="en-AU"/>
              </w:rPr>
            </w:pPr>
            <w:r>
              <w:rPr>
                <w:lang w:val="en-GB" w:eastAsia="en-AU"/>
              </w:rPr>
              <w:t xml:space="preserve">the </w:t>
            </w:r>
            <w:r w:rsidR="00A773D9">
              <w:rPr>
                <w:lang w:val="en-GB" w:eastAsia="en-AU"/>
              </w:rPr>
              <w:t xml:space="preserve">use of a single net revenue floor for both VRE and </w:t>
            </w:r>
            <w:r w:rsidR="00F824EE">
              <w:rPr>
                <w:lang w:val="en-GB" w:eastAsia="en-AU"/>
              </w:rPr>
              <w:t>scheduled generators</w:t>
            </w:r>
            <w:r w:rsidR="00A773D9">
              <w:rPr>
                <w:lang w:val="en-GB" w:eastAsia="en-AU"/>
              </w:rPr>
              <w:t xml:space="preserve"> (including </w:t>
            </w:r>
            <w:r w:rsidR="00F824EE">
              <w:rPr>
                <w:lang w:val="en-GB" w:eastAsia="en-AU"/>
              </w:rPr>
              <w:t>storage)</w:t>
            </w:r>
          </w:p>
          <w:p w14:paraId="0D63E25D" w14:textId="441E7DAC" w:rsidR="00F824EE" w:rsidRDefault="00772D69" w:rsidP="00837F4E">
            <w:pPr>
              <w:pStyle w:val="ListParagraph"/>
              <w:numPr>
                <w:ilvl w:val="0"/>
                <w:numId w:val="64"/>
              </w:numPr>
              <w:rPr>
                <w:lang w:val="en-GB" w:eastAsia="en-AU"/>
              </w:rPr>
            </w:pPr>
            <w:r>
              <w:rPr>
                <w:lang w:val="en-GB" w:eastAsia="en-AU"/>
              </w:rPr>
              <w:t xml:space="preserve">the </w:t>
            </w:r>
            <w:r w:rsidR="00F824EE">
              <w:rPr>
                <w:lang w:val="en-GB" w:eastAsia="en-AU"/>
              </w:rPr>
              <w:t>term of the contract</w:t>
            </w:r>
            <w:r>
              <w:rPr>
                <w:lang w:val="en-GB" w:eastAsia="en-AU"/>
              </w:rPr>
              <w:t xml:space="preserve">, </w:t>
            </w:r>
            <w:r w:rsidR="00EC09E5">
              <w:rPr>
                <w:lang w:val="en-GB" w:eastAsia="en-AU"/>
              </w:rPr>
              <w:t>including financing requirements around revenue tenor</w:t>
            </w:r>
          </w:p>
          <w:p w14:paraId="3B1A2E95" w14:textId="77777777" w:rsidR="00ED2653" w:rsidRDefault="00ED2653" w:rsidP="00837F4E">
            <w:pPr>
              <w:pStyle w:val="ListParagraph"/>
              <w:numPr>
                <w:ilvl w:val="0"/>
                <w:numId w:val="64"/>
              </w:numPr>
              <w:rPr>
                <w:lang w:val="en-GB" w:eastAsia="en-AU"/>
              </w:rPr>
            </w:pPr>
            <w:r>
              <w:rPr>
                <w:lang w:val="en-GB" w:eastAsia="en-AU"/>
              </w:rPr>
              <w:t>the performance requirements</w:t>
            </w:r>
            <w:r w:rsidR="005D647C">
              <w:rPr>
                <w:lang w:val="en-GB" w:eastAsia="en-AU"/>
              </w:rPr>
              <w:t>, including the</w:t>
            </w:r>
            <w:r w:rsidR="00155625">
              <w:rPr>
                <w:lang w:val="en-GB" w:eastAsia="en-AU"/>
              </w:rPr>
              <w:t xml:space="preserve"> LOR3 performance requirements</w:t>
            </w:r>
            <w:r w:rsidR="005D647C">
              <w:rPr>
                <w:lang w:val="en-GB" w:eastAsia="en-AU"/>
              </w:rPr>
              <w:t xml:space="preserve"> </w:t>
            </w:r>
            <w:r>
              <w:rPr>
                <w:lang w:val="en-GB" w:eastAsia="en-AU"/>
              </w:rPr>
              <w:t xml:space="preserve"> </w:t>
            </w:r>
          </w:p>
          <w:p w14:paraId="49DDDA1F" w14:textId="5D56A638" w:rsidR="00886CC1" w:rsidRDefault="00772D69" w:rsidP="00837F4E">
            <w:pPr>
              <w:pStyle w:val="ListParagraph"/>
              <w:numPr>
                <w:ilvl w:val="0"/>
                <w:numId w:val="64"/>
              </w:numPr>
              <w:rPr>
                <w:lang w:val="en-GB" w:eastAsia="en-AU"/>
              </w:rPr>
            </w:pPr>
            <w:r>
              <w:rPr>
                <w:lang w:val="en-GB" w:eastAsia="en-AU"/>
              </w:rPr>
              <w:t xml:space="preserve">the </w:t>
            </w:r>
            <w:r w:rsidR="007228FC">
              <w:rPr>
                <w:lang w:val="en-GB" w:eastAsia="en-AU"/>
              </w:rPr>
              <w:t>milestone requirements</w:t>
            </w:r>
            <w:r w:rsidR="00E56CDF">
              <w:rPr>
                <w:lang w:val="en-GB" w:eastAsia="en-AU"/>
              </w:rPr>
              <w:t>, penalty provisions</w:t>
            </w:r>
            <w:r w:rsidR="007228FC">
              <w:rPr>
                <w:lang w:val="en-GB" w:eastAsia="en-AU"/>
              </w:rPr>
              <w:t xml:space="preserve"> and </w:t>
            </w:r>
            <w:r w:rsidR="00886CC1">
              <w:rPr>
                <w:lang w:val="en-GB" w:eastAsia="en-AU"/>
              </w:rPr>
              <w:t>termination provisio</w:t>
            </w:r>
            <w:r w:rsidR="00AC7FE4">
              <w:rPr>
                <w:lang w:val="en-GB" w:eastAsia="en-AU"/>
              </w:rPr>
              <w:t>ns</w:t>
            </w:r>
          </w:p>
          <w:p w14:paraId="5C41C49B" w14:textId="0BE0B7DB" w:rsidR="00EF0450" w:rsidRDefault="00F34836" w:rsidP="00EF0450">
            <w:pPr>
              <w:pStyle w:val="ListParagraph"/>
              <w:numPr>
                <w:ilvl w:val="0"/>
                <w:numId w:val="64"/>
              </w:numPr>
              <w:rPr>
                <w:lang w:val="en-GB" w:eastAsia="en-AU"/>
              </w:rPr>
            </w:pPr>
            <w:r>
              <w:rPr>
                <w:lang w:val="en-GB" w:eastAsia="en-AU"/>
              </w:rPr>
              <w:t xml:space="preserve">A contract </w:t>
            </w:r>
            <w:r w:rsidR="00EC09E5">
              <w:rPr>
                <w:lang w:val="en-GB" w:eastAsia="en-AU"/>
              </w:rPr>
              <w:t xml:space="preserve">structure </w:t>
            </w:r>
            <w:r>
              <w:rPr>
                <w:lang w:val="en-GB" w:eastAsia="en-AU"/>
              </w:rPr>
              <w:t xml:space="preserve">that </w:t>
            </w:r>
            <w:r w:rsidR="00D76DE6">
              <w:rPr>
                <w:lang w:val="en-GB" w:eastAsia="en-AU"/>
              </w:rPr>
              <w:t>divides</w:t>
            </w:r>
            <w:r>
              <w:rPr>
                <w:lang w:val="en-GB" w:eastAsia="en-AU"/>
              </w:rPr>
              <w:t xml:space="preserve"> development/construction</w:t>
            </w:r>
            <w:r w:rsidR="00EF51B0">
              <w:rPr>
                <w:lang w:val="en-GB" w:eastAsia="en-AU"/>
              </w:rPr>
              <w:t xml:space="preserve"> and operating</w:t>
            </w:r>
            <w:r w:rsidR="00E52DE7">
              <w:rPr>
                <w:lang w:val="en-GB" w:eastAsia="en-AU"/>
              </w:rPr>
              <w:t xml:space="preserve"> periods into two contracts, similar </w:t>
            </w:r>
            <w:r w:rsidR="00253025">
              <w:rPr>
                <w:lang w:val="en-GB" w:eastAsia="en-AU"/>
              </w:rPr>
              <w:t>to the NSW P</w:t>
            </w:r>
            <w:r w:rsidR="003E0937">
              <w:rPr>
                <w:lang w:val="en-GB" w:eastAsia="en-AU"/>
              </w:rPr>
              <w:t xml:space="preserve">roject </w:t>
            </w:r>
            <w:r w:rsidR="00253025">
              <w:rPr>
                <w:lang w:val="en-GB" w:eastAsia="en-AU"/>
              </w:rPr>
              <w:t>D</w:t>
            </w:r>
            <w:r w:rsidR="003E0937">
              <w:rPr>
                <w:lang w:val="en-GB" w:eastAsia="en-AU"/>
              </w:rPr>
              <w:t xml:space="preserve">evelopment </w:t>
            </w:r>
            <w:r w:rsidR="00253025">
              <w:rPr>
                <w:lang w:val="en-GB" w:eastAsia="en-AU"/>
              </w:rPr>
              <w:t>A</w:t>
            </w:r>
            <w:r w:rsidR="003E0937">
              <w:rPr>
                <w:lang w:val="en-GB" w:eastAsia="en-AU"/>
              </w:rPr>
              <w:t>greement</w:t>
            </w:r>
            <w:r w:rsidR="00253025">
              <w:rPr>
                <w:lang w:val="en-GB" w:eastAsia="en-AU"/>
              </w:rPr>
              <w:t xml:space="preserve"> and LTESA division </w:t>
            </w:r>
          </w:p>
          <w:p w14:paraId="79E35A27" w14:textId="4F71CFE8" w:rsidR="00837F4E" w:rsidRPr="00837F4E" w:rsidRDefault="00EC09E5" w:rsidP="00837F4E">
            <w:pPr>
              <w:pStyle w:val="ListParagraph"/>
              <w:numPr>
                <w:ilvl w:val="0"/>
                <w:numId w:val="63"/>
              </w:numPr>
              <w:rPr>
                <w:lang w:val="en-GB" w:eastAsia="en-AU"/>
              </w:rPr>
            </w:pPr>
            <w:r>
              <w:rPr>
                <w:lang w:val="en-GB" w:eastAsia="en-AU"/>
              </w:rPr>
              <w:t>The Department is seeking feedback on the commercial model’s applicability to pumped hydro energy systems.</w:t>
            </w:r>
          </w:p>
        </w:tc>
      </w:tr>
    </w:tbl>
    <w:p w14:paraId="72D00AAD" w14:textId="4E313A01" w:rsidR="00861C5B" w:rsidRPr="00EC09E5" w:rsidRDefault="00861C5B" w:rsidP="00EF0450">
      <w:pPr>
        <w:pStyle w:val="Heading2"/>
        <w:numPr>
          <w:ilvl w:val="0"/>
          <w:numId w:val="0"/>
        </w:numPr>
        <w:rPr>
          <w:color w:val="auto"/>
        </w:rPr>
      </w:pPr>
      <w:bookmarkStart w:id="190" w:name="_Toc140081634"/>
      <w:bookmarkEnd w:id="190"/>
    </w:p>
    <w:sectPr w:rsidR="00861C5B" w:rsidRPr="00EC09E5" w:rsidSect="00C412F8">
      <w:headerReference w:type="default" r:id="rId39"/>
      <w:footerReference w:type="default" r:id="rId40"/>
      <w:pgSz w:w="11906" w:h="16838"/>
      <w:pgMar w:top="1702"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3387" w14:textId="77777777" w:rsidR="00F2210B" w:rsidRDefault="00F2210B" w:rsidP="0010304D">
      <w:pPr>
        <w:spacing w:after="0" w:line="240" w:lineRule="auto"/>
      </w:pPr>
      <w:r>
        <w:separator/>
      </w:r>
    </w:p>
  </w:endnote>
  <w:endnote w:type="continuationSeparator" w:id="0">
    <w:p w14:paraId="30C953AB" w14:textId="77777777" w:rsidR="00F2210B" w:rsidRDefault="00F2210B" w:rsidP="0010304D">
      <w:pPr>
        <w:spacing w:after="0" w:line="240" w:lineRule="auto"/>
      </w:pPr>
      <w:r>
        <w:continuationSeparator/>
      </w:r>
    </w:p>
  </w:endnote>
  <w:endnote w:type="continuationNotice" w:id="1">
    <w:p w14:paraId="0B0D93F5" w14:textId="77777777" w:rsidR="00F2210B" w:rsidRDefault="00F22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HelveticaNeue LT 45 Lt">
    <w:altName w:val="Segoe Script"/>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25D" w14:textId="6D495093" w:rsidR="004545EE" w:rsidRDefault="00000000">
    <w:pPr>
      <w:pStyle w:val="Footer"/>
      <w:jc w:val="right"/>
    </w:pPr>
    <w:sdt>
      <w:sdtPr>
        <w:id w:val="1632211260"/>
        <w:docPartObj>
          <w:docPartGallery w:val="Page Numbers (Bottom of Page)"/>
          <w:docPartUnique/>
        </w:docPartObj>
      </w:sdtPr>
      <w:sdtEndPr>
        <w:rPr>
          <w:noProof/>
        </w:rPr>
      </w:sdtEndPr>
      <w:sdtContent>
        <w:r w:rsidR="004545EE">
          <w:fldChar w:fldCharType="begin"/>
        </w:r>
        <w:r w:rsidR="004545EE">
          <w:instrText xml:space="preserve"> PAGE   \* MERGEFORMAT </w:instrText>
        </w:r>
        <w:r w:rsidR="004545EE">
          <w:fldChar w:fldCharType="separate"/>
        </w:r>
        <w:r w:rsidR="005233C0">
          <w:rPr>
            <w:noProof/>
          </w:rPr>
          <w:t>17</w:t>
        </w:r>
        <w:r w:rsidR="004545EE">
          <w:rPr>
            <w:noProof/>
          </w:rPr>
          <w:fldChar w:fldCharType="end"/>
        </w:r>
      </w:sdtContent>
    </w:sdt>
  </w:p>
  <w:p w14:paraId="4D4DFD49" w14:textId="77777777" w:rsidR="004545EE" w:rsidRDefault="0045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C380" w14:textId="77777777" w:rsidR="00F2210B" w:rsidRDefault="00F2210B" w:rsidP="0010304D">
      <w:pPr>
        <w:spacing w:after="0" w:line="240" w:lineRule="auto"/>
      </w:pPr>
      <w:r>
        <w:separator/>
      </w:r>
    </w:p>
  </w:footnote>
  <w:footnote w:type="continuationSeparator" w:id="0">
    <w:p w14:paraId="46E94C2C" w14:textId="77777777" w:rsidR="00F2210B" w:rsidRDefault="00F2210B" w:rsidP="0010304D">
      <w:pPr>
        <w:spacing w:after="0" w:line="240" w:lineRule="auto"/>
      </w:pPr>
      <w:r>
        <w:continuationSeparator/>
      </w:r>
    </w:p>
  </w:footnote>
  <w:footnote w:type="continuationNotice" w:id="1">
    <w:p w14:paraId="72006CAF" w14:textId="77777777" w:rsidR="00F2210B" w:rsidRDefault="00F2210B">
      <w:pPr>
        <w:spacing w:after="0" w:line="240" w:lineRule="auto"/>
      </w:pPr>
    </w:p>
  </w:footnote>
  <w:footnote w:id="2">
    <w:p w14:paraId="61D0A529" w14:textId="77777777" w:rsidR="005E23B0" w:rsidRPr="0022481C" w:rsidRDefault="005E23B0" w:rsidP="005E23B0">
      <w:pPr>
        <w:pStyle w:val="FootnoteText"/>
      </w:pPr>
      <w:r w:rsidRPr="00AD2D43">
        <w:rPr>
          <w:rStyle w:val="FootnoteReference"/>
          <w:sz w:val="18"/>
          <w:szCs w:val="18"/>
        </w:rPr>
        <w:footnoteRef/>
      </w:r>
      <w:r w:rsidRPr="00AD2D43">
        <w:rPr>
          <w:sz w:val="18"/>
          <w:szCs w:val="18"/>
        </w:rPr>
        <w:t xml:space="preserve"> AEMC, </w:t>
      </w:r>
      <w:r w:rsidRPr="00AD2D43">
        <w:rPr>
          <w:i/>
          <w:iCs/>
          <w:sz w:val="18"/>
          <w:szCs w:val="18"/>
        </w:rPr>
        <w:t xml:space="preserve">Amendment of the market price cap, cumulative price threshold and administered price cap rule change, consultation paper, </w:t>
      </w:r>
      <w:proofErr w:type="spellStart"/>
      <w:r w:rsidRPr="00AD2D43">
        <w:rPr>
          <w:sz w:val="18"/>
          <w:szCs w:val="18"/>
        </w:rPr>
        <w:t>pg</w:t>
      </w:r>
      <w:proofErr w:type="spellEnd"/>
      <w:r w:rsidRPr="00AD2D43">
        <w:rPr>
          <w:sz w:val="18"/>
          <w:szCs w:val="18"/>
        </w:rPr>
        <w:t xml:space="preserve"> 16. Found </w:t>
      </w:r>
      <w:hyperlink r:id="rId1" w:history="1">
        <w:r w:rsidRPr="00AD2D43">
          <w:rPr>
            <w:rStyle w:val="Hyperlink"/>
            <w:sz w:val="18"/>
            <w:szCs w:val="18"/>
          </w:rPr>
          <w:t>here</w:t>
        </w:r>
      </w:hyperlink>
      <w:r w:rsidRPr="00AD2D43">
        <w:rPr>
          <w:sz w:val="18"/>
          <w:szCs w:val="18"/>
        </w:rPr>
        <w:t>.</w:t>
      </w:r>
    </w:p>
  </w:footnote>
  <w:footnote w:id="3">
    <w:p w14:paraId="6430C348" w14:textId="77777777" w:rsidR="00A07FB4" w:rsidRDefault="00A07FB4" w:rsidP="00A07FB4">
      <w:pPr>
        <w:pStyle w:val="FootnoteText"/>
      </w:pPr>
      <w:r>
        <w:rPr>
          <w:rStyle w:val="FootnoteReference"/>
        </w:rPr>
        <w:footnoteRef/>
      </w:r>
      <w:r w:rsidRPr="00AD2D43">
        <w:rPr>
          <w:sz w:val="18"/>
          <w:szCs w:val="18"/>
        </w:rPr>
        <w:t xml:space="preserve">See the WEM design summary </w:t>
      </w:r>
      <w:hyperlink r:id="rId2" w:history="1">
        <w:r>
          <w:rPr>
            <w:rStyle w:val="Hyperlink"/>
          </w:rPr>
          <w:t>wem-design-summary-v1-4-24-october-2012.pdf (aemo.com.au)</w:t>
        </w:r>
      </w:hyperlink>
    </w:p>
  </w:footnote>
  <w:footnote w:id="4">
    <w:p w14:paraId="3ECC25E5" w14:textId="05AE64DB" w:rsidR="166E46B5" w:rsidRPr="00554662" w:rsidRDefault="166E46B5" w:rsidP="166E46B5">
      <w:pPr>
        <w:pStyle w:val="FootnoteText"/>
        <w:rPr>
          <w:sz w:val="18"/>
          <w:szCs w:val="18"/>
        </w:rPr>
      </w:pPr>
      <w:r w:rsidRPr="00554662">
        <w:rPr>
          <w:rStyle w:val="FootnoteReference"/>
          <w:sz w:val="18"/>
          <w:szCs w:val="18"/>
        </w:rPr>
        <w:footnoteRef/>
      </w:r>
      <w:r w:rsidRPr="00554662">
        <w:rPr>
          <w:sz w:val="18"/>
          <w:szCs w:val="18"/>
        </w:rPr>
        <w:t xml:space="preserve"> See the </w:t>
      </w:r>
      <w:hyperlink r:id="rId3">
        <w:r w:rsidRPr="00554662">
          <w:rPr>
            <w:rStyle w:val="Hyperlink"/>
            <w:sz w:val="18"/>
            <w:szCs w:val="18"/>
          </w:rPr>
          <w:t>Darwin-Katherine Electricity System Plan</w:t>
        </w:r>
      </w:hyperlink>
      <w:r w:rsidRPr="00554662">
        <w:rPr>
          <w:sz w:val="18"/>
          <w:szCs w:val="18"/>
        </w:rPr>
        <w:t xml:space="preserve"> and the </w:t>
      </w:r>
      <w:hyperlink r:id="rId4">
        <w:r w:rsidRPr="00554662">
          <w:rPr>
            <w:rStyle w:val="Hyperlink"/>
            <w:sz w:val="18"/>
            <w:szCs w:val="18"/>
          </w:rPr>
          <w:t>Western Australia Whole of System Plan.</w:t>
        </w:r>
      </w:hyperlink>
    </w:p>
  </w:footnote>
  <w:footnote w:id="5">
    <w:p w14:paraId="476C6B1A" w14:textId="4C5C4877" w:rsidR="24CECFB1" w:rsidRDefault="24CECFB1" w:rsidP="24CECFB1">
      <w:pPr>
        <w:pStyle w:val="FootnoteText"/>
      </w:pPr>
      <w:r w:rsidRPr="00554662">
        <w:rPr>
          <w:rStyle w:val="FootnoteReference"/>
          <w:sz w:val="18"/>
          <w:szCs w:val="18"/>
        </w:rPr>
        <w:footnoteRef/>
      </w:r>
      <w:r w:rsidR="6CD9AF42" w:rsidRPr="00554662">
        <w:rPr>
          <w:sz w:val="18"/>
          <w:szCs w:val="18"/>
        </w:rPr>
        <w:t xml:space="preserve"> See </w:t>
      </w:r>
      <w:hyperlink r:id="rId5">
        <w:r w:rsidR="1B09FFB1" w:rsidRPr="00554662">
          <w:rPr>
            <w:rStyle w:val="Hyperlink"/>
            <w:sz w:val="18"/>
            <w:szCs w:val="18"/>
          </w:rPr>
          <w:t>NEM ESOO</w:t>
        </w:r>
      </w:hyperlink>
      <w:r w:rsidR="6CD9AF42" w:rsidRPr="00554662">
        <w:rPr>
          <w:sz w:val="18"/>
          <w:szCs w:val="18"/>
        </w:rPr>
        <w:t xml:space="preserve"> and </w:t>
      </w:r>
      <w:hyperlink r:id="rId6">
        <w:r w:rsidR="74AE7559" w:rsidRPr="00554662">
          <w:rPr>
            <w:rStyle w:val="Hyperlink"/>
            <w:sz w:val="18"/>
            <w:szCs w:val="18"/>
          </w:rPr>
          <w:t>WEM ESOO</w:t>
        </w:r>
        <w:r w:rsidR="1B09FFB1" w:rsidRPr="00554662">
          <w:rPr>
            <w:rStyle w:val="Hyperlink"/>
            <w:sz w:val="18"/>
            <w:szCs w:val="18"/>
          </w:rPr>
          <w:t>.</w:t>
        </w:r>
      </w:hyperlink>
    </w:p>
  </w:footnote>
  <w:footnote w:id="6">
    <w:p w14:paraId="6D0E8FD0" w14:textId="77777777" w:rsidR="00A967E1" w:rsidRPr="00F72C80" w:rsidRDefault="00A967E1" w:rsidP="00A967E1">
      <w:pPr>
        <w:pStyle w:val="FootnoteText"/>
        <w:rPr>
          <w:sz w:val="18"/>
          <w:szCs w:val="18"/>
        </w:rPr>
      </w:pPr>
      <w:r>
        <w:rPr>
          <w:rStyle w:val="FootnoteReference"/>
        </w:rPr>
        <w:footnoteRef/>
      </w:r>
      <w:r>
        <w:t xml:space="preserve"> </w:t>
      </w:r>
      <w:r w:rsidRPr="00F72C80">
        <w:rPr>
          <w:sz w:val="18"/>
          <w:szCs w:val="18"/>
        </w:rPr>
        <w:t xml:space="preserve">The WEM ESOO is </w:t>
      </w:r>
      <w:r>
        <w:rPr>
          <w:sz w:val="18"/>
          <w:szCs w:val="18"/>
        </w:rPr>
        <w:t>a</w:t>
      </w:r>
      <w:r w:rsidRPr="00F72C80">
        <w:rPr>
          <w:sz w:val="18"/>
          <w:szCs w:val="18"/>
        </w:rPr>
        <w:t xml:space="preserve"> key input in the </w:t>
      </w:r>
      <w:r>
        <w:rPr>
          <w:sz w:val="18"/>
          <w:szCs w:val="18"/>
        </w:rPr>
        <w:t xml:space="preserve">WA </w:t>
      </w:r>
      <w:r w:rsidRPr="00F72C80">
        <w:rPr>
          <w:sz w:val="18"/>
          <w:szCs w:val="18"/>
        </w:rPr>
        <w:t xml:space="preserve">Reserve Capacity Mechanism. The Planning Criterion </w:t>
      </w:r>
      <w:r>
        <w:rPr>
          <w:sz w:val="18"/>
          <w:szCs w:val="18"/>
        </w:rPr>
        <w:t>in the SWIS requires that</w:t>
      </w:r>
      <w:r w:rsidRPr="00F72C80">
        <w:rPr>
          <w:sz w:val="18"/>
          <w:szCs w:val="18"/>
        </w:rPr>
        <w:t xml:space="preserve"> there </w:t>
      </w:r>
      <w:r>
        <w:rPr>
          <w:sz w:val="18"/>
          <w:szCs w:val="18"/>
        </w:rPr>
        <w:t>must be</w:t>
      </w:r>
      <w:r w:rsidRPr="00F72C80">
        <w:rPr>
          <w:sz w:val="18"/>
          <w:szCs w:val="18"/>
        </w:rPr>
        <w:t xml:space="preserve"> sufficient capacity to meet the forecast 10% probability of exceedance peak demand plus a reserve margin, and </w:t>
      </w:r>
      <w:r>
        <w:rPr>
          <w:sz w:val="18"/>
          <w:szCs w:val="18"/>
        </w:rPr>
        <w:t xml:space="preserve">currently </w:t>
      </w:r>
      <w:r w:rsidRPr="00F72C80">
        <w:rPr>
          <w:sz w:val="18"/>
          <w:szCs w:val="18"/>
        </w:rPr>
        <w:t>limits expected unserved energy to 0.002% of annual energy.</w:t>
      </w:r>
    </w:p>
  </w:footnote>
  <w:footnote w:id="7">
    <w:p w14:paraId="0DD67D1E" w14:textId="07F323A7" w:rsidR="00933DC2" w:rsidRDefault="00933DC2" w:rsidP="00EF4A29">
      <w:r>
        <w:rPr>
          <w:rStyle w:val="FootnoteReference"/>
        </w:rPr>
        <w:footnoteRef/>
      </w:r>
      <w:r>
        <w:t xml:space="preserve"> </w:t>
      </w:r>
      <w:r w:rsidR="002E6437">
        <w:t xml:space="preserve">As noted in Section </w:t>
      </w:r>
      <w:r w:rsidR="00C41B5D">
        <w:t>2</w:t>
      </w:r>
      <w:r w:rsidR="002E6437">
        <w:t xml:space="preserve">, </w:t>
      </w:r>
      <w:r w:rsidR="002E6437">
        <w:rPr>
          <w:lang w:val="en-GB" w:eastAsia="en-AU"/>
        </w:rPr>
        <w:t>CIS tenders will be integrated with existing state and territory schemes where such schemes exist</w:t>
      </w:r>
      <w:r w:rsidR="00365E3E">
        <w:rPr>
          <w:lang w:val="en-GB" w:eastAsia="en-AU"/>
        </w:rPr>
        <w:t xml:space="preserve">, such as the NSW </w:t>
      </w:r>
      <w:r w:rsidR="00C41B5D">
        <w:rPr>
          <w:lang w:val="en-GB" w:eastAsia="en-AU"/>
        </w:rPr>
        <w:t xml:space="preserve">Electricity Infrastructure Roadmap. </w:t>
      </w:r>
      <w:r w:rsidR="00DF1C54">
        <w:rPr>
          <w:lang w:val="en-GB" w:eastAsia="en-AU"/>
        </w:rPr>
        <w:t xml:space="preserve">This may also result in jurisdiction-specific eligibility criteria. </w:t>
      </w:r>
      <w:r w:rsidR="00267CB1">
        <w:rPr>
          <w:lang w:val="en-GB" w:eastAsia="en-AU"/>
        </w:rPr>
        <w:t>In these cases</w:t>
      </w:r>
      <w:r w:rsidR="009D1729">
        <w:rPr>
          <w:lang w:val="en-GB" w:eastAsia="en-AU"/>
        </w:rPr>
        <w:t xml:space="preserve">, any </w:t>
      </w:r>
      <w:r w:rsidR="00231826">
        <w:rPr>
          <w:lang w:val="en-GB" w:eastAsia="en-AU"/>
        </w:rPr>
        <w:t>specific eligibility criteria</w:t>
      </w:r>
      <w:r w:rsidR="00954BFB">
        <w:rPr>
          <w:lang w:val="en-GB" w:eastAsia="en-AU"/>
        </w:rPr>
        <w:t xml:space="preserve"> </w:t>
      </w:r>
      <w:r w:rsidR="00954BFB">
        <w:t>will be outlined in the tender guidelines for th</w:t>
      </w:r>
      <w:r w:rsidR="00B70481">
        <w:t>at</w:t>
      </w:r>
      <w:r w:rsidR="00954BFB">
        <w:t xml:space="preserve"> tender</w:t>
      </w:r>
      <w:r w:rsidR="003441E5">
        <w:t>.</w:t>
      </w:r>
    </w:p>
  </w:footnote>
  <w:footnote w:id="8">
    <w:p w14:paraId="35D73EAC" w14:textId="77777777" w:rsidR="00DB2FAB" w:rsidRPr="00EF4A29" w:rsidRDefault="00DB2FAB" w:rsidP="00DB2FAB">
      <w:pPr>
        <w:pStyle w:val="FootnoteText"/>
        <w:rPr>
          <w:sz w:val="16"/>
          <w:szCs w:val="16"/>
        </w:rPr>
      </w:pPr>
      <w:r>
        <w:rPr>
          <w:rStyle w:val="FootnoteReference"/>
        </w:rPr>
        <w:footnoteRef/>
      </w:r>
      <w:r>
        <w:t xml:space="preserve"> </w:t>
      </w:r>
      <w:r w:rsidRPr="00EF4A29">
        <w:rPr>
          <w:sz w:val="16"/>
          <w:szCs w:val="16"/>
        </w:rPr>
        <w:t xml:space="preserve">Recognising their variable nature, capacity credits for intermittent generators in the WA Reserve Capacity Mechanism are </w:t>
      </w:r>
      <w:r>
        <w:rPr>
          <w:sz w:val="16"/>
          <w:szCs w:val="16"/>
        </w:rPr>
        <w:t>assigned</w:t>
      </w:r>
      <w:r w:rsidRPr="00EF4A29">
        <w:rPr>
          <w:sz w:val="16"/>
          <w:szCs w:val="16"/>
        </w:rPr>
        <w:t xml:space="preserve"> </w:t>
      </w:r>
      <w:r>
        <w:rPr>
          <w:sz w:val="16"/>
          <w:szCs w:val="16"/>
        </w:rPr>
        <w:t xml:space="preserve">under a different methodology </w:t>
      </w:r>
      <w:r w:rsidRPr="00EF4A29">
        <w:rPr>
          <w:sz w:val="16"/>
          <w:szCs w:val="16"/>
        </w:rPr>
        <w:t xml:space="preserve">to </w:t>
      </w:r>
      <w:r>
        <w:rPr>
          <w:sz w:val="16"/>
          <w:szCs w:val="16"/>
        </w:rPr>
        <w:t xml:space="preserve">the one used </w:t>
      </w:r>
      <w:r w:rsidRPr="00EF4A29">
        <w:rPr>
          <w:sz w:val="16"/>
          <w:szCs w:val="16"/>
        </w:rPr>
        <w:t>for non-intermittent generators and storage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24E" w14:textId="27357E94" w:rsidR="004545EE" w:rsidRDefault="00D435CC" w:rsidP="00C412F8">
    <w:pPr>
      <w:pStyle w:val="Header"/>
    </w:pPr>
    <w:r w:rsidRPr="00180BF8">
      <w:rPr>
        <w:noProof/>
        <w:lang w:eastAsia="en-AU"/>
      </w:rPr>
      <w:drawing>
        <wp:inline distT="0" distB="0" distL="0" distR="0" wp14:anchorId="6A5F58FF" wp14:editId="66E62B51">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577A21">
      <w:t xml:space="preserve">     </w:t>
    </w:r>
    <w:r w:rsidR="00577A21" w:rsidRPr="00664E19">
      <w:rPr>
        <w:color w:val="FF0000"/>
      </w:rPr>
      <w:t xml:space="preserve"> </w:t>
    </w:r>
    <w:r w:rsidR="00664E19">
      <w:rPr>
        <w:color w:val="FF0000"/>
      </w:rPr>
      <w:t xml:space="preserve">   </w:t>
    </w:r>
  </w:p>
  <w:p w14:paraId="36F3690C" w14:textId="77777777" w:rsidR="004545EE" w:rsidRDefault="00454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045"/>
    <w:multiLevelType w:val="hybridMultilevel"/>
    <w:tmpl w:val="0D7EED2A"/>
    <w:lvl w:ilvl="0" w:tplc="051C7360">
      <w:start w:val="1"/>
      <w:numFmt w:val="bullet"/>
      <w:lvlText w:val=""/>
      <w:lvlJc w:val="left"/>
      <w:pPr>
        <w:ind w:left="720" w:hanging="360"/>
      </w:pPr>
      <w:rPr>
        <w:rFonts w:ascii="Symbol" w:hAnsi="Symbol"/>
      </w:rPr>
    </w:lvl>
    <w:lvl w:ilvl="1" w:tplc="9DD0B6F6">
      <w:start w:val="1"/>
      <w:numFmt w:val="bullet"/>
      <w:lvlText w:val=""/>
      <w:lvlJc w:val="left"/>
      <w:pPr>
        <w:ind w:left="720" w:hanging="360"/>
      </w:pPr>
      <w:rPr>
        <w:rFonts w:ascii="Symbol" w:hAnsi="Symbol"/>
      </w:rPr>
    </w:lvl>
    <w:lvl w:ilvl="2" w:tplc="99AC0A4C">
      <w:start w:val="1"/>
      <w:numFmt w:val="bullet"/>
      <w:lvlText w:val=""/>
      <w:lvlJc w:val="left"/>
      <w:pPr>
        <w:ind w:left="720" w:hanging="360"/>
      </w:pPr>
      <w:rPr>
        <w:rFonts w:ascii="Symbol" w:hAnsi="Symbol"/>
      </w:rPr>
    </w:lvl>
    <w:lvl w:ilvl="3" w:tplc="413A9820">
      <w:start w:val="1"/>
      <w:numFmt w:val="bullet"/>
      <w:lvlText w:val=""/>
      <w:lvlJc w:val="left"/>
      <w:pPr>
        <w:ind w:left="720" w:hanging="360"/>
      </w:pPr>
      <w:rPr>
        <w:rFonts w:ascii="Symbol" w:hAnsi="Symbol"/>
      </w:rPr>
    </w:lvl>
    <w:lvl w:ilvl="4" w:tplc="7BCCB54E">
      <w:start w:val="1"/>
      <w:numFmt w:val="bullet"/>
      <w:lvlText w:val=""/>
      <w:lvlJc w:val="left"/>
      <w:pPr>
        <w:ind w:left="720" w:hanging="360"/>
      </w:pPr>
      <w:rPr>
        <w:rFonts w:ascii="Symbol" w:hAnsi="Symbol"/>
      </w:rPr>
    </w:lvl>
    <w:lvl w:ilvl="5" w:tplc="187CA846">
      <w:start w:val="1"/>
      <w:numFmt w:val="bullet"/>
      <w:lvlText w:val=""/>
      <w:lvlJc w:val="left"/>
      <w:pPr>
        <w:ind w:left="720" w:hanging="360"/>
      </w:pPr>
      <w:rPr>
        <w:rFonts w:ascii="Symbol" w:hAnsi="Symbol"/>
      </w:rPr>
    </w:lvl>
    <w:lvl w:ilvl="6" w:tplc="250CA7F6">
      <w:start w:val="1"/>
      <w:numFmt w:val="bullet"/>
      <w:lvlText w:val=""/>
      <w:lvlJc w:val="left"/>
      <w:pPr>
        <w:ind w:left="720" w:hanging="360"/>
      </w:pPr>
      <w:rPr>
        <w:rFonts w:ascii="Symbol" w:hAnsi="Symbol"/>
      </w:rPr>
    </w:lvl>
    <w:lvl w:ilvl="7" w:tplc="3C342AA6">
      <w:start w:val="1"/>
      <w:numFmt w:val="bullet"/>
      <w:lvlText w:val=""/>
      <w:lvlJc w:val="left"/>
      <w:pPr>
        <w:ind w:left="720" w:hanging="360"/>
      </w:pPr>
      <w:rPr>
        <w:rFonts w:ascii="Symbol" w:hAnsi="Symbol"/>
      </w:rPr>
    </w:lvl>
    <w:lvl w:ilvl="8" w:tplc="85769548">
      <w:start w:val="1"/>
      <w:numFmt w:val="bullet"/>
      <w:lvlText w:val=""/>
      <w:lvlJc w:val="left"/>
      <w:pPr>
        <w:ind w:left="720" w:hanging="360"/>
      </w:pPr>
      <w:rPr>
        <w:rFonts w:ascii="Symbol" w:hAnsi="Symbol"/>
      </w:rPr>
    </w:lvl>
  </w:abstractNum>
  <w:abstractNum w:abstractNumId="1" w15:restartNumberingAfterBreak="0">
    <w:nsid w:val="049B5EED"/>
    <w:multiLevelType w:val="hybridMultilevel"/>
    <w:tmpl w:val="9F1A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66F29"/>
    <w:multiLevelType w:val="hybridMultilevel"/>
    <w:tmpl w:val="86168A4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66C00BA"/>
    <w:multiLevelType w:val="hybridMultilevel"/>
    <w:tmpl w:val="0CD839E8"/>
    <w:lvl w:ilvl="0" w:tplc="04405AB6">
      <w:start w:val="1"/>
      <w:numFmt w:val="bullet"/>
      <w:lvlText w:val=""/>
      <w:lvlJc w:val="left"/>
      <w:pPr>
        <w:ind w:left="720" w:hanging="360"/>
      </w:pPr>
      <w:rPr>
        <w:rFonts w:ascii="Symbol" w:hAnsi="Symbol"/>
      </w:rPr>
    </w:lvl>
    <w:lvl w:ilvl="1" w:tplc="6C9621A6">
      <w:start w:val="1"/>
      <w:numFmt w:val="bullet"/>
      <w:lvlText w:val=""/>
      <w:lvlJc w:val="left"/>
      <w:pPr>
        <w:ind w:left="720" w:hanging="360"/>
      </w:pPr>
      <w:rPr>
        <w:rFonts w:ascii="Symbol" w:hAnsi="Symbol"/>
      </w:rPr>
    </w:lvl>
    <w:lvl w:ilvl="2" w:tplc="2C6C9B1E">
      <w:start w:val="1"/>
      <w:numFmt w:val="bullet"/>
      <w:lvlText w:val=""/>
      <w:lvlJc w:val="left"/>
      <w:pPr>
        <w:ind w:left="720" w:hanging="360"/>
      </w:pPr>
      <w:rPr>
        <w:rFonts w:ascii="Symbol" w:hAnsi="Symbol"/>
      </w:rPr>
    </w:lvl>
    <w:lvl w:ilvl="3" w:tplc="54A0F47E">
      <w:start w:val="1"/>
      <w:numFmt w:val="bullet"/>
      <w:lvlText w:val=""/>
      <w:lvlJc w:val="left"/>
      <w:pPr>
        <w:ind w:left="720" w:hanging="360"/>
      </w:pPr>
      <w:rPr>
        <w:rFonts w:ascii="Symbol" w:hAnsi="Symbol"/>
      </w:rPr>
    </w:lvl>
    <w:lvl w:ilvl="4" w:tplc="0A2A284A">
      <w:start w:val="1"/>
      <w:numFmt w:val="bullet"/>
      <w:lvlText w:val=""/>
      <w:lvlJc w:val="left"/>
      <w:pPr>
        <w:ind w:left="720" w:hanging="360"/>
      </w:pPr>
      <w:rPr>
        <w:rFonts w:ascii="Symbol" w:hAnsi="Symbol"/>
      </w:rPr>
    </w:lvl>
    <w:lvl w:ilvl="5" w:tplc="E2A0A680">
      <w:start w:val="1"/>
      <w:numFmt w:val="bullet"/>
      <w:lvlText w:val=""/>
      <w:lvlJc w:val="left"/>
      <w:pPr>
        <w:ind w:left="720" w:hanging="360"/>
      </w:pPr>
      <w:rPr>
        <w:rFonts w:ascii="Symbol" w:hAnsi="Symbol"/>
      </w:rPr>
    </w:lvl>
    <w:lvl w:ilvl="6" w:tplc="2B5E3180">
      <w:start w:val="1"/>
      <w:numFmt w:val="bullet"/>
      <w:lvlText w:val=""/>
      <w:lvlJc w:val="left"/>
      <w:pPr>
        <w:ind w:left="720" w:hanging="360"/>
      </w:pPr>
      <w:rPr>
        <w:rFonts w:ascii="Symbol" w:hAnsi="Symbol"/>
      </w:rPr>
    </w:lvl>
    <w:lvl w:ilvl="7" w:tplc="7292C45E">
      <w:start w:val="1"/>
      <w:numFmt w:val="bullet"/>
      <w:lvlText w:val=""/>
      <w:lvlJc w:val="left"/>
      <w:pPr>
        <w:ind w:left="720" w:hanging="360"/>
      </w:pPr>
      <w:rPr>
        <w:rFonts w:ascii="Symbol" w:hAnsi="Symbol"/>
      </w:rPr>
    </w:lvl>
    <w:lvl w:ilvl="8" w:tplc="0478AB5A">
      <w:start w:val="1"/>
      <w:numFmt w:val="bullet"/>
      <w:lvlText w:val=""/>
      <w:lvlJc w:val="left"/>
      <w:pPr>
        <w:ind w:left="720" w:hanging="360"/>
      </w:pPr>
      <w:rPr>
        <w:rFonts w:ascii="Symbol" w:hAnsi="Symbol"/>
      </w:rPr>
    </w:lvl>
  </w:abstractNum>
  <w:abstractNum w:abstractNumId="4" w15:restartNumberingAfterBreak="0">
    <w:nsid w:val="07963406"/>
    <w:multiLevelType w:val="hybridMultilevel"/>
    <w:tmpl w:val="2162FEFE"/>
    <w:lvl w:ilvl="0" w:tplc="F9E2EE7C">
      <w:start w:val="1"/>
      <w:numFmt w:val="bullet"/>
      <w:lvlText w:val=""/>
      <w:lvlJc w:val="left"/>
      <w:pPr>
        <w:ind w:left="1440" w:hanging="360"/>
      </w:pPr>
      <w:rPr>
        <w:rFonts w:ascii="Symbol" w:hAnsi="Symbol"/>
      </w:rPr>
    </w:lvl>
    <w:lvl w:ilvl="1" w:tplc="C24ECC2C">
      <w:start w:val="1"/>
      <w:numFmt w:val="bullet"/>
      <w:lvlText w:val=""/>
      <w:lvlJc w:val="left"/>
      <w:pPr>
        <w:ind w:left="1440" w:hanging="360"/>
      </w:pPr>
      <w:rPr>
        <w:rFonts w:ascii="Symbol" w:hAnsi="Symbol"/>
      </w:rPr>
    </w:lvl>
    <w:lvl w:ilvl="2" w:tplc="397CC174">
      <w:start w:val="1"/>
      <w:numFmt w:val="bullet"/>
      <w:lvlText w:val=""/>
      <w:lvlJc w:val="left"/>
      <w:pPr>
        <w:ind w:left="1440" w:hanging="360"/>
      </w:pPr>
      <w:rPr>
        <w:rFonts w:ascii="Symbol" w:hAnsi="Symbol"/>
      </w:rPr>
    </w:lvl>
    <w:lvl w:ilvl="3" w:tplc="004CC62C">
      <w:start w:val="1"/>
      <w:numFmt w:val="bullet"/>
      <w:lvlText w:val=""/>
      <w:lvlJc w:val="left"/>
      <w:pPr>
        <w:ind w:left="1440" w:hanging="360"/>
      </w:pPr>
      <w:rPr>
        <w:rFonts w:ascii="Symbol" w:hAnsi="Symbol"/>
      </w:rPr>
    </w:lvl>
    <w:lvl w:ilvl="4" w:tplc="FD5675D8">
      <w:start w:val="1"/>
      <w:numFmt w:val="bullet"/>
      <w:lvlText w:val=""/>
      <w:lvlJc w:val="left"/>
      <w:pPr>
        <w:ind w:left="1440" w:hanging="360"/>
      </w:pPr>
      <w:rPr>
        <w:rFonts w:ascii="Symbol" w:hAnsi="Symbol"/>
      </w:rPr>
    </w:lvl>
    <w:lvl w:ilvl="5" w:tplc="70503FC4">
      <w:start w:val="1"/>
      <w:numFmt w:val="bullet"/>
      <w:lvlText w:val=""/>
      <w:lvlJc w:val="left"/>
      <w:pPr>
        <w:ind w:left="1440" w:hanging="360"/>
      </w:pPr>
      <w:rPr>
        <w:rFonts w:ascii="Symbol" w:hAnsi="Symbol"/>
      </w:rPr>
    </w:lvl>
    <w:lvl w:ilvl="6" w:tplc="92B46D00">
      <w:start w:val="1"/>
      <w:numFmt w:val="bullet"/>
      <w:lvlText w:val=""/>
      <w:lvlJc w:val="left"/>
      <w:pPr>
        <w:ind w:left="1440" w:hanging="360"/>
      </w:pPr>
      <w:rPr>
        <w:rFonts w:ascii="Symbol" w:hAnsi="Symbol"/>
      </w:rPr>
    </w:lvl>
    <w:lvl w:ilvl="7" w:tplc="340E57FC">
      <w:start w:val="1"/>
      <w:numFmt w:val="bullet"/>
      <w:lvlText w:val=""/>
      <w:lvlJc w:val="left"/>
      <w:pPr>
        <w:ind w:left="1440" w:hanging="360"/>
      </w:pPr>
      <w:rPr>
        <w:rFonts w:ascii="Symbol" w:hAnsi="Symbol"/>
      </w:rPr>
    </w:lvl>
    <w:lvl w:ilvl="8" w:tplc="F28209AE">
      <w:start w:val="1"/>
      <w:numFmt w:val="bullet"/>
      <w:lvlText w:val=""/>
      <w:lvlJc w:val="left"/>
      <w:pPr>
        <w:ind w:left="1440" w:hanging="360"/>
      </w:pPr>
      <w:rPr>
        <w:rFonts w:ascii="Symbol" w:hAnsi="Symbol"/>
      </w:rPr>
    </w:lvl>
  </w:abstractNum>
  <w:abstractNum w:abstractNumId="5" w15:restartNumberingAfterBreak="0">
    <w:nsid w:val="08236317"/>
    <w:multiLevelType w:val="hybridMultilevel"/>
    <w:tmpl w:val="85C8B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91539F"/>
    <w:multiLevelType w:val="hybridMultilevel"/>
    <w:tmpl w:val="BAD03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17E06"/>
    <w:multiLevelType w:val="hybridMultilevel"/>
    <w:tmpl w:val="E942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1272E"/>
    <w:multiLevelType w:val="hybridMultilevel"/>
    <w:tmpl w:val="9634E91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9" w15:restartNumberingAfterBreak="0">
    <w:nsid w:val="11A35E02"/>
    <w:multiLevelType w:val="hybridMultilevel"/>
    <w:tmpl w:val="8A60F3A4"/>
    <w:lvl w:ilvl="0" w:tplc="816A3D2A">
      <w:start w:val="1"/>
      <w:numFmt w:val="bullet"/>
      <w:lvlText w:val=""/>
      <w:lvlJc w:val="left"/>
      <w:pPr>
        <w:ind w:left="1080" w:hanging="360"/>
      </w:pPr>
      <w:rPr>
        <w:rFonts w:ascii="Symbol" w:hAnsi="Symbol"/>
      </w:rPr>
    </w:lvl>
    <w:lvl w:ilvl="1" w:tplc="F8520880">
      <w:start w:val="1"/>
      <w:numFmt w:val="bullet"/>
      <w:lvlText w:val=""/>
      <w:lvlJc w:val="left"/>
      <w:pPr>
        <w:ind w:left="1080" w:hanging="360"/>
      </w:pPr>
      <w:rPr>
        <w:rFonts w:ascii="Symbol" w:hAnsi="Symbol"/>
      </w:rPr>
    </w:lvl>
    <w:lvl w:ilvl="2" w:tplc="991C5526">
      <w:start w:val="1"/>
      <w:numFmt w:val="bullet"/>
      <w:lvlText w:val=""/>
      <w:lvlJc w:val="left"/>
      <w:pPr>
        <w:ind w:left="1080" w:hanging="360"/>
      </w:pPr>
      <w:rPr>
        <w:rFonts w:ascii="Symbol" w:hAnsi="Symbol"/>
      </w:rPr>
    </w:lvl>
    <w:lvl w:ilvl="3" w:tplc="26085582">
      <w:start w:val="1"/>
      <w:numFmt w:val="bullet"/>
      <w:lvlText w:val=""/>
      <w:lvlJc w:val="left"/>
      <w:pPr>
        <w:ind w:left="1080" w:hanging="360"/>
      </w:pPr>
      <w:rPr>
        <w:rFonts w:ascii="Symbol" w:hAnsi="Symbol"/>
      </w:rPr>
    </w:lvl>
    <w:lvl w:ilvl="4" w:tplc="E3D614A8">
      <w:start w:val="1"/>
      <w:numFmt w:val="bullet"/>
      <w:lvlText w:val=""/>
      <w:lvlJc w:val="left"/>
      <w:pPr>
        <w:ind w:left="1080" w:hanging="360"/>
      </w:pPr>
      <w:rPr>
        <w:rFonts w:ascii="Symbol" w:hAnsi="Symbol"/>
      </w:rPr>
    </w:lvl>
    <w:lvl w:ilvl="5" w:tplc="B0960F44">
      <w:start w:val="1"/>
      <w:numFmt w:val="bullet"/>
      <w:lvlText w:val=""/>
      <w:lvlJc w:val="left"/>
      <w:pPr>
        <w:ind w:left="1080" w:hanging="360"/>
      </w:pPr>
      <w:rPr>
        <w:rFonts w:ascii="Symbol" w:hAnsi="Symbol"/>
      </w:rPr>
    </w:lvl>
    <w:lvl w:ilvl="6" w:tplc="E6C2230C">
      <w:start w:val="1"/>
      <w:numFmt w:val="bullet"/>
      <w:lvlText w:val=""/>
      <w:lvlJc w:val="left"/>
      <w:pPr>
        <w:ind w:left="1080" w:hanging="360"/>
      </w:pPr>
      <w:rPr>
        <w:rFonts w:ascii="Symbol" w:hAnsi="Symbol"/>
      </w:rPr>
    </w:lvl>
    <w:lvl w:ilvl="7" w:tplc="DB64427E">
      <w:start w:val="1"/>
      <w:numFmt w:val="bullet"/>
      <w:lvlText w:val=""/>
      <w:lvlJc w:val="left"/>
      <w:pPr>
        <w:ind w:left="1080" w:hanging="360"/>
      </w:pPr>
      <w:rPr>
        <w:rFonts w:ascii="Symbol" w:hAnsi="Symbol"/>
      </w:rPr>
    </w:lvl>
    <w:lvl w:ilvl="8" w:tplc="487C1EAC">
      <w:start w:val="1"/>
      <w:numFmt w:val="bullet"/>
      <w:lvlText w:val=""/>
      <w:lvlJc w:val="left"/>
      <w:pPr>
        <w:ind w:left="1080" w:hanging="360"/>
      </w:pPr>
      <w:rPr>
        <w:rFonts w:ascii="Symbol" w:hAnsi="Symbol"/>
      </w:rPr>
    </w:lvl>
  </w:abstractNum>
  <w:abstractNum w:abstractNumId="10" w15:restartNumberingAfterBreak="0">
    <w:nsid w:val="11CB4433"/>
    <w:multiLevelType w:val="hybridMultilevel"/>
    <w:tmpl w:val="368E4B6E"/>
    <w:lvl w:ilvl="0" w:tplc="473EA14C">
      <w:start w:val="1"/>
      <w:numFmt w:val="bullet"/>
      <w:lvlText w:val=""/>
      <w:lvlJc w:val="left"/>
      <w:pPr>
        <w:ind w:left="1440" w:hanging="360"/>
      </w:pPr>
      <w:rPr>
        <w:rFonts w:ascii="Symbol" w:hAnsi="Symbol"/>
      </w:rPr>
    </w:lvl>
    <w:lvl w:ilvl="1" w:tplc="5866A6C2">
      <w:start w:val="1"/>
      <w:numFmt w:val="bullet"/>
      <w:lvlText w:val=""/>
      <w:lvlJc w:val="left"/>
      <w:pPr>
        <w:ind w:left="1440" w:hanging="360"/>
      </w:pPr>
      <w:rPr>
        <w:rFonts w:ascii="Symbol" w:hAnsi="Symbol"/>
      </w:rPr>
    </w:lvl>
    <w:lvl w:ilvl="2" w:tplc="CFFC92D4">
      <w:start w:val="1"/>
      <w:numFmt w:val="bullet"/>
      <w:lvlText w:val=""/>
      <w:lvlJc w:val="left"/>
      <w:pPr>
        <w:ind w:left="1440" w:hanging="360"/>
      </w:pPr>
      <w:rPr>
        <w:rFonts w:ascii="Symbol" w:hAnsi="Symbol"/>
      </w:rPr>
    </w:lvl>
    <w:lvl w:ilvl="3" w:tplc="4474A41A">
      <w:start w:val="1"/>
      <w:numFmt w:val="bullet"/>
      <w:lvlText w:val=""/>
      <w:lvlJc w:val="left"/>
      <w:pPr>
        <w:ind w:left="1440" w:hanging="360"/>
      </w:pPr>
      <w:rPr>
        <w:rFonts w:ascii="Symbol" w:hAnsi="Symbol"/>
      </w:rPr>
    </w:lvl>
    <w:lvl w:ilvl="4" w:tplc="F2149806">
      <w:start w:val="1"/>
      <w:numFmt w:val="bullet"/>
      <w:lvlText w:val=""/>
      <w:lvlJc w:val="left"/>
      <w:pPr>
        <w:ind w:left="1440" w:hanging="360"/>
      </w:pPr>
      <w:rPr>
        <w:rFonts w:ascii="Symbol" w:hAnsi="Symbol"/>
      </w:rPr>
    </w:lvl>
    <w:lvl w:ilvl="5" w:tplc="9CF62F34">
      <w:start w:val="1"/>
      <w:numFmt w:val="bullet"/>
      <w:lvlText w:val=""/>
      <w:lvlJc w:val="left"/>
      <w:pPr>
        <w:ind w:left="1440" w:hanging="360"/>
      </w:pPr>
      <w:rPr>
        <w:rFonts w:ascii="Symbol" w:hAnsi="Symbol"/>
      </w:rPr>
    </w:lvl>
    <w:lvl w:ilvl="6" w:tplc="33D26268">
      <w:start w:val="1"/>
      <w:numFmt w:val="bullet"/>
      <w:lvlText w:val=""/>
      <w:lvlJc w:val="left"/>
      <w:pPr>
        <w:ind w:left="1440" w:hanging="360"/>
      </w:pPr>
      <w:rPr>
        <w:rFonts w:ascii="Symbol" w:hAnsi="Symbol"/>
      </w:rPr>
    </w:lvl>
    <w:lvl w:ilvl="7" w:tplc="AA8EB35E">
      <w:start w:val="1"/>
      <w:numFmt w:val="bullet"/>
      <w:lvlText w:val=""/>
      <w:lvlJc w:val="left"/>
      <w:pPr>
        <w:ind w:left="1440" w:hanging="360"/>
      </w:pPr>
      <w:rPr>
        <w:rFonts w:ascii="Symbol" w:hAnsi="Symbol"/>
      </w:rPr>
    </w:lvl>
    <w:lvl w:ilvl="8" w:tplc="B40A6648">
      <w:start w:val="1"/>
      <w:numFmt w:val="bullet"/>
      <w:lvlText w:val=""/>
      <w:lvlJc w:val="left"/>
      <w:pPr>
        <w:ind w:left="1440" w:hanging="360"/>
      </w:pPr>
      <w:rPr>
        <w:rFonts w:ascii="Symbol" w:hAnsi="Symbol"/>
      </w:rPr>
    </w:lvl>
  </w:abstractNum>
  <w:abstractNum w:abstractNumId="11" w15:restartNumberingAfterBreak="0">
    <w:nsid w:val="12D7006C"/>
    <w:multiLevelType w:val="hybridMultilevel"/>
    <w:tmpl w:val="AB14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99F6AC"/>
    <w:multiLevelType w:val="hybridMultilevel"/>
    <w:tmpl w:val="FFFFFFFF"/>
    <w:lvl w:ilvl="0" w:tplc="D5EECA04">
      <w:start w:val="1"/>
      <w:numFmt w:val="decimal"/>
      <w:lvlText w:val="%1."/>
      <w:lvlJc w:val="left"/>
      <w:pPr>
        <w:ind w:left="720" w:hanging="360"/>
      </w:pPr>
    </w:lvl>
    <w:lvl w:ilvl="1" w:tplc="B5980DA4">
      <w:start w:val="1"/>
      <w:numFmt w:val="lowerLetter"/>
      <w:lvlText w:val="%2."/>
      <w:lvlJc w:val="left"/>
      <w:pPr>
        <w:ind w:left="1440" w:hanging="360"/>
      </w:pPr>
    </w:lvl>
    <w:lvl w:ilvl="2" w:tplc="984895F4">
      <w:start w:val="1"/>
      <w:numFmt w:val="lowerRoman"/>
      <w:lvlText w:val="%3."/>
      <w:lvlJc w:val="right"/>
      <w:pPr>
        <w:ind w:left="2160" w:hanging="180"/>
      </w:pPr>
    </w:lvl>
    <w:lvl w:ilvl="3" w:tplc="517464FA">
      <w:start w:val="1"/>
      <w:numFmt w:val="decimal"/>
      <w:lvlText w:val="%4."/>
      <w:lvlJc w:val="left"/>
      <w:pPr>
        <w:ind w:left="2880" w:hanging="360"/>
      </w:pPr>
    </w:lvl>
    <w:lvl w:ilvl="4" w:tplc="4EE8A798">
      <w:start w:val="1"/>
      <w:numFmt w:val="lowerLetter"/>
      <w:lvlText w:val="%5."/>
      <w:lvlJc w:val="left"/>
      <w:pPr>
        <w:ind w:left="3600" w:hanging="360"/>
      </w:pPr>
    </w:lvl>
    <w:lvl w:ilvl="5" w:tplc="1C987CAA">
      <w:start w:val="1"/>
      <w:numFmt w:val="lowerRoman"/>
      <w:lvlText w:val="%6."/>
      <w:lvlJc w:val="right"/>
      <w:pPr>
        <w:ind w:left="4320" w:hanging="180"/>
      </w:pPr>
    </w:lvl>
    <w:lvl w:ilvl="6" w:tplc="1BBA178C">
      <w:start w:val="1"/>
      <w:numFmt w:val="decimal"/>
      <w:lvlText w:val="%7."/>
      <w:lvlJc w:val="left"/>
      <w:pPr>
        <w:ind w:left="5040" w:hanging="360"/>
      </w:pPr>
    </w:lvl>
    <w:lvl w:ilvl="7" w:tplc="DAF6946A">
      <w:start w:val="1"/>
      <w:numFmt w:val="lowerLetter"/>
      <w:lvlText w:val="%8."/>
      <w:lvlJc w:val="left"/>
      <w:pPr>
        <w:ind w:left="5760" w:hanging="360"/>
      </w:pPr>
    </w:lvl>
    <w:lvl w:ilvl="8" w:tplc="553AE26E">
      <w:start w:val="1"/>
      <w:numFmt w:val="lowerRoman"/>
      <w:lvlText w:val="%9."/>
      <w:lvlJc w:val="right"/>
      <w:pPr>
        <w:ind w:left="6480" w:hanging="180"/>
      </w:pPr>
    </w:lvl>
  </w:abstractNum>
  <w:abstractNum w:abstractNumId="13" w15:restartNumberingAfterBreak="0">
    <w:nsid w:val="13EB5B3A"/>
    <w:multiLevelType w:val="hybridMultilevel"/>
    <w:tmpl w:val="1DF837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5150CA0"/>
    <w:multiLevelType w:val="hybridMultilevel"/>
    <w:tmpl w:val="194A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37250C"/>
    <w:multiLevelType w:val="hybridMultilevel"/>
    <w:tmpl w:val="87AA0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FC1D85"/>
    <w:multiLevelType w:val="multilevel"/>
    <w:tmpl w:val="99969494"/>
    <w:lvl w:ilvl="0">
      <w:start w:val="1"/>
      <w:numFmt w:val="decimal"/>
      <w:pStyle w:val="HEADINGL1BLUE"/>
      <w:lvlText w:val="%1."/>
      <w:lvlJc w:val="left"/>
      <w:pPr>
        <w:ind w:left="360" w:hanging="360"/>
      </w:pPr>
      <w:rPr>
        <w:rFonts w:hint="default"/>
      </w:rPr>
    </w:lvl>
    <w:lvl w:ilvl="1">
      <w:start w:val="1"/>
      <w:numFmt w:val="decimal"/>
      <w:pStyle w:val="Heading2"/>
      <w:lvlText w:val="%1.%2."/>
      <w:lvlJc w:val="left"/>
      <w:pPr>
        <w:ind w:left="432" w:hanging="432"/>
      </w:pPr>
      <w:rPr>
        <w:rFonts w:ascii="Arial" w:hAnsi="Arial" w:cstheme="minorHAnsi" w:hint="default"/>
        <w:lang w:val="en-GB"/>
      </w:rPr>
    </w:lvl>
    <w:lvl w:ilvl="2">
      <w:start w:val="1"/>
      <w:numFmt w:val="decimal"/>
      <w:pStyle w:val="Heading3"/>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B32FBB"/>
    <w:multiLevelType w:val="hybridMultilevel"/>
    <w:tmpl w:val="94CA7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2957FA"/>
    <w:multiLevelType w:val="hybridMultilevel"/>
    <w:tmpl w:val="B570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26373"/>
    <w:multiLevelType w:val="hybridMultilevel"/>
    <w:tmpl w:val="0892061A"/>
    <w:lvl w:ilvl="0" w:tplc="8196D990">
      <w:start w:val="1"/>
      <w:numFmt w:val="bullet"/>
      <w:lvlText w:val=""/>
      <w:lvlJc w:val="left"/>
      <w:pPr>
        <w:ind w:left="1080" w:hanging="360"/>
      </w:pPr>
      <w:rPr>
        <w:rFonts w:ascii="Symbol" w:hAnsi="Symbol"/>
      </w:rPr>
    </w:lvl>
    <w:lvl w:ilvl="1" w:tplc="0FC2FC8C">
      <w:start w:val="1"/>
      <w:numFmt w:val="bullet"/>
      <w:lvlText w:val=""/>
      <w:lvlJc w:val="left"/>
      <w:pPr>
        <w:ind w:left="1080" w:hanging="360"/>
      </w:pPr>
      <w:rPr>
        <w:rFonts w:ascii="Symbol" w:hAnsi="Symbol"/>
      </w:rPr>
    </w:lvl>
    <w:lvl w:ilvl="2" w:tplc="4A089C80">
      <w:start w:val="1"/>
      <w:numFmt w:val="bullet"/>
      <w:lvlText w:val=""/>
      <w:lvlJc w:val="left"/>
      <w:pPr>
        <w:ind w:left="1080" w:hanging="360"/>
      </w:pPr>
      <w:rPr>
        <w:rFonts w:ascii="Symbol" w:hAnsi="Symbol"/>
      </w:rPr>
    </w:lvl>
    <w:lvl w:ilvl="3" w:tplc="65947BFA">
      <w:start w:val="1"/>
      <w:numFmt w:val="bullet"/>
      <w:lvlText w:val=""/>
      <w:lvlJc w:val="left"/>
      <w:pPr>
        <w:ind w:left="1080" w:hanging="360"/>
      </w:pPr>
      <w:rPr>
        <w:rFonts w:ascii="Symbol" w:hAnsi="Symbol"/>
      </w:rPr>
    </w:lvl>
    <w:lvl w:ilvl="4" w:tplc="96C8EE28">
      <w:start w:val="1"/>
      <w:numFmt w:val="bullet"/>
      <w:lvlText w:val=""/>
      <w:lvlJc w:val="left"/>
      <w:pPr>
        <w:ind w:left="1080" w:hanging="360"/>
      </w:pPr>
      <w:rPr>
        <w:rFonts w:ascii="Symbol" w:hAnsi="Symbol"/>
      </w:rPr>
    </w:lvl>
    <w:lvl w:ilvl="5" w:tplc="139246AA">
      <w:start w:val="1"/>
      <w:numFmt w:val="bullet"/>
      <w:lvlText w:val=""/>
      <w:lvlJc w:val="left"/>
      <w:pPr>
        <w:ind w:left="1080" w:hanging="360"/>
      </w:pPr>
      <w:rPr>
        <w:rFonts w:ascii="Symbol" w:hAnsi="Symbol"/>
      </w:rPr>
    </w:lvl>
    <w:lvl w:ilvl="6" w:tplc="6D7A5D06">
      <w:start w:val="1"/>
      <w:numFmt w:val="bullet"/>
      <w:lvlText w:val=""/>
      <w:lvlJc w:val="left"/>
      <w:pPr>
        <w:ind w:left="1080" w:hanging="360"/>
      </w:pPr>
      <w:rPr>
        <w:rFonts w:ascii="Symbol" w:hAnsi="Symbol"/>
      </w:rPr>
    </w:lvl>
    <w:lvl w:ilvl="7" w:tplc="0FC45628">
      <w:start w:val="1"/>
      <w:numFmt w:val="bullet"/>
      <w:lvlText w:val=""/>
      <w:lvlJc w:val="left"/>
      <w:pPr>
        <w:ind w:left="1080" w:hanging="360"/>
      </w:pPr>
      <w:rPr>
        <w:rFonts w:ascii="Symbol" w:hAnsi="Symbol"/>
      </w:rPr>
    </w:lvl>
    <w:lvl w:ilvl="8" w:tplc="AE02F11E">
      <w:start w:val="1"/>
      <w:numFmt w:val="bullet"/>
      <w:lvlText w:val=""/>
      <w:lvlJc w:val="left"/>
      <w:pPr>
        <w:ind w:left="1080" w:hanging="360"/>
      </w:pPr>
      <w:rPr>
        <w:rFonts w:ascii="Symbol" w:hAnsi="Symbol"/>
      </w:rPr>
    </w:lvl>
  </w:abstractNum>
  <w:abstractNum w:abstractNumId="20" w15:restartNumberingAfterBreak="0">
    <w:nsid w:val="1EF269B1"/>
    <w:multiLevelType w:val="hybridMultilevel"/>
    <w:tmpl w:val="735890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576692"/>
    <w:multiLevelType w:val="hybridMultilevel"/>
    <w:tmpl w:val="5F1C39C8"/>
    <w:lvl w:ilvl="0" w:tplc="27E84634">
      <w:start w:val="1"/>
      <w:numFmt w:val="bullet"/>
      <w:lvlText w:val=""/>
      <w:lvlJc w:val="left"/>
      <w:pPr>
        <w:ind w:left="1440" w:hanging="360"/>
      </w:pPr>
      <w:rPr>
        <w:rFonts w:ascii="Symbol" w:hAnsi="Symbol"/>
      </w:rPr>
    </w:lvl>
    <w:lvl w:ilvl="1" w:tplc="BD088AE8">
      <w:start w:val="1"/>
      <w:numFmt w:val="bullet"/>
      <w:lvlText w:val=""/>
      <w:lvlJc w:val="left"/>
      <w:pPr>
        <w:ind w:left="1440" w:hanging="360"/>
      </w:pPr>
      <w:rPr>
        <w:rFonts w:ascii="Symbol" w:hAnsi="Symbol"/>
      </w:rPr>
    </w:lvl>
    <w:lvl w:ilvl="2" w:tplc="503C93FA">
      <w:start w:val="1"/>
      <w:numFmt w:val="bullet"/>
      <w:lvlText w:val=""/>
      <w:lvlJc w:val="left"/>
      <w:pPr>
        <w:ind w:left="1440" w:hanging="360"/>
      </w:pPr>
      <w:rPr>
        <w:rFonts w:ascii="Symbol" w:hAnsi="Symbol"/>
      </w:rPr>
    </w:lvl>
    <w:lvl w:ilvl="3" w:tplc="5778077C">
      <w:start w:val="1"/>
      <w:numFmt w:val="bullet"/>
      <w:lvlText w:val=""/>
      <w:lvlJc w:val="left"/>
      <w:pPr>
        <w:ind w:left="1440" w:hanging="360"/>
      </w:pPr>
      <w:rPr>
        <w:rFonts w:ascii="Symbol" w:hAnsi="Symbol"/>
      </w:rPr>
    </w:lvl>
    <w:lvl w:ilvl="4" w:tplc="83028276">
      <w:start w:val="1"/>
      <w:numFmt w:val="bullet"/>
      <w:lvlText w:val=""/>
      <w:lvlJc w:val="left"/>
      <w:pPr>
        <w:ind w:left="1440" w:hanging="360"/>
      </w:pPr>
      <w:rPr>
        <w:rFonts w:ascii="Symbol" w:hAnsi="Symbol"/>
      </w:rPr>
    </w:lvl>
    <w:lvl w:ilvl="5" w:tplc="4C887CF8">
      <w:start w:val="1"/>
      <w:numFmt w:val="bullet"/>
      <w:lvlText w:val=""/>
      <w:lvlJc w:val="left"/>
      <w:pPr>
        <w:ind w:left="1440" w:hanging="360"/>
      </w:pPr>
      <w:rPr>
        <w:rFonts w:ascii="Symbol" w:hAnsi="Symbol"/>
      </w:rPr>
    </w:lvl>
    <w:lvl w:ilvl="6" w:tplc="A252B8BA">
      <w:start w:val="1"/>
      <w:numFmt w:val="bullet"/>
      <w:lvlText w:val=""/>
      <w:lvlJc w:val="left"/>
      <w:pPr>
        <w:ind w:left="1440" w:hanging="360"/>
      </w:pPr>
      <w:rPr>
        <w:rFonts w:ascii="Symbol" w:hAnsi="Symbol"/>
      </w:rPr>
    </w:lvl>
    <w:lvl w:ilvl="7" w:tplc="502AC460">
      <w:start w:val="1"/>
      <w:numFmt w:val="bullet"/>
      <w:lvlText w:val=""/>
      <w:lvlJc w:val="left"/>
      <w:pPr>
        <w:ind w:left="1440" w:hanging="360"/>
      </w:pPr>
      <w:rPr>
        <w:rFonts w:ascii="Symbol" w:hAnsi="Symbol"/>
      </w:rPr>
    </w:lvl>
    <w:lvl w:ilvl="8" w:tplc="20C476C8">
      <w:start w:val="1"/>
      <w:numFmt w:val="bullet"/>
      <w:lvlText w:val=""/>
      <w:lvlJc w:val="left"/>
      <w:pPr>
        <w:ind w:left="1440" w:hanging="360"/>
      </w:pPr>
      <w:rPr>
        <w:rFonts w:ascii="Symbol" w:hAnsi="Symbol"/>
      </w:rPr>
    </w:lvl>
  </w:abstractNum>
  <w:abstractNum w:abstractNumId="22" w15:restartNumberingAfterBreak="0">
    <w:nsid w:val="214B6D6E"/>
    <w:multiLevelType w:val="hybridMultilevel"/>
    <w:tmpl w:val="D6A061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32A3BAA"/>
    <w:multiLevelType w:val="hybridMultilevel"/>
    <w:tmpl w:val="7604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935C48"/>
    <w:multiLevelType w:val="hybridMultilevel"/>
    <w:tmpl w:val="EAF44D4A"/>
    <w:lvl w:ilvl="0" w:tplc="6D76C030">
      <w:start w:val="1"/>
      <w:numFmt w:val="bullet"/>
      <w:lvlText w:val=""/>
      <w:lvlJc w:val="left"/>
      <w:pPr>
        <w:ind w:left="1440" w:hanging="360"/>
      </w:pPr>
      <w:rPr>
        <w:rFonts w:ascii="Symbol" w:hAnsi="Symbol"/>
      </w:rPr>
    </w:lvl>
    <w:lvl w:ilvl="1" w:tplc="813438DC">
      <w:start w:val="1"/>
      <w:numFmt w:val="bullet"/>
      <w:lvlText w:val=""/>
      <w:lvlJc w:val="left"/>
      <w:pPr>
        <w:ind w:left="1440" w:hanging="360"/>
      </w:pPr>
      <w:rPr>
        <w:rFonts w:ascii="Symbol" w:hAnsi="Symbol"/>
      </w:rPr>
    </w:lvl>
    <w:lvl w:ilvl="2" w:tplc="B1C8EB22">
      <w:start w:val="1"/>
      <w:numFmt w:val="bullet"/>
      <w:lvlText w:val=""/>
      <w:lvlJc w:val="left"/>
      <w:pPr>
        <w:ind w:left="1440" w:hanging="360"/>
      </w:pPr>
      <w:rPr>
        <w:rFonts w:ascii="Symbol" w:hAnsi="Symbol"/>
      </w:rPr>
    </w:lvl>
    <w:lvl w:ilvl="3" w:tplc="382072F8">
      <w:start w:val="1"/>
      <w:numFmt w:val="bullet"/>
      <w:lvlText w:val=""/>
      <w:lvlJc w:val="left"/>
      <w:pPr>
        <w:ind w:left="1440" w:hanging="360"/>
      </w:pPr>
      <w:rPr>
        <w:rFonts w:ascii="Symbol" w:hAnsi="Symbol"/>
      </w:rPr>
    </w:lvl>
    <w:lvl w:ilvl="4" w:tplc="33F0F122">
      <w:start w:val="1"/>
      <w:numFmt w:val="bullet"/>
      <w:lvlText w:val=""/>
      <w:lvlJc w:val="left"/>
      <w:pPr>
        <w:ind w:left="1440" w:hanging="360"/>
      </w:pPr>
      <w:rPr>
        <w:rFonts w:ascii="Symbol" w:hAnsi="Symbol"/>
      </w:rPr>
    </w:lvl>
    <w:lvl w:ilvl="5" w:tplc="636ECF9A">
      <w:start w:val="1"/>
      <w:numFmt w:val="bullet"/>
      <w:lvlText w:val=""/>
      <w:lvlJc w:val="left"/>
      <w:pPr>
        <w:ind w:left="1440" w:hanging="360"/>
      </w:pPr>
      <w:rPr>
        <w:rFonts w:ascii="Symbol" w:hAnsi="Symbol"/>
      </w:rPr>
    </w:lvl>
    <w:lvl w:ilvl="6" w:tplc="EA346870">
      <w:start w:val="1"/>
      <w:numFmt w:val="bullet"/>
      <w:lvlText w:val=""/>
      <w:lvlJc w:val="left"/>
      <w:pPr>
        <w:ind w:left="1440" w:hanging="360"/>
      </w:pPr>
      <w:rPr>
        <w:rFonts w:ascii="Symbol" w:hAnsi="Symbol"/>
      </w:rPr>
    </w:lvl>
    <w:lvl w:ilvl="7" w:tplc="07F0D302">
      <w:start w:val="1"/>
      <w:numFmt w:val="bullet"/>
      <w:lvlText w:val=""/>
      <w:lvlJc w:val="left"/>
      <w:pPr>
        <w:ind w:left="1440" w:hanging="360"/>
      </w:pPr>
      <w:rPr>
        <w:rFonts w:ascii="Symbol" w:hAnsi="Symbol"/>
      </w:rPr>
    </w:lvl>
    <w:lvl w:ilvl="8" w:tplc="AB3A6028">
      <w:start w:val="1"/>
      <w:numFmt w:val="bullet"/>
      <w:lvlText w:val=""/>
      <w:lvlJc w:val="left"/>
      <w:pPr>
        <w:ind w:left="1440" w:hanging="360"/>
      </w:pPr>
      <w:rPr>
        <w:rFonts w:ascii="Symbol" w:hAnsi="Symbol"/>
      </w:rPr>
    </w:lvl>
  </w:abstractNum>
  <w:abstractNum w:abstractNumId="25" w15:restartNumberingAfterBreak="0">
    <w:nsid w:val="2BC614F7"/>
    <w:multiLevelType w:val="hybridMultilevel"/>
    <w:tmpl w:val="1152BB4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2410A6"/>
    <w:multiLevelType w:val="hybridMultilevel"/>
    <w:tmpl w:val="D7EA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974833"/>
    <w:multiLevelType w:val="hybridMultilevel"/>
    <w:tmpl w:val="4492E2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58A3BF8"/>
    <w:multiLevelType w:val="hybridMultilevel"/>
    <w:tmpl w:val="A7EED7F4"/>
    <w:lvl w:ilvl="0" w:tplc="631E0F5E">
      <w:start w:val="1"/>
      <w:numFmt w:val="bullet"/>
      <w:lvlText w:val=""/>
      <w:lvlJc w:val="left"/>
      <w:pPr>
        <w:ind w:left="720" w:hanging="360"/>
      </w:pPr>
      <w:rPr>
        <w:rFonts w:ascii="Symbol" w:hAnsi="Symbol"/>
      </w:rPr>
    </w:lvl>
    <w:lvl w:ilvl="1" w:tplc="DD94F948">
      <w:start w:val="1"/>
      <w:numFmt w:val="bullet"/>
      <w:lvlText w:val=""/>
      <w:lvlJc w:val="left"/>
      <w:pPr>
        <w:ind w:left="720" w:hanging="360"/>
      </w:pPr>
      <w:rPr>
        <w:rFonts w:ascii="Symbol" w:hAnsi="Symbol"/>
      </w:rPr>
    </w:lvl>
    <w:lvl w:ilvl="2" w:tplc="D1B2354C">
      <w:start w:val="1"/>
      <w:numFmt w:val="bullet"/>
      <w:lvlText w:val=""/>
      <w:lvlJc w:val="left"/>
      <w:pPr>
        <w:ind w:left="720" w:hanging="360"/>
      </w:pPr>
      <w:rPr>
        <w:rFonts w:ascii="Symbol" w:hAnsi="Symbol"/>
      </w:rPr>
    </w:lvl>
    <w:lvl w:ilvl="3" w:tplc="08F02B5E">
      <w:start w:val="1"/>
      <w:numFmt w:val="bullet"/>
      <w:lvlText w:val=""/>
      <w:lvlJc w:val="left"/>
      <w:pPr>
        <w:ind w:left="720" w:hanging="360"/>
      </w:pPr>
      <w:rPr>
        <w:rFonts w:ascii="Symbol" w:hAnsi="Symbol"/>
      </w:rPr>
    </w:lvl>
    <w:lvl w:ilvl="4" w:tplc="26D8B7AE">
      <w:start w:val="1"/>
      <w:numFmt w:val="bullet"/>
      <w:lvlText w:val=""/>
      <w:lvlJc w:val="left"/>
      <w:pPr>
        <w:ind w:left="720" w:hanging="360"/>
      </w:pPr>
      <w:rPr>
        <w:rFonts w:ascii="Symbol" w:hAnsi="Symbol"/>
      </w:rPr>
    </w:lvl>
    <w:lvl w:ilvl="5" w:tplc="0BBC7596">
      <w:start w:val="1"/>
      <w:numFmt w:val="bullet"/>
      <w:lvlText w:val=""/>
      <w:lvlJc w:val="left"/>
      <w:pPr>
        <w:ind w:left="720" w:hanging="360"/>
      </w:pPr>
      <w:rPr>
        <w:rFonts w:ascii="Symbol" w:hAnsi="Symbol"/>
      </w:rPr>
    </w:lvl>
    <w:lvl w:ilvl="6" w:tplc="7D1E6644">
      <w:start w:val="1"/>
      <w:numFmt w:val="bullet"/>
      <w:lvlText w:val=""/>
      <w:lvlJc w:val="left"/>
      <w:pPr>
        <w:ind w:left="720" w:hanging="360"/>
      </w:pPr>
      <w:rPr>
        <w:rFonts w:ascii="Symbol" w:hAnsi="Symbol"/>
      </w:rPr>
    </w:lvl>
    <w:lvl w:ilvl="7" w:tplc="94AC1BD2">
      <w:start w:val="1"/>
      <w:numFmt w:val="bullet"/>
      <w:lvlText w:val=""/>
      <w:lvlJc w:val="left"/>
      <w:pPr>
        <w:ind w:left="720" w:hanging="360"/>
      </w:pPr>
      <w:rPr>
        <w:rFonts w:ascii="Symbol" w:hAnsi="Symbol"/>
      </w:rPr>
    </w:lvl>
    <w:lvl w:ilvl="8" w:tplc="AB764940">
      <w:start w:val="1"/>
      <w:numFmt w:val="bullet"/>
      <w:lvlText w:val=""/>
      <w:lvlJc w:val="left"/>
      <w:pPr>
        <w:ind w:left="720" w:hanging="360"/>
      </w:pPr>
      <w:rPr>
        <w:rFonts w:ascii="Symbol" w:hAnsi="Symbol"/>
      </w:rPr>
    </w:lvl>
  </w:abstractNum>
  <w:abstractNum w:abstractNumId="29" w15:restartNumberingAfterBreak="0">
    <w:nsid w:val="363417FE"/>
    <w:multiLevelType w:val="hybridMultilevel"/>
    <w:tmpl w:val="3E90ACEE"/>
    <w:lvl w:ilvl="0" w:tplc="AB00D0BE">
      <w:start w:val="1"/>
      <w:numFmt w:val="bullet"/>
      <w:lvlText w:val=""/>
      <w:lvlJc w:val="left"/>
      <w:pPr>
        <w:ind w:left="720" w:hanging="360"/>
      </w:pPr>
      <w:rPr>
        <w:rFonts w:ascii="Symbol" w:hAnsi="Symbol"/>
      </w:rPr>
    </w:lvl>
    <w:lvl w:ilvl="1" w:tplc="AF642436">
      <w:start w:val="1"/>
      <w:numFmt w:val="bullet"/>
      <w:lvlText w:val=""/>
      <w:lvlJc w:val="left"/>
      <w:pPr>
        <w:ind w:left="720" w:hanging="360"/>
      </w:pPr>
      <w:rPr>
        <w:rFonts w:ascii="Symbol" w:hAnsi="Symbol"/>
      </w:rPr>
    </w:lvl>
    <w:lvl w:ilvl="2" w:tplc="78F6E9F8">
      <w:start w:val="1"/>
      <w:numFmt w:val="bullet"/>
      <w:lvlText w:val=""/>
      <w:lvlJc w:val="left"/>
      <w:pPr>
        <w:ind w:left="720" w:hanging="360"/>
      </w:pPr>
      <w:rPr>
        <w:rFonts w:ascii="Symbol" w:hAnsi="Symbol"/>
      </w:rPr>
    </w:lvl>
    <w:lvl w:ilvl="3" w:tplc="77F0CD7A">
      <w:start w:val="1"/>
      <w:numFmt w:val="bullet"/>
      <w:lvlText w:val=""/>
      <w:lvlJc w:val="left"/>
      <w:pPr>
        <w:ind w:left="720" w:hanging="360"/>
      </w:pPr>
      <w:rPr>
        <w:rFonts w:ascii="Symbol" w:hAnsi="Symbol"/>
      </w:rPr>
    </w:lvl>
    <w:lvl w:ilvl="4" w:tplc="6BE6D1CA">
      <w:start w:val="1"/>
      <w:numFmt w:val="bullet"/>
      <w:lvlText w:val=""/>
      <w:lvlJc w:val="left"/>
      <w:pPr>
        <w:ind w:left="720" w:hanging="360"/>
      </w:pPr>
      <w:rPr>
        <w:rFonts w:ascii="Symbol" w:hAnsi="Symbol"/>
      </w:rPr>
    </w:lvl>
    <w:lvl w:ilvl="5" w:tplc="F3FA8516">
      <w:start w:val="1"/>
      <w:numFmt w:val="bullet"/>
      <w:lvlText w:val=""/>
      <w:lvlJc w:val="left"/>
      <w:pPr>
        <w:ind w:left="720" w:hanging="360"/>
      </w:pPr>
      <w:rPr>
        <w:rFonts w:ascii="Symbol" w:hAnsi="Symbol"/>
      </w:rPr>
    </w:lvl>
    <w:lvl w:ilvl="6" w:tplc="25A2172E">
      <w:start w:val="1"/>
      <w:numFmt w:val="bullet"/>
      <w:lvlText w:val=""/>
      <w:lvlJc w:val="left"/>
      <w:pPr>
        <w:ind w:left="720" w:hanging="360"/>
      </w:pPr>
      <w:rPr>
        <w:rFonts w:ascii="Symbol" w:hAnsi="Symbol"/>
      </w:rPr>
    </w:lvl>
    <w:lvl w:ilvl="7" w:tplc="9F9CB762">
      <w:start w:val="1"/>
      <w:numFmt w:val="bullet"/>
      <w:lvlText w:val=""/>
      <w:lvlJc w:val="left"/>
      <w:pPr>
        <w:ind w:left="720" w:hanging="360"/>
      </w:pPr>
      <w:rPr>
        <w:rFonts w:ascii="Symbol" w:hAnsi="Symbol"/>
      </w:rPr>
    </w:lvl>
    <w:lvl w:ilvl="8" w:tplc="BB6226F2">
      <w:start w:val="1"/>
      <w:numFmt w:val="bullet"/>
      <w:lvlText w:val=""/>
      <w:lvlJc w:val="left"/>
      <w:pPr>
        <w:ind w:left="720" w:hanging="360"/>
      </w:pPr>
      <w:rPr>
        <w:rFonts w:ascii="Symbol" w:hAnsi="Symbol"/>
      </w:rPr>
    </w:lvl>
  </w:abstractNum>
  <w:abstractNum w:abstractNumId="30" w15:restartNumberingAfterBreak="0">
    <w:nsid w:val="374E56FD"/>
    <w:multiLevelType w:val="hybridMultilevel"/>
    <w:tmpl w:val="EB7CB7E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7D4FC6"/>
    <w:multiLevelType w:val="hybridMultilevel"/>
    <w:tmpl w:val="6CD0FC1A"/>
    <w:lvl w:ilvl="0" w:tplc="32EC0C2C">
      <w:start w:val="1"/>
      <w:numFmt w:val="bullet"/>
      <w:lvlText w:val=""/>
      <w:lvlJc w:val="left"/>
      <w:pPr>
        <w:ind w:left="1080" w:hanging="360"/>
      </w:pPr>
      <w:rPr>
        <w:rFonts w:ascii="Symbol" w:hAnsi="Symbol"/>
      </w:rPr>
    </w:lvl>
    <w:lvl w:ilvl="1" w:tplc="57B08034">
      <w:start w:val="1"/>
      <w:numFmt w:val="bullet"/>
      <w:lvlText w:val=""/>
      <w:lvlJc w:val="left"/>
      <w:pPr>
        <w:ind w:left="1080" w:hanging="360"/>
      </w:pPr>
      <w:rPr>
        <w:rFonts w:ascii="Symbol" w:hAnsi="Symbol"/>
      </w:rPr>
    </w:lvl>
    <w:lvl w:ilvl="2" w:tplc="C0121698">
      <w:start w:val="1"/>
      <w:numFmt w:val="bullet"/>
      <w:lvlText w:val=""/>
      <w:lvlJc w:val="left"/>
      <w:pPr>
        <w:ind w:left="1080" w:hanging="360"/>
      </w:pPr>
      <w:rPr>
        <w:rFonts w:ascii="Symbol" w:hAnsi="Symbol"/>
      </w:rPr>
    </w:lvl>
    <w:lvl w:ilvl="3" w:tplc="3ADA41F8">
      <w:start w:val="1"/>
      <w:numFmt w:val="bullet"/>
      <w:lvlText w:val=""/>
      <w:lvlJc w:val="left"/>
      <w:pPr>
        <w:ind w:left="1080" w:hanging="360"/>
      </w:pPr>
      <w:rPr>
        <w:rFonts w:ascii="Symbol" w:hAnsi="Symbol"/>
      </w:rPr>
    </w:lvl>
    <w:lvl w:ilvl="4" w:tplc="5744536A">
      <w:start w:val="1"/>
      <w:numFmt w:val="bullet"/>
      <w:lvlText w:val=""/>
      <w:lvlJc w:val="left"/>
      <w:pPr>
        <w:ind w:left="1080" w:hanging="360"/>
      </w:pPr>
      <w:rPr>
        <w:rFonts w:ascii="Symbol" w:hAnsi="Symbol"/>
      </w:rPr>
    </w:lvl>
    <w:lvl w:ilvl="5" w:tplc="71A0760A">
      <w:start w:val="1"/>
      <w:numFmt w:val="bullet"/>
      <w:lvlText w:val=""/>
      <w:lvlJc w:val="left"/>
      <w:pPr>
        <w:ind w:left="1080" w:hanging="360"/>
      </w:pPr>
      <w:rPr>
        <w:rFonts w:ascii="Symbol" w:hAnsi="Symbol"/>
      </w:rPr>
    </w:lvl>
    <w:lvl w:ilvl="6" w:tplc="EB047850">
      <w:start w:val="1"/>
      <w:numFmt w:val="bullet"/>
      <w:lvlText w:val=""/>
      <w:lvlJc w:val="left"/>
      <w:pPr>
        <w:ind w:left="1080" w:hanging="360"/>
      </w:pPr>
      <w:rPr>
        <w:rFonts w:ascii="Symbol" w:hAnsi="Symbol"/>
      </w:rPr>
    </w:lvl>
    <w:lvl w:ilvl="7" w:tplc="F2344062">
      <w:start w:val="1"/>
      <w:numFmt w:val="bullet"/>
      <w:lvlText w:val=""/>
      <w:lvlJc w:val="left"/>
      <w:pPr>
        <w:ind w:left="1080" w:hanging="360"/>
      </w:pPr>
      <w:rPr>
        <w:rFonts w:ascii="Symbol" w:hAnsi="Symbol"/>
      </w:rPr>
    </w:lvl>
    <w:lvl w:ilvl="8" w:tplc="6A3CE176">
      <w:start w:val="1"/>
      <w:numFmt w:val="bullet"/>
      <w:lvlText w:val=""/>
      <w:lvlJc w:val="left"/>
      <w:pPr>
        <w:ind w:left="1080" w:hanging="360"/>
      </w:pPr>
      <w:rPr>
        <w:rFonts w:ascii="Symbol" w:hAnsi="Symbol"/>
      </w:rPr>
    </w:lvl>
  </w:abstractNum>
  <w:abstractNum w:abstractNumId="32" w15:restartNumberingAfterBreak="0">
    <w:nsid w:val="39180C86"/>
    <w:multiLevelType w:val="hybridMultilevel"/>
    <w:tmpl w:val="B8E0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B480010"/>
    <w:multiLevelType w:val="hybridMultilevel"/>
    <w:tmpl w:val="81EA572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B9B7409"/>
    <w:multiLevelType w:val="hybridMultilevel"/>
    <w:tmpl w:val="B52E4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2D5A37"/>
    <w:multiLevelType w:val="hybridMultilevel"/>
    <w:tmpl w:val="76CA802A"/>
    <w:lvl w:ilvl="0" w:tplc="536CA842">
      <w:start w:val="1"/>
      <w:numFmt w:val="bullet"/>
      <w:lvlText w:val=""/>
      <w:lvlJc w:val="left"/>
      <w:pPr>
        <w:ind w:left="1440" w:hanging="360"/>
      </w:pPr>
      <w:rPr>
        <w:rFonts w:ascii="Symbol" w:hAnsi="Symbol"/>
      </w:rPr>
    </w:lvl>
    <w:lvl w:ilvl="1" w:tplc="5BFC7070">
      <w:start w:val="1"/>
      <w:numFmt w:val="bullet"/>
      <w:lvlText w:val=""/>
      <w:lvlJc w:val="left"/>
      <w:pPr>
        <w:ind w:left="1440" w:hanging="360"/>
      </w:pPr>
      <w:rPr>
        <w:rFonts w:ascii="Symbol" w:hAnsi="Symbol"/>
      </w:rPr>
    </w:lvl>
    <w:lvl w:ilvl="2" w:tplc="DAF45A4A">
      <w:start w:val="1"/>
      <w:numFmt w:val="bullet"/>
      <w:lvlText w:val=""/>
      <w:lvlJc w:val="left"/>
      <w:pPr>
        <w:ind w:left="1440" w:hanging="360"/>
      </w:pPr>
      <w:rPr>
        <w:rFonts w:ascii="Symbol" w:hAnsi="Symbol"/>
      </w:rPr>
    </w:lvl>
    <w:lvl w:ilvl="3" w:tplc="24BA3BD2">
      <w:start w:val="1"/>
      <w:numFmt w:val="bullet"/>
      <w:lvlText w:val=""/>
      <w:lvlJc w:val="left"/>
      <w:pPr>
        <w:ind w:left="1440" w:hanging="360"/>
      </w:pPr>
      <w:rPr>
        <w:rFonts w:ascii="Symbol" w:hAnsi="Symbol"/>
      </w:rPr>
    </w:lvl>
    <w:lvl w:ilvl="4" w:tplc="50E23E78">
      <w:start w:val="1"/>
      <w:numFmt w:val="bullet"/>
      <w:lvlText w:val=""/>
      <w:lvlJc w:val="left"/>
      <w:pPr>
        <w:ind w:left="1440" w:hanging="360"/>
      </w:pPr>
      <w:rPr>
        <w:rFonts w:ascii="Symbol" w:hAnsi="Symbol"/>
      </w:rPr>
    </w:lvl>
    <w:lvl w:ilvl="5" w:tplc="DD0A533C">
      <w:start w:val="1"/>
      <w:numFmt w:val="bullet"/>
      <w:lvlText w:val=""/>
      <w:lvlJc w:val="left"/>
      <w:pPr>
        <w:ind w:left="1440" w:hanging="360"/>
      </w:pPr>
      <w:rPr>
        <w:rFonts w:ascii="Symbol" w:hAnsi="Symbol"/>
      </w:rPr>
    </w:lvl>
    <w:lvl w:ilvl="6" w:tplc="90EE7624">
      <w:start w:val="1"/>
      <w:numFmt w:val="bullet"/>
      <w:lvlText w:val=""/>
      <w:lvlJc w:val="left"/>
      <w:pPr>
        <w:ind w:left="1440" w:hanging="360"/>
      </w:pPr>
      <w:rPr>
        <w:rFonts w:ascii="Symbol" w:hAnsi="Symbol"/>
      </w:rPr>
    </w:lvl>
    <w:lvl w:ilvl="7" w:tplc="CACCABAA">
      <w:start w:val="1"/>
      <w:numFmt w:val="bullet"/>
      <w:lvlText w:val=""/>
      <w:lvlJc w:val="left"/>
      <w:pPr>
        <w:ind w:left="1440" w:hanging="360"/>
      </w:pPr>
      <w:rPr>
        <w:rFonts w:ascii="Symbol" w:hAnsi="Symbol"/>
      </w:rPr>
    </w:lvl>
    <w:lvl w:ilvl="8" w:tplc="19DC6DDA">
      <w:start w:val="1"/>
      <w:numFmt w:val="bullet"/>
      <w:lvlText w:val=""/>
      <w:lvlJc w:val="left"/>
      <w:pPr>
        <w:ind w:left="1440" w:hanging="360"/>
      </w:pPr>
      <w:rPr>
        <w:rFonts w:ascii="Symbol" w:hAnsi="Symbol"/>
      </w:rPr>
    </w:lvl>
  </w:abstractNum>
  <w:abstractNum w:abstractNumId="36" w15:restartNumberingAfterBreak="0">
    <w:nsid w:val="3CA11C78"/>
    <w:multiLevelType w:val="hybridMultilevel"/>
    <w:tmpl w:val="A1629C6C"/>
    <w:lvl w:ilvl="0" w:tplc="BC5A4DF8">
      <w:start w:val="2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1045BA"/>
    <w:multiLevelType w:val="hybridMultilevel"/>
    <w:tmpl w:val="C0FE6990"/>
    <w:lvl w:ilvl="0" w:tplc="3CA62CFC">
      <w:start w:val="1"/>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3D843777"/>
    <w:multiLevelType w:val="hybridMultilevel"/>
    <w:tmpl w:val="1D8A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FA6673"/>
    <w:multiLevelType w:val="hybridMultilevel"/>
    <w:tmpl w:val="0ECE32E2"/>
    <w:lvl w:ilvl="0" w:tplc="667075EC">
      <w:start w:val="1"/>
      <w:numFmt w:val="bullet"/>
      <w:lvlText w:val=""/>
      <w:lvlJc w:val="left"/>
      <w:pPr>
        <w:ind w:left="720" w:hanging="360"/>
      </w:pPr>
      <w:rPr>
        <w:rFonts w:ascii="Symbol" w:hAnsi="Symbol"/>
      </w:rPr>
    </w:lvl>
    <w:lvl w:ilvl="1" w:tplc="6150B700">
      <w:start w:val="1"/>
      <w:numFmt w:val="bullet"/>
      <w:lvlText w:val=""/>
      <w:lvlJc w:val="left"/>
      <w:pPr>
        <w:ind w:left="720" w:hanging="360"/>
      </w:pPr>
      <w:rPr>
        <w:rFonts w:ascii="Symbol" w:hAnsi="Symbol"/>
      </w:rPr>
    </w:lvl>
    <w:lvl w:ilvl="2" w:tplc="2DDA7088">
      <w:start w:val="1"/>
      <w:numFmt w:val="bullet"/>
      <w:lvlText w:val=""/>
      <w:lvlJc w:val="left"/>
      <w:pPr>
        <w:ind w:left="720" w:hanging="360"/>
      </w:pPr>
      <w:rPr>
        <w:rFonts w:ascii="Symbol" w:hAnsi="Symbol"/>
      </w:rPr>
    </w:lvl>
    <w:lvl w:ilvl="3" w:tplc="86C46FD2">
      <w:start w:val="1"/>
      <w:numFmt w:val="bullet"/>
      <w:lvlText w:val=""/>
      <w:lvlJc w:val="left"/>
      <w:pPr>
        <w:ind w:left="720" w:hanging="360"/>
      </w:pPr>
      <w:rPr>
        <w:rFonts w:ascii="Symbol" w:hAnsi="Symbol"/>
      </w:rPr>
    </w:lvl>
    <w:lvl w:ilvl="4" w:tplc="55F4F3A0">
      <w:start w:val="1"/>
      <w:numFmt w:val="bullet"/>
      <w:lvlText w:val=""/>
      <w:lvlJc w:val="left"/>
      <w:pPr>
        <w:ind w:left="720" w:hanging="360"/>
      </w:pPr>
      <w:rPr>
        <w:rFonts w:ascii="Symbol" w:hAnsi="Symbol"/>
      </w:rPr>
    </w:lvl>
    <w:lvl w:ilvl="5" w:tplc="DF5C700E">
      <w:start w:val="1"/>
      <w:numFmt w:val="bullet"/>
      <w:lvlText w:val=""/>
      <w:lvlJc w:val="left"/>
      <w:pPr>
        <w:ind w:left="720" w:hanging="360"/>
      </w:pPr>
      <w:rPr>
        <w:rFonts w:ascii="Symbol" w:hAnsi="Symbol"/>
      </w:rPr>
    </w:lvl>
    <w:lvl w:ilvl="6" w:tplc="375E658C">
      <w:start w:val="1"/>
      <w:numFmt w:val="bullet"/>
      <w:lvlText w:val=""/>
      <w:lvlJc w:val="left"/>
      <w:pPr>
        <w:ind w:left="720" w:hanging="360"/>
      </w:pPr>
      <w:rPr>
        <w:rFonts w:ascii="Symbol" w:hAnsi="Symbol"/>
      </w:rPr>
    </w:lvl>
    <w:lvl w:ilvl="7" w:tplc="459CD4C0">
      <w:start w:val="1"/>
      <w:numFmt w:val="bullet"/>
      <w:lvlText w:val=""/>
      <w:lvlJc w:val="left"/>
      <w:pPr>
        <w:ind w:left="720" w:hanging="360"/>
      </w:pPr>
      <w:rPr>
        <w:rFonts w:ascii="Symbol" w:hAnsi="Symbol"/>
      </w:rPr>
    </w:lvl>
    <w:lvl w:ilvl="8" w:tplc="621A1356">
      <w:start w:val="1"/>
      <w:numFmt w:val="bullet"/>
      <w:lvlText w:val=""/>
      <w:lvlJc w:val="left"/>
      <w:pPr>
        <w:ind w:left="720" w:hanging="360"/>
      </w:pPr>
      <w:rPr>
        <w:rFonts w:ascii="Symbol" w:hAnsi="Symbol"/>
      </w:rPr>
    </w:lvl>
  </w:abstractNum>
  <w:abstractNum w:abstractNumId="40" w15:restartNumberingAfterBreak="0">
    <w:nsid w:val="42CD7FB2"/>
    <w:multiLevelType w:val="hybridMultilevel"/>
    <w:tmpl w:val="3D14B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6D5F1A"/>
    <w:multiLevelType w:val="hybridMultilevel"/>
    <w:tmpl w:val="672C81D6"/>
    <w:lvl w:ilvl="0" w:tplc="5E380B88">
      <w:start w:val="1"/>
      <w:numFmt w:val="bullet"/>
      <w:lvlText w:val=""/>
      <w:lvlJc w:val="left"/>
      <w:pPr>
        <w:ind w:left="1440" w:hanging="360"/>
      </w:pPr>
      <w:rPr>
        <w:rFonts w:ascii="Symbol" w:hAnsi="Symbol"/>
      </w:rPr>
    </w:lvl>
    <w:lvl w:ilvl="1" w:tplc="BA1C522E">
      <w:start w:val="1"/>
      <w:numFmt w:val="bullet"/>
      <w:lvlText w:val=""/>
      <w:lvlJc w:val="left"/>
      <w:pPr>
        <w:ind w:left="1440" w:hanging="360"/>
      </w:pPr>
      <w:rPr>
        <w:rFonts w:ascii="Symbol" w:hAnsi="Symbol"/>
      </w:rPr>
    </w:lvl>
    <w:lvl w:ilvl="2" w:tplc="4698C2B0">
      <w:start w:val="1"/>
      <w:numFmt w:val="bullet"/>
      <w:lvlText w:val=""/>
      <w:lvlJc w:val="left"/>
      <w:pPr>
        <w:ind w:left="1440" w:hanging="360"/>
      </w:pPr>
      <w:rPr>
        <w:rFonts w:ascii="Symbol" w:hAnsi="Symbol"/>
      </w:rPr>
    </w:lvl>
    <w:lvl w:ilvl="3" w:tplc="507C1358">
      <w:start w:val="1"/>
      <w:numFmt w:val="bullet"/>
      <w:lvlText w:val=""/>
      <w:lvlJc w:val="left"/>
      <w:pPr>
        <w:ind w:left="1440" w:hanging="360"/>
      </w:pPr>
      <w:rPr>
        <w:rFonts w:ascii="Symbol" w:hAnsi="Symbol"/>
      </w:rPr>
    </w:lvl>
    <w:lvl w:ilvl="4" w:tplc="55C4996E">
      <w:start w:val="1"/>
      <w:numFmt w:val="bullet"/>
      <w:lvlText w:val=""/>
      <w:lvlJc w:val="left"/>
      <w:pPr>
        <w:ind w:left="1440" w:hanging="360"/>
      </w:pPr>
      <w:rPr>
        <w:rFonts w:ascii="Symbol" w:hAnsi="Symbol"/>
      </w:rPr>
    </w:lvl>
    <w:lvl w:ilvl="5" w:tplc="96D6F546">
      <w:start w:val="1"/>
      <w:numFmt w:val="bullet"/>
      <w:lvlText w:val=""/>
      <w:lvlJc w:val="left"/>
      <w:pPr>
        <w:ind w:left="1440" w:hanging="360"/>
      </w:pPr>
      <w:rPr>
        <w:rFonts w:ascii="Symbol" w:hAnsi="Symbol"/>
      </w:rPr>
    </w:lvl>
    <w:lvl w:ilvl="6" w:tplc="2086011A">
      <w:start w:val="1"/>
      <w:numFmt w:val="bullet"/>
      <w:lvlText w:val=""/>
      <w:lvlJc w:val="left"/>
      <w:pPr>
        <w:ind w:left="1440" w:hanging="360"/>
      </w:pPr>
      <w:rPr>
        <w:rFonts w:ascii="Symbol" w:hAnsi="Symbol"/>
      </w:rPr>
    </w:lvl>
    <w:lvl w:ilvl="7" w:tplc="995CDDDC">
      <w:start w:val="1"/>
      <w:numFmt w:val="bullet"/>
      <w:lvlText w:val=""/>
      <w:lvlJc w:val="left"/>
      <w:pPr>
        <w:ind w:left="1440" w:hanging="360"/>
      </w:pPr>
      <w:rPr>
        <w:rFonts w:ascii="Symbol" w:hAnsi="Symbol"/>
      </w:rPr>
    </w:lvl>
    <w:lvl w:ilvl="8" w:tplc="F63055AE">
      <w:start w:val="1"/>
      <w:numFmt w:val="bullet"/>
      <w:lvlText w:val=""/>
      <w:lvlJc w:val="left"/>
      <w:pPr>
        <w:ind w:left="1440" w:hanging="360"/>
      </w:pPr>
      <w:rPr>
        <w:rFonts w:ascii="Symbol" w:hAnsi="Symbol"/>
      </w:rPr>
    </w:lvl>
  </w:abstractNum>
  <w:abstractNum w:abstractNumId="42" w15:restartNumberingAfterBreak="0">
    <w:nsid w:val="43F66D84"/>
    <w:multiLevelType w:val="hybridMultilevel"/>
    <w:tmpl w:val="5A8A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517E62"/>
    <w:multiLevelType w:val="hybridMultilevel"/>
    <w:tmpl w:val="9F94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434ADB"/>
    <w:multiLevelType w:val="hybridMultilevel"/>
    <w:tmpl w:val="E7CAA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067BFC"/>
    <w:multiLevelType w:val="hybridMultilevel"/>
    <w:tmpl w:val="78DCEBAC"/>
    <w:lvl w:ilvl="0" w:tplc="E64EE16E">
      <w:start w:val="1"/>
      <w:numFmt w:val="bullet"/>
      <w:lvlText w:val=""/>
      <w:lvlJc w:val="left"/>
      <w:pPr>
        <w:ind w:left="720" w:hanging="360"/>
      </w:pPr>
      <w:rPr>
        <w:rFonts w:ascii="Symbol" w:hAnsi="Symbol"/>
      </w:rPr>
    </w:lvl>
    <w:lvl w:ilvl="1" w:tplc="E32E0FA6">
      <w:start w:val="1"/>
      <w:numFmt w:val="bullet"/>
      <w:lvlText w:val=""/>
      <w:lvlJc w:val="left"/>
      <w:pPr>
        <w:ind w:left="720" w:hanging="360"/>
      </w:pPr>
      <w:rPr>
        <w:rFonts w:ascii="Symbol" w:hAnsi="Symbol"/>
      </w:rPr>
    </w:lvl>
    <w:lvl w:ilvl="2" w:tplc="C7D85A76">
      <w:start w:val="1"/>
      <w:numFmt w:val="bullet"/>
      <w:lvlText w:val=""/>
      <w:lvlJc w:val="left"/>
      <w:pPr>
        <w:ind w:left="720" w:hanging="360"/>
      </w:pPr>
      <w:rPr>
        <w:rFonts w:ascii="Symbol" w:hAnsi="Symbol"/>
      </w:rPr>
    </w:lvl>
    <w:lvl w:ilvl="3" w:tplc="F28A5624">
      <w:start w:val="1"/>
      <w:numFmt w:val="bullet"/>
      <w:lvlText w:val=""/>
      <w:lvlJc w:val="left"/>
      <w:pPr>
        <w:ind w:left="720" w:hanging="360"/>
      </w:pPr>
      <w:rPr>
        <w:rFonts w:ascii="Symbol" w:hAnsi="Symbol"/>
      </w:rPr>
    </w:lvl>
    <w:lvl w:ilvl="4" w:tplc="F8F8E062">
      <w:start w:val="1"/>
      <w:numFmt w:val="bullet"/>
      <w:lvlText w:val=""/>
      <w:lvlJc w:val="left"/>
      <w:pPr>
        <w:ind w:left="720" w:hanging="360"/>
      </w:pPr>
      <w:rPr>
        <w:rFonts w:ascii="Symbol" w:hAnsi="Symbol"/>
      </w:rPr>
    </w:lvl>
    <w:lvl w:ilvl="5" w:tplc="A14EC77C">
      <w:start w:val="1"/>
      <w:numFmt w:val="bullet"/>
      <w:lvlText w:val=""/>
      <w:lvlJc w:val="left"/>
      <w:pPr>
        <w:ind w:left="720" w:hanging="360"/>
      </w:pPr>
      <w:rPr>
        <w:rFonts w:ascii="Symbol" w:hAnsi="Symbol"/>
      </w:rPr>
    </w:lvl>
    <w:lvl w:ilvl="6" w:tplc="8E6406B8">
      <w:start w:val="1"/>
      <w:numFmt w:val="bullet"/>
      <w:lvlText w:val=""/>
      <w:lvlJc w:val="left"/>
      <w:pPr>
        <w:ind w:left="720" w:hanging="360"/>
      </w:pPr>
      <w:rPr>
        <w:rFonts w:ascii="Symbol" w:hAnsi="Symbol"/>
      </w:rPr>
    </w:lvl>
    <w:lvl w:ilvl="7" w:tplc="FA36B3AC">
      <w:start w:val="1"/>
      <w:numFmt w:val="bullet"/>
      <w:lvlText w:val=""/>
      <w:lvlJc w:val="left"/>
      <w:pPr>
        <w:ind w:left="720" w:hanging="360"/>
      </w:pPr>
      <w:rPr>
        <w:rFonts w:ascii="Symbol" w:hAnsi="Symbol"/>
      </w:rPr>
    </w:lvl>
    <w:lvl w:ilvl="8" w:tplc="5F2476BA">
      <w:start w:val="1"/>
      <w:numFmt w:val="bullet"/>
      <w:lvlText w:val=""/>
      <w:lvlJc w:val="left"/>
      <w:pPr>
        <w:ind w:left="720" w:hanging="360"/>
      </w:pPr>
      <w:rPr>
        <w:rFonts w:ascii="Symbol" w:hAnsi="Symbol"/>
      </w:rPr>
    </w:lvl>
  </w:abstractNum>
  <w:abstractNum w:abstractNumId="46" w15:restartNumberingAfterBreak="0">
    <w:nsid w:val="4E415696"/>
    <w:multiLevelType w:val="hybridMultilevel"/>
    <w:tmpl w:val="A2A8AD0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E945CB8"/>
    <w:multiLevelType w:val="hybridMultilevel"/>
    <w:tmpl w:val="953E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8F01F6"/>
    <w:multiLevelType w:val="hybridMultilevel"/>
    <w:tmpl w:val="8E167D34"/>
    <w:lvl w:ilvl="0" w:tplc="1646EE6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3578E3"/>
    <w:multiLevelType w:val="hybridMultilevel"/>
    <w:tmpl w:val="E8220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CD39A5"/>
    <w:multiLevelType w:val="multilevel"/>
    <w:tmpl w:val="741E1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897D73"/>
    <w:multiLevelType w:val="hybridMultilevel"/>
    <w:tmpl w:val="CAE2C110"/>
    <w:lvl w:ilvl="0" w:tplc="FFFFFFFF">
      <w:start w:val="1"/>
      <w:numFmt w:val="bullet"/>
      <w:pStyle w:val="MACtablebulletL1"/>
      <w:lvlText w:val="—"/>
      <w:lvlJc w:val="left"/>
      <w:rPr>
        <w:rFonts w:ascii="HelveticaNeue LT 45 Lt" w:hAnsi="HelveticaNeue LT 45 Lt" w:hint="default"/>
        <w:color w:val="000000" w:themeColor="text1"/>
        <w:sz w:val="20"/>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D42F3B"/>
    <w:multiLevelType w:val="hybridMultilevel"/>
    <w:tmpl w:val="299470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3" w15:restartNumberingAfterBreak="0">
    <w:nsid w:val="61960017"/>
    <w:multiLevelType w:val="hybridMultilevel"/>
    <w:tmpl w:val="5394C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24B306F"/>
    <w:multiLevelType w:val="hybridMultilevel"/>
    <w:tmpl w:val="A66C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5456429"/>
    <w:multiLevelType w:val="multilevel"/>
    <w:tmpl w:val="0C8E0BD4"/>
    <w:lvl w:ilvl="0">
      <w:start w:val="1"/>
      <w:numFmt w:val="decimal"/>
      <w:pStyle w:val="ListNumber"/>
      <w:lvlText w:val="%1."/>
      <w:lvlJc w:val="left"/>
      <w:pPr>
        <w:ind w:left="369" w:hanging="369"/>
      </w:pPr>
      <w:rPr>
        <w:rFonts w:ascii="Arial" w:hAnsi="Arial" w:hint="default"/>
        <w:color w:val="000000" w:themeColor="text1"/>
        <w:sz w:val="22"/>
      </w:rPr>
    </w:lvl>
    <w:lvl w:ilvl="1">
      <w:start w:val="1"/>
      <w:numFmt w:val="lowerLetter"/>
      <w:pStyle w:val="ListNumber2"/>
      <w:lvlText w:val="%2)"/>
      <w:lvlJc w:val="left"/>
      <w:pPr>
        <w:ind w:left="729" w:hanging="360"/>
      </w:p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6" w15:restartNumberingAfterBreak="0">
    <w:nsid w:val="686951B0"/>
    <w:multiLevelType w:val="hybridMultilevel"/>
    <w:tmpl w:val="1054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587B6F"/>
    <w:multiLevelType w:val="hybridMultilevel"/>
    <w:tmpl w:val="5214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5AE72D3"/>
    <w:multiLevelType w:val="hybridMultilevel"/>
    <w:tmpl w:val="91C22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6E2B12"/>
    <w:multiLevelType w:val="hybridMultilevel"/>
    <w:tmpl w:val="18BE7168"/>
    <w:lvl w:ilvl="0" w:tplc="33B032EC">
      <w:start w:val="1"/>
      <w:numFmt w:val="bullet"/>
      <w:lvlText w:val=""/>
      <w:lvlJc w:val="left"/>
      <w:pPr>
        <w:ind w:left="1080" w:hanging="360"/>
      </w:pPr>
      <w:rPr>
        <w:rFonts w:ascii="Symbol" w:hAnsi="Symbol"/>
      </w:rPr>
    </w:lvl>
    <w:lvl w:ilvl="1" w:tplc="144AE002">
      <w:start w:val="1"/>
      <w:numFmt w:val="bullet"/>
      <w:lvlText w:val=""/>
      <w:lvlJc w:val="left"/>
      <w:pPr>
        <w:ind w:left="1080" w:hanging="360"/>
      </w:pPr>
      <w:rPr>
        <w:rFonts w:ascii="Symbol" w:hAnsi="Symbol"/>
      </w:rPr>
    </w:lvl>
    <w:lvl w:ilvl="2" w:tplc="2D50E20C">
      <w:start w:val="1"/>
      <w:numFmt w:val="bullet"/>
      <w:lvlText w:val=""/>
      <w:lvlJc w:val="left"/>
      <w:pPr>
        <w:ind w:left="1080" w:hanging="360"/>
      </w:pPr>
      <w:rPr>
        <w:rFonts w:ascii="Symbol" w:hAnsi="Symbol"/>
      </w:rPr>
    </w:lvl>
    <w:lvl w:ilvl="3" w:tplc="A5EA7D7A">
      <w:start w:val="1"/>
      <w:numFmt w:val="bullet"/>
      <w:lvlText w:val=""/>
      <w:lvlJc w:val="left"/>
      <w:pPr>
        <w:ind w:left="1080" w:hanging="360"/>
      </w:pPr>
      <w:rPr>
        <w:rFonts w:ascii="Symbol" w:hAnsi="Symbol"/>
      </w:rPr>
    </w:lvl>
    <w:lvl w:ilvl="4" w:tplc="222C35CE">
      <w:start w:val="1"/>
      <w:numFmt w:val="bullet"/>
      <w:lvlText w:val=""/>
      <w:lvlJc w:val="left"/>
      <w:pPr>
        <w:ind w:left="1080" w:hanging="360"/>
      </w:pPr>
      <w:rPr>
        <w:rFonts w:ascii="Symbol" w:hAnsi="Symbol"/>
      </w:rPr>
    </w:lvl>
    <w:lvl w:ilvl="5" w:tplc="78083A66">
      <w:start w:val="1"/>
      <w:numFmt w:val="bullet"/>
      <w:lvlText w:val=""/>
      <w:lvlJc w:val="left"/>
      <w:pPr>
        <w:ind w:left="1080" w:hanging="360"/>
      </w:pPr>
      <w:rPr>
        <w:rFonts w:ascii="Symbol" w:hAnsi="Symbol"/>
      </w:rPr>
    </w:lvl>
    <w:lvl w:ilvl="6" w:tplc="B3ECF486">
      <w:start w:val="1"/>
      <w:numFmt w:val="bullet"/>
      <w:lvlText w:val=""/>
      <w:lvlJc w:val="left"/>
      <w:pPr>
        <w:ind w:left="1080" w:hanging="360"/>
      </w:pPr>
      <w:rPr>
        <w:rFonts w:ascii="Symbol" w:hAnsi="Symbol"/>
      </w:rPr>
    </w:lvl>
    <w:lvl w:ilvl="7" w:tplc="3EA6CD7E">
      <w:start w:val="1"/>
      <w:numFmt w:val="bullet"/>
      <w:lvlText w:val=""/>
      <w:lvlJc w:val="left"/>
      <w:pPr>
        <w:ind w:left="1080" w:hanging="360"/>
      </w:pPr>
      <w:rPr>
        <w:rFonts w:ascii="Symbol" w:hAnsi="Symbol"/>
      </w:rPr>
    </w:lvl>
    <w:lvl w:ilvl="8" w:tplc="06845550">
      <w:start w:val="1"/>
      <w:numFmt w:val="bullet"/>
      <w:lvlText w:val=""/>
      <w:lvlJc w:val="left"/>
      <w:pPr>
        <w:ind w:left="1080" w:hanging="360"/>
      </w:pPr>
      <w:rPr>
        <w:rFonts w:ascii="Symbol" w:hAnsi="Symbol"/>
      </w:rPr>
    </w:lvl>
  </w:abstractNum>
  <w:abstractNum w:abstractNumId="60" w15:restartNumberingAfterBreak="0">
    <w:nsid w:val="77194AB6"/>
    <w:multiLevelType w:val="hybridMultilevel"/>
    <w:tmpl w:val="F93E744A"/>
    <w:lvl w:ilvl="0" w:tplc="D6946636">
      <w:start w:val="1"/>
      <w:numFmt w:val="bullet"/>
      <w:lvlText w:val=""/>
      <w:lvlJc w:val="left"/>
      <w:pPr>
        <w:ind w:left="720" w:hanging="360"/>
      </w:pPr>
      <w:rPr>
        <w:rFonts w:ascii="Symbol" w:hAnsi="Symbol"/>
      </w:rPr>
    </w:lvl>
    <w:lvl w:ilvl="1" w:tplc="BA40B41A">
      <w:start w:val="1"/>
      <w:numFmt w:val="bullet"/>
      <w:lvlText w:val=""/>
      <w:lvlJc w:val="left"/>
      <w:pPr>
        <w:ind w:left="720" w:hanging="360"/>
      </w:pPr>
      <w:rPr>
        <w:rFonts w:ascii="Symbol" w:hAnsi="Symbol"/>
      </w:rPr>
    </w:lvl>
    <w:lvl w:ilvl="2" w:tplc="FF1EB97E">
      <w:start w:val="1"/>
      <w:numFmt w:val="bullet"/>
      <w:lvlText w:val=""/>
      <w:lvlJc w:val="left"/>
      <w:pPr>
        <w:ind w:left="720" w:hanging="360"/>
      </w:pPr>
      <w:rPr>
        <w:rFonts w:ascii="Symbol" w:hAnsi="Symbol"/>
      </w:rPr>
    </w:lvl>
    <w:lvl w:ilvl="3" w:tplc="91504044">
      <w:start w:val="1"/>
      <w:numFmt w:val="bullet"/>
      <w:lvlText w:val=""/>
      <w:lvlJc w:val="left"/>
      <w:pPr>
        <w:ind w:left="720" w:hanging="360"/>
      </w:pPr>
      <w:rPr>
        <w:rFonts w:ascii="Symbol" w:hAnsi="Symbol"/>
      </w:rPr>
    </w:lvl>
    <w:lvl w:ilvl="4" w:tplc="DEF4E04C">
      <w:start w:val="1"/>
      <w:numFmt w:val="bullet"/>
      <w:lvlText w:val=""/>
      <w:lvlJc w:val="left"/>
      <w:pPr>
        <w:ind w:left="720" w:hanging="360"/>
      </w:pPr>
      <w:rPr>
        <w:rFonts w:ascii="Symbol" w:hAnsi="Symbol"/>
      </w:rPr>
    </w:lvl>
    <w:lvl w:ilvl="5" w:tplc="491C3A5E">
      <w:start w:val="1"/>
      <w:numFmt w:val="bullet"/>
      <w:lvlText w:val=""/>
      <w:lvlJc w:val="left"/>
      <w:pPr>
        <w:ind w:left="720" w:hanging="360"/>
      </w:pPr>
      <w:rPr>
        <w:rFonts w:ascii="Symbol" w:hAnsi="Symbol"/>
      </w:rPr>
    </w:lvl>
    <w:lvl w:ilvl="6" w:tplc="B1BE77DA">
      <w:start w:val="1"/>
      <w:numFmt w:val="bullet"/>
      <w:lvlText w:val=""/>
      <w:lvlJc w:val="left"/>
      <w:pPr>
        <w:ind w:left="720" w:hanging="360"/>
      </w:pPr>
      <w:rPr>
        <w:rFonts w:ascii="Symbol" w:hAnsi="Symbol"/>
      </w:rPr>
    </w:lvl>
    <w:lvl w:ilvl="7" w:tplc="55446DA8">
      <w:start w:val="1"/>
      <w:numFmt w:val="bullet"/>
      <w:lvlText w:val=""/>
      <w:lvlJc w:val="left"/>
      <w:pPr>
        <w:ind w:left="720" w:hanging="360"/>
      </w:pPr>
      <w:rPr>
        <w:rFonts w:ascii="Symbol" w:hAnsi="Symbol"/>
      </w:rPr>
    </w:lvl>
    <w:lvl w:ilvl="8" w:tplc="568A52B4">
      <w:start w:val="1"/>
      <w:numFmt w:val="bullet"/>
      <w:lvlText w:val=""/>
      <w:lvlJc w:val="left"/>
      <w:pPr>
        <w:ind w:left="720" w:hanging="360"/>
      </w:pPr>
      <w:rPr>
        <w:rFonts w:ascii="Symbol" w:hAnsi="Symbol"/>
      </w:rPr>
    </w:lvl>
  </w:abstractNum>
  <w:abstractNum w:abstractNumId="61" w15:restartNumberingAfterBreak="0">
    <w:nsid w:val="797E2787"/>
    <w:multiLevelType w:val="hybridMultilevel"/>
    <w:tmpl w:val="4D869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B16C5F"/>
    <w:multiLevelType w:val="hybridMultilevel"/>
    <w:tmpl w:val="A4D059A4"/>
    <w:lvl w:ilvl="0" w:tplc="6F56CB30">
      <w:start w:val="1"/>
      <w:numFmt w:val="bullet"/>
      <w:lvlText w:val=""/>
      <w:lvlJc w:val="left"/>
      <w:pPr>
        <w:ind w:left="1080" w:hanging="360"/>
      </w:pPr>
      <w:rPr>
        <w:rFonts w:ascii="Symbol" w:hAnsi="Symbol"/>
      </w:rPr>
    </w:lvl>
    <w:lvl w:ilvl="1" w:tplc="6DC6D556">
      <w:start w:val="1"/>
      <w:numFmt w:val="bullet"/>
      <w:lvlText w:val=""/>
      <w:lvlJc w:val="left"/>
      <w:pPr>
        <w:ind w:left="1080" w:hanging="360"/>
      </w:pPr>
      <w:rPr>
        <w:rFonts w:ascii="Symbol" w:hAnsi="Symbol"/>
      </w:rPr>
    </w:lvl>
    <w:lvl w:ilvl="2" w:tplc="E07447B6">
      <w:start w:val="1"/>
      <w:numFmt w:val="bullet"/>
      <w:lvlText w:val=""/>
      <w:lvlJc w:val="left"/>
      <w:pPr>
        <w:ind w:left="1080" w:hanging="360"/>
      </w:pPr>
      <w:rPr>
        <w:rFonts w:ascii="Symbol" w:hAnsi="Symbol"/>
      </w:rPr>
    </w:lvl>
    <w:lvl w:ilvl="3" w:tplc="A29CBC2C">
      <w:start w:val="1"/>
      <w:numFmt w:val="bullet"/>
      <w:lvlText w:val=""/>
      <w:lvlJc w:val="left"/>
      <w:pPr>
        <w:ind w:left="1080" w:hanging="360"/>
      </w:pPr>
      <w:rPr>
        <w:rFonts w:ascii="Symbol" w:hAnsi="Symbol"/>
      </w:rPr>
    </w:lvl>
    <w:lvl w:ilvl="4" w:tplc="64C42114">
      <w:start w:val="1"/>
      <w:numFmt w:val="bullet"/>
      <w:lvlText w:val=""/>
      <w:lvlJc w:val="left"/>
      <w:pPr>
        <w:ind w:left="1080" w:hanging="360"/>
      </w:pPr>
      <w:rPr>
        <w:rFonts w:ascii="Symbol" w:hAnsi="Symbol"/>
      </w:rPr>
    </w:lvl>
    <w:lvl w:ilvl="5" w:tplc="845E8DEE">
      <w:start w:val="1"/>
      <w:numFmt w:val="bullet"/>
      <w:lvlText w:val=""/>
      <w:lvlJc w:val="left"/>
      <w:pPr>
        <w:ind w:left="1080" w:hanging="360"/>
      </w:pPr>
      <w:rPr>
        <w:rFonts w:ascii="Symbol" w:hAnsi="Symbol"/>
      </w:rPr>
    </w:lvl>
    <w:lvl w:ilvl="6" w:tplc="6B88C8C6">
      <w:start w:val="1"/>
      <w:numFmt w:val="bullet"/>
      <w:lvlText w:val=""/>
      <w:lvlJc w:val="left"/>
      <w:pPr>
        <w:ind w:left="1080" w:hanging="360"/>
      </w:pPr>
      <w:rPr>
        <w:rFonts w:ascii="Symbol" w:hAnsi="Symbol"/>
      </w:rPr>
    </w:lvl>
    <w:lvl w:ilvl="7" w:tplc="06427EBE">
      <w:start w:val="1"/>
      <w:numFmt w:val="bullet"/>
      <w:lvlText w:val=""/>
      <w:lvlJc w:val="left"/>
      <w:pPr>
        <w:ind w:left="1080" w:hanging="360"/>
      </w:pPr>
      <w:rPr>
        <w:rFonts w:ascii="Symbol" w:hAnsi="Symbol"/>
      </w:rPr>
    </w:lvl>
    <w:lvl w:ilvl="8" w:tplc="C818DD02">
      <w:start w:val="1"/>
      <w:numFmt w:val="bullet"/>
      <w:lvlText w:val=""/>
      <w:lvlJc w:val="left"/>
      <w:pPr>
        <w:ind w:left="1080" w:hanging="360"/>
      </w:pPr>
      <w:rPr>
        <w:rFonts w:ascii="Symbol" w:hAnsi="Symbol"/>
      </w:rPr>
    </w:lvl>
  </w:abstractNum>
  <w:abstractNum w:abstractNumId="63" w15:restartNumberingAfterBreak="0">
    <w:nsid w:val="7FBB7D81"/>
    <w:multiLevelType w:val="hybridMultilevel"/>
    <w:tmpl w:val="0CE63C2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1830974266">
    <w:abstractNumId w:val="16"/>
  </w:num>
  <w:num w:numId="2" w16cid:durableId="1322389522">
    <w:abstractNumId w:val="36"/>
  </w:num>
  <w:num w:numId="3" w16cid:durableId="631444696">
    <w:abstractNumId w:val="51"/>
    <w:lvlOverride w:ilvl="0">
      <w:startOverride w:val="1"/>
    </w:lvlOverride>
  </w:num>
  <w:num w:numId="4" w16cid:durableId="1142845533">
    <w:abstractNumId w:val="61"/>
  </w:num>
  <w:num w:numId="5" w16cid:durableId="543517151">
    <w:abstractNumId w:val="22"/>
  </w:num>
  <w:num w:numId="6" w16cid:durableId="169489700">
    <w:abstractNumId w:val="46"/>
  </w:num>
  <w:num w:numId="7" w16cid:durableId="1482849201">
    <w:abstractNumId w:val="8"/>
  </w:num>
  <w:num w:numId="8" w16cid:durableId="1259143565">
    <w:abstractNumId w:val="54"/>
  </w:num>
  <w:num w:numId="9" w16cid:durableId="1270430263">
    <w:abstractNumId w:val="14"/>
  </w:num>
  <w:num w:numId="10" w16cid:durableId="904031438">
    <w:abstractNumId w:val="58"/>
  </w:num>
  <w:num w:numId="11" w16cid:durableId="2137989823">
    <w:abstractNumId w:val="26"/>
  </w:num>
  <w:num w:numId="12" w16cid:durableId="500201078">
    <w:abstractNumId w:val="44"/>
  </w:num>
  <w:num w:numId="13" w16cid:durableId="1129199351">
    <w:abstractNumId w:val="30"/>
  </w:num>
  <w:num w:numId="14" w16cid:durableId="95830982">
    <w:abstractNumId w:val="38"/>
  </w:num>
  <w:num w:numId="15" w16cid:durableId="1577861631">
    <w:abstractNumId w:val="5"/>
  </w:num>
  <w:num w:numId="16" w16cid:durableId="2077436674">
    <w:abstractNumId w:val="23"/>
  </w:num>
  <w:num w:numId="17" w16cid:durableId="563570393">
    <w:abstractNumId w:val="49"/>
  </w:num>
  <w:num w:numId="18" w16cid:durableId="1693417116">
    <w:abstractNumId w:val="7"/>
  </w:num>
  <w:num w:numId="19" w16cid:durableId="782959810">
    <w:abstractNumId w:val="15"/>
  </w:num>
  <w:num w:numId="20" w16cid:durableId="1469780586">
    <w:abstractNumId w:val="53"/>
  </w:num>
  <w:num w:numId="21" w16cid:durableId="567767853">
    <w:abstractNumId w:val="12"/>
  </w:num>
  <w:num w:numId="22" w16cid:durableId="754665630">
    <w:abstractNumId w:val="48"/>
  </w:num>
  <w:num w:numId="23" w16cid:durableId="992952696">
    <w:abstractNumId w:val="16"/>
  </w:num>
  <w:num w:numId="24" w16cid:durableId="1971129184">
    <w:abstractNumId w:val="25"/>
  </w:num>
  <w:num w:numId="25" w16cid:durableId="468596652">
    <w:abstractNumId w:val="16"/>
  </w:num>
  <w:num w:numId="26" w16cid:durableId="1344014644">
    <w:abstractNumId w:val="40"/>
  </w:num>
  <w:num w:numId="27" w16cid:durableId="314722705">
    <w:abstractNumId w:val="16"/>
  </w:num>
  <w:num w:numId="28" w16cid:durableId="988291561">
    <w:abstractNumId w:val="16"/>
  </w:num>
  <w:num w:numId="29" w16cid:durableId="439498912">
    <w:abstractNumId w:val="17"/>
  </w:num>
  <w:num w:numId="30" w16cid:durableId="106120348">
    <w:abstractNumId w:val="16"/>
  </w:num>
  <w:num w:numId="31" w16cid:durableId="21829249">
    <w:abstractNumId w:val="16"/>
  </w:num>
  <w:num w:numId="32" w16cid:durableId="592666863">
    <w:abstractNumId w:val="63"/>
  </w:num>
  <w:num w:numId="33" w16cid:durableId="2008707296">
    <w:abstractNumId w:val="2"/>
  </w:num>
  <w:num w:numId="34" w16cid:durableId="2141264782">
    <w:abstractNumId w:val="34"/>
  </w:num>
  <w:num w:numId="35" w16cid:durableId="1558667430">
    <w:abstractNumId w:val="16"/>
  </w:num>
  <w:num w:numId="36" w16cid:durableId="807091551">
    <w:abstractNumId w:val="16"/>
  </w:num>
  <w:num w:numId="37" w16cid:durableId="456878051">
    <w:abstractNumId w:val="27"/>
  </w:num>
  <w:num w:numId="38" w16cid:durableId="58790157">
    <w:abstractNumId w:val="16"/>
  </w:num>
  <w:num w:numId="39" w16cid:durableId="665401573">
    <w:abstractNumId w:val="55"/>
  </w:num>
  <w:num w:numId="40" w16cid:durableId="1538204834">
    <w:abstractNumId w:val="13"/>
  </w:num>
  <w:num w:numId="41" w16cid:durableId="217208471">
    <w:abstractNumId w:val="20"/>
  </w:num>
  <w:num w:numId="42" w16cid:durableId="1030178537">
    <w:abstractNumId w:val="16"/>
  </w:num>
  <w:num w:numId="43" w16cid:durableId="1519345996">
    <w:abstractNumId w:val="56"/>
  </w:num>
  <w:num w:numId="44" w16cid:durableId="1723091809">
    <w:abstractNumId w:val="51"/>
    <w:lvlOverride w:ilvl="0">
      <w:startOverride w:val="1"/>
    </w:lvlOverride>
  </w:num>
  <w:num w:numId="45" w16cid:durableId="984820300">
    <w:abstractNumId w:val="52"/>
  </w:num>
  <w:num w:numId="46" w16cid:durableId="347411761">
    <w:abstractNumId w:val="16"/>
  </w:num>
  <w:num w:numId="47" w16cid:durableId="766970068">
    <w:abstractNumId w:val="57"/>
  </w:num>
  <w:num w:numId="48" w16cid:durableId="1587686477">
    <w:abstractNumId w:val="47"/>
  </w:num>
  <w:num w:numId="49" w16cid:durableId="960573040">
    <w:abstractNumId w:val="16"/>
  </w:num>
  <w:num w:numId="50" w16cid:durableId="1879080903">
    <w:abstractNumId w:val="16"/>
  </w:num>
  <w:num w:numId="51" w16cid:durableId="1643585061">
    <w:abstractNumId w:val="16"/>
  </w:num>
  <w:num w:numId="52" w16cid:durableId="1790971802">
    <w:abstractNumId w:val="33"/>
  </w:num>
  <w:num w:numId="53" w16cid:durableId="1013141990">
    <w:abstractNumId w:val="42"/>
  </w:num>
  <w:num w:numId="54" w16cid:durableId="482433101">
    <w:abstractNumId w:val="16"/>
  </w:num>
  <w:num w:numId="55" w16cid:durableId="1578780216">
    <w:abstractNumId w:val="16"/>
  </w:num>
  <w:num w:numId="56" w16cid:durableId="753674161">
    <w:abstractNumId w:val="16"/>
  </w:num>
  <w:num w:numId="57" w16cid:durableId="1281456786">
    <w:abstractNumId w:val="16"/>
  </w:num>
  <w:num w:numId="58" w16cid:durableId="1299339524">
    <w:abstractNumId w:val="16"/>
  </w:num>
  <w:num w:numId="59" w16cid:durableId="63963756">
    <w:abstractNumId w:val="16"/>
  </w:num>
  <w:num w:numId="60" w16cid:durableId="1329332904">
    <w:abstractNumId w:val="16"/>
  </w:num>
  <w:num w:numId="61" w16cid:durableId="2039046480">
    <w:abstractNumId w:val="16"/>
  </w:num>
  <w:num w:numId="62" w16cid:durableId="2106152262">
    <w:abstractNumId w:val="18"/>
  </w:num>
  <w:num w:numId="63" w16cid:durableId="2031298407">
    <w:abstractNumId w:val="32"/>
  </w:num>
  <w:num w:numId="64" w16cid:durableId="634874829">
    <w:abstractNumId w:val="37"/>
  </w:num>
  <w:num w:numId="65" w16cid:durableId="96753381">
    <w:abstractNumId w:val="50"/>
  </w:num>
  <w:num w:numId="66" w16cid:durableId="1115520838">
    <w:abstractNumId w:val="50"/>
  </w:num>
  <w:num w:numId="67" w16cid:durableId="1545944271">
    <w:abstractNumId w:val="11"/>
  </w:num>
  <w:num w:numId="68" w16cid:durableId="340814246">
    <w:abstractNumId w:val="43"/>
  </w:num>
  <w:num w:numId="69" w16cid:durableId="1302150494">
    <w:abstractNumId w:val="16"/>
  </w:num>
  <w:num w:numId="70" w16cid:durableId="679937387">
    <w:abstractNumId w:val="1"/>
  </w:num>
  <w:num w:numId="71" w16cid:durableId="1575235866">
    <w:abstractNumId w:val="29"/>
  </w:num>
  <w:num w:numId="72" w16cid:durableId="65541001">
    <w:abstractNumId w:val="28"/>
  </w:num>
  <w:num w:numId="73" w16cid:durableId="849876947">
    <w:abstractNumId w:val="0"/>
  </w:num>
  <w:num w:numId="74" w16cid:durableId="27726132">
    <w:abstractNumId w:val="9"/>
  </w:num>
  <w:num w:numId="75" w16cid:durableId="647637976">
    <w:abstractNumId w:val="21"/>
  </w:num>
  <w:num w:numId="76" w16cid:durableId="306474680">
    <w:abstractNumId w:val="31"/>
  </w:num>
  <w:num w:numId="77" w16cid:durableId="1408378080">
    <w:abstractNumId w:val="35"/>
  </w:num>
  <w:num w:numId="78" w16cid:durableId="987828809">
    <w:abstractNumId w:val="59"/>
  </w:num>
  <w:num w:numId="79" w16cid:durableId="448595326">
    <w:abstractNumId w:val="24"/>
  </w:num>
  <w:num w:numId="80" w16cid:durableId="221916482">
    <w:abstractNumId w:val="60"/>
  </w:num>
  <w:num w:numId="81" w16cid:durableId="1459180843">
    <w:abstractNumId w:val="19"/>
  </w:num>
  <w:num w:numId="82" w16cid:durableId="1530143015">
    <w:abstractNumId w:val="4"/>
  </w:num>
  <w:num w:numId="83" w16cid:durableId="573007253">
    <w:abstractNumId w:val="39"/>
  </w:num>
  <w:num w:numId="84" w16cid:durableId="785582241">
    <w:abstractNumId w:val="10"/>
  </w:num>
  <w:num w:numId="85" w16cid:durableId="742339888">
    <w:abstractNumId w:val="62"/>
  </w:num>
  <w:num w:numId="86" w16cid:durableId="571816231">
    <w:abstractNumId w:val="3"/>
  </w:num>
  <w:num w:numId="87" w16cid:durableId="335348771">
    <w:abstractNumId w:val="45"/>
  </w:num>
  <w:num w:numId="88" w16cid:durableId="531387319">
    <w:abstractNumId w:val="6"/>
  </w:num>
  <w:num w:numId="89" w16cid:durableId="898630947">
    <w:abstractNumId w:val="4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4D"/>
    <w:rsid w:val="00000166"/>
    <w:rsid w:val="00000789"/>
    <w:rsid w:val="00000E88"/>
    <w:rsid w:val="00000FFC"/>
    <w:rsid w:val="00001936"/>
    <w:rsid w:val="00001E55"/>
    <w:rsid w:val="000020A2"/>
    <w:rsid w:val="000028D2"/>
    <w:rsid w:val="00002A8E"/>
    <w:rsid w:val="00002CF8"/>
    <w:rsid w:val="00003C7C"/>
    <w:rsid w:val="00004077"/>
    <w:rsid w:val="000042D5"/>
    <w:rsid w:val="0000467E"/>
    <w:rsid w:val="000047A4"/>
    <w:rsid w:val="00004DA1"/>
    <w:rsid w:val="00004E16"/>
    <w:rsid w:val="0000523F"/>
    <w:rsid w:val="00005804"/>
    <w:rsid w:val="0000580A"/>
    <w:rsid w:val="00005907"/>
    <w:rsid w:val="00005A44"/>
    <w:rsid w:val="00005CD3"/>
    <w:rsid w:val="00006A24"/>
    <w:rsid w:val="00006A29"/>
    <w:rsid w:val="00006C49"/>
    <w:rsid w:val="00007108"/>
    <w:rsid w:val="00007299"/>
    <w:rsid w:val="00007670"/>
    <w:rsid w:val="000078AD"/>
    <w:rsid w:val="000078CD"/>
    <w:rsid w:val="000103FF"/>
    <w:rsid w:val="00010ECC"/>
    <w:rsid w:val="00010F5E"/>
    <w:rsid w:val="000111EA"/>
    <w:rsid w:val="00011687"/>
    <w:rsid w:val="000117A2"/>
    <w:rsid w:val="00012B42"/>
    <w:rsid w:val="00012B5A"/>
    <w:rsid w:val="00012BC1"/>
    <w:rsid w:val="000130A6"/>
    <w:rsid w:val="00013148"/>
    <w:rsid w:val="0001359B"/>
    <w:rsid w:val="00013ABF"/>
    <w:rsid w:val="00013B6B"/>
    <w:rsid w:val="00013EC0"/>
    <w:rsid w:val="0001420A"/>
    <w:rsid w:val="00014695"/>
    <w:rsid w:val="0001469D"/>
    <w:rsid w:val="000147DE"/>
    <w:rsid w:val="000147EF"/>
    <w:rsid w:val="000148D6"/>
    <w:rsid w:val="000149A6"/>
    <w:rsid w:val="00014F53"/>
    <w:rsid w:val="00015589"/>
    <w:rsid w:val="000156D3"/>
    <w:rsid w:val="00015AEA"/>
    <w:rsid w:val="00015BE1"/>
    <w:rsid w:val="00015D8B"/>
    <w:rsid w:val="00016CB5"/>
    <w:rsid w:val="00017908"/>
    <w:rsid w:val="00017C5E"/>
    <w:rsid w:val="0002003B"/>
    <w:rsid w:val="00020077"/>
    <w:rsid w:val="000202E7"/>
    <w:rsid w:val="00020B37"/>
    <w:rsid w:val="000210C4"/>
    <w:rsid w:val="0002154C"/>
    <w:rsid w:val="000219D3"/>
    <w:rsid w:val="00021F0C"/>
    <w:rsid w:val="000221E6"/>
    <w:rsid w:val="00022329"/>
    <w:rsid w:val="00022386"/>
    <w:rsid w:val="00022654"/>
    <w:rsid w:val="000233ED"/>
    <w:rsid w:val="00023575"/>
    <w:rsid w:val="000238D9"/>
    <w:rsid w:val="00023D41"/>
    <w:rsid w:val="0002446B"/>
    <w:rsid w:val="00025895"/>
    <w:rsid w:val="0002595F"/>
    <w:rsid w:val="0002597A"/>
    <w:rsid w:val="000269C6"/>
    <w:rsid w:val="00026D41"/>
    <w:rsid w:val="00026D48"/>
    <w:rsid w:val="00026DC7"/>
    <w:rsid w:val="0002705C"/>
    <w:rsid w:val="000272A7"/>
    <w:rsid w:val="000272D0"/>
    <w:rsid w:val="0002796D"/>
    <w:rsid w:val="000279BE"/>
    <w:rsid w:val="00030126"/>
    <w:rsid w:val="00030213"/>
    <w:rsid w:val="0003077D"/>
    <w:rsid w:val="00030FBF"/>
    <w:rsid w:val="00031124"/>
    <w:rsid w:val="00031244"/>
    <w:rsid w:val="00031349"/>
    <w:rsid w:val="000319CC"/>
    <w:rsid w:val="00031B3B"/>
    <w:rsid w:val="00031CDD"/>
    <w:rsid w:val="000327E1"/>
    <w:rsid w:val="00032C6F"/>
    <w:rsid w:val="00032E47"/>
    <w:rsid w:val="00032F3B"/>
    <w:rsid w:val="000335B3"/>
    <w:rsid w:val="00033BFF"/>
    <w:rsid w:val="00033D75"/>
    <w:rsid w:val="000355C5"/>
    <w:rsid w:val="00035DFE"/>
    <w:rsid w:val="0003626E"/>
    <w:rsid w:val="00036BDA"/>
    <w:rsid w:val="00036E2C"/>
    <w:rsid w:val="00037035"/>
    <w:rsid w:val="0003722F"/>
    <w:rsid w:val="00037569"/>
    <w:rsid w:val="000375E4"/>
    <w:rsid w:val="000379A9"/>
    <w:rsid w:val="00037F64"/>
    <w:rsid w:val="0004087F"/>
    <w:rsid w:val="000409A8"/>
    <w:rsid w:val="00040EF0"/>
    <w:rsid w:val="00041596"/>
    <w:rsid w:val="0004178E"/>
    <w:rsid w:val="00041798"/>
    <w:rsid w:val="00041ED7"/>
    <w:rsid w:val="000420C7"/>
    <w:rsid w:val="000421C1"/>
    <w:rsid w:val="00042BE4"/>
    <w:rsid w:val="000431E4"/>
    <w:rsid w:val="000437A2"/>
    <w:rsid w:val="00044A7F"/>
    <w:rsid w:val="00046822"/>
    <w:rsid w:val="000468E5"/>
    <w:rsid w:val="00046A3F"/>
    <w:rsid w:val="00046DED"/>
    <w:rsid w:val="0004705B"/>
    <w:rsid w:val="00047466"/>
    <w:rsid w:val="000476D9"/>
    <w:rsid w:val="00047AB3"/>
    <w:rsid w:val="00047E6F"/>
    <w:rsid w:val="000507D8"/>
    <w:rsid w:val="00050AC3"/>
    <w:rsid w:val="00050C5A"/>
    <w:rsid w:val="00051233"/>
    <w:rsid w:val="00051560"/>
    <w:rsid w:val="0005159C"/>
    <w:rsid w:val="00051676"/>
    <w:rsid w:val="000516F4"/>
    <w:rsid w:val="000518A9"/>
    <w:rsid w:val="00051C08"/>
    <w:rsid w:val="00052738"/>
    <w:rsid w:val="00052C2D"/>
    <w:rsid w:val="0005326A"/>
    <w:rsid w:val="0005332E"/>
    <w:rsid w:val="0005350D"/>
    <w:rsid w:val="00053B5E"/>
    <w:rsid w:val="00053BC1"/>
    <w:rsid w:val="00053F3F"/>
    <w:rsid w:val="00053FFF"/>
    <w:rsid w:val="00054437"/>
    <w:rsid w:val="0005465C"/>
    <w:rsid w:val="00054694"/>
    <w:rsid w:val="00054810"/>
    <w:rsid w:val="00054F6D"/>
    <w:rsid w:val="00054F8E"/>
    <w:rsid w:val="000551EC"/>
    <w:rsid w:val="00055839"/>
    <w:rsid w:val="0005612B"/>
    <w:rsid w:val="000563F8"/>
    <w:rsid w:val="0005714C"/>
    <w:rsid w:val="00057195"/>
    <w:rsid w:val="00057563"/>
    <w:rsid w:val="00057608"/>
    <w:rsid w:val="000578B7"/>
    <w:rsid w:val="00057C17"/>
    <w:rsid w:val="00057EC5"/>
    <w:rsid w:val="00060330"/>
    <w:rsid w:val="0006050E"/>
    <w:rsid w:val="00060728"/>
    <w:rsid w:val="00060DD9"/>
    <w:rsid w:val="00061368"/>
    <w:rsid w:val="000615CA"/>
    <w:rsid w:val="00061FE0"/>
    <w:rsid w:val="00062BB9"/>
    <w:rsid w:val="00063B9A"/>
    <w:rsid w:val="00063DC6"/>
    <w:rsid w:val="00064057"/>
    <w:rsid w:val="000645B7"/>
    <w:rsid w:val="000647EF"/>
    <w:rsid w:val="00065845"/>
    <w:rsid w:val="00065F4B"/>
    <w:rsid w:val="00066368"/>
    <w:rsid w:val="00066573"/>
    <w:rsid w:val="00066EC5"/>
    <w:rsid w:val="000670E3"/>
    <w:rsid w:val="00067747"/>
    <w:rsid w:val="00067A35"/>
    <w:rsid w:val="00067BAC"/>
    <w:rsid w:val="00067C8F"/>
    <w:rsid w:val="00070890"/>
    <w:rsid w:val="00070953"/>
    <w:rsid w:val="00070A58"/>
    <w:rsid w:val="00070C3B"/>
    <w:rsid w:val="00070F25"/>
    <w:rsid w:val="00070FE1"/>
    <w:rsid w:val="0007158F"/>
    <w:rsid w:val="00071AF2"/>
    <w:rsid w:val="0007224F"/>
    <w:rsid w:val="00072359"/>
    <w:rsid w:val="00072969"/>
    <w:rsid w:val="00073128"/>
    <w:rsid w:val="00073697"/>
    <w:rsid w:val="0007395E"/>
    <w:rsid w:val="00073ABF"/>
    <w:rsid w:val="00073EE0"/>
    <w:rsid w:val="0007482C"/>
    <w:rsid w:val="00074941"/>
    <w:rsid w:val="00074B8E"/>
    <w:rsid w:val="000753AB"/>
    <w:rsid w:val="00075429"/>
    <w:rsid w:val="00075516"/>
    <w:rsid w:val="00075FAA"/>
    <w:rsid w:val="00076394"/>
    <w:rsid w:val="00076508"/>
    <w:rsid w:val="000766C5"/>
    <w:rsid w:val="000778B6"/>
    <w:rsid w:val="000778FF"/>
    <w:rsid w:val="00077AFB"/>
    <w:rsid w:val="00077BF0"/>
    <w:rsid w:val="00077BF1"/>
    <w:rsid w:val="00077E42"/>
    <w:rsid w:val="00080B59"/>
    <w:rsid w:val="000815D5"/>
    <w:rsid w:val="00081E76"/>
    <w:rsid w:val="00081F67"/>
    <w:rsid w:val="00082041"/>
    <w:rsid w:val="000824A2"/>
    <w:rsid w:val="00082A6F"/>
    <w:rsid w:val="00083186"/>
    <w:rsid w:val="0008380F"/>
    <w:rsid w:val="00084CB3"/>
    <w:rsid w:val="00084CB8"/>
    <w:rsid w:val="000855EC"/>
    <w:rsid w:val="00085DAE"/>
    <w:rsid w:val="00085DF9"/>
    <w:rsid w:val="0008680A"/>
    <w:rsid w:val="000868B3"/>
    <w:rsid w:val="0008776B"/>
    <w:rsid w:val="00087C4B"/>
    <w:rsid w:val="00087F1C"/>
    <w:rsid w:val="00087F1F"/>
    <w:rsid w:val="00090715"/>
    <w:rsid w:val="00090761"/>
    <w:rsid w:val="00090922"/>
    <w:rsid w:val="00090B50"/>
    <w:rsid w:val="00091ACF"/>
    <w:rsid w:val="000922FA"/>
    <w:rsid w:val="0009263A"/>
    <w:rsid w:val="000929C1"/>
    <w:rsid w:val="00092A02"/>
    <w:rsid w:val="0009315B"/>
    <w:rsid w:val="000935F5"/>
    <w:rsid w:val="00093AB1"/>
    <w:rsid w:val="00094152"/>
    <w:rsid w:val="00094492"/>
    <w:rsid w:val="00094701"/>
    <w:rsid w:val="00094714"/>
    <w:rsid w:val="00094CA6"/>
    <w:rsid w:val="00094FC3"/>
    <w:rsid w:val="0009548C"/>
    <w:rsid w:val="00095FAC"/>
    <w:rsid w:val="00096442"/>
    <w:rsid w:val="00096870"/>
    <w:rsid w:val="00096CC4"/>
    <w:rsid w:val="000970D3"/>
    <w:rsid w:val="000975D7"/>
    <w:rsid w:val="00097941"/>
    <w:rsid w:val="0009795B"/>
    <w:rsid w:val="000979B9"/>
    <w:rsid w:val="00097B99"/>
    <w:rsid w:val="00097FCC"/>
    <w:rsid w:val="00097FF8"/>
    <w:rsid w:val="000A0D76"/>
    <w:rsid w:val="000A0D90"/>
    <w:rsid w:val="000A0DA6"/>
    <w:rsid w:val="000A1280"/>
    <w:rsid w:val="000A17D3"/>
    <w:rsid w:val="000A2119"/>
    <w:rsid w:val="000A265B"/>
    <w:rsid w:val="000A2EB4"/>
    <w:rsid w:val="000A4C3E"/>
    <w:rsid w:val="000A4E24"/>
    <w:rsid w:val="000A5098"/>
    <w:rsid w:val="000A5285"/>
    <w:rsid w:val="000A5D1D"/>
    <w:rsid w:val="000A5D6A"/>
    <w:rsid w:val="000A5DC7"/>
    <w:rsid w:val="000A602F"/>
    <w:rsid w:val="000A60DC"/>
    <w:rsid w:val="000A615F"/>
    <w:rsid w:val="000A67C8"/>
    <w:rsid w:val="000A6E78"/>
    <w:rsid w:val="000A76FD"/>
    <w:rsid w:val="000A7BA9"/>
    <w:rsid w:val="000B00DA"/>
    <w:rsid w:val="000B090F"/>
    <w:rsid w:val="000B110C"/>
    <w:rsid w:val="000B131E"/>
    <w:rsid w:val="000B1FE7"/>
    <w:rsid w:val="000B23A7"/>
    <w:rsid w:val="000B26AF"/>
    <w:rsid w:val="000B2AC3"/>
    <w:rsid w:val="000B2B45"/>
    <w:rsid w:val="000B2C4A"/>
    <w:rsid w:val="000B34FC"/>
    <w:rsid w:val="000B358E"/>
    <w:rsid w:val="000B3A25"/>
    <w:rsid w:val="000B3DF2"/>
    <w:rsid w:val="000B3F9B"/>
    <w:rsid w:val="000B43A3"/>
    <w:rsid w:val="000B442B"/>
    <w:rsid w:val="000B4661"/>
    <w:rsid w:val="000B4C9A"/>
    <w:rsid w:val="000B4DFC"/>
    <w:rsid w:val="000B500D"/>
    <w:rsid w:val="000B5661"/>
    <w:rsid w:val="000B5743"/>
    <w:rsid w:val="000B5795"/>
    <w:rsid w:val="000B5E9C"/>
    <w:rsid w:val="000B6097"/>
    <w:rsid w:val="000B621F"/>
    <w:rsid w:val="000B6577"/>
    <w:rsid w:val="000B6DE8"/>
    <w:rsid w:val="000B735A"/>
    <w:rsid w:val="000C0439"/>
    <w:rsid w:val="000C04FF"/>
    <w:rsid w:val="000C0E8C"/>
    <w:rsid w:val="000C0F59"/>
    <w:rsid w:val="000C0FB0"/>
    <w:rsid w:val="000C1297"/>
    <w:rsid w:val="000C1375"/>
    <w:rsid w:val="000C1B54"/>
    <w:rsid w:val="000C21D0"/>
    <w:rsid w:val="000C23ED"/>
    <w:rsid w:val="000C2556"/>
    <w:rsid w:val="000C2935"/>
    <w:rsid w:val="000C2F0A"/>
    <w:rsid w:val="000C3581"/>
    <w:rsid w:val="000C3C37"/>
    <w:rsid w:val="000C3F1E"/>
    <w:rsid w:val="000C3F60"/>
    <w:rsid w:val="000C4516"/>
    <w:rsid w:val="000C4657"/>
    <w:rsid w:val="000C468A"/>
    <w:rsid w:val="000C4998"/>
    <w:rsid w:val="000C53CA"/>
    <w:rsid w:val="000C55D0"/>
    <w:rsid w:val="000C59B9"/>
    <w:rsid w:val="000C5F5C"/>
    <w:rsid w:val="000C6370"/>
    <w:rsid w:val="000C656E"/>
    <w:rsid w:val="000C68D2"/>
    <w:rsid w:val="000C68E9"/>
    <w:rsid w:val="000C6A66"/>
    <w:rsid w:val="000C6A8B"/>
    <w:rsid w:val="000C7294"/>
    <w:rsid w:val="000C7AC8"/>
    <w:rsid w:val="000C7DF0"/>
    <w:rsid w:val="000C7E39"/>
    <w:rsid w:val="000D025F"/>
    <w:rsid w:val="000D0845"/>
    <w:rsid w:val="000D098B"/>
    <w:rsid w:val="000D102A"/>
    <w:rsid w:val="000D128C"/>
    <w:rsid w:val="000D168B"/>
    <w:rsid w:val="000D1900"/>
    <w:rsid w:val="000D1F19"/>
    <w:rsid w:val="000D24FD"/>
    <w:rsid w:val="000D253C"/>
    <w:rsid w:val="000D2A30"/>
    <w:rsid w:val="000D37B6"/>
    <w:rsid w:val="000D37E5"/>
    <w:rsid w:val="000D37E8"/>
    <w:rsid w:val="000D3FF6"/>
    <w:rsid w:val="000D4126"/>
    <w:rsid w:val="000D41AC"/>
    <w:rsid w:val="000D49DB"/>
    <w:rsid w:val="000D4BA3"/>
    <w:rsid w:val="000D4F37"/>
    <w:rsid w:val="000D50E0"/>
    <w:rsid w:val="000D5E34"/>
    <w:rsid w:val="000D5FFC"/>
    <w:rsid w:val="000D63A4"/>
    <w:rsid w:val="000D6FAE"/>
    <w:rsid w:val="000D7A20"/>
    <w:rsid w:val="000D7E40"/>
    <w:rsid w:val="000E0095"/>
    <w:rsid w:val="000E0105"/>
    <w:rsid w:val="000E078E"/>
    <w:rsid w:val="000E09E6"/>
    <w:rsid w:val="000E104C"/>
    <w:rsid w:val="000E12CA"/>
    <w:rsid w:val="000E19A9"/>
    <w:rsid w:val="000E1C26"/>
    <w:rsid w:val="000E21BB"/>
    <w:rsid w:val="000E2341"/>
    <w:rsid w:val="000E26AA"/>
    <w:rsid w:val="000E3B05"/>
    <w:rsid w:val="000E420A"/>
    <w:rsid w:val="000E42AC"/>
    <w:rsid w:val="000E48C6"/>
    <w:rsid w:val="000E4BEA"/>
    <w:rsid w:val="000E4C45"/>
    <w:rsid w:val="000E5564"/>
    <w:rsid w:val="000E580D"/>
    <w:rsid w:val="000E5867"/>
    <w:rsid w:val="000E60C0"/>
    <w:rsid w:val="000E69EB"/>
    <w:rsid w:val="000E6B97"/>
    <w:rsid w:val="000E7698"/>
    <w:rsid w:val="000E76BD"/>
    <w:rsid w:val="000E7829"/>
    <w:rsid w:val="000E7B69"/>
    <w:rsid w:val="000F01A3"/>
    <w:rsid w:val="000F0292"/>
    <w:rsid w:val="000F02A2"/>
    <w:rsid w:val="000F08E0"/>
    <w:rsid w:val="000F0CD1"/>
    <w:rsid w:val="000F12D0"/>
    <w:rsid w:val="000F1447"/>
    <w:rsid w:val="000F1CCB"/>
    <w:rsid w:val="000F2633"/>
    <w:rsid w:val="000F2798"/>
    <w:rsid w:val="000F2865"/>
    <w:rsid w:val="000F2D68"/>
    <w:rsid w:val="000F3931"/>
    <w:rsid w:val="000F3C5D"/>
    <w:rsid w:val="000F3CFC"/>
    <w:rsid w:val="000F432F"/>
    <w:rsid w:val="000F4434"/>
    <w:rsid w:val="000F47A8"/>
    <w:rsid w:val="000F4881"/>
    <w:rsid w:val="000F5396"/>
    <w:rsid w:val="000F5FC5"/>
    <w:rsid w:val="000F610A"/>
    <w:rsid w:val="000F6CDA"/>
    <w:rsid w:val="000F75E6"/>
    <w:rsid w:val="000F769E"/>
    <w:rsid w:val="000F7BFF"/>
    <w:rsid w:val="000F7DE4"/>
    <w:rsid w:val="000F7F92"/>
    <w:rsid w:val="0010014A"/>
    <w:rsid w:val="00100809"/>
    <w:rsid w:val="00100A18"/>
    <w:rsid w:val="00101116"/>
    <w:rsid w:val="00101452"/>
    <w:rsid w:val="00101A23"/>
    <w:rsid w:val="001022CD"/>
    <w:rsid w:val="00102756"/>
    <w:rsid w:val="0010304D"/>
    <w:rsid w:val="0010315F"/>
    <w:rsid w:val="00104085"/>
    <w:rsid w:val="0010416D"/>
    <w:rsid w:val="001053BD"/>
    <w:rsid w:val="00105ED9"/>
    <w:rsid w:val="00106C92"/>
    <w:rsid w:val="00106EB2"/>
    <w:rsid w:val="00107E3A"/>
    <w:rsid w:val="0011011D"/>
    <w:rsid w:val="001106A9"/>
    <w:rsid w:val="00110909"/>
    <w:rsid w:val="00111381"/>
    <w:rsid w:val="001113DD"/>
    <w:rsid w:val="0011151C"/>
    <w:rsid w:val="00111726"/>
    <w:rsid w:val="00111CEA"/>
    <w:rsid w:val="00111D73"/>
    <w:rsid w:val="00111E99"/>
    <w:rsid w:val="001126C4"/>
    <w:rsid w:val="001126FE"/>
    <w:rsid w:val="0011284E"/>
    <w:rsid w:val="00112D2E"/>
    <w:rsid w:val="00112D4C"/>
    <w:rsid w:val="00113103"/>
    <w:rsid w:val="00113ADD"/>
    <w:rsid w:val="0011400E"/>
    <w:rsid w:val="0011404A"/>
    <w:rsid w:val="00114776"/>
    <w:rsid w:val="00114815"/>
    <w:rsid w:val="0011497B"/>
    <w:rsid w:val="001153A3"/>
    <w:rsid w:val="001157EA"/>
    <w:rsid w:val="001168C4"/>
    <w:rsid w:val="001170A7"/>
    <w:rsid w:val="001171BE"/>
    <w:rsid w:val="0011778A"/>
    <w:rsid w:val="00117965"/>
    <w:rsid w:val="00117A75"/>
    <w:rsid w:val="00117F9B"/>
    <w:rsid w:val="00117FC4"/>
    <w:rsid w:val="00120673"/>
    <w:rsid w:val="00120765"/>
    <w:rsid w:val="00120B21"/>
    <w:rsid w:val="00120F77"/>
    <w:rsid w:val="001213EB"/>
    <w:rsid w:val="0012144A"/>
    <w:rsid w:val="00121681"/>
    <w:rsid w:val="001216B6"/>
    <w:rsid w:val="00121881"/>
    <w:rsid w:val="001219C6"/>
    <w:rsid w:val="00122118"/>
    <w:rsid w:val="0012236D"/>
    <w:rsid w:val="00122D44"/>
    <w:rsid w:val="0012315A"/>
    <w:rsid w:val="001237E1"/>
    <w:rsid w:val="00123A91"/>
    <w:rsid w:val="00123AB4"/>
    <w:rsid w:val="00123E48"/>
    <w:rsid w:val="001241A2"/>
    <w:rsid w:val="001241CC"/>
    <w:rsid w:val="00124D1C"/>
    <w:rsid w:val="001255F5"/>
    <w:rsid w:val="001267A3"/>
    <w:rsid w:val="0012773A"/>
    <w:rsid w:val="00127D6F"/>
    <w:rsid w:val="00127DBE"/>
    <w:rsid w:val="00127E68"/>
    <w:rsid w:val="00127E73"/>
    <w:rsid w:val="00130E9C"/>
    <w:rsid w:val="001312B6"/>
    <w:rsid w:val="00131887"/>
    <w:rsid w:val="00131A43"/>
    <w:rsid w:val="00131C84"/>
    <w:rsid w:val="00131D2D"/>
    <w:rsid w:val="00131EC6"/>
    <w:rsid w:val="001324AC"/>
    <w:rsid w:val="00132648"/>
    <w:rsid w:val="00132E57"/>
    <w:rsid w:val="001332A1"/>
    <w:rsid w:val="001335EA"/>
    <w:rsid w:val="0013371B"/>
    <w:rsid w:val="001342FC"/>
    <w:rsid w:val="00135A5A"/>
    <w:rsid w:val="00135C79"/>
    <w:rsid w:val="00135DF3"/>
    <w:rsid w:val="00136028"/>
    <w:rsid w:val="00136291"/>
    <w:rsid w:val="00136411"/>
    <w:rsid w:val="00136688"/>
    <w:rsid w:val="00136B96"/>
    <w:rsid w:val="00136E13"/>
    <w:rsid w:val="0013701F"/>
    <w:rsid w:val="001371A4"/>
    <w:rsid w:val="00137559"/>
    <w:rsid w:val="00137E61"/>
    <w:rsid w:val="001400CD"/>
    <w:rsid w:val="001404FC"/>
    <w:rsid w:val="001418CD"/>
    <w:rsid w:val="00142190"/>
    <w:rsid w:val="00142752"/>
    <w:rsid w:val="00142ACE"/>
    <w:rsid w:val="00142F34"/>
    <w:rsid w:val="001432CC"/>
    <w:rsid w:val="001437B1"/>
    <w:rsid w:val="00143D73"/>
    <w:rsid w:val="00144B4E"/>
    <w:rsid w:val="001457B3"/>
    <w:rsid w:val="00146CC2"/>
    <w:rsid w:val="001478AC"/>
    <w:rsid w:val="00150073"/>
    <w:rsid w:val="001502A7"/>
    <w:rsid w:val="0015046C"/>
    <w:rsid w:val="00150588"/>
    <w:rsid w:val="00150EDC"/>
    <w:rsid w:val="00151033"/>
    <w:rsid w:val="0015111D"/>
    <w:rsid w:val="0015129F"/>
    <w:rsid w:val="001512A4"/>
    <w:rsid w:val="001516B5"/>
    <w:rsid w:val="001517D3"/>
    <w:rsid w:val="001519AA"/>
    <w:rsid w:val="001530ED"/>
    <w:rsid w:val="00153F8F"/>
    <w:rsid w:val="001544C8"/>
    <w:rsid w:val="0015474F"/>
    <w:rsid w:val="001555D8"/>
    <w:rsid w:val="00155625"/>
    <w:rsid w:val="0015658E"/>
    <w:rsid w:val="001567AB"/>
    <w:rsid w:val="00156AB1"/>
    <w:rsid w:val="0015748A"/>
    <w:rsid w:val="001576E7"/>
    <w:rsid w:val="00157E8A"/>
    <w:rsid w:val="00160BA6"/>
    <w:rsid w:val="001610B1"/>
    <w:rsid w:val="001611D2"/>
    <w:rsid w:val="001615F7"/>
    <w:rsid w:val="00161916"/>
    <w:rsid w:val="0016204F"/>
    <w:rsid w:val="001621F1"/>
    <w:rsid w:val="00163323"/>
    <w:rsid w:val="00163449"/>
    <w:rsid w:val="001638B1"/>
    <w:rsid w:val="00163E91"/>
    <w:rsid w:val="001643AE"/>
    <w:rsid w:val="0016446A"/>
    <w:rsid w:val="001646A8"/>
    <w:rsid w:val="00164B93"/>
    <w:rsid w:val="00164D1E"/>
    <w:rsid w:val="001653A4"/>
    <w:rsid w:val="00165BCE"/>
    <w:rsid w:val="00165F30"/>
    <w:rsid w:val="001660FF"/>
    <w:rsid w:val="00166197"/>
    <w:rsid w:val="0016692A"/>
    <w:rsid w:val="00166DD5"/>
    <w:rsid w:val="00167618"/>
    <w:rsid w:val="001700E4"/>
    <w:rsid w:val="001702C2"/>
    <w:rsid w:val="001705E0"/>
    <w:rsid w:val="00170714"/>
    <w:rsid w:val="00170870"/>
    <w:rsid w:val="00170953"/>
    <w:rsid w:val="00170E89"/>
    <w:rsid w:val="00171194"/>
    <w:rsid w:val="001720B0"/>
    <w:rsid w:val="001721F6"/>
    <w:rsid w:val="00172445"/>
    <w:rsid w:val="00172675"/>
    <w:rsid w:val="00172A5C"/>
    <w:rsid w:val="00172D1F"/>
    <w:rsid w:val="00173A7A"/>
    <w:rsid w:val="00173F25"/>
    <w:rsid w:val="00174382"/>
    <w:rsid w:val="001743FE"/>
    <w:rsid w:val="001750CE"/>
    <w:rsid w:val="00175885"/>
    <w:rsid w:val="00175C06"/>
    <w:rsid w:val="00175E83"/>
    <w:rsid w:val="001764B2"/>
    <w:rsid w:val="00176586"/>
    <w:rsid w:val="00176E53"/>
    <w:rsid w:val="00177645"/>
    <w:rsid w:val="00177935"/>
    <w:rsid w:val="00177AE2"/>
    <w:rsid w:val="00180170"/>
    <w:rsid w:val="001804C6"/>
    <w:rsid w:val="00180505"/>
    <w:rsid w:val="00180517"/>
    <w:rsid w:val="00180532"/>
    <w:rsid w:val="001807D1"/>
    <w:rsid w:val="00180B9C"/>
    <w:rsid w:val="00180CFA"/>
    <w:rsid w:val="00180FBF"/>
    <w:rsid w:val="00181054"/>
    <w:rsid w:val="0018133C"/>
    <w:rsid w:val="00181486"/>
    <w:rsid w:val="001818C0"/>
    <w:rsid w:val="00181A9A"/>
    <w:rsid w:val="00181C46"/>
    <w:rsid w:val="00182207"/>
    <w:rsid w:val="001822C1"/>
    <w:rsid w:val="00182999"/>
    <w:rsid w:val="00182BA0"/>
    <w:rsid w:val="0018377D"/>
    <w:rsid w:val="00183A1F"/>
    <w:rsid w:val="00183A9A"/>
    <w:rsid w:val="0018432C"/>
    <w:rsid w:val="001852F0"/>
    <w:rsid w:val="00185CA2"/>
    <w:rsid w:val="0018659E"/>
    <w:rsid w:val="0018707E"/>
    <w:rsid w:val="00187632"/>
    <w:rsid w:val="001876C8"/>
    <w:rsid w:val="00187D90"/>
    <w:rsid w:val="00187DB7"/>
    <w:rsid w:val="00190298"/>
    <w:rsid w:val="00190B92"/>
    <w:rsid w:val="00190BD9"/>
    <w:rsid w:val="001910D5"/>
    <w:rsid w:val="0019114C"/>
    <w:rsid w:val="00191650"/>
    <w:rsid w:val="00191ED6"/>
    <w:rsid w:val="00193099"/>
    <w:rsid w:val="00194870"/>
    <w:rsid w:val="00194D99"/>
    <w:rsid w:val="00195268"/>
    <w:rsid w:val="00195467"/>
    <w:rsid w:val="00195545"/>
    <w:rsid w:val="0019602F"/>
    <w:rsid w:val="0019612C"/>
    <w:rsid w:val="00196217"/>
    <w:rsid w:val="00196428"/>
    <w:rsid w:val="001964F5"/>
    <w:rsid w:val="00196AD6"/>
    <w:rsid w:val="00196B59"/>
    <w:rsid w:val="00197036"/>
    <w:rsid w:val="00197360"/>
    <w:rsid w:val="001A03A1"/>
    <w:rsid w:val="001A094D"/>
    <w:rsid w:val="001A09E1"/>
    <w:rsid w:val="001A0BD2"/>
    <w:rsid w:val="001A0C99"/>
    <w:rsid w:val="001A1222"/>
    <w:rsid w:val="001A13A9"/>
    <w:rsid w:val="001A17EE"/>
    <w:rsid w:val="001A1C89"/>
    <w:rsid w:val="001A1E26"/>
    <w:rsid w:val="001A1E42"/>
    <w:rsid w:val="001A2965"/>
    <w:rsid w:val="001A2BB7"/>
    <w:rsid w:val="001A2FEB"/>
    <w:rsid w:val="001A3439"/>
    <w:rsid w:val="001A34FA"/>
    <w:rsid w:val="001A35BB"/>
    <w:rsid w:val="001A36B5"/>
    <w:rsid w:val="001A39F0"/>
    <w:rsid w:val="001A4334"/>
    <w:rsid w:val="001A436B"/>
    <w:rsid w:val="001A43E1"/>
    <w:rsid w:val="001A4AF9"/>
    <w:rsid w:val="001A525F"/>
    <w:rsid w:val="001A572B"/>
    <w:rsid w:val="001A583C"/>
    <w:rsid w:val="001A5A4B"/>
    <w:rsid w:val="001A67F6"/>
    <w:rsid w:val="001A6A16"/>
    <w:rsid w:val="001A6B86"/>
    <w:rsid w:val="001A6FA4"/>
    <w:rsid w:val="001A7024"/>
    <w:rsid w:val="001B10E7"/>
    <w:rsid w:val="001B1370"/>
    <w:rsid w:val="001B2105"/>
    <w:rsid w:val="001B27CF"/>
    <w:rsid w:val="001B2A7A"/>
    <w:rsid w:val="001B2C91"/>
    <w:rsid w:val="001B3716"/>
    <w:rsid w:val="001B37BC"/>
    <w:rsid w:val="001B4214"/>
    <w:rsid w:val="001B49FF"/>
    <w:rsid w:val="001B4AFB"/>
    <w:rsid w:val="001B4FED"/>
    <w:rsid w:val="001B553F"/>
    <w:rsid w:val="001B55EB"/>
    <w:rsid w:val="001B5796"/>
    <w:rsid w:val="001B5864"/>
    <w:rsid w:val="001B59DB"/>
    <w:rsid w:val="001B5C49"/>
    <w:rsid w:val="001B5C97"/>
    <w:rsid w:val="001B6915"/>
    <w:rsid w:val="001B6E8C"/>
    <w:rsid w:val="001B7469"/>
    <w:rsid w:val="001B7513"/>
    <w:rsid w:val="001B7593"/>
    <w:rsid w:val="001B777F"/>
    <w:rsid w:val="001B7C0F"/>
    <w:rsid w:val="001B7FE8"/>
    <w:rsid w:val="001C043F"/>
    <w:rsid w:val="001C07C5"/>
    <w:rsid w:val="001C084D"/>
    <w:rsid w:val="001C1833"/>
    <w:rsid w:val="001C26B2"/>
    <w:rsid w:val="001C28D3"/>
    <w:rsid w:val="001C2D4A"/>
    <w:rsid w:val="001C3190"/>
    <w:rsid w:val="001C3401"/>
    <w:rsid w:val="001C3704"/>
    <w:rsid w:val="001C3ABC"/>
    <w:rsid w:val="001C3DC8"/>
    <w:rsid w:val="001C408F"/>
    <w:rsid w:val="001C42D5"/>
    <w:rsid w:val="001C438C"/>
    <w:rsid w:val="001C4D29"/>
    <w:rsid w:val="001C4E90"/>
    <w:rsid w:val="001C51CE"/>
    <w:rsid w:val="001C5974"/>
    <w:rsid w:val="001C5F03"/>
    <w:rsid w:val="001C64FC"/>
    <w:rsid w:val="001C6591"/>
    <w:rsid w:val="001C663C"/>
    <w:rsid w:val="001C7730"/>
    <w:rsid w:val="001C7FAD"/>
    <w:rsid w:val="001D020E"/>
    <w:rsid w:val="001D02A5"/>
    <w:rsid w:val="001D02B8"/>
    <w:rsid w:val="001D0406"/>
    <w:rsid w:val="001D1329"/>
    <w:rsid w:val="001D1371"/>
    <w:rsid w:val="001D13B8"/>
    <w:rsid w:val="001D193F"/>
    <w:rsid w:val="001D1F25"/>
    <w:rsid w:val="001D2A62"/>
    <w:rsid w:val="001D2C5D"/>
    <w:rsid w:val="001D2DE0"/>
    <w:rsid w:val="001D352F"/>
    <w:rsid w:val="001D35B3"/>
    <w:rsid w:val="001D3F20"/>
    <w:rsid w:val="001D42A7"/>
    <w:rsid w:val="001D45B0"/>
    <w:rsid w:val="001D4A3E"/>
    <w:rsid w:val="001D4BC0"/>
    <w:rsid w:val="001D4F19"/>
    <w:rsid w:val="001D51FF"/>
    <w:rsid w:val="001D56AD"/>
    <w:rsid w:val="001D59BA"/>
    <w:rsid w:val="001D632B"/>
    <w:rsid w:val="001D633D"/>
    <w:rsid w:val="001D6482"/>
    <w:rsid w:val="001D67BA"/>
    <w:rsid w:val="001D6866"/>
    <w:rsid w:val="001D6984"/>
    <w:rsid w:val="001D69B0"/>
    <w:rsid w:val="001D6D9C"/>
    <w:rsid w:val="001D7376"/>
    <w:rsid w:val="001D74F5"/>
    <w:rsid w:val="001D7994"/>
    <w:rsid w:val="001D79FD"/>
    <w:rsid w:val="001D7AF7"/>
    <w:rsid w:val="001E0059"/>
    <w:rsid w:val="001E0452"/>
    <w:rsid w:val="001E090A"/>
    <w:rsid w:val="001E0A33"/>
    <w:rsid w:val="001E1285"/>
    <w:rsid w:val="001E1360"/>
    <w:rsid w:val="001E165C"/>
    <w:rsid w:val="001E17EA"/>
    <w:rsid w:val="001E1B28"/>
    <w:rsid w:val="001E2A66"/>
    <w:rsid w:val="001E406D"/>
    <w:rsid w:val="001E416A"/>
    <w:rsid w:val="001E42CD"/>
    <w:rsid w:val="001E456B"/>
    <w:rsid w:val="001E475C"/>
    <w:rsid w:val="001E4C3B"/>
    <w:rsid w:val="001E59D0"/>
    <w:rsid w:val="001E64F4"/>
    <w:rsid w:val="001E6A2C"/>
    <w:rsid w:val="001E785B"/>
    <w:rsid w:val="001E788A"/>
    <w:rsid w:val="001E7AF7"/>
    <w:rsid w:val="001E7CF3"/>
    <w:rsid w:val="001F01E5"/>
    <w:rsid w:val="001F0378"/>
    <w:rsid w:val="001F0E81"/>
    <w:rsid w:val="001F106C"/>
    <w:rsid w:val="001F10F5"/>
    <w:rsid w:val="001F11FA"/>
    <w:rsid w:val="001F1245"/>
    <w:rsid w:val="001F14F6"/>
    <w:rsid w:val="001F1516"/>
    <w:rsid w:val="001F17B3"/>
    <w:rsid w:val="001F1931"/>
    <w:rsid w:val="001F219B"/>
    <w:rsid w:val="001F2661"/>
    <w:rsid w:val="001F27D8"/>
    <w:rsid w:val="001F2FE5"/>
    <w:rsid w:val="001F325F"/>
    <w:rsid w:val="001F33FF"/>
    <w:rsid w:val="001F375F"/>
    <w:rsid w:val="001F3D66"/>
    <w:rsid w:val="001F413B"/>
    <w:rsid w:val="001F420D"/>
    <w:rsid w:val="001F450B"/>
    <w:rsid w:val="001F48EB"/>
    <w:rsid w:val="001F4996"/>
    <w:rsid w:val="001F49FB"/>
    <w:rsid w:val="001F4B32"/>
    <w:rsid w:val="001F4CDD"/>
    <w:rsid w:val="001F54DD"/>
    <w:rsid w:val="001F58B4"/>
    <w:rsid w:val="001F6475"/>
    <w:rsid w:val="001F6800"/>
    <w:rsid w:val="001F6FFF"/>
    <w:rsid w:val="001F7D38"/>
    <w:rsid w:val="00200027"/>
    <w:rsid w:val="00200766"/>
    <w:rsid w:val="002008C3"/>
    <w:rsid w:val="002009C4"/>
    <w:rsid w:val="00200E38"/>
    <w:rsid w:val="00202137"/>
    <w:rsid w:val="002023D2"/>
    <w:rsid w:val="00202855"/>
    <w:rsid w:val="0020288B"/>
    <w:rsid w:val="0020290A"/>
    <w:rsid w:val="00202BB9"/>
    <w:rsid w:val="00203117"/>
    <w:rsid w:val="00203D65"/>
    <w:rsid w:val="0020460F"/>
    <w:rsid w:val="00204665"/>
    <w:rsid w:val="00204906"/>
    <w:rsid w:val="0020506A"/>
    <w:rsid w:val="00205A26"/>
    <w:rsid w:val="00205A97"/>
    <w:rsid w:val="00205AC8"/>
    <w:rsid w:val="0020660A"/>
    <w:rsid w:val="002067F8"/>
    <w:rsid w:val="00206854"/>
    <w:rsid w:val="00206DC5"/>
    <w:rsid w:val="0020703A"/>
    <w:rsid w:val="00207B2E"/>
    <w:rsid w:val="00207E03"/>
    <w:rsid w:val="00207EBE"/>
    <w:rsid w:val="002102DE"/>
    <w:rsid w:val="002107EC"/>
    <w:rsid w:val="002109E4"/>
    <w:rsid w:val="00210F88"/>
    <w:rsid w:val="00211042"/>
    <w:rsid w:val="002116C0"/>
    <w:rsid w:val="00211AF7"/>
    <w:rsid w:val="00211C98"/>
    <w:rsid w:val="0021205B"/>
    <w:rsid w:val="002126DE"/>
    <w:rsid w:val="00214BDC"/>
    <w:rsid w:val="00214DC2"/>
    <w:rsid w:val="00215022"/>
    <w:rsid w:val="002156CF"/>
    <w:rsid w:val="00215F8D"/>
    <w:rsid w:val="00216BFD"/>
    <w:rsid w:val="002174E8"/>
    <w:rsid w:val="00217684"/>
    <w:rsid w:val="00217768"/>
    <w:rsid w:val="00217C77"/>
    <w:rsid w:val="00217F0F"/>
    <w:rsid w:val="00220236"/>
    <w:rsid w:val="00220484"/>
    <w:rsid w:val="00220D3F"/>
    <w:rsid w:val="0022126B"/>
    <w:rsid w:val="0022162D"/>
    <w:rsid w:val="00221EF8"/>
    <w:rsid w:val="00222499"/>
    <w:rsid w:val="0022294D"/>
    <w:rsid w:val="00222FF6"/>
    <w:rsid w:val="002239B5"/>
    <w:rsid w:val="00223A41"/>
    <w:rsid w:val="00223C4C"/>
    <w:rsid w:val="00223D1D"/>
    <w:rsid w:val="00223D79"/>
    <w:rsid w:val="002246A8"/>
    <w:rsid w:val="0022481C"/>
    <w:rsid w:val="00224C11"/>
    <w:rsid w:val="00224D48"/>
    <w:rsid w:val="002250A0"/>
    <w:rsid w:val="00225342"/>
    <w:rsid w:val="00226DF8"/>
    <w:rsid w:val="00226E44"/>
    <w:rsid w:val="0022730F"/>
    <w:rsid w:val="002300BD"/>
    <w:rsid w:val="0023025C"/>
    <w:rsid w:val="00230488"/>
    <w:rsid w:val="00230519"/>
    <w:rsid w:val="00230773"/>
    <w:rsid w:val="00230A06"/>
    <w:rsid w:val="002310E9"/>
    <w:rsid w:val="00231349"/>
    <w:rsid w:val="0023155A"/>
    <w:rsid w:val="002316EA"/>
    <w:rsid w:val="002317A8"/>
    <w:rsid w:val="00231826"/>
    <w:rsid w:val="00231BA6"/>
    <w:rsid w:val="002320D7"/>
    <w:rsid w:val="002323AE"/>
    <w:rsid w:val="002323F1"/>
    <w:rsid w:val="0023292F"/>
    <w:rsid w:val="00232D9A"/>
    <w:rsid w:val="00232EC9"/>
    <w:rsid w:val="002332DD"/>
    <w:rsid w:val="0023347B"/>
    <w:rsid w:val="002336E8"/>
    <w:rsid w:val="00233922"/>
    <w:rsid w:val="00233D58"/>
    <w:rsid w:val="00236269"/>
    <w:rsid w:val="00236419"/>
    <w:rsid w:val="00236A22"/>
    <w:rsid w:val="00236A50"/>
    <w:rsid w:val="00236F64"/>
    <w:rsid w:val="002374D4"/>
    <w:rsid w:val="002375B6"/>
    <w:rsid w:val="00237726"/>
    <w:rsid w:val="0024023E"/>
    <w:rsid w:val="002406B1"/>
    <w:rsid w:val="00240CEF"/>
    <w:rsid w:val="00240EC5"/>
    <w:rsid w:val="002413E9"/>
    <w:rsid w:val="00242003"/>
    <w:rsid w:val="002422D6"/>
    <w:rsid w:val="002422F9"/>
    <w:rsid w:val="00243338"/>
    <w:rsid w:val="002436D1"/>
    <w:rsid w:val="00243818"/>
    <w:rsid w:val="00243D13"/>
    <w:rsid w:val="00243FFF"/>
    <w:rsid w:val="002440A1"/>
    <w:rsid w:val="0024468B"/>
    <w:rsid w:val="00244A80"/>
    <w:rsid w:val="00244B16"/>
    <w:rsid w:val="00244B55"/>
    <w:rsid w:val="0024558B"/>
    <w:rsid w:val="00246012"/>
    <w:rsid w:val="00246328"/>
    <w:rsid w:val="002464B2"/>
    <w:rsid w:val="00247002"/>
    <w:rsid w:val="0024724A"/>
    <w:rsid w:val="00247264"/>
    <w:rsid w:val="0024752D"/>
    <w:rsid w:val="00247E11"/>
    <w:rsid w:val="00247E2E"/>
    <w:rsid w:val="00250047"/>
    <w:rsid w:val="0025038F"/>
    <w:rsid w:val="00250588"/>
    <w:rsid w:val="00250AB6"/>
    <w:rsid w:val="0025100E"/>
    <w:rsid w:val="00251BB3"/>
    <w:rsid w:val="00251D06"/>
    <w:rsid w:val="002522C4"/>
    <w:rsid w:val="00252657"/>
    <w:rsid w:val="002528D7"/>
    <w:rsid w:val="00252E8E"/>
    <w:rsid w:val="00252F6A"/>
    <w:rsid w:val="00253025"/>
    <w:rsid w:val="002530F7"/>
    <w:rsid w:val="00253380"/>
    <w:rsid w:val="00253706"/>
    <w:rsid w:val="00253759"/>
    <w:rsid w:val="00253ADE"/>
    <w:rsid w:val="00253CB3"/>
    <w:rsid w:val="00254307"/>
    <w:rsid w:val="00254D5D"/>
    <w:rsid w:val="00255416"/>
    <w:rsid w:val="002564D1"/>
    <w:rsid w:val="00256EA9"/>
    <w:rsid w:val="0025707C"/>
    <w:rsid w:val="002570BB"/>
    <w:rsid w:val="002607B0"/>
    <w:rsid w:val="00260DE9"/>
    <w:rsid w:val="0026187D"/>
    <w:rsid w:val="00261C88"/>
    <w:rsid w:val="002622F9"/>
    <w:rsid w:val="00262338"/>
    <w:rsid w:val="00262BE1"/>
    <w:rsid w:val="00262D96"/>
    <w:rsid w:val="00263353"/>
    <w:rsid w:val="00263754"/>
    <w:rsid w:val="002637B7"/>
    <w:rsid w:val="00263F6E"/>
    <w:rsid w:val="0026408C"/>
    <w:rsid w:val="0026434B"/>
    <w:rsid w:val="002647A7"/>
    <w:rsid w:val="00264D6D"/>
    <w:rsid w:val="00265163"/>
    <w:rsid w:val="002654F6"/>
    <w:rsid w:val="00265563"/>
    <w:rsid w:val="002662D0"/>
    <w:rsid w:val="00266B39"/>
    <w:rsid w:val="00266C06"/>
    <w:rsid w:val="002670A3"/>
    <w:rsid w:val="00267723"/>
    <w:rsid w:val="00267CB1"/>
    <w:rsid w:val="00270702"/>
    <w:rsid w:val="0027097F"/>
    <w:rsid w:val="00270B26"/>
    <w:rsid w:val="00271440"/>
    <w:rsid w:val="002718D1"/>
    <w:rsid w:val="00271FC9"/>
    <w:rsid w:val="00272514"/>
    <w:rsid w:val="0027280C"/>
    <w:rsid w:val="002728E1"/>
    <w:rsid w:val="00272EB2"/>
    <w:rsid w:val="00273195"/>
    <w:rsid w:val="002736FA"/>
    <w:rsid w:val="00273FF1"/>
    <w:rsid w:val="0027464E"/>
    <w:rsid w:val="00274B44"/>
    <w:rsid w:val="00274EEE"/>
    <w:rsid w:val="00275193"/>
    <w:rsid w:val="00275507"/>
    <w:rsid w:val="002756FE"/>
    <w:rsid w:val="002757BD"/>
    <w:rsid w:val="0027609B"/>
    <w:rsid w:val="00276243"/>
    <w:rsid w:val="00276256"/>
    <w:rsid w:val="00276273"/>
    <w:rsid w:val="00276DCD"/>
    <w:rsid w:val="00277281"/>
    <w:rsid w:val="002774D2"/>
    <w:rsid w:val="00277E05"/>
    <w:rsid w:val="002800A4"/>
    <w:rsid w:val="00280459"/>
    <w:rsid w:val="00280485"/>
    <w:rsid w:val="00280897"/>
    <w:rsid w:val="002809B0"/>
    <w:rsid w:val="00280D65"/>
    <w:rsid w:val="002810F6"/>
    <w:rsid w:val="002814D5"/>
    <w:rsid w:val="002819D3"/>
    <w:rsid w:val="002825FB"/>
    <w:rsid w:val="002826A2"/>
    <w:rsid w:val="00282D36"/>
    <w:rsid w:val="00283DFF"/>
    <w:rsid w:val="00283E67"/>
    <w:rsid w:val="00283EA8"/>
    <w:rsid w:val="00284120"/>
    <w:rsid w:val="002842A9"/>
    <w:rsid w:val="00284766"/>
    <w:rsid w:val="002847F4"/>
    <w:rsid w:val="00284B6E"/>
    <w:rsid w:val="00284FAA"/>
    <w:rsid w:val="00285105"/>
    <w:rsid w:val="0028590D"/>
    <w:rsid w:val="002859D8"/>
    <w:rsid w:val="00286632"/>
    <w:rsid w:val="0028667A"/>
    <w:rsid w:val="002866A1"/>
    <w:rsid w:val="0028699B"/>
    <w:rsid w:val="00287BB6"/>
    <w:rsid w:val="00287D4A"/>
    <w:rsid w:val="00290494"/>
    <w:rsid w:val="002908D5"/>
    <w:rsid w:val="00290942"/>
    <w:rsid w:val="00290B16"/>
    <w:rsid w:val="00290B5A"/>
    <w:rsid w:val="00290DFB"/>
    <w:rsid w:val="0029153E"/>
    <w:rsid w:val="002917AB"/>
    <w:rsid w:val="00292115"/>
    <w:rsid w:val="00292128"/>
    <w:rsid w:val="002921AF"/>
    <w:rsid w:val="00292622"/>
    <w:rsid w:val="00292EBD"/>
    <w:rsid w:val="00293354"/>
    <w:rsid w:val="0029349D"/>
    <w:rsid w:val="00293657"/>
    <w:rsid w:val="00293EE8"/>
    <w:rsid w:val="002942EE"/>
    <w:rsid w:val="002947DB"/>
    <w:rsid w:val="002949F0"/>
    <w:rsid w:val="00294DFF"/>
    <w:rsid w:val="002950A5"/>
    <w:rsid w:val="0029570F"/>
    <w:rsid w:val="00295AED"/>
    <w:rsid w:val="00296635"/>
    <w:rsid w:val="00296CDE"/>
    <w:rsid w:val="00296DDB"/>
    <w:rsid w:val="002972C1"/>
    <w:rsid w:val="00297DB3"/>
    <w:rsid w:val="002A04D2"/>
    <w:rsid w:val="002A0754"/>
    <w:rsid w:val="002A079A"/>
    <w:rsid w:val="002A137A"/>
    <w:rsid w:val="002A1490"/>
    <w:rsid w:val="002A1770"/>
    <w:rsid w:val="002A222F"/>
    <w:rsid w:val="002A22AF"/>
    <w:rsid w:val="002A24DA"/>
    <w:rsid w:val="002A28EC"/>
    <w:rsid w:val="002A2913"/>
    <w:rsid w:val="002A3065"/>
    <w:rsid w:val="002A3213"/>
    <w:rsid w:val="002A323D"/>
    <w:rsid w:val="002A3274"/>
    <w:rsid w:val="002A3CFB"/>
    <w:rsid w:val="002A3DFF"/>
    <w:rsid w:val="002A3FA9"/>
    <w:rsid w:val="002A4163"/>
    <w:rsid w:val="002A4299"/>
    <w:rsid w:val="002A5D63"/>
    <w:rsid w:val="002A5FE0"/>
    <w:rsid w:val="002A6A3B"/>
    <w:rsid w:val="002A6B46"/>
    <w:rsid w:val="002A777F"/>
    <w:rsid w:val="002B0799"/>
    <w:rsid w:val="002B1009"/>
    <w:rsid w:val="002B10D5"/>
    <w:rsid w:val="002B150D"/>
    <w:rsid w:val="002B18BE"/>
    <w:rsid w:val="002B18EF"/>
    <w:rsid w:val="002B19AC"/>
    <w:rsid w:val="002B1E40"/>
    <w:rsid w:val="002B1FD5"/>
    <w:rsid w:val="002B211D"/>
    <w:rsid w:val="002B23CB"/>
    <w:rsid w:val="002B23EE"/>
    <w:rsid w:val="002B2DC9"/>
    <w:rsid w:val="002B3A27"/>
    <w:rsid w:val="002B419E"/>
    <w:rsid w:val="002B50E4"/>
    <w:rsid w:val="002B571A"/>
    <w:rsid w:val="002B581A"/>
    <w:rsid w:val="002B5A14"/>
    <w:rsid w:val="002B5C23"/>
    <w:rsid w:val="002B5D46"/>
    <w:rsid w:val="002B5E20"/>
    <w:rsid w:val="002B5EC4"/>
    <w:rsid w:val="002B5FDC"/>
    <w:rsid w:val="002B7A7F"/>
    <w:rsid w:val="002B7E42"/>
    <w:rsid w:val="002C0349"/>
    <w:rsid w:val="002C0540"/>
    <w:rsid w:val="002C05FD"/>
    <w:rsid w:val="002C08F0"/>
    <w:rsid w:val="002C0F28"/>
    <w:rsid w:val="002C11AB"/>
    <w:rsid w:val="002C1D92"/>
    <w:rsid w:val="002C284A"/>
    <w:rsid w:val="002C3501"/>
    <w:rsid w:val="002C384A"/>
    <w:rsid w:val="002C3A38"/>
    <w:rsid w:val="002C3C50"/>
    <w:rsid w:val="002C40D3"/>
    <w:rsid w:val="002C43B6"/>
    <w:rsid w:val="002C474B"/>
    <w:rsid w:val="002C5569"/>
    <w:rsid w:val="002C571D"/>
    <w:rsid w:val="002C5926"/>
    <w:rsid w:val="002C5B34"/>
    <w:rsid w:val="002C5D18"/>
    <w:rsid w:val="002C648D"/>
    <w:rsid w:val="002C64CC"/>
    <w:rsid w:val="002C64D1"/>
    <w:rsid w:val="002C670D"/>
    <w:rsid w:val="002C6AB7"/>
    <w:rsid w:val="002C6D34"/>
    <w:rsid w:val="002C7256"/>
    <w:rsid w:val="002C77EF"/>
    <w:rsid w:val="002D0AB0"/>
    <w:rsid w:val="002D12F2"/>
    <w:rsid w:val="002D1363"/>
    <w:rsid w:val="002D13B2"/>
    <w:rsid w:val="002D13D3"/>
    <w:rsid w:val="002D15B8"/>
    <w:rsid w:val="002D217B"/>
    <w:rsid w:val="002D2722"/>
    <w:rsid w:val="002D373C"/>
    <w:rsid w:val="002D3AE2"/>
    <w:rsid w:val="002D3CBB"/>
    <w:rsid w:val="002D3DE9"/>
    <w:rsid w:val="002D44B5"/>
    <w:rsid w:val="002D44CF"/>
    <w:rsid w:val="002D49D5"/>
    <w:rsid w:val="002D4F7E"/>
    <w:rsid w:val="002D5316"/>
    <w:rsid w:val="002D540C"/>
    <w:rsid w:val="002D5961"/>
    <w:rsid w:val="002D6369"/>
    <w:rsid w:val="002D6AF5"/>
    <w:rsid w:val="002D7237"/>
    <w:rsid w:val="002D72F2"/>
    <w:rsid w:val="002D7561"/>
    <w:rsid w:val="002D75E3"/>
    <w:rsid w:val="002E0250"/>
    <w:rsid w:val="002E059F"/>
    <w:rsid w:val="002E190E"/>
    <w:rsid w:val="002E228A"/>
    <w:rsid w:val="002E2616"/>
    <w:rsid w:val="002E2A3D"/>
    <w:rsid w:val="002E2B6A"/>
    <w:rsid w:val="002E302B"/>
    <w:rsid w:val="002E3324"/>
    <w:rsid w:val="002E3780"/>
    <w:rsid w:val="002E380F"/>
    <w:rsid w:val="002E3B77"/>
    <w:rsid w:val="002E42FA"/>
    <w:rsid w:val="002E4332"/>
    <w:rsid w:val="002E5C07"/>
    <w:rsid w:val="002E6437"/>
    <w:rsid w:val="002E67FD"/>
    <w:rsid w:val="002E6A3D"/>
    <w:rsid w:val="002E7087"/>
    <w:rsid w:val="002E716A"/>
    <w:rsid w:val="002E72FB"/>
    <w:rsid w:val="002E7BE4"/>
    <w:rsid w:val="002E7D37"/>
    <w:rsid w:val="002E7E19"/>
    <w:rsid w:val="002E7EBF"/>
    <w:rsid w:val="002F043C"/>
    <w:rsid w:val="002F0624"/>
    <w:rsid w:val="002F0B46"/>
    <w:rsid w:val="002F0D4A"/>
    <w:rsid w:val="002F189F"/>
    <w:rsid w:val="002F2150"/>
    <w:rsid w:val="002F229D"/>
    <w:rsid w:val="002F2E86"/>
    <w:rsid w:val="002F323C"/>
    <w:rsid w:val="002F35FB"/>
    <w:rsid w:val="002F406C"/>
    <w:rsid w:val="002F44FA"/>
    <w:rsid w:val="002F4645"/>
    <w:rsid w:val="002F46F5"/>
    <w:rsid w:val="002F555B"/>
    <w:rsid w:val="002F57B0"/>
    <w:rsid w:val="002F5D6D"/>
    <w:rsid w:val="002F5DC6"/>
    <w:rsid w:val="002F689B"/>
    <w:rsid w:val="002F699E"/>
    <w:rsid w:val="002F69D5"/>
    <w:rsid w:val="002F6A0B"/>
    <w:rsid w:val="002F70F9"/>
    <w:rsid w:val="002F71B4"/>
    <w:rsid w:val="002F730B"/>
    <w:rsid w:val="002F7370"/>
    <w:rsid w:val="002F7607"/>
    <w:rsid w:val="002F7E85"/>
    <w:rsid w:val="003005FE"/>
    <w:rsid w:val="00300D40"/>
    <w:rsid w:val="00300ED2"/>
    <w:rsid w:val="00301328"/>
    <w:rsid w:val="00301591"/>
    <w:rsid w:val="00301AAA"/>
    <w:rsid w:val="003026A7"/>
    <w:rsid w:val="00303092"/>
    <w:rsid w:val="00303AC1"/>
    <w:rsid w:val="0030582C"/>
    <w:rsid w:val="0030640F"/>
    <w:rsid w:val="0030676D"/>
    <w:rsid w:val="00306A2E"/>
    <w:rsid w:val="00306C8D"/>
    <w:rsid w:val="003072D0"/>
    <w:rsid w:val="00307C8B"/>
    <w:rsid w:val="0031006B"/>
    <w:rsid w:val="00310072"/>
    <w:rsid w:val="003106D4"/>
    <w:rsid w:val="00310704"/>
    <w:rsid w:val="00310A63"/>
    <w:rsid w:val="00310F95"/>
    <w:rsid w:val="003111F4"/>
    <w:rsid w:val="0031155C"/>
    <w:rsid w:val="003115AA"/>
    <w:rsid w:val="003119EE"/>
    <w:rsid w:val="00311D4B"/>
    <w:rsid w:val="00311F50"/>
    <w:rsid w:val="003121F3"/>
    <w:rsid w:val="003123BC"/>
    <w:rsid w:val="00313627"/>
    <w:rsid w:val="0031383E"/>
    <w:rsid w:val="00313FF2"/>
    <w:rsid w:val="00314458"/>
    <w:rsid w:val="0031471F"/>
    <w:rsid w:val="003149A8"/>
    <w:rsid w:val="003150F6"/>
    <w:rsid w:val="00315332"/>
    <w:rsid w:val="003154FD"/>
    <w:rsid w:val="003156CA"/>
    <w:rsid w:val="00315851"/>
    <w:rsid w:val="00315947"/>
    <w:rsid w:val="00315D61"/>
    <w:rsid w:val="00315EDF"/>
    <w:rsid w:val="003164FC"/>
    <w:rsid w:val="003167E0"/>
    <w:rsid w:val="00316CFE"/>
    <w:rsid w:val="00317AD2"/>
    <w:rsid w:val="00317C8B"/>
    <w:rsid w:val="00317CCC"/>
    <w:rsid w:val="00320039"/>
    <w:rsid w:val="00320274"/>
    <w:rsid w:val="00321114"/>
    <w:rsid w:val="003212E6"/>
    <w:rsid w:val="00321590"/>
    <w:rsid w:val="0032245F"/>
    <w:rsid w:val="0032255B"/>
    <w:rsid w:val="0032296F"/>
    <w:rsid w:val="00322AE1"/>
    <w:rsid w:val="0032340E"/>
    <w:rsid w:val="003236BD"/>
    <w:rsid w:val="00323841"/>
    <w:rsid w:val="00323A1B"/>
    <w:rsid w:val="00323DBB"/>
    <w:rsid w:val="00323F99"/>
    <w:rsid w:val="00324203"/>
    <w:rsid w:val="003243F1"/>
    <w:rsid w:val="003245CD"/>
    <w:rsid w:val="00324A3A"/>
    <w:rsid w:val="00324ED4"/>
    <w:rsid w:val="00325D6A"/>
    <w:rsid w:val="003267E7"/>
    <w:rsid w:val="003271AA"/>
    <w:rsid w:val="0032724F"/>
    <w:rsid w:val="00327287"/>
    <w:rsid w:val="00331D1D"/>
    <w:rsid w:val="00332502"/>
    <w:rsid w:val="0033258F"/>
    <w:rsid w:val="0033262D"/>
    <w:rsid w:val="00332806"/>
    <w:rsid w:val="00332844"/>
    <w:rsid w:val="0033290E"/>
    <w:rsid w:val="00332C2B"/>
    <w:rsid w:val="00333FEF"/>
    <w:rsid w:val="00334046"/>
    <w:rsid w:val="003340B1"/>
    <w:rsid w:val="0033412F"/>
    <w:rsid w:val="00334DB3"/>
    <w:rsid w:val="00334E3F"/>
    <w:rsid w:val="003352EA"/>
    <w:rsid w:val="00335577"/>
    <w:rsid w:val="00335935"/>
    <w:rsid w:val="00335CB4"/>
    <w:rsid w:val="00335FE2"/>
    <w:rsid w:val="00336250"/>
    <w:rsid w:val="0033673C"/>
    <w:rsid w:val="00337563"/>
    <w:rsid w:val="00337F4D"/>
    <w:rsid w:val="003405AD"/>
    <w:rsid w:val="0034079B"/>
    <w:rsid w:val="00340B37"/>
    <w:rsid w:val="00340C05"/>
    <w:rsid w:val="0034109C"/>
    <w:rsid w:val="0034113D"/>
    <w:rsid w:val="00341256"/>
    <w:rsid w:val="003412E0"/>
    <w:rsid w:val="003413DA"/>
    <w:rsid w:val="0034152C"/>
    <w:rsid w:val="003420DA"/>
    <w:rsid w:val="003421B0"/>
    <w:rsid w:val="00342421"/>
    <w:rsid w:val="00343BF0"/>
    <w:rsid w:val="00343D5B"/>
    <w:rsid w:val="00343F65"/>
    <w:rsid w:val="0034403F"/>
    <w:rsid w:val="003440F3"/>
    <w:rsid w:val="003441E5"/>
    <w:rsid w:val="00344564"/>
    <w:rsid w:val="00344DE0"/>
    <w:rsid w:val="003450CD"/>
    <w:rsid w:val="0034513D"/>
    <w:rsid w:val="0034518E"/>
    <w:rsid w:val="00345298"/>
    <w:rsid w:val="003452DE"/>
    <w:rsid w:val="00345441"/>
    <w:rsid w:val="00345A56"/>
    <w:rsid w:val="003460FD"/>
    <w:rsid w:val="003479D0"/>
    <w:rsid w:val="00347C35"/>
    <w:rsid w:val="00347D0C"/>
    <w:rsid w:val="003500AF"/>
    <w:rsid w:val="00350280"/>
    <w:rsid w:val="0035028E"/>
    <w:rsid w:val="003509C4"/>
    <w:rsid w:val="003509F6"/>
    <w:rsid w:val="003511FD"/>
    <w:rsid w:val="00351AF1"/>
    <w:rsid w:val="003521D5"/>
    <w:rsid w:val="003522B7"/>
    <w:rsid w:val="003525DD"/>
    <w:rsid w:val="00352B7B"/>
    <w:rsid w:val="00352C80"/>
    <w:rsid w:val="0035315D"/>
    <w:rsid w:val="00353530"/>
    <w:rsid w:val="00353598"/>
    <w:rsid w:val="00353B7F"/>
    <w:rsid w:val="00353C4F"/>
    <w:rsid w:val="00353DB4"/>
    <w:rsid w:val="003547D7"/>
    <w:rsid w:val="00354A7A"/>
    <w:rsid w:val="00354CAD"/>
    <w:rsid w:val="0035550D"/>
    <w:rsid w:val="0035662F"/>
    <w:rsid w:val="003578B9"/>
    <w:rsid w:val="003603FA"/>
    <w:rsid w:val="0036167F"/>
    <w:rsid w:val="0036193F"/>
    <w:rsid w:val="003619D8"/>
    <w:rsid w:val="00361CFD"/>
    <w:rsid w:val="00362640"/>
    <w:rsid w:val="003628CC"/>
    <w:rsid w:val="0036293A"/>
    <w:rsid w:val="00362961"/>
    <w:rsid w:val="00362D5B"/>
    <w:rsid w:val="00362DEB"/>
    <w:rsid w:val="00362F6C"/>
    <w:rsid w:val="003636DA"/>
    <w:rsid w:val="00363B50"/>
    <w:rsid w:val="003655CB"/>
    <w:rsid w:val="00365772"/>
    <w:rsid w:val="003658BB"/>
    <w:rsid w:val="00365C08"/>
    <w:rsid w:val="00365E3E"/>
    <w:rsid w:val="00366133"/>
    <w:rsid w:val="00366397"/>
    <w:rsid w:val="003664BC"/>
    <w:rsid w:val="003666F2"/>
    <w:rsid w:val="00366ABC"/>
    <w:rsid w:val="00366CB8"/>
    <w:rsid w:val="003676CD"/>
    <w:rsid w:val="003676E0"/>
    <w:rsid w:val="0036775A"/>
    <w:rsid w:val="00367A15"/>
    <w:rsid w:val="003709A8"/>
    <w:rsid w:val="00370C46"/>
    <w:rsid w:val="00371187"/>
    <w:rsid w:val="0037195B"/>
    <w:rsid w:val="003728F0"/>
    <w:rsid w:val="00372F2A"/>
    <w:rsid w:val="0037333E"/>
    <w:rsid w:val="0037381D"/>
    <w:rsid w:val="00373DA5"/>
    <w:rsid w:val="003756F8"/>
    <w:rsid w:val="003757AA"/>
    <w:rsid w:val="00375B11"/>
    <w:rsid w:val="00375D6B"/>
    <w:rsid w:val="00375E58"/>
    <w:rsid w:val="00376059"/>
    <w:rsid w:val="003763D6"/>
    <w:rsid w:val="00376C0D"/>
    <w:rsid w:val="00376F9A"/>
    <w:rsid w:val="00377031"/>
    <w:rsid w:val="00377842"/>
    <w:rsid w:val="003803A3"/>
    <w:rsid w:val="00380DBB"/>
    <w:rsid w:val="003810A1"/>
    <w:rsid w:val="003810EB"/>
    <w:rsid w:val="003812B4"/>
    <w:rsid w:val="00382261"/>
    <w:rsid w:val="0038252F"/>
    <w:rsid w:val="00382586"/>
    <w:rsid w:val="00382942"/>
    <w:rsid w:val="003829DE"/>
    <w:rsid w:val="0038326F"/>
    <w:rsid w:val="00383A22"/>
    <w:rsid w:val="00383C69"/>
    <w:rsid w:val="0038402C"/>
    <w:rsid w:val="00384079"/>
    <w:rsid w:val="0038435E"/>
    <w:rsid w:val="003844D9"/>
    <w:rsid w:val="003849A9"/>
    <w:rsid w:val="00385362"/>
    <w:rsid w:val="00386122"/>
    <w:rsid w:val="00386195"/>
    <w:rsid w:val="0038645B"/>
    <w:rsid w:val="0038650D"/>
    <w:rsid w:val="003866F4"/>
    <w:rsid w:val="003869FC"/>
    <w:rsid w:val="00386A75"/>
    <w:rsid w:val="00387868"/>
    <w:rsid w:val="00390171"/>
    <w:rsid w:val="0039021B"/>
    <w:rsid w:val="00390399"/>
    <w:rsid w:val="00390465"/>
    <w:rsid w:val="0039056C"/>
    <w:rsid w:val="003909A2"/>
    <w:rsid w:val="00391202"/>
    <w:rsid w:val="003914AE"/>
    <w:rsid w:val="0039161C"/>
    <w:rsid w:val="003916FE"/>
    <w:rsid w:val="00393019"/>
    <w:rsid w:val="0039302D"/>
    <w:rsid w:val="003934A5"/>
    <w:rsid w:val="00393CAF"/>
    <w:rsid w:val="00393DCF"/>
    <w:rsid w:val="00393EFB"/>
    <w:rsid w:val="0039422F"/>
    <w:rsid w:val="0039440B"/>
    <w:rsid w:val="0039472A"/>
    <w:rsid w:val="00394DCB"/>
    <w:rsid w:val="00396177"/>
    <w:rsid w:val="0039669F"/>
    <w:rsid w:val="003969AD"/>
    <w:rsid w:val="00396CA0"/>
    <w:rsid w:val="003971B2"/>
    <w:rsid w:val="00397432"/>
    <w:rsid w:val="003A02D2"/>
    <w:rsid w:val="003A04F9"/>
    <w:rsid w:val="003A1204"/>
    <w:rsid w:val="003A1B27"/>
    <w:rsid w:val="003A2C5E"/>
    <w:rsid w:val="003A2EA9"/>
    <w:rsid w:val="003A3866"/>
    <w:rsid w:val="003A395F"/>
    <w:rsid w:val="003A3DDC"/>
    <w:rsid w:val="003A40A5"/>
    <w:rsid w:val="003A4186"/>
    <w:rsid w:val="003A42D1"/>
    <w:rsid w:val="003A44DB"/>
    <w:rsid w:val="003A4531"/>
    <w:rsid w:val="003A4D10"/>
    <w:rsid w:val="003A4D12"/>
    <w:rsid w:val="003A4E62"/>
    <w:rsid w:val="003A52E4"/>
    <w:rsid w:val="003A5654"/>
    <w:rsid w:val="003A5B04"/>
    <w:rsid w:val="003A5F1A"/>
    <w:rsid w:val="003A61D7"/>
    <w:rsid w:val="003A6250"/>
    <w:rsid w:val="003A6684"/>
    <w:rsid w:val="003A66C1"/>
    <w:rsid w:val="003A68B9"/>
    <w:rsid w:val="003A714B"/>
    <w:rsid w:val="003A7A1D"/>
    <w:rsid w:val="003A7B01"/>
    <w:rsid w:val="003A7CB3"/>
    <w:rsid w:val="003A7ED1"/>
    <w:rsid w:val="003B06D0"/>
    <w:rsid w:val="003B1107"/>
    <w:rsid w:val="003B125F"/>
    <w:rsid w:val="003B1CE1"/>
    <w:rsid w:val="003B2DA2"/>
    <w:rsid w:val="003B3564"/>
    <w:rsid w:val="003B41D2"/>
    <w:rsid w:val="003B43EF"/>
    <w:rsid w:val="003B4611"/>
    <w:rsid w:val="003B467F"/>
    <w:rsid w:val="003B488B"/>
    <w:rsid w:val="003B4916"/>
    <w:rsid w:val="003B55E5"/>
    <w:rsid w:val="003B5BB7"/>
    <w:rsid w:val="003B6273"/>
    <w:rsid w:val="003B63A9"/>
    <w:rsid w:val="003B6A07"/>
    <w:rsid w:val="003B6CAD"/>
    <w:rsid w:val="003B7341"/>
    <w:rsid w:val="003B74D1"/>
    <w:rsid w:val="003B7D0B"/>
    <w:rsid w:val="003B7D39"/>
    <w:rsid w:val="003B7ED1"/>
    <w:rsid w:val="003C08F2"/>
    <w:rsid w:val="003C0EE9"/>
    <w:rsid w:val="003C0FF2"/>
    <w:rsid w:val="003C13B1"/>
    <w:rsid w:val="003C195F"/>
    <w:rsid w:val="003C2CBF"/>
    <w:rsid w:val="003C2F46"/>
    <w:rsid w:val="003C3661"/>
    <w:rsid w:val="003C4004"/>
    <w:rsid w:val="003C424C"/>
    <w:rsid w:val="003C425A"/>
    <w:rsid w:val="003C4BD7"/>
    <w:rsid w:val="003C4CC5"/>
    <w:rsid w:val="003C4E4E"/>
    <w:rsid w:val="003C599E"/>
    <w:rsid w:val="003C654A"/>
    <w:rsid w:val="003C729C"/>
    <w:rsid w:val="003C76EA"/>
    <w:rsid w:val="003C7C86"/>
    <w:rsid w:val="003C7D05"/>
    <w:rsid w:val="003D0238"/>
    <w:rsid w:val="003D0599"/>
    <w:rsid w:val="003D0B74"/>
    <w:rsid w:val="003D1089"/>
    <w:rsid w:val="003D1E17"/>
    <w:rsid w:val="003D1EEB"/>
    <w:rsid w:val="003D2079"/>
    <w:rsid w:val="003D23A7"/>
    <w:rsid w:val="003D2A47"/>
    <w:rsid w:val="003D2CF3"/>
    <w:rsid w:val="003D2E0A"/>
    <w:rsid w:val="003D321C"/>
    <w:rsid w:val="003D3337"/>
    <w:rsid w:val="003D3382"/>
    <w:rsid w:val="003D35A8"/>
    <w:rsid w:val="003D37A3"/>
    <w:rsid w:val="003D3870"/>
    <w:rsid w:val="003D3A96"/>
    <w:rsid w:val="003D4393"/>
    <w:rsid w:val="003D4418"/>
    <w:rsid w:val="003D4495"/>
    <w:rsid w:val="003D48A5"/>
    <w:rsid w:val="003D4BCF"/>
    <w:rsid w:val="003D4D66"/>
    <w:rsid w:val="003D4F4E"/>
    <w:rsid w:val="003D5035"/>
    <w:rsid w:val="003D534C"/>
    <w:rsid w:val="003D613E"/>
    <w:rsid w:val="003D61D5"/>
    <w:rsid w:val="003D6618"/>
    <w:rsid w:val="003D68EC"/>
    <w:rsid w:val="003D6CA4"/>
    <w:rsid w:val="003D6DE0"/>
    <w:rsid w:val="003D6EB1"/>
    <w:rsid w:val="003D726A"/>
    <w:rsid w:val="003D7756"/>
    <w:rsid w:val="003D7B1B"/>
    <w:rsid w:val="003D7E4D"/>
    <w:rsid w:val="003E0937"/>
    <w:rsid w:val="003E0C7D"/>
    <w:rsid w:val="003E0E27"/>
    <w:rsid w:val="003E1675"/>
    <w:rsid w:val="003E198F"/>
    <w:rsid w:val="003E1B39"/>
    <w:rsid w:val="003E206B"/>
    <w:rsid w:val="003E23E5"/>
    <w:rsid w:val="003E2A22"/>
    <w:rsid w:val="003E2E4F"/>
    <w:rsid w:val="003E3273"/>
    <w:rsid w:val="003E34E8"/>
    <w:rsid w:val="003E3518"/>
    <w:rsid w:val="003E37EA"/>
    <w:rsid w:val="003E388D"/>
    <w:rsid w:val="003E4177"/>
    <w:rsid w:val="003E450E"/>
    <w:rsid w:val="003E4609"/>
    <w:rsid w:val="003E4B16"/>
    <w:rsid w:val="003E4CAB"/>
    <w:rsid w:val="003E4D4C"/>
    <w:rsid w:val="003E5456"/>
    <w:rsid w:val="003E5542"/>
    <w:rsid w:val="003E5720"/>
    <w:rsid w:val="003E5E67"/>
    <w:rsid w:val="003E5FC5"/>
    <w:rsid w:val="003E6443"/>
    <w:rsid w:val="003E682D"/>
    <w:rsid w:val="003E6F17"/>
    <w:rsid w:val="003E713E"/>
    <w:rsid w:val="003E763A"/>
    <w:rsid w:val="003E7995"/>
    <w:rsid w:val="003E7A1C"/>
    <w:rsid w:val="003E7A64"/>
    <w:rsid w:val="003E7C18"/>
    <w:rsid w:val="003F0226"/>
    <w:rsid w:val="003F0A9A"/>
    <w:rsid w:val="003F0C01"/>
    <w:rsid w:val="003F0C70"/>
    <w:rsid w:val="003F10A7"/>
    <w:rsid w:val="003F13D0"/>
    <w:rsid w:val="003F1AA1"/>
    <w:rsid w:val="003F1B18"/>
    <w:rsid w:val="003F22A2"/>
    <w:rsid w:val="003F26F7"/>
    <w:rsid w:val="003F29A4"/>
    <w:rsid w:val="003F29B7"/>
    <w:rsid w:val="003F2C4A"/>
    <w:rsid w:val="003F2F27"/>
    <w:rsid w:val="003F31B8"/>
    <w:rsid w:val="003F3796"/>
    <w:rsid w:val="003F3B76"/>
    <w:rsid w:val="003F4EA2"/>
    <w:rsid w:val="003F5067"/>
    <w:rsid w:val="003F5312"/>
    <w:rsid w:val="003F5C29"/>
    <w:rsid w:val="003F6E6A"/>
    <w:rsid w:val="003F71A3"/>
    <w:rsid w:val="003F72B2"/>
    <w:rsid w:val="003F7757"/>
    <w:rsid w:val="004000E6"/>
    <w:rsid w:val="0040068A"/>
    <w:rsid w:val="004009E5"/>
    <w:rsid w:val="004012AB"/>
    <w:rsid w:val="00401756"/>
    <w:rsid w:val="00401C5B"/>
    <w:rsid w:val="00401F7E"/>
    <w:rsid w:val="0040202F"/>
    <w:rsid w:val="0040253A"/>
    <w:rsid w:val="004025A1"/>
    <w:rsid w:val="00402F4F"/>
    <w:rsid w:val="00403414"/>
    <w:rsid w:val="00403821"/>
    <w:rsid w:val="00403E6D"/>
    <w:rsid w:val="00403FFD"/>
    <w:rsid w:val="0040446C"/>
    <w:rsid w:val="00404679"/>
    <w:rsid w:val="0040491F"/>
    <w:rsid w:val="00405065"/>
    <w:rsid w:val="00405157"/>
    <w:rsid w:val="00405FC0"/>
    <w:rsid w:val="004067EC"/>
    <w:rsid w:val="00406B31"/>
    <w:rsid w:val="00406CA5"/>
    <w:rsid w:val="00406F6E"/>
    <w:rsid w:val="00406F7C"/>
    <w:rsid w:val="0040744C"/>
    <w:rsid w:val="004076C7"/>
    <w:rsid w:val="004105FB"/>
    <w:rsid w:val="00410851"/>
    <w:rsid w:val="00410E6A"/>
    <w:rsid w:val="00410ED6"/>
    <w:rsid w:val="00410F19"/>
    <w:rsid w:val="004110C4"/>
    <w:rsid w:val="00411234"/>
    <w:rsid w:val="00411B09"/>
    <w:rsid w:val="004124D4"/>
    <w:rsid w:val="00412792"/>
    <w:rsid w:val="00412F6A"/>
    <w:rsid w:val="004137A0"/>
    <w:rsid w:val="00413935"/>
    <w:rsid w:val="00414454"/>
    <w:rsid w:val="00414471"/>
    <w:rsid w:val="004152C4"/>
    <w:rsid w:val="0041576C"/>
    <w:rsid w:val="00416750"/>
    <w:rsid w:val="0041772C"/>
    <w:rsid w:val="00417E0E"/>
    <w:rsid w:val="0042051B"/>
    <w:rsid w:val="00420587"/>
    <w:rsid w:val="00420768"/>
    <w:rsid w:val="00420B6B"/>
    <w:rsid w:val="00420DAA"/>
    <w:rsid w:val="00421228"/>
    <w:rsid w:val="00421507"/>
    <w:rsid w:val="00421554"/>
    <w:rsid w:val="00421799"/>
    <w:rsid w:val="004217BC"/>
    <w:rsid w:val="00421ACB"/>
    <w:rsid w:val="00421D37"/>
    <w:rsid w:val="00421D91"/>
    <w:rsid w:val="00421E0A"/>
    <w:rsid w:val="00421F6C"/>
    <w:rsid w:val="0042204C"/>
    <w:rsid w:val="00422412"/>
    <w:rsid w:val="00422B2E"/>
    <w:rsid w:val="00422F13"/>
    <w:rsid w:val="0042312C"/>
    <w:rsid w:val="004248A4"/>
    <w:rsid w:val="004249E3"/>
    <w:rsid w:val="004250FC"/>
    <w:rsid w:val="004259B2"/>
    <w:rsid w:val="00425C6E"/>
    <w:rsid w:val="00425F42"/>
    <w:rsid w:val="004264EA"/>
    <w:rsid w:val="0042650A"/>
    <w:rsid w:val="0042658B"/>
    <w:rsid w:val="00426814"/>
    <w:rsid w:val="004268D1"/>
    <w:rsid w:val="00426A67"/>
    <w:rsid w:val="00426F33"/>
    <w:rsid w:val="00426F7C"/>
    <w:rsid w:val="004274CE"/>
    <w:rsid w:val="00427EA1"/>
    <w:rsid w:val="00430290"/>
    <w:rsid w:val="00431AA2"/>
    <w:rsid w:val="00431BFC"/>
    <w:rsid w:val="00431EE3"/>
    <w:rsid w:val="00432717"/>
    <w:rsid w:val="004329C5"/>
    <w:rsid w:val="00432E54"/>
    <w:rsid w:val="0043426C"/>
    <w:rsid w:val="00434381"/>
    <w:rsid w:val="00434870"/>
    <w:rsid w:val="00434CC3"/>
    <w:rsid w:val="00435BF9"/>
    <w:rsid w:val="00435E94"/>
    <w:rsid w:val="00435F5B"/>
    <w:rsid w:val="00436A40"/>
    <w:rsid w:val="00436FA9"/>
    <w:rsid w:val="004371C7"/>
    <w:rsid w:val="00437284"/>
    <w:rsid w:val="004372B7"/>
    <w:rsid w:val="004375C8"/>
    <w:rsid w:val="00437DEB"/>
    <w:rsid w:val="00440591"/>
    <w:rsid w:val="00440B87"/>
    <w:rsid w:val="00440BE7"/>
    <w:rsid w:val="00440DBE"/>
    <w:rsid w:val="00441392"/>
    <w:rsid w:val="00441487"/>
    <w:rsid w:val="004415EB"/>
    <w:rsid w:val="004418A8"/>
    <w:rsid w:val="00441A0A"/>
    <w:rsid w:val="00441E61"/>
    <w:rsid w:val="00442035"/>
    <w:rsid w:val="0044279D"/>
    <w:rsid w:val="00442924"/>
    <w:rsid w:val="004429F9"/>
    <w:rsid w:val="00442ADB"/>
    <w:rsid w:val="00442DC1"/>
    <w:rsid w:val="004435E5"/>
    <w:rsid w:val="00443756"/>
    <w:rsid w:val="00443E53"/>
    <w:rsid w:val="00444147"/>
    <w:rsid w:val="004442A9"/>
    <w:rsid w:val="0044623A"/>
    <w:rsid w:val="004469D4"/>
    <w:rsid w:val="00446E7D"/>
    <w:rsid w:val="004470DE"/>
    <w:rsid w:val="00447932"/>
    <w:rsid w:val="00447A3B"/>
    <w:rsid w:val="00447D17"/>
    <w:rsid w:val="00451391"/>
    <w:rsid w:val="0045150F"/>
    <w:rsid w:val="0045166B"/>
    <w:rsid w:val="004516DE"/>
    <w:rsid w:val="00451871"/>
    <w:rsid w:val="00452147"/>
    <w:rsid w:val="00452148"/>
    <w:rsid w:val="00452B4B"/>
    <w:rsid w:val="00453018"/>
    <w:rsid w:val="00453037"/>
    <w:rsid w:val="00453665"/>
    <w:rsid w:val="00453BF9"/>
    <w:rsid w:val="00453E40"/>
    <w:rsid w:val="00453E77"/>
    <w:rsid w:val="004544B9"/>
    <w:rsid w:val="0045452D"/>
    <w:rsid w:val="004545EE"/>
    <w:rsid w:val="00454793"/>
    <w:rsid w:val="00454D9B"/>
    <w:rsid w:val="00454DD1"/>
    <w:rsid w:val="0045582A"/>
    <w:rsid w:val="00455EB3"/>
    <w:rsid w:val="00456640"/>
    <w:rsid w:val="0045695D"/>
    <w:rsid w:val="00456A35"/>
    <w:rsid w:val="004570B8"/>
    <w:rsid w:val="0045765A"/>
    <w:rsid w:val="0045774A"/>
    <w:rsid w:val="00457D95"/>
    <w:rsid w:val="00460382"/>
    <w:rsid w:val="004608F3"/>
    <w:rsid w:val="004609C6"/>
    <w:rsid w:val="0046180D"/>
    <w:rsid w:val="0046235F"/>
    <w:rsid w:val="00462B0C"/>
    <w:rsid w:val="00462CA3"/>
    <w:rsid w:val="00462D59"/>
    <w:rsid w:val="00464CB9"/>
    <w:rsid w:val="00464FA1"/>
    <w:rsid w:val="00465213"/>
    <w:rsid w:val="004658A6"/>
    <w:rsid w:val="00466439"/>
    <w:rsid w:val="00466916"/>
    <w:rsid w:val="00466D2D"/>
    <w:rsid w:val="00466D52"/>
    <w:rsid w:val="00467AEC"/>
    <w:rsid w:val="00470000"/>
    <w:rsid w:val="0047068A"/>
    <w:rsid w:val="004707E9"/>
    <w:rsid w:val="00470CDF"/>
    <w:rsid w:val="00470D05"/>
    <w:rsid w:val="00471172"/>
    <w:rsid w:val="00471615"/>
    <w:rsid w:val="00471772"/>
    <w:rsid w:val="00471A9D"/>
    <w:rsid w:val="00471D9D"/>
    <w:rsid w:val="004720DA"/>
    <w:rsid w:val="00472D1C"/>
    <w:rsid w:val="004734BC"/>
    <w:rsid w:val="004738AE"/>
    <w:rsid w:val="00473966"/>
    <w:rsid w:val="004759CB"/>
    <w:rsid w:val="00475D95"/>
    <w:rsid w:val="004763E0"/>
    <w:rsid w:val="00476AF7"/>
    <w:rsid w:val="00476B37"/>
    <w:rsid w:val="00476CB1"/>
    <w:rsid w:val="00476E4A"/>
    <w:rsid w:val="0047704D"/>
    <w:rsid w:val="00477A18"/>
    <w:rsid w:val="00480122"/>
    <w:rsid w:val="00480457"/>
    <w:rsid w:val="004811B4"/>
    <w:rsid w:val="004816D2"/>
    <w:rsid w:val="00481EA4"/>
    <w:rsid w:val="004820A7"/>
    <w:rsid w:val="004831B1"/>
    <w:rsid w:val="00483266"/>
    <w:rsid w:val="00483578"/>
    <w:rsid w:val="00485ACF"/>
    <w:rsid w:val="00485C0A"/>
    <w:rsid w:val="004863E8"/>
    <w:rsid w:val="00486632"/>
    <w:rsid w:val="00486F18"/>
    <w:rsid w:val="00486F9E"/>
    <w:rsid w:val="00487102"/>
    <w:rsid w:val="00487360"/>
    <w:rsid w:val="004873A4"/>
    <w:rsid w:val="00487F41"/>
    <w:rsid w:val="00490164"/>
    <w:rsid w:val="0049075D"/>
    <w:rsid w:val="00490A17"/>
    <w:rsid w:val="00490A4C"/>
    <w:rsid w:val="00490D7D"/>
    <w:rsid w:val="00490F8A"/>
    <w:rsid w:val="004914CB"/>
    <w:rsid w:val="00491C81"/>
    <w:rsid w:val="00491E1F"/>
    <w:rsid w:val="004923A9"/>
    <w:rsid w:val="004928C2"/>
    <w:rsid w:val="004928ED"/>
    <w:rsid w:val="00492A56"/>
    <w:rsid w:val="00492F30"/>
    <w:rsid w:val="004935CE"/>
    <w:rsid w:val="00494040"/>
    <w:rsid w:val="00494342"/>
    <w:rsid w:val="004947C2"/>
    <w:rsid w:val="00494943"/>
    <w:rsid w:val="00494F46"/>
    <w:rsid w:val="004956C0"/>
    <w:rsid w:val="00495998"/>
    <w:rsid w:val="00495CB5"/>
    <w:rsid w:val="0049698D"/>
    <w:rsid w:val="00497659"/>
    <w:rsid w:val="00497751"/>
    <w:rsid w:val="004977EB"/>
    <w:rsid w:val="00497EEB"/>
    <w:rsid w:val="004A05C4"/>
    <w:rsid w:val="004A0BE1"/>
    <w:rsid w:val="004A1FCA"/>
    <w:rsid w:val="004A2636"/>
    <w:rsid w:val="004A276E"/>
    <w:rsid w:val="004A2ED2"/>
    <w:rsid w:val="004A31A5"/>
    <w:rsid w:val="004A36CA"/>
    <w:rsid w:val="004A3E1B"/>
    <w:rsid w:val="004A4503"/>
    <w:rsid w:val="004A49E4"/>
    <w:rsid w:val="004A4C9E"/>
    <w:rsid w:val="004A51CD"/>
    <w:rsid w:val="004A59E0"/>
    <w:rsid w:val="004A7725"/>
    <w:rsid w:val="004A7DC6"/>
    <w:rsid w:val="004A7E57"/>
    <w:rsid w:val="004B066E"/>
    <w:rsid w:val="004B0A2A"/>
    <w:rsid w:val="004B0AF7"/>
    <w:rsid w:val="004B0B22"/>
    <w:rsid w:val="004B1362"/>
    <w:rsid w:val="004B1573"/>
    <w:rsid w:val="004B158F"/>
    <w:rsid w:val="004B16F1"/>
    <w:rsid w:val="004B2B39"/>
    <w:rsid w:val="004B2BFB"/>
    <w:rsid w:val="004B2C5A"/>
    <w:rsid w:val="004B2E3F"/>
    <w:rsid w:val="004B3526"/>
    <w:rsid w:val="004B3DFF"/>
    <w:rsid w:val="004B44FB"/>
    <w:rsid w:val="004B4661"/>
    <w:rsid w:val="004B4888"/>
    <w:rsid w:val="004B4ACD"/>
    <w:rsid w:val="004B5235"/>
    <w:rsid w:val="004B5453"/>
    <w:rsid w:val="004B54B0"/>
    <w:rsid w:val="004B55A1"/>
    <w:rsid w:val="004B6B32"/>
    <w:rsid w:val="004B6DCF"/>
    <w:rsid w:val="004B7539"/>
    <w:rsid w:val="004B7A71"/>
    <w:rsid w:val="004B7D33"/>
    <w:rsid w:val="004B7F8B"/>
    <w:rsid w:val="004C01CC"/>
    <w:rsid w:val="004C0F5C"/>
    <w:rsid w:val="004C14DA"/>
    <w:rsid w:val="004C17F7"/>
    <w:rsid w:val="004C2025"/>
    <w:rsid w:val="004C2076"/>
    <w:rsid w:val="004C241B"/>
    <w:rsid w:val="004C2A70"/>
    <w:rsid w:val="004C2B43"/>
    <w:rsid w:val="004C2CDD"/>
    <w:rsid w:val="004C2F49"/>
    <w:rsid w:val="004C3283"/>
    <w:rsid w:val="004C3439"/>
    <w:rsid w:val="004C3D42"/>
    <w:rsid w:val="004C4E74"/>
    <w:rsid w:val="004C553E"/>
    <w:rsid w:val="004C5B7A"/>
    <w:rsid w:val="004C5D56"/>
    <w:rsid w:val="004C5E9D"/>
    <w:rsid w:val="004C6AB7"/>
    <w:rsid w:val="004C6BDE"/>
    <w:rsid w:val="004C6D8C"/>
    <w:rsid w:val="004C77AE"/>
    <w:rsid w:val="004D0469"/>
    <w:rsid w:val="004D10AE"/>
    <w:rsid w:val="004D1C46"/>
    <w:rsid w:val="004D1EF1"/>
    <w:rsid w:val="004D204A"/>
    <w:rsid w:val="004D208D"/>
    <w:rsid w:val="004D24A1"/>
    <w:rsid w:val="004D24B8"/>
    <w:rsid w:val="004D2541"/>
    <w:rsid w:val="004D266B"/>
    <w:rsid w:val="004D2777"/>
    <w:rsid w:val="004D3F5E"/>
    <w:rsid w:val="004D471E"/>
    <w:rsid w:val="004D49E6"/>
    <w:rsid w:val="004D4A6D"/>
    <w:rsid w:val="004D4CAD"/>
    <w:rsid w:val="004D512C"/>
    <w:rsid w:val="004D52E3"/>
    <w:rsid w:val="004D5734"/>
    <w:rsid w:val="004D573B"/>
    <w:rsid w:val="004D599B"/>
    <w:rsid w:val="004D5BE3"/>
    <w:rsid w:val="004D5EBD"/>
    <w:rsid w:val="004D62DA"/>
    <w:rsid w:val="004D6712"/>
    <w:rsid w:val="004D6810"/>
    <w:rsid w:val="004D6907"/>
    <w:rsid w:val="004D6AC6"/>
    <w:rsid w:val="004D6EC3"/>
    <w:rsid w:val="004D74AB"/>
    <w:rsid w:val="004D7693"/>
    <w:rsid w:val="004D7EE0"/>
    <w:rsid w:val="004E03C5"/>
    <w:rsid w:val="004E050F"/>
    <w:rsid w:val="004E07FF"/>
    <w:rsid w:val="004E0958"/>
    <w:rsid w:val="004E0BB6"/>
    <w:rsid w:val="004E0C96"/>
    <w:rsid w:val="004E0D44"/>
    <w:rsid w:val="004E0F6A"/>
    <w:rsid w:val="004E0FE7"/>
    <w:rsid w:val="004E134E"/>
    <w:rsid w:val="004E13EF"/>
    <w:rsid w:val="004E2092"/>
    <w:rsid w:val="004E3160"/>
    <w:rsid w:val="004E35C0"/>
    <w:rsid w:val="004E3D4E"/>
    <w:rsid w:val="004E45A6"/>
    <w:rsid w:val="004E4625"/>
    <w:rsid w:val="004E475D"/>
    <w:rsid w:val="004E4C96"/>
    <w:rsid w:val="004E58F9"/>
    <w:rsid w:val="004E6319"/>
    <w:rsid w:val="004E6758"/>
    <w:rsid w:val="004E7F51"/>
    <w:rsid w:val="004F0460"/>
    <w:rsid w:val="004F0561"/>
    <w:rsid w:val="004F08AA"/>
    <w:rsid w:val="004F0B08"/>
    <w:rsid w:val="004F0B7A"/>
    <w:rsid w:val="004F0C54"/>
    <w:rsid w:val="004F0D59"/>
    <w:rsid w:val="004F1031"/>
    <w:rsid w:val="004F12E9"/>
    <w:rsid w:val="004F13EE"/>
    <w:rsid w:val="004F15E4"/>
    <w:rsid w:val="004F1B9C"/>
    <w:rsid w:val="004F219C"/>
    <w:rsid w:val="004F21C7"/>
    <w:rsid w:val="004F2700"/>
    <w:rsid w:val="004F322E"/>
    <w:rsid w:val="004F3842"/>
    <w:rsid w:val="004F39E5"/>
    <w:rsid w:val="004F4B23"/>
    <w:rsid w:val="004F4CBD"/>
    <w:rsid w:val="004F52D6"/>
    <w:rsid w:val="004F5329"/>
    <w:rsid w:val="004F56BA"/>
    <w:rsid w:val="004F57CF"/>
    <w:rsid w:val="004F59AA"/>
    <w:rsid w:val="004F5C89"/>
    <w:rsid w:val="004F5DDF"/>
    <w:rsid w:val="004F6202"/>
    <w:rsid w:val="004F6327"/>
    <w:rsid w:val="004F6F52"/>
    <w:rsid w:val="004F70FE"/>
    <w:rsid w:val="004F7131"/>
    <w:rsid w:val="004F75FA"/>
    <w:rsid w:val="004F7B34"/>
    <w:rsid w:val="0050012E"/>
    <w:rsid w:val="00500371"/>
    <w:rsid w:val="00500B00"/>
    <w:rsid w:val="00500B1F"/>
    <w:rsid w:val="00500D32"/>
    <w:rsid w:val="005010C0"/>
    <w:rsid w:val="005012FA"/>
    <w:rsid w:val="00501392"/>
    <w:rsid w:val="00501A72"/>
    <w:rsid w:val="00501C19"/>
    <w:rsid w:val="00501E2C"/>
    <w:rsid w:val="0050297E"/>
    <w:rsid w:val="00502A4D"/>
    <w:rsid w:val="00502B02"/>
    <w:rsid w:val="00502B99"/>
    <w:rsid w:val="00502F1E"/>
    <w:rsid w:val="00503189"/>
    <w:rsid w:val="005031CD"/>
    <w:rsid w:val="005037A8"/>
    <w:rsid w:val="00503D9A"/>
    <w:rsid w:val="005043DA"/>
    <w:rsid w:val="00504A40"/>
    <w:rsid w:val="00504AC7"/>
    <w:rsid w:val="005062CB"/>
    <w:rsid w:val="00506758"/>
    <w:rsid w:val="00506798"/>
    <w:rsid w:val="00506BB6"/>
    <w:rsid w:val="00506CBF"/>
    <w:rsid w:val="00506D54"/>
    <w:rsid w:val="0050726E"/>
    <w:rsid w:val="0050730A"/>
    <w:rsid w:val="00507D79"/>
    <w:rsid w:val="00510668"/>
    <w:rsid w:val="0051094E"/>
    <w:rsid w:val="00510990"/>
    <w:rsid w:val="00510C1A"/>
    <w:rsid w:val="00510EDE"/>
    <w:rsid w:val="005112FC"/>
    <w:rsid w:val="005117C2"/>
    <w:rsid w:val="00511F10"/>
    <w:rsid w:val="005120C1"/>
    <w:rsid w:val="00512B04"/>
    <w:rsid w:val="00512D82"/>
    <w:rsid w:val="00512E16"/>
    <w:rsid w:val="00512EFC"/>
    <w:rsid w:val="0051338C"/>
    <w:rsid w:val="00513759"/>
    <w:rsid w:val="0051399E"/>
    <w:rsid w:val="00513FAF"/>
    <w:rsid w:val="0051426C"/>
    <w:rsid w:val="005142C9"/>
    <w:rsid w:val="0051432F"/>
    <w:rsid w:val="005150F5"/>
    <w:rsid w:val="005152A6"/>
    <w:rsid w:val="0051532A"/>
    <w:rsid w:val="00515766"/>
    <w:rsid w:val="00515849"/>
    <w:rsid w:val="0051584F"/>
    <w:rsid w:val="00515AB1"/>
    <w:rsid w:val="00515BA6"/>
    <w:rsid w:val="00515EA9"/>
    <w:rsid w:val="005164A6"/>
    <w:rsid w:val="00516C03"/>
    <w:rsid w:val="00516D69"/>
    <w:rsid w:val="00517C7B"/>
    <w:rsid w:val="005206E6"/>
    <w:rsid w:val="00520793"/>
    <w:rsid w:val="00521AB9"/>
    <w:rsid w:val="00521BC3"/>
    <w:rsid w:val="00521DD3"/>
    <w:rsid w:val="00521FBB"/>
    <w:rsid w:val="00522839"/>
    <w:rsid w:val="00522910"/>
    <w:rsid w:val="00522E06"/>
    <w:rsid w:val="0052338E"/>
    <w:rsid w:val="005233C0"/>
    <w:rsid w:val="005234B8"/>
    <w:rsid w:val="00523A68"/>
    <w:rsid w:val="0052407F"/>
    <w:rsid w:val="00524151"/>
    <w:rsid w:val="00524277"/>
    <w:rsid w:val="005243B0"/>
    <w:rsid w:val="0052475C"/>
    <w:rsid w:val="005247C2"/>
    <w:rsid w:val="00524AFB"/>
    <w:rsid w:val="005253D2"/>
    <w:rsid w:val="005254FA"/>
    <w:rsid w:val="005255D4"/>
    <w:rsid w:val="00525BBB"/>
    <w:rsid w:val="005262EE"/>
    <w:rsid w:val="005269B4"/>
    <w:rsid w:val="00526A93"/>
    <w:rsid w:val="00526E8B"/>
    <w:rsid w:val="00527050"/>
    <w:rsid w:val="00527247"/>
    <w:rsid w:val="005305F9"/>
    <w:rsid w:val="00531036"/>
    <w:rsid w:val="00531274"/>
    <w:rsid w:val="00531A0E"/>
    <w:rsid w:val="00531B7B"/>
    <w:rsid w:val="00531E4A"/>
    <w:rsid w:val="005320A5"/>
    <w:rsid w:val="005325A5"/>
    <w:rsid w:val="0053275D"/>
    <w:rsid w:val="00532AB2"/>
    <w:rsid w:val="00532B6E"/>
    <w:rsid w:val="005330E3"/>
    <w:rsid w:val="0053381A"/>
    <w:rsid w:val="005339EC"/>
    <w:rsid w:val="00533D87"/>
    <w:rsid w:val="00534382"/>
    <w:rsid w:val="005343C5"/>
    <w:rsid w:val="005344A0"/>
    <w:rsid w:val="005344E4"/>
    <w:rsid w:val="00534597"/>
    <w:rsid w:val="00534B4A"/>
    <w:rsid w:val="0053521A"/>
    <w:rsid w:val="005352A8"/>
    <w:rsid w:val="005367E5"/>
    <w:rsid w:val="00536D95"/>
    <w:rsid w:val="00536E04"/>
    <w:rsid w:val="00536ECC"/>
    <w:rsid w:val="00537FE0"/>
    <w:rsid w:val="00540077"/>
    <w:rsid w:val="005400B7"/>
    <w:rsid w:val="00540651"/>
    <w:rsid w:val="0054066E"/>
    <w:rsid w:val="00540A3F"/>
    <w:rsid w:val="00540E6D"/>
    <w:rsid w:val="00541197"/>
    <w:rsid w:val="00541798"/>
    <w:rsid w:val="00541995"/>
    <w:rsid w:val="00541B9B"/>
    <w:rsid w:val="00541DEF"/>
    <w:rsid w:val="005424B1"/>
    <w:rsid w:val="00542500"/>
    <w:rsid w:val="00542772"/>
    <w:rsid w:val="005427A4"/>
    <w:rsid w:val="00542F48"/>
    <w:rsid w:val="00543284"/>
    <w:rsid w:val="005435DE"/>
    <w:rsid w:val="00543727"/>
    <w:rsid w:val="00544685"/>
    <w:rsid w:val="00544847"/>
    <w:rsid w:val="005456AA"/>
    <w:rsid w:val="00545DB3"/>
    <w:rsid w:val="00546109"/>
    <w:rsid w:val="005469F1"/>
    <w:rsid w:val="00546BEF"/>
    <w:rsid w:val="00547037"/>
    <w:rsid w:val="00547724"/>
    <w:rsid w:val="005477D7"/>
    <w:rsid w:val="00547CA5"/>
    <w:rsid w:val="00550758"/>
    <w:rsid w:val="00550C7A"/>
    <w:rsid w:val="00550D89"/>
    <w:rsid w:val="00551266"/>
    <w:rsid w:val="00551779"/>
    <w:rsid w:val="00551AF3"/>
    <w:rsid w:val="00551E1D"/>
    <w:rsid w:val="005521F6"/>
    <w:rsid w:val="005526C2"/>
    <w:rsid w:val="00552EDE"/>
    <w:rsid w:val="00553166"/>
    <w:rsid w:val="00553215"/>
    <w:rsid w:val="005539F2"/>
    <w:rsid w:val="00553F8E"/>
    <w:rsid w:val="00554204"/>
    <w:rsid w:val="00554662"/>
    <w:rsid w:val="0055480D"/>
    <w:rsid w:val="00555874"/>
    <w:rsid w:val="00555921"/>
    <w:rsid w:val="00555A43"/>
    <w:rsid w:val="00556474"/>
    <w:rsid w:val="00556786"/>
    <w:rsid w:val="00556954"/>
    <w:rsid w:val="005569C7"/>
    <w:rsid w:val="00556C7C"/>
    <w:rsid w:val="00556FC9"/>
    <w:rsid w:val="0055715A"/>
    <w:rsid w:val="00557238"/>
    <w:rsid w:val="00557321"/>
    <w:rsid w:val="00557C5D"/>
    <w:rsid w:val="00557E84"/>
    <w:rsid w:val="0056041D"/>
    <w:rsid w:val="00560E8E"/>
    <w:rsid w:val="0056135B"/>
    <w:rsid w:val="005616F2"/>
    <w:rsid w:val="0056185D"/>
    <w:rsid w:val="00561861"/>
    <w:rsid w:val="005618A8"/>
    <w:rsid w:val="005619BA"/>
    <w:rsid w:val="00561C20"/>
    <w:rsid w:val="00562636"/>
    <w:rsid w:val="005626A9"/>
    <w:rsid w:val="00562D40"/>
    <w:rsid w:val="00562EA3"/>
    <w:rsid w:val="00563247"/>
    <w:rsid w:val="005633F2"/>
    <w:rsid w:val="00563EBF"/>
    <w:rsid w:val="005640F3"/>
    <w:rsid w:val="0056467C"/>
    <w:rsid w:val="00564E1E"/>
    <w:rsid w:val="0056596F"/>
    <w:rsid w:val="00565CEB"/>
    <w:rsid w:val="00565D42"/>
    <w:rsid w:val="00565D94"/>
    <w:rsid w:val="005662C8"/>
    <w:rsid w:val="0056671E"/>
    <w:rsid w:val="00567524"/>
    <w:rsid w:val="005675C2"/>
    <w:rsid w:val="005700C8"/>
    <w:rsid w:val="00570123"/>
    <w:rsid w:val="00570B4B"/>
    <w:rsid w:val="00570D82"/>
    <w:rsid w:val="005711DB"/>
    <w:rsid w:val="005711F5"/>
    <w:rsid w:val="00571816"/>
    <w:rsid w:val="0057290C"/>
    <w:rsid w:val="005733AC"/>
    <w:rsid w:val="00573693"/>
    <w:rsid w:val="00573A39"/>
    <w:rsid w:val="00573B4E"/>
    <w:rsid w:val="00574005"/>
    <w:rsid w:val="00574CC1"/>
    <w:rsid w:val="00574CC9"/>
    <w:rsid w:val="005753A1"/>
    <w:rsid w:val="005753DC"/>
    <w:rsid w:val="0057554C"/>
    <w:rsid w:val="005757BF"/>
    <w:rsid w:val="00575AAC"/>
    <w:rsid w:val="00575B28"/>
    <w:rsid w:val="00575FE1"/>
    <w:rsid w:val="005766BD"/>
    <w:rsid w:val="005767DE"/>
    <w:rsid w:val="00576DCB"/>
    <w:rsid w:val="00576EE9"/>
    <w:rsid w:val="00577267"/>
    <w:rsid w:val="00577A21"/>
    <w:rsid w:val="00580AE4"/>
    <w:rsid w:val="0058178C"/>
    <w:rsid w:val="005817B5"/>
    <w:rsid w:val="00581DA2"/>
    <w:rsid w:val="00582323"/>
    <w:rsid w:val="00582CA5"/>
    <w:rsid w:val="00582ED6"/>
    <w:rsid w:val="00583B64"/>
    <w:rsid w:val="00583CAD"/>
    <w:rsid w:val="00583D70"/>
    <w:rsid w:val="00583FB6"/>
    <w:rsid w:val="005843ED"/>
    <w:rsid w:val="005848BB"/>
    <w:rsid w:val="0058491F"/>
    <w:rsid w:val="00584BF6"/>
    <w:rsid w:val="00584EE3"/>
    <w:rsid w:val="00585288"/>
    <w:rsid w:val="005853D1"/>
    <w:rsid w:val="0058689A"/>
    <w:rsid w:val="00586B44"/>
    <w:rsid w:val="00586EE5"/>
    <w:rsid w:val="00586F4F"/>
    <w:rsid w:val="00587016"/>
    <w:rsid w:val="005871B6"/>
    <w:rsid w:val="005874F6"/>
    <w:rsid w:val="00587924"/>
    <w:rsid w:val="00591367"/>
    <w:rsid w:val="0059153A"/>
    <w:rsid w:val="00591827"/>
    <w:rsid w:val="00591CBA"/>
    <w:rsid w:val="00591DC5"/>
    <w:rsid w:val="00591F38"/>
    <w:rsid w:val="00592512"/>
    <w:rsid w:val="0059273B"/>
    <w:rsid w:val="00592A90"/>
    <w:rsid w:val="00593618"/>
    <w:rsid w:val="005937C1"/>
    <w:rsid w:val="00593A95"/>
    <w:rsid w:val="00593EE3"/>
    <w:rsid w:val="00594320"/>
    <w:rsid w:val="00594371"/>
    <w:rsid w:val="00594444"/>
    <w:rsid w:val="00595B6A"/>
    <w:rsid w:val="00595F77"/>
    <w:rsid w:val="00596153"/>
    <w:rsid w:val="0059623A"/>
    <w:rsid w:val="005965B0"/>
    <w:rsid w:val="00596637"/>
    <w:rsid w:val="00596689"/>
    <w:rsid w:val="00596754"/>
    <w:rsid w:val="005967CE"/>
    <w:rsid w:val="005969AD"/>
    <w:rsid w:val="00596AE3"/>
    <w:rsid w:val="0059777C"/>
    <w:rsid w:val="00597A74"/>
    <w:rsid w:val="00597B31"/>
    <w:rsid w:val="00597B85"/>
    <w:rsid w:val="005A0468"/>
    <w:rsid w:val="005A08A8"/>
    <w:rsid w:val="005A11D6"/>
    <w:rsid w:val="005A237F"/>
    <w:rsid w:val="005A25E7"/>
    <w:rsid w:val="005A2828"/>
    <w:rsid w:val="005A2922"/>
    <w:rsid w:val="005A2D0C"/>
    <w:rsid w:val="005A3192"/>
    <w:rsid w:val="005A3272"/>
    <w:rsid w:val="005A3DB4"/>
    <w:rsid w:val="005A4117"/>
    <w:rsid w:val="005A4318"/>
    <w:rsid w:val="005A48A4"/>
    <w:rsid w:val="005A4923"/>
    <w:rsid w:val="005A49A9"/>
    <w:rsid w:val="005A4A2B"/>
    <w:rsid w:val="005A59F4"/>
    <w:rsid w:val="005A5C0F"/>
    <w:rsid w:val="005A60E9"/>
    <w:rsid w:val="005A6965"/>
    <w:rsid w:val="005A698B"/>
    <w:rsid w:val="005A6B31"/>
    <w:rsid w:val="005A6DCC"/>
    <w:rsid w:val="005A6FA0"/>
    <w:rsid w:val="005A7101"/>
    <w:rsid w:val="005A7311"/>
    <w:rsid w:val="005A7FE0"/>
    <w:rsid w:val="005B00A1"/>
    <w:rsid w:val="005B03CB"/>
    <w:rsid w:val="005B0529"/>
    <w:rsid w:val="005B07E5"/>
    <w:rsid w:val="005B08B7"/>
    <w:rsid w:val="005B0989"/>
    <w:rsid w:val="005B0E59"/>
    <w:rsid w:val="005B1D98"/>
    <w:rsid w:val="005B1E02"/>
    <w:rsid w:val="005B2110"/>
    <w:rsid w:val="005B26B1"/>
    <w:rsid w:val="005B333B"/>
    <w:rsid w:val="005B393F"/>
    <w:rsid w:val="005B396D"/>
    <w:rsid w:val="005B39A3"/>
    <w:rsid w:val="005B4393"/>
    <w:rsid w:val="005B46D9"/>
    <w:rsid w:val="005B4A45"/>
    <w:rsid w:val="005B58FB"/>
    <w:rsid w:val="005B5A86"/>
    <w:rsid w:val="005B5BC4"/>
    <w:rsid w:val="005B5E16"/>
    <w:rsid w:val="005B5E67"/>
    <w:rsid w:val="005B5F95"/>
    <w:rsid w:val="005B7692"/>
    <w:rsid w:val="005B7A4F"/>
    <w:rsid w:val="005C00EA"/>
    <w:rsid w:val="005C03ED"/>
    <w:rsid w:val="005C099C"/>
    <w:rsid w:val="005C10E9"/>
    <w:rsid w:val="005C112B"/>
    <w:rsid w:val="005C2A53"/>
    <w:rsid w:val="005C2D52"/>
    <w:rsid w:val="005C2EE4"/>
    <w:rsid w:val="005C39D6"/>
    <w:rsid w:val="005C3A85"/>
    <w:rsid w:val="005C3A87"/>
    <w:rsid w:val="005C404D"/>
    <w:rsid w:val="005C40CE"/>
    <w:rsid w:val="005C432F"/>
    <w:rsid w:val="005C467F"/>
    <w:rsid w:val="005C4C0A"/>
    <w:rsid w:val="005C5A3C"/>
    <w:rsid w:val="005C61DD"/>
    <w:rsid w:val="005C643E"/>
    <w:rsid w:val="005C6C22"/>
    <w:rsid w:val="005C7107"/>
    <w:rsid w:val="005C7605"/>
    <w:rsid w:val="005C774F"/>
    <w:rsid w:val="005C7BDC"/>
    <w:rsid w:val="005D018E"/>
    <w:rsid w:val="005D03A1"/>
    <w:rsid w:val="005D04BF"/>
    <w:rsid w:val="005D0750"/>
    <w:rsid w:val="005D0D79"/>
    <w:rsid w:val="005D0E9E"/>
    <w:rsid w:val="005D15D9"/>
    <w:rsid w:val="005D1678"/>
    <w:rsid w:val="005D1924"/>
    <w:rsid w:val="005D1979"/>
    <w:rsid w:val="005D1C4A"/>
    <w:rsid w:val="005D1EEF"/>
    <w:rsid w:val="005D21C8"/>
    <w:rsid w:val="005D2899"/>
    <w:rsid w:val="005D327C"/>
    <w:rsid w:val="005D3B4A"/>
    <w:rsid w:val="005D40FA"/>
    <w:rsid w:val="005D42A3"/>
    <w:rsid w:val="005D4CD4"/>
    <w:rsid w:val="005D4F23"/>
    <w:rsid w:val="005D4F93"/>
    <w:rsid w:val="005D50AC"/>
    <w:rsid w:val="005D58D9"/>
    <w:rsid w:val="005D5A5D"/>
    <w:rsid w:val="005D5BE3"/>
    <w:rsid w:val="005D5DA0"/>
    <w:rsid w:val="005D61AF"/>
    <w:rsid w:val="005D647C"/>
    <w:rsid w:val="005D6694"/>
    <w:rsid w:val="005D6CCF"/>
    <w:rsid w:val="005D6F54"/>
    <w:rsid w:val="005D6F64"/>
    <w:rsid w:val="005D6FE9"/>
    <w:rsid w:val="005E0296"/>
    <w:rsid w:val="005E02ED"/>
    <w:rsid w:val="005E067A"/>
    <w:rsid w:val="005E1104"/>
    <w:rsid w:val="005E1288"/>
    <w:rsid w:val="005E14DC"/>
    <w:rsid w:val="005E15C4"/>
    <w:rsid w:val="005E20F3"/>
    <w:rsid w:val="005E23B0"/>
    <w:rsid w:val="005E2404"/>
    <w:rsid w:val="005E246A"/>
    <w:rsid w:val="005E24AD"/>
    <w:rsid w:val="005E2A91"/>
    <w:rsid w:val="005E2B2B"/>
    <w:rsid w:val="005E2B89"/>
    <w:rsid w:val="005E2E42"/>
    <w:rsid w:val="005E3702"/>
    <w:rsid w:val="005E375E"/>
    <w:rsid w:val="005E3E2B"/>
    <w:rsid w:val="005E483C"/>
    <w:rsid w:val="005E4996"/>
    <w:rsid w:val="005E5009"/>
    <w:rsid w:val="005E6429"/>
    <w:rsid w:val="005E6542"/>
    <w:rsid w:val="005E6630"/>
    <w:rsid w:val="005E66BD"/>
    <w:rsid w:val="005E6993"/>
    <w:rsid w:val="005E6B4C"/>
    <w:rsid w:val="005E7F4E"/>
    <w:rsid w:val="005E7FE0"/>
    <w:rsid w:val="005F02D0"/>
    <w:rsid w:val="005F0C5E"/>
    <w:rsid w:val="005F1BEE"/>
    <w:rsid w:val="005F24B4"/>
    <w:rsid w:val="005F2A23"/>
    <w:rsid w:val="005F2D74"/>
    <w:rsid w:val="005F3244"/>
    <w:rsid w:val="005F328C"/>
    <w:rsid w:val="005F367A"/>
    <w:rsid w:val="005F3922"/>
    <w:rsid w:val="005F39A8"/>
    <w:rsid w:val="005F39B6"/>
    <w:rsid w:val="005F3C7B"/>
    <w:rsid w:val="005F3DC9"/>
    <w:rsid w:val="005F42A6"/>
    <w:rsid w:val="005F42F3"/>
    <w:rsid w:val="005F47BD"/>
    <w:rsid w:val="005F4CBA"/>
    <w:rsid w:val="005F5247"/>
    <w:rsid w:val="005F5928"/>
    <w:rsid w:val="005F6012"/>
    <w:rsid w:val="005F655E"/>
    <w:rsid w:val="005F6EC7"/>
    <w:rsid w:val="005F6ECA"/>
    <w:rsid w:val="005F6F85"/>
    <w:rsid w:val="005F703A"/>
    <w:rsid w:val="005F73BC"/>
    <w:rsid w:val="005F7409"/>
    <w:rsid w:val="005F78DE"/>
    <w:rsid w:val="006001CB"/>
    <w:rsid w:val="0060042A"/>
    <w:rsid w:val="006012D0"/>
    <w:rsid w:val="00601E8C"/>
    <w:rsid w:val="0060224F"/>
    <w:rsid w:val="006025B4"/>
    <w:rsid w:val="006026AA"/>
    <w:rsid w:val="00602A7C"/>
    <w:rsid w:val="00602EE5"/>
    <w:rsid w:val="0060346F"/>
    <w:rsid w:val="00603809"/>
    <w:rsid w:val="0060393A"/>
    <w:rsid w:val="00603B6D"/>
    <w:rsid w:val="00603C08"/>
    <w:rsid w:val="00604145"/>
    <w:rsid w:val="00604606"/>
    <w:rsid w:val="00604724"/>
    <w:rsid w:val="00604BBF"/>
    <w:rsid w:val="0060554B"/>
    <w:rsid w:val="0060561A"/>
    <w:rsid w:val="00605CAC"/>
    <w:rsid w:val="006062EA"/>
    <w:rsid w:val="00606ACF"/>
    <w:rsid w:val="00606EAB"/>
    <w:rsid w:val="006073A2"/>
    <w:rsid w:val="006079C7"/>
    <w:rsid w:val="00607D63"/>
    <w:rsid w:val="00607E27"/>
    <w:rsid w:val="0061036E"/>
    <w:rsid w:val="006105C3"/>
    <w:rsid w:val="0061074D"/>
    <w:rsid w:val="006107A9"/>
    <w:rsid w:val="00610C15"/>
    <w:rsid w:val="006111F6"/>
    <w:rsid w:val="00611ABD"/>
    <w:rsid w:val="00611AFB"/>
    <w:rsid w:val="00611FF9"/>
    <w:rsid w:val="00612183"/>
    <w:rsid w:val="00612306"/>
    <w:rsid w:val="00612ECF"/>
    <w:rsid w:val="00613200"/>
    <w:rsid w:val="006139B9"/>
    <w:rsid w:val="00614128"/>
    <w:rsid w:val="006146BC"/>
    <w:rsid w:val="006149A3"/>
    <w:rsid w:val="00614EC3"/>
    <w:rsid w:val="0061584E"/>
    <w:rsid w:val="0061734C"/>
    <w:rsid w:val="006173B1"/>
    <w:rsid w:val="00617CD0"/>
    <w:rsid w:val="00617D5B"/>
    <w:rsid w:val="00620526"/>
    <w:rsid w:val="00620B59"/>
    <w:rsid w:val="00621266"/>
    <w:rsid w:val="006218B6"/>
    <w:rsid w:val="00621BAB"/>
    <w:rsid w:val="00621BEC"/>
    <w:rsid w:val="00621FEC"/>
    <w:rsid w:val="006223BF"/>
    <w:rsid w:val="00622A29"/>
    <w:rsid w:val="00622BDC"/>
    <w:rsid w:val="00623489"/>
    <w:rsid w:val="00623EDB"/>
    <w:rsid w:val="00624018"/>
    <w:rsid w:val="00624326"/>
    <w:rsid w:val="006244E2"/>
    <w:rsid w:val="00624C67"/>
    <w:rsid w:val="00624CBD"/>
    <w:rsid w:val="00624F2D"/>
    <w:rsid w:val="0062569C"/>
    <w:rsid w:val="0062583A"/>
    <w:rsid w:val="0062653B"/>
    <w:rsid w:val="00626571"/>
    <w:rsid w:val="006265F8"/>
    <w:rsid w:val="0062666E"/>
    <w:rsid w:val="006268E9"/>
    <w:rsid w:val="00627D03"/>
    <w:rsid w:val="00630010"/>
    <w:rsid w:val="0063023F"/>
    <w:rsid w:val="00630354"/>
    <w:rsid w:val="006310BB"/>
    <w:rsid w:val="00631825"/>
    <w:rsid w:val="00631B37"/>
    <w:rsid w:val="0063201F"/>
    <w:rsid w:val="00632D12"/>
    <w:rsid w:val="00633217"/>
    <w:rsid w:val="0063321E"/>
    <w:rsid w:val="0063331E"/>
    <w:rsid w:val="00634442"/>
    <w:rsid w:val="00634530"/>
    <w:rsid w:val="00634DA0"/>
    <w:rsid w:val="00634E1F"/>
    <w:rsid w:val="00634E9A"/>
    <w:rsid w:val="00635450"/>
    <w:rsid w:val="0063552B"/>
    <w:rsid w:val="0063573E"/>
    <w:rsid w:val="00635C76"/>
    <w:rsid w:val="00636280"/>
    <w:rsid w:val="00636681"/>
    <w:rsid w:val="00636954"/>
    <w:rsid w:val="00636AAD"/>
    <w:rsid w:val="00636AF4"/>
    <w:rsid w:val="00636EAE"/>
    <w:rsid w:val="00637277"/>
    <w:rsid w:val="00637425"/>
    <w:rsid w:val="00640A0D"/>
    <w:rsid w:val="00640C99"/>
    <w:rsid w:val="00640E04"/>
    <w:rsid w:val="0064173D"/>
    <w:rsid w:val="00642DF6"/>
    <w:rsid w:val="006430FA"/>
    <w:rsid w:val="00643228"/>
    <w:rsid w:val="00643300"/>
    <w:rsid w:val="0064376C"/>
    <w:rsid w:val="00643913"/>
    <w:rsid w:val="00643D05"/>
    <w:rsid w:val="00644468"/>
    <w:rsid w:val="00644974"/>
    <w:rsid w:val="00645457"/>
    <w:rsid w:val="00645485"/>
    <w:rsid w:val="00646089"/>
    <w:rsid w:val="00646CFC"/>
    <w:rsid w:val="00647676"/>
    <w:rsid w:val="00647C8C"/>
    <w:rsid w:val="00647F96"/>
    <w:rsid w:val="006504E8"/>
    <w:rsid w:val="00650632"/>
    <w:rsid w:val="00650A4D"/>
    <w:rsid w:val="006510F1"/>
    <w:rsid w:val="0065116D"/>
    <w:rsid w:val="0065145B"/>
    <w:rsid w:val="006514F1"/>
    <w:rsid w:val="00651719"/>
    <w:rsid w:val="00651DB3"/>
    <w:rsid w:val="0065285E"/>
    <w:rsid w:val="00652A8B"/>
    <w:rsid w:val="00652DB9"/>
    <w:rsid w:val="00652F33"/>
    <w:rsid w:val="006539BA"/>
    <w:rsid w:val="00654070"/>
    <w:rsid w:val="00654368"/>
    <w:rsid w:val="00654564"/>
    <w:rsid w:val="006547F8"/>
    <w:rsid w:val="0065488A"/>
    <w:rsid w:val="0065575F"/>
    <w:rsid w:val="00657152"/>
    <w:rsid w:val="0065738D"/>
    <w:rsid w:val="0066032F"/>
    <w:rsid w:val="0066054B"/>
    <w:rsid w:val="006606E5"/>
    <w:rsid w:val="006607EE"/>
    <w:rsid w:val="00661BC5"/>
    <w:rsid w:val="00661DD9"/>
    <w:rsid w:val="006630E5"/>
    <w:rsid w:val="006630FD"/>
    <w:rsid w:val="006638DA"/>
    <w:rsid w:val="00663C0C"/>
    <w:rsid w:val="00663C71"/>
    <w:rsid w:val="00664572"/>
    <w:rsid w:val="00664E19"/>
    <w:rsid w:val="006651D3"/>
    <w:rsid w:val="006654D3"/>
    <w:rsid w:val="006668E2"/>
    <w:rsid w:val="006668E9"/>
    <w:rsid w:val="00666981"/>
    <w:rsid w:val="006670FD"/>
    <w:rsid w:val="00667518"/>
    <w:rsid w:val="006677B0"/>
    <w:rsid w:val="006677B8"/>
    <w:rsid w:val="006714A0"/>
    <w:rsid w:val="006714B9"/>
    <w:rsid w:val="00671A57"/>
    <w:rsid w:val="00671C96"/>
    <w:rsid w:val="00672029"/>
    <w:rsid w:val="00672B50"/>
    <w:rsid w:val="0067385F"/>
    <w:rsid w:val="00673E69"/>
    <w:rsid w:val="00674B60"/>
    <w:rsid w:val="006752E2"/>
    <w:rsid w:val="006757D4"/>
    <w:rsid w:val="0067583C"/>
    <w:rsid w:val="006760C1"/>
    <w:rsid w:val="00676557"/>
    <w:rsid w:val="006767DF"/>
    <w:rsid w:val="00677049"/>
    <w:rsid w:val="00677443"/>
    <w:rsid w:val="006778A0"/>
    <w:rsid w:val="00677F62"/>
    <w:rsid w:val="00680997"/>
    <w:rsid w:val="006809D8"/>
    <w:rsid w:val="006814BC"/>
    <w:rsid w:val="00681A6F"/>
    <w:rsid w:val="00682124"/>
    <w:rsid w:val="006827F4"/>
    <w:rsid w:val="0068372D"/>
    <w:rsid w:val="00683E5B"/>
    <w:rsid w:val="0068400E"/>
    <w:rsid w:val="0068420B"/>
    <w:rsid w:val="00684B54"/>
    <w:rsid w:val="00684E21"/>
    <w:rsid w:val="006850B3"/>
    <w:rsid w:val="006851C5"/>
    <w:rsid w:val="00685A34"/>
    <w:rsid w:val="00685A61"/>
    <w:rsid w:val="00685C44"/>
    <w:rsid w:val="00685CAB"/>
    <w:rsid w:val="00686432"/>
    <w:rsid w:val="00686D8B"/>
    <w:rsid w:val="0068711B"/>
    <w:rsid w:val="006877D5"/>
    <w:rsid w:val="00687948"/>
    <w:rsid w:val="00687AB5"/>
    <w:rsid w:val="00690AC2"/>
    <w:rsid w:val="00690E71"/>
    <w:rsid w:val="0069128D"/>
    <w:rsid w:val="00691FDA"/>
    <w:rsid w:val="00692154"/>
    <w:rsid w:val="006928FC"/>
    <w:rsid w:val="00692D73"/>
    <w:rsid w:val="0069319C"/>
    <w:rsid w:val="006933E1"/>
    <w:rsid w:val="00693D91"/>
    <w:rsid w:val="00694194"/>
    <w:rsid w:val="006944C7"/>
    <w:rsid w:val="0069470C"/>
    <w:rsid w:val="00694E10"/>
    <w:rsid w:val="00695282"/>
    <w:rsid w:val="00695A50"/>
    <w:rsid w:val="00696425"/>
    <w:rsid w:val="00696893"/>
    <w:rsid w:val="0069749C"/>
    <w:rsid w:val="00697C28"/>
    <w:rsid w:val="00697D8B"/>
    <w:rsid w:val="00697E39"/>
    <w:rsid w:val="006A02B7"/>
    <w:rsid w:val="006A02E3"/>
    <w:rsid w:val="006A031C"/>
    <w:rsid w:val="006A0957"/>
    <w:rsid w:val="006A0A96"/>
    <w:rsid w:val="006A0D99"/>
    <w:rsid w:val="006A0F56"/>
    <w:rsid w:val="006A1243"/>
    <w:rsid w:val="006A1351"/>
    <w:rsid w:val="006A1867"/>
    <w:rsid w:val="006A1A06"/>
    <w:rsid w:val="006A2169"/>
    <w:rsid w:val="006A21D3"/>
    <w:rsid w:val="006A258D"/>
    <w:rsid w:val="006A2808"/>
    <w:rsid w:val="006A283B"/>
    <w:rsid w:val="006A2F3A"/>
    <w:rsid w:val="006A2FD7"/>
    <w:rsid w:val="006A322F"/>
    <w:rsid w:val="006A3631"/>
    <w:rsid w:val="006A3BCB"/>
    <w:rsid w:val="006A3F7F"/>
    <w:rsid w:val="006A41C7"/>
    <w:rsid w:val="006A4506"/>
    <w:rsid w:val="006A4F6C"/>
    <w:rsid w:val="006A517C"/>
    <w:rsid w:val="006A5A1A"/>
    <w:rsid w:val="006A5BDC"/>
    <w:rsid w:val="006A6125"/>
    <w:rsid w:val="006A619E"/>
    <w:rsid w:val="006A7065"/>
    <w:rsid w:val="006A71E0"/>
    <w:rsid w:val="006A7284"/>
    <w:rsid w:val="006A77AE"/>
    <w:rsid w:val="006A796D"/>
    <w:rsid w:val="006A7CD7"/>
    <w:rsid w:val="006B05D6"/>
    <w:rsid w:val="006B0644"/>
    <w:rsid w:val="006B06CA"/>
    <w:rsid w:val="006B0B73"/>
    <w:rsid w:val="006B0C75"/>
    <w:rsid w:val="006B0DC4"/>
    <w:rsid w:val="006B0DDF"/>
    <w:rsid w:val="006B12E3"/>
    <w:rsid w:val="006B173F"/>
    <w:rsid w:val="006B1AB1"/>
    <w:rsid w:val="006B2616"/>
    <w:rsid w:val="006B280B"/>
    <w:rsid w:val="006B2E8F"/>
    <w:rsid w:val="006B30AC"/>
    <w:rsid w:val="006B3230"/>
    <w:rsid w:val="006B34A0"/>
    <w:rsid w:val="006B34D0"/>
    <w:rsid w:val="006B3BC7"/>
    <w:rsid w:val="006B414B"/>
    <w:rsid w:val="006B438E"/>
    <w:rsid w:val="006B4C37"/>
    <w:rsid w:val="006B6690"/>
    <w:rsid w:val="006B6C30"/>
    <w:rsid w:val="006B70AB"/>
    <w:rsid w:val="006B7216"/>
    <w:rsid w:val="006B7F23"/>
    <w:rsid w:val="006B7F40"/>
    <w:rsid w:val="006C08D5"/>
    <w:rsid w:val="006C14BC"/>
    <w:rsid w:val="006C19EA"/>
    <w:rsid w:val="006C1BAB"/>
    <w:rsid w:val="006C27E2"/>
    <w:rsid w:val="006C2D46"/>
    <w:rsid w:val="006C30B2"/>
    <w:rsid w:val="006C327A"/>
    <w:rsid w:val="006C3304"/>
    <w:rsid w:val="006C3634"/>
    <w:rsid w:val="006C3BC7"/>
    <w:rsid w:val="006C3BD0"/>
    <w:rsid w:val="006C3D9D"/>
    <w:rsid w:val="006C3F7A"/>
    <w:rsid w:val="006C4338"/>
    <w:rsid w:val="006C4B21"/>
    <w:rsid w:val="006C4C95"/>
    <w:rsid w:val="006C4F30"/>
    <w:rsid w:val="006C51CA"/>
    <w:rsid w:val="006C5651"/>
    <w:rsid w:val="006C5FE2"/>
    <w:rsid w:val="006C6562"/>
    <w:rsid w:val="006C6A8D"/>
    <w:rsid w:val="006C6CAC"/>
    <w:rsid w:val="006C704E"/>
    <w:rsid w:val="006C7458"/>
    <w:rsid w:val="006C76E2"/>
    <w:rsid w:val="006C7AC9"/>
    <w:rsid w:val="006D01E1"/>
    <w:rsid w:val="006D0B39"/>
    <w:rsid w:val="006D0FFE"/>
    <w:rsid w:val="006D1512"/>
    <w:rsid w:val="006D1B89"/>
    <w:rsid w:val="006D1BD6"/>
    <w:rsid w:val="006D1E8B"/>
    <w:rsid w:val="006D213C"/>
    <w:rsid w:val="006D24DF"/>
    <w:rsid w:val="006D349E"/>
    <w:rsid w:val="006D3AA7"/>
    <w:rsid w:val="006D3BF3"/>
    <w:rsid w:val="006D4A84"/>
    <w:rsid w:val="006D4B08"/>
    <w:rsid w:val="006D51C0"/>
    <w:rsid w:val="006D5FD2"/>
    <w:rsid w:val="006D63D8"/>
    <w:rsid w:val="006D6519"/>
    <w:rsid w:val="006D771D"/>
    <w:rsid w:val="006D7C8C"/>
    <w:rsid w:val="006E0C9D"/>
    <w:rsid w:val="006E0E9B"/>
    <w:rsid w:val="006E0ECB"/>
    <w:rsid w:val="006E0FCD"/>
    <w:rsid w:val="006E140D"/>
    <w:rsid w:val="006E1652"/>
    <w:rsid w:val="006E2CEC"/>
    <w:rsid w:val="006E2EAF"/>
    <w:rsid w:val="006E3CE4"/>
    <w:rsid w:val="006E3E54"/>
    <w:rsid w:val="006E42E6"/>
    <w:rsid w:val="006E492B"/>
    <w:rsid w:val="006E4C0F"/>
    <w:rsid w:val="006E4D82"/>
    <w:rsid w:val="006E5EF4"/>
    <w:rsid w:val="006E5F72"/>
    <w:rsid w:val="006E6921"/>
    <w:rsid w:val="006E6F2C"/>
    <w:rsid w:val="006E72A9"/>
    <w:rsid w:val="006E7631"/>
    <w:rsid w:val="006E7755"/>
    <w:rsid w:val="006E7B3C"/>
    <w:rsid w:val="006E7EF4"/>
    <w:rsid w:val="006F0C43"/>
    <w:rsid w:val="006F16D7"/>
    <w:rsid w:val="006F1DB8"/>
    <w:rsid w:val="006F21AB"/>
    <w:rsid w:val="006F2459"/>
    <w:rsid w:val="006F259F"/>
    <w:rsid w:val="006F27F9"/>
    <w:rsid w:val="006F287A"/>
    <w:rsid w:val="006F37AD"/>
    <w:rsid w:val="006F3C02"/>
    <w:rsid w:val="006F4133"/>
    <w:rsid w:val="006F41F3"/>
    <w:rsid w:val="006F4C7C"/>
    <w:rsid w:val="006F5055"/>
    <w:rsid w:val="006F54B2"/>
    <w:rsid w:val="006F54F1"/>
    <w:rsid w:val="006F5710"/>
    <w:rsid w:val="006F582F"/>
    <w:rsid w:val="006F5E72"/>
    <w:rsid w:val="006F65FD"/>
    <w:rsid w:val="006F6A04"/>
    <w:rsid w:val="006F6D0E"/>
    <w:rsid w:val="006F6DB0"/>
    <w:rsid w:val="006F7768"/>
    <w:rsid w:val="006F7ABA"/>
    <w:rsid w:val="00700C28"/>
    <w:rsid w:val="00700E84"/>
    <w:rsid w:val="007011E2"/>
    <w:rsid w:val="00701B56"/>
    <w:rsid w:val="0070206A"/>
    <w:rsid w:val="007022DD"/>
    <w:rsid w:val="007026B3"/>
    <w:rsid w:val="0070285F"/>
    <w:rsid w:val="00702AA4"/>
    <w:rsid w:val="00702CA5"/>
    <w:rsid w:val="00702D6A"/>
    <w:rsid w:val="00702DFA"/>
    <w:rsid w:val="00702EB4"/>
    <w:rsid w:val="00702F55"/>
    <w:rsid w:val="007031EA"/>
    <w:rsid w:val="00703321"/>
    <w:rsid w:val="007035E4"/>
    <w:rsid w:val="0070371B"/>
    <w:rsid w:val="007038B8"/>
    <w:rsid w:val="00703EAA"/>
    <w:rsid w:val="0070450D"/>
    <w:rsid w:val="00704DE2"/>
    <w:rsid w:val="0070607D"/>
    <w:rsid w:val="00706312"/>
    <w:rsid w:val="00706669"/>
    <w:rsid w:val="00706717"/>
    <w:rsid w:val="007070BD"/>
    <w:rsid w:val="007071ED"/>
    <w:rsid w:val="007075FB"/>
    <w:rsid w:val="00710568"/>
    <w:rsid w:val="0071094A"/>
    <w:rsid w:val="00710AF7"/>
    <w:rsid w:val="00710C5E"/>
    <w:rsid w:val="007111E3"/>
    <w:rsid w:val="0071171A"/>
    <w:rsid w:val="0071174C"/>
    <w:rsid w:val="007120F3"/>
    <w:rsid w:val="00712746"/>
    <w:rsid w:val="00712F7B"/>
    <w:rsid w:val="007132ED"/>
    <w:rsid w:val="00713C0B"/>
    <w:rsid w:val="00714B1F"/>
    <w:rsid w:val="00714D52"/>
    <w:rsid w:val="00715464"/>
    <w:rsid w:val="0071605C"/>
    <w:rsid w:val="0071615C"/>
    <w:rsid w:val="007161F5"/>
    <w:rsid w:val="00717103"/>
    <w:rsid w:val="007179FE"/>
    <w:rsid w:val="00717C7C"/>
    <w:rsid w:val="00717FB9"/>
    <w:rsid w:val="0072002D"/>
    <w:rsid w:val="007209B2"/>
    <w:rsid w:val="00720C3E"/>
    <w:rsid w:val="00721DF5"/>
    <w:rsid w:val="007224A7"/>
    <w:rsid w:val="00722700"/>
    <w:rsid w:val="00722713"/>
    <w:rsid w:val="007228FC"/>
    <w:rsid w:val="0072293B"/>
    <w:rsid w:val="007239FC"/>
    <w:rsid w:val="00723A1C"/>
    <w:rsid w:val="00723B2F"/>
    <w:rsid w:val="007240F8"/>
    <w:rsid w:val="00724242"/>
    <w:rsid w:val="0072439F"/>
    <w:rsid w:val="00724BB5"/>
    <w:rsid w:val="00725509"/>
    <w:rsid w:val="00725532"/>
    <w:rsid w:val="0072574B"/>
    <w:rsid w:val="00725B3C"/>
    <w:rsid w:val="00725B62"/>
    <w:rsid w:val="007266C0"/>
    <w:rsid w:val="00726E32"/>
    <w:rsid w:val="007275C1"/>
    <w:rsid w:val="007275CF"/>
    <w:rsid w:val="00727C9C"/>
    <w:rsid w:val="0073067C"/>
    <w:rsid w:val="00730CFE"/>
    <w:rsid w:val="00731154"/>
    <w:rsid w:val="00731476"/>
    <w:rsid w:val="00731D66"/>
    <w:rsid w:val="0073280E"/>
    <w:rsid w:val="007328CE"/>
    <w:rsid w:val="00732B98"/>
    <w:rsid w:val="007338E4"/>
    <w:rsid w:val="00733B40"/>
    <w:rsid w:val="00734158"/>
    <w:rsid w:val="007345E3"/>
    <w:rsid w:val="00734C46"/>
    <w:rsid w:val="00734DA7"/>
    <w:rsid w:val="007350A8"/>
    <w:rsid w:val="007353BD"/>
    <w:rsid w:val="0073572B"/>
    <w:rsid w:val="0073598D"/>
    <w:rsid w:val="00735F2D"/>
    <w:rsid w:val="007369E7"/>
    <w:rsid w:val="00736F63"/>
    <w:rsid w:val="0073747B"/>
    <w:rsid w:val="00737B7C"/>
    <w:rsid w:val="00737BE7"/>
    <w:rsid w:val="00737C11"/>
    <w:rsid w:val="007405A5"/>
    <w:rsid w:val="00740A78"/>
    <w:rsid w:val="00740F32"/>
    <w:rsid w:val="00740F58"/>
    <w:rsid w:val="0074120F"/>
    <w:rsid w:val="00741542"/>
    <w:rsid w:val="007417D0"/>
    <w:rsid w:val="00741CE7"/>
    <w:rsid w:val="0074242C"/>
    <w:rsid w:val="007427C5"/>
    <w:rsid w:val="007428D2"/>
    <w:rsid w:val="00742C74"/>
    <w:rsid w:val="007433B8"/>
    <w:rsid w:val="00743467"/>
    <w:rsid w:val="0074391A"/>
    <w:rsid w:val="00744654"/>
    <w:rsid w:val="007449CD"/>
    <w:rsid w:val="00744E2F"/>
    <w:rsid w:val="00744F0B"/>
    <w:rsid w:val="007459F6"/>
    <w:rsid w:val="00745C82"/>
    <w:rsid w:val="00745D05"/>
    <w:rsid w:val="00746014"/>
    <w:rsid w:val="007468AE"/>
    <w:rsid w:val="007468E7"/>
    <w:rsid w:val="00746A89"/>
    <w:rsid w:val="00746CC3"/>
    <w:rsid w:val="0074705C"/>
    <w:rsid w:val="007479E6"/>
    <w:rsid w:val="007501AA"/>
    <w:rsid w:val="007502C9"/>
    <w:rsid w:val="00750585"/>
    <w:rsid w:val="0075078C"/>
    <w:rsid w:val="007508C2"/>
    <w:rsid w:val="00750D32"/>
    <w:rsid w:val="00750DE7"/>
    <w:rsid w:val="00750FCE"/>
    <w:rsid w:val="00751067"/>
    <w:rsid w:val="00751163"/>
    <w:rsid w:val="00751843"/>
    <w:rsid w:val="00752057"/>
    <w:rsid w:val="0075240E"/>
    <w:rsid w:val="0075292F"/>
    <w:rsid w:val="00752B44"/>
    <w:rsid w:val="00752D3E"/>
    <w:rsid w:val="00752DFA"/>
    <w:rsid w:val="007531FB"/>
    <w:rsid w:val="0075396B"/>
    <w:rsid w:val="00753BCE"/>
    <w:rsid w:val="00753E34"/>
    <w:rsid w:val="00753F79"/>
    <w:rsid w:val="007543C9"/>
    <w:rsid w:val="00754650"/>
    <w:rsid w:val="007546FF"/>
    <w:rsid w:val="00754850"/>
    <w:rsid w:val="0075536B"/>
    <w:rsid w:val="00755664"/>
    <w:rsid w:val="00756CE2"/>
    <w:rsid w:val="007575BF"/>
    <w:rsid w:val="007575EE"/>
    <w:rsid w:val="00757FBC"/>
    <w:rsid w:val="0076015E"/>
    <w:rsid w:val="007606EF"/>
    <w:rsid w:val="00761744"/>
    <w:rsid w:val="00761EB5"/>
    <w:rsid w:val="00761FF4"/>
    <w:rsid w:val="00762414"/>
    <w:rsid w:val="00762C5A"/>
    <w:rsid w:val="00762E09"/>
    <w:rsid w:val="00762F26"/>
    <w:rsid w:val="0076309B"/>
    <w:rsid w:val="0076330D"/>
    <w:rsid w:val="00763310"/>
    <w:rsid w:val="007637D6"/>
    <w:rsid w:val="00763B16"/>
    <w:rsid w:val="00763F32"/>
    <w:rsid w:val="00763FC7"/>
    <w:rsid w:val="0076406D"/>
    <w:rsid w:val="007642E8"/>
    <w:rsid w:val="00764344"/>
    <w:rsid w:val="007644EE"/>
    <w:rsid w:val="00764534"/>
    <w:rsid w:val="00764DE8"/>
    <w:rsid w:val="00764E0F"/>
    <w:rsid w:val="0076540C"/>
    <w:rsid w:val="00765C03"/>
    <w:rsid w:val="00766336"/>
    <w:rsid w:val="0076675C"/>
    <w:rsid w:val="00767B62"/>
    <w:rsid w:val="00770194"/>
    <w:rsid w:val="00770DD5"/>
    <w:rsid w:val="00770F5E"/>
    <w:rsid w:val="00771715"/>
    <w:rsid w:val="00771993"/>
    <w:rsid w:val="007720EA"/>
    <w:rsid w:val="00772300"/>
    <w:rsid w:val="0077278B"/>
    <w:rsid w:val="00772B5C"/>
    <w:rsid w:val="00772D69"/>
    <w:rsid w:val="00772E05"/>
    <w:rsid w:val="00773558"/>
    <w:rsid w:val="007736D4"/>
    <w:rsid w:val="00773A1D"/>
    <w:rsid w:val="0077402F"/>
    <w:rsid w:val="007741F7"/>
    <w:rsid w:val="0077529D"/>
    <w:rsid w:val="00775511"/>
    <w:rsid w:val="0077586F"/>
    <w:rsid w:val="00775C94"/>
    <w:rsid w:val="0077601F"/>
    <w:rsid w:val="007763A7"/>
    <w:rsid w:val="00776687"/>
    <w:rsid w:val="007766B3"/>
    <w:rsid w:val="00776BC5"/>
    <w:rsid w:val="00776DA1"/>
    <w:rsid w:val="0077732C"/>
    <w:rsid w:val="0077798E"/>
    <w:rsid w:val="00777A04"/>
    <w:rsid w:val="007809F5"/>
    <w:rsid w:val="0078174D"/>
    <w:rsid w:val="00781831"/>
    <w:rsid w:val="0078260F"/>
    <w:rsid w:val="007834CB"/>
    <w:rsid w:val="00783A8A"/>
    <w:rsid w:val="00783CBA"/>
    <w:rsid w:val="00783F29"/>
    <w:rsid w:val="00785141"/>
    <w:rsid w:val="00785168"/>
    <w:rsid w:val="00785902"/>
    <w:rsid w:val="00785C25"/>
    <w:rsid w:val="00785DBE"/>
    <w:rsid w:val="007862DD"/>
    <w:rsid w:val="0078653B"/>
    <w:rsid w:val="00786CCA"/>
    <w:rsid w:val="00786F3C"/>
    <w:rsid w:val="00787227"/>
    <w:rsid w:val="0078754E"/>
    <w:rsid w:val="00787673"/>
    <w:rsid w:val="00787CB0"/>
    <w:rsid w:val="007905F9"/>
    <w:rsid w:val="00790608"/>
    <w:rsid w:val="00791BAC"/>
    <w:rsid w:val="00791CDD"/>
    <w:rsid w:val="00792825"/>
    <w:rsid w:val="00793558"/>
    <w:rsid w:val="00793655"/>
    <w:rsid w:val="00793A63"/>
    <w:rsid w:val="00794467"/>
    <w:rsid w:val="00794875"/>
    <w:rsid w:val="00794BB1"/>
    <w:rsid w:val="00794CDE"/>
    <w:rsid w:val="0079513F"/>
    <w:rsid w:val="00795BBB"/>
    <w:rsid w:val="007962E6"/>
    <w:rsid w:val="007967FC"/>
    <w:rsid w:val="00796836"/>
    <w:rsid w:val="00797570"/>
    <w:rsid w:val="007978B6"/>
    <w:rsid w:val="00797ABB"/>
    <w:rsid w:val="00797C16"/>
    <w:rsid w:val="00797E5B"/>
    <w:rsid w:val="007A05D1"/>
    <w:rsid w:val="007A076E"/>
    <w:rsid w:val="007A1201"/>
    <w:rsid w:val="007A172F"/>
    <w:rsid w:val="007A1738"/>
    <w:rsid w:val="007A18F7"/>
    <w:rsid w:val="007A1924"/>
    <w:rsid w:val="007A2469"/>
    <w:rsid w:val="007A26F2"/>
    <w:rsid w:val="007A31E5"/>
    <w:rsid w:val="007A3294"/>
    <w:rsid w:val="007A3536"/>
    <w:rsid w:val="007A5118"/>
    <w:rsid w:val="007A52AE"/>
    <w:rsid w:val="007A548A"/>
    <w:rsid w:val="007A57B0"/>
    <w:rsid w:val="007A59FE"/>
    <w:rsid w:val="007A5CF1"/>
    <w:rsid w:val="007A6628"/>
    <w:rsid w:val="007A6B0A"/>
    <w:rsid w:val="007A6C3F"/>
    <w:rsid w:val="007A7193"/>
    <w:rsid w:val="007A7995"/>
    <w:rsid w:val="007A7C3F"/>
    <w:rsid w:val="007B0BA8"/>
    <w:rsid w:val="007B16E8"/>
    <w:rsid w:val="007B1986"/>
    <w:rsid w:val="007B222E"/>
    <w:rsid w:val="007B236D"/>
    <w:rsid w:val="007B2717"/>
    <w:rsid w:val="007B2C28"/>
    <w:rsid w:val="007B2F8A"/>
    <w:rsid w:val="007B309F"/>
    <w:rsid w:val="007B3CD7"/>
    <w:rsid w:val="007B3F81"/>
    <w:rsid w:val="007B3FC8"/>
    <w:rsid w:val="007B4548"/>
    <w:rsid w:val="007B4935"/>
    <w:rsid w:val="007B4F69"/>
    <w:rsid w:val="007B5197"/>
    <w:rsid w:val="007B56B9"/>
    <w:rsid w:val="007B5908"/>
    <w:rsid w:val="007B616F"/>
    <w:rsid w:val="007B68D7"/>
    <w:rsid w:val="007B6909"/>
    <w:rsid w:val="007B6D38"/>
    <w:rsid w:val="007B70A6"/>
    <w:rsid w:val="007B7686"/>
    <w:rsid w:val="007C03DB"/>
    <w:rsid w:val="007C0676"/>
    <w:rsid w:val="007C0E4B"/>
    <w:rsid w:val="007C101C"/>
    <w:rsid w:val="007C1112"/>
    <w:rsid w:val="007C11B1"/>
    <w:rsid w:val="007C13B1"/>
    <w:rsid w:val="007C1AF9"/>
    <w:rsid w:val="007C1B41"/>
    <w:rsid w:val="007C1F0E"/>
    <w:rsid w:val="007C31CF"/>
    <w:rsid w:val="007C39EB"/>
    <w:rsid w:val="007C3AA7"/>
    <w:rsid w:val="007C3FA1"/>
    <w:rsid w:val="007C42BF"/>
    <w:rsid w:val="007C485D"/>
    <w:rsid w:val="007C4D39"/>
    <w:rsid w:val="007C5395"/>
    <w:rsid w:val="007C5A04"/>
    <w:rsid w:val="007C5B49"/>
    <w:rsid w:val="007C5C8E"/>
    <w:rsid w:val="007C5CB4"/>
    <w:rsid w:val="007C65B5"/>
    <w:rsid w:val="007C68CA"/>
    <w:rsid w:val="007C6BAC"/>
    <w:rsid w:val="007C6F63"/>
    <w:rsid w:val="007C7192"/>
    <w:rsid w:val="007C7243"/>
    <w:rsid w:val="007C772A"/>
    <w:rsid w:val="007C78BF"/>
    <w:rsid w:val="007D0035"/>
    <w:rsid w:val="007D03BD"/>
    <w:rsid w:val="007D04C2"/>
    <w:rsid w:val="007D0B11"/>
    <w:rsid w:val="007D1304"/>
    <w:rsid w:val="007D1527"/>
    <w:rsid w:val="007D17CB"/>
    <w:rsid w:val="007D19CA"/>
    <w:rsid w:val="007D2087"/>
    <w:rsid w:val="007D211D"/>
    <w:rsid w:val="007D2D32"/>
    <w:rsid w:val="007D2DC6"/>
    <w:rsid w:val="007D310B"/>
    <w:rsid w:val="007D34B2"/>
    <w:rsid w:val="007D36C7"/>
    <w:rsid w:val="007D3742"/>
    <w:rsid w:val="007D39F9"/>
    <w:rsid w:val="007D3AFD"/>
    <w:rsid w:val="007D3B56"/>
    <w:rsid w:val="007D3C91"/>
    <w:rsid w:val="007D40E8"/>
    <w:rsid w:val="007D4F90"/>
    <w:rsid w:val="007D58B5"/>
    <w:rsid w:val="007D5A7F"/>
    <w:rsid w:val="007D5E93"/>
    <w:rsid w:val="007D5FDC"/>
    <w:rsid w:val="007D6479"/>
    <w:rsid w:val="007D665D"/>
    <w:rsid w:val="007D6D11"/>
    <w:rsid w:val="007D73C6"/>
    <w:rsid w:val="007E0AC4"/>
    <w:rsid w:val="007E152B"/>
    <w:rsid w:val="007E1B3F"/>
    <w:rsid w:val="007E1CCF"/>
    <w:rsid w:val="007E233D"/>
    <w:rsid w:val="007E2407"/>
    <w:rsid w:val="007E2B4C"/>
    <w:rsid w:val="007E2F9C"/>
    <w:rsid w:val="007E307B"/>
    <w:rsid w:val="007E312D"/>
    <w:rsid w:val="007E369E"/>
    <w:rsid w:val="007E3C14"/>
    <w:rsid w:val="007E3D5B"/>
    <w:rsid w:val="007E4156"/>
    <w:rsid w:val="007E4746"/>
    <w:rsid w:val="007E4AEC"/>
    <w:rsid w:val="007E5024"/>
    <w:rsid w:val="007E50B3"/>
    <w:rsid w:val="007E519A"/>
    <w:rsid w:val="007E58D6"/>
    <w:rsid w:val="007E6216"/>
    <w:rsid w:val="007E64A4"/>
    <w:rsid w:val="007E6BFF"/>
    <w:rsid w:val="007E704A"/>
    <w:rsid w:val="007E7741"/>
    <w:rsid w:val="007E7B99"/>
    <w:rsid w:val="007F024E"/>
    <w:rsid w:val="007F083D"/>
    <w:rsid w:val="007F096A"/>
    <w:rsid w:val="007F1024"/>
    <w:rsid w:val="007F10D3"/>
    <w:rsid w:val="007F1A02"/>
    <w:rsid w:val="007F1D62"/>
    <w:rsid w:val="007F1EFC"/>
    <w:rsid w:val="007F2021"/>
    <w:rsid w:val="007F2402"/>
    <w:rsid w:val="007F2829"/>
    <w:rsid w:val="007F2A3C"/>
    <w:rsid w:val="007F2F2D"/>
    <w:rsid w:val="007F3368"/>
    <w:rsid w:val="007F37A4"/>
    <w:rsid w:val="007F3867"/>
    <w:rsid w:val="007F3F94"/>
    <w:rsid w:val="007F4231"/>
    <w:rsid w:val="007F4751"/>
    <w:rsid w:val="007F4869"/>
    <w:rsid w:val="007F5425"/>
    <w:rsid w:val="007F55D6"/>
    <w:rsid w:val="007F6288"/>
    <w:rsid w:val="007F6577"/>
    <w:rsid w:val="007F7B91"/>
    <w:rsid w:val="00800CA9"/>
    <w:rsid w:val="00800F48"/>
    <w:rsid w:val="0080146C"/>
    <w:rsid w:val="00801861"/>
    <w:rsid w:val="00801865"/>
    <w:rsid w:val="00801C08"/>
    <w:rsid w:val="008022F4"/>
    <w:rsid w:val="00802B53"/>
    <w:rsid w:val="0080345D"/>
    <w:rsid w:val="00803489"/>
    <w:rsid w:val="008036ED"/>
    <w:rsid w:val="00803F6D"/>
    <w:rsid w:val="00804252"/>
    <w:rsid w:val="0080525C"/>
    <w:rsid w:val="008052DE"/>
    <w:rsid w:val="00805560"/>
    <w:rsid w:val="0080676F"/>
    <w:rsid w:val="00806935"/>
    <w:rsid w:val="0080705F"/>
    <w:rsid w:val="00810D3D"/>
    <w:rsid w:val="00810EA6"/>
    <w:rsid w:val="00811B18"/>
    <w:rsid w:val="00812342"/>
    <w:rsid w:val="0081235E"/>
    <w:rsid w:val="008124CF"/>
    <w:rsid w:val="008125F9"/>
    <w:rsid w:val="00812B04"/>
    <w:rsid w:val="00812C0D"/>
    <w:rsid w:val="00812DBF"/>
    <w:rsid w:val="008130A6"/>
    <w:rsid w:val="00813582"/>
    <w:rsid w:val="008143EC"/>
    <w:rsid w:val="008146A5"/>
    <w:rsid w:val="00814C4B"/>
    <w:rsid w:val="00815579"/>
    <w:rsid w:val="00815745"/>
    <w:rsid w:val="00815807"/>
    <w:rsid w:val="00815B2F"/>
    <w:rsid w:val="00815BF5"/>
    <w:rsid w:val="00816107"/>
    <w:rsid w:val="008164A7"/>
    <w:rsid w:val="00816D52"/>
    <w:rsid w:val="0081746F"/>
    <w:rsid w:val="008175EA"/>
    <w:rsid w:val="00817CB8"/>
    <w:rsid w:val="008206AE"/>
    <w:rsid w:val="00820E4B"/>
    <w:rsid w:val="008210F4"/>
    <w:rsid w:val="008213D3"/>
    <w:rsid w:val="008218AB"/>
    <w:rsid w:val="0082269E"/>
    <w:rsid w:val="008234E3"/>
    <w:rsid w:val="00823E9F"/>
    <w:rsid w:val="008244D9"/>
    <w:rsid w:val="008244FA"/>
    <w:rsid w:val="00824B35"/>
    <w:rsid w:val="00824D84"/>
    <w:rsid w:val="008255D3"/>
    <w:rsid w:val="008256F6"/>
    <w:rsid w:val="00825837"/>
    <w:rsid w:val="00825A29"/>
    <w:rsid w:val="00825D88"/>
    <w:rsid w:val="00826929"/>
    <w:rsid w:val="00826DD9"/>
    <w:rsid w:val="0082715C"/>
    <w:rsid w:val="0082724F"/>
    <w:rsid w:val="00827518"/>
    <w:rsid w:val="008277CA"/>
    <w:rsid w:val="00827ECC"/>
    <w:rsid w:val="00830A7B"/>
    <w:rsid w:val="00830CC6"/>
    <w:rsid w:val="008310D9"/>
    <w:rsid w:val="00831408"/>
    <w:rsid w:val="0083186C"/>
    <w:rsid w:val="00831872"/>
    <w:rsid w:val="00831A92"/>
    <w:rsid w:val="00831BC6"/>
    <w:rsid w:val="00831C81"/>
    <w:rsid w:val="00831CA0"/>
    <w:rsid w:val="00832031"/>
    <w:rsid w:val="008321B5"/>
    <w:rsid w:val="00832520"/>
    <w:rsid w:val="0083292D"/>
    <w:rsid w:val="00832F97"/>
    <w:rsid w:val="00833488"/>
    <w:rsid w:val="00833632"/>
    <w:rsid w:val="0083377C"/>
    <w:rsid w:val="00833B6D"/>
    <w:rsid w:val="008344F1"/>
    <w:rsid w:val="00835686"/>
    <w:rsid w:val="0083636C"/>
    <w:rsid w:val="008364C8"/>
    <w:rsid w:val="008366C8"/>
    <w:rsid w:val="008367F2"/>
    <w:rsid w:val="00836B46"/>
    <w:rsid w:val="00836E4A"/>
    <w:rsid w:val="00836FA4"/>
    <w:rsid w:val="008371F2"/>
    <w:rsid w:val="008372F5"/>
    <w:rsid w:val="00837513"/>
    <w:rsid w:val="00837F4E"/>
    <w:rsid w:val="008406B3"/>
    <w:rsid w:val="0084087C"/>
    <w:rsid w:val="00840D2B"/>
    <w:rsid w:val="00840D82"/>
    <w:rsid w:val="00841123"/>
    <w:rsid w:val="008411AE"/>
    <w:rsid w:val="008412D2"/>
    <w:rsid w:val="008419E1"/>
    <w:rsid w:val="00842277"/>
    <w:rsid w:val="00842661"/>
    <w:rsid w:val="0084283B"/>
    <w:rsid w:val="00842908"/>
    <w:rsid w:val="00842B9B"/>
    <w:rsid w:val="00842F11"/>
    <w:rsid w:val="00843753"/>
    <w:rsid w:val="008437A5"/>
    <w:rsid w:val="00843D4E"/>
    <w:rsid w:val="00844825"/>
    <w:rsid w:val="00844903"/>
    <w:rsid w:val="00845311"/>
    <w:rsid w:val="00845422"/>
    <w:rsid w:val="008460CC"/>
    <w:rsid w:val="008469EE"/>
    <w:rsid w:val="00846F19"/>
    <w:rsid w:val="0084763D"/>
    <w:rsid w:val="008477A5"/>
    <w:rsid w:val="00850453"/>
    <w:rsid w:val="008508F5"/>
    <w:rsid w:val="00851179"/>
    <w:rsid w:val="00851416"/>
    <w:rsid w:val="00851447"/>
    <w:rsid w:val="008514D2"/>
    <w:rsid w:val="00851BDB"/>
    <w:rsid w:val="00851C08"/>
    <w:rsid w:val="00852E3F"/>
    <w:rsid w:val="008533CD"/>
    <w:rsid w:val="00853631"/>
    <w:rsid w:val="00853DEC"/>
    <w:rsid w:val="00854428"/>
    <w:rsid w:val="0085464A"/>
    <w:rsid w:val="0085469C"/>
    <w:rsid w:val="00854C1C"/>
    <w:rsid w:val="00854DD8"/>
    <w:rsid w:val="00854EE5"/>
    <w:rsid w:val="00856031"/>
    <w:rsid w:val="008560E3"/>
    <w:rsid w:val="00856197"/>
    <w:rsid w:val="00856A88"/>
    <w:rsid w:val="00857303"/>
    <w:rsid w:val="00857418"/>
    <w:rsid w:val="008576D2"/>
    <w:rsid w:val="0085780E"/>
    <w:rsid w:val="0085787F"/>
    <w:rsid w:val="008601F1"/>
    <w:rsid w:val="0086022C"/>
    <w:rsid w:val="00860E0F"/>
    <w:rsid w:val="00861C5B"/>
    <w:rsid w:val="0086200C"/>
    <w:rsid w:val="008620DE"/>
    <w:rsid w:val="00862A9D"/>
    <w:rsid w:val="00863CD4"/>
    <w:rsid w:val="00863E65"/>
    <w:rsid w:val="00863F2D"/>
    <w:rsid w:val="0086475C"/>
    <w:rsid w:val="0086565D"/>
    <w:rsid w:val="0086572E"/>
    <w:rsid w:val="00865791"/>
    <w:rsid w:val="00865951"/>
    <w:rsid w:val="00865B8C"/>
    <w:rsid w:val="00865DB8"/>
    <w:rsid w:val="00865E09"/>
    <w:rsid w:val="00865F54"/>
    <w:rsid w:val="00866541"/>
    <w:rsid w:val="00866B0F"/>
    <w:rsid w:val="008672A1"/>
    <w:rsid w:val="00867428"/>
    <w:rsid w:val="00867635"/>
    <w:rsid w:val="008676A0"/>
    <w:rsid w:val="00867EA1"/>
    <w:rsid w:val="00870166"/>
    <w:rsid w:val="00870871"/>
    <w:rsid w:val="00871161"/>
    <w:rsid w:val="008711FF"/>
    <w:rsid w:val="00871632"/>
    <w:rsid w:val="00871BAB"/>
    <w:rsid w:val="008720EE"/>
    <w:rsid w:val="008725E1"/>
    <w:rsid w:val="008730F8"/>
    <w:rsid w:val="00873244"/>
    <w:rsid w:val="008739FD"/>
    <w:rsid w:val="00874647"/>
    <w:rsid w:val="00874A7D"/>
    <w:rsid w:val="00874B04"/>
    <w:rsid w:val="00874C46"/>
    <w:rsid w:val="00875047"/>
    <w:rsid w:val="0087504F"/>
    <w:rsid w:val="00875BA1"/>
    <w:rsid w:val="00876606"/>
    <w:rsid w:val="008766AC"/>
    <w:rsid w:val="00876A44"/>
    <w:rsid w:val="00877285"/>
    <w:rsid w:val="008776A6"/>
    <w:rsid w:val="008776D8"/>
    <w:rsid w:val="008778D1"/>
    <w:rsid w:val="00877D59"/>
    <w:rsid w:val="00877DA1"/>
    <w:rsid w:val="00880038"/>
    <w:rsid w:val="0088010B"/>
    <w:rsid w:val="008806C5"/>
    <w:rsid w:val="008813E1"/>
    <w:rsid w:val="00882E0B"/>
    <w:rsid w:val="00883258"/>
    <w:rsid w:val="00883380"/>
    <w:rsid w:val="008834A3"/>
    <w:rsid w:val="0088352D"/>
    <w:rsid w:val="008836E1"/>
    <w:rsid w:val="00883F57"/>
    <w:rsid w:val="00884535"/>
    <w:rsid w:val="008845EF"/>
    <w:rsid w:val="008851FD"/>
    <w:rsid w:val="0088554B"/>
    <w:rsid w:val="0088600B"/>
    <w:rsid w:val="0088623D"/>
    <w:rsid w:val="008863BD"/>
    <w:rsid w:val="00886945"/>
    <w:rsid w:val="00886961"/>
    <w:rsid w:val="00886B32"/>
    <w:rsid w:val="00886CC1"/>
    <w:rsid w:val="008871B4"/>
    <w:rsid w:val="00887932"/>
    <w:rsid w:val="008879DB"/>
    <w:rsid w:val="00887CCA"/>
    <w:rsid w:val="00887E8E"/>
    <w:rsid w:val="0089009F"/>
    <w:rsid w:val="008901DD"/>
    <w:rsid w:val="008901EE"/>
    <w:rsid w:val="008903B2"/>
    <w:rsid w:val="0089181B"/>
    <w:rsid w:val="00891919"/>
    <w:rsid w:val="008929CB"/>
    <w:rsid w:val="0089381D"/>
    <w:rsid w:val="00893989"/>
    <w:rsid w:val="00893F50"/>
    <w:rsid w:val="00894315"/>
    <w:rsid w:val="008946CB"/>
    <w:rsid w:val="00894EEF"/>
    <w:rsid w:val="00894FD0"/>
    <w:rsid w:val="00895500"/>
    <w:rsid w:val="00895787"/>
    <w:rsid w:val="00895E78"/>
    <w:rsid w:val="0089665E"/>
    <w:rsid w:val="00896798"/>
    <w:rsid w:val="00896CFB"/>
    <w:rsid w:val="00897559"/>
    <w:rsid w:val="0089759B"/>
    <w:rsid w:val="008976D6"/>
    <w:rsid w:val="00897DA5"/>
    <w:rsid w:val="008A066B"/>
    <w:rsid w:val="008A08C5"/>
    <w:rsid w:val="008A1095"/>
    <w:rsid w:val="008A1209"/>
    <w:rsid w:val="008A16DC"/>
    <w:rsid w:val="008A18EA"/>
    <w:rsid w:val="008A1C96"/>
    <w:rsid w:val="008A254F"/>
    <w:rsid w:val="008A257A"/>
    <w:rsid w:val="008A2706"/>
    <w:rsid w:val="008A294A"/>
    <w:rsid w:val="008A402A"/>
    <w:rsid w:val="008A42E9"/>
    <w:rsid w:val="008A4ADE"/>
    <w:rsid w:val="008A5769"/>
    <w:rsid w:val="008A5BEA"/>
    <w:rsid w:val="008A6526"/>
    <w:rsid w:val="008A682A"/>
    <w:rsid w:val="008A7373"/>
    <w:rsid w:val="008A7539"/>
    <w:rsid w:val="008A766B"/>
    <w:rsid w:val="008B035F"/>
    <w:rsid w:val="008B070F"/>
    <w:rsid w:val="008B089E"/>
    <w:rsid w:val="008B0DEA"/>
    <w:rsid w:val="008B1707"/>
    <w:rsid w:val="008B1B11"/>
    <w:rsid w:val="008B2095"/>
    <w:rsid w:val="008B2182"/>
    <w:rsid w:val="008B2B11"/>
    <w:rsid w:val="008B2C51"/>
    <w:rsid w:val="008B3478"/>
    <w:rsid w:val="008B3795"/>
    <w:rsid w:val="008B40F6"/>
    <w:rsid w:val="008B46DC"/>
    <w:rsid w:val="008B4818"/>
    <w:rsid w:val="008B542C"/>
    <w:rsid w:val="008B61A4"/>
    <w:rsid w:val="008B7E4D"/>
    <w:rsid w:val="008C020F"/>
    <w:rsid w:val="008C051F"/>
    <w:rsid w:val="008C0B1D"/>
    <w:rsid w:val="008C0BB7"/>
    <w:rsid w:val="008C0C46"/>
    <w:rsid w:val="008C1158"/>
    <w:rsid w:val="008C1431"/>
    <w:rsid w:val="008C15F7"/>
    <w:rsid w:val="008C1680"/>
    <w:rsid w:val="008C1789"/>
    <w:rsid w:val="008C1C2D"/>
    <w:rsid w:val="008C2180"/>
    <w:rsid w:val="008C21D6"/>
    <w:rsid w:val="008C2676"/>
    <w:rsid w:val="008C2B33"/>
    <w:rsid w:val="008C32A2"/>
    <w:rsid w:val="008C32AA"/>
    <w:rsid w:val="008C351D"/>
    <w:rsid w:val="008C3954"/>
    <w:rsid w:val="008C3BD1"/>
    <w:rsid w:val="008C49A1"/>
    <w:rsid w:val="008C4E18"/>
    <w:rsid w:val="008C4E71"/>
    <w:rsid w:val="008C5064"/>
    <w:rsid w:val="008C5349"/>
    <w:rsid w:val="008C576E"/>
    <w:rsid w:val="008C5FE7"/>
    <w:rsid w:val="008C6F5D"/>
    <w:rsid w:val="008D057F"/>
    <w:rsid w:val="008D0C6A"/>
    <w:rsid w:val="008D1E08"/>
    <w:rsid w:val="008D1E33"/>
    <w:rsid w:val="008D2113"/>
    <w:rsid w:val="008D2513"/>
    <w:rsid w:val="008D2632"/>
    <w:rsid w:val="008D2704"/>
    <w:rsid w:val="008D276F"/>
    <w:rsid w:val="008D2F1E"/>
    <w:rsid w:val="008D2FE1"/>
    <w:rsid w:val="008D302F"/>
    <w:rsid w:val="008D34A3"/>
    <w:rsid w:val="008D3FF0"/>
    <w:rsid w:val="008D401D"/>
    <w:rsid w:val="008D4077"/>
    <w:rsid w:val="008D4514"/>
    <w:rsid w:val="008D4584"/>
    <w:rsid w:val="008D4D49"/>
    <w:rsid w:val="008D4DE8"/>
    <w:rsid w:val="008D5CE8"/>
    <w:rsid w:val="008D5E90"/>
    <w:rsid w:val="008D617E"/>
    <w:rsid w:val="008D641A"/>
    <w:rsid w:val="008D67B7"/>
    <w:rsid w:val="008D6F67"/>
    <w:rsid w:val="008D7711"/>
    <w:rsid w:val="008E0157"/>
    <w:rsid w:val="008E06DE"/>
    <w:rsid w:val="008E0CC2"/>
    <w:rsid w:val="008E1317"/>
    <w:rsid w:val="008E1345"/>
    <w:rsid w:val="008E16A1"/>
    <w:rsid w:val="008E193F"/>
    <w:rsid w:val="008E23CA"/>
    <w:rsid w:val="008E2588"/>
    <w:rsid w:val="008E2845"/>
    <w:rsid w:val="008E2C7C"/>
    <w:rsid w:val="008E3376"/>
    <w:rsid w:val="008E3A0E"/>
    <w:rsid w:val="008E3BA2"/>
    <w:rsid w:val="008E3D16"/>
    <w:rsid w:val="008E4800"/>
    <w:rsid w:val="008E4C19"/>
    <w:rsid w:val="008E51B5"/>
    <w:rsid w:val="008E5945"/>
    <w:rsid w:val="008E599A"/>
    <w:rsid w:val="008E616C"/>
    <w:rsid w:val="008E6820"/>
    <w:rsid w:val="008E70FE"/>
    <w:rsid w:val="008E711F"/>
    <w:rsid w:val="008E7225"/>
    <w:rsid w:val="008E7743"/>
    <w:rsid w:val="008E777A"/>
    <w:rsid w:val="008E798B"/>
    <w:rsid w:val="008E7CC4"/>
    <w:rsid w:val="008E7DAA"/>
    <w:rsid w:val="008F05EE"/>
    <w:rsid w:val="008F0757"/>
    <w:rsid w:val="008F0C2A"/>
    <w:rsid w:val="008F1B88"/>
    <w:rsid w:val="008F2151"/>
    <w:rsid w:val="008F2767"/>
    <w:rsid w:val="008F2AF8"/>
    <w:rsid w:val="008F3521"/>
    <w:rsid w:val="008F368B"/>
    <w:rsid w:val="008F3B2B"/>
    <w:rsid w:val="008F3D59"/>
    <w:rsid w:val="008F3E78"/>
    <w:rsid w:val="008F4035"/>
    <w:rsid w:val="008F4709"/>
    <w:rsid w:val="008F531A"/>
    <w:rsid w:val="008F57BD"/>
    <w:rsid w:val="008F57CA"/>
    <w:rsid w:val="008F5BDF"/>
    <w:rsid w:val="008F5C78"/>
    <w:rsid w:val="008F60B6"/>
    <w:rsid w:val="008F6299"/>
    <w:rsid w:val="008F6685"/>
    <w:rsid w:val="008F66C4"/>
    <w:rsid w:val="008F6CBF"/>
    <w:rsid w:val="008F7305"/>
    <w:rsid w:val="008F73FD"/>
    <w:rsid w:val="008F7475"/>
    <w:rsid w:val="008F75B9"/>
    <w:rsid w:val="008F7FC7"/>
    <w:rsid w:val="009012DC"/>
    <w:rsid w:val="00901C3D"/>
    <w:rsid w:val="00901DB1"/>
    <w:rsid w:val="00902767"/>
    <w:rsid w:val="00902AD4"/>
    <w:rsid w:val="00902FA1"/>
    <w:rsid w:val="009035BB"/>
    <w:rsid w:val="00903748"/>
    <w:rsid w:val="00903FE1"/>
    <w:rsid w:val="009043D5"/>
    <w:rsid w:val="0090466E"/>
    <w:rsid w:val="009049CE"/>
    <w:rsid w:val="00904EB6"/>
    <w:rsid w:val="009053F9"/>
    <w:rsid w:val="00905DC8"/>
    <w:rsid w:val="00905EAF"/>
    <w:rsid w:val="0090608B"/>
    <w:rsid w:val="009060C7"/>
    <w:rsid w:val="0090665F"/>
    <w:rsid w:val="00906B10"/>
    <w:rsid w:val="00906CA3"/>
    <w:rsid w:val="00906E69"/>
    <w:rsid w:val="009072DF"/>
    <w:rsid w:val="00907533"/>
    <w:rsid w:val="00907BEE"/>
    <w:rsid w:val="00907F4D"/>
    <w:rsid w:val="0091022D"/>
    <w:rsid w:val="00910566"/>
    <w:rsid w:val="0091078E"/>
    <w:rsid w:val="00910A3D"/>
    <w:rsid w:val="00911584"/>
    <w:rsid w:val="00911B2F"/>
    <w:rsid w:val="00912459"/>
    <w:rsid w:val="009125B4"/>
    <w:rsid w:val="00912927"/>
    <w:rsid w:val="00912D75"/>
    <w:rsid w:val="00913020"/>
    <w:rsid w:val="00913963"/>
    <w:rsid w:val="00913B8D"/>
    <w:rsid w:val="00913ED1"/>
    <w:rsid w:val="00914A64"/>
    <w:rsid w:val="00914DA1"/>
    <w:rsid w:val="00915047"/>
    <w:rsid w:val="0091578F"/>
    <w:rsid w:val="00915F45"/>
    <w:rsid w:val="009166E1"/>
    <w:rsid w:val="0091683B"/>
    <w:rsid w:val="00916D96"/>
    <w:rsid w:val="009179B5"/>
    <w:rsid w:val="00920011"/>
    <w:rsid w:val="009205F3"/>
    <w:rsid w:val="009207EA"/>
    <w:rsid w:val="00920BBB"/>
    <w:rsid w:val="00920ED9"/>
    <w:rsid w:val="00921796"/>
    <w:rsid w:val="00921F78"/>
    <w:rsid w:val="00922BEA"/>
    <w:rsid w:val="00922BEB"/>
    <w:rsid w:val="009249C3"/>
    <w:rsid w:val="00924B9B"/>
    <w:rsid w:val="00924D2E"/>
    <w:rsid w:val="009257C2"/>
    <w:rsid w:val="009258A2"/>
    <w:rsid w:val="009268CD"/>
    <w:rsid w:val="00926AC9"/>
    <w:rsid w:val="00926C18"/>
    <w:rsid w:val="00926F93"/>
    <w:rsid w:val="00927B95"/>
    <w:rsid w:val="00927C47"/>
    <w:rsid w:val="00927EAF"/>
    <w:rsid w:val="00927FAC"/>
    <w:rsid w:val="00930005"/>
    <w:rsid w:val="0093021E"/>
    <w:rsid w:val="009304BE"/>
    <w:rsid w:val="00930661"/>
    <w:rsid w:val="009306AD"/>
    <w:rsid w:val="00930DBF"/>
    <w:rsid w:val="00930E99"/>
    <w:rsid w:val="009324BB"/>
    <w:rsid w:val="0093285E"/>
    <w:rsid w:val="00932D52"/>
    <w:rsid w:val="009330C0"/>
    <w:rsid w:val="00933DC2"/>
    <w:rsid w:val="00933F02"/>
    <w:rsid w:val="00934398"/>
    <w:rsid w:val="009343B8"/>
    <w:rsid w:val="009344C5"/>
    <w:rsid w:val="0093454B"/>
    <w:rsid w:val="00934FA4"/>
    <w:rsid w:val="009353A0"/>
    <w:rsid w:val="0093548E"/>
    <w:rsid w:val="0093554C"/>
    <w:rsid w:val="009355A5"/>
    <w:rsid w:val="00935CDA"/>
    <w:rsid w:val="00935D26"/>
    <w:rsid w:val="00936358"/>
    <w:rsid w:val="009364EE"/>
    <w:rsid w:val="00936A85"/>
    <w:rsid w:val="00937884"/>
    <w:rsid w:val="009400A2"/>
    <w:rsid w:val="009405FF"/>
    <w:rsid w:val="00940E7E"/>
    <w:rsid w:val="00940E88"/>
    <w:rsid w:val="00941673"/>
    <w:rsid w:val="00941BC7"/>
    <w:rsid w:val="00941D08"/>
    <w:rsid w:val="00941FF0"/>
    <w:rsid w:val="009421A5"/>
    <w:rsid w:val="009421FB"/>
    <w:rsid w:val="00942476"/>
    <w:rsid w:val="0094267C"/>
    <w:rsid w:val="00942881"/>
    <w:rsid w:val="00942D7C"/>
    <w:rsid w:val="009433D4"/>
    <w:rsid w:val="0094355A"/>
    <w:rsid w:val="00944113"/>
    <w:rsid w:val="009443B4"/>
    <w:rsid w:val="00944514"/>
    <w:rsid w:val="0094467C"/>
    <w:rsid w:val="009447A9"/>
    <w:rsid w:val="0094504F"/>
    <w:rsid w:val="00945107"/>
    <w:rsid w:val="0094554D"/>
    <w:rsid w:val="009455D3"/>
    <w:rsid w:val="0094580E"/>
    <w:rsid w:val="009459B0"/>
    <w:rsid w:val="00945BFD"/>
    <w:rsid w:val="00945E30"/>
    <w:rsid w:val="009464F4"/>
    <w:rsid w:val="00946B9D"/>
    <w:rsid w:val="00947195"/>
    <w:rsid w:val="009477BB"/>
    <w:rsid w:val="00947A01"/>
    <w:rsid w:val="00947B9E"/>
    <w:rsid w:val="00947EDB"/>
    <w:rsid w:val="00950046"/>
    <w:rsid w:val="009500C2"/>
    <w:rsid w:val="009509F6"/>
    <w:rsid w:val="009515CD"/>
    <w:rsid w:val="009516EF"/>
    <w:rsid w:val="00951943"/>
    <w:rsid w:val="00951FE9"/>
    <w:rsid w:val="00952451"/>
    <w:rsid w:val="009527FF"/>
    <w:rsid w:val="00952B29"/>
    <w:rsid w:val="00952D25"/>
    <w:rsid w:val="00952E7E"/>
    <w:rsid w:val="0095444B"/>
    <w:rsid w:val="0095450E"/>
    <w:rsid w:val="00954738"/>
    <w:rsid w:val="00954A86"/>
    <w:rsid w:val="00954BFB"/>
    <w:rsid w:val="009552A1"/>
    <w:rsid w:val="0095548F"/>
    <w:rsid w:val="0095687F"/>
    <w:rsid w:val="00956C19"/>
    <w:rsid w:val="00957AA9"/>
    <w:rsid w:val="0096057C"/>
    <w:rsid w:val="00960AF1"/>
    <w:rsid w:val="0096173D"/>
    <w:rsid w:val="00961CE3"/>
    <w:rsid w:val="0096201A"/>
    <w:rsid w:val="00962236"/>
    <w:rsid w:val="00962526"/>
    <w:rsid w:val="0096262A"/>
    <w:rsid w:val="0096292F"/>
    <w:rsid w:val="00962B80"/>
    <w:rsid w:val="00962BE7"/>
    <w:rsid w:val="00962CCE"/>
    <w:rsid w:val="00962E0C"/>
    <w:rsid w:val="009634B3"/>
    <w:rsid w:val="00964471"/>
    <w:rsid w:val="0096541D"/>
    <w:rsid w:val="00965769"/>
    <w:rsid w:val="0096592A"/>
    <w:rsid w:val="0096601E"/>
    <w:rsid w:val="009664DB"/>
    <w:rsid w:val="0096657A"/>
    <w:rsid w:val="00966743"/>
    <w:rsid w:val="009667B2"/>
    <w:rsid w:val="0096688B"/>
    <w:rsid w:val="0096707C"/>
    <w:rsid w:val="009670E0"/>
    <w:rsid w:val="00967354"/>
    <w:rsid w:val="009674B9"/>
    <w:rsid w:val="009675EC"/>
    <w:rsid w:val="00967C59"/>
    <w:rsid w:val="00967D74"/>
    <w:rsid w:val="009707D8"/>
    <w:rsid w:val="00971DFC"/>
    <w:rsid w:val="00971E8D"/>
    <w:rsid w:val="0097209E"/>
    <w:rsid w:val="009722AF"/>
    <w:rsid w:val="009722C6"/>
    <w:rsid w:val="0097348C"/>
    <w:rsid w:val="00973B3B"/>
    <w:rsid w:val="00973B82"/>
    <w:rsid w:val="00973E49"/>
    <w:rsid w:val="00973ED0"/>
    <w:rsid w:val="00974C47"/>
    <w:rsid w:val="00975257"/>
    <w:rsid w:val="00975981"/>
    <w:rsid w:val="00975BFB"/>
    <w:rsid w:val="00975DD2"/>
    <w:rsid w:val="009761CA"/>
    <w:rsid w:val="00976359"/>
    <w:rsid w:val="00976397"/>
    <w:rsid w:val="0097639D"/>
    <w:rsid w:val="009764E7"/>
    <w:rsid w:val="00976817"/>
    <w:rsid w:val="0097693E"/>
    <w:rsid w:val="00976A29"/>
    <w:rsid w:val="00976F87"/>
    <w:rsid w:val="00977515"/>
    <w:rsid w:val="009775EB"/>
    <w:rsid w:val="0097789F"/>
    <w:rsid w:val="00977E86"/>
    <w:rsid w:val="009808B3"/>
    <w:rsid w:val="00980A74"/>
    <w:rsid w:val="00980B7A"/>
    <w:rsid w:val="00980F0B"/>
    <w:rsid w:val="00981335"/>
    <w:rsid w:val="00981433"/>
    <w:rsid w:val="0098173C"/>
    <w:rsid w:val="0098199B"/>
    <w:rsid w:val="00981FF6"/>
    <w:rsid w:val="00982223"/>
    <w:rsid w:val="009824F8"/>
    <w:rsid w:val="00982559"/>
    <w:rsid w:val="009825FA"/>
    <w:rsid w:val="009827C2"/>
    <w:rsid w:val="00982983"/>
    <w:rsid w:val="00982A5E"/>
    <w:rsid w:val="00982BBB"/>
    <w:rsid w:val="00982F13"/>
    <w:rsid w:val="00983425"/>
    <w:rsid w:val="009836C0"/>
    <w:rsid w:val="00983DC9"/>
    <w:rsid w:val="009840CE"/>
    <w:rsid w:val="00984177"/>
    <w:rsid w:val="009857BD"/>
    <w:rsid w:val="009857EC"/>
    <w:rsid w:val="00986666"/>
    <w:rsid w:val="0098672B"/>
    <w:rsid w:val="009867AE"/>
    <w:rsid w:val="00986AAC"/>
    <w:rsid w:val="00986F79"/>
    <w:rsid w:val="009872D8"/>
    <w:rsid w:val="00987762"/>
    <w:rsid w:val="0098796E"/>
    <w:rsid w:val="009903EE"/>
    <w:rsid w:val="0099051B"/>
    <w:rsid w:val="009905E5"/>
    <w:rsid w:val="00991E59"/>
    <w:rsid w:val="009920F0"/>
    <w:rsid w:val="0099212C"/>
    <w:rsid w:val="00992319"/>
    <w:rsid w:val="0099232D"/>
    <w:rsid w:val="009926A1"/>
    <w:rsid w:val="00992BC1"/>
    <w:rsid w:val="0099303B"/>
    <w:rsid w:val="00993143"/>
    <w:rsid w:val="00993711"/>
    <w:rsid w:val="00993897"/>
    <w:rsid w:val="0099389D"/>
    <w:rsid w:val="00994146"/>
    <w:rsid w:val="00994185"/>
    <w:rsid w:val="009947EE"/>
    <w:rsid w:val="009951E9"/>
    <w:rsid w:val="00996340"/>
    <w:rsid w:val="0099731E"/>
    <w:rsid w:val="00997C8E"/>
    <w:rsid w:val="009A0155"/>
    <w:rsid w:val="009A0B12"/>
    <w:rsid w:val="009A0CEA"/>
    <w:rsid w:val="009A1007"/>
    <w:rsid w:val="009A1028"/>
    <w:rsid w:val="009A1557"/>
    <w:rsid w:val="009A17B5"/>
    <w:rsid w:val="009A1BDC"/>
    <w:rsid w:val="009A2047"/>
    <w:rsid w:val="009A26C4"/>
    <w:rsid w:val="009A2C2C"/>
    <w:rsid w:val="009A3141"/>
    <w:rsid w:val="009A32A6"/>
    <w:rsid w:val="009A3B3C"/>
    <w:rsid w:val="009A43AC"/>
    <w:rsid w:val="009A475D"/>
    <w:rsid w:val="009A48CF"/>
    <w:rsid w:val="009A4A10"/>
    <w:rsid w:val="009A519A"/>
    <w:rsid w:val="009A6E4F"/>
    <w:rsid w:val="009A71AF"/>
    <w:rsid w:val="009A7704"/>
    <w:rsid w:val="009B0DB8"/>
    <w:rsid w:val="009B12E1"/>
    <w:rsid w:val="009B1449"/>
    <w:rsid w:val="009B1694"/>
    <w:rsid w:val="009B1808"/>
    <w:rsid w:val="009B19EE"/>
    <w:rsid w:val="009B259D"/>
    <w:rsid w:val="009B282A"/>
    <w:rsid w:val="009B2886"/>
    <w:rsid w:val="009B2E7E"/>
    <w:rsid w:val="009B2F42"/>
    <w:rsid w:val="009B31F4"/>
    <w:rsid w:val="009B406F"/>
    <w:rsid w:val="009B41B3"/>
    <w:rsid w:val="009B4A3A"/>
    <w:rsid w:val="009B4A81"/>
    <w:rsid w:val="009B4B8A"/>
    <w:rsid w:val="009B5112"/>
    <w:rsid w:val="009B570F"/>
    <w:rsid w:val="009B5733"/>
    <w:rsid w:val="009B59EA"/>
    <w:rsid w:val="009B5A37"/>
    <w:rsid w:val="009B61FD"/>
    <w:rsid w:val="009B66EF"/>
    <w:rsid w:val="009B6B51"/>
    <w:rsid w:val="009B6C5A"/>
    <w:rsid w:val="009B6D8E"/>
    <w:rsid w:val="009B6DAF"/>
    <w:rsid w:val="009B6DF2"/>
    <w:rsid w:val="009B734E"/>
    <w:rsid w:val="009B7B2E"/>
    <w:rsid w:val="009B7C55"/>
    <w:rsid w:val="009B7ED5"/>
    <w:rsid w:val="009B7FD2"/>
    <w:rsid w:val="009C0B37"/>
    <w:rsid w:val="009C164D"/>
    <w:rsid w:val="009C19DC"/>
    <w:rsid w:val="009C1AA0"/>
    <w:rsid w:val="009C1B4D"/>
    <w:rsid w:val="009C20AC"/>
    <w:rsid w:val="009C231F"/>
    <w:rsid w:val="009C239C"/>
    <w:rsid w:val="009C2621"/>
    <w:rsid w:val="009C2884"/>
    <w:rsid w:val="009C353B"/>
    <w:rsid w:val="009C35A3"/>
    <w:rsid w:val="009C3781"/>
    <w:rsid w:val="009C3832"/>
    <w:rsid w:val="009C398D"/>
    <w:rsid w:val="009C3A87"/>
    <w:rsid w:val="009C4271"/>
    <w:rsid w:val="009C4651"/>
    <w:rsid w:val="009C5389"/>
    <w:rsid w:val="009C54E3"/>
    <w:rsid w:val="009C5FC3"/>
    <w:rsid w:val="009C65F4"/>
    <w:rsid w:val="009C66D7"/>
    <w:rsid w:val="009C6870"/>
    <w:rsid w:val="009C6952"/>
    <w:rsid w:val="009C6BE8"/>
    <w:rsid w:val="009C6C05"/>
    <w:rsid w:val="009C6FD2"/>
    <w:rsid w:val="009C7456"/>
    <w:rsid w:val="009C781D"/>
    <w:rsid w:val="009C7F67"/>
    <w:rsid w:val="009C7FE3"/>
    <w:rsid w:val="009C7FE7"/>
    <w:rsid w:val="009D09AE"/>
    <w:rsid w:val="009D0A1E"/>
    <w:rsid w:val="009D11DB"/>
    <w:rsid w:val="009D1729"/>
    <w:rsid w:val="009D29C0"/>
    <w:rsid w:val="009D2D85"/>
    <w:rsid w:val="009D302D"/>
    <w:rsid w:val="009D3BD8"/>
    <w:rsid w:val="009D3C39"/>
    <w:rsid w:val="009D41FA"/>
    <w:rsid w:val="009D4767"/>
    <w:rsid w:val="009D4BC2"/>
    <w:rsid w:val="009D4C7B"/>
    <w:rsid w:val="009D4E82"/>
    <w:rsid w:val="009D4F85"/>
    <w:rsid w:val="009D540A"/>
    <w:rsid w:val="009D576D"/>
    <w:rsid w:val="009D5F90"/>
    <w:rsid w:val="009D61FB"/>
    <w:rsid w:val="009D73E6"/>
    <w:rsid w:val="009D7410"/>
    <w:rsid w:val="009E04E4"/>
    <w:rsid w:val="009E051D"/>
    <w:rsid w:val="009E09D3"/>
    <w:rsid w:val="009E0A79"/>
    <w:rsid w:val="009E1378"/>
    <w:rsid w:val="009E142F"/>
    <w:rsid w:val="009E14D2"/>
    <w:rsid w:val="009E180F"/>
    <w:rsid w:val="009E1F7A"/>
    <w:rsid w:val="009E2189"/>
    <w:rsid w:val="009E273E"/>
    <w:rsid w:val="009E324F"/>
    <w:rsid w:val="009E346F"/>
    <w:rsid w:val="009E3479"/>
    <w:rsid w:val="009E39E4"/>
    <w:rsid w:val="009E3BAB"/>
    <w:rsid w:val="009E3CEB"/>
    <w:rsid w:val="009E3ED2"/>
    <w:rsid w:val="009E3F3A"/>
    <w:rsid w:val="009E4236"/>
    <w:rsid w:val="009E4A3B"/>
    <w:rsid w:val="009E4BFF"/>
    <w:rsid w:val="009E523C"/>
    <w:rsid w:val="009E58B5"/>
    <w:rsid w:val="009E6352"/>
    <w:rsid w:val="009E7C5B"/>
    <w:rsid w:val="009E7C63"/>
    <w:rsid w:val="009E7E37"/>
    <w:rsid w:val="009F0678"/>
    <w:rsid w:val="009F0EEA"/>
    <w:rsid w:val="009F106C"/>
    <w:rsid w:val="009F1597"/>
    <w:rsid w:val="009F1620"/>
    <w:rsid w:val="009F1954"/>
    <w:rsid w:val="009F1C4E"/>
    <w:rsid w:val="009F1CF6"/>
    <w:rsid w:val="009F22AD"/>
    <w:rsid w:val="009F28C2"/>
    <w:rsid w:val="009F2AE8"/>
    <w:rsid w:val="009F2B24"/>
    <w:rsid w:val="009F2BA6"/>
    <w:rsid w:val="009F3355"/>
    <w:rsid w:val="009F339B"/>
    <w:rsid w:val="009F3B85"/>
    <w:rsid w:val="009F42A6"/>
    <w:rsid w:val="009F4FA4"/>
    <w:rsid w:val="009F52E5"/>
    <w:rsid w:val="009F53CF"/>
    <w:rsid w:val="009F57C2"/>
    <w:rsid w:val="009F5806"/>
    <w:rsid w:val="009F5A5B"/>
    <w:rsid w:val="009F5F5A"/>
    <w:rsid w:val="009F62BB"/>
    <w:rsid w:val="009F63B6"/>
    <w:rsid w:val="009F6E6D"/>
    <w:rsid w:val="009F6FCD"/>
    <w:rsid w:val="009F755C"/>
    <w:rsid w:val="009F7D64"/>
    <w:rsid w:val="00A0050D"/>
    <w:rsid w:val="00A0051B"/>
    <w:rsid w:val="00A0069C"/>
    <w:rsid w:val="00A00794"/>
    <w:rsid w:val="00A0136E"/>
    <w:rsid w:val="00A01E9A"/>
    <w:rsid w:val="00A01F84"/>
    <w:rsid w:val="00A0346A"/>
    <w:rsid w:val="00A03881"/>
    <w:rsid w:val="00A03D2C"/>
    <w:rsid w:val="00A045DD"/>
    <w:rsid w:val="00A04B41"/>
    <w:rsid w:val="00A059A9"/>
    <w:rsid w:val="00A05E40"/>
    <w:rsid w:val="00A05F85"/>
    <w:rsid w:val="00A068A0"/>
    <w:rsid w:val="00A07189"/>
    <w:rsid w:val="00A0797A"/>
    <w:rsid w:val="00A07FB4"/>
    <w:rsid w:val="00A10A56"/>
    <w:rsid w:val="00A10B9D"/>
    <w:rsid w:val="00A1136B"/>
    <w:rsid w:val="00A114BE"/>
    <w:rsid w:val="00A1156E"/>
    <w:rsid w:val="00A12DCF"/>
    <w:rsid w:val="00A13318"/>
    <w:rsid w:val="00A13EEB"/>
    <w:rsid w:val="00A14742"/>
    <w:rsid w:val="00A14745"/>
    <w:rsid w:val="00A14875"/>
    <w:rsid w:val="00A14A15"/>
    <w:rsid w:val="00A14F66"/>
    <w:rsid w:val="00A15747"/>
    <w:rsid w:val="00A15AA0"/>
    <w:rsid w:val="00A15C8B"/>
    <w:rsid w:val="00A161AA"/>
    <w:rsid w:val="00A16341"/>
    <w:rsid w:val="00A163E1"/>
    <w:rsid w:val="00A163FA"/>
    <w:rsid w:val="00A17166"/>
    <w:rsid w:val="00A1774F"/>
    <w:rsid w:val="00A20284"/>
    <w:rsid w:val="00A205B2"/>
    <w:rsid w:val="00A20796"/>
    <w:rsid w:val="00A213B2"/>
    <w:rsid w:val="00A21AE0"/>
    <w:rsid w:val="00A21AF6"/>
    <w:rsid w:val="00A2225B"/>
    <w:rsid w:val="00A2264B"/>
    <w:rsid w:val="00A22D27"/>
    <w:rsid w:val="00A23336"/>
    <w:rsid w:val="00A2337C"/>
    <w:rsid w:val="00A23535"/>
    <w:rsid w:val="00A23649"/>
    <w:rsid w:val="00A2380C"/>
    <w:rsid w:val="00A23A2C"/>
    <w:rsid w:val="00A23AE1"/>
    <w:rsid w:val="00A23C2E"/>
    <w:rsid w:val="00A23C60"/>
    <w:rsid w:val="00A243B3"/>
    <w:rsid w:val="00A2491B"/>
    <w:rsid w:val="00A24E29"/>
    <w:rsid w:val="00A2514B"/>
    <w:rsid w:val="00A256F7"/>
    <w:rsid w:val="00A25DA9"/>
    <w:rsid w:val="00A25FEC"/>
    <w:rsid w:val="00A26012"/>
    <w:rsid w:val="00A26274"/>
    <w:rsid w:val="00A26964"/>
    <w:rsid w:val="00A26A51"/>
    <w:rsid w:val="00A271BE"/>
    <w:rsid w:val="00A27B3B"/>
    <w:rsid w:val="00A27EF0"/>
    <w:rsid w:val="00A30255"/>
    <w:rsid w:val="00A31281"/>
    <w:rsid w:val="00A31B61"/>
    <w:rsid w:val="00A31BE5"/>
    <w:rsid w:val="00A321C5"/>
    <w:rsid w:val="00A32959"/>
    <w:rsid w:val="00A32BF3"/>
    <w:rsid w:val="00A32CBE"/>
    <w:rsid w:val="00A32DFE"/>
    <w:rsid w:val="00A332D7"/>
    <w:rsid w:val="00A3375C"/>
    <w:rsid w:val="00A33B42"/>
    <w:rsid w:val="00A34080"/>
    <w:rsid w:val="00A342B2"/>
    <w:rsid w:val="00A34E3F"/>
    <w:rsid w:val="00A35179"/>
    <w:rsid w:val="00A35A71"/>
    <w:rsid w:val="00A35EB1"/>
    <w:rsid w:val="00A35EFA"/>
    <w:rsid w:val="00A360DD"/>
    <w:rsid w:val="00A36362"/>
    <w:rsid w:val="00A36E50"/>
    <w:rsid w:val="00A371B2"/>
    <w:rsid w:val="00A37222"/>
    <w:rsid w:val="00A377E2"/>
    <w:rsid w:val="00A37B46"/>
    <w:rsid w:val="00A37C26"/>
    <w:rsid w:val="00A405CC"/>
    <w:rsid w:val="00A4093C"/>
    <w:rsid w:val="00A4111F"/>
    <w:rsid w:val="00A4181D"/>
    <w:rsid w:val="00A418D2"/>
    <w:rsid w:val="00A419D3"/>
    <w:rsid w:val="00A41C6D"/>
    <w:rsid w:val="00A41E32"/>
    <w:rsid w:val="00A4269A"/>
    <w:rsid w:val="00A42721"/>
    <w:rsid w:val="00A42D49"/>
    <w:rsid w:val="00A42E04"/>
    <w:rsid w:val="00A43389"/>
    <w:rsid w:val="00A4393D"/>
    <w:rsid w:val="00A43A66"/>
    <w:rsid w:val="00A43B9A"/>
    <w:rsid w:val="00A43C66"/>
    <w:rsid w:val="00A442D2"/>
    <w:rsid w:val="00A445C5"/>
    <w:rsid w:val="00A447E4"/>
    <w:rsid w:val="00A44C72"/>
    <w:rsid w:val="00A44D18"/>
    <w:rsid w:val="00A46384"/>
    <w:rsid w:val="00A4769A"/>
    <w:rsid w:val="00A47E69"/>
    <w:rsid w:val="00A5041C"/>
    <w:rsid w:val="00A5048D"/>
    <w:rsid w:val="00A50524"/>
    <w:rsid w:val="00A50B19"/>
    <w:rsid w:val="00A51266"/>
    <w:rsid w:val="00A51307"/>
    <w:rsid w:val="00A51998"/>
    <w:rsid w:val="00A51BB6"/>
    <w:rsid w:val="00A51E87"/>
    <w:rsid w:val="00A5241D"/>
    <w:rsid w:val="00A5259A"/>
    <w:rsid w:val="00A54083"/>
    <w:rsid w:val="00A5423B"/>
    <w:rsid w:val="00A5497F"/>
    <w:rsid w:val="00A54A0C"/>
    <w:rsid w:val="00A54C97"/>
    <w:rsid w:val="00A54E34"/>
    <w:rsid w:val="00A5517A"/>
    <w:rsid w:val="00A551FD"/>
    <w:rsid w:val="00A552CB"/>
    <w:rsid w:val="00A5545A"/>
    <w:rsid w:val="00A555A2"/>
    <w:rsid w:val="00A558A8"/>
    <w:rsid w:val="00A55CCE"/>
    <w:rsid w:val="00A563F9"/>
    <w:rsid w:val="00A5667C"/>
    <w:rsid w:val="00A56BC5"/>
    <w:rsid w:val="00A5789E"/>
    <w:rsid w:val="00A57E64"/>
    <w:rsid w:val="00A6080A"/>
    <w:rsid w:val="00A60BA7"/>
    <w:rsid w:val="00A60BDE"/>
    <w:rsid w:val="00A60F11"/>
    <w:rsid w:val="00A615BA"/>
    <w:rsid w:val="00A62648"/>
    <w:rsid w:val="00A626C0"/>
    <w:rsid w:val="00A62A63"/>
    <w:rsid w:val="00A62C15"/>
    <w:rsid w:val="00A62ECB"/>
    <w:rsid w:val="00A632A8"/>
    <w:rsid w:val="00A6336B"/>
    <w:rsid w:val="00A63B93"/>
    <w:rsid w:val="00A63C2F"/>
    <w:rsid w:val="00A63C9B"/>
    <w:rsid w:val="00A64062"/>
    <w:rsid w:val="00A64240"/>
    <w:rsid w:val="00A64CC8"/>
    <w:rsid w:val="00A652D7"/>
    <w:rsid w:val="00A65996"/>
    <w:rsid w:val="00A6602A"/>
    <w:rsid w:val="00A66B21"/>
    <w:rsid w:val="00A66DB4"/>
    <w:rsid w:val="00A67643"/>
    <w:rsid w:val="00A6772D"/>
    <w:rsid w:val="00A67C0D"/>
    <w:rsid w:val="00A70108"/>
    <w:rsid w:val="00A705C3"/>
    <w:rsid w:val="00A706AF"/>
    <w:rsid w:val="00A70CB3"/>
    <w:rsid w:val="00A70D4F"/>
    <w:rsid w:val="00A70DC1"/>
    <w:rsid w:val="00A71008"/>
    <w:rsid w:val="00A713B1"/>
    <w:rsid w:val="00A71AFF"/>
    <w:rsid w:val="00A71F17"/>
    <w:rsid w:val="00A71F64"/>
    <w:rsid w:val="00A722C2"/>
    <w:rsid w:val="00A72613"/>
    <w:rsid w:val="00A72820"/>
    <w:rsid w:val="00A72B7D"/>
    <w:rsid w:val="00A72C09"/>
    <w:rsid w:val="00A72FEE"/>
    <w:rsid w:val="00A736FE"/>
    <w:rsid w:val="00A7392A"/>
    <w:rsid w:val="00A74292"/>
    <w:rsid w:val="00A74B59"/>
    <w:rsid w:val="00A74C27"/>
    <w:rsid w:val="00A74E9C"/>
    <w:rsid w:val="00A750F5"/>
    <w:rsid w:val="00A7576C"/>
    <w:rsid w:val="00A7579E"/>
    <w:rsid w:val="00A75ACC"/>
    <w:rsid w:val="00A75C92"/>
    <w:rsid w:val="00A76034"/>
    <w:rsid w:val="00A76238"/>
    <w:rsid w:val="00A76364"/>
    <w:rsid w:val="00A773D9"/>
    <w:rsid w:val="00A8108E"/>
    <w:rsid w:val="00A813FF"/>
    <w:rsid w:val="00A81B3A"/>
    <w:rsid w:val="00A81B9F"/>
    <w:rsid w:val="00A8200D"/>
    <w:rsid w:val="00A82762"/>
    <w:rsid w:val="00A83666"/>
    <w:rsid w:val="00A83735"/>
    <w:rsid w:val="00A845C4"/>
    <w:rsid w:val="00A84851"/>
    <w:rsid w:val="00A84C99"/>
    <w:rsid w:val="00A85404"/>
    <w:rsid w:val="00A85660"/>
    <w:rsid w:val="00A858E4"/>
    <w:rsid w:val="00A86332"/>
    <w:rsid w:val="00A86842"/>
    <w:rsid w:val="00A8701A"/>
    <w:rsid w:val="00A87A5F"/>
    <w:rsid w:val="00A90246"/>
    <w:rsid w:val="00A90590"/>
    <w:rsid w:val="00A905D4"/>
    <w:rsid w:val="00A90631"/>
    <w:rsid w:val="00A9096C"/>
    <w:rsid w:val="00A90A13"/>
    <w:rsid w:val="00A90C76"/>
    <w:rsid w:val="00A91C32"/>
    <w:rsid w:val="00A91C33"/>
    <w:rsid w:val="00A91F77"/>
    <w:rsid w:val="00A923E0"/>
    <w:rsid w:val="00A9275B"/>
    <w:rsid w:val="00A92D2C"/>
    <w:rsid w:val="00A92E56"/>
    <w:rsid w:val="00A92EF3"/>
    <w:rsid w:val="00A93576"/>
    <w:rsid w:val="00A9384C"/>
    <w:rsid w:val="00A942D3"/>
    <w:rsid w:val="00A94576"/>
    <w:rsid w:val="00A94839"/>
    <w:rsid w:val="00A95429"/>
    <w:rsid w:val="00A961BD"/>
    <w:rsid w:val="00A961F3"/>
    <w:rsid w:val="00A967E1"/>
    <w:rsid w:val="00A969B2"/>
    <w:rsid w:val="00A97901"/>
    <w:rsid w:val="00A97D43"/>
    <w:rsid w:val="00AA04A8"/>
    <w:rsid w:val="00AA0A24"/>
    <w:rsid w:val="00AA0AFC"/>
    <w:rsid w:val="00AA10B2"/>
    <w:rsid w:val="00AA1462"/>
    <w:rsid w:val="00AA1E4A"/>
    <w:rsid w:val="00AA223C"/>
    <w:rsid w:val="00AA2564"/>
    <w:rsid w:val="00AA262A"/>
    <w:rsid w:val="00AA2D1E"/>
    <w:rsid w:val="00AA320C"/>
    <w:rsid w:val="00AA351F"/>
    <w:rsid w:val="00AA3E0E"/>
    <w:rsid w:val="00AA41D5"/>
    <w:rsid w:val="00AA47F2"/>
    <w:rsid w:val="00AA4B42"/>
    <w:rsid w:val="00AA4C92"/>
    <w:rsid w:val="00AA4FAF"/>
    <w:rsid w:val="00AA5103"/>
    <w:rsid w:val="00AA5385"/>
    <w:rsid w:val="00AA5746"/>
    <w:rsid w:val="00AA584F"/>
    <w:rsid w:val="00AA609D"/>
    <w:rsid w:val="00AA6709"/>
    <w:rsid w:val="00AA6791"/>
    <w:rsid w:val="00AA67A5"/>
    <w:rsid w:val="00AA6D5E"/>
    <w:rsid w:val="00AA705A"/>
    <w:rsid w:val="00AA749D"/>
    <w:rsid w:val="00AA7EE4"/>
    <w:rsid w:val="00AB2D71"/>
    <w:rsid w:val="00AB2FEB"/>
    <w:rsid w:val="00AB3CF6"/>
    <w:rsid w:val="00AB3E07"/>
    <w:rsid w:val="00AB3F56"/>
    <w:rsid w:val="00AB3FB9"/>
    <w:rsid w:val="00AB5164"/>
    <w:rsid w:val="00AB5265"/>
    <w:rsid w:val="00AB6271"/>
    <w:rsid w:val="00AB6ABF"/>
    <w:rsid w:val="00AB6B62"/>
    <w:rsid w:val="00AB6CB0"/>
    <w:rsid w:val="00AB6D05"/>
    <w:rsid w:val="00AB6EC2"/>
    <w:rsid w:val="00AB718F"/>
    <w:rsid w:val="00AB75A2"/>
    <w:rsid w:val="00AB7895"/>
    <w:rsid w:val="00AB7A99"/>
    <w:rsid w:val="00AB7CDC"/>
    <w:rsid w:val="00AC00A6"/>
    <w:rsid w:val="00AC0524"/>
    <w:rsid w:val="00AC0855"/>
    <w:rsid w:val="00AC0D33"/>
    <w:rsid w:val="00AC12E8"/>
    <w:rsid w:val="00AC14EF"/>
    <w:rsid w:val="00AC1F39"/>
    <w:rsid w:val="00AC2CB0"/>
    <w:rsid w:val="00AC3281"/>
    <w:rsid w:val="00AC32FB"/>
    <w:rsid w:val="00AC35DC"/>
    <w:rsid w:val="00AC38DD"/>
    <w:rsid w:val="00AC43D1"/>
    <w:rsid w:val="00AC46E2"/>
    <w:rsid w:val="00AC4A87"/>
    <w:rsid w:val="00AC4CB5"/>
    <w:rsid w:val="00AC4F9B"/>
    <w:rsid w:val="00AC5067"/>
    <w:rsid w:val="00AC5344"/>
    <w:rsid w:val="00AC59AA"/>
    <w:rsid w:val="00AC59B1"/>
    <w:rsid w:val="00AC5A09"/>
    <w:rsid w:val="00AC5D49"/>
    <w:rsid w:val="00AC647E"/>
    <w:rsid w:val="00AC7071"/>
    <w:rsid w:val="00AC7721"/>
    <w:rsid w:val="00AC785E"/>
    <w:rsid w:val="00AC7A3E"/>
    <w:rsid w:val="00AC7EDC"/>
    <w:rsid w:val="00AC7FE4"/>
    <w:rsid w:val="00AD021C"/>
    <w:rsid w:val="00AD0656"/>
    <w:rsid w:val="00AD0EB5"/>
    <w:rsid w:val="00AD1B16"/>
    <w:rsid w:val="00AD1DAD"/>
    <w:rsid w:val="00AD217D"/>
    <w:rsid w:val="00AD2952"/>
    <w:rsid w:val="00AD2B8F"/>
    <w:rsid w:val="00AD2D43"/>
    <w:rsid w:val="00AD31EB"/>
    <w:rsid w:val="00AD3794"/>
    <w:rsid w:val="00AD3FE3"/>
    <w:rsid w:val="00AD4202"/>
    <w:rsid w:val="00AD431D"/>
    <w:rsid w:val="00AD450C"/>
    <w:rsid w:val="00AD461E"/>
    <w:rsid w:val="00AD4817"/>
    <w:rsid w:val="00AD51B2"/>
    <w:rsid w:val="00AD5254"/>
    <w:rsid w:val="00AD5E4A"/>
    <w:rsid w:val="00AD6341"/>
    <w:rsid w:val="00AD64E1"/>
    <w:rsid w:val="00AD6538"/>
    <w:rsid w:val="00AD6B45"/>
    <w:rsid w:val="00AD6F93"/>
    <w:rsid w:val="00AD7598"/>
    <w:rsid w:val="00AD7659"/>
    <w:rsid w:val="00AD7F64"/>
    <w:rsid w:val="00AE01D2"/>
    <w:rsid w:val="00AE0777"/>
    <w:rsid w:val="00AE0BC1"/>
    <w:rsid w:val="00AE18B0"/>
    <w:rsid w:val="00AE232C"/>
    <w:rsid w:val="00AE272C"/>
    <w:rsid w:val="00AE2B33"/>
    <w:rsid w:val="00AE2B5B"/>
    <w:rsid w:val="00AE2E00"/>
    <w:rsid w:val="00AE3108"/>
    <w:rsid w:val="00AE35D7"/>
    <w:rsid w:val="00AE35DB"/>
    <w:rsid w:val="00AE3A57"/>
    <w:rsid w:val="00AE3DA8"/>
    <w:rsid w:val="00AE41A0"/>
    <w:rsid w:val="00AE44B1"/>
    <w:rsid w:val="00AE45C9"/>
    <w:rsid w:val="00AE46D2"/>
    <w:rsid w:val="00AE47D4"/>
    <w:rsid w:val="00AE49EE"/>
    <w:rsid w:val="00AE60DA"/>
    <w:rsid w:val="00AE64D3"/>
    <w:rsid w:val="00AE681C"/>
    <w:rsid w:val="00AE6E2F"/>
    <w:rsid w:val="00AF050A"/>
    <w:rsid w:val="00AF1792"/>
    <w:rsid w:val="00AF18F9"/>
    <w:rsid w:val="00AF20F0"/>
    <w:rsid w:val="00AF23B2"/>
    <w:rsid w:val="00AF255E"/>
    <w:rsid w:val="00AF2E1E"/>
    <w:rsid w:val="00AF2F8A"/>
    <w:rsid w:val="00AF3458"/>
    <w:rsid w:val="00AF383D"/>
    <w:rsid w:val="00AF3CB7"/>
    <w:rsid w:val="00AF41C1"/>
    <w:rsid w:val="00AF4A3B"/>
    <w:rsid w:val="00AF527C"/>
    <w:rsid w:val="00AF5A22"/>
    <w:rsid w:val="00AF5C6C"/>
    <w:rsid w:val="00AF6383"/>
    <w:rsid w:val="00AF6803"/>
    <w:rsid w:val="00AF6EE0"/>
    <w:rsid w:val="00AF7564"/>
    <w:rsid w:val="00AF76BC"/>
    <w:rsid w:val="00B003C5"/>
    <w:rsid w:val="00B00C10"/>
    <w:rsid w:val="00B0107A"/>
    <w:rsid w:val="00B02CB9"/>
    <w:rsid w:val="00B035A2"/>
    <w:rsid w:val="00B0397B"/>
    <w:rsid w:val="00B03A1D"/>
    <w:rsid w:val="00B03E12"/>
    <w:rsid w:val="00B04046"/>
    <w:rsid w:val="00B04A0F"/>
    <w:rsid w:val="00B052E2"/>
    <w:rsid w:val="00B056E9"/>
    <w:rsid w:val="00B058F7"/>
    <w:rsid w:val="00B061FD"/>
    <w:rsid w:val="00B068E3"/>
    <w:rsid w:val="00B06A4E"/>
    <w:rsid w:val="00B06DF6"/>
    <w:rsid w:val="00B102D5"/>
    <w:rsid w:val="00B10308"/>
    <w:rsid w:val="00B10568"/>
    <w:rsid w:val="00B10B4A"/>
    <w:rsid w:val="00B10B58"/>
    <w:rsid w:val="00B10DE0"/>
    <w:rsid w:val="00B10DEC"/>
    <w:rsid w:val="00B10DF8"/>
    <w:rsid w:val="00B118E4"/>
    <w:rsid w:val="00B122C0"/>
    <w:rsid w:val="00B1297B"/>
    <w:rsid w:val="00B12AD0"/>
    <w:rsid w:val="00B12D4F"/>
    <w:rsid w:val="00B12F6A"/>
    <w:rsid w:val="00B138D1"/>
    <w:rsid w:val="00B145DF"/>
    <w:rsid w:val="00B146FE"/>
    <w:rsid w:val="00B155AC"/>
    <w:rsid w:val="00B157B6"/>
    <w:rsid w:val="00B158F8"/>
    <w:rsid w:val="00B15AA4"/>
    <w:rsid w:val="00B15CF7"/>
    <w:rsid w:val="00B168F3"/>
    <w:rsid w:val="00B16D1E"/>
    <w:rsid w:val="00B16EB2"/>
    <w:rsid w:val="00B1742A"/>
    <w:rsid w:val="00B174C5"/>
    <w:rsid w:val="00B17C10"/>
    <w:rsid w:val="00B17D33"/>
    <w:rsid w:val="00B20377"/>
    <w:rsid w:val="00B20A30"/>
    <w:rsid w:val="00B212CA"/>
    <w:rsid w:val="00B2134D"/>
    <w:rsid w:val="00B217C5"/>
    <w:rsid w:val="00B223AF"/>
    <w:rsid w:val="00B23675"/>
    <w:rsid w:val="00B236E6"/>
    <w:rsid w:val="00B23BD7"/>
    <w:rsid w:val="00B23F68"/>
    <w:rsid w:val="00B241C2"/>
    <w:rsid w:val="00B2491C"/>
    <w:rsid w:val="00B24B50"/>
    <w:rsid w:val="00B24E18"/>
    <w:rsid w:val="00B26139"/>
    <w:rsid w:val="00B26366"/>
    <w:rsid w:val="00B271CA"/>
    <w:rsid w:val="00B27305"/>
    <w:rsid w:val="00B27610"/>
    <w:rsid w:val="00B27632"/>
    <w:rsid w:val="00B27F08"/>
    <w:rsid w:val="00B300C9"/>
    <w:rsid w:val="00B303AF"/>
    <w:rsid w:val="00B3089B"/>
    <w:rsid w:val="00B30FE3"/>
    <w:rsid w:val="00B312FA"/>
    <w:rsid w:val="00B31EE1"/>
    <w:rsid w:val="00B3238D"/>
    <w:rsid w:val="00B32C24"/>
    <w:rsid w:val="00B32DC9"/>
    <w:rsid w:val="00B32F2A"/>
    <w:rsid w:val="00B330CF"/>
    <w:rsid w:val="00B337AE"/>
    <w:rsid w:val="00B33AD4"/>
    <w:rsid w:val="00B34CBA"/>
    <w:rsid w:val="00B353CF"/>
    <w:rsid w:val="00B353F0"/>
    <w:rsid w:val="00B35502"/>
    <w:rsid w:val="00B357B5"/>
    <w:rsid w:val="00B35853"/>
    <w:rsid w:val="00B368BB"/>
    <w:rsid w:val="00B3691F"/>
    <w:rsid w:val="00B36BF4"/>
    <w:rsid w:val="00B36E37"/>
    <w:rsid w:val="00B37160"/>
    <w:rsid w:val="00B3728A"/>
    <w:rsid w:val="00B3729F"/>
    <w:rsid w:val="00B37624"/>
    <w:rsid w:val="00B37B8A"/>
    <w:rsid w:val="00B37EA8"/>
    <w:rsid w:val="00B4092E"/>
    <w:rsid w:val="00B40C4A"/>
    <w:rsid w:val="00B40D3A"/>
    <w:rsid w:val="00B41788"/>
    <w:rsid w:val="00B41AED"/>
    <w:rsid w:val="00B42856"/>
    <w:rsid w:val="00B434F0"/>
    <w:rsid w:val="00B43942"/>
    <w:rsid w:val="00B43CE3"/>
    <w:rsid w:val="00B43EA4"/>
    <w:rsid w:val="00B44493"/>
    <w:rsid w:val="00B444FC"/>
    <w:rsid w:val="00B445D4"/>
    <w:rsid w:val="00B445F1"/>
    <w:rsid w:val="00B44960"/>
    <w:rsid w:val="00B44B5A"/>
    <w:rsid w:val="00B44D54"/>
    <w:rsid w:val="00B44FDA"/>
    <w:rsid w:val="00B45064"/>
    <w:rsid w:val="00B4538C"/>
    <w:rsid w:val="00B45ED4"/>
    <w:rsid w:val="00B4606C"/>
    <w:rsid w:val="00B460CF"/>
    <w:rsid w:val="00B46157"/>
    <w:rsid w:val="00B46684"/>
    <w:rsid w:val="00B4717E"/>
    <w:rsid w:val="00B501C1"/>
    <w:rsid w:val="00B5160C"/>
    <w:rsid w:val="00B5174B"/>
    <w:rsid w:val="00B51A2B"/>
    <w:rsid w:val="00B51EA0"/>
    <w:rsid w:val="00B51F14"/>
    <w:rsid w:val="00B52027"/>
    <w:rsid w:val="00B5273F"/>
    <w:rsid w:val="00B52985"/>
    <w:rsid w:val="00B52B8C"/>
    <w:rsid w:val="00B52DD5"/>
    <w:rsid w:val="00B52EA3"/>
    <w:rsid w:val="00B535B5"/>
    <w:rsid w:val="00B53829"/>
    <w:rsid w:val="00B5385A"/>
    <w:rsid w:val="00B539D9"/>
    <w:rsid w:val="00B53E06"/>
    <w:rsid w:val="00B53E7B"/>
    <w:rsid w:val="00B543C9"/>
    <w:rsid w:val="00B54410"/>
    <w:rsid w:val="00B5444E"/>
    <w:rsid w:val="00B546D7"/>
    <w:rsid w:val="00B54A3C"/>
    <w:rsid w:val="00B54B67"/>
    <w:rsid w:val="00B5554F"/>
    <w:rsid w:val="00B557BE"/>
    <w:rsid w:val="00B55A1D"/>
    <w:rsid w:val="00B5623A"/>
    <w:rsid w:val="00B565A1"/>
    <w:rsid w:val="00B5678E"/>
    <w:rsid w:val="00B56B84"/>
    <w:rsid w:val="00B56BDE"/>
    <w:rsid w:val="00B56C42"/>
    <w:rsid w:val="00B57178"/>
    <w:rsid w:val="00B57880"/>
    <w:rsid w:val="00B57902"/>
    <w:rsid w:val="00B57B40"/>
    <w:rsid w:val="00B6058D"/>
    <w:rsid w:val="00B60A5A"/>
    <w:rsid w:val="00B60AC0"/>
    <w:rsid w:val="00B60BD3"/>
    <w:rsid w:val="00B60EBD"/>
    <w:rsid w:val="00B61B9B"/>
    <w:rsid w:val="00B61EA9"/>
    <w:rsid w:val="00B6208F"/>
    <w:rsid w:val="00B62A0F"/>
    <w:rsid w:val="00B63906"/>
    <w:rsid w:val="00B63E94"/>
    <w:rsid w:val="00B63EDC"/>
    <w:rsid w:val="00B654D6"/>
    <w:rsid w:val="00B654EC"/>
    <w:rsid w:val="00B6570F"/>
    <w:rsid w:val="00B657D1"/>
    <w:rsid w:val="00B6597A"/>
    <w:rsid w:val="00B65B86"/>
    <w:rsid w:val="00B6603F"/>
    <w:rsid w:val="00B66725"/>
    <w:rsid w:val="00B66C17"/>
    <w:rsid w:val="00B66CB4"/>
    <w:rsid w:val="00B66D66"/>
    <w:rsid w:val="00B67002"/>
    <w:rsid w:val="00B67F66"/>
    <w:rsid w:val="00B70481"/>
    <w:rsid w:val="00B7070E"/>
    <w:rsid w:val="00B71765"/>
    <w:rsid w:val="00B7184C"/>
    <w:rsid w:val="00B72482"/>
    <w:rsid w:val="00B729FA"/>
    <w:rsid w:val="00B73089"/>
    <w:rsid w:val="00B730EC"/>
    <w:rsid w:val="00B73363"/>
    <w:rsid w:val="00B73BA3"/>
    <w:rsid w:val="00B73D2C"/>
    <w:rsid w:val="00B73D65"/>
    <w:rsid w:val="00B73E23"/>
    <w:rsid w:val="00B73EED"/>
    <w:rsid w:val="00B74402"/>
    <w:rsid w:val="00B7467A"/>
    <w:rsid w:val="00B7476F"/>
    <w:rsid w:val="00B7477B"/>
    <w:rsid w:val="00B748CA"/>
    <w:rsid w:val="00B74ACA"/>
    <w:rsid w:val="00B74DA8"/>
    <w:rsid w:val="00B7509B"/>
    <w:rsid w:val="00B7513E"/>
    <w:rsid w:val="00B7593E"/>
    <w:rsid w:val="00B75D87"/>
    <w:rsid w:val="00B75E80"/>
    <w:rsid w:val="00B76120"/>
    <w:rsid w:val="00B7671B"/>
    <w:rsid w:val="00B7674B"/>
    <w:rsid w:val="00B76866"/>
    <w:rsid w:val="00B77100"/>
    <w:rsid w:val="00B7720C"/>
    <w:rsid w:val="00B776D3"/>
    <w:rsid w:val="00B77A73"/>
    <w:rsid w:val="00B77C85"/>
    <w:rsid w:val="00B77D38"/>
    <w:rsid w:val="00B801B0"/>
    <w:rsid w:val="00B81238"/>
    <w:rsid w:val="00B8131D"/>
    <w:rsid w:val="00B817F0"/>
    <w:rsid w:val="00B821F9"/>
    <w:rsid w:val="00B8239A"/>
    <w:rsid w:val="00B82644"/>
    <w:rsid w:val="00B82A09"/>
    <w:rsid w:val="00B82FF2"/>
    <w:rsid w:val="00B83239"/>
    <w:rsid w:val="00B834F1"/>
    <w:rsid w:val="00B83548"/>
    <w:rsid w:val="00B83684"/>
    <w:rsid w:val="00B836E5"/>
    <w:rsid w:val="00B837D7"/>
    <w:rsid w:val="00B83D0E"/>
    <w:rsid w:val="00B83D4C"/>
    <w:rsid w:val="00B84095"/>
    <w:rsid w:val="00B84381"/>
    <w:rsid w:val="00B8457F"/>
    <w:rsid w:val="00B84C19"/>
    <w:rsid w:val="00B855E8"/>
    <w:rsid w:val="00B85D29"/>
    <w:rsid w:val="00B85FB6"/>
    <w:rsid w:val="00B8660F"/>
    <w:rsid w:val="00B866CA"/>
    <w:rsid w:val="00B86B16"/>
    <w:rsid w:val="00B86D44"/>
    <w:rsid w:val="00B87062"/>
    <w:rsid w:val="00B876E9"/>
    <w:rsid w:val="00B87F34"/>
    <w:rsid w:val="00B9008D"/>
    <w:rsid w:val="00B904C2"/>
    <w:rsid w:val="00B90F0D"/>
    <w:rsid w:val="00B917BC"/>
    <w:rsid w:val="00B9191D"/>
    <w:rsid w:val="00B91959"/>
    <w:rsid w:val="00B91C93"/>
    <w:rsid w:val="00B923F1"/>
    <w:rsid w:val="00B9276C"/>
    <w:rsid w:val="00B92820"/>
    <w:rsid w:val="00B929BD"/>
    <w:rsid w:val="00B92A71"/>
    <w:rsid w:val="00B93475"/>
    <w:rsid w:val="00B93811"/>
    <w:rsid w:val="00B94556"/>
    <w:rsid w:val="00B949D2"/>
    <w:rsid w:val="00B9505D"/>
    <w:rsid w:val="00B95063"/>
    <w:rsid w:val="00B957CF"/>
    <w:rsid w:val="00B95A41"/>
    <w:rsid w:val="00B95EB0"/>
    <w:rsid w:val="00B9620C"/>
    <w:rsid w:val="00B9623A"/>
    <w:rsid w:val="00B970EE"/>
    <w:rsid w:val="00B9725D"/>
    <w:rsid w:val="00B97345"/>
    <w:rsid w:val="00BA035E"/>
    <w:rsid w:val="00BA05B1"/>
    <w:rsid w:val="00BA0632"/>
    <w:rsid w:val="00BA0920"/>
    <w:rsid w:val="00BA0B5A"/>
    <w:rsid w:val="00BA15BE"/>
    <w:rsid w:val="00BA1BF6"/>
    <w:rsid w:val="00BA1C8A"/>
    <w:rsid w:val="00BA20CE"/>
    <w:rsid w:val="00BA2169"/>
    <w:rsid w:val="00BA28F3"/>
    <w:rsid w:val="00BA3B29"/>
    <w:rsid w:val="00BA3CC5"/>
    <w:rsid w:val="00BA53C5"/>
    <w:rsid w:val="00BA55B3"/>
    <w:rsid w:val="00BA5907"/>
    <w:rsid w:val="00BA592E"/>
    <w:rsid w:val="00BA5AAF"/>
    <w:rsid w:val="00BA5D7B"/>
    <w:rsid w:val="00BA5EC0"/>
    <w:rsid w:val="00BA6768"/>
    <w:rsid w:val="00BA68E2"/>
    <w:rsid w:val="00BA6CB5"/>
    <w:rsid w:val="00BA7019"/>
    <w:rsid w:val="00BA73D9"/>
    <w:rsid w:val="00BA7435"/>
    <w:rsid w:val="00BA7525"/>
    <w:rsid w:val="00BA771A"/>
    <w:rsid w:val="00BA7876"/>
    <w:rsid w:val="00BA78BA"/>
    <w:rsid w:val="00BB0072"/>
    <w:rsid w:val="00BB09F1"/>
    <w:rsid w:val="00BB11EA"/>
    <w:rsid w:val="00BB14F1"/>
    <w:rsid w:val="00BB160A"/>
    <w:rsid w:val="00BB1AFA"/>
    <w:rsid w:val="00BB1BAB"/>
    <w:rsid w:val="00BB2914"/>
    <w:rsid w:val="00BB2B49"/>
    <w:rsid w:val="00BB42C9"/>
    <w:rsid w:val="00BB4443"/>
    <w:rsid w:val="00BB454A"/>
    <w:rsid w:val="00BB5054"/>
    <w:rsid w:val="00BB5CC6"/>
    <w:rsid w:val="00BB623C"/>
    <w:rsid w:val="00BB6337"/>
    <w:rsid w:val="00BB649B"/>
    <w:rsid w:val="00BB7B51"/>
    <w:rsid w:val="00BB7C76"/>
    <w:rsid w:val="00BB7C78"/>
    <w:rsid w:val="00BC0FD9"/>
    <w:rsid w:val="00BC1849"/>
    <w:rsid w:val="00BC1B66"/>
    <w:rsid w:val="00BC2894"/>
    <w:rsid w:val="00BC28E4"/>
    <w:rsid w:val="00BC2A0F"/>
    <w:rsid w:val="00BC3A73"/>
    <w:rsid w:val="00BC3B18"/>
    <w:rsid w:val="00BC3CF9"/>
    <w:rsid w:val="00BC423A"/>
    <w:rsid w:val="00BC4298"/>
    <w:rsid w:val="00BC4471"/>
    <w:rsid w:val="00BC4473"/>
    <w:rsid w:val="00BC45B3"/>
    <w:rsid w:val="00BC48F9"/>
    <w:rsid w:val="00BC4C61"/>
    <w:rsid w:val="00BC4CC3"/>
    <w:rsid w:val="00BC4F3C"/>
    <w:rsid w:val="00BC60AD"/>
    <w:rsid w:val="00BC65BE"/>
    <w:rsid w:val="00BC6622"/>
    <w:rsid w:val="00BC6A3C"/>
    <w:rsid w:val="00BC6AC0"/>
    <w:rsid w:val="00BC78E8"/>
    <w:rsid w:val="00BC7D0B"/>
    <w:rsid w:val="00BC7E79"/>
    <w:rsid w:val="00BC7F7E"/>
    <w:rsid w:val="00BD01A8"/>
    <w:rsid w:val="00BD09D5"/>
    <w:rsid w:val="00BD0FB6"/>
    <w:rsid w:val="00BD15F2"/>
    <w:rsid w:val="00BD1B99"/>
    <w:rsid w:val="00BD1D41"/>
    <w:rsid w:val="00BD1EF8"/>
    <w:rsid w:val="00BD1F54"/>
    <w:rsid w:val="00BD2005"/>
    <w:rsid w:val="00BD2222"/>
    <w:rsid w:val="00BD270E"/>
    <w:rsid w:val="00BD3810"/>
    <w:rsid w:val="00BD46A3"/>
    <w:rsid w:val="00BD4822"/>
    <w:rsid w:val="00BD4901"/>
    <w:rsid w:val="00BD4911"/>
    <w:rsid w:val="00BD4EEE"/>
    <w:rsid w:val="00BD54BE"/>
    <w:rsid w:val="00BD5F8D"/>
    <w:rsid w:val="00BD66E3"/>
    <w:rsid w:val="00BD6965"/>
    <w:rsid w:val="00BD6AA4"/>
    <w:rsid w:val="00BD7051"/>
    <w:rsid w:val="00BD719A"/>
    <w:rsid w:val="00BD766B"/>
    <w:rsid w:val="00BD7929"/>
    <w:rsid w:val="00BD7946"/>
    <w:rsid w:val="00BD7A37"/>
    <w:rsid w:val="00BD7C06"/>
    <w:rsid w:val="00BD7D31"/>
    <w:rsid w:val="00BE02E3"/>
    <w:rsid w:val="00BE1416"/>
    <w:rsid w:val="00BE14D1"/>
    <w:rsid w:val="00BE1D8D"/>
    <w:rsid w:val="00BE216A"/>
    <w:rsid w:val="00BE27E8"/>
    <w:rsid w:val="00BE2A04"/>
    <w:rsid w:val="00BE304C"/>
    <w:rsid w:val="00BE30ED"/>
    <w:rsid w:val="00BE3597"/>
    <w:rsid w:val="00BE366D"/>
    <w:rsid w:val="00BE36FC"/>
    <w:rsid w:val="00BE370D"/>
    <w:rsid w:val="00BE39F0"/>
    <w:rsid w:val="00BE3CFD"/>
    <w:rsid w:val="00BE414D"/>
    <w:rsid w:val="00BE4F10"/>
    <w:rsid w:val="00BE520B"/>
    <w:rsid w:val="00BE619F"/>
    <w:rsid w:val="00BE62C2"/>
    <w:rsid w:val="00BE651F"/>
    <w:rsid w:val="00BE7359"/>
    <w:rsid w:val="00BE7416"/>
    <w:rsid w:val="00BE7688"/>
    <w:rsid w:val="00BE7D72"/>
    <w:rsid w:val="00BF0187"/>
    <w:rsid w:val="00BF0A43"/>
    <w:rsid w:val="00BF1289"/>
    <w:rsid w:val="00BF154E"/>
    <w:rsid w:val="00BF16E1"/>
    <w:rsid w:val="00BF2761"/>
    <w:rsid w:val="00BF2CCA"/>
    <w:rsid w:val="00BF31B8"/>
    <w:rsid w:val="00BF369A"/>
    <w:rsid w:val="00BF4279"/>
    <w:rsid w:val="00BF5772"/>
    <w:rsid w:val="00BF5943"/>
    <w:rsid w:val="00BF5BDF"/>
    <w:rsid w:val="00BF6157"/>
    <w:rsid w:val="00BF651A"/>
    <w:rsid w:val="00BF67C7"/>
    <w:rsid w:val="00BF741F"/>
    <w:rsid w:val="00BF76D2"/>
    <w:rsid w:val="00BF7A0C"/>
    <w:rsid w:val="00BF7A9C"/>
    <w:rsid w:val="00BF7C98"/>
    <w:rsid w:val="00C002AF"/>
    <w:rsid w:val="00C00A45"/>
    <w:rsid w:val="00C01853"/>
    <w:rsid w:val="00C01D23"/>
    <w:rsid w:val="00C01DA1"/>
    <w:rsid w:val="00C022CC"/>
    <w:rsid w:val="00C0267F"/>
    <w:rsid w:val="00C02975"/>
    <w:rsid w:val="00C02C02"/>
    <w:rsid w:val="00C02E6A"/>
    <w:rsid w:val="00C030E5"/>
    <w:rsid w:val="00C0321F"/>
    <w:rsid w:val="00C03443"/>
    <w:rsid w:val="00C03B47"/>
    <w:rsid w:val="00C03C15"/>
    <w:rsid w:val="00C03DB0"/>
    <w:rsid w:val="00C04486"/>
    <w:rsid w:val="00C04C64"/>
    <w:rsid w:val="00C04DEC"/>
    <w:rsid w:val="00C04F3D"/>
    <w:rsid w:val="00C050C9"/>
    <w:rsid w:val="00C0631B"/>
    <w:rsid w:val="00C06EB0"/>
    <w:rsid w:val="00C07114"/>
    <w:rsid w:val="00C07826"/>
    <w:rsid w:val="00C07D03"/>
    <w:rsid w:val="00C07F8B"/>
    <w:rsid w:val="00C108BA"/>
    <w:rsid w:val="00C10A6B"/>
    <w:rsid w:val="00C1119F"/>
    <w:rsid w:val="00C11264"/>
    <w:rsid w:val="00C12171"/>
    <w:rsid w:val="00C12811"/>
    <w:rsid w:val="00C12CC4"/>
    <w:rsid w:val="00C12E26"/>
    <w:rsid w:val="00C13BD6"/>
    <w:rsid w:val="00C13C91"/>
    <w:rsid w:val="00C13CD5"/>
    <w:rsid w:val="00C13FBA"/>
    <w:rsid w:val="00C14DA8"/>
    <w:rsid w:val="00C162D9"/>
    <w:rsid w:val="00C163DE"/>
    <w:rsid w:val="00C16D01"/>
    <w:rsid w:val="00C16F03"/>
    <w:rsid w:val="00C17572"/>
    <w:rsid w:val="00C17755"/>
    <w:rsid w:val="00C17C23"/>
    <w:rsid w:val="00C17D85"/>
    <w:rsid w:val="00C201F8"/>
    <w:rsid w:val="00C209D4"/>
    <w:rsid w:val="00C20E02"/>
    <w:rsid w:val="00C20F1B"/>
    <w:rsid w:val="00C2127B"/>
    <w:rsid w:val="00C212ED"/>
    <w:rsid w:val="00C21683"/>
    <w:rsid w:val="00C21872"/>
    <w:rsid w:val="00C2197D"/>
    <w:rsid w:val="00C226EC"/>
    <w:rsid w:val="00C22756"/>
    <w:rsid w:val="00C22E99"/>
    <w:rsid w:val="00C22EF8"/>
    <w:rsid w:val="00C232DA"/>
    <w:rsid w:val="00C2333C"/>
    <w:rsid w:val="00C23A1D"/>
    <w:rsid w:val="00C23E7C"/>
    <w:rsid w:val="00C241FF"/>
    <w:rsid w:val="00C242A0"/>
    <w:rsid w:val="00C265B7"/>
    <w:rsid w:val="00C26661"/>
    <w:rsid w:val="00C266AC"/>
    <w:rsid w:val="00C26B3A"/>
    <w:rsid w:val="00C270F7"/>
    <w:rsid w:val="00C2724F"/>
    <w:rsid w:val="00C275FD"/>
    <w:rsid w:val="00C27B80"/>
    <w:rsid w:val="00C27DB7"/>
    <w:rsid w:val="00C309B0"/>
    <w:rsid w:val="00C313AA"/>
    <w:rsid w:val="00C316A0"/>
    <w:rsid w:val="00C31724"/>
    <w:rsid w:val="00C3198D"/>
    <w:rsid w:val="00C31F72"/>
    <w:rsid w:val="00C32058"/>
    <w:rsid w:val="00C32099"/>
    <w:rsid w:val="00C32269"/>
    <w:rsid w:val="00C322BA"/>
    <w:rsid w:val="00C32385"/>
    <w:rsid w:val="00C327B3"/>
    <w:rsid w:val="00C331C3"/>
    <w:rsid w:val="00C331DA"/>
    <w:rsid w:val="00C3353D"/>
    <w:rsid w:val="00C336AC"/>
    <w:rsid w:val="00C336C9"/>
    <w:rsid w:val="00C338F6"/>
    <w:rsid w:val="00C3399B"/>
    <w:rsid w:val="00C33DB7"/>
    <w:rsid w:val="00C34046"/>
    <w:rsid w:val="00C3406B"/>
    <w:rsid w:val="00C34434"/>
    <w:rsid w:val="00C34A62"/>
    <w:rsid w:val="00C3539F"/>
    <w:rsid w:val="00C354CB"/>
    <w:rsid w:val="00C3550E"/>
    <w:rsid w:val="00C35879"/>
    <w:rsid w:val="00C3625F"/>
    <w:rsid w:val="00C365B8"/>
    <w:rsid w:val="00C36910"/>
    <w:rsid w:val="00C36D46"/>
    <w:rsid w:val="00C40474"/>
    <w:rsid w:val="00C4051C"/>
    <w:rsid w:val="00C40A1C"/>
    <w:rsid w:val="00C41179"/>
    <w:rsid w:val="00C412F8"/>
    <w:rsid w:val="00C41366"/>
    <w:rsid w:val="00C414C7"/>
    <w:rsid w:val="00C41B5D"/>
    <w:rsid w:val="00C41F52"/>
    <w:rsid w:val="00C42A33"/>
    <w:rsid w:val="00C42D98"/>
    <w:rsid w:val="00C42F98"/>
    <w:rsid w:val="00C4330A"/>
    <w:rsid w:val="00C43A36"/>
    <w:rsid w:val="00C43BEC"/>
    <w:rsid w:val="00C44F06"/>
    <w:rsid w:val="00C45A2B"/>
    <w:rsid w:val="00C45D2E"/>
    <w:rsid w:val="00C45E8F"/>
    <w:rsid w:val="00C46560"/>
    <w:rsid w:val="00C46619"/>
    <w:rsid w:val="00C46931"/>
    <w:rsid w:val="00C46939"/>
    <w:rsid w:val="00C4707C"/>
    <w:rsid w:val="00C471E7"/>
    <w:rsid w:val="00C4723F"/>
    <w:rsid w:val="00C47842"/>
    <w:rsid w:val="00C50A3D"/>
    <w:rsid w:val="00C50AAE"/>
    <w:rsid w:val="00C51198"/>
    <w:rsid w:val="00C5176D"/>
    <w:rsid w:val="00C51ACD"/>
    <w:rsid w:val="00C525EA"/>
    <w:rsid w:val="00C526DE"/>
    <w:rsid w:val="00C5275A"/>
    <w:rsid w:val="00C527FD"/>
    <w:rsid w:val="00C52A1A"/>
    <w:rsid w:val="00C52FFC"/>
    <w:rsid w:val="00C532ED"/>
    <w:rsid w:val="00C53842"/>
    <w:rsid w:val="00C54314"/>
    <w:rsid w:val="00C54CC5"/>
    <w:rsid w:val="00C54EB5"/>
    <w:rsid w:val="00C55377"/>
    <w:rsid w:val="00C55CEF"/>
    <w:rsid w:val="00C56006"/>
    <w:rsid w:val="00C56774"/>
    <w:rsid w:val="00C56ACC"/>
    <w:rsid w:val="00C56C0A"/>
    <w:rsid w:val="00C56FDB"/>
    <w:rsid w:val="00C57004"/>
    <w:rsid w:val="00C572C8"/>
    <w:rsid w:val="00C57A62"/>
    <w:rsid w:val="00C57B01"/>
    <w:rsid w:val="00C57CC0"/>
    <w:rsid w:val="00C6104D"/>
    <w:rsid w:val="00C614C6"/>
    <w:rsid w:val="00C61A02"/>
    <w:rsid w:val="00C61B40"/>
    <w:rsid w:val="00C61C77"/>
    <w:rsid w:val="00C6201E"/>
    <w:rsid w:val="00C62049"/>
    <w:rsid w:val="00C62136"/>
    <w:rsid w:val="00C62684"/>
    <w:rsid w:val="00C62687"/>
    <w:rsid w:val="00C62F87"/>
    <w:rsid w:val="00C6309B"/>
    <w:rsid w:val="00C63319"/>
    <w:rsid w:val="00C63412"/>
    <w:rsid w:val="00C63500"/>
    <w:rsid w:val="00C63F98"/>
    <w:rsid w:val="00C649A8"/>
    <w:rsid w:val="00C64BBF"/>
    <w:rsid w:val="00C6507B"/>
    <w:rsid w:val="00C65148"/>
    <w:rsid w:val="00C65289"/>
    <w:rsid w:val="00C6562C"/>
    <w:rsid w:val="00C65713"/>
    <w:rsid w:val="00C65C7C"/>
    <w:rsid w:val="00C663E2"/>
    <w:rsid w:val="00C664EB"/>
    <w:rsid w:val="00C66EFE"/>
    <w:rsid w:val="00C673F8"/>
    <w:rsid w:val="00C676D5"/>
    <w:rsid w:val="00C67755"/>
    <w:rsid w:val="00C67849"/>
    <w:rsid w:val="00C6790E"/>
    <w:rsid w:val="00C67F95"/>
    <w:rsid w:val="00C701C7"/>
    <w:rsid w:val="00C70571"/>
    <w:rsid w:val="00C70A19"/>
    <w:rsid w:val="00C70B5D"/>
    <w:rsid w:val="00C70C9B"/>
    <w:rsid w:val="00C71353"/>
    <w:rsid w:val="00C71A2A"/>
    <w:rsid w:val="00C71CB4"/>
    <w:rsid w:val="00C72315"/>
    <w:rsid w:val="00C72B74"/>
    <w:rsid w:val="00C72B98"/>
    <w:rsid w:val="00C72C38"/>
    <w:rsid w:val="00C72F10"/>
    <w:rsid w:val="00C733F5"/>
    <w:rsid w:val="00C73413"/>
    <w:rsid w:val="00C73C17"/>
    <w:rsid w:val="00C74774"/>
    <w:rsid w:val="00C74CF8"/>
    <w:rsid w:val="00C74D71"/>
    <w:rsid w:val="00C75182"/>
    <w:rsid w:val="00C75253"/>
    <w:rsid w:val="00C757AE"/>
    <w:rsid w:val="00C759EE"/>
    <w:rsid w:val="00C75A68"/>
    <w:rsid w:val="00C75D84"/>
    <w:rsid w:val="00C76542"/>
    <w:rsid w:val="00C767C1"/>
    <w:rsid w:val="00C76B03"/>
    <w:rsid w:val="00C771A4"/>
    <w:rsid w:val="00C77543"/>
    <w:rsid w:val="00C7769D"/>
    <w:rsid w:val="00C77A96"/>
    <w:rsid w:val="00C77DB1"/>
    <w:rsid w:val="00C77FD3"/>
    <w:rsid w:val="00C8066B"/>
    <w:rsid w:val="00C80B9C"/>
    <w:rsid w:val="00C80BF1"/>
    <w:rsid w:val="00C8112F"/>
    <w:rsid w:val="00C81369"/>
    <w:rsid w:val="00C814A9"/>
    <w:rsid w:val="00C8195A"/>
    <w:rsid w:val="00C8218E"/>
    <w:rsid w:val="00C8243A"/>
    <w:rsid w:val="00C82C28"/>
    <w:rsid w:val="00C82E7C"/>
    <w:rsid w:val="00C8316B"/>
    <w:rsid w:val="00C831C9"/>
    <w:rsid w:val="00C83FB6"/>
    <w:rsid w:val="00C846B0"/>
    <w:rsid w:val="00C8530E"/>
    <w:rsid w:val="00C855F1"/>
    <w:rsid w:val="00C85EEB"/>
    <w:rsid w:val="00C860BF"/>
    <w:rsid w:val="00C86A6F"/>
    <w:rsid w:val="00C86B17"/>
    <w:rsid w:val="00C86E65"/>
    <w:rsid w:val="00C86FF2"/>
    <w:rsid w:val="00C871F3"/>
    <w:rsid w:val="00C87933"/>
    <w:rsid w:val="00C90470"/>
    <w:rsid w:val="00C90CD4"/>
    <w:rsid w:val="00C91AE6"/>
    <w:rsid w:val="00C91C83"/>
    <w:rsid w:val="00C920C8"/>
    <w:rsid w:val="00C92117"/>
    <w:rsid w:val="00C92D7A"/>
    <w:rsid w:val="00C932F3"/>
    <w:rsid w:val="00C93784"/>
    <w:rsid w:val="00C938DF"/>
    <w:rsid w:val="00C93A6A"/>
    <w:rsid w:val="00C93E7F"/>
    <w:rsid w:val="00C944EB"/>
    <w:rsid w:val="00C94D1E"/>
    <w:rsid w:val="00C94D22"/>
    <w:rsid w:val="00C94E81"/>
    <w:rsid w:val="00C9591D"/>
    <w:rsid w:val="00C95A8D"/>
    <w:rsid w:val="00C95CCF"/>
    <w:rsid w:val="00C95DA1"/>
    <w:rsid w:val="00C978B7"/>
    <w:rsid w:val="00C97A51"/>
    <w:rsid w:val="00C97E59"/>
    <w:rsid w:val="00C97F62"/>
    <w:rsid w:val="00CA02BC"/>
    <w:rsid w:val="00CA0463"/>
    <w:rsid w:val="00CA0A6B"/>
    <w:rsid w:val="00CA10CF"/>
    <w:rsid w:val="00CA1AB7"/>
    <w:rsid w:val="00CA1CD8"/>
    <w:rsid w:val="00CA1F19"/>
    <w:rsid w:val="00CA214F"/>
    <w:rsid w:val="00CA298B"/>
    <w:rsid w:val="00CA3095"/>
    <w:rsid w:val="00CA3350"/>
    <w:rsid w:val="00CA350C"/>
    <w:rsid w:val="00CA358F"/>
    <w:rsid w:val="00CA3CFA"/>
    <w:rsid w:val="00CA3FE9"/>
    <w:rsid w:val="00CA45F0"/>
    <w:rsid w:val="00CA4772"/>
    <w:rsid w:val="00CA4909"/>
    <w:rsid w:val="00CA49F7"/>
    <w:rsid w:val="00CA513B"/>
    <w:rsid w:val="00CA51DC"/>
    <w:rsid w:val="00CA5672"/>
    <w:rsid w:val="00CA5B60"/>
    <w:rsid w:val="00CA5DA2"/>
    <w:rsid w:val="00CA601D"/>
    <w:rsid w:val="00CA69A6"/>
    <w:rsid w:val="00CA6B1C"/>
    <w:rsid w:val="00CA7B4C"/>
    <w:rsid w:val="00CB012F"/>
    <w:rsid w:val="00CB091F"/>
    <w:rsid w:val="00CB0C1D"/>
    <w:rsid w:val="00CB1A30"/>
    <w:rsid w:val="00CB1B1F"/>
    <w:rsid w:val="00CB1F6C"/>
    <w:rsid w:val="00CB26D8"/>
    <w:rsid w:val="00CB2C31"/>
    <w:rsid w:val="00CB2C3E"/>
    <w:rsid w:val="00CB2FD8"/>
    <w:rsid w:val="00CB40EA"/>
    <w:rsid w:val="00CB44ED"/>
    <w:rsid w:val="00CB4613"/>
    <w:rsid w:val="00CB514B"/>
    <w:rsid w:val="00CB5423"/>
    <w:rsid w:val="00CB5469"/>
    <w:rsid w:val="00CB5613"/>
    <w:rsid w:val="00CB5AFD"/>
    <w:rsid w:val="00CB5C62"/>
    <w:rsid w:val="00CB64C9"/>
    <w:rsid w:val="00CB6651"/>
    <w:rsid w:val="00CB6766"/>
    <w:rsid w:val="00CB68FF"/>
    <w:rsid w:val="00CB6D25"/>
    <w:rsid w:val="00CB70B1"/>
    <w:rsid w:val="00CB76EA"/>
    <w:rsid w:val="00CB78A8"/>
    <w:rsid w:val="00CB7CBC"/>
    <w:rsid w:val="00CB7D14"/>
    <w:rsid w:val="00CC0070"/>
    <w:rsid w:val="00CC1312"/>
    <w:rsid w:val="00CC15B7"/>
    <w:rsid w:val="00CC1A9C"/>
    <w:rsid w:val="00CC1D9F"/>
    <w:rsid w:val="00CC227E"/>
    <w:rsid w:val="00CC2921"/>
    <w:rsid w:val="00CC2BFA"/>
    <w:rsid w:val="00CC2EA4"/>
    <w:rsid w:val="00CC37DB"/>
    <w:rsid w:val="00CC393E"/>
    <w:rsid w:val="00CC40F3"/>
    <w:rsid w:val="00CC441B"/>
    <w:rsid w:val="00CC4D71"/>
    <w:rsid w:val="00CC4EA9"/>
    <w:rsid w:val="00CC5010"/>
    <w:rsid w:val="00CC53E0"/>
    <w:rsid w:val="00CC65A7"/>
    <w:rsid w:val="00CC66BE"/>
    <w:rsid w:val="00CC7011"/>
    <w:rsid w:val="00CC7055"/>
    <w:rsid w:val="00CC7531"/>
    <w:rsid w:val="00CC7922"/>
    <w:rsid w:val="00CD07F3"/>
    <w:rsid w:val="00CD0FB2"/>
    <w:rsid w:val="00CD190E"/>
    <w:rsid w:val="00CD1B40"/>
    <w:rsid w:val="00CD1E05"/>
    <w:rsid w:val="00CD20A4"/>
    <w:rsid w:val="00CD236E"/>
    <w:rsid w:val="00CD2659"/>
    <w:rsid w:val="00CD28AA"/>
    <w:rsid w:val="00CD2F76"/>
    <w:rsid w:val="00CD30F0"/>
    <w:rsid w:val="00CD333B"/>
    <w:rsid w:val="00CD38E9"/>
    <w:rsid w:val="00CD4516"/>
    <w:rsid w:val="00CD46DE"/>
    <w:rsid w:val="00CD5554"/>
    <w:rsid w:val="00CD56EF"/>
    <w:rsid w:val="00CD642B"/>
    <w:rsid w:val="00CD66E2"/>
    <w:rsid w:val="00CD6CAE"/>
    <w:rsid w:val="00CD6DCC"/>
    <w:rsid w:val="00CD78F9"/>
    <w:rsid w:val="00CD79A5"/>
    <w:rsid w:val="00CE0887"/>
    <w:rsid w:val="00CE088C"/>
    <w:rsid w:val="00CE0D4E"/>
    <w:rsid w:val="00CE0FEC"/>
    <w:rsid w:val="00CE1A0A"/>
    <w:rsid w:val="00CE1A1F"/>
    <w:rsid w:val="00CE21D1"/>
    <w:rsid w:val="00CE24F9"/>
    <w:rsid w:val="00CE28E8"/>
    <w:rsid w:val="00CE2EF7"/>
    <w:rsid w:val="00CE32D5"/>
    <w:rsid w:val="00CE33D3"/>
    <w:rsid w:val="00CE3408"/>
    <w:rsid w:val="00CE342A"/>
    <w:rsid w:val="00CE37FE"/>
    <w:rsid w:val="00CE41F6"/>
    <w:rsid w:val="00CE494C"/>
    <w:rsid w:val="00CE4BB8"/>
    <w:rsid w:val="00CE4DDB"/>
    <w:rsid w:val="00CE56E1"/>
    <w:rsid w:val="00CE5D96"/>
    <w:rsid w:val="00CE6B66"/>
    <w:rsid w:val="00CE71A0"/>
    <w:rsid w:val="00CE72FC"/>
    <w:rsid w:val="00CE7914"/>
    <w:rsid w:val="00CE7B3B"/>
    <w:rsid w:val="00CE7E6B"/>
    <w:rsid w:val="00CF07F4"/>
    <w:rsid w:val="00CF0A71"/>
    <w:rsid w:val="00CF15AD"/>
    <w:rsid w:val="00CF1818"/>
    <w:rsid w:val="00CF1BB4"/>
    <w:rsid w:val="00CF20E6"/>
    <w:rsid w:val="00CF2629"/>
    <w:rsid w:val="00CF2724"/>
    <w:rsid w:val="00CF2A29"/>
    <w:rsid w:val="00CF2BA8"/>
    <w:rsid w:val="00CF32CC"/>
    <w:rsid w:val="00CF36BE"/>
    <w:rsid w:val="00CF3994"/>
    <w:rsid w:val="00CF3C14"/>
    <w:rsid w:val="00CF3DFB"/>
    <w:rsid w:val="00CF41D4"/>
    <w:rsid w:val="00CF4584"/>
    <w:rsid w:val="00CF4896"/>
    <w:rsid w:val="00CF4B0E"/>
    <w:rsid w:val="00CF4C63"/>
    <w:rsid w:val="00CF509C"/>
    <w:rsid w:val="00CF557A"/>
    <w:rsid w:val="00CF603D"/>
    <w:rsid w:val="00CF60D0"/>
    <w:rsid w:val="00CF63A0"/>
    <w:rsid w:val="00CF640B"/>
    <w:rsid w:val="00CF68FA"/>
    <w:rsid w:val="00CF6E15"/>
    <w:rsid w:val="00CF6EC9"/>
    <w:rsid w:val="00CF6FBA"/>
    <w:rsid w:val="00CF7551"/>
    <w:rsid w:val="00CF78B4"/>
    <w:rsid w:val="00CF7997"/>
    <w:rsid w:val="00CF7ED4"/>
    <w:rsid w:val="00D00027"/>
    <w:rsid w:val="00D001DE"/>
    <w:rsid w:val="00D005D1"/>
    <w:rsid w:val="00D00BEE"/>
    <w:rsid w:val="00D00BFC"/>
    <w:rsid w:val="00D0129E"/>
    <w:rsid w:val="00D013A5"/>
    <w:rsid w:val="00D01A77"/>
    <w:rsid w:val="00D01A7A"/>
    <w:rsid w:val="00D01C2A"/>
    <w:rsid w:val="00D01FE9"/>
    <w:rsid w:val="00D02060"/>
    <w:rsid w:val="00D02346"/>
    <w:rsid w:val="00D02BF1"/>
    <w:rsid w:val="00D02D56"/>
    <w:rsid w:val="00D02FD1"/>
    <w:rsid w:val="00D0339C"/>
    <w:rsid w:val="00D03869"/>
    <w:rsid w:val="00D03AC3"/>
    <w:rsid w:val="00D0415A"/>
    <w:rsid w:val="00D04EAD"/>
    <w:rsid w:val="00D0505D"/>
    <w:rsid w:val="00D0510D"/>
    <w:rsid w:val="00D0547F"/>
    <w:rsid w:val="00D05757"/>
    <w:rsid w:val="00D05B87"/>
    <w:rsid w:val="00D05C7F"/>
    <w:rsid w:val="00D06000"/>
    <w:rsid w:val="00D0610E"/>
    <w:rsid w:val="00D0692F"/>
    <w:rsid w:val="00D06B73"/>
    <w:rsid w:val="00D06BBB"/>
    <w:rsid w:val="00D06BF0"/>
    <w:rsid w:val="00D06C87"/>
    <w:rsid w:val="00D07735"/>
    <w:rsid w:val="00D07C6C"/>
    <w:rsid w:val="00D07CA6"/>
    <w:rsid w:val="00D10071"/>
    <w:rsid w:val="00D10626"/>
    <w:rsid w:val="00D10693"/>
    <w:rsid w:val="00D107C9"/>
    <w:rsid w:val="00D110C9"/>
    <w:rsid w:val="00D112C7"/>
    <w:rsid w:val="00D113AA"/>
    <w:rsid w:val="00D11565"/>
    <w:rsid w:val="00D11736"/>
    <w:rsid w:val="00D1201C"/>
    <w:rsid w:val="00D1291C"/>
    <w:rsid w:val="00D12FCC"/>
    <w:rsid w:val="00D13161"/>
    <w:rsid w:val="00D13355"/>
    <w:rsid w:val="00D136B7"/>
    <w:rsid w:val="00D1376C"/>
    <w:rsid w:val="00D14507"/>
    <w:rsid w:val="00D14C5B"/>
    <w:rsid w:val="00D14DF5"/>
    <w:rsid w:val="00D1525A"/>
    <w:rsid w:val="00D152A5"/>
    <w:rsid w:val="00D1548E"/>
    <w:rsid w:val="00D156A8"/>
    <w:rsid w:val="00D15AB3"/>
    <w:rsid w:val="00D15C33"/>
    <w:rsid w:val="00D15ED2"/>
    <w:rsid w:val="00D160A0"/>
    <w:rsid w:val="00D169AE"/>
    <w:rsid w:val="00D16AFE"/>
    <w:rsid w:val="00D16C13"/>
    <w:rsid w:val="00D17439"/>
    <w:rsid w:val="00D1783C"/>
    <w:rsid w:val="00D21686"/>
    <w:rsid w:val="00D2186D"/>
    <w:rsid w:val="00D21D9F"/>
    <w:rsid w:val="00D22375"/>
    <w:rsid w:val="00D224B9"/>
    <w:rsid w:val="00D224CA"/>
    <w:rsid w:val="00D22683"/>
    <w:rsid w:val="00D22763"/>
    <w:rsid w:val="00D22B6B"/>
    <w:rsid w:val="00D2309B"/>
    <w:rsid w:val="00D237DF"/>
    <w:rsid w:val="00D23B1F"/>
    <w:rsid w:val="00D23EEB"/>
    <w:rsid w:val="00D241E8"/>
    <w:rsid w:val="00D2452D"/>
    <w:rsid w:val="00D24EBA"/>
    <w:rsid w:val="00D24EF5"/>
    <w:rsid w:val="00D24F12"/>
    <w:rsid w:val="00D25045"/>
    <w:rsid w:val="00D252ED"/>
    <w:rsid w:val="00D25735"/>
    <w:rsid w:val="00D260F0"/>
    <w:rsid w:val="00D264D3"/>
    <w:rsid w:val="00D2697C"/>
    <w:rsid w:val="00D26AFB"/>
    <w:rsid w:val="00D270DB"/>
    <w:rsid w:val="00D27BBF"/>
    <w:rsid w:val="00D30197"/>
    <w:rsid w:val="00D30308"/>
    <w:rsid w:val="00D30CC8"/>
    <w:rsid w:val="00D30FF7"/>
    <w:rsid w:val="00D31B21"/>
    <w:rsid w:val="00D32010"/>
    <w:rsid w:val="00D326C0"/>
    <w:rsid w:val="00D327B3"/>
    <w:rsid w:val="00D32B1C"/>
    <w:rsid w:val="00D32DBD"/>
    <w:rsid w:val="00D32E49"/>
    <w:rsid w:val="00D3361C"/>
    <w:rsid w:val="00D33B2D"/>
    <w:rsid w:val="00D33B8A"/>
    <w:rsid w:val="00D33B9E"/>
    <w:rsid w:val="00D33E50"/>
    <w:rsid w:val="00D33F56"/>
    <w:rsid w:val="00D33FCA"/>
    <w:rsid w:val="00D3424D"/>
    <w:rsid w:val="00D344F6"/>
    <w:rsid w:val="00D3485D"/>
    <w:rsid w:val="00D3490C"/>
    <w:rsid w:val="00D34A8B"/>
    <w:rsid w:val="00D34BD4"/>
    <w:rsid w:val="00D35449"/>
    <w:rsid w:val="00D35976"/>
    <w:rsid w:val="00D35981"/>
    <w:rsid w:val="00D35BD1"/>
    <w:rsid w:val="00D35F2E"/>
    <w:rsid w:val="00D36A59"/>
    <w:rsid w:val="00D36F58"/>
    <w:rsid w:val="00D37221"/>
    <w:rsid w:val="00D373E6"/>
    <w:rsid w:val="00D37476"/>
    <w:rsid w:val="00D375AF"/>
    <w:rsid w:val="00D4016F"/>
    <w:rsid w:val="00D40408"/>
    <w:rsid w:val="00D407B2"/>
    <w:rsid w:val="00D40C97"/>
    <w:rsid w:val="00D41217"/>
    <w:rsid w:val="00D4130F"/>
    <w:rsid w:val="00D413B7"/>
    <w:rsid w:val="00D419C3"/>
    <w:rsid w:val="00D41E86"/>
    <w:rsid w:val="00D42184"/>
    <w:rsid w:val="00D425A0"/>
    <w:rsid w:val="00D42654"/>
    <w:rsid w:val="00D435CC"/>
    <w:rsid w:val="00D43626"/>
    <w:rsid w:val="00D437A6"/>
    <w:rsid w:val="00D43B67"/>
    <w:rsid w:val="00D43B73"/>
    <w:rsid w:val="00D43CD3"/>
    <w:rsid w:val="00D43FA7"/>
    <w:rsid w:val="00D43FE8"/>
    <w:rsid w:val="00D4440C"/>
    <w:rsid w:val="00D446AE"/>
    <w:rsid w:val="00D4484B"/>
    <w:rsid w:val="00D448D2"/>
    <w:rsid w:val="00D44D20"/>
    <w:rsid w:val="00D45027"/>
    <w:rsid w:val="00D45171"/>
    <w:rsid w:val="00D45487"/>
    <w:rsid w:val="00D45507"/>
    <w:rsid w:val="00D458FC"/>
    <w:rsid w:val="00D45A49"/>
    <w:rsid w:val="00D45D24"/>
    <w:rsid w:val="00D45F39"/>
    <w:rsid w:val="00D460F7"/>
    <w:rsid w:val="00D461EB"/>
    <w:rsid w:val="00D461EC"/>
    <w:rsid w:val="00D46822"/>
    <w:rsid w:val="00D46D21"/>
    <w:rsid w:val="00D46D71"/>
    <w:rsid w:val="00D46E76"/>
    <w:rsid w:val="00D47729"/>
    <w:rsid w:val="00D47E01"/>
    <w:rsid w:val="00D50B0D"/>
    <w:rsid w:val="00D50B11"/>
    <w:rsid w:val="00D5107C"/>
    <w:rsid w:val="00D512A0"/>
    <w:rsid w:val="00D51388"/>
    <w:rsid w:val="00D5155A"/>
    <w:rsid w:val="00D517A4"/>
    <w:rsid w:val="00D51AD7"/>
    <w:rsid w:val="00D51BD1"/>
    <w:rsid w:val="00D51CD4"/>
    <w:rsid w:val="00D520D9"/>
    <w:rsid w:val="00D521E7"/>
    <w:rsid w:val="00D52625"/>
    <w:rsid w:val="00D52EAC"/>
    <w:rsid w:val="00D5338D"/>
    <w:rsid w:val="00D53BF9"/>
    <w:rsid w:val="00D5497F"/>
    <w:rsid w:val="00D5590C"/>
    <w:rsid w:val="00D55A6D"/>
    <w:rsid w:val="00D56106"/>
    <w:rsid w:val="00D56386"/>
    <w:rsid w:val="00D56AD6"/>
    <w:rsid w:val="00D57066"/>
    <w:rsid w:val="00D5753A"/>
    <w:rsid w:val="00D57709"/>
    <w:rsid w:val="00D57EDE"/>
    <w:rsid w:val="00D60093"/>
    <w:rsid w:val="00D606AF"/>
    <w:rsid w:val="00D60AB2"/>
    <w:rsid w:val="00D60F8F"/>
    <w:rsid w:val="00D61CE6"/>
    <w:rsid w:val="00D61F6C"/>
    <w:rsid w:val="00D62368"/>
    <w:rsid w:val="00D62BEB"/>
    <w:rsid w:val="00D63A27"/>
    <w:rsid w:val="00D63BB2"/>
    <w:rsid w:val="00D63C0B"/>
    <w:rsid w:val="00D649F3"/>
    <w:rsid w:val="00D64C19"/>
    <w:rsid w:val="00D651F4"/>
    <w:rsid w:val="00D652E0"/>
    <w:rsid w:val="00D654FD"/>
    <w:rsid w:val="00D663EF"/>
    <w:rsid w:val="00D666F7"/>
    <w:rsid w:val="00D66ACA"/>
    <w:rsid w:val="00D66ED3"/>
    <w:rsid w:val="00D676C0"/>
    <w:rsid w:val="00D67A6E"/>
    <w:rsid w:val="00D70180"/>
    <w:rsid w:val="00D70E70"/>
    <w:rsid w:val="00D70F5B"/>
    <w:rsid w:val="00D71000"/>
    <w:rsid w:val="00D71AAE"/>
    <w:rsid w:val="00D72010"/>
    <w:rsid w:val="00D7296F"/>
    <w:rsid w:val="00D72C46"/>
    <w:rsid w:val="00D72CA7"/>
    <w:rsid w:val="00D72CDD"/>
    <w:rsid w:val="00D72DEA"/>
    <w:rsid w:val="00D73012"/>
    <w:rsid w:val="00D738E6"/>
    <w:rsid w:val="00D73BDD"/>
    <w:rsid w:val="00D73FD5"/>
    <w:rsid w:val="00D742BC"/>
    <w:rsid w:val="00D7488C"/>
    <w:rsid w:val="00D7517E"/>
    <w:rsid w:val="00D752CC"/>
    <w:rsid w:val="00D75F08"/>
    <w:rsid w:val="00D76740"/>
    <w:rsid w:val="00D76DE6"/>
    <w:rsid w:val="00D77082"/>
    <w:rsid w:val="00D772CF"/>
    <w:rsid w:val="00D775B4"/>
    <w:rsid w:val="00D77735"/>
    <w:rsid w:val="00D77954"/>
    <w:rsid w:val="00D77ABB"/>
    <w:rsid w:val="00D80196"/>
    <w:rsid w:val="00D80888"/>
    <w:rsid w:val="00D80B76"/>
    <w:rsid w:val="00D80EB5"/>
    <w:rsid w:val="00D81749"/>
    <w:rsid w:val="00D81756"/>
    <w:rsid w:val="00D81D35"/>
    <w:rsid w:val="00D82048"/>
    <w:rsid w:val="00D82893"/>
    <w:rsid w:val="00D82976"/>
    <w:rsid w:val="00D829A3"/>
    <w:rsid w:val="00D82A75"/>
    <w:rsid w:val="00D82C88"/>
    <w:rsid w:val="00D837F8"/>
    <w:rsid w:val="00D838D5"/>
    <w:rsid w:val="00D83987"/>
    <w:rsid w:val="00D83F88"/>
    <w:rsid w:val="00D84E82"/>
    <w:rsid w:val="00D854B0"/>
    <w:rsid w:val="00D85B45"/>
    <w:rsid w:val="00D85B76"/>
    <w:rsid w:val="00D86450"/>
    <w:rsid w:val="00D86A3F"/>
    <w:rsid w:val="00D86C0B"/>
    <w:rsid w:val="00D8755E"/>
    <w:rsid w:val="00D876D0"/>
    <w:rsid w:val="00D87A2E"/>
    <w:rsid w:val="00D87AC1"/>
    <w:rsid w:val="00D905EC"/>
    <w:rsid w:val="00D907E9"/>
    <w:rsid w:val="00D91279"/>
    <w:rsid w:val="00D91324"/>
    <w:rsid w:val="00D915DF"/>
    <w:rsid w:val="00D91883"/>
    <w:rsid w:val="00D918F5"/>
    <w:rsid w:val="00D91F09"/>
    <w:rsid w:val="00D9269A"/>
    <w:rsid w:val="00D9291B"/>
    <w:rsid w:val="00D92D23"/>
    <w:rsid w:val="00D93086"/>
    <w:rsid w:val="00D93379"/>
    <w:rsid w:val="00D93A0C"/>
    <w:rsid w:val="00D93A6B"/>
    <w:rsid w:val="00D93F86"/>
    <w:rsid w:val="00D9427B"/>
    <w:rsid w:val="00D946BE"/>
    <w:rsid w:val="00D94CA1"/>
    <w:rsid w:val="00D94EBC"/>
    <w:rsid w:val="00D95310"/>
    <w:rsid w:val="00D9563A"/>
    <w:rsid w:val="00D95655"/>
    <w:rsid w:val="00D95BE2"/>
    <w:rsid w:val="00D9685F"/>
    <w:rsid w:val="00D96AF8"/>
    <w:rsid w:val="00D96C29"/>
    <w:rsid w:val="00D96C62"/>
    <w:rsid w:val="00D96F4A"/>
    <w:rsid w:val="00D97345"/>
    <w:rsid w:val="00D97EC6"/>
    <w:rsid w:val="00DA0166"/>
    <w:rsid w:val="00DA05AD"/>
    <w:rsid w:val="00DA0B87"/>
    <w:rsid w:val="00DA0DA4"/>
    <w:rsid w:val="00DA179A"/>
    <w:rsid w:val="00DA276F"/>
    <w:rsid w:val="00DA2995"/>
    <w:rsid w:val="00DA2B9D"/>
    <w:rsid w:val="00DA2D9F"/>
    <w:rsid w:val="00DA369E"/>
    <w:rsid w:val="00DA38B4"/>
    <w:rsid w:val="00DA3B31"/>
    <w:rsid w:val="00DA4250"/>
    <w:rsid w:val="00DA42FE"/>
    <w:rsid w:val="00DA4638"/>
    <w:rsid w:val="00DA4814"/>
    <w:rsid w:val="00DA48A9"/>
    <w:rsid w:val="00DA49BC"/>
    <w:rsid w:val="00DA4C6C"/>
    <w:rsid w:val="00DA4E05"/>
    <w:rsid w:val="00DA565C"/>
    <w:rsid w:val="00DA61EC"/>
    <w:rsid w:val="00DA67CE"/>
    <w:rsid w:val="00DA6984"/>
    <w:rsid w:val="00DA76B0"/>
    <w:rsid w:val="00DB00B0"/>
    <w:rsid w:val="00DB0586"/>
    <w:rsid w:val="00DB06A2"/>
    <w:rsid w:val="00DB0986"/>
    <w:rsid w:val="00DB0CAE"/>
    <w:rsid w:val="00DB0E47"/>
    <w:rsid w:val="00DB1323"/>
    <w:rsid w:val="00DB1485"/>
    <w:rsid w:val="00DB1C43"/>
    <w:rsid w:val="00DB2220"/>
    <w:rsid w:val="00DB25C3"/>
    <w:rsid w:val="00DB2CB0"/>
    <w:rsid w:val="00DB2F64"/>
    <w:rsid w:val="00DB2FAB"/>
    <w:rsid w:val="00DB3291"/>
    <w:rsid w:val="00DB35F2"/>
    <w:rsid w:val="00DB4703"/>
    <w:rsid w:val="00DB4CE1"/>
    <w:rsid w:val="00DB51A7"/>
    <w:rsid w:val="00DB5429"/>
    <w:rsid w:val="00DB5825"/>
    <w:rsid w:val="00DB5A29"/>
    <w:rsid w:val="00DB5AF7"/>
    <w:rsid w:val="00DB5DF0"/>
    <w:rsid w:val="00DB6E68"/>
    <w:rsid w:val="00DB6EC7"/>
    <w:rsid w:val="00DB72E7"/>
    <w:rsid w:val="00DB7535"/>
    <w:rsid w:val="00DB76AD"/>
    <w:rsid w:val="00DC03AB"/>
    <w:rsid w:val="00DC05A7"/>
    <w:rsid w:val="00DC0741"/>
    <w:rsid w:val="00DC07C5"/>
    <w:rsid w:val="00DC11EF"/>
    <w:rsid w:val="00DC1AD6"/>
    <w:rsid w:val="00DC1C87"/>
    <w:rsid w:val="00DC1D51"/>
    <w:rsid w:val="00DC2835"/>
    <w:rsid w:val="00DC2D73"/>
    <w:rsid w:val="00DC34BC"/>
    <w:rsid w:val="00DC4024"/>
    <w:rsid w:val="00DC4074"/>
    <w:rsid w:val="00DC4497"/>
    <w:rsid w:val="00DC47AE"/>
    <w:rsid w:val="00DC4CFB"/>
    <w:rsid w:val="00DC4D1B"/>
    <w:rsid w:val="00DC5493"/>
    <w:rsid w:val="00DC5A3E"/>
    <w:rsid w:val="00DC5AAD"/>
    <w:rsid w:val="00DC5C5D"/>
    <w:rsid w:val="00DC5F14"/>
    <w:rsid w:val="00DC6174"/>
    <w:rsid w:val="00DC696A"/>
    <w:rsid w:val="00DC6B65"/>
    <w:rsid w:val="00DC6F22"/>
    <w:rsid w:val="00DC7762"/>
    <w:rsid w:val="00DC797F"/>
    <w:rsid w:val="00DC7FB4"/>
    <w:rsid w:val="00DD048E"/>
    <w:rsid w:val="00DD0874"/>
    <w:rsid w:val="00DD0961"/>
    <w:rsid w:val="00DD1550"/>
    <w:rsid w:val="00DD15C2"/>
    <w:rsid w:val="00DD1EF3"/>
    <w:rsid w:val="00DD2E3C"/>
    <w:rsid w:val="00DD39BA"/>
    <w:rsid w:val="00DD4265"/>
    <w:rsid w:val="00DD4A75"/>
    <w:rsid w:val="00DD4FF8"/>
    <w:rsid w:val="00DD53BB"/>
    <w:rsid w:val="00DD57A9"/>
    <w:rsid w:val="00DD5F1B"/>
    <w:rsid w:val="00DD6422"/>
    <w:rsid w:val="00DD687D"/>
    <w:rsid w:val="00DD6CA9"/>
    <w:rsid w:val="00DD7CF8"/>
    <w:rsid w:val="00DE0086"/>
    <w:rsid w:val="00DE01C9"/>
    <w:rsid w:val="00DE082F"/>
    <w:rsid w:val="00DE088A"/>
    <w:rsid w:val="00DE09DF"/>
    <w:rsid w:val="00DE1617"/>
    <w:rsid w:val="00DE1736"/>
    <w:rsid w:val="00DE1DBA"/>
    <w:rsid w:val="00DE1E87"/>
    <w:rsid w:val="00DE1F25"/>
    <w:rsid w:val="00DE276D"/>
    <w:rsid w:val="00DE2CC8"/>
    <w:rsid w:val="00DE2D28"/>
    <w:rsid w:val="00DE3105"/>
    <w:rsid w:val="00DE37D7"/>
    <w:rsid w:val="00DE3F10"/>
    <w:rsid w:val="00DE515A"/>
    <w:rsid w:val="00DE55ED"/>
    <w:rsid w:val="00DE602B"/>
    <w:rsid w:val="00DE70A3"/>
    <w:rsid w:val="00DE78FD"/>
    <w:rsid w:val="00DF03D1"/>
    <w:rsid w:val="00DF0DF5"/>
    <w:rsid w:val="00DF0E6D"/>
    <w:rsid w:val="00DF1C54"/>
    <w:rsid w:val="00DF1CBB"/>
    <w:rsid w:val="00DF1F43"/>
    <w:rsid w:val="00DF2A88"/>
    <w:rsid w:val="00DF2DE6"/>
    <w:rsid w:val="00DF308F"/>
    <w:rsid w:val="00DF37C5"/>
    <w:rsid w:val="00DF3AD1"/>
    <w:rsid w:val="00DF3DCA"/>
    <w:rsid w:val="00DF3EB3"/>
    <w:rsid w:val="00DF4248"/>
    <w:rsid w:val="00DF424A"/>
    <w:rsid w:val="00DF49F2"/>
    <w:rsid w:val="00DF4ABF"/>
    <w:rsid w:val="00DF6127"/>
    <w:rsid w:val="00DF67EE"/>
    <w:rsid w:val="00DF688E"/>
    <w:rsid w:val="00DF68DD"/>
    <w:rsid w:val="00DF6D09"/>
    <w:rsid w:val="00DF7354"/>
    <w:rsid w:val="00DF7B0D"/>
    <w:rsid w:val="00DF7CBD"/>
    <w:rsid w:val="00E007BE"/>
    <w:rsid w:val="00E007E3"/>
    <w:rsid w:val="00E0083D"/>
    <w:rsid w:val="00E00943"/>
    <w:rsid w:val="00E009DB"/>
    <w:rsid w:val="00E00A06"/>
    <w:rsid w:val="00E00B07"/>
    <w:rsid w:val="00E00BE5"/>
    <w:rsid w:val="00E014DB"/>
    <w:rsid w:val="00E018C6"/>
    <w:rsid w:val="00E02327"/>
    <w:rsid w:val="00E0260E"/>
    <w:rsid w:val="00E029D1"/>
    <w:rsid w:val="00E02D60"/>
    <w:rsid w:val="00E02F86"/>
    <w:rsid w:val="00E03709"/>
    <w:rsid w:val="00E037B5"/>
    <w:rsid w:val="00E0387A"/>
    <w:rsid w:val="00E03B81"/>
    <w:rsid w:val="00E03D51"/>
    <w:rsid w:val="00E03DAC"/>
    <w:rsid w:val="00E03F1A"/>
    <w:rsid w:val="00E04015"/>
    <w:rsid w:val="00E040A9"/>
    <w:rsid w:val="00E04264"/>
    <w:rsid w:val="00E04525"/>
    <w:rsid w:val="00E04730"/>
    <w:rsid w:val="00E051E4"/>
    <w:rsid w:val="00E05246"/>
    <w:rsid w:val="00E0574E"/>
    <w:rsid w:val="00E057CA"/>
    <w:rsid w:val="00E05C61"/>
    <w:rsid w:val="00E05F20"/>
    <w:rsid w:val="00E06485"/>
    <w:rsid w:val="00E06843"/>
    <w:rsid w:val="00E069F1"/>
    <w:rsid w:val="00E06B92"/>
    <w:rsid w:val="00E06D8A"/>
    <w:rsid w:val="00E06FA5"/>
    <w:rsid w:val="00E072E5"/>
    <w:rsid w:val="00E07540"/>
    <w:rsid w:val="00E0769E"/>
    <w:rsid w:val="00E1062B"/>
    <w:rsid w:val="00E10811"/>
    <w:rsid w:val="00E10913"/>
    <w:rsid w:val="00E109A6"/>
    <w:rsid w:val="00E110EC"/>
    <w:rsid w:val="00E11485"/>
    <w:rsid w:val="00E11632"/>
    <w:rsid w:val="00E11848"/>
    <w:rsid w:val="00E11CC4"/>
    <w:rsid w:val="00E12356"/>
    <w:rsid w:val="00E124EE"/>
    <w:rsid w:val="00E12FF9"/>
    <w:rsid w:val="00E131AD"/>
    <w:rsid w:val="00E132F9"/>
    <w:rsid w:val="00E133A7"/>
    <w:rsid w:val="00E1346C"/>
    <w:rsid w:val="00E1387A"/>
    <w:rsid w:val="00E13CBB"/>
    <w:rsid w:val="00E14480"/>
    <w:rsid w:val="00E14580"/>
    <w:rsid w:val="00E15036"/>
    <w:rsid w:val="00E15453"/>
    <w:rsid w:val="00E15803"/>
    <w:rsid w:val="00E15BE5"/>
    <w:rsid w:val="00E168C3"/>
    <w:rsid w:val="00E16E5F"/>
    <w:rsid w:val="00E170BE"/>
    <w:rsid w:val="00E17156"/>
    <w:rsid w:val="00E1725B"/>
    <w:rsid w:val="00E1753B"/>
    <w:rsid w:val="00E17624"/>
    <w:rsid w:val="00E1764B"/>
    <w:rsid w:val="00E1768B"/>
    <w:rsid w:val="00E17875"/>
    <w:rsid w:val="00E17B19"/>
    <w:rsid w:val="00E17FA8"/>
    <w:rsid w:val="00E20092"/>
    <w:rsid w:val="00E202DD"/>
    <w:rsid w:val="00E20A0C"/>
    <w:rsid w:val="00E2108C"/>
    <w:rsid w:val="00E217E2"/>
    <w:rsid w:val="00E21B45"/>
    <w:rsid w:val="00E21BD3"/>
    <w:rsid w:val="00E21C01"/>
    <w:rsid w:val="00E224C7"/>
    <w:rsid w:val="00E22A64"/>
    <w:rsid w:val="00E22F67"/>
    <w:rsid w:val="00E22F6C"/>
    <w:rsid w:val="00E231E7"/>
    <w:rsid w:val="00E23999"/>
    <w:rsid w:val="00E23AEC"/>
    <w:rsid w:val="00E24229"/>
    <w:rsid w:val="00E24447"/>
    <w:rsid w:val="00E24650"/>
    <w:rsid w:val="00E24B9B"/>
    <w:rsid w:val="00E24BE4"/>
    <w:rsid w:val="00E24ECC"/>
    <w:rsid w:val="00E2502B"/>
    <w:rsid w:val="00E25218"/>
    <w:rsid w:val="00E25326"/>
    <w:rsid w:val="00E25343"/>
    <w:rsid w:val="00E2537A"/>
    <w:rsid w:val="00E25A84"/>
    <w:rsid w:val="00E25DBF"/>
    <w:rsid w:val="00E25EB0"/>
    <w:rsid w:val="00E268CF"/>
    <w:rsid w:val="00E270E5"/>
    <w:rsid w:val="00E2753E"/>
    <w:rsid w:val="00E27A32"/>
    <w:rsid w:val="00E307A6"/>
    <w:rsid w:val="00E30AE7"/>
    <w:rsid w:val="00E30E7B"/>
    <w:rsid w:val="00E3158D"/>
    <w:rsid w:val="00E3189F"/>
    <w:rsid w:val="00E318E3"/>
    <w:rsid w:val="00E318EF"/>
    <w:rsid w:val="00E31EF0"/>
    <w:rsid w:val="00E31FBB"/>
    <w:rsid w:val="00E320C5"/>
    <w:rsid w:val="00E32314"/>
    <w:rsid w:val="00E32945"/>
    <w:rsid w:val="00E33184"/>
    <w:rsid w:val="00E33A32"/>
    <w:rsid w:val="00E33B0B"/>
    <w:rsid w:val="00E34B64"/>
    <w:rsid w:val="00E34CDB"/>
    <w:rsid w:val="00E355EE"/>
    <w:rsid w:val="00E356BB"/>
    <w:rsid w:val="00E3574B"/>
    <w:rsid w:val="00E35978"/>
    <w:rsid w:val="00E35E19"/>
    <w:rsid w:val="00E374CD"/>
    <w:rsid w:val="00E37FAE"/>
    <w:rsid w:val="00E40365"/>
    <w:rsid w:val="00E40608"/>
    <w:rsid w:val="00E40696"/>
    <w:rsid w:val="00E4151C"/>
    <w:rsid w:val="00E4152A"/>
    <w:rsid w:val="00E416DE"/>
    <w:rsid w:val="00E42542"/>
    <w:rsid w:val="00E429F9"/>
    <w:rsid w:val="00E42C12"/>
    <w:rsid w:val="00E42FC9"/>
    <w:rsid w:val="00E43393"/>
    <w:rsid w:val="00E435F7"/>
    <w:rsid w:val="00E43DC8"/>
    <w:rsid w:val="00E43F8E"/>
    <w:rsid w:val="00E4452E"/>
    <w:rsid w:val="00E44A2A"/>
    <w:rsid w:val="00E4504A"/>
    <w:rsid w:val="00E45C61"/>
    <w:rsid w:val="00E461E1"/>
    <w:rsid w:val="00E46BD4"/>
    <w:rsid w:val="00E46C5A"/>
    <w:rsid w:val="00E4751E"/>
    <w:rsid w:val="00E5070D"/>
    <w:rsid w:val="00E50BEB"/>
    <w:rsid w:val="00E51466"/>
    <w:rsid w:val="00E52DE7"/>
    <w:rsid w:val="00E530D5"/>
    <w:rsid w:val="00E53F91"/>
    <w:rsid w:val="00E53FD0"/>
    <w:rsid w:val="00E543F4"/>
    <w:rsid w:val="00E54CA3"/>
    <w:rsid w:val="00E55347"/>
    <w:rsid w:val="00E557B6"/>
    <w:rsid w:val="00E559C6"/>
    <w:rsid w:val="00E55A98"/>
    <w:rsid w:val="00E568D8"/>
    <w:rsid w:val="00E56CDF"/>
    <w:rsid w:val="00E5705C"/>
    <w:rsid w:val="00E57386"/>
    <w:rsid w:val="00E57408"/>
    <w:rsid w:val="00E576BD"/>
    <w:rsid w:val="00E579C3"/>
    <w:rsid w:val="00E57AC8"/>
    <w:rsid w:val="00E6002A"/>
    <w:rsid w:val="00E606ED"/>
    <w:rsid w:val="00E6098A"/>
    <w:rsid w:val="00E611DA"/>
    <w:rsid w:val="00E6163D"/>
    <w:rsid w:val="00E61D28"/>
    <w:rsid w:val="00E62810"/>
    <w:rsid w:val="00E62F76"/>
    <w:rsid w:val="00E6322F"/>
    <w:rsid w:val="00E636CF"/>
    <w:rsid w:val="00E63A0D"/>
    <w:rsid w:val="00E63AE2"/>
    <w:rsid w:val="00E63BEC"/>
    <w:rsid w:val="00E64485"/>
    <w:rsid w:val="00E644B9"/>
    <w:rsid w:val="00E64999"/>
    <w:rsid w:val="00E64B69"/>
    <w:rsid w:val="00E64DAC"/>
    <w:rsid w:val="00E64DFB"/>
    <w:rsid w:val="00E65D7F"/>
    <w:rsid w:val="00E6612F"/>
    <w:rsid w:val="00E663F8"/>
    <w:rsid w:val="00E6644D"/>
    <w:rsid w:val="00E666B9"/>
    <w:rsid w:val="00E66FA5"/>
    <w:rsid w:val="00E670D3"/>
    <w:rsid w:val="00E67169"/>
    <w:rsid w:val="00E674D9"/>
    <w:rsid w:val="00E675D2"/>
    <w:rsid w:val="00E67EB3"/>
    <w:rsid w:val="00E67FE2"/>
    <w:rsid w:val="00E7024A"/>
    <w:rsid w:val="00E70996"/>
    <w:rsid w:val="00E709ED"/>
    <w:rsid w:val="00E71118"/>
    <w:rsid w:val="00E71278"/>
    <w:rsid w:val="00E7161E"/>
    <w:rsid w:val="00E720D8"/>
    <w:rsid w:val="00E72AB0"/>
    <w:rsid w:val="00E72AC8"/>
    <w:rsid w:val="00E72BBA"/>
    <w:rsid w:val="00E72C59"/>
    <w:rsid w:val="00E72E80"/>
    <w:rsid w:val="00E730FB"/>
    <w:rsid w:val="00E732C0"/>
    <w:rsid w:val="00E732DB"/>
    <w:rsid w:val="00E73B9F"/>
    <w:rsid w:val="00E73F49"/>
    <w:rsid w:val="00E74034"/>
    <w:rsid w:val="00E749FA"/>
    <w:rsid w:val="00E75060"/>
    <w:rsid w:val="00E759BB"/>
    <w:rsid w:val="00E75A6A"/>
    <w:rsid w:val="00E7605F"/>
    <w:rsid w:val="00E76132"/>
    <w:rsid w:val="00E768F0"/>
    <w:rsid w:val="00E80217"/>
    <w:rsid w:val="00E80AFF"/>
    <w:rsid w:val="00E80F5A"/>
    <w:rsid w:val="00E810E1"/>
    <w:rsid w:val="00E817D7"/>
    <w:rsid w:val="00E8195A"/>
    <w:rsid w:val="00E81C24"/>
    <w:rsid w:val="00E81FED"/>
    <w:rsid w:val="00E8201E"/>
    <w:rsid w:val="00E820E0"/>
    <w:rsid w:val="00E828E7"/>
    <w:rsid w:val="00E82BBB"/>
    <w:rsid w:val="00E82E0B"/>
    <w:rsid w:val="00E8364B"/>
    <w:rsid w:val="00E83894"/>
    <w:rsid w:val="00E83BBB"/>
    <w:rsid w:val="00E8418E"/>
    <w:rsid w:val="00E844FA"/>
    <w:rsid w:val="00E84DD1"/>
    <w:rsid w:val="00E84F71"/>
    <w:rsid w:val="00E84F99"/>
    <w:rsid w:val="00E8504E"/>
    <w:rsid w:val="00E85694"/>
    <w:rsid w:val="00E85789"/>
    <w:rsid w:val="00E85EAB"/>
    <w:rsid w:val="00E8617E"/>
    <w:rsid w:val="00E867AB"/>
    <w:rsid w:val="00E86912"/>
    <w:rsid w:val="00E87085"/>
    <w:rsid w:val="00E874F8"/>
    <w:rsid w:val="00E87A05"/>
    <w:rsid w:val="00E87EEA"/>
    <w:rsid w:val="00E87FB9"/>
    <w:rsid w:val="00E90651"/>
    <w:rsid w:val="00E90835"/>
    <w:rsid w:val="00E908EF"/>
    <w:rsid w:val="00E90911"/>
    <w:rsid w:val="00E90A3D"/>
    <w:rsid w:val="00E90F86"/>
    <w:rsid w:val="00E91872"/>
    <w:rsid w:val="00E91CC3"/>
    <w:rsid w:val="00E91D20"/>
    <w:rsid w:val="00E92423"/>
    <w:rsid w:val="00E9265C"/>
    <w:rsid w:val="00E9298E"/>
    <w:rsid w:val="00E92CBE"/>
    <w:rsid w:val="00E92E0D"/>
    <w:rsid w:val="00E93E6C"/>
    <w:rsid w:val="00E9423F"/>
    <w:rsid w:val="00E94917"/>
    <w:rsid w:val="00E954AE"/>
    <w:rsid w:val="00E95738"/>
    <w:rsid w:val="00E9598C"/>
    <w:rsid w:val="00E96016"/>
    <w:rsid w:val="00E96229"/>
    <w:rsid w:val="00E9626E"/>
    <w:rsid w:val="00E9680A"/>
    <w:rsid w:val="00E96875"/>
    <w:rsid w:val="00E968A6"/>
    <w:rsid w:val="00E96A10"/>
    <w:rsid w:val="00E9767C"/>
    <w:rsid w:val="00E978F8"/>
    <w:rsid w:val="00E97E71"/>
    <w:rsid w:val="00EA024E"/>
    <w:rsid w:val="00EA0347"/>
    <w:rsid w:val="00EA089F"/>
    <w:rsid w:val="00EA0B41"/>
    <w:rsid w:val="00EA171E"/>
    <w:rsid w:val="00EA19E2"/>
    <w:rsid w:val="00EA1DD1"/>
    <w:rsid w:val="00EA26C3"/>
    <w:rsid w:val="00EA28E8"/>
    <w:rsid w:val="00EA2A2F"/>
    <w:rsid w:val="00EA2E2B"/>
    <w:rsid w:val="00EA2EA8"/>
    <w:rsid w:val="00EA2EB5"/>
    <w:rsid w:val="00EA31A9"/>
    <w:rsid w:val="00EA33CA"/>
    <w:rsid w:val="00EA35B2"/>
    <w:rsid w:val="00EA36A4"/>
    <w:rsid w:val="00EA4173"/>
    <w:rsid w:val="00EA44E0"/>
    <w:rsid w:val="00EA4D06"/>
    <w:rsid w:val="00EA57D4"/>
    <w:rsid w:val="00EA6257"/>
    <w:rsid w:val="00EA7540"/>
    <w:rsid w:val="00EA763C"/>
    <w:rsid w:val="00EA77F6"/>
    <w:rsid w:val="00EA7A3A"/>
    <w:rsid w:val="00EA7C6D"/>
    <w:rsid w:val="00EA7DFD"/>
    <w:rsid w:val="00EB0558"/>
    <w:rsid w:val="00EB0EA5"/>
    <w:rsid w:val="00EB0F9D"/>
    <w:rsid w:val="00EB14BE"/>
    <w:rsid w:val="00EB169F"/>
    <w:rsid w:val="00EB1F05"/>
    <w:rsid w:val="00EB203B"/>
    <w:rsid w:val="00EB290B"/>
    <w:rsid w:val="00EB2DA6"/>
    <w:rsid w:val="00EB3564"/>
    <w:rsid w:val="00EB36C1"/>
    <w:rsid w:val="00EB396B"/>
    <w:rsid w:val="00EB3CE5"/>
    <w:rsid w:val="00EB4285"/>
    <w:rsid w:val="00EB436D"/>
    <w:rsid w:val="00EB4616"/>
    <w:rsid w:val="00EB521B"/>
    <w:rsid w:val="00EB5AEE"/>
    <w:rsid w:val="00EB5C85"/>
    <w:rsid w:val="00EB5D41"/>
    <w:rsid w:val="00EB61E6"/>
    <w:rsid w:val="00EB62BE"/>
    <w:rsid w:val="00EB6C2D"/>
    <w:rsid w:val="00EB781D"/>
    <w:rsid w:val="00EB7ED3"/>
    <w:rsid w:val="00EC08B4"/>
    <w:rsid w:val="00EC09E5"/>
    <w:rsid w:val="00EC1011"/>
    <w:rsid w:val="00EC10AF"/>
    <w:rsid w:val="00EC14F4"/>
    <w:rsid w:val="00EC15BF"/>
    <w:rsid w:val="00EC1D58"/>
    <w:rsid w:val="00EC22BE"/>
    <w:rsid w:val="00EC23D7"/>
    <w:rsid w:val="00EC24B2"/>
    <w:rsid w:val="00EC252F"/>
    <w:rsid w:val="00EC25A6"/>
    <w:rsid w:val="00EC4C6C"/>
    <w:rsid w:val="00EC53E1"/>
    <w:rsid w:val="00EC5D3B"/>
    <w:rsid w:val="00EC5D6F"/>
    <w:rsid w:val="00EC6134"/>
    <w:rsid w:val="00EC6268"/>
    <w:rsid w:val="00EC699E"/>
    <w:rsid w:val="00EC6AE7"/>
    <w:rsid w:val="00EC6FA0"/>
    <w:rsid w:val="00EC7AD0"/>
    <w:rsid w:val="00EC7CC6"/>
    <w:rsid w:val="00EC7D6E"/>
    <w:rsid w:val="00ED085C"/>
    <w:rsid w:val="00ED101B"/>
    <w:rsid w:val="00ED169F"/>
    <w:rsid w:val="00ED2653"/>
    <w:rsid w:val="00ED26EB"/>
    <w:rsid w:val="00ED2769"/>
    <w:rsid w:val="00ED2A65"/>
    <w:rsid w:val="00ED2C31"/>
    <w:rsid w:val="00ED2C7B"/>
    <w:rsid w:val="00ED3489"/>
    <w:rsid w:val="00ED37EB"/>
    <w:rsid w:val="00ED3A1C"/>
    <w:rsid w:val="00ED4356"/>
    <w:rsid w:val="00ED551E"/>
    <w:rsid w:val="00ED59A2"/>
    <w:rsid w:val="00ED5D3A"/>
    <w:rsid w:val="00ED5F29"/>
    <w:rsid w:val="00ED608D"/>
    <w:rsid w:val="00ED6347"/>
    <w:rsid w:val="00ED6600"/>
    <w:rsid w:val="00ED7509"/>
    <w:rsid w:val="00ED7CA2"/>
    <w:rsid w:val="00ED7F43"/>
    <w:rsid w:val="00EE0503"/>
    <w:rsid w:val="00EE069A"/>
    <w:rsid w:val="00EE071C"/>
    <w:rsid w:val="00EE0D81"/>
    <w:rsid w:val="00EE0DAD"/>
    <w:rsid w:val="00EE12B0"/>
    <w:rsid w:val="00EE152A"/>
    <w:rsid w:val="00EE30A3"/>
    <w:rsid w:val="00EE33E9"/>
    <w:rsid w:val="00EE3850"/>
    <w:rsid w:val="00EE3855"/>
    <w:rsid w:val="00EE3D73"/>
    <w:rsid w:val="00EE3DA2"/>
    <w:rsid w:val="00EE45CF"/>
    <w:rsid w:val="00EE4979"/>
    <w:rsid w:val="00EE4B8A"/>
    <w:rsid w:val="00EE4F31"/>
    <w:rsid w:val="00EE4FE9"/>
    <w:rsid w:val="00EE538F"/>
    <w:rsid w:val="00EE5641"/>
    <w:rsid w:val="00EE62AA"/>
    <w:rsid w:val="00EE672C"/>
    <w:rsid w:val="00EE67C9"/>
    <w:rsid w:val="00EE69FE"/>
    <w:rsid w:val="00EE6B50"/>
    <w:rsid w:val="00EE732C"/>
    <w:rsid w:val="00EE76FE"/>
    <w:rsid w:val="00EF033A"/>
    <w:rsid w:val="00EF0450"/>
    <w:rsid w:val="00EF072A"/>
    <w:rsid w:val="00EF08AA"/>
    <w:rsid w:val="00EF1AED"/>
    <w:rsid w:val="00EF1CAB"/>
    <w:rsid w:val="00EF1F7E"/>
    <w:rsid w:val="00EF231F"/>
    <w:rsid w:val="00EF2D7B"/>
    <w:rsid w:val="00EF327B"/>
    <w:rsid w:val="00EF32BD"/>
    <w:rsid w:val="00EF368D"/>
    <w:rsid w:val="00EF3EBB"/>
    <w:rsid w:val="00EF4359"/>
    <w:rsid w:val="00EF46FD"/>
    <w:rsid w:val="00EF476F"/>
    <w:rsid w:val="00EF4A29"/>
    <w:rsid w:val="00EF51B0"/>
    <w:rsid w:val="00EF5617"/>
    <w:rsid w:val="00EF5BB6"/>
    <w:rsid w:val="00EF620D"/>
    <w:rsid w:val="00EF6A91"/>
    <w:rsid w:val="00EF6C7D"/>
    <w:rsid w:val="00EF6E10"/>
    <w:rsid w:val="00EF71B9"/>
    <w:rsid w:val="00EF740E"/>
    <w:rsid w:val="00EF77F2"/>
    <w:rsid w:val="00EF7BF7"/>
    <w:rsid w:val="00EF7CE1"/>
    <w:rsid w:val="00F0012F"/>
    <w:rsid w:val="00F007D9"/>
    <w:rsid w:val="00F00B29"/>
    <w:rsid w:val="00F00B62"/>
    <w:rsid w:val="00F017C3"/>
    <w:rsid w:val="00F01D09"/>
    <w:rsid w:val="00F0206F"/>
    <w:rsid w:val="00F02426"/>
    <w:rsid w:val="00F02515"/>
    <w:rsid w:val="00F033DB"/>
    <w:rsid w:val="00F03887"/>
    <w:rsid w:val="00F03991"/>
    <w:rsid w:val="00F039EA"/>
    <w:rsid w:val="00F04680"/>
    <w:rsid w:val="00F04D75"/>
    <w:rsid w:val="00F04E89"/>
    <w:rsid w:val="00F052D2"/>
    <w:rsid w:val="00F054A3"/>
    <w:rsid w:val="00F0596F"/>
    <w:rsid w:val="00F059AC"/>
    <w:rsid w:val="00F05DA3"/>
    <w:rsid w:val="00F05E9D"/>
    <w:rsid w:val="00F05F25"/>
    <w:rsid w:val="00F063F2"/>
    <w:rsid w:val="00F06767"/>
    <w:rsid w:val="00F06E36"/>
    <w:rsid w:val="00F0777F"/>
    <w:rsid w:val="00F0778B"/>
    <w:rsid w:val="00F07829"/>
    <w:rsid w:val="00F07C91"/>
    <w:rsid w:val="00F07CF4"/>
    <w:rsid w:val="00F1022A"/>
    <w:rsid w:val="00F107C9"/>
    <w:rsid w:val="00F108BF"/>
    <w:rsid w:val="00F10C8D"/>
    <w:rsid w:val="00F110C6"/>
    <w:rsid w:val="00F111F5"/>
    <w:rsid w:val="00F11273"/>
    <w:rsid w:val="00F118BB"/>
    <w:rsid w:val="00F12101"/>
    <w:rsid w:val="00F127B3"/>
    <w:rsid w:val="00F12B85"/>
    <w:rsid w:val="00F13005"/>
    <w:rsid w:val="00F13506"/>
    <w:rsid w:val="00F13B76"/>
    <w:rsid w:val="00F13D68"/>
    <w:rsid w:val="00F13FD4"/>
    <w:rsid w:val="00F1443A"/>
    <w:rsid w:val="00F1465B"/>
    <w:rsid w:val="00F146FF"/>
    <w:rsid w:val="00F14811"/>
    <w:rsid w:val="00F14933"/>
    <w:rsid w:val="00F150A2"/>
    <w:rsid w:val="00F159A8"/>
    <w:rsid w:val="00F167DD"/>
    <w:rsid w:val="00F16C97"/>
    <w:rsid w:val="00F17378"/>
    <w:rsid w:val="00F17567"/>
    <w:rsid w:val="00F17974"/>
    <w:rsid w:val="00F17A2C"/>
    <w:rsid w:val="00F20476"/>
    <w:rsid w:val="00F2064D"/>
    <w:rsid w:val="00F20CEC"/>
    <w:rsid w:val="00F2168E"/>
    <w:rsid w:val="00F2175B"/>
    <w:rsid w:val="00F21996"/>
    <w:rsid w:val="00F21D0D"/>
    <w:rsid w:val="00F21E79"/>
    <w:rsid w:val="00F2207E"/>
    <w:rsid w:val="00F2210B"/>
    <w:rsid w:val="00F22591"/>
    <w:rsid w:val="00F22CAB"/>
    <w:rsid w:val="00F22E85"/>
    <w:rsid w:val="00F23239"/>
    <w:rsid w:val="00F23B19"/>
    <w:rsid w:val="00F23CCC"/>
    <w:rsid w:val="00F24122"/>
    <w:rsid w:val="00F24128"/>
    <w:rsid w:val="00F241AF"/>
    <w:rsid w:val="00F25521"/>
    <w:rsid w:val="00F256E9"/>
    <w:rsid w:val="00F2674E"/>
    <w:rsid w:val="00F2685A"/>
    <w:rsid w:val="00F27230"/>
    <w:rsid w:val="00F27265"/>
    <w:rsid w:val="00F27313"/>
    <w:rsid w:val="00F27BE1"/>
    <w:rsid w:val="00F27C12"/>
    <w:rsid w:val="00F27E24"/>
    <w:rsid w:val="00F27E86"/>
    <w:rsid w:val="00F27FEB"/>
    <w:rsid w:val="00F3045B"/>
    <w:rsid w:val="00F30626"/>
    <w:rsid w:val="00F306FF"/>
    <w:rsid w:val="00F30BAB"/>
    <w:rsid w:val="00F30E4D"/>
    <w:rsid w:val="00F311FB"/>
    <w:rsid w:val="00F31C16"/>
    <w:rsid w:val="00F31E8B"/>
    <w:rsid w:val="00F31FCF"/>
    <w:rsid w:val="00F320C9"/>
    <w:rsid w:val="00F3229E"/>
    <w:rsid w:val="00F3238C"/>
    <w:rsid w:val="00F32477"/>
    <w:rsid w:val="00F326D0"/>
    <w:rsid w:val="00F3284A"/>
    <w:rsid w:val="00F33011"/>
    <w:rsid w:val="00F33659"/>
    <w:rsid w:val="00F33A90"/>
    <w:rsid w:val="00F33B16"/>
    <w:rsid w:val="00F34030"/>
    <w:rsid w:val="00F340DE"/>
    <w:rsid w:val="00F34439"/>
    <w:rsid w:val="00F34836"/>
    <w:rsid w:val="00F34C50"/>
    <w:rsid w:val="00F352E0"/>
    <w:rsid w:val="00F359A9"/>
    <w:rsid w:val="00F35CF7"/>
    <w:rsid w:val="00F3608A"/>
    <w:rsid w:val="00F365D6"/>
    <w:rsid w:val="00F366C0"/>
    <w:rsid w:val="00F36BD2"/>
    <w:rsid w:val="00F37022"/>
    <w:rsid w:val="00F37178"/>
    <w:rsid w:val="00F372EB"/>
    <w:rsid w:val="00F37C15"/>
    <w:rsid w:val="00F37F81"/>
    <w:rsid w:val="00F402AB"/>
    <w:rsid w:val="00F409C1"/>
    <w:rsid w:val="00F41003"/>
    <w:rsid w:val="00F41209"/>
    <w:rsid w:val="00F417EC"/>
    <w:rsid w:val="00F41CDA"/>
    <w:rsid w:val="00F41E80"/>
    <w:rsid w:val="00F423F9"/>
    <w:rsid w:val="00F42558"/>
    <w:rsid w:val="00F43012"/>
    <w:rsid w:val="00F43110"/>
    <w:rsid w:val="00F4383C"/>
    <w:rsid w:val="00F43B9E"/>
    <w:rsid w:val="00F43D42"/>
    <w:rsid w:val="00F43E79"/>
    <w:rsid w:val="00F43F5F"/>
    <w:rsid w:val="00F443F9"/>
    <w:rsid w:val="00F44AE8"/>
    <w:rsid w:val="00F44BC8"/>
    <w:rsid w:val="00F44C41"/>
    <w:rsid w:val="00F4516B"/>
    <w:rsid w:val="00F452DF"/>
    <w:rsid w:val="00F4572C"/>
    <w:rsid w:val="00F4578F"/>
    <w:rsid w:val="00F458BF"/>
    <w:rsid w:val="00F4603E"/>
    <w:rsid w:val="00F461FC"/>
    <w:rsid w:val="00F46533"/>
    <w:rsid w:val="00F46965"/>
    <w:rsid w:val="00F46CA2"/>
    <w:rsid w:val="00F4717E"/>
    <w:rsid w:val="00F4738D"/>
    <w:rsid w:val="00F47552"/>
    <w:rsid w:val="00F477F2"/>
    <w:rsid w:val="00F47A55"/>
    <w:rsid w:val="00F47F25"/>
    <w:rsid w:val="00F505AE"/>
    <w:rsid w:val="00F50624"/>
    <w:rsid w:val="00F511BA"/>
    <w:rsid w:val="00F51C42"/>
    <w:rsid w:val="00F5292B"/>
    <w:rsid w:val="00F529D5"/>
    <w:rsid w:val="00F53131"/>
    <w:rsid w:val="00F53138"/>
    <w:rsid w:val="00F53454"/>
    <w:rsid w:val="00F53B24"/>
    <w:rsid w:val="00F53E6E"/>
    <w:rsid w:val="00F53F9E"/>
    <w:rsid w:val="00F54342"/>
    <w:rsid w:val="00F545A7"/>
    <w:rsid w:val="00F54B37"/>
    <w:rsid w:val="00F54B65"/>
    <w:rsid w:val="00F54EC4"/>
    <w:rsid w:val="00F5563C"/>
    <w:rsid w:val="00F560BC"/>
    <w:rsid w:val="00F56B96"/>
    <w:rsid w:val="00F574FD"/>
    <w:rsid w:val="00F57598"/>
    <w:rsid w:val="00F57661"/>
    <w:rsid w:val="00F57AC7"/>
    <w:rsid w:val="00F57B1E"/>
    <w:rsid w:val="00F610C9"/>
    <w:rsid w:val="00F615F4"/>
    <w:rsid w:val="00F61FEE"/>
    <w:rsid w:val="00F620F2"/>
    <w:rsid w:val="00F621E8"/>
    <w:rsid w:val="00F625F1"/>
    <w:rsid w:val="00F628ED"/>
    <w:rsid w:val="00F6294C"/>
    <w:rsid w:val="00F62C73"/>
    <w:rsid w:val="00F62E39"/>
    <w:rsid w:val="00F63B7F"/>
    <w:rsid w:val="00F644DE"/>
    <w:rsid w:val="00F64C42"/>
    <w:rsid w:val="00F64E5F"/>
    <w:rsid w:val="00F65875"/>
    <w:rsid w:val="00F65964"/>
    <w:rsid w:val="00F66319"/>
    <w:rsid w:val="00F66AAC"/>
    <w:rsid w:val="00F67188"/>
    <w:rsid w:val="00F674A8"/>
    <w:rsid w:val="00F67B99"/>
    <w:rsid w:val="00F67DFE"/>
    <w:rsid w:val="00F67EDF"/>
    <w:rsid w:val="00F702E0"/>
    <w:rsid w:val="00F70C54"/>
    <w:rsid w:val="00F71EC3"/>
    <w:rsid w:val="00F7281F"/>
    <w:rsid w:val="00F73639"/>
    <w:rsid w:val="00F73E8C"/>
    <w:rsid w:val="00F746CB"/>
    <w:rsid w:val="00F74981"/>
    <w:rsid w:val="00F74C32"/>
    <w:rsid w:val="00F74F26"/>
    <w:rsid w:val="00F75C34"/>
    <w:rsid w:val="00F75D16"/>
    <w:rsid w:val="00F76454"/>
    <w:rsid w:val="00F768E9"/>
    <w:rsid w:val="00F76AFA"/>
    <w:rsid w:val="00F76DD5"/>
    <w:rsid w:val="00F776A9"/>
    <w:rsid w:val="00F776B4"/>
    <w:rsid w:val="00F776FE"/>
    <w:rsid w:val="00F77B7C"/>
    <w:rsid w:val="00F77CAD"/>
    <w:rsid w:val="00F81DB3"/>
    <w:rsid w:val="00F824EE"/>
    <w:rsid w:val="00F82534"/>
    <w:rsid w:val="00F82857"/>
    <w:rsid w:val="00F82AF2"/>
    <w:rsid w:val="00F82C3C"/>
    <w:rsid w:val="00F83116"/>
    <w:rsid w:val="00F8369E"/>
    <w:rsid w:val="00F84622"/>
    <w:rsid w:val="00F85C2F"/>
    <w:rsid w:val="00F85DB3"/>
    <w:rsid w:val="00F85F18"/>
    <w:rsid w:val="00F86168"/>
    <w:rsid w:val="00F8656C"/>
    <w:rsid w:val="00F865D3"/>
    <w:rsid w:val="00F873D0"/>
    <w:rsid w:val="00F874FC"/>
    <w:rsid w:val="00F9019E"/>
    <w:rsid w:val="00F90DF1"/>
    <w:rsid w:val="00F91059"/>
    <w:rsid w:val="00F91598"/>
    <w:rsid w:val="00F9186D"/>
    <w:rsid w:val="00F91AEC"/>
    <w:rsid w:val="00F91F5F"/>
    <w:rsid w:val="00F92AF8"/>
    <w:rsid w:val="00F94DDC"/>
    <w:rsid w:val="00F94F8C"/>
    <w:rsid w:val="00F953AA"/>
    <w:rsid w:val="00F95652"/>
    <w:rsid w:val="00F96A39"/>
    <w:rsid w:val="00F96BA2"/>
    <w:rsid w:val="00F976A0"/>
    <w:rsid w:val="00F97F43"/>
    <w:rsid w:val="00FA0093"/>
    <w:rsid w:val="00FA0095"/>
    <w:rsid w:val="00FA0E03"/>
    <w:rsid w:val="00FA1040"/>
    <w:rsid w:val="00FA1129"/>
    <w:rsid w:val="00FA1DEE"/>
    <w:rsid w:val="00FA1E60"/>
    <w:rsid w:val="00FA1F94"/>
    <w:rsid w:val="00FA23B2"/>
    <w:rsid w:val="00FA25B4"/>
    <w:rsid w:val="00FA29BF"/>
    <w:rsid w:val="00FA2DB0"/>
    <w:rsid w:val="00FA2DB4"/>
    <w:rsid w:val="00FA341A"/>
    <w:rsid w:val="00FA3562"/>
    <w:rsid w:val="00FA3610"/>
    <w:rsid w:val="00FA3960"/>
    <w:rsid w:val="00FA3BCB"/>
    <w:rsid w:val="00FA3EDB"/>
    <w:rsid w:val="00FA3FC5"/>
    <w:rsid w:val="00FA44DA"/>
    <w:rsid w:val="00FA4AFB"/>
    <w:rsid w:val="00FA5B9A"/>
    <w:rsid w:val="00FA5FDF"/>
    <w:rsid w:val="00FA6461"/>
    <w:rsid w:val="00FA6BBB"/>
    <w:rsid w:val="00FA709B"/>
    <w:rsid w:val="00FA7405"/>
    <w:rsid w:val="00FA757D"/>
    <w:rsid w:val="00FA7688"/>
    <w:rsid w:val="00FA7AF0"/>
    <w:rsid w:val="00FB0730"/>
    <w:rsid w:val="00FB0B0E"/>
    <w:rsid w:val="00FB163A"/>
    <w:rsid w:val="00FB2621"/>
    <w:rsid w:val="00FB2663"/>
    <w:rsid w:val="00FB2728"/>
    <w:rsid w:val="00FB2A31"/>
    <w:rsid w:val="00FB2BD8"/>
    <w:rsid w:val="00FB2FD3"/>
    <w:rsid w:val="00FB30CD"/>
    <w:rsid w:val="00FB3330"/>
    <w:rsid w:val="00FB3434"/>
    <w:rsid w:val="00FB47AE"/>
    <w:rsid w:val="00FB5143"/>
    <w:rsid w:val="00FB563D"/>
    <w:rsid w:val="00FB5650"/>
    <w:rsid w:val="00FB5F82"/>
    <w:rsid w:val="00FB643C"/>
    <w:rsid w:val="00FB65EC"/>
    <w:rsid w:val="00FB68B1"/>
    <w:rsid w:val="00FB6A8B"/>
    <w:rsid w:val="00FB6AB0"/>
    <w:rsid w:val="00FB6C14"/>
    <w:rsid w:val="00FB70DB"/>
    <w:rsid w:val="00FB76E1"/>
    <w:rsid w:val="00FB7939"/>
    <w:rsid w:val="00FB7D37"/>
    <w:rsid w:val="00FC0285"/>
    <w:rsid w:val="00FC16B1"/>
    <w:rsid w:val="00FC1D17"/>
    <w:rsid w:val="00FC1F8D"/>
    <w:rsid w:val="00FC205F"/>
    <w:rsid w:val="00FC2485"/>
    <w:rsid w:val="00FC32B2"/>
    <w:rsid w:val="00FC3C30"/>
    <w:rsid w:val="00FC3DC4"/>
    <w:rsid w:val="00FC3FD7"/>
    <w:rsid w:val="00FC4260"/>
    <w:rsid w:val="00FC492A"/>
    <w:rsid w:val="00FC4B1A"/>
    <w:rsid w:val="00FC4EA4"/>
    <w:rsid w:val="00FC54C7"/>
    <w:rsid w:val="00FC5882"/>
    <w:rsid w:val="00FC58C5"/>
    <w:rsid w:val="00FC5CE7"/>
    <w:rsid w:val="00FC66F0"/>
    <w:rsid w:val="00FC67E7"/>
    <w:rsid w:val="00FC6A2D"/>
    <w:rsid w:val="00FC6E0D"/>
    <w:rsid w:val="00FC7154"/>
    <w:rsid w:val="00FC7651"/>
    <w:rsid w:val="00FC7CF3"/>
    <w:rsid w:val="00FD0265"/>
    <w:rsid w:val="00FD135D"/>
    <w:rsid w:val="00FD1387"/>
    <w:rsid w:val="00FD18E9"/>
    <w:rsid w:val="00FD2309"/>
    <w:rsid w:val="00FD2375"/>
    <w:rsid w:val="00FD257F"/>
    <w:rsid w:val="00FD272D"/>
    <w:rsid w:val="00FD3DB8"/>
    <w:rsid w:val="00FD3F9E"/>
    <w:rsid w:val="00FD400F"/>
    <w:rsid w:val="00FD5015"/>
    <w:rsid w:val="00FD5EB7"/>
    <w:rsid w:val="00FD5FDF"/>
    <w:rsid w:val="00FD6143"/>
    <w:rsid w:val="00FD6319"/>
    <w:rsid w:val="00FD633D"/>
    <w:rsid w:val="00FD63C4"/>
    <w:rsid w:val="00FD645C"/>
    <w:rsid w:val="00FD6EA2"/>
    <w:rsid w:val="00FD70D4"/>
    <w:rsid w:val="00FD7E5A"/>
    <w:rsid w:val="00FE0268"/>
    <w:rsid w:val="00FE0C6F"/>
    <w:rsid w:val="00FE1134"/>
    <w:rsid w:val="00FE120F"/>
    <w:rsid w:val="00FE1258"/>
    <w:rsid w:val="00FE1B25"/>
    <w:rsid w:val="00FE2443"/>
    <w:rsid w:val="00FE26F7"/>
    <w:rsid w:val="00FE3161"/>
    <w:rsid w:val="00FE3814"/>
    <w:rsid w:val="00FE3C5C"/>
    <w:rsid w:val="00FE4563"/>
    <w:rsid w:val="00FE461C"/>
    <w:rsid w:val="00FE4D3F"/>
    <w:rsid w:val="00FE5312"/>
    <w:rsid w:val="00FE5FA5"/>
    <w:rsid w:val="00FE625F"/>
    <w:rsid w:val="00FE62DF"/>
    <w:rsid w:val="00FE6966"/>
    <w:rsid w:val="00FE6A72"/>
    <w:rsid w:val="00FE6CBE"/>
    <w:rsid w:val="00FE6D30"/>
    <w:rsid w:val="00FE6E23"/>
    <w:rsid w:val="00FE70CF"/>
    <w:rsid w:val="00FE7146"/>
    <w:rsid w:val="00FE71C8"/>
    <w:rsid w:val="00FE74B6"/>
    <w:rsid w:val="00FE7A26"/>
    <w:rsid w:val="00FE7E1F"/>
    <w:rsid w:val="00FF0B85"/>
    <w:rsid w:val="00FF0F79"/>
    <w:rsid w:val="00FF104A"/>
    <w:rsid w:val="00FF109B"/>
    <w:rsid w:val="00FF156E"/>
    <w:rsid w:val="00FF192E"/>
    <w:rsid w:val="00FF1CD2"/>
    <w:rsid w:val="00FF2C51"/>
    <w:rsid w:val="00FF30B7"/>
    <w:rsid w:val="00FF32D1"/>
    <w:rsid w:val="00FF36E8"/>
    <w:rsid w:val="00FF3953"/>
    <w:rsid w:val="00FF44C5"/>
    <w:rsid w:val="00FF47FF"/>
    <w:rsid w:val="00FF523C"/>
    <w:rsid w:val="00FF52F1"/>
    <w:rsid w:val="00FF6243"/>
    <w:rsid w:val="00FF64E7"/>
    <w:rsid w:val="00FF6567"/>
    <w:rsid w:val="00FF6C79"/>
    <w:rsid w:val="00FF6E6E"/>
    <w:rsid w:val="00FF744E"/>
    <w:rsid w:val="00FF7482"/>
    <w:rsid w:val="00FF7506"/>
    <w:rsid w:val="00FF7A8A"/>
    <w:rsid w:val="00FF7C19"/>
    <w:rsid w:val="017D8E8B"/>
    <w:rsid w:val="01956C1B"/>
    <w:rsid w:val="01C98A87"/>
    <w:rsid w:val="02323B25"/>
    <w:rsid w:val="02A3981E"/>
    <w:rsid w:val="02EE4700"/>
    <w:rsid w:val="03159CA7"/>
    <w:rsid w:val="035BC0B6"/>
    <w:rsid w:val="040AD650"/>
    <w:rsid w:val="04148492"/>
    <w:rsid w:val="042897EB"/>
    <w:rsid w:val="0490946E"/>
    <w:rsid w:val="052A7DBD"/>
    <w:rsid w:val="053C46ED"/>
    <w:rsid w:val="0541BB38"/>
    <w:rsid w:val="05B327F9"/>
    <w:rsid w:val="05C3C3BB"/>
    <w:rsid w:val="05DB285C"/>
    <w:rsid w:val="0617D4ED"/>
    <w:rsid w:val="06680DA4"/>
    <w:rsid w:val="066E0F68"/>
    <w:rsid w:val="06B37B94"/>
    <w:rsid w:val="0731A585"/>
    <w:rsid w:val="085CDC1C"/>
    <w:rsid w:val="08E1E978"/>
    <w:rsid w:val="09747805"/>
    <w:rsid w:val="09CAEBCC"/>
    <w:rsid w:val="09E6E04D"/>
    <w:rsid w:val="09FD5666"/>
    <w:rsid w:val="0A4610D7"/>
    <w:rsid w:val="0AD3D2E3"/>
    <w:rsid w:val="0AEF3532"/>
    <w:rsid w:val="0B6E1172"/>
    <w:rsid w:val="0BAC2CE2"/>
    <w:rsid w:val="0BD41EFE"/>
    <w:rsid w:val="0C545008"/>
    <w:rsid w:val="0C58521F"/>
    <w:rsid w:val="0C6D5759"/>
    <w:rsid w:val="0CD6699F"/>
    <w:rsid w:val="0D11003B"/>
    <w:rsid w:val="0D7639A8"/>
    <w:rsid w:val="0E0AD5FE"/>
    <w:rsid w:val="0E1BFF1B"/>
    <w:rsid w:val="0F385CA9"/>
    <w:rsid w:val="0F735670"/>
    <w:rsid w:val="0FCDD966"/>
    <w:rsid w:val="105E2FAA"/>
    <w:rsid w:val="10672A70"/>
    <w:rsid w:val="10D16CB4"/>
    <w:rsid w:val="111625F4"/>
    <w:rsid w:val="116A8929"/>
    <w:rsid w:val="11B9BF6B"/>
    <w:rsid w:val="11EE5C08"/>
    <w:rsid w:val="120273AE"/>
    <w:rsid w:val="1224FC9C"/>
    <w:rsid w:val="124D761F"/>
    <w:rsid w:val="12DE91E8"/>
    <w:rsid w:val="12F094C5"/>
    <w:rsid w:val="1371369A"/>
    <w:rsid w:val="1397A857"/>
    <w:rsid w:val="14307E61"/>
    <w:rsid w:val="1447BDEF"/>
    <w:rsid w:val="145B3A3E"/>
    <w:rsid w:val="14CA9B46"/>
    <w:rsid w:val="14D40C49"/>
    <w:rsid w:val="15EA7D97"/>
    <w:rsid w:val="166E46B5"/>
    <w:rsid w:val="1670D1C5"/>
    <w:rsid w:val="17928F25"/>
    <w:rsid w:val="17F9A58D"/>
    <w:rsid w:val="1826CC2F"/>
    <w:rsid w:val="18CDF07E"/>
    <w:rsid w:val="1959C2B3"/>
    <w:rsid w:val="19991EAC"/>
    <w:rsid w:val="1A7C7016"/>
    <w:rsid w:val="1A7FD6DE"/>
    <w:rsid w:val="1AEC16CC"/>
    <w:rsid w:val="1AF30738"/>
    <w:rsid w:val="1B09FFB1"/>
    <w:rsid w:val="1B3AF7FF"/>
    <w:rsid w:val="1B3CE11B"/>
    <w:rsid w:val="1B5DE4AF"/>
    <w:rsid w:val="1BC4D921"/>
    <w:rsid w:val="1C890141"/>
    <w:rsid w:val="1D262C89"/>
    <w:rsid w:val="1D34D7AA"/>
    <w:rsid w:val="1DC519D9"/>
    <w:rsid w:val="1E32E508"/>
    <w:rsid w:val="1E6858AE"/>
    <w:rsid w:val="1EBD0319"/>
    <w:rsid w:val="1F251B8F"/>
    <w:rsid w:val="1FA0CC12"/>
    <w:rsid w:val="1FFA1F54"/>
    <w:rsid w:val="201FB559"/>
    <w:rsid w:val="204B10D5"/>
    <w:rsid w:val="2085BA48"/>
    <w:rsid w:val="20F7ED42"/>
    <w:rsid w:val="214E0F80"/>
    <w:rsid w:val="219EADB4"/>
    <w:rsid w:val="21E01A37"/>
    <w:rsid w:val="2252D68D"/>
    <w:rsid w:val="227EF490"/>
    <w:rsid w:val="22EFD3C1"/>
    <w:rsid w:val="2326B20F"/>
    <w:rsid w:val="238E9090"/>
    <w:rsid w:val="23EDFCF2"/>
    <w:rsid w:val="24023FA5"/>
    <w:rsid w:val="246CBF1D"/>
    <w:rsid w:val="247FF822"/>
    <w:rsid w:val="248457D2"/>
    <w:rsid w:val="2499900B"/>
    <w:rsid w:val="24ACE85C"/>
    <w:rsid w:val="24C5D11F"/>
    <w:rsid w:val="24CECFB1"/>
    <w:rsid w:val="250020DC"/>
    <w:rsid w:val="250F20A4"/>
    <w:rsid w:val="251B138F"/>
    <w:rsid w:val="252226C0"/>
    <w:rsid w:val="2560C8C2"/>
    <w:rsid w:val="25D920D9"/>
    <w:rsid w:val="263BE840"/>
    <w:rsid w:val="26734C4B"/>
    <w:rsid w:val="26980F26"/>
    <w:rsid w:val="26CF9BD8"/>
    <w:rsid w:val="27052122"/>
    <w:rsid w:val="2712E051"/>
    <w:rsid w:val="273B2F84"/>
    <w:rsid w:val="277B2A09"/>
    <w:rsid w:val="27B509BA"/>
    <w:rsid w:val="27BF06B7"/>
    <w:rsid w:val="27C6DD4F"/>
    <w:rsid w:val="27ED02AF"/>
    <w:rsid w:val="288062D1"/>
    <w:rsid w:val="28D76C00"/>
    <w:rsid w:val="29030C09"/>
    <w:rsid w:val="2974B436"/>
    <w:rsid w:val="297B6151"/>
    <w:rsid w:val="2A88D62D"/>
    <w:rsid w:val="2AAD7054"/>
    <w:rsid w:val="2AB1E35B"/>
    <w:rsid w:val="2ADC64BD"/>
    <w:rsid w:val="2B160FBB"/>
    <w:rsid w:val="2B5C3CD9"/>
    <w:rsid w:val="2C0225F1"/>
    <w:rsid w:val="2C24178E"/>
    <w:rsid w:val="2C299ED1"/>
    <w:rsid w:val="2C61570B"/>
    <w:rsid w:val="2D17BFE0"/>
    <w:rsid w:val="2D35F7A2"/>
    <w:rsid w:val="2D4421FC"/>
    <w:rsid w:val="2D57DB8A"/>
    <w:rsid w:val="2E1DD6B2"/>
    <w:rsid w:val="2E4071FA"/>
    <w:rsid w:val="2E702C92"/>
    <w:rsid w:val="2E81F656"/>
    <w:rsid w:val="2E9EA915"/>
    <w:rsid w:val="2EB1FCAA"/>
    <w:rsid w:val="2FAEA284"/>
    <w:rsid w:val="2FC5CDCE"/>
    <w:rsid w:val="2FCF552F"/>
    <w:rsid w:val="3025F3AF"/>
    <w:rsid w:val="3037FD53"/>
    <w:rsid w:val="3044AAD2"/>
    <w:rsid w:val="306D9864"/>
    <w:rsid w:val="308BC8F6"/>
    <w:rsid w:val="30B716C1"/>
    <w:rsid w:val="30BEC8FF"/>
    <w:rsid w:val="31509FC6"/>
    <w:rsid w:val="31924328"/>
    <w:rsid w:val="31AE1D02"/>
    <w:rsid w:val="31D15E72"/>
    <w:rsid w:val="31FE84F9"/>
    <w:rsid w:val="328814FF"/>
    <w:rsid w:val="32C4BF65"/>
    <w:rsid w:val="32F345B1"/>
    <w:rsid w:val="32F4EE67"/>
    <w:rsid w:val="339CC52A"/>
    <w:rsid w:val="33A35B87"/>
    <w:rsid w:val="33B045B1"/>
    <w:rsid w:val="33EB14FD"/>
    <w:rsid w:val="349EABE3"/>
    <w:rsid w:val="34CD2CDF"/>
    <w:rsid w:val="353DF950"/>
    <w:rsid w:val="354E8677"/>
    <w:rsid w:val="3593325C"/>
    <w:rsid w:val="35C8AE61"/>
    <w:rsid w:val="362F53B2"/>
    <w:rsid w:val="3789F8C0"/>
    <w:rsid w:val="37AFCEA5"/>
    <w:rsid w:val="37F6BFD4"/>
    <w:rsid w:val="3813BC7A"/>
    <w:rsid w:val="38F6368E"/>
    <w:rsid w:val="397E306E"/>
    <w:rsid w:val="3A1E3CCA"/>
    <w:rsid w:val="3A7A7C68"/>
    <w:rsid w:val="3B05E519"/>
    <w:rsid w:val="3B6122CB"/>
    <w:rsid w:val="3B6EA1B2"/>
    <w:rsid w:val="3BBC52D1"/>
    <w:rsid w:val="3BC9D4D9"/>
    <w:rsid w:val="3BFA80AD"/>
    <w:rsid w:val="3C1A08E9"/>
    <w:rsid w:val="3D5018C5"/>
    <w:rsid w:val="3D76BB0E"/>
    <w:rsid w:val="3D861283"/>
    <w:rsid w:val="3DA86761"/>
    <w:rsid w:val="3DEDB25C"/>
    <w:rsid w:val="3E073BF8"/>
    <w:rsid w:val="3E0D1304"/>
    <w:rsid w:val="3E8D2E63"/>
    <w:rsid w:val="3F516A75"/>
    <w:rsid w:val="3F55448E"/>
    <w:rsid w:val="3FD26AD6"/>
    <w:rsid w:val="400C03BB"/>
    <w:rsid w:val="4040837E"/>
    <w:rsid w:val="412AE8D4"/>
    <w:rsid w:val="415A8466"/>
    <w:rsid w:val="41CA7A80"/>
    <w:rsid w:val="423FC648"/>
    <w:rsid w:val="42C653D6"/>
    <w:rsid w:val="432CF4A5"/>
    <w:rsid w:val="43CDE54D"/>
    <w:rsid w:val="4421BA11"/>
    <w:rsid w:val="4429A8E6"/>
    <w:rsid w:val="44420D8F"/>
    <w:rsid w:val="449992B1"/>
    <w:rsid w:val="45057404"/>
    <w:rsid w:val="45316905"/>
    <w:rsid w:val="45488DC6"/>
    <w:rsid w:val="46BDB5DA"/>
    <w:rsid w:val="482584CF"/>
    <w:rsid w:val="48366C58"/>
    <w:rsid w:val="49448542"/>
    <w:rsid w:val="49884FCA"/>
    <w:rsid w:val="49C5285E"/>
    <w:rsid w:val="49DB2326"/>
    <w:rsid w:val="4A63F11A"/>
    <w:rsid w:val="4A75A490"/>
    <w:rsid w:val="4AC8CBD0"/>
    <w:rsid w:val="4AD44972"/>
    <w:rsid w:val="4B7F5289"/>
    <w:rsid w:val="4BE2E0CD"/>
    <w:rsid w:val="4C08669C"/>
    <w:rsid w:val="4C3A9CF8"/>
    <w:rsid w:val="4CBDE171"/>
    <w:rsid w:val="4CDA4A17"/>
    <w:rsid w:val="4D0E7347"/>
    <w:rsid w:val="4EC9D64F"/>
    <w:rsid w:val="4EF91660"/>
    <w:rsid w:val="4F1F3D89"/>
    <w:rsid w:val="4F33228D"/>
    <w:rsid w:val="4F66DFA5"/>
    <w:rsid w:val="4F73BB94"/>
    <w:rsid w:val="4FA2406A"/>
    <w:rsid w:val="4FB0ABC1"/>
    <w:rsid w:val="500EDB2F"/>
    <w:rsid w:val="5040A2CB"/>
    <w:rsid w:val="50482F0C"/>
    <w:rsid w:val="508F73BE"/>
    <w:rsid w:val="50B790E3"/>
    <w:rsid w:val="50E843AC"/>
    <w:rsid w:val="512419AD"/>
    <w:rsid w:val="5166520C"/>
    <w:rsid w:val="5230CAA6"/>
    <w:rsid w:val="524648EA"/>
    <w:rsid w:val="527B8D33"/>
    <w:rsid w:val="52A1EC00"/>
    <w:rsid w:val="52E4C13F"/>
    <w:rsid w:val="535B68B9"/>
    <w:rsid w:val="53C687A0"/>
    <w:rsid w:val="545945B8"/>
    <w:rsid w:val="54A14206"/>
    <w:rsid w:val="5501C819"/>
    <w:rsid w:val="55569610"/>
    <w:rsid w:val="5582483D"/>
    <w:rsid w:val="55F0987A"/>
    <w:rsid w:val="563AA708"/>
    <w:rsid w:val="5644B1C2"/>
    <w:rsid w:val="56AC9B79"/>
    <w:rsid w:val="56F04189"/>
    <w:rsid w:val="56F644A0"/>
    <w:rsid w:val="57142733"/>
    <w:rsid w:val="571492D8"/>
    <w:rsid w:val="579C3C16"/>
    <w:rsid w:val="57E361D6"/>
    <w:rsid w:val="58985E6E"/>
    <w:rsid w:val="58B581DF"/>
    <w:rsid w:val="5923A108"/>
    <w:rsid w:val="59EE6FE1"/>
    <w:rsid w:val="5A215EE5"/>
    <w:rsid w:val="5A34670C"/>
    <w:rsid w:val="5A817C51"/>
    <w:rsid w:val="5AD978C7"/>
    <w:rsid w:val="5B6D599B"/>
    <w:rsid w:val="5B8E30CB"/>
    <w:rsid w:val="5BDA4EFE"/>
    <w:rsid w:val="5BFFF2AF"/>
    <w:rsid w:val="5C536807"/>
    <w:rsid w:val="5CAFBB62"/>
    <w:rsid w:val="5CFB0065"/>
    <w:rsid w:val="5D0186AB"/>
    <w:rsid w:val="5D58FFA7"/>
    <w:rsid w:val="5D6B09C4"/>
    <w:rsid w:val="5D98BE18"/>
    <w:rsid w:val="5DCBA520"/>
    <w:rsid w:val="5E46EC80"/>
    <w:rsid w:val="5E7AD6C6"/>
    <w:rsid w:val="5F2E69B6"/>
    <w:rsid w:val="5F947FCC"/>
    <w:rsid w:val="6015843B"/>
    <w:rsid w:val="605025F1"/>
    <w:rsid w:val="6077C568"/>
    <w:rsid w:val="61A1DC36"/>
    <w:rsid w:val="61AEE4B2"/>
    <w:rsid w:val="61BEE506"/>
    <w:rsid w:val="61ED9E9B"/>
    <w:rsid w:val="62033A28"/>
    <w:rsid w:val="624C447A"/>
    <w:rsid w:val="625CB4A8"/>
    <w:rsid w:val="62AAE2EF"/>
    <w:rsid w:val="6389E9E9"/>
    <w:rsid w:val="64941C37"/>
    <w:rsid w:val="6585315B"/>
    <w:rsid w:val="65A2E494"/>
    <w:rsid w:val="6606E153"/>
    <w:rsid w:val="661B167C"/>
    <w:rsid w:val="662FAC41"/>
    <w:rsid w:val="6679A705"/>
    <w:rsid w:val="66ABF586"/>
    <w:rsid w:val="66CD2B7F"/>
    <w:rsid w:val="67275517"/>
    <w:rsid w:val="68583B53"/>
    <w:rsid w:val="6866E1D1"/>
    <w:rsid w:val="687178CF"/>
    <w:rsid w:val="687DB8B5"/>
    <w:rsid w:val="68BBBF9A"/>
    <w:rsid w:val="694657AC"/>
    <w:rsid w:val="696A32F5"/>
    <w:rsid w:val="699D4B60"/>
    <w:rsid w:val="69C135C2"/>
    <w:rsid w:val="69EAF211"/>
    <w:rsid w:val="6A9897E1"/>
    <w:rsid w:val="6A9D28FA"/>
    <w:rsid w:val="6AFA6362"/>
    <w:rsid w:val="6BB8C78F"/>
    <w:rsid w:val="6BBBD8D5"/>
    <w:rsid w:val="6BD1E754"/>
    <w:rsid w:val="6C7EF4BC"/>
    <w:rsid w:val="6CCF8663"/>
    <w:rsid w:val="6CD9AF42"/>
    <w:rsid w:val="6D91087E"/>
    <w:rsid w:val="6EBF3FC9"/>
    <w:rsid w:val="6ED52736"/>
    <w:rsid w:val="6F172351"/>
    <w:rsid w:val="6F1BA4F0"/>
    <w:rsid w:val="6F35B030"/>
    <w:rsid w:val="6F36E668"/>
    <w:rsid w:val="6F4A8F68"/>
    <w:rsid w:val="6F569887"/>
    <w:rsid w:val="6F63AE30"/>
    <w:rsid w:val="6F76DAAB"/>
    <w:rsid w:val="6FE1E458"/>
    <w:rsid w:val="707FBB6F"/>
    <w:rsid w:val="7090923D"/>
    <w:rsid w:val="70E779DD"/>
    <w:rsid w:val="7154F3D5"/>
    <w:rsid w:val="717EDBC3"/>
    <w:rsid w:val="719ECF96"/>
    <w:rsid w:val="71A27328"/>
    <w:rsid w:val="71C4284B"/>
    <w:rsid w:val="7353C759"/>
    <w:rsid w:val="740624D0"/>
    <w:rsid w:val="743A59B3"/>
    <w:rsid w:val="74629896"/>
    <w:rsid w:val="746B033F"/>
    <w:rsid w:val="74852CBC"/>
    <w:rsid w:val="748CB492"/>
    <w:rsid w:val="749550A9"/>
    <w:rsid w:val="74AE7559"/>
    <w:rsid w:val="750F5F4A"/>
    <w:rsid w:val="75EF7E21"/>
    <w:rsid w:val="766630E7"/>
    <w:rsid w:val="76BED422"/>
    <w:rsid w:val="7711A2A3"/>
    <w:rsid w:val="774B3AC1"/>
    <w:rsid w:val="77BD6367"/>
    <w:rsid w:val="7832E1F2"/>
    <w:rsid w:val="785633DA"/>
    <w:rsid w:val="78A312B1"/>
    <w:rsid w:val="78E4C7E7"/>
    <w:rsid w:val="78EF2CDD"/>
    <w:rsid w:val="79350503"/>
    <w:rsid w:val="796F999E"/>
    <w:rsid w:val="79B6E1A1"/>
    <w:rsid w:val="79C395FD"/>
    <w:rsid w:val="7A152139"/>
    <w:rsid w:val="7A488251"/>
    <w:rsid w:val="7A613802"/>
    <w:rsid w:val="7A6F8CE9"/>
    <w:rsid w:val="7A87543D"/>
    <w:rsid w:val="7AD6E5CF"/>
    <w:rsid w:val="7B257C2A"/>
    <w:rsid w:val="7B543B0C"/>
    <w:rsid w:val="7B654086"/>
    <w:rsid w:val="7B8136D8"/>
    <w:rsid w:val="7BC18106"/>
    <w:rsid w:val="7C8D5EDB"/>
    <w:rsid w:val="7D1CCEC9"/>
    <w:rsid w:val="7D515AC9"/>
    <w:rsid w:val="7DA73238"/>
    <w:rsid w:val="7DF5BC56"/>
    <w:rsid w:val="7EEB966B"/>
    <w:rsid w:val="7F7CA7B3"/>
    <w:rsid w:val="7FA36550"/>
    <w:rsid w:val="7FF1656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E56B"/>
  <w15:docId w15:val="{DAA58281-F2D0-483C-920D-47A521F0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04"/>
    <w:rPr>
      <w:rFonts w:ascii="Calibri Light" w:hAnsi="Calibri Light"/>
    </w:rPr>
  </w:style>
  <w:style w:type="paragraph" w:styleId="Heading1">
    <w:name w:val="heading 1"/>
    <w:aliases w:val="Section,1,h1,Header 1,H1,Main Heading,Heading 1a,Section Heading,H11,Heading 1 (NN),(cntl 1),1 ghost,g,heading 1,~SectionHeading,MAIN BODY HEADINGS (RED),B_Heading 1"/>
    <w:basedOn w:val="HEADINGL1BLUE"/>
    <w:next w:val="Normal"/>
    <w:link w:val="Heading1Char"/>
    <w:uiPriority w:val="99"/>
    <w:qFormat/>
    <w:rsid w:val="000766C5"/>
    <w:pPr>
      <w:pageBreakBefore/>
      <w:outlineLvl w:val="0"/>
    </w:pPr>
  </w:style>
  <w:style w:type="paragraph" w:styleId="Heading2">
    <w:name w:val="heading 2"/>
    <w:basedOn w:val="HEADINGL1BLUE"/>
    <w:next w:val="Normal"/>
    <w:link w:val="Heading2Char"/>
    <w:uiPriority w:val="9"/>
    <w:unhideWhenUsed/>
    <w:qFormat/>
    <w:rsid w:val="000766C5"/>
    <w:pPr>
      <w:numPr>
        <w:ilvl w:val="1"/>
      </w:numPr>
      <w:outlineLvl w:val="1"/>
    </w:pPr>
    <w:rPr>
      <w:sz w:val="24"/>
      <w:szCs w:val="24"/>
    </w:rPr>
  </w:style>
  <w:style w:type="paragraph" w:styleId="Heading3">
    <w:name w:val="heading 3"/>
    <w:basedOn w:val="Heading2"/>
    <w:next w:val="Normal"/>
    <w:link w:val="Heading3Char"/>
    <w:uiPriority w:val="9"/>
    <w:unhideWhenUsed/>
    <w:qFormat/>
    <w:rsid w:val="000766C5"/>
    <w:pPr>
      <w:numPr>
        <w:ilvl w:val="2"/>
      </w:numPr>
      <w:outlineLvl w:val="2"/>
    </w:pPr>
    <w:rPr>
      <w:i/>
      <w:sz w:val="22"/>
    </w:rPr>
  </w:style>
  <w:style w:type="paragraph" w:styleId="Heading4">
    <w:name w:val="heading 4"/>
    <w:basedOn w:val="Normal"/>
    <w:next w:val="Normal"/>
    <w:link w:val="Heading4Char"/>
    <w:uiPriority w:val="9"/>
    <w:unhideWhenUsed/>
    <w:qFormat/>
    <w:rsid w:val="008766AC"/>
    <w:pPr>
      <w:keepNext/>
      <w:keepLines/>
      <w:spacing w:before="40" w:after="0"/>
      <w:outlineLvl w:val="3"/>
    </w:pPr>
    <w:rPr>
      <w:rFonts w:asciiTheme="majorHAnsi" w:eastAsiaTheme="majorEastAsia" w:hAnsiTheme="majorHAnsi" w:cstheme="majorBidi"/>
      <w: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coverH1">
    <w:name w:val="Front cover H1"/>
    <w:basedOn w:val="Normal"/>
    <w:qFormat/>
    <w:rsid w:val="0010304D"/>
    <w:pPr>
      <w:spacing w:after="0" w:line="216" w:lineRule="auto"/>
      <w:ind w:left="669" w:right="669"/>
      <w:jc w:val="right"/>
    </w:pPr>
    <w:rPr>
      <w:rFonts w:asciiTheme="majorHAnsi" w:eastAsia="SimSun" w:hAnsiTheme="majorHAnsi" w:cstheme="majorHAnsi"/>
      <w:noProof/>
      <w:color w:val="ED7D31" w:themeColor="accent2"/>
      <w:sz w:val="64"/>
      <w:szCs w:val="64"/>
    </w:rPr>
  </w:style>
  <w:style w:type="paragraph" w:styleId="Header">
    <w:name w:val="header"/>
    <w:basedOn w:val="Normal"/>
    <w:link w:val="HeaderChar"/>
    <w:uiPriority w:val="99"/>
    <w:unhideWhenUsed/>
    <w:rsid w:val="00103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4D"/>
  </w:style>
  <w:style w:type="paragraph" w:styleId="Footer">
    <w:name w:val="footer"/>
    <w:basedOn w:val="Normal"/>
    <w:link w:val="FooterChar"/>
    <w:uiPriority w:val="99"/>
    <w:unhideWhenUsed/>
    <w:rsid w:val="00103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4D"/>
  </w:style>
  <w:style w:type="paragraph" w:styleId="NormalWeb">
    <w:name w:val="Normal (Web)"/>
    <w:basedOn w:val="Normal"/>
    <w:uiPriority w:val="99"/>
    <w:unhideWhenUsed/>
    <w:rsid w:val="0010304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1Char">
    <w:name w:val="Heading 1 Char"/>
    <w:aliases w:val="Section Char,1 Char,h1 Char,Header 1 Char,H1 Char,Main Heading Char,Heading 1a Char,Section Heading Char,H11 Char,Heading 1 (NN) Char,(cntl 1) Char,1 ghost Char,g Char,heading 1 Char,~SectionHeading Char,MAIN BODY HEADINGS (RED) Char"/>
    <w:basedOn w:val="DefaultParagraphFont"/>
    <w:link w:val="Heading1"/>
    <w:uiPriority w:val="99"/>
    <w:rsid w:val="008766AC"/>
    <w:rPr>
      <w:rFonts w:ascii="Arial" w:eastAsia="MS Gothic" w:hAnsi="Arial" w:cstheme="minorHAnsi"/>
      <w:b/>
      <w:bCs/>
      <w:color w:val="00B0F0"/>
      <w:sz w:val="28"/>
      <w:szCs w:val="28"/>
      <w:lang w:val="en-GB" w:eastAsia="en-AU"/>
    </w:rPr>
  </w:style>
  <w:style w:type="character" w:customStyle="1" w:styleId="Heading2Char">
    <w:name w:val="Heading 2 Char"/>
    <w:basedOn w:val="DefaultParagraphFont"/>
    <w:link w:val="Heading2"/>
    <w:uiPriority w:val="9"/>
    <w:rsid w:val="008766AC"/>
    <w:rPr>
      <w:rFonts w:ascii="Arial" w:eastAsia="MS Gothic" w:hAnsi="Arial" w:cstheme="minorHAnsi"/>
      <w:b/>
      <w:bCs/>
      <w:color w:val="00B0F0"/>
      <w:sz w:val="24"/>
      <w:szCs w:val="24"/>
      <w:lang w:val="en-GB" w:eastAsia="en-AU"/>
    </w:rPr>
  </w:style>
  <w:style w:type="character" w:customStyle="1" w:styleId="Heading3Char">
    <w:name w:val="Heading 3 Char"/>
    <w:basedOn w:val="DefaultParagraphFont"/>
    <w:link w:val="Heading3"/>
    <w:uiPriority w:val="9"/>
    <w:rsid w:val="00191ED6"/>
    <w:rPr>
      <w:rFonts w:ascii="Arial" w:eastAsia="MS Gothic" w:hAnsi="Arial" w:cstheme="minorHAnsi"/>
      <w:b/>
      <w:bCs/>
      <w:i/>
      <w:color w:val="00B0F0"/>
      <w:szCs w:val="24"/>
      <w:lang w:val="en-GB" w:eastAsia="en-AU"/>
    </w:rPr>
  </w:style>
  <w:style w:type="character" w:customStyle="1" w:styleId="Heading4Char">
    <w:name w:val="Heading 4 Char"/>
    <w:basedOn w:val="DefaultParagraphFont"/>
    <w:link w:val="Heading4"/>
    <w:uiPriority w:val="9"/>
    <w:rsid w:val="008766AC"/>
    <w:rPr>
      <w:rFonts w:asciiTheme="majorHAnsi" w:eastAsiaTheme="majorEastAsia" w:hAnsiTheme="majorHAnsi" w:cstheme="majorBidi"/>
      <w:i/>
      <w:iCs/>
      <w:color w:val="00B0F0"/>
    </w:rPr>
  </w:style>
  <w:style w:type="character" w:styleId="Hyperlink">
    <w:name w:val="Hyperlink"/>
    <w:basedOn w:val="DefaultParagraphFont"/>
    <w:uiPriority w:val="99"/>
    <w:unhideWhenUsed/>
    <w:rsid w:val="008766AC"/>
    <w:rPr>
      <w:color w:val="0563C1" w:themeColor="hyperlink"/>
      <w:u w:val="single"/>
    </w:rPr>
  </w:style>
  <w:style w:type="paragraph" w:customStyle="1" w:styleId="HEADINGL1BLUE">
    <w:name w:val="HEADING L1 (BLUE)"/>
    <w:basedOn w:val="Normal"/>
    <w:qFormat/>
    <w:rsid w:val="001F420D"/>
    <w:pPr>
      <w:numPr>
        <w:numId w:val="1"/>
      </w:numPr>
      <w:spacing w:after="200" w:line="300" w:lineRule="atLeast"/>
    </w:pPr>
    <w:rPr>
      <w:rFonts w:ascii="Arial" w:eastAsia="MS Gothic" w:hAnsi="Arial" w:cstheme="minorHAnsi"/>
      <w:b/>
      <w:bCs/>
      <w:color w:val="00B0F0"/>
      <w:sz w:val="28"/>
      <w:szCs w:val="28"/>
      <w:lang w:val="en-GB" w:eastAsia="en-AU"/>
    </w:rPr>
  </w:style>
  <w:style w:type="paragraph" w:styleId="ListParagraph">
    <w:name w:val="List Paragraph"/>
    <w:aliases w:val="CAB - List Bullet,List Bullet Cab,1 heading,Bullet point,Bulleted Para,DDM Gen Text,Dot point 1.5 line spacing,FooterText,L,List Paragraph - bullets,List Paragraph1,List Paragraph11,List Paragraph2,NFP GP Bulleted List,Recommendation,列出段落"/>
    <w:basedOn w:val="Normal"/>
    <w:link w:val="ListParagraphChar"/>
    <w:uiPriority w:val="34"/>
    <w:qFormat/>
    <w:rsid w:val="006B6C30"/>
    <w:pPr>
      <w:ind w:left="720"/>
      <w:contextualSpacing/>
    </w:pPr>
    <w:rPr>
      <w:rFonts w:eastAsia="SimSun"/>
    </w:rPr>
  </w:style>
  <w:style w:type="paragraph" w:styleId="FootnoteText">
    <w:name w:val="footnote text"/>
    <w:basedOn w:val="Normal"/>
    <w:link w:val="FootnoteTextChar"/>
    <w:uiPriority w:val="99"/>
    <w:semiHidden/>
    <w:unhideWhenUsed/>
    <w:rsid w:val="008766AC"/>
    <w:pPr>
      <w:spacing w:after="0" w:line="240" w:lineRule="auto"/>
    </w:pPr>
    <w:rPr>
      <w:rFonts w:ascii="Arial" w:eastAsia="SimSun" w:hAnsi="Arial"/>
      <w:sz w:val="20"/>
      <w:szCs w:val="20"/>
    </w:rPr>
  </w:style>
  <w:style w:type="character" w:customStyle="1" w:styleId="FootnoteTextChar">
    <w:name w:val="Footnote Text Char"/>
    <w:basedOn w:val="DefaultParagraphFont"/>
    <w:link w:val="FootnoteText"/>
    <w:uiPriority w:val="99"/>
    <w:semiHidden/>
    <w:rsid w:val="008766AC"/>
    <w:rPr>
      <w:rFonts w:ascii="Arial" w:eastAsia="SimSun" w:hAnsi="Arial"/>
      <w:sz w:val="20"/>
      <w:szCs w:val="20"/>
    </w:rPr>
  </w:style>
  <w:style w:type="character" w:styleId="FootnoteReference">
    <w:name w:val="footnote reference"/>
    <w:basedOn w:val="DefaultParagraphFont"/>
    <w:uiPriority w:val="99"/>
    <w:semiHidden/>
    <w:unhideWhenUsed/>
    <w:rsid w:val="008766AC"/>
    <w:rPr>
      <w:vertAlign w:val="superscript"/>
    </w:rPr>
  </w:style>
  <w:style w:type="paragraph" w:styleId="TOCHeading">
    <w:name w:val="TOC Heading"/>
    <w:basedOn w:val="Heading1"/>
    <w:next w:val="Normal"/>
    <w:uiPriority w:val="39"/>
    <w:unhideWhenUsed/>
    <w:qFormat/>
    <w:rsid w:val="008766AC"/>
    <w:pPr>
      <w:keepNext/>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A2491B"/>
    <w:pPr>
      <w:spacing w:after="100" w:line="240" w:lineRule="auto"/>
    </w:pPr>
    <w:rPr>
      <w:rFonts w:ascii="Arial" w:eastAsia="SimSun" w:hAnsi="Arial"/>
    </w:rPr>
  </w:style>
  <w:style w:type="paragraph" w:styleId="TOC2">
    <w:name w:val="toc 2"/>
    <w:basedOn w:val="Normal"/>
    <w:next w:val="Normal"/>
    <w:autoRedefine/>
    <w:uiPriority w:val="39"/>
    <w:unhideWhenUsed/>
    <w:rsid w:val="00F118BB"/>
    <w:pPr>
      <w:tabs>
        <w:tab w:val="left" w:pos="880"/>
        <w:tab w:val="right" w:leader="dot" w:pos="9016"/>
      </w:tabs>
      <w:spacing w:after="100" w:line="240" w:lineRule="auto"/>
      <w:ind w:left="220"/>
    </w:pPr>
    <w:rPr>
      <w:rFonts w:ascii="Arial" w:eastAsia="SimSun" w:hAnsi="Arial"/>
    </w:rPr>
  </w:style>
  <w:style w:type="character" w:styleId="CommentReference">
    <w:name w:val="annotation reference"/>
    <w:basedOn w:val="DefaultParagraphFont"/>
    <w:uiPriority w:val="99"/>
    <w:semiHidden/>
    <w:unhideWhenUsed/>
    <w:rsid w:val="001D352F"/>
    <w:rPr>
      <w:sz w:val="16"/>
      <w:szCs w:val="16"/>
    </w:rPr>
  </w:style>
  <w:style w:type="paragraph" w:styleId="CommentText">
    <w:name w:val="annotation text"/>
    <w:basedOn w:val="Normal"/>
    <w:link w:val="CommentTextChar"/>
    <w:uiPriority w:val="99"/>
    <w:unhideWhenUsed/>
    <w:rsid w:val="001D352F"/>
    <w:pPr>
      <w:spacing w:line="240" w:lineRule="auto"/>
    </w:pPr>
    <w:rPr>
      <w:sz w:val="20"/>
      <w:szCs w:val="20"/>
    </w:rPr>
  </w:style>
  <w:style w:type="character" w:customStyle="1" w:styleId="CommentTextChar">
    <w:name w:val="Comment Text Char"/>
    <w:basedOn w:val="DefaultParagraphFont"/>
    <w:link w:val="CommentText"/>
    <w:uiPriority w:val="99"/>
    <w:rsid w:val="001D352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1D352F"/>
    <w:rPr>
      <w:b/>
      <w:bCs/>
    </w:rPr>
  </w:style>
  <w:style w:type="character" w:customStyle="1" w:styleId="CommentSubjectChar">
    <w:name w:val="Comment Subject Char"/>
    <w:basedOn w:val="CommentTextChar"/>
    <w:link w:val="CommentSubject"/>
    <w:uiPriority w:val="99"/>
    <w:semiHidden/>
    <w:rsid w:val="001D352F"/>
    <w:rPr>
      <w:rFonts w:ascii="Calibri Light" w:hAnsi="Calibri Light"/>
      <w:b/>
      <w:bCs/>
      <w:sz w:val="20"/>
      <w:szCs w:val="20"/>
    </w:rPr>
  </w:style>
  <w:style w:type="paragraph" w:styleId="BalloonText">
    <w:name w:val="Balloon Text"/>
    <w:basedOn w:val="Normal"/>
    <w:link w:val="BalloonTextChar"/>
    <w:uiPriority w:val="99"/>
    <w:semiHidden/>
    <w:unhideWhenUsed/>
    <w:rsid w:val="001D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52F"/>
    <w:rPr>
      <w:rFonts w:ascii="Segoe UI" w:hAnsi="Segoe UI" w:cs="Segoe UI"/>
      <w:sz w:val="18"/>
      <w:szCs w:val="18"/>
    </w:rPr>
  </w:style>
  <w:style w:type="paragraph" w:styleId="TOC3">
    <w:name w:val="toc 3"/>
    <w:basedOn w:val="Normal"/>
    <w:next w:val="Normal"/>
    <w:autoRedefine/>
    <w:uiPriority w:val="39"/>
    <w:unhideWhenUsed/>
    <w:rsid w:val="00FC492A"/>
    <w:pPr>
      <w:tabs>
        <w:tab w:val="left" w:pos="1320"/>
        <w:tab w:val="right" w:leader="dot" w:pos="9016"/>
      </w:tabs>
      <w:spacing w:after="100"/>
      <w:ind w:left="440"/>
    </w:pPr>
    <w:rPr>
      <w:rFonts w:ascii="Arial" w:hAnsi="Arial"/>
      <w:noProof/>
    </w:rPr>
  </w:style>
  <w:style w:type="paragraph" w:customStyle="1" w:styleId="MACtableheaderrow">
    <w:name w:val="MAC table header row"/>
    <w:basedOn w:val="Normal"/>
    <w:next w:val="Normal"/>
    <w:rsid w:val="00C8195A"/>
    <w:pPr>
      <w:keepNext/>
      <w:overflowPunct w:val="0"/>
      <w:autoSpaceDE w:val="0"/>
      <w:autoSpaceDN w:val="0"/>
      <w:adjustRightInd w:val="0"/>
      <w:spacing w:before="40" w:after="40" w:line="240" w:lineRule="atLeast"/>
    </w:pPr>
    <w:rPr>
      <w:rFonts w:asciiTheme="minorHAnsi" w:eastAsia="Times New Roman" w:hAnsiTheme="minorHAnsi" w:cs="Times New Roman"/>
      <w:b/>
      <w:bCs/>
      <w:color w:val="000000" w:themeColor="text1"/>
      <w:sz w:val="20"/>
      <w:szCs w:val="20"/>
    </w:rPr>
  </w:style>
  <w:style w:type="character" w:customStyle="1" w:styleId="MACtablebulletL1Char">
    <w:name w:val="MAC table bullet L1 Char"/>
    <w:basedOn w:val="DefaultParagraphFont"/>
    <w:link w:val="MACtablebulletL1"/>
    <w:locked/>
    <w:rsid w:val="00C8195A"/>
    <w:rPr>
      <w:rFonts w:ascii="Times New Roman" w:eastAsia="Times New Roman" w:hAnsi="Times New Roman" w:cs="Times New Roman"/>
      <w:color w:val="000000" w:themeColor="text1"/>
      <w:sz w:val="18"/>
      <w:szCs w:val="24"/>
    </w:rPr>
  </w:style>
  <w:style w:type="paragraph" w:customStyle="1" w:styleId="MACtablebulletL1">
    <w:name w:val="MAC table bullet L1"/>
    <w:basedOn w:val="Normal"/>
    <w:link w:val="MACtablebulletL1Char"/>
    <w:rsid w:val="000766C5"/>
    <w:pPr>
      <w:numPr>
        <w:numId w:val="3"/>
      </w:numPr>
      <w:tabs>
        <w:tab w:val="left" w:pos="357"/>
      </w:tabs>
      <w:spacing w:before="40" w:after="40" w:line="220" w:lineRule="atLeast"/>
    </w:pPr>
    <w:rPr>
      <w:rFonts w:ascii="Times New Roman" w:eastAsia="Times New Roman" w:hAnsi="Times New Roman" w:cs="Times New Roman"/>
      <w:color w:val="000000" w:themeColor="text1"/>
      <w:sz w:val="18"/>
      <w:szCs w:val="24"/>
    </w:rPr>
  </w:style>
  <w:style w:type="character" w:styleId="Strong">
    <w:name w:val="Strong"/>
    <w:basedOn w:val="DefaultParagraphFont"/>
    <w:uiPriority w:val="22"/>
    <w:qFormat/>
    <w:rsid w:val="00D435CC"/>
    <w:rPr>
      <w:b/>
      <w:bCs/>
    </w:rPr>
  </w:style>
  <w:style w:type="paragraph" w:styleId="Revision">
    <w:name w:val="Revision"/>
    <w:hidden/>
    <w:uiPriority w:val="99"/>
    <w:semiHidden/>
    <w:rsid w:val="00324ED4"/>
    <w:pPr>
      <w:spacing w:after="0" w:line="240" w:lineRule="auto"/>
    </w:pPr>
    <w:rPr>
      <w:rFonts w:ascii="Calibri Light" w:hAnsi="Calibri Light"/>
    </w:rPr>
  </w:style>
  <w:style w:type="table" w:styleId="TableGrid">
    <w:name w:val="Table Grid"/>
    <w:basedOn w:val="TableNormal"/>
    <w:uiPriority w:val="39"/>
    <w:rsid w:val="00675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757D4"/>
  </w:style>
  <w:style w:type="character" w:customStyle="1" w:styleId="ListParagraphChar">
    <w:name w:val="List Paragraph Char"/>
    <w:aliases w:val="CAB - List Bullet Char,List Bullet Cab Char,1 heading Char,Bullet point Char,Bulleted Para Char,DDM Gen Text Char,Dot point 1.5 line spacing Char,FooterText Char,L Char,List Paragraph - bullets Char,List Paragraph1 Char,列出段落 Char"/>
    <w:link w:val="ListParagraph"/>
    <w:uiPriority w:val="34"/>
    <w:qFormat/>
    <w:locked/>
    <w:rsid w:val="00DC696A"/>
    <w:rPr>
      <w:rFonts w:ascii="Calibri Light" w:eastAsia="SimSun" w:hAnsi="Calibri Light"/>
    </w:rPr>
  </w:style>
  <w:style w:type="paragraph" w:customStyle="1" w:styleId="paragraph">
    <w:name w:val="paragraph"/>
    <w:basedOn w:val="Normal"/>
    <w:rsid w:val="000047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047A4"/>
  </w:style>
  <w:style w:type="character" w:customStyle="1" w:styleId="eop">
    <w:name w:val="eop"/>
    <w:basedOn w:val="DefaultParagraphFont"/>
    <w:rsid w:val="000047A4"/>
  </w:style>
  <w:style w:type="character" w:styleId="Emphasis">
    <w:name w:val="Emphasis"/>
    <w:basedOn w:val="DefaultParagraphFont"/>
    <w:uiPriority w:val="20"/>
    <w:qFormat/>
    <w:rsid w:val="001A0C99"/>
    <w:rPr>
      <w:i/>
      <w:iCs/>
    </w:rPr>
  </w:style>
  <w:style w:type="character" w:styleId="UnresolvedMention">
    <w:name w:val="Unresolved Mention"/>
    <w:basedOn w:val="DefaultParagraphFont"/>
    <w:uiPriority w:val="99"/>
    <w:unhideWhenUsed/>
    <w:rsid w:val="00E65D7F"/>
    <w:rPr>
      <w:color w:val="605E5C"/>
      <w:shd w:val="clear" w:color="auto" w:fill="E1DFDD"/>
    </w:rPr>
  </w:style>
  <w:style w:type="character" w:styleId="Mention">
    <w:name w:val="Mention"/>
    <w:basedOn w:val="DefaultParagraphFont"/>
    <w:uiPriority w:val="99"/>
    <w:unhideWhenUsed/>
    <w:rsid w:val="00106C92"/>
    <w:rPr>
      <w:color w:val="2B579A"/>
      <w:shd w:val="clear" w:color="auto" w:fill="E1DFDD"/>
    </w:rPr>
  </w:style>
  <w:style w:type="table" w:styleId="GridTable5Dark-Accent1">
    <w:name w:val="Grid Table 5 Dark Accent 1"/>
    <w:basedOn w:val="TableNormal"/>
    <w:uiPriority w:val="50"/>
    <w:rsid w:val="00E20A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
    <w:name w:val="Grid Table 1 Light"/>
    <w:basedOn w:val="TableNormal"/>
    <w:uiPriority w:val="46"/>
    <w:rsid w:val="005D3B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
    <w:name w:val="List Number"/>
    <w:basedOn w:val="Normal"/>
    <w:uiPriority w:val="99"/>
    <w:qFormat/>
    <w:rsid w:val="000D7A20"/>
    <w:pPr>
      <w:numPr>
        <w:numId w:val="39"/>
      </w:numPr>
      <w:spacing w:after="200" w:line="276" w:lineRule="auto"/>
    </w:pPr>
    <w:rPr>
      <w:rFonts w:ascii="Arial" w:eastAsia="Calibri" w:hAnsi="Arial" w:cs="Times New Roman"/>
    </w:rPr>
  </w:style>
  <w:style w:type="paragraph" w:styleId="ListNumber2">
    <w:name w:val="List Number 2"/>
    <w:basedOn w:val="Normal"/>
    <w:uiPriority w:val="99"/>
    <w:rsid w:val="000D7A20"/>
    <w:pPr>
      <w:numPr>
        <w:ilvl w:val="1"/>
        <w:numId w:val="39"/>
      </w:numPr>
      <w:spacing w:after="200" w:line="276" w:lineRule="auto"/>
    </w:pPr>
    <w:rPr>
      <w:rFonts w:ascii="Arial" w:eastAsia="Calibri" w:hAnsi="Arial" w:cs="Times New Roman"/>
    </w:rPr>
  </w:style>
  <w:style w:type="paragraph" w:styleId="ListNumber3">
    <w:name w:val="List Number 3"/>
    <w:basedOn w:val="Normal"/>
    <w:uiPriority w:val="99"/>
    <w:rsid w:val="000D7A20"/>
    <w:pPr>
      <w:numPr>
        <w:ilvl w:val="2"/>
        <w:numId w:val="39"/>
      </w:numPr>
      <w:spacing w:after="200" w:line="276" w:lineRule="auto"/>
    </w:pPr>
    <w:rPr>
      <w:rFonts w:ascii="Arial" w:eastAsia="Calibri" w:hAnsi="Arial" w:cs="Times New Roman"/>
    </w:rPr>
  </w:style>
  <w:style w:type="paragraph" w:styleId="ListNumber4">
    <w:name w:val="List Number 4"/>
    <w:basedOn w:val="Normal"/>
    <w:uiPriority w:val="99"/>
    <w:rsid w:val="000D7A20"/>
    <w:pPr>
      <w:numPr>
        <w:ilvl w:val="3"/>
        <w:numId w:val="39"/>
      </w:numPr>
      <w:spacing w:after="200" w:line="276" w:lineRule="auto"/>
    </w:pPr>
    <w:rPr>
      <w:rFonts w:ascii="Arial" w:eastAsia="Calibri" w:hAnsi="Arial" w:cs="Times New Roman"/>
    </w:rPr>
  </w:style>
  <w:style w:type="paragraph" w:styleId="ListNumber5">
    <w:name w:val="List Number 5"/>
    <w:basedOn w:val="Normal"/>
    <w:uiPriority w:val="99"/>
    <w:rsid w:val="000D7A20"/>
    <w:pPr>
      <w:numPr>
        <w:ilvl w:val="4"/>
        <w:numId w:val="39"/>
      </w:numPr>
      <w:spacing w:after="200" w:line="276" w:lineRule="auto"/>
    </w:pPr>
    <w:rPr>
      <w:rFonts w:ascii="Arial" w:eastAsia="Calibri" w:hAnsi="Arial" w:cs="Times New Roman"/>
    </w:rPr>
  </w:style>
  <w:style w:type="character" w:customStyle="1" w:styleId="TabletextChar">
    <w:name w:val="Table text Char"/>
    <w:basedOn w:val="DefaultParagraphFont"/>
    <w:link w:val="Tabletext"/>
    <w:locked/>
    <w:rsid w:val="00742C74"/>
    <w:rPr>
      <w:rFonts w:ascii="Times New Roman" w:eastAsia="Times New Roman" w:hAnsi="Times New Roman" w:cs="Times New Roman"/>
      <w:color w:val="000000" w:themeColor="text1"/>
      <w:sz w:val="18"/>
      <w:szCs w:val="18"/>
    </w:rPr>
  </w:style>
  <w:style w:type="paragraph" w:customStyle="1" w:styleId="Tabletext">
    <w:name w:val="Table text"/>
    <w:basedOn w:val="Normal"/>
    <w:link w:val="TabletextChar"/>
    <w:qFormat/>
    <w:rsid w:val="00742C74"/>
    <w:pPr>
      <w:overflowPunct w:val="0"/>
      <w:autoSpaceDE w:val="0"/>
      <w:autoSpaceDN w:val="0"/>
      <w:adjustRightInd w:val="0"/>
      <w:spacing w:before="40" w:after="40" w:line="220" w:lineRule="atLeast"/>
    </w:pPr>
    <w:rPr>
      <w:rFonts w:ascii="Times New Roman" w:eastAsia="Times New Roman" w:hAnsi="Times New Roman" w:cs="Times New Roman"/>
      <w:color w:val="000000" w:themeColor="text1"/>
      <w:sz w:val="18"/>
      <w:szCs w:val="18"/>
    </w:rPr>
  </w:style>
  <w:style w:type="character" w:styleId="FollowedHyperlink">
    <w:name w:val="FollowedHyperlink"/>
    <w:basedOn w:val="DefaultParagraphFont"/>
    <w:uiPriority w:val="99"/>
    <w:semiHidden/>
    <w:unhideWhenUsed/>
    <w:rsid w:val="009A6E4F"/>
    <w:rPr>
      <w:color w:val="954F72" w:themeColor="followedHyperlink"/>
      <w:u w:val="single"/>
    </w:rPr>
  </w:style>
  <w:style w:type="table" w:styleId="GridTable2-Accent1">
    <w:name w:val="Grid Table 2 Accent 1"/>
    <w:basedOn w:val="TableNormal"/>
    <w:uiPriority w:val="47"/>
    <w:rsid w:val="00AA320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rag-defterm">
    <w:name w:val="frag-defterm"/>
    <w:basedOn w:val="DefaultParagraphFont"/>
    <w:rsid w:val="00E6002A"/>
  </w:style>
  <w:style w:type="character" w:customStyle="1" w:styleId="frag-name">
    <w:name w:val="frag-name"/>
    <w:basedOn w:val="DefaultParagraphFont"/>
    <w:rsid w:val="00E6002A"/>
  </w:style>
  <w:style w:type="paragraph" w:styleId="Caption">
    <w:name w:val="caption"/>
    <w:basedOn w:val="Normal"/>
    <w:next w:val="Normal"/>
    <w:uiPriority w:val="35"/>
    <w:unhideWhenUsed/>
    <w:qFormat/>
    <w:rsid w:val="00005A4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517">
      <w:bodyDiv w:val="1"/>
      <w:marLeft w:val="0"/>
      <w:marRight w:val="0"/>
      <w:marTop w:val="0"/>
      <w:marBottom w:val="0"/>
      <w:divBdr>
        <w:top w:val="none" w:sz="0" w:space="0" w:color="auto"/>
        <w:left w:val="none" w:sz="0" w:space="0" w:color="auto"/>
        <w:bottom w:val="none" w:sz="0" w:space="0" w:color="auto"/>
        <w:right w:val="none" w:sz="0" w:space="0" w:color="auto"/>
      </w:divBdr>
    </w:div>
    <w:div w:id="130750416">
      <w:bodyDiv w:val="1"/>
      <w:marLeft w:val="0"/>
      <w:marRight w:val="0"/>
      <w:marTop w:val="0"/>
      <w:marBottom w:val="0"/>
      <w:divBdr>
        <w:top w:val="none" w:sz="0" w:space="0" w:color="auto"/>
        <w:left w:val="none" w:sz="0" w:space="0" w:color="auto"/>
        <w:bottom w:val="none" w:sz="0" w:space="0" w:color="auto"/>
        <w:right w:val="none" w:sz="0" w:space="0" w:color="auto"/>
      </w:divBdr>
    </w:div>
    <w:div w:id="225603327">
      <w:bodyDiv w:val="1"/>
      <w:marLeft w:val="0"/>
      <w:marRight w:val="0"/>
      <w:marTop w:val="0"/>
      <w:marBottom w:val="0"/>
      <w:divBdr>
        <w:top w:val="none" w:sz="0" w:space="0" w:color="auto"/>
        <w:left w:val="none" w:sz="0" w:space="0" w:color="auto"/>
        <w:bottom w:val="none" w:sz="0" w:space="0" w:color="auto"/>
        <w:right w:val="none" w:sz="0" w:space="0" w:color="auto"/>
      </w:divBdr>
    </w:div>
    <w:div w:id="248780799">
      <w:bodyDiv w:val="1"/>
      <w:marLeft w:val="0"/>
      <w:marRight w:val="0"/>
      <w:marTop w:val="0"/>
      <w:marBottom w:val="0"/>
      <w:divBdr>
        <w:top w:val="none" w:sz="0" w:space="0" w:color="auto"/>
        <w:left w:val="none" w:sz="0" w:space="0" w:color="auto"/>
        <w:bottom w:val="none" w:sz="0" w:space="0" w:color="auto"/>
        <w:right w:val="none" w:sz="0" w:space="0" w:color="auto"/>
      </w:divBdr>
      <w:divsChild>
        <w:div w:id="1079522768">
          <w:marLeft w:val="274"/>
          <w:marRight w:val="0"/>
          <w:marTop w:val="0"/>
          <w:marBottom w:val="0"/>
          <w:divBdr>
            <w:top w:val="none" w:sz="0" w:space="0" w:color="auto"/>
            <w:left w:val="none" w:sz="0" w:space="0" w:color="auto"/>
            <w:bottom w:val="none" w:sz="0" w:space="0" w:color="auto"/>
            <w:right w:val="none" w:sz="0" w:space="0" w:color="auto"/>
          </w:divBdr>
        </w:div>
        <w:div w:id="1081565909">
          <w:marLeft w:val="274"/>
          <w:marRight w:val="0"/>
          <w:marTop w:val="0"/>
          <w:marBottom w:val="0"/>
          <w:divBdr>
            <w:top w:val="none" w:sz="0" w:space="0" w:color="auto"/>
            <w:left w:val="none" w:sz="0" w:space="0" w:color="auto"/>
            <w:bottom w:val="none" w:sz="0" w:space="0" w:color="auto"/>
            <w:right w:val="none" w:sz="0" w:space="0" w:color="auto"/>
          </w:divBdr>
        </w:div>
        <w:div w:id="1117213495">
          <w:marLeft w:val="274"/>
          <w:marRight w:val="0"/>
          <w:marTop w:val="0"/>
          <w:marBottom w:val="0"/>
          <w:divBdr>
            <w:top w:val="none" w:sz="0" w:space="0" w:color="auto"/>
            <w:left w:val="none" w:sz="0" w:space="0" w:color="auto"/>
            <w:bottom w:val="none" w:sz="0" w:space="0" w:color="auto"/>
            <w:right w:val="none" w:sz="0" w:space="0" w:color="auto"/>
          </w:divBdr>
        </w:div>
        <w:div w:id="1235504856">
          <w:marLeft w:val="274"/>
          <w:marRight w:val="0"/>
          <w:marTop w:val="0"/>
          <w:marBottom w:val="0"/>
          <w:divBdr>
            <w:top w:val="none" w:sz="0" w:space="0" w:color="auto"/>
            <w:left w:val="none" w:sz="0" w:space="0" w:color="auto"/>
            <w:bottom w:val="none" w:sz="0" w:space="0" w:color="auto"/>
            <w:right w:val="none" w:sz="0" w:space="0" w:color="auto"/>
          </w:divBdr>
        </w:div>
      </w:divsChild>
    </w:div>
    <w:div w:id="392696957">
      <w:bodyDiv w:val="1"/>
      <w:marLeft w:val="0"/>
      <w:marRight w:val="0"/>
      <w:marTop w:val="0"/>
      <w:marBottom w:val="0"/>
      <w:divBdr>
        <w:top w:val="none" w:sz="0" w:space="0" w:color="auto"/>
        <w:left w:val="none" w:sz="0" w:space="0" w:color="auto"/>
        <w:bottom w:val="none" w:sz="0" w:space="0" w:color="auto"/>
        <w:right w:val="none" w:sz="0" w:space="0" w:color="auto"/>
      </w:divBdr>
    </w:div>
    <w:div w:id="416901408">
      <w:bodyDiv w:val="1"/>
      <w:marLeft w:val="0"/>
      <w:marRight w:val="0"/>
      <w:marTop w:val="0"/>
      <w:marBottom w:val="0"/>
      <w:divBdr>
        <w:top w:val="none" w:sz="0" w:space="0" w:color="auto"/>
        <w:left w:val="none" w:sz="0" w:space="0" w:color="auto"/>
        <w:bottom w:val="none" w:sz="0" w:space="0" w:color="auto"/>
        <w:right w:val="none" w:sz="0" w:space="0" w:color="auto"/>
      </w:divBdr>
    </w:div>
    <w:div w:id="519129789">
      <w:bodyDiv w:val="1"/>
      <w:marLeft w:val="0"/>
      <w:marRight w:val="0"/>
      <w:marTop w:val="0"/>
      <w:marBottom w:val="0"/>
      <w:divBdr>
        <w:top w:val="none" w:sz="0" w:space="0" w:color="auto"/>
        <w:left w:val="none" w:sz="0" w:space="0" w:color="auto"/>
        <w:bottom w:val="none" w:sz="0" w:space="0" w:color="auto"/>
        <w:right w:val="none" w:sz="0" w:space="0" w:color="auto"/>
      </w:divBdr>
    </w:div>
    <w:div w:id="711998507">
      <w:bodyDiv w:val="1"/>
      <w:marLeft w:val="0"/>
      <w:marRight w:val="0"/>
      <w:marTop w:val="0"/>
      <w:marBottom w:val="0"/>
      <w:divBdr>
        <w:top w:val="none" w:sz="0" w:space="0" w:color="auto"/>
        <w:left w:val="none" w:sz="0" w:space="0" w:color="auto"/>
        <w:bottom w:val="none" w:sz="0" w:space="0" w:color="auto"/>
        <w:right w:val="none" w:sz="0" w:space="0" w:color="auto"/>
      </w:divBdr>
    </w:div>
    <w:div w:id="819077725">
      <w:bodyDiv w:val="1"/>
      <w:marLeft w:val="0"/>
      <w:marRight w:val="0"/>
      <w:marTop w:val="0"/>
      <w:marBottom w:val="0"/>
      <w:divBdr>
        <w:top w:val="none" w:sz="0" w:space="0" w:color="auto"/>
        <w:left w:val="none" w:sz="0" w:space="0" w:color="auto"/>
        <w:bottom w:val="none" w:sz="0" w:space="0" w:color="auto"/>
        <w:right w:val="none" w:sz="0" w:space="0" w:color="auto"/>
      </w:divBdr>
      <w:divsChild>
        <w:div w:id="571083270">
          <w:marLeft w:val="144"/>
          <w:marRight w:val="0"/>
          <w:marTop w:val="0"/>
          <w:marBottom w:val="0"/>
          <w:divBdr>
            <w:top w:val="none" w:sz="0" w:space="0" w:color="auto"/>
            <w:left w:val="none" w:sz="0" w:space="0" w:color="auto"/>
            <w:bottom w:val="none" w:sz="0" w:space="0" w:color="auto"/>
            <w:right w:val="none" w:sz="0" w:space="0" w:color="auto"/>
          </w:divBdr>
        </w:div>
        <w:div w:id="919406120">
          <w:marLeft w:val="144"/>
          <w:marRight w:val="0"/>
          <w:marTop w:val="0"/>
          <w:marBottom w:val="0"/>
          <w:divBdr>
            <w:top w:val="none" w:sz="0" w:space="0" w:color="auto"/>
            <w:left w:val="none" w:sz="0" w:space="0" w:color="auto"/>
            <w:bottom w:val="none" w:sz="0" w:space="0" w:color="auto"/>
            <w:right w:val="none" w:sz="0" w:space="0" w:color="auto"/>
          </w:divBdr>
        </w:div>
        <w:div w:id="1295482758">
          <w:marLeft w:val="144"/>
          <w:marRight w:val="0"/>
          <w:marTop w:val="0"/>
          <w:marBottom w:val="0"/>
          <w:divBdr>
            <w:top w:val="none" w:sz="0" w:space="0" w:color="auto"/>
            <w:left w:val="none" w:sz="0" w:space="0" w:color="auto"/>
            <w:bottom w:val="none" w:sz="0" w:space="0" w:color="auto"/>
            <w:right w:val="none" w:sz="0" w:space="0" w:color="auto"/>
          </w:divBdr>
        </w:div>
        <w:div w:id="1523083742">
          <w:marLeft w:val="144"/>
          <w:marRight w:val="0"/>
          <w:marTop w:val="0"/>
          <w:marBottom w:val="0"/>
          <w:divBdr>
            <w:top w:val="none" w:sz="0" w:space="0" w:color="auto"/>
            <w:left w:val="none" w:sz="0" w:space="0" w:color="auto"/>
            <w:bottom w:val="none" w:sz="0" w:space="0" w:color="auto"/>
            <w:right w:val="none" w:sz="0" w:space="0" w:color="auto"/>
          </w:divBdr>
        </w:div>
        <w:div w:id="1592354067">
          <w:marLeft w:val="144"/>
          <w:marRight w:val="0"/>
          <w:marTop w:val="0"/>
          <w:marBottom w:val="0"/>
          <w:divBdr>
            <w:top w:val="none" w:sz="0" w:space="0" w:color="auto"/>
            <w:left w:val="none" w:sz="0" w:space="0" w:color="auto"/>
            <w:bottom w:val="none" w:sz="0" w:space="0" w:color="auto"/>
            <w:right w:val="none" w:sz="0" w:space="0" w:color="auto"/>
          </w:divBdr>
        </w:div>
        <w:div w:id="1957373666">
          <w:marLeft w:val="144"/>
          <w:marRight w:val="0"/>
          <w:marTop w:val="0"/>
          <w:marBottom w:val="0"/>
          <w:divBdr>
            <w:top w:val="none" w:sz="0" w:space="0" w:color="auto"/>
            <w:left w:val="none" w:sz="0" w:space="0" w:color="auto"/>
            <w:bottom w:val="none" w:sz="0" w:space="0" w:color="auto"/>
            <w:right w:val="none" w:sz="0" w:space="0" w:color="auto"/>
          </w:divBdr>
        </w:div>
      </w:divsChild>
    </w:div>
    <w:div w:id="824319834">
      <w:bodyDiv w:val="1"/>
      <w:marLeft w:val="0"/>
      <w:marRight w:val="0"/>
      <w:marTop w:val="0"/>
      <w:marBottom w:val="0"/>
      <w:divBdr>
        <w:top w:val="none" w:sz="0" w:space="0" w:color="auto"/>
        <w:left w:val="none" w:sz="0" w:space="0" w:color="auto"/>
        <w:bottom w:val="none" w:sz="0" w:space="0" w:color="auto"/>
        <w:right w:val="none" w:sz="0" w:space="0" w:color="auto"/>
      </w:divBdr>
    </w:div>
    <w:div w:id="848837192">
      <w:bodyDiv w:val="1"/>
      <w:marLeft w:val="0"/>
      <w:marRight w:val="0"/>
      <w:marTop w:val="0"/>
      <w:marBottom w:val="0"/>
      <w:divBdr>
        <w:top w:val="none" w:sz="0" w:space="0" w:color="auto"/>
        <w:left w:val="none" w:sz="0" w:space="0" w:color="auto"/>
        <w:bottom w:val="none" w:sz="0" w:space="0" w:color="auto"/>
        <w:right w:val="none" w:sz="0" w:space="0" w:color="auto"/>
      </w:divBdr>
    </w:div>
    <w:div w:id="1216088221">
      <w:bodyDiv w:val="1"/>
      <w:marLeft w:val="0"/>
      <w:marRight w:val="0"/>
      <w:marTop w:val="0"/>
      <w:marBottom w:val="0"/>
      <w:divBdr>
        <w:top w:val="none" w:sz="0" w:space="0" w:color="auto"/>
        <w:left w:val="none" w:sz="0" w:space="0" w:color="auto"/>
        <w:bottom w:val="none" w:sz="0" w:space="0" w:color="auto"/>
        <w:right w:val="none" w:sz="0" w:space="0" w:color="auto"/>
      </w:divBdr>
    </w:div>
    <w:div w:id="1282346922">
      <w:bodyDiv w:val="1"/>
      <w:marLeft w:val="0"/>
      <w:marRight w:val="0"/>
      <w:marTop w:val="0"/>
      <w:marBottom w:val="0"/>
      <w:divBdr>
        <w:top w:val="none" w:sz="0" w:space="0" w:color="auto"/>
        <w:left w:val="none" w:sz="0" w:space="0" w:color="auto"/>
        <w:bottom w:val="none" w:sz="0" w:space="0" w:color="auto"/>
        <w:right w:val="none" w:sz="0" w:space="0" w:color="auto"/>
      </w:divBdr>
    </w:div>
    <w:div w:id="1358265709">
      <w:bodyDiv w:val="1"/>
      <w:marLeft w:val="0"/>
      <w:marRight w:val="0"/>
      <w:marTop w:val="0"/>
      <w:marBottom w:val="0"/>
      <w:divBdr>
        <w:top w:val="none" w:sz="0" w:space="0" w:color="auto"/>
        <w:left w:val="none" w:sz="0" w:space="0" w:color="auto"/>
        <w:bottom w:val="none" w:sz="0" w:space="0" w:color="auto"/>
        <w:right w:val="none" w:sz="0" w:space="0" w:color="auto"/>
      </w:divBdr>
      <w:divsChild>
        <w:div w:id="941840500">
          <w:marLeft w:val="274"/>
          <w:marRight w:val="0"/>
          <w:marTop w:val="0"/>
          <w:marBottom w:val="0"/>
          <w:divBdr>
            <w:top w:val="none" w:sz="0" w:space="0" w:color="auto"/>
            <w:left w:val="none" w:sz="0" w:space="0" w:color="auto"/>
            <w:bottom w:val="none" w:sz="0" w:space="0" w:color="auto"/>
            <w:right w:val="none" w:sz="0" w:space="0" w:color="auto"/>
          </w:divBdr>
        </w:div>
        <w:div w:id="969019302">
          <w:marLeft w:val="274"/>
          <w:marRight w:val="0"/>
          <w:marTop w:val="0"/>
          <w:marBottom w:val="0"/>
          <w:divBdr>
            <w:top w:val="none" w:sz="0" w:space="0" w:color="auto"/>
            <w:left w:val="none" w:sz="0" w:space="0" w:color="auto"/>
            <w:bottom w:val="none" w:sz="0" w:space="0" w:color="auto"/>
            <w:right w:val="none" w:sz="0" w:space="0" w:color="auto"/>
          </w:divBdr>
        </w:div>
        <w:div w:id="1684748370">
          <w:marLeft w:val="274"/>
          <w:marRight w:val="0"/>
          <w:marTop w:val="0"/>
          <w:marBottom w:val="0"/>
          <w:divBdr>
            <w:top w:val="none" w:sz="0" w:space="0" w:color="auto"/>
            <w:left w:val="none" w:sz="0" w:space="0" w:color="auto"/>
            <w:bottom w:val="none" w:sz="0" w:space="0" w:color="auto"/>
            <w:right w:val="none" w:sz="0" w:space="0" w:color="auto"/>
          </w:divBdr>
        </w:div>
      </w:divsChild>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39253681">
      <w:bodyDiv w:val="1"/>
      <w:marLeft w:val="0"/>
      <w:marRight w:val="0"/>
      <w:marTop w:val="0"/>
      <w:marBottom w:val="0"/>
      <w:divBdr>
        <w:top w:val="none" w:sz="0" w:space="0" w:color="auto"/>
        <w:left w:val="none" w:sz="0" w:space="0" w:color="auto"/>
        <w:bottom w:val="none" w:sz="0" w:space="0" w:color="auto"/>
        <w:right w:val="none" w:sz="0" w:space="0" w:color="auto"/>
      </w:divBdr>
    </w:div>
    <w:div w:id="1439905653">
      <w:bodyDiv w:val="1"/>
      <w:marLeft w:val="0"/>
      <w:marRight w:val="0"/>
      <w:marTop w:val="0"/>
      <w:marBottom w:val="0"/>
      <w:divBdr>
        <w:top w:val="none" w:sz="0" w:space="0" w:color="auto"/>
        <w:left w:val="none" w:sz="0" w:space="0" w:color="auto"/>
        <w:bottom w:val="none" w:sz="0" w:space="0" w:color="auto"/>
        <w:right w:val="none" w:sz="0" w:space="0" w:color="auto"/>
      </w:divBdr>
    </w:div>
    <w:div w:id="1580284032">
      <w:bodyDiv w:val="1"/>
      <w:marLeft w:val="0"/>
      <w:marRight w:val="0"/>
      <w:marTop w:val="0"/>
      <w:marBottom w:val="0"/>
      <w:divBdr>
        <w:top w:val="none" w:sz="0" w:space="0" w:color="auto"/>
        <w:left w:val="none" w:sz="0" w:space="0" w:color="auto"/>
        <w:bottom w:val="none" w:sz="0" w:space="0" w:color="auto"/>
        <w:right w:val="none" w:sz="0" w:space="0" w:color="auto"/>
      </w:divBdr>
    </w:div>
    <w:div w:id="1642734400">
      <w:bodyDiv w:val="1"/>
      <w:marLeft w:val="0"/>
      <w:marRight w:val="0"/>
      <w:marTop w:val="0"/>
      <w:marBottom w:val="0"/>
      <w:divBdr>
        <w:top w:val="none" w:sz="0" w:space="0" w:color="auto"/>
        <w:left w:val="none" w:sz="0" w:space="0" w:color="auto"/>
        <w:bottom w:val="none" w:sz="0" w:space="0" w:color="auto"/>
        <w:right w:val="none" w:sz="0" w:space="0" w:color="auto"/>
      </w:divBdr>
    </w:div>
    <w:div w:id="1762526610">
      <w:bodyDiv w:val="1"/>
      <w:marLeft w:val="0"/>
      <w:marRight w:val="0"/>
      <w:marTop w:val="0"/>
      <w:marBottom w:val="0"/>
      <w:divBdr>
        <w:top w:val="none" w:sz="0" w:space="0" w:color="auto"/>
        <w:left w:val="none" w:sz="0" w:space="0" w:color="auto"/>
        <w:bottom w:val="none" w:sz="0" w:space="0" w:color="auto"/>
        <w:right w:val="none" w:sz="0" w:space="0" w:color="auto"/>
      </w:divBdr>
    </w:div>
    <w:div w:id="1771311591">
      <w:bodyDiv w:val="1"/>
      <w:marLeft w:val="0"/>
      <w:marRight w:val="0"/>
      <w:marTop w:val="0"/>
      <w:marBottom w:val="0"/>
      <w:divBdr>
        <w:top w:val="none" w:sz="0" w:space="0" w:color="auto"/>
        <w:left w:val="none" w:sz="0" w:space="0" w:color="auto"/>
        <w:bottom w:val="none" w:sz="0" w:space="0" w:color="auto"/>
        <w:right w:val="none" w:sz="0" w:space="0" w:color="auto"/>
      </w:divBdr>
    </w:div>
    <w:div w:id="1787112837">
      <w:bodyDiv w:val="1"/>
      <w:marLeft w:val="0"/>
      <w:marRight w:val="0"/>
      <w:marTop w:val="0"/>
      <w:marBottom w:val="0"/>
      <w:divBdr>
        <w:top w:val="none" w:sz="0" w:space="0" w:color="auto"/>
        <w:left w:val="none" w:sz="0" w:space="0" w:color="auto"/>
        <w:bottom w:val="none" w:sz="0" w:space="0" w:color="auto"/>
        <w:right w:val="none" w:sz="0" w:space="0" w:color="auto"/>
      </w:divBdr>
    </w:div>
    <w:div w:id="1799566767">
      <w:bodyDiv w:val="1"/>
      <w:marLeft w:val="0"/>
      <w:marRight w:val="0"/>
      <w:marTop w:val="0"/>
      <w:marBottom w:val="0"/>
      <w:divBdr>
        <w:top w:val="none" w:sz="0" w:space="0" w:color="auto"/>
        <w:left w:val="none" w:sz="0" w:space="0" w:color="auto"/>
        <w:bottom w:val="none" w:sz="0" w:space="0" w:color="auto"/>
        <w:right w:val="none" w:sz="0" w:space="0" w:color="auto"/>
      </w:divBdr>
    </w:div>
    <w:div w:id="1846087730">
      <w:bodyDiv w:val="1"/>
      <w:marLeft w:val="0"/>
      <w:marRight w:val="0"/>
      <w:marTop w:val="0"/>
      <w:marBottom w:val="0"/>
      <w:divBdr>
        <w:top w:val="none" w:sz="0" w:space="0" w:color="auto"/>
        <w:left w:val="none" w:sz="0" w:space="0" w:color="auto"/>
        <w:bottom w:val="none" w:sz="0" w:space="0" w:color="auto"/>
        <w:right w:val="none" w:sz="0" w:space="0" w:color="auto"/>
      </w:divBdr>
    </w:div>
    <w:div w:id="2079554356">
      <w:bodyDiv w:val="1"/>
      <w:marLeft w:val="0"/>
      <w:marRight w:val="0"/>
      <w:marTop w:val="0"/>
      <w:marBottom w:val="0"/>
      <w:divBdr>
        <w:top w:val="none" w:sz="0" w:space="0" w:color="auto"/>
        <w:left w:val="none" w:sz="0" w:space="0" w:color="auto"/>
        <w:bottom w:val="none" w:sz="0" w:space="0" w:color="auto"/>
        <w:right w:val="none" w:sz="0" w:space="0" w:color="auto"/>
      </w:divBdr>
      <w:divsChild>
        <w:div w:id="1574268585">
          <w:marLeft w:val="0"/>
          <w:marRight w:val="0"/>
          <w:marTop w:val="0"/>
          <w:marBottom w:val="0"/>
          <w:divBdr>
            <w:top w:val="none" w:sz="0" w:space="0" w:color="auto"/>
            <w:left w:val="none" w:sz="0" w:space="0" w:color="auto"/>
            <w:bottom w:val="none" w:sz="0" w:space="0" w:color="auto"/>
            <w:right w:val="none" w:sz="0" w:space="0" w:color="auto"/>
          </w:divBdr>
        </w:div>
        <w:div w:id="20948196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consult.dcceew.gov.au" TargetMode="External"/><Relationship Id="rId26" Type="http://schemas.openxmlformats.org/officeDocument/2006/relationships/image" Target="media/image8.svg"/><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diagramData" Target="diagrams/data2.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ogle.com/url?sa=t&amp;rct=j&amp;q=&amp;esrc=s&amp;source=web&amp;cd=&amp;ved=2ahUKEwiDhvyB2qaAAxXwhVYBHcqeCUsQFnoECA8QAw&amp;url=https%3A%2F%2Fwww.energy.gov.au%2Fsites%2Fdefault%2Ffiles%2F2022-12%2FEnergy%2520Ministers%2520Meeting%2520Communique%2520-%25208%2520December%25202022.docx%23%3A~%3Atext%3DENERGY%2520MINISTERS%2520MET%2520TODAY%2520TO%2CAUSTRALIA%27S%2520TRANSITION%2520TO%2520NET%2520ZERO&amp;usg=AOvVaw2hD5XfUdmWjFTh4rZ8FnZe&amp;opi=89978449" TargetMode="External"/><Relationship Id="rId20" Type="http://schemas.openxmlformats.org/officeDocument/2006/relationships/hyperlink" Target="https://www.energy.gov.au/government-priorities/energy-supply/capacity-investment-scheme" TargetMode="External"/><Relationship Id="rId29" Type="http://schemas.openxmlformats.org/officeDocument/2006/relationships/diagramData" Target="diagrams/data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svg"/><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svg"/><Relationship Id="rId36" Type="http://schemas.openxmlformats.org/officeDocument/2006/relationships/diagramQuickStyle" Target="diagrams/quickStyle2.xml"/><Relationship Id="rId10" Type="http://schemas.openxmlformats.org/officeDocument/2006/relationships/footnotes" Target="footnotes.xml"/><Relationship Id="rId19" Type="http://schemas.openxmlformats.org/officeDocument/2006/relationships/hyperlink" Target="https://consult.dcceew.gov.au"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image" Target="media/image4.svg"/><Relationship Id="rId27" Type="http://schemas.openxmlformats.org/officeDocument/2006/relationships/image" Target="media/image9.png"/><Relationship Id="rId30" Type="http://schemas.openxmlformats.org/officeDocument/2006/relationships/diagramLayout" Target="diagrams/layout1.xml"/><Relationship Id="rId35" Type="http://schemas.openxmlformats.org/officeDocument/2006/relationships/diagramLayout" Target="diagrams/layout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inister.dcceew.gov.au/bowen/media-releases/joint-media-release-capacity-investment-scheme-power-nsw-clean-cheap-reliable-energy" TargetMode="External"/><Relationship Id="rId25" Type="http://schemas.openxmlformats.org/officeDocument/2006/relationships/image" Target="media/image7.png"/><Relationship Id="rId33" Type="http://schemas.microsoft.com/office/2007/relationships/diagramDrawing" Target="diagrams/drawing1.xml"/><Relationship Id="rId38" Type="http://schemas.microsoft.com/office/2007/relationships/diagramDrawing" Target="diagrams/drawing2.xml"/></Relationships>
</file>

<file path=word/_rels/footnotes.xml.rels><?xml version="1.0" encoding="UTF-8" standalone="yes"?>
<Relationships xmlns="http://schemas.openxmlformats.org/package/2006/relationships"><Relationship Id="rId3" Type="http://schemas.openxmlformats.org/officeDocument/2006/relationships/hyperlink" Target="https://territoryrenewableenergy.nt.gov.au/__data/assets/pdf_file/0011/1056782/darwin-katherine-electricity-system-plan-web.pdf?v=0.1.1" TargetMode="External"/><Relationship Id="rId2" Type="http://schemas.openxmlformats.org/officeDocument/2006/relationships/hyperlink" Target="https://aemo.com.au/-/media/files/electricity/wem/wem-design-summary-v1-4-24-october-2012.pdf" TargetMode="External"/><Relationship Id="rId1" Type="http://schemas.openxmlformats.org/officeDocument/2006/relationships/hyperlink" Target="https://www.aemc.gov.au/sites/default/files/2023-05/ERC0353%20-%20Consultation%20paper.pdf" TargetMode="External"/><Relationship Id="rId6" Type="http://schemas.openxmlformats.org/officeDocument/2006/relationships/hyperlink" Target="https://aemo.com.au/-/media/files/electricity/wem/planning_and_forecasting/esoo/2022/2022-wholesale-electricity-market-esoo.pdf?la=en&amp;hash=AF5B0EE73B9AAD4C0A246F264BC72AB6" TargetMode="External"/><Relationship Id="rId5" Type="http://schemas.openxmlformats.org/officeDocument/2006/relationships/hyperlink" Target="https://aemo.com.au/-/media/files/electricity/nem/planning_and_forecasting/nem_esoo/2022/2022-electricity-statement-of-opportunities.pdf" TargetMode="External"/><Relationship Id="rId4" Type="http://schemas.openxmlformats.org/officeDocument/2006/relationships/hyperlink" Target="https://www.brighterenergyfuture.wa.gov.au/wp-content/uploads/2020/10/2797_WOSP.V14.web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FF748C-38D5-41F9-876C-8A79431A39CE}" type="doc">
      <dgm:prSet loTypeId="urn:microsoft.com/office/officeart/2005/8/layout/process1" loCatId="process" qsTypeId="urn:microsoft.com/office/officeart/2005/8/quickstyle/simple1" qsCatId="simple" csTypeId="urn:microsoft.com/office/officeart/2005/8/colors/accent1_2" csCatId="accent1" phldr="1"/>
      <dgm:spPr/>
    </dgm:pt>
    <dgm:pt modelId="{3962407A-3D9A-4F48-B7BB-893444848E76}">
      <dgm:prSet phldrT="[Text]" custT="1"/>
      <dgm:spPr/>
      <dgm:t>
        <a:bodyPr/>
        <a:lstStyle/>
        <a:p>
          <a:r>
            <a:rPr lang="en-AU" sz="1050" b="1"/>
            <a:t>Step 1</a:t>
          </a:r>
        </a:p>
        <a:p>
          <a:r>
            <a:rPr lang="en-AU" sz="1050" b="0"/>
            <a:t>6GW investment available for on-grid dispatchable power</a:t>
          </a:r>
        </a:p>
        <a:p>
          <a:r>
            <a:rPr lang="en-AU" sz="900"/>
            <a:t>See Section 1</a:t>
          </a:r>
          <a:endParaRPr lang="en-AU" sz="900" b="1"/>
        </a:p>
      </dgm:t>
    </dgm:pt>
    <dgm:pt modelId="{47B001F1-F214-4F4D-92AE-893166661AC7}" type="parTrans" cxnId="{05B31E8B-993D-4DF6-907F-5FEEEE0FB6B8}">
      <dgm:prSet/>
      <dgm:spPr/>
      <dgm:t>
        <a:bodyPr/>
        <a:lstStyle/>
        <a:p>
          <a:endParaRPr lang="en-AU" sz="2400"/>
        </a:p>
      </dgm:t>
    </dgm:pt>
    <dgm:pt modelId="{378409C4-5243-402F-ABB4-C08799D4CDAE}" type="sibTrans" cxnId="{05B31E8B-993D-4DF6-907F-5FEEEE0FB6B8}">
      <dgm:prSet/>
      <dgm:spPr/>
      <dgm:t>
        <a:bodyPr/>
        <a:lstStyle/>
        <a:p>
          <a:endParaRPr lang="en-AU" sz="2400"/>
        </a:p>
      </dgm:t>
    </dgm:pt>
    <dgm:pt modelId="{42C2887D-B512-4423-B3C8-9DF67610511C}">
      <dgm:prSet phldrT="[Text]" custT="1"/>
      <dgm:spPr/>
      <dgm:t>
        <a:bodyPr/>
        <a:lstStyle/>
        <a:p>
          <a:r>
            <a:rPr lang="en-AU" sz="1050" b="1"/>
            <a:t>Step 2</a:t>
          </a:r>
        </a:p>
        <a:p>
          <a:r>
            <a:rPr lang="en-AU" sz="1050"/>
            <a:t>AEMO ISP and ESOO inform CIS reliability modelling </a:t>
          </a:r>
        </a:p>
        <a:p>
          <a:r>
            <a:rPr lang="en-AU" sz="900"/>
            <a:t>See Section 3.1.2</a:t>
          </a:r>
        </a:p>
      </dgm:t>
    </dgm:pt>
    <dgm:pt modelId="{2A6D2DC1-5537-416B-8DA2-7CC9F65DA11B}" type="parTrans" cxnId="{B777FB66-4A9D-451C-B564-53418A3CABC6}">
      <dgm:prSet/>
      <dgm:spPr/>
      <dgm:t>
        <a:bodyPr/>
        <a:lstStyle/>
        <a:p>
          <a:endParaRPr lang="en-AU" sz="2400"/>
        </a:p>
      </dgm:t>
    </dgm:pt>
    <dgm:pt modelId="{24DF9F0C-8A9F-4493-A90C-DB054F74E92F}" type="sibTrans" cxnId="{B777FB66-4A9D-451C-B564-53418A3CABC6}">
      <dgm:prSet/>
      <dgm:spPr/>
      <dgm:t>
        <a:bodyPr/>
        <a:lstStyle/>
        <a:p>
          <a:endParaRPr lang="en-AU" sz="2400"/>
        </a:p>
      </dgm:t>
    </dgm:pt>
    <dgm:pt modelId="{271E64DF-1616-4788-816B-D13EFC25A587}">
      <dgm:prSet phldrT="[Text]" custT="1"/>
      <dgm:spPr/>
      <dgm:t>
        <a:bodyPr/>
        <a:lstStyle/>
        <a:p>
          <a:r>
            <a:rPr lang="en-AU" sz="1050" b="1"/>
            <a:t>Step 3</a:t>
          </a:r>
        </a:p>
        <a:p>
          <a:r>
            <a:rPr lang="en-AU" sz="1050"/>
            <a:t>State jurisdictions consulted on modelling</a:t>
          </a:r>
        </a:p>
        <a:p>
          <a:r>
            <a:rPr lang="en-AU" sz="900"/>
            <a:t>See Section 3.1.2</a:t>
          </a:r>
          <a:r>
            <a:rPr lang="en-AU" sz="1100"/>
            <a:t> </a:t>
          </a:r>
        </a:p>
      </dgm:t>
    </dgm:pt>
    <dgm:pt modelId="{3EA5E688-959D-41B3-AAE6-24D3C0F57388}" type="parTrans" cxnId="{184EAD8F-0415-46EA-AE21-E852858E05C6}">
      <dgm:prSet/>
      <dgm:spPr/>
      <dgm:t>
        <a:bodyPr/>
        <a:lstStyle/>
        <a:p>
          <a:endParaRPr lang="en-AU" sz="2400"/>
        </a:p>
      </dgm:t>
    </dgm:pt>
    <dgm:pt modelId="{4B46F063-D88E-4134-A69C-410E8F97237B}" type="sibTrans" cxnId="{184EAD8F-0415-46EA-AE21-E852858E05C6}">
      <dgm:prSet/>
      <dgm:spPr/>
      <dgm:t>
        <a:bodyPr/>
        <a:lstStyle/>
        <a:p>
          <a:endParaRPr lang="en-AU" sz="2400"/>
        </a:p>
      </dgm:t>
    </dgm:pt>
    <dgm:pt modelId="{055D72DF-6DE0-4552-AF2A-925E16BAE107}">
      <dgm:prSet phldrT="[Text]" custT="1"/>
      <dgm:spPr/>
      <dgm:t>
        <a:bodyPr/>
        <a:lstStyle/>
        <a:p>
          <a:r>
            <a:rPr lang="en-AU" sz="1050" b="1"/>
            <a:t>Step 4</a:t>
          </a:r>
        </a:p>
        <a:p>
          <a:r>
            <a:rPr lang="en-AU" sz="1050" b="0"/>
            <a:t>6GW allocation to States based on modelling outputs</a:t>
          </a:r>
        </a:p>
        <a:p>
          <a:r>
            <a:rPr lang="en-AU" sz="900"/>
            <a:t>See Section 3.2</a:t>
          </a:r>
          <a:endParaRPr lang="en-AU" sz="1050" b="0"/>
        </a:p>
      </dgm:t>
    </dgm:pt>
    <dgm:pt modelId="{D8F6E67C-B827-4BBF-9FF4-82007B057FEB}" type="parTrans" cxnId="{45DD99EE-0690-4BDB-B8C6-AED8AC2916FF}">
      <dgm:prSet/>
      <dgm:spPr/>
      <dgm:t>
        <a:bodyPr/>
        <a:lstStyle/>
        <a:p>
          <a:endParaRPr lang="en-AU" sz="2400"/>
        </a:p>
      </dgm:t>
    </dgm:pt>
    <dgm:pt modelId="{69F36B03-DDF1-487E-ABC5-679F021E6719}" type="sibTrans" cxnId="{45DD99EE-0690-4BDB-B8C6-AED8AC2916FF}">
      <dgm:prSet/>
      <dgm:spPr/>
      <dgm:t>
        <a:bodyPr/>
        <a:lstStyle/>
        <a:p>
          <a:endParaRPr lang="en-AU" sz="2400"/>
        </a:p>
      </dgm:t>
    </dgm:pt>
    <dgm:pt modelId="{1C4772C2-0F1A-4127-853D-97F1F32161E5}" type="pres">
      <dgm:prSet presAssocID="{1BFF748C-38D5-41F9-876C-8A79431A39CE}" presName="Name0" presStyleCnt="0">
        <dgm:presLayoutVars>
          <dgm:dir/>
          <dgm:resizeHandles val="exact"/>
        </dgm:presLayoutVars>
      </dgm:prSet>
      <dgm:spPr/>
    </dgm:pt>
    <dgm:pt modelId="{333F157C-54E5-413A-A6B3-350F08C4C718}" type="pres">
      <dgm:prSet presAssocID="{3962407A-3D9A-4F48-B7BB-893444848E76}" presName="node" presStyleLbl="node1" presStyleIdx="0" presStyleCnt="4">
        <dgm:presLayoutVars>
          <dgm:bulletEnabled val="1"/>
        </dgm:presLayoutVars>
      </dgm:prSet>
      <dgm:spPr/>
    </dgm:pt>
    <dgm:pt modelId="{30541B48-CE53-4866-B720-630C45073508}" type="pres">
      <dgm:prSet presAssocID="{378409C4-5243-402F-ABB4-C08799D4CDAE}" presName="sibTrans" presStyleLbl="sibTrans2D1" presStyleIdx="0" presStyleCnt="3"/>
      <dgm:spPr/>
    </dgm:pt>
    <dgm:pt modelId="{6E731061-5F7A-40E6-A063-089488BC24DC}" type="pres">
      <dgm:prSet presAssocID="{378409C4-5243-402F-ABB4-C08799D4CDAE}" presName="connectorText" presStyleLbl="sibTrans2D1" presStyleIdx="0" presStyleCnt="3"/>
      <dgm:spPr/>
    </dgm:pt>
    <dgm:pt modelId="{3A81716D-882C-4861-8A3A-566B4395F969}" type="pres">
      <dgm:prSet presAssocID="{42C2887D-B512-4423-B3C8-9DF67610511C}" presName="node" presStyleLbl="node1" presStyleIdx="1" presStyleCnt="4">
        <dgm:presLayoutVars>
          <dgm:bulletEnabled val="1"/>
        </dgm:presLayoutVars>
      </dgm:prSet>
      <dgm:spPr/>
    </dgm:pt>
    <dgm:pt modelId="{26BB5438-F39A-4C78-A471-A8598B52CF5F}" type="pres">
      <dgm:prSet presAssocID="{24DF9F0C-8A9F-4493-A90C-DB054F74E92F}" presName="sibTrans" presStyleLbl="sibTrans2D1" presStyleIdx="1" presStyleCnt="3"/>
      <dgm:spPr/>
    </dgm:pt>
    <dgm:pt modelId="{17517D86-0971-401C-886B-DFBE8425B634}" type="pres">
      <dgm:prSet presAssocID="{24DF9F0C-8A9F-4493-A90C-DB054F74E92F}" presName="connectorText" presStyleLbl="sibTrans2D1" presStyleIdx="1" presStyleCnt="3"/>
      <dgm:spPr/>
    </dgm:pt>
    <dgm:pt modelId="{5B0EA65D-D074-4EC2-88B5-DB28C3080492}" type="pres">
      <dgm:prSet presAssocID="{271E64DF-1616-4788-816B-D13EFC25A587}" presName="node" presStyleLbl="node1" presStyleIdx="2" presStyleCnt="4">
        <dgm:presLayoutVars>
          <dgm:bulletEnabled val="1"/>
        </dgm:presLayoutVars>
      </dgm:prSet>
      <dgm:spPr/>
    </dgm:pt>
    <dgm:pt modelId="{E33C89FA-BA68-40B7-B53B-37E997859BDD}" type="pres">
      <dgm:prSet presAssocID="{4B46F063-D88E-4134-A69C-410E8F97237B}" presName="sibTrans" presStyleLbl="sibTrans2D1" presStyleIdx="2" presStyleCnt="3"/>
      <dgm:spPr/>
    </dgm:pt>
    <dgm:pt modelId="{497A8067-9CB5-4020-B962-6CE35E663365}" type="pres">
      <dgm:prSet presAssocID="{4B46F063-D88E-4134-A69C-410E8F97237B}" presName="connectorText" presStyleLbl="sibTrans2D1" presStyleIdx="2" presStyleCnt="3"/>
      <dgm:spPr/>
    </dgm:pt>
    <dgm:pt modelId="{F597BC2E-1DCC-4A2A-BD49-9946EDD335F9}" type="pres">
      <dgm:prSet presAssocID="{055D72DF-6DE0-4552-AF2A-925E16BAE107}" presName="node" presStyleLbl="node1" presStyleIdx="3" presStyleCnt="4">
        <dgm:presLayoutVars>
          <dgm:bulletEnabled val="1"/>
        </dgm:presLayoutVars>
      </dgm:prSet>
      <dgm:spPr/>
    </dgm:pt>
  </dgm:ptLst>
  <dgm:cxnLst>
    <dgm:cxn modelId="{40E28228-CCB4-4C7A-9763-9B19560ACED8}" type="presOf" srcId="{24DF9F0C-8A9F-4493-A90C-DB054F74E92F}" destId="{26BB5438-F39A-4C78-A471-A8598B52CF5F}" srcOrd="0" destOrd="0" presId="urn:microsoft.com/office/officeart/2005/8/layout/process1"/>
    <dgm:cxn modelId="{40E8BF37-37F1-41E4-9D29-6B73CD61675A}" type="presOf" srcId="{271E64DF-1616-4788-816B-D13EFC25A587}" destId="{5B0EA65D-D074-4EC2-88B5-DB28C3080492}" srcOrd="0" destOrd="0" presId="urn:microsoft.com/office/officeart/2005/8/layout/process1"/>
    <dgm:cxn modelId="{B777FB66-4A9D-451C-B564-53418A3CABC6}" srcId="{1BFF748C-38D5-41F9-876C-8A79431A39CE}" destId="{42C2887D-B512-4423-B3C8-9DF67610511C}" srcOrd="1" destOrd="0" parTransId="{2A6D2DC1-5537-416B-8DA2-7CC9F65DA11B}" sibTransId="{24DF9F0C-8A9F-4493-A90C-DB054F74E92F}"/>
    <dgm:cxn modelId="{A144166A-BD96-4BFB-B45D-96EF9B80F6A8}" type="presOf" srcId="{24DF9F0C-8A9F-4493-A90C-DB054F74E92F}" destId="{17517D86-0971-401C-886B-DFBE8425B634}" srcOrd="1" destOrd="0" presId="urn:microsoft.com/office/officeart/2005/8/layout/process1"/>
    <dgm:cxn modelId="{F2376E70-C312-480B-85A8-D2557F5A42D3}" type="presOf" srcId="{3962407A-3D9A-4F48-B7BB-893444848E76}" destId="{333F157C-54E5-413A-A6B3-350F08C4C718}" srcOrd="0" destOrd="0" presId="urn:microsoft.com/office/officeart/2005/8/layout/process1"/>
    <dgm:cxn modelId="{DD614982-6442-4D22-93B9-2CF0FCACC022}" type="presOf" srcId="{055D72DF-6DE0-4552-AF2A-925E16BAE107}" destId="{F597BC2E-1DCC-4A2A-BD49-9946EDD335F9}" srcOrd="0" destOrd="0" presId="urn:microsoft.com/office/officeart/2005/8/layout/process1"/>
    <dgm:cxn modelId="{05B31E8B-993D-4DF6-907F-5FEEEE0FB6B8}" srcId="{1BFF748C-38D5-41F9-876C-8A79431A39CE}" destId="{3962407A-3D9A-4F48-B7BB-893444848E76}" srcOrd="0" destOrd="0" parTransId="{47B001F1-F214-4F4D-92AE-893166661AC7}" sibTransId="{378409C4-5243-402F-ABB4-C08799D4CDAE}"/>
    <dgm:cxn modelId="{184EAD8F-0415-46EA-AE21-E852858E05C6}" srcId="{1BFF748C-38D5-41F9-876C-8A79431A39CE}" destId="{271E64DF-1616-4788-816B-D13EFC25A587}" srcOrd="2" destOrd="0" parTransId="{3EA5E688-959D-41B3-AAE6-24D3C0F57388}" sibTransId="{4B46F063-D88E-4134-A69C-410E8F97237B}"/>
    <dgm:cxn modelId="{37A3E4A6-4162-4455-A981-79AD89964604}" type="presOf" srcId="{378409C4-5243-402F-ABB4-C08799D4CDAE}" destId="{6E731061-5F7A-40E6-A063-089488BC24DC}" srcOrd="1" destOrd="0" presId="urn:microsoft.com/office/officeart/2005/8/layout/process1"/>
    <dgm:cxn modelId="{C013B1D1-DBAD-4577-93CD-D3D339B9D77F}" type="presOf" srcId="{4B46F063-D88E-4134-A69C-410E8F97237B}" destId="{497A8067-9CB5-4020-B962-6CE35E663365}" srcOrd="1" destOrd="0" presId="urn:microsoft.com/office/officeart/2005/8/layout/process1"/>
    <dgm:cxn modelId="{B1ABDFE2-56C2-4B7C-AF51-E6A33055E8F2}" type="presOf" srcId="{1BFF748C-38D5-41F9-876C-8A79431A39CE}" destId="{1C4772C2-0F1A-4127-853D-97F1F32161E5}" srcOrd="0" destOrd="0" presId="urn:microsoft.com/office/officeart/2005/8/layout/process1"/>
    <dgm:cxn modelId="{62C74AE5-6F01-444D-A593-3B55D7876E86}" type="presOf" srcId="{42C2887D-B512-4423-B3C8-9DF67610511C}" destId="{3A81716D-882C-4861-8A3A-566B4395F969}" srcOrd="0" destOrd="0" presId="urn:microsoft.com/office/officeart/2005/8/layout/process1"/>
    <dgm:cxn modelId="{45DD99EE-0690-4BDB-B8C6-AED8AC2916FF}" srcId="{1BFF748C-38D5-41F9-876C-8A79431A39CE}" destId="{055D72DF-6DE0-4552-AF2A-925E16BAE107}" srcOrd="3" destOrd="0" parTransId="{D8F6E67C-B827-4BBF-9FF4-82007B057FEB}" sibTransId="{69F36B03-DDF1-487E-ABC5-679F021E6719}"/>
    <dgm:cxn modelId="{E546BEF2-53E5-4967-BA79-F94952A3155F}" type="presOf" srcId="{4B46F063-D88E-4134-A69C-410E8F97237B}" destId="{E33C89FA-BA68-40B7-B53B-37E997859BDD}" srcOrd="0" destOrd="0" presId="urn:microsoft.com/office/officeart/2005/8/layout/process1"/>
    <dgm:cxn modelId="{29AB48F6-591A-45C2-9AFD-B4A939F2ED10}" type="presOf" srcId="{378409C4-5243-402F-ABB4-C08799D4CDAE}" destId="{30541B48-CE53-4866-B720-630C45073508}" srcOrd="0" destOrd="0" presId="urn:microsoft.com/office/officeart/2005/8/layout/process1"/>
    <dgm:cxn modelId="{6FB2DA87-5EC4-4552-A2B5-35E8BF72B0F6}" type="presParOf" srcId="{1C4772C2-0F1A-4127-853D-97F1F32161E5}" destId="{333F157C-54E5-413A-A6B3-350F08C4C718}" srcOrd="0" destOrd="0" presId="urn:microsoft.com/office/officeart/2005/8/layout/process1"/>
    <dgm:cxn modelId="{D07E8062-C776-4F5D-9A19-627C1839944D}" type="presParOf" srcId="{1C4772C2-0F1A-4127-853D-97F1F32161E5}" destId="{30541B48-CE53-4866-B720-630C45073508}" srcOrd="1" destOrd="0" presId="urn:microsoft.com/office/officeart/2005/8/layout/process1"/>
    <dgm:cxn modelId="{BBD5981F-6E1D-4218-AA26-3AB812AB5A36}" type="presParOf" srcId="{30541B48-CE53-4866-B720-630C45073508}" destId="{6E731061-5F7A-40E6-A063-089488BC24DC}" srcOrd="0" destOrd="0" presId="urn:microsoft.com/office/officeart/2005/8/layout/process1"/>
    <dgm:cxn modelId="{1A7BB06F-5B6F-4E47-B81F-964060AD9668}" type="presParOf" srcId="{1C4772C2-0F1A-4127-853D-97F1F32161E5}" destId="{3A81716D-882C-4861-8A3A-566B4395F969}" srcOrd="2" destOrd="0" presId="urn:microsoft.com/office/officeart/2005/8/layout/process1"/>
    <dgm:cxn modelId="{E4DF14B1-2196-4743-A966-966097EA1BE6}" type="presParOf" srcId="{1C4772C2-0F1A-4127-853D-97F1F32161E5}" destId="{26BB5438-F39A-4C78-A471-A8598B52CF5F}" srcOrd="3" destOrd="0" presId="urn:microsoft.com/office/officeart/2005/8/layout/process1"/>
    <dgm:cxn modelId="{9316EB52-CF29-4E21-AD44-8A94536EDDCF}" type="presParOf" srcId="{26BB5438-F39A-4C78-A471-A8598B52CF5F}" destId="{17517D86-0971-401C-886B-DFBE8425B634}" srcOrd="0" destOrd="0" presId="urn:microsoft.com/office/officeart/2005/8/layout/process1"/>
    <dgm:cxn modelId="{9E88FAA2-F2F6-44F3-BE22-EEA5559942CA}" type="presParOf" srcId="{1C4772C2-0F1A-4127-853D-97F1F32161E5}" destId="{5B0EA65D-D074-4EC2-88B5-DB28C3080492}" srcOrd="4" destOrd="0" presId="urn:microsoft.com/office/officeart/2005/8/layout/process1"/>
    <dgm:cxn modelId="{0E9EE5F8-0F39-4A90-8711-2D4A58EFC0A3}" type="presParOf" srcId="{1C4772C2-0F1A-4127-853D-97F1F32161E5}" destId="{E33C89FA-BA68-40B7-B53B-37E997859BDD}" srcOrd="5" destOrd="0" presId="urn:microsoft.com/office/officeart/2005/8/layout/process1"/>
    <dgm:cxn modelId="{66CF4581-93F8-4F39-946C-757AE24148A2}" type="presParOf" srcId="{E33C89FA-BA68-40B7-B53B-37E997859BDD}" destId="{497A8067-9CB5-4020-B962-6CE35E663365}" srcOrd="0" destOrd="0" presId="urn:microsoft.com/office/officeart/2005/8/layout/process1"/>
    <dgm:cxn modelId="{E6B7C456-1D71-4BD3-8928-1E01012CA36A}" type="presParOf" srcId="{1C4772C2-0F1A-4127-853D-97F1F32161E5}" destId="{F597BC2E-1DCC-4A2A-BD49-9946EDD335F9}" srcOrd="6"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70AB1A-0C27-47B8-BA35-EF6FCA225ABA}" type="doc">
      <dgm:prSet loTypeId="urn:microsoft.com/office/officeart/2005/8/layout/vProcess5" loCatId="process" qsTypeId="urn:microsoft.com/office/officeart/2005/8/quickstyle/simple1" qsCatId="simple" csTypeId="urn:microsoft.com/office/officeart/2005/8/colors/accent1_4" csCatId="accent1" phldr="1"/>
      <dgm:spPr/>
    </dgm:pt>
    <dgm:pt modelId="{E132AA0B-C240-40CB-B7C8-EF9465D764A9}">
      <dgm:prSet phldrT="[Text]"/>
      <dgm:spPr>
        <a:solidFill>
          <a:schemeClr val="accent1">
            <a:lumMod val="20000"/>
            <a:lumOff val="80000"/>
          </a:schemeClr>
        </a:solidFill>
      </dgm:spPr>
      <dgm:t>
        <a:bodyPr/>
        <a:lstStyle/>
        <a:p>
          <a:pPr>
            <a:buFont typeface="Symbol" panose="05050102010706020507" pitchFamily="18" charset="2"/>
            <a:buChar char=""/>
          </a:pPr>
          <a:r>
            <a:rPr lang="en-AU" b="1">
              <a:solidFill>
                <a:schemeClr val="tx1"/>
              </a:solidFill>
            </a:rPr>
            <a:t>Project bid stage (Stage A)</a:t>
          </a:r>
          <a:r>
            <a:rPr lang="en-AU">
              <a:solidFill>
                <a:schemeClr val="tx1"/>
              </a:solidFill>
            </a:rPr>
            <a:t>: projects will be assessed against their technical, commercial and social licence merit. Strongest performing projects will then be shortlisted and invited to submit a bid for Stage B. Projects may be asked to provide an indicative financial bid at the project bid stage. </a:t>
          </a:r>
        </a:p>
      </dgm:t>
    </dgm:pt>
    <dgm:pt modelId="{0F976069-F560-4EA1-BCE2-EEC213DC5276}" type="parTrans" cxnId="{9C542390-5248-4E4F-AED1-05C53969AF31}">
      <dgm:prSet/>
      <dgm:spPr/>
      <dgm:t>
        <a:bodyPr/>
        <a:lstStyle/>
        <a:p>
          <a:endParaRPr lang="en-AU"/>
        </a:p>
      </dgm:t>
    </dgm:pt>
    <dgm:pt modelId="{3ACBFACB-E938-4423-9951-1AFF84191BFA}" type="sibTrans" cxnId="{9C542390-5248-4E4F-AED1-05C53969AF31}">
      <dgm:prSet/>
      <dgm:spPr>
        <a:solidFill>
          <a:schemeClr val="accent1">
            <a:lumMod val="75000"/>
            <a:alpha val="90000"/>
          </a:schemeClr>
        </a:solidFill>
        <a:ln>
          <a:noFill/>
        </a:ln>
      </dgm:spPr>
      <dgm:t>
        <a:bodyPr/>
        <a:lstStyle/>
        <a:p>
          <a:endParaRPr lang="en-AU"/>
        </a:p>
      </dgm:t>
    </dgm:pt>
    <dgm:pt modelId="{8C744D31-3043-4E8F-B1B8-526C3A4B3F1D}">
      <dgm:prSet phldrT="[Text]"/>
      <dgm:spPr/>
      <dgm:t>
        <a:bodyPr/>
        <a:lstStyle/>
        <a:p>
          <a:r>
            <a:rPr lang="en-AU" b="1">
              <a:solidFill>
                <a:schemeClr val="tx1"/>
              </a:solidFill>
            </a:rPr>
            <a:t>Financial bid stage (Stage B)</a:t>
          </a:r>
          <a:r>
            <a:rPr lang="en-AU">
              <a:solidFill>
                <a:schemeClr val="tx1"/>
              </a:solidFill>
            </a:rPr>
            <a:t>: projects will be assessed against their contribution to the policy objectives of the CIS, being contribution to reliability and lower prices for consumers. At this stage, projects will be expected to provide pricing bid variables for competitive assessment</a:t>
          </a:r>
        </a:p>
      </dgm:t>
    </dgm:pt>
    <dgm:pt modelId="{BDEA9600-378A-4E92-A6A8-D248F345CAC2}" type="parTrans" cxnId="{C8CB2E9B-7CE5-4641-A48C-B8090CEE4759}">
      <dgm:prSet/>
      <dgm:spPr/>
      <dgm:t>
        <a:bodyPr/>
        <a:lstStyle/>
        <a:p>
          <a:endParaRPr lang="en-AU"/>
        </a:p>
      </dgm:t>
    </dgm:pt>
    <dgm:pt modelId="{50556D66-F305-449B-B85B-E1A25452C818}" type="sibTrans" cxnId="{C8CB2E9B-7CE5-4641-A48C-B8090CEE4759}">
      <dgm:prSet/>
      <dgm:spPr/>
      <dgm:t>
        <a:bodyPr/>
        <a:lstStyle/>
        <a:p>
          <a:endParaRPr lang="en-AU"/>
        </a:p>
      </dgm:t>
    </dgm:pt>
    <dgm:pt modelId="{1722D4B8-2492-450B-92F9-E1B38AFDF0D7}" type="pres">
      <dgm:prSet presAssocID="{8270AB1A-0C27-47B8-BA35-EF6FCA225ABA}" presName="outerComposite" presStyleCnt="0">
        <dgm:presLayoutVars>
          <dgm:chMax val="5"/>
          <dgm:dir/>
          <dgm:resizeHandles val="exact"/>
        </dgm:presLayoutVars>
      </dgm:prSet>
      <dgm:spPr/>
    </dgm:pt>
    <dgm:pt modelId="{590A8026-AAA1-4A1B-BCF5-2F7043FBC734}" type="pres">
      <dgm:prSet presAssocID="{8270AB1A-0C27-47B8-BA35-EF6FCA225ABA}" presName="dummyMaxCanvas" presStyleCnt="0">
        <dgm:presLayoutVars/>
      </dgm:prSet>
      <dgm:spPr/>
    </dgm:pt>
    <dgm:pt modelId="{602FF8FC-2334-467B-97B6-3DDE8E8AE51C}" type="pres">
      <dgm:prSet presAssocID="{8270AB1A-0C27-47B8-BA35-EF6FCA225ABA}" presName="TwoNodes_1" presStyleLbl="node1" presStyleIdx="0" presStyleCnt="2" custScaleX="99722">
        <dgm:presLayoutVars>
          <dgm:bulletEnabled val="1"/>
        </dgm:presLayoutVars>
      </dgm:prSet>
      <dgm:spPr/>
    </dgm:pt>
    <dgm:pt modelId="{DAD023EC-219D-4AED-A0A0-416BA5A200C1}" type="pres">
      <dgm:prSet presAssocID="{8270AB1A-0C27-47B8-BA35-EF6FCA225ABA}" presName="TwoNodes_2" presStyleLbl="node1" presStyleIdx="1" presStyleCnt="2">
        <dgm:presLayoutVars>
          <dgm:bulletEnabled val="1"/>
        </dgm:presLayoutVars>
      </dgm:prSet>
      <dgm:spPr/>
    </dgm:pt>
    <dgm:pt modelId="{4B86AA37-15AB-474C-BDEB-3DD612AB79A5}" type="pres">
      <dgm:prSet presAssocID="{8270AB1A-0C27-47B8-BA35-EF6FCA225ABA}" presName="TwoConn_1-2" presStyleLbl="fgAccFollowNode1" presStyleIdx="0" presStyleCnt="1">
        <dgm:presLayoutVars>
          <dgm:bulletEnabled val="1"/>
        </dgm:presLayoutVars>
      </dgm:prSet>
      <dgm:spPr/>
    </dgm:pt>
    <dgm:pt modelId="{E9EA8044-316E-4D3C-A274-A29CAB2A2E72}" type="pres">
      <dgm:prSet presAssocID="{8270AB1A-0C27-47B8-BA35-EF6FCA225ABA}" presName="TwoNodes_1_text" presStyleLbl="node1" presStyleIdx="1" presStyleCnt="2">
        <dgm:presLayoutVars>
          <dgm:bulletEnabled val="1"/>
        </dgm:presLayoutVars>
      </dgm:prSet>
      <dgm:spPr/>
    </dgm:pt>
    <dgm:pt modelId="{40A79EE9-A187-4297-A205-36EEEB8ABF5A}" type="pres">
      <dgm:prSet presAssocID="{8270AB1A-0C27-47B8-BA35-EF6FCA225ABA}" presName="TwoNodes_2_text" presStyleLbl="node1" presStyleIdx="1" presStyleCnt="2">
        <dgm:presLayoutVars>
          <dgm:bulletEnabled val="1"/>
        </dgm:presLayoutVars>
      </dgm:prSet>
      <dgm:spPr/>
    </dgm:pt>
  </dgm:ptLst>
  <dgm:cxnLst>
    <dgm:cxn modelId="{62A5130D-BF2F-45A7-A6DD-2D08E6EC36A6}" type="presOf" srcId="{8270AB1A-0C27-47B8-BA35-EF6FCA225ABA}" destId="{1722D4B8-2492-450B-92F9-E1B38AFDF0D7}" srcOrd="0" destOrd="0" presId="urn:microsoft.com/office/officeart/2005/8/layout/vProcess5"/>
    <dgm:cxn modelId="{AED2B93D-838F-46D4-B656-5526DFF5C9AE}" type="presOf" srcId="{E132AA0B-C240-40CB-B7C8-EF9465D764A9}" destId="{602FF8FC-2334-467B-97B6-3DDE8E8AE51C}" srcOrd="0" destOrd="0" presId="urn:microsoft.com/office/officeart/2005/8/layout/vProcess5"/>
    <dgm:cxn modelId="{9C542390-5248-4E4F-AED1-05C53969AF31}" srcId="{8270AB1A-0C27-47B8-BA35-EF6FCA225ABA}" destId="{E132AA0B-C240-40CB-B7C8-EF9465D764A9}" srcOrd="0" destOrd="0" parTransId="{0F976069-F560-4EA1-BCE2-EEC213DC5276}" sibTransId="{3ACBFACB-E938-4423-9951-1AFF84191BFA}"/>
    <dgm:cxn modelId="{C8CB2E9B-7CE5-4641-A48C-B8090CEE4759}" srcId="{8270AB1A-0C27-47B8-BA35-EF6FCA225ABA}" destId="{8C744D31-3043-4E8F-B1B8-526C3A4B3F1D}" srcOrd="1" destOrd="0" parTransId="{BDEA9600-378A-4E92-A6A8-D248F345CAC2}" sibTransId="{50556D66-F305-449B-B85B-E1A25452C818}"/>
    <dgm:cxn modelId="{D842E29E-EC46-4FCF-A296-D27ACCC6E3E6}" type="presOf" srcId="{8C744D31-3043-4E8F-B1B8-526C3A4B3F1D}" destId="{40A79EE9-A187-4297-A205-36EEEB8ABF5A}" srcOrd="1" destOrd="0" presId="urn:microsoft.com/office/officeart/2005/8/layout/vProcess5"/>
    <dgm:cxn modelId="{E1AF21CB-9E1A-4AC6-975E-367296146266}" type="presOf" srcId="{8C744D31-3043-4E8F-B1B8-526C3A4B3F1D}" destId="{DAD023EC-219D-4AED-A0A0-416BA5A200C1}" srcOrd="0" destOrd="0" presId="urn:microsoft.com/office/officeart/2005/8/layout/vProcess5"/>
    <dgm:cxn modelId="{6944FBD0-ACD8-48DB-A4FE-8884AF5F4F94}" type="presOf" srcId="{E132AA0B-C240-40CB-B7C8-EF9465D764A9}" destId="{E9EA8044-316E-4D3C-A274-A29CAB2A2E72}" srcOrd="1" destOrd="0" presId="urn:microsoft.com/office/officeart/2005/8/layout/vProcess5"/>
    <dgm:cxn modelId="{68113CE9-78DE-4B5B-917F-33863AC51624}" type="presOf" srcId="{3ACBFACB-E938-4423-9951-1AFF84191BFA}" destId="{4B86AA37-15AB-474C-BDEB-3DD612AB79A5}" srcOrd="0" destOrd="0" presId="urn:microsoft.com/office/officeart/2005/8/layout/vProcess5"/>
    <dgm:cxn modelId="{EBEA5301-65E6-4196-940B-1EFB30322241}" type="presParOf" srcId="{1722D4B8-2492-450B-92F9-E1B38AFDF0D7}" destId="{590A8026-AAA1-4A1B-BCF5-2F7043FBC734}" srcOrd="0" destOrd="0" presId="urn:microsoft.com/office/officeart/2005/8/layout/vProcess5"/>
    <dgm:cxn modelId="{3D3B97DE-726D-4CC6-B328-585A366542C6}" type="presParOf" srcId="{1722D4B8-2492-450B-92F9-E1B38AFDF0D7}" destId="{602FF8FC-2334-467B-97B6-3DDE8E8AE51C}" srcOrd="1" destOrd="0" presId="urn:microsoft.com/office/officeart/2005/8/layout/vProcess5"/>
    <dgm:cxn modelId="{74D15291-35F9-4D67-9232-47F4BF7F9A2D}" type="presParOf" srcId="{1722D4B8-2492-450B-92F9-E1B38AFDF0D7}" destId="{DAD023EC-219D-4AED-A0A0-416BA5A200C1}" srcOrd="2" destOrd="0" presId="urn:microsoft.com/office/officeart/2005/8/layout/vProcess5"/>
    <dgm:cxn modelId="{D756B156-12B7-44C5-81BA-1848A1607A44}" type="presParOf" srcId="{1722D4B8-2492-450B-92F9-E1B38AFDF0D7}" destId="{4B86AA37-15AB-474C-BDEB-3DD612AB79A5}" srcOrd="3" destOrd="0" presId="urn:microsoft.com/office/officeart/2005/8/layout/vProcess5"/>
    <dgm:cxn modelId="{318294F5-36D2-4D08-834A-0A636D7426D3}" type="presParOf" srcId="{1722D4B8-2492-450B-92F9-E1B38AFDF0D7}" destId="{E9EA8044-316E-4D3C-A274-A29CAB2A2E72}" srcOrd="4" destOrd="0" presId="urn:microsoft.com/office/officeart/2005/8/layout/vProcess5"/>
    <dgm:cxn modelId="{44EEB8CC-0407-48AF-B665-17054C020768}" type="presParOf" srcId="{1722D4B8-2492-450B-92F9-E1B38AFDF0D7}" destId="{40A79EE9-A187-4297-A205-36EEEB8ABF5A}" srcOrd="5" destOrd="0" presId="urn:microsoft.com/office/officeart/2005/8/layout/vProcess5"/>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3F157C-54E5-413A-A6B3-350F08C4C718}">
      <dsp:nvSpPr>
        <dsp:cNvPr id="0" name=""/>
        <dsp:cNvSpPr/>
      </dsp:nvSpPr>
      <dsp:spPr>
        <a:xfrm>
          <a:off x="2494" y="59020"/>
          <a:ext cx="1090752" cy="1160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t>Step 1</a:t>
          </a:r>
        </a:p>
        <a:p>
          <a:pPr marL="0" lvl="0" indent="0" algn="ctr" defTabSz="466725">
            <a:lnSpc>
              <a:spcPct val="90000"/>
            </a:lnSpc>
            <a:spcBef>
              <a:spcPct val="0"/>
            </a:spcBef>
            <a:spcAft>
              <a:spcPct val="35000"/>
            </a:spcAft>
            <a:buNone/>
          </a:pPr>
          <a:r>
            <a:rPr lang="en-AU" sz="1050" b="0" kern="1200"/>
            <a:t>6GW investment available for on-grid dispatchable power</a:t>
          </a:r>
        </a:p>
        <a:p>
          <a:pPr marL="0" lvl="0" indent="0" algn="ctr" defTabSz="466725">
            <a:lnSpc>
              <a:spcPct val="90000"/>
            </a:lnSpc>
            <a:spcBef>
              <a:spcPct val="0"/>
            </a:spcBef>
            <a:spcAft>
              <a:spcPct val="35000"/>
            </a:spcAft>
            <a:buNone/>
          </a:pPr>
          <a:r>
            <a:rPr lang="en-AU" sz="900" kern="1200"/>
            <a:t>See Section 1</a:t>
          </a:r>
          <a:endParaRPr lang="en-AU" sz="900" b="1" kern="1200"/>
        </a:p>
      </dsp:txBody>
      <dsp:txXfrm>
        <a:off x="34441" y="90967"/>
        <a:ext cx="1026858" cy="1096734"/>
      </dsp:txXfrm>
    </dsp:sp>
    <dsp:sp modelId="{30541B48-CE53-4866-B720-630C45073508}">
      <dsp:nvSpPr>
        <dsp:cNvPr id="0" name=""/>
        <dsp:cNvSpPr/>
      </dsp:nvSpPr>
      <dsp:spPr>
        <a:xfrm>
          <a:off x="1202321" y="504081"/>
          <a:ext cx="231239" cy="2705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1202321" y="558182"/>
        <a:ext cx="161867" cy="162304"/>
      </dsp:txXfrm>
    </dsp:sp>
    <dsp:sp modelId="{3A81716D-882C-4861-8A3A-566B4395F969}">
      <dsp:nvSpPr>
        <dsp:cNvPr id="0" name=""/>
        <dsp:cNvSpPr/>
      </dsp:nvSpPr>
      <dsp:spPr>
        <a:xfrm>
          <a:off x="1529547" y="59020"/>
          <a:ext cx="1090752" cy="1160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t>Step 2</a:t>
          </a:r>
        </a:p>
        <a:p>
          <a:pPr marL="0" lvl="0" indent="0" algn="ctr" defTabSz="466725">
            <a:lnSpc>
              <a:spcPct val="90000"/>
            </a:lnSpc>
            <a:spcBef>
              <a:spcPct val="0"/>
            </a:spcBef>
            <a:spcAft>
              <a:spcPct val="35000"/>
            </a:spcAft>
            <a:buNone/>
          </a:pPr>
          <a:r>
            <a:rPr lang="en-AU" sz="1050" kern="1200"/>
            <a:t>AEMO ISP and ESOO inform CIS reliability modelling </a:t>
          </a:r>
        </a:p>
        <a:p>
          <a:pPr marL="0" lvl="0" indent="0" algn="ctr" defTabSz="466725">
            <a:lnSpc>
              <a:spcPct val="90000"/>
            </a:lnSpc>
            <a:spcBef>
              <a:spcPct val="0"/>
            </a:spcBef>
            <a:spcAft>
              <a:spcPct val="35000"/>
            </a:spcAft>
            <a:buNone/>
          </a:pPr>
          <a:r>
            <a:rPr lang="en-AU" sz="900" kern="1200"/>
            <a:t>See Section 3.1.2</a:t>
          </a:r>
        </a:p>
      </dsp:txBody>
      <dsp:txXfrm>
        <a:off x="1561494" y="90967"/>
        <a:ext cx="1026858" cy="1096734"/>
      </dsp:txXfrm>
    </dsp:sp>
    <dsp:sp modelId="{26BB5438-F39A-4C78-A471-A8598B52CF5F}">
      <dsp:nvSpPr>
        <dsp:cNvPr id="0" name=""/>
        <dsp:cNvSpPr/>
      </dsp:nvSpPr>
      <dsp:spPr>
        <a:xfrm>
          <a:off x="2729374" y="504081"/>
          <a:ext cx="231239" cy="2705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2729374" y="558182"/>
        <a:ext cx="161867" cy="162304"/>
      </dsp:txXfrm>
    </dsp:sp>
    <dsp:sp modelId="{5B0EA65D-D074-4EC2-88B5-DB28C3080492}">
      <dsp:nvSpPr>
        <dsp:cNvPr id="0" name=""/>
        <dsp:cNvSpPr/>
      </dsp:nvSpPr>
      <dsp:spPr>
        <a:xfrm>
          <a:off x="3056600" y="59020"/>
          <a:ext cx="1090752" cy="1160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t>Step 3</a:t>
          </a:r>
        </a:p>
        <a:p>
          <a:pPr marL="0" lvl="0" indent="0" algn="ctr" defTabSz="466725">
            <a:lnSpc>
              <a:spcPct val="90000"/>
            </a:lnSpc>
            <a:spcBef>
              <a:spcPct val="0"/>
            </a:spcBef>
            <a:spcAft>
              <a:spcPct val="35000"/>
            </a:spcAft>
            <a:buNone/>
          </a:pPr>
          <a:r>
            <a:rPr lang="en-AU" sz="1050" kern="1200"/>
            <a:t>State jurisdictions consulted on modelling</a:t>
          </a:r>
        </a:p>
        <a:p>
          <a:pPr marL="0" lvl="0" indent="0" algn="ctr" defTabSz="466725">
            <a:lnSpc>
              <a:spcPct val="90000"/>
            </a:lnSpc>
            <a:spcBef>
              <a:spcPct val="0"/>
            </a:spcBef>
            <a:spcAft>
              <a:spcPct val="35000"/>
            </a:spcAft>
            <a:buNone/>
          </a:pPr>
          <a:r>
            <a:rPr lang="en-AU" sz="900" kern="1200"/>
            <a:t>See Section 3.1.2</a:t>
          </a:r>
          <a:r>
            <a:rPr lang="en-AU" sz="1100" kern="1200"/>
            <a:t> </a:t>
          </a:r>
        </a:p>
      </dsp:txBody>
      <dsp:txXfrm>
        <a:off x="3088547" y="90967"/>
        <a:ext cx="1026858" cy="1096734"/>
      </dsp:txXfrm>
    </dsp:sp>
    <dsp:sp modelId="{E33C89FA-BA68-40B7-B53B-37E997859BDD}">
      <dsp:nvSpPr>
        <dsp:cNvPr id="0" name=""/>
        <dsp:cNvSpPr/>
      </dsp:nvSpPr>
      <dsp:spPr>
        <a:xfrm>
          <a:off x="4256427" y="504081"/>
          <a:ext cx="231239" cy="2705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256427" y="558182"/>
        <a:ext cx="161867" cy="162304"/>
      </dsp:txXfrm>
    </dsp:sp>
    <dsp:sp modelId="{F597BC2E-1DCC-4A2A-BD49-9946EDD335F9}">
      <dsp:nvSpPr>
        <dsp:cNvPr id="0" name=""/>
        <dsp:cNvSpPr/>
      </dsp:nvSpPr>
      <dsp:spPr>
        <a:xfrm>
          <a:off x="4583653" y="59020"/>
          <a:ext cx="1090752" cy="11606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AU" sz="1050" b="1" kern="1200"/>
            <a:t>Step 4</a:t>
          </a:r>
        </a:p>
        <a:p>
          <a:pPr marL="0" lvl="0" indent="0" algn="ctr" defTabSz="466725">
            <a:lnSpc>
              <a:spcPct val="90000"/>
            </a:lnSpc>
            <a:spcBef>
              <a:spcPct val="0"/>
            </a:spcBef>
            <a:spcAft>
              <a:spcPct val="35000"/>
            </a:spcAft>
            <a:buNone/>
          </a:pPr>
          <a:r>
            <a:rPr lang="en-AU" sz="1050" b="0" kern="1200"/>
            <a:t>6GW allocation to States based on modelling outputs</a:t>
          </a:r>
        </a:p>
        <a:p>
          <a:pPr marL="0" lvl="0" indent="0" algn="ctr" defTabSz="466725">
            <a:lnSpc>
              <a:spcPct val="90000"/>
            </a:lnSpc>
            <a:spcBef>
              <a:spcPct val="0"/>
            </a:spcBef>
            <a:spcAft>
              <a:spcPct val="35000"/>
            </a:spcAft>
            <a:buNone/>
          </a:pPr>
          <a:r>
            <a:rPr lang="en-AU" sz="900" kern="1200"/>
            <a:t>See Section 3.2</a:t>
          </a:r>
          <a:endParaRPr lang="en-AU" sz="1050" b="0" kern="1200"/>
        </a:p>
      </dsp:txBody>
      <dsp:txXfrm>
        <a:off x="4615600" y="90967"/>
        <a:ext cx="1026858" cy="10967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FF8FC-2334-467B-97B6-3DDE8E8AE51C}">
      <dsp:nvSpPr>
        <dsp:cNvPr id="0" name=""/>
        <dsp:cNvSpPr/>
      </dsp:nvSpPr>
      <dsp:spPr>
        <a:xfrm>
          <a:off x="6482" y="0"/>
          <a:ext cx="4650475" cy="983974"/>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Font typeface="Symbol" panose="05050102010706020507" pitchFamily="18" charset="2"/>
            <a:buNone/>
          </a:pPr>
          <a:r>
            <a:rPr lang="en-AU" sz="1000" b="1" kern="1200">
              <a:solidFill>
                <a:schemeClr val="tx1"/>
              </a:solidFill>
            </a:rPr>
            <a:t>Project bid stage (Stage A)</a:t>
          </a:r>
          <a:r>
            <a:rPr lang="en-AU" sz="1000" kern="1200">
              <a:solidFill>
                <a:schemeClr val="tx1"/>
              </a:solidFill>
            </a:rPr>
            <a:t>: projects will be assessed against their technical, commercial and social licence merit. Strongest performing projects will then be shortlisted and invited to submit a bid for Stage B. Projects may be asked to provide an indicative financial bid at the project bid stage. </a:t>
          </a:r>
        </a:p>
      </dsp:txBody>
      <dsp:txXfrm>
        <a:off x="35302" y="28820"/>
        <a:ext cx="3636127" cy="926334"/>
      </dsp:txXfrm>
    </dsp:sp>
    <dsp:sp modelId="{DAD023EC-219D-4AED-A0A0-416BA5A200C1}">
      <dsp:nvSpPr>
        <dsp:cNvPr id="0" name=""/>
        <dsp:cNvSpPr/>
      </dsp:nvSpPr>
      <dsp:spPr>
        <a:xfrm>
          <a:off x="822959" y="1202634"/>
          <a:ext cx="4663440" cy="983974"/>
        </a:xfrm>
        <a:prstGeom prst="roundRect">
          <a:avLst>
            <a:gd name="adj" fmla="val 10000"/>
          </a:avLst>
        </a:prstGeom>
        <a:solidFill>
          <a:schemeClr val="accent1">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kern="1200">
              <a:solidFill>
                <a:schemeClr val="tx1"/>
              </a:solidFill>
            </a:rPr>
            <a:t>Financial bid stage (Stage B)</a:t>
          </a:r>
          <a:r>
            <a:rPr lang="en-AU" sz="1000" kern="1200">
              <a:solidFill>
                <a:schemeClr val="tx1"/>
              </a:solidFill>
            </a:rPr>
            <a:t>: projects will be assessed against their contribution to the policy objectives of the CIS, being contribution to reliability and lower prices for consumers. At this stage, projects will be expected to provide pricing bid variables for competitive assessment</a:t>
          </a:r>
        </a:p>
      </dsp:txBody>
      <dsp:txXfrm>
        <a:off x="851779" y="1231454"/>
        <a:ext cx="3143256" cy="926334"/>
      </dsp:txXfrm>
    </dsp:sp>
    <dsp:sp modelId="{4B86AA37-15AB-474C-BDEB-3DD612AB79A5}">
      <dsp:nvSpPr>
        <dsp:cNvPr id="0" name=""/>
        <dsp:cNvSpPr/>
      </dsp:nvSpPr>
      <dsp:spPr>
        <a:xfrm>
          <a:off x="4023856" y="773512"/>
          <a:ext cx="639583" cy="639583"/>
        </a:xfrm>
        <a:prstGeom prst="downArrow">
          <a:avLst>
            <a:gd name="adj1" fmla="val 55000"/>
            <a:gd name="adj2" fmla="val 45000"/>
          </a:avLst>
        </a:prstGeom>
        <a:solidFill>
          <a:schemeClr val="accent1">
            <a:lumMod val="7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en-AU" sz="2900" kern="1200"/>
        </a:p>
      </dsp:txBody>
      <dsp:txXfrm>
        <a:off x="4167762" y="773512"/>
        <a:ext cx="351771" cy="4812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9484377F1D8408015F6CB5293512F" ma:contentTypeVersion="12" ma:contentTypeDescription="Create a new document." ma:contentTypeScope="" ma:versionID="12dfd4161b8464daa00367e189cd5bef">
  <xsd:schema xmlns:xsd="http://www.w3.org/2001/XMLSchema" xmlns:xs="http://www.w3.org/2001/XMLSchema" xmlns:p="http://schemas.microsoft.com/office/2006/metadata/properties" xmlns:ns2="c00b9b4d-7f79-474c-ada1-1bbc47134fcc" xmlns:ns3="f955cd0e-1d6d-436f-8ac5-e785274a8c16" xmlns:ns4="81c01dc6-2c49-4730-b140-874c95cac377" targetNamespace="http://schemas.microsoft.com/office/2006/metadata/properties" ma:root="true" ma:fieldsID="d43f2d90aea871bfe32a0ac978a51d35" ns2:_="" ns3:_="" ns4:_="">
    <xsd:import namespace="c00b9b4d-7f79-474c-ada1-1bbc47134fcc"/>
    <xsd:import namespace="f955cd0e-1d6d-436f-8ac5-e785274a8c1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b9b4d-7f79-474c-ada1-1bbc47134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5cd0e-1d6d-436f-8ac5-e785274a8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dda093-ff4d-4ae0-a424-6811226b44a9}" ma:internalName="TaxCatchAll" ma:showField="CatchAllData" ma:web="f955cd0e-1d6d-436f-8ac5-e785274a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55cd0e-1d6d-436f-8ac5-e785274a8c16">
      <UserInfo>
        <DisplayName>SharingLinks.ead6b6a2-b0ee-4d20-80dd-36014d7ad71f.OrganizationEdit.6158e6fb-03ec-4705-9ffd-c2f4772ab857</DisplayName>
        <AccountId>31</AccountId>
        <AccountType/>
      </UserInfo>
      <UserInfo>
        <DisplayName>SharingLinks.8e94216c-6670-4bc8-b7fe-636499f740db.Flexible.bcfe84f8-5499-432b-9bf3-5b0548ca2a12</DisplayName>
        <AccountId>28</AccountId>
        <AccountType/>
      </UserInfo>
      <UserInfo>
        <DisplayName>Limited Access System Group For Web f955cd0e-1d6d-436f-8ac5-e785274a8c16</DisplayName>
        <AccountId>20</AccountId>
        <AccountType/>
      </UserInfo>
      <UserInfo>
        <DisplayName>Cosgrave, Josh</DisplayName>
        <AccountId>30</AccountId>
        <AccountType/>
      </UserInfo>
      <UserInfo>
        <DisplayName>Konovalov, Zoe</DisplayName>
        <AccountId>14</AccountId>
        <AccountType/>
      </UserInfo>
      <UserInfo>
        <DisplayName>Collins, Kim</DisplayName>
        <AccountId>83</AccountId>
        <AccountType/>
      </UserInfo>
      <UserInfo>
        <DisplayName>Plant, Justin</DisplayName>
        <AccountId>84</AccountId>
        <AccountType/>
      </UserInfo>
      <UserInfo>
        <DisplayName>Pang, Melissa</DisplayName>
        <AccountId>85</AccountId>
        <AccountType/>
      </UserInfo>
      <UserInfo>
        <DisplayName>Gowans, Kirsty</DisplayName>
        <AccountId>86</AccountId>
        <AccountType/>
      </UserInfo>
      <UserInfo>
        <DisplayName>White, James</DisplayName>
        <AccountId>87</AccountId>
        <AccountType/>
      </UserInfo>
      <UserInfo>
        <DisplayName>Bowman-Derrick, Felix</DisplayName>
        <AccountId>88</AccountId>
        <AccountType/>
      </UserInfo>
      <UserInfo>
        <DisplayName>Zerk, Timothy</DisplayName>
        <AccountId>89</AccountId>
        <AccountType/>
      </UserInfo>
      <UserInfo>
        <DisplayName>Gurney, Edlyn</DisplayName>
        <AccountId>90</AccountId>
        <AccountType/>
      </UserInfo>
      <UserInfo>
        <DisplayName>Morgan, Huw</DisplayName>
        <AccountId>93</AccountId>
        <AccountType/>
      </UserInfo>
      <UserInfo>
        <DisplayName>Nilon, Tavalea</DisplayName>
        <AccountId>94</AccountId>
        <AccountType/>
      </UserInfo>
      <UserInfo>
        <DisplayName>Palmer, Kristen</DisplayName>
        <AccountId>95</AccountId>
        <AccountType/>
      </UserInfo>
      <UserInfo>
        <DisplayName>Pankowski, Andrew</DisplayName>
        <AccountId>96</AccountId>
        <AccountType/>
      </UserInfo>
      <UserInfo>
        <DisplayName>Rasmus, Christian</DisplayName>
        <AccountId>97</AccountId>
        <AccountType/>
      </UserInfo>
      <UserInfo>
        <DisplayName>Chan, Anthony</DisplayName>
        <AccountId>98</AccountId>
        <AccountType/>
      </UserInfo>
      <UserInfo>
        <DisplayName>FISCHER, Kathleen</DisplayName>
        <AccountId>99</AccountId>
        <AccountType/>
      </UserInfo>
      <UserInfo>
        <DisplayName>Nelson, Michael</DisplayName>
        <AccountId>100</AccountId>
        <AccountType/>
      </UserInfo>
      <UserInfo>
        <DisplayName>Videroni, Chris</DisplayName>
        <AccountId>101</AccountId>
        <AccountType/>
      </UserInfo>
      <UserInfo>
        <DisplayName>Blachford, Alex</DisplayName>
        <AccountId>102</AccountId>
        <AccountType/>
      </UserInfo>
      <UserInfo>
        <DisplayName>Robertson, Andrew</DisplayName>
        <AccountId>103</AccountId>
        <AccountType/>
      </UserInfo>
      <UserInfo>
        <DisplayName>Allbeury, David</DisplayName>
        <AccountId>104</AccountId>
        <AccountType/>
      </UserInfo>
      <UserInfo>
        <DisplayName>HORAN, Nicholas</DisplayName>
        <AccountId>105</AccountId>
        <AccountType/>
      </UserInfo>
      <UserInfo>
        <DisplayName>Smith, Samuel</DisplayName>
        <AccountId>106</AccountId>
        <AccountType/>
      </UserInfo>
    </SharedWithUsers>
    <lcf76f155ced4ddcb4097134ff3c332f xmlns="c00b9b4d-7f79-474c-ada1-1bbc47134fcc">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D66AE47-01EE-4C55-A5CF-AD9C1649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b9b4d-7f79-474c-ada1-1bbc47134fcc"/>
    <ds:schemaRef ds:uri="f955cd0e-1d6d-436f-8ac5-e785274a8c1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95AC-BD6F-437C-99BB-FA2E036895FC}">
  <ds:schemaRefs>
    <ds:schemaRef ds:uri="http://schemas.microsoft.com/sharepoint/v3/contenttype/forms"/>
  </ds:schemaRefs>
</ds:datastoreItem>
</file>

<file path=customXml/itemProps3.xml><?xml version="1.0" encoding="utf-8"?>
<ds:datastoreItem xmlns:ds="http://schemas.openxmlformats.org/officeDocument/2006/customXml" ds:itemID="{2281E9C2-5039-4490-A709-63FC4F1902CD}">
  <ds:schemaRefs>
    <ds:schemaRef ds:uri="http://schemas.microsoft.com/office/2006/metadata/properties"/>
    <ds:schemaRef ds:uri="http://schemas.microsoft.com/office/infopath/2007/PartnerControls"/>
    <ds:schemaRef ds:uri="f955cd0e-1d6d-436f-8ac5-e785274a8c16"/>
    <ds:schemaRef ds:uri="c00b9b4d-7f79-474c-ada1-1bbc47134fcc"/>
    <ds:schemaRef ds:uri="81c01dc6-2c49-4730-b140-874c95cac377"/>
  </ds:schemaRefs>
</ds:datastoreItem>
</file>

<file path=customXml/itemProps4.xml><?xml version="1.0" encoding="utf-8"?>
<ds:datastoreItem xmlns:ds="http://schemas.openxmlformats.org/officeDocument/2006/customXml" ds:itemID="{0270E0C5-708E-4EB0-868D-8E76C236E4D7}">
  <ds:schemaRefs>
    <ds:schemaRef ds:uri="http://schemas.openxmlformats.org/officeDocument/2006/bibliography"/>
  </ds:schemaRefs>
</ds:datastoreItem>
</file>

<file path=customXml/itemProps5.xml><?xml version="1.0" encoding="utf-8"?>
<ds:datastoreItem xmlns:ds="http://schemas.openxmlformats.org/officeDocument/2006/customXml" ds:itemID="{C2173F2A-9300-4605-924C-F305A2447A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9467</Words>
  <Characters>53965</Characters>
  <Application>Microsoft Office Word</Application>
  <DocSecurity>0</DocSecurity>
  <Lines>449</Lines>
  <Paragraphs>126</Paragraphs>
  <ScaleCrop>false</ScaleCrop>
  <Company>Department of Industry, Innovation and Science</Company>
  <LinksUpToDate>false</LinksUpToDate>
  <CharactersWithSpaces>63306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Jack</dc:creator>
  <cp:keywords/>
  <dc:description/>
  <cp:lastModifiedBy>Bahramzadeh, Ali</cp:lastModifiedBy>
  <cp:revision>510</cp:revision>
  <cp:lastPrinted>2023-08-01T01:52:00Z</cp:lastPrinted>
  <dcterms:created xsi:type="dcterms:W3CDTF">2023-07-31T16:49:00Z</dcterms:created>
  <dcterms:modified xsi:type="dcterms:W3CDTF">2023-08-01T01:53:00Z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
  </property>
  <property fmtid="{D5CDD505-2E9C-101B-9397-08002B2CF9AE}" pid="3" name="DocHub_DocumentType">
    <vt:lpwstr>53;#Paper|4fd73e9f-ceb6-4d3f-8d1d-e6ca9b922532</vt:lpwstr>
  </property>
  <property fmtid="{D5CDD505-2E9C-101B-9397-08002B2CF9AE}" pid="4" name="DocHub_SecurityClassification">
    <vt:lpwstr>8;#OFFICIAL:Sensitive|11f6fb0b-52ce-4109-8f7f-521b2a62f692</vt:lpwstr>
  </property>
  <property fmtid="{D5CDD505-2E9C-101B-9397-08002B2CF9AE}" pid="5" name="DocHub_Keywords">
    <vt:lpwstr/>
  </property>
  <property fmtid="{D5CDD505-2E9C-101B-9397-08002B2CF9AE}" pid="6" name="DocHub_WorkActivity">
    <vt:lpwstr/>
  </property>
  <property fmtid="{D5CDD505-2E9C-101B-9397-08002B2CF9AE}" pid="7" name="GrammarlyDocumentId">
    <vt:lpwstr>49f1ecc788b00db53404ad07799c20b466385da76d1e7a01d7860d2f662e1742</vt:lpwstr>
  </property>
  <property fmtid="{D5CDD505-2E9C-101B-9397-08002B2CF9AE}" pid="8" name="MSIP_Label_c1941c47-a837-430d-8559-fd118a72769e_Enabled">
    <vt:lpwstr>true</vt:lpwstr>
  </property>
  <property fmtid="{D5CDD505-2E9C-101B-9397-08002B2CF9AE}" pid="9" name="MSIP_Label_c1941c47-a837-430d-8559-fd118a72769e_SetDate">
    <vt:lpwstr>2023-07-02T01:39:39Z</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ActionId">
    <vt:lpwstr>47119aef-33b0-4c0a-badd-1d7f1b7b8b08</vt:lpwstr>
  </property>
  <property fmtid="{D5CDD505-2E9C-101B-9397-08002B2CF9AE}" pid="14" name="MSIP_Label_c1941c47-a837-430d-8559-fd118a72769e_ContentBits">
    <vt:lpwstr>0</vt:lpwstr>
  </property>
  <property fmtid="{D5CDD505-2E9C-101B-9397-08002B2CF9AE}" pid="15" name="TaxKeyword">
    <vt:lpwstr/>
  </property>
  <property fmtid="{D5CDD505-2E9C-101B-9397-08002B2CF9AE}" pid="16" name="AEMO Collaboration Document Type">
    <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ContentTypeId">
    <vt:lpwstr>0x0101004C39484377F1D8408015F6CB5293512F</vt:lpwstr>
  </property>
  <property fmtid="{D5CDD505-2E9C-101B-9397-08002B2CF9AE}" pid="20" name="SharedWithUsers">
    <vt:lpwstr>31;#Melanie Koerner;#313;#Gina Zheng;#552;#Paul Austin;#159;#Dominic Price;#28;#Marguerite Pettit;#20;#Rhonda Hobson;#30;#Thomas Aubert;#14;#Baharak Sahebekhtiari</vt:lpwstr>
  </property>
</Properties>
</file>