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37EA" w14:textId="4FA5C7BF" w:rsidR="00843F30" w:rsidRDefault="00383B26" w:rsidP="005D76E6">
      <w:pPr>
        <w:pStyle w:val="Heading1"/>
      </w:pPr>
      <w:r>
        <w:t>Introduction</w:t>
      </w:r>
    </w:p>
    <w:p w14:paraId="36C5B219" w14:textId="64959235" w:rsidR="616F91E4" w:rsidRDefault="00DE6421" w:rsidP="6100B6CB">
      <w:pPr>
        <w:jc w:val="both"/>
        <w:rPr>
          <w:rFonts w:eastAsiaTheme="minorEastAsia"/>
          <w:color w:val="313131"/>
          <w:sz w:val="24"/>
          <w:szCs w:val="24"/>
        </w:rPr>
      </w:pPr>
      <w:r>
        <w:rPr>
          <w:rFonts w:eastAsiaTheme="minorEastAsia"/>
          <w:color w:val="313131"/>
          <w:sz w:val="24"/>
          <w:szCs w:val="24"/>
        </w:rPr>
        <w:t xml:space="preserve">We are working to develop </w:t>
      </w:r>
      <w:r w:rsidR="616F91E4" w:rsidRPr="6100B6CB">
        <w:rPr>
          <w:rFonts w:eastAsiaTheme="minorEastAsia"/>
          <w:color w:val="313131"/>
          <w:sz w:val="24"/>
          <w:szCs w:val="24"/>
        </w:rPr>
        <w:t>Australia’s Guarantee of Origin scheme</w:t>
      </w:r>
      <w:r w:rsidR="007A6781">
        <w:rPr>
          <w:rFonts w:eastAsiaTheme="minorEastAsia"/>
          <w:color w:val="313131"/>
          <w:sz w:val="24"/>
          <w:szCs w:val="24"/>
        </w:rPr>
        <w:t>,</w:t>
      </w:r>
      <w:r w:rsidR="616F91E4" w:rsidRPr="6100B6CB">
        <w:rPr>
          <w:rFonts w:eastAsiaTheme="minorEastAsia"/>
          <w:color w:val="313131"/>
          <w:sz w:val="24"/>
          <w:szCs w:val="24"/>
        </w:rPr>
        <w:t xml:space="preserve"> an internationally aligned emissions accounting framework</w:t>
      </w:r>
      <w:r w:rsidR="007A6781">
        <w:rPr>
          <w:rFonts w:eastAsiaTheme="minorEastAsia"/>
          <w:color w:val="313131"/>
          <w:sz w:val="24"/>
          <w:szCs w:val="24"/>
        </w:rPr>
        <w:t xml:space="preserve">. The Department </w:t>
      </w:r>
      <w:r w:rsidR="616F91E4" w:rsidRPr="6100B6CB">
        <w:rPr>
          <w:rFonts w:eastAsiaTheme="minorEastAsia"/>
          <w:color w:val="313131"/>
          <w:sz w:val="24"/>
          <w:szCs w:val="24"/>
        </w:rPr>
        <w:t xml:space="preserve">is currently </w:t>
      </w:r>
      <w:r w:rsidR="007A6781">
        <w:rPr>
          <w:rFonts w:eastAsiaTheme="minorEastAsia"/>
          <w:color w:val="313131"/>
          <w:sz w:val="24"/>
          <w:szCs w:val="24"/>
        </w:rPr>
        <w:t xml:space="preserve">consulting on </w:t>
      </w:r>
      <w:r w:rsidR="00BA7439">
        <w:rPr>
          <w:rFonts w:eastAsiaTheme="minorEastAsia"/>
          <w:color w:val="313131"/>
          <w:sz w:val="24"/>
          <w:szCs w:val="24"/>
        </w:rPr>
        <w:t xml:space="preserve">a package of papers which </w:t>
      </w:r>
      <w:r w:rsidR="00254C87">
        <w:rPr>
          <w:rFonts w:eastAsiaTheme="minorEastAsia"/>
          <w:color w:val="313131"/>
          <w:sz w:val="24"/>
          <w:szCs w:val="24"/>
        </w:rPr>
        <w:t xml:space="preserve">cover </w:t>
      </w:r>
      <w:r w:rsidR="007A6781">
        <w:rPr>
          <w:rFonts w:eastAsiaTheme="minorEastAsia"/>
          <w:color w:val="313131"/>
          <w:sz w:val="24"/>
          <w:szCs w:val="24"/>
        </w:rPr>
        <w:t xml:space="preserve">the detailed </w:t>
      </w:r>
      <w:r w:rsidR="00370CA1">
        <w:rPr>
          <w:rFonts w:eastAsiaTheme="minorEastAsia"/>
          <w:color w:val="313131"/>
          <w:sz w:val="24"/>
          <w:szCs w:val="24"/>
        </w:rPr>
        <w:t xml:space="preserve">aspects of the GO scheme. Throughout this consultation the Department held a series of webinars </w:t>
      </w:r>
      <w:r w:rsidR="001F34B1">
        <w:rPr>
          <w:rFonts w:eastAsiaTheme="minorEastAsia"/>
          <w:color w:val="313131"/>
          <w:sz w:val="24"/>
          <w:szCs w:val="24"/>
        </w:rPr>
        <w:t xml:space="preserve">and has been engaging with stakeholders. </w:t>
      </w:r>
      <w:r w:rsidR="00BA7439">
        <w:rPr>
          <w:rFonts w:eastAsiaTheme="minorEastAsia"/>
          <w:color w:val="313131"/>
          <w:sz w:val="24"/>
          <w:szCs w:val="24"/>
        </w:rPr>
        <w:t xml:space="preserve">This document summarises some of the frequently asked questions from stakeholders and is intended to provide clarity over elements of the consultation package. </w:t>
      </w:r>
    </w:p>
    <w:p w14:paraId="0514252A" w14:textId="77777777" w:rsidR="00843F30" w:rsidRDefault="00843F30" w:rsidP="6100B6CB">
      <w:pPr>
        <w:jc w:val="both"/>
        <w:rPr>
          <w:rFonts w:eastAsiaTheme="minorEastAsia"/>
          <w:color w:val="313131"/>
          <w:sz w:val="24"/>
          <w:szCs w:val="24"/>
        </w:rPr>
      </w:pPr>
    </w:p>
    <w:sdt>
      <w:sdtPr>
        <w:rPr>
          <w:rFonts w:asciiTheme="minorHAnsi" w:eastAsiaTheme="minorHAnsi" w:hAnsiTheme="minorHAnsi" w:cstheme="minorBidi"/>
          <w:color w:val="auto"/>
          <w:kern w:val="2"/>
          <w:sz w:val="22"/>
          <w:szCs w:val="22"/>
          <w:lang w:val="en-AU"/>
          <w14:ligatures w14:val="standardContextual"/>
        </w:rPr>
        <w:id w:val="-2101554030"/>
        <w:docPartObj>
          <w:docPartGallery w:val="Table of Contents"/>
          <w:docPartUnique/>
        </w:docPartObj>
      </w:sdtPr>
      <w:sdtEndPr>
        <w:rPr>
          <w:b/>
          <w:bCs/>
          <w:noProof/>
        </w:rPr>
      </w:sdtEndPr>
      <w:sdtContent>
        <w:p w14:paraId="04291EE7" w14:textId="0263952E" w:rsidR="00843F30" w:rsidRDefault="00843F30" w:rsidP="005D76E6">
          <w:pPr>
            <w:pStyle w:val="TOCHeading"/>
          </w:pPr>
          <w:r>
            <w:t>Contents</w:t>
          </w:r>
        </w:p>
        <w:p w14:paraId="448BB1CD" w14:textId="76AEC92A" w:rsidR="00383B26" w:rsidRDefault="00383B26">
          <w:pPr>
            <w:pStyle w:val="TOC1"/>
            <w:tabs>
              <w:tab w:val="right" w:leader="dot" w:pos="9016"/>
            </w:tabs>
            <w:rPr>
              <w:rFonts w:eastAsiaTheme="minorEastAsia"/>
              <w:noProof/>
              <w:lang w:eastAsia="en-AU"/>
            </w:rPr>
          </w:pPr>
          <w:r>
            <w:fldChar w:fldCharType="begin"/>
          </w:r>
          <w:r>
            <w:instrText xml:space="preserve"> TOC \o "1-2" \h \z \u </w:instrText>
          </w:r>
          <w:r>
            <w:fldChar w:fldCharType="separate"/>
          </w:r>
          <w:hyperlink w:anchor="_Toc149223253" w:history="1">
            <w:r w:rsidRPr="00EB2D30">
              <w:rPr>
                <w:rStyle w:val="Hyperlink"/>
                <w:noProof/>
              </w:rPr>
              <w:t>Scheme design webinar</w:t>
            </w:r>
            <w:r>
              <w:rPr>
                <w:noProof/>
                <w:webHidden/>
              </w:rPr>
              <w:tab/>
            </w:r>
            <w:r>
              <w:rPr>
                <w:noProof/>
                <w:webHidden/>
              </w:rPr>
              <w:fldChar w:fldCharType="begin"/>
            </w:r>
            <w:r>
              <w:rPr>
                <w:noProof/>
                <w:webHidden/>
              </w:rPr>
              <w:instrText xml:space="preserve"> PAGEREF _Toc149223253 \h </w:instrText>
            </w:r>
            <w:r>
              <w:rPr>
                <w:noProof/>
                <w:webHidden/>
              </w:rPr>
            </w:r>
            <w:r>
              <w:rPr>
                <w:noProof/>
                <w:webHidden/>
              </w:rPr>
              <w:fldChar w:fldCharType="separate"/>
            </w:r>
            <w:r>
              <w:rPr>
                <w:noProof/>
                <w:webHidden/>
              </w:rPr>
              <w:t>1</w:t>
            </w:r>
            <w:r>
              <w:rPr>
                <w:noProof/>
                <w:webHidden/>
              </w:rPr>
              <w:fldChar w:fldCharType="end"/>
            </w:r>
          </w:hyperlink>
        </w:p>
        <w:p w14:paraId="3E30CDDB" w14:textId="6957042D" w:rsidR="00383B26" w:rsidRDefault="00742C69">
          <w:pPr>
            <w:pStyle w:val="TOC2"/>
            <w:tabs>
              <w:tab w:val="right" w:leader="dot" w:pos="9016"/>
            </w:tabs>
            <w:rPr>
              <w:rFonts w:eastAsiaTheme="minorEastAsia"/>
              <w:noProof/>
              <w:lang w:eastAsia="en-AU"/>
            </w:rPr>
          </w:pPr>
          <w:hyperlink w:anchor="_Toc149223254" w:history="1">
            <w:r w:rsidR="00383B26" w:rsidRPr="00EB2D30">
              <w:rPr>
                <w:rStyle w:val="Hyperlink"/>
                <w:noProof/>
              </w:rPr>
              <w:t>General questions</w:t>
            </w:r>
            <w:r w:rsidR="00383B26">
              <w:rPr>
                <w:noProof/>
                <w:webHidden/>
              </w:rPr>
              <w:tab/>
            </w:r>
            <w:r w:rsidR="00383B26">
              <w:rPr>
                <w:noProof/>
                <w:webHidden/>
              </w:rPr>
              <w:fldChar w:fldCharType="begin"/>
            </w:r>
            <w:r w:rsidR="00383B26">
              <w:rPr>
                <w:noProof/>
                <w:webHidden/>
              </w:rPr>
              <w:instrText xml:space="preserve"> PAGEREF _Toc149223254 \h </w:instrText>
            </w:r>
            <w:r w:rsidR="00383B26">
              <w:rPr>
                <w:noProof/>
                <w:webHidden/>
              </w:rPr>
            </w:r>
            <w:r w:rsidR="00383B26">
              <w:rPr>
                <w:noProof/>
                <w:webHidden/>
              </w:rPr>
              <w:fldChar w:fldCharType="separate"/>
            </w:r>
            <w:r w:rsidR="00383B26">
              <w:rPr>
                <w:noProof/>
                <w:webHidden/>
              </w:rPr>
              <w:t>1</w:t>
            </w:r>
            <w:r w:rsidR="00383B26">
              <w:rPr>
                <w:noProof/>
                <w:webHidden/>
              </w:rPr>
              <w:fldChar w:fldCharType="end"/>
            </w:r>
          </w:hyperlink>
        </w:p>
        <w:p w14:paraId="71560FDD" w14:textId="12373172" w:rsidR="00383B26" w:rsidRDefault="00742C69">
          <w:pPr>
            <w:pStyle w:val="TOC2"/>
            <w:tabs>
              <w:tab w:val="right" w:leader="dot" w:pos="9016"/>
            </w:tabs>
            <w:rPr>
              <w:rFonts w:eastAsiaTheme="minorEastAsia"/>
              <w:noProof/>
              <w:lang w:eastAsia="en-AU"/>
            </w:rPr>
          </w:pPr>
          <w:hyperlink w:anchor="_Toc149223255" w:history="1">
            <w:r w:rsidR="00383B26" w:rsidRPr="00EB2D30">
              <w:rPr>
                <w:rStyle w:val="Hyperlink"/>
                <w:noProof/>
              </w:rPr>
              <w:t>Scheme enrolment questions</w:t>
            </w:r>
            <w:r w:rsidR="00383B26">
              <w:rPr>
                <w:noProof/>
                <w:webHidden/>
              </w:rPr>
              <w:tab/>
            </w:r>
            <w:r w:rsidR="00383B26">
              <w:rPr>
                <w:noProof/>
                <w:webHidden/>
              </w:rPr>
              <w:fldChar w:fldCharType="begin"/>
            </w:r>
            <w:r w:rsidR="00383B26">
              <w:rPr>
                <w:noProof/>
                <w:webHidden/>
              </w:rPr>
              <w:instrText xml:space="preserve"> PAGEREF _Toc149223255 \h </w:instrText>
            </w:r>
            <w:r w:rsidR="00383B26">
              <w:rPr>
                <w:noProof/>
                <w:webHidden/>
              </w:rPr>
            </w:r>
            <w:r w:rsidR="00383B26">
              <w:rPr>
                <w:noProof/>
                <w:webHidden/>
              </w:rPr>
              <w:fldChar w:fldCharType="separate"/>
            </w:r>
            <w:r w:rsidR="00383B26">
              <w:rPr>
                <w:noProof/>
                <w:webHidden/>
              </w:rPr>
              <w:t>2</w:t>
            </w:r>
            <w:r w:rsidR="00383B26">
              <w:rPr>
                <w:noProof/>
                <w:webHidden/>
              </w:rPr>
              <w:fldChar w:fldCharType="end"/>
            </w:r>
          </w:hyperlink>
        </w:p>
        <w:p w14:paraId="0DAB922A" w14:textId="7391DA36" w:rsidR="00383B26" w:rsidRDefault="00742C69">
          <w:pPr>
            <w:pStyle w:val="TOC2"/>
            <w:tabs>
              <w:tab w:val="right" w:leader="dot" w:pos="9016"/>
            </w:tabs>
            <w:rPr>
              <w:rFonts w:eastAsiaTheme="minorEastAsia"/>
              <w:noProof/>
              <w:lang w:eastAsia="en-AU"/>
            </w:rPr>
          </w:pPr>
          <w:hyperlink w:anchor="_Toc149223256" w:history="1">
            <w:r w:rsidR="00383B26" w:rsidRPr="00EB2D30">
              <w:rPr>
                <w:rStyle w:val="Hyperlink"/>
                <w:noProof/>
              </w:rPr>
              <w:t>GO Certificate questions</w:t>
            </w:r>
            <w:r w:rsidR="00383B26">
              <w:rPr>
                <w:noProof/>
                <w:webHidden/>
              </w:rPr>
              <w:tab/>
            </w:r>
            <w:r w:rsidR="00383B26">
              <w:rPr>
                <w:noProof/>
                <w:webHidden/>
              </w:rPr>
              <w:fldChar w:fldCharType="begin"/>
            </w:r>
            <w:r w:rsidR="00383B26">
              <w:rPr>
                <w:noProof/>
                <w:webHidden/>
              </w:rPr>
              <w:instrText xml:space="preserve"> PAGEREF _Toc149223256 \h </w:instrText>
            </w:r>
            <w:r w:rsidR="00383B26">
              <w:rPr>
                <w:noProof/>
                <w:webHidden/>
              </w:rPr>
            </w:r>
            <w:r w:rsidR="00383B26">
              <w:rPr>
                <w:noProof/>
                <w:webHidden/>
              </w:rPr>
              <w:fldChar w:fldCharType="separate"/>
            </w:r>
            <w:r w:rsidR="00383B26">
              <w:rPr>
                <w:noProof/>
                <w:webHidden/>
              </w:rPr>
              <w:t>2</w:t>
            </w:r>
            <w:r w:rsidR="00383B26">
              <w:rPr>
                <w:noProof/>
                <w:webHidden/>
              </w:rPr>
              <w:fldChar w:fldCharType="end"/>
            </w:r>
          </w:hyperlink>
        </w:p>
        <w:p w14:paraId="0A1318EC" w14:textId="446E5A01" w:rsidR="00383B26" w:rsidRDefault="00742C69">
          <w:pPr>
            <w:pStyle w:val="TOC2"/>
            <w:tabs>
              <w:tab w:val="right" w:leader="dot" w:pos="9016"/>
            </w:tabs>
            <w:rPr>
              <w:rFonts w:eastAsiaTheme="minorEastAsia"/>
              <w:noProof/>
              <w:lang w:eastAsia="en-AU"/>
            </w:rPr>
          </w:pPr>
          <w:hyperlink w:anchor="_Toc149223257" w:history="1">
            <w:r w:rsidR="00383B26" w:rsidRPr="00EB2D30">
              <w:rPr>
                <w:rStyle w:val="Hyperlink"/>
                <w:noProof/>
              </w:rPr>
              <w:t>Data visibility and sharing</w:t>
            </w:r>
            <w:r w:rsidR="00383B26">
              <w:rPr>
                <w:noProof/>
                <w:webHidden/>
              </w:rPr>
              <w:tab/>
            </w:r>
            <w:r w:rsidR="00383B26">
              <w:rPr>
                <w:noProof/>
                <w:webHidden/>
              </w:rPr>
              <w:fldChar w:fldCharType="begin"/>
            </w:r>
            <w:r w:rsidR="00383B26">
              <w:rPr>
                <w:noProof/>
                <w:webHidden/>
              </w:rPr>
              <w:instrText xml:space="preserve"> PAGEREF _Toc149223257 \h </w:instrText>
            </w:r>
            <w:r w:rsidR="00383B26">
              <w:rPr>
                <w:noProof/>
                <w:webHidden/>
              </w:rPr>
            </w:r>
            <w:r w:rsidR="00383B26">
              <w:rPr>
                <w:noProof/>
                <w:webHidden/>
              </w:rPr>
              <w:fldChar w:fldCharType="separate"/>
            </w:r>
            <w:r w:rsidR="00383B26">
              <w:rPr>
                <w:noProof/>
                <w:webHidden/>
              </w:rPr>
              <w:t>4</w:t>
            </w:r>
            <w:r w:rsidR="00383B26">
              <w:rPr>
                <w:noProof/>
                <w:webHidden/>
              </w:rPr>
              <w:fldChar w:fldCharType="end"/>
            </w:r>
          </w:hyperlink>
        </w:p>
        <w:p w14:paraId="19AFCA09" w14:textId="4CB2A18B" w:rsidR="00383B26" w:rsidRDefault="00742C69">
          <w:pPr>
            <w:pStyle w:val="TOC1"/>
            <w:tabs>
              <w:tab w:val="right" w:leader="dot" w:pos="9016"/>
            </w:tabs>
            <w:rPr>
              <w:rFonts w:eastAsiaTheme="minorEastAsia"/>
              <w:noProof/>
              <w:lang w:eastAsia="en-AU"/>
            </w:rPr>
          </w:pPr>
          <w:hyperlink w:anchor="_Toc149223258" w:history="1">
            <w:r w:rsidR="00383B26" w:rsidRPr="00EB2D30">
              <w:rPr>
                <w:rStyle w:val="Hyperlink"/>
                <w:noProof/>
              </w:rPr>
              <w:t>Emissions accounting approach webinar</w:t>
            </w:r>
            <w:r w:rsidR="00383B26">
              <w:rPr>
                <w:noProof/>
                <w:webHidden/>
              </w:rPr>
              <w:tab/>
            </w:r>
            <w:r w:rsidR="00383B26">
              <w:rPr>
                <w:noProof/>
                <w:webHidden/>
              </w:rPr>
              <w:fldChar w:fldCharType="begin"/>
            </w:r>
            <w:r w:rsidR="00383B26">
              <w:rPr>
                <w:noProof/>
                <w:webHidden/>
              </w:rPr>
              <w:instrText xml:space="preserve"> PAGEREF _Toc149223258 \h </w:instrText>
            </w:r>
            <w:r w:rsidR="00383B26">
              <w:rPr>
                <w:noProof/>
                <w:webHidden/>
              </w:rPr>
            </w:r>
            <w:r w:rsidR="00383B26">
              <w:rPr>
                <w:noProof/>
                <w:webHidden/>
              </w:rPr>
              <w:fldChar w:fldCharType="separate"/>
            </w:r>
            <w:r w:rsidR="00383B26">
              <w:rPr>
                <w:noProof/>
                <w:webHidden/>
              </w:rPr>
              <w:t>4</w:t>
            </w:r>
            <w:r w:rsidR="00383B26">
              <w:rPr>
                <w:noProof/>
                <w:webHidden/>
              </w:rPr>
              <w:fldChar w:fldCharType="end"/>
            </w:r>
          </w:hyperlink>
        </w:p>
        <w:p w14:paraId="07E68CDF" w14:textId="71D699A3" w:rsidR="00383B26" w:rsidRDefault="00742C69">
          <w:pPr>
            <w:pStyle w:val="TOC2"/>
            <w:tabs>
              <w:tab w:val="right" w:leader="dot" w:pos="9016"/>
            </w:tabs>
            <w:rPr>
              <w:rFonts w:eastAsiaTheme="minorEastAsia"/>
              <w:noProof/>
              <w:lang w:eastAsia="en-AU"/>
            </w:rPr>
          </w:pPr>
          <w:hyperlink w:anchor="_Toc149223259" w:history="1">
            <w:r w:rsidR="00383B26" w:rsidRPr="00EB2D30">
              <w:rPr>
                <w:rStyle w:val="Hyperlink"/>
                <w:noProof/>
              </w:rPr>
              <w:t>General questions</w:t>
            </w:r>
            <w:r w:rsidR="00383B26">
              <w:rPr>
                <w:noProof/>
                <w:webHidden/>
              </w:rPr>
              <w:tab/>
            </w:r>
            <w:r w:rsidR="00383B26">
              <w:rPr>
                <w:noProof/>
                <w:webHidden/>
              </w:rPr>
              <w:fldChar w:fldCharType="begin"/>
            </w:r>
            <w:r w:rsidR="00383B26">
              <w:rPr>
                <w:noProof/>
                <w:webHidden/>
              </w:rPr>
              <w:instrText xml:space="preserve"> PAGEREF _Toc149223259 \h </w:instrText>
            </w:r>
            <w:r w:rsidR="00383B26">
              <w:rPr>
                <w:noProof/>
                <w:webHidden/>
              </w:rPr>
            </w:r>
            <w:r w:rsidR="00383B26">
              <w:rPr>
                <w:noProof/>
                <w:webHidden/>
              </w:rPr>
              <w:fldChar w:fldCharType="separate"/>
            </w:r>
            <w:r w:rsidR="00383B26">
              <w:rPr>
                <w:noProof/>
                <w:webHidden/>
              </w:rPr>
              <w:t>4</w:t>
            </w:r>
            <w:r w:rsidR="00383B26">
              <w:rPr>
                <w:noProof/>
                <w:webHidden/>
              </w:rPr>
              <w:fldChar w:fldCharType="end"/>
            </w:r>
          </w:hyperlink>
        </w:p>
        <w:p w14:paraId="32B6F312" w14:textId="076D3D88" w:rsidR="00383B26" w:rsidRDefault="00742C69">
          <w:pPr>
            <w:pStyle w:val="TOC2"/>
            <w:tabs>
              <w:tab w:val="right" w:leader="dot" w:pos="9016"/>
            </w:tabs>
            <w:rPr>
              <w:rFonts w:eastAsiaTheme="minorEastAsia"/>
              <w:noProof/>
              <w:lang w:eastAsia="en-AU"/>
            </w:rPr>
          </w:pPr>
          <w:hyperlink w:anchor="_Toc149223260" w:history="1">
            <w:r w:rsidR="00383B26" w:rsidRPr="00EB2D30">
              <w:rPr>
                <w:rStyle w:val="Hyperlink"/>
                <w:noProof/>
              </w:rPr>
              <w:t>System boundary</w:t>
            </w:r>
            <w:r w:rsidR="00383B26">
              <w:rPr>
                <w:noProof/>
                <w:webHidden/>
              </w:rPr>
              <w:tab/>
            </w:r>
            <w:r w:rsidR="00383B26">
              <w:rPr>
                <w:noProof/>
                <w:webHidden/>
              </w:rPr>
              <w:fldChar w:fldCharType="begin"/>
            </w:r>
            <w:r w:rsidR="00383B26">
              <w:rPr>
                <w:noProof/>
                <w:webHidden/>
              </w:rPr>
              <w:instrText xml:space="preserve"> PAGEREF _Toc149223260 \h </w:instrText>
            </w:r>
            <w:r w:rsidR="00383B26">
              <w:rPr>
                <w:noProof/>
                <w:webHidden/>
              </w:rPr>
            </w:r>
            <w:r w:rsidR="00383B26">
              <w:rPr>
                <w:noProof/>
                <w:webHidden/>
              </w:rPr>
              <w:fldChar w:fldCharType="separate"/>
            </w:r>
            <w:r w:rsidR="00383B26">
              <w:rPr>
                <w:noProof/>
                <w:webHidden/>
              </w:rPr>
              <w:t>6</w:t>
            </w:r>
            <w:r w:rsidR="00383B26">
              <w:rPr>
                <w:noProof/>
                <w:webHidden/>
              </w:rPr>
              <w:fldChar w:fldCharType="end"/>
            </w:r>
          </w:hyperlink>
        </w:p>
        <w:p w14:paraId="2F97CBE3" w14:textId="1AEAAE40" w:rsidR="00383B26" w:rsidRDefault="00742C69">
          <w:pPr>
            <w:pStyle w:val="TOC2"/>
            <w:tabs>
              <w:tab w:val="right" w:leader="dot" w:pos="9016"/>
            </w:tabs>
            <w:rPr>
              <w:rFonts w:eastAsiaTheme="minorEastAsia"/>
              <w:noProof/>
              <w:lang w:eastAsia="en-AU"/>
            </w:rPr>
          </w:pPr>
          <w:hyperlink w:anchor="_Toc149223261" w:history="1">
            <w:r w:rsidR="00383B26" w:rsidRPr="00EB2D30">
              <w:rPr>
                <w:rStyle w:val="Hyperlink"/>
                <w:noProof/>
              </w:rPr>
              <w:t>Data sources</w:t>
            </w:r>
            <w:r w:rsidR="00383B26">
              <w:rPr>
                <w:noProof/>
                <w:webHidden/>
              </w:rPr>
              <w:tab/>
            </w:r>
            <w:r w:rsidR="00383B26">
              <w:rPr>
                <w:noProof/>
                <w:webHidden/>
              </w:rPr>
              <w:fldChar w:fldCharType="begin"/>
            </w:r>
            <w:r w:rsidR="00383B26">
              <w:rPr>
                <w:noProof/>
                <w:webHidden/>
              </w:rPr>
              <w:instrText xml:space="preserve"> PAGEREF _Toc149223261 \h </w:instrText>
            </w:r>
            <w:r w:rsidR="00383B26">
              <w:rPr>
                <w:noProof/>
                <w:webHidden/>
              </w:rPr>
            </w:r>
            <w:r w:rsidR="00383B26">
              <w:rPr>
                <w:noProof/>
                <w:webHidden/>
              </w:rPr>
              <w:fldChar w:fldCharType="separate"/>
            </w:r>
            <w:r w:rsidR="00383B26">
              <w:rPr>
                <w:noProof/>
                <w:webHidden/>
              </w:rPr>
              <w:t>6</w:t>
            </w:r>
            <w:r w:rsidR="00383B26">
              <w:rPr>
                <w:noProof/>
                <w:webHidden/>
              </w:rPr>
              <w:fldChar w:fldCharType="end"/>
            </w:r>
          </w:hyperlink>
        </w:p>
        <w:p w14:paraId="6D758ED7" w14:textId="0B15A091" w:rsidR="00383B26" w:rsidRDefault="00742C69">
          <w:pPr>
            <w:pStyle w:val="TOC1"/>
            <w:tabs>
              <w:tab w:val="right" w:leader="dot" w:pos="9016"/>
            </w:tabs>
            <w:rPr>
              <w:rFonts w:eastAsiaTheme="minorEastAsia"/>
              <w:noProof/>
              <w:lang w:eastAsia="en-AU"/>
            </w:rPr>
          </w:pPr>
          <w:hyperlink w:anchor="_Toc149223262" w:history="1">
            <w:r w:rsidR="00383B26" w:rsidRPr="00EB2D30">
              <w:rPr>
                <w:rStyle w:val="Hyperlink"/>
                <w:noProof/>
              </w:rPr>
              <w:t>Renewable Electricity Guarantee of Origin Certification Webinar</w:t>
            </w:r>
            <w:r w:rsidR="00383B26">
              <w:rPr>
                <w:noProof/>
                <w:webHidden/>
              </w:rPr>
              <w:tab/>
            </w:r>
            <w:r w:rsidR="00383B26">
              <w:rPr>
                <w:noProof/>
                <w:webHidden/>
              </w:rPr>
              <w:fldChar w:fldCharType="begin"/>
            </w:r>
            <w:r w:rsidR="00383B26">
              <w:rPr>
                <w:noProof/>
                <w:webHidden/>
              </w:rPr>
              <w:instrText xml:space="preserve"> PAGEREF _Toc149223262 \h </w:instrText>
            </w:r>
            <w:r w:rsidR="00383B26">
              <w:rPr>
                <w:noProof/>
                <w:webHidden/>
              </w:rPr>
            </w:r>
            <w:r w:rsidR="00383B26">
              <w:rPr>
                <w:noProof/>
                <w:webHidden/>
              </w:rPr>
              <w:fldChar w:fldCharType="separate"/>
            </w:r>
            <w:r w:rsidR="00383B26">
              <w:rPr>
                <w:noProof/>
                <w:webHidden/>
              </w:rPr>
              <w:t>7</w:t>
            </w:r>
            <w:r w:rsidR="00383B26">
              <w:rPr>
                <w:noProof/>
                <w:webHidden/>
              </w:rPr>
              <w:fldChar w:fldCharType="end"/>
            </w:r>
          </w:hyperlink>
        </w:p>
        <w:p w14:paraId="389343FC" w14:textId="51F5C3F8" w:rsidR="00843F30" w:rsidRDefault="00383B26">
          <w:r>
            <w:fldChar w:fldCharType="end"/>
          </w:r>
        </w:p>
      </w:sdtContent>
    </w:sdt>
    <w:p w14:paraId="39A333F2" w14:textId="77777777" w:rsidR="00843F30" w:rsidRDefault="00843F30" w:rsidP="6100B6CB">
      <w:pPr>
        <w:jc w:val="both"/>
        <w:rPr>
          <w:rFonts w:eastAsiaTheme="minorEastAsia"/>
          <w:color w:val="313131"/>
          <w:sz w:val="24"/>
          <w:szCs w:val="24"/>
        </w:rPr>
      </w:pPr>
    </w:p>
    <w:p w14:paraId="0DFFF57C" w14:textId="57BD9040" w:rsidR="00383B26" w:rsidRDefault="00383B26">
      <w:pPr>
        <w:rPr>
          <w:rFonts w:eastAsiaTheme="minorEastAsia"/>
          <w:color w:val="313131"/>
          <w:sz w:val="24"/>
          <w:szCs w:val="24"/>
        </w:rPr>
      </w:pPr>
      <w:r>
        <w:rPr>
          <w:rFonts w:eastAsiaTheme="minorEastAsia"/>
          <w:color w:val="313131"/>
          <w:sz w:val="24"/>
          <w:szCs w:val="24"/>
        </w:rPr>
        <w:br w:type="page"/>
      </w:r>
    </w:p>
    <w:p w14:paraId="47785364" w14:textId="65B917A7" w:rsidR="00056756" w:rsidRPr="005D76E6" w:rsidRDefault="003151E5" w:rsidP="005D76E6">
      <w:pPr>
        <w:pStyle w:val="Heading1"/>
      </w:pPr>
      <w:bookmarkStart w:id="0" w:name="_Toc149223253"/>
      <w:r w:rsidRPr="005D76E6">
        <w:lastRenderedPageBreak/>
        <w:t>Scheme design</w:t>
      </w:r>
      <w:r w:rsidR="00C4413B" w:rsidRPr="005D76E6">
        <w:t xml:space="preserve"> webinar</w:t>
      </w:r>
      <w:bookmarkEnd w:id="0"/>
    </w:p>
    <w:p w14:paraId="205FA242" w14:textId="7D03B1E1" w:rsidR="009C414A" w:rsidRPr="004C413A" w:rsidRDefault="00B96308" w:rsidP="004C413A">
      <w:pPr>
        <w:pStyle w:val="Heading2"/>
      </w:pPr>
      <w:bookmarkStart w:id="1" w:name="_Toc149223254"/>
      <w:r w:rsidRPr="004C413A">
        <w:t>General questions</w:t>
      </w:r>
      <w:bookmarkEnd w:id="1"/>
    </w:p>
    <w:p w14:paraId="4E17F7E2" w14:textId="6A42B6F2" w:rsidR="00815499" w:rsidRPr="00AD4C1A" w:rsidRDefault="00815499" w:rsidP="00383B26">
      <w:pPr>
        <w:pStyle w:val="Heading3"/>
      </w:pPr>
      <w:r w:rsidRPr="00AD4C1A">
        <w:t xml:space="preserve">Why has the GO scheme </w:t>
      </w:r>
      <w:r w:rsidR="003F0902" w:rsidRPr="00AD4C1A">
        <w:t>decided to use a ‘mass balance’ chain of custody model approach</w:t>
      </w:r>
      <w:r w:rsidR="009D0BC2" w:rsidRPr="00AD4C1A">
        <w:t xml:space="preserve"> for Product GOs</w:t>
      </w:r>
      <w:r w:rsidR="003F0902" w:rsidRPr="00AD4C1A">
        <w:t>?</w:t>
      </w:r>
    </w:p>
    <w:p w14:paraId="66AD6CEB" w14:textId="5745322F" w:rsidR="00B25A2A" w:rsidRDefault="00283543" w:rsidP="009C414A">
      <w:r>
        <w:t xml:space="preserve">The objective of the GO scheme is to measure, track and verify </w:t>
      </w:r>
      <w:r w:rsidR="008857CC">
        <w:t xml:space="preserve">information about a product across the supply chain. </w:t>
      </w:r>
      <w:r w:rsidR="00946E17">
        <w:t xml:space="preserve">The </w:t>
      </w:r>
      <w:r w:rsidR="002A1F52">
        <w:t xml:space="preserve">mass balance chain of custody model approach is </w:t>
      </w:r>
      <w:r w:rsidR="008857CC">
        <w:t xml:space="preserve">the most appropriate </w:t>
      </w:r>
      <w:r w:rsidR="00CA51D4">
        <w:t xml:space="preserve">approach to achieve this </w:t>
      </w:r>
      <w:r w:rsidR="00723091">
        <w:t>objective</w:t>
      </w:r>
      <w:r w:rsidR="6ECB978E">
        <w:t>.</w:t>
      </w:r>
      <w:r w:rsidR="00723091">
        <w:t xml:space="preserve"> </w:t>
      </w:r>
      <w:r w:rsidR="67CA7146">
        <w:t>However</w:t>
      </w:r>
      <w:r w:rsidR="39F9469E">
        <w:t>,</w:t>
      </w:r>
      <w:r w:rsidR="67CA7146">
        <w:t xml:space="preserve"> the proposed approach</w:t>
      </w:r>
      <w:r w:rsidR="00723091">
        <w:t xml:space="preserve"> </w:t>
      </w:r>
      <w:r w:rsidR="34DC1B7F">
        <w:t>does</w:t>
      </w:r>
      <w:r w:rsidR="00723091">
        <w:t xml:space="preserve"> </w:t>
      </w:r>
      <w:r w:rsidR="00BB2D39">
        <w:t xml:space="preserve">provide flexibility </w:t>
      </w:r>
      <w:r w:rsidR="00594636">
        <w:t xml:space="preserve">to enable differential pathways </w:t>
      </w:r>
      <w:r w:rsidR="00BF3FC0">
        <w:t>for</w:t>
      </w:r>
      <w:r w:rsidR="00594636">
        <w:t xml:space="preserve"> products to flow from the production facility to end consumers</w:t>
      </w:r>
      <w:r w:rsidR="00BF3FC0">
        <w:t xml:space="preserve"> (such as blending of different products within pipelines)</w:t>
      </w:r>
      <w:r w:rsidR="00E262BC">
        <w:t>.</w:t>
      </w:r>
      <w:r w:rsidR="004E166A">
        <w:t xml:space="preserve"> </w:t>
      </w:r>
    </w:p>
    <w:p w14:paraId="19DB9479" w14:textId="2164B7EA" w:rsidR="00B154A4" w:rsidRDefault="004E166A" w:rsidP="009C414A">
      <w:r>
        <w:t xml:space="preserve">This position was previously consulted on in the December 2022 consultation papers and received broad support from stakeholders. </w:t>
      </w:r>
      <w:r w:rsidR="0095653A">
        <w:t xml:space="preserve">Aligned with the flexible and adaptable design of the GO scheme, the Department will continue to ensure </w:t>
      </w:r>
      <w:r w:rsidR="00767D72">
        <w:t xml:space="preserve">implementation of </w:t>
      </w:r>
      <w:r w:rsidR="0095653A">
        <w:t xml:space="preserve">mass balance approach </w:t>
      </w:r>
      <w:r w:rsidR="00BF3FC0">
        <w:t xml:space="preserve">is aligned </w:t>
      </w:r>
      <w:r w:rsidR="0095653A">
        <w:t xml:space="preserve">with </w:t>
      </w:r>
      <w:r w:rsidR="00767D72">
        <w:t xml:space="preserve">international </w:t>
      </w:r>
      <w:r w:rsidR="00CD5079">
        <w:t>market requirements and standards set out through International Organisation for Standardi</w:t>
      </w:r>
      <w:r w:rsidR="008B0BD7">
        <w:t>sation (ISO)</w:t>
      </w:r>
      <w:r w:rsidR="00BF3FC0">
        <w:t xml:space="preserve">. </w:t>
      </w:r>
      <w:r w:rsidR="008B0BD7">
        <w:t xml:space="preserve"> </w:t>
      </w:r>
    </w:p>
    <w:p w14:paraId="69D96144" w14:textId="16156F25" w:rsidR="00FE36A8" w:rsidRDefault="00FE36A8" w:rsidP="009C414A">
      <w:r>
        <w:t>More detail on how the mass balance approach works in practice is available below.</w:t>
      </w:r>
    </w:p>
    <w:p w14:paraId="0EC8F8F3" w14:textId="77777777" w:rsidR="002211B2" w:rsidRPr="00383B26" w:rsidRDefault="002211B2" w:rsidP="002211B2">
      <w:pPr>
        <w:pStyle w:val="Heading3"/>
      </w:pPr>
      <w:bookmarkStart w:id="2" w:name="_Toc149223255"/>
      <w:r w:rsidRPr="00383B26">
        <w:t>Will Product GO Certificates be recognised under the Safeguard Mechanism and NGER scheme?</w:t>
      </w:r>
    </w:p>
    <w:p w14:paraId="4F032E2F" w14:textId="77777777" w:rsidR="002211B2" w:rsidRDefault="002211B2" w:rsidP="002211B2">
      <w:r>
        <w:t xml:space="preserve">The GO scheme is not currently proposed to be recognised under the NGER scheme or Safeguard Mechanism.  </w:t>
      </w:r>
    </w:p>
    <w:p w14:paraId="3F90B849" w14:textId="73C37D8E" w:rsidR="00B96308" w:rsidRPr="000253F5" w:rsidRDefault="00B96308" w:rsidP="004C413A">
      <w:pPr>
        <w:pStyle w:val="Heading2"/>
      </w:pPr>
      <w:r w:rsidRPr="000253F5">
        <w:t>Scheme enrolment questions</w:t>
      </w:r>
      <w:bookmarkEnd w:id="2"/>
    </w:p>
    <w:p w14:paraId="34032E54" w14:textId="1BBAED95" w:rsidR="00EC6722" w:rsidRPr="00AD4C1A" w:rsidRDefault="00EC6722" w:rsidP="00383B26">
      <w:pPr>
        <w:pStyle w:val="Heading3"/>
      </w:pPr>
      <w:r w:rsidRPr="00AD4C1A">
        <w:t xml:space="preserve">What level of certification is required for auditors under the GO </w:t>
      </w:r>
      <w:proofErr w:type="gramStart"/>
      <w:r w:rsidRPr="00AD4C1A">
        <w:t>scheme</w:t>
      </w:r>
      <w:proofErr w:type="gramEnd"/>
      <w:r w:rsidRPr="00AD4C1A">
        <w:t xml:space="preserve"> and will there be a public register?</w:t>
      </w:r>
    </w:p>
    <w:p w14:paraId="44F3DED5" w14:textId="410F7FEB" w:rsidR="0033095C" w:rsidRDefault="00EC6722" w:rsidP="00EC6722">
      <w:r>
        <w:t>The Department proposes</w:t>
      </w:r>
      <w:r w:rsidR="0033095C">
        <w:t xml:space="preserve"> participants will need to commission an LSTR by an approved, National Greenhouse and Energy Reporting scheme qualified third-party auditor. This list is already publicly available on the Clean Energy Regulator’s </w:t>
      </w:r>
      <w:hyperlink r:id="rId11" w:history="1">
        <w:r w:rsidR="0033095C" w:rsidRPr="00C32450">
          <w:rPr>
            <w:rStyle w:val="Hyperlink"/>
          </w:rPr>
          <w:t>website</w:t>
        </w:r>
      </w:hyperlink>
      <w:r w:rsidR="0033095C">
        <w:t xml:space="preserve">. </w:t>
      </w:r>
    </w:p>
    <w:p w14:paraId="0A2E14A2" w14:textId="4AE6183F" w:rsidR="00C32450" w:rsidRPr="00AD4C1A" w:rsidRDefault="00F313AE" w:rsidP="00383B26">
      <w:pPr>
        <w:pStyle w:val="Heading3"/>
      </w:pPr>
      <w:r w:rsidRPr="00AD4C1A">
        <w:t xml:space="preserve">What will the process for a fit and proper person </w:t>
      </w:r>
      <w:r w:rsidR="00ED1F78" w:rsidRPr="00AD4C1A">
        <w:t xml:space="preserve">check </w:t>
      </w:r>
      <w:r w:rsidR="00E73CFF" w:rsidRPr="00AD4C1A">
        <w:t>be</w:t>
      </w:r>
      <w:r w:rsidR="00C32450" w:rsidRPr="00AD4C1A">
        <w:t>?</w:t>
      </w:r>
    </w:p>
    <w:p w14:paraId="244154C7" w14:textId="2C94EDD1" w:rsidR="00B154A4" w:rsidRDefault="00973D80" w:rsidP="009C414A">
      <w:r>
        <w:t xml:space="preserve">The </w:t>
      </w:r>
      <w:r w:rsidR="004E1E62">
        <w:t xml:space="preserve">proposed </w:t>
      </w:r>
      <w:r>
        <w:t xml:space="preserve">“fit and proper person” checks </w:t>
      </w:r>
      <w:r w:rsidR="004E1E62">
        <w:t>are</w:t>
      </w:r>
      <w:r>
        <w:t xml:space="preserve"> </w:t>
      </w:r>
      <w:r w:rsidR="58E61318">
        <w:t xml:space="preserve">to </w:t>
      </w:r>
      <w:r>
        <w:t xml:space="preserve">be based on the </w:t>
      </w:r>
      <w:hyperlink r:id="rId12">
        <w:r w:rsidRPr="1267B080">
          <w:rPr>
            <w:rStyle w:val="Hyperlink"/>
          </w:rPr>
          <w:t>approach</w:t>
        </w:r>
      </w:hyperlink>
      <w:r>
        <w:t xml:space="preserve"> currently utilised by the Clean Energy Regulator </w:t>
      </w:r>
      <w:r w:rsidR="0008144E">
        <w:t xml:space="preserve">in its existing schemes. </w:t>
      </w:r>
    </w:p>
    <w:p w14:paraId="4EA905AF" w14:textId="416F2857" w:rsidR="0096566C" w:rsidRPr="00AD4C1A" w:rsidRDefault="0096566C" w:rsidP="00383B26">
      <w:pPr>
        <w:pStyle w:val="Heading3"/>
      </w:pPr>
      <w:r w:rsidRPr="00AD4C1A">
        <w:t>What are some additional examples of the ‘delivery gate’?</w:t>
      </w:r>
    </w:p>
    <w:p w14:paraId="23609BC4" w14:textId="2D82C816" w:rsidR="00D70794" w:rsidRPr="00D70794" w:rsidRDefault="00EB51E4" w:rsidP="00D70794">
      <w:r>
        <w:t xml:space="preserve">There are several potential delivery gates proposed </w:t>
      </w:r>
      <w:r w:rsidR="003C0CBC">
        <w:t>in the GO scheme design paper</w:t>
      </w:r>
      <w:r w:rsidR="00243233">
        <w:t>, these include</w:t>
      </w:r>
      <w:r w:rsidR="00BE6F20">
        <w:t xml:space="preserve"> the point where</w:t>
      </w:r>
      <w:r w:rsidR="00D70794" w:rsidRPr="00D70794">
        <w:t>:</w:t>
      </w:r>
    </w:p>
    <w:p w14:paraId="4C44790E" w14:textId="630FC00E" w:rsidR="00D70794" w:rsidRPr="00D70794" w:rsidRDefault="00BE6F20" w:rsidP="00D70794">
      <w:pPr>
        <w:pStyle w:val="ListParagraph"/>
        <w:numPr>
          <w:ilvl w:val="0"/>
          <w:numId w:val="31"/>
        </w:numPr>
        <w:spacing w:after="0" w:line="256" w:lineRule="auto"/>
      </w:pPr>
      <w:r>
        <w:t xml:space="preserve">It enters </w:t>
      </w:r>
      <w:r w:rsidR="00BB6B70">
        <w:t>t</w:t>
      </w:r>
      <w:r w:rsidR="00D70794" w:rsidRPr="00D70794">
        <w:t>he last domestic port prior to international shipping,</w:t>
      </w:r>
    </w:p>
    <w:p w14:paraId="79E4F988" w14:textId="562EC73F" w:rsidR="00D70794" w:rsidRPr="00D70794" w:rsidRDefault="00BE6F20" w:rsidP="00D70794">
      <w:pPr>
        <w:pStyle w:val="ListParagraph"/>
        <w:numPr>
          <w:ilvl w:val="0"/>
          <w:numId w:val="31"/>
        </w:numPr>
        <w:spacing w:after="0" w:line="256" w:lineRule="auto"/>
      </w:pPr>
      <w:r>
        <w:t>It is injected</w:t>
      </w:r>
      <w:r w:rsidR="00D70794" w:rsidRPr="00D70794">
        <w:t xml:space="preserve"> into a gas distribution network,</w:t>
      </w:r>
    </w:p>
    <w:p w14:paraId="6045C260" w14:textId="0124DFB6" w:rsidR="00D70794" w:rsidRPr="00D70794" w:rsidRDefault="00BE6F20" w:rsidP="00D70794">
      <w:pPr>
        <w:pStyle w:val="ListParagraph"/>
        <w:numPr>
          <w:ilvl w:val="0"/>
          <w:numId w:val="31"/>
        </w:numPr>
        <w:spacing w:after="0" w:line="256" w:lineRule="auto"/>
      </w:pPr>
      <w:r>
        <w:t>I</w:t>
      </w:r>
      <w:r w:rsidR="00D70794" w:rsidRPr="00D70794">
        <w:t>t is input into a facility where it is combusted/transformed</w:t>
      </w:r>
      <w:r w:rsidR="007E01C1">
        <w:t>, and</w:t>
      </w:r>
    </w:p>
    <w:p w14:paraId="6F3ED356" w14:textId="3A961E37" w:rsidR="00D70794" w:rsidRPr="00D70794" w:rsidRDefault="00BE6F20" w:rsidP="00D70794">
      <w:pPr>
        <w:pStyle w:val="ListParagraph"/>
        <w:numPr>
          <w:ilvl w:val="0"/>
          <w:numId w:val="31"/>
        </w:numPr>
        <w:spacing w:after="0" w:line="256" w:lineRule="auto"/>
        <w:rPr>
          <w:rFonts w:ascii="Calibri" w:eastAsia="Calibri" w:hAnsi="Calibri" w:cs="Arial"/>
        </w:rPr>
      </w:pPr>
      <w:r>
        <w:rPr>
          <w:rFonts w:ascii="Calibri" w:eastAsia="Calibri" w:hAnsi="Calibri" w:cs="Arial"/>
        </w:rPr>
        <w:t>I</w:t>
      </w:r>
      <w:r w:rsidR="009632A4">
        <w:rPr>
          <w:rFonts w:ascii="Calibri" w:eastAsia="Calibri" w:hAnsi="Calibri" w:cs="Arial"/>
        </w:rPr>
        <w:t xml:space="preserve">t </w:t>
      </w:r>
      <w:r>
        <w:rPr>
          <w:rFonts w:ascii="Calibri" w:eastAsia="Calibri" w:hAnsi="Calibri" w:cs="Arial"/>
        </w:rPr>
        <w:t>enters</w:t>
      </w:r>
      <w:r w:rsidR="009632A4">
        <w:rPr>
          <w:rFonts w:ascii="Calibri" w:eastAsia="Calibri" w:hAnsi="Calibri" w:cs="Arial"/>
        </w:rPr>
        <w:t xml:space="preserve"> </w:t>
      </w:r>
      <w:r w:rsidR="00BB6B70">
        <w:rPr>
          <w:rFonts w:ascii="Calibri" w:eastAsia="Calibri" w:hAnsi="Calibri" w:cs="Arial"/>
        </w:rPr>
        <w:t>a</w:t>
      </w:r>
      <w:r w:rsidR="00D70794" w:rsidRPr="00D70794">
        <w:rPr>
          <w:rFonts w:ascii="Calibri" w:eastAsia="Calibri" w:hAnsi="Calibri" w:cs="Arial"/>
        </w:rPr>
        <w:t xml:space="preserve"> refuelling station – prior to refuelling a vehicle.</w:t>
      </w:r>
    </w:p>
    <w:p w14:paraId="6A5A45A8" w14:textId="546191AC" w:rsidR="0B88CA66" w:rsidRDefault="0B88CA66"/>
    <w:p w14:paraId="21016C6B" w14:textId="194CA780" w:rsidR="0096566C" w:rsidRDefault="00BE6F20" w:rsidP="009C414A">
      <w:r>
        <w:lastRenderedPageBreak/>
        <w:t xml:space="preserve">The Department welcomes feedback on the appropriateness of these </w:t>
      </w:r>
      <w:r w:rsidR="001D3053">
        <w:t xml:space="preserve">delivery gates and any additional </w:t>
      </w:r>
      <w:r w:rsidR="00A92FB6">
        <w:t>considerations</w:t>
      </w:r>
      <w:r w:rsidR="001D3053">
        <w:t>.</w:t>
      </w:r>
    </w:p>
    <w:p w14:paraId="544BB677" w14:textId="79454357" w:rsidR="00940907" w:rsidRPr="000253F5" w:rsidRDefault="00940907" w:rsidP="004C413A">
      <w:pPr>
        <w:pStyle w:val="Heading2"/>
      </w:pPr>
      <w:bookmarkStart w:id="3" w:name="_Toc149223256"/>
      <w:r>
        <w:t xml:space="preserve">GO Certificate </w:t>
      </w:r>
      <w:proofErr w:type="gramStart"/>
      <w:r w:rsidRPr="000253F5">
        <w:t>questions</w:t>
      </w:r>
      <w:bookmarkEnd w:id="3"/>
      <w:proofErr w:type="gramEnd"/>
    </w:p>
    <w:p w14:paraId="39D09E9E" w14:textId="37D1192E" w:rsidR="00EC1E21" w:rsidRPr="00FF1DA1" w:rsidRDefault="00EC1E21" w:rsidP="00383B26">
      <w:pPr>
        <w:pStyle w:val="Heading3"/>
      </w:pPr>
      <w:r w:rsidRPr="00FF1DA1">
        <w:t xml:space="preserve">How </w:t>
      </w:r>
      <w:r w:rsidR="008565F0" w:rsidRPr="00FF1DA1">
        <w:t xml:space="preserve">will the vintage </w:t>
      </w:r>
      <w:r w:rsidR="00797ED7">
        <w:t>requirement on</w:t>
      </w:r>
      <w:r w:rsidR="008565F0" w:rsidRPr="00FF1DA1">
        <w:t xml:space="preserve"> surrender of REGOs and LGCs in the creation of Product GOs work in practice</w:t>
      </w:r>
      <w:r w:rsidRPr="00FF1DA1">
        <w:t>?</w:t>
      </w:r>
    </w:p>
    <w:p w14:paraId="0020FBB7" w14:textId="2A6DB9A3" w:rsidR="00797ED7" w:rsidRDefault="008565F0" w:rsidP="009C414A">
      <w:r>
        <w:t>The Department</w:t>
      </w:r>
      <w:r w:rsidR="00154706">
        <w:t>’</w:t>
      </w:r>
      <w:r>
        <w:t xml:space="preserve">s proposed </w:t>
      </w:r>
      <w:r w:rsidR="00E21482">
        <w:t>vintage requirement</w:t>
      </w:r>
      <w:r>
        <w:t xml:space="preserve"> is </w:t>
      </w:r>
      <w:r w:rsidR="00160B44">
        <w:t>for</w:t>
      </w:r>
      <w:r w:rsidR="009639BD">
        <w:t xml:space="preserve"> </w:t>
      </w:r>
      <w:proofErr w:type="gramStart"/>
      <w:r w:rsidR="00797ED7">
        <w:t>LGCs</w:t>
      </w:r>
      <w:proofErr w:type="gramEnd"/>
      <w:r w:rsidR="00797ED7">
        <w:t xml:space="preserve"> or REGOs created for generation occurring in the 12 months prior to the batch period commencing </w:t>
      </w:r>
      <w:r w:rsidR="00E21482">
        <w:t>to</w:t>
      </w:r>
      <w:r w:rsidR="00655C19">
        <w:t xml:space="preserve"> be recognised</w:t>
      </w:r>
      <w:r w:rsidR="2AF724E9">
        <w:t xml:space="preserve"> as demonstrating renewable electricity use on Product GO </w:t>
      </w:r>
      <w:r w:rsidR="00FE36A8">
        <w:t>Certificates</w:t>
      </w:r>
      <w:r w:rsidR="00437127">
        <w:t>.</w:t>
      </w:r>
      <w:r w:rsidR="00797ED7">
        <w:t xml:space="preserve"> For example</w:t>
      </w:r>
      <w:r w:rsidR="003378C4">
        <w:t>,</w:t>
      </w:r>
      <w:r w:rsidR="00797ED7">
        <w:t xml:space="preserve"> if a batch period ranged from 30 June 2025 to 30 August 2025, REGOs or LGCs for electricity generated between 30 June 2024 and 30 August 2025 would satisfy the vintage requirements.</w:t>
      </w:r>
    </w:p>
    <w:p w14:paraId="48C5F6BE" w14:textId="390E2CBB" w:rsidR="00F029CD" w:rsidRPr="00FF1DA1" w:rsidRDefault="00F029CD" w:rsidP="00383B26">
      <w:pPr>
        <w:pStyle w:val="Heading3"/>
      </w:pPr>
      <w:r w:rsidRPr="00FF1DA1">
        <w:t>How will the export of products be recorded on Product GO Certificates?</w:t>
      </w:r>
    </w:p>
    <w:p w14:paraId="6A7A080A" w14:textId="51124581" w:rsidR="00F029CD" w:rsidRDefault="00480C73" w:rsidP="009C414A">
      <w:r>
        <w:t xml:space="preserve">The proposed approach is for the GO Certificate to record information through to the last domestic port prior to export as the delivery gate. </w:t>
      </w:r>
      <w:r w:rsidR="003A0265">
        <w:t>The information about the delivery gate would be recorded on the GO Certificate</w:t>
      </w:r>
      <w:r w:rsidR="003E645E">
        <w:t>. The inclusion of international shipping may be considered in the future once international needs become clearer.</w:t>
      </w:r>
    </w:p>
    <w:p w14:paraId="555DC782" w14:textId="0606159E" w:rsidR="00D3577B" w:rsidRPr="00FF1DA1" w:rsidRDefault="00940907" w:rsidP="00383B26">
      <w:pPr>
        <w:pStyle w:val="Heading3"/>
      </w:pPr>
      <w:r w:rsidRPr="00FF1DA1">
        <w:t xml:space="preserve">How will batch periods </w:t>
      </w:r>
      <w:r w:rsidR="0089184F">
        <w:t>apply to</w:t>
      </w:r>
      <w:r w:rsidRPr="00FF1DA1">
        <w:t xml:space="preserve"> continuous production </w:t>
      </w:r>
      <w:r w:rsidR="00F029CD" w:rsidRPr="00FF1DA1">
        <w:t>processes?</w:t>
      </w:r>
    </w:p>
    <w:p w14:paraId="773D94C4" w14:textId="6C21C054" w:rsidR="00027EE6" w:rsidRDefault="043FBE85" w:rsidP="0000530C">
      <w:r>
        <w:t xml:space="preserve">The batch period for the purposes of the GO scheme is defined as an interval of time over which </w:t>
      </w:r>
      <w:r w:rsidR="4491B5A0">
        <w:t xml:space="preserve">production </w:t>
      </w:r>
      <w:r w:rsidR="2ED5CC71">
        <w:t xml:space="preserve">conditions </w:t>
      </w:r>
      <w:r w:rsidR="13B8B4A6">
        <w:t xml:space="preserve">are consistent. </w:t>
      </w:r>
      <w:r w:rsidR="12CAE7C9">
        <w:t xml:space="preserve">The batch period </w:t>
      </w:r>
      <w:r w:rsidR="24B71CD1">
        <w:t xml:space="preserve">sets the </w:t>
      </w:r>
      <w:proofErr w:type="gramStart"/>
      <w:r w:rsidR="24B71CD1">
        <w:t>period of time</w:t>
      </w:r>
      <w:proofErr w:type="gramEnd"/>
      <w:r w:rsidR="24B71CD1">
        <w:t xml:space="preserve"> over which information on emissions have been collected and reported to </w:t>
      </w:r>
      <w:r w:rsidR="58986470">
        <w:t>create</w:t>
      </w:r>
      <w:r w:rsidR="12ECF321">
        <w:t xml:space="preserve"> GO Certificates.</w:t>
      </w:r>
      <w:r w:rsidR="0F8D530F">
        <w:t xml:space="preserve"> Participants will be able to set a batch period between 1 hour and 12 months.</w:t>
      </w:r>
      <w:r w:rsidR="12ECF321">
        <w:t xml:space="preserve"> The batch period </w:t>
      </w:r>
      <w:r w:rsidR="18432219">
        <w:t>will</w:t>
      </w:r>
      <w:r w:rsidR="12ECF321">
        <w:t xml:space="preserve"> not </w:t>
      </w:r>
      <w:r w:rsidR="18432219">
        <w:t xml:space="preserve">need to </w:t>
      </w:r>
      <w:r w:rsidR="12ECF321">
        <w:t xml:space="preserve">reflect </w:t>
      </w:r>
      <w:r w:rsidR="58986470">
        <w:t>actual production batches.</w:t>
      </w:r>
    </w:p>
    <w:p w14:paraId="1BEB3D6A" w14:textId="3EC5F2BC" w:rsidR="00F029CD" w:rsidRPr="00FF1DA1" w:rsidRDefault="00F029CD" w:rsidP="00383B26">
      <w:pPr>
        <w:pStyle w:val="Heading3"/>
      </w:pPr>
      <w:r w:rsidRPr="00FF1DA1">
        <w:t xml:space="preserve">How will </w:t>
      </w:r>
      <w:r w:rsidR="00F02C53">
        <w:t xml:space="preserve">Product GOs </w:t>
      </w:r>
      <w:r w:rsidR="000907B8">
        <w:t xml:space="preserve">be treated </w:t>
      </w:r>
      <w:r w:rsidR="00051D5C">
        <w:t xml:space="preserve">using a mass balance chain of custody approach when </w:t>
      </w:r>
      <w:r w:rsidRPr="00FF1DA1">
        <w:t xml:space="preserve">blending </w:t>
      </w:r>
      <w:r w:rsidR="00051D5C">
        <w:t>occurs</w:t>
      </w:r>
      <w:r w:rsidR="002C1BE3" w:rsidRPr="00FF1DA1">
        <w:t xml:space="preserve">? </w:t>
      </w:r>
    </w:p>
    <w:p w14:paraId="62370CE3" w14:textId="2E3478CB" w:rsidR="12A757F4" w:rsidRDefault="12A757F4">
      <w:r>
        <w:t xml:space="preserve">The </w:t>
      </w:r>
      <w:r w:rsidR="119AA8B7">
        <w:t>GO scheme is proposed to use a batch-leve</w:t>
      </w:r>
      <w:r w:rsidR="7C37E97B">
        <w:t>l</w:t>
      </w:r>
      <w:r w:rsidR="119AA8B7">
        <w:t xml:space="preserve"> mass balance chain of custody approach. </w:t>
      </w:r>
      <w:r w:rsidR="7AA3D83D">
        <w:t xml:space="preserve">The mass balance approach allows for the blending of </w:t>
      </w:r>
      <w:r w:rsidR="3FEF9ABC">
        <w:t>Product GO certified products and non-certified products</w:t>
      </w:r>
      <w:r w:rsidR="3934C2DA">
        <w:t xml:space="preserve"> along the supply chain.</w:t>
      </w:r>
      <w:r w:rsidR="0264F46E">
        <w:t xml:space="preserve"> </w:t>
      </w:r>
      <w:r w:rsidR="00A867AD">
        <w:t xml:space="preserve">The blending of products makes it difficult to identify which molecules </w:t>
      </w:r>
      <w:r w:rsidR="00350519">
        <w:t xml:space="preserve">are </w:t>
      </w:r>
      <w:r w:rsidR="00597FD8">
        <w:t>c</w:t>
      </w:r>
      <w:r w:rsidR="00350519">
        <w:t xml:space="preserve">ertified and which are not. However, </w:t>
      </w:r>
      <w:r w:rsidR="00D96A7A">
        <w:t xml:space="preserve">Product GOs </w:t>
      </w:r>
      <w:r w:rsidR="00B96ABA">
        <w:t xml:space="preserve">can maintain a distinct claim to the </w:t>
      </w:r>
      <w:r w:rsidR="005B1050">
        <w:t xml:space="preserve">certified product </w:t>
      </w:r>
      <w:r w:rsidR="001B2FD5">
        <w:t xml:space="preserve">after the point of blending </w:t>
      </w:r>
      <w:proofErr w:type="gramStart"/>
      <w:r w:rsidR="001B2FD5">
        <w:t>as long as</w:t>
      </w:r>
      <w:proofErr w:type="gramEnd"/>
      <w:r w:rsidR="001B2FD5">
        <w:t xml:space="preserve"> there is a reasonable physical link. </w:t>
      </w:r>
    </w:p>
    <w:p w14:paraId="21BA658A" w14:textId="4FB3A5A5" w:rsidR="00FE36A8" w:rsidRDefault="00C75230">
      <w:r>
        <w:t>Let’s explore an example where 100kg of Product GO Certified hydrogen is blended with 100kg of non-certified hydrogen</w:t>
      </w:r>
      <w:r w:rsidR="00F919A6">
        <w:t xml:space="preserve"> </w:t>
      </w:r>
      <w:r w:rsidR="00722AB6">
        <w:t>in a tanker for transport to two separate delivery gate</w:t>
      </w:r>
      <w:r w:rsidR="00E6035E">
        <w:t>s</w:t>
      </w:r>
      <w:r>
        <w:t xml:space="preserve">. </w:t>
      </w:r>
      <w:r w:rsidR="00722AB6">
        <w:t xml:space="preserve">At the first delivery gate 50kg of hydrogen is offloaded and the consumer is only interested in the Product GO Certified hydrogen. The </w:t>
      </w:r>
      <w:r w:rsidR="009401F8">
        <w:t xml:space="preserve">50 </w:t>
      </w:r>
      <w:r w:rsidR="00722AB6">
        <w:t xml:space="preserve">Product GOs can </w:t>
      </w:r>
      <w:r w:rsidR="00E6035E">
        <w:t xml:space="preserve">record transport to this consumer and be transferred or surrendered on their behalf. The remaining 150kg is offloaded at the second delivery gate, </w:t>
      </w:r>
      <w:r w:rsidR="004D7008">
        <w:t xml:space="preserve">the remaining 50 Product GOs have this additional transport recorded and </w:t>
      </w:r>
      <w:r w:rsidR="7EB124A4">
        <w:t>can</w:t>
      </w:r>
      <w:r w:rsidR="004D7008">
        <w:t xml:space="preserve"> be transferred to or surrendered on behalf of the consumer. </w:t>
      </w:r>
      <w:r w:rsidR="00F312CB">
        <w:t xml:space="preserve">The </w:t>
      </w:r>
      <w:r w:rsidR="00D96A7A">
        <w:t xml:space="preserve">other </w:t>
      </w:r>
      <w:r w:rsidR="00F312CB">
        <w:t xml:space="preserve">100 kg of hydrogen is not certified or covered under the GO scheme. </w:t>
      </w:r>
    </w:p>
    <w:p w14:paraId="38D01FCD" w14:textId="5337E0DD" w:rsidR="00E6035E" w:rsidRDefault="00D9295C">
      <w:r>
        <w:t xml:space="preserve">The Department </w:t>
      </w:r>
      <w:r w:rsidR="00FE36A8">
        <w:t>welcomes feedback on any additional considerations for this approach across different supply chains.</w:t>
      </w:r>
    </w:p>
    <w:p w14:paraId="7320F01F" w14:textId="2E300E7C" w:rsidR="00CE1A94" w:rsidRPr="00FF1DA1" w:rsidRDefault="00CE1A94" w:rsidP="00383B26">
      <w:pPr>
        <w:pStyle w:val="Heading3"/>
      </w:pPr>
      <w:r w:rsidRPr="00FF1DA1">
        <w:lastRenderedPageBreak/>
        <w:t xml:space="preserve">Will a single participant be able to record </w:t>
      </w:r>
      <w:proofErr w:type="gramStart"/>
      <w:r w:rsidR="002352B7" w:rsidRPr="00FF1DA1">
        <w:t>all of</w:t>
      </w:r>
      <w:proofErr w:type="gramEnd"/>
      <w:r w:rsidR="002352B7" w:rsidRPr="00FF1DA1">
        <w:t xml:space="preserve"> the </w:t>
      </w:r>
      <w:r w:rsidRPr="00FF1DA1">
        <w:t>production, transport and storage information</w:t>
      </w:r>
      <w:r w:rsidR="002352B7" w:rsidRPr="00FF1DA1">
        <w:t>?</w:t>
      </w:r>
    </w:p>
    <w:p w14:paraId="4CDFAE17" w14:textId="49F26539" w:rsidR="002352B7" w:rsidRPr="002352B7" w:rsidRDefault="002352B7" w:rsidP="002352B7">
      <w:r>
        <w:t>A</w:t>
      </w:r>
      <w:r w:rsidRPr="002352B7">
        <w:t xml:space="preserve"> single participant </w:t>
      </w:r>
      <w:r w:rsidR="00517347">
        <w:t xml:space="preserve">will be able to register </w:t>
      </w:r>
      <w:r w:rsidRPr="002352B7">
        <w:t>multiple profiles based on the functions they operate across the supply chain.</w:t>
      </w:r>
      <w:r>
        <w:t xml:space="preserve"> For example, if a single participant o</w:t>
      </w:r>
      <w:r w:rsidR="003316E0">
        <w:t xml:space="preserve">perated a </w:t>
      </w:r>
      <w:r>
        <w:t xml:space="preserve">site </w:t>
      </w:r>
      <w:r w:rsidR="003316E0">
        <w:t xml:space="preserve">with </w:t>
      </w:r>
      <w:r>
        <w:t xml:space="preserve">both production and </w:t>
      </w:r>
      <w:proofErr w:type="gramStart"/>
      <w:r>
        <w:t>long term</w:t>
      </w:r>
      <w:proofErr w:type="gramEnd"/>
      <w:r>
        <w:t xml:space="preserve"> storage process</w:t>
      </w:r>
      <w:r w:rsidR="003316E0">
        <w:t>es</w:t>
      </w:r>
      <w:r>
        <w:t xml:space="preserve"> for hydrogen they would be able to register both a product and storage profile. </w:t>
      </w:r>
      <w:r w:rsidR="00517347">
        <w:t xml:space="preserve">This participant could then </w:t>
      </w:r>
      <w:r w:rsidR="00253BA6">
        <w:t xml:space="preserve">create and update their Product GO Certificates with information from both processes. </w:t>
      </w:r>
    </w:p>
    <w:p w14:paraId="59A076DF" w14:textId="07091FEB" w:rsidR="00793A7A" w:rsidRPr="00FF1DA1" w:rsidRDefault="00F67F18" w:rsidP="00383B26">
      <w:pPr>
        <w:pStyle w:val="Heading3"/>
      </w:pPr>
      <w:r w:rsidRPr="00FF1DA1">
        <w:t>How will the transfer of Product GO Certificates work</w:t>
      </w:r>
      <w:r w:rsidR="00552E3A">
        <w:t>?</w:t>
      </w:r>
      <w:r w:rsidRPr="00FF1DA1">
        <w:t xml:space="preserve"> </w:t>
      </w:r>
      <w:r w:rsidR="00552E3A">
        <w:t>W</w:t>
      </w:r>
      <w:r w:rsidRPr="00FF1DA1">
        <w:t>ill the emissions need to be provided prior to them being transferred</w:t>
      </w:r>
      <w:r w:rsidR="00A7287F" w:rsidRPr="00FF1DA1">
        <w:t>?</w:t>
      </w:r>
    </w:p>
    <w:p w14:paraId="050C7B99" w14:textId="79C9A5FC" w:rsidR="00793A7A" w:rsidRDefault="00F461B3" w:rsidP="00695A4C">
      <w:r>
        <w:t xml:space="preserve">The Department’s proposed lifecycle for Product GOs will allow for transfers to occur after the initial creation. The initial creation process involves the product facility producing hydrogen </w:t>
      </w:r>
      <w:r w:rsidR="002655A6">
        <w:t xml:space="preserve">and reporting specific data </w:t>
      </w:r>
      <w:r w:rsidR="00C83743">
        <w:t>across</w:t>
      </w:r>
      <w:r w:rsidR="002655A6">
        <w:t xml:space="preserve"> the </w:t>
      </w:r>
      <w:r w:rsidR="00C83743">
        <w:t>batch period</w:t>
      </w:r>
      <w:r w:rsidR="00224138">
        <w:t xml:space="preserve">. Once this information has been reported the Incomplete Product GO can be transferred to other participants to </w:t>
      </w:r>
      <w:r w:rsidR="00154E87">
        <w:t>provide</w:t>
      </w:r>
      <w:r w:rsidR="00047239">
        <w:t xml:space="preserve"> information </w:t>
      </w:r>
      <w:r w:rsidR="00154E87">
        <w:t xml:space="preserve">on transport and storage steps </w:t>
      </w:r>
      <w:r w:rsidR="00A71734">
        <w:t>through to the delivery gate</w:t>
      </w:r>
      <w:r w:rsidR="00B44A9D">
        <w:t xml:space="preserve"> and complete the Product GO certificate</w:t>
      </w:r>
      <w:r w:rsidR="00A71734">
        <w:t>.</w:t>
      </w:r>
      <w:r w:rsidR="00B44A9D">
        <w:t xml:space="preserve"> </w:t>
      </w:r>
    </w:p>
    <w:p w14:paraId="7BF6DC3E" w14:textId="5254F802" w:rsidR="00027EE6" w:rsidRDefault="00154E87" w:rsidP="00695A4C">
      <w:r>
        <w:t xml:space="preserve">After a GO Certificate has been </w:t>
      </w:r>
      <w:r w:rsidR="00A71734">
        <w:t xml:space="preserve">completed and issued, they will be able to be transferred to other participants to surrender and </w:t>
      </w:r>
      <w:r w:rsidR="00B44A9D">
        <w:t>provide</w:t>
      </w:r>
      <w:r w:rsidR="00A71734">
        <w:t xml:space="preserve"> consumption information. </w:t>
      </w:r>
      <w:r w:rsidR="00B44A9D">
        <w:t xml:space="preserve">More information on the Product GO lifecycle is available in Part 3 of the </w:t>
      </w:r>
      <w:hyperlink r:id="rId13" w:history="1">
        <w:r w:rsidR="00633750" w:rsidRPr="008250EE">
          <w:rPr>
            <w:rStyle w:val="Hyperlink"/>
          </w:rPr>
          <w:t>scheme design paper</w:t>
        </w:r>
      </w:hyperlink>
      <w:r w:rsidR="00B44A9D">
        <w:t>.</w:t>
      </w:r>
    </w:p>
    <w:p w14:paraId="2E0C372A" w14:textId="7792D325" w:rsidR="00C2418E" w:rsidRPr="00FF1DA1" w:rsidRDefault="001D3745" w:rsidP="00383B26">
      <w:pPr>
        <w:pStyle w:val="Heading3"/>
      </w:pPr>
      <w:r w:rsidRPr="00FF1DA1">
        <w:t xml:space="preserve">Will there be a lag </w:t>
      </w:r>
      <w:r w:rsidR="00B837A7" w:rsidRPr="00FF1DA1">
        <w:t>between</w:t>
      </w:r>
      <w:r w:rsidR="00C2418E" w:rsidRPr="00FF1DA1">
        <w:t xml:space="preserve"> production </w:t>
      </w:r>
      <w:r w:rsidR="00B837A7" w:rsidRPr="00FF1DA1">
        <w:t>occurring and</w:t>
      </w:r>
      <w:r w:rsidR="00AF54D7" w:rsidRPr="00FF1DA1">
        <w:t xml:space="preserve"> GO </w:t>
      </w:r>
      <w:r w:rsidR="00B837A7" w:rsidRPr="00FF1DA1">
        <w:t>Certificates being</w:t>
      </w:r>
      <w:r w:rsidR="00AF54D7" w:rsidRPr="00FF1DA1">
        <w:t xml:space="preserve"> able to be </w:t>
      </w:r>
      <w:r w:rsidR="00B837A7" w:rsidRPr="00FF1DA1">
        <w:t>created</w:t>
      </w:r>
      <w:r w:rsidR="00C2418E" w:rsidRPr="00FF1DA1">
        <w:t>?</w:t>
      </w:r>
    </w:p>
    <w:p w14:paraId="332BE500" w14:textId="20261598" w:rsidR="00793A7A" w:rsidRDefault="00F34970" w:rsidP="00695A4C">
      <w:r>
        <w:t xml:space="preserve">The GO scheme is proposed </w:t>
      </w:r>
      <w:r w:rsidR="00822338">
        <w:t xml:space="preserve">to allow for creations </w:t>
      </w:r>
      <w:r w:rsidR="00A92FB6">
        <w:t xml:space="preserve">to occur </w:t>
      </w:r>
      <w:r w:rsidR="00822338">
        <w:t xml:space="preserve">from </w:t>
      </w:r>
      <w:r w:rsidR="00D060CE">
        <w:t>the</w:t>
      </w:r>
      <w:r w:rsidR="00822338">
        <w:t xml:space="preserve"> day after </w:t>
      </w:r>
      <w:r w:rsidR="00DD2176">
        <w:t xml:space="preserve">the day </w:t>
      </w:r>
      <w:r w:rsidR="00822338">
        <w:t xml:space="preserve">production </w:t>
      </w:r>
      <w:r w:rsidR="00DD2176">
        <w:t>occurs</w:t>
      </w:r>
      <w:r w:rsidR="00A92FB6">
        <w:t>. T</w:t>
      </w:r>
      <w:r w:rsidR="00F67CC8">
        <w:t xml:space="preserve">his is to allow for the accrued emissions to be spread over the production outputs of the </w:t>
      </w:r>
      <w:r w:rsidR="00D060CE">
        <w:t xml:space="preserve">prior </w:t>
      </w:r>
      <w:r w:rsidR="0031675E">
        <w:t>day.</w:t>
      </w:r>
      <w:r w:rsidR="00A92FB6">
        <w:t xml:space="preserve"> For more information on accrued emissions see Part 3 of the </w:t>
      </w:r>
      <w:hyperlink r:id="rId14" w:history="1">
        <w:r w:rsidR="00A92FB6" w:rsidRPr="00633750">
          <w:rPr>
            <w:rStyle w:val="Hyperlink"/>
          </w:rPr>
          <w:t>emissions accounting approach paper</w:t>
        </w:r>
      </w:hyperlink>
      <w:r w:rsidR="00A92FB6">
        <w:t xml:space="preserve">. </w:t>
      </w:r>
      <w:r w:rsidR="0031675E">
        <w:t xml:space="preserve"> </w:t>
      </w:r>
    </w:p>
    <w:p w14:paraId="47DB9535" w14:textId="2134F67B" w:rsidR="001F36A7" w:rsidRPr="00FF1DA1" w:rsidRDefault="001F36A7" w:rsidP="00383B26">
      <w:pPr>
        <w:pStyle w:val="Heading3"/>
      </w:pPr>
      <w:r w:rsidRPr="00FF1DA1">
        <w:t xml:space="preserve">How </w:t>
      </w:r>
      <w:r w:rsidR="00815499" w:rsidRPr="00FF1DA1">
        <w:t>will the A</w:t>
      </w:r>
      <w:r w:rsidR="00C4413B">
        <w:t xml:space="preserve">nnual </w:t>
      </w:r>
      <w:r w:rsidR="00C4413B" w:rsidRPr="00FF1DA1">
        <w:t>R</w:t>
      </w:r>
      <w:r w:rsidR="00C4413B">
        <w:t xml:space="preserve">econciliation </w:t>
      </w:r>
      <w:r w:rsidR="00815499" w:rsidRPr="00FF1DA1">
        <w:t>C</w:t>
      </w:r>
      <w:r w:rsidR="00C4413B">
        <w:t>heck</w:t>
      </w:r>
      <w:r w:rsidR="00815499" w:rsidRPr="00FF1DA1">
        <w:t xml:space="preserve"> work in practice, is the process per batch or annual </w:t>
      </w:r>
      <w:proofErr w:type="gramStart"/>
      <w:r w:rsidR="00815499" w:rsidRPr="00FF1DA1">
        <w:t>similar to</w:t>
      </w:r>
      <w:proofErr w:type="gramEnd"/>
      <w:r w:rsidR="00815499" w:rsidRPr="00FF1DA1">
        <w:t xml:space="preserve"> NGER?</w:t>
      </w:r>
    </w:p>
    <w:p w14:paraId="257C3E21" w14:textId="4EDF6AFA" w:rsidR="00A66CAD" w:rsidRPr="008A2B16" w:rsidRDefault="00DD2176" w:rsidP="008A2B16">
      <w:r>
        <w:t xml:space="preserve">The ARC process </w:t>
      </w:r>
      <w:r w:rsidR="005E2601">
        <w:t>is proposed to occur on an annual basis following the end of the financial year</w:t>
      </w:r>
      <w:r w:rsidR="009639BD">
        <w:t xml:space="preserve">, </w:t>
      </w:r>
      <w:proofErr w:type="gramStart"/>
      <w:r w:rsidR="009639BD">
        <w:t>similar to</w:t>
      </w:r>
      <w:proofErr w:type="gramEnd"/>
      <w:r w:rsidR="009639BD">
        <w:t xml:space="preserve"> NGER</w:t>
      </w:r>
      <w:r w:rsidR="005E2601">
        <w:t xml:space="preserve">. </w:t>
      </w:r>
      <w:r w:rsidR="00BD2E47">
        <w:t xml:space="preserve">The process will </w:t>
      </w:r>
      <w:r w:rsidR="009639BD">
        <w:t xml:space="preserve">cover all information provided over the course of the prior year. More information is available on the ARC process in Part 3 of the </w:t>
      </w:r>
      <w:hyperlink r:id="rId15" w:history="1">
        <w:r w:rsidR="009639BD" w:rsidRPr="008250EE">
          <w:rPr>
            <w:rStyle w:val="Hyperlink"/>
          </w:rPr>
          <w:t>scheme design paper</w:t>
        </w:r>
      </w:hyperlink>
      <w:r w:rsidR="009639BD">
        <w:t xml:space="preserve">. </w:t>
      </w:r>
    </w:p>
    <w:p w14:paraId="7826688A" w14:textId="5E460B31" w:rsidR="00C14A69" w:rsidRDefault="00C14A69" w:rsidP="004C413A">
      <w:pPr>
        <w:pStyle w:val="Heading2"/>
      </w:pPr>
      <w:bookmarkStart w:id="4" w:name="_Toc149223257"/>
      <w:r>
        <w:t>Data visibility and sharing</w:t>
      </w:r>
      <w:bookmarkEnd w:id="4"/>
    </w:p>
    <w:p w14:paraId="5A41D6FD" w14:textId="59744DC3" w:rsidR="00C14A69" w:rsidRPr="00203553" w:rsidRDefault="29DA8863" w:rsidP="00383B26">
      <w:pPr>
        <w:pStyle w:val="Heading3"/>
      </w:pPr>
      <w:r w:rsidRPr="00203553">
        <w:t xml:space="preserve">Will GO Certificates be housed on a public register and </w:t>
      </w:r>
      <w:r w:rsidR="79B0ACEE" w:rsidRPr="00203553">
        <w:t>how much information will be publicly available?</w:t>
      </w:r>
    </w:p>
    <w:p w14:paraId="17B97C5A" w14:textId="7F02594B" w:rsidR="00901C6A" w:rsidRDefault="00400B64" w:rsidP="15F18755">
      <w:pPr>
        <w:spacing w:after="120"/>
        <w:rPr>
          <w:rFonts w:ascii="Calibri" w:eastAsia="Calibri" w:hAnsi="Calibri" w:cs="Calibri"/>
          <w:color w:val="000000" w:themeColor="text1"/>
        </w:rPr>
      </w:pPr>
      <w:r>
        <w:rPr>
          <w:rFonts w:ascii="Calibri" w:eastAsia="Calibri" w:hAnsi="Calibri" w:cs="Calibri"/>
          <w:color w:val="000000" w:themeColor="text1"/>
        </w:rPr>
        <w:t xml:space="preserve">The Department proposes GO Certificates will be housed on a publicly </w:t>
      </w:r>
      <w:r w:rsidR="00C5481B">
        <w:rPr>
          <w:rFonts w:ascii="Calibri" w:eastAsia="Calibri" w:hAnsi="Calibri" w:cs="Calibri"/>
          <w:color w:val="000000" w:themeColor="text1"/>
        </w:rPr>
        <w:t xml:space="preserve">visible </w:t>
      </w:r>
      <w:r>
        <w:rPr>
          <w:rFonts w:ascii="Calibri" w:eastAsia="Calibri" w:hAnsi="Calibri" w:cs="Calibri"/>
          <w:color w:val="000000" w:themeColor="text1"/>
        </w:rPr>
        <w:t xml:space="preserve">GO Registry. </w:t>
      </w:r>
      <w:r w:rsidR="00495E2E">
        <w:rPr>
          <w:rFonts w:ascii="Calibri" w:eastAsia="Calibri" w:hAnsi="Calibri" w:cs="Calibri"/>
          <w:color w:val="000000" w:themeColor="text1"/>
        </w:rPr>
        <w:t xml:space="preserve">The GO Registry will </w:t>
      </w:r>
      <w:r w:rsidR="00793E33">
        <w:rPr>
          <w:rFonts w:ascii="Calibri" w:eastAsia="Calibri" w:hAnsi="Calibri" w:cs="Calibri"/>
          <w:color w:val="000000" w:themeColor="text1"/>
        </w:rPr>
        <w:t>provide public</w:t>
      </w:r>
      <w:r w:rsidR="00033A1A">
        <w:rPr>
          <w:rFonts w:ascii="Calibri" w:eastAsia="Calibri" w:hAnsi="Calibri" w:cs="Calibri"/>
          <w:color w:val="000000" w:themeColor="text1"/>
        </w:rPr>
        <w:t xml:space="preserve"> information on </w:t>
      </w:r>
      <w:r w:rsidR="00495E2E">
        <w:rPr>
          <w:rFonts w:ascii="Calibri" w:eastAsia="Calibri" w:hAnsi="Calibri" w:cs="Calibri"/>
          <w:color w:val="000000" w:themeColor="text1"/>
        </w:rPr>
        <w:t>a broad range of information</w:t>
      </w:r>
      <w:r w:rsidR="00793E33">
        <w:rPr>
          <w:rFonts w:ascii="Calibri" w:eastAsia="Calibri" w:hAnsi="Calibri" w:cs="Calibri"/>
          <w:color w:val="000000" w:themeColor="text1"/>
        </w:rPr>
        <w:t xml:space="preserve"> for GO Certificates</w:t>
      </w:r>
      <w:r w:rsidR="00495E2E">
        <w:rPr>
          <w:rFonts w:ascii="Calibri" w:eastAsia="Calibri" w:hAnsi="Calibri" w:cs="Calibri"/>
          <w:color w:val="000000" w:themeColor="text1"/>
        </w:rPr>
        <w:t xml:space="preserve"> </w:t>
      </w:r>
      <w:r w:rsidR="00421B67">
        <w:rPr>
          <w:rFonts w:ascii="Calibri" w:eastAsia="Calibri" w:hAnsi="Calibri" w:cs="Calibri"/>
          <w:color w:val="000000" w:themeColor="text1"/>
        </w:rPr>
        <w:t xml:space="preserve">including </w:t>
      </w:r>
      <w:r w:rsidR="00A8356B">
        <w:rPr>
          <w:rFonts w:ascii="Calibri" w:eastAsia="Calibri" w:hAnsi="Calibri" w:cs="Calibri"/>
          <w:color w:val="000000" w:themeColor="text1"/>
        </w:rPr>
        <w:t xml:space="preserve">breakdowns of the emissions intensity, percentage of total electricity used </w:t>
      </w:r>
      <w:r w:rsidR="004B58B2">
        <w:rPr>
          <w:rFonts w:ascii="Calibri" w:eastAsia="Calibri" w:hAnsi="Calibri" w:cs="Calibri"/>
          <w:color w:val="000000" w:themeColor="text1"/>
        </w:rPr>
        <w:t>which is renewable</w:t>
      </w:r>
      <w:r w:rsidR="00033A1A">
        <w:rPr>
          <w:rFonts w:ascii="Calibri" w:eastAsia="Calibri" w:hAnsi="Calibri" w:cs="Calibri"/>
          <w:color w:val="000000" w:themeColor="text1"/>
        </w:rPr>
        <w:t>.</w:t>
      </w:r>
      <w:r w:rsidR="00054A4D">
        <w:rPr>
          <w:rFonts w:ascii="Calibri" w:eastAsia="Calibri" w:hAnsi="Calibri" w:cs="Calibri"/>
          <w:color w:val="000000" w:themeColor="text1"/>
        </w:rPr>
        <w:t xml:space="preserve"> </w:t>
      </w:r>
    </w:p>
    <w:p w14:paraId="27A3C59C" w14:textId="07B3DABB" w:rsidR="00AD17D5" w:rsidRDefault="00CA5FFD" w:rsidP="15F18755">
      <w:pPr>
        <w:spacing w:after="120"/>
        <w:rPr>
          <w:rFonts w:ascii="Calibri" w:eastAsia="Calibri" w:hAnsi="Calibri" w:cs="Calibri"/>
          <w:color w:val="000000" w:themeColor="text1"/>
        </w:rPr>
      </w:pPr>
      <w:r>
        <w:rPr>
          <w:rFonts w:ascii="Calibri" w:eastAsia="Calibri" w:hAnsi="Calibri" w:cs="Calibri"/>
          <w:color w:val="000000" w:themeColor="text1"/>
        </w:rPr>
        <w:t xml:space="preserve">For more information on the information proposed to be publicly available </w:t>
      </w:r>
      <w:r w:rsidR="00AD17D5">
        <w:rPr>
          <w:rFonts w:ascii="Calibri" w:eastAsia="Calibri" w:hAnsi="Calibri" w:cs="Calibri"/>
          <w:color w:val="000000" w:themeColor="text1"/>
        </w:rPr>
        <w:t>see Part 4 of the scheme design paper.</w:t>
      </w:r>
      <w:r w:rsidR="00901C6A">
        <w:rPr>
          <w:rFonts w:ascii="Calibri" w:eastAsia="Calibri" w:hAnsi="Calibri" w:cs="Calibri"/>
          <w:color w:val="000000" w:themeColor="text1"/>
        </w:rPr>
        <w:t xml:space="preserve"> </w:t>
      </w:r>
      <w:r w:rsidR="00AD17D5">
        <w:rPr>
          <w:rFonts w:ascii="Calibri" w:eastAsia="Calibri" w:hAnsi="Calibri" w:cs="Calibri"/>
          <w:color w:val="000000" w:themeColor="text1"/>
        </w:rPr>
        <w:t>The Department welcomes views on whether additional information should be included on GO Certificates</w:t>
      </w:r>
      <w:r w:rsidR="00C90F2A">
        <w:rPr>
          <w:rFonts w:ascii="Calibri" w:eastAsia="Calibri" w:hAnsi="Calibri" w:cs="Calibri"/>
          <w:color w:val="000000" w:themeColor="text1"/>
        </w:rPr>
        <w:t>, such as the inclusion of error correction details</w:t>
      </w:r>
      <w:r w:rsidR="00901C6A">
        <w:rPr>
          <w:rFonts w:ascii="Calibri" w:eastAsia="Calibri" w:hAnsi="Calibri" w:cs="Calibri"/>
          <w:color w:val="000000" w:themeColor="text1"/>
        </w:rPr>
        <w:t xml:space="preserve">. </w:t>
      </w:r>
    </w:p>
    <w:p w14:paraId="753D2882" w14:textId="3FFE44F6" w:rsidR="001F36A7" w:rsidRPr="000253F5" w:rsidRDefault="001F36A7" w:rsidP="005D76E6">
      <w:pPr>
        <w:pStyle w:val="Heading1"/>
      </w:pPr>
      <w:bookmarkStart w:id="5" w:name="_Toc149223258"/>
      <w:r>
        <w:lastRenderedPageBreak/>
        <w:t>Emissions accounting approach</w:t>
      </w:r>
      <w:r w:rsidR="00C4413B">
        <w:t xml:space="preserve"> webinar</w:t>
      </w:r>
      <w:bookmarkEnd w:id="5"/>
    </w:p>
    <w:p w14:paraId="3CF18823" w14:textId="688F75B7" w:rsidR="00DE739E" w:rsidRDefault="00DE739E" w:rsidP="004C413A">
      <w:pPr>
        <w:pStyle w:val="Heading2"/>
      </w:pPr>
      <w:bookmarkStart w:id="6" w:name="_Toc149223259"/>
      <w:r>
        <w:t>General questions</w:t>
      </w:r>
      <w:bookmarkEnd w:id="6"/>
    </w:p>
    <w:p w14:paraId="5C0FB78E" w14:textId="1438C226" w:rsidR="00DE739E" w:rsidRPr="00FF1DA1" w:rsidRDefault="00DE739E" w:rsidP="00383B26">
      <w:pPr>
        <w:pStyle w:val="Heading3"/>
      </w:pPr>
      <w:r w:rsidRPr="00FF1DA1">
        <w:t xml:space="preserve">Where are the areas </w:t>
      </w:r>
      <w:r w:rsidR="00482C90" w:rsidRPr="00FF1DA1">
        <w:t>the emissions accounting approach will be expanded upon</w:t>
      </w:r>
      <w:r w:rsidRPr="00FF1DA1">
        <w:t>?</w:t>
      </w:r>
    </w:p>
    <w:p w14:paraId="61929A7E" w14:textId="573C8AC4" w:rsidR="00321C66" w:rsidRDefault="00DA1A6A" w:rsidP="004D201B">
      <w:r>
        <w:t xml:space="preserve">The Department is currently </w:t>
      </w:r>
      <w:r w:rsidR="00321C66">
        <w:t xml:space="preserve">consulting </w:t>
      </w:r>
      <w:r>
        <w:t xml:space="preserve">on the </w:t>
      </w:r>
      <w:r w:rsidR="00321C66">
        <w:t xml:space="preserve">core emissions accounting approach for the GO scheme. The Department is exploring potential expansions to the </w:t>
      </w:r>
      <w:r w:rsidR="00BC63F8">
        <w:t>approach</w:t>
      </w:r>
      <w:r w:rsidR="00321C66">
        <w:t xml:space="preserve"> to </w:t>
      </w:r>
      <w:r w:rsidR="00FC4FEC">
        <w:t>provide additional flexibility and refinement.</w:t>
      </w:r>
      <w:r w:rsidR="00321C66">
        <w:t xml:space="preserve"> </w:t>
      </w:r>
    </w:p>
    <w:p w14:paraId="0A78377D" w14:textId="64C07F43" w:rsidR="00D90CD0" w:rsidRDefault="00FC4FEC" w:rsidP="004D201B">
      <w:r>
        <w:t xml:space="preserve">The Department is </w:t>
      </w:r>
      <w:r w:rsidR="00275C7D">
        <w:t>exploring the inclusion of</w:t>
      </w:r>
      <w:r w:rsidR="008F1BDF">
        <w:t>:</w:t>
      </w:r>
    </w:p>
    <w:p w14:paraId="1BD88269" w14:textId="2035FFE8" w:rsidR="00DE739E" w:rsidRDefault="001C64C7" w:rsidP="00D90CD0">
      <w:pPr>
        <w:pStyle w:val="ListParagraph"/>
        <w:numPr>
          <w:ilvl w:val="0"/>
          <w:numId w:val="29"/>
        </w:numPr>
      </w:pPr>
      <w:r>
        <w:t>Source</w:t>
      </w:r>
      <w:r w:rsidR="008D23A0">
        <w:t>-</w:t>
      </w:r>
      <w:r>
        <w:t xml:space="preserve">specific </w:t>
      </w:r>
      <w:r w:rsidR="008D23A0">
        <w:t>emissions factors</w:t>
      </w:r>
      <w:r w:rsidR="00835E95">
        <w:t>,</w:t>
      </w:r>
    </w:p>
    <w:p w14:paraId="72C49295" w14:textId="1D728612" w:rsidR="00BF51F2" w:rsidRDefault="00275C7D" w:rsidP="00BF51F2">
      <w:pPr>
        <w:pStyle w:val="ListParagraph"/>
        <w:numPr>
          <w:ilvl w:val="0"/>
          <w:numId w:val="29"/>
        </w:numPr>
      </w:pPr>
      <w:r>
        <w:t xml:space="preserve">Optional time and location matching </w:t>
      </w:r>
      <w:r w:rsidR="00FA1DD2">
        <w:t>in the</w:t>
      </w:r>
      <w:r w:rsidR="00BF51F2">
        <w:t xml:space="preserve"> market-based electricity emissions,</w:t>
      </w:r>
    </w:p>
    <w:p w14:paraId="63B47563" w14:textId="1F5B4C28" w:rsidR="009D58F7" w:rsidRDefault="009D58F7" w:rsidP="00BF51F2">
      <w:pPr>
        <w:pStyle w:val="ListParagraph"/>
        <w:numPr>
          <w:ilvl w:val="0"/>
          <w:numId w:val="29"/>
        </w:numPr>
      </w:pPr>
      <w:r>
        <w:t>Inclusion of hydrogen energy carriers,</w:t>
      </w:r>
      <w:r w:rsidR="00032869">
        <w:t xml:space="preserve"> including conditioning/conversion facilities</w:t>
      </w:r>
      <w:r w:rsidR="00B93A9D">
        <w:t xml:space="preserve"> for hydrogen</w:t>
      </w:r>
      <w:r w:rsidR="00A7597D">
        <w:t>, and</w:t>
      </w:r>
    </w:p>
    <w:p w14:paraId="7F4127E6" w14:textId="5FAE7708" w:rsidR="00A902B2" w:rsidRDefault="00B93A9D" w:rsidP="004D201B">
      <w:pPr>
        <w:pStyle w:val="ListParagraph"/>
        <w:numPr>
          <w:ilvl w:val="0"/>
          <w:numId w:val="29"/>
        </w:numPr>
      </w:pPr>
      <w:r>
        <w:t>Refining the approach to transport and storage emissions</w:t>
      </w:r>
      <w:r w:rsidR="00A7597D">
        <w:t>.</w:t>
      </w:r>
    </w:p>
    <w:p w14:paraId="46AA2828" w14:textId="7A192F55" w:rsidR="003F39AE" w:rsidRDefault="003F39AE" w:rsidP="003F39AE">
      <w:r>
        <w:t xml:space="preserve">The Department </w:t>
      </w:r>
      <w:r w:rsidR="005B1F7D">
        <w:t xml:space="preserve">welcomes feedback on any additional </w:t>
      </w:r>
      <w:r w:rsidR="009D58F7">
        <w:t>expansions</w:t>
      </w:r>
      <w:r w:rsidR="00DE67F9">
        <w:t xml:space="preserve"> </w:t>
      </w:r>
      <w:r w:rsidR="006714E6">
        <w:t xml:space="preserve">for consideration prior to </w:t>
      </w:r>
      <w:r w:rsidR="00C6775B">
        <w:t>commencement of the scheme</w:t>
      </w:r>
      <w:r>
        <w:t>.</w:t>
      </w:r>
    </w:p>
    <w:p w14:paraId="48D135B5" w14:textId="692A59A3" w:rsidR="000D1AB8" w:rsidRPr="004A75DB" w:rsidRDefault="000D1AB8" w:rsidP="00383B26">
      <w:pPr>
        <w:pStyle w:val="Heading3"/>
      </w:pPr>
      <w:r w:rsidRPr="00FF1DA1">
        <w:t xml:space="preserve">Will </w:t>
      </w:r>
      <w:r w:rsidRPr="004A75DB">
        <w:t>the GO scheme cover international shipping of products?</w:t>
      </w:r>
    </w:p>
    <w:p w14:paraId="352927DB" w14:textId="45537E1F" w:rsidR="0038071C" w:rsidRDefault="000D1AB8" w:rsidP="003F39AE">
      <w:r>
        <w:t xml:space="preserve">The proposed GO Scheme </w:t>
      </w:r>
      <w:r w:rsidR="0038071C">
        <w:t xml:space="preserve">deems the delivery gate as the last </w:t>
      </w:r>
      <w:r w:rsidR="00FC6E61">
        <w:t>port prior to international shipping</w:t>
      </w:r>
      <w:r w:rsidR="009A0822">
        <w:t>, meaning international shipping is not currently included in the scope</w:t>
      </w:r>
      <w:r w:rsidR="00FC6E61">
        <w:t xml:space="preserve">. </w:t>
      </w:r>
      <w:r w:rsidR="003B65A7">
        <w:t xml:space="preserve">The inclusion of international shipping may be considered in the future once international needs become clearer. The Department would </w:t>
      </w:r>
      <w:r w:rsidR="00F001B1">
        <w:t>be eager for feedback on where there is a strong need to extend beyond the current delivery gate.</w:t>
      </w:r>
    </w:p>
    <w:p w14:paraId="49DBE014" w14:textId="7206027C" w:rsidR="00DE739E" w:rsidRPr="004A75DB" w:rsidRDefault="005A3930" w:rsidP="00383B26">
      <w:pPr>
        <w:pStyle w:val="Heading3"/>
      </w:pPr>
      <w:r>
        <w:t>How will the emissions accounting approach be captured in the legislation structure</w:t>
      </w:r>
      <w:r w:rsidR="00900BF2" w:rsidRPr="004A75DB">
        <w:t>?</w:t>
      </w:r>
    </w:p>
    <w:p w14:paraId="23285CE3" w14:textId="0337E6D3" w:rsidR="008F7D04" w:rsidRPr="00900BF2" w:rsidRDefault="00395830" w:rsidP="009C414A">
      <w:r>
        <w:t xml:space="preserve">The emissions accounting approach is expected to be covered in </w:t>
      </w:r>
      <w:r w:rsidR="00EE6098">
        <w:t>legislative</w:t>
      </w:r>
      <w:r>
        <w:t xml:space="preserve"> instrument</w:t>
      </w:r>
      <w:r w:rsidR="00EE6098">
        <w:t xml:space="preserve">s </w:t>
      </w:r>
      <w:r w:rsidR="00947CC3">
        <w:t>subordinate to the overall scheme legislation</w:t>
      </w:r>
      <w:r>
        <w:t xml:space="preserve">. </w:t>
      </w:r>
      <w:r w:rsidR="00947CC3">
        <w:t xml:space="preserve">This will provide greater flexibility to update and refine the emissions accounting approach over time as new products are added and </w:t>
      </w:r>
      <w:r w:rsidR="00AE3407">
        <w:t xml:space="preserve">the approaches to estimating emissions evolve. </w:t>
      </w:r>
    </w:p>
    <w:p w14:paraId="53D6759E" w14:textId="1F2BE757" w:rsidR="000F1319" w:rsidRPr="004A75DB" w:rsidRDefault="000F1319" w:rsidP="00383B26">
      <w:pPr>
        <w:pStyle w:val="Heading3"/>
      </w:pPr>
      <w:r w:rsidRPr="00FF1DA1">
        <w:t xml:space="preserve">Will </w:t>
      </w:r>
      <w:r w:rsidRPr="004A75DB">
        <w:t xml:space="preserve">fugitive hydrogen </w:t>
      </w:r>
      <w:r w:rsidR="004F318A" w:rsidRPr="004A75DB">
        <w:t xml:space="preserve">emissions </w:t>
      </w:r>
      <w:r w:rsidRPr="004A75DB">
        <w:t xml:space="preserve">be </w:t>
      </w:r>
      <w:r w:rsidR="00D159DF" w:rsidRPr="004A75DB">
        <w:t>included in the emissions</w:t>
      </w:r>
      <w:r w:rsidR="000B2D54" w:rsidRPr="004A75DB">
        <w:t xml:space="preserve"> accounting approach</w:t>
      </w:r>
      <w:r w:rsidRPr="004A75DB">
        <w:t>?</w:t>
      </w:r>
    </w:p>
    <w:p w14:paraId="0AC069AB" w14:textId="74638D68" w:rsidR="6B00B023" w:rsidRDefault="00C84AD1" w:rsidP="006123ED">
      <w:r>
        <w:t>The</w:t>
      </w:r>
      <w:r w:rsidR="00F4304E">
        <w:t xml:space="preserve"> proposed GO scheme does not </w:t>
      </w:r>
      <w:r w:rsidR="000B2D54">
        <w:t>account for</w:t>
      </w:r>
      <w:r w:rsidR="00F4304E">
        <w:t xml:space="preserve"> f</w:t>
      </w:r>
      <w:r w:rsidR="00EC559C">
        <w:t>ugitive h</w:t>
      </w:r>
      <w:r w:rsidR="00D15CBA">
        <w:t>ydrogen</w:t>
      </w:r>
      <w:r w:rsidR="00104F90">
        <w:t xml:space="preserve"> emissions</w:t>
      </w:r>
      <w:r w:rsidR="00D15CBA">
        <w:t xml:space="preserve"> </w:t>
      </w:r>
      <w:r w:rsidR="00F54B4F">
        <w:t xml:space="preserve">during production </w:t>
      </w:r>
      <w:r w:rsidR="00EC559C">
        <w:t>and losses</w:t>
      </w:r>
      <w:r w:rsidR="00737500">
        <w:t xml:space="preserve"> during transport and storage in the total emissions</w:t>
      </w:r>
      <w:r w:rsidR="0094534E">
        <w:t xml:space="preserve"> </w:t>
      </w:r>
      <w:r w:rsidR="00B358A4">
        <w:t>attribut</w:t>
      </w:r>
      <w:r w:rsidR="00DF1B63">
        <w:t>able</w:t>
      </w:r>
      <w:r w:rsidR="00B358A4">
        <w:t xml:space="preserve"> to the </w:t>
      </w:r>
      <w:r w:rsidR="007523F2">
        <w:t>product.</w:t>
      </w:r>
      <w:r w:rsidR="003544CC">
        <w:t xml:space="preserve"> However, </w:t>
      </w:r>
      <w:r w:rsidR="00DA47F5">
        <w:t xml:space="preserve">the </w:t>
      </w:r>
      <w:r w:rsidR="006123ED">
        <w:t>GO scheme will capture information about losses throughout the system boundary which c</w:t>
      </w:r>
      <w:r w:rsidR="43386E18">
        <w:t>ould</w:t>
      </w:r>
      <w:r w:rsidR="006123ED">
        <w:t xml:space="preserve"> be used to account for these emissions in the future. The Department</w:t>
      </w:r>
      <w:r w:rsidR="003544CC">
        <w:t xml:space="preserve"> will </w:t>
      </w:r>
      <w:r w:rsidR="005D1AA4">
        <w:t xml:space="preserve">monitor </w:t>
      </w:r>
      <w:r w:rsidR="002F38D5">
        <w:t xml:space="preserve">international </w:t>
      </w:r>
      <w:r w:rsidR="003D5B46">
        <w:t xml:space="preserve">and domestic </w:t>
      </w:r>
      <w:r w:rsidR="002F38D5">
        <w:t>development</w:t>
      </w:r>
      <w:r w:rsidR="003D5B46">
        <w:t>s</w:t>
      </w:r>
      <w:r w:rsidR="002F38D5">
        <w:t xml:space="preserve"> on the </w:t>
      </w:r>
      <w:r w:rsidR="006F288E">
        <w:t xml:space="preserve">treatment </w:t>
      </w:r>
      <w:r w:rsidR="00B6069E">
        <w:t xml:space="preserve">of </w:t>
      </w:r>
      <w:r w:rsidR="0031134F">
        <w:t xml:space="preserve">fugitive </w:t>
      </w:r>
      <w:r w:rsidR="00B6069E">
        <w:t xml:space="preserve">hydrogen </w:t>
      </w:r>
      <w:r w:rsidR="0031134F">
        <w:t xml:space="preserve">emissions </w:t>
      </w:r>
      <w:r w:rsidR="000B0FC6">
        <w:t xml:space="preserve">and </w:t>
      </w:r>
      <w:r w:rsidR="003D5B46">
        <w:t>could inc</w:t>
      </w:r>
      <w:r w:rsidR="00287AD5">
        <w:t>orporate</w:t>
      </w:r>
      <w:r w:rsidR="003D5B46">
        <w:t xml:space="preserve"> </w:t>
      </w:r>
      <w:r w:rsidR="00287AD5">
        <w:t>these in</w:t>
      </w:r>
      <w:r w:rsidR="00085356">
        <w:t xml:space="preserve"> </w:t>
      </w:r>
      <w:r w:rsidR="00A1115A">
        <w:t xml:space="preserve">the </w:t>
      </w:r>
      <w:r w:rsidR="00287AD5">
        <w:t xml:space="preserve">future. </w:t>
      </w:r>
    </w:p>
    <w:p w14:paraId="769B83B1" w14:textId="68A54ACB" w:rsidR="00B978DD" w:rsidRPr="00FF1DA1" w:rsidRDefault="00B978DD" w:rsidP="00383B26">
      <w:pPr>
        <w:pStyle w:val="Heading3"/>
      </w:pPr>
      <w:r w:rsidRPr="00FF1DA1">
        <w:lastRenderedPageBreak/>
        <w:t xml:space="preserve">How will the Department balance the need for a comprehensive emissions accounting approach </w:t>
      </w:r>
      <w:r w:rsidR="003A0548" w:rsidRPr="00FF1DA1">
        <w:t>without being administratively burdensome?</w:t>
      </w:r>
      <w:r w:rsidR="00C348DD">
        <w:t xml:space="preserve"> </w:t>
      </w:r>
    </w:p>
    <w:p w14:paraId="38F8F3FF" w14:textId="1CD212C1" w:rsidR="00D24FF6" w:rsidRDefault="003E185E" w:rsidP="009C414A">
      <w:r>
        <w:t xml:space="preserve">The GO scheme is proposed to utilise an upfront reporting model to reduce the administrative burden of providing information to create GO Certificates. This will allow for participants to </w:t>
      </w:r>
      <w:r w:rsidR="00343BA1">
        <w:t xml:space="preserve">provide </w:t>
      </w:r>
      <w:r>
        <w:t xml:space="preserve">information </w:t>
      </w:r>
      <w:r w:rsidR="00204F07">
        <w:t xml:space="preserve">about the product facility </w:t>
      </w:r>
      <w:r w:rsidR="00343BA1">
        <w:t>while registering profiles</w:t>
      </w:r>
      <w:r w:rsidR="003F3B1C">
        <w:t>, which includes general</w:t>
      </w:r>
      <w:r>
        <w:t xml:space="preserve"> information </w:t>
      </w:r>
      <w:r w:rsidR="00204F07">
        <w:t>about the facility</w:t>
      </w:r>
      <w:r>
        <w:t xml:space="preserve"> </w:t>
      </w:r>
      <w:r w:rsidR="003F3B1C">
        <w:t>and relevant</w:t>
      </w:r>
      <w:r>
        <w:t xml:space="preserve"> emissions factors</w:t>
      </w:r>
      <w:r w:rsidR="00627FF3">
        <w:t>. The participants will then only need to provide batch specific data</w:t>
      </w:r>
      <w:r w:rsidR="003F3B1C">
        <w:t xml:space="preserve"> when creating GO Certificates, this would include information</w:t>
      </w:r>
      <w:r w:rsidR="00627FF3">
        <w:t xml:space="preserve"> such as measurements of inputs and outputs </w:t>
      </w:r>
      <w:r w:rsidR="00343BA1">
        <w:t>when creating GO Certificates.</w:t>
      </w:r>
    </w:p>
    <w:p w14:paraId="1CB30E0B" w14:textId="393F47E5" w:rsidR="003F3B1C" w:rsidRDefault="00987009" w:rsidP="009C414A">
      <w:r>
        <w:t xml:space="preserve">The GO scheme </w:t>
      </w:r>
      <w:r w:rsidR="00C75ECF">
        <w:t xml:space="preserve">is also proposed to allow </w:t>
      </w:r>
      <w:r>
        <w:t xml:space="preserve">for </w:t>
      </w:r>
      <w:r w:rsidR="00143834">
        <w:t xml:space="preserve">emissions factors to be used to calculate emissions </w:t>
      </w:r>
      <w:r w:rsidR="005665F0">
        <w:t xml:space="preserve">in addition to </w:t>
      </w:r>
      <w:r w:rsidR="00143834">
        <w:t xml:space="preserve">direct measurement. </w:t>
      </w:r>
      <w:r w:rsidR="00567F76">
        <w:t xml:space="preserve">This </w:t>
      </w:r>
      <w:r w:rsidR="00E0727D">
        <w:t xml:space="preserve">approach </w:t>
      </w:r>
      <w:r w:rsidR="00567F76">
        <w:t xml:space="preserve">is intended to help reduce the administrative burden of </w:t>
      </w:r>
      <w:r w:rsidR="00947BD8">
        <w:t>estimating emissions</w:t>
      </w:r>
      <w:r w:rsidR="005665F0">
        <w:t xml:space="preserve">, particularly those upstream of the </w:t>
      </w:r>
      <w:r w:rsidR="0067680C">
        <w:t xml:space="preserve">product facility or in the post-production boundary.  </w:t>
      </w:r>
      <w:r w:rsidR="00453791">
        <w:t xml:space="preserve">Stakeholders are encouraged to provide feedback on </w:t>
      </w:r>
      <w:r w:rsidR="0067680C">
        <w:t xml:space="preserve">whether the proposed approach adequately balances the need for a comprehensive approach without being administratively burdensome. </w:t>
      </w:r>
    </w:p>
    <w:p w14:paraId="7A0881AA" w14:textId="391D0E1E" w:rsidR="000A2AD7" w:rsidRDefault="000A2AD7" w:rsidP="004C413A">
      <w:pPr>
        <w:pStyle w:val="Heading2"/>
      </w:pPr>
      <w:bookmarkStart w:id="7" w:name="_Toc149223260"/>
      <w:r>
        <w:t>System boundary</w:t>
      </w:r>
      <w:bookmarkEnd w:id="7"/>
    </w:p>
    <w:p w14:paraId="2E471F6C" w14:textId="77777777" w:rsidR="00130D4E" w:rsidRPr="00FF1DA1" w:rsidRDefault="000A2AD7" w:rsidP="00383B26">
      <w:pPr>
        <w:pStyle w:val="Heading3"/>
      </w:pPr>
      <w:r w:rsidRPr="00FF1DA1">
        <w:t xml:space="preserve">How will the product facility be defined for </w:t>
      </w:r>
      <w:r w:rsidR="00533E97" w:rsidRPr="00FF1DA1">
        <w:t>facilities that produce</w:t>
      </w:r>
      <w:r w:rsidR="00130D4E" w:rsidRPr="00FF1DA1">
        <w:t xml:space="preserve"> green and grey hydrogen?</w:t>
      </w:r>
    </w:p>
    <w:p w14:paraId="37516069" w14:textId="56E04D2D" w:rsidR="00BE2F93" w:rsidRDefault="00911609" w:rsidP="00911609">
      <w:r>
        <w:t xml:space="preserve">The product facility for each production pathway is defined as </w:t>
      </w:r>
      <w:r w:rsidR="004A1FC4">
        <w:t>a collection of minimum and optional modules</w:t>
      </w:r>
      <w:r w:rsidR="58B05EA6">
        <w:t xml:space="preserve"> (a sub-component of the relevant process)</w:t>
      </w:r>
      <w:r w:rsidR="004A1FC4">
        <w:t>. These modules effectively set the scope of the emissions accounting approach</w:t>
      </w:r>
      <w:r w:rsidR="005B68C1">
        <w:t>.</w:t>
      </w:r>
      <w:r w:rsidR="004A1FC4">
        <w:t xml:space="preserve"> </w:t>
      </w:r>
      <w:r w:rsidR="005B68C1">
        <w:t>W</w:t>
      </w:r>
      <w:r w:rsidR="004A1FC4">
        <w:t xml:space="preserve">here modules are shared </w:t>
      </w:r>
      <w:r w:rsidR="00EB2A16">
        <w:t xml:space="preserve">to produce both </w:t>
      </w:r>
      <w:r w:rsidR="005B68C1">
        <w:t>‘green’</w:t>
      </w:r>
      <w:r w:rsidR="00EB2A16">
        <w:t xml:space="preserve"> and ‘grey’ hydrogen</w:t>
      </w:r>
      <w:r w:rsidR="005B68C1">
        <w:t>,</w:t>
      </w:r>
      <w:r w:rsidR="00EB2A16">
        <w:t xml:space="preserve"> </w:t>
      </w:r>
      <w:r w:rsidR="00DD498A">
        <w:t>they will still form part of the registration requirements.</w:t>
      </w:r>
      <w:r w:rsidR="007B6B7E">
        <w:t xml:space="preserve"> </w:t>
      </w:r>
      <w:r w:rsidR="0034312A">
        <w:t xml:space="preserve">The processes associated with ‘grey’ hydrogen production may be non-attributable for the purpose of the GO scheme. </w:t>
      </w:r>
    </w:p>
    <w:p w14:paraId="3C58EA53" w14:textId="75F53FAD" w:rsidR="00130D4E" w:rsidRDefault="00050DA3" w:rsidP="00911609">
      <w:r>
        <w:t>The Department encourage</w:t>
      </w:r>
      <w:r w:rsidR="00E01233">
        <w:t>s</w:t>
      </w:r>
      <w:r>
        <w:t xml:space="preserve"> stakeholders </w:t>
      </w:r>
      <w:r w:rsidR="00800CD2">
        <w:t xml:space="preserve">to reach out </w:t>
      </w:r>
      <w:r w:rsidR="00BE2F93">
        <w:t>and</w:t>
      </w:r>
      <w:r w:rsidR="00800CD2">
        <w:t xml:space="preserve"> discuss your specific project</w:t>
      </w:r>
      <w:r w:rsidR="00E01233">
        <w:t>s</w:t>
      </w:r>
      <w:r w:rsidR="00800CD2">
        <w:t xml:space="preserve"> </w:t>
      </w:r>
      <w:r w:rsidR="00BE2F93">
        <w:t>in more detail.</w:t>
      </w:r>
    </w:p>
    <w:p w14:paraId="3983D6B3" w14:textId="1A2D0365" w:rsidR="00C901F2" w:rsidRPr="00FF1DA1" w:rsidRDefault="002A10DE" w:rsidP="00383B26">
      <w:pPr>
        <w:pStyle w:val="Heading3"/>
      </w:pPr>
      <w:r>
        <w:t>W</w:t>
      </w:r>
      <w:r w:rsidR="00C901F2" w:rsidRPr="00FF1DA1">
        <w:t xml:space="preserve">hat </w:t>
      </w:r>
      <w:r>
        <w:t xml:space="preserve">is the threshold between </w:t>
      </w:r>
      <w:r w:rsidR="00C901F2" w:rsidRPr="00FF1DA1">
        <w:t xml:space="preserve">short </w:t>
      </w:r>
      <w:r w:rsidR="0093535F">
        <w:t>– and long-term</w:t>
      </w:r>
      <w:r w:rsidR="00C901F2" w:rsidRPr="00FF1DA1">
        <w:t xml:space="preserve"> storage?</w:t>
      </w:r>
    </w:p>
    <w:p w14:paraId="14AC852A" w14:textId="5BFCAA20" w:rsidR="00C901F2" w:rsidRDefault="00B72B5D" w:rsidP="00C901F2">
      <w:r w:rsidRPr="00E06651">
        <w:t>The</w:t>
      </w:r>
      <w:r w:rsidR="00863015">
        <w:t xml:space="preserve"> Department is still refining the approach to storage emissions to identify </w:t>
      </w:r>
      <w:r w:rsidR="006511EE">
        <w:t>minimum</w:t>
      </w:r>
      <w:r w:rsidR="00863015">
        <w:t xml:space="preserve"> </w:t>
      </w:r>
      <w:r w:rsidR="00C2488F">
        <w:t xml:space="preserve">process </w:t>
      </w:r>
      <w:r w:rsidR="00863015">
        <w:t xml:space="preserve">modules </w:t>
      </w:r>
      <w:r w:rsidR="006511EE">
        <w:t>and emissions sources. There is no proposed threshold between short- and long-term storage at this stage. The Department welcome</w:t>
      </w:r>
      <w:r w:rsidR="00D00EC0">
        <w:t>s</w:t>
      </w:r>
      <w:r w:rsidR="006511EE">
        <w:t xml:space="preserve"> feedback or views on</w:t>
      </w:r>
      <w:r w:rsidR="0077249D">
        <w:t xml:space="preserve"> how a threshold should be set. </w:t>
      </w:r>
      <w:r w:rsidR="006511EE">
        <w:t xml:space="preserve"> </w:t>
      </w:r>
    </w:p>
    <w:p w14:paraId="52B32E27" w14:textId="2A8B33D9" w:rsidR="00570483" w:rsidRPr="00FF1DA1" w:rsidRDefault="00570483" w:rsidP="00383B26">
      <w:pPr>
        <w:pStyle w:val="Heading3"/>
      </w:pPr>
      <w:r w:rsidRPr="00FF1DA1">
        <w:t>What are the exclusions from the system boundary?</w:t>
      </w:r>
    </w:p>
    <w:p w14:paraId="5588967A" w14:textId="68A90F13" w:rsidR="00B77BA3" w:rsidRDefault="00255781" w:rsidP="005C579C">
      <w:r>
        <w:t xml:space="preserve">The proposed GO scheme </w:t>
      </w:r>
      <w:r w:rsidR="00E17DBE">
        <w:t>covers a well-to-delivery gate system boundary, which is broken up into a production and post-production boundary</w:t>
      </w:r>
      <w:r w:rsidR="005C579C">
        <w:t xml:space="preserve">. This proposed boundary does not </w:t>
      </w:r>
      <w:r>
        <w:t xml:space="preserve">currently include emissions associated with capex, consumption of the registered product, and end of life waste processing. </w:t>
      </w:r>
      <w:r w:rsidR="005C579C">
        <w:t xml:space="preserve">However, the GO scheme framework could </w:t>
      </w:r>
      <w:r w:rsidR="00D20B73">
        <w:t>be expanded to include t</w:t>
      </w:r>
      <w:r w:rsidR="005A2177">
        <w:t>hese emissions in the future subject to stakeholder needs.</w:t>
      </w:r>
    </w:p>
    <w:p w14:paraId="353955ED" w14:textId="7C9D076A" w:rsidR="005341BD" w:rsidRPr="00FF1DA1" w:rsidRDefault="005341BD" w:rsidP="00383B26">
      <w:pPr>
        <w:pStyle w:val="Heading3"/>
      </w:pPr>
      <w:r w:rsidRPr="00FF1DA1">
        <w:t xml:space="preserve">Why </w:t>
      </w:r>
      <w:proofErr w:type="gramStart"/>
      <w:r w:rsidRPr="00FF1DA1">
        <w:t>was</w:t>
      </w:r>
      <w:proofErr w:type="gramEnd"/>
      <w:r w:rsidRPr="00FF1DA1">
        <w:t xml:space="preserve"> a well-to-delivery gate design chosen as opposed to a well-to-production gate approach?</w:t>
      </w:r>
    </w:p>
    <w:p w14:paraId="47B82FA7" w14:textId="53019196" w:rsidR="00027EE6" w:rsidRPr="00B77BA3" w:rsidRDefault="00F60D8C" w:rsidP="00B77BA3">
      <w:r>
        <w:t xml:space="preserve">The well-to-delivery gate system boundary is based on the </w:t>
      </w:r>
      <w:r w:rsidR="00BF50E5">
        <w:t>International Partnership for Hydrogen and Fuel Cells in the Economy</w:t>
      </w:r>
      <w:r w:rsidR="00CD139B">
        <w:t xml:space="preserve">’s </w:t>
      </w:r>
      <w:hyperlink r:id="rId16" w:history="1">
        <w:r w:rsidR="00665F5A" w:rsidRPr="00665F5A">
          <w:rPr>
            <w:rStyle w:val="Hyperlink"/>
          </w:rPr>
          <w:t>methodology for determining the greenhouse gas emissions associated with hydrogen</w:t>
        </w:r>
      </w:hyperlink>
      <w:r w:rsidR="00665F5A">
        <w:t xml:space="preserve">. The Department previously consulted on this position in the December </w:t>
      </w:r>
      <w:r w:rsidR="00665F5A">
        <w:lastRenderedPageBreak/>
        <w:t xml:space="preserve">2022 policy paper and received support from stakeholders to maintain international comparability. </w:t>
      </w:r>
      <w:r w:rsidR="005F7E49">
        <w:t>The</w:t>
      </w:r>
      <w:r w:rsidR="00D2568C">
        <w:t xml:space="preserve"> emissions</w:t>
      </w:r>
      <w:r w:rsidR="005F7E49">
        <w:t xml:space="preserve"> information on Product GOs will be separated into the production boundary </w:t>
      </w:r>
      <w:r w:rsidR="00D2568C">
        <w:t xml:space="preserve">(well-to-production gate) </w:t>
      </w:r>
      <w:r w:rsidR="005F7E49">
        <w:t>and post-production boundary</w:t>
      </w:r>
      <w:r w:rsidR="00D2568C">
        <w:t xml:space="preserve"> (production gate-to-delivery gate)</w:t>
      </w:r>
      <w:r w:rsidR="005F7E49">
        <w:t xml:space="preserve"> components to provide transparency for stakeholders only interested in </w:t>
      </w:r>
      <w:r w:rsidR="00D2568C">
        <w:t xml:space="preserve">well-to-production gate information. </w:t>
      </w:r>
      <w:r w:rsidR="005F7E49">
        <w:t xml:space="preserve"> </w:t>
      </w:r>
    </w:p>
    <w:p w14:paraId="44176A78" w14:textId="516526FE" w:rsidR="002272CE" w:rsidRDefault="002272CE" w:rsidP="004C413A">
      <w:pPr>
        <w:pStyle w:val="Heading2"/>
      </w:pPr>
      <w:bookmarkStart w:id="8" w:name="_Toc149223261"/>
      <w:r>
        <w:t>Data sources</w:t>
      </w:r>
      <w:bookmarkEnd w:id="8"/>
    </w:p>
    <w:p w14:paraId="7CE7A035" w14:textId="334EBF31" w:rsidR="001F36A7" w:rsidRPr="00FF1DA1" w:rsidRDefault="002272CE" w:rsidP="00383B26">
      <w:pPr>
        <w:pStyle w:val="Heading3"/>
      </w:pPr>
      <w:r w:rsidRPr="00FF1DA1">
        <w:t xml:space="preserve">What data sources will the GO scheme draw upon for </w:t>
      </w:r>
      <w:r w:rsidR="006B3A6E" w:rsidRPr="00FF1DA1">
        <w:t>feedstocks imported into Australia?</w:t>
      </w:r>
    </w:p>
    <w:p w14:paraId="518F2585" w14:textId="0631D34D" w:rsidR="007C4B0E" w:rsidRDefault="00D20B73" w:rsidP="009C414A">
      <w:r>
        <w:t xml:space="preserve">The proposed data sources for the GO scheme are primarily </w:t>
      </w:r>
      <w:r w:rsidR="007469B0">
        <w:t xml:space="preserve">focussed on domestic feedstocks and </w:t>
      </w:r>
      <w:r w:rsidR="007A6D27">
        <w:t xml:space="preserve">summarised in Part 4 of the </w:t>
      </w:r>
      <w:hyperlink r:id="rId17" w:history="1">
        <w:r w:rsidR="00376511" w:rsidRPr="00633750">
          <w:rPr>
            <w:rStyle w:val="Hyperlink"/>
          </w:rPr>
          <w:t>emissions accounting approach paper</w:t>
        </w:r>
      </w:hyperlink>
      <w:r w:rsidR="007A6D27">
        <w:t>.</w:t>
      </w:r>
      <w:r w:rsidR="000D5D61">
        <w:t xml:space="preserve"> </w:t>
      </w:r>
      <w:r w:rsidR="007469B0">
        <w:t xml:space="preserve">This consultation process is </w:t>
      </w:r>
      <w:r w:rsidR="006108FE">
        <w:t xml:space="preserve">an opportunity for stakeholders to help identify any gaps within </w:t>
      </w:r>
      <w:r w:rsidR="00E64040">
        <w:t xml:space="preserve">these data sources. The Department encourages stakeholders to provide details of any potential gaps and additional data sources which should be considered </w:t>
      </w:r>
      <w:r w:rsidR="00A17F86">
        <w:t>for inclusion.</w:t>
      </w:r>
    </w:p>
    <w:p w14:paraId="16B91880" w14:textId="1318B6D6" w:rsidR="00407E51" w:rsidRPr="00FF1DA1" w:rsidRDefault="00407E51" w:rsidP="00383B26">
      <w:pPr>
        <w:pStyle w:val="Heading3"/>
      </w:pPr>
      <w:r w:rsidRPr="00FF1DA1">
        <w:t xml:space="preserve">What </w:t>
      </w:r>
      <w:r w:rsidR="00894981" w:rsidRPr="00FF1DA1">
        <w:t>is the scope of the Residual Mix Factor used in the electricity emissions approach and will historic RMFs be provided</w:t>
      </w:r>
      <w:r w:rsidRPr="00FF1DA1">
        <w:t>?</w:t>
      </w:r>
    </w:p>
    <w:p w14:paraId="6AAA9BFE" w14:textId="59F62E1B" w:rsidR="00736F2A" w:rsidRDefault="006E0FB9" w:rsidP="009C414A">
      <w:r>
        <w:t xml:space="preserve">The GO Scheme is proposed to utilise a combined scope 2 and scope 3 national residual mix factor, sourced from the National Greenhouse Accounts factors. </w:t>
      </w:r>
      <w:r w:rsidR="0077794B">
        <w:t>A new</w:t>
      </w:r>
      <w:r w:rsidR="00C16E43">
        <w:t xml:space="preserve"> </w:t>
      </w:r>
      <w:r w:rsidR="008B429D">
        <w:t>issue of</w:t>
      </w:r>
      <w:r w:rsidR="0077794B">
        <w:t xml:space="preserve"> </w:t>
      </w:r>
      <w:r w:rsidR="008B429D">
        <w:t xml:space="preserve">the </w:t>
      </w:r>
      <w:r w:rsidR="00C16E43">
        <w:t xml:space="preserve">NGA Factors </w:t>
      </w:r>
      <w:r w:rsidR="00212234">
        <w:t>is</w:t>
      </w:r>
      <w:r w:rsidR="005C0C36">
        <w:t xml:space="preserve"> published </w:t>
      </w:r>
      <w:r w:rsidR="00212234">
        <w:t>each year</w:t>
      </w:r>
      <w:r w:rsidR="005C0C36">
        <w:t xml:space="preserve"> on the Department’s </w:t>
      </w:r>
      <w:hyperlink r:id="rId18" w:history="1">
        <w:r w:rsidR="005C0C36" w:rsidRPr="00D07488">
          <w:rPr>
            <w:rStyle w:val="Hyperlink"/>
          </w:rPr>
          <w:t>websit</w:t>
        </w:r>
        <w:r w:rsidR="008976DF" w:rsidRPr="00D07488">
          <w:rPr>
            <w:rStyle w:val="Hyperlink"/>
          </w:rPr>
          <w:t>e</w:t>
        </w:r>
      </w:hyperlink>
      <w:r w:rsidR="001F076E">
        <w:t>.</w:t>
      </w:r>
      <w:r w:rsidR="008B429D">
        <w:t xml:space="preserve"> Prior versions of the NGA Factors are still available </w:t>
      </w:r>
      <w:r w:rsidR="007A5FB4">
        <w:t>on the Department’s website for stakeholders interested in historic values.</w:t>
      </w:r>
    </w:p>
    <w:p w14:paraId="01D83359" w14:textId="77777777" w:rsidR="00383B26" w:rsidRDefault="00383B26">
      <w:pPr>
        <w:rPr>
          <w:rFonts w:asciiTheme="majorHAnsi" w:eastAsiaTheme="majorEastAsia" w:hAnsiTheme="majorHAnsi" w:cstheme="majorBidi"/>
          <w:color w:val="44546A" w:themeColor="text2"/>
          <w:kern w:val="0"/>
          <w:sz w:val="48"/>
          <w:szCs w:val="32"/>
          <w14:ligatures w14:val="none"/>
        </w:rPr>
      </w:pPr>
      <w:bookmarkStart w:id="9" w:name="_Toc149223262"/>
      <w:r>
        <w:br w:type="page"/>
      </w:r>
    </w:p>
    <w:p w14:paraId="7E612889" w14:textId="25607E40" w:rsidR="007A659C" w:rsidRDefault="00BE0BF0" w:rsidP="005D76E6">
      <w:pPr>
        <w:pStyle w:val="Heading1"/>
      </w:pPr>
      <w:r w:rsidRPr="00BE0BF0">
        <w:lastRenderedPageBreak/>
        <w:t>Renewable Electricity Guarantee of Origin Certification</w:t>
      </w:r>
      <w:r w:rsidR="00C4413B">
        <w:t xml:space="preserve"> Webinar</w:t>
      </w:r>
      <w:bookmarkEnd w:id="9"/>
    </w:p>
    <w:p w14:paraId="0D9AF064" w14:textId="2D414DD8" w:rsidR="00CE3880" w:rsidRPr="003236ED" w:rsidRDefault="00CE3880" w:rsidP="00383B26">
      <w:pPr>
        <w:pStyle w:val="Heading3"/>
      </w:pPr>
      <w:r w:rsidRPr="003236ED">
        <w:t xml:space="preserve">Is the intent of the </w:t>
      </w:r>
      <w:r w:rsidR="00C4413B" w:rsidRPr="00C4413B">
        <w:t xml:space="preserve">Renewable Electricity Guarantee of Origin </w:t>
      </w:r>
      <w:r w:rsidR="00C4413B">
        <w:t>(</w:t>
      </w:r>
      <w:r w:rsidRPr="003236ED">
        <w:t>REGO</w:t>
      </w:r>
      <w:r w:rsidR="00C4413B">
        <w:t>)</w:t>
      </w:r>
      <w:r w:rsidRPr="003236ED">
        <w:t xml:space="preserve"> Scheme to incentivise new renewable generation?</w:t>
      </w:r>
    </w:p>
    <w:p w14:paraId="0C04E56D" w14:textId="77777777" w:rsidR="00CE3880" w:rsidRPr="003236ED" w:rsidRDefault="00CE3880" w:rsidP="00CE3880">
      <w:r w:rsidRPr="003236ED">
        <w:t>The primary objective of the REGO scheme is to track and verify renewable electricity. It provides investors with certainty that a framework for creation of renewable energy certificates will exist after 2030.</w:t>
      </w:r>
    </w:p>
    <w:p w14:paraId="32E249CF" w14:textId="7BF6F570" w:rsidR="00CE3880" w:rsidRPr="003236ED" w:rsidRDefault="00CE3880" w:rsidP="00383B26">
      <w:pPr>
        <w:pStyle w:val="Heading3"/>
      </w:pPr>
      <w:r w:rsidRPr="003236ED">
        <w:t xml:space="preserve">Why are you allowing restrictions to be imposed on the use of below-baseline REGO certificates? </w:t>
      </w:r>
    </w:p>
    <w:p w14:paraId="2E36616B" w14:textId="410834A7" w:rsidR="00CE3880" w:rsidRPr="003236ED" w:rsidRDefault="00CE3880" w:rsidP="00CE3880">
      <w:r w:rsidRPr="003236ED">
        <w:t>A wide range of organisations are making voluntary surrenders, including retailers, commercial real estate, multinational corporations, banks, universities, local governments, and transport authorities. Non-RET demand increased by 92 per cent in the first half of this year relative to the previous year.</w:t>
      </w:r>
    </w:p>
    <w:p w14:paraId="774409D4" w14:textId="709B2B73" w:rsidR="00CE3880" w:rsidRPr="003236ED" w:rsidRDefault="00CE3880" w:rsidP="00CE3880">
      <w:r w:rsidRPr="003236ED">
        <w:t>Although the voluntary market is strong and there is likely to be continuing growth in voluntary demand for LGCs as more Australian businesses seek to demonstrate their ESG credentials, we have heard industry concerns about potential impacts on LGC prices of below-baseline REGO certificates.</w:t>
      </w:r>
    </w:p>
    <w:p w14:paraId="083A008E" w14:textId="57D7814F" w:rsidR="00CE3880" w:rsidRPr="003236ED" w:rsidRDefault="00CE3880" w:rsidP="00CE3880">
      <w:r w:rsidRPr="003236ED">
        <w:t>As a result, we are proposing that regulations could be made to restrict who can surrender below-baseline REGO certificates.</w:t>
      </w:r>
    </w:p>
    <w:p w14:paraId="343408D9" w14:textId="72FC22AF" w:rsidR="00CE3880" w:rsidRPr="003236ED" w:rsidRDefault="00CE3880" w:rsidP="00CE3880">
      <w:r w:rsidRPr="003236ED">
        <w:t>Several stakeholders suggested restricting below baseline certificate surrenders to electricity users that are undertaking emissions-intensive, trade-exposed activities or participating in the Product GO scheme. We consider that this option initially would be likely to minimise any market distortions and risks associated with non-government certificates becoming entrenched. We are open to feedback on this option.</w:t>
      </w:r>
    </w:p>
    <w:p w14:paraId="4B444EB0" w14:textId="545396DA" w:rsidR="00CE3880" w:rsidRPr="003236ED" w:rsidRDefault="00CE3880" w:rsidP="00CE3880">
      <w:r w:rsidRPr="003236ED">
        <w:t>Since REGO certificates will not be introduced until 2025, any further measures announced by the Government or implemented before then could be factored into decision-making around restrictions on surrender and the precise parameters imposed.</w:t>
      </w:r>
    </w:p>
    <w:p w14:paraId="168B9852" w14:textId="70C083A7" w:rsidR="00CE3880" w:rsidRPr="003236ED" w:rsidRDefault="00CE3880" w:rsidP="00383B26">
      <w:pPr>
        <w:pStyle w:val="Heading3"/>
      </w:pPr>
      <w:r w:rsidRPr="003236ED">
        <w:t>What is the policy driver for differentiating below-baseline REGO certificates?</w:t>
      </w:r>
    </w:p>
    <w:p w14:paraId="045F483A" w14:textId="77777777" w:rsidR="00CE3880" w:rsidRPr="003236ED" w:rsidRDefault="00CE3880" w:rsidP="00CE3880">
      <w:r w:rsidRPr="003236ED">
        <w:t>Below baseline certificates will be differentiated from other REGO certificates to ensure buyers understand what they are purchasing.</w:t>
      </w:r>
    </w:p>
    <w:p w14:paraId="566282A8" w14:textId="79F892F2" w:rsidR="00CE3880" w:rsidRPr="003236ED" w:rsidRDefault="00CE3880" w:rsidP="00CE3880">
      <w:r w:rsidRPr="003236ED">
        <w:t>Generally, we expect that voluntary users may express their own preferences about the certificates that they want to use and may choose to use LGCs even if below baseline certificates are available. This is true of users of standards such as RE100 and Climate Active, that impose requirements for power station age that would prevent them from accepting below baseline certificates.</w:t>
      </w:r>
    </w:p>
    <w:p w14:paraId="1C3B399B" w14:textId="7043BE35" w:rsidR="00CE3880" w:rsidRPr="003236ED" w:rsidRDefault="00CE3880" w:rsidP="00383B26">
      <w:pPr>
        <w:pStyle w:val="Heading3"/>
      </w:pPr>
      <w:r w:rsidRPr="003236ED">
        <w:t>How will small-scale generators be included in the REGO scheme? Will deeming arrangements be used?</w:t>
      </w:r>
    </w:p>
    <w:p w14:paraId="271DA93B" w14:textId="64C00DE3" w:rsidR="00CE3880" w:rsidRPr="003236ED" w:rsidRDefault="00CE3880" w:rsidP="00CE3880">
      <w:r w:rsidRPr="003236ED">
        <w:t>The scheme’s legislation is proposed to include a provision to allow the owner of a power station, or small-scale system, to assign the right to create REGO certificates to another person or entity by written notice and in accordance with the regulations.</w:t>
      </w:r>
    </w:p>
    <w:p w14:paraId="37F1FF92" w14:textId="4C9ECF4B" w:rsidR="00CE3880" w:rsidRPr="003236ED" w:rsidRDefault="00CE3880" w:rsidP="00CE3880">
      <w:r w:rsidRPr="003236ED">
        <w:lastRenderedPageBreak/>
        <w:t xml:space="preserve">This would enable an arrangement </w:t>
      </w:r>
      <w:proofErr w:type="gramStart"/>
      <w:r w:rsidRPr="003236ED">
        <w:t>similar to</w:t>
      </w:r>
      <w:proofErr w:type="gramEnd"/>
      <w:r w:rsidRPr="003236ED">
        <w:t xml:space="preserve"> allowing an installer to create STCs on behalf of a small-scale system owner. Instead of a once-off transaction to create STCs for the relevant deeming period, this would put an ongoing arrangement in place that allows an aggregator to create REGO certificates over time on behalf of a small-scale system owner.</w:t>
      </w:r>
    </w:p>
    <w:p w14:paraId="59E65449" w14:textId="5E6F22AF" w:rsidR="00CE3880" w:rsidRPr="003236ED" w:rsidRDefault="00CE3880" w:rsidP="00CE3880">
      <w:r w:rsidRPr="003236ED">
        <w:t>The regulations would include detailed requirements for REGO scheme participants that have been assigned the right to create REGO certificates on behalf of another person, which may include information that must be collected and maintained, metering arrangements, and certificate creation processes.</w:t>
      </w:r>
    </w:p>
    <w:p w14:paraId="743C62F6" w14:textId="77777777" w:rsidR="00CE3880" w:rsidRPr="003236ED" w:rsidRDefault="00CE3880" w:rsidP="00CE3880">
      <w:r w:rsidRPr="003236ED">
        <w:t>As few small-scale systems would be eligible to participate in the REGO scheme until closer to 2030, when the deeming period for most small-scale systems expires, there is time to carefully consider how REGO can support the participation of aggregated small-scale generation. We would expect small-scale capacity to access STCs rather than participate in REGO while STCs are still available.</w:t>
      </w:r>
    </w:p>
    <w:p w14:paraId="4BAD6D87" w14:textId="77777777" w:rsidR="00CE3880" w:rsidRPr="003236ED" w:rsidRDefault="00CE3880" w:rsidP="00CE3880">
      <w:r w:rsidRPr="003236ED">
        <w:t>Based on stakeholder feedback, deeming arrangements are not planned for the REGO scheme and certificate generation would be based on metered output.</w:t>
      </w:r>
    </w:p>
    <w:p w14:paraId="574FBF1D" w14:textId="76179DAD" w:rsidR="00CE3880" w:rsidRPr="003236ED" w:rsidRDefault="00CE3880" w:rsidP="00383B26">
      <w:pPr>
        <w:pStyle w:val="Heading3"/>
      </w:pPr>
      <w:r w:rsidRPr="003236ED">
        <w:t>What is the benefit for electricity storage without behind the meter generation of participating in the scheme?</w:t>
      </w:r>
    </w:p>
    <w:p w14:paraId="2963AB08" w14:textId="77777777" w:rsidR="00CE3880" w:rsidRPr="003236ED" w:rsidRDefault="00CE3880" w:rsidP="00CE3880">
      <w:r w:rsidRPr="003236ED">
        <w:t>The REGO scheme will allow storage facilities to create REGOs to export stored electricity that was originally sourced from renewable electricity generation. Participation in the REGO scheme is voluntary. If energy users create demand for certificates with certain time attributes, we expect that there will be an incentive for electricity storage providers to certify their electricity, whether they have behind the meter generation or not. Given the increasing role that electricity storage is expected to play in Australian electricity markets, we consider that it is important to build the capability to certify renewable electricity that goes into storage.</w:t>
      </w:r>
    </w:p>
    <w:p w14:paraId="6FA5102B" w14:textId="77777777" w:rsidR="00CE3880" w:rsidRPr="003236ED" w:rsidRDefault="00CE3880" w:rsidP="00CE3880">
      <w:r w:rsidRPr="003236ED">
        <w:t>We are proposing that electricity storage providers would meter and report their electricity consumption to the Clean Energy Regulator. This electricity consumption would trigger a requirement to surrender an equivalent number of certificates which we are referring to as a “charging debit.”</w:t>
      </w:r>
    </w:p>
    <w:p w14:paraId="2A6A3FA7" w14:textId="38DE4233" w:rsidR="00CE3880" w:rsidRPr="003236ED" w:rsidRDefault="00CE3880" w:rsidP="00383B26">
      <w:pPr>
        <w:pStyle w:val="Heading3"/>
      </w:pPr>
      <w:r w:rsidRPr="003236ED">
        <w:t>Can a storage facility surrender RET certificates to produce REGOs?</w:t>
      </w:r>
    </w:p>
    <w:p w14:paraId="4918B139" w14:textId="77777777" w:rsidR="00CE3880" w:rsidRPr="003236ED" w:rsidRDefault="00CE3880" w:rsidP="00CE3880">
      <w:r w:rsidRPr="003236ED">
        <w:t>Yes. Electricity storage would be eligible to create REGO certificates if the storage operator could demonstrate that stored electricity came from eligible renewable electricity generation by first surrendering an appropriate REGO certificate or LGC.</w:t>
      </w:r>
    </w:p>
    <w:p w14:paraId="5353C374" w14:textId="77777777" w:rsidR="00CE3880" w:rsidRPr="003236ED" w:rsidRDefault="00CE3880" w:rsidP="00CE3880">
      <w:r w:rsidRPr="003236ED">
        <w:t xml:space="preserve">There will be no obligation for storage providers to time match certificate surrenders to electricity consumption. We believe that initially allowing flexibility will encourage greater participation. </w:t>
      </w:r>
    </w:p>
    <w:p w14:paraId="4F7E1A9F" w14:textId="77777777" w:rsidR="00CE3880" w:rsidRPr="003236ED" w:rsidRDefault="00CE3880" w:rsidP="00CE3880">
      <w:r w:rsidRPr="003236ED">
        <w:t>However, stakeholder views are invited on options for how the REGO registry could recognise facilities and certificates where time matching is being implemented on a voluntary basis.</w:t>
      </w:r>
    </w:p>
    <w:p w14:paraId="33D02BAA" w14:textId="42CE5EB2" w:rsidR="00CE3880" w:rsidRPr="003236ED" w:rsidRDefault="00CE3880" w:rsidP="00383B26">
      <w:pPr>
        <w:pStyle w:val="Heading3"/>
      </w:pPr>
      <w:r w:rsidRPr="003236ED">
        <w:t>Will certificates with and without time stamp create complexity? Have additional costs of time stamping been considered?</w:t>
      </w:r>
    </w:p>
    <w:p w14:paraId="5427F3CB" w14:textId="4D87A3C3" w:rsidR="00CE3880" w:rsidRPr="003236ED" w:rsidRDefault="00CE3880" w:rsidP="00CE3880">
      <w:r w:rsidRPr="003236ED">
        <w:t>The Department and the CER will work with scheme participants to ensure that administrative processes are streamlined and practical, and costs are minimised.</w:t>
      </w:r>
    </w:p>
    <w:p w14:paraId="1BC0A730" w14:textId="48AAD7BF" w:rsidR="00CE3880" w:rsidRPr="003236ED" w:rsidRDefault="00CE3880" w:rsidP="00CE3880">
      <w:r w:rsidRPr="003236ED">
        <w:lastRenderedPageBreak/>
        <w:t>There is likely going to be increasing demand for time matching from international markets and hydrogen certification standards. We consider it is important to develop this capability from scheme commencement and refine it over time. Time stamping is proposed to be required only for whole megawatt hours that were generated within an hour interval.</w:t>
      </w:r>
    </w:p>
    <w:p w14:paraId="48DA9A41" w14:textId="64038C18" w:rsidR="00CE3880" w:rsidRPr="003236ED" w:rsidRDefault="00CE3880" w:rsidP="00CE3880">
      <w:r w:rsidRPr="003236ED">
        <w:t>Some stakeholders previously provided views that carrying fractions over between hour intervals would undermine the integrity of time stamped certificates, particularly for smaller generators.</w:t>
      </w:r>
    </w:p>
    <w:p w14:paraId="10B3BF8C" w14:textId="6E9F7173" w:rsidR="00F61564" w:rsidRDefault="742716AE" w:rsidP="00F61564">
      <w:r>
        <w:t xml:space="preserve">The proposed approach would allow fractions of megawatt hours left over as a residual to be aggregated over a longer </w:t>
      </w:r>
      <w:proofErr w:type="gramStart"/>
      <w:r>
        <w:t>period of time</w:t>
      </w:r>
      <w:proofErr w:type="gramEnd"/>
      <w:r>
        <w:t xml:space="preserve"> to create certificates with no time stamp.</w:t>
      </w:r>
    </w:p>
    <w:p w14:paraId="477D70BD" w14:textId="77777777" w:rsidR="00297254" w:rsidRDefault="00297254"/>
    <w:p w14:paraId="0EAEF562" w14:textId="77777777" w:rsidR="009D0DB9" w:rsidRPr="002333A9" w:rsidRDefault="009D0DB9" w:rsidP="002333A9"/>
    <w:sectPr w:rsidR="009D0DB9" w:rsidRPr="002333A9" w:rsidSect="00E55229">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7871" w14:textId="77777777" w:rsidR="00C95291" w:rsidRDefault="00C95291" w:rsidP="00C95291">
      <w:pPr>
        <w:spacing w:after="0" w:line="240" w:lineRule="auto"/>
      </w:pPr>
      <w:r>
        <w:separator/>
      </w:r>
    </w:p>
  </w:endnote>
  <w:endnote w:type="continuationSeparator" w:id="0">
    <w:p w14:paraId="5AB9730E" w14:textId="77777777" w:rsidR="00C95291" w:rsidRDefault="00C95291" w:rsidP="00C95291">
      <w:pPr>
        <w:spacing w:after="0" w:line="240" w:lineRule="auto"/>
      </w:pPr>
      <w:r>
        <w:continuationSeparator/>
      </w:r>
    </w:p>
  </w:endnote>
  <w:endnote w:type="continuationNotice" w:id="1">
    <w:p w14:paraId="7239E41A" w14:textId="77777777" w:rsidR="00C95291" w:rsidRDefault="00C95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60653"/>
      <w:docPartObj>
        <w:docPartGallery w:val="Page Numbers (Bottom of Page)"/>
        <w:docPartUnique/>
      </w:docPartObj>
    </w:sdtPr>
    <w:sdtEndPr>
      <w:rPr>
        <w:noProof/>
      </w:rPr>
    </w:sdtEndPr>
    <w:sdtContent>
      <w:p w14:paraId="53EBBA90" w14:textId="788233DD" w:rsidR="000F6BAC" w:rsidRDefault="000F6B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9FFD84" w14:textId="77777777" w:rsidR="000F6BAC" w:rsidRDefault="000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4D36" w14:textId="77777777" w:rsidR="00C95291" w:rsidRDefault="00C95291" w:rsidP="00C95291">
      <w:pPr>
        <w:spacing w:after="0" w:line="240" w:lineRule="auto"/>
      </w:pPr>
      <w:r>
        <w:separator/>
      </w:r>
    </w:p>
  </w:footnote>
  <w:footnote w:type="continuationSeparator" w:id="0">
    <w:p w14:paraId="0325BC3D" w14:textId="77777777" w:rsidR="00C95291" w:rsidRDefault="00C95291" w:rsidP="00C95291">
      <w:pPr>
        <w:spacing w:after="0" w:line="240" w:lineRule="auto"/>
      </w:pPr>
      <w:r>
        <w:continuationSeparator/>
      </w:r>
    </w:p>
  </w:footnote>
  <w:footnote w:type="continuationNotice" w:id="1">
    <w:p w14:paraId="1E6AB877" w14:textId="77777777" w:rsidR="00C95291" w:rsidRDefault="00C95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8B37" w14:textId="676556EB" w:rsidR="00C95291" w:rsidRDefault="000F6BAC">
    <w:pPr>
      <w:pStyle w:val="Header"/>
    </w:pPr>
    <w:r>
      <w:rPr>
        <w:noProof/>
      </w:rPr>
      <w:drawing>
        <wp:inline distT="0" distB="0" distL="0" distR="0" wp14:anchorId="35C46DA2" wp14:editId="4BAEA7C8">
          <wp:extent cx="2895600" cy="601345"/>
          <wp:effectExtent l="0" t="0" r="0" b="8255"/>
          <wp:docPr id="15" name="Picture 1"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title="Australian Government Department of Climate Change, Energy, the Environment and Water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95600" cy="60134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inline>
      </w:drawing>
    </w:r>
  </w:p>
  <w:p w14:paraId="14ECC382" w14:textId="77777777" w:rsidR="000F6BAC" w:rsidRDefault="000F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2B39"/>
    <w:multiLevelType w:val="hybridMultilevel"/>
    <w:tmpl w:val="FFFFFFFF"/>
    <w:lvl w:ilvl="0" w:tplc="9F400120">
      <w:start w:val="1"/>
      <w:numFmt w:val="bullet"/>
      <w:lvlText w:val=""/>
      <w:lvlJc w:val="left"/>
      <w:pPr>
        <w:ind w:left="720" w:hanging="360"/>
      </w:pPr>
      <w:rPr>
        <w:rFonts w:ascii="Symbol" w:hAnsi="Symbol" w:hint="default"/>
      </w:rPr>
    </w:lvl>
    <w:lvl w:ilvl="1" w:tplc="86B44E58">
      <w:start w:val="1"/>
      <w:numFmt w:val="bullet"/>
      <w:lvlText w:val="o"/>
      <w:lvlJc w:val="left"/>
      <w:pPr>
        <w:ind w:left="1440" w:hanging="360"/>
      </w:pPr>
      <w:rPr>
        <w:rFonts w:ascii="Courier New" w:hAnsi="Courier New" w:hint="default"/>
      </w:rPr>
    </w:lvl>
    <w:lvl w:ilvl="2" w:tplc="1E5ACE10">
      <w:start w:val="1"/>
      <w:numFmt w:val="bullet"/>
      <w:lvlText w:val=""/>
      <w:lvlJc w:val="left"/>
      <w:pPr>
        <w:ind w:left="2160" w:hanging="360"/>
      </w:pPr>
      <w:rPr>
        <w:rFonts w:ascii="Wingdings" w:hAnsi="Wingdings" w:hint="default"/>
      </w:rPr>
    </w:lvl>
    <w:lvl w:ilvl="3" w:tplc="C9A2DC5A">
      <w:start w:val="1"/>
      <w:numFmt w:val="bullet"/>
      <w:lvlText w:val=""/>
      <w:lvlJc w:val="left"/>
      <w:pPr>
        <w:ind w:left="2880" w:hanging="360"/>
      </w:pPr>
      <w:rPr>
        <w:rFonts w:ascii="Symbol" w:hAnsi="Symbol" w:hint="default"/>
      </w:rPr>
    </w:lvl>
    <w:lvl w:ilvl="4" w:tplc="19D68186">
      <w:start w:val="1"/>
      <w:numFmt w:val="bullet"/>
      <w:lvlText w:val="o"/>
      <w:lvlJc w:val="left"/>
      <w:pPr>
        <w:ind w:left="3600" w:hanging="360"/>
      </w:pPr>
      <w:rPr>
        <w:rFonts w:ascii="Courier New" w:hAnsi="Courier New" w:hint="default"/>
      </w:rPr>
    </w:lvl>
    <w:lvl w:ilvl="5" w:tplc="8E6688B6">
      <w:start w:val="1"/>
      <w:numFmt w:val="bullet"/>
      <w:lvlText w:val=""/>
      <w:lvlJc w:val="left"/>
      <w:pPr>
        <w:ind w:left="4320" w:hanging="360"/>
      </w:pPr>
      <w:rPr>
        <w:rFonts w:ascii="Wingdings" w:hAnsi="Wingdings" w:hint="default"/>
      </w:rPr>
    </w:lvl>
    <w:lvl w:ilvl="6" w:tplc="52AE3464">
      <w:start w:val="1"/>
      <w:numFmt w:val="bullet"/>
      <w:lvlText w:val=""/>
      <w:lvlJc w:val="left"/>
      <w:pPr>
        <w:ind w:left="5040" w:hanging="360"/>
      </w:pPr>
      <w:rPr>
        <w:rFonts w:ascii="Symbol" w:hAnsi="Symbol" w:hint="default"/>
      </w:rPr>
    </w:lvl>
    <w:lvl w:ilvl="7" w:tplc="6E565DAE">
      <w:start w:val="1"/>
      <w:numFmt w:val="bullet"/>
      <w:lvlText w:val="o"/>
      <w:lvlJc w:val="left"/>
      <w:pPr>
        <w:ind w:left="5760" w:hanging="360"/>
      </w:pPr>
      <w:rPr>
        <w:rFonts w:ascii="Courier New" w:hAnsi="Courier New" w:hint="default"/>
      </w:rPr>
    </w:lvl>
    <w:lvl w:ilvl="8" w:tplc="51B4CCF4">
      <w:start w:val="1"/>
      <w:numFmt w:val="bullet"/>
      <w:lvlText w:val=""/>
      <w:lvlJc w:val="left"/>
      <w:pPr>
        <w:ind w:left="6480" w:hanging="360"/>
      </w:pPr>
      <w:rPr>
        <w:rFonts w:ascii="Wingdings" w:hAnsi="Wingdings" w:hint="default"/>
      </w:rPr>
    </w:lvl>
  </w:abstractNum>
  <w:abstractNum w:abstractNumId="1" w15:restartNumberingAfterBreak="0">
    <w:nsid w:val="11E52BEB"/>
    <w:multiLevelType w:val="hybridMultilevel"/>
    <w:tmpl w:val="A83E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296841"/>
    <w:multiLevelType w:val="hybridMultilevel"/>
    <w:tmpl w:val="FFFFFFFF"/>
    <w:lvl w:ilvl="0" w:tplc="57860890">
      <w:start w:val="1"/>
      <w:numFmt w:val="bullet"/>
      <w:lvlText w:val=""/>
      <w:lvlJc w:val="left"/>
      <w:pPr>
        <w:ind w:left="720" w:hanging="360"/>
      </w:pPr>
      <w:rPr>
        <w:rFonts w:ascii="Symbol" w:hAnsi="Symbol" w:hint="default"/>
      </w:rPr>
    </w:lvl>
    <w:lvl w:ilvl="1" w:tplc="F5BA873E">
      <w:start w:val="1"/>
      <w:numFmt w:val="bullet"/>
      <w:lvlText w:val="-"/>
      <w:lvlJc w:val="left"/>
      <w:pPr>
        <w:ind w:left="1440" w:hanging="360"/>
      </w:pPr>
      <w:rPr>
        <w:rFonts w:ascii="Calibri" w:hAnsi="Calibri" w:hint="default"/>
      </w:rPr>
    </w:lvl>
    <w:lvl w:ilvl="2" w:tplc="DAA0BFC6">
      <w:start w:val="1"/>
      <w:numFmt w:val="bullet"/>
      <w:lvlText w:val=""/>
      <w:lvlJc w:val="left"/>
      <w:pPr>
        <w:ind w:left="2160" w:hanging="360"/>
      </w:pPr>
      <w:rPr>
        <w:rFonts w:ascii="Wingdings" w:hAnsi="Wingdings" w:hint="default"/>
      </w:rPr>
    </w:lvl>
    <w:lvl w:ilvl="3" w:tplc="9144703E">
      <w:start w:val="1"/>
      <w:numFmt w:val="bullet"/>
      <w:lvlText w:val=""/>
      <w:lvlJc w:val="left"/>
      <w:pPr>
        <w:ind w:left="2880" w:hanging="360"/>
      </w:pPr>
      <w:rPr>
        <w:rFonts w:ascii="Symbol" w:hAnsi="Symbol" w:hint="default"/>
      </w:rPr>
    </w:lvl>
    <w:lvl w:ilvl="4" w:tplc="6BC82EC8">
      <w:start w:val="1"/>
      <w:numFmt w:val="bullet"/>
      <w:lvlText w:val="o"/>
      <w:lvlJc w:val="left"/>
      <w:pPr>
        <w:ind w:left="3600" w:hanging="360"/>
      </w:pPr>
      <w:rPr>
        <w:rFonts w:ascii="Courier New" w:hAnsi="Courier New" w:hint="default"/>
      </w:rPr>
    </w:lvl>
    <w:lvl w:ilvl="5" w:tplc="28882D66">
      <w:start w:val="1"/>
      <w:numFmt w:val="bullet"/>
      <w:lvlText w:val=""/>
      <w:lvlJc w:val="left"/>
      <w:pPr>
        <w:ind w:left="4320" w:hanging="360"/>
      </w:pPr>
      <w:rPr>
        <w:rFonts w:ascii="Wingdings" w:hAnsi="Wingdings" w:hint="default"/>
      </w:rPr>
    </w:lvl>
    <w:lvl w:ilvl="6" w:tplc="EE783AB2">
      <w:start w:val="1"/>
      <w:numFmt w:val="bullet"/>
      <w:lvlText w:val=""/>
      <w:lvlJc w:val="left"/>
      <w:pPr>
        <w:ind w:left="5040" w:hanging="360"/>
      </w:pPr>
      <w:rPr>
        <w:rFonts w:ascii="Symbol" w:hAnsi="Symbol" w:hint="default"/>
      </w:rPr>
    </w:lvl>
    <w:lvl w:ilvl="7" w:tplc="23D29386">
      <w:start w:val="1"/>
      <w:numFmt w:val="bullet"/>
      <w:lvlText w:val="o"/>
      <w:lvlJc w:val="left"/>
      <w:pPr>
        <w:ind w:left="5760" w:hanging="360"/>
      </w:pPr>
      <w:rPr>
        <w:rFonts w:ascii="Courier New" w:hAnsi="Courier New" w:hint="default"/>
      </w:rPr>
    </w:lvl>
    <w:lvl w:ilvl="8" w:tplc="1D965166">
      <w:start w:val="1"/>
      <w:numFmt w:val="bullet"/>
      <w:lvlText w:val=""/>
      <w:lvlJc w:val="left"/>
      <w:pPr>
        <w:ind w:left="6480" w:hanging="360"/>
      </w:pPr>
      <w:rPr>
        <w:rFonts w:ascii="Wingdings" w:hAnsi="Wingdings" w:hint="default"/>
      </w:rPr>
    </w:lvl>
  </w:abstractNum>
  <w:abstractNum w:abstractNumId="3" w15:restartNumberingAfterBreak="0">
    <w:nsid w:val="176A2C2B"/>
    <w:multiLevelType w:val="hybridMultilevel"/>
    <w:tmpl w:val="FFFFFFFF"/>
    <w:lvl w:ilvl="0" w:tplc="163C56F6">
      <w:start w:val="1"/>
      <w:numFmt w:val="bullet"/>
      <w:lvlText w:val=""/>
      <w:lvlJc w:val="left"/>
      <w:pPr>
        <w:ind w:left="720" w:hanging="360"/>
      </w:pPr>
      <w:rPr>
        <w:rFonts w:ascii="Symbol" w:hAnsi="Symbol" w:hint="default"/>
      </w:rPr>
    </w:lvl>
    <w:lvl w:ilvl="1" w:tplc="A2587D30">
      <w:start w:val="1"/>
      <w:numFmt w:val="bullet"/>
      <w:lvlText w:val="-"/>
      <w:lvlJc w:val="left"/>
      <w:pPr>
        <w:ind w:left="1440" w:hanging="360"/>
      </w:pPr>
      <w:rPr>
        <w:rFonts w:ascii="Calibri" w:hAnsi="Calibri" w:hint="default"/>
      </w:rPr>
    </w:lvl>
    <w:lvl w:ilvl="2" w:tplc="1C10E108">
      <w:start w:val="1"/>
      <w:numFmt w:val="bullet"/>
      <w:lvlText w:val=""/>
      <w:lvlJc w:val="left"/>
      <w:pPr>
        <w:ind w:left="2160" w:hanging="360"/>
      </w:pPr>
      <w:rPr>
        <w:rFonts w:ascii="Wingdings" w:hAnsi="Wingdings" w:hint="default"/>
      </w:rPr>
    </w:lvl>
    <w:lvl w:ilvl="3" w:tplc="B4023120">
      <w:start w:val="1"/>
      <w:numFmt w:val="bullet"/>
      <w:lvlText w:val=""/>
      <w:lvlJc w:val="left"/>
      <w:pPr>
        <w:ind w:left="2880" w:hanging="360"/>
      </w:pPr>
      <w:rPr>
        <w:rFonts w:ascii="Symbol" w:hAnsi="Symbol" w:hint="default"/>
      </w:rPr>
    </w:lvl>
    <w:lvl w:ilvl="4" w:tplc="1B82C6EA">
      <w:start w:val="1"/>
      <w:numFmt w:val="bullet"/>
      <w:lvlText w:val="o"/>
      <w:lvlJc w:val="left"/>
      <w:pPr>
        <w:ind w:left="3600" w:hanging="360"/>
      </w:pPr>
      <w:rPr>
        <w:rFonts w:ascii="Courier New" w:hAnsi="Courier New" w:hint="default"/>
      </w:rPr>
    </w:lvl>
    <w:lvl w:ilvl="5" w:tplc="73DC34F8">
      <w:start w:val="1"/>
      <w:numFmt w:val="bullet"/>
      <w:lvlText w:val=""/>
      <w:lvlJc w:val="left"/>
      <w:pPr>
        <w:ind w:left="4320" w:hanging="360"/>
      </w:pPr>
      <w:rPr>
        <w:rFonts w:ascii="Wingdings" w:hAnsi="Wingdings" w:hint="default"/>
      </w:rPr>
    </w:lvl>
    <w:lvl w:ilvl="6" w:tplc="729A0462">
      <w:start w:val="1"/>
      <w:numFmt w:val="bullet"/>
      <w:lvlText w:val=""/>
      <w:lvlJc w:val="left"/>
      <w:pPr>
        <w:ind w:left="5040" w:hanging="360"/>
      </w:pPr>
      <w:rPr>
        <w:rFonts w:ascii="Symbol" w:hAnsi="Symbol" w:hint="default"/>
      </w:rPr>
    </w:lvl>
    <w:lvl w:ilvl="7" w:tplc="94A6440A">
      <w:start w:val="1"/>
      <w:numFmt w:val="bullet"/>
      <w:lvlText w:val="o"/>
      <w:lvlJc w:val="left"/>
      <w:pPr>
        <w:ind w:left="5760" w:hanging="360"/>
      </w:pPr>
      <w:rPr>
        <w:rFonts w:ascii="Courier New" w:hAnsi="Courier New" w:hint="default"/>
      </w:rPr>
    </w:lvl>
    <w:lvl w:ilvl="8" w:tplc="A17E0928">
      <w:start w:val="1"/>
      <w:numFmt w:val="bullet"/>
      <w:lvlText w:val=""/>
      <w:lvlJc w:val="left"/>
      <w:pPr>
        <w:ind w:left="6480" w:hanging="360"/>
      </w:pPr>
      <w:rPr>
        <w:rFonts w:ascii="Wingdings" w:hAnsi="Wingdings" w:hint="default"/>
      </w:rPr>
    </w:lvl>
  </w:abstractNum>
  <w:abstractNum w:abstractNumId="4" w15:restartNumberingAfterBreak="0">
    <w:nsid w:val="19B44964"/>
    <w:multiLevelType w:val="hybridMultilevel"/>
    <w:tmpl w:val="B03A4AFA"/>
    <w:lvl w:ilvl="0" w:tplc="EBEC59CC">
      <w:start w:val="1"/>
      <w:numFmt w:val="bullet"/>
      <w:lvlText w:val=""/>
      <w:lvlJc w:val="left"/>
      <w:pPr>
        <w:ind w:left="1440" w:hanging="360"/>
      </w:pPr>
      <w:rPr>
        <w:rFonts w:ascii="Symbol" w:hAnsi="Symbol"/>
      </w:rPr>
    </w:lvl>
    <w:lvl w:ilvl="1" w:tplc="640CACF0">
      <w:start w:val="1"/>
      <w:numFmt w:val="bullet"/>
      <w:lvlText w:val=""/>
      <w:lvlJc w:val="left"/>
      <w:pPr>
        <w:ind w:left="1440" w:hanging="360"/>
      </w:pPr>
      <w:rPr>
        <w:rFonts w:ascii="Symbol" w:hAnsi="Symbol"/>
      </w:rPr>
    </w:lvl>
    <w:lvl w:ilvl="2" w:tplc="21926014">
      <w:start w:val="1"/>
      <w:numFmt w:val="bullet"/>
      <w:lvlText w:val=""/>
      <w:lvlJc w:val="left"/>
      <w:pPr>
        <w:ind w:left="1440" w:hanging="360"/>
      </w:pPr>
      <w:rPr>
        <w:rFonts w:ascii="Symbol" w:hAnsi="Symbol"/>
      </w:rPr>
    </w:lvl>
    <w:lvl w:ilvl="3" w:tplc="4D6C88B6">
      <w:start w:val="1"/>
      <w:numFmt w:val="bullet"/>
      <w:lvlText w:val=""/>
      <w:lvlJc w:val="left"/>
      <w:pPr>
        <w:ind w:left="1440" w:hanging="360"/>
      </w:pPr>
      <w:rPr>
        <w:rFonts w:ascii="Symbol" w:hAnsi="Symbol"/>
      </w:rPr>
    </w:lvl>
    <w:lvl w:ilvl="4" w:tplc="159084AA">
      <w:start w:val="1"/>
      <w:numFmt w:val="bullet"/>
      <w:lvlText w:val=""/>
      <w:lvlJc w:val="left"/>
      <w:pPr>
        <w:ind w:left="1440" w:hanging="360"/>
      </w:pPr>
      <w:rPr>
        <w:rFonts w:ascii="Symbol" w:hAnsi="Symbol"/>
      </w:rPr>
    </w:lvl>
    <w:lvl w:ilvl="5" w:tplc="0FE87826">
      <w:start w:val="1"/>
      <w:numFmt w:val="bullet"/>
      <w:lvlText w:val=""/>
      <w:lvlJc w:val="left"/>
      <w:pPr>
        <w:ind w:left="1440" w:hanging="360"/>
      </w:pPr>
      <w:rPr>
        <w:rFonts w:ascii="Symbol" w:hAnsi="Symbol"/>
      </w:rPr>
    </w:lvl>
    <w:lvl w:ilvl="6" w:tplc="E7E24A2C">
      <w:start w:val="1"/>
      <w:numFmt w:val="bullet"/>
      <w:lvlText w:val=""/>
      <w:lvlJc w:val="left"/>
      <w:pPr>
        <w:ind w:left="1440" w:hanging="360"/>
      </w:pPr>
      <w:rPr>
        <w:rFonts w:ascii="Symbol" w:hAnsi="Symbol"/>
      </w:rPr>
    </w:lvl>
    <w:lvl w:ilvl="7" w:tplc="F57C2E02">
      <w:start w:val="1"/>
      <w:numFmt w:val="bullet"/>
      <w:lvlText w:val=""/>
      <w:lvlJc w:val="left"/>
      <w:pPr>
        <w:ind w:left="1440" w:hanging="360"/>
      </w:pPr>
      <w:rPr>
        <w:rFonts w:ascii="Symbol" w:hAnsi="Symbol"/>
      </w:rPr>
    </w:lvl>
    <w:lvl w:ilvl="8" w:tplc="5722222C">
      <w:start w:val="1"/>
      <w:numFmt w:val="bullet"/>
      <w:lvlText w:val=""/>
      <w:lvlJc w:val="left"/>
      <w:pPr>
        <w:ind w:left="1440" w:hanging="360"/>
      </w:pPr>
      <w:rPr>
        <w:rFonts w:ascii="Symbol" w:hAnsi="Symbol"/>
      </w:rPr>
    </w:lvl>
  </w:abstractNum>
  <w:abstractNum w:abstractNumId="5" w15:restartNumberingAfterBreak="0">
    <w:nsid w:val="1DB460D8"/>
    <w:multiLevelType w:val="hybridMultilevel"/>
    <w:tmpl w:val="FFFFFFFF"/>
    <w:lvl w:ilvl="0" w:tplc="4FEEBA5E">
      <w:start w:val="1"/>
      <w:numFmt w:val="bullet"/>
      <w:lvlText w:val=""/>
      <w:lvlJc w:val="left"/>
      <w:pPr>
        <w:ind w:left="720" w:hanging="360"/>
      </w:pPr>
      <w:rPr>
        <w:rFonts w:ascii="Symbol" w:hAnsi="Symbol" w:hint="default"/>
      </w:rPr>
    </w:lvl>
    <w:lvl w:ilvl="1" w:tplc="2B66699C">
      <w:start w:val="1"/>
      <w:numFmt w:val="bullet"/>
      <w:lvlText w:val="o"/>
      <w:lvlJc w:val="left"/>
      <w:pPr>
        <w:ind w:left="1440" w:hanging="360"/>
      </w:pPr>
      <w:rPr>
        <w:rFonts w:ascii="Courier New" w:hAnsi="Courier New" w:hint="default"/>
      </w:rPr>
    </w:lvl>
    <w:lvl w:ilvl="2" w:tplc="058E5B5E">
      <w:start w:val="1"/>
      <w:numFmt w:val="bullet"/>
      <w:lvlText w:val=""/>
      <w:lvlJc w:val="left"/>
      <w:pPr>
        <w:ind w:left="2160" w:hanging="360"/>
      </w:pPr>
      <w:rPr>
        <w:rFonts w:ascii="Wingdings" w:hAnsi="Wingdings" w:hint="default"/>
      </w:rPr>
    </w:lvl>
    <w:lvl w:ilvl="3" w:tplc="AA18EADC">
      <w:start w:val="1"/>
      <w:numFmt w:val="bullet"/>
      <w:lvlText w:val=""/>
      <w:lvlJc w:val="left"/>
      <w:pPr>
        <w:ind w:left="2880" w:hanging="360"/>
      </w:pPr>
      <w:rPr>
        <w:rFonts w:ascii="Symbol" w:hAnsi="Symbol" w:hint="default"/>
      </w:rPr>
    </w:lvl>
    <w:lvl w:ilvl="4" w:tplc="B1164ADE">
      <w:start w:val="1"/>
      <w:numFmt w:val="bullet"/>
      <w:lvlText w:val="o"/>
      <w:lvlJc w:val="left"/>
      <w:pPr>
        <w:ind w:left="3600" w:hanging="360"/>
      </w:pPr>
      <w:rPr>
        <w:rFonts w:ascii="Courier New" w:hAnsi="Courier New" w:hint="default"/>
      </w:rPr>
    </w:lvl>
    <w:lvl w:ilvl="5" w:tplc="AA564890">
      <w:start w:val="1"/>
      <w:numFmt w:val="bullet"/>
      <w:lvlText w:val=""/>
      <w:lvlJc w:val="left"/>
      <w:pPr>
        <w:ind w:left="4320" w:hanging="360"/>
      </w:pPr>
      <w:rPr>
        <w:rFonts w:ascii="Wingdings" w:hAnsi="Wingdings" w:hint="default"/>
      </w:rPr>
    </w:lvl>
    <w:lvl w:ilvl="6" w:tplc="12BE7070">
      <w:start w:val="1"/>
      <w:numFmt w:val="bullet"/>
      <w:lvlText w:val=""/>
      <w:lvlJc w:val="left"/>
      <w:pPr>
        <w:ind w:left="5040" w:hanging="360"/>
      </w:pPr>
      <w:rPr>
        <w:rFonts w:ascii="Symbol" w:hAnsi="Symbol" w:hint="default"/>
      </w:rPr>
    </w:lvl>
    <w:lvl w:ilvl="7" w:tplc="014060E4">
      <w:start w:val="1"/>
      <w:numFmt w:val="bullet"/>
      <w:lvlText w:val="o"/>
      <w:lvlJc w:val="left"/>
      <w:pPr>
        <w:ind w:left="5760" w:hanging="360"/>
      </w:pPr>
      <w:rPr>
        <w:rFonts w:ascii="Courier New" w:hAnsi="Courier New" w:hint="default"/>
      </w:rPr>
    </w:lvl>
    <w:lvl w:ilvl="8" w:tplc="97A403BA">
      <w:start w:val="1"/>
      <w:numFmt w:val="bullet"/>
      <w:lvlText w:val=""/>
      <w:lvlJc w:val="left"/>
      <w:pPr>
        <w:ind w:left="6480" w:hanging="360"/>
      </w:pPr>
      <w:rPr>
        <w:rFonts w:ascii="Wingdings" w:hAnsi="Wingdings" w:hint="default"/>
      </w:rPr>
    </w:lvl>
  </w:abstractNum>
  <w:abstractNum w:abstractNumId="6" w15:restartNumberingAfterBreak="0">
    <w:nsid w:val="1E9F00BE"/>
    <w:multiLevelType w:val="hybridMultilevel"/>
    <w:tmpl w:val="4C8060A0"/>
    <w:lvl w:ilvl="0" w:tplc="5E9844CC">
      <w:start w:val="1"/>
      <w:numFmt w:val="bullet"/>
      <w:lvlText w:val=""/>
      <w:lvlJc w:val="left"/>
      <w:pPr>
        <w:ind w:left="1440" w:hanging="360"/>
      </w:pPr>
      <w:rPr>
        <w:rFonts w:ascii="Symbol" w:hAnsi="Symbol"/>
      </w:rPr>
    </w:lvl>
    <w:lvl w:ilvl="1" w:tplc="CFB03504">
      <w:start w:val="1"/>
      <w:numFmt w:val="bullet"/>
      <w:lvlText w:val=""/>
      <w:lvlJc w:val="left"/>
      <w:pPr>
        <w:ind w:left="1440" w:hanging="360"/>
      </w:pPr>
      <w:rPr>
        <w:rFonts w:ascii="Symbol" w:hAnsi="Symbol"/>
      </w:rPr>
    </w:lvl>
    <w:lvl w:ilvl="2" w:tplc="52A2906C">
      <w:start w:val="1"/>
      <w:numFmt w:val="bullet"/>
      <w:lvlText w:val=""/>
      <w:lvlJc w:val="left"/>
      <w:pPr>
        <w:ind w:left="1440" w:hanging="360"/>
      </w:pPr>
      <w:rPr>
        <w:rFonts w:ascii="Symbol" w:hAnsi="Symbol"/>
      </w:rPr>
    </w:lvl>
    <w:lvl w:ilvl="3" w:tplc="0B028F4C">
      <w:start w:val="1"/>
      <w:numFmt w:val="bullet"/>
      <w:lvlText w:val=""/>
      <w:lvlJc w:val="left"/>
      <w:pPr>
        <w:ind w:left="1440" w:hanging="360"/>
      </w:pPr>
      <w:rPr>
        <w:rFonts w:ascii="Symbol" w:hAnsi="Symbol"/>
      </w:rPr>
    </w:lvl>
    <w:lvl w:ilvl="4" w:tplc="F9A82862">
      <w:start w:val="1"/>
      <w:numFmt w:val="bullet"/>
      <w:lvlText w:val=""/>
      <w:lvlJc w:val="left"/>
      <w:pPr>
        <w:ind w:left="1440" w:hanging="360"/>
      </w:pPr>
      <w:rPr>
        <w:rFonts w:ascii="Symbol" w:hAnsi="Symbol"/>
      </w:rPr>
    </w:lvl>
    <w:lvl w:ilvl="5" w:tplc="B4E2B87C">
      <w:start w:val="1"/>
      <w:numFmt w:val="bullet"/>
      <w:lvlText w:val=""/>
      <w:lvlJc w:val="left"/>
      <w:pPr>
        <w:ind w:left="1440" w:hanging="360"/>
      </w:pPr>
      <w:rPr>
        <w:rFonts w:ascii="Symbol" w:hAnsi="Symbol"/>
      </w:rPr>
    </w:lvl>
    <w:lvl w:ilvl="6" w:tplc="0C8463E2">
      <w:start w:val="1"/>
      <w:numFmt w:val="bullet"/>
      <w:lvlText w:val=""/>
      <w:lvlJc w:val="left"/>
      <w:pPr>
        <w:ind w:left="1440" w:hanging="360"/>
      </w:pPr>
      <w:rPr>
        <w:rFonts w:ascii="Symbol" w:hAnsi="Symbol"/>
      </w:rPr>
    </w:lvl>
    <w:lvl w:ilvl="7" w:tplc="29588532">
      <w:start w:val="1"/>
      <w:numFmt w:val="bullet"/>
      <w:lvlText w:val=""/>
      <w:lvlJc w:val="left"/>
      <w:pPr>
        <w:ind w:left="1440" w:hanging="360"/>
      </w:pPr>
      <w:rPr>
        <w:rFonts w:ascii="Symbol" w:hAnsi="Symbol"/>
      </w:rPr>
    </w:lvl>
    <w:lvl w:ilvl="8" w:tplc="384E8620">
      <w:start w:val="1"/>
      <w:numFmt w:val="bullet"/>
      <w:lvlText w:val=""/>
      <w:lvlJc w:val="left"/>
      <w:pPr>
        <w:ind w:left="1440" w:hanging="360"/>
      </w:pPr>
      <w:rPr>
        <w:rFonts w:ascii="Symbol" w:hAnsi="Symbol"/>
      </w:rPr>
    </w:lvl>
  </w:abstractNum>
  <w:abstractNum w:abstractNumId="7" w15:restartNumberingAfterBreak="0">
    <w:nsid w:val="21707CAF"/>
    <w:multiLevelType w:val="hybridMultilevel"/>
    <w:tmpl w:val="96A0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B083E"/>
    <w:multiLevelType w:val="hybridMultilevel"/>
    <w:tmpl w:val="FFFFFFFF"/>
    <w:lvl w:ilvl="0" w:tplc="0F488802">
      <w:start w:val="1"/>
      <w:numFmt w:val="bullet"/>
      <w:lvlText w:val=""/>
      <w:lvlJc w:val="left"/>
      <w:pPr>
        <w:ind w:left="720" w:hanging="360"/>
      </w:pPr>
      <w:rPr>
        <w:rFonts w:ascii="Symbol" w:hAnsi="Symbol" w:hint="default"/>
      </w:rPr>
    </w:lvl>
    <w:lvl w:ilvl="1" w:tplc="376EC1DA">
      <w:start w:val="1"/>
      <w:numFmt w:val="bullet"/>
      <w:lvlText w:val="o"/>
      <w:lvlJc w:val="left"/>
      <w:pPr>
        <w:ind w:left="1440" w:hanging="360"/>
      </w:pPr>
      <w:rPr>
        <w:rFonts w:ascii="Courier New" w:hAnsi="Courier New" w:hint="default"/>
      </w:rPr>
    </w:lvl>
    <w:lvl w:ilvl="2" w:tplc="72382B4E">
      <w:start w:val="1"/>
      <w:numFmt w:val="bullet"/>
      <w:lvlText w:val=""/>
      <w:lvlJc w:val="left"/>
      <w:pPr>
        <w:ind w:left="2160" w:hanging="360"/>
      </w:pPr>
      <w:rPr>
        <w:rFonts w:ascii="Wingdings" w:hAnsi="Wingdings" w:hint="default"/>
      </w:rPr>
    </w:lvl>
    <w:lvl w:ilvl="3" w:tplc="CC0688C6">
      <w:start w:val="1"/>
      <w:numFmt w:val="bullet"/>
      <w:lvlText w:val=""/>
      <w:lvlJc w:val="left"/>
      <w:pPr>
        <w:ind w:left="2880" w:hanging="360"/>
      </w:pPr>
      <w:rPr>
        <w:rFonts w:ascii="Symbol" w:hAnsi="Symbol" w:hint="default"/>
      </w:rPr>
    </w:lvl>
    <w:lvl w:ilvl="4" w:tplc="7E88C724">
      <w:start w:val="1"/>
      <w:numFmt w:val="bullet"/>
      <w:lvlText w:val="o"/>
      <w:lvlJc w:val="left"/>
      <w:pPr>
        <w:ind w:left="3600" w:hanging="360"/>
      </w:pPr>
      <w:rPr>
        <w:rFonts w:ascii="Courier New" w:hAnsi="Courier New" w:hint="default"/>
      </w:rPr>
    </w:lvl>
    <w:lvl w:ilvl="5" w:tplc="5CF0B6B8">
      <w:start w:val="1"/>
      <w:numFmt w:val="bullet"/>
      <w:lvlText w:val=""/>
      <w:lvlJc w:val="left"/>
      <w:pPr>
        <w:ind w:left="4320" w:hanging="360"/>
      </w:pPr>
      <w:rPr>
        <w:rFonts w:ascii="Wingdings" w:hAnsi="Wingdings" w:hint="default"/>
      </w:rPr>
    </w:lvl>
    <w:lvl w:ilvl="6" w:tplc="27D8F58A">
      <w:start w:val="1"/>
      <w:numFmt w:val="bullet"/>
      <w:lvlText w:val=""/>
      <w:lvlJc w:val="left"/>
      <w:pPr>
        <w:ind w:left="5040" w:hanging="360"/>
      </w:pPr>
      <w:rPr>
        <w:rFonts w:ascii="Symbol" w:hAnsi="Symbol" w:hint="default"/>
      </w:rPr>
    </w:lvl>
    <w:lvl w:ilvl="7" w:tplc="3638713E">
      <w:start w:val="1"/>
      <w:numFmt w:val="bullet"/>
      <w:lvlText w:val="o"/>
      <w:lvlJc w:val="left"/>
      <w:pPr>
        <w:ind w:left="5760" w:hanging="360"/>
      </w:pPr>
      <w:rPr>
        <w:rFonts w:ascii="Courier New" w:hAnsi="Courier New" w:hint="default"/>
      </w:rPr>
    </w:lvl>
    <w:lvl w:ilvl="8" w:tplc="D40A4346">
      <w:start w:val="1"/>
      <w:numFmt w:val="bullet"/>
      <w:lvlText w:val=""/>
      <w:lvlJc w:val="left"/>
      <w:pPr>
        <w:ind w:left="6480" w:hanging="360"/>
      </w:pPr>
      <w:rPr>
        <w:rFonts w:ascii="Wingdings" w:hAnsi="Wingdings" w:hint="default"/>
      </w:rPr>
    </w:lvl>
  </w:abstractNum>
  <w:abstractNum w:abstractNumId="9" w15:restartNumberingAfterBreak="0">
    <w:nsid w:val="28464DE1"/>
    <w:multiLevelType w:val="hybridMultilevel"/>
    <w:tmpl w:val="0DEED788"/>
    <w:lvl w:ilvl="0" w:tplc="2E76B62A">
      <w:start w:val="1"/>
      <w:numFmt w:val="bullet"/>
      <w:lvlText w:val=""/>
      <w:lvlJc w:val="left"/>
      <w:pPr>
        <w:ind w:left="1440" w:hanging="360"/>
      </w:pPr>
      <w:rPr>
        <w:rFonts w:ascii="Symbol" w:hAnsi="Symbol"/>
      </w:rPr>
    </w:lvl>
    <w:lvl w:ilvl="1" w:tplc="1AD824E6">
      <w:start w:val="1"/>
      <w:numFmt w:val="bullet"/>
      <w:lvlText w:val=""/>
      <w:lvlJc w:val="left"/>
      <w:pPr>
        <w:ind w:left="1440" w:hanging="360"/>
      </w:pPr>
      <w:rPr>
        <w:rFonts w:ascii="Symbol" w:hAnsi="Symbol"/>
      </w:rPr>
    </w:lvl>
    <w:lvl w:ilvl="2" w:tplc="D2CECB58">
      <w:start w:val="1"/>
      <w:numFmt w:val="bullet"/>
      <w:lvlText w:val=""/>
      <w:lvlJc w:val="left"/>
      <w:pPr>
        <w:ind w:left="1440" w:hanging="360"/>
      </w:pPr>
      <w:rPr>
        <w:rFonts w:ascii="Symbol" w:hAnsi="Symbol"/>
      </w:rPr>
    </w:lvl>
    <w:lvl w:ilvl="3" w:tplc="AA82BC36">
      <w:start w:val="1"/>
      <w:numFmt w:val="bullet"/>
      <w:lvlText w:val=""/>
      <w:lvlJc w:val="left"/>
      <w:pPr>
        <w:ind w:left="1440" w:hanging="360"/>
      </w:pPr>
      <w:rPr>
        <w:rFonts w:ascii="Symbol" w:hAnsi="Symbol"/>
      </w:rPr>
    </w:lvl>
    <w:lvl w:ilvl="4" w:tplc="DACA1430">
      <w:start w:val="1"/>
      <w:numFmt w:val="bullet"/>
      <w:lvlText w:val=""/>
      <w:lvlJc w:val="left"/>
      <w:pPr>
        <w:ind w:left="1440" w:hanging="360"/>
      </w:pPr>
      <w:rPr>
        <w:rFonts w:ascii="Symbol" w:hAnsi="Symbol"/>
      </w:rPr>
    </w:lvl>
    <w:lvl w:ilvl="5" w:tplc="B42A4412">
      <w:start w:val="1"/>
      <w:numFmt w:val="bullet"/>
      <w:lvlText w:val=""/>
      <w:lvlJc w:val="left"/>
      <w:pPr>
        <w:ind w:left="1440" w:hanging="360"/>
      </w:pPr>
      <w:rPr>
        <w:rFonts w:ascii="Symbol" w:hAnsi="Symbol"/>
      </w:rPr>
    </w:lvl>
    <w:lvl w:ilvl="6" w:tplc="FB429EDA">
      <w:start w:val="1"/>
      <w:numFmt w:val="bullet"/>
      <w:lvlText w:val=""/>
      <w:lvlJc w:val="left"/>
      <w:pPr>
        <w:ind w:left="1440" w:hanging="360"/>
      </w:pPr>
      <w:rPr>
        <w:rFonts w:ascii="Symbol" w:hAnsi="Symbol"/>
      </w:rPr>
    </w:lvl>
    <w:lvl w:ilvl="7" w:tplc="9FD2E7DE">
      <w:start w:val="1"/>
      <w:numFmt w:val="bullet"/>
      <w:lvlText w:val=""/>
      <w:lvlJc w:val="left"/>
      <w:pPr>
        <w:ind w:left="1440" w:hanging="360"/>
      </w:pPr>
      <w:rPr>
        <w:rFonts w:ascii="Symbol" w:hAnsi="Symbol"/>
      </w:rPr>
    </w:lvl>
    <w:lvl w:ilvl="8" w:tplc="C166E594">
      <w:start w:val="1"/>
      <w:numFmt w:val="bullet"/>
      <w:lvlText w:val=""/>
      <w:lvlJc w:val="left"/>
      <w:pPr>
        <w:ind w:left="1440" w:hanging="360"/>
      </w:pPr>
      <w:rPr>
        <w:rFonts w:ascii="Symbol" w:hAnsi="Symbol"/>
      </w:rPr>
    </w:lvl>
  </w:abstractNum>
  <w:abstractNum w:abstractNumId="10" w15:restartNumberingAfterBreak="0">
    <w:nsid w:val="39B21327"/>
    <w:multiLevelType w:val="hybridMultilevel"/>
    <w:tmpl w:val="EEA4A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1C12EA"/>
    <w:multiLevelType w:val="hybridMultilevel"/>
    <w:tmpl w:val="6C600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F1A62"/>
    <w:multiLevelType w:val="hybridMultilevel"/>
    <w:tmpl w:val="16C2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0FBC33"/>
    <w:multiLevelType w:val="hybridMultilevel"/>
    <w:tmpl w:val="FFFFFFFF"/>
    <w:lvl w:ilvl="0" w:tplc="13F4F43C">
      <w:start w:val="1"/>
      <w:numFmt w:val="bullet"/>
      <w:lvlText w:val=""/>
      <w:lvlJc w:val="left"/>
      <w:pPr>
        <w:ind w:left="720" w:hanging="360"/>
      </w:pPr>
      <w:rPr>
        <w:rFonts w:ascii="Symbol" w:hAnsi="Symbol" w:hint="default"/>
      </w:rPr>
    </w:lvl>
    <w:lvl w:ilvl="1" w:tplc="5B262734">
      <w:start w:val="1"/>
      <w:numFmt w:val="bullet"/>
      <w:lvlText w:val="-"/>
      <w:lvlJc w:val="left"/>
      <w:pPr>
        <w:ind w:left="1440" w:hanging="360"/>
      </w:pPr>
      <w:rPr>
        <w:rFonts w:ascii="Calibri" w:hAnsi="Calibri" w:hint="default"/>
      </w:rPr>
    </w:lvl>
    <w:lvl w:ilvl="2" w:tplc="569878CC">
      <w:start w:val="1"/>
      <w:numFmt w:val="bullet"/>
      <w:lvlText w:val=""/>
      <w:lvlJc w:val="left"/>
      <w:pPr>
        <w:ind w:left="2160" w:hanging="360"/>
      </w:pPr>
      <w:rPr>
        <w:rFonts w:ascii="Wingdings" w:hAnsi="Wingdings" w:hint="default"/>
      </w:rPr>
    </w:lvl>
    <w:lvl w:ilvl="3" w:tplc="C0483A94">
      <w:start w:val="1"/>
      <w:numFmt w:val="bullet"/>
      <w:lvlText w:val=""/>
      <w:lvlJc w:val="left"/>
      <w:pPr>
        <w:ind w:left="2880" w:hanging="360"/>
      </w:pPr>
      <w:rPr>
        <w:rFonts w:ascii="Symbol" w:hAnsi="Symbol" w:hint="default"/>
      </w:rPr>
    </w:lvl>
    <w:lvl w:ilvl="4" w:tplc="BC94F21A">
      <w:start w:val="1"/>
      <w:numFmt w:val="bullet"/>
      <w:lvlText w:val="o"/>
      <w:lvlJc w:val="left"/>
      <w:pPr>
        <w:ind w:left="3600" w:hanging="360"/>
      </w:pPr>
      <w:rPr>
        <w:rFonts w:ascii="Courier New" w:hAnsi="Courier New" w:hint="default"/>
      </w:rPr>
    </w:lvl>
    <w:lvl w:ilvl="5" w:tplc="79B69872">
      <w:start w:val="1"/>
      <w:numFmt w:val="bullet"/>
      <w:lvlText w:val=""/>
      <w:lvlJc w:val="left"/>
      <w:pPr>
        <w:ind w:left="4320" w:hanging="360"/>
      </w:pPr>
      <w:rPr>
        <w:rFonts w:ascii="Wingdings" w:hAnsi="Wingdings" w:hint="default"/>
      </w:rPr>
    </w:lvl>
    <w:lvl w:ilvl="6" w:tplc="D2A6DBEC">
      <w:start w:val="1"/>
      <w:numFmt w:val="bullet"/>
      <w:lvlText w:val=""/>
      <w:lvlJc w:val="left"/>
      <w:pPr>
        <w:ind w:left="5040" w:hanging="360"/>
      </w:pPr>
      <w:rPr>
        <w:rFonts w:ascii="Symbol" w:hAnsi="Symbol" w:hint="default"/>
      </w:rPr>
    </w:lvl>
    <w:lvl w:ilvl="7" w:tplc="B0F65DF8">
      <w:start w:val="1"/>
      <w:numFmt w:val="bullet"/>
      <w:lvlText w:val="o"/>
      <w:lvlJc w:val="left"/>
      <w:pPr>
        <w:ind w:left="5760" w:hanging="360"/>
      </w:pPr>
      <w:rPr>
        <w:rFonts w:ascii="Courier New" w:hAnsi="Courier New" w:hint="default"/>
      </w:rPr>
    </w:lvl>
    <w:lvl w:ilvl="8" w:tplc="5AB09A1A">
      <w:start w:val="1"/>
      <w:numFmt w:val="bullet"/>
      <w:lvlText w:val=""/>
      <w:lvlJc w:val="left"/>
      <w:pPr>
        <w:ind w:left="6480" w:hanging="360"/>
      </w:pPr>
      <w:rPr>
        <w:rFonts w:ascii="Wingdings" w:hAnsi="Wingdings" w:hint="default"/>
      </w:rPr>
    </w:lvl>
  </w:abstractNum>
  <w:abstractNum w:abstractNumId="14" w15:restartNumberingAfterBreak="0">
    <w:nsid w:val="550A2C36"/>
    <w:multiLevelType w:val="hybridMultilevel"/>
    <w:tmpl w:val="FBE8A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5A50A7"/>
    <w:multiLevelType w:val="hybridMultilevel"/>
    <w:tmpl w:val="0332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0D7FA7"/>
    <w:multiLevelType w:val="hybridMultilevel"/>
    <w:tmpl w:val="D61464EE"/>
    <w:lvl w:ilvl="0" w:tplc="84AE9CA8">
      <w:start w:val="1"/>
      <w:numFmt w:val="bullet"/>
      <w:lvlText w:val=""/>
      <w:lvlJc w:val="left"/>
      <w:pPr>
        <w:ind w:left="1440" w:hanging="360"/>
      </w:pPr>
      <w:rPr>
        <w:rFonts w:ascii="Symbol" w:hAnsi="Symbol"/>
      </w:rPr>
    </w:lvl>
    <w:lvl w:ilvl="1" w:tplc="79761746">
      <w:start w:val="1"/>
      <w:numFmt w:val="bullet"/>
      <w:lvlText w:val=""/>
      <w:lvlJc w:val="left"/>
      <w:pPr>
        <w:ind w:left="1440" w:hanging="360"/>
      </w:pPr>
      <w:rPr>
        <w:rFonts w:ascii="Symbol" w:hAnsi="Symbol"/>
      </w:rPr>
    </w:lvl>
    <w:lvl w:ilvl="2" w:tplc="1CEAAEDE">
      <w:start w:val="1"/>
      <w:numFmt w:val="bullet"/>
      <w:lvlText w:val=""/>
      <w:lvlJc w:val="left"/>
      <w:pPr>
        <w:ind w:left="1440" w:hanging="360"/>
      </w:pPr>
      <w:rPr>
        <w:rFonts w:ascii="Symbol" w:hAnsi="Symbol"/>
      </w:rPr>
    </w:lvl>
    <w:lvl w:ilvl="3" w:tplc="0DAA8FF2">
      <w:start w:val="1"/>
      <w:numFmt w:val="bullet"/>
      <w:lvlText w:val=""/>
      <w:lvlJc w:val="left"/>
      <w:pPr>
        <w:ind w:left="1440" w:hanging="360"/>
      </w:pPr>
      <w:rPr>
        <w:rFonts w:ascii="Symbol" w:hAnsi="Symbol"/>
      </w:rPr>
    </w:lvl>
    <w:lvl w:ilvl="4" w:tplc="A4584D94">
      <w:start w:val="1"/>
      <w:numFmt w:val="bullet"/>
      <w:lvlText w:val=""/>
      <w:lvlJc w:val="left"/>
      <w:pPr>
        <w:ind w:left="1440" w:hanging="360"/>
      </w:pPr>
      <w:rPr>
        <w:rFonts w:ascii="Symbol" w:hAnsi="Symbol"/>
      </w:rPr>
    </w:lvl>
    <w:lvl w:ilvl="5" w:tplc="BBA400F0">
      <w:start w:val="1"/>
      <w:numFmt w:val="bullet"/>
      <w:lvlText w:val=""/>
      <w:lvlJc w:val="left"/>
      <w:pPr>
        <w:ind w:left="1440" w:hanging="360"/>
      </w:pPr>
      <w:rPr>
        <w:rFonts w:ascii="Symbol" w:hAnsi="Symbol"/>
      </w:rPr>
    </w:lvl>
    <w:lvl w:ilvl="6" w:tplc="6214216C">
      <w:start w:val="1"/>
      <w:numFmt w:val="bullet"/>
      <w:lvlText w:val=""/>
      <w:lvlJc w:val="left"/>
      <w:pPr>
        <w:ind w:left="1440" w:hanging="360"/>
      </w:pPr>
      <w:rPr>
        <w:rFonts w:ascii="Symbol" w:hAnsi="Symbol"/>
      </w:rPr>
    </w:lvl>
    <w:lvl w:ilvl="7" w:tplc="994EE82A">
      <w:start w:val="1"/>
      <w:numFmt w:val="bullet"/>
      <w:lvlText w:val=""/>
      <w:lvlJc w:val="left"/>
      <w:pPr>
        <w:ind w:left="1440" w:hanging="360"/>
      </w:pPr>
      <w:rPr>
        <w:rFonts w:ascii="Symbol" w:hAnsi="Symbol"/>
      </w:rPr>
    </w:lvl>
    <w:lvl w:ilvl="8" w:tplc="4620C18E">
      <w:start w:val="1"/>
      <w:numFmt w:val="bullet"/>
      <w:lvlText w:val=""/>
      <w:lvlJc w:val="left"/>
      <w:pPr>
        <w:ind w:left="1440" w:hanging="360"/>
      </w:pPr>
      <w:rPr>
        <w:rFonts w:ascii="Symbol" w:hAnsi="Symbol"/>
      </w:rPr>
    </w:lvl>
  </w:abstractNum>
  <w:abstractNum w:abstractNumId="17" w15:restartNumberingAfterBreak="0">
    <w:nsid w:val="5C1B363F"/>
    <w:multiLevelType w:val="hybridMultilevel"/>
    <w:tmpl w:val="A5089334"/>
    <w:lvl w:ilvl="0" w:tplc="B972E1D8">
      <w:start w:val="1"/>
      <w:numFmt w:val="bullet"/>
      <w:lvlText w:val=""/>
      <w:lvlJc w:val="left"/>
      <w:pPr>
        <w:ind w:left="1440" w:hanging="360"/>
      </w:pPr>
      <w:rPr>
        <w:rFonts w:ascii="Symbol" w:hAnsi="Symbol"/>
      </w:rPr>
    </w:lvl>
    <w:lvl w:ilvl="1" w:tplc="B6EC08C6">
      <w:start w:val="1"/>
      <w:numFmt w:val="bullet"/>
      <w:lvlText w:val=""/>
      <w:lvlJc w:val="left"/>
      <w:pPr>
        <w:ind w:left="1440" w:hanging="360"/>
      </w:pPr>
      <w:rPr>
        <w:rFonts w:ascii="Symbol" w:hAnsi="Symbol"/>
      </w:rPr>
    </w:lvl>
    <w:lvl w:ilvl="2" w:tplc="D8FA9060">
      <w:start w:val="1"/>
      <w:numFmt w:val="bullet"/>
      <w:lvlText w:val=""/>
      <w:lvlJc w:val="left"/>
      <w:pPr>
        <w:ind w:left="1440" w:hanging="360"/>
      </w:pPr>
      <w:rPr>
        <w:rFonts w:ascii="Symbol" w:hAnsi="Symbol"/>
      </w:rPr>
    </w:lvl>
    <w:lvl w:ilvl="3" w:tplc="350C5B6A">
      <w:start w:val="1"/>
      <w:numFmt w:val="bullet"/>
      <w:lvlText w:val=""/>
      <w:lvlJc w:val="left"/>
      <w:pPr>
        <w:ind w:left="1440" w:hanging="360"/>
      </w:pPr>
      <w:rPr>
        <w:rFonts w:ascii="Symbol" w:hAnsi="Symbol"/>
      </w:rPr>
    </w:lvl>
    <w:lvl w:ilvl="4" w:tplc="8BEA2C20">
      <w:start w:val="1"/>
      <w:numFmt w:val="bullet"/>
      <w:lvlText w:val=""/>
      <w:lvlJc w:val="left"/>
      <w:pPr>
        <w:ind w:left="1440" w:hanging="360"/>
      </w:pPr>
      <w:rPr>
        <w:rFonts w:ascii="Symbol" w:hAnsi="Symbol"/>
      </w:rPr>
    </w:lvl>
    <w:lvl w:ilvl="5" w:tplc="11FC5F0E">
      <w:start w:val="1"/>
      <w:numFmt w:val="bullet"/>
      <w:lvlText w:val=""/>
      <w:lvlJc w:val="left"/>
      <w:pPr>
        <w:ind w:left="1440" w:hanging="360"/>
      </w:pPr>
      <w:rPr>
        <w:rFonts w:ascii="Symbol" w:hAnsi="Symbol"/>
      </w:rPr>
    </w:lvl>
    <w:lvl w:ilvl="6" w:tplc="FF4C9F6E">
      <w:start w:val="1"/>
      <w:numFmt w:val="bullet"/>
      <w:lvlText w:val=""/>
      <w:lvlJc w:val="left"/>
      <w:pPr>
        <w:ind w:left="1440" w:hanging="360"/>
      </w:pPr>
      <w:rPr>
        <w:rFonts w:ascii="Symbol" w:hAnsi="Symbol"/>
      </w:rPr>
    </w:lvl>
    <w:lvl w:ilvl="7" w:tplc="C166034A">
      <w:start w:val="1"/>
      <w:numFmt w:val="bullet"/>
      <w:lvlText w:val=""/>
      <w:lvlJc w:val="left"/>
      <w:pPr>
        <w:ind w:left="1440" w:hanging="360"/>
      </w:pPr>
      <w:rPr>
        <w:rFonts w:ascii="Symbol" w:hAnsi="Symbol"/>
      </w:rPr>
    </w:lvl>
    <w:lvl w:ilvl="8" w:tplc="91701372">
      <w:start w:val="1"/>
      <w:numFmt w:val="bullet"/>
      <w:lvlText w:val=""/>
      <w:lvlJc w:val="left"/>
      <w:pPr>
        <w:ind w:left="1440" w:hanging="360"/>
      </w:pPr>
      <w:rPr>
        <w:rFonts w:ascii="Symbol" w:hAnsi="Symbol"/>
      </w:rPr>
    </w:lvl>
  </w:abstractNum>
  <w:abstractNum w:abstractNumId="18" w15:restartNumberingAfterBreak="0">
    <w:nsid w:val="5C9F1BA7"/>
    <w:multiLevelType w:val="hybridMultilevel"/>
    <w:tmpl w:val="9064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044DF4"/>
    <w:multiLevelType w:val="hybridMultilevel"/>
    <w:tmpl w:val="75D4B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2D6EAF"/>
    <w:multiLevelType w:val="hybridMultilevel"/>
    <w:tmpl w:val="2F14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CC4A0B"/>
    <w:multiLevelType w:val="hybridMultilevel"/>
    <w:tmpl w:val="9372E334"/>
    <w:lvl w:ilvl="0" w:tplc="F97A4D58">
      <w:start w:val="1"/>
      <w:numFmt w:val="bullet"/>
      <w:lvlText w:val=""/>
      <w:lvlJc w:val="left"/>
      <w:pPr>
        <w:ind w:left="1440" w:hanging="360"/>
      </w:pPr>
      <w:rPr>
        <w:rFonts w:ascii="Symbol" w:hAnsi="Symbol"/>
      </w:rPr>
    </w:lvl>
    <w:lvl w:ilvl="1" w:tplc="A77A8B7A">
      <w:start w:val="1"/>
      <w:numFmt w:val="bullet"/>
      <w:lvlText w:val=""/>
      <w:lvlJc w:val="left"/>
      <w:pPr>
        <w:ind w:left="1440" w:hanging="360"/>
      </w:pPr>
      <w:rPr>
        <w:rFonts w:ascii="Symbol" w:hAnsi="Symbol"/>
      </w:rPr>
    </w:lvl>
    <w:lvl w:ilvl="2" w:tplc="411E8B5C">
      <w:start w:val="1"/>
      <w:numFmt w:val="bullet"/>
      <w:lvlText w:val=""/>
      <w:lvlJc w:val="left"/>
      <w:pPr>
        <w:ind w:left="1440" w:hanging="360"/>
      </w:pPr>
      <w:rPr>
        <w:rFonts w:ascii="Symbol" w:hAnsi="Symbol"/>
      </w:rPr>
    </w:lvl>
    <w:lvl w:ilvl="3" w:tplc="E4041292">
      <w:start w:val="1"/>
      <w:numFmt w:val="bullet"/>
      <w:lvlText w:val=""/>
      <w:lvlJc w:val="left"/>
      <w:pPr>
        <w:ind w:left="1440" w:hanging="360"/>
      </w:pPr>
      <w:rPr>
        <w:rFonts w:ascii="Symbol" w:hAnsi="Symbol"/>
      </w:rPr>
    </w:lvl>
    <w:lvl w:ilvl="4" w:tplc="B1464BDE">
      <w:start w:val="1"/>
      <w:numFmt w:val="bullet"/>
      <w:lvlText w:val=""/>
      <w:lvlJc w:val="left"/>
      <w:pPr>
        <w:ind w:left="1440" w:hanging="360"/>
      </w:pPr>
      <w:rPr>
        <w:rFonts w:ascii="Symbol" w:hAnsi="Symbol"/>
      </w:rPr>
    </w:lvl>
    <w:lvl w:ilvl="5" w:tplc="F258AB80">
      <w:start w:val="1"/>
      <w:numFmt w:val="bullet"/>
      <w:lvlText w:val=""/>
      <w:lvlJc w:val="left"/>
      <w:pPr>
        <w:ind w:left="1440" w:hanging="360"/>
      </w:pPr>
      <w:rPr>
        <w:rFonts w:ascii="Symbol" w:hAnsi="Symbol"/>
      </w:rPr>
    </w:lvl>
    <w:lvl w:ilvl="6" w:tplc="DF58E3E0">
      <w:start w:val="1"/>
      <w:numFmt w:val="bullet"/>
      <w:lvlText w:val=""/>
      <w:lvlJc w:val="left"/>
      <w:pPr>
        <w:ind w:left="1440" w:hanging="360"/>
      </w:pPr>
      <w:rPr>
        <w:rFonts w:ascii="Symbol" w:hAnsi="Symbol"/>
      </w:rPr>
    </w:lvl>
    <w:lvl w:ilvl="7" w:tplc="8A36C534">
      <w:start w:val="1"/>
      <w:numFmt w:val="bullet"/>
      <w:lvlText w:val=""/>
      <w:lvlJc w:val="left"/>
      <w:pPr>
        <w:ind w:left="1440" w:hanging="360"/>
      </w:pPr>
      <w:rPr>
        <w:rFonts w:ascii="Symbol" w:hAnsi="Symbol"/>
      </w:rPr>
    </w:lvl>
    <w:lvl w:ilvl="8" w:tplc="D660DBFA">
      <w:start w:val="1"/>
      <w:numFmt w:val="bullet"/>
      <w:lvlText w:val=""/>
      <w:lvlJc w:val="left"/>
      <w:pPr>
        <w:ind w:left="1440" w:hanging="360"/>
      </w:pPr>
      <w:rPr>
        <w:rFonts w:ascii="Symbol" w:hAnsi="Symbol"/>
      </w:rPr>
    </w:lvl>
  </w:abstractNum>
  <w:abstractNum w:abstractNumId="22" w15:restartNumberingAfterBreak="0">
    <w:nsid w:val="6995431D"/>
    <w:multiLevelType w:val="hybridMultilevel"/>
    <w:tmpl w:val="C7D6F3D6"/>
    <w:lvl w:ilvl="0" w:tplc="E352853E">
      <w:start w:val="1"/>
      <w:numFmt w:val="bullet"/>
      <w:lvlText w:val=""/>
      <w:lvlJc w:val="left"/>
      <w:pPr>
        <w:ind w:left="1440" w:hanging="360"/>
      </w:pPr>
      <w:rPr>
        <w:rFonts w:ascii="Symbol" w:hAnsi="Symbol"/>
      </w:rPr>
    </w:lvl>
    <w:lvl w:ilvl="1" w:tplc="092093BE">
      <w:start w:val="1"/>
      <w:numFmt w:val="bullet"/>
      <w:lvlText w:val=""/>
      <w:lvlJc w:val="left"/>
      <w:pPr>
        <w:ind w:left="1440" w:hanging="360"/>
      </w:pPr>
      <w:rPr>
        <w:rFonts w:ascii="Symbol" w:hAnsi="Symbol"/>
      </w:rPr>
    </w:lvl>
    <w:lvl w:ilvl="2" w:tplc="5BE620E0">
      <w:start w:val="1"/>
      <w:numFmt w:val="bullet"/>
      <w:lvlText w:val=""/>
      <w:lvlJc w:val="left"/>
      <w:pPr>
        <w:ind w:left="1440" w:hanging="360"/>
      </w:pPr>
      <w:rPr>
        <w:rFonts w:ascii="Symbol" w:hAnsi="Symbol"/>
      </w:rPr>
    </w:lvl>
    <w:lvl w:ilvl="3" w:tplc="A090418A">
      <w:start w:val="1"/>
      <w:numFmt w:val="bullet"/>
      <w:lvlText w:val=""/>
      <w:lvlJc w:val="left"/>
      <w:pPr>
        <w:ind w:left="1440" w:hanging="360"/>
      </w:pPr>
      <w:rPr>
        <w:rFonts w:ascii="Symbol" w:hAnsi="Symbol"/>
      </w:rPr>
    </w:lvl>
    <w:lvl w:ilvl="4" w:tplc="BEFEC32E">
      <w:start w:val="1"/>
      <w:numFmt w:val="bullet"/>
      <w:lvlText w:val=""/>
      <w:lvlJc w:val="left"/>
      <w:pPr>
        <w:ind w:left="1440" w:hanging="360"/>
      </w:pPr>
      <w:rPr>
        <w:rFonts w:ascii="Symbol" w:hAnsi="Symbol"/>
      </w:rPr>
    </w:lvl>
    <w:lvl w:ilvl="5" w:tplc="7404349E">
      <w:start w:val="1"/>
      <w:numFmt w:val="bullet"/>
      <w:lvlText w:val=""/>
      <w:lvlJc w:val="left"/>
      <w:pPr>
        <w:ind w:left="1440" w:hanging="360"/>
      </w:pPr>
      <w:rPr>
        <w:rFonts w:ascii="Symbol" w:hAnsi="Symbol"/>
      </w:rPr>
    </w:lvl>
    <w:lvl w:ilvl="6" w:tplc="D7B4AD04">
      <w:start w:val="1"/>
      <w:numFmt w:val="bullet"/>
      <w:lvlText w:val=""/>
      <w:lvlJc w:val="left"/>
      <w:pPr>
        <w:ind w:left="1440" w:hanging="360"/>
      </w:pPr>
      <w:rPr>
        <w:rFonts w:ascii="Symbol" w:hAnsi="Symbol"/>
      </w:rPr>
    </w:lvl>
    <w:lvl w:ilvl="7" w:tplc="F01033A8">
      <w:start w:val="1"/>
      <w:numFmt w:val="bullet"/>
      <w:lvlText w:val=""/>
      <w:lvlJc w:val="left"/>
      <w:pPr>
        <w:ind w:left="1440" w:hanging="360"/>
      </w:pPr>
      <w:rPr>
        <w:rFonts w:ascii="Symbol" w:hAnsi="Symbol"/>
      </w:rPr>
    </w:lvl>
    <w:lvl w:ilvl="8" w:tplc="FCD88644">
      <w:start w:val="1"/>
      <w:numFmt w:val="bullet"/>
      <w:lvlText w:val=""/>
      <w:lvlJc w:val="left"/>
      <w:pPr>
        <w:ind w:left="1440" w:hanging="360"/>
      </w:pPr>
      <w:rPr>
        <w:rFonts w:ascii="Symbol" w:hAnsi="Symbol"/>
      </w:rPr>
    </w:lvl>
  </w:abstractNum>
  <w:abstractNum w:abstractNumId="23" w15:restartNumberingAfterBreak="0">
    <w:nsid w:val="6AE825CB"/>
    <w:multiLevelType w:val="hybridMultilevel"/>
    <w:tmpl w:val="97A8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9F172D"/>
    <w:multiLevelType w:val="hybridMultilevel"/>
    <w:tmpl w:val="871C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245722"/>
    <w:multiLevelType w:val="hybridMultilevel"/>
    <w:tmpl w:val="D1EE48AC"/>
    <w:lvl w:ilvl="0" w:tplc="63E4BDEC">
      <w:start w:val="1"/>
      <w:numFmt w:val="bullet"/>
      <w:lvlText w:val=""/>
      <w:lvlJc w:val="left"/>
      <w:pPr>
        <w:ind w:left="1440" w:hanging="360"/>
      </w:pPr>
      <w:rPr>
        <w:rFonts w:ascii="Symbol" w:hAnsi="Symbol"/>
      </w:rPr>
    </w:lvl>
    <w:lvl w:ilvl="1" w:tplc="8F900ABE">
      <w:start w:val="1"/>
      <w:numFmt w:val="bullet"/>
      <w:lvlText w:val=""/>
      <w:lvlJc w:val="left"/>
      <w:pPr>
        <w:ind w:left="1440" w:hanging="360"/>
      </w:pPr>
      <w:rPr>
        <w:rFonts w:ascii="Symbol" w:hAnsi="Symbol"/>
      </w:rPr>
    </w:lvl>
    <w:lvl w:ilvl="2" w:tplc="7C0071CA">
      <w:start w:val="1"/>
      <w:numFmt w:val="bullet"/>
      <w:lvlText w:val=""/>
      <w:lvlJc w:val="left"/>
      <w:pPr>
        <w:ind w:left="1440" w:hanging="360"/>
      </w:pPr>
      <w:rPr>
        <w:rFonts w:ascii="Symbol" w:hAnsi="Symbol"/>
      </w:rPr>
    </w:lvl>
    <w:lvl w:ilvl="3" w:tplc="EA80DE14">
      <w:start w:val="1"/>
      <w:numFmt w:val="bullet"/>
      <w:lvlText w:val=""/>
      <w:lvlJc w:val="left"/>
      <w:pPr>
        <w:ind w:left="1440" w:hanging="360"/>
      </w:pPr>
      <w:rPr>
        <w:rFonts w:ascii="Symbol" w:hAnsi="Symbol"/>
      </w:rPr>
    </w:lvl>
    <w:lvl w:ilvl="4" w:tplc="42007F52">
      <w:start w:val="1"/>
      <w:numFmt w:val="bullet"/>
      <w:lvlText w:val=""/>
      <w:lvlJc w:val="left"/>
      <w:pPr>
        <w:ind w:left="1440" w:hanging="360"/>
      </w:pPr>
      <w:rPr>
        <w:rFonts w:ascii="Symbol" w:hAnsi="Symbol"/>
      </w:rPr>
    </w:lvl>
    <w:lvl w:ilvl="5" w:tplc="EA46220C">
      <w:start w:val="1"/>
      <w:numFmt w:val="bullet"/>
      <w:lvlText w:val=""/>
      <w:lvlJc w:val="left"/>
      <w:pPr>
        <w:ind w:left="1440" w:hanging="360"/>
      </w:pPr>
      <w:rPr>
        <w:rFonts w:ascii="Symbol" w:hAnsi="Symbol"/>
      </w:rPr>
    </w:lvl>
    <w:lvl w:ilvl="6" w:tplc="796C8B2C">
      <w:start w:val="1"/>
      <w:numFmt w:val="bullet"/>
      <w:lvlText w:val=""/>
      <w:lvlJc w:val="left"/>
      <w:pPr>
        <w:ind w:left="1440" w:hanging="360"/>
      </w:pPr>
      <w:rPr>
        <w:rFonts w:ascii="Symbol" w:hAnsi="Symbol"/>
      </w:rPr>
    </w:lvl>
    <w:lvl w:ilvl="7" w:tplc="C01EF7AC">
      <w:start w:val="1"/>
      <w:numFmt w:val="bullet"/>
      <w:lvlText w:val=""/>
      <w:lvlJc w:val="left"/>
      <w:pPr>
        <w:ind w:left="1440" w:hanging="360"/>
      </w:pPr>
      <w:rPr>
        <w:rFonts w:ascii="Symbol" w:hAnsi="Symbol"/>
      </w:rPr>
    </w:lvl>
    <w:lvl w:ilvl="8" w:tplc="0D6069C8">
      <w:start w:val="1"/>
      <w:numFmt w:val="bullet"/>
      <w:lvlText w:val=""/>
      <w:lvlJc w:val="left"/>
      <w:pPr>
        <w:ind w:left="1440" w:hanging="360"/>
      </w:pPr>
      <w:rPr>
        <w:rFonts w:ascii="Symbol" w:hAnsi="Symbol"/>
      </w:rPr>
    </w:lvl>
  </w:abstractNum>
  <w:abstractNum w:abstractNumId="26" w15:restartNumberingAfterBreak="0">
    <w:nsid w:val="771FA84C"/>
    <w:multiLevelType w:val="hybridMultilevel"/>
    <w:tmpl w:val="FFFFFFFF"/>
    <w:lvl w:ilvl="0" w:tplc="B7584862">
      <w:start w:val="1"/>
      <w:numFmt w:val="bullet"/>
      <w:lvlText w:val=""/>
      <w:lvlJc w:val="left"/>
      <w:pPr>
        <w:ind w:left="720" w:hanging="360"/>
      </w:pPr>
      <w:rPr>
        <w:rFonts w:ascii="Symbol" w:hAnsi="Symbol" w:hint="default"/>
      </w:rPr>
    </w:lvl>
    <w:lvl w:ilvl="1" w:tplc="5B146F56">
      <w:start w:val="1"/>
      <w:numFmt w:val="bullet"/>
      <w:lvlText w:val="o"/>
      <w:lvlJc w:val="left"/>
      <w:pPr>
        <w:ind w:left="1440" w:hanging="360"/>
      </w:pPr>
      <w:rPr>
        <w:rFonts w:ascii="Courier New" w:hAnsi="Courier New" w:hint="default"/>
      </w:rPr>
    </w:lvl>
    <w:lvl w:ilvl="2" w:tplc="CD469C62">
      <w:start w:val="1"/>
      <w:numFmt w:val="bullet"/>
      <w:lvlText w:val=""/>
      <w:lvlJc w:val="left"/>
      <w:pPr>
        <w:ind w:left="2160" w:hanging="360"/>
      </w:pPr>
      <w:rPr>
        <w:rFonts w:ascii="Wingdings" w:hAnsi="Wingdings" w:hint="default"/>
      </w:rPr>
    </w:lvl>
    <w:lvl w:ilvl="3" w:tplc="F5426B80">
      <w:start w:val="1"/>
      <w:numFmt w:val="bullet"/>
      <w:lvlText w:val=""/>
      <w:lvlJc w:val="left"/>
      <w:pPr>
        <w:ind w:left="2880" w:hanging="360"/>
      </w:pPr>
      <w:rPr>
        <w:rFonts w:ascii="Symbol" w:hAnsi="Symbol" w:hint="default"/>
      </w:rPr>
    </w:lvl>
    <w:lvl w:ilvl="4" w:tplc="8288355E">
      <w:start w:val="1"/>
      <w:numFmt w:val="bullet"/>
      <w:lvlText w:val="o"/>
      <w:lvlJc w:val="left"/>
      <w:pPr>
        <w:ind w:left="3600" w:hanging="360"/>
      </w:pPr>
      <w:rPr>
        <w:rFonts w:ascii="Courier New" w:hAnsi="Courier New" w:hint="default"/>
      </w:rPr>
    </w:lvl>
    <w:lvl w:ilvl="5" w:tplc="B1A0B690">
      <w:start w:val="1"/>
      <w:numFmt w:val="bullet"/>
      <w:lvlText w:val=""/>
      <w:lvlJc w:val="left"/>
      <w:pPr>
        <w:ind w:left="4320" w:hanging="360"/>
      </w:pPr>
      <w:rPr>
        <w:rFonts w:ascii="Wingdings" w:hAnsi="Wingdings" w:hint="default"/>
      </w:rPr>
    </w:lvl>
    <w:lvl w:ilvl="6" w:tplc="28C440A4">
      <w:start w:val="1"/>
      <w:numFmt w:val="bullet"/>
      <w:lvlText w:val=""/>
      <w:lvlJc w:val="left"/>
      <w:pPr>
        <w:ind w:left="5040" w:hanging="360"/>
      </w:pPr>
      <w:rPr>
        <w:rFonts w:ascii="Symbol" w:hAnsi="Symbol" w:hint="default"/>
      </w:rPr>
    </w:lvl>
    <w:lvl w:ilvl="7" w:tplc="20467DEE">
      <w:start w:val="1"/>
      <w:numFmt w:val="bullet"/>
      <w:lvlText w:val="o"/>
      <w:lvlJc w:val="left"/>
      <w:pPr>
        <w:ind w:left="5760" w:hanging="360"/>
      </w:pPr>
      <w:rPr>
        <w:rFonts w:ascii="Courier New" w:hAnsi="Courier New" w:hint="default"/>
      </w:rPr>
    </w:lvl>
    <w:lvl w:ilvl="8" w:tplc="AFA26D2A">
      <w:start w:val="1"/>
      <w:numFmt w:val="bullet"/>
      <w:lvlText w:val=""/>
      <w:lvlJc w:val="left"/>
      <w:pPr>
        <w:ind w:left="6480" w:hanging="360"/>
      </w:pPr>
      <w:rPr>
        <w:rFonts w:ascii="Wingdings" w:hAnsi="Wingdings" w:hint="default"/>
      </w:rPr>
    </w:lvl>
  </w:abstractNum>
  <w:abstractNum w:abstractNumId="27" w15:restartNumberingAfterBreak="0">
    <w:nsid w:val="7A08378C"/>
    <w:multiLevelType w:val="hybridMultilevel"/>
    <w:tmpl w:val="FFFFFFFF"/>
    <w:lvl w:ilvl="0" w:tplc="C462612A">
      <w:start w:val="1"/>
      <w:numFmt w:val="bullet"/>
      <w:lvlText w:val=""/>
      <w:lvlJc w:val="left"/>
      <w:pPr>
        <w:ind w:left="720" w:hanging="360"/>
      </w:pPr>
      <w:rPr>
        <w:rFonts w:ascii="Symbol" w:hAnsi="Symbol" w:hint="default"/>
      </w:rPr>
    </w:lvl>
    <w:lvl w:ilvl="1" w:tplc="F8849C54">
      <w:start w:val="1"/>
      <w:numFmt w:val="bullet"/>
      <w:lvlText w:val="-"/>
      <w:lvlJc w:val="left"/>
      <w:pPr>
        <w:ind w:left="1440" w:hanging="360"/>
      </w:pPr>
      <w:rPr>
        <w:rFonts w:ascii="Calibri" w:hAnsi="Calibri" w:hint="default"/>
      </w:rPr>
    </w:lvl>
    <w:lvl w:ilvl="2" w:tplc="EE3AB634">
      <w:start w:val="1"/>
      <w:numFmt w:val="bullet"/>
      <w:lvlText w:val=""/>
      <w:lvlJc w:val="left"/>
      <w:pPr>
        <w:ind w:left="2160" w:hanging="360"/>
      </w:pPr>
      <w:rPr>
        <w:rFonts w:ascii="Wingdings" w:hAnsi="Wingdings" w:hint="default"/>
      </w:rPr>
    </w:lvl>
    <w:lvl w:ilvl="3" w:tplc="9042C9CC">
      <w:start w:val="1"/>
      <w:numFmt w:val="bullet"/>
      <w:lvlText w:val=""/>
      <w:lvlJc w:val="left"/>
      <w:pPr>
        <w:ind w:left="2880" w:hanging="360"/>
      </w:pPr>
      <w:rPr>
        <w:rFonts w:ascii="Symbol" w:hAnsi="Symbol" w:hint="default"/>
      </w:rPr>
    </w:lvl>
    <w:lvl w:ilvl="4" w:tplc="3EB61878">
      <w:start w:val="1"/>
      <w:numFmt w:val="bullet"/>
      <w:lvlText w:val="o"/>
      <w:lvlJc w:val="left"/>
      <w:pPr>
        <w:ind w:left="3600" w:hanging="360"/>
      </w:pPr>
      <w:rPr>
        <w:rFonts w:ascii="Courier New" w:hAnsi="Courier New" w:hint="default"/>
      </w:rPr>
    </w:lvl>
    <w:lvl w:ilvl="5" w:tplc="F18AF1DA">
      <w:start w:val="1"/>
      <w:numFmt w:val="bullet"/>
      <w:lvlText w:val=""/>
      <w:lvlJc w:val="left"/>
      <w:pPr>
        <w:ind w:left="4320" w:hanging="360"/>
      </w:pPr>
      <w:rPr>
        <w:rFonts w:ascii="Wingdings" w:hAnsi="Wingdings" w:hint="default"/>
      </w:rPr>
    </w:lvl>
    <w:lvl w:ilvl="6" w:tplc="F9EEA510">
      <w:start w:val="1"/>
      <w:numFmt w:val="bullet"/>
      <w:lvlText w:val=""/>
      <w:lvlJc w:val="left"/>
      <w:pPr>
        <w:ind w:left="5040" w:hanging="360"/>
      </w:pPr>
      <w:rPr>
        <w:rFonts w:ascii="Symbol" w:hAnsi="Symbol" w:hint="default"/>
      </w:rPr>
    </w:lvl>
    <w:lvl w:ilvl="7" w:tplc="0876D510">
      <w:start w:val="1"/>
      <w:numFmt w:val="bullet"/>
      <w:lvlText w:val="o"/>
      <w:lvlJc w:val="left"/>
      <w:pPr>
        <w:ind w:left="5760" w:hanging="360"/>
      </w:pPr>
      <w:rPr>
        <w:rFonts w:ascii="Courier New" w:hAnsi="Courier New" w:hint="default"/>
      </w:rPr>
    </w:lvl>
    <w:lvl w:ilvl="8" w:tplc="4CC222C2">
      <w:start w:val="1"/>
      <w:numFmt w:val="bullet"/>
      <w:lvlText w:val=""/>
      <w:lvlJc w:val="left"/>
      <w:pPr>
        <w:ind w:left="6480" w:hanging="360"/>
      </w:pPr>
      <w:rPr>
        <w:rFonts w:ascii="Wingdings" w:hAnsi="Wingdings" w:hint="default"/>
      </w:rPr>
    </w:lvl>
  </w:abstractNum>
  <w:abstractNum w:abstractNumId="28" w15:restartNumberingAfterBreak="0">
    <w:nsid w:val="7B3A4441"/>
    <w:multiLevelType w:val="hybridMultilevel"/>
    <w:tmpl w:val="D1006B8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C7155C7"/>
    <w:multiLevelType w:val="hybridMultilevel"/>
    <w:tmpl w:val="ED0C7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942F72"/>
    <w:multiLevelType w:val="hybridMultilevel"/>
    <w:tmpl w:val="7618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4959754">
    <w:abstractNumId w:val="27"/>
  </w:num>
  <w:num w:numId="2" w16cid:durableId="398947741">
    <w:abstractNumId w:val="3"/>
  </w:num>
  <w:num w:numId="3" w16cid:durableId="600257051">
    <w:abstractNumId w:val="13"/>
  </w:num>
  <w:num w:numId="4" w16cid:durableId="535966244">
    <w:abstractNumId w:val="2"/>
  </w:num>
  <w:num w:numId="5" w16cid:durableId="2039744191">
    <w:abstractNumId w:val="26"/>
  </w:num>
  <w:num w:numId="6" w16cid:durableId="262155460">
    <w:abstractNumId w:val="5"/>
  </w:num>
  <w:num w:numId="7" w16cid:durableId="2136172447">
    <w:abstractNumId w:val="0"/>
  </w:num>
  <w:num w:numId="8" w16cid:durableId="2147045266">
    <w:abstractNumId w:val="1"/>
  </w:num>
  <w:num w:numId="9" w16cid:durableId="132913082">
    <w:abstractNumId w:val="29"/>
  </w:num>
  <w:num w:numId="10" w16cid:durableId="326641572">
    <w:abstractNumId w:val="23"/>
  </w:num>
  <w:num w:numId="11" w16cid:durableId="493373924">
    <w:abstractNumId w:val="24"/>
  </w:num>
  <w:num w:numId="12" w16cid:durableId="1031492218">
    <w:abstractNumId w:val="14"/>
  </w:num>
  <w:num w:numId="13" w16cid:durableId="1903103178">
    <w:abstractNumId w:val="15"/>
  </w:num>
  <w:num w:numId="14" w16cid:durableId="1389768078">
    <w:abstractNumId w:val="19"/>
  </w:num>
  <w:num w:numId="15" w16cid:durableId="1378627184">
    <w:abstractNumId w:val="11"/>
  </w:num>
  <w:num w:numId="16" w16cid:durableId="1137530855">
    <w:abstractNumId w:val="30"/>
  </w:num>
  <w:num w:numId="17" w16cid:durableId="465389534">
    <w:abstractNumId w:val="20"/>
  </w:num>
  <w:num w:numId="18" w16cid:durableId="1384787238">
    <w:abstractNumId w:val="12"/>
  </w:num>
  <w:num w:numId="19" w16cid:durableId="624196793">
    <w:abstractNumId w:val="7"/>
  </w:num>
  <w:num w:numId="20" w16cid:durableId="787431587">
    <w:abstractNumId w:val="4"/>
  </w:num>
  <w:num w:numId="21" w16cid:durableId="1942297044">
    <w:abstractNumId w:val="16"/>
  </w:num>
  <w:num w:numId="22" w16cid:durableId="1135752571">
    <w:abstractNumId w:val="25"/>
  </w:num>
  <w:num w:numId="23" w16cid:durableId="16974901">
    <w:abstractNumId w:val="6"/>
  </w:num>
  <w:num w:numId="24" w16cid:durableId="1216307814">
    <w:abstractNumId w:val="21"/>
  </w:num>
  <w:num w:numId="25" w16cid:durableId="546189467">
    <w:abstractNumId w:val="17"/>
  </w:num>
  <w:num w:numId="26" w16cid:durableId="860776974">
    <w:abstractNumId w:val="22"/>
  </w:num>
  <w:num w:numId="27" w16cid:durableId="105469684">
    <w:abstractNumId w:val="9"/>
  </w:num>
  <w:num w:numId="28" w16cid:durableId="593904581">
    <w:abstractNumId w:val="8"/>
  </w:num>
  <w:num w:numId="29" w16cid:durableId="500244397">
    <w:abstractNumId w:val="18"/>
  </w:num>
  <w:num w:numId="30" w16cid:durableId="1580477351">
    <w:abstractNumId w:val="28"/>
  </w:num>
  <w:num w:numId="31" w16cid:durableId="793867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3C"/>
    <w:rsid w:val="0000057D"/>
    <w:rsid w:val="000017C6"/>
    <w:rsid w:val="00001B26"/>
    <w:rsid w:val="00001BA4"/>
    <w:rsid w:val="00003B4C"/>
    <w:rsid w:val="0000530C"/>
    <w:rsid w:val="0001674E"/>
    <w:rsid w:val="00016DF2"/>
    <w:rsid w:val="000171DF"/>
    <w:rsid w:val="0001764E"/>
    <w:rsid w:val="00017CA0"/>
    <w:rsid w:val="000203E7"/>
    <w:rsid w:val="000244DD"/>
    <w:rsid w:val="000253F5"/>
    <w:rsid w:val="00026101"/>
    <w:rsid w:val="00026EDE"/>
    <w:rsid w:val="00027EE6"/>
    <w:rsid w:val="00030FB5"/>
    <w:rsid w:val="00031022"/>
    <w:rsid w:val="0003203C"/>
    <w:rsid w:val="00032869"/>
    <w:rsid w:val="00033A1A"/>
    <w:rsid w:val="000346F9"/>
    <w:rsid w:val="000357C7"/>
    <w:rsid w:val="000372DE"/>
    <w:rsid w:val="000373D8"/>
    <w:rsid w:val="0004498F"/>
    <w:rsid w:val="00044AB4"/>
    <w:rsid w:val="00044B3E"/>
    <w:rsid w:val="00047239"/>
    <w:rsid w:val="00047E90"/>
    <w:rsid w:val="0005012B"/>
    <w:rsid w:val="00050DA3"/>
    <w:rsid w:val="00051624"/>
    <w:rsid w:val="00051D5C"/>
    <w:rsid w:val="00053AE2"/>
    <w:rsid w:val="00053CDD"/>
    <w:rsid w:val="00054A35"/>
    <w:rsid w:val="00054A4D"/>
    <w:rsid w:val="00056756"/>
    <w:rsid w:val="00056D5E"/>
    <w:rsid w:val="000573E1"/>
    <w:rsid w:val="00057AD2"/>
    <w:rsid w:val="00063063"/>
    <w:rsid w:val="00072081"/>
    <w:rsid w:val="00074C85"/>
    <w:rsid w:val="00075E05"/>
    <w:rsid w:val="00076DD4"/>
    <w:rsid w:val="0008144E"/>
    <w:rsid w:val="0008147C"/>
    <w:rsid w:val="0008363D"/>
    <w:rsid w:val="000840E2"/>
    <w:rsid w:val="00085356"/>
    <w:rsid w:val="00085778"/>
    <w:rsid w:val="00085C95"/>
    <w:rsid w:val="0008624C"/>
    <w:rsid w:val="000907B8"/>
    <w:rsid w:val="00090E5D"/>
    <w:rsid w:val="00091A4E"/>
    <w:rsid w:val="00092133"/>
    <w:rsid w:val="00092D01"/>
    <w:rsid w:val="000957D9"/>
    <w:rsid w:val="00097F34"/>
    <w:rsid w:val="000A25C6"/>
    <w:rsid w:val="000A260A"/>
    <w:rsid w:val="000A2AD7"/>
    <w:rsid w:val="000A37E9"/>
    <w:rsid w:val="000A3AFD"/>
    <w:rsid w:val="000A4572"/>
    <w:rsid w:val="000A623D"/>
    <w:rsid w:val="000A6D67"/>
    <w:rsid w:val="000A7950"/>
    <w:rsid w:val="000B0FC6"/>
    <w:rsid w:val="000B10B6"/>
    <w:rsid w:val="000B132F"/>
    <w:rsid w:val="000B1579"/>
    <w:rsid w:val="000B2CC1"/>
    <w:rsid w:val="000B2D54"/>
    <w:rsid w:val="000B4A67"/>
    <w:rsid w:val="000B4BB5"/>
    <w:rsid w:val="000B5306"/>
    <w:rsid w:val="000B70A7"/>
    <w:rsid w:val="000C1642"/>
    <w:rsid w:val="000C1FF8"/>
    <w:rsid w:val="000C40F3"/>
    <w:rsid w:val="000C4FE6"/>
    <w:rsid w:val="000C5C3C"/>
    <w:rsid w:val="000C6E89"/>
    <w:rsid w:val="000D18A3"/>
    <w:rsid w:val="000D1AB8"/>
    <w:rsid w:val="000D33CD"/>
    <w:rsid w:val="000D5D61"/>
    <w:rsid w:val="000D7A56"/>
    <w:rsid w:val="000E0781"/>
    <w:rsid w:val="000E0783"/>
    <w:rsid w:val="000E12ED"/>
    <w:rsid w:val="000E2F3E"/>
    <w:rsid w:val="000E5022"/>
    <w:rsid w:val="000F0C6F"/>
    <w:rsid w:val="000F1319"/>
    <w:rsid w:val="000F1C00"/>
    <w:rsid w:val="000F2083"/>
    <w:rsid w:val="000F3291"/>
    <w:rsid w:val="000F600A"/>
    <w:rsid w:val="000F6AC6"/>
    <w:rsid w:val="000F6BAC"/>
    <w:rsid w:val="00102C74"/>
    <w:rsid w:val="00102DFA"/>
    <w:rsid w:val="00104F90"/>
    <w:rsid w:val="00110414"/>
    <w:rsid w:val="0011099A"/>
    <w:rsid w:val="00112297"/>
    <w:rsid w:val="001124C2"/>
    <w:rsid w:val="00114817"/>
    <w:rsid w:val="00116F8A"/>
    <w:rsid w:val="00117D30"/>
    <w:rsid w:val="00123F2E"/>
    <w:rsid w:val="00124010"/>
    <w:rsid w:val="001264B0"/>
    <w:rsid w:val="0012670E"/>
    <w:rsid w:val="00127961"/>
    <w:rsid w:val="001309F1"/>
    <w:rsid w:val="00130D4E"/>
    <w:rsid w:val="00132191"/>
    <w:rsid w:val="0013222B"/>
    <w:rsid w:val="00132746"/>
    <w:rsid w:val="00133E15"/>
    <w:rsid w:val="00136975"/>
    <w:rsid w:val="00136FD8"/>
    <w:rsid w:val="0013717A"/>
    <w:rsid w:val="00140F15"/>
    <w:rsid w:val="001413B1"/>
    <w:rsid w:val="00141D99"/>
    <w:rsid w:val="001420B4"/>
    <w:rsid w:val="00143834"/>
    <w:rsid w:val="001438BF"/>
    <w:rsid w:val="001446EE"/>
    <w:rsid w:val="00151B96"/>
    <w:rsid w:val="001521E2"/>
    <w:rsid w:val="001528F1"/>
    <w:rsid w:val="001534EA"/>
    <w:rsid w:val="00154706"/>
    <w:rsid w:val="00154E87"/>
    <w:rsid w:val="00155A0C"/>
    <w:rsid w:val="00156C92"/>
    <w:rsid w:val="00156F98"/>
    <w:rsid w:val="00160B44"/>
    <w:rsid w:val="001613B0"/>
    <w:rsid w:val="00166B00"/>
    <w:rsid w:val="00166F87"/>
    <w:rsid w:val="00173ABB"/>
    <w:rsid w:val="001744ED"/>
    <w:rsid w:val="001777C6"/>
    <w:rsid w:val="00177FDA"/>
    <w:rsid w:val="00183ADD"/>
    <w:rsid w:val="00186368"/>
    <w:rsid w:val="00186CF3"/>
    <w:rsid w:val="00187843"/>
    <w:rsid w:val="00187C9A"/>
    <w:rsid w:val="0019041A"/>
    <w:rsid w:val="00190960"/>
    <w:rsid w:val="001912E8"/>
    <w:rsid w:val="001921BA"/>
    <w:rsid w:val="00193FDD"/>
    <w:rsid w:val="001A0AED"/>
    <w:rsid w:val="001A16B0"/>
    <w:rsid w:val="001A3A00"/>
    <w:rsid w:val="001A3AE9"/>
    <w:rsid w:val="001A54A1"/>
    <w:rsid w:val="001A622F"/>
    <w:rsid w:val="001B0866"/>
    <w:rsid w:val="001B1E99"/>
    <w:rsid w:val="001B2FD5"/>
    <w:rsid w:val="001B3C5A"/>
    <w:rsid w:val="001B3C5B"/>
    <w:rsid w:val="001B5C5E"/>
    <w:rsid w:val="001B64CC"/>
    <w:rsid w:val="001C1C73"/>
    <w:rsid w:val="001C4998"/>
    <w:rsid w:val="001C51A9"/>
    <w:rsid w:val="001C64C7"/>
    <w:rsid w:val="001C7032"/>
    <w:rsid w:val="001C77D8"/>
    <w:rsid w:val="001D0E24"/>
    <w:rsid w:val="001D1DCA"/>
    <w:rsid w:val="001D3053"/>
    <w:rsid w:val="001D3745"/>
    <w:rsid w:val="001D4FB9"/>
    <w:rsid w:val="001D6C33"/>
    <w:rsid w:val="001E0799"/>
    <w:rsid w:val="001E0A06"/>
    <w:rsid w:val="001E743A"/>
    <w:rsid w:val="001F076E"/>
    <w:rsid w:val="001F0D4F"/>
    <w:rsid w:val="001F0E43"/>
    <w:rsid w:val="001F34B1"/>
    <w:rsid w:val="001F36A7"/>
    <w:rsid w:val="001F3F50"/>
    <w:rsid w:val="001F544E"/>
    <w:rsid w:val="001F5BA8"/>
    <w:rsid w:val="00201B80"/>
    <w:rsid w:val="00202B7E"/>
    <w:rsid w:val="00203553"/>
    <w:rsid w:val="0020477E"/>
    <w:rsid w:val="00204F07"/>
    <w:rsid w:val="00206480"/>
    <w:rsid w:val="002105E3"/>
    <w:rsid w:val="0021086C"/>
    <w:rsid w:val="00211374"/>
    <w:rsid w:val="00212234"/>
    <w:rsid w:val="002142AF"/>
    <w:rsid w:val="00214A10"/>
    <w:rsid w:val="002158AC"/>
    <w:rsid w:val="002211B2"/>
    <w:rsid w:val="00223498"/>
    <w:rsid w:val="00224138"/>
    <w:rsid w:val="00225350"/>
    <w:rsid w:val="00226CD3"/>
    <w:rsid w:val="002272CE"/>
    <w:rsid w:val="00227575"/>
    <w:rsid w:val="00231344"/>
    <w:rsid w:val="002315E4"/>
    <w:rsid w:val="00231E9E"/>
    <w:rsid w:val="002333A9"/>
    <w:rsid w:val="00234D27"/>
    <w:rsid w:val="002352B7"/>
    <w:rsid w:val="00235D73"/>
    <w:rsid w:val="002378B3"/>
    <w:rsid w:val="00237B63"/>
    <w:rsid w:val="002407B2"/>
    <w:rsid w:val="0024129C"/>
    <w:rsid w:val="00242A71"/>
    <w:rsid w:val="00243233"/>
    <w:rsid w:val="00243961"/>
    <w:rsid w:val="00245D11"/>
    <w:rsid w:val="00245E96"/>
    <w:rsid w:val="00252568"/>
    <w:rsid w:val="0025349E"/>
    <w:rsid w:val="00253BA6"/>
    <w:rsid w:val="00254C87"/>
    <w:rsid w:val="00255781"/>
    <w:rsid w:val="00256B3F"/>
    <w:rsid w:val="002602AC"/>
    <w:rsid w:val="002605F6"/>
    <w:rsid w:val="00263035"/>
    <w:rsid w:val="002655A6"/>
    <w:rsid w:val="00267052"/>
    <w:rsid w:val="00270291"/>
    <w:rsid w:val="0027249B"/>
    <w:rsid w:val="00275C7D"/>
    <w:rsid w:val="00275D15"/>
    <w:rsid w:val="00276057"/>
    <w:rsid w:val="00277375"/>
    <w:rsid w:val="00277F58"/>
    <w:rsid w:val="00280814"/>
    <w:rsid w:val="002816CA"/>
    <w:rsid w:val="00281FCD"/>
    <w:rsid w:val="0028323F"/>
    <w:rsid w:val="00283543"/>
    <w:rsid w:val="00284E49"/>
    <w:rsid w:val="00287AD5"/>
    <w:rsid w:val="00287B92"/>
    <w:rsid w:val="0029065F"/>
    <w:rsid w:val="00290C17"/>
    <w:rsid w:val="00297254"/>
    <w:rsid w:val="002A0449"/>
    <w:rsid w:val="002A10DE"/>
    <w:rsid w:val="002A1F52"/>
    <w:rsid w:val="002A3A06"/>
    <w:rsid w:val="002A597E"/>
    <w:rsid w:val="002A7304"/>
    <w:rsid w:val="002B0E2D"/>
    <w:rsid w:val="002B1939"/>
    <w:rsid w:val="002B1BFC"/>
    <w:rsid w:val="002B29E6"/>
    <w:rsid w:val="002B2FC2"/>
    <w:rsid w:val="002B378A"/>
    <w:rsid w:val="002B3E8C"/>
    <w:rsid w:val="002B4769"/>
    <w:rsid w:val="002B720C"/>
    <w:rsid w:val="002B7D36"/>
    <w:rsid w:val="002C030F"/>
    <w:rsid w:val="002C0998"/>
    <w:rsid w:val="002C0B6E"/>
    <w:rsid w:val="002C0CEB"/>
    <w:rsid w:val="002C1784"/>
    <w:rsid w:val="002C1BE3"/>
    <w:rsid w:val="002C1D56"/>
    <w:rsid w:val="002C6EED"/>
    <w:rsid w:val="002D4DE1"/>
    <w:rsid w:val="002D4F09"/>
    <w:rsid w:val="002D5106"/>
    <w:rsid w:val="002D78A3"/>
    <w:rsid w:val="002D79D3"/>
    <w:rsid w:val="002E2DAB"/>
    <w:rsid w:val="002E2ECE"/>
    <w:rsid w:val="002E4A86"/>
    <w:rsid w:val="002E4CC3"/>
    <w:rsid w:val="002E69A4"/>
    <w:rsid w:val="002F07B5"/>
    <w:rsid w:val="002F26EB"/>
    <w:rsid w:val="002F38D5"/>
    <w:rsid w:val="002F4D6C"/>
    <w:rsid w:val="002F5D50"/>
    <w:rsid w:val="002F745D"/>
    <w:rsid w:val="003013A5"/>
    <w:rsid w:val="003020A7"/>
    <w:rsid w:val="00302640"/>
    <w:rsid w:val="0030293C"/>
    <w:rsid w:val="003047BC"/>
    <w:rsid w:val="00304C9C"/>
    <w:rsid w:val="00305FDA"/>
    <w:rsid w:val="00310A55"/>
    <w:rsid w:val="0031134F"/>
    <w:rsid w:val="00311835"/>
    <w:rsid w:val="003141A3"/>
    <w:rsid w:val="003151E5"/>
    <w:rsid w:val="00316434"/>
    <w:rsid w:val="0031675E"/>
    <w:rsid w:val="003169CC"/>
    <w:rsid w:val="003177B3"/>
    <w:rsid w:val="00321A4D"/>
    <w:rsid w:val="00321C66"/>
    <w:rsid w:val="00321C8E"/>
    <w:rsid w:val="003227BE"/>
    <w:rsid w:val="00322A61"/>
    <w:rsid w:val="00322B57"/>
    <w:rsid w:val="003236ED"/>
    <w:rsid w:val="00325ED7"/>
    <w:rsid w:val="00326F92"/>
    <w:rsid w:val="003270BF"/>
    <w:rsid w:val="00330734"/>
    <w:rsid w:val="0033076F"/>
    <w:rsid w:val="0033095C"/>
    <w:rsid w:val="00330FBD"/>
    <w:rsid w:val="00330FC5"/>
    <w:rsid w:val="00331465"/>
    <w:rsid w:val="003316E0"/>
    <w:rsid w:val="003339D4"/>
    <w:rsid w:val="00333C9D"/>
    <w:rsid w:val="00333E30"/>
    <w:rsid w:val="00334436"/>
    <w:rsid w:val="0033450B"/>
    <w:rsid w:val="003357CF"/>
    <w:rsid w:val="00336867"/>
    <w:rsid w:val="00336DE5"/>
    <w:rsid w:val="003378C4"/>
    <w:rsid w:val="00340C54"/>
    <w:rsid w:val="0034104D"/>
    <w:rsid w:val="00341A9C"/>
    <w:rsid w:val="00342F89"/>
    <w:rsid w:val="0034312A"/>
    <w:rsid w:val="00343BA1"/>
    <w:rsid w:val="003441F0"/>
    <w:rsid w:val="0034470E"/>
    <w:rsid w:val="00346A8F"/>
    <w:rsid w:val="00350309"/>
    <w:rsid w:val="00350519"/>
    <w:rsid w:val="003544CC"/>
    <w:rsid w:val="00356AB3"/>
    <w:rsid w:val="00357A24"/>
    <w:rsid w:val="00362B3C"/>
    <w:rsid w:val="00367F9F"/>
    <w:rsid w:val="00370688"/>
    <w:rsid w:val="00370C86"/>
    <w:rsid w:val="00370CA1"/>
    <w:rsid w:val="00370EAC"/>
    <w:rsid w:val="0037228E"/>
    <w:rsid w:val="003736D1"/>
    <w:rsid w:val="0037391E"/>
    <w:rsid w:val="0037430C"/>
    <w:rsid w:val="00374499"/>
    <w:rsid w:val="00374B7A"/>
    <w:rsid w:val="003751BD"/>
    <w:rsid w:val="00375680"/>
    <w:rsid w:val="00376511"/>
    <w:rsid w:val="0038071C"/>
    <w:rsid w:val="00380D47"/>
    <w:rsid w:val="003827A6"/>
    <w:rsid w:val="003827E3"/>
    <w:rsid w:val="00383B26"/>
    <w:rsid w:val="003864B8"/>
    <w:rsid w:val="00387747"/>
    <w:rsid w:val="00393945"/>
    <w:rsid w:val="00395830"/>
    <w:rsid w:val="00395E59"/>
    <w:rsid w:val="003A0265"/>
    <w:rsid w:val="003A0548"/>
    <w:rsid w:val="003A0E23"/>
    <w:rsid w:val="003A1F07"/>
    <w:rsid w:val="003A42E8"/>
    <w:rsid w:val="003B1096"/>
    <w:rsid w:val="003B187E"/>
    <w:rsid w:val="003B2425"/>
    <w:rsid w:val="003B37A6"/>
    <w:rsid w:val="003B40C8"/>
    <w:rsid w:val="003B6135"/>
    <w:rsid w:val="003B65A7"/>
    <w:rsid w:val="003B6949"/>
    <w:rsid w:val="003B7818"/>
    <w:rsid w:val="003C0CBC"/>
    <w:rsid w:val="003C59A7"/>
    <w:rsid w:val="003D2810"/>
    <w:rsid w:val="003D3BC3"/>
    <w:rsid w:val="003D5B46"/>
    <w:rsid w:val="003D6E0B"/>
    <w:rsid w:val="003E111B"/>
    <w:rsid w:val="003E1121"/>
    <w:rsid w:val="003E185E"/>
    <w:rsid w:val="003E1E72"/>
    <w:rsid w:val="003E31F0"/>
    <w:rsid w:val="003E4481"/>
    <w:rsid w:val="003E53E6"/>
    <w:rsid w:val="003E645E"/>
    <w:rsid w:val="003F0902"/>
    <w:rsid w:val="003F1029"/>
    <w:rsid w:val="003F1053"/>
    <w:rsid w:val="003F39AE"/>
    <w:rsid w:val="003F3B1C"/>
    <w:rsid w:val="003F56AE"/>
    <w:rsid w:val="0040012F"/>
    <w:rsid w:val="00400B64"/>
    <w:rsid w:val="004011EF"/>
    <w:rsid w:val="00402A65"/>
    <w:rsid w:val="00403A0D"/>
    <w:rsid w:val="00404113"/>
    <w:rsid w:val="00405F6C"/>
    <w:rsid w:val="00407E01"/>
    <w:rsid w:val="00407E09"/>
    <w:rsid w:val="00407E51"/>
    <w:rsid w:val="0041270C"/>
    <w:rsid w:val="004158D7"/>
    <w:rsid w:val="00417142"/>
    <w:rsid w:val="004173DA"/>
    <w:rsid w:val="00417BB3"/>
    <w:rsid w:val="00421B67"/>
    <w:rsid w:val="00421C8E"/>
    <w:rsid w:val="00421CA8"/>
    <w:rsid w:val="00421E57"/>
    <w:rsid w:val="00422D5C"/>
    <w:rsid w:val="00423488"/>
    <w:rsid w:val="00423A06"/>
    <w:rsid w:val="00425227"/>
    <w:rsid w:val="0042758B"/>
    <w:rsid w:val="00433126"/>
    <w:rsid w:val="004333AA"/>
    <w:rsid w:val="004343AF"/>
    <w:rsid w:val="00435DB6"/>
    <w:rsid w:val="00437127"/>
    <w:rsid w:val="00440F67"/>
    <w:rsid w:val="00443C67"/>
    <w:rsid w:val="00445FAA"/>
    <w:rsid w:val="004526DC"/>
    <w:rsid w:val="00453791"/>
    <w:rsid w:val="00454BB2"/>
    <w:rsid w:val="004559C3"/>
    <w:rsid w:val="00463E62"/>
    <w:rsid w:val="004656D1"/>
    <w:rsid w:val="004673D8"/>
    <w:rsid w:val="00467407"/>
    <w:rsid w:val="00470A54"/>
    <w:rsid w:val="004722F6"/>
    <w:rsid w:val="004758A1"/>
    <w:rsid w:val="00480C73"/>
    <w:rsid w:val="00482134"/>
    <w:rsid w:val="00482C90"/>
    <w:rsid w:val="00484CBA"/>
    <w:rsid w:val="00485FCC"/>
    <w:rsid w:val="0048619F"/>
    <w:rsid w:val="004864E8"/>
    <w:rsid w:val="00492C6C"/>
    <w:rsid w:val="00492F3D"/>
    <w:rsid w:val="00495E2E"/>
    <w:rsid w:val="004A0379"/>
    <w:rsid w:val="004A08F6"/>
    <w:rsid w:val="004A1448"/>
    <w:rsid w:val="004A1FC4"/>
    <w:rsid w:val="004A2032"/>
    <w:rsid w:val="004A2888"/>
    <w:rsid w:val="004A3C89"/>
    <w:rsid w:val="004A6932"/>
    <w:rsid w:val="004A6F4C"/>
    <w:rsid w:val="004A75DB"/>
    <w:rsid w:val="004A7B1A"/>
    <w:rsid w:val="004B1447"/>
    <w:rsid w:val="004B1B49"/>
    <w:rsid w:val="004B21EA"/>
    <w:rsid w:val="004B27A2"/>
    <w:rsid w:val="004B58B2"/>
    <w:rsid w:val="004B65C0"/>
    <w:rsid w:val="004C0F35"/>
    <w:rsid w:val="004C2CE9"/>
    <w:rsid w:val="004C2F63"/>
    <w:rsid w:val="004C3A6D"/>
    <w:rsid w:val="004C3E46"/>
    <w:rsid w:val="004C413A"/>
    <w:rsid w:val="004C45F8"/>
    <w:rsid w:val="004C75CB"/>
    <w:rsid w:val="004D201B"/>
    <w:rsid w:val="004D2A51"/>
    <w:rsid w:val="004D2C21"/>
    <w:rsid w:val="004D457E"/>
    <w:rsid w:val="004D52F0"/>
    <w:rsid w:val="004D6F26"/>
    <w:rsid w:val="004D7008"/>
    <w:rsid w:val="004D7EF3"/>
    <w:rsid w:val="004D7FCD"/>
    <w:rsid w:val="004E166A"/>
    <w:rsid w:val="004E1E62"/>
    <w:rsid w:val="004E2201"/>
    <w:rsid w:val="004E3EE9"/>
    <w:rsid w:val="004E4836"/>
    <w:rsid w:val="004E53C4"/>
    <w:rsid w:val="004F318A"/>
    <w:rsid w:val="004F4019"/>
    <w:rsid w:val="004F4FCA"/>
    <w:rsid w:val="004F5304"/>
    <w:rsid w:val="004F5491"/>
    <w:rsid w:val="004F76C7"/>
    <w:rsid w:val="005000FA"/>
    <w:rsid w:val="00503F6A"/>
    <w:rsid w:val="005040CF"/>
    <w:rsid w:val="00504D33"/>
    <w:rsid w:val="005065C2"/>
    <w:rsid w:val="0050668D"/>
    <w:rsid w:val="005075C4"/>
    <w:rsid w:val="00507826"/>
    <w:rsid w:val="0051387F"/>
    <w:rsid w:val="00513BEB"/>
    <w:rsid w:val="005157A3"/>
    <w:rsid w:val="00516EF4"/>
    <w:rsid w:val="00517347"/>
    <w:rsid w:val="0052231E"/>
    <w:rsid w:val="00527493"/>
    <w:rsid w:val="00530C85"/>
    <w:rsid w:val="0053242B"/>
    <w:rsid w:val="005334DD"/>
    <w:rsid w:val="00533E97"/>
    <w:rsid w:val="005341BD"/>
    <w:rsid w:val="00535DE2"/>
    <w:rsid w:val="0053663E"/>
    <w:rsid w:val="00542BA7"/>
    <w:rsid w:val="00542C7E"/>
    <w:rsid w:val="00543062"/>
    <w:rsid w:val="005438C7"/>
    <w:rsid w:val="00551244"/>
    <w:rsid w:val="00552CC2"/>
    <w:rsid w:val="00552E3A"/>
    <w:rsid w:val="005556B0"/>
    <w:rsid w:val="00556236"/>
    <w:rsid w:val="0055671D"/>
    <w:rsid w:val="005619B9"/>
    <w:rsid w:val="00564463"/>
    <w:rsid w:val="00565B6C"/>
    <w:rsid w:val="005665F0"/>
    <w:rsid w:val="00567CA4"/>
    <w:rsid w:val="00567F76"/>
    <w:rsid w:val="00570483"/>
    <w:rsid w:val="00573F43"/>
    <w:rsid w:val="00574BA5"/>
    <w:rsid w:val="00575DA8"/>
    <w:rsid w:val="005764B6"/>
    <w:rsid w:val="00581B08"/>
    <w:rsid w:val="0058548E"/>
    <w:rsid w:val="0058694F"/>
    <w:rsid w:val="00587086"/>
    <w:rsid w:val="00591E69"/>
    <w:rsid w:val="0059282E"/>
    <w:rsid w:val="00592D79"/>
    <w:rsid w:val="00594636"/>
    <w:rsid w:val="00595663"/>
    <w:rsid w:val="00597FD8"/>
    <w:rsid w:val="005A09D7"/>
    <w:rsid w:val="005A0F18"/>
    <w:rsid w:val="005A2177"/>
    <w:rsid w:val="005A3930"/>
    <w:rsid w:val="005A3951"/>
    <w:rsid w:val="005A3F8B"/>
    <w:rsid w:val="005A467F"/>
    <w:rsid w:val="005B0BC3"/>
    <w:rsid w:val="005B1050"/>
    <w:rsid w:val="005B14B5"/>
    <w:rsid w:val="005B1836"/>
    <w:rsid w:val="005B1F7D"/>
    <w:rsid w:val="005B3516"/>
    <w:rsid w:val="005B50BF"/>
    <w:rsid w:val="005B68C1"/>
    <w:rsid w:val="005B7A13"/>
    <w:rsid w:val="005B7F34"/>
    <w:rsid w:val="005C0B3C"/>
    <w:rsid w:val="005C0C36"/>
    <w:rsid w:val="005C579C"/>
    <w:rsid w:val="005C657E"/>
    <w:rsid w:val="005C66CD"/>
    <w:rsid w:val="005C7BDF"/>
    <w:rsid w:val="005D157D"/>
    <w:rsid w:val="005D1AA4"/>
    <w:rsid w:val="005D1D0F"/>
    <w:rsid w:val="005D6EFE"/>
    <w:rsid w:val="005D76E6"/>
    <w:rsid w:val="005E01E0"/>
    <w:rsid w:val="005E0FA7"/>
    <w:rsid w:val="005E1749"/>
    <w:rsid w:val="005E2601"/>
    <w:rsid w:val="005E27D6"/>
    <w:rsid w:val="005E5A14"/>
    <w:rsid w:val="005E5C3F"/>
    <w:rsid w:val="005E62BD"/>
    <w:rsid w:val="005E7EA1"/>
    <w:rsid w:val="005F348A"/>
    <w:rsid w:val="005F3C27"/>
    <w:rsid w:val="005F573D"/>
    <w:rsid w:val="005F6455"/>
    <w:rsid w:val="005F7E49"/>
    <w:rsid w:val="0060593B"/>
    <w:rsid w:val="006108FE"/>
    <w:rsid w:val="006123ED"/>
    <w:rsid w:val="00613056"/>
    <w:rsid w:val="00613C6C"/>
    <w:rsid w:val="00615837"/>
    <w:rsid w:val="00617358"/>
    <w:rsid w:val="00622748"/>
    <w:rsid w:val="00623261"/>
    <w:rsid w:val="0062711D"/>
    <w:rsid w:val="00627DDE"/>
    <w:rsid w:val="00627FF3"/>
    <w:rsid w:val="0063102C"/>
    <w:rsid w:val="00633750"/>
    <w:rsid w:val="00633C06"/>
    <w:rsid w:val="00636CE6"/>
    <w:rsid w:val="006404F3"/>
    <w:rsid w:val="00640927"/>
    <w:rsid w:val="00641B9D"/>
    <w:rsid w:val="00642F76"/>
    <w:rsid w:val="00643654"/>
    <w:rsid w:val="006446EA"/>
    <w:rsid w:val="0064480B"/>
    <w:rsid w:val="006454B8"/>
    <w:rsid w:val="00646681"/>
    <w:rsid w:val="006511EE"/>
    <w:rsid w:val="006527B4"/>
    <w:rsid w:val="00652F64"/>
    <w:rsid w:val="00653010"/>
    <w:rsid w:val="00655C19"/>
    <w:rsid w:val="00656B84"/>
    <w:rsid w:val="00660CBB"/>
    <w:rsid w:val="00661FA8"/>
    <w:rsid w:val="006637FC"/>
    <w:rsid w:val="00665F5A"/>
    <w:rsid w:val="00670810"/>
    <w:rsid w:val="0067120A"/>
    <w:rsid w:val="006714E6"/>
    <w:rsid w:val="00673D2A"/>
    <w:rsid w:val="006740A0"/>
    <w:rsid w:val="00674EB7"/>
    <w:rsid w:val="0067680C"/>
    <w:rsid w:val="00680800"/>
    <w:rsid w:val="0068221E"/>
    <w:rsid w:val="00683548"/>
    <w:rsid w:val="006835C6"/>
    <w:rsid w:val="00683EA1"/>
    <w:rsid w:val="0068503A"/>
    <w:rsid w:val="00685287"/>
    <w:rsid w:val="006900FC"/>
    <w:rsid w:val="006915F6"/>
    <w:rsid w:val="00691D17"/>
    <w:rsid w:val="00691ED6"/>
    <w:rsid w:val="00692379"/>
    <w:rsid w:val="00692776"/>
    <w:rsid w:val="0069309D"/>
    <w:rsid w:val="00695A4C"/>
    <w:rsid w:val="006964C0"/>
    <w:rsid w:val="006A13FA"/>
    <w:rsid w:val="006A14E2"/>
    <w:rsid w:val="006A2D2F"/>
    <w:rsid w:val="006A59FC"/>
    <w:rsid w:val="006B2E89"/>
    <w:rsid w:val="006B3A6E"/>
    <w:rsid w:val="006B462C"/>
    <w:rsid w:val="006B6E7E"/>
    <w:rsid w:val="006C1E69"/>
    <w:rsid w:val="006C252E"/>
    <w:rsid w:val="006C3541"/>
    <w:rsid w:val="006C6915"/>
    <w:rsid w:val="006C71AF"/>
    <w:rsid w:val="006C7BDB"/>
    <w:rsid w:val="006D2270"/>
    <w:rsid w:val="006D2885"/>
    <w:rsid w:val="006D5338"/>
    <w:rsid w:val="006E0321"/>
    <w:rsid w:val="006E0FB9"/>
    <w:rsid w:val="006E3C6F"/>
    <w:rsid w:val="006E508F"/>
    <w:rsid w:val="006E5620"/>
    <w:rsid w:val="006E5AC1"/>
    <w:rsid w:val="006F0113"/>
    <w:rsid w:val="006F0F77"/>
    <w:rsid w:val="006F169F"/>
    <w:rsid w:val="006F288E"/>
    <w:rsid w:val="006F28CC"/>
    <w:rsid w:val="006F551B"/>
    <w:rsid w:val="006F5874"/>
    <w:rsid w:val="006F7331"/>
    <w:rsid w:val="006F79E7"/>
    <w:rsid w:val="00700B1B"/>
    <w:rsid w:val="007016A8"/>
    <w:rsid w:val="00702C32"/>
    <w:rsid w:val="00703727"/>
    <w:rsid w:val="007041E1"/>
    <w:rsid w:val="00705FF9"/>
    <w:rsid w:val="00706C70"/>
    <w:rsid w:val="00710D23"/>
    <w:rsid w:val="0071234A"/>
    <w:rsid w:val="0071418F"/>
    <w:rsid w:val="00714E7E"/>
    <w:rsid w:val="00716C3A"/>
    <w:rsid w:val="0071795F"/>
    <w:rsid w:val="007221E2"/>
    <w:rsid w:val="00722AB6"/>
    <w:rsid w:val="00722FE0"/>
    <w:rsid w:val="00723091"/>
    <w:rsid w:val="00725DEE"/>
    <w:rsid w:val="00726392"/>
    <w:rsid w:val="00727AB8"/>
    <w:rsid w:val="00735528"/>
    <w:rsid w:val="00736F2A"/>
    <w:rsid w:val="00737500"/>
    <w:rsid w:val="00740378"/>
    <w:rsid w:val="00740D47"/>
    <w:rsid w:val="007410F1"/>
    <w:rsid w:val="00742062"/>
    <w:rsid w:val="00742C69"/>
    <w:rsid w:val="00745DD8"/>
    <w:rsid w:val="00746322"/>
    <w:rsid w:val="007464AD"/>
    <w:rsid w:val="007469B0"/>
    <w:rsid w:val="007523F2"/>
    <w:rsid w:val="00752E6E"/>
    <w:rsid w:val="00755925"/>
    <w:rsid w:val="00756761"/>
    <w:rsid w:val="007571F2"/>
    <w:rsid w:val="00760EDB"/>
    <w:rsid w:val="00761811"/>
    <w:rsid w:val="007646C2"/>
    <w:rsid w:val="0076529B"/>
    <w:rsid w:val="00765EB3"/>
    <w:rsid w:val="00767D72"/>
    <w:rsid w:val="00770595"/>
    <w:rsid w:val="0077249D"/>
    <w:rsid w:val="00772A34"/>
    <w:rsid w:val="007759A4"/>
    <w:rsid w:val="007764CC"/>
    <w:rsid w:val="00776D84"/>
    <w:rsid w:val="00776F40"/>
    <w:rsid w:val="0077794B"/>
    <w:rsid w:val="00777FC5"/>
    <w:rsid w:val="00780C14"/>
    <w:rsid w:val="007810B3"/>
    <w:rsid w:val="007823C3"/>
    <w:rsid w:val="0078294E"/>
    <w:rsid w:val="0078434C"/>
    <w:rsid w:val="007866C8"/>
    <w:rsid w:val="0078746B"/>
    <w:rsid w:val="00787645"/>
    <w:rsid w:val="007900A5"/>
    <w:rsid w:val="00790260"/>
    <w:rsid w:val="00791CE9"/>
    <w:rsid w:val="00792F7D"/>
    <w:rsid w:val="00793A7A"/>
    <w:rsid w:val="00793E33"/>
    <w:rsid w:val="00794DD6"/>
    <w:rsid w:val="00797ED7"/>
    <w:rsid w:val="007A00F5"/>
    <w:rsid w:val="007A1891"/>
    <w:rsid w:val="007A2F48"/>
    <w:rsid w:val="007A5FB4"/>
    <w:rsid w:val="007A659C"/>
    <w:rsid w:val="007A6781"/>
    <w:rsid w:val="007A6D27"/>
    <w:rsid w:val="007A7358"/>
    <w:rsid w:val="007B17D1"/>
    <w:rsid w:val="007B4EB7"/>
    <w:rsid w:val="007B5247"/>
    <w:rsid w:val="007B67A7"/>
    <w:rsid w:val="007B6B7E"/>
    <w:rsid w:val="007B744C"/>
    <w:rsid w:val="007C3B03"/>
    <w:rsid w:val="007C4B0E"/>
    <w:rsid w:val="007C5690"/>
    <w:rsid w:val="007D0042"/>
    <w:rsid w:val="007D01F4"/>
    <w:rsid w:val="007D03E4"/>
    <w:rsid w:val="007D0D47"/>
    <w:rsid w:val="007D24A0"/>
    <w:rsid w:val="007D3E09"/>
    <w:rsid w:val="007D7C72"/>
    <w:rsid w:val="007E01C1"/>
    <w:rsid w:val="007E02A9"/>
    <w:rsid w:val="007E16AD"/>
    <w:rsid w:val="007E25EF"/>
    <w:rsid w:val="007E319D"/>
    <w:rsid w:val="007E4DE0"/>
    <w:rsid w:val="007E5D87"/>
    <w:rsid w:val="007F436D"/>
    <w:rsid w:val="007F529A"/>
    <w:rsid w:val="008001B5"/>
    <w:rsid w:val="00800540"/>
    <w:rsid w:val="00800CD2"/>
    <w:rsid w:val="0080127C"/>
    <w:rsid w:val="00802E02"/>
    <w:rsid w:val="0080377A"/>
    <w:rsid w:val="00803B84"/>
    <w:rsid w:val="008048D7"/>
    <w:rsid w:val="00813E22"/>
    <w:rsid w:val="00813E7E"/>
    <w:rsid w:val="00814837"/>
    <w:rsid w:val="00814BA1"/>
    <w:rsid w:val="0081533D"/>
    <w:rsid w:val="00815499"/>
    <w:rsid w:val="00816066"/>
    <w:rsid w:val="008212C7"/>
    <w:rsid w:val="00822338"/>
    <w:rsid w:val="008238A5"/>
    <w:rsid w:val="00824D72"/>
    <w:rsid w:val="008250EE"/>
    <w:rsid w:val="00825864"/>
    <w:rsid w:val="00833F8A"/>
    <w:rsid w:val="00835343"/>
    <w:rsid w:val="00835428"/>
    <w:rsid w:val="00835E95"/>
    <w:rsid w:val="008364D3"/>
    <w:rsid w:val="008401D1"/>
    <w:rsid w:val="00840470"/>
    <w:rsid w:val="00840D9D"/>
    <w:rsid w:val="008420A5"/>
    <w:rsid w:val="00842C39"/>
    <w:rsid w:val="00842CAB"/>
    <w:rsid w:val="0084311C"/>
    <w:rsid w:val="008431B6"/>
    <w:rsid w:val="00843F30"/>
    <w:rsid w:val="0084463C"/>
    <w:rsid w:val="00845045"/>
    <w:rsid w:val="00852A6B"/>
    <w:rsid w:val="00854A89"/>
    <w:rsid w:val="0085616A"/>
    <w:rsid w:val="008565F0"/>
    <w:rsid w:val="00861948"/>
    <w:rsid w:val="00863015"/>
    <w:rsid w:val="008647C5"/>
    <w:rsid w:val="00867E2E"/>
    <w:rsid w:val="00870CE2"/>
    <w:rsid w:val="00873044"/>
    <w:rsid w:val="00877C18"/>
    <w:rsid w:val="00880475"/>
    <w:rsid w:val="0088244D"/>
    <w:rsid w:val="00883873"/>
    <w:rsid w:val="008843B3"/>
    <w:rsid w:val="008857CC"/>
    <w:rsid w:val="00891476"/>
    <w:rsid w:val="0089184F"/>
    <w:rsid w:val="00891DE6"/>
    <w:rsid w:val="008933C8"/>
    <w:rsid w:val="00893A94"/>
    <w:rsid w:val="00893AD8"/>
    <w:rsid w:val="00893F70"/>
    <w:rsid w:val="00894981"/>
    <w:rsid w:val="008976DF"/>
    <w:rsid w:val="008A18EA"/>
    <w:rsid w:val="008A2B16"/>
    <w:rsid w:val="008A397E"/>
    <w:rsid w:val="008A46C8"/>
    <w:rsid w:val="008A592A"/>
    <w:rsid w:val="008B0605"/>
    <w:rsid w:val="008B082A"/>
    <w:rsid w:val="008B0BD7"/>
    <w:rsid w:val="008B1AEF"/>
    <w:rsid w:val="008B1C8F"/>
    <w:rsid w:val="008B3B86"/>
    <w:rsid w:val="008B429D"/>
    <w:rsid w:val="008B4F8E"/>
    <w:rsid w:val="008B51F6"/>
    <w:rsid w:val="008C1DDB"/>
    <w:rsid w:val="008C2368"/>
    <w:rsid w:val="008C24CE"/>
    <w:rsid w:val="008C305A"/>
    <w:rsid w:val="008C4770"/>
    <w:rsid w:val="008C63F7"/>
    <w:rsid w:val="008D23A0"/>
    <w:rsid w:val="008D317E"/>
    <w:rsid w:val="008D3335"/>
    <w:rsid w:val="008D5A40"/>
    <w:rsid w:val="008D778E"/>
    <w:rsid w:val="008E1E39"/>
    <w:rsid w:val="008E2598"/>
    <w:rsid w:val="008E3330"/>
    <w:rsid w:val="008E54C4"/>
    <w:rsid w:val="008E6527"/>
    <w:rsid w:val="008F098F"/>
    <w:rsid w:val="008F0FE4"/>
    <w:rsid w:val="008F1BDF"/>
    <w:rsid w:val="008F2785"/>
    <w:rsid w:val="008F553D"/>
    <w:rsid w:val="008F5E55"/>
    <w:rsid w:val="008F7D04"/>
    <w:rsid w:val="00900BF2"/>
    <w:rsid w:val="00901B31"/>
    <w:rsid w:val="00901C6A"/>
    <w:rsid w:val="009024B7"/>
    <w:rsid w:val="00902A0E"/>
    <w:rsid w:val="00903EBF"/>
    <w:rsid w:val="00905676"/>
    <w:rsid w:val="00905AF0"/>
    <w:rsid w:val="009104E7"/>
    <w:rsid w:val="00911609"/>
    <w:rsid w:val="0091231F"/>
    <w:rsid w:val="00912EF9"/>
    <w:rsid w:val="00913F9D"/>
    <w:rsid w:val="00916F7F"/>
    <w:rsid w:val="00920072"/>
    <w:rsid w:val="0092584F"/>
    <w:rsid w:val="00925BEC"/>
    <w:rsid w:val="0092620E"/>
    <w:rsid w:val="009269D7"/>
    <w:rsid w:val="00930CD7"/>
    <w:rsid w:val="009336F5"/>
    <w:rsid w:val="00934D89"/>
    <w:rsid w:val="0093535F"/>
    <w:rsid w:val="0093560B"/>
    <w:rsid w:val="0093780B"/>
    <w:rsid w:val="009401F8"/>
    <w:rsid w:val="00940542"/>
    <w:rsid w:val="00940907"/>
    <w:rsid w:val="00941252"/>
    <w:rsid w:val="00942670"/>
    <w:rsid w:val="00943326"/>
    <w:rsid w:val="0094534E"/>
    <w:rsid w:val="009459E3"/>
    <w:rsid w:val="00946759"/>
    <w:rsid w:val="00946E17"/>
    <w:rsid w:val="00947BD8"/>
    <w:rsid w:val="00947CC3"/>
    <w:rsid w:val="009502F1"/>
    <w:rsid w:val="009507BA"/>
    <w:rsid w:val="00951B61"/>
    <w:rsid w:val="00951DBC"/>
    <w:rsid w:val="00953821"/>
    <w:rsid w:val="00954132"/>
    <w:rsid w:val="0095653A"/>
    <w:rsid w:val="0095707B"/>
    <w:rsid w:val="009578D7"/>
    <w:rsid w:val="00960191"/>
    <w:rsid w:val="009628AD"/>
    <w:rsid w:val="009632A4"/>
    <w:rsid w:val="0096380C"/>
    <w:rsid w:val="009639BD"/>
    <w:rsid w:val="00964C9E"/>
    <w:rsid w:val="0096566C"/>
    <w:rsid w:val="00966C8E"/>
    <w:rsid w:val="00966E99"/>
    <w:rsid w:val="0096728C"/>
    <w:rsid w:val="009731B8"/>
    <w:rsid w:val="00973D80"/>
    <w:rsid w:val="00976CE5"/>
    <w:rsid w:val="009804C0"/>
    <w:rsid w:val="009812FB"/>
    <w:rsid w:val="00981CAA"/>
    <w:rsid w:val="00985B47"/>
    <w:rsid w:val="00986265"/>
    <w:rsid w:val="00987009"/>
    <w:rsid w:val="00990301"/>
    <w:rsid w:val="00991DA8"/>
    <w:rsid w:val="0099446B"/>
    <w:rsid w:val="00995BED"/>
    <w:rsid w:val="00997B92"/>
    <w:rsid w:val="009A0822"/>
    <w:rsid w:val="009A1796"/>
    <w:rsid w:val="009A20B3"/>
    <w:rsid w:val="009A224F"/>
    <w:rsid w:val="009A2B2A"/>
    <w:rsid w:val="009A4171"/>
    <w:rsid w:val="009A47AF"/>
    <w:rsid w:val="009A624A"/>
    <w:rsid w:val="009A6728"/>
    <w:rsid w:val="009A6ED8"/>
    <w:rsid w:val="009A720F"/>
    <w:rsid w:val="009B0E2C"/>
    <w:rsid w:val="009B0FA8"/>
    <w:rsid w:val="009B36F7"/>
    <w:rsid w:val="009B4E7F"/>
    <w:rsid w:val="009C062A"/>
    <w:rsid w:val="009C0BE0"/>
    <w:rsid w:val="009C2DBF"/>
    <w:rsid w:val="009C31C0"/>
    <w:rsid w:val="009C414A"/>
    <w:rsid w:val="009C4F6A"/>
    <w:rsid w:val="009C51DB"/>
    <w:rsid w:val="009C5AE5"/>
    <w:rsid w:val="009C6253"/>
    <w:rsid w:val="009C704A"/>
    <w:rsid w:val="009C7DDA"/>
    <w:rsid w:val="009D0BC2"/>
    <w:rsid w:val="009D0DB9"/>
    <w:rsid w:val="009D27A3"/>
    <w:rsid w:val="009D2F53"/>
    <w:rsid w:val="009D3A8E"/>
    <w:rsid w:val="009D53D6"/>
    <w:rsid w:val="009D58F7"/>
    <w:rsid w:val="009D636F"/>
    <w:rsid w:val="009D7078"/>
    <w:rsid w:val="009D70F4"/>
    <w:rsid w:val="009D7CDD"/>
    <w:rsid w:val="009D7DCE"/>
    <w:rsid w:val="009E0D7F"/>
    <w:rsid w:val="009E353C"/>
    <w:rsid w:val="009E6A4B"/>
    <w:rsid w:val="009F1BD3"/>
    <w:rsid w:val="009F3269"/>
    <w:rsid w:val="009F39AF"/>
    <w:rsid w:val="009F7124"/>
    <w:rsid w:val="00A00C4C"/>
    <w:rsid w:val="00A0176C"/>
    <w:rsid w:val="00A01F1E"/>
    <w:rsid w:val="00A020B3"/>
    <w:rsid w:val="00A0696E"/>
    <w:rsid w:val="00A1115A"/>
    <w:rsid w:val="00A11DA7"/>
    <w:rsid w:val="00A1232C"/>
    <w:rsid w:val="00A15B56"/>
    <w:rsid w:val="00A17813"/>
    <w:rsid w:val="00A17F86"/>
    <w:rsid w:val="00A215FE"/>
    <w:rsid w:val="00A22DBB"/>
    <w:rsid w:val="00A24156"/>
    <w:rsid w:val="00A26545"/>
    <w:rsid w:val="00A2699E"/>
    <w:rsid w:val="00A3134B"/>
    <w:rsid w:val="00A32F65"/>
    <w:rsid w:val="00A35291"/>
    <w:rsid w:val="00A35DA3"/>
    <w:rsid w:val="00A36654"/>
    <w:rsid w:val="00A40AE7"/>
    <w:rsid w:val="00A42FA2"/>
    <w:rsid w:val="00A4341D"/>
    <w:rsid w:val="00A4666B"/>
    <w:rsid w:val="00A52BEE"/>
    <w:rsid w:val="00A5351F"/>
    <w:rsid w:val="00A53ADC"/>
    <w:rsid w:val="00A5643B"/>
    <w:rsid w:val="00A57AC3"/>
    <w:rsid w:val="00A61B70"/>
    <w:rsid w:val="00A66CAD"/>
    <w:rsid w:val="00A66D34"/>
    <w:rsid w:val="00A67495"/>
    <w:rsid w:val="00A7095A"/>
    <w:rsid w:val="00A71734"/>
    <w:rsid w:val="00A7287F"/>
    <w:rsid w:val="00A7597D"/>
    <w:rsid w:val="00A77367"/>
    <w:rsid w:val="00A8125B"/>
    <w:rsid w:val="00A81409"/>
    <w:rsid w:val="00A820F6"/>
    <w:rsid w:val="00A834D0"/>
    <w:rsid w:val="00A8356B"/>
    <w:rsid w:val="00A84A27"/>
    <w:rsid w:val="00A8654F"/>
    <w:rsid w:val="00A867AD"/>
    <w:rsid w:val="00A875B7"/>
    <w:rsid w:val="00A902B2"/>
    <w:rsid w:val="00A90943"/>
    <w:rsid w:val="00A91006"/>
    <w:rsid w:val="00A919E5"/>
    <w:rsid w:val="00A92FB6"/>
    <w:rsid w:val="00A93F60"/>
    <w:rsid w:val="00A95265"/>
    <w:rsid w:val="00AA0A54"/>
    <w:rsid w:val="00AA143A"/>
    <w:rsid w:val="00AA308A"/>
    <w:rsid w:val="00AA54B2"/>
    <w:rsid w:val="00AA5A2C"/>
    <w:rsid w:val="00AA71F3"/>
    <w:rsid w:val="00AB2C38"/>
    <w:rsid w:val="00AB32ED"/>
    <w:rsid w:val="00AB4A1E"/>
    <w:rsid w:val="00AB5786"/>
    <w:rsid w:val="00AB7F4C"/>
    <w:rsid w:val="00AC2A2A"/>
    <w:rsid w:val="00AC57A8"/>
    <w:rsid w:val="00AC5F55"/>
    <w:rsid w:val="00AC74B9"/>
    <w:rsid w:val="00AD1534"/>
    <w:rsid w:val="00AD17D5"/>
    <w:rsid w:val="00AD44E8"/>
    <w:rsid w:val="00AD4B85"/>
    <w:rsid w:val="00AD4C1A"/>
    <w:rsid w:val="00AD556F"/>
    <w:rsid w:val="00AD629B"/>
    <w:rsid w:val="00AD781D"/>
    <w:rsid w:val="00AD7A62"/>
    <w:rsid w:val="00AE0D7F"/>
    <w:rsid w:val="00AE188C"/>
    <w:rsid w:val="00AE2CB1"/>
    <w:rsid w:val="00AE32D7"/>
    <w:rsid w:val="00AE3407"/>
    <w:rsid w:val="00AE50F4"/>
    <w:rsid w:val="00AE54B4"/>
    <w:rsid w:val="00AF07DB"/>
    <w:rsid w:val="00AF0DDA"/>
    <w:rsid w:val="00AF26A6"/>
    <w:rsid w:val="00AF4B4E"/>
    <w:rsid w:val="00AF54D7"/>
    <w:rsid w:val="00AF6AFC"/>
    <w:rsid w:val="00B00A4D"/>
    <w:rsid w:val="00B018A6"/>
    <w:rsid w:val="00B02349"/>
    <w:rsid w:val="00B04313"/>
    <w:rsid w:val="00B06C4B"/>
    <w:rsid w:val="00B10A48"/>
    <w:rsid w:val="00B11199"/>
    <w:rsid w:val="00B11B6B"/>
    <w:rsid w:val="00B14D94"/>
    <w:rsid w:val="00B15117"/>
    <w:rsid w:val="00B154A4"/>
    <w:rsid w:val="00B160D2"/>
    <w:rsid w:val="00B17AA3"/>
    <w:rsid w:val="00B21FA0"/>
    <w:rsid w:val="00B243B0"/>
    <w:rsid w:val="00B24EE6"/>
    <w:rsid w:val="00B25A2A"/>
    <w:rsid w:val="00B261DB"/>
    <w:rsid w:val="00B26232"/>
    <w:rsid w:val="00B26434"/>
    <w:rsid w:val="00B265CF"/>
    <w:rsid w:val="00B30001"/>
    <w:rsid w:val="00B34DFB"/>
    <w:rsid w:val="00B358A4"/>
    <w:rsid w:val="00B359D0"/>
    <w:rsid w:val="00B36525"/>
    <w:rsid w:val="00B40659"/>
    <w:rsid w:val="00B42F75"/>
    <w:rsid w:val="00B44068"/>
    <w:rsid w:val="00B448D1"/>
    <w:rsid w:val="00B44A9D"/>
    <w:rsid w:val="00B45547"/>
    <w:rsid w:val="00B459B6"/>
    <w:rsid w:val="00B45E96"/>
    <w:rsid w:val="00B46566"/>
    <w:rsid w:val="00B536F6"/>
    <w:rsid w:val="00B5418D"/>
    <w:rsid w:val="00B5606A"/>
    <w:rsid w:val="00B6069E"/>
    <w:rsid w:val="00B65E86"/>
    <w:rsid w:val="00B674E0"/>
    <w:rsid w:val="00B72A44"/>
    <w:rsid w:val="00B72B5D"/>
    <w:rsid w:val="00B72F46"/>
    <w:rsid w:val="00B735FB"/>
    <w:rsid w:val="00B73DED"/>
    <w:rsid w:val="00B74AD8"/>
    <w:rsid w:val="00B77119"/>
    <w:rsid w:val="00B77BA3"/>
    <w:rsid w:val="00B77F5E"/>
    <w:rsid w:val="00B82083"/>
    <w:rsid w:val="00B82526"/>
    <w:rsid w:val="00B837A7"/>
    <w:rsid w:val="00B8633D"/>
    <w:rsid w:val="00B86A9D"/>
    <w:rsid w:val="00B87CAB"/>
    <w:rsid w:val="00B91DDC"/>
    <w:rsid w:val="00B93A9D"/>
    <w:rsid w:val="00B9454D"/>
    <w:rsid w:val="00B94B34"/>
    <w:rsid w:val="00B94F7C"/>
    <w:rsid w:val="00B96308"/>
    <w:rsid w:val="00B96ABA"/>
    <w:rsid w:val="00B973E6"/>
    <w:rsid w:val="00B978DD"/>
    <w:rsid w:val="00BA026A"/>
    <w:rsid w:val="00BA1289"/>
    <w:rsid w:val="00BA1617"/>
    <w:rsid w:val="00BA1951"/>
    <w:rsid w:val="00BA3CE8"/>
    <w:rsid w:val="00BA557F"/>
    <w:rsid w:val="00BA7439"/>
    <w:rsid w:val="00BB0392"/>
    <w:rsid w:val="00BB03B4"/>
    <w:rsid w:val="00BB10E9"/>
    <w:rsid w:val="00BB2D39"/>
    <w:rsid w:val="00BB3EDA"/>
    <w:rsid w:val="00BB485E"/>
    <w:rsid w:val="00BB4867"/>
    <w:rsid w:val="00BB5D5B"/>
    <w:rsid w:val="00BB6B70"/>
    <w:rsid w:val="00BB707A"/>
    <w:rsid w:val="00BB70E7"/>
    <w:rsid w:val="00BC1F40"/>
    <w:rsid w:val="00BC375D"/>
    <w:rsid w:val="00BC39FA"/>
    <w:rsid w:val="00BC3FFA"/>
    <w:rsid w:val="00BC4E9B"/>
    <w:rsid w:val="00BC63F8"/>
    <w:rsid w:val="00BD2E47"/>
    <w:rsid w:val="00BD3FD2"/>
    <w:rsid w:val="00BD4C15"/>
    <w:rsid w:val="00BD79EE"/>
    <w:rsid w:val="00BD7FAA"/>
    <w:rsid w:val="00BE0BF0"/>
    <w:rsid w:val="00BE1279"/>
    <w:rsid w:val="00BE1AA7"/>
    <w:rsid w:val="00BE26F5"/>
    <w:rsid w:val="00BE2F93"/>
    <w:rsid w:val="00BE636C"/>
    <w:rsid w:val="00BE6F20"/>
    <w:rsid w:val="00BF1571"/>
    <w:rsid w:val="00BF18FF"/>
    <w:rsid w:val="00BF23B2"/>
    <w:rsid w:val="00BF28D1"/>
    <w:rsid w:val="00BF306B"/>
    <w:rsid w:val="00BF3393"/>
    <w:rsid w:val="00BF3F55"/>
    <w:rsid w:val="00BF3FC0"/>
    <w:rsid w:val="00BF46C7"/>
    <w:rsid w:val="00BF50E5"/>
    <w:rsid w:val="00BF51F2"/>
    <w:rsid w:val="00BF5A59"/>
    <w:rsid w:val="00BF72EC"/>
    <w:rsid w:val="00C0196A"/>
    <w:rsid w:val="00C024D3"/>
    <w:rsid w:val="00C02B22"/>
    <w:rsid w:val="00C033B2"/>
    <w:rsid w:val="00C0590C"/>
    <w:rsid w:val="00C06990"/>
    <w:rsid w:val="00C107BD"/>
    <w:rsid w:val="00C12B0A"/>
    <w:rsid w:val="00C14010"/>
    <w:rsid w:val="00C14895"/>
    <w:rsid w:val="00C14A69"/>
    <w:rsid w:val="00C15F23"/>
    <w:rsid w:val="00C16E43"/>
    <w:rsid w:val="00C2418E"/>
    <w:rsid w:val="00C244FA"/>
    <w:rsid w:val="00C2488F"/>
    <w:rsid w:val="00C26388"/>
    <w:rsid w:val="00C3077C"/>
    <w:rsid w:val="00C32450"/>
    <w:rsid w:val="00C34514"/>
    <w:rsid w:val="00C348DD"/>
    <w:rsid w:val="00C361AF"/>
    <w:rsid w:val="00C408A2"/>
    <w:rsid w:val="00C409D2"/>
    <w:rsid w:val="00C41C80"/>
    <w:rsid w:val="00C4413B"/>
    <w:rsid w:val="00C4478E"/>
    <w:rsid w:val="00C45B61"/>
    <w:rsid w:val="00C46260"/>
    <w:rsid w:val="00C46689"/>
    <w:rsid w:val="00C46E47"/>
    <w:rsid w:val="00C46E85"/>
    <w:rsid w:val="00C5095F"/>
    <w:rsid w:val="00C5131F"/>
    <w:rsid w:val="00C53DDA"/>
    <w:rsid w:val="00C5481B"/>
    <w:rsid w:val="00C55E3F"/>
    <w:rsid w:val="00C57D93"/>
    <w:rsid w:val="00C61356"/>
    <w:rsid w:val="00C61E3A"/>
    <w:rsid w:val="00C6264F"/>
    <w:rsid w:val="00C6474A"/>
    <w:rsid w:val="00C6714F"/>
    <w:rsid w:val="00C6775B"/>
    <w:rsid w:val="00C7093B"/>
    <w:rsid w:val="00C74E98"/>
    <w:rsid w:val="00C75230"/>
    <w:rsid w:val="00C7574C"/>
    <w:rsid w:val="00C75ECF"/>
    <w:rsid w:val="00C77223"/>
    <w:rsid w:val="00C82BA4"/>
    <w:rsid w:val="00C82D30"/>
    <w:rsid w:val="00C83743"/>
    <w:rsid w:val="00C84AD1"/>
    <w:rsid w:val="00C87152"/>
    <w:rsid w:val="00C87482"/>
    <w:rsid w:val="00C901F2"/>
    <w:rsid w:val="00C90F2A"/>
    <w:rsid w:val="00C910C2"/>
    <w:rsid w:val="00C92BCD"/>
    <w:rsid w:val="00C9320E"/>
    <w:rsid w:val="00C95291"/>
    <w:rsid w:val="00CA46C8"/>
    <w:rsid w:val="00CA51D4"/>
    <w:rsid w:val="00CA5FFD"/>
    <w:rsid w:val="00CA6EAD"/>
    <w:rsid w:val="00CA7151"/>
    <w:rsid w:val="00CA772F"/>
    <w:rsid w:val="00CB020C"/>
    <w:rsid w:val="00CB2617"/>
    <w:rsid w:val="00CB40B0"/>
    <w:rsid w:val="00CB54C5"/>
    <w:rsid w:val="00CC29ED"/>
    <w:rsid w:val="00CC310B"/>
    <w:rsid w:val="00CC3297"/>
    <w:rsid w:val="00CC3715"/>
    <w:rsid w:val="00CC3958"/>
    <w:rsid w:val="00CC7905"/>
    <w:rsid w:val="00CD01FC"/>
    <w:rsid w:val="00CD03A1"/>
    <w:rsid w:val="00CD04B9"/>
    <w:rsid w:val="00CD139B"/>
    <w:rsid w:val="00CD1CB5"/>
    <w:rsid w:val="00CD2172"/>
    <w:rsid w:val="00CD2792"/>
    <w:rsid w:val="00CD5079"/>
    <w:rsid w:val="00CD64EA"/>
    <w:rsid w:val="00CE084C"/>
    <w:rsid w:val="00CE1A94"/>
    <w:rsid w:val="00CE3880"/>
    <w:rsid w:val="00CE5125"/>
    <w:rsid w:val="00CF08D1"/>
    <w:rsid w:val="00CF17E1"/>
    <w:rsid w:val="00CF3C37"/>
    <w:rsid w:val="00CF5E82"/>
    <w:rsid w:val="00D00EC0"/>
    <w:rsid w:val="00D0113A"/>
    <w:rsid w:val="00D060CE"/>
    <w:rsid w:val="00D06EAF"/>
    <w:rsid w:val="00D07488"/>
    <w:rsid w:val="00D07E35"/>
    <w:rsid w:val="00D134A5"/>
    <w:rsid w:val="00D14B23"/>
    <w:rsid w:val="00D159DF"/>
    <w:rsid w:val="00D15CBA"/>
    <w:rsid w:val="00D15FC9"/>
    <w:rsid w:val="00D16040"/>
    <w:rsid w:val="00D1711E"/>
    <w:rsid w:val="00D20361"/>
    <w:rsid w:val="00D20795"/>
    <w:rsid w:val="00D20B73"/>
    <w:rsid w:val="00D24FF6"/>
    <w:rsid w:val="00D2568C"/>
    <w:rsid w:val="00D261A0"/>
    <w:rsid w:val="00D268BA"/>
    <w:rsid w:val="00D27CBB"/>
    <w:rsid w:val="00D27DD9"/>
    <w:rsid w:val="00D304AB"/>
    <w:rsid w:val="00D33CA0"/>
    <w:rsid w:val="00D3577B"/>
    <w:rsid w:val="00D36CCD"/>
    <w:rsid w:val="00D4541C"/>
    <w:rsid w:val="00D47AD3"/>
    <w:rsid w:val="00D47FBA"/>
    <w:rsid w:val="00D507B3"/>
    <w:rsid w:val="00D5096A"/>
    <w:rsid w:val="00D54B62"/>
    <w:rsid w:val="00D626EE"/>
    <w:rsid w:val="00D63AA9"/>
    <w:rsid w:val="00D65004"/>
    <w:rsid w:val="00D66B24"/>
    <w:rsid w:val="00D70794"/>
    <w:rsid w:val="00D712D8"/>
    <w:rsid w:val="00D74965"/>
    <w:rsid w:val="00D75F44"/>
    <w:rsid w:val="00D77666"/>
    <w:rsid w:val="00D8168D"/>
    <w:rsid w:val="00D850BD"/>
    <w:rsid w:val="00D860D3"/>
    <w:rsid w:val="00D87627"/>
    <w:rsid w:val="00D90CD0"/>
    <w:rsid w:val="00D92289"/>
    <w:rsid w:val="00D9295C"/>
    <w:rsid w:val="00D96A7A"/>
    <w:rsid w:val="00D974F5"/>
    <w:rsid w:val="00D97A6C"/>
    <w:rsid w:val="00DA1354"/>
    <w:rsid w:val="00DA16D5"/>
    <w:rsid w:val="00DA1944"/>
    <w:rsid w:val="00DA1A6A"/>
    <w:rsid w:val="00DA25A2"/>
    <w:rsid w:val="00DA2E35"/>
    <w:rsid w:val="00DA3D0C"/>
    <w:rsid w:val="00DA47F5"/>
    <w:rsid w:val="00DB043B"/>
    <w:rsid w:val="00DB1E00"/>
    <w:rsid w:val="00DB1E10"/>
    <w:rsid w:val="00DB2B5D"/>
    <w:rsid w:val="00DB4990"/>
    <w:rsid w:val="00DB530A"/>
    <w:rsid w:val="00DB5BFD"/>
    <w:rsid w:val="00DC15E9"/>
    <w:rsid w:val="00DC27FC"/>
    <w:rsid w:val="00DC566A"/>
    <w:rsid w:val="00DC6E4E"/>
    <w:rsid w:val="00DC7913"/>
    <w:rsid w:val="00DD04D7"/>
    <w:rsid w:val="00DD1A8A"/>
    <w:rsid w:val="00DD1BA7"/>
    <w:rsid w:val="00DD2176"/>
    <w:rsid w:val="00DD29B8"/>
    <w:rsid w:val="00DD498A"/>
    <w:rsid w:val="00DD6D24"/>
    <w:rsid w:val="00DE359E"/>
    <w:rsid w:val="00DE574C"/>
    <w:rsid w:val="00DE5AD9"/>
    <w:rsid w:val="00DE6421"/>
    <w:rsid w:val="00DE67F9"/>
    <w:rsid w:val="00DE739E"/>
    <w:rsid w:val="00DF079A"/>
    <w:rsid w:val="00DF0C21"/>
    <w:rsid w:val="00DF15EF"/>
    <w:rsid w:val="00DF1B63"/>
    <w:rsid w:val="00DF24FC"/>
    <w:rsid w:val="00DF4360"/>
    <w:rsid w:val="00DF49F3"/>
    <w:rsid w:val="00DF63E7"/>
    <w:rsid w:val="00DF7A71"/>
    <w:rsid w:val="00E01233"/>
    <w:rsid w:val="00E057E3"/>
    <w:rsid w:val="00E06651"/>
    <w:rsid w:val="00E0727D"/>
    <w:rsid w:val="00E10B58"/>
    <w:rsid w:val="00E1164B"/>
    <w:rsid w:val="00E119FE"/>
    <w:rsid w:val="00E11DDD"/>
    <w:rsid w:val="00E121C1"/>
    <w:rsid w:val="00E17DBE"/>
    <w:rsid w:val="00E21482"/>
    <w:rsid w:val="00E22BBE"/>
    <w:rsid w:val="00E22D7B"/>
    <w:rsid w:val="00E262BC"/>
    <w:rsid w:val="00E30DCC"/>
    <w:rsid w:val="00E31662"/>
    <w:rsid w:val="00E31789"/>
    <w:rsid w:val="00E33961"/>
    <w:rsid w:val="00E33E15"/>
    <w:rsid w:val="00E3448F"/>
    <w:rsid w:val="00E379F4"/>
    <w:rsid w:val="00E42D58"/>
    <w:rsid w:val="00E46559"/>
    <w:rsid w:val="00E47A49"/>
    <w:rsid w:val="00E47D86"/>
    <w:rsid w:val="00E5028C"/>
    <w:rsid w:val="00E5058D"/>
    <w:rsid w:val="00E508F1"/>
    <w:rsid w:val="00E512F8"/>
    <w:rsid w:val="00E51CBB"/>
    <w:rsid w:val="00E5398E"/>
    <w:rsid w:val="00E53C80"/>
    <w:rsid w:val="00E55229"/>
    <w:rsid w:val="00E6035E"/>
    <w:rsid w:val="00E6399B"/>
    <w:rsid w:val="00E639EA"/>
    <w:rsid w:val="00E64040"/>
    <w:rsid w:val="00E67BD3"/>
    <w:rsid w:val="00E70B20"/>
    <w:rsid w:val="00E718FC"/>
    <w:rsid w:val="00E73B22"/>
    <w:rsid w:val="00E73CFF"/>
    <w:rsid w:val="00E753EC"/>
    <w:rsid w:val="00E77854"/>
    <w:rsid w:val="00E80A3E"/>
    <w:rsid w:val="00E81751"/>
    <w:rsid w:val="00E81A2A"/>
    <w:rsid w:val="00E83E1D"/>
    <w:rsid w:val="00E83E51"/>
    <w:rsid w:val="00E84458"/>
    <w:rsid w:val="00E865A8"/>
    <w:rsid w:val="00E87EE0"/>
    <w:rsid w:val="00E932E4"/>
    <w:rsid w:val="00E94383"/>
    <w:rsid w:val="00E951DF"/>
    <w:rsid w:val="00EA0671"/>
    <w:rsid w:val="00EA1432"/>
    <w:rsid w:val="00EA1CB5"/>
    <w:rsid w:val="00EA3A26"/>
    <w:rsid w:val="00EA48B4"/>
    <w:rsid w:val="00EB0524"/>
    <w:rsid w:val="00EB1088"/>
    <w:rsid w:val="00EB2A16"/>
    <w:rsid w:val="00EB2DC6"/>
    <w:rsid w:val="00EB51E4"/>
    <w:rsid w:val="00EB5789"/>
    <w:rsid w:val="00EC1E21"/>
    <w:rsid w:val="00EC246A"/>
    <w:rsid w:val="00EC2962"/>
    <w:rsid w:val="00EC4BAD"/>
    <w:rsid w:val="00EC5190"/>
    <w:rsid w:val="00EC559C"/>
    <w:rsid w:val="00EC5F7E"/>
    <w:rsid w:val="00EC6722"/>
    <w:rsid w:val="00EC7D5C"/>
    <w:rsid w:val="00ED1F78"/>
    <w:rsid w:val="00ED4D3C"/>
    <w:rsid w:val="00ED5FFD"/>
    <w:rsid w:val="00EE38C6"/>
    <w:rsid w:val="00EE456B"/>
    <w:rsid w:val="00EE5950"/>
    <w:rsid w:val="00EE5C5E"/>
    <w:rsid w:val="00EE5EEA"/>
    <w:rsid w:val="00EE6098"/>
    <w:rsid w:val="00EE6520"/>
    <w:rsid w:val="00EE778D"/>
    <w:rsid w:val="00EF37C7"/>
    <w:rsid w:val="00EF408C"/>
    <w:rsid w:val="00EF67F7"/>
    <w:rsid w:val="00EF6CB4"/>
    <w:rsid w:val="00EF6F20"/>
    <w:rsid w:val="00EF7090"/>
    <w:rsid w:val="00EF7642"/>
    <w:rsid w:val="00F001B1"/>
    <w:rsid w:val="00F029CD"/>
    <w:rsid w:val="00F02C53"/>
    <w:rsid w:val="00F0623A"/>
    <w:rsid w:val="00F06CED"/>
    <w:rsid w:val="00F06D42"/>
    <w:rsid w:val="00F100F7"/>
    <w:rsid w:val="00F123C1"/>
    <w:rsid w:val="00F12D1E"/>
    <w:rsid w:val="00F159B4"/>
    <w:rsid w:val="00F169B8"/>
    <w:rsid w:val="00F170C2"/>
    <w:rsid w:val="00F20ABC"/>
    <w:rsid w:val="00F20C22"/>
    <w:rsid w:val="00F2357D"/>
    <w:rsid w:val="00F238D4"/>
    <w:rsid w:val="00F23C39"/>
    <w:rsid w:val="00F24190"/>
    <w:rsid w:val="00F254B6"/>
    <w:rsid w:val="00F25543"/>
    <w:rsid w:val="00F26454"/>
    <w:rsid w:val="00F26AD5"/>
    <w:rsid w:val="00F30F84"/>
    <w:rsid w:val="00F31028"/>
    <w:rsid w:val="00F312CB"/>
    <w:rsid w:val="00F313AE"/>
    <w:rsid w:val="00F33AF2"/>
    <w:rsid w:val="00F34639"/>
    <w:rsid w:val="00F34970"/>
    <w:rsid w:val="00F36BD8"/>
    <w:rsid w:val="00F36EBC"/>
    <w:rsid w:val="00F3786F"/>
    <w:rsid w:val="00F37E39"/>
    <w:rsid w:val="00F40469"/>
    <w:rsid w:val="00F41C8D"/>
    <w:rsid w:val="00F42C5C"/>
    <w:rsid w:val="00F4304E"/>
    <w:rsid w:val="00F458F3"/>
    <w:rsid w:val="00F461B3"/>
    <w:rsid w:val="00F4753F"/>
    <w:rsid w:val="00F5035F"/>
    <w:rsid w:val="00F5088C"/>
    <w:rsid w:val="00F52A84"/>
    <w:rsid w:val="00F53591"/>
    <w:rsid w:val="00F54407"/>
    <w:rsid w:val="00F54B4F"/>
    <w:rsid w:val="00F55358"/>
    <w:rsid w:val="00F57C22"/>
    <w:rsid w:val="00F60D8C"/>
    <w:rsid w:val="00F61564"/>
    <w:rsid w:val="00F61C69"/>
    <w:rsid w:val="00F62E66"/>
    <w:rsid w:val="00F6365C"/>
    <w:rsid w:val="00F63921"/>
    <w:rsid w:val="00F63BBD"/>
    <w:rsid w:val="00F649EA"/>
    <w:rsid w:val="00F6511B"/>
    <w:rsid w:val="00F672E4"/>
    <w:rsid w:val="00F67CC8"/>
    <w:rsid w:val="00F67F18"/>
    <w:rsid w:val="00F7001C"/>
    <w:rsid w:val="00F71AC5"/>
    <w:rsid w:val="00F76617"/>
    <w:rsid w:val="00F77AC1"/>
    <w:rsid w:val="00F8306C"/>
    <w:rsid w:val="00F840D9"/>
    <w:rsid w:val="00F847C1"/>
    <w:rsid w:val="00F84CAD"/>
    <w:rsid w:val="00F85475"/>
    <w:rsid w:val="00F85785"/>
    <w:rsid w:val="00F86B3B"/>
    <w:rsid w:val="00F87F3C"/>
    <w:rsid w:val="00F910B9"/>
    <w:rsid w:val="00F918FA"/>
    <w:rsid w:val="00F919A6"/>
    <w:rsid w:val="00F925A3"/>
    <w:rsid w:val="00F929E5"/>
    <w:rsid w:val="00F93064"/>
    <w:rsid w:val="00F94681"/>
    <w:rsid w:val="00F96363"/>
    <w:rsid w:val="00F968E6"/>
    <w:rsid w:val="00F96C74"/>
    <w:rsid w:val="00FA07F1"/>
    <w:rsid w:val="00FA1DD2"/>
    <w:rsid w:val="00FA25B3"/>
    <w:rsid w:val="00FA4B99"/>
    <w:rsid w:val="00FA5CC0"/>
    <w:rsid w:val="00FA7A7D"/>
    <w:rsid w:val="00FA7FF2"/>
    <w:rsid w:val="00FB19D2"/>
    <w:rsid w:val="00FB28FE"/>
    <w:rsid w:val="00FB2B76"/>
    <w:rsid w:val="00FB4E84"/>
    <w:rsid w:val="00FB50C5"/>
    <w:rsid w:val="00FB660D"/>
    <w:rsid w:val="00FB66A4"/>
    <w:rsid w:val="00FC0AB8"/>
    <w:rsid w:val="00FC15BC"/>
    <w:rsid w:val="00FC3792"/>
    <w:rsid w:val="00FC3929"/>
    <w:rsid w:val="00FC4FEC"/>
    <w:rsid w:val="00FC6E61"/>
    <w:rsid w:val="00FC77D9"/>
    <w:rsid w:val="00FD0B31"/>
    <w:rsid w:val="00FD0CF3"/>
    <w:rsid w:val="00FD281D"/>
    <w:rsid w:val="00FD2D43"/>
    <w:rsid w:val="00FD36D3"/>
    <w:rsid w:val="00FD69A2"/>
    <w:rsid w:val="00FE0729"/>
    <w:rsid w:val="00FE0FC6"/>
    <w:rsid w:val="00FE36A8"/>
    <w:rsid w:val="00FE4DA8"/>
    <w:rsid w:val="00FF1DA1"/>
    <w:rsid w:val="01AD71FD"/>
    <w:rsid w:val="02012F5C"/>
    <w:rsid w:val="024D1F8F"/>
    <w:rsid w:val="0264F46E"/>
    <w:rsid w:val="02D3F2B0"/>
    <w:rsid w:val="031B134E"/>
    <w:rsid w:val="043FBE85"/>
    <w:rsid w:val="044B3E5B"/>
    <w:rsid w:val="0712A4A5"/>
    <w:rsid w:val="081AADD3"/>
    <w:rsid w:val="08E0A8FB"/>
    <w:rsid w:val="09E6C86C"/>
    <w:rsid w:val="0A41597C"/>
    <w:rsid w:val="0A8BBFD9"/>
    <w:rsid w:val="0AAC078F"/>
    <w:rsid w:val="0B88CA66"/>
    <w:rsid w:val="0BC5E395"/>
    <w:rsid w:val="0C97BB5A"/>
    <w:rsid w:val="0DF9DB56"/>
    <w:rsid w:val="0E01633A"/>
    <w:rsid w:val="0E2807C8"/>
    <w:rsid w:val="0E6F8822"/>
    <w:rsid w:val="0ED6A0FB"/>
    <w:rsid w:val="0F8D530F"/>
    <w:rsid w:val="0FA1388F"/>
    <w:rsid w:val="0FA1A104"/>
    <w:rsid w:val="0FBA570C"/>
    <w:rsid w:val="1054B673"/>
    <w:rsid w:val="119AA8B7"/>
    <w:rsid w:val="12413A20"/>
    <w:rsid w:val="1267B080"/>
    <w:rsid w:val="12A757F4"/>
    <w:rsid w:val="12CAE7C9"/>
    <w:rsid w:val="12ECF321"/>
    <w:rsid w:val="13B5B025"/>
    <w:rsid w:val="13B848E8"/>
    <w:rsid w:val="13B8B4A6"/>
    <w:rsid w:val="140EBD64"/>
    <w:rsid w:val="1444D2B9"/>
    <w:rsid w:val="15548DA0"/>
    <w:rsid w:val="15F18755"/>
    <w:rsid w:val="1695340D"/>
    <w:rsid w:val="16A476A6"/>
    <w:rsid w:val="16C69186"/>
    <w:rsid w:val="1757A360"/>
    <w:rsid w:val="17E4859B"/>
    <w:rsid w:val="18432219"/>
    <w:rsid w:val="189FA4EB"/>
    <w:rsid w:val="19E307D4"/>
    <w:rsid w:val="1ABE9E89"/>
    <w:rsid w:val="1AECCAFB"/>
    <w:rsid w:val="1AFEF943"/>
    <w:rsid w:val="1B04C468"/>
    <w:rsid w:val="1B4F7CD3"/>
    <w:rsid w:val="1B892D38"/>
    <w:rsid w:val="1B93D64A"/>
    <w:rsid w:val="1C29E593"/>
    <w:rsid w:val="1CC93C2D"/>
    <w:rsid w:val="1D548BCC"/>
    <w:rsid w:val="1DE2C86F"/>
    <w:rsid w:val="1DF5E404"/>
    <w:rsid w:val="1E121AE0"/>
    <w:rsid w:val="1EA54F45"/>
    <w:rsid w:val="1F53C343"/>
    <w:rsid w:val="1F5699DA"/>
    <w:rsid w:val="1FC6E6A4"/>
    <w:rsid w:val="20D964FF"/>
    <w:rsid w:val="21535476"/>
    <w:rsid w:val="21A53E05"/>
    <w:rsid w:val="23002F0D"/>
    <w:rsid w:val="231AD734"/>
    <w:rsid w:val="24B71CD1"/>
    <w:rsid w:val="25220888"/>
    <w:rsid w:val="25346C30"/>
    <w:rsid w:val="2539FBD6"/>
    <w:rsid w:val="2542E540"/>
    <w:rsid w:val="25F1A9F0"/>
    <w:rsid w:val="26699942"/>
    <w:rsid w:val="26802B55"/>
    <w:rsid w:val="26EEBB2F"/>
    <w:rsid w:val="27E24B51"/>
    <w:rsid w:val="28A8DDF1"/>
    <w:rsid w:val="28BAEDA9"/>
    <w:rsid w:val="29DA8863"/>
    <w:rsid w:val="2A24F3B5"/>
    <w:rsid w:val="2A68D5FC"/>
    <w:rsid w:val="2AF724E9"/>
    <w:rsid w:val="2B2A5D9C"/>
    <w:rsid w:val="2D6C337D"/>
    <w:rsid w:val="2DB4502A"/>
    <w:rsid w:val="2DBF3532"/>
    <w:rsid w:val="2DC768AC"/>
    <w:rsid w:val="2ED5CC71"/>
    <w:rsid w:val="2F19262C"/>
    <w:rsid w:val="2F24A61B"/>
    <w:rsid w:val="2F64D119"/>
    <w:rsid w:val="304FA2E5"/>
    <w:rsid w:val="309D582A"/>
    <w:rsid w:val="313B7FD4"/>
    <w:rsid w:val="3185A1C2"/>
    <w:rsid w:val="31E4578B"/>
    <w:rsid w:val="32F13C06"/>
    <w:rsid w:val="330C6D13"/>
    <w:rsid w:val="337640AC"/>
    <w:rsid w:val="33E2ED91"/>
    <w:rsid w:val="33F8173E"/>
    <w:rsid w:val="34DC1B7F"/>
    <w:rsid w:val="35EC5480"/>
    <w:rsid w:val="362A81CC"/>
    <w:rsid w:val="366AE467"/>
    <w:rsid w:val="3698475D"/>
    <w:rsid w:val="378FC060"/>
    <w:rsid w:val="37D165E6"/>
    <w:rsid w:val="37DB2BAB"/>
    <w:rsid w:val="385F0D52"/>
    <w:rsid w:val="388FD92A"/>
    <w:rsid w:val="392ABD7C"/>
    <w:rsid w:val="3934C2DA"/>
    <w:rsid w:val="39F9469E"/>
    <w:rsid w:val="3A035D89"/>
    <w:rsid w:val="3C19CE08"/>
    <w:rsid w:val="3CCBF683"/>
    <w:rsid w:val="3FEF9ABC"/>
    <w:rsid w:val="40825A2A"/>
    <w:rsid w:val="40F50DD7"/>
    <w:rsid w:val="416F9158"/>
    <w:rsid w:val="41CB52C4"/>
    <w:rsid w:val="4223C7F3"/>
    <w:rsid w:val="43386E18"/>
    <w:rsid w:val="4491B5A0"/>
    <w:rsid w:val="44DDB0B9"/>
    <w:rsid w:val="4585CE04"/>
    <w:rsid w:val="45C04EC5"/>
    <w:rsid w:val="4608448C"/>
    <w:rsid w:val="46789C6B"/>
    <w:rsid w:val="46DC32F2"/>
    <w:rsid w:val="46DCBB2E"/>
    <w:rsid w:val="48B280B9"/>
    <w:rsid w:val="49B81248"/>
    <w:rsid w:val="4A43B957"/>
    <w:rsid w:val="4A85C825"/>
    <w:rsid w:val="4A8622BA"/>
    <w:rsid w:val="4E3BEA1D"/>
    <w:rsid w:val="4EA371DA"/>
    <w:rsid w:val="50162C7F"/>
    <w:rsid w:val="50454186"/>
    <w:rsid w:val="50D57AC3"/>
    <w:rsid w:val="5214D398"/>
    <w:rsid w:val="529F7667"/>
    <w:rsid w:val="52CCDD42"/>
    <w:rsid w:val="5311E1E5"/>
    <w:rsid w:val="53306375"/>
    <w:rsid w:val="5484FDC8"/>
    <w:rsid w:val="548599A0"/>
    <w:rsid w:val="55F881FD"/>
    <w:rsid w:val="567C5F28"/>
    <w:rsid w:val="57851A5C"/>
    <w:rsid w:val="57F9BC03"/>
    <w:rsid w:val="586644EA"/>
    <w:rsid w:val="58986470"/>
    <w:rsid w:val="58B05EA6"/>
    <w:rsid w:val="58E61318"/>
    <w:rsid w:val="59529A8F"/>
    <w:rsid w:val="5A5E183D"/>
    <w:rsid w:val="5B72C7DF"/>
    <w:rsid w:val="5BF9E223"/>
    <w:rsid w:val="5CBB956E"/>
    <w:rsid w:val="5ED36116"/>
    <w:rsid w:val="5ED4F8C3"/>
    <w:rsid w:val="5EDB438A"/>
    <w:rsid w:val="60684A09"/>
    <w:rsid w:val="60C1E6FA"/>
    <w:rsid w:val="60D385D7"/>
    <w:rsid w:val="60D9033F"/>
    <w:rsid w:val="6100B6CB"/>
    <w:rsid w:val="6110D0B3"/>
    <w:rsid w:val="616F91E4"/>
    <w:rsid w:val="6183ADA9"/>
    <w:rsid w:val="622FB16F"/>
    <w:rsid w:val="62B1D0AE"/>
    <w:rsid w:val="64C1A75F"/>
    <w:rsid w:val="6580DCD0"/>
    <w:rsid w:val="65B3F9DC"/>
    <w:rsid w:val="65EFB22F"/>
    <w:rsid w:val="664D0637"/>
    <w:rsid w:val="676EC2CB"/>
    <w:rsid w:val="67CA7146"/>
    <w:rsid w:val="67EF811E"/>
    <w:rsid w:val="682C0601"/>
    <w:rsid w:val="6920D94A"/>
    <w:rsid w:val="6945A552"/>
    <w:rsid w:val="69B4CCA4"/>
    <w:rsid w:val="69DB26F2"/>
    <w:rsid w:val="6A733FE8"/>
    <w:rsid w:val="6AF0B34D"/>
    <w:rsid w:val="6B00B023"/>
    <w:rsid w:val="6B468470"/>
    <w:rsid w:val="6C239BA7"/>
    <w:rsid w:val="6C2CCB32"/>
    <w:rsid w:val="6C42FE37"/>
    <w:rsid w:val="6C6FCC3F"/>
    <w:rsid w:val="6C8C83AE"/>
    <w:rsid w:val="6ECB978E"/>
    <w:rsid w:val="6F0ACD01"/>
    <w:rsid w:val="6F3C9876"/>
    <w:rsid w:val="705BD207"/>
    <w:rsid w:val="70751F87"/>
    <w:rsid w:val="70AC97ED"/>
    <w:rsid w:val="70D7D7F3"/>
    <w:rsid w:val="71064F63"/>
    <w:rsid w:val="715BFDC1"/>
    <w:rsid w:val="742716AE"/>
    <w:rsid w:val="74F91D7A"/>
    <w:rsid w:val="7548E69C"/>
    <w:rsid w:val="75D14F98"/>
    <w:rsid w:val="7605AFDB"/>
    <w:rsid w:val="767AF645"/>
    <w:rsid w:val="76C71F71"/>
    <w:rsid w:val="77A99979"/>
    <w:rsid w:val="79B0ACEE"/>
    <w:rsid w:val="7A7DE0E8"/>
    <w:rsid w:val="7AA3D83D"/>
    <w:rsid w:val="7B2A364C"/>
    <w:rsid w:val="7B3444D3"/>
    <w:rsid w:val="7B457916"/>
    <w:rsid w:val="7BB87775"/>
    <w:rsid w:val="7C03EC5A"/>
    <w:rsid w:val="7C0F663D"/>
    <w:rsid w:val="7C30DE9B"/>
    <w:rsid w:val="7C37E97B"/>
    <w:rsid w:val="7DB263EB"/>
    <w:rsid w:val="7E601019"/>
    <w:rsid w:val="7EB124A4"/>
    <w:rsid w:val="7F720BBB"/>
    <w:rsid w:val="7FB92F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B524"/>
  <w15:chartTrackingRefBased/>
  <w15:docId w15:val="{1DC01549-FB21-409A-BD6C-D4DC34B7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6E6"/>
    <w:pPr>
      <w:keepNext/>
      <w:keepLines/>
      <w:spacing w:before="240" w:after="80" w:line="240" w:lineRule="auto"/>
      <w:outlineLvl w:val="0"/>
    </w:pPr>
    <w:rPr>
      <w:rFonts w:asciiTheme="majorHAnsi" w:eastAsiaTheme="majorEastAsia" w:hAnsiTheme="majorHAnsi" w:cstheme="majorBidi"/>
      <w:color w:val="44546A" w:themeColor="text2"/>
      <w:kern w:val="0"/>
      <w:sz w:val="48"/>
      <w:szCs w:val="32"/>
      <w14:ligatures w14:val="none"/>
    </w:rPr>
  </w:style>
  <w:style w:type="paragraph" w:styleId="Heading2">
    <w:name w:val="heading 2"/>
    <w:basedOn w:val="Normal"/>
    <w:next w:val="Normal"/>
    <w:link w:val="Heading2Char"/>
    <w:uiPriority w:val="9"/>
    <w:unhideWhenUsed/>
    <w:qFormat/>
    <w:rsid w:val="004C413A"/>
    <w:pPr>
      <w:keepNext/>
      <w:keepLines/>
      <w:spacing w:before="40" w:after="40" w:line="240" w:lineRule="auto"/>
      <w:outlineLvl w:val="1"/>
    </w:pPr>
    <w:rPr>
      <w:rFonts w:asciiTheme="majorHAnsi" w:eastAsiaTheme="majorEastAsia" w:hAnsiTheme="majorHAnsi" w:cstheme="majorBidi"/>
      <w:color w:val="44546A"/>
      <w:kern w:val="0"/>
      <w:sz w:val="40"/>
      <w:szCs w:val="48"/>
      <w14:ligatures w14:val="none"/>
    </w:rPr>
  </w:style>
  <w:style w:type="paragraph" w:styleId="Heading3">
    <w:name w:val="heading 3"/>
    <w:basedOn w:val="Heading2"/>
    <w:next w:val="Normal"/>
    <w:link w:val="Heading3Char"/>
    <w:uiPriority w:val="9"/>
    <w:unhideWhenUsed/>
    <w:qFormat/>
    <w:rsid w:val="00383B26"/>
    <w:pPr>
      <w:outlineLvl w:val="2"/>
    </w:pPr>
    <w:rPr>
      <w:b/>
      <w:bCs/>
      <w:color w:val="767171" w:themeColor="background2" w:themeShade="8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13A"/>
    <w:rPr>
      <w:rFonts w:asciiTheme="majorHAnsi" w:eastAsiaTheme="majorEastAsia" w:hAnsiTheme="majorHAnsi" w:cstheme="majorBidi"/>
      <w:color w:val="44546A"/>
      <w:kern w:val="0"/>
      <w:sz w:val="40"/>
      <w:szCs w:val="48"/>
      <w14:ligatures w14:val="none"/>
    </w:rPr>
  </w:style>
  <w:style w:type="table" w:styleId="TableGrid">
    <w:name w:val="Table Grid"/>
    <w:basedOn w:val="TableNormal"/>
    <w:uiPriority w:val="39"/>
    <w:rsid w:val="002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D43"/>
    <w:pPr>
      <w:ind w:left="720"/>
      <w:contextualSpacing/>
    </w:pPr>
  </w:style>
  <w:style w:type="character" w:customStyle="1" w:styleId="Heading3Char">
    <w:name w:val="Heading 3 Char"/>
    <w:basedOn w:val="DefaultParagraphFont"/>
    <w:link w:val="Heading3"/>
    <w:uiPriority w:val="9"/>
    <w:rsid w:val="00383B26"/>
    <w:rPr>
      <w:rFonts w:asciiTheme="majorHAnsi" w:eastAsiaTheme="majorEastAsia" w:hAnsiTheme="majorHAnsi" w:cstheme="majorBidi"/>
      <w:b/>
      <w:bCs/>
      <w:color w:val="767171" w:themeColor="background2" w:themeShade="80"/>
      <w:kern w:val="0"/>
      <w:sz w:val="28"/>
      <w:szCs w:val="36"/>
      <w14:ligatures w14:val="none"/>
    </w:rPr>
  </w:style>
  <w:style w:type="character" w:customStyle="1" w:styleId="Heading1Char">
    <w:name w:val="Heading 1 Char"/>
    <w:basedOn w:val="DefaultParagraphFont"/>
    <w:link w:val="Heading1"/>
    <w:uiPriority w:val="9"/>
    <w:rsid w:val="005D76E6"/>
    <w:rPr>
      <w:rFonts w:asciiTheme="majorHAnsi" w:eastAsiaTheme="majorEastAsia" w:hAnsiTheme="majorHAnsi" w:cstheme="majorBidi"/>
      <w:color w:val="44546A" w:themeColor="text2"/>
      <w:kern w:val="0"/>
      <w:sz w:val="48"/>
      <w:szCs w:val="32"/>
      <w14:ligatures w14:val="none"/>
    </w:rPr>
  </w:style>
  <w:style w:type="character" w:styleId="CommentReference">
    <w:name w:val="annotation reference"/>
    <w:basedOn w:val="DefaultParagraphFont"/>
    <w:uiPriority w:val="99"/>
    <w:semiHidden/>
    <w:unhideWhenUsed/>
    <w:rsid w:val="003020A7"/>
    <w:rPr>
      <w:sz w:val="16"/>
      <w:szCs w:val="16"/>
    </w:rPr>
  </w:style>
  <w:style w:type="paragraph" w:styleId="CommentText">
    <w:name w:val="annotation text"/>
    <w:basedOn w:val="Normal"/>
    <w:link w:val="CommentTextChar"/>
    <w:uiPriority w:val="99"/>
    <w:unhideWhenUsed/>
    <w:rsid w:val="003020A7"/>
    <w:pPr>
      <w:spacing w:line="240" w:lineRule="auto"/>
    </w:pPr>
    <w:rPr>
      <w:sz w:val="20"/>
      <w:szCs w:val="20"/>
    </w:rPr>
  </w:style>
  <w:style w:type="character" w:customStyle="1" w:styleId="CommentTextChar">
    <w:name w:val="Comment Text Char"/>
    <w:basedOn w:val="DefaultParagraphFont"/>
    <w:link w:val="CommentText"/>
    <w:uiPriority w:val="99"/>
    <w:rsid w:val="003020A7"/>
    <w:rPr>
      <w:sz w:val="20"/>
      <w:szCs w:val="20"/>
    </w:rPr>
  </w:style>
  <w:style w:type="paragraph" w:styleId="CommentSubject">
    <w:name w:val="annotation subject"/>
    <w:basedOn w:val="CommentText"/>
    <w:next w:val="CommentText"/>
    <w:link w:val="CommentSubjectChar"/>
    <w:uiPriority w:val="99"/>
    <w:semiHidden/>
    <w:unhideWhenUsed/>
    <w:rsid w:val="003020A7"/>
    <w:rPr>
      <w:b/>
      <w:bCs/>
    </w:rPr>
  </w:style>
  <w:style w:type="character" w:customStyle="1" w:styleId="CommentSubjectChar">
    <w:name w:val="Comment Subject Char"/>
    <w:basedOn w:val="CommentTextChar"/>
    <w:link w:val="CommentSubject"/>
    <w:uiPriority w:val="99"/>
    <w:semiHidden/>
    <w:rsid w:val="003020A7"/>
    <w:rPr>
      <w:b/>
      <w:bCs/>
      <w:sz w:val="20"/>
      <w:szCs w:val="20"/>
    </w:rPr>
  </w:style>
  <w:style w:type="character" w:styleId="Hyperlink">
    <w:name w:val="Hyperlink"/>
    <w:basedOn w:val="DefaultParagraphFont"/>
    <w:uiPriority w:val="99"/>
    <w:unhideWhenUsed/>
    <w:rsid w:val="003020A7"/>
    <w:rPr>
      <w:color w:val="0563C1" w:themeColor="hyperlink"/>
      <w:u w:val="single"/>
    </w:rPr>
  </w:style>
  <w:style w:type="character" w:styleId="UnresolvedMention">
    <w:name w:val="Unresolved Mention"/>
    <w:basedOn w:val="DefaultParagraphFont"/>
    <w:uiPriority w:val="99"/>
    <w:semiHidden/>
    <w:unhideWhenUsed/>
    <w:rsid w:val="003020A7"/>
    <w:rPr>
      <w:color w:val="605E5C"/>
      <w:shd w:val="clear" w:color="auto" w:fill="E1DFDD"/>
    </w:rPr>
  </w:style>
  <w:style w:type="character" w:styleId="Mention">
    <w:name w:val="Mention"/>
    <w:basedOn w:val="DefaultParagraphFont"/>
    <w:uiPriority w:val="99"/>
    <w:unhideWhenUsed/>
    <w:rsid w:val="003020A7"/>
    <w:rPr>
      <w:color w:val="2B579A"/>
      <w:shd w:val="clear" w:color="auto" w:fill="E1DFDD"/>
    </w:rPr>
  </w:style>
  <w:style w:type="character" w:styleId="FollowedHyperlink">
    <w:name w:val="FollowedHyperlink"/>
    <w:basedOn w:val="DefaultParagraphFont"/>
    <w:uiPriority w:val="99"/>
    <w:semiHidden/>
    <w:unhideWhenUsed/>
    <w:rsid w:val="003827E3"/>
    <w:rPr>
      <w:color w:val="954F72" w:themeColor="followedHyperlink"/>
      <w:u w:val="single"/>
    </w:rPr>
  </w:style>
  <w:style w:type="paragraph" w:styleId="Revision">
    <w:name w:val="Revision"/>
    <w:hidden/>
    <w:uiPriority w:val="99"/>
    <w:semiHidden/>
    <w:rsid w:val="00283543"/>
    <w:pPr>
      <w:spacing w:after="0" w:line="240" w:lineRule="auto"/>
    </w:pPr>
  </w:style>
  <w:style w:type="paragraph" w:styleId="Header">
    <w:name w:val="header"/>
    <w:basedOn w:val="Normal"/>
    <w:link w:val="HeaderChar"/>
    <w:uiPriority w:val="99"/>
    <w:unhideWhenUsed/>
    <w:rsid w:val="00C95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291"/>
  </w:style>
  <w:style w:type="paragraph" w:styleId="Footer">
    <w:name w:val="footer"/>
    <w:basedOn w:val="Normal"/>
    <w:link w:val="FooterChar"/>
    <w:uiPriority w:val="99"/>
    <w:unhideWhenUsed/>
    <w:rsid w:val="00C95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291"/>
  </w:style>
  <w:style w:type="paragraph" w:styleId="TOCHeading">
    <w:name w:val="TOC Heading"/>
    <w:basedOn w:val="Heading1"/>
    <w:next w:val="Normal"/>
    <w:uiPriority w:val="39"/>
    <w:unhideWhenUsed/>
    <w:qFormat/>
    <w:rsid w:val="00843F30"/>
    <w:pPr>
      <w:outlineLvl w:val="9"/>
    </w:pPr>
    <w:rPr>
      <w:lang w:val="en-US"/>
    </w:rPr>
  </w:style>
  <w:style w:type="paragraph" w:styleId="TOC1">
    <w:name w:val="toc 1"/>
    <w:basedOn w:val="Normal"/>
    <w:next w:val="Normal"/>
    <w:autoRedefine/>
    <w:uiPriority w:val="39"/>
    <w:unhideWhenUsed/>
    <w:rsid w:val="00843F30"/>
    <w:pPr>
      <w:spacing w:after="100"/>
    </w:pPr>
  </w:style>
  <w:style w:type="paragraph" w:styleId="TOC2">
    <w:name w:val="toc 2"/>
    <w:basedOn w:val="Normal"/>
    <w:next w:val="Normal"/>
    <w:autoRedefine/>
    <w:uiPriority w:val="39"/>
    <w:unhideWhenUsed/>
    <w:rsid w:val="00843F30"/>
    <w:pPr>
      <w:spacing w:after="100"/>
      <w:ind w:left="220"/>
    </w:pPr>
  </w:style>
  <w:style w:type="paragraph" w:styleId="TOC3">
    <w:name w:val="toc 3"/>
    <w:basedOn w:val="Normal"/>
    <w:next w:val="Normal"/>
    <w:autoRedefine/>
    <w:uiPriority w:val="39"/>
    <w:unhideWhenUsed/>
    <w:rsid w:val="00383B2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9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age.googleapis.com/files-au-climate/climate-au/p/prj291cc9979281a4ffc59d8/public_assets/Guarantee%20of%20Origin%20Scheme%20design%20paper.pdf" TargetMode="External"/><Relationship Id="rId18" Type="http://schemas.openxmlformats.org/officeDocument/2006/relationships/hyperlink" Target="https://www.dcceew.gov.au/climate-change/publications/national-greenhouse-accounts-factors-20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leanenergyregulator.gov.au/About/Policies-and-publications/fit-and-proper-person-posture" TargetMode="External"/><Relationship Id="rId17" Type="http://schemas.openxmlformats.org/officeDocument/2006/relationships/hyperlink" Target="https://storage.googleapis.com/files-au-climate/climate-au/p/prj291cc9979281a4ffc59d8/public_assets/Guarantee%20of%20Origin%20-%20Emissions%20Accounting%20Approach%20paper.pdf" TargetMode="External"/><Relationship Id="rId2" Type="http://schemas.openxmlformats.org/officeDocument/2006/relationships/customXml" Target="../customXml/item2.xml"/><Relationship Id="rId16" Type="http://schemas.openxmlformats.org/officeDocument/2006/relationships/hyperlink" Target="https://www.iphe.net/iphe-wp-methodology-doc-jul-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eanenergyregulator.gov.au/Infohub/Audits/register-of-auditors" TargetMode="External"/><Relationship Id="rId5" Type="http://schemas.openxmlformats.org/officeDocument/2006/relationships/numbering" Target="numbering.xml"/><Relationship Id="rId15" Type="http://schemas.openxmlformats.org/officeDocument/2006/relationships/hyperlink" Target="https://storage.googleapis.com/files-au-climate/climate-au/p/prj291cc9979281a4ffc59d8/public_assets/Guarantee%20of%20Origin%20Scheme%20design%20paper.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age.googleapis.com/files-au-climate/climate-au/p/prj291cc9979281a4ffc59d8/public_assets/Guarantee%20of%20Origin%20-%20Emissions%20Accounting%20Approach%20paper.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uthorship xmlns="263e80a3-83eb-403e-a237-b3125a65bc88" xsi:nil="true"/>
    <lcf76f155ced4ddcb4097134ff3c332f xmlns="263e80a3-83eb-403e-a237-b3125a65bc88">
      <Terms xmlns="http://schemas.microsoft.com/office/infopath/2007/PartnerControls"/>
    </lcf76f155ced4ddcb4097134ff3c332f>
    <TaxCatchAll xmlns="81c01dc6-2c49-4730-b140-874c95cac377" xsi:nil="true"/>
    <SharedWithUsers xmlns="a6e86820-684a-4c77-a2e2-d773523b5b34">
      <UserInfo>
        <DisplayName>Grover, Mayank</DisplayName>
        <AccountId>1493</AccountId>
        <AccountType/>
      </UserInfo>
      <UserInfo>
        <DisplayName>Dally, Brenton</DisplayName>
        <AccountId>1556</AccountId>
        <AccountType/>
      </UserInfo>
      <UserInfo>
        <DisplayName>Kennedy, Emily</DisplayName>
        <AccountId>373</AccountId>
        <AccountType/>
      </UserInfo>
      <UserInfo>
        <DisplayName>French, Emma</DisplayName>
        <AccountId>1051</AccountId>
        <AccountType/>
      </UserInfo>
      <UserInfo>
        <DisplayName>Thomson, Rebecca</DisplayName>
        <AccountId>34</AccountId>
        <AccountType/>
      </UserInfo>
      <UserInfo>
        <DisplayName>Johnston, Kim</DisplayName>
        <AccountId>1494</AccountId>
        <AccountType/>
      </UserInfo>
      <UserInfo>
        <DisplayName>Farjana, Shahjadi</DisplayName>
        <AccountId>1139</AccountId>
        <AccountType/>
      </UserInfo>
      <UserInfo>
        <DisplayName>Ikeda, Emi</DisplayName>
        <AccountId>311</AccountId>
        <AccountType/>
      </UserInfo>
      <UserInfo>
        <DisplayName>Coulahan-Davy, Aidan</DisplayName>
        <AccountId>207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5" ma:contentTypeDescription="Create a new document." ma:contentTypeScope="" ma:versionID="a438a56e1a9c73916601c05e5ef4cf6c">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4d482827addd07f1f1519612ff5bbf96"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26D71-D9C2-4CDF-86D9-EAE55B13DD93}">
  <ds:schemaRefs>
    <ds:schemaRef ds:uri="http://schemas.microsoft.com/sharepoint/v3/contenttype/forms"/>
  </ds:schemaRefs>
</ds:datastoreItem>
</file>

<file path=customXml/itemProps2.xml><?xml version="1.0" encoding="utf-8"?>
<ds:datastoreItem xmlns:ds="http://schemas.openxmlformats.org/officeDocument/2006/customXml" ds:itemID="{596BB159-B7AC-4419-A44C-076D045A7473}">
  <ds:schemaRefs>
    <ds:schemaRef ds:uri="http://schemas.openxmlformats.org/officeDocument/2006/bibliography"/>
  </ds:schemaRefs>
</ds:datastoreItem>
</file>

<file path=customXml/itemProps3.xml><?xml version="1.0" encoding="utf-8"?>
<ds:datastoreItem xmlns:ds="http://schemas.openxmlformats.org/officeDocument/2006/customXml" ds:itemID="{328F3A3C-52C9-433B-8A8C-9493079AA9EE}">
  <ds:schemaRefs>
    <ds:schemaRef ds:uri="http://schemas.microsoft.com/office/2006/metadata/properties"/>
    <ds:schemaRef ds:uri="http://schemas.microsoft.com/office/infopath/2007/PartnerControls"/>
    <ds:schemaRef ds:uri="263e80a3-83eb-403e-a237-b3125a65bc88"/>
    <ds:schemaRef ds:uri="81c01dc6-2c49-4730-b140-874c95cac377"/>
    <ds:schemaRef ds:uri="a6e86820-684a-4c77-a2e2-d773523b5b34"/>
  </ds:schemaRefs>
</ds:datastoreItem>
</file>

<file path=customXml/itemProps4.xml><?xml version="1.0" encoding="utf-8"?>
<ds:datastoreItem xmlns:ds="http://schemas.openxmlformats.org/officeDocument/2006/customXml" ds:itemID="{BA2D950B-4777-416F-BCE5-42647316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3612</Words>
  <Characters>20592</Characters>
  <Application>Microsoft Office Word</Application>
  <DocSecurity>0</DocSecurity>
  <Lines>171</Lines>
  <Paragraphs>48</Paragraphs>
  <ScaleCrop>false</ScaleCrop>
  <Company/>
  <LinksUpToDate>false</LinksUpToDate>
  <CharactersWithSpaces>24156</CharactersWithSpaces>
  <SharedDoc>false</SharedDoc>
  <HLinks>
    <vt:vector size="108" baseType="variant">
      <vt:variant>
        <vt:i4>3145836</vt:i4>
      </vt:variant>
      <vt:variant>
        <vt:i4>84</vt:i4>
      </vt:variant>
      <vt:variant>
        <vt:i4>0</vt:i4>
      </vt:variant>
      <vt:variant>
        <vt:i4>5</vt:i4>
      </vt:variant>
      <vt:variant>
        <vt:lpwstr>https://www.dcceew.gov.au/climate-change/publications/national-greenhouse-accounts-factors-2023</vt:lpwstr>
      </vt:variant>
      <vt:variant>
        <vt:lpwstr/>
      </vt:variant>
      <vt:variant>
        <vt:i4>6094889</vt:i4>
      </vt:variant>
      <vt:variant>
        <vt:i4>81</vt:i4>
      </vt:variant>
      <vt:variant>
        <vt:i4>0</vt:i4>
      </vt:variant>
      <vt:variant>
        <vt:i4>5</vt:i4>
      </vt:variant>
      <vt:variant>
        <vt:lpwstr>https://storage.googleapis.com/files-au-climate/climate-au/p/prj291cc9979281a4ffc59d8/public_assets/Guarantee of Origin - Emissions Accounting Approach paper.pdf</vt:lpwstr>
      </vt:variant>
      <vt:variant>
        <vt:lpwstr/>
      </vt:variant>
      <vt:variant>
        <vt:i4>1376271</vt:i4>
      </vt:variant>
      <vt:variant>
        <vt:i4>78</vt:i4>
      </vt:variant>
      <vt:variant>
        <vt:i4>0</vt:i4>
      </vt:variant>
      <vt:variant>
        <vt:i4>5</vt:i4>
      </vt:variant>
      <vt:variant>
        <vt:lpwstr>https://www.iphe.net/iphe-wp-methodology-doc-jul-2023</vt:lpwstr>
      </vt:variant>
      <vt:variant>
        <vt:lpwstr/>
      </vt:variant>
      <vt:variant>
        <vt:i4>2490389</vt:i4>
      </vt:variant>
      <vt:variant>
        <vt:i4>75</vt:i4>
      </vt:variant>
      <vt:variant>
        <vt:i4>0</vt:i4>
      </vt:variant>
      <vt:variant>
        <vt:i4>5</vt:i4>
      </vt:variant>
      <vt:variant>
        <vt:lpwstr>https://storage.googleapis.com/files-au-climate/climate-au/p/prj291cc9979281a4ffc59d8/public_assets/Guarantee of Origin Scheme design paper.pdf</vt:lpwstr>
      </vt:variant>
      <vt:variant>
        <vt:lpwstr/>
      </vt:variant>
      <vt:variant>
        <vt:i4>6094889</vt:i4>
      </vt:variant>
      <vt:variant>
        <vt:i4>72</vt:i4>
      </vt:variant>
      <vt:variant>
        <vt:i4>0</vt:i4>
      </vt:variant>
      <vt:variant>
        <vt:i4>5</vt:i4>
      </vt:variant>
      <vt:variant>
        <vt:lpwstr>https://storage.googleapis.com/files-au-climate/climate-au/p/prj291cc9979281a4ffc59d8/public_assets/Guarantee of Origin - Emissions Accounting Approach paper.pdf</vt:lpwstr>
      </vt:variant>
      <vt:variant>
        <vt:lpwstr/>
      </vt:variant>
      <vt:variant>
        <vt:i4>2490389</vt:i4>
      </vt:variant>
      <vt:variant>
        <vt:i4>69</vt:i4>
      </vt:variant>
      <vt:variant>
        <vt:i4>0</vt:i4>
      </vt:variant>
      <vt:variant>
        <vt:i4>5</vt:i4>
      </vt:variant>
      <vt:variant>
        <vt:lpwstr>https://storage.googleapis.com/files-au-climate/climate-au/p/prj291cc9979281a4ffc59d8/public_assets/Guarantee of Origin Scheme design paper.pdf</vt:lpwstr>
      </vt:variant>
      <vt:variant>
        <vt:lpwstr/>
      </vt:variant>
      <vt:variant>
        <vt:i4>5177371</vt:i4>
      </vt:variant>
      <vt:variant>
        <vt:i4>66</vt:i4>
      </vt:variant>
      <vt:variant>
        <vt:i4>0</vt:i4>
      </vt:variant>
      <vt:variant>
        <vt:i4>5</vt:i4>
      </vt:variant>
      <vt:variant>
        <vt:lpwstr>https://www.cleanenergyregulator.gov.au/About/Policies-and-publications/fit-and-proper-person-posture</vt:lpwstr>
      </vt:variant>
      <vt:variant>
        <vt:lpwstr/>
      </vt:variant>
      <vt:variant>
        <vt:i4>8192041</vt:i4>
      </vt:variant>
      <vt:variant>
        <vt:i4>63</vt:i4>
      </vt:variant>
      <vt:variant>
        <vt:i4>0</vt:i4>
      </vt:variant>
      <vt:variant>
        <vt:i4>5</vt:i4>
      </vt:variant>
      <vt:variant>
        <vt:lpwstr>https://www.cleanenergyregulator.gov.au/Infohub/Audits/register-of-auditors</vt:lpwstr>
      </vt:variant>
      <vt:variant>
        <vt:lpwstr/>
      </vt:variant>
      <vt:variant>
        <vt:i4>1310776</vt:i4>
      </vt:variant>
      <vt:variant>
        <vt:i4>56</vt:i4>
      </vt:variant>
      <vt:variant>
        <vt:i4>0</vt:i4>
      </vt:variant>
      <vt:variant>
        <vt:i4>5</vt:i4>
      </vt:variant>
      <vt:variant>
        <vt:lpwstr/>
      </vt:variant>
      <vt:variant>
        <vt:lpwstr>_Toc149223262</vt:lpwstr>
      </vt:variant>
      <vt:variant>
        <vt:i4>1310776</vt:i4>
      </vt:variant>
      <vt:variant>
        <vt:i4>50</vt:i4>
      </vt:variant>
      <vt:variant>
        <vt:i4>0</vt:i4>
      </vt:variant>
      <vt:variant>
        <vt:i4>5</vt:i4>
      </vt:variant>
      <vt:variant>
        <vt:lpwstr/>
      </vt:variant>
      <vt:variant>
        <vt:lpwstr>_Toc149223261</vt:lpwstr>
      </vt:variant>
      <vt:variant>
        <vt:i4>1310776</vt:i4>
      </vt:variant>
      <vt:variant>
        <vt:i4>44</vt:i4>
      </vt:variant>
      <vt:variant>
        <vt:i4>0</vt:i4>
      </vt:variant>
      <vt:variant>
        <vt:i4>5</vt:i4>
      </vt:variant>
      <vt:variant>
        <vt:lpwstr/>
      </vt:variant>
      <vt:variant>
        <vt:lpwstr>_Toc149223260</vt:lpwstr>
      </vt:variant>
      <vt:variant>
        <vt:i4>1507384</vt:i4>
      </vt:variant>
      <vt:variant>
        <vt:i4>38</vt:i4>
      </vt:variant>
      <vt:variant>
        <vt:i4>0</vt:i4>
      </vt:variant>
      <vt:variant>
        <vt:i4>5</vt:i4>
      </vt:variant>
      <vt:variant>
        <vt:lpwstr/>
      </vt:variant>
      <vt:variant>
        <vt:lpwstr>_Toc149223259</vt:lpwstr>
      </vt:variant>
      <vt:variant>
        <vt:i4>1507384</vt:i4>
      </vt:variant>
      <vt:variant>
        <vt:i4>32</vt:i4>
      </vt:variant>
      <vt:variant>
        <vt:i4>0</vt:i4>
      </vt:variant>
      <vt:variant>
        <vt:i4>5</vt:i4>
      </vt:variant>
      <vt:variant>
        <vt:lpwstr/>
      </vt:variant>
      <vt:variant>
        <vt:lpwstr>_Toc149223258</vt:lpwstr>
      </vt:variant>
      <vt:variant>
        <vt:i4>1507384</vt:i4>
      </vt:variant>
      <vt:variant>
        <vt:i4>26</vt:i4>
      </vt:variant>
      <vt:variant>
        <vt:i4>0</vt:i4>
      </vt:variant>
      <vt:variant>
        <vt:i4>5</vt:i4>
      </vt:variant>
      <vt:variant>
        <vt:lpwstr/>
      </vt:variant>
      <vt:variant>
        <vt:lpwstr>_Toc149223257</vt:lpwstr>
      </vt:variant>
      <vt:variant>
        <vt:i4>1507384</vt:i4>
      </vt:variant>
      <vt:variant>
        <vt:i4>20</vt:i4>
      </vt:variant>
      <vt:variant>
        <vt:i4>0</vt:i4>
      </vt:variant>
      <vt:variant>
        <vt:i4>5</vt:i4>
      </vt:variant>
      <vt:variant>
        <vt:lpwstr/>
      </vt:variant>
      <vt:variant>
        <vt:lpwstr>_Toc149223256</vt:lpwstr>
      </vt:variant>
      <vt:variant>
        <vt:i4>1507384</vt:i4>
      </vt:variant>
      <vt:variant>
        <vt:i4>14</vt:i4>
      </vt:variant>
      <vt:variant>
        <vt:i4>0</vt:i4>
      </vt:variant>
      <vt:variant>
        <vt:i4>5</vt:i4>
      </vt:variant>
      <vt:variant>
        <vt:lpwstr/>
      </vt:variant>
      <vt:variant>
        <vt:lpwstr>_Toc149223255</vt:lpwstr>
      </vt:variant>
      <vt:variant>
        <vt:i4>1507384</vt:i4>
      </vt:variant>
      <vt:variant>
        <vt:i4>8</vt:i4>
      </vt:variant>
      <vt:variant>
        <vt:i4>0</vt:i4>
      </vt:variant>
      <vt:variant>
        <vt:i4>5</vt:i4>
      </vt:variant>
      <vt:variant>
        <vt:lpwstr/>
      </vt:variant>
      <vt:variant>
        <vt:lpwstr>_Toc149223254</vt:lpwstr>
      </vt:variant>
      <vt:variant>
        <vt:i4>1507384</vt:i4>
      </vt:variant>
      <vt:variant>
        <vt:i4>2</vt:i4>
      </vt:variant>
      <vt:variant>
        <vt:i4>0</vt:i4>
      </vt:variant>
      <vt:variant>
        <vt:i4>5</vt:i4>
      </vt:variant>
      <vt:variant>
        <vt:lpwstr/>
      </vt:variant>
      <vt:variant>
        <vt:lpwstr>_Toc149223253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Farjana, Shahjadi</dc:creator>
  <cp:keywords/>
  <dc:description/>
  <cp:lastModifiedBy>Coulahan-Davy, Aidan</cp:lastModifiedBy>
  <cp:revision>2</cp:revision>
  <dcterms:created xsi:type="dcterms:W3CDTF">2023-10-26T03:35:00Z</dcterms:created>
  <dcterms:modified xsi:type="dcterms:W3CDTF">2023-10-26T03:35:00Z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MediaServiceImageTags">
    <vt:lpwstr/>
  </property>
</Properties>
</file>