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0CB72" w14:textId="5BC90FF8" w:rsidR="00EC00A2" w:rsidRPr="00FA46F6" w:rsidRDefault="00A57376" w:rsidP="00F702FF">
      <w:pPr>
        <w:pStyle w:val="Heading1"/>
      </w:pPr>
      <w:bookmarkStart w:id="0" w:name="_Toc19023741"/>
      <w:bookmarkStart w:id="1" w:name="_Toc19107846"/>
      <w:r w:rsidRPr="00FA46F6">
        <w:t>Explanatory Document</w:t>
      </w:r>
    </w:p>
    <w:p w14:paraId="2D59C5A2" w14:textId="1ED560C5" w:rsidR="00AD6C91" w:rsidRPr="00F81717" w:rsidRDefault="00C623E9" w:rsidP="005E0D9A">
      <w:r w:rsidRPr="00F81717">
        <w:t xml:space="preserve">Exposure draft of the </w:t>
      </w:r>
      <w:r w:rsidR="00321853" w:rsidRPr="005E0D9A">
        <w:rPr>
          <w:i/>
          <w:iCs/>
        </w:rPr>
        <w:t>National Greenhouse and Energy Reporting (Safeguard Mechanism) Amendment (Production Variables Update) Rules</w:t>
      </w:r>
      <w:r w:rsidR="00A35154" w:rsidRPr="005E0D9A">
        <w:rPr>
          <w:i/>
          <w:iCs/>
        </w:rPr>
        <w:t xml:space="preserve"> (No.2)</w:t>
      </w:r>
      <w:r w:rsidR="00321853" w:rsidRPr="005E0D9A">
        <w:rPr>
          <w:i/>
          <w:iCs/>
        </w:rPr>
        <w:t xml:space="preserve"> 2023</w:t>
      </w:r>
      <w:r w:rsidR="005E0D9A">
        <w:rPr>
          <w:i/>
          <w:iCs/>
        </w:rPr>
        <w:t>.</w:t>
      </w:r>
    </w:p>
    <w:p w14:paraId="67FF9CEF" w14:textId="77777777" w:rsidR="004B4254" w:rsidRDefault="004B4254" w:rsidP="00CF28E4">
      <w:pPr>
        <w:pStyle w:val="Heading2"/>
      </w:pPr>
      <w:r>
        <w:t>About this document</w:t>
      </w:r>
    </w:p>
    <w:p w14:paraId="543468CC" w14:textId="1D7D08F2" w:rsidR="007F3363" w:rsidRPr="003515B7" w:rsidRDefault="00C623E9" w:rsidP="00CF28E4">
      <w:pPr>
        <w:pStyle w:val="Heading3"/>
        <w:rPr>
          <w:rFonts w:asciiTheme="minorHAnsi" w:eastAsiaTheme="minorHAnsi" w:hAnsiTheme="minorHAnsi" w:cstheme="minorBidi"/>
          <w:color w:val="auto"/>
          <w:sz w:val="22"/>
          <w:szCs w:val="22"/>
        </w:rPr>
      </w:pPr>
      <w:r w:rsidRPr="00C623E9">
        <w:rPr>
          <w:rFonts w:asciiTheme="minorHAnsi" w:eastAsiaTheme="minorHAnsi" w:hAnsiTheme="minorHAnsi" w:cstheme="minorBidi"/>
          <w:color w:val="auto"/>
          <w:sz w:val="22"/>
          <w:szCs w:val="22"/>
        </w:rPr>
        <w:t xml:space="preserve">This document explains the draft amendments </w:t>
      </w:r>
      <w:r>
        <w:rPr>
          <w:rFonts w:asciiTheme="minorHAnsi" w:eastAsiaTheme="minorHAnsi" w:hAnsiTheme="minorHAnsi" w:cstheme="minorBidi"/>
          <w:color w:val="auto"/>
          <w:sz w:val="22"/>
          <w:szCs w:val="22"/>
        </w:rPr>
        <w:t>set out in the</w:t>
      </w:r>
      <w:r w:rsidRPr="00C623E9">
        <w:rPr>
          <w:rFonts w:asciiTheme="minorHAnsi" w:eastAsiaTheme="minorHAnsi" w:hAnsiTheme="minorHAnsi" w:cstheme="minorBidi"/>
          <w:color w:val="auto"/>
          <w:sz w:val="22"/>
          <w:szCs w:val="22"/>
        </w:rPr>
        <w:t xml:space="preserve"> exposure draft </w:t>
      </w:r>
      <w:r w:rsidR="00321853" w:rsidRPr="00321853">
        <w:rPr>
          <w:rFonts w:asciiTheme="minorHAnsi" w:eastAsiaTheme="minorHAnsi" w:hAnsiTheme="minorHAnsi" w:cstheme="minorBidi"/>
          <w:i/>
          <w:color w:val="auto"/>
          <w:sz w:val="22"/>
          <w:szCs w:val="22"/>
        </w:rPr>
        <w:t xml:space="preserve">National Greenhouse and Energy Reporting (Safeguard Mechanism) Amendment (Production Variables Update) Rules </w:t>
      </w:r>
      <w:r w:rsidR="00A35154">
        <w:rPr>
          <w:rFonts w:asciiTheme="minorHAnsi" w:eastAsiaTheme="minorHAnsi" w:hAnsiTheme="minorHAnsi" w:cstheme="minorBidi"/>
          <w:i/>
          <w:color w:val="auto"/>
          <w:sz w:val="22"/>
          <w:szCs w:val="22"/>
        </w:rPr>
        <w:t xml:space="preserve">(No.2) </w:t>
      </w:r>
      <w:r w:rsidR="00321853" w:rsidRPr="00321853">
        <w:rPr>
          <w:rFonts w:asciiTheme="minorHAnsi" w:eastAsiaTheme="minorHAnsi" w:hAnsiTheme="minorHAnsi" w:cstheme="minorBidi"/>
          <w:i/>
          <w:color w:val="auto"/>
          <w:sz w:val="22"/>
          <w:szCs w:val="22"/>
        </w:rPr>
        <w:t xml:space="preserve">2023 </w:t>
      </w:r>
      <w:r w:rsidR="009551DE">
        <w:rPr>
          <w:rFonts w:asciiTheme="minorHAnsi" w:eastAsiaTheme="minorHAnsi" w:hAnsiTheme="minorHAnsi" w:cstheme="minorBidi"/>
          <w:color w:val="auto"/>
          <w:sz w:val="22"/>
          <w:szCs w:val="22"/>
        </w:rPr>
        <w:t xml:space="preserve">(the </w:t>
      </w:r>
      <w:r w:rsidR="009252D8">
        <w:rPr>
          <w:rFonts w:asciiTheme="minorHAnsi" w:eastAsiaTheme="minorHAnsi" w:hAnsiTheme="minorHAnsi" w:cstheme="minorBidi"/>
          <w:color w:val="auto"/>
          <w:sz w:val="22"/>
          <w:szCs w:val="22"/>
        </w:rPr>
        <w:t xml:space="preserve">draft </w:t>
      </w:r>
      <w:r w:rsidR="00430D89">
        <w:rPr>
          <w:rFonts w:asciiTheme="minorHAnsi" w:eastAsiaTheme="minorHAnsi" w:hAnsiTheme="minorHAnsi" w:cstheme="minorBidi"/>
          <w:color w:val="auto"/>
          <w:sz w:val="22"/>
          <w:szCs w:val="22"/>
        </w:rPr>
        <w:t>Amendment</w:t>
      </w:r>
      <w:r w:rsidR="00321853">
        <w:rPr>
          <w:rFonts w:asciiTheme="minorHAnsi" w:eastAsiaTheme="minorHAnsi" w:hAnsiTheme="minorHAnsi" w:cstheme="minorBidi"/>
          <w:color w:val="auto"/>
          <w:sz w:val="22"/>
          <w:szCs w:val="22"/>
        </w:rPr>
        <w:t>)</w:t>
      </w:r>
      <w:r w:rsidR="00AD6C91">
        <w:rPr>
          <w:rFonts w:asciiTheme="minorHAnsi" w:eastAsiaTheme="minorHAnsi" w:hAnsiTheme="minorHAnsi" w:cstheme="minorBidi"/>
          <w:color w:val="auto"/>
          <w:sz w:val="22"/>
          <w:szCs w:val="22"/>
        </w:rPr>
        <w:t>.</w:t>
      </w:r>
    </w:p>
    <w:bookmarkEnd w:id="0"/>
    <w:bookmarkEnd w:id="1"/>
    <w:p w14:paraId="79A52A21" w14:textId="77777777" w:rsidR="009F6D68" w:rsidRDefault="0032705C" w:rsidP="008A1F9B">
      <w:pPr>
        <w:pStyle w:val="Heading2"/>
      </w:pPr>
      <w:r>
        <w:t>Background</w:t>
      </w:r>
    </w:p>
    <w:p w14:paraId="504E33E4" w14:textId="0135C830" w:rsidR="0061217D" w:rsidRPr="0061217D" w:rsidRDefault="0061217D" w:rsidP="008A1F9B">
      <w:pPr>
        <w:pStyle w:val="Heading3"/>
      </w:pPr>
      <w:r>
        <w:t>The Safeguard Mechanism</w:t>
      </w:r>
    </w:p>
    <w:p w14:paraId="4F70F730" w14:textId="33D09AF1" w:rsidR="00AA46AB" w:rsidRPr="00AE78D3" w:rsidRDefault="00952AFE" w:rsidP="008A1F9B">
      <w:r>
        <w:t xml:space="preserve">The Safeguard Mechanism provides a robust, legislated framework that limits the net emissions of around 215 large industrial facilities—those with more than 100,000 tonnes carbon dioxide equivalent each year. </w:t>
      </w:r>
      <w:r w:rsidR="004B407C">
        <w:t>It sets legislated limits—known as baselines—on the greenhouse gas emissions of these facilities. These baselines will decline, predictably and gradually, on a trajectory consistent with achieving Australia’s emission reduction targets of 43% below 2005 levels by 2030 and net zero by 2050.</w:t>
      </w:r>
      <w:r w:rsidR="0076665A">
        <w:t xml:space="preserve"> </w:t>
      </w:r>
      <w:r w:rsidR="004B407C">
        <w:t>The Safeguard Mechanism commenced in 2016. It was reformed in 2023 to ensure that covered facilities contribute to meeting these</w:t>
      </w:r>
      <w:r w:rsidR="00D52EA9">
        <w:t xml:space="preserve"> emission reduction</w:t>
      </w:r>
      <w:r w:rsidR="004B407C">
        <w:t xml:space="preserve"> targets, while strengthening their competitiveness as the world moves to net zero.</w:t>
      </w:r>
      <w:r w:rsidR="00AE5473">
        <w:t xml:space="preserve"> </w:t>
      </w:r>
    </w:p>
    <w:p w14:paraId="6C15BFB6" w14:textId="494FF733" w:rsidR="004746D1" w:rsidRDefault="00B1655D" w:rsidP="008A1F9B">
      <w:r>
        <w:t xml:space="preserve">These reforms </w:t>
      </w:r>
      <w:r w:rsidR="0077392F">
        <w:t>were</w:t>
      </w:r>
      <w:r>
        <w:t xml:space="preserve"> implemented through the </w:t>
      </w:r>
      <w:r w:rsidRPr="00DD7EEF">
        <w:rPr>
          <w:i/>
          <w:iCs/>
        </w:rPr>
        <w:t>Safeguard Mechanism (Crediting) Amendment Act 202</w:t>
      </w:r>
      <w:r>
        <w:rPr>
          <w:i/>
          <w:iCs/>
        </w:rPr>
        <w:t>3</w:t>
      </w:r>
      <w:r>
        <w:t xml:space="preserve">, and the </w:t>
      </w:r>
      <w:r w:rsidRPr="00605590">
        <w:rPr>
          <w:i/>
          <w:iCs/>
        </w:rPr>
        <w:t>National Greenhouse and Energy Reporting (Safeguard Mechanism) Amendment (Reform) Rule</w:t>
      </w:r>
      <w:r>
        <w:rPr>
          <w:i/>
          <w:iCs/>
        </w:rPr>
        <w:t>s</w:t>
      </w:r>
      <w:r w:rsidRPr="00605590">
        <w:rPr>
          <w:i/>
          <w:iCs/>
        </w:rPr>
        <w:t xml:space="preserve"> 2023</w:t>
      </w:r>
      <w:r>
        <w:t xml:space="preserve">, which amends the </w:t>
      </w:r>
      <w:r w:rsidRPr="00605590">
        <w:rPr>
          <w:i/>
          <w:iCs/>
        </w:rPr>
        <w:t>National Greenhouse and Energy Reporting (Safeguard Mechanism) Rule 2015</w:t>
      </w:r>
      <w:r>
        <w:t xml:space="preserve"> (the Safeguard Rule).</w:t>
      </w:r>
      <w:r w:rsidR="0077392F">
        <w:t xml:space="preserve"> The reforms came into effect from 1 July 2023.</w:t>
      </w:r>
      <w:r w:rsidR="00A91BAE" w:rsidRPr="00A91BAE">
        <w:rPr>
          <w:rStyle w:val="ui-provider"/>
        </w:rPr>
        <w:t xml:space="preserve"> </w:t>
      </w:r>
      <w:r w:rsidR="00A91BAE">
        <w:rPr>
          <w:rStyle w:val="ui-provider"/>
        </w:rPr>
        <w:t>Updates to production variables and to set international best practice benchmarks were foreshadowed during the reform process.</w:t>
      </w:r>
    </w:p>
    <w:p w14:paraId="2E778A74" w14:textId="75EDD05F" w:rsidR="0055446F" w:rsidRPr="007D47B0" w:rsidRDefault="00B36B40" w:rsidP="008A1F9B">
      <w:r>
        <w:t xml:space="preserve">The Safeguard Rules provide detail on aspects </w:t>
      </w:r>
      <w:r w:rsidR="0055446F">
        <w:t>of the Safeguard Mechanism</w:t>
      </w:r>
      <w:r>
        <w:t xml:space="preserve">, </w:t>
      </w:r>
      <w:r w:rsidR="0055446F">
        <w:t xml:space="preserve">including the setting and </w:t>
      </w:r>
      <w:r w:rsidR="00DF4923">
        <w:t>decline</w:t>
      </w:r>
      <w:r w:rsidR="0055446F">
        <w:t xml:space="preserve"> of baselines, </w:t>
      </w:r>
      <w:r w:rsidR="00DF4923">
        <w:t>and arrangements for Safeguard Mechanism credit units (SMCs), which are issued to facilities with emissions below Safeguard baselines.</w:t>
      </w:r>
      <w:r w:rsidR="00D918F6">
        <w:t xml:space="preserve"> </w:t>
      </w:r>
    </w:p>
    <w:p w14:paraId="2A581446" w14:textId="77777777" w:rsidR="00234D2E" w:rsidRDefault="00E562B9" w:rsidP="008A1F9B">
      <w:pPr>
        <w:rPr>
          <w:rStyle w:val="ui-provider"/>
        </w:rPr>
      </w:pPr>
      <w:r>
        <w:rPr>
          <w:rStyle w:val="ui-provider"/>
        </w:rPr>
        <w:t xml:space="preserve">The first set of </w:t>
      </w:r>
      <w:r w:rsidR="00596975" w:rsidDel="00F53DE2">
        <w:rPr>
          <w:rStyle w:val="ui-provider"/>
        </w:rPr>
        <w:t>u</w:t>
      </w:r>
      <w:r w:rsidR="00596975">
        <w:rPr>
          <w:rStyle w:val="ui-provider"/>
        </w:rPr>
        <w:t>pdates to production variables</w:t>
      </w:r>
      <w:r w:rsidR="00F53DE2">
        <w:rPr>
          <w:rStyle w:val="ui-provider"/>
        </w:rPr>
        <w:t xml:space="preserve"> </w:t>
      </w:r>
      <w:r>
        <w:rPr>
          <w:rStyle w:val="ui-provider"/>
        </w:rPr>
        <w:t xml:space="preserve">came into effect on 7 October 2023. </w:t>
      </w:r>
    </w:p>
    <w:p w14:paraId="301F12AF" w14:textId="4113DC45" w:rsidR="008C3260" w:rsidRDefault="00A91BAE" w:rsidP="008A1F9B">
      <w:pPr>
        <w:rPr>
          <w:rStyle w:val="ui-provider"/>
        </w:rPr>
      </w:pPr>
      <w:r>
        <w:rPr>
          <w:rStyle w:val="ui-provider"/>
        </w:rPr>
        <w:t xml:space="preserve">This draft Amendment includes </w:t>
      </w:r>
      <w:r w:rsidR="00260139">
        <w:rPr>
          <w:rStyle w:val="ui-provider"/>
        </w:rPr>
        <w:t>new production variables</w:t>
      </w:r>
      <w:r w:rsidR="00364C3F">
        <w:rPr>
          <w:rStyle w:val="ui-provider"/>
        </w:rPr>
        <w:t>,</w:t>
      </w:r>
      <w:r w:rsidR="00260139">
        <w:rPr>
          <w:rStyle w:val="ui-provider"/>
        </w:rPr>
        <w:t xml:space="preserve"> </w:t>
      </w:r>
      <w:r>
        <w:rPr>
          <w:rStyle w:val="ui-provider"/>
        </w:rPr>
        <w:t>c</w:t>
      </w:r>
      <w:r w:rsidR="00622779">
        <w:rPr>
          <w:rStyle w:val="ui-provider"/>
        </w:rPr>
        <w:t xml:space="preserve">hanges </w:t>
      </w:r>
      <w:r w:rsidR="00260139">
        <w:rPr>
          <w:rStyle w:val="ui-provider"/>
        </w:rPr>
        <w:t>to existing production variables</w:t>
      </w:r>
      <w:r w:rsidR="00383AA3">
        <w:rPr>
          <w:rStyle w:val="ui-provider"/>
        </w:rPr>
        <w:t>,</w:t>
      </w:r>
      <w:r w:rsidR="00260139">
        <w:rPr>
          <w:rStyle w:val="ui-provider"/>
        </w:rPr>
        <w:t xml:space="preserve"> </w:t>
      </w:r>
      <w:r w:rsidR="00234D2E">
        <w:rPr>
          <w:rStyle w:val="ui-provider"/>
        </w:rPr>
        <w:t xml:space="preserve">and </w:t>
      </w:r>
      <w:r w:rsidR="00364C3F">
        <w:rPr>
          <w:rStyle w:val="ui-provider"/>
        </w:rPr>
        <w:t xml:space="preserve">international </w:t>
      </w:r>
      <w:r w:rsidR="00B82316">
        <w:rPr>
          <w:rStyle w:val="ui-provider"/>
        </w:rPr>
        <w:t>best practice benchmarks</w:t>
      </w:r>
      <w:r w:rsidR="00234D2E">
        <w:rPr>
          <w:rStyle w:val="ui-provider"/>
        </w:rPr>
        <w:t>, as well as</w:t>
      </w:r>
      <w:r w:rsidR="00383AA3" w:rsidDel="00234D2E">
        <w:rPr>
          <w:rStyle w:val="ui-provider"/>
        </w:rPr>
        <w:t xml:space="preserve"> </w:t>
      </w:r>
      <w:r w:rsidR="0088051F">
        <w:rPr>
          <w:rStyle w:val="ui-provider"/>
        </w:rPr>
        <w:t xml:space="preserve">technical policy changes to </w:t>
      </w:r>
      <w:r w:rsidR="00ED4712" w:rsidRPr="00ED4712">
        <w:rPr>
          <w:rStyle w:val="ui-provider"/>
        </w:rPr>
        <w:t>mitigate the risk of inadvertent outcomes</w:t>
      </w:r>
      <w:r w:rsidR="00F53DE2">
        <w:rPr>
          <w:rStyle w:val="ui-provider"/>
        </w:rPr>
        <w:t xml:space="preserve">. </w:t>
      </w:r>
      <w:r w:rsidR="005221D7">
        <w:rPr>
          <w:rStyle w:val="ui-provider"/>
        </w:rPr>
        <w:t>The draft Amendment</w:t>
      </w:r>
      <w:r w:rsidR="00744CE1">
        <w:rPr>
          <w:rStyle w:val="ui-provider"/>
        </w:rPr>
        <w:t xml:space="preserve"> </w:t>
      </w:r>
      <w:r w:rsidR="00077015">
        <w:rPr>
          <w:rStyle w:val="ui-provider"/>
        </w:rPr>
        <w:t xml:space="preserve">delivers within the carbon budget set under the </w:t>
      </w:r>
      <w:r w:rsidR="00077015" w:rsidRPr="007F0093">
        <w:rPr>
          <w:rStyle w:val="ui-provider"/>
          <w:i/>
          <w:iCs/>
        </w:rPr>
        <w:t>National Greenhouse and Energy Reporting Act</w:t>
      </w:r>
      <w:r w:rsidR="00077015">
        <w:rPr>
          <w:rStyle w:val="ui-provider"/>
        </w:rPr>
        <w:t xml:space="preserve"> 2007 (the NGER Act)</w:t>
      </w:r>
      <w:r w:rsidR="00E33126">
        <w:rPr>
          <w:rStyle w:val="ui-provider"/>
        </w:rPr>
        <w:t>.</w:t>
      </w:r>
    </w:p>
    <w:p w14:paraId="26614A4B" w14:textId="02DBB7C1" w:rsidR="00286095" w:rsidRDefault="00286095" w:rsidP="008A1F9B">
      <w:pPr>
        <w:pStyle w:val="Heading3"/>
      </w:pPr>
      <w:r>
        <w:lastRenderedPageBreak/>
        <w:t>Production Variables</w:t>
      </w:r>
    </w:p>
    <w:p w14:paraId="7D74FCF7" w14:textId="4C64CC21" w:rsidR="00C83806" w:rsidRDefault="00A62D01" w:rsidP="008A1F9B">
      <w:r>
        <w:t xml:space="preserve">Under the </w:t>
      </w:r>
      <w:r w:rsidR="00D405AB">
        <w:t>Safeguard</w:t>
      </w:r>
      <w:r>
        <w:t xml:space="preserve"> Mechanism,</w:t>
      </w:r>
      <w:r w:rsidR="00DE01EA">
        <w:t xml:space="preserve"> </w:t>
      </w:r>
      <w:r w:rsidR="00862F7A">
        <w:t xml:space="preserve">baselines </w:t>
      </w:r>
      <w:r w:rsidR="00DE01EA">
        <w:t>are production</w:t>
      </w:r>
      <w:r w:rsidR="008513C5">
        <w:t>-</w:t>
      </w:r>
      <w:r w:rsidR="00DE01EA">
        <w:t xml:space="preserve">adjusted, meaning that they increase and decrease as a facility’s production </w:t>
      </w:r>
      <w:r w:rsidR="00F34844">
        <w:t>varies</w:t>
      </w:r>
      <w:r w:rsidR="00DE01EA">
        <w:t>.</w:t>
      </w:r>
      <w:r>
        <w:t xml:space="preserve"> </w:t>
      </w:r>
      <w:r w:rsidR="00DE01EA">
        <w:t xml:space="preserve">Production </w:t>
      </w:r>
      <w:r w:rsidR="001F0C5C">
        <w:t xml:space="preserve">variables are </w:t>
      </w:r>
      <w:r w:rsidR="0089694F">
        <w:t xml:space="preserve">defined </w:t>
      </w:r>
      <w:r w:rsidR="00730538">
        <w:t>under</w:t>
      </w:r>
      <w:r w:rsidR="00FE21A4">
        <w:t xml:space="preserve"> the </w:t>
      </w:r>
      <w:r w:rsidR="004F6DCE">
        <w:t xml:space="preserve">delegated </w:t>
      </w:r>
      <w:r w:rsidR="00FE21A4">
        <w:t>Safeguard Mechanism</w:t>
      </w:r>
      <w:r w:rsidR="00771EC9">
        <w:t xml:space="preserve"> </w:t>
      </w:r>
      <w:r w:rsidR="00FE21A4">
        <w:t xml:space="preserve">legislation </w:t>
      </w:r>
      <w:r w:rsidR="0014772B">
        <w:t>as</w:t>
      </w:r>
      <w:r w:rsidR="003C55E4">
        <w:t xml:space="preserve"> the production unit</w:t>
      </w:r>
      <w:r w:rsidR="00F6627D">
        <w:t xml:space="preserve">s which set </w:t>
      </w:r>
      <w:r w:rsidR="00E6616C">
        <w:t>each facility’s baseline</w:t>
      </w:r>
      <w:r w:rsidR="00862F7A">
        <w:t>.</w:t>
      </w:r>
    </w:p>
    <w:p w14:paraId="522E44F2" w14:textId="5F82134D" w:rsidR="00DD786E" w:rsidRPr="008513C5" w:rsidRDefault="00E1750D" w:rsidP="008A1F9B">
      <w:r w:rsidRPr="008513C5">
        <w:t>P</w:t>
      </w:r>
      <w:r w:rsidR="004E5B11">
        <w:t>roduction variables</w:t>
      </w:r>
      <w:r w:rsidRPr="008513C5">
        <w:t xml:space="preserve"> </w:t>
      </w:r>
      <w:r w:rsidRPr="007F0093">
        <w:t>and</w:t>
      </w:r>
      <w:r w:rsidR="00BD459F">
        <w:t xml:space="preserve"> default</w:t>
      </w:r>
      <w:r w:rsidRPr="007F0093">
        <w:t xml:space="preserve"> emissions</w:t>
      </w:r>
      <w:r w:rsidR="00ED04FA">
        <w:t xml:space="preserve"> </w:t>
      </w:r>
      <w:r w:rsidRPr="007F0093">
        <w:t xml:space="preserve">intensity values are used to set </w:t>
      </w:r>
      <w:r w:rsidR="00BD459F">
        <w:t xml:space="preserve">existing </w:t>
      </w:r>
      <w:r w:rsidRPr="007F0093">
        <w:t>facility baselines</w:t>
      </w:r>
      <w:r w:rsidR="00B845C6" w:rsidRPr="007F0093">
        <w:t xml:space="preserve">. </w:t>
      </w:r>
      <w:r w:rsidR="004E5B11">
        <w:t>They</w:t>
      </w:r>
      <w:r w:rsidR="001D695B">
        <w:t xml:space="preserve"> </w:t>
      </w:r>
      <w:r w:rsidR="007461AC">
        <w:t xml:space="preserve">represent the </w:t>
      </w:r>
      <w:r w:rsidR="008513C5" w:rsidRPr="007F0093">
        <w:t>output of a facility (e.g. tonnes of aluminium)</w:t>
      </w:r>
      <w:r w:rsidR="009E70CE">
        <w:t>.</w:t>
      </w:r>
      <w:r w:rsidR="007726ED">
        <w:t xml:space="preserve"> </w:t>
      </w:r>
      <w:r w:rsidR="009E70CE">
        <w:t xml:space="preserve">Where </w:t>
      </w:r>
      <w:r w:rsidR="007726ED">
        <w:t>it is impractical</w:t>
      </w:r>
      <w:r w:rsidR="00D62479">
        <w:t xml:space="preserve"> </w:t>
      </w:r>
      <w:r w:rsidR="006A131C">
        <w:t>to use output</w:t>
      </w:r>
      <w:r w:rsidR="009E70CE">
        <w:t xml:space="preserve"> for a </w:t>
      </w:r>
      <w:r w:rsidR="004E5B11">
        <w:t>production variable</w:t>
      </w:r>
      <w:r w:rsidR="004C5D4A">
        <w:t xml:space="preserve"> </w:t>
      </w:r>
      <w:r w:rsidR="004E5B11">
        <w:t>metric</w:t>
      </w:r>
      <w:r w:rsidR="008513C5" w:rsidRPr="007F0093">
        <w:t>,</w:t>
      </w:r>
      <w:r w:rsidR="001A73FB">
        <w:t xml:space="preserve"> </w:t>
      </w:r>
      <w:r w:rsidR="008513C5" w:rsidRPr="007F0093">
        <w:t>a</w:t>
      </w:r>
      <w:r w:rsidR="00DC3553">
        <w:t xml:space="preserve"> facility</w:t>
      </w:r>
      <w:r w:rsidR="008513C5" w:rsidRPr="007F0093">
        <w:t xml:space="preserve"> input or intermediate product</w:t>
      </w:r>
      <w:r w:rsidR="009E70CE">
        <w:t xml:space="preserve"> is sough</w:t>
      </w:r>
      <w:r w:rsidR="001B124A">
        <w:t>t</w:t>
      </w:r>
      <w:r w:rsidR="001D695B">
        <w:t xml:space="preserve"> as an alternative</w:t>
      </w:r>
      <w:r w:rsidR="008513C5" w:rsidRPr="007F0093">
        <w:t>.</w:t>
      </w:r>
    </w:p>
    <w:p w14:paraId="7C7F2294" w14:textId="31F60DD9" w:rsidR="000B7E7A" w:rsidRDefault="0036063B" w:rsidP="008A1F9B">
      <w:r>
        <w:t xml:space="preserve">As </w:t>
      </w:r>
      <w:r w:rsidR="004E5B11">
        <w:t>part of implementing the Safeguard Mechanism reforms</w:t>
      </w:r>
      <w:r>
        <w:t>, t</w:t>
      </w:r>
      <w:r w:rsidR="00112A38">
        <w:t>h</w:t>
      </w:r>
      <w:r w:rsidR="00871065">
        <w:t xml:space="preserve">e </w:t>
      </w:r>
      <w:r w:rsidR="007329B5">
        <w:t xml:space="preserve">draft </w:t>
      </w:r>
      <w:r w:rsidR="007911F7">
        <w:t>A</w:t>
      </w:r>
      <w:r w:rsidR="00871065">
        <w:t xml:space="preserve">mendment </w:t>
      </w:r>
      <w:r w:rsidR="007329B5">
        <w:t xml:space="preserve">makes technical changes to add </w:t>
      </w:r>
      <w:r w:rsidR="00D14CDD">
        <w:t xml:space="preserve">new </w:t>
      </w:r>
      <w:r w:rsidR="0058449F">
        <w:t>production variable</w:t>
      </w:r>
      <w:r w:rsidR="00D14CDD">
        <w:t xml:space="preserve"> definitions</w:t>
      </w:r>
      <w:r w:rsidR="00A96C5B">
        <w:t>, update</w:t>
      </w:r>
      <w:r w:rsidR="004E5B11">
        <w:t>s</w:t>
      </w:r>
      <w:r w:rsidR="00A96C5B">
        <w:t xml:space="preserve"> existing </w:t>
      </w:r>
      <w:r w:rsidR="0058449F">
        <w:t>production variable</w:t>
      </w:r>
      <w:r w:rsidR="00A96C5B">
        <w:t xml:space="preserve"> definitions and</w:t>
      </w:r>
      <w:r w:rsidR="00D14CDD">
        <w:t xml:space="preserve"> </w:t>
      </w:r>
      <w:r w:rsidR="007C3CD1">
        <w:t>set</w:t>
      </w:r>
      <w:r w:rsidR="004E5B11">
        <w:t>s</w:t>
      </w:r>
      <w:r w:rsidR="007C3CD1">
        <w:t xml:space="preserve"> </w:t>
      </w:r>
      <w:r w:rsidR="0066378C">
        <w:t>new or updated</w:t>
      </w:r>
      <w:r w:rsidR="007C3CD1">
        <w:t xml:space="preserve"> industry average emissions intensities (also referred to as default emissions intensities) </w:t>
      </w:r>
      <w:r w:rsidR="00BB1542">
        <w:t>to ensure a comprehensive set of suitable production variables is in place for setting Safeguard Mechanism baselines.</w:t>
      </w:r>
      <w:r w:rsidR="002D47BE">
        <w:t xml:space="preserve"> </w:t>
      </w:r>
      <w:r w:rsidR="002D47BE">
        <w:rPr>
          <w:rStyle w:val="CommentReference"/>
          <w:sz w:val="22"/>
          <w:szCs w:val="22"/>
        </w:rPr>
        <w:t>Th</w:t>
      </w:r>
      <w:r w:rsidR="004E5B11">
        <w:rPr>
          <w:rStyle w:val="CommentReference"/>
          <w:sz w:val="22"/>
          <w:szCs w:val="22"/>
        </w:rPr>
        <w:t>is is</w:t>
      </w:r>
      <w:r w:rsidR="000B1FE0">
        <w:rPr>
          <w:rStyle w:val="CommentReference"/>
          <w:sz w:val="22"/>
          <w:szCs w:val="22"/>
        </w:rPr>
        <w:t xml:space="preserve"> intended to ensure production variable definitions</w:t>
      </w:r>
      <w:r w:rsidR="00793162">
        <w:t xml:space="preserve"> </w:t>
      </w:r>
      <w:r w:rsidR="006240CA">
        <w:t>support</w:t>
      </w:r>
      <w:r w:rsidR="00E86F39">
        <w:t xml:space="preserve"> </w:t>
      </w:r>
      <w:r w:rsidR="006240CA">
        <w:t>incentives for decarbonisation.</w:t>
      </w:r>
      <w:r w:rsidR="00862E5E">
        <w:t xml:space="preserve"> </w:t>
      </w:r>
      <w:r w:rsidR="00D553D3">
        <w:t xml:space="preserve"> </w:t>
      </w:r>
    </w:p>
    <w:p w14:paraId="53E7DD8C" w14:textId="2C921D69" w:rsidR="00215A5E" w:rsidRDefault="00215A5E" w:rsidP="008A1F9B">
      <w:r>
        <w:t>In summary, the draft Amendment</w:t>
      </w:r>
      <w:r w:rsidR="00FB5C53">
        <w:t>:</w:t>
      </w:r>
    </w:p>
    <w:p w14:paraId="4F938704" w14:textId="05F5BFD8" w:rsidR="00FB5C53" w:rsidRDefault="00AA5FC0" w:rsidP="008A1F9B">
      <w:pPr>
        <w:pStyle w:val="ListParagraph"/>
        <w:numPr>
          <w:ilvl w:val="0"/>
          <w:numId w:val="31"/>
        </w:numPr>
      </w:pPr>
      <w:r>
        <w:t>A</w:t>
      </w:r>
      <w:r w:rsidR="00FB5C53">
        <w:t>mends the steel production variables</w:t>
      </w:r>
      <w:r w:rsidR="00296B42">
        <w:t xml:space="preserve"> </w:t>
      </w:r>
      <w:r w:rsidR="00FB5C53">
        <w:t xml:space="preserve">to </w:t>
      </w:r>
      <w:r w:rsidR="00D553D3">
        <w:t xml:space="preserve">ensure the definitions are technologically </w:t>
      </w:r>
      <w:r>
        <w:t>neutral and broadly applicable</w:t>
      </w:r>
      <w:r w:rsidR="0AEAE46C">
        <w:t>;</w:t>
      </w:r>
    </w:p>
    <w:p w14:paraId="3D588093" w14:textId="799D655F" w:rsidR="5CB18E1B" w:rsidRDefault="5CB18E1B" w:rsidP="008A1F9B">
      <w:pPr>
        <w:pStyle w:val="ListParagraph"/>
        <w:numPr>
          <w:ilvl w:val="0"/>
          <w:numId w:val="31"/>
        </w:numPr>
      </w:pPr>
      <w:r>
        <w:t xml:space="preserve">Amends the </w:t>
      </w:r>
      <w:r w:rsidR="727C781D" w:rsidRPr="68FCF136">
        <w:t xml:space="preserve">rail transport definition to be technology-neutral, relevant to four rail </w:t>
      </w:r>
      <w:r w:rsidR="00667B37">
        <w:t>production variable</w:t>
      </w:r>
      <w:r w:rsidR="00667B37" w:rsidRPr="68FCF136">
        <w:t>s</w:t>
      </w:r>
      <w:r w:rsidR="727C781D" w:rsidRPr="68FCF136">
        <w:t>;</w:t>
      </w:r>
    </w:p>
    <w:p w14:paraId="4D491A37" w14:textId="5B27EAF9" w:rsidR="00786014" w:rsidRDefault="00786014" w:rsidP="008A1F9B">
      <w:pPr>
        <w:pStyle w:val="ListParagraph"/>
        <w:numPr>
          <w:ilvl w:val="0"/>
          <w:numId w:val="31"/>
        </w:numPr>
      </w:pPr>
      <w:r>
        <w:t>Amends the sodium cyanide production variable so that it can include sodium cyanide manufactured using caustic soda imported to a facility;</w:t>
      </w:r>
    </w:p>
    <w:p w14:paraId="0EAA61E0" w14:textId="774A3AEE" w:rsidR="00667B37" w:rsidRDefault="00667B37" w:rsidP="008A1F9B">
      <w:pPr>
        <w:pStyle w:val="ListParagraph"/>
        <w:numPr>
          <w:ilvl w:val="0"/>
          <w:numId w:val="31"/>
        </w:numPr>
      </w:pPr>
      <w:r>
        <w:t>Amends the definition of ‘intermediate nickel products’, relevant to three nickel production variables;</w:t>
      </w:r>
    </w:p>
    <w:p w14:paraId="69AF8C60" w14:textId="2646E5B3" w:rsidR="00FB5C53" w:rsidRDefault="00FB5C53" w:rsidP="008A1F9B">
      <w:pPr>
        <w:pStyle w:val="ListParagraph"/>
        <w:numPr>
          <w:ilvl w:val="0"/>
          <w:numId w:val="31"/>
        </w:numPr>
      </w:pPr>
      <w:r>
        <w:t>Inserts seven new production variables</w:t>
      </w:r>
      <w:r w:rsidR="00786014">
        <w:t>:</w:t>
      </w:r>
      <w:r>
        <w:t xml:space="preserve"> mine rehabilitation, two hydrogen </w:t>
      </w:r>
      <w:r w:rsidR="0058449F">
        <w:t>production variable</w:t>
      </w:r>
      <w:r>
        <w:t>s, lithium ore, renewable diesel, renewable aviation kerosene</w:t>
      </w:r>
      <w:r w:rsidR="00564BC9">
        <w:t>,</w:t>
      </w:r>
      <w:r>
        <w:t xml:space="preserve"> and exported steam</w:t>
      </w:r>
      <w:r w:rsidR="00564BC9" w:rsidRPr="00564BC9">
        <w:t xml:space="preserve"> </w:t>
      </w:r>
      <w:r w:rsidR="00564BC9">
        <w:t>related to the ethene production activity</w:t>
      </w:r>
      <w:r w:rsidR="00C13C2D">
        <w:t>;</w:t>
      </w:r>
      <w:r>
        <w:t xml:space="preserve"> </w:t>
      </w:r>
    </w:p>
    <w:p w14:paraId="0EA93C9C" w14:textId="4DE9883C" w:rsidR="00FB5C53" w:rsidRDefault="00FB5C53" w:rsidP="008A1F9B">
      <w:pPr>
        <w:pStyle w:val="ListParagraph"/>
        <w:numPr>
          <w:ilvl w:val="0"/>
          <w:numId w:val="31"/>
        </w:numPr>
      </w:pPr>
      <w:r>
        <w:t>Inserts six new default emissions intensity values for lithium hydroxide, lithium ore, mine rehabilitation, exported steam</w:t>
      </w:r>
      <w:r w:rsidR="00564BC9" w:rsidRPr="00564BC9">
        <w:t xml:space="preserve"> </w:t>
      </w:r>
      <w:r w:rsidR="00564BC9">
        <w:t>related to the ethene production activity</w:t>
      </w:r>
      <w:r>
        <w:t>, refined lead</w:t>
      </w:r>
      <w:r w:rsidR="00564BC9">
        <w:t>,</w:t>
      </w:r>
      <w:r>
        <w:t xml:space="preserve"> and ethane</w:t>
      </w:r>
      <w:r w:rsidR="000C13E1">
        <w:t>;</w:t>
      </w:r>
    </w:p>
    <w:p w14:paraId="0D86D835" w14:textId="08E6C4FE" w:rsidR="00FB5C53" w:rsidRDefault="00FB5C53" w:rsidP="008A1F9B">
      <w:pPr>
        <w:pStyle w:val="ListParagraph"/>
        <w:numPr>
          <w:ilvl w:val="0"/>
          <w:numId w:val="31"/>
        </w:numPr>
      </w:pPr>
      <w:r>
        <w:t xml:space="preserve">Updates six existing default emissions intensities for zinc-in-fume, ethene, polyethene, newsprint and three steel sector </w:t>
      </w:r>
      <w:r w:rsidR="0058449F">
        <w:t>production variable</w:t>
      </w:r>
      <w:r>
        <w:t>s</w:t>
      </w:r>
      <w:r w:rsidR="00513E00">
        <w:t xml:space="preserve"> (metallic iron, primary steel and pellets)</w:t>
      </w:r>
      <w:r>
        <w:t xml:space="preserve"> to better reflect current industry conditions or changed production variable definitions</w:t>
      </w:r>
      <w:r w:rsidR="000C13E1">
        <w:t>; and</w:t>
      </w:r>
    </w:p>
    <w:p w14:paraId="0C5F2105" w14:textId="2C0FDFA6" w:rsidR="00FB5C53" w:rsidRDefault="00FB5C53" w:rsidP="008A1F9B">
      <w:pPr>
        <w:pStyle w:val="ListParagraph"/>
        <w:numPr>
          <w:ilvl w:val="0"/>
          <w:numId w:val="31"/>
        </w:numPr>
      </w:pPr>
      <w:r>
        <w:t xml:space="preserve">Alongside the existing default value for the petroleum refining </w:t>
      </w:r>
      <w:r w:rsidR="0058449F">
        <w:t>production variable</w:t>
      </w:r>
      <w:r>
        <w:t xml:space="preserve">, </w:t>
      </w:r>
      <w:r w:rsidR="000C13E1">
        <w:t xml:space="preserve">sets </w:t>
      </w:r>
      <w:r>
        <w:t xml:space="preserve">an updated default emissions intensity value that reflects the higher emissions intensity associated with meeting legislated </w:t>
      </w:r>
      <w:r w:rsidR="00786014">
        <w:t xml:space="preserve">sulfur </w:t>
      </w:r>
      <w:r>
        <w:t>standards</w:t>
      </w:r>
      <w:r w:rsidR="00513E00">
        <w:t xml:space="preserve"> for </w:t>
      </w:r>
      <w:r w:rsidR="00F66732">
        <w:t>petrol</w:t>
      </w:r>
      <w:r>
        <w:t xml:space="preserve">. This </w:t>
      </w:r>
      <w:r w:rsidR="00513E00">
        <w:t>default value may</w:t>
      </w:r>
      <w:r>
        <w:t xml:space="preserve"> be used by a refinery complying with the </w:t>
      </w:r>
      <w:r w:rsidR="00786014">
        <w:t xml:space="preserve">sulfur </w:t>
      </w:r>
      <w:r>
        <w:t>standards</w:t>
      </w:r>
      <w:r w:rsidR="00627D4A" w:rsidRPr="00890EE8">
        <w:rPr>
          <w:color w:val="000000" w:themeColor="accent5"/>
        </w:rPr>
        <w:t>.</w:t>
      </w:r>
    </w:p>
    <w:p w14:paraId="43785ED4" w14:textId="3DAFBE2A" w:rsidR="00862E5E" w:rsidRDefault="00862E5E" w:rsidP="008A1F9B">
      <w:r>
        <w:t xml:space="preserve">The draft Amendment completes the </w:t>
      </w:r>
      <w:r w:rsidR="0058449F">
        <w:t>production variable</w:t>
      </w:r>
      <w:r>
        <w:t xml:space="preserve"> review process ensuring </w:t>
      </w:r>
      <w:r w:rsidR="0058449F">
        <w:t>production variable</w:t>
      </w:r>
      <w:r>
        <w:t xml:space="preserve">s are available for </w:t>
      </w:r>
      <w:r w:rsidR="00513E00">
        <w:t xml:space="preserve">setting </w:t>
      </w:r>
      <w:r w:rsidR="008566E0">
        <w:t>Safeguard</w:t>
      </w:r>
      <w:r w:rsidR="00513E00">
        <w:t xml:space="preserve"> </w:t>
      </w:r>
      <w:r>
        <w:t>facilities’</w:t>
      </w:r>
      <w:r w:rsidR="00513E00">
        <w:t xml:space="preserve"> baselines </w:t>
      </w:r>
      <w:r w:rsidR="001445DE">
        <w:t>from</w:t>
      </w:r>
      <w:r w:rsidR="00513E00">
        <w:t xml:space="preserve"> </w:t>
      </w:r>
      <w:r w:rsidR="00E6407A">
        <w:t>2023-24</w:t>
      </w:r>
      <w:r w:rsidR="001445DE">
        <w:t>, the first compliance year of the reformed Safeguard Mechanism.</w:t>
      </w:r>
    </w:p>
    <w:p w14:paraId="751FA3C1" w14:textId="659CDD0F" w:rsidR="00A45416" w:rsidRPr="0066378C" w:rsidRDefault="00A45416" w:rsidP="008A1F9B">
      <w:pPr>
        <w:pStyle w:val="Heading3"/>
      </w:pPr>
      <w:r w:rsidRPr="0066378C">
        <w:t>International best practice benchmarks</w:t>
      </w:r>
    </w:p>
    <w:p w14:paraId="3FD13BAD" w14:textId="7803A038" w:rsidR="000102A5" w:rsidRDefault="000102A5" w:rsidP="008A1F9B">
      <w:r>
        <w:t>Following public consultation from July to August 2023 on guidelines for setting international best practice benchmarks</w:t>
      </w:r>
      <w:r w:rsidR="284E4167">
        <w:t xml:space="preserve"> (the guidelines)</w:t>
      </w:r>
      <w:r>
        <w:t xml:space="preserve">, the </w:t>
      </w:r>
      <w:r w:rsidR="00132AD8">
        <w:t xml:space="preserve">draft </w:t>
      </w:r>
      <w:r>
        <w:t xml:space="preserve">Amendment outlines best practice emissions intensity values for </w:t>
      </w:r>
      <w:r w:rsidR="007E5334">
        <w:t>20 benchmarks</w:t>
      </w:r>
      <w:r w:rsidR="00862E5E" w:rsidDel="00D452D4">
        <w:t>, including</w:t>
      </w:r>
      <w:r>
        <w:t xml:space="preserve"> priority production variables. </w:t>
      </w:r>
      <w:r w:rsidR="6740A727">
        <w:t xml:space="preserve">The best practice </w:t>
      </w:r>
      <w:r w:rsidR="001B22C7">
        <w:lastRenderedPageBreak/>
        <w:t xml:space="preserve">emissions intensity values </w:t>
      </w:r>
      <w:r w:rsidR="6740A727">
        <w:t>have been set in accordance with the guidelines.</w:t>
      </w:r>
      <w:r>
        <w:t xml:space="preserve"> </w:t>
      </w:r>
      <w:r w:rsidR="008525EF">
        <w:t>The Government anticipates setting a further tranche of interna</w:t>
      </w:r>
      <w:r w:rsidR="00DD5B76">
        <w:t>t</w:t>
      </w:r>
      <w:r w:rsidR="008525EF">
        <w:t>ion</w:t>
      </w:r>
      <w:r w:rsidR="00DD5B76">
        <w:t>a</w:t>
      </w:r>
      <w:r w:rsidR="008525EF">
        <w:t xml:space="preserve">l best practice benchmarks </w:t>
      </w:r>
      <w:r w:rsidR="00DD5B76">
        <w:t>by</w:t>
      </w:r>
      <w:r w:rsidR="008525EF">
        <w:t xml:space="preserve"> </w:t>
      </w:r>
      <w:r w:rsidR="00DD5B76">
        <w:t>mid-2024.</w:t>
      </w:r>
    </w:p>
    <w:p w14:paraId="697C7802" w14:textId="573CE6F4" w:rsidR="00C82FC4" w:rsidRDefault="000102A5" w:rsidP="008A1F9B">
      <w:r>
        <w:t xml:space="preserve">The Government considered emerging international methane emissions standards in </w:t>
      </w:r>
      <w:r w:rsidR="00523EFD">
        <w:t xml:space="preserve">setting the </w:t>
      </w:r>
      <w:r>
        <w:t xml:space="preserve">benchmark values for </w:t>
      </w:r>
      <w:r w:rsidR="00512AF1">
        <w:t xml:space="preserve">the </w:t>
      </w:r>
      <w:r>
        <w:t>production variables</w:t>
      </w:r>
      <w:r w:rsidR="00512AF1">
        <w:t xml:space="preserve"> in the coal, oil and gas sectors</w:t>
      </w:r>
      <w:r>
        <w:t xml:space="preserve">. </w:t>
      </w:r>
      <w:r w:rsidR="00523EFD">
        <w:t>The Department compared the standards set in the UNEP’s Metcoal Methane Partnership and Oil and Gas Methane Partnership 2.0 to the relevant draft benchmarks</w:t>
      </w:r>
      <w:r w:rsidR="00DE46DF">
        <w:t xml:space="preserve">. </w:t>
      </w:r>
      <w:r w:rsidR="00523EFD">
        <w:t xml:space="preserve"> </w:t>
      </w:r>
      <w:r w:rsidR="00563771">
        <w:t xml:space="preserve">By setting the benchmarks on </w:t>
      </w:r>
      <w:r w:rsidR="004D24FB">
        <w:t>the best facilities internationally, the</w:t>
      </w:r>
      <w:r w:rsidR="00DE46DF">
        <w:t xml:space="preserve"> </w:t>
      </w:r>
      <w:r w:rsidR="00523EFD">
        <w:t xml:space="preserve">method detailed in the updated guidelines </w:t>
      </w:r>
      <w:r w:rsidR="004D24FB">
        <w:t xml:space="preserve">results in standards </w:t>
      </w:r>
      <w:r w:rsidR="00523EFD">
        <w:t>more stringent than the emerging international methane emissions standards</w:t>
      </w:r>
      <w:r w:rsidR="00C82FC4">
        <w:t xml:space="preserve">. </w:t>
      </w:r>
      <w:r w:rsidR="00C33250">
        <w:t xml:space="preserve">Further detail is at </w:t>
      </w:r>
      <w:r w:rsidR="00C33250" w:rsidRPr="00890EE8">
        <w:rPr>
          <w:b/>
        </w:rPr>
        <w:t>Attachment A</w:t>
      </w:r>
      <w:r w:rsidR="00C33250">
        <w:t>.</w:t>
      </w:r>
    </w:p>
    <w:p w14:paraId="15F743EA" w14:textId="0FA779EA" w:rsidR="00931AFF" w:rsidRDefault="00931AFF" w:rsidP="008A1F9B">
      <w:pPr>
        <w:pStyle w:val="Heading3"/>
      </w:pPr>
      <w:r>
        <w:t>Other amendments</w:t>
      </w:r>
    </w:p>
    <w:p w14:paraId="0B7578BD" w14:textId="32DE1360" w:rsidR="006F3238" w:rsidRDefault="47DD7ADE" w:rsidP="00DD136B">
      <w:r>
        <w:t xml:space="preserve">The draft Amendment includes a number of technical amendments to the Safeguard Rule to better clarify the original policy intent </w:t>
      </w:r>
      <w:r w:rsidR="100123F0">
        <w:t>and mitigate the risk of inadvertent outcomes</w:t>
      </w:r>
      <w:r w:rsidR="6C36DB57">
        <w:t>:</w:t>
      </w:r>
    </w:p>
    <w:p w14:paraId="729C8E29" w14:textId="2CFEFFF8" w:rsidR="009A47F3" w:rsidRPr="009A47F3" w:rsidRDefault="77620F12" w:rsidP="6B5F9F35">
      <w:pPr>
        <w:pStyle w:val="paragraph"/>
        <w:numPr>
          <w:ilvl w:val="0"/>
          <w:numId w:val="35"/>
        </w:numPr>
        <w:spacing w:before="0" w:beforeAutospacing="0" w:after="0" w:afterAutospacing="0"/>
        <w:textAlignment w:val="baseline"/>
        <w:rPr>
          <w:rFonts w:ascii="Segoe UI" w:hAnsi="Segoe UI" w:cs="Segoe UI"/>
          <w:sz w:val="18"/>
          <w:szCs w:val="18"/>
        </w:rPr>
      </w:pPr>
      <w:r w:rsidRPr="6B5F9F35">
        <w:rPr>
          <w:rStyle w:val="normaltextrun"/>
          <w:rFonts w:ascii="Calibri" w:hAnsi="Calibri" w:cs="Calibri"/>
          <w:sz w:val="22"/>
          <w:szCs w:val="22"/>
          <w:lang w:val="en-GB"/>
        </w:rPr>
        <w:t>To clarify that if an existing facility does not have an emissions intensity determination in place, and the relevant best practice emissions intensity number has not been set, then the emissions intensity for that production variable is zero.</w:t>
      </w:r>
      <w:r w:rsidRPr="6B5F9F35">
        <w:rPr>
          <w:rStyle w:val="eop"/>
          <w:rFonts w:ascii="Calibri" w:eastAsiaTheme="majorEastAsia" w:hAnsi="Calibri" w:cs="Calibri"/>
          <w:sz w:val="22"/>
          <w:szCs w:val="22"/>
        </w:rPr>
        <w:t> </w:t>
      </w:r>
      <w:r w:rsidRPr="6B5F9F35">
        <w:rPr>
          <w:rStyle w:val="normaltextrun"/>
          <w:rFonts w:ascii="Calibri" w:hAnsi="Calibri" w:cs="Calibri"/>
          <w:sz w:val="22"/>
          <w:szCs w:val="22"/>
          <w:lang w:val="en-GB"/>
        </w:rPr>
        <w:t xml:space="preserve">This change would only impact a facility that is eligible to apply for an emissions intensity determination </w:t>
      </w:r>
      <w:r w:rsidR="000633DC">
        <w:rPr>
          <w:rStyle w:val="normaltextrun"/>
          <w:rFonts w:ascii="Calibri" w:hAnsi="Calibri" w:cs="Calibri"/>
          <w:sz w:val="22"/>
          <w:szCs w:val="22"/>
          <w:lang w:val="en-GB"/>
        </w:rPr>
        <w:t xml:space="preserve">(because there was historical production) </w:t>
      </w:r>
      <w:r w:rsidRPr="6B5F9F35">
        <w:rPr>
          <w:rStyle w:val="normaltextrun"/>
          <w:rFonts w:ascii="Calibri" w:hAnsi="Calibri" w:cs="Calibri"/>
          <w:sz w:val="22"/>
          <w:szCs w:val="22"/>
          <w:lang w:val="en-GB"/>
        </w:rPr>
        <w:t>but chooses not to do so. It is designed to ensure compliance with the requirements of the scheme.</w:t>
      </w:r>
      <w:r w:rsidRPr="6B5F9F35">
        <w:rPr>
          <w:rStyle w:val="eop"/>
          <w:rFonts w:ascii="Calibri" w:eastAsiaTheme="majorEastAsia" w:hAnsi="Calibri" w:cs="Calibri"/>
          <w:sz w:val="22"/>
          <w:szCs w:val="22"/>
        </w:rPr>
        <w:t> </w:t>
      </w:r>
    </w:p>
    <w:p w14:paraId="3211300E" w14:textId="5490A793" w:rsidR="004E10EF" w:rsidRDefault="00687259" w:rsidP="004E10EF">
      <w:pPr>
        <w:pStyle w:val="ListParagraph"/>
        <w:numPr>
          <w:ilvl w:val="0"/>
          <w:numId w:val="35"/>
        </w:numPr>
      </w:pPr>
      <w:r>
        <w:t>Clarify</w:t>
      </w:r>
      <w:r w:rsidR="00387277">
        <w:t>ing</w:t>
      </w:r>
      <w:r>
        <w:t xml:space="preserve"> that if there was commercial production in any historical financial year then the facility is an existing facility and has a historical production variable</w:t>
      </w:r>
      <w:r w:rsidR="00185207">
        <w:t>.</w:t>
      </w:r>
    </w:p>
    <w:p w14:paraId="34D19C4D" w14:textId="621B175F" w:rsidR="0071622D" w:rsidRDefault="00BD4A65">
      <w:pPr>
        <w:pStyle w:val="ListParagraph"/>
        <w:numPr>
          <w:ilvl w:val="0"/>
          <w:numId w:val="35"/>
        </w:numPr>
      </w:pPr>
      <w:r>
        <w:t>C</w:t>
      </w:r>
      <w:r w:rsidRPr="00BD4A65">
        <w:t>larify</w:t>
      </w:r>
      <w:r w:rsidR="00387277">
        <w:t>ing</w:t>
      </w:r>
      <w:r w:rsidRPr="00BD4A65">
        <w:t xml:space="preserve"> </w:t>
      </w:r>
      <w:r w:rsidR="0043448A">
        <w:t>that</w:t>
      </w:r>
      <w:r w:rsidRPr="00BD4A65">
        <w:t xml:space="preserve"> the landfill facility baseline calculation in subsection 30(1) refer</w:t>
      </w:r>
      <w:r w:rsidR="008837C6">
        <w:t>s</w:t>
      </w:r>
      <w:r w:rsidRPr="00BD4A65">
        <w:t xml:space="preserve"> to covered emissions</w:t>
      </w:r>
      <w:r w:rsidR="008837C6">
        <w:t>.</w:t>
      </w:r>
    </w:p>
    <w:p w14:paraId="12E1FFA1" w14:textId="64D7B620" w:rsidR="00112274" w:rsidRDefault="00413260" w:rsidP="000A1E85">
      <w:pPr>
        <w:pStyle w:val="ListParagraph"/>
        <w:numPr>
          <w:ilvl w:val="0"/>
          <w:numId w:val="35"/>
        </w:numPr>
      </w:pPr>
      <w:r>
        <w:t>Clarify</w:t>
      </w:r>
      <w:r w:rsidR="00387277">
        <w:t>ing</w:t>
      </w:r>
      <w:r>
        <w:t xml:space="preserve"> that </w:t>
      </w:r>
      <w:r w:rsidR="00986802">
        <w:t>the</w:t>
      </w:r>
      <w:r>
        <w:t xml:space="preserve"> Emissions Reduction Contribut</w:t>
      </w:r>
      <w:r w:rsidR="00925B6F">
        <w:t>ion</w:t>
      </w:r>
      <w:r>
        <w:t xml:space="preserve"> (ERC) </w:t>
      </w:r>
      <w:r w:rsidR="004F740A">
        <w:t xml:space="preserve">calculation </w:t>
      </w:r>
      <w:r w:rsidR="00986802">
        <w:t xml:space="preserve">for a trade-exposed baseline-adjusted (TEBA) </w:t>
      </w:r>
      <w:r w:rsidR="009E291F">
        <w:t xml:space="preserve">facility </w:t>
      </w:r>
      <w:r>
        <w:t xml:space="preserve">is 1 for </w:t>
      </w:r>
      <w:r w:rsidR="00640DFC">
        <w:t xml:space="preserve">the </w:t>
      </w:r>
      <w:r w:rsidR="00253746">
        <w:t xml:space="preserve">2022-23 </w:t>
      </w:r>
      <w:r w:rsidR="00925B6F">
        <w:t>financial year</w:t>
      </w:r>
      <w:r w:rsidR="004825B6">
        <w:t xml:space="preserve"> for the purpose of an application for a </w:t>
      </w:r>
      <w:r w:rsidR="004825B6" w:rsidRPr="002E194B">
        <w:t>determination that a facility is a trade</w:t>
      </w:r>
      <w:r w:rsidR="004825B6">
        <w:noBreakHyphen/>
      </w:r>
      <w:r w:rsidR="004825B6" w:rsidRPr="002E194B">
        <w:t>exposed baseline</w:t>
      </w:r>
      <w:r w:rsidR="004825B6">
        <w:noBreakHyphen/>
      </w:r>
      <w:r w:rsidR="004825B6" w:rsidRPr="002E194B">
        <w:t>adjusted facility</w:t>
      </w:r>
      <w:r w:rsidR="00925B6F">
        <w:t>.</w:t>
      </w:r>
    </w:p>
    <w:p w14:paraId="0B26F608" w14:textId="69A739FE" w:rsidR="00DF1855" w:rsidRDefault="004C583F" w:rsidP="00DF1855">
      <w:pPr>
        <w:pStyle w:val="ListParagraph"/>
        <w:numPr>
          <w:ilvl w:val="0"/>
          <w:numId w:val="35"/>
        </w:numPr>
      </w:pPr>
      <w:r>
        <w:t>Prevent</w:t>
      </w:r>
      <w:r w:rsidR="00387277">
        <w:t>ing</w:t>
      </w:r>
      <w:r w:rsidR="00DF1855">
        <w:t xml:space="preserve"> facilit</w:t>
      </w:r>
      <w:r>
        <w:t>ies from being eligible</w:t>
      </w:r>
      <w:r w:rsidR="00DF1855">
        <w:t xml:space="preserve"> for Safeguard Mechanism Credits (SMCs) in the first financial year of a </w:t>
      </w:r>
      <w:r w:rsidR="00BA0BA6">
        <w:t xml:space="preserve">trade-exposed baseline-adjusted (TEBA) </w:t>
      </w:r>
      <w:r w:rsidR="00DF1855">
        <w:t>determination</w:t>
      </w:r>
      <w:r w:rsidR="00474EFF">
        <w:t>, in which an exceedance over the hypothetical baseline is required for eligibility</w:t>
      </w:r>
      <w:r w:rsidR="00DF1855">
        <w:t>.</w:t>
      </w:r>
    </w:p>
    <w:p w14:paraId="2E6D0242" w14:textId="0D4AF100" w:rsidR="00437B9D" w:rsidRDefault="008F45E3" w:rsidP="000A1E85">
      <w:pPr>
        <w:pStyle w:val="ListParagraph"/>
        <w:numPr>
          <w:ilvl w:val="0"/>
          <w:numId w:val="35"/>
        </w:numPr>
      </w:pPr>
      <w:r>
        <w:t>Enabl</w:t>
      </w:r>
      <w:r w:rsidR="00387277">
        <w:t>ing</w:t>
      </w:r>
      <w:r w:rsidR="00BC7128">
        <w:t xml:space="preserve"> a facility </w:t>
      </w:r>
      <w:r w:rsidR="00F2653A">
        <w:t>that drops below the Safeguard coverage threshold to postpone</w:t>
      </w:r>
      <w:r w:rsidR="00BC7128">
        <w:t xml:space="preserve"> being an eligible facility for up to 3 years after the last covered financial year, </w:t>
      </w:r>
      <w:r w:rsidR="00D069C8">
        <w:t>and still receive SMCs</w:t>
      </w:r>
      <w:r w:rsidR="00BC7128">
        <w:t xml:space="preserve"> </w:t>
      </w:r>
      <w:r w:rsidR="00D069C8">
        <w:t>for up to</w:t>
      </w:r>
      <w:r w:rsidR="00BC7128">
        <w:t xml:space="preserve"> 10 financial years</w:t>
      </w:r>
      <w:r w:rsidR="00D069C8">
        <w:t xml:space="preserve"> in total</w:t>
      </w:r>
      <w:r w:rsidR="00AB4975">
        <w:t xml:space="preserve">. </w:t>
      </w:r>
    </w:p>
    <w:p w14:paraId="6BDBF6EB" w14:textId="4272E70E" w:rsidR="00643C94" w:rsidRDefault="00222ACE" w:rsidP="000A1E85">
      <w:pPr>
        <w:pStyle w:val="ListParagraph"/>
        <w:numPr>
          <w:ilvl w:val="0"/>
          <w:numId w:val="35"/>
        </w:numPr>
      </w:pPr>
      <w:r>
        <w:t>Prevent</w:t>
      </w:r>
      <w:r w:rsidR="00387277">
        <w:t>ing</w:t>
      </w:r>
      <w:r w:rsidR="00301AC5" w:rsidRPr="00301AC5">
        <w:t xml:space="preserve"> a facility </w:t>
      </w:r>
      <w:r w:rsidR="009672B8">
        <w:t>below the Safeguard coverage threshold from being eligible for SMCs</w:t>
      </w:r>
      <w:r w:rsidR="00301AC5" w:rsidRPr="00301AC5">
        <w:t xml:space="preserve"> if Australian carbon credit units (ACCUs) have been issued </w:t>
      </w:r>
      <w:r w:rsidR="00617E91" w:rsidRPr="00301AC5">
        <w:t xml:space="preserve">in either the current or previous financial year </w:t>
      </w:r>
      <w:r w:rsidR="00301AC5" w:rsidRPr="00301AC5">
        <w:t xml:space="preserve">that </w:t>
      </w:r>
      <w:r w:rsidR="00062B85">
        <w:t>are attributable</w:t>
      </w:r>
      <w:r w:rsidR="00301AC5" w:rsidRPr="00301AC5">
        <w:t xml:space="preserve"> to covered emissions reductions at th</w:t>
      </w:r>
      <w:r w:rsidR="00C63F43">
        <w:t>at</w:t>
      </w:r>
      <w:r w:rsidR="00301AC5" w:rsidRPr="00301AC5">
        <w:t xml:space="preserve"> facility</w:t>
      </w:r>
      <w:r w:rsidR="007E6A5C">
        <w:t>,</w:t>
      </w:r>
      <w:r w:rsidR="00617E91">
        <w:t xml:space="preserve"> to prevent a double</w:t>
      </w:r>
      <w:r w:rsidR="00F373B5">
        <w:t>-</w:t>
      </w:r>
      <w:r w:rsidR="00617E91">
        <w:t>counting issue</w:t>
      </w:r>
      <w:r w:rsidR="00F373B5">
        <w:t xml:space="preserve"> from arising in certain circumstances.</w:t>
      </w:r>
    </w:p>
    <w:p w14:paraId="3B01C3C1" w14:textId="13F8F2AF" w:rsidR="009F6D68" w:rsidRDefault="00D3113D" w:rsidP="008A1F9B">
      <w:pPr>
        <w:pStyle w:val="Heading2"/>
      </w:pPr>
      <w:r>
        <w:t>Structure of t</w:t>
      </w:r>
      <w:r w:rsidR="009252D8">
        <w:t xml:space="preserve">he draft </w:t>
      </w:r>
      <w:r w:rsidR="000F0F62">
        <w:t>Amendment</w:t>
      </w:r>
    </w:p>
    <w:p w14:paraId="117AFCCF" w14:textId="132C92E8" w:rsidR="00863808" w:rsidRDefault="00863808" w:rsidP="008A1F9B">
      <w:r>
        <w:t xml:space="preserve">The draft Amendment contains </w:t>
      </w:r>
      <w:r w:rsidR="00246C0E">
        <w:t xml:space="preserve">one </w:t>
      </w:r>
      <w:r>
        <w:t>schedule that amend</w:t>
      </w:r>
      <w:r w:rsidR="00246C0E">
        <w:t>s</w:t>
      </w:r>
      <w:r>
        <w:t xml:space="preserve"> the Safeguard Rules.</w:t>
      </w:r>
      <w:r w:rsidR="0084772C">
        <w:t xml:space="preserve"> </w:t>
      </w:r>
    </w:p>
    <w:p w14:paraId="40E9455E" w14:textId="19CA33F6" w:rsidR="00C2619E" w:rsidRDefault="00C2619E" w:rsidP="008A1F9B">
      <w:pPr>
        <w:pStyle w:val="Heading3"/>
      </w:pPr>
      <w:r>
        <w:t>Notes on clauses</w:t>
      </w:r>
    </w:p>
    <w:p w14:paraId="37543E17" w14:textId="00A21A5A" w:rsidR="00A7234D" w:rsidRPr="00C27AB6" w:rsidRDefault="00A7234D" w:rsidP="008A1F9B">
      <w:pPr>
        <w:pStyle w:val="Heading4"/>
        <w:rPr>
          <w:rStyle w:val="Strong"/>
          <w:b w:val="0"/>
        </w:rPr>
      </w:pPr>
      <w:r w:rsidRPr="00C27AB6">
        <w:rPr>
          <w:rStyle w:val="Strong"/>
          <w:b w:val="0"/>
        </w:rPr>
        <w:t xml:space="preserve">Clause 1: </w:t>
      </w:r>
      <w:r w:rsidR="0072338A" w:rsidRPr="00C27AB6">
        <w:rPr>
          <w:rStyle w:val="Strong"/>
          <w:b w:val="0"/>
        </w:rPr>
        <w:t>Name</w:t>
      </w:r>
    </w:p>
    <w:p w14:paraId="35DED591" w14:textId="2D9533B5" w:rsidR="00A7234D" w:rsidRPr="00C177E4" w:rsidRDefault="00A7234D" w:rsidP="008A1F9B">
      <w:pPr>
        <w:rPr>
          <w:iCs/>
        </w:rPr>
      </w:pPr>
      <w:r>
        <w:t xml:space="preserve">This clause provides for the draft </w:t>
      </w:r>
      <w:r w:rsidR="00D95D83">
        <w:t>Amendment</w:t>
      </w:r>
      <w:r>
        <w:t xml:space="preserve">, when enacted, to be cited as the </w:t>
      </w:r>
      <w:r w:rsidR="00D95D83" w:rsidRPr="00EA6356">
        <w:rPr>
          <w:i/>
          <w:noProof/>
        </w:rPr>
        <w:t xml:space="preserve">National Greenhouse and Energy Reporting (Safeguard Mechanism) Amendment (Production Variables Update) Rules </w:t>
      </w:r>
      <w:r w:rsidR="008458D5">
        <w:rPr>
          <w:i/>
          <w:noProof/>
        </w:rPr>
        <w:t xml:space="preserve">(No. 2) </w:t>
      </w:r>
      <w:r w:rsidR="00D95D83" w:rsidRPr="00EA6356">
        <w:rPr>
          <w:i/>
          <w:noProof/>
        </w:rPr>
        <w:t>2023</w:t>
      </w:r>
      <w:r w:rsidRPr="00C2619E">
        <w:rPr>
          <w:i/>
        </w:rPr>
        <w:t>.</w:t>
      </w:r>
    </w:p>
    <w:p w14:paraId="40B3F404" w14:textId="77777777" w:rsidR="00A7234D" w:rsidRPr="00C27AB6" w:rsidRDefault="00A7234D" w:rsidP="008A1F9B">
      <w:pPr>
        <w:pStyle w:val="Heading4"/>
        <w:rPr>
          <w:rStyle w:val="Strong"/>
          <w:b w:val="0"/>
        </w:rPr>
      </w:pPr>
      <w:r w:rsidRPr="00C27AB6">
        <w:rPr>
          <w:rStyle w:val="Strong"/>
          <w:b w:val="0"/>
        </w:rPr>
        <w:lastRenderedPageBreak/>
        <w:t>Clause 2: Commencement</w:t>
      </w:r>
    </w:p>
    <w:p w14:paraId="4D15CB78" w14:textId="0257D7BB" w:rsidR="00C13B61" w:rsidRPr="00C13B61" w:rsidRDefault="00A7234D" w:rsidP="008A1F9B">
      <w:r>
        <w:t>The table in this clause provides for the commencement of</w:t>
      </w:r>
      <w:r w:rsidR="0018170F">
        <w:t xml:space="preserve"> the</w:t>
      </w:r>
      <w:r>
        <w:t xml:space="preserve"> Schedule in the draft </w:t>
      </w:r>
      <w:r w:rsidR="00117F69">
        <w:t>Amendment</w:t>
      </w:r>
      <w:r>
        <w:t xml:space="preserve">, which is on the day after </w:t>
      </w:r>
      <w:r w:rsidR="000A4383">
        <w:t>it is registered</w:t>
      </w:r>
      <w:r>
        <w:t xml:space="preserve">. </w:t>
      </w:r>
    </w:p>
    <w:p w14:paraId="4C1DE1A2" w14:textId="77388BEA" w:rsidR="0F504B7B" w:rsidRPr="00C27AB6" w:rsidRDefault="40A4CF39" w:rsidP="008A1F9B">
      <w:pPr>
        <w:pStyle w:val="Heading4"/>
        <w:rPr>
          <w:rStyle w:val="Strong"/>
          <w:b w:val="0"/>
        </w:rPr>
      </w:pPr>
      <w:r w:rsidRPr="00C27AB6">
        <w:rPr>
          <w:rStyle w:val="Strong"/>
          <w:b w:val="0"/>
        </w:rPr>
        <w:t xml:space="preserve">Clause </w:t>
      </w:r>
      <w:r w:rsidR="2DECA84D" w:rsidRPr="00C27AB6">
        <w:rPr>
          <w:rStyle w:val="Strong"/>
          <w:b w:val="0"/>
        </w:rPr>
        <w:t>3</w:t>
      </w:r>
      <w:r w:rsidRPr="00C27AB6">
        <w:rPr>
          <w:rStyle w:val="Strong"/>
          <w:b w:val="0"/>
        </w:rPr>
        <w:t xml:space="preserve">: </w:t>
      </w:r>
      <w:r w:rsidR="4089FE26" w:rsidRPr="00C27AB6">
        <w:rPr>
          <w:rStyle w:val="Strong"/>
          <w:b w:val="0"/>
        </w:rPr>
        <w:t>Authority</w:t>
      </w:r>
    </w:p>
    <w:p w14:paraId="60C6AC29" w14:textId="3B25939E" w:rsidR="0F504B7B" w:rsidRDefault="40A4CF39" w:rsidP="008A1F9B">
      <w:r>
        <w:t>T</w:t>
      </w:r>
      <w:r w:rsidR="55B37002">
        <w:t>hi</w:t>
      </w:r>
      <w:r>
        <w:t xml:space="preserve">s clause </w:t>
      </w:r>
      <w:r w:rsidR="17DAF061">
        <w:t>states the authority under which this</w:t>
      </w:r>
      <w:r>
        <w:t xml:space="preserve"> </w:t>
      </w:r>
      <w:r w:rsidR="7833FE7A">
        <w:t>instrument is made</w:t>
      </w:r>
      <w:r>
        <w:t>.</w:t>
      </w:r>
    </w:p>
    <w:p w14:paraId="235E7FB4" w14:textId="256C9C5C" w:rsidR="00A7234D" w:rsidRPr="00C27AB6" w:rsidRDefault="00A7234D" w:rsidP="008A1F9B">
      <w:pPr>
        <w:pStyle w:val="Heading4"/>
        <w:rPr>
          <w:rStyle w:val="Strong"/>
          <w:b w:val="0"/>
        </w:rPr>
      </w:pPr>
      <w:r w:rsidRPr="00C27AB6">
        <w:rPr>
          <w:rStyle w:val="Strong"/>
          <w:b w:val="0"/>
        </w:rPr>
        <w:t xml:space="preserve">Clause </w:t>
      </w:r>
      <w:r w:rsidR="00117F69" w:rsidRPr="00C27AB6">
        <w:rPr>
          <w:rStyle w:val="Strong"/>
          <w:b w:val="0"/>
        </w:rPr>
        <w:t>4</w:t>
      </w:r>
      <w:r w:rsidRPr="00C27AB6">
        <w:rPr>
          <w:rStyle w:val="Strong"/>
          <w:b w:val="0"/>
        </w:rPr>
        <w:t>: Schedule</w:t>
      </w:r>
      <w:r w:rsidR="00F6005D" w:rsidRPr="00C27AB6">
        <w:rPr>
          <w:rStyle w:val="Strong"/>
          <w:b w:val="0"/>
        </w:rPr>
        <w:t>s</w:t>
      </w:r>
    </w:p>
    <w:p w14:paraId="7B55E31F" w14:textId="57AA63DC" w:rsidR="00A7234D" w:rsidRDefault="00A7234D" w:rsidP="008A1F9B">
      <w:r>
        <w:t xml:space="preserve">This is a machinery clause that gives effect to the provisions in the Schedule to the draft </w:t>
      </w:r>
      <w:r w:rsidR="000A4383">
        <w:t xml:space="preserve">Amendment </w:t>
      </w:r>
      <w:r>
        <w:t xml:space="preserve">according to </w:t>
      </w:r>
      <w:r w:rsidR="00255FAC">
        <w:t xml:space="preserve">its </w:t>
      </w:r>
      <w:r>
        <w:t>terms.</w:t>
      </w:r>
    </w:p>
    <w:p w14:paraId="0A184B37" w14:textId="24E736AA" w:rsidR="00C2619E" w:rsidRDefault="00C2619E" w:rsidP="008A1F9B">
      <w:pPr>
        <w:pStyle w:val="Heading3"/>
      </w:pPr>
      <w:r>
        <w:t>S</w:t>
      </w:r>
      <w:r w:rsidR="0061217D">
        <w:t>chedule</w:t>
      </w:r>
      <w:r>
        <w:t xml:space="preserve"> 1—</w:t>
      </w:r>
      <w:r w:rsidR="0060608F">
        <w:t>Amendments</w:t>
      </w:r>
    </w:p>
    <w:p w14:paraId="1D91564F" w14:textId="0E4162FB" w:rsidR="00D94269" w:rsidRDefault="0090551E" w:rsidP="008A1F9B">
      <w:pPr>
        <w:pStyle w:val="Heading4"/>
        <w:rPr>
          <w:rStyle w:val="Strong"/>
          <w:b w:val="0"/>
          <w:bCs w:val="0"/>
          <w:sz w:val="24"/>
          <w:szCs w:val="24"/>
        </w:rPr>
      </w:pPr>
      <w:r w:rsidRPr="00C27AB6">
        <w:rPr>
          <w:rStyle w:val="Strong"/>
          <w:b w:val="0"/>
        </w:rPr>
        <w:t>Outline</w:t>
      </w:r>
    </w:p>
    <w:p w14:paraId="59EBD387" w14:textId="431447AE" w:rsidR="00273250" w:rsidRPr="000D5B3E" w:rsidRDefault="4DF57C15" w:rsidP="008A1F9B">
      <w:r>
        <w:t xml:space="preserve">To enable the calculation of baselines under the Safeguard Mechanism reforms, this Schedule updates </w:t>
      </w:r>
      <w:r w:rsidR="2A819774">
        <w:t>production variable</w:t>
      </w:r>
      <w:r>
        <w:t xml:space="preserve"> definitions </w:t>
      </w:r>
      <w:r w:rsidR="22F78340">
        <w:t xml:space="preserve">and </w:t>
      </w:r>
      <w:r>
        <w:t>ensure</w:t>
      </w:r>
      <w:r w:rsidR="22F78340">
        <w:t>s</w:t>
      </w:r>
      <w:r>
        <w:t xml:space="preserve"> that each </w:t>
      </w:r>
      <w:r w:rsidR="2A819774">
        <w:t>production variable</w:t>
      </w:r>
      <w:r>
        <w:t xml:space="preserve"> </w:t>
      </w:r>
      <w:r w:rsidR="5B7863AC">
        <w:t>and default emissions inte</w:t>
      </w:r>
      <w:r w:rsidR="2F061942">
        <w:t>nsi</w:t>
      </w:r>
      <w:r w:rsidR="5B7863AC">
        <w:t>ty value is</w:t>
      </w:r>
      <w:r w:rsidR="306CDE30">
        <w:t xml:space="preserve"> </w:t>
      </w:r>
      <w:r w:rsidR="7D8E59F0">
        <w:t>robust and effective in the context of the Safeguard Mechanism reforms</w:t>
      </w:r>
      <w:r w:rsidR="6223C1B5">
        <w:t xml:space="preserve"> and declining baselines.</w:t>
      </w:r>
      <w:r w:rsidR="00A9669F">
        <w:t xml:space="preserve"> Application and transitional provisions set out the implementation of the changes.</w:t>
      </w:r>
    </w:p>
    <w:p w14:paraId="2AA48303" w14:textId="4D16E079" w:rsidR="6673BC3C" w:rsidRPr="00597E49" w:rsidRDefault="00FC57DE" w:rsidP="008A1F9B">
      <w:pPr>
        <w:pStyle w:val="Heading4"/>
        <w:rPr>
          <w:rStyle w:val="Strong"/>
          <w:b w:val="0"/>
        </w:rPr>
      </w:pPr>
      <w:r>
        <w:rPr>
          <w:rStyle w:val="Strong"/>
          <w:b w:val="0"/>
        </w:rPr>
        <w:t>Item</w:t>
      </w:r>
      <w:r w:rsidR="311C7027" w:rsidRPr="00597E49">
        <w:rPr>
          <w:rStyle w:val="Strong"/>
          <w:b w:val="0"/>
        </w:rPr>
        <w:t xml:space="preserve"> </w:t>
      </w:r>
      <w:r w:rsidR="5DAED6B7" w:rsidRPr="00597E49">
        <w:rPr>
          <w:rStyle w:val="Strong"/>
          <w:b w:val="0"/>
        </w:rPr>
        <w:t>1</w:t>
      </w:r>
      <w:r w:rsidR="311C7027" w:rsidRPr="00597E49">
        <w:rPr>
          <w:rStyle w:val="Strong"/>
          <w:b w:val="0"/>
        </w:rPr>
        <w:t xml:space="preserve"> – Historical production variable with no associated emissions intensity determination and no best practice emissions intensity number </w:t>
      </w:r>
    </w:p>
    <w:p w14:paraId="5F3960B3" w14:textId="45957BDB" w:rsidR="6673BC3C" w:rsidRPr="008805A1" w:rsidRDefault="00E33205" w:rsidP="00083C58">
      <w:r>
        <w:t>The</w:t>
      </w:r>
      <w:r w:rsidR="008A6BD0">
        <w:t xml:space="preserve"> </w:t>
      </w:r>
      <w:r w:rsidR="311C7027" w:rsidRPr="6B5F9F35">
        <w:t xml:space="preserve">definition of </w:t>
      </w:r>
      <w:r w:rsidR="0BA7667B" w:rsidRPr="6B5F9F35">
        <w:t>a b</w:t>
      </w:r>
      <w:r w:rsidR="311C7027" w:rsidRPr="6B5F9F35">
        <w:t xml:space="preserve">aseline emissions number for </w:t>
      </w:r>
      <w:r w:rsidR="629A4FAB" w:rsidRPr="6B5F9F35">
        <w:t xml:space="preserve">an </w:t>
      </w:r>
      <w:r w:rsidR="311C7027" w:rsidRPr="6B5F9F35">
        <w:t>existing facility (EI</w:t>
      </w:r>
      <w:r w:rsidR="311C7027" w:rsidRPr="008805A1">
        <w:rPr>
          <w:vertAlign w:val="subscript"/>
        </w:rPr>
        <w:t>B</w:t>
      </w:r>
      <w:r w:rsidR="311C7027" w:rsidRPr="6B5F9F35">
        <w:t xml:space="preserve">) is updated </w:t>
      </w:r>
      <w:r>
        <w:t xml:space="preserve">in section 11(1), </w:t>
      </w:r>
      <w:r w:rsidR="311C7027" w:rsidRPr="6B5F9F35">
        <w:t>so that if there is not a best practice emissions intensity number for the production variable for the financial year, and the production variable is a historical production variable for the facility and no emissions intensity determination is in place, the emissions intensity number for that facility’s production variable would be zero. This would only apply to facilities that are able to</w:t>
      </w:r>
      <w:r w:rsidR="00D71090">
        <w:t>,</w:t>
      </w:r>
      <w:r w:rsidR="311C7027" w:rsidRPr="6B5F9F35">
        <w:t xml:space="preserve"> but do not</w:t>
      </w:r>
      <w:r w:rsidR="00D71090">
        <w:t>,</w:t>
      </w:r>
      <w:r w:rsidR="311C7027" w:rsidRPr="6B5F9F35">
        <w:t xml:space="preserve"> apply for an emissions intensity determination for a historical production variable</w:t>
      </w:r>
      <w:r w:rsidR="1568F363" w:rsidRPr="6B5F9F35">
        <w:t>, and where the best practice emissions intensity would normally apply but has not been set</w:t>
      </w:r>
      <w:r w:rsidR="311C7027" w:rsidRPr="6B5F9F35">
        <w:t xml:space="preserve">. </w:t>
      </w:r>
    </w:p>
    <w:p w14:paraId="0906373A" w14:textId="5BFF57B1" w:rsidR="6673BC3C" w:rsidRPr="001946D7" w:rsidRDefault="311C7027" w:rsidP="001946D7">
      <w:r w:rsidRPr="001946D7">
        <w:t>If the production variable for a facility is not a historical production variable and there is no emissions intensity determination in place or best practice emissions intensity number for the production variable for the financial year, then the default industry average emissions intensity number would still apply.</w:t>
      </w:r>
    </w:p>
    <w:p w14:paraId="56DC5015" w14:textId="01AE5A60" w:rsidR="6673BC3C" w:rsidRDefault="00FC57DE" w:rsidP="008A1F9B">
      <w:pPr>
        <w:pStyle w:val="Heading4"/>
        <w:rPr>
          <w:rStyle w:val="Strong"/>
          <w:rFonts w:asciiTheme="minorHAnsi" w:eastAsiaTheme="minorEastAsia" w:hAnsiTheme="minorHAnsi" w:cstheme="minorBidi"/>
          <w:b w:val="0"/>
          <w:bCs w:val="0"/>
          <w:color w:val="auto"/>
          <w:sz w:val="24"/>
          <w:szCs w:val="24"/>
        </w:rPr>
      </w:pPr>
      <w:r>
        <w:rPr>
          <w:rStyle w:val="Strong"/>
          <w:b w:val="0"/>
        </w:rPr>
        <w:t>Item</w:t>
      </w:r>
      <w:r w:rsidR="22E830D6" w:rsidRPr="00C27AB6">
        <w:rPr>
          <w:rStyle w:val="Strong"/>
          <w:b w:val="0"/>
        </w:rPr>
        <w:t xml:space="preserve"> </w:t>
      </w:r>
      <w:r w:rsidR="71A4A0CE" w:rsidRPr="00C27AB6">
        <w:rPr>
          <w:rStyle w:val="Strong"/>
          <w:b w:val="0"/>
        </w:rPr>
        <w:t>2</w:t>
      </w:r>
      <w:r w:rsidR="22E830D6" w:rsidRPr="00C27AB6">
        <w:rPr>
          <w:rStyle w:val="Strong"/>
          <w:b w:val="0"/>
        </w:rPr>
        <w:t xml:space="preserve"> – Non-commercial production in a historical year</w:t>
      </w:r>
    </w:p>
    <w:p w14:paraId="4016E813" w14:textId="06448EF2" w:rsidR="6673BC3C" w:rsidRDefault="6673BC3C" w:rsidP="008A1F9B">
      <w:r>
        <w:t>Section 12(2) is updated to improve consistency with the policy intent that if there was commercial production in any historical financial year, then the facility is an existing facility and has a historical production variable. This clarifies that production variables that were previously non-commercial, for example because of testing or piloting activities, should not be excluded from the definition of historical production variable for the purposes of defining a</w:t>
      </w:r>
      <w:r w:rsidR="002D6F09">
        <w:t>n</w:t>
      </w:r>
      <w:r>
        <w:t xml:space="preserve"> existing facility in section 12(2).</w:t>
      </w:r>
    </w:p>
    <w:p w14:paraId="5D17EB3E" w14:textId="2B7A6021" w:rsidR="1F8B42CE" w:rsidRPr="00C27AB6" w:rsidRDefault="00FC57DE" w:rsidP="008A1F9B">
      <w:pPr>
        <w:pStyle w:val="Heading4"/>
        <w:rPr>
          <w:rStyle w:val="Strong"/>
          <w:b w:val="0"/>
        </w:rPr>
      </w:pPr>
      <w:r>
        <w:rPr>
          <w:rStyle w:val="Strong"/>
          <w:b w:val="0"/>
        </w:rPr>
        <w:t>Item</w:t>
      </w:r>
      <w:r w:rsidR="64DCCB98" w:rsidRPr="00C27AB6">
        <w:rPr>
          <w:rStyle w:val="Strong"/>
          <w:b w:val="0"/>
        </w:rPr>
        <w:t xml:space="preserve">s </w:t>
      </w:r>
      <w:r w:rsidR="56018894" w:rsidRPr="00C27AB6">
        <w:rPr>
          <w:rStyle w:val="Strong"/>
          <w:b w:val="0"/>
        </w:rPr>
        <w:t>3</w:t>
      </w:r>
      <w:r w:rsidR="64DCCB98" w:rsidRPr="00C27AB6">
        <w:rPr>
          <w:rStyle w:val="Strong"/>
          <w:b w:val="0"/>
        </w:rPr>
        <w:t xml:space="preserve"> and </w:t>
      </w:r>
      <w:r w:rsidR="2391A826" w:rsidRPr="00C27AB6">
        <w:rPr>
          <w:rStyle w:val="Strong"/>
          <w:b w:val="0"/>
        </w:rPr>
        <w:t>4</w:t>
      </w:r>
      <w:r w:rsidR="630D08D7" w:rsidRPr="00C27AB6">
        <w:rPr>
          <w:rStyle w:val="Strong"/>
          <w:b w:val="0"/>
        </w:rPr>
        <w:t xml:space="preserve"> – Steel and emissions intensity determination applications</w:t>
      </w:r>
    </w:p>
    <w:p w14:paraId="17791D6B" w14:textId="77777777" w:rsidR="00F57BB4" w:rsidRDefault="630D08D7" w:rsidP="008A1F9B">
      <w:r>
        <w:t xml:space="preserve">Normally an emissions intensity determination would apply (so long as an emissions intensity determination application has been submitted) to a production variable for a facility if the facility has engaged in commercial production of that production variable in the period between 1 July 2017 and 30 June 2030. </w:t>
      </w:r>
    </w:p>
    <w:p w14:paraId="4CCD1C4B" w14:textId="10C689BD" w:rsidR="009875D6" w:rsidRDefault="630D08D7" w:rsidP="008A1F9B">
      <w:r>
        <w:t>The</w:t>
      </w:r>
      <w:r w:rsidR="00404590">
        <w:t>se items add new sections 14A and 19A to the Safeguard Rule to</w:t>
      </w:r>
      <w:r>
        <w:t xml:space="preserve"> ensure that if an emissions intensity determination applies to “primary steel” for a facility, it also applies (with different </w:t>
      </w:r>
      <w:r>
        <w:lastRenderedPageBreak/>
        <w:t xml:space="preserve">emissions intensities) to “primary iron” and “continuously cast carbon steel products and ingots of carbon steel (cold ferrous feed)” for that facility, even if “primary iron” and “continuously cast carbon steel products and ingots of carbon steel (cold ferrous feed)” are not historical, transitional or related production variables for the facility (as per paragraph 19(3)(a)). </w:t>
      </w:r>
    </w:p>
    <w:p w14:paraId="47A94F27" w14:textId="2B9ED088" w:rsidR="1F8B42CE" w:rsidRDefault="00404590" w:rsidP="008A1F9B">
      <w:r>
        <w:t>These amendments</w:t>
      </w:r>
      <w:r w:rsidR="0396FEFD">
        <w:t xml:space="preserve"> prevent a facility from becoming worse off from entering into a process associated with the “primary iron” or “continuously cast carbon steel products and ingots of carbon steel (cold ferrous feed)” production variable. However, the emissions intensities corresponding to “primary iron” and “continuously cast carbon steel products and ingots of carbon steel (cold ferrous feed)” would differ from the emissions intensity corresponding to “primary steel”.</w:t>
      </w:r>
    </w:p>
    <w:p w14:paraId="5FDBFE13" w14:textId="3BCFCDD7" w:rsidR="00A7574D" w:rsidRDefault="00A7574D" w:rsidP="008A1F9B">
      <w:r>
        <w:t>New section 14A</w:t>
      </w:r>
      <w:r w:rsidR="00ED0203">
        <w:t xml:space="preserve"> states that if an application for an emissions intensity determination </w:t>
      </w:r>
      <w:r w:rsidR="00C955A4">
        <w:t>includes the</w:t>
      </w:r>
      <w:r w:rsidR="00D375DE">
        <w:t xml:space="preserve"> primary steel production variable, </w:t>
      </w:r>
      <w:r w:rsidR="005437D7">
        <w:t>the application also need</w:t>
      </w:r>
      <w:r w:rsidR="00C955A4">
        <w:t>s</w:t>
      </w:r>
      <w:r w:rsidR="005437D7">
        <w:t xml:space="preserve"> to provide</w:t>
      </w:r>
      <w:r w:rsidR="004C249E">
        <w:t xml:space="preserve"> </w:t>
      </w:r>
      <w:r w:rsidR="005437D7">
        <w:t>information about the emissions intensity of iron production</w:t>
      </w:r>
      <w:r w:rsidR="004557AC">
        <w:t xml:space="preserve">, and the emissions intensity of </w:t>
      </w:r>
      <w:r w:rsidR="00CE26A2">
        <w:t>the conversion of</w:t>
      </w:r>
      <w:r w:rsidR="004557AC">
        <w:t xml:space="preserve"> that iron into steel. </w:t>
      </w:r>
      <w:r w:rsidR="00974792">
        <w:t xml:space="preserve">This section achieves this by specifying two </w:t>
      </w:r>
      <w:r w:rsidR="00CE26A2">
        <w:t>‘</w:t>
      </w:r>
      <w:r w:rsidR="00471309">
        <w:t>placeholder</w:t>
      </w:r>
      <w:r w:rsidR="00CE26A2">
        <w:t>’</w:t>
      </w:r>
      <w:r w:rsidR="00471309">
        <w:t xml:space="preserve"> </w:t>
      </w:r>
      <w:r w:rsidR="00974792">
        <w:t>production variables</w:t>
      </w:r>
      <w:r w:rsidR="00445DFB">
        <w:t xml:space="preserve">: “primary iron (steelmaking)” </w:t>
      </w:r>
      <w:r w:rsidR="00025C03">
        <w:t>which corresponds</w:t>
      </w:r>
      <w:r w:rsidR="00954E25">
        <w:t xml:space="preserve"> to iron production</w:t>
      </w:r>
      <w:r w:rsidR="00025C03">
        <w:t>,</w:t>
      </w:r>
      <w:r w:rsidR="00954E25">
        <w:t xml:space="preserve"> </w:t>
      </w:r>
      <w:r w:rsidR="00445DFB">
        <w:t>and “ferrous feed (steelmaking)”,</w:t>
      </w:r>
      <w:r w:rsidR="00025C03">
        <w:t xml:space="preserve"> which corresponds</w:t>
      </w:r>
      <w:r w:rsidR="00445DFB">
        <w:t xml:space="preserve"> </w:t>
      </w:r>
      <w:r w:rsidR="00F61BEF">
        <w:t xml:space="preserve">to </w:t>
      </w:r>
      <w:r w:rsidR="00F43BDE">
        <w:t>conversion of iron into steel.</w:t>
      </w:r>
      <w:r w:rsidR="00034863">
        <w:t xml:space="preserve"> </w:t>
      </w:r>
      <w:r w:rsidR="00836BF7">
        <w:t xml:space="preserve">These </w:t>
      </w:r>
      <w:r w:rsidR="00471309">
        <w:t>placeholder PVs can then be linked to the equivalent</w:t>
      </w:r>
      <w:r w:rsidR="00025C03">
        <w:t>,</w:t>
      </w:r>
      <w:r w:rsidR="00471309">
        <w:t xml:space="preserve"> </w:t>
      </w:r>
      <w:r w:rsidR="00464745">
        <w:t>actual</w:t>
      </w:r>
      <w:r w:rsidR="00471309">
        <w:t xml:space="preserve"> PVs</w:t>
      </w:r>
      <w:r w:rsidR="00954E25">
        <w:t xml:space="preserve"> in new section 19A</w:t>
      </w:r>
      <w:r w:rsidR="00471309">
        <w:t xml:space="preserve">. </w:t>
      </w:r>
      <w:r w:rsidR="00836BF7">
        <w:t xml:space="preserve"> </w:t>
      </w:r>
    </w:p>
    <w:p w14:paraId="70FCD643" w14:textId="2E1889AC" w:rsidR="004C249E" w:rsidRDefault="004C249E" w:rsidP="008A1F9B">
      <w:r>
        <w:t xml:space="preserve">New section 19A </w:t>
      </w:r>
      <w:r w:rsidR="00C82A6C">
        <w:t>states that when the emissions intensity determination</w:t>
      </w:r>
      <w:r w:rsidR="00464745">
        <w:t xml:space="preserve"> for primary steel</w:t>
      </w:r>
      <w:r w:rsidR="00C82A6C">
        <w:t xml:space="preserve"> is made</w:t>
      </w:r>
      <w:r w:rsidR="00F02A66">
        <w:t>, it would</w:t>
      </w:r>
      <w:r w:rsidR="00464745">
        <w:t xml:space="preserve"> also</w:t>
      </w:r>
      <w:r w:rsidR="00F02A66">
        <w:t xml:space="preserve"> specify emissions intensities for the primary iron production variable and the </w:t>
      </w:r>
      <w:r w:rsidR="005A0F7F" w:rsidRPr="005A0F7F">
        <w:t xml:space="preserve">continuously cast carbon steel products and ingots of carbon steel (manufacture of </w:t>
      </w:r>
      <w:r w:rsidR="0062445C">
        <w:t xml:space="preserve">primary iron </w:t>
      </w:r>
      <w:r w:rsidR="005A0F7F" w:rsidRPr="005A0F7F">
        <w:t>carbon steel products from cold ferrous feed) production variable</w:t>
      </w:r>
      <w:r w:rsidR="001B1967">
        <w:t xml:space="preserve">. The emissions </w:t>
      </w:r>
      <w:r w:rsidR="0062445C">
        <w:t>intensit</w:t>
      </w:r>
      <w:r w:rsidR="00322FE6">
        <w:t xml:space="preserve">ies would be respectively </w:t>
      </w:r>
      <w:r w:rsidR="00B40B9D">
        <w:t xml:space="preserve">based on the </w:t>
      </w:r>
      <w:r w:rsidR="00A91719">
        <w:t>emissions intensity</w:t>
      </w:r>
      <w:r w:rsidR="00337A3B">
        <w:t xml:space="preserve"> for the placeholder </w:t>
      </w:r>
      <w:r w:rsidR="00C16908">
        <w:t>PV</w:t>
      </w:r>
      <w:r w:rsidR="00C955A4">
        <w:t xml:space="preserve">s </w:t>
      </w:r>
      <w:r w:rsidR="00C16908">
        <w:t>for “primary iron (steelmaking)”</w:t>
      </w:r>
      <w:r w:rsidR="00322FE6">
        <w:t xml:space="preserve"> </w:t>
      </w:r>
      <w:r w:rsidR="00C955A4">
        <w:t xml:space="preserve">and “ferrous feed (steelmaking)”, as set out </w:t>
      </w:r>
      <w:r w:rsidR="00322FE6">
        <w:t>in</w:t>
      </w:r>
      <w:r w:rsidR="00B40B9D">
        <w:t xml:space="preserve"> section 14A</w:t>
      </w:r>
      <w:r w:rsidR="00245762">
        <w:t>.</w:t>
      </w:r>
    </w:p>
    <w:p w14:paraId="511F9031" w14:textId="616729DB" w:rsidR="123CC4BE" w:rsidRDefault="00FC57DE" w:rsidP="008A1F9B">
      <w:pPr>
        <w:pStyle w:val="Heading4"/>
        <w:rPr>
          <w:rStyle w:val="Strong"/>
          <w:rFonts w:asciiTheme="minorHAnsi" w:eastAsiaTheme="minorHAnsi" w:hAnsiTheme="minorHAnsi" w:cstheme="minorBidi"/>
          <w:b w:val="0"/>
          <w:bCs w:val="0"/>
          <w:iCs w:val="0"/>
          <w:color w:val="auto"/>
          <w:sz w:val="24"/>
          <w:szCs w:val="24"/>
        </w:rPr>
      </w:pPr>
      <w:r>
        <w:rPr>
          <w:rStyle w:val="Strong"/>
          <w:b w:val="0"/>
        </w:rPr>
        <w:t>Item</w:t>
      </w:r>
      <w:r w:rsidR="7A29ECA1" w:rsidRPr="00C27AB6">
        <w:rPr>
          <w:rStyle w:val="Strong"/>
          <w:b w:val="0"/>
        </w:rPr>
        <w:t xml:space="preserve"> 5 – </w:t>
      </w:r>
      <w:r w:rsidR="185920CC" w:rsidRPr="00C27AB6">
        <w:rPr>
          <w:rStyle w:val="Strong"/>
          <w:b w:val="0"/>
        </w:rPr>
        <w:t>Not</w:t>
      </w:r>
      <w:r w:rsidR="00374826" w:rsidRPr="00C27AB6">
        <w:rPr>
          <w:rStyle w:val="Strong"/>
          <w:b w:val="0"/>
        </w:rPr>
        <w:t>e regarding</w:t>
      </w:r>
      <w:r w:rsidR="100F245B" w:rsidRPr="00C27AB6">
        <w:rPr>
          <w:rStyle w:val="Strong"/>
          <w:b w:val="0"/>
        </w:rPr>
        <w:t xml:space="preserve"> facility</w:t>
      </w:r>
      <w:r w:rsidR="00374826" w:rsidRPr="00C27AB6">
        <w:rPr>
          <w:rStyle w:val="Strong"/>
          <w:b w:val="0"/>
        </w:rPr>
        <w:t>-</w:t>
      </w:r>
      <w:r w:rsidR="100F245B" w:rsidRPr="00C27AB6">
        <w:rPr>
          <w:rStyle w:val="Strong"/>
          <w:b w:val="0"/>
        </w:rPr>
        <w:t>specific emissions intensity</w:t>
      </w:r>
    </w:p>
    <w:p w14:paraId="4E62BB8E" w14:textId="7E6659C8" w:rsidR="123CC4BE" w:rsidRDefault="7A29ECA1" w:rsidP="008A1F9B">
      <w:r>
        <w:t>Th</w:t>
      </w:r>
      <w:r w:rsidR="27DD774D">
        <w:t xml:space="preserve">is </w:t>
      </w:r>
      <w:r w:rsidR="00FC57DE">
        <w:t xml:space="preserve">item </w:t>
      </w:r>
      <w:r w:rsidR="003B0F05">
        <w:t>updates the</w:t>
      </w:r>
      <w:r w:rsidR="48C0431A">
        <w:t xml:space="preserve"> note </w:t>
      </w:r>
      <w:r w:rsidR="003B0F05">
        <w:t xml:space="preserve">at subsection 20(6) </w:t>
      </w:r>
      <w:r w:rsidR="00374826">
        <w:t xml:space="preserve">to clarify </w:t>
      </w:r>
      <w:r w:rsidR="1A32EB4E">
        <w:t>that</w:t>
      </w:r>
      <w:r w:rsidR="49A3C7A7">
        <w:t xml:space="preserve"> provisions that modify the </w:t>
      </w:r>
      <w:r w:rsidR="739D896F">
        <w:t>definition of facility‑specific emissions intensity number of a transitional production variable</w:t>
      </w:r>
      <w:r w:rsidR="2D24E36C">
        <w:t xml:space="preserve"> </w:t>
      </w:r>
      <w:r w:rsidR="00374826">
        <w:t>at subsection 20(6)</w:t>
      </w:r>
      <w:r w:rsidR="2D24E36C">
        <w:t xml:space="preserve"> now include</w:t>
      </w:r>
      <w:r w:rsidR="2F135DDD">
        <w:t xml:space="preserve"> subsection 92(2) </w:t>
      </w:r>
      <w:r w:rsidR="58A5A701">
        <w:t>for</w:t>
      </w:r>
      <w:r w:rsidR="2D27780B">
        <w:t xml:space="preserve"> </w:t>
      </w:r>
      <w:r w:rsidR="2F135DDD">
        <w:t>lithium hydroxide</w:t>
      </w:r>
      <w:r w:rsidR="715EB6DB">
        <w:t>.</w:t>
      </w:r>
    </w:p>
    <w:p w14:paraId="06ACE86F" w14:textId="378F46BE" w:rsidR="123CC4BE" w:rsidRPr="00C27AB6" w:rsidRDefault="00FC57DE" w:rsidP="008A1F9B">
      <w:pPr>
        <w:pStyle w:val="Heading4"/>
        <w:rPr>
          <w:rStyle w:val="Strong"/>
          <w:b w:val="0"/>
        </w:rPr>
      </w:pPr>
      <w:r>
        <w:rPr>
          <w:rStyle w:val="Strong"/>
          <w:b w:val="0"/>
        </w:rPr>
        <w:t>Item</w:t>
      </w:r>
      <w:r w:rsidR="69D43AF2" w:rsidRPr="00C27AB6">
        <w:rPr>
          <w:rStyle w:val="Strong"/>
          <w:b w:val="0"/>
        </w:rPr>
        <w:t xml:space="preserve"> 6</w:t>
      </w:r>
      <w:r w:rsidR="123CC4BE" w:rsidRPr="00C27AB6" w:rsidDel="0AC821D6">
        <w:rPr>
          <w:rStyle w:val="Strong"/>
          <w:b w:val="0"/>
        </w:rPr>
        <w:t xml:space="preserve"> </w:t>
      </w:r>
      <w:r w:rsidR="0AC821D6" w:rsidRPr="00C27AB6">
        <w:rPr>
          <w:rStyle w:val="Strong"/>
          <w:b w:val="0"/>
        </w:rPr>
        <w:t>– Reference to covered emissions in the landfill facility baseline calculation</w:t>
      </w:r>
    </w:p>
    <w:p w14:paraId="3E1259F3" w14:textId="15DCA9BF" w:rsidR="123CC4BE" w:rsidRDefault="123CC4BE" w:rsidP="008A1F9B">
      <w:r>
        <w:t>The landfill facility baseline calculation in subsection 30(1) is updated so that the definition of NLCH4 refers to “covered emissions” instead of “scope 1 emissions”, clarifying that the baseline should not include legacy emissions.</w:t>
      </w:r>
    </w:p>
    <w:p w14:paraId="7C87C268" w14:textId="0E99AEE2" w:rsidR="06E695FA" w:rsidRPr="00C27AB6" w:rsidRDefault="00FC57DE" w:rsidP="008A1F9B">
      <w:pPr>
        <w:pStyle w:val="Heading4"/>
        <w:rPr>
          <w:rStyle w:val="Strong"/>
          <w:b w:val="0"/>
        </w:rPr>
      </w:pPr>
      <w:r>
        <w:rPr>
          <w:rStyle w:val="Strong"/>
          <w:b w:val="0"/>
        </w:rPr>
        <w:t>Item</w:t>
      </w:r>
      <w:r w:rsidR="1AAB3591" w:rsidRPr="00C27AB6">
        <w:rPr>
          <w:rStyle w:val="Strong"/>
          <w:b w:val="0"/>
        </w:rPr>
        <w:t xml:space="preserve"> </w:t>
      </w:r>
      <w:r w:rsidR="00A4BB17" w:rsidRPr="00C27AB6">
        <w:rPr>
          <w:rStyle w:val="Strong"/>
          <w:b w:val="0"/>
          <w:bCs w:val="0"/>
        </w:rPr>
        <w:t>7</w:t>
      </w:r>
      <w:r w:rsidR="1AAB3591" w:rsidRPr="00C27AB6">
        <w:rPr>
          <w:rStyle w:val="Strong"/>
          <w:b w:val="0"/>
        </w:rPr>
        <w:t xml:space="preserve"> – Reference to emissions reduction contribution (ERC) in s34(1)</w:t>
      </w:r>
    </w:p>
    <w:p w14:paraId="12FC348E" w14:textId="53BF4ADB" w:rsidR="06E695FA" w:rsidRDefault="19FEFDA7" w:rsidP="008A1F9B">
      <w:r>
        <w:t>The equation in section 34(1) is amended to provide for the value of the ERC in the previous year (ERC</w:t>
      </w:r>
      <w:r w:rsidRPr="6B5F9F35">
        <w:rPr>
          <w:vertAlign w:val="subscript"/>
        </w:rPr>
        <w:t>Y</w:t>
      </w:r>
      <w:r>
        <w:t>) to be 1 for a TEBA determination with a first adjusted financial year of 2023-24. This reflects that there is no ERC prior to 2023-24.</w:t>
      </w:r>
    </w:p>
    <w:p w14:paraId="79B8275D" w14:textId="38D6CEFF" w:rsidR="06E695FA" w:rsidRDefault="00FC57DE" w:rsidP="008A1F9B">
      <w:pPr>
        <w:pStyle w:val="Heading4"/>
        <w:rPr>
          <w:rStyle w:val="Strong"/>
          <w:rFonts w:asciiTheme="minorHAnsi" w:eastAsiaTheme="minorHAnsi" w:hAnsiTheme="minorHAnsi" w:cstheme="minorBidi"/>
          <w:b w:val="0"/>
          <w:bCs w:val="0"/>
          <w:iCs w:val="0"/>
          <w:color w:val="auto"/>
          <w:sz w:val="24"/>
          <w:szCs w:val="24"/>
        </w:rPr>
      </w:pPr>
      <w:r>
        <w:rPr>
          <w:rStyle w:val="Strong"/>
          <w:b w:val="0"/>
        </w:rPr>
        <w:t>Item</w:t>
      </w:r>
      <w:r w:rsidR="1AAB3591" w:rsidRPr="00C27AB6">
        <w:rPr>
          <w:rStyle w:val="Strong"/>
          <w:b w:val="0"/>
        </w:rPr>
        <w:t xml:space="preserve">s </w:t>
      </w:r>
      <w:r w:rsidR="272E2085" w:rsidRPr="00C27AB6">
        <w:rPr>
          <w:rStyle w:val="Strong"/>
          <w:b w:val="0"/>
          <w:bCs w:val="0"/>
        </w:rPr>
        <w:t>8</w:t>
      </w:r>
      <w:r w:rsidR="1AAB3591" w:rsidRPr="00C27AB6">
        <w:rPr>
          <w:rStyle w:val="Strong"/>
          <w:b w:val="0"/>
        </w:rPr>
        <w:t xml:space="preserve"> and </w:t>
      </w:r>
      <w:r w:rsidR="598BAAEB" w:rsidRPr="00C27AB6">
        <w:rPr>
          <w:rStyle w:val="Strong"/>
          <w:b w:val="0"/>
          <w:bCs w:val="0"/>
        </w:rPr>
        <w:t>9</w:t>
      </w:r>
      <w:r w:rsidR="1AAB3591" w:rsidRPr="00C27AB6">
        <w:rPr>
          <w:rStyle w:val="Strong"/>
          <w:b w:val="0"/>
        </w:rPr>
        <w:t xml:space="preserve"> – SMC eligibility in the first adjusted financial year of a TEBA determination</w:t>
      </w:r>
    </w:p>
    <w:p w14:paraId="3ED40555" w14:textId="23CFDDA3" w:rsidR="06E695FA" w:rsidRDefault="19FEFDA7" w:rsidP="008A1F9B">
      <w:r>
        <w:t xml:space="preserve">This </w:t>
      </w:r>
      <w:r w:rsidR="00FC57DE">
        <w:t xml:space="preserve">item </w:t>
      </w:r>
      <w:r>
        <w:t>clarifies that a facility cannot be eligible for SMCs in the first adjusted financial year of a TEBA determination, by adding a new subsection 56(5) regarding issuance of SMCs and a new subsection 57(5) for issuing SMCs for a declared multi-year period. Facilities with a TEBA determination could be eligible for SMCs in the subsequent years (second and third years) of the three-year TEBA determination period, but not the first year in which an exceedance over the hypothetical baseline is required for eligibility.</w:t>
      </w:r>
    </w:p>
    <w:p w14:paraId="02F9D847" w14:textId="78767740" w:rsidR="590B7B24" w:rsidRDefault="00FC57DE" w:rsidP="008A1F9B">
      <w:pPr>
        <w:pStyle w:val="Heading4"/>
        <w:rPr>
          <w:rStyle w:val="Strong"/>
          <w:rFonts w:asciiTheme="minorHAnsi" w:eastAsiaTheme="minorHAnsi" w:hAnsiTheme="minorHAnsi" w:cstheme="minorBidi"/>
          <w:b w:val="0"/>
          <w:bCs w:val="0"/>
          <w:iCs w:val="0"/>
          <w:color w:val="auto"/>
          <w:sz w:val="24"/>
          <w:szCs w:val="24"/>
        </w:rPr>
      </w:pPr>
      <w:r>
        <w:rPr>
          <w:rStyle w:val="Strong"/>
          <w:b w:val="0"/>
        </w:rPr>
        <w:lastRenderedPageBreak/>
        <w:t>Item</w:t>
      </w:r>
      <w:r w:rsidR="44E7820E" w:rsidRPr="00C27AB6">
        <w:rPr>
          <w:rStyle w:val="Strong"/>
          <w:b w:val="0"/>
        </w:rPr>
        <w:t xml:space="preserve"> </w:t>
      </w:r>
      <w:r w:rsidR="37153EA8" w:rsidRPr="00C27AB6">
        <w:rPr>
          <w:rStyle w:val="Strong"/>
          <w:b w:val="0"/>
          <w:bCs w:val="0"/>
        </w:rPr>
        <w:t>10</w:t>
      </w:r>
      <w:r w:rsidR="44E7820E" w:rsidRPr="00C27AB6">
        <w:rPr>
          <w:rStyle w:val="Strong"/>
          <w:b w:val="0"/>
        </w:rPr>
        <w:t xml:space="preserve"> – ACCU issuance exclusion for eligible facilities </w:t>
      </w:r>
    </w:p>
    <w:p w14:paraId="71DB1485" w14:textId="73C9C590" w:rsidR="590B7B24" w:rsidRDefault="00404590" w:rsidP="008A1F9B">
      <w:r>
        <w:t>This item</w:t>
      </w:r>
      <w:r w:rsidR="590B7B24">
        <w:t xml:space="preserve"> clarifies the meaning of eligible facility in section 58 to exclude a facility in the current financial year if any Australian carbon credit units (ACCUs) have been issued that are attributable to covered emissions reductions at the facility, and those ACCUs were issued in either the current or previous financial year.</w:t>
      </w:r>
    </w:p>
    <w:p w14:paraId="2D4BA15F" w14:textId="12D85F3B" w:rsidR="590B7B24" w:rsidRDefault="590B7B24" w:rsidP="008A1F9B">
      <w:r>
        <w:t xml:space="preserve">Expanding the restriction of eligible facility definition for ACCU issuance to include the previous financial year issuances will prevent the double-crediting of SMCs in years that may be covered by the crediting period of the ACCU project but in which there are no ACCU issuances (for example, a project could be credited ACCUs for two financial years, with all of these ACCUs being issued in a single financial year). This exclusion is not required for facilities with covered emissions above the threshold of 100,000 because an increase in the net emissions number applies to such facilities but not to facilities with covered emissions below the threshold. </w:t>
      </w:r>
    </w:p>
    <w:p w14:paraId="5586BF64" w14:textId="1EAD1422" w:rsidR="590B7B24" w:rsidRDefault="00404590" w:rsidP="008A1F9B">
      <w:r>
        <w:t>This item</w:t>
      </w:r>
      <w:r w:rsidR="590B7B24">
        <w:t xml:space="preserve"> also clarifies that the exclusion for eligible facilities for ACCU issuance should be limited to ACCUs that are attributable to covered emissions. This aligns with other provisions preventing double-crediting such as section 72B ‘Circumstances in which subsection 22XK(4) of the Act does not apply’, and subsection 9(9) and section 20 of the </w:t>
      </w:r>
      <w:r w:rsidR="590B7B24" w:rsidRPr="6B5F9F35">
        <w:rPr>
          <w:i/>
          <w:iCs/>
        </w:rPr>
        <w:t>Carbon Credits (Carbon Farming Initiative) Rule 2015</w:t>
      </w:r>
      <w:r w:rsidR="590B7B24">
        <w:t>. This would allow facilities at which there are ACCU projects that are only issued ACCUs for activities that reduce non-covered emissions such as scope 2 emissions (electricity consumption) to be considered eligible facilities.</w:t>
      </w:r>
    </w:p>
    <w:p w14:paraId="693F9487" w14:textId="70EA28B3" w:rsidR="564E1529" w:rsidRPr="00C27AB6" w:rsidRDefault="00FC57DE" w:rsidP="008A1F9B">
      <w:pPr>
        <w:pStyle w:val="Heading4"/>
        <w:rPr>
          <w:rStyle w:val="Strong"/>
          <w:b w:val="0"/>
        </w:rPr>
      </w:pPr>
      <w:r>
        <w:rPr>
          <w:rStyle w:val="Strong"/>
          <w:b w:val="0"/>
        </w:rPr>
        <w:t>Item</w:t>
      </w:r>
      <w:r w:rsidR="29997B88" w:rsidRPr="00C27AB6">
        <w:rPr>
          <w:rStyle w:val="Strong"/>
          <w:b w:val="0"/>
        </w:rPr>
        <w:t xml:space="preserve"> 1</w:t>
      </w:r>
      <w:r w:rsidR="1457FEB2" w:rsidRPr="00C27AB6">
        <w:rPr>
          <w:rStyle w:val="Strong"/>
          <w:b w:val="0"/>
        </w:rPr>
        <w:t>1</w:t>
      </w:r>
      <w:r w:rsidR="29997B88" w:rsidRPr="00C27AB6">
        <w:rPr>
          <w:rStyle w:val="Strong"/>
          <w:b w:val="0"/>
        </w:rPr>
        <w:t xml:space="preserve"> – Timing change for definition of eligible facilities in s58</w:t>
      </w:r>
    </w:p>
    <w:p w14:paraId="429CA64E" w14:textId="62285EC0" w:rsidR="564E1529" w:rsidRDefault="00404590" w:rsidP="008A1F9B">
      <w:r>
        <w:t>This item</w:t>
      </w:r>
      <w:r w:rsidR="564E1529">
        <w:t xml:space="preserve"> </w:t>
      </w:r>
      <w:r w:rsidR="0A6B4BDC">
        <w:t>enables a facility that drops below the Safeguard coverage threshold to postpone being an eligible facility for up to 3 years after the last covered financial year, and still receive SMCs for up to 10 financial years in total. The</w:t>
      </w:r>
      <w:r w:rsidR="564E1529">
        <w:t xml:space="preserve"> facility </w:t>
      </w:r>
      <w:r w:rsidR="2A7A8F64">
        <w:t xml:space="preserve">must </w:t>
      </w:r>
      <w:r w:rsidR="564E1529">
        <w:t xml:space="preserve">not receive SMCs (by being an eligible facility and applying for SMCs) for </w:t>
      </w:r>
      <w:r w:rsidR="05576C04">
        <w:t>the period</w:t>
      </w:r>
      <w:r w:rsidR="564E1529">
        <w:t xml:space="preserve"> up to 3 years after the last covered financial year. The intent is to </w:t>
      </w:r>
      <w:r w:rsidR="00977D6B">
        <w:t xml:space="preserve">incentivise emissions reduction projects and </w:t>
      </w:r>
      <w:r w:rsidR="564E1529">
        <w:t xml:space="preserve">allow facilities that were previously designated large facilities to be able to receive SMCs for 10 years if they engage in a </w:t>
      </w:r>
      <w:r w:rsidR="17529061">
        <w:t xml:space="preserve">decarbonisation </w:t>
      </w:r>
      <w:r w:rsidR="564E1529">
        <w:t>project that has significant lead times (e.g. up to three years).</w:t>
      </w:r>
    </w:p>
    <w:p w14:paraId="697BF4D3" w14:textId="2C0BEB09" w:rsidR="564E1529" w:rsidRDefault="564E1529" w:rsidP="008A1F9B">
      <w:r>
        <w:t>For example, a facility was a designated large facility in 2023-24 and the previous four financial years, but not in any subsequent years. The facility was not issued any SMCs in relation to 2024-25, 2025-26 or 2026-27, therefore they may be an eligible facility in the 10 financial years from 2027-28 to 2036-37.</w:t>
      </w:r>
    </w:p>
    <w:p w14:paraId="5BA5C36F" w14:textId="29D6EDCD" w:rsidR="7449DBCA" w:rsidRPr="00C27AB6" w:rsidRDefault="00FC57DE" w:rsidP="008A1F9B">
      <w:pPr>
        <w:pStyle w:val="Heading4"/>
        <w:rPr>
          <w:rStyle w:val="Strong"/>
          <w:b w:val="0"/>
        </w:rPr>
      </w:pPr>
      <w:r>
        <w:rPr>
          <w:rStyle w:val="Strong"/>
          <w:b w:val="0"/>
        </w:rPr>
        <w:t>Item</w:t>
      </w:r>
      <w:r w:rsidR="42D4ED76" w:rsidRPr="00C27AB6">
        <w:rPr>
          <w:rStyle w:val="Strong"/>
          <w:b w:val="0"/>
        </w:rPr>
        <w:t xml:space="preserve"> 1</w:t>
      </w:r>
      <w:r w:rsidR="78AC9E10" w:rsidRPr="00C27AB6">
        <w:rPr>
          <w:rStyle w:val="Strong"/>
          <w:b w:val="0"/>
        </w:rPr>
        <w:t>2</w:t>
      </w:r>
      <w:r w:rsidR="21BEFC05" w:rsidRPr="00C27AB6">
        <w:rPr>
          <w:rStyle w:val="Strong"/>
          <w:b w:val="0"/>
        </w:rPr>
        <w:t xml:space="preserve"> </w:t>
      </w:r>
      <w:r w:rsidR="42D4ED76" w:rsidRPr="00C27AB6">
        <w:rPr>
          <w:rStyle w:val="Strong"/>
          <w:b w:val="0"/>
        </w:rPr>
        <w:t xml:space="preserve">– transition provision </w:t>
      </w:r>
      <w:r w:rsidR="05C930FD" w:rsidRPr="00C27AB6">
        <w:rPr>
          <w:rStyle w:val="Strong"/>
          <w:b w:val="0"/>
        </w:rPr>
        <w:t>for default emissions intensities</w:t>
      </w:r>
    </w:p>
    <w:p w14:paraId="2DE9ED1F" w14:textId="356DA911" w:rsidR="12A99EBE" w:rsidRDefault="00404590" w:rsidP="008A1F9B">
      <w:r>
        <w:t>This item</w:t>
      </w:r>
      <w:r w:rsidR="5B7D07DD">
        <w:t xml:space="preserve"> removes the </w:t>
      </w:r>
      <w:r w:rsidR="092FCD0F">
        <w:t>application and</w:t>
      </w:r>
      <w:r w:rsidR="5B7D07DD">
        <w:t xml:space="preserve"> </w:t>
      </w:r>
      <w:r w:rsidR="2D84F639">
        <w:t xml:space="preserve">transition </w:t>
      </w:r>
      <w:r w:rsidR="42D4ED76">
        <w:t xml:space="preserve">provision </w:t>
      </w:r>
      <w:r w:rsidR="273787D3">
        <w:t>in</w:t>
      </w:r>
      <w:r w:rsidR="42D4ED76">
        <w:t xml:space="preserve"> subsection 91(1) </w:t>
      </w:r>
      <w:r w:rsidR="17F1DB3A">
        <w:t>that</w:t>
      </w:r>
      <w:r w:rsidR="6FEC392B">
        <w:t xml:space="preserve"> is superseded by this Amendment Rule, which</w:t>
      </w:r>
      <w:r w:rsidR="17F1DB3A">
        <w:t xml:space="preserve"> relate</w:t>
      </w:r>
      <w:r w:rsidR="18D1B60B">
        <w:t>s</w:t>
      </w:r>
      <w:r w:rsidR="17F1DB3A">
        <w:t xml:space="preserve"> to the </w:t>
      </w:r>
      <w:r w:rsidR="0FAD47D8">
        <w:t>default emissions intensities in force immediately after</w:t>
      </w:r>
      <w:r w:rsidR="17F1DB3A">
        <w:t xml:space="preserve"> the commencement of Schedule 1 to the </w:t>
      </w:r>
      <w:r w:rsidR="17F1DB3A" w:rsidRPr="00662A85">
        <w:rPr>
          <w:i/>
        </w:rPr>
        <w:t>National Greenhouse and Energy Reporting (Safeguard Mechanism) Amendment (Production Variables Update) Rules 2023</w:t>
      </w:r>
      <w:r w:rsidR="34CF29B2" w:rsidRPr="64E93049">
        <w:rPr>
          <w:i/>
          <w:iCs/>
        </w:rPr>
        <w:t>.</w:t>
      </w:r>
      <w:r w:rsidR="34CF29B2">
        <w:t xml:space="preserve"> </w:t>
      </w:r>
    </w:p>
    <w:p w14:paraId="7AB32A88" w14:textId="4AFBB19D" w:rsidR="4BEEB0AE" w:rsidRPr="00C27AB6" w:rsidRDefault="00FC57DE" w:rsidP="008A1F9B">
      <w:pPr>
        <w:pStyle w:val="Heading4"/>
        <w:rPr>
          <w:rStyle w:val="Strong"/>
          <w:b w:val="0"/>
        </w:rPr>
      </w:pPr>
      <w:r>
        <w:rPr>
          <w:rStyle w:val="Strong"/>
          <w:b w:val="0"/>
        </w:rPr>
        <w:t>Item</w:t>
      </w:r>
      <w:r w:rsidR="0F2D6D5A" w:rsidRPr="00C27AB6">
        <w:rPr>
          <w:rStyle w:val="Strong"/>
          <w:b w:val="0"/>
        </w:rPr>
        <w:t xml:space="preserve"> 1</w:t>
      </w:r>
      <w:r w:rsidR="4B259108" w:rsidRPr="00C27AB6">
        <w:rPr>
          <w:rStyle w:val="Strong"/>
          <w:b w:val="0"/>
        </w:rPr>
        <w:t>3</w:t>
      </w:r>
      <w:r w:rsidR="0F2D6D5A" w:rsidRPr="00C27AB6">
        <w:rPr>
          <w:rStyle w:val="Strong"/>
          <w:b w:val="0"/>
        </w:rPr>
        <w:t xml:space="preserve"> – transition provision for default emissions intensities</w:t>
      </w:r>
    </w:p>
    <w:p w14:paraId="00D302E0" w14:textId="34D9B5F8" w:rsidR="11115345" w:rsidRDefault="00404590" w:rsidP="008A1F9B">
      <w:r>
        <w:t>This item</w:t>
      </w:r>
      <w:r w:rsidR="0F2D6D5A">
        <w:t xml:space="preserve"> </w:t>
      </w:r>
      <w:r w:rsidR="17F1DB3A">
        <w:t xml:space="preserve">adds a </w:t>
      </w:r>
      <w:r w:rsidR="216AF717">
        <w:t xml:space="preserve">new application and transition </w:t>
      </w:r>
      <w:r w:rsidR="17F1DB3A">
        <w:t xml:space="preserve">provision </w:t>
      </w:r>
      <w:r w:rsidR="51E43A67">
        <w:t>to</w:t>
      </w:r>
      <w:r w:rsidR="42D4ED76">
        <w:t xml:space="preserve"> clarify that updates to metrics and default emissions intensities added by this instrument would apply for the purpose of setting baseline emissions numbers for the financial year beginning on 1 July 2023.</w:t>
      </w:r>
    </w:p>
    <w:p w14:paraId="3E3C66E0" w14:textId="1F26AE15" w:rsidR="003C06B3" w:rsidRPr="005B7BD6" w:rsidRDefault="00404590" w:rsidP="008A1F9B">
      <w:r>
        <w:t>This item</w:t>
      </w:r>
      <w:r w:rsidR="37801EA2">
        <w:t xml:space="preserve"> also adds </w:t>
      </w:r>
      <w:r w:rsidR="15913C61">
        <w:t>a</w:t>
      </w:r>
      <w:r w:rsidR="15EEDA0D">
        <w:t xml:space="preserve"> </w:t>
      </w:r>
      <w:r w:rsidR="15913C61">
        <w:t>provision that provides the facility-specific emissions intensity number for lithium hydroxide if it is a transitional production variable for a facility.</w:t>
      </w:r>
    </w:p>
    <w:p w14:paraId="490B3196" w14:textId="52DB3E6C" w:rsidR="00B85A3E" w:rsidRPr="00173A72" w:rsidRDefault="00B85A3E" w:rsidP="00173A72">
      <w:pPr>
        <w:pStyle w:val="Heading4"/>
        <w:rPr>
          <w:rStyle w:val="Strong"/>
          <w:b w:val="0"/>
        </w:rPr>
      </w:pPr>
      <w:r w:rsidRPr="00173A72">
        <w:rPr>
          <w:rStyle w:val="Strong"/>
          <w:b w:val="0"/>
        </w:rPr>
        <w:lastRenderedPageBreak/>
        <w:t xml:space="preserve">Item </w:t>
      </w:r>
      <w:r w:rsidR="00173A72" w:rsidRPr="00173A72">
        <w:rPr>
          <w:rStyle w:val="Strong"/>
          <w:b w:val="0"/>
        </w:rPr>
        <w:t>14 – Sodium cyanide</w:t>
      </w:r>
    </w:p>
    <w:p w14:paraId="302BFD02" w14:textId="14699D0B" w:rsidR="00173A72" w:rsidRPr="00161377" w:rsidRDefault="00173A72" w:rsidP="008A1F9B">
      <w:pPr>
        <w:rPr>
          <w:rStyle w:val="Strong"/>
          <w:b w:val="0"/>
          <w:bCs w:val="0"/>
        </w:rPr>
      </w:pPr>
      <w:r>
        <w:rPr>
          <w:rStyle w:val="Strong"/>
          <w:b w:val="0"/>
          <w:bCs w:val="0"/>
        </w:rPr>
        <w:t xml:space="preserve">This item updates the </w:t>
      </w:r>
      <w:r w:rsidR="00BC422E">
        <w:rPr>
          <w:rStyle w:val="Strong"/>
          <w:b w:val="0"/>
          <w:bCs w:val="0"/>
        </w:rPr>
        <w:t xml:space="preserve">activity </w:t>
      </w:r>
      <w:r w:rsidR="00407F2B">
        <w:rPr>
          <w:rStyle w:val="Strong"/>
          <w:b w:val="0"/>
          <w:bCs w:val="0"/>
        </w:rPr>
        <w:t>definition for</w:t>
      </w:r>
      <w:r w:rsidR="00BC422E">
        <w:rPr>
          <w:rStyle w:val="Strong"/>
          <w:b w:val="0"/>
          <w:bCs w:val="0"/>
        </w:rPr>
        <w:t xml:space="preserve"> producing sodium cyanide so that it no longer requires caustic soda (sodium hydroxide) to be produced </w:t>
      </w:r>
      <w:r w:rsidR="008F2EA3">
        <w:rPr>
          <w:rStyle w:val="Strong"/>
          <w:b w:val="0"/>
          <w:bCs w:val="0"/>
        </w:rPr>
        <w:t>at the facility</w:t>
      </w:r>
      <w:r w:rsidR="00BC422E">
        <w:rPr>
          <w:rStyle w:val="Strong"/>
          <w:b w:val="0"/>
          <w:bCs w:val="0"/>
        </w:rPr>
        <w:t>.</w:t>
      </w:r>
      <w:r w:rsidR="003C138C">
        <w:rPr>
          <w:rStyle w:val="Strong"/>
          <w:b w:val="0"/>
          <w:bCs w:val="0"/>
        </w:rPr>
        <w:t xml:space="preserve"> </w:t>
      </w:r>
      <w:r w:rsidR="00EF1AD5">
        <w:rPr>
          <w:rStyle w:val="Strong"/>
          <w:b w:val="0"/>
          <w:bCs w:val="0"/>
        </w:rPr>
        <w:t xml:space="preserve">This reflects production from the main Safeguard-covered facility that produces </w:t>
      </w:r>
      <w:r w:rsidR="00145BA4">
        <w:rPr>
          <w:rStyle w:val="Strong"/>
          <w:b w:val="0"/>
          <w:bCs w:val="0"/>
        </w:rPr>
        <w:t>sodium cyanide and is consistent with how the default emissions intensity was set.</w:t>
      </w:r>
    </w:p>
    <w:p w14:paraId="6654D2B0" w14:textId="622CC6A6" w:rsidR="21C7FC67" w:rsidRPr="00C27AB6" w:rsidRDefault="00FC57DE" w:rsidP="008A1F9B">
      <w:pPr>
        <w:pStyle w:val="Heading4"/>
        <w:rPr>
          <w:rStyle w:val="Strong"/>
          <w:b w:val="0"/>
        </w:rPr>
      </w:pPr>
      <w:r>
        <w:rPr>
          <w:rStyle w:val="Strong"/>
          <w:b w:val="0"/>
        </w:rPr>
        <w:t>Item</w:t>
      </w:r>
      <w:r w:rsidR="4B27A24C" w:rsidRPr="00C27AB6">
        <w:rPr>
          <w:rStyle w:val="Strong"/>
          <w:b w:val="0"/>
        </w:rPr>
        <w:t xml:space="preserve"> </w:t>
      </w:r>
      <w:r w:rsidR="00597598" w:rsidRPr="00C27AB6">
        <w:rPr>
          <w:rStyle w:val="Strong"/>
          <w:b w:val="0"/>
        </w:rPr>
        <w:t>1</w:t>
      </w:r>
      <w:r w:rsidR="00597598">
        <w:rPr>
          <w:rStyle w:val="Strong"/>
          <w:b w:val="0"/>
        </w:rPr>
        <w:t>7</w:t>
      </w:r>
      <w:r w:rsidR="00321CFE">
        <w:rPr>
          <w:rStyle w:val="Strong"/>
          <w:b w:val="0"/>
        </w:rPr>
        <w:t xml:space="preserve"> and 18</w:t>
      </w:r>
      <w:r w:rsidR="00597598" w:rsidRPr="00C27AB6">
        <w:rPr>
          <w:rStyle w:val="Strong"/>
          <w:b w:val="0"/>
        </w:rPr>
        <w:t xml:space="preserve"> </w:t>
      </w:r>
      <w:r w:rsidR="4B27A24C" w:rsidRPr="00C27AB6">
        <w:rPr>
          <w:rStyle w:val="Strong"/>
          <w:b w:val="0"/>
        </w:rPr>
        <w:t>– Lithium ore mining</w:t>
      </w:r>
    </w:p>
    <w:p w14:paraId="08DFC500" w14:textId="337149BE" w:rsidR="000A2421" w:rsidRPr="005B7BD6" w:rsidRDefault="00B462E3" w:rsidP="008A1F9B">
      <w:r>
        <w:t>I</w:t>
      </w:r>
      <w:r w:rsidR="00404590">
        <w:t>tem</w:t>
      </w:r>
      <w:r>
        <w:t xml:space="preserve"> 17</w:t>
      </w:r>
      <w:r w:rsidR="203FD84D">
        <w:t xml:space="preserve"> inserts a new production variable, lithium ore, and the corresponding default emissions intensity into Schedule 1 of the Safeguard Rule. This new production variable would apply to facilities that conduct lithium ore mining through the physical extraction of lithium bearing minerals. It is intended to differentiate the mining of lithium ore from the run-of-mine metal ore production variable and ensure consistent treatment with bauxite, manganese ore and iron ore. </w:t>
      </w:r>
    </w:p>
    <w:p w14:paraId="56533024" w14:textId="781C97EB" w:rsidR="21C7FC67" w:rsidRDefault="00B462E3" w:rsidP="008A1F9B">
      <w:pPr>
        <w:rPr>
          <w:rStyle w:val="Strong"/>
          <w:b w:val="0"/>
          <w:bCs w:val="0"/>
        </w:rPr>
      </w:pPr>
      <w:r>
        <w:t xml:space="preserve">Item 18 </w:t>
      </w:r>
      <w:r w:rsidR="003D7169">
        <w:t>ensures that there is no overlap in application of the lithium ore production variable and the run of mine metal ore PV.</w:t>
      </w:r>
    </w:p>
    <w:p w14:paraId="3995CDE6" w14:textId="71BDF956" w:rsidR="28378597" w:rsidRPr="00C27AB6" w:rsidRDefault="7AF0EB5E" w:rsidP="008A1F9B">
      <w:pPr>
        <w:pStyle w:val="Heading4"/>
        <w:rPr>
          <w:rStyle w:val="Strong"/>
          <w:b w:val="0"/>
        </w:rPr>
      </w:pPr>
      <w:r w:rsidRPr="00C27AB6">
        <w:rPr>
          <w:rStyle w:val="Strong"/>
          <w:b w:val="0"/>
        </w:rPr>
        <w:t>Best practice emissions intensit</w:t>
      </w:r>
      <w:r w:rsidR="23F7AAFC" w:rsidRPr="00C27AB6">
        <w:rPr>
          <w:rStyle w:val="Strong"/>
          <w:b w:val="0"/>
        </w:rPr>
        <w:t>y values</w:t>
      </w:r>
    </w:p>
    <w:p w14:paraId="1BFEA770" w14:textId="1C26C475" w:rsidR="00161377" w:rsidRPr="00C27AB6" w:rsidRDefault="00FC57DE" w:rsidP="008A1F9B">
      <w:pPr>
        <w:pStyle w:val="Heading5"/>
        <w:rPr>
          <w:rStyle w:val="Strong"/>
          <w:b w:val="0"/>
        </w:rPr>
      </w:pPr>
      <w:r>
        <w:rPr>
          <w:rStyle w:val="Strong"/>
          <w:b w:val="0"/>
        </w:rPr>
        <w:t>Item</w:t>
      </w:r>
      <w:r w:rsidR="00161377" w:rsidRPr="00C27AB6">
        <w:rPr>
          <w:rStyle w:val="Strong"/>
          <w:b w:val="0"/>
        </w:rPr>
        <w:t xml:space="preserve"> </w:t>
      </w:r>
      <w:r w:rsidR="001F5CB7" w:rsidRPr="00C27AB6">
        <w:rPr>
          <w:rStyle w:val="Strong"/>
          <w:b w:val="0"/>
        </w:rPr>
        <w:t>1</w:t>
      </w:r>
      <w:r w:rsidR="001F5CB7">
        <w:rPr>
          <w:rStyle w:val="Strong"/>
          <w:b w:val="0"/>
        </w:rPr>
        <w:t>5</w:t>
      </w:r>
      <w:r w:rsidR="001F5CB7" w:rsidRPr="00C27AB6">
        <w:rPr>
          <w:rStyle w:val="Strong"/>
          <w:b w:val="0"/>
        </w:rPr>
        <w:t xml:space="preserve"> </w:t>
      </w:r>
      <w:r w:rsidR="00161377" w:rsidRPr="00C27AB6">
        <w:rPr>
          <w:rStyle w:val="Strong"/>
          <w:b w:val="0"/>
        </w:rPr>
        <w:t>– Coal mining best practice emissions intensity</w:t>
      </w:r>
    </w:p>
    <w:p w14:paraId="1FEB38DD" w14:textId="6B5810B6" w:rsidR="006169AB" w:rsidRPr="00CE002F" w:rsidRDefault="00404590" w:rsidP="008A1F9B">
      <w:r>
        <w:t>This item</w:t>
      </w:r>
      <w:r w:rsidR="006169AB" w:rsidRPr="00CE002F">
        <w:t xml:space="preserve"> inserts a </w:t>
      </w:r>
      <w:r w:rsidR="00464D22">
        <w:t>best practice emissions intensity</w:t>
      </w:r>
      <w:r w:rsidR="006169AB" w:rsidRPr="00CE002F">
        <w:t xml:space="preserve"> value for </w:t>
      </w:r>
      <w:r w:rsidR="005E6F95">
        <w:t>run of mine coal</w:t>
      </w:r>
      <w:r w:rsidR="006169AB" w:rsidRPr="00CE002F">
        <w:t>. The benchmark is based</w:t>
      </w:r>
      <w:r w:rsidR="006D7CB7">
        <w:t xml:space="preserve"> on </w:t>
      </w:r>
      <w:r w:rsidR="00AE10B1">
        <w:t xml:space="preserve">the top </w:t>
      </w:r>
      <w:r w:rsidR="00CF2952">
        <w:t>10% of Australian industry performance</w:t>
      </w:r>
      <w:r w:rsidR="00AC4419">
        <w:t xml:space="preserve">, as Australian mines were found to be less emissions-intensive than </w:t>
      </w:r>
      <w:r w:rsidR="00EE07D4">
        <w:t xml:space="preserve">overseas mines </w:t>
      </w:r>
      <w:r w:rsidR="002E7E03">
        <w:t>with</w:t>
      </w:r>
      <w:r w:rsidR="00EE07D4">
        <w:t xml:space="preserve"> suitable, high</w:t>
      </w:r>
      <w:r w:rsidR="003E39CD">
        <w:t>-</w:t>
      </w:r>
      <w:r w:rsidR="00EE07D4">
        <w:t>quality data</w:t>
      </w:r>
      <w:r w:rsidR="006169AB" w:rsidRPr="00CE002F">
        <w:t>.</w:t>
      </w:r>
    </w:p>
    <w:p w14:paraId="6B6D1C6B" w14:textId="2C85F667" w:rsidR="00161377" w:rsidRPr="00C27AB6" w:rsidRDefault="00FC57DE" w:rsidP="008A1F9B">
      <w:pPr>
        <w:pStyle w:val="Heading5"/>
        <w:rPr>
          <w:rStyle w:val="Strong"/>
          <w:b w:val="0"/>
        </w:rPr>
      </w:pPr>
      <w:r>
        <w:rPr>
          <w:rStyle w:val="Strong"/>
          <w:b w:val="0"/>
        </w:rPr>
        <w:t>Item</w:t>
      </w:r>
      <w:r w:rsidR="00161377" w:rsidRPr="00C27AB6">
        <w:rPr>
          <w:rStyle w:val="Strong"/>
          <w:b w:val="0"/>
        </w:rPr>
        <w:t xml:space="preserve"> </w:t>
      </w:r>
      <w:r w:rsidR="001F5CB7" w:rsidRPr="00C27AB6">
        <w:rPr>
          <w:rStyle w:val="Strong"/>
          <w:b w:val="0"/>
        </w:rPr>
        <w:t>1</w:t>
      </w:r>
      <w:r w:rsidR="001F5CB7">
        <w:rPr>
          <w:rStyle w:val="Strong"/>
          <w:b w:val="0"/>
        </w:rPr>
        <w:t>6</w:t>
      </w:r>
      <w:r w:rsidR="001F5CB7" w:rsidRPr="00C27AB6">
        <w:rPr>
          <w:rStyle w:val="Strong"/>
          <w:b w:val="0"/>
        </w:rPr>
        <w:t xml:space="preserve"> </w:t>
      </w:r>
      <w:r w:rsidR="00161377" w:rsidRPr="00C27AB6">
        <w:rPr>
          <w:rStyle w:val="Strong"/>
          <w:b w:val="0"/>
        </w:rPr>
        <w:t>– Iron ore best practice emissions intensity</w:t>
      </w:r>
    </w:p>
    <w:p w14:paraId="35DCE2D4" w14:textId="099B47B5" w:rsidR="008F53BD" w:rsidRPr="00CE002F" w:rsidRDefault="00404590" w:rsidP="008A1F9B">
      <w:r>
        <w:t>This item</w:t>
      </w:r>
      <w:r w:rsidR="008F53BD" w:rsidRPr="00CE002F">
        <w:t xml:space="preserve"> inserts a </w:t>
      </w:r>
      <w:r w:rsidR="00464D22">
        <w:t>best practice emissions intensity</w:t>
      </w:r>
      <w:r w:rsidR="008F53BD" w:rsidRPr="00CE002F">
        <w:t xml:space="preserve"> value for </w:t>
      </w:r>
      <w:r w:rsidR="008F53BD">
        <w:t>run of mi</w:t>
      </w:r>
      <w:r w:rsidR="008C6E4A">
        <w:t>ne iron ore</w:t>
      </w:r>
      <w:r w:rsidR="008F53BD" w:rsidRPr="00CE002F">
        <w:t>. The benchmark is based</w:t>
      </w:r>
      <w:r w:rsidR="008F53BD">
        <w:t xml:space="preserve"> on </w:t>
      </w:r>
      <w:r w:rsidR="00A26363">
        <w:t xml:space="preserve">a weighted average of the emissions-intensity of </w:t>
      </w:r>
      <w:r w:rsidR="00836785">
        <w:t xml:space="preserve">iron ore </w:t>
      </w:r>
      <w:r w:rsidR="00245087">
        <w:t>mines in Australia and Brazil. These were found to be the</w:t>
      </w:r>
      <w:r w:rsidR="00BD20E4">
        <w:t xml:space="preserve"> least emissions</w:t>
      </w:r>
      <w:r w:rsidR="00851732">
        <w:t>-intensive</w:t>
      </w:r>
      <w:r w:rsidR="00A26363">
        <w:t xml:space="preserve"> mine</w:t>
      </w:r>
      <w:r w:rsidR="00DC224A">
        <w:t xml:space="preserve">s </w:t>
      </w:r>
      <w:r w:rsidR="00734838">
        <w:t xml:space="preserve">globally </w:t>
      </w:r>
      <w:r w:rsidR="002E7E03">
        <w:t>with</w:t>
      </w:r>
      <w:r w:rsidR="00DA76AF">
        <w:t xml:space="preserve"> suitable, high</w:t>
      </w:r>
      <w:r w:rsidR="003E39CD">
        <w:t>-</w:t>
      </w:r>
      <w:r w:rsidR="00DA76AF">
        <w:t>quality data</w:t>
      </w:r>
      <w:r w:rsidR="008F53BD" w:rsidRPr="00CE002F">
        <w:t>.</w:t>
      </w:r>
    </w:p>
    <w:p w14:paraId="4519B75A" w14:textId="251AAEB7" w:rsidR="00C61DB9" w:rsidRPr="00C27AB6" w:rsidRDefault="00FC57DE" w:rsidP="008A1F9B">
      <w:pPr>
        <w:pStyle w:val="Heading5"/>
        <w:rPr>
          <w:rStyle w:val="Strong"/>
          <w:b w:val="0"/>
        </w:rPr>
      </w:pPr>
      <w:r>
        <w:rPr>
          <w:rStyle w:val="Strong"/>
          <w:b w:val="0"/>
        </w:rPr>
        <w:t>Item</w:t>
      </w:r>
      <w:r w:rsidR="00C61DB9" w:rsidRPr="00C27AB6">
        <w:rPr>
          <w:rStyle w:val="Strong"/>
          <w:b w:val="0"/>
        </w:rPr>
        <w:t xml:space="preserve"> </w:t>
      </w:r>
      <w:r w:rsidR="00AB5E79" w:rsidRPr="00C27AB6">
        <w:rPr>
          <w:rStyle w:val="Strong"/>
          <w:b w:val="0"/>
        </w:rPr>
        <w:t>1</w:t>
      </w:r>
      <w:r w:rsidR="00AB5E79">
        <w:rPr>
          <w:rStyle w:val="Strong"/>
          <w:b w:val="0"/>
        </w:rPr>
        <w:t>9</w:t>
      </w:r>
      <w:r w:rsidR="00AB5E79" w:rsidRPr="00C27AB6">
        <w:rPr>
          <w:rStyle w:val="Strong"/>
          <w:b w:val="0"/>
        </w:rPr>
        <w:t xml:space="preserve"> </w:t>
      </w:r>
      <w:r w:rsidR="00C61DB9" w:rsidRPr="00C27AB6">
        <w:rPr>
          <w:rStyle w:val="Strong"/>
          <w:b w:val="0"/>
        </w:rPr>
        <w:t xml:space="preserve">– </w:t>
      </w:r>
      <w:r w:rsidR="008F7604" w:rsidRPr="00C27AB6">
        <w:rPr>
          <w:rStyle w:val="Strong"/>
          <w:b w:val="0"/>
        </w:rPr>
        <w:t>Run-of-mine metal ore</w:t>
      </w:r>
      <w:r w:rsidR="0088434C" w:rsidRPr="00C27AB6">
        <w:rPr>
          <w:rStyle w:val="Strong"/>
          <w:b w:val="0"/>
        </w:rPr>
        <w:t xml:space="preserve"> best practice emissions intensity</w:t>
      </w:r>
    </w:p>
    <w:p w14:paraId="2D4312A0" w14:textId="18145826" w:rsidR="00643512" w:rsidRDefault="00404590" w:rsidP="008A1F9B">
      <w:r>
        <w:t>This item</w:t>
      </w:r>
      <w:r w:rsidR="00643512" w:rsidRPr="00CE002F">
        <w:t xml:space="preserve"> inserts a </w:t>
      </w:r>
      <w:r w:rsidR="00464D22">
        <w:t>best practice emissions intensity</w:t>
      </w:r>
      <w:r w:rsidR="00643512" w:rsidRPr="00CE002F">
        <w:t xml:space="preserve"> value for </w:t>
      </w:r>
      <w:r w:rsidR="00643512">
        <w:t xml:space="preserve">run of mine </w:t>
      </w:r>
      <w:r w:rsidR="00B5448B">
        <w:t>metal ore</w:t>
      </w:r>
      <w:r w:rsidR="00643512" w:rsidRPr="00CE002F">
        <w:t>. The benchmark is based</w:t>
      </w:r>
      <w:r w:rsidR="00643512">
        <w:t xml:space="preserve"> on the top 10% of Australian industry performance, as Australian mines were found to be less emissions-intensive than overseas mines with suitable, high</w:t>
      </w:r>
      <w:r w:rsidR="003E39CD">
        <w:t>-</w:t>
      </w:r>
      <w:r w:rsidR="00643512">
        <w:t>quality data</w:t>
      </w:r>
      <w:r w:rsidR="00643512" w:rsidRPr="00CE002F">
        <w:t>.</w:t>
      </w:r>
    </w:p>
    <w:p w14:paraId="6ECD1929" w14:textId="5F86575C" w:rsidR="003E780C" w:rsidRPr="00C27AB6" w:rsidRDefault="00FC57DE" w:rsidP="008A1F9B">
      <w:pPr>
        <w:pStyle w:val="Heading5"/>
        <w:rPr>
          <w:rStyle w:val="Strong"/>
          <w:b w:val="0"/>
        </w:rPr>
      </w:pPr>
      <w:r>
        <w:rPr>
          <w:rStyle w:val="Strong"/>
          <w:b w:val="0"/>
        </w:rPr>
        <w:t>Item</w:t>
      </w:r>
      <w:r w:rsidR="003E780C" w:rsidRPr="00C27AB6">
        <w:rPr>
          <w:rStyle w:val="Strong"/>
          <w:b w:val="0"/>
        </w:rPr>
        <w:t xml:space="preserve"> </w:t>
      </w:r>
      <w:r w:rsidR="001A3504">
        <w:rPr>
          <w:rStyle w:val="Strong"/>
          <w:b w:val="0"/>
        </w:rPr>
        <w:t>20</w:t>
      </w:r>
      <w:r w:rsidR="001A3504" w:rsidRPr="00C27AB6">
        <w:rPr>
          <w:rStyle w:val="Strong"/>
          <w:b w:val="0"/>
        </w:rPr>
        <w:t xml:space="preserve"> </w:t>
      </w:r>
      <w:r w:rsidR="003E780C" w:rsidRPr="00C27AB6">
        <w:rPr>
          <w:rStyle w:val="Strong"/>
          <w:b w:val="0"/>
        </w:rPr>
        <w:t xml:space="preserve">– </w:t>
      </w:r>
      <w:r w:rsidR="0021559A" w:rsidRPr="00C27AB6">
        <w:rPr>
          <w:rStyle w:val="Strong"/>
          <w:b w:val="0"/>
        </w:rPr>
        <w:t>Extracted oil and gas</w:t>
      </w:r>
      <w:r w:rsidR="0088434C" w:rsidRPr="00C27AB6">
        <w:rPr>
          <w:rStyle w:val="Strong"/>
          <w:b w:val="0"/>
        </w:rPr>
        <w:t xml:space="preserve"> best practice emissions intensity</w:t>
      </w:r>
    </w:p>
    <w:p w14:paraId="7CB21931" w14:textId="022F450C" w:rsidR="00947EED" w:rsidRDefault="00404590" w:rsidP="008A1F9B">
      <w:r>
        <w:t>This item</w:t>
      </w:r>
      <w:r w:rsidR="003E780C" w:rsidRPr="00CE002F">
        <w:t xml:space="preserve"> inserts a </w:t>
      </w:r>
      <w:r w:rsidR="00464D22">
        <w:t>best practice emissions intensity</w:t>
      </w:r>
      <w:r w:rsidR="003E780C" w:rsidRPr="00CE002F">
        <w:t xml:space="preserve"> value for </w:t>
      </w:r>
      <w:r w:rsidR="0021559A">
        <w:t>extracted oil and gas</w:t>
      </w:r>
      <w:r w:rsidR="003E780C" w:rsidRPr="00CE002F">
        <w:t xml:space="preserve">. </w:t>
      </w:r>
      <w:r w:rsidR="005E15F7" w:rsidRPr="00CE002F">
        <w:t>The benchmark is based</w:t>
      </w:r>
      <w:r w:rsidR="005E15F7">
        <w:t xml:space="preserve"> on a weighted average of the emissions-intensity of </w:t>
      </w:r>
      <w:r w:rsidR="00B202B4">
        <w:t xml:space="preserve">oil and </w:t>
      </w:r>
      <w:r w:rsidR="009A6573">
        <w:t xml:space="preserve">gas </w:t>
      </w:r>
      <w:r w:rsidR="00B202B4">
        <w:t>extraction facilities</w:t>
      </w:r>
      <w:r w:rsidR="005E15F7">
        <w:t xml:space="preserve"> in </w:t>
      </w:r>
      <w:r w:rsidR="00B202B4">
        <w:t>Norway</w:t>
      </w:r>
      <w:r w:rsidR="005E15F7">
        <w:t xml:space="preserve"> and </w:t>
      </w:r>
      <w:r w:rsidR="00B202B4">
        <w:t>the UK</w:t>
      </w:r>
      <w:r w:rsidR="005E15F7">
        <w:t xml:space="preserve">. These were found to be the least emissions-intensive </w:t>
      </w:r>
      <w:r w:rsidR="00947EED">
        <w:t>sites</w:t>
      </w:r>
      <w:r w:rsidR="005E15F7">
        <w:t xml:space="preserve"> globally with suitable, high</w:t>
      </w:r>
      <w:r w:rsidR="003E39CD">
        <w:t>-</w:t>
      </w:r>
      <w:r w:rsidR="005E15F7">
        <w:t>quality data</w:t>
      </w:r>
      <w:r w:rsidR="005E15F7" w:rsidRPr="00CE002F">
        <w:t>.</w:t>
      </w:r>
      <w:r w:rsidR="005E15F7">
        <w:t xml:space="preserve"> </w:t>
      </w:r>
    </w:p>
    <w:p w14:paraId="49DDDD40" w14:textId="2DEBF855" w:rsidR="002F599A" w:rsidRPr="00C27AB6" w:rsidRDefault="00FC57DE" w:rsidP="008A1F9B">
      <w:pPr>
        <w:pStyle w:val="Heading5"/>
        <w:rPr>
          <w:rStyle w:val="Strong"/>
          <w:b w:val="0"/>
        </w:rPr>
      </w:pPr>
      <w:r>
        <w:rPr>
          <w:rStyle w:val="Strong"/>
          <w:b w:val="0"/>
        </w:rPr>
        <w:t>Item</w:t>
      </w:r>
      <w:r w:rsidR="002F599A" w:rsidRPr="00C27AB6">
        <w:rPr>
          <w:rStyle w:val="Strong"/>
          <w:b w:val="0"/>
        </w:rPr>
        <w:t xml:space="preserve"> </w:t>
      </w:r>
      <w:r w:rsidR="00C20A71" w:rsidRPr="00C27AB6">
        <w:rPr>
          <w:rStyle w:val="Strong"/>
          <w:b w:val="0"/>
        </w:rPr>
        <w:t>2</w:t>
      </w:r>
      <w:r w:rsidR="001A3504">
        <w:rPr>
          <w:rStyle w:val="Strong"/>
          <w:b w:val="0"/>
        </w:rPr>
        <w:t>1</w:t>
      </w:r>
      <w:r w:rsidR="002F599A" w:rsidRPr="00C27AB6">
        <w:rPr>
          <w:rStyle w:val="Strong"/>
          <w:b w:val="0"/>
        </w:rPr>
        <w:t xml:space="preserve"> – </w:t>
      </w:r>
      <w:r w:rsidR="00C20A71" w:rsidRPr="00C27AB6">
        <w:rPr>
          <w:rStyle w:val="Strong"/>
          <w:b w:val="0"/>
        </w:rPr>
        <w:t>Stabilised crude oil and condensate (stabilisation only)</w:t>
      </w:r>
      <w:r w:rsidR="002F599A" w:rsidRPr="00C27AB6">
        <w:rPr>
          <w:rStyle w:val="Strong"/>
          <w:b w:val="0"/>
        </w:rPr>
        <w:t xml:space="preserve"> best practice emissions intensity</w:t>
      </w:r>
    </w:p>
    <w:p w14:paraId="5F7DB19F" w14:textId="0A2FD060" w:rsidR="002F599A" w:rsidRDefault="00404590" w:rsidP="008A1F9B">
      <w:r>
        <w:t>This item</w:t>
      </w:r>
      <w:r w:rsidR="002F599A" w:rsidRPr="00CE002F">
        <w:t xml:space="preserve"> inserts a </w:t>
      </w:r>
      <w:r w:rsidR="00464D22">
        <w:t>best practice emissions intensity</w:t>
      </w:r>
      <w:r w:rsidR="002F599A" w:rsidRPr="00CE002F">
        <w:t xml:space="preserve"> value for </w:t>
      </w:r>
      <w:r w:rsidR="00C20A71">
        <w:t>stabilised crude oil and condensate (stabilisation only)</w:t>
      </w:r>
      <w:r w:rsidR="002F599A" w:rsidRPr="00CE002F">
        <w:t>. The benchmark is based</w:t>
      </w:r>
      <w:r w:rsidR="002F599A">
        <w:t xml:space="preserve"> on the top 10% of Australian industry performance, as Australian </w:t>
      </w:r>
      <w:r w:rsidR="003E39CD">
        <w:t>sites</w:t>
      </w:r>
      <w:r w:rsidR="002F599A">
        <w:t xml:space="preserve"> were found to be less emissions-intensive than overseas </w:t>
      </w:r>
      <w:r w:rsidR="003E39CD">
        <w:t>sites</w:t>
      </w:r>
      <w:r w:rsidR="002F599A">
        <w:t xml:space="preserve"> with suitable, high</w:t>
      </w:r>
      <w:r w:rsidR="003E39CD">
        <w:t>-</w:t>
      </w:r>
      <w:r w:rsidR="002F599A">
        <w:t>quality data</w:t>
      </w:r>
      <w:r w:rsidR="002F599A" w:rsidRPr="00CE002F">
        <w:t>.</w:t>
      </w:r>
    </w:p>
    <w:p w14:paraId="0889CBDC" w14:textId="6759ABD2" w:rsidR="003E39CD" w:rsidRPr="00C27AB6" w:rsidRDefault="00FC57DE" w:rsidP="008A1F9B">
      <w:pPr>
        <w:pStyle w:val="Heading5"/>
        <w:rPr>
          <w:rStyle w:val="Strong"/>
          <w:b w:val="0"/>
        </w:rPr>
      </w:pPr>
      <w:r>
        <w:rPr>
          <w:rStyle w:val="Strong"/>
          <w:b w:val="0"/>
        </w:rPr>
        <w:lastRenderedPageBreak/>
        <w:t>Item</w:t>
      </w:r>
      <w:r w:rsidR="003E39CD" w:rsidRPr="00C27AB6">
        <w:rPr>
          <w:rStyle w:val="Strong"/>
          <w:b w:val="0"/>
        </w:rPr>
        <w:t xml:space="preserve"> </w:t>
      </w:r>
      <w:r w:rsidR="001A3504" w:rsidRPr="00C27AB6">
        <w:rPr>
          <w:rStyle w:val="Strong"/>
          <w:b w:val="0"/>
        </w:rPr>
        <w:t>2</w:t>
      </w:r>
      <w:r w:rsidR="001A3504">
        <w:rPr>
          <w:rStyle w:val="Strong"/>
          <w:b w:val="0"/>
        </w:rPr>
        <w:t>2</w:t>
      </w:r>
      <w:r w:rsidR="001A3504" w:rsidRPr="00C27AB6">
        <w:rPr>
          <w:rStyle w:val="Strong"/>
          <w:b w:val="0"/>
        </w:rPr>
        <w:t xml:space="preserve"> </w:t>
      </w:r>
      <w:r w:rsidR="003E39CD" w:rsidRPr="00C27AB6">
        <w:rPr>
          <w:rStyle w:val="Strong"/>
          <w:b w:val="0"/>
        </w:rPr>
        <w:t xml:space="preserve">– </w:t>
      </w:r>
      <w:r w:rsidR="00626308" w:rsidRPr="00C27AB6">
        <w:rPr>
          <w:rStyle w:val="Strong"/>
          <w:b w:val="0"/>
        </w:rPr>
        <w:t>Stabilised crude oil (integrated extraction and stabilisation) best practice emissions intensity</w:t>
      </w:r>
    </w:p>
    <w:p w14:paraId="295E69F3" w14:textId="29D4AA50" w:rsidR="003E39CD" w:rsidRDefault="00404590" w:rsidP="008A1F9B">
      <w:r>
        <w:t>This item</w:t>
      </w:r>
      <w:r w:rsidR="003E39CD" w:rsidRPr="00CE002F">
        <w:t xml:space="preserve"> inserts a </w:t>
      </w:r>
      <w:r w:rsidR="00464D22">
        <w:t>best practice emissions intensity</w:t>
      </w:r>
      <w:r w:rsidR="003E39CD" w:rsidRPr="00CE002F">
        <w:t xml:space="preserve"> value for </w:t>
      </w:r>
      <w:r w:rsidR="00626308">
        <w:t>stabilised crude oil (integrated extraction and stabilisation)</w:t>
      </w:r>
      <w:r w:rsidR="003E39CD" w:rsidRPr="00CE002F">
        <w:t xml:space="preserve">. The benchmark is </w:t>
      </w:r>
      <w:r w:rsidR="00AD4E31">
        <w:t>calculated as the</w:t>
      </w:r>
      <w:r w:rsidR="00203501">
        <w:t xml:space="preserve"> </w:t>
      </w:r>
      <w:r w:rsidR="00510820">
        <w:t xml:space="preserve">sum of the </w:t>
      </w:r>
      <w:r w:rsidR="00203501">
        <w:t xml:space="preserve">international best practice </w:t>
      </w:r>
      <w:r w:rsidR="00464D22">
        <w:t>best practice emissions intensity</w:t>
      </w:r>
      <w:r w:rsidR="00203501">
        <w:t xml:space="preserve"> value</w:t>
      </w:r>
      <w:r w:rsidR="006D5343">
        <w:t>s</w:t>
      </w:r>
      <w:r w:rsidR="00203501">
        <w:t xml:space="preserve"> for stabilised crude oil and condensate (stabili</w:t>
      </w:r>
      <w:r w:rsidR="00510820">
        <w:t>sation only) and extracted oil and gas</w:t>
      </w:r>
      <w:r w:rsidR="003E39CD" w:rsidRPr="00CE002F">
        <w:t>.</w:t>
      </w:r>
      <w:r w:rsidR="003E39CD">
        <w:t xml:space="preserve"> </w:t>
      </w:r>
    </w:p>
    <w:p w14:paraId="33291406" w14:textId="49BE3C16" w:rsidR="00A23AFD" w:rsidRDefault="002140FF" w:rsidP="008A1F9B">
      <w:r>
        <w:t>Suitable d</w:t>
      </w:r>
      <w:r w:rsidR="00F63BB2">
        <w:t xml:space="preserve">ata was </w:t>
      </w:r>
      <w:r w:rsidR="00AE1482">
        <w:t>found</w:t>
      </w:r>
      <w:r w:rsidR="00F63BB2">
        <w:t xml:space="preserve"> </w:t>
      </w:r>
      <w:r w:rsidR="00AE1482">
        <w:t>for</w:t>
      </w:r>
      <w:r w:rsidR="00F63BB2">
        <w:t xml:space="preserve"> US fa</w:t>
      </w:r>
      <w:r w:rsidR="00316CAF">
        <w:t xml:space="preserve">cilities </w:t>
      </w:r>
      <w:r w:rsidR="00AE1482">
        <w:t xml:space="preserve">with lower emissions </w:t>
      </w:r>
      <w:r w:rsidR="00DE761C">
        <w:t>intensities</w:t>
      </w:r>
      <w:r w:rsidR="00AE1482">
        <w:t>, however, th</w:t>
      </w:r>
      <w:r w:rsidR="00CF0055">
        <w:t>ese</w:t>
      </w:r>
      <w:r w:rsidR="00AE1482">
        <w:t xml:space="preserve"> value</w:t>
      </w:r>
      <w:r w:rsidR="00CF0055">
        <w:t>s</w:t>
      </w:r>
      <w:r w:rsidR="00AE1482">
        <w:t xml:space="preserve"> w</w:t>
      </w:r>
      <w:r w:rsidR="00CF0055">
        <w:t>ere</w:t>
      </w:r>
      <w:r w:rsidR="00AE1482">
        <w:t xml:space="preserve"> not used as publishing a lower value for integrated extraction and stabilisation compared with stabilisation only could </w:t>
      </w:r>
      <w:r w:rsidR="00182412">
        <w:t xml:space="preserve">create incentives for businesses to redefine their facility boundary to </w:t>
      </w:r>
      <w:r w:rsidR="00324D87">
        <w:t xml:space="preserve">increase their baseline. </w:t>
      </w:r>
    </w:p>
    <w:p w14:paraId="674FD84E" w14:textId="5E967DED" w:rsidR="00640344" w:rsidRPr="00C27AB6" w:rsidRDefault="00FC57DE" w:rsidP="008A1F9B">
      <w:pPr>
        <w:pStyle w:val="Heading5"/>
        <w:rPr>
          <w:rStyle w:val="Strong"/>
          <w:b w:val="0"/>
        </w:rPr>
      </w:pPr>
      <w:r>
        <w:rPr>
          <w:rStyle w:val="Strong"/>
          <w:b w:val="0"/>
        </w:rPr>
        <w:t>Item</w:t>
      </w:r>
      <w:r w:rsidR="00640344" w:rsidRPr="00C27AB6">
        <w:rPr>
          <w:rStyle w:val="Strong"/>
          <w:b w:val="0"/>
        </w:rPr>
        <w:t xml:space="preserve"> </w:t>
      </w:r>
      <w:r w:rsidR="00DE3A77" w:rsidRPr="00C27AB6">
        <w:rPr>
          <w:rStyle w:val="Strong"/>
          <w:b w:val="0"/>
        </w:rPr>
        <w:t>2</w:t>
      </w:r>
      <w:r w:rsidR="00DE3A77">
        <w:rPr>
          <w:rStyle w:val="Strong"/>
          <w:b w:val="0"/>
        </w:rPr>
        <w:t>3</w:t>
      </w:r>
      <w:r w:rsidR="00DE3A77" w:rsidRPr="00C27AB6">
        <w:rPr>
          <w:rStyle w:val="Strong"/>
          <w:b w:val="0"/>
        </w:rPr>
        <w:t xml:space="preserve"> </w:t>
      </w:r>
      <w:r w:rsidR="00640344" w:rsidRPr="00C27AB6">
        <w:rPr>
          <w:rStyle w:val="Strong"/>
          <w:b w:val="0"/>
        </w:rPr>
        <w:t xml:space="preserve">– </w:t>
      </w:r>
      <w:r w:rsidR="001B0F5A" w:rsidRPr="00C27AB6">
        <w:rPr>
          <w:rStyle w:val="Strong"/>
          <w:b w:val="0"/>
        </w:rPr>
        <w:t>Processed natural</w:t>
      </w:r>
      <w:r w:rsidR="00640344" w:rsidRPr="00C27AB6">
        <w:rPr>
          <w:rStyle w:val="Strong"/>
          <w:b w:val="0"/>
        </w:rPr>
        <w:t xml:space="preserve"> gas</w:t>
      </w:r>
      <w:r w:rsidR="001B0F5A" w:rsidRPr="00C27AB6">
        <w:rPr>
          <w:rStyle w:val="Strong"/>
          <w:b w:val="0"/>
        </w:rPr>
        <w:t xml:space="preserve"> (processing only)</w:t>
      </w:r>
      <w:r w:rsidR="00640344" w:rsidRPr="00C27AB6">
        <w:rPr>
          <w:rStyle w:val="Strong"/>
          <w:b w:val="0"/>
        </w:rPr>
        <w:t xml:space="preserve"> best practice emissions intensity</w:t>
      </w:r>
    </w:p>
    <w:p w14:paraId="7D2A2397" w14:textId="4D493C9B" w:rsidR="00640344" w:rsidRDefault="00404590" w:rsidP="008A1F9B">
      <w:r>
        <w:t>This item</w:t>
      </w:r>
      <w:r w:rsidR="00640344" w:rsidRPr="00CE002F">
        <w:t xml:space="preserve"> inserts a </w:t>
      </w:r>
      <w:r w:rsidR="00464D22">
        <w:t>best practice emissions intensity</w:t>
      </w:r>
      <w:r w:rsidR="00640344" w:rsidRPr="00CE002F">
        <w:t xml:space="preserve"> value for </w:t>
      </w:r>
      <w:r w:rsidR="008C479B">
        <w:t>processed natural</w:t>
      </w:r>
      <w:r w:rsidR="00640344">
        <w:t xml:space="preserve"> gas</w:t>
      </w:r>
      <w:r w:rsidR="008C479B">
        <w:t xml:space="preserve"> (processing only)</w:t>
      </w:r>
      <w:r w:rsidR="00640344" w:rsidRPr="00CE002F">
        <w:t>. The benchmark is based</w:t>
      </w:r>
      <w:r w:rsidR="00640344">
        <w:t xml:space="preserve"> on a weighted average of the emissions-intensity of </w:t>
      </w:r>
      <w:r w:rsidR="00507AA5">
        <w:t>gas processing plants</w:t>
      </w:r>
      <w:r w:rsidR="00640344">
        <w:t xml:space="preserve"> in Norway. These were found to be the least emissions-intensive sites globally with suitable, high-quality data</w:t>
      </w:r>
      <w:r w:rsidR="00640344" w:rsidRPr="00CE002F">
        <w:t>.</w:t>
      </w:r>
      <w:r w:rsidR="00640344">
        <w:t xml:space="preserve"> </w:t>
      </w:r>
    </w:p>
    <w:p w14:paraId="2384D3A4" w14:textId="56FD3773" w:rsidR="005C496C" w:rsidRPr="00C27AB6" w:rsidRDefault="00FC57DE" w:rsidP="008A1F9B">
      <w:pPr>
        <w:pStyle w:val="Heading5"/>
        <w:rPr>
          <w:rStyle w:val="Strong"/>
          <w:b w:val="0"/>
        </w:rPr>
      </w:pPr>
      <w:r>
        <w:rPr>
          <w:rStyle w:val="Strong"/>
          <w:b w:val="0"/>
        </w:rPr>
        <w:t>Item</w:t>
      </w:r>
      <w:r w:rsidR="005C496C" w:rsidRPr="00C27AB6">
        <w:rPr>
          <w:rStyle w:val="Strong"/>
          <w:b w:val="0"/>
        </w:rPr>
        <w:t xml:space="preserve"> </w:t>
      </w:r>
      <w:r w:rsidR="00DE3A77" w:rsidRPr="00C27AB6">
        <w:rPr>
          <w:rStyle w:val="Strong"/>
          <w:b w:val="0"/>
        </w:rPr>
        <w:t>2</w:t>
      </w:r>
      <w:r w:rsidR="00DE3A77">
        <w:rPr>
          <w:rStyle w:val="Strong"/>
          <w:b w:val="0"/>
        </w:rPr>
        <w:t>4</w:t>
      </w:r>
      <w:r w:rsidR="00DE3A77" w:rsidRPr="00C27AB6">
        <w:rPr>
          <w:rStyle w:val="Strong"/>
          <w:b w:val="0"/>
        </w:rPr>
        <w:t xml:space="preserve"> </w:t>
      </w:r>
      <w:r w:rsidR="005C496C" w:rsidRPr="00C27AB6">
        <w:rPr>
          <w:rStyle w:val="Strong"/>
          <w:b w:val="0"/>
        </w:rPr>
        <w:t>– Processed natural gas (</w:t>
      </w:r>
      <w:r w:rsidR="00D5457F" w:rsidRPr="00C27AB6">
        <w:rPr>
          <w:rStyle w:val="Strong"/>
          <w:b w:val="0"/>
        </w:rPr>
        <w:t xml:space="preserve">integrated extraction and </w:t>
      </w:r>
      <w:r w:rsidR="005C496C" w:rsidRPr="00C27AB6">
        <w:rPr>
          <w:rStyle w:val="Strong"/>
          <w:b w:val="0"/>
        </w:rPr>
        <w:t>processing) best practice emissions intensity</w:t>
      </w:r>
    </w:p>
    <w:p w14:paraId="39B8085B" w14:textId="33986F33" w:rsidR="005C496C" w:rsidRDefault="00404590" w:rsidP="008A1F9B">
      <w:r>
        <w:t>This item</w:t>
      </w:r>
      <w:r w:rsidR="005C496C" w:rsidRPr="00CE002F">
        <w:t xml:space="preserve"> inserts a </w:t>
      </w:r>
      <w:r w:rsidR="00464D22">
        <w:t>best practice emissions intensity</w:t>
      </w:r>
      <w:r w:rsidR="005C496C" w:rsidRPr="00CE002F">
        <w:t xml:space="preserve"> value for </w:t>
      </w:r>
      <w:r w:rsidR="005C496C">
        <w:t>processed natural gas (</w:t>
      </w:r>
      <w:r w:rsidR="00D5457F">
        <w:t xml:space="preserve">integrated extraction and </w:t>
      </w:r>
      <w:r w:rsidR="005C496C">
        <w:t>processing)</w:t>
      </w:r>
      <w:r w:rsidR="005C496C" w:rsidRPr="00CE002F">
        <w:t>. The benchmark is based</w:t>
      </w:r>
      <w:r w:rsidR="005C496C">
        <w:t xml:space="preserve"> on a weighted average of the emissions-intensity of gas processing plants in Norway</w:t>
      </w:r>
      <w:r w:rsidR="002A5E68">
        <w:t xml:space="preserve"> and the UK</w:t>
      </w:r>
      <w:r w:rsidR="005C496C">
        <w:t>. These were found to be the least emissions-intensive sites globally with suitable, high-quality data</w:t>
      </w:r>
      <w:r w:rsidR="005C496C" w:rsidRPr="00CE002F">
        <w:t>.</w:t>
      </w:r>
      <w:r w:rsidR="005C496C">
        <w:t xml:space="preserve"> </w:t>
      </w:r>
    </w:p>
    <w:p w14:paraId="78F43EBC" w14:textId="79EED509" w:rsidR="00927659" w:rsidRPr="00C27AB6" w:rsidRDefault="00FC57DE" w:rsidP="008A1F9B">
      <w:pPr>
        <w:pStyle w:val="Heading5"/>
        <w:rPr>
          <w:rStyle w:val="Strong"/>
          <w:b w:val="0"/>
        </w:rPr>
      </w:pPr>
      <w:r>
        <w:rPr>
          <w:rStyle w:val="Strong"/>
          <w:b w:val="0"/>
        </w:rPr>
        <w:t>Item</w:t>
      </w:r>
      <w:r w:rsidR="00927659" w:rsidRPr="00C27AB6">
        <w:rPr>
          <w:rStyle w:val="Strong"/>
          <w:b w:val="0"/>
        </w:rPr>
        <w:t xml:space="preserve"> </w:t>
      </w:r>
      <w:r w:rsidR="00015BE7" w:rsidRPr="00C27AB6">
        <w:rPr>
          <w:rStyle w:val="Strong"/>
          <w:b w:val="0"/>
        </w:rPr>
        <w:t>2</w:t>
      </w:r>
      <w:r w:rsidR="00015BE7">
        <w:rPr>
          <w:rStyle w:val="Strong"/>
          <w:b w:val="0"/>
        </w:rPr>
        <w:t>5</w:t>
      </w:r>
      <w:r w:rsidR="00015BE7" w:rsidRPr="00C27AB6">
        <w:rPr>
          <w:rStyle w:val="Strong"/>
          <w:b w:val="0"/>
        </w:rPr>
        <w:t xml:space="preserve"> </w:t>
      </w:r>
      <w:r w:rsidR="00927659" w:rsidRPr="00C27AB6">
        <w:rPr>
          <w:rStyle w:val="Strong"/>
          <w:b w:val="0"/>
        </w:rPr>
        <w:t xml:space="preserve">– </w:t>
      </w:r>
      <w:r w:rsidR="009B5ED6" w:rsidRPr="00C27AB6">
        <w:rPr>
          <w:rStyle w:val="Strong"/>
          <w:b w:val="0"/>
        </w:rPr>
        <w:t>Liqu</w:t>
      </w:r>
      <w:r w:rsidR="00753277" w:rsidRPr="00C27AB6">
        <w:rPr>
          <w:rStyle w:val="Strong"/>
          <w:b w:val="0"/>
        </w:rPr>
        <w:t>efied natural gas</w:t>
      </w:r>
      <w:r w:rsidR="00927659" w:rsidRPr="00C27AB6">
        <w:rPr>
          <w:rStyle w:val="Strong"/>
          <w:b w:val="0"/>
        </w:rPr>
        <w:t xml:space="preserve"> (</w:t>
      </w:r>
      <w:r w:rsidR="00753277" w:rsidRPr="00C27AB6">
        <w:rPr>
          <w:rStyle w:val="Strong"/>
          <w:b w:val="0"/>
        </w:rPr>
        <w:t>from unprocessed natural gas</w:t>
      </w:r>
      <w:r w:rsidR="00927659" w:rsidRPr="00C27AB6">
        <w:rPr>
          <w:rStyle w:val="Strong"/>
          <w:b w:val="0"/>
        </w:rPr>
        <w:t>) best practice emissions intensity</w:t>
      </w:r>
    </w:p>
    <w:p w14:paraId="4D17ACBB" w14:textId="09859A66" w:rsidR="00927659" w:rsidRDefault="00404590" w:rsidP="008A1F9B">
      <w:r>
        <w:t>This item</w:t>
      </w:r>
      <w:r w:rsidR="00927659" w:rsidRPr="00CE002F">
        <w:t xml:space="preserve"> inserts a </w:t>
      </w:r>
      <w:r w:rsidR="00464D22">
        <w:t>best practice emissions intensity</w:t>
      </w:r>
      <w:r w:rsidR="00927659" w:rsidRPr="00CE002F">
        <w:t xml:space="preserve"> value for </w:t>
      </w:r>
      <w:r w:rsidR="00753277">
        <w:t>liquefied natural gas</w:t>
      </w:r>
      <w:r w:rsidR="00927659">
        <w:t xml:space="preserve"> (</w:t>
      </w:r>
      <w:r w:rsidR="00753277">
        <w:t>from unprocessed natural gas</w:t>
      </w:r>
      <w:r w:rsidR="00927659">
        <w:t>)</w:t>
      </w:r>
      <w:r w:rsidR="00927659" w:rsidRPr="00CE002F">
        <w:t xml:space="preserve">. The benchmark is </w:t>
      </w:r>
      <w:r w:rsidR="00610C6E">
        <w:t>calculated as the sum of international best practice value</w:t>
      </w:r>
      <w:r w:rsidR="00400374">
        <w:t>s</w:t>
      </w:r>
      <w:r w:rsidR="00610C6E">
        <w:t xml:space="preserve"> for natural gas processing </w:t>
      </w:r>
      <w:r w:rsidR="00EB0E8E">
        <w:t>(integrated) and the transformation of natural gas to liquefied natural gas</w:t>
      </w:r>
      <w:r w:rsidR="00745F68">
        <w:t xml:space="preserve"> (LNG)</w:t>
      </w:r>
      <w:r w:rsidR="00927659" w:rsidRPr="00CE002F">
        <w:t>.</w:t>
      </w:r>
      <w:r w:rsidR="00927659">
        <w:t xml:space="preserve"> </w:t>
      </w:r>
    </w:p>
    <w:p w14:paraId="550879F9" w14:textId="2BF7EFA6" w:rsidR="009B356D" w:rsidRDefault="009B356D" w:rsidP="008A1F9B">
      <w:r>
        <w:t xml:space="preserve">The top 10% of Australian data was not used as a fallback, as it would have resulted in a </w:t>
      </w:r>
      <w:r w:rsidR="00464D22">
        <w:t>best practice emissions intensity</w:t>
      </w:r>
      <w:r w:rsidR="00CD3CF2">
        <w:t xml:space="preserve"> value for </w:t>
      </w:r>
      <w:r w:rsidR="00B52E3C">
        <w:t xml:space="preserve">integrated LNG (including </w:t>
      </w:r>
      <w:r w:rsidR="00835F61">
        <w:t>gas</w:t>
      </w:r>
      <w:r w:rsidR="00B52E3C">
        <w:t xml:space="preserve"> processing and liquefaction)</w:t>
      </w:r>
      <w:r w:rsidR="00E62AE9">
        <w:t xml:space="preserve"> </w:t>
      </w:r>
      <w:r w:rsidR="00745F68">
        <w:t xml:space="preserve">that was lower than the </w:t>
      </w:r>
      <w:r w:rsidR="00464D22">
        <w:t>best practice emissions intensity value</w:t>
      </w:r>
      <w:r w:rsidR="00B52E3C">
        <w:t xml:space="preserve"> for </w:t>
      </w:r>
      <w:r w:rsidR="00DD1A2A">
        <w:t>LNG processing</w:t>
      </w:r>
      <w:r w:rsidR="0088027F">
        <w:t xml:space="preserve"> only</w:t>
      </w:r>
      <w:r w:rsidR="00DD1A2A">
        <w:t>. This</w:t>
      </w:r>
      <w:r w:rsidR="00E62AE9">
        <w:t xml:space="preserve"> could create an incentive for businesses to redefine their facility boundary to increase their baseline.</w:t>
      </w:r>
    </w:p>
    <w:p w14:paraId="11A3129D" w14:textId="61B1795C" w:rsidR="007862EC" w:rsidRPr="00C27AB6" w:rsidRDefault="00FC57DE" w:rsidP="008A1F9B">
      <w:pPr>
        <w:pStyle w:val="Heading5"/>
        <w:rPr>
          <w:rStyle w:val="Strong"/>
          <w:b w:val="0"/>
        </w:rPr>
      </w:pPr>
      <w:r>
        <w:rPr>
          <w:rStyle w:val="Strong"/>
          <w:b w:val="0"/>
        </w:rPr>
        <w:t>Item</w:t>
      </w:r>
      <w:r w:rsidR="007862EC" w:rsidRPr="00C27AB6">
        <w:rPr>
          <w:rStyle w:val="Strong"/>
          <w:b w:val="0"/>
        </w:rPr>
        <w:t xml:space="preserve"> </w:t>
      </w:r>
      <w:r w:rsidR="00015BE7" w:rsidRPr="00C27AB6">
        <w:rPr>
          <w:rStyle w:val="Strong"/>
          <w:b w:val="0"/>
        </w:rPr>
        <w:t>2</w:t>
      </w:r>
      <w:r w:rsidR="00015BE7">
        <w:rPr>
          <w:rStyle w:val="Strong"/>
          <w:b w:val="0"/>
        </w:rPr>
        <w:t>6</w:t>
      </w:r>
      <w:r w:rsidR="00015BE7" w:rsidRPr="00C27AB6">
        <w:rPr>
          <w:rStyle w:val="Strong"/>
          <w:b w:val="0"/>
        </w:rPr>
        <w:t xml:space="preserve"> </w:t>
      </w:r>
      <w:r w:rsidR="007862EC" w:rsidRPr="00C27AB6">
        <w:rPr>
          <w:rStyle w:val="Strong"/>
          <w:b w:val="0"/>
        </w:rPr>
        <w:t>– Liquefied natural gas (from processed natural gas) best practice emissions intensity</w:t>
      </w:r>
    </w:p>
    <w:p w14:paraId="380DBD78" w14:textId="6E6E7CC9" w:rsidR="007862EC" w:rsidRDefault="00404590" w:rsidP="008A1F9B">
      <w:pPr>
        <w:keepLines/>
      </w:pPr>
      <w:r>
        <w:t>This item</w:t>
      </w:r>
      <w:r w:rsidR="003B30BE" w:rsidRPr="00CE002F">
        <w:t xml:space="preserve"> inserts a </w:t>
      </w:r>
      <w:r w:rsidR="00464D22">
        <w:t>best practice emissions intensity</w:t>
      </w:r>
      <w:r w:rsidR="003B30BE" w:rsidRPr="00CE002F">
        <w:t xml:space="preserve"> value for </w:t>
      </w:r>
      <w:r w:rsidR="003B30BE">
        <w:t>liquefied natural gas (from processed natural gas)</w:t>
      </w:r>
      <w:r w:rsidR="003B30BE" w:rsidRPr="00CE002F">
        <w:t xml:space="preserve">. </w:t>
      </w:r>
      <w:r w:rsidR="007862EC" w:rsidRPr="00CE002F">
        <w:t>The benchmark is based</w:t>
      </w:r>
      <w:r w:rsidR="007862EC">
        <w:t xml:space="preserve"> on a weighted average of the emissions-intensity of gas processing plants in the U</w:t>
      </w:r>
      <w:r w:rsidR="0035063A">
        <w:t>S</w:t>
      </w:r>
      <w:r w:rsidR="007862EC">
        <w:t>. These were found to be the least emissions-intensive sites globally with suitable, high-quality data</w:t>
      </w:r>
      <w:r w:rsidR="007862EC" w:rsidRPr="00CE002F">
        <w:t>.</w:t>
      </w:r>
      <w:r w:rsidR="007862EC">
        <w:t xml:space="preserve"> </w:t>
      </w:r>
    </w:p>
    <w:p w14:paraId="03A7415D" w14:textId="1FB62FDF" w:rsidR="00FB5D90" w:rsidRPr="00C27AB6" w:rsidRDefault="00FC57DE" w:rsidP="008A1F9B">
      <w:pPr>
        <w:pStyle w:val="Heading5"/>
        <w:rPr>
          <w:rStyle w:val="Strong"/>
          <w:b w:val="0"/>
        </w:rPr>
      </w:pPr>
      <w:r>
        <w:rPr>
          <w:rStyle w:val="Strong"/>
          <w:b w:val="0"/>
        </w:rPr>
        <w:t>Item</w:t>
      </w:r>
      <w:r w:rsidR="00FB5D90" w:rsidRPr="00C27AB6">
        <w:rPr>
          <w:rStyle w:val="Strong"/>
          <w:b w:val="0"/>
        </w:rPr>
        <w:t xml:space="preserve"> </w:t>
      </w:r>
      <w:r w:rsidR="00015BE7" w:rsidRPr="00C27AB6">
        <w:rPr>
          <w:rStyle w:val="Strong"/>
          <w:b w:val="0"/>
        </w:rPr>
        <w:t>2</w:t>
      </w:r>
      <w:r w:rsidR="00015BE7">
        <w:rPr>
          <w:rStyle w:val="Strong"/>
          <w:b w:val="0"/>
        </w:rPr>
        <w:t>7</w:t>
      </w:r>
      <w:r w:rsidR="00015BE7" w:rsidRPr="00C27AB6">
        <w:rPr>
          <w:rStyle w:val="Strong"/>
          <w:b w:val="0"/>
        </w:rPr>
        <w:t xml:space="preserve"> </w:t>
      </w:r>
      <w:r w:rsidR="00FB5D90" w:rsidRPr="00C27AB6">
        <w:rPr>
          <w:rStyle w:val="Strong"/>
          <w:b w:val="0"/>
        </w:rPr>
        <w:t xml:space="preserve">– Ethane </w:t>
      </w:r>
      <w:r w:rsidR="00B137DD">
        <w:rPr>
          <w:rStyle w:val="Strong"/>
          <w:b w:val="0"/>
        </w:rPr>
        <w:t xml:space="preserve">default and </w:t>
      </w:r>
      <w:r w:rsidR="00FB5D90" w:rsidRPr="00C27AB6">
        <w:rPr>
          <w:rStyle w:val="Strong"/>
          <w:b w:val="0"/>
        </w:rPr>
        <w:t>best practice emissions intensity</w:t>
      </w:r>
    </w:p>
    <w:p w14:paraId="428347C1" w14:textId="49520050" w:rsidR="00FB5D90" w:rsidRPr="00CE002F" w:rsidRDefault="00404590" w:rsidP="008A1F9B">
      <w:r>
        <w:t>This item</w:t>
      </w:r>
      <w:r w:rsidR="00FB5D90" w:rsidRPr="00CE002F">
        <w:t xml:space="preserve"> inserts a </w:t>
      </w:r>
      <w:r w:rsidR="00B137DD">
        <w:t xml:space="preserve">default </w:t>
      </w:r>
      <w:r w:rsidR="00464D22">
        <w:t>emissions intensity value</w:t>
      </w:r>
      <w:r w:rsidR="00B137DD">
        <w:t xml:space="preserve"> and </w:t>
      </w:r>
      <w:r w:rsidR="00464D22">
        <w:t>best practice emissions intensity</w:t>
      </w:r>
      <w:r w:rsidR="00FB5D90" w:rsidRPr="00CE002F">
        <w:t xml:space="preserve"> value for </w:t>
      </w:r>
      <w:r w:rsidR="00FB5D90">
        <w:t>ethane</w:t>
      </w:r>
      <w:r w:rsidR="00FB5D90" w:rsidRPr="00CE002F">
        <w:t xml:space="preserve">. The </w:t>
      </w:r>
      <w:r w:rsidR="00464D22">
        <w:t>best practice emissions intensity</w:t>
      </w:r>
      <w:r w:rsidR="00464D22" w:rsidRPr="00CE002F">
        <w:t xml:space="preserve"> </w:t>
      </w:r>
      <w:r w:rsidR="00464D22">
        <w:t xml:space="preserve">value </w:t>
      </w:r>
      <w:r w:rsidR="00FB5D90" w:rsidRPr="00CE002F">
        <w:t>is based</w:t>
      </w:r>
      <w:r w:rsidR="00FB5D90">
        <w:t xml:space="preserve"> on the top 10% of Australian industry performance, as suitable, high-quality data</w:t>
      </w:r>
      <w:r w:rsidR="00DB6F1A">
        <w:t xml:space="preserve"> could not be found globally for ethane</w:t>
      </w:r>
      <w:r w:rsidR="00FB5D90" w:rsidRPr="00CE002F">
        <w:t>.</w:t>
      </w:r>
      <w:r w:rsidR="004670DD">
        <w:t xml:space="preserve"> The key challenge related to accurately apportioning emissions among outputs at a gas processing plant.</w:t>
      </w:r>
    </w:p>
    <w:p w14:paraId="17B0A002" w14:textId="69E2E057" w:rsidR="002F2628" w:rsidRPr="00C27AB6" w:rsidRDefault="00FC57DE" w:rsidP="008A1F9B">
      <w:pPr>
        <w:pStyle w:val="Heading5"/>
        <w:rPr>
          <w:rStyle w:val="Strong"/>
          <w:b w:val="0"/>
        </w:rPr>
      </w:pPr>
      <w:r>
        <w:rPr>
          <w:rStyle w:val="Strong"/>
          <w:b w:val="0"/>
        </w:rPr>
        <w:lastRenderedPageBreak/>
        <w:t>Item</w:t>
      </w:r>
      <w:r w:rsidR="002F2628" w:rsidRPr="00C27AB6">
        <w:rPr>
          <w:rStyle w:val="Strong"/>
          <w:b w:val="0"/>
        </w:rPr>
        <w:t xml:space="preserve"> </w:t>
      </w:r>
      <w:r w:rsidR="00EB7464" w:rsidRPr="00C27AB6">
        <w:rPr>
          <w:rStyle w:val="Strong"/>
          <w:b w:val="0"/>
        </w:rPr>
        <w:t>2</w:t>
      </w:r>
      <w:r w:rsidR="00EB7464">
        <w:rPr>
          <w:rStyle w:val="Strong"/>
          <w:b w:val="0"/>
        </w:rPr>
        <w:t>8</w:t>
      </w:r>
      <w:r w:rsidR="00EB7464" w:rsidRPr="00C27AB6">
        <w:rPr>
          <w:rStyle w:val="Strong"/>
          <w:b w:val="0"/>
        </w:rPr>
        <w:t xml:space="preserve"> </w:t>
      </w:r>
      <w:r w:rsidR="002F2628" w:rsidRPr="00C27AB6">
        <w:rPr>
          <w:rStyle w:val="Strong"/>
          <w:b w:val="0"/>
        </w:rPr>
        <w:t>– Liquefied</w:t>
      </w:r>
      <w:r w:rsidR="00DB6F1A" w:rsidRPr="00C27AB6">
        <w:rPr>
          <w:rStyle w:val="Strong"/>
          <w:b w:val="0"/>
        </w:rPr>
        <w:t xml:space="preserve"> petroleum gas</w:t>
      </w:r>
      <w:r w:rsidR="002F2628" w:rsidRPr="00C27AB6">
        <w:rPr>
          <w:rStyle w:val="Strong"/>
          <w:b w:val="0"/>
        </w:rPr>
        <w:t xml:space="preserve"> best practice emissions intensity</w:t>
      </w:r>
    </w:p>
    <w:p w14:paraId="63D620DD" w14:textId="1198F179" w:rsidR="004670DD" w:rsidRPr="00CE002F" w:rsidRDefault="00404590" w:rsidP="008A1F9B">
      <w:r>
        <w:t>This item</w:t>
      </w:r>
      <w:r w:rsidR="002F2628" w:rsidRPr="00CE002F">
        <w:t xml:space="preserve"> inserts a </w:t>
      </w:r>
      <w:r w:rsidR="00464D22">
        <w:t>best practice emissions intensity</w:t>
      </w:r>
      <w:r w:rsidR="002F2628" w:rsidRPr="00CE002F">
        <w:t xml:space="preserve"> value for </w:t>
      </w:r>
      <w:r w:rsidR="00DB6F1A">
        <w:t>liquefied petroleum gas</w:t>
      </w:r>
      <w:r w:rsidR="002F2628" w:rsidRPr="00CE002F">
        <w:t>. The benchmark is based</w:t>
      </w:r>
      <w:r w:rsidR="002F2628">
        <w:t xml:space="preserve"> on the top 10% of Australian industry performance, </w:t>
      </w:r>
      <w:r w:rsidR="00DB6F1A">
        <w:t>as suitable, high-quality data could not be found globally for LPG</w:t>
      </w:r>
      <w:r w:rsidR="002F2628" w:rsidRPr="00CE002F">
        <w:t>.</w:t>
      </w:r>
      <w:r w:rsidR="004670DD" w:rsidRPr="004670DD">
        <w:t xml:space="preserve"> </w:t>
      </w:r>
      <w:r w:rsidR="004670DD">
        <w:t>The key challenge related to accurately apportioning emissions among outputs at a gas processing plant.</w:t>
      </w:r>
    </w:p>
    <w:p w14:paraId="5B1F6627" w14:textId="54857B12" w:rsidR="007B786D" w:rsidRPr="00C27AB6" w:rsidRDefault="0099777A" w:rsidP="008A1F9B">
      <w:pPr>
        <w:pStyle w:val="Heading5"/>
        <w:rPr>
          <w:rStyle w:val="Strong"/>
          <w:b w:val="0"/>
        </w:rPr>
      </w:pPr>
      <w:r>
        <w:rPr>
          <w:rStyle w:val="Strong"/>
          <w:b w:val="0"/>
        </w:rPr>
        <w:t>Item</w:t>
      </w:r>
      <w:r w:rsidR="007B786D" w:rsidRPr="00C27AB6">
        <w:rPr>
          <w:rStyle w:val="Strong"/>
          <w:b w:val="0"/>
        </w:rPr>
        <w:t xml:space="preserve"> </w:t>
      </w:r>
      <w:r w:rsidR="00EB7464" w:rsidRPr="00C27AB6">
        <w:rPr>
          <w:rStyle w:val="Strong"/>
          <w:b w:val="0"/>
        </w:rPr>
        <w:t>2</w:t>
      </w:r>
      <w:r w:rsidR="00EB7464">
        <w:rPr>
          <w:rStyle w:val="Strong"/>
          <w:b w:val="0"/>
        </w:rPr>
        <w:t>9</w:t>
      </w:r>
      <w:r w:rsidR="00EB7464" w:rsidRPr="00C27AB6">
        <w:rPr>
          <w:rStyle w:val="Strong"/>
          <w:b w:val="0"/>
        </w:rPr>
        <w:t xml:space="preserve"> </w:t>
      </w:r>
      <w:r w:rsidR="007B786D" w:rsidRPr="00C27AB6">
        <w:rPr>
          <w:rStyle w:val="Strong"/>
          <w:b w:val="0"/>
        </w:rPr>
        <w:t xml:space="preserve">– Reservoir </w:t>
      </w:r>
      <w:r w:rsidR="007279BB" w:rsidRPr="00890EE8">
        <w:rPr>
          <w:rFonts w:eastAsia="Times New Roman"/>
        </w:rPr>
        <w:t>CO</w:t>
      </w:r>
      <w:r w:rsidR="007279BB" w:rsidRPr="00890EE8">
        <w:rPr>
          <w:rFonts w:eastAsia="Times New Roman"/>
          <w:vertAlign w:val="subscript"/>
        </w:rPr>
        <w:t>2</w:t>
      </w:r>
      <w:r w:rsidR="007279BB" w:rsidRPr="00890EE8">
        <w:rPr>
          <w:rFonts w:eastAsia="Times New Roman"/>
        </w:rPr>
        <w:t xml:space="preserve"> </w:t>
      </w:r>
      <w:r w:rsidR="007279BB" w:rsidRPr="00890EE8">
        <w:rPr>
          <w:rStyle w:val="Strong"/>
          <w:rFonts w:eastAsia="Times New Roman"/>
          <w:b w:val="0"/>
        </w:rPr>
        <w:t>from existing gas fields best practice emissions intensity</w:t>
      </w:r>
    </w:p>
    <w:p w14:paraId="5E9EBEA8" w14:textId="63A77864" w:rsidR="007B786D" w:rsidRDefault="007279BB" w:rsidP="008A1F9B">
      <w:pPr>
        <w:keepLines/>
      </w:pPr>
      <w:r>
        <w:t xml:space="preserve">This item inserts a </w:t>
      </w:r>
      <w:r w:rsidR="000F0004">
        <w:t>best practice emissions intensity</w:t>
      </w:r>
      <w:r>
        <w:t xml:space="preserve"> value for reservoir CO</w:t>
      </w:r>
      <w:r>
        <w:rPr>
          <w:vertAlign w:val="subscript"/>
        </w:rPr>
        <w:t>2</w:t>
      </w:r>
      <w:r>
        <w:t xml:space="preserve"> that will apply to new facilities or new production using the production variable at section 35 of Schedule 1. The benchmark is based on a weighted average of carbon capture and storage rates for facilities in Norway. These were found to be the least emissions-intensive sites globally with suitable, high-quality data</w:t>
      </w:r>
      <w:r w:rsidR="007B786D" w:rsidRPr="00CE002F">
        <w:t>.</w:t>
      </w:r>
      <w:r w:rsidR="007B786D">
        <w:t xml:space="preserve"> </w:t>
      </w:r>
    </w:p>
    <w:p w14:paraId="70532217" w14:textId="1CB30CE5" w:rsidR="00FF23A2" w:rsidRPr="000B2C4D" w:rsidRDefault="00A2514F" w:rsidP="002170AE">
      <w:pPr>
        <w:pStyle w:val="Heading5"/>
        <w:rPr>
          <w:rStyle w:val="Strong"/>
          <w:b w:val="0"/>
          <w:i/>
          <w:iCs/>
        </w:rPr>
      </w:pPr>
      <w:r w:rsidRPr="000B2C4D">
        <w:rPr>
          <w:rStyle w:val="Strong"/>
          <w:b w:val="0"/>
          <w:i/>
          <w:iCs/>
        </w:rPr>
        <w:t xml:space="preserve">Other best practice emissions intensity values </w:t>
      </w:r>
    </w:p>
    <w:p w14:paraId="171E4EC4" w14:textId="2D09E997" w:rsidR="276EFA7C" w:rsidRPr="00B97DEC" w:rsidRDefault="02067E2C" w:rsidP="008A1F9B">
      <w:r w:rsidRPr="00B97DEC">
        <w:t>P</w:t>
      </w:r>
      <w:r w:rsidR="4B68372F" w:rsidRPr="00B97DEC">
        <w:t xml:space="preserve">roduction variables </w:t>
      </w:r>
      <w:r w:rsidR="69081D35" w:rsidRPr="00B97DEC">
        <w:t xml:space="preserve">that have best practice emissions intensity values inserted </w:t>
      </w:r>
      <w:r w:rsidR="3EAFF873" w:rsidRPr="00B97DEC">
        <w:t xml:space="preserve">through </w:t>
      </w:r>
      <w:r w:rsidR="52B90D28" w:rsidRPr="00B97DEC">
        <w:t>other</w:t>
      </w:r>
      <w:r w:rsidR="3EAFF873" w:rsidRPr="00B97DEC">
        <w:t xml:space="preserve"> sections</w:t>
      </w:r>
      <w:r w:rsidR="4EFB82B4" w:rsidRPr="00B97DEC">
        <w:t xml:space="preserve"> of this Amendment Rule</w:t>
      </w:r>
      <w:r w:rsidR="0EBDF7FF" w:rsidRPr="00B97DEC">
        <w:t xml:space="preserve"> include</w:t>
      </w:r>
      <w:r w:rsidR="56703B0E" w:rsidRPr="00B97DEC">
        <w:t>:</w:t>
      </w:r>
    </w:p>
    <w:p w14:paraId="38D89AC1" w14:textId="07CBE904" w:rsidR="21FA926E" w:rsidRDefault="21FA926E" w:rsidP="008A1F9B">
      <w:pPr>
        <w:pStyle w:val="ListParagraph"/>
        <w:numPr>
          <w:ilvl w:val="0"/>
          <w:numId w:val="30"/>
        </w:numPr>
      </w:pPr>
      <w:r>
        <w:t>Primary iron</w:t>
      </w:r>
      <w:r w:rsidR="00B97DEC">
        <w:t xml:space="preserve"> (section 32)</w:t>
      </w:r>
    </w:p>
    <w:p w14:paraId="511C2BF1" w14:textId="77777777" w:rsidR="00B97DEC" w:rsidRDefault="00B97DEC" w:rsidP="008A1F9B">
      <w:pPr>
        <w:pStyle w:val="ListParagraph"/>
        <w:numPr>
          <w:ilvl w:val="0"/>
          <w:numId w:val="30"/>
        </w:numPr>
      </w:pPr>
      <w:r>
        <w:t>Iron ore pellets (section 33)</w:t>
      </w:r>
    </w:p>
    <w:p w14:paraId="7680C31C" w14:textId="77777777" w:rsidR="00A102F7" w:rsidRDefault="00A102F7" w:rsidP="008A1F9B">
      <w:pPr>
        <w:pStyle w:val="ListParagraph"/>
        <w:numPr>
          <w:ilvl w:val="0"/>
          <w:numId w:val="30"/>
        </w:numPr>
      </w:pPr>
      <w:r>
        <w:t>Bulk freight road transport (section 47)</w:t>
      </w:r>
    </w:p>
    <w:p w14:paraId="44C9FDFC" w14:textId="77777777" w:rsidR="00A102F7" w:rsidRDefault="00A102F7" w:rsidP="008A1F9B">
      <w:pPr>
        <w:pStyle w:val="ListParagraph"/>
        <w:numPr>
          <w:ilvl w:val="0"/>
          <w:numId w:val="30"/>
        </w:numPr>
      </w:pPr>
      <w:r>
        <w:t>Electricity generation (section 48)</w:t>
      </w:r>
    </w:p>
    <w:p w14:paraId="5294A759" w14:textId="77777777" w:rsidR="00A102F7" w:rsidRDefault="00A102F7" w:rsidP="008A1F9B">
      <w:pPr>
        <w:pStyle w:val="ListParagraph"/>
        <w:numPr>
          <w:ilvl w:val="0"/>
          <w:numId w:val="30"/>
        </w:numPr>
      </w:pPr>
      <w:r>
        <w:t>Lithium hydroxide (section 63)</w:t>
      </w:r>
    </w:p>
    <w:p w14:paraId="783F08A9" w14:textId="0B926C44" w:rsidR="21FA926E" w:rsidRDefault="21FA926E" w:rsidP="008A1F9B">
      <w:pPr>
        <w:pStyle w:val="ListParagraph"/>
        <w:numPr>
          <w:ilvl w:val="0"/>
          <w:numId w:val="30"/>
        </w:numPr>
      </w:pPr>
      <w:r>
        <w:t>Gaseous hydrogen</w:t>
      </w:r>
      <w:r w:rsidR="00724C84">
        <w:t xml:space="preserve"> (section 64)</w:t>
      </w:r>
    </w:p>
    <w:p w14:paraId="2725DADC" w14:textId="584A38CC" w:rsidR="21FA926E" w:rsidRDefault="21FA926E" w:rsidP="008A1F9B">
      <w:pPr>
        <w:pStyle w:val="ListParagraph"/>
        <w:numPr>
          <w:ilvl w:val="0"/>
          <w:numId w:val="30"/>
        </w:numPr>
      </w:pPr>
      <w:r>
        <w:t>Liquefied hydrogen</w:t>
      </w:r>
      <w:r w:rsidR="00724C84">
        <w:t xml:space="preserve"> (section 64)</w:t>
      </w:r>
    </w:p>
    <w:p w14:paraId="2B75B990" w14:textId="09F4CF9E" w:rsidR="00FF23A2" w:rsidRPr="005B7BD6" w:rsidRDefault="00D85050" w:rsidP="002170AE">
      <w:pPr>
        <w:pStyle w:val="ListParagraph"/>
        <w:numPr>
          <w:ilvl w:val="0"/>
          <w:numId w:val="30"/>
        </w:numPr>
        <w:rPr>
          <w:rStyle w:val="Strong"/>
          <w:b w:val="0"/>
        </w:rPr>
      </w:pPr>
      <w:r>
        <w:t>Mine rehabilitation (section 64)</w:t>
      </w:r>
    </w:p>
    <w:p w14:paraId="0459DB34" w14:textId="047F8749" w:rsidR="59DF9529" w:rsidRPr="00540546" w:rsidRDefault="7E78BDBD" w:rsidP="008A1F9B">
      <w:pPr>
        <w:pStyle w:val="Heading4"/>
      </w:pPr>
      <w:r w:rsidRPr="00C27AB6">
        <w:rPr>
          <w:rStyle w:val="Strong"/>
          <w:b w:val="0"/>
        </w:rPr>
        <w:t>Steel production variables overview</w:t>
      </w:r>
    </w:p>
    <w:p w14:paraId="4D48DAB7" w14:textId="7E35E70E" w:rsidR="59DF9529" w:rsidRPr="00540546" w:rsidRDefault="7E78BDBD" w:rsidP="008A1F9B">
      <w:r>
        <w:t xml:space="preserve">In Part 20 of Schedule 1 of the Safeguard Rule, there were 12 production variables related to steel manufacturing. </w:t>
      </w:r>
      <w:r w:rsidR="0099777A">
        <w:t>Item</w:t>
      </w:r>
      <w:r>
        <w:t xml:space="preserve">s </w:t>
      </w:r>
      <w:r w:rsidR="006E45DA">
        <w:t>30</w:t>
      </w:r>
      <w:r w:rsidR="4DDEA9EB" w:rsidRPr="00990F56">
        <w:t xml:space="preserve"> to </w:t>
      </w:r>
      <w:r w:rsidR="1E7FC2E7" w:rsidRPr="00990F56">
        <w:t>4</w:t>
      </w:r>
      <w:r w:rsidR="008050E8">
        <w:t>6</w:t>
      </w:r>
      <w:r>
        <w:t xml:space="preserve"> of the Amendment update the steel production variables to accommodate technologies that can be used to reduce the emissions intensity of steel production, including new ways of making steel. The result is a new total of 11 production variables related to steel manufacturing.</w:t>
      </w:r>
    </w:p>
    <w:p w14:paraId="4D5B65ED" w14:textId="718BD499" w:rsidR="59DF9529" w:rsidRPr="00540546" w:rsidRDefault="7E78BDBD" w:rsidP="008A1F9B">
      <w:r>
        <w:t>The following are removed:</w:t>
      </w:r>
    </w:p>
    <w:p w14:paraId="3C792E2A" w14:textId="46EF8060" w:rsidR="59DF9529" w:rsidRPr="00540546" w:rsidRDefault="7E78BDBD" w:rsidP="008A1F9B">
      <w:pPr>
        <w:pStyle w:val="ListParagraph"/>
        <w:numPr>
          <w:ilvl w:val="0"/>
          <w:numId w:val="28"/>
        </w:numPr>
        <w:rPr>
          <w:rStyle w:val="Strong"/>
          <w:b w:val="0"/>
          <w:bCs w:val="0"/>
        </w:rPr>
      </w:pPr>
      <w:r w:rsidRPr="5DBFE3F0">
        <w:rPr>
          <w:rStyle w:val="Strong"/>
          <w:b w:val="0"/>
          <w:bCs w:val="0"/>
        </w:rPr>
        <w:t>The definition of Integrated iron and steel manufacturing</w:t>
      </w:r>
    </w:p>
    <w:p w14:paraId="2B82B120" w14:textId="531FD52C" w:rsidR="59DF9529" w:rsidRPr="00540546" w:rsidRDefault="7E78BDBD" w:rsidP="008A1F9B">
      <w:pPr>
        <w:pStyle w:val="ListParagraph"/>
        <w:numPr>
          <w:ilvl w:val="0"/>
          <w:numId w:val="28"/>
        </w:numPr>
        <w:rPr>
          <w:rStyle w:val="Strong"/>
          <w:b w:val="0"/>
          <w:bCs w:val="0"/>
        </w:rPr>
      </w:pPr>
      <w:r w:rsidRPr="5DBFE3F0">
        <w:rPr>
          <w:rStyle w:val="Strong"/>
          <w:b w:val="0"/>
          <w:bCs w:val="0"/>
        </w:rPr>
        <w:t>The Iron ore sinter (integrated iron and steel manufacturing) production variable</w:t>
      </w:r>
    </w:p>
    <w:p w14:paraId="112D2B1C" w14:textId="7525DAC8" w:rsidR="59DF9529" w:rsidRPr="00540546" w:rsidRDefault="7E78BDBD" w:rsidP="008A1F9B">
      <w:pPr>
        <w:pStyle w:val="ListParagraph"/>
        <w:numPr>
          <w:ilvl w:val="0"/>
          <w:numId w:val="28"/>
        </w:numPr>
        <w:rPr>
          <w:rStyle w:val="Strong"/>
          <w:b w:val="0"/>
          <w:bCs w:val="0"/>
        </w:rPr>
      </w:pPr>
      <w:r w:rsidRPr="5DBFE3F0">
        <w:rPr>
          <w:rStyle w:val="Strong"/>
          <w:b w:val="0"/>
          <w:bCs w:val="0"/>
        </w:rPr>
        <w:t>The Iron ore pellets (not integrated iron and steel manufacturing) production variable</w:t>
      </w:r>
      <w:r w:rsidRPr="5DBFE3F0">
        <w:rPr>
          <w:rStyle w:val="Strong"/>
          <w:b w:val="0"/>
          <w:bCs w:val="0"/>
          <w:sz w:val="24"/>
          <w:szCs w:val="24"/>
        </w:rPr>
        <w:t xml:space="preserve"> </w:t>
      </w:r>
    </w:p>
    <w:p w14:paraId="696282FA" w14:textId="675E7CB3" w:rsidR="59DF9529" w:rsidRPr="00C27AB6" w:rsidRDefault="0099777A" w:rsidP="008A1F9B">
      <w:pPr>
        <w:pStyle w:val="Heading5"/>
        <w:rPr>
          <w:rStyle w:val="Strong"/>
          <w:b w:val="0"/>
        </w:rPr>
      </w:pPr>
      <w:r>
        <w:rPr>
          <w:rStyle w:val="Strong"/>
          <w:b w:val="0"/>
        </w:rPr>
        <w:t>Item</w:t>
      </w:r>
      <w:r w:rsidR="2ABEFC65" w:rsidRPr="00C27AB6">
        <w:rPr>
          <w:rStyle w:val="Strong"/>
          <w:b w:val="0"/>
        </w:rPr>
        <w:t xml:space="preserve"> </w:t>
      </w:r>
      <w:r w:rsidR="00F67613">
        <w:rPr>
          <w:rStyle w:val="Strong"/>
          <w:b w:val="0"/>
        </w:rPr>
        <w:t>30</w:t>
      </w:r>
      <w:r w:rsidR="00F67613" w:rsidRPr="00C27AB6">
        <w:rPr>
          <w:rStyle w:val="Strong"/>
          <w:b w:val="0"/>
        </w:rPr>
        <w:t xml:space="preserve"> </w:t>
      </w:r>
      <w:r w:rsidR="2ABEFC65" w:rsidRPr="00C27AB6">
        <w:rPr>
          <w:rStyle w:val="Strong"/>
          <w:b w:val="0"/>
        </w:rPr>
        <w:t>– Definition</w:t>
      </w:r>
      <w:r w:rsidR="1FBFD860" w:rsidRPr="00C27AB6">
        <w:rPr>
          <w:rStyle w:val="Strong"/>
          <w:b w:val="0"/>
        </w:rPr>
        <w:t xml:space="preserve"> of the activity of integrated iron and steel manufacturing</w:t>
      </w:r>
    </w:p>
    <w:p w14:paraId="0391477C" w14:textId="2EE2D80A" w:rsidR="00331935" w:rsidRPr="00331935" w:rsidRDefault="00404590" w:rsidP="008A1F9B">
      <w:r>
        <w:t>This item</w:t>
      </w:r>
      <w:r w:rsidR="2ABEFC65">
        <w:t xml:space="preserve"> removes subsection 36(1) </w:t>
      </w:r>
      <w:r w:rsidR="6F6ED2D4">
        <w:t>which defines the activity of integrated iron and steel manufacturing</w:t>
      </w:r>
      <w:r w:rsidR="1800B32B">
        <w:t xml:space="preserve"> and renumbers the remaining subsections in section 36.</w:t>
      </w:r>
    </w:p>
    <w:p w14:paraId="227D0883" w14:textId="7E61ABB1" w:rsidR="00331935" w:rsidRPr="00331935" w:rsidRDefault="0099777A" w:rsidP="008A1F9B">
      <w:pPr>
        <w:pStyle w:val="Heading5"/>
      </w:pPr>
      <w:r>
        <w:rPr>
          <w:rStyle w:val="Strong"/>
          <w:b w:val="0"/>
        </w:rPr>
        <w:t>Item</w:t>
      </w:r>
      <w:r w:rsidR="0E6619E3" w:rsidRPr="00C27AB6">
        <w:rPr>
          <w:rStyle w:val="Strong"/>
          <w:b w:val="0"/>
        </w:rPr>
        <w:t xml:space="preserve"> </w:t>
      </w:r>
      <w:r w:rsidR="00F67613">
        <w:rPr>
          <w:rStyle w:val="Strong"/>
          <w:b w:val="0"/>
        </w:rPr>
        <w:t>31</w:t>
      </w:r>
      <w:r w:rsidR="00F67613" w:rsidRPr="00C27AB6">
        <w:rPr>
          <w:rStyle w:val="Strong"/>
          <w:b w:val="0"/>
        </w:rPr>
        <w:t xml:space="preserve"> </w:t>
      </w:r>
      <w:r w:rsidR="0E6619E3" w:rsidRPr="00C27AB6">
        <w:rPr>
          <w:rStyle w:val="Strong"/>
          <w:b w:val="0"/>
        </w:rPr>
        <w:t xml:space="preserve">– </w:t>
      </w:r>
      <w:r w:rsidR="7F952005" w:rsidRPr="00C27AB6">
        <w:rPr>
          <w:rStyle w:val="Strong"/>
          <w:b w:val="0"/>
        </w:rPr>
        <w:t>Coke oven coke</w:t>
      </w:r>
    </w:p>
    <w:p w14:paraId="0F1A6072" w14:textId="04049C4A" w:rsidR="00BE3DAC" w:rsidRDefault="00404590" w:rsidP="008A1F9B">
      <w:r>
        <w:t>This item</w:t>
      </w:r>
      <w:r w:rsidR="008458D5">
        <w:t xml:space="preserve"> replaces “</w:t>
      </w:r>
      <w:r w:rsidR="008458D5" w:rsidRPr="00617A6B">
        <w:t>Coke oven coke (integrated iron and steel manufacturing)</w:t>
      </w:r>
      <w:r w:rsidR="008458D5">
        <w:t xml:space="preserve">” </w:t>
      </w:r>
      <w:r w:rsidR="00391AE7">
        <w:t xml:space="preserve">with “Coke oven coke”. The production variable </w:t>
      </w:r>
      <w:r w:rsidR="008458D5">
        <w:t>only appl</w:t>
      </w:r>
      <w:r w:rsidR="00391AE7">
        <w:t>ies</w:t>
      </w:r>
      <w:r w:rsidR="008458D5">
        <w:t xml:space="preserve"> to coke oven coke that is exported from the facility, and the facility would no longer be required to be conducting the integrated iron and steel manufacturing activity. </w:t>
      </w:r>
    </w:p>
    <w:p w14:paraId="1073C0AC" w14:textId="54CF22EE" w:rsidR="00BE3DAC" w:rsidRPr="00331935" w:rsidRDefault="00BE3DAC" w:rsidP="008A1F9B">
      <w:pPr>
        <w:rPr>
          <w:rStyle w:val="Strong"/>
          <w:b w:val="0"/>
          <w:bCs w:val="0"/>
        </w:rPr>
      </w:pPr>
      <w:r>
        <w:lastRenderedPageBreak/>
        <w:t>Many ways of reducing the emissions intensity of steel production involve using less coke (an intermediate product) to make the steel. Previously, facilities would get a lower baseline for reducing their coke production, which disincentivises these approaches. In order to address this, the new production variable only applies to coke that is exported from the facility.</w:t>
      </w:r>
      <w:r w:rsidRPr="00BE3DAC">
        <w:t xml:space="preserve"> </w:t>
      </w:r>
      <w:r>
        <w:t>The emissions associated with the production of coke oven coke that is not exported would be associated with “Primary steel”.</w:t>
      </w:r>
    </w:p>
    <w:p w14:paraId="466C3868" w14:textId="6B39B62D" w:rsidR="00391AE7" w:rsidRPr="00C27AB6" w:rsidRDefault="0099777A" w:rsidP="008A1F9B">
      <w:pPr>
        <w:pStyle w:val="Heading5"/>
        <w:rPr>
          <w:rStyle w:val="Strong"/>
          <w:b w:val="0"/>
        </w:rPr>
      </w:pPr>
      <w:r>
        <w:rPr>
          <w:rStyle w:val="Strong"/>
          <w:b w:val="0"/>
        </w:rPr>
        <w:t>Item</w:t>
      </w:r>
      <w:r w:rsidR="14083F27" w:rsidRPr="00C27AB6">
        <w:rPr>
          <w:rStyle w:val="Strong"/>
          <w:b w:val="0"/>
        </w:rPr>
        <w:t xml:space="preserve"> </w:t>
      </w:r>
      <w:r w:rsidR="00F67613" w:rsidRPr="00C27AB6">
        <w:rPr>
          <w:rStyle w:val="Strong"/>
          <w:b w:val="0"/>
        </w:rPr>
        <w:t>3</w:t>
      </w:r>
      <w:r w:rsidR="00F67613">
        <w:rPr>
          <w:rStyle w:val="Strong"/>
          <w:b w:val="0"/>
        </w:rPr>
        <w:t>2</w:t>
      </w:r>
      <w:r w:rsidR="00F67613" w:rsidRPr="00C27AB6">
        <w:rPr>
          <w:rStyle w:val="Strong"/>
          <w:b w:val="0"/>
        </w:rPr>
        <w:t xml:space="preserve"> </w:t>
      </w:r>
      <w:r w:rsidR="14083F27" w:rsidRPr="00C27AB6">
        <w:rPr>
          <w:rStyle w:val="Strong"/>
          <w:b w:val="0"/>
        </w:rPr>
        <w:t>– Lime</w:t>
      </w:r>
      <w:r w:rsidR="18B5CFB5" w:rsidRPr="00C27AB6">
        <w:rPr>
          <w:rStyle w:val="Strong"/>
          <w:b w:val="0"/>
        </w:rPr>
        <w:t xml:space="preserve"> (steel manufacturing)</w:t>
      </w:r>
    </w:p>
    <w:p w14:paraId="6917E9F3" w14:textId="200ED9B4" w:rsidR="00391AE7" w:rsidRPr="00391AE7" w:rsidRDefault="00404590" w:rsidP="008A1F9B">
      <w:pPr>
        <w:spacing w:after="120" w:line="276" w:lineRule="auto"/>
      </w:pPr>
      <w:r>
        <w:t>This item</w:t>
      </w:r>
      <w:r w:rsidR="6E2E3663">
        <w:t xml:space="preserve"> replaces “Lime (integrated iron and steel manufacturing)” with “Lime</w:t>
      </w:r>
      <w:r w:rsidR="1B28E069">
        <w:t xml:space="preserve"> (steel manufacturing)</w:t>
      </w:r>
      <w:r w:rsidR="6E2E3663">
        <w:t>”. The production variable only applies to lime that is exported from the facility, and the facility would no longer be required to be conducting the integrated iron and steel manufacturing activity. This is an intermediate product used for steel production, and the emissions associated with the production of lime that is not exported would be associated with “Primary steel”.</w:t>
      </w:r>
    </w:p>
    <w:p w14:paraId="6873AF5D" w14:textId="67EF348A" w:rsidR="5DA31046" w:rsidRPr="00C27AB6" w:rsidRDefault="0099777A" w:rsidP="008A1F9B">
      <w:pPr>
        <w:pStyle w:val="Heading5"/>
        <w:rPr>
          <w:rStyle w:val="Strong"/>
          <w:b w:val="0"/>
        </w:rPr>
      </w:pPr>
      <w:r>
        <w:rPr>
          <w:rStyle w:val="Strong"/>
          <w:b w:val="0"/>
        </w:rPr>
        <w:t>Item</w:t>
      </w:r>
      <w:r w:rsidR="20442C38" w:rsidRPr="00C27AB6">
        <w:rPr>
          <w:rStyle w:val="Strong"/>
          <w:b w:val="0"/>
        </w:rPr>
        <w:t xml:space="preserve"> </w:t>
      </w:r>
      <w:r w:rsidR="00254D47" w:rsidRPr="00C27AB6">
        <w:rPr>
          <w:rStyle w:val="Strong"/>
          <w:b w:val="0"/>
        </w:rPr>
        <w:t>3</w:t>
      </w:r>
      <w:r w:rsidR="00254D47">
        <w:rPr>
          <w:rStyle w:val="Strong"/>
          <w:b w:val="0"/>
        </w:rPr>
        <w:t>3</w:t>
      </w:r>
      <w:r w:rsidR="00254D47" w:rsidRPr="00C27AB6">
        <w:rPr>
          <w:rStyle w:val="Strong"/>
          <w:b w:val="0"/>
        </w:rPr>
        <w:t xml:space="preserve"> </w:t>
      </w:r>
      <w:r w:rsidR="20442C38" w:rsidRPr="00C27AB6">
        <w:rPr>
          <w:rStyle w:val="Strong"/>
          <w:b w:val="0"/>
        </w:rPr>
        <w:t xml:space="preserve">– </w:t>
      </w:r>
      <w:r w:rsidR="3C8F10B5" w:rsidRPr="00C27AB6">
        <w:rPr>
          <w:rStyle w:val="Strong"/>
          <w:b w:val="0"/>
        </w:rPr>
        <w:t xml:space="preserve">Iron ore sinter and </w:t>
      </w:r>
      <w:r w:rsidR="7C240567" w:rsidRPr="00C27AB6">
        <w:rPr>
          <w:rStyle w:val="Strong"/>
          <w:b w:val="0"/>
        </w:rPr>
        <w:t>p</w:t>
      </w:r>
      <w:r w:rsidR="20442C38" w:rsidRPr="00C27AB6">
        <w:rPr>
          <w:rStyle w:val="Strong"/>
          <w:b w:val="0"/>
        </w:rPr>
        <w:t>rimary iron</w:t>
      </w:r>
    </w:p>
    <w:p w14:paraId="6FD70711" w14:textId="5EBF70FE" w:rsidR="5DA31046" w:rsidRDefault="00404590" w:rsidP="008A1F9B">
      <w:r>
        <w:t>This item</w:t>
      </w:r>
      <w:r w:rsidR="7B252CBB">
        <w:t xml:space="preserve"> removes the iron ore sinter production variable</w:t>
      </w:r>
      <w:r w:rsidR="6DFFDE6E">
        <w:t xml:space="preserve"> and inserts a new production variable, primary iron, at section 29 of Schedule 1.</w:t>
      </w:r>
    </w:p>
    <w:p w14:paraId="594ECD74" w14:textId="42666BB0" w:rsidR="797852E8" w:rsidRDefault="797852E8" w:rsidP="008A1F9B">
      <w:r>
        <w:t xml:space="preserve">Iron ore sinter </w:t>
      </w:r>
      <w:r w:rsidR="5DA31046">
        <w:t>is an intermediate product used for steel production, and the emissions associated with the production of iron ore sinter would be associated with the new primary steel production variable.</w:t>
      </w:r>
    </w:p>
    <w:p w14:paraId="38127846" w14:textId="519E7784" w:rsidR="00247DB3" w:rsidRDefault="00391AE7" w:rsidP="008A1F9B">
      <w:pPr>
        <w:rPr>
          <w:rStyle w:val="ui-provider"/>
        </w:rPr>
      </w:pPr>
      <w:r>
        <w:t>Primary iron is an intermediate product used in the production of primary steel, but in some cases can be produced separately and exported from the facility. This production variable only applies to primary iron that is exported from the facility.</w:t>
      </w:r>
      <w:r w:rsidR="003344F1">
        <w:t xml:space="preserve"> The metric is tonnes of metallic iron products that are exported from the facility. </w:t>
      </w:r>
      <w:r w:rsidR="00247DB3">
        <w:t>T</w:t>
      </w:r>
      <w:r w:rsidR="00247DB3">
        <w:rPr>
          <w:rStyle w:val="ui-provider"/>
        </w:rPr>
        <w:t xml:space="preserve">o account for the varying impurity levels in crude iron products, the quantity of metallic iron production is taken to not include gangue content. Gangue consists of commercially worthless impurities such as </w:t>
      </w:r>
      <w:r w:rsidR="00247DB3" w:rsidRPr="00247DB3">
        <w:rPr>
          <w:bCs/>
          <w:iCs/>
        </w:rPr>
        <w:t>silica (SiO</w:t>
      </w:r>
      <w:r w:rsidR="00247DB3" w:rsidRPr="00247DB3">
        <w:rPr>
          <w:bCs/>
          <w:iCs/>
          <w:vertAlign w:val="subscript"/>
        </w:rPr>
        <w:t>2</w:t>
      </w:r>
      <w:r w:rsidR="00247DB3" w:rsidRPr="00247DB3">
        <w:rPr>
          <w:bCs/>
          <w:iCs/>
        </w:rPr>
        <w:t>), calcium oxide (CaO), magnesium oxide (MgO) and aluminium oxide (Al</w:t>
      </w:r>
      <w:r w:rsidR="00247DB3" w:rsidRPr="00247DB3">
        <w:rPr>
          <w:bCs/>
          <w:iCs/>
          <w:vertAlign w:val="subscript"/>
        </w:rPr>
        <w:t>2</w:t>
      </w:r>
      <w:r w:rsidR="00247DB3" w:rsidRPr="00247DB3">
        <w:rPr>
          <w:bCs/>
          <w:iCs/>
        </w:rPr>
        <w:t>O</w:t>
      </w:r>
      <w:r w:rsidR="00247DB3" w:rsidRPr="00247DB3">
        <w:rPr>
          <w:bCs/>
          <w:iCs/>
          <w:vertAlign w:val="subscript"/>
        </w:rPr>
        <w:t>3</w:t>
      </w:r>
      <w:r w:rsidR="00247DB3" w:rsidRPr="00247DB3">
        <w:rPr>
          <w:bCs/>
          <w:iCs/>
        </w:rPr>
        <w:t>)</w:t>
      </w:r>
      <w:r w:rsidR="00247DB3">
        <w:rPr>
          <w:bCs/>
          <w:iCs/>
        </w:rPr>
        <w:t>.</w:t>
      </w:r>
    </w:p>
    <w:p w14:paraId="2E0C2CBB" w14:textId="6FC80157" w:rsidR="00391AE7" w:rsidRPr="00391AE7" w:rsidRDefault="003344F1" w:rsidP="008A1F9B">
      <w:r>
        <w:t xml:space="preserve">The metric for this production variable is reduced </w:t>
      </w:r>
      <w:r w:rsidR="00247DB3">
        <w:t>when</w:t>
      </w:r>
      <w:r>
        <w:t xml:space="preserve"> metallic iron </w:t>
      </w:r>
      <w:r w:rsidR="00247DB3">
        <w:t xml:space="preserve">is </w:t>
      </w:r>
      <w:r>
        <w:t>produced from coke oven coke imported to the facility</w:t>
      </w:r>
      <w:r w:rsidR="00FD5773">
        <w:t>. Without this change, if a facility</w:t>
      </w:r>
      <w:r>
        <w:t xml:space="preserve"> </w:t>
      </w:r>
      <w:r w:rsidR="00FD5773">
        <w:t xml:space="preserve">were to produce metallic iron using coke oven coke imported to the facility, its </w:t>
      </w:r>
      <w:r>
        <w:t xml:space="preserve">emissions </w:t>
      </w:r>
      <w:r w:rsidR="00FD5773">
        <w:t>would</w:t>
      </w:r>
      <w:r>
        <w:t xml:space="preserve"> </w:t>
      </w:r>
      <w:r w:rsidR="00FD5773">
        <w:t xml:space="preserve">be </w:t>
      </w:r>
      <w:r>
        <w:t xml:space="preserve">reduced (with its baseline unchanged), </w:t>
      </w:r>
      <w:r w:rsidR="00FD5773">
        <w:t>but there</w:t>
      </w:r>
      <w:r>
        <w:t xml:space="preserve"> would be emissions elsewhere to produce the coke.</w:t>
      </w:r>
      <w:r w:rsidR="00247DB3">
        <w:t xml:space="preserve"> There is accordingly a multiplier applied to each tonne of metallic iron produced from coke oven coke imported to the facility, which was calculated using data from Australian steel</w:t>
      </w:r>
      <w:r w:rsidR="00647E84">
        <w:t>making</w:t>
      </w:r>
      <w:r w:rsidR="00247DB3">
        <w:t xml:space="preserve"> facilities. </w:t>
      </w:r>
    </w:p>
    <w:p w14:paraId="1744166C" w14:textId="550BDF0D" w:rsidR="00B45CAF" w:rsidRPr="00CE002F" w:rsidRDefault="00404590" w:rsidP="008A1F9B">
      <w:r>
        <w:t>This item</w:t>
      </w:r>
      <w:r w:rsidR="00B45CAF" w:rsidRPr="00CE002F">
        <w:t xml:space="preserve"> </w:t>
      </w:r>
      <w:r w:rsidR="00464D22">
        <w:t xml:space="preserve">also </w:t>
      </w:r>
      <w:r w:rsidR="00B45CAF" w:rsidRPr="00CE002F">
        <w:t xml:space="preserve">inserts </w:t>
      </w:r>
      <w:r w:rsidR="00E54B12">
        <w:t>the international best practice emissions intensity</w:t>
      </w:r>
      <w:r w:rsidR="00B45CAF" w:rsidRPr="00CE002F">
        <w:t xml:space="preserve"> value </w:t>
      </w:r>
      <w:r w:rsidR="00464D22">
        <w:t xml:space="preserve">for </w:t>
      </w:r>
      <w:r w:rsidR="00E54B12">
        <w:t xml:space="preserve">primary </w:t>
      </w:r>
      <w:r w:rsidR="001E7240">
        <w:t>iron</w:t>
      </w:r>
      <w:r w:rsidR="00B45CAF" w:rsidRPr="00CE002F">
        <w:t>. The benchmark is based</w:t>
      </w:r>
      <w:r w:rsidR="00B45CAF">
        <w:t xml:space="preserve"> on the top 10% of Australian industry performance, as suitable, high-quality data could not be found globally for </w:t>
      </w:r>
      <w:r w:rsidR="00546E96">
        <w:t>primary iron</w:t>
      </w:r>
      <w:r w:rsidR="00B45CAF" w:rsidRPr="00CE002F">
        <w:t>.</w:t>
      </w:r>
    </w:p>
    <w:p w14:paraId="18152612" w14:textId="36DF4942" w:rsidR="1DA1237D" w:rsidRPr="00C27AB6" w:rsidRDefault="0099777A" w:rsidP="008A1F9B">
      <w:pPr>
        <w:pStyle w:val="Heading5"/>
        <w:rPr>
          <w:rStyle w:val="Strong"/>
          <w:b w:val="0"/>
        </w:rPr>
      </w:pPr>
      <w:r>
        <w:rPr>
          <w:rStyle w:val="Strong"/>
          <w:b w:val="0"/>
        </w:rPr>
        <w:t>Item</w:t>
      </w:r>
      <w:r w:rsidR="363400F2" w:rsidRPr="00C27AB6">
        <w:rPr>
          <w:rStyle w:val="Strong"/>
          <w:b w:val="0"/>
        </w:rPr>
        <w:t xml:space="preserve"> </w:t>
      </w:r>
      <w:r w:rsidR="00367263" w:rsidRPr="00C27AB6">
        <w:rPr>
          <w:rStyle w:val="Strong"/>
          <w:b w:val="0"/>
        </w:rPr>
        <w:t>3</w:t>
      </w:r>
      <w:r w:rsidR="00367263">
        <w:rPr>
          <w:rStyle w:val="Strong"/>
          <w:b w:val="0"/>
        </w:rPr>
        <w:t>4</w:t>
      </w:r>
      <w:r w:rsidR="00367263" w:rsidRPr="00C27AB6">
        <w:rPr>
          <w:rStyle w:val="Strong"/>
          <w:b w:val="0"/>
        </w:rPr>
        <w:t xml:space="preserve"> </w:t>
      </w:r>
      <w:r w:rsidR="363400F2" w:rsidRPr="00C27AB6">
        <w:rPr>
          <w:rStyle w:val="Strong"/>
          <w:b w:val="0"/>
        </w:rPr>
        <w:t>– Iron ore pellets</w:t>
      </w:r>
    </w:p>
    <w:p w14:paraId="7D88B08F" w14:textId="2F0A2DE9" w:rsidR="1DA1237D" w:rsidRDefault="00404590" w:rsidP="008A1F9B">
      <w:r>
        <w:t>This item</w:t>
      </w:r>
      <w:r w:rsidR="363400F2">
        <w:t xml:space="preserve"> </w:t>
      </w:r>
      <w:r w:rsidR="2DF871E6">
        <w:t>inserts the production variable “Iron ore pellets”</w:t>
      </w:r>
      <w:r w:rsidR="4EA5FF4D">
        <w:t xml:space="preserve">, replacing </w:t>
      </w:r>
      <w:r w:rsidR="363400F2">
        <w:t xml:space="preserve">“Iron ore pellets (integrated iron and steel manufacturing) (s40)” and “Iron ore pellets (s47)” </w:t>
      </w:r>
      <w:r w:rsidR="4CCA38ED">
        <w:t xml:space="preserve">(refer to </w:t>
      </w:r>
      <w:r w:rsidR="4CCA38ED" w:rsidRPr="00990F56">
        <w:t xml:space="preserve">section </w:t>
      </w:r>
      <w:r w:rsidR="4BFE02CA" w:rsidRPr="00990F56">
        <w:t>4</w:t>
      </w:r>
      <w:r w:rsidR="17BC9F0A" w:rsidRPr="00990F56">
        <w:t>5</w:t>
      </w:r>
      <w:r w:rsidR="7F240086">
        <w:t xml:space="preserve"> of the Amendment Rule</w:t>
      </w:r>
      <w:r w:rsidR="4CCA38ED">
        <w:t>)</w:t>
      </w:r>
      <w:r w:rsidR="363400F2">
        <w:t>. This single production variable only applies to iron ore pellets that are exported from the facility, and the facility would no longer be required to be conducting the integrated iron and steel manufacturing activity. This is an intermediate product used for steel production and iron production, and the emissions associated with the production of iron ore pellets that is not exported would be associated with “Primary steel” or “Primary iron”.</w:t>
      </w:r>
    </w:p>
    <w:p w14:paraId="27F57134" w14:textId="1868E87B" w:rsidR="000C43E6" w:rsidRDefault="00404590" w:rsidP="008A1F9B">
      <w:r>
        <w:lastRenderedPageBreak/>
        <w:t>This item</w:t>
      </w:r>
      <w:r w:rsidR="000C43E6" w:rsidRPr="00CE002F">
        <w:t xml:space="preserve"> </w:t>
      </w:r>
      <w:r w:rsidR="00464D22">
        <w:t xml:space="preserve">also </w:t>
      </w:r>
      <w:r w:rsidR="000C43E6" w:rsidRPr="00CE002F">
        <w:t xml:space="preserve">inserts </w:t>
      </w:r>
      <w:r w:rsidR="000C43E6">
        <w:t xml:space="preserve">the international best practice emissions intensity </w:t>
      </w:r>
      <w:r w:rsidR="000C43E6" w:rsidRPr="00CE002F">
        <w:t xml:space="preserve">value </w:t>
      </w:r>
      <w:r w:rsidR="00201FED">
        <w:t>for</w:t>
      </w:r>
      <w:r w:rsidR="000C43E6">
        <w:t xml:space="preserve"> iron</w:t>
      </w:r>
      <w:r w:rsidR="00201FED">
        <w:t xml:space="preserve"> ore pellets</w:t>
      </w:r>
      <w:r w:rsidR="000C43E6" w:rsidRPr="00CE002F">
        <w:t>. The benchmark is based</w:t>
      </w:r>
      <w:r w:rsidR="000C43E6">
        <w:t xml:space="preserve"> on the top 10% of Australian industry performance, as suitable, high-quality data could not be found globally for </w:t>
      </w:r>
      <w:r w:rsidR="00201FED">
        <w:t>iron ore pellets</w:t>
      </w:r>
      <w:r w:rsidR="000C43E6" w:rsidRPr="00CE002F">
        <w:t>.</w:t>
      </w:r>
    </w:p>
    <w:p w14:paraId="5D177EB4" w14:textId="49EC3A60" w:rsidR="28384645" w:rsidRPr="00C27AB6" w:rsidRDefault="0099777A" w:rsidP="008A1F9B">
      <w:pPr>
        <w:pStyle w:val="Heading5"/>
        <w:rPr>
          <w:rStyle w:val="Strong"/>
          <w:b w:val="0"/>
        </w:rPr>
      </w:pPr>
      <w:r>
        <w:rPr>
          <w:rStyle w:val="Strong"/>
          <w:b w:val="0"/>
        </w:rPr>
        <w:t>Item</w:t>
      </w:r>
      <w:r w:rsidR="28384645" w:rsidRPr="00C27AB6">
        <w:rPr>
          <w:rStyle w:val="Strong"/>
          <w:b w:val="0"/>
        </w:rPr>
        <w:t xml:space="preserve"> </w:t>
      </w:r>
      <w:r w:rsidR="00902573" w:rsidRPr="00C27AB6">
        <w:rPr>
          <w:rStyle w:val="Strong"/>
          <w:b w:val="0"/>
        </w:rPr>
        <w:t>3</w:t>
      </w:r>
      <w:r w:rsidR="00902573">
        <w:rPr>
          <w:rStyle w:val="Strong"/>
          <w:b w:val="0"/>
        </w:rPr>
        <w:t>5</w:t>
      </w:r>
      <w:r w:rsidR="00902573" w:rsidRPr="00C27AB6">
        <w:rPr>
          <w:rStyle w:val="Strong"/>
          <w:b w:val="0"/>
        </w:rPr>
        <w:t xml:space="preserve"> </w:t>
      </w:r>
      <w:r w:rsidR="28384645" w:rsidRPr="00C27AB6">
        <w:rPr>
          <w:rStyle w:val="Strong"/>
          <w:b w:val="0"/>
        </w:rPr>
        <w:t xml:space="preserve">– </w:t>
      </w:r>
      <w:r w:rsidR="360122A2" w:rsidRPr="00C27AB6">
        <w:rPr>
          <w:rStyle w:val="Strong"/>
          <w:b w:val="0"/>
        </w:rPr>
        <w:t xml:space="preserve">Continuously cast carbon steel products and ingots of carbon steel </w:t>
      </w:r>
      <w:r w:rsidR="3C67B906" w:rsidRPr="00C27AB6">
        <w:rPr>
          <w:rStyle w:val="Strong"/>
          <w:b w:val="0"/>
        </w:rPr>
        <w:t>(</w:t>
      </w:r>
      <w:r w:rsidR="28384645" w:rsidRPr="00C27AB6">
        <w:rPr>
          <w:rStyle w:val="Strong"/>
          <w:b w:val="0"/>
        </w:rPr>
        <w:t>primary steel</w:t>
      </w:r>
      <w:r w:rsidR="164753A2" w:rsidRPr="00C27AB6">
        <w:rPr>
          <w:rStyle w:val="Strong"/>
          <w:b w:val="0"/>
        </w:rPr>
        <w:t>)</w:t>
      </w:r>
    </w:p>
    <w:p w14:paraId="5C40B569" w14:textId="0688619A" w:rsidR="28384645" w:rsidRDefault="00404590" w:rsidP="008A1F9B">
      <w:r>
        <w:t>This item</w:t>
      </w:r>
      <w:r w:rsidR="28384645">
        <w:t xml:space="preserve"> </w:t>
      </w:r>
      <w:r w:rsidR="5B45036F">
        <w:t xml:space="preserve">updates </w:t>
      </w:r>
      <w:r w:rsidR="28384645">
        <w:t xml:space="preserve">the </w:t>
      </w:r>
      <w:r w:rsidR="2E004F81">
        <w:t xml:space="preserve">heading for Division 6 of Part 20 of Schedule 1 to </w:t>
      </w:r>
      <w:r w:rsidR="28384645">
        <w:t xml:space="preserve">“Continuously cast carbon steel products and ingots of carbon steel </w:t>
      </w:r>
      <w:r w:rsidR="2C9C6CD9">
        <w:t>from primary steel manufacturing</w:t>
      </w:r>
      <w:r w:rsidR="28384645">
        <w:t>”</w:t>
      </w:r>
      <w:r w:rsidR="5034A5A9">
        <w:t>, reflecting the move away from referring to “integrated iron and steel manufacturing”.</w:t>
      </w:r>
    </w:p>
    <w:p w14:paraId="7BFB5490" w14:textId="2849B046" w:rsidR="00391AE7" w:rsidRPr="00C27AB6" w:rsidRDefault="0099777A" w:rsidP="008A1F9B">
      <w:pPr>
        <w:pStyle w:val="Heading5"/>
        <w:rPr>
          <w:rStyle w:val="Strong"/>
          <w:b w:val="0"/>
        </w:rPr>
      </w:pPr>
      <w:r>
        <w:rPr>
          <w:rStyle w:val="Strong"/>
          <w:b w:val="0"/>
        </w:rPr>
        <w:t>Item</w:t>
      </w:r>
      <w:r w:rsidR="14083F27" w:rsidRPr="00C27AB6">
        <w:rPr>
          <w:rStyle w:val="Strong"/>
          <w:b w:val="0"/>
        </w:rPr>
        <w:t xml:space="preserve"> </w:t>
      </w:r>
      <w:r w:rsidR="00902573" w:rsidRPr="00C27AB6">
        <w:rPr>
          <w:rStyle w:val="Strong"/>
          <w:b w:val="0"/>
        </w:rPr>
        <w:t>3</w:t>
      </w:r>
      <w:r w:rsidR="00902573">
        <w:rPr>
          <w:rStyle w:val="Strong"/>
          <w:b w:val="0"/>
        </w:rPr>
        <w:t>6</w:t>
      </w:r>
      <w:r w:rsidR="00902573" w:rsidRPr="00C27AB6">
        <w:rPr>
          <w:rStyle w:val="Strong"/>
          <w:b w:val="0"/>
        </w:rPr>
        <w:t xml:space="preserve"> </w:t>
      </w:r>
      <w:r w:rsidR="14083F27" w:rsidRPr="00C27AB6">
        <w:rPr>
          <w:rStyle w:val="Strong"/>
          <w:b w:val="0"/>
        </w:rPr>
        <w:t xml:space="preserve">– Primary steel </w:t>
      </w:r>
    </w:p>
    <w:p w14:paraId="18F166AB" w14:textId="77777777" w:rsidR="00647E84" w:rsidRDefault="00404590" w:rsidP="008A1F9B">
      <w:pPr>
        <w:spacing w:after="120" w:line="276" w:lineRule="auto"/>
      </w:pPr>
      <w:r>
        <w:t>This item</w:t>
      </w:r>
      <w:r w:rsidR="00391AE7">
        <w:t xml:space="preserve"> replaces the “Continuously cast carbon steel products and ingots of carbon steel (integrated iron and steel manufacturing)” production variable</w:t>
      </w:r>
      <w:r w:rsidR="006F4609">
        <w:t xml:space="preserve"> with the primary steel production variable</w:t>
      </w:r>
      <w:r w:rsidR="00391AE7">
        <w:t>.</w:t>
      </w:r>
    </w:p>
    <w:p w14:paraId="22130AD4" w14:textId="0DDDF239" w:rsidR="004A0CE5" w:rsidRDefault="00A2249B" w:rsidP="008A1F9B">
      <w:pPr>
        <w:spacing w:after="120" w:line="276" w:lineRule="auto"/>
      </w:pPr>
      <w:r>
        <w:t xml:space="preserve">The metric for this production variable is reduced when steel is produced from coke oven coke imported to the facility. Without this change, if a facility were to produce steel using coke oven coke imported to the facility, its emissions would be reduced (with its baseline unchanged), but there would be emissions elsewhere to produce the coke. </w:t>
      </w:r>
      <w:r w:rsidR="00647E84">
        <w:t>There is accordingly a multiplier applied to each tonne of steel produced from coke oven coke imported to the facility, which was calculated using data from Australian steelmaking facilities.</w:t>
      </w:r>
    </w:p>
    <w:p w14:paraId="591B4519" w14:textId="1E67417D" w:rsidR="006F4609" w:rsidRPr="00391AE7" w:rsidRDefault="00530D3D" w:rsidP="008A1F9B">
      <w:pPr>
        <w:spacing w:after="120" w:line="276" w:lineRule="auto"/>
      </w:pPr>
      <w:r>
        <w:t>Steel is typically made through an integrated process that processes iron ore (rocks rich in iron oxides) into iron ore sinter or iron ore pellets, and adds the processed iron ore, along with coke oven coke (also referred to as just “coke”) and lime (which helps to remove impurities) to a blast furnace. This reduces the iron oxides in the ore to produce elemental iron in a form known as crude iron or pig iron. The crude iron has a high carbon content (typically 3.8-4.7%) and impurities that result in it being brittle. Molten crude iron exits the blast furnace and enters a basic oxygen furnace, which mixes oxygen with the molten iron to reduce its carbon content. Additives such as lime are also added to the basic oxygen furnace to reduce impurities. Molten steel exits the basic oxygen furnace, and it is cast into ingots of steel. The “primary steel” production variable would cover this process.</w:t>
      </w:r>
      <w:r w:rsidR="00BE3DAC">
        <w:t xml:space="preserve"> </w:t>
      </w:r>
    </w:p>
    <w:p w14:paraId="049D70CB" w14:textId="1B2CA0F1" w:rsidR="006F4609" w:rsidRPr="00C27AB6" w:rsidRDefault="0099777A" w:rsidP="008A1F9B">
      <w:pPr>
        <w:pStyle w:val="Heading5"/>
        <w:rPr>
          <w:rStyle w:val="Strong"/>
          <w:b w:val="0"/>
        </w:rPr>
      </w:pPr>
      <w:r>
        <w:rPr>
          <w:rStyle w:val="Strong"/>
          <w:b w:val="0"/>
        </w:rPr>
        <w:t>Item</w:t>
      </w:r>
      <w:r w:rsidR="3A577F7E" w:rsidRPr="00C27AB6">
        <w:rPr>
          <w:rStyle w:val="Strong"/>
          <w:b w:val="0"/>
        </w:rPr>
        <w:t>s</w:t>
      </w:r>
      <w:r w:rsidR="289A0D87" w:rsidRPr="00C27AB6">
        <w:rPr>
          <w:rStyle w:val="Strong"/>
          <w:b w:val="0"/>
        </w:rPr>
        <w:t xml:space="preserve"> </w:t>
      </w:r>
      <w:r w:rsidR="00C32041" w:rsidRPr="00C27AB6">
        <w:rPr>
          <w:rStyle w:val="Strong"/>
          <w:b w:val="0"/>
        </w:rPr>
        <w:t>3</w:t>
      </w:r>
      <w:r w:rsidR="00C32041">
        <w:rPr>
          <w:rStyle w:val="Strong"/>
          <w:b w:val="0"/>
        </w:rPr>
        <w:t>7</w:t>
      </w:r>
      <w:r w:rsidR="00C32041" w:rsidRPr="00C27AB6">
        <w:rPr>
          <w:rStyle w:val="Strong"/>
          <w:b w:val="0"/>
        </w:rPr>
        <w:t xml:space="preserve"> </w:t>
      </w:r>
      <w:r w:rsidR="71999164" w:rsidRPr="00C27AB6">
        <w:rPr>
          <w:rStyle w:val="Strong"/>
          <w:b w:val="0"/>
        </w:rPr>
        <w:t xml:space="preserve">and </w:t>
      </w:r>
      <w:r w:rsidR="00C32041" w:rsidRPr="00C27AB6">
        <w:rPr>
          <w:rStyle w:val="Strong"/>
          <w:b w:val="0"/>
        </w:rPr>
        <w:t>3</w:t>
      </w:r>
      <w:r w:rsidR="00C32041">
        <w:rPr>
          <w:rStyle w:val="Strong"/>
          <w:b w:val="0"/>
        </w:rPr>
        <w:t>8</w:t>
      </w:r>
      <w:r w:rsidR="00C32041" w:rsidRPr="00C27AB6">
        <w:rPr>
          <w:rStyle w:val="Strong"/>
          <w:b w:val="0"/>
        </w:rPr>
        <w:t xml:space="preserve"> </w:t>
      </w:r>
      <w:r w:rsidR="289A0D87" w:rsidRPr="00C27AB6">
        <w:rPr>
          <w:rStyle w:val="Strong"/>
          <w:b w:val="0"/>
        </w:rPr>
        <w:t>– Hot rolled long products (primary steel)</w:t>
      </w:r>
    </w:p>
    <w:p w14:paraId="5BC49E6A" w14:textId="1A26F0BB" w:rsidR="006F4609" w:rsidRPr="006F4609" w:rsidRDefault="00404590" w:rsidP="008A1F9B">
      <w:r>
        <w:t>This item</w:t>
      </w:r>
      <w:r w:rsidR="003344F1">
        <w:t xml:space="preserve"> updates</w:t>
      </w:r>
      <w:r w:rsidR="006F4609">
        <w:t xml:space="preserve"> the hot-rolled long products produced at integrate</w:t>
      </w:r>
      <w:r w:rsidR="003344F1">
        <w:t>d</w:t>
      </w:r>
      <w:r w:rsidR="006F4609">
        <w:t xml:space="preserve"> iron and steel manufacturing facilities production variable. </w:t>
      </w:r>
    </w:p>
    <w:p w14:paraId="03FBD13F" w14:textId="79C46849" w:rsidR="006F4609" w:rsidRPr="00C27AB6" w:rsidRDefault="0099777A" w:rsidP="008A1F9B">
      <w:pPr>
        <w:pStyle w:val="Heading5"/>
        <w:rPr>
          <w:rStyle w:val="Strong"/>
          <w:b w:val="0"/>
        </w:rPr>
      </w:pPr>
      <w:r>
        <w:rPr>
          <w:rStyle w:val="Strong"/>
          <w:b w:val="0"/>
        </w:rPr>
        <w:t>Item</w:t>
      </w:r>
      <w:r w:rsidR="74A607D3" w:rsidRPr="00C27AB6">
        <w:rPr>
          <w:rStyle w:val="Strong"/>
          <w:b w:val="0"/>
        </w:rPr>
        <w:t>s</w:t>
      </w:r>
      <w:r w:rsidR="289A0D87" w:rsidRPr="00C27AB6">
        <w:rPr>
          <w:rStyle w:val="Strong"/>
          <w:b w:val="0"/>
        </w:rPr>
        <w:t xml:space="preserve"> </w:t>
      </w:r>
      <w:r w:rsidR="00E3145A" w:rsidRPr="00C27AB6">
        <w:rPr>
          <w:rStyle w:val="Strong"/>
          <w:b w:val="0"/>
        </w:rPr>
        <w:t>3</w:t>
      </w:r>
      <w:r w:rsidR="00E3145A">
        <w:rPr>
          <w:rStyle w:val="Strong"/>
          <w:b w:val="0"/>
        </w:rPr>
        <w:t>9</w:t>
      </w:r>
      <w:r w:rsidR="00E3145A" w:rsidRPr="00C27AB6">
        <w:rPr>
          <w:rStyle w:val="Strong"/>
          <w:b w:val="0"/>
        </w:rPr>
        <w:t xml:space="preserve"> </w:t>
      </w:r>
      <w:r w:rsidR="3053571D" w:rsidRPr="00C27AB6">
        <w:rPr>
          <w:rStyle w:val="Strong"/>
          <w:b w:val="0"/>
        </w:rPr>
        <w:t xml:space="preserve">and </w:t>
      </w:r>
      <w:r w:rsidR="00E3145A">
        <w:rPr>
          <w:rStyle w:val="Strong"/>
          <w:b w:val="0"/>
        </w:rPr>
        <w:t>40</w:t>
      </w:r>
      <w:r w:rsidR="00E3145A" w:rsidRPr="00C27AB6">
        <w:rPr>
          <w:rStyle w:val="Strong"/>
          <w:b w:val="0"/>
        </w:rPr>
        <w:t xml:space="preserve"> </w:t>
      </w:r>
      <w:r w:rsidR="289A0D87" w:rsidRPr="00C27AB6">
        <w:rPr>
          <w:rStyle w:val="Strong"/>
          <w:b w:val="0"/>
        </w:rPr>
        <w:t>– Hot rolled flat products (primary steel)</w:t>
      </w:r>
    </w:p>
    <w:p w14:paraId="6E971CAD" w14:textId="7EE1AAA2" w:rsidR="006F4609" w:rsidRPr="006F4609" w:rsidRDefault="00404590" w:rsidP="008A1F9B">
      <w:r>
        <w:t>This item</w:t>
      </w:r>
      <w:r w:rsidR="006F4609">
        <w:t xml:space="preserve"> </w:t>
      </w:r>
      <w:r w:rsidR="003344F1">
        <w:t>updates</w:t>
      </w:r>
      <w:r w:rsidR="006F4609">
        <w:t xml:space="preserve"> the hot-rolled flat products produced at integrate iron and steel manufacturing facilities production variable. </w:t>
      </w:r>
    </w:p>
    <w:p w14:paraId="6B7F33F3" w14:textId="67031D74" w:rsidR="006F4609" w:rsidRPr="00C27AB6" w:rsidRDefault="0099777A" w:rsidP="008A1F9B">
      <w:pPr>
        <w:pStyle w:val="Heading5"/>
        <w:rPr>
          <w:rStyle w:val="Strong"/>
          <w:b w:val="0"/>
        </w:rPr>
      </w:pPr>
      <w:r>
        <w:rPr>
          <w:rStyle w:val="Strong"/>
          <w:b w:val="0"/>
        </w:rPr>
        <w:t>Item</w:t>
      </w:r>
      <w:r w:rsidR="289A0D87" w:rsidRPr="00C27AB6">
        <w:rPr>
          <w:rStyle w:val="Strong"/>
          <w:b w:val="0"/>
        </w:rPr>
        <w:t xml:space="preserve"> </w:t>
      </w:r>
      <w:r w:rsidR="00E3145A" w:rsidRPr="00C27AB6">
        <w:rPr>
          <w:rStyle w:val="Strong"/>
          <w:b w:val="0"/>
        </w:rPr>
        <w:t>4</w:t>
      </w:r>
      <w:r w:rsidR="00E3145A">
        <w:rPr>
          <w:rStyle w:val="Strong"/>
          <w:b w:val="0"/>
        </w:rPr>
        <w:t>1</w:t>
      </w:r>
      <w:r w:rsidR="00E3145A" w:rsidRPr="00C27AB6">
        <w:rPr>
          <w:rStyle w:val="Strong"/>
          <w:b w:val="0"/>
        </w:rPr>
        <w:t xml:space="preserve"> </w:t>
      </w:r>
      <w:r w:rsidR="289A0D87" w:rsidRPr="00C27AB6">
        <w:rPr>
          <w:rStyle w:val="Strong"/>
          <w:b w:val="0"/>
        </w:rPr>
        <w:t>– Continuously cast carbon steel products and ingots of carbon steel (cold ferrous feed)</w:t>
      </w:r>
    </w:p>
    <w:p w14:paraId="3CDF6969" w14:textId="7D8DD96E" w:rsidR="006F4609" w:rsidRPr="006F4609" w:rsidRDefault="00404590" w:rsidP="008A1F9B">
      <w:r>
        <w:t>This item</w:t>
      </w:r>
      <w:r w:rsidR="006F4609">
        <w:t xml:space="preserve"> </w:t>
      </w:r>
      <w:r w:rsidR="003344F1">
        <w:t>updates</w:t>
      </w:r>
      <w:r w:rsidR="006F4609">
        <w:t xml:space="preserve"> the Continuously cast carbon steel products and ingots of carbon steel (manufacture of carbon steel products from cold ferrous feed) production variable.</w:t>
      </w:r>
    </w:p>
    <w:p w14:paraId="26F9591E" w14:textId="6AF875E8" w:rsidR="006F4609" w:rsidRPr="00C27AB6" w:rsidRDefault="0099777A" w:rsidP="008A1F9B">
      <w:pPr>
        <w:pStyle w:val="Heading5"/>
        <w:rPr>
          <w:rStyle w:val="Strong"/>
          <w:b w:val="0"/>
        </w:rPr>
      </w:pPr>
      <w:r>
        <w:rPr>
          <w:rStyle w:val="Strong"/>
          <w:b w:val="0"/>
        </w:rPr>
        <w:t>Item</w:t>
      </w:r>
      <w:r w:rsidR="6530DE88" w:rsidRPr="00C27AB6">
        <w:rPr>
          <w:rStyle w:val="Strong"/>
          <w:b w:val="0"/>
        </w:rPr>
        <w:t>s</w:t>
      </w:r>
      <w:r w:rsidR="289A0D87" w:rsidRPr="00C27AB6">
        <w:rPr>
          <w:rStyle w:val="Strong"/>
          <w:b w:val="0"/>
        </w:rPr>
        <w:t xml:space="preserve"> </w:t>
      </w:r>
      <w:r w:rsidR="00E3145A" w:rsidRPr="00C27AB6">
        <w:rPr>
          <w:rStyle w:val="Strong"/>
          <w:b w:val="0"/>
        </w:rPr>
        <w:t>4</w:t>
      </w:r>
      <w:r w:rsidR="00E3145A">
        <w:rPr>
          <w:rStyle w:val="Strong"/>
          <w:b w:val="0"/>
        </w:rPr>
        <w:t>2</w:t>
      </w:r>
      <w:r w:rsidR="00E3145A" w:rsidRPr="00C27AB6">
        <w:rPr>
          <w:rStyle w:val="Strong"/>
          <w:b w:val="0"/>
        </w:rPr>
        <w:t xml:space="preserve"> </w:t>
      </w:r>
      <w:r w:rsidR="6616624B" w:rsidRPr="00C27AB6">
        <w:rPr>
          <w:rStyle w:val="Strong"/>
          <w:b w:val="0"/>
        </w:rPr>
        <w:t xml:space="preserve">and </w:t>
      </w:r>
      <w:r w:rsidR="00E3145A" w:rsidRPr="00C27AB6">
        <w:rPr>
          <w:rStyle w:val="Strong"/>
          <w:b w:val="0"/>
        </w:rPr>
        <w:t>4</w:t>
      </w:r>
      <w:r w:rsidR="00E3145A">
        <w:rPr>
          <w:rStyle w:val="Strong"/>
          <w:b w:val="0"/>
        </w:rPr>
        <w:t>3</w:t>
      </w:r>
      <w:r w:rsidR="00E3145A" w:rsidRPr="00C27AB6">
        <w:rPr>
          <w:rStyle w:val="Strong"/>
          <w:b w:val="0"/>
        </w:rPr>
        <w:t xml:space="preserve"> </w:t>
      </w:r>
      <w:r w:rsidR="49E5C4F5" w:rsidRPr="00C27AB6">
        <w:rPr>
          <w:rStyle w:val="Strong"/>
          <w:b w:val="0"/>
        </w:rPr>
        <w:t>–</w:t>
      </w:r>
      <w:r w:rsidR="289A0D87" w:rsidRPr="00C27AB6">
        <w:rPr>
          <w:rStyle w:val="Strong"/>
          <w:b w:val="0"/>
        </w:rPr>
        <w:t xml:space="preserve"> </w:t>
      </w:r>
      <w:r w:rsidR="49E5C4F5" w:rsidRPr="00C27AB6">
        <w:rPr>
          <w:rStyle w:val="Strong"/>
          <w:b w:val="0"/>
        </w:rPr>
        <w:t>Hot rolled long products (cold ferrous feed)</w:t>
      </w:r>
    </w:p>
    <w:p w14:paraId="155CE47E" w14:textId="58D03D3E" w:rsidR="00530D3D" w:rsidRPr="00530D3D" w:rsidRDefault="00404590" w:rsidP="008A1F9B">
      <w:r>
        <w:t>This item</w:t>
      </w:r>
      <w:r w:rsidR="00530D3D">
        <w:t xml:space="preserve"> </w:t>
      </w:r>
      <w:r w:rsidR="003344F1">
        <w:t>update</w:t>
      </w:r>
      <w:r w:rsidR="00530D3D">
        <w:t xml:space="preserve">s the hot-rolled long products not produced at integrated iron and steel manufacturing facilities production variable. </w:t>
      </w:r>
    </w:p>
    <w:p w14:paraId="5884B5E2" w14:textId="5F864345" w:rsidR="00530D3D" w:rsidRPr="00C27AB6" w:rsidRDefault="0099777A" w:rsidP="008A1F9B">
      <w:pPr>
        <w:pStyle w:val="Heading5"/>
        <w:rPr>
          <w:rStyle w:val="Strong"/>
          <w:b w:val="0"/>
        </w:rPr>
      </w:pPr>
      <w:r>
        <w:rPr>
          <w:rStyle w:val="Strong"/>
          <w:b w:val="0"/>
        </w:rPr>
        <w:lastRenderedPageBreak/>
        <w:t>Item</w:t>
      </w:r>
      <w:r w:rsidR="1A395962" w:rsidRPr="00C27AB6">
        <w:rPr>
          <w:rStyle w:val="Strong"/>
          <w:b w:val="0"/>
        </w:rPr>
        <w:t xml:space="preserve">s </w:t>
      </w:r>
      <w:r w:rsidR="00D0055C" w:rsidRPr="00C27AB6">
        <w:rPr>
          <w:rStyle w:val="Strong"/>
          <w:b w:val="0"/>
        </w:rPr>
        <w:t>4</w:t>
      </w:r>
      <w:r w:rsidR="00D0055C">
        <w:rPr>
          <w:rStyle w:val="Strong"/>
          <w:b w:val="0"/>
        </w:rPr>
        <w:t>4</w:t>
      </w:r>
      <w:r w:rsidR="00D0055C" w:rsidRPr="00C27AB6">
        <w:rPr>
          <w:rStyle w:val="Strong"/>
          <w:b w:val="0"/>
        </w:rPr>
        <w:t xml:space="preserve"> </w:t>
      </w:r>
      <w:r w:rsidR="18DFBB09" w:rsidRPr="00C27AB6">
        <w:rPr>
          <w:rStyle w:val="Strong"/>
          <w:b w:val="0"/>
        </w:rPr>
        <w:t xml:space="preserve">and </w:t>
      </w:r>
      <w:r w:rsidR="00D0055C" w:rsidRPr="00C27AB6">
        <w:rPr>
          <w:rStyle w:val="Strong"/>
          <w:b w:val="0"/>
        </w:rPr>
        <w:t>4</w:t>
      </w:r>
      <w:r w:rsidR="00D0055C">
        <w:rPr>
          <w:rStyle w:val="Strong"/>
          <w:b w:val="0"/>
        </w:rPr>
        <w:t>5</w:t>
      </w:r>
      <w:r w:rsidR="00D0055C" w:rsidRPr="00C27AB6">
        <w:rPr>
          <w:rStyle w:val="Strong"/>
          <w:b w:val="0"/>
        </w:rPr>
        <w:t xml:space="preserve"> </w:t>
      </w:r>
      <w:r w:rsidR="49E5C4F5" w:rsidRPr="00C27AB6">
        <w:rPr>
          <w:rStyle w:val="Strong"/>
          <w:b w:val="0"/>
        </w:rPr>
        <w:t>– Hot rolled flat products (cold ferrous feed)</w:t>
      </w:r>
    </w:p>
    <w:p w14:paraId="111C45AC" w14:textId="3CCF9731" w:rsidR="00530D3D" w:rsidRPr="00530D3D" w:rsidRDefault="00404590" w:rsidP="008A1F9B">
      <w:r>
        <w:t>This item</w:t>
      </w:r>
      <w:r w:rsidR="00530D3D">
        <w:t xml:space="preserve"> </w:t>
      </w:r>
      <w:r w:rsidR="003344F1">
        <w:t>updat</w:t>
      </w:r>
      <w:r w:rsidR="00530D3D">
        <w:t>es hot rolled flat production not produced at integrated iron and steel manufacturing facilities.</w:t>
      </w:r>
    </w:p>
    <w:p w14:paraId="451A925E" w14:textId="2D700C80" w:rsidR="78584BD8" w:rsidRPr="005B7BD6" w:rsidRDefault="0099777A" w:rsidP="008A1F9B">
      <w:pPr>
        <w:pStyle w:val="Heading5"/>
        <w:rPr>
          <w:rStyle w:val="Strong"/>
        </w:rPr>
      </w:pPr>
      <w:r>
        <w:rPr>
          <w:rStyle w:val="Strong"/>
          <w:b w:val="0"/>
        </w:rPr>
        <w:t>Item</w:t>
      </w:r>
      <w:r w:rsidR="17105904" w:rsidRPr="00C27AB6">
        <w:rPr>
          <w:rStyle w:val="Strong"/>
          <w:b w:val="0"/>
        </w:rPr>
        <w:t xml:space="preserve"> </w:t>
      </w:r>
      <w:r w:rsidR="00D0055C" w:rsidRPr="00D0055C">
        <w:rPr>
          <w:rStyle w:val="Strong"/>
          <w:b w:val="0"/>
        </w:rPr>
        <w:t>4</w:t>
      </w:r>
      <w:r w:rsidR="00D0055C">
        <w:rPr>
          <w:rStyle w:val="Strong"/>
          <w:b w:val="0"/>
        </w:rPr>
        <w:t>6</w:t>
      </w:r>
      <w:r w:rsidR="00D0055C" w:rsidRPr="005B7BD6">
        <w:rPr>
          <w:rStyle w:val="Strong"/>
          <w:b w:val="0"/>
        </w:rPr>
        <w:t xml:space="preserve"> </w:t>
      </w:r>
      <w:r w:rsidR="17105904" w:rsidRPr="005B7BD6">
        <w:rPr>
          <w:rStyle w:val="Strong"/>
          <w:b w:val="0"/>
        </w:rPr>
        <w:t>– Iron ore pellets</w:t>
      </w:r>
    </w:p>
    <w:p w14:paraId="0DF6A7A1" w14:textId="0DEAF000" w:rsidR="78584BD8" w:rsidRDefault="00404590" w:rsidP="008A1F9B">
      <w:pPr>
        <w:rPr>
          <w:rFonts w:ascii="Calibri" w:eastAsia="Calibri" w:hAnsi="Calibri" w:cs="Calibri"/>
          <w:color w:val="000000" w:themeColor="accent5"/>
        </w:rPr>
      </w:pPr>
      <w:r>
        <w:rPr>
          <w:rFonts w:ascii="Calibri" w:eastAsia="Calibri" w:hAnsi="Calibri" w:cs="Calibri"/>
          <w:color w:val="000000" w:themeColor="accent5"/>
        </w:rPr>
        <w:t>This item</w:t>
      </w:r>
      <w:r w:rsidR="38CE7D52" w:rsidRPr="64E93049">
        <w:rPr>
          <w:rFonts w:ascii="Calibri" w:eastAsia="Calibri" w:hAnsi="Calibri" w:cs="Calibri"/>
          <w:color w:val="000000" w:themeColor="accent5"/>
        </w:rPr>
        <w:t xml:space="preserve"> </w:t>
      </w:r>
      <w:r w:rsidR="20112376" w:rsidRPr="64E93049">
        <w:rPr>
          <w:rFonts w:ascii="Calibri" w:eastAsia="Calibri" w:hAnsi="Calibri" w:cs="Calibri"/>
          <w:color w:val="000000" w:themeColor="accent5"/>
        </w:rPr>
        <w:t>removes</w:t>
      </w:r>
      <w:r w:rsidR="38CE7D52" w:rsidRPr="64E93049">
        <w:rPr>
          <w:rFonts w:ascii="Calibri" w:eastAsia="Calibri" w:hAnsi="Calibri" w:cs="Calibri"/>
          <w:color w:val="000000" w:themeColor="accent5"/>
        </w:rPr>
        <w:t xml:space="preserve"> “Iron ore pellets (s47)”</w:t>
      </w:r>
      <w:r w:rsidR="3D19F188" w:rsidRPr="64E93049">
        <w:rPr>
          <w:rFonts w:ascii="Calibri" w:eastAsia="Calibri" w:hAnsi="Calibri" w:cs="Calibri"/>
          <w:color w:val="000000" w:themeColor="accent5"/>
        </w:rPr>
        <w:t xml:space="preserve">, which is replaced along with “Iron ore pellets (integrated iron and steel manufacturing) (s40)” </w:t>
      </w:r>
      <w:r w:rsidR="50176161" w:rsidRPr="64E93049">
        <w:rPr>
          <w:rFonts w:ascii="Calibri" w:eastAsia="Calibri" w:hAnsi="Calibri" w:cs="Calibri"/>
          <w:color w:val="000000" w:themeColor="accent5"/>
        </w:rPr>
        <w:t>by the production variable</w:t>
      </w:r>
      <w:r w:rsidR="3D19F188" w:rsidRPr="64E93049">
        <w:rPr>
          <w:rFonts w:ascii="Calibri" w:eastAsia="Calibri" w:hAnsi="Calibri" w:cs="Calibri"/>
          <w:color w:val="000000" w:themeColor="accent5"/>
        </w:rPr>
        <w:t xml:space="preserve"> </w:t>
      </w:r>
      <w:r w:rsidR="38CE7D52" w:rsidRPr="64E93049">
        <w:rPr>
          <w:rFonts w:ascii="Calibri" w:eastAsia="Calibri" w:hAnsi="Calibri" w:cs="Calibri"/>
          <w:color w:val="000000" w:themeColor="accent5"/>
        </w:rPr>
        <w:t>“Iron ore pellets”</w:t>
      </w:r>
      <w:r w:rsidR="6C550B67" w:rsidRPr="64E93049">
        <w:rPr>
          <w:rFonts w:ascii="Calibri" w:eastAsia="Calibri" w:hAnsi="Calibri" w:cs="Calibri"/>
          <w:color w:val="000000" w:themeColor="accent5"/>
        </w:rPr>
        <w:t xml:space="preserve"> (refer to </w:t>
      </w:r>
      <w:r w:rsidR="00D0055C">
        <w:rPr>
          <w:rFonts w:ascii="Calibri" w:eastAsia="Calibri" w:hAnsi="Calibri" w:cs="Calibri"/>
          <w:color w:val="000000" w:themeColor="accent5"/>
        </w:rPr>
        <w:t>item 34</w:t>
      </w:r>
      <w:r w:rsidR="6C550B67" w:rsidRPr="64E93049">
        <w:rPr>
          <w:rFonts w:ascii="Calibri" w:eastAsia="Calibri" w:hAnsi="Calibri" w:cs="Calibri"/>
          <w:color w:val="000000" w:themeColor="accent5"/>
        </w:rPr>
        <w:t xml:space="preserve"> of the Amendment Rule)</w:t>
      </w:r>
      <w:r w:rsidR="38CE7D52" w:rsidRPr="64E93049">
        <w:rPr>
          <w:rFonts w:ascii="Calibri" w:eastAsia="Calibri" w:hAnsi="Calibri" w:cs="Calibri"/>
          <w:color w:val="000000" w:themeColor="accent5"/>
        </w:rPr>
        <w:t>. This single production variable only applies to iron ore pellets that are exported from the facility, and the facility would no longer be required to be conducting the integrated iron and steel manufacturing activity. This is an intermediate product used for steel production and iron production, and the emissions associated with the production of iron ore pellets that is not exported would be associated with “Primary steel” or “Primary iron”.</w:t>
      </w:r>
    </w:p>
    <w:p w14:paraId="31BA20EC" w14:textId="42E8E600" w:rsidR="1DBB76D6" w:rsidRDefault="0099777A" w:rsidP="008A1F9B">
      <w:pPr>
        <w:pStyle w:val="Heading4"/>
      </w:pPr>
      <w:r>
        <w:rPr>
          <w:rStyle w:val="Strong"/>
          <w:b w:val="0"/>
        </w:rPr>
        <w:t>Item</w:t>
      </w:r>
      <w:r w:rsidR="1DBB76D6" w:rsidRPr="00C27AB6">
        <w:rPr>
          <w:rStyle w:val="Strong"/>
          <w:b w:val="0"/>
        </w:rPr>
        <w:t xml:space="preserve"> </w:t>
      </w:r>
      <w:r w:rsidR="00692BB7" w:rsidRPr="00C27AB6">
        <w:rPr>
          <w:rStyle w:val="Strong"/>
          <w:b w:val="0"/>
        </w:rPr>
        <w:t>4</w:t>
      </w:r>
      <w:r w:rsidR="00692BB7">
        <w:rPr>
          <w:rStyle w:val="Strong"/>
          <w:b w:val="0"/>
        </w:rPr>
        <w:t>7</w:t>
      </w:r>
      <w:r w:rsidR="00692BB7" w:rsidRPr="00C27AB6">
        <w:rPr>
          <w:rStyle w:val="Strong"/>
          <w:b w:val="0"/>
        </w:rPr>
        <w:t xml:space="preserve"> </w:t>
      </w:r>
      <w:r w:rsidR="1DBB76D6" w:rsidRPr="00C27AB6">
        <w:rPr>
          <w:rStyle w:val="Strong"/>
          <w:b w:val="0"/>
        </w:rPr>
        <w:t>– Rail transport</w:t>
      </w:r>
    </w:p>
    <w:p w14:paraId="28B1BB46" w14:textId="7BCC625E" w:rsidR="1DBB76D6" w:rsidRDefault="1DBB76D6" w:rsidP="008A1F9B">
      <w:r>
        <w:t>The definition of rail transport is updated to make it more technology neutral. The original definition was restricted to rolling stock that combusts fuels onboard. The updated definition ensures that the rail sector production variable can apply to any technology for powering rolling stock, including new technologies that enable rail companies to reduce their emissions, such as battery-electric or hydrogen power.</w:t>
      </w:r>
      <w:r w:rsidRPr="64E93049">
        <w:rPr>
          <w:rStyle w:val="Strong"/>
          <w:b w:val="0"/>
          <w:bCs w:val="0"/>
          <w:sz w:val="24"/>
          <w:szCs w:val="24"/>
        </w:rPr>
        <w:t xml:space="preserve"> </w:t>
      </w:r>
    </w:p>
    <w:p w14:paraId="0B595CEB" w14:textId="2C509DBE" w:rsidR="042DF0DC" w:rsidRPr="00C27AB6" w:rsidRDefault="0099777A" w:rsidP="008A1F9B">
      <w:pPr>
        <w:pStyle w:val="Heading4"/>
        <w:rPr>
          <w:rStyle w:val="Strong"/>
          <w:b w:val="0"/>
        </w:rPr>
      </w:pPr>
      <w:r>
        <w:rPr>
          <w:rStyle w:val="Strong"/>
          <w:b w:val="0"/>
        </w:rPr>
        <w:t>Item</w:t>
      </w:r>
      <w:r w:rsidR="042DF0DC" w:rsidRPr="00C27AB6">
        <w:rPr>
          <w:rStyle w:val="Strong"/>
          <w:b w:val="0"/>
        </w:rPr>
        <w:t xml:space="preserve"> </w:t>
      </w:r>
      <w:r w:rsidR="004D3414" w:rsidRPr="00C27AB6">
        <w:rPr>
          <w:rStyle w:val="Strong"/>
          <w:b w:val="0"/>
        </w:rPr>
        <w:t>4</w:t>
      </w:r>
      <w:r w:rsidR="004D3414">
        <w:rPr>
          <w:rStyle w:val="Strong"/>
          <w:b w:val="0"/>
        </w:rPr>
        <w:t>8</w:t>
      </w:r>
      <w:r w:rsidR="004D3414" w:rsidRPr="00C27AB6">
        <w:rPr>
          <w:rStyle w:val="Strong"/>
          <w:b w:val="0"/>
        </w:rPr>
        <w:t xml:space="preserve"> </w:t>
      </w:r>
      <w:r w:rsidR="042DF0DC" w:rsidRPr="00C27AB6">
        <w:rPr>
          <w:rStyle w:val="Strong"/>
          <w:b w:val="0"/>
        </w:rPr>
        <w:t>– Bulk freight road transport</w:t>
      </w:r>
      <w:r w:rsidR="57B7EEF0" w:rsidRPr="00C27AB6">
        <w:rPr>
          <w:rStyle w:val="Strong"/>
          <w:b w:val="0"/>
        </w:rPr>
        <w:t xml:space="preserve"> best practice emissions intensity</w:t>
      </w:r>
    </w:p>
    <w:p w14:paraId="388A1250" w14:textId="57CED5EE" w:rsidR="6C9D2F75" w:rsidRDefault="00404590" w:rsidP="008A1F9B">
      <w:r>
        <w:t>This item</w:t>
      </w:r>
      <w:r w:rsidR="6C9D2F75">
        <w:t xml:space="preserve"> updates the bulk freight road transport production variable with the</w:t>
      </w:r>
      <w:r w:rsidR="005F74EA">
        <w:t xml:space="preserve"> </w:t>
      </w:r>
      <w:r w:rsidR="06E42679">
        <w:t>best practice emissions intensity</w:t>
      </w:r>
      <w:r w:rsidR="005F74EA">
        <w:t xml:space="preserve"> value</w:t>
      </w:r>
      <w:r w:rsidR="5D9A5332">
        <w:t>.</w:t>
      </w:r>
      <w:r w:rsidR="005F74EA">
        <w:t xml:space="preserve"> The benchmark is set using </w:t>
      </w:r>
      <w:r w:rsidR="00957D2D">
        <w:t xml:space="preserve">data from the US Environment Protection Agency, which </w:t>
      </w:r>
      <w:r w:rsidR="008E069A">
        <w:t>includes facility level bulk freight road transport data</w:t>
      </w:r>
      <w:r w:rsidR="0001711F">
        <w:t xml:space="preserve">. </w:t>
      </w:r>
    </w:p>
    <w:p w14:paraId="741CDF79" w14:textId="387B284B" w:rsidR="06E42679" w:rsidRPr="00C27AB6" w:rsidRDefault="0099777A" w:rsidP="008A1F9B">
      <w:pPr>
        <w:pStyle w:val="Heading4"/>
        <w:rPr>
          <w:rStyle w:val="Strong"/>
          <w:b w:val="0"/>
        </w:rPr>
      </w:pPr>
      <w:r>
        <w:rPr>
          <w:rStyle w:val="Strong"/>
          <w:b w:val="0"/>
        </w:rPr>
        <w:t>Item</w:t>
      </w:r>
      <w:r w:rsidR="06E42679" w:rsidRPr="00C27AB6">
        <w:rPr>
          <w:rStyle w:val="Strong"/>
          <w:b w:val="0"/>
        </w:rPr>
        <w:t xml:space="preserve"> </w:t>
      </w:r>
      <w:r w:rsidR="004D3414" w:rsidRPr="00C27AB6">
        <w:rPr>
          <w:rStyle w:val="Strong"/>
          <w:b w:val="0"/>
        </w:rPr>
        <w:t>4</w:t>
      </w:r>
      <w:r w:rsidR="004D3414">
        <w:rPr>
          <w:rStyle w:val="Strong"/>
          <w:b w:val="0"/>
        </w:rPr>
        <w:t>9</w:t>
      </w:r>
      <w:r w:rsidR="004D3414" w:rsidRPr="00C27AB6">
        <w:rPr>
          <w:rStyle w:val="Strong"/>
          <w:b w:val="0"/>
        </w:rPr>
        <w:t xml:space="preserve"> </w:t>
      </w:r>
      <w:r w:rsidR="06E42679" w:rsidRPr="00C27AB6">
        <w:rPr>
          <w:rStyle w:val="Strong"/>
          <w:b w:val="0"/>
        </w:rPr>
        <w:t xml:space="preserve">– </w:t>
      </w:r>
      <w:r w:rsidR="1C70FD1E" w:rsidRPr="00C27AB6">
        <w:rPr>
          <w:rStyle w:val="Strong"/>
          <w:b w:val="0"/>
        </w:rPr>
        <w:t>Electricity generation</w:t>
      </w:r>
      <w:r w:rsidR="470AB7D8" w:rsidRPr="00C27AB6">
        <w:rPr>
          <w:rStyle w:val="Strong"/>
          <w:b w:val="0"/>
        </w:rPr>
        <w:t xml:space="preserve"> best practice emissions intensity</w:t>
      </w:r>
    </w:p>
    <w:p w14:paraId="3205316A" w14:textId="60725696" w:rsidR="00724C84" w:rsidRPr="00CE002F" w:rsidRDefault="00404590" w:rsidP="008A1F9B">
      <w:r>
        <w:t>This item</w:t>
      </w:r>
      <w:r w:rsidR="06E42679">
        <w:t xml:space="preserve"> </w:t>
      </w:r>
      <w:r w:rsidR="00464D22">
        <w:t>sets a best practice emissions intensity value for</w:t>
      </w:r>
      <w:r w:rsidR="06E42679">
        <w:t xml:space="preserve"> the </w:t>
      </w:r>
      <w:r w:rsidR="2BF7D054">
        <w:t>electricity generation</w:t>
      </w:r>
      <w:r w:rsidR="06E42679">
        <w:t xml:space="preserve"> production variable </w:t>
      </w:r>
      <w:r w:rsidR="25782FF9">
        <w:t>.</w:t>
      </w:r>
      <w:r w:rsidR="006B1FBB">
        <w:t xml:space="preserve"> </w:t>
      </w:r>
      <w:r w:rsidR="00724C84" w:rsidRPr="00CE002F">
        <w:t>The benchmark is based</w:t>
      </w:r>
      <w:r w:rsidR="00724C84">
        <w:t xml:space="preserve"> on the top 10% of Australian industry performance, as suitable, high-quality data could not be found globally </w:t>
      </w:r>
      <w:r w:rsidR="00B843BD">
        <w:t>for on-site electricity generation</w:t>
      </w:r>
      <w:r w:rsidR="00724C84" w:rsidRPr="00CE002F">
        <w:t>.</w:t>
      </w:r>
      <w:r w:rsidR="00B843BD">
        <w:t xml:space="preserve"> Facilities were drawn from a range of sectors, including some from oil and gas, some from mining and some from manufacturing, to ensure the value is representative.</w:t>
      </w:r>
    </w:p>
    <w:p w14:paraId="4B0C8890" w14:textId="4BF8B4ED" w:rsidR="25782FF9" w:rsidRPr="00C27AB6" w:rsidRDefault="0099777A" w:rsidP="008A1F9B">
      <w:pPr>
        <w:pStyle w:val="Heading4"/>
        <w:rPr>
          <w:rStyle w:val="Strong"/>
          <w:b w:val="0"/>
        </w:rPr>
      </w:pPr>
      <w:r>
        <w:rPr>
          <w:rStyle w:val="Strong"/>
          <w:b w:val="0"/>
        </w:rPr>
        <w:t>Item</w:t>
      </w:r>
      <w:r w:rsidR="25782FF9" w:rsidRPr="00C27AB6">
        <w:rPr>
          <w:rStyle w:val="Strong"/>
          <w:b w:val="0"/>
        </w:rPr>
        <w:t xml:space="preserve">s </w:t>
      </w:r>
      <w:r w:rsidR="004D3414">
        <w:rPr>
          <w:rStyle w:val="Strong"/>
          <w:b w:val="0"/>
        </w:rPr>
        <w:t>50</w:t>
      </w:r>
      <w:r w:rsidR="004D3414" w:rsidRPr="00C27AB6">
        <w:rPr>
          <w:rStyle w:val="Strong"/>
          <w:b w:val="0"/>
        </w:rPr>
        <w:t xml:space="preserve"> </w:t>
      </w:r>
      <w:r w:rsidR="25782FF9" w:rsidRPr="00C27AB6">
        <w:rPr>
          <w:rStyle w:val="Strong"/>
          <w:b w:val="0"/>
        </w:rPr>
        <w:t xml:space="preserve">and </w:t>
      </w:r>
      <w:r w:rsidR="004D3414" w:rsidRPr="00C27AB6">
        <w:rPr>
          <w:rStyle w:val="Strong"/>
          <w:b w:val="0"/>
        </w:rPr>
        <w:t>5</w:t>
      </w:r>
      <w:r w:rsidR="004D3414">
        <w:rPr>
          <w:rStyle w:val="Strong"/>
          <w:b w:val="0"/>
        </w:rPr>
        <w:t>1</w:t>
      </w:r>
      <w:r w:rsidR="004D3414" w:rsidRPr="00C27AB6">
        <w:rPr>
          <w:rStyle w:val="Strong"/>
          <w:b w:val="0"/>
        </w:rPr>
        <w:t xml:space="preserve"> </w:t>
      </w:r>
      <w:r w:rsidR="25782FF9" w:rsidRPr="00C27AB6">
        <w:rPr>
          <w:rStyle w:val="Strong"/>
          <w:b w:val="0"/>
        </w:rPr>
        <w:t>– Reference to prescribed production variables for clinker and cement</w:t>
      </w:r>
    </w:p>
    <w:p w14:paraId="06CB6660" w14:textId="75A1092A" w:rsidR="25782FF9" w:rsidRDefault="25782FF9" w:rsidP="008A1F9B">
      <w:r>
        <w:t>Th</w:t>
      </w:r>
      <w:r w:rsidR="3C76CCC3">
        <w:t>ese</w:t>
      </w:r>
      <w:r>
        <w:t xml:space="preserve"> section</w:t>
      </w:r>
      <w:r w:rsidR="4ADCD659">
        <w:t xml:space="preserve">s </w:t>
      </w:r>
      <w:r w:rsidR="01115933">
        <w:t>removed reference to “prescribed” in relation to the production variables for clinker and cement.</w:t>
      </w:r>
    </w:p>
    <w:p w14:paraId="6694C3B8" w14:textId="39E7CF49" w:rsidR="20B8A8D2" w:rsidRPr="00C27AB6" w:rsidRDefault="0099777A" w:rsidP="008A1F9B">
      <w:pPr>
        <w:pStyle w:val="Heading4"/>
        <w:rPr>
          <w:rStyle w:val="Strong"/>
          <w:b w:val="0"/>
        </w:rPr>
      </w:pPr>
      <w:r>
        <w:rPr>
          <w:rStyle w:val="Strong"/>
          <w:b w:val="0"/>
        </w:rPr>
        <w:t>Item</w:t>
      </w:r>
      <w:r w:rsidR="20B8A8D2" w:rsidRPr="00C27AB6">
        <w:rPr>
          <w:rStyle w:val="Strong"/>
          <w:b w:val="0"/>
        </w:rPr>
        <w:t xml:space="preserve"> </w:t>
      </w:r>
      <w:r w:rsidR="004D3414" w:rsidRPr="00C27AB6">
        <w:rPr>
          <w:rStyle w:val="Strong"/>
          <w:b w:val="0"/>
        </w:rPr>
        <w:t>5</w:t>
      </w:r>
      <w:r w:rsidR="004D3414">
        <w:rPr>
          <w:rStyle w:val="Strong"/>
          <w:b w:val="0"/>
        </w:rPr>
        <w:t>2</w:t>
      </w:r>
      <w:r w:rsidR="004D3414" w:rsidRPr="00C27AB6">
        <w:rPr>
          <w:rStyle w:val="Strong"/>
          <w:b w:val="0"/>
        </w:rPr>
        <w:t xml:space="preserve"> </w:t>
      </w:r>
      <w:r w:rsidR="20B8A8D2" w:rsidRPr="00C27AB6">
        <w:rPr>
          <w:rStyle w:val="Strong"/>
          <w:b w:val="0"/>
        </w:rPr>
        <w:t>– Refined lead</w:t>
      </w:r>
    </w:p>
    <w:p w14:paraId="2E21436F" w14:textId="0D07E922" w:rsidR="20B8A8D2" w:rsidRDefault="00404590" w:rsidP="008A1F9B">
      <w:pPr>
        <w:rPr>
          <w:rFonts w:ascii="Times New Roman" w:eastAsia="Times New Roman" w:hAnsi="Times New Roman" w:cs="Times New Roman"/>
          <w:color w:val="000000" w:themeColor="accent5"/>
          <w:sz w:val="24"/>
          <w:szCs w:val="24"/>
        </w:rPr>
      </w:pPr>
      <w:r>
        <w:t>This item</w:t>
      </w:r>
      <w:r w:rsidR="20B8A8D2">
        <w:t xml:space="preserve"> inserts a new default emissions intensity value for the refined lead production variable. This value has been calculated using representative data. The value has been calculated using contemporaneous data given that operation of facilities in the Australian industry has changed significantly since the previous value was calculated.</w:t>
      </w:r>
    </w:p>
    <w:p w14:paraId="2C1F2F8C" w14:textId="7C87B7A0" w:rsidR="010C4F51" w:rsidRPr="00C27AB6" w:rsidRDefault="0099777A" w:rsidP="008A1F9B">
      <w:pPr>
        <w:pStyle w:val="Heading4"/>
        <w:rPr>
          <w:rStyle w:val="Strong"/>
          <w:b w:val="0"/>
        </w:rPr>
      </w:pPr>
      <w:r>
        <w:rPr>
          <w:rStyle w:val="Strong"/>
          <w:b w:val="0"/>
        </w:rPr>
        <w:t>Item</w:t>
      </w:r>
      <w:r w:rsidR="010C4F51" w:rsidRPr="00C27AB6">
        <w:rPr>
          <w:rStyle w:val="Strong"/>
          <w:b w:val="0"/>
        </w:rPr>
        <w:t xml:space="preserve"> </w:t>
      </w:r>
      <w:r w:rsidR="00553929" w:rsidRPr="00C27AB6">
        <w:rPr>
          <w:rStyle w:val="Strong"/>
          <w:b w:val="0"/>
        </w:rPr>
        <w:t>5</w:t>
      </w:r>
      <w:r w:rsidR="00553929">
        <w:rPr>
          <w:rStyle w:val="Strong"/>
          <w:b w:val="0"/>
        </w:rPr>
        <w:t>3</w:t>
      </w:r>
      <w:r w:rsidR="00553929" w:rsidRPr="00C27AB6">
        <w:rPr>
          <w:rStyle w:val="Strong"/>
          <w:b w:val="0"/>
        </w:rPr>
        <w:t xml:space="preserve"> </w:t>
      </w:r>
      <w:r w:rsidR="010C4F51" w:rsidRPr="00C27AB6">
        <w:rPr>
          <w:rStyle w:val="Strong"/>
          <w:b w:val="0"/>
        </w:rPr>
        <w:t>– Zinc in fume</w:t>
      </w:r>
    </w:p>
    <w:p w14:paraId="5487B423" w14:textId="7D9C77A6" w:rsidR="010C4F51" w:rsidRPr="005B7BD6" w:rsidRDefault="00404590" w:rsidP="008A1F9B">
      <w:r>
        <w:t>This item</w:t>
      </w:r>
      <w:r w:rsidR="010C4F51">
        <w:t xml:space="preserve"> replaces the default emissions intensity for the zinc in fume production variable. This value has been calculated using representative data. The value has been calculated using contemporaneous data given that operation of facilities in the Australian industry has changed significantly since the previous value was calculated.</w:t>
      </w:r>
    </w:p>
    <w:p w14:paraId="582CEAE4" w14:textId="00844242" w:rsidR="000014CD" w:rsidRPr="0072776D" w:rsidRDefault="000014CD" w:rsidP="0072776D">
      <w:pPr>
        <w:pStyle w:val="Heading4"/>
        <w:rPr>
          <w:rStyle w:val="Strong"/>
          <w:b w:val="0"/>
        </w:rPr>
      </w:pPr>
      <w:r w:rsidRPr="0072776D">
        <w:rPr>
          <w:rStyle w:val="Strong"/>
          <w:b w:val="0"/>
        </w:rPr>
        <w:lastRenderedPageBreak/>
        <w:t>Item 54</w:t>
      </w:r>
      <w:r w:rsidR="009A3512" w:rsidRPr="0072776D">
        <w:rPr>
          <w:rStyle w:val="Strong"/>
          <w:b w:val="0"/>
        </w:rPr>
        <w:t xml:space="preserve"> – Intermediate nickel products</w:t>
      </w:r>
    </w:p>
    <w:p w14:paraId="6AA8D665" w14:textId="06504027" w:rsidR="009A3512" w:rsidRDefault="009A3512" w:rsidP="008A1F9B">
      <w:pPr>
        <w:rPr>
          <w:rFonts w:ascii="Times New Roman" w:eastAsia="Times New Roman" w:hAnsi="Times New Roman" w:cs="Times New Roman"/>
          <w:color w:val="000000" w:themeColor="accent5"/>
          <w:sz w:val="24"/>
          <w:szCs w:val="24"/>
        </w:rPr>
      </w:pPr>
      <w:r>
        <w:t>This item</w:t>
      </w:r>
      <w:r w:rsidR="00A3151F">
        <w:t xml:space="preserve"> updates the definition of </w:t>
      </w:r>
      <w:r w:rsidR="00CB3996">
        <w:t>intermediate nickel products to include</w:t>
      </w:r>
      <w:r w:rsidR="002802DA">
        <w:t xml:space="preserve"> </w:t>
      </w:r>
      <w:r w:rsidR="002802DA" w:rsidRPr="002E194B">
        <w:t>mixed nickel</w:t>
      </w:r>
      <w:r w:rsidR="002802DA">
        <w:noBreakHyphen/>
      </w:r>
      <w:r w:rsidR="002802DA" w:rsidRPr="002E194B">
        <w:t xml:space="preserve">cobalt hydroxide precipitate that has a concentration of nickel between </w:t>
      </w:r>
      <w:r w:rsidR="002802DA">
        <w:rPr>
          <w:color w:val="192F49" w:themeColor="accent1"/>
        </w:rPr>
        <w:t>20%</w:t>
      </w:r>
      <w:r w:rsidR="002802DA" w:rsidRPr="00233F8F">
        <w:rPr>
          <w:color w:val="192F49" w:themeColor="accent1"/>
        </w:rPr>
        <w:t xml:space="preserve"> </w:t>
      </w:r>
      <w:r w:rsidR="002802DA" w:rsidRPr="002E194B">
        <w:t>and 47% (inclusive) by mass</w:t>
      </w:r>
      <w:r w:rsidR="002802DA">
        <w:t xml:space="preserve">. The concentration of nickel was previously required to be between </w:t>
      </w:r>
      <w:r w:rsidR="002802DA">
        <w:rPr>
          <w:color w:val="192F49" w:themeColor="accent1"/>
        </w:rPr>
        <w:t>35%</w:t>
      </w:r>
      <w:r w:rsidR="002802DA" w:rsidRPr="00233F8F">
        <w:rPr>
          <w:color w:val="192F49" w:themeColor="accent1"/>
        </w:rPr>
        <w:t xml:space="preserve"> </w:t>
      </w:r>
      <w:r w:rsidR="002802DA" w:rsidRPr="002E194B">
        <w:t>and 47% (inclusive) by mass</w:t>
      </w:r>
      <w:r w:rsidR="002802DA">
        <w:t>.</w:t>
      </w:r>
      <w:r w:rsidR="00DA4A43">
        <w:t xml:space="preserve"> This change will allow a nickel producer to use the </w:t>
      </w:r>
      <w:r w:rsidR="00A61235">
        <w:t>“i</w:t>
      </w:r>
      <w:r w:rsidR="00A61235" w:rsidRPr="00A61235">
        <w:t>ntermediate nickel products from nickel bearing inputs</w:t>
      </w:r>
      <w:r w:rsidR="00A61235">
        <w:t>” production variable</w:t>
      </w:r>
      <w:r w:rsidR="00646004">
        <w:t xml:space="preserve">. </w:t>
      </w:r>
      <w:r w:rsidR="00C0345A">
        <w:t>The metric for this production variable is “tonnes of 100% equivalent nickel”</w:t>
      </w:r>
      <w:r w:rsidR="006D0267">
        <w:t xml:space="preserve"> rather than the tonnes of the </w:t>
      </w:r>
      <w:r w:rsidR="00787907">
        <w:t>nickel product itself</w:t>
      </w:r>
      <w:r w:rsidR="008261F3">
        <w:t>, and as such it remains a suitable basis for setting baselines that reflect emissions per unit of production</w:t>
      </w:r>
      <w:r w:rsidR="00F83AF8">
        <w:t>.</w:t>
      </w:r>
    </w:p>
    <w:p w14:paraId="0CF5F3EC" w14:textId="488ECFE8" w:rsidR="14F87419" w:rsidRDefault="0099777A" w:rsidP="008A1F9B">
      <w:pPr>
        <w:pStyle w:val="Heading4"/>
      </w:pPr>
      <w:r>
        <w:rPr>
          <w:rStyle w:val="Strong"/>
          <w:b w:val="0"/>
        </w:rPr>
        <w:t>Item</w:t>
      </w:r>
      <w:r w:rsidR="14F87419" w:rsidRPr="00C27AB6">
        <w:rPr>
          <w:rStyle w:val="Strong"/>
          <w:b w:val="0"/>
        </w:rPr>
        <w:t xml:space="preserve"> </w:t>
      </w:r>
      <w:r w:rsidR="005837F4" w:rsidRPr="00C27AB6">
        <w:rPr>
          <w:rStyle w:val="Strong"/>
          <w:b w:val="0"/>
        </w:rPr>
        <w:t>5</w:t>
      </w:r>
      <w:r w:rsidR="005837F4">
        <w:rPr>
          <w:rStyle w:val="Strong"/>
          <w:b w:val="0"/>
        </w:rPr>
        <w:t>5</w:t>
      </w:r>
      <w:r w:rsidR="005837F4" w:rsidRPr="00C27AB6">
        <w:rPr>
          <w:rStyle w:val="Strong"/>
          <w:b w:val="0"/>
        </w:rPr>
        <w:t xml:space="preserve"> </w:t>
      </w:r>
      <w:r w:rsidR="14F87419" w:rsidRPr="00C27AB6">
        <w:rPr>
          <w:rStyle w:val="Strong"/>
          <w:b w:val="0"/>
        </w:rPr>
        <w:t>- Newsprint</w:t>
      </w:r>
    </w:p>
    <w:p w14:paraId="477EA0EC" w14:textId="0E785B47" w:rsidR="14F87419" w:rsidRDefault="00404590" w:rsidP="008A1F9B">
      <w:pPr>
        <w:rPr>
          <w:rFonts w:ascii="Times New Roman" w:eastAsia="Times New Roman" w:hAnsi="Times New Roman" w:cs="Times New Roman"/>
          <w:color w:val="000000" w:themeColor="accent5"/>
          <w:sz w:val="24"/>
          <w:szCs w:val="24"/>
        </w:rPr>
      </w:pPr>
      <w:r>
        <w:t>This item</w:t>
      </w:r>
      <w:r w:rsidR="14F87419">
        <w:t xml:space="preserve"> inserts a new default emissions intensity value for newsprint manufacturing. The new value has been calculated using contemporaneous data given that the number of facilities operating in Australia has changed significantly since the previous value was calculated.</w:t>
      </w:r>
    </w:p>
    <w:p w14:paraId="6201DD46" w14:textId="0480C9E2" w:rsidR="6F83CE12" w:rsidRPr="00C27AB6" w:rsidRDefault="0099777A" w:rsidP="008A1F9B">
      <w:pPr>
        <w:pStyle w:val="Heading4"/>
        <w:rPr>
          <w:rStyle w:val="Strong"/>
          <w:b w:val="0"/>
        </w:rPr>
      </w:pPr>
      <w:r>
        <w:rPr>
          <w:rStyle w:val="Strong"/>
          <w:b w:val="0"/>
        </w:rPr>
        <w:t>Item</w:t>
      </w:r>
      <w:r w:rsidR="6F83CE12" w:rsidRPr="00C27AB6">
        <w:rPr>
          <w:rStyle w:val="Strong"/>
          <w:b w:val="0"/>
        </w:rPr>
        <w:t xml:space="preserve"> </w:t>
      </w:r>
      <w:r w:rsidR="00910441" w:rsidRPr="00C27AB6">
        <w:rPr>
          <w:rStyle w:val="Strong"/>
          <w:b w:val="0"/>
        </w:rPr>
        <w:t>5</w:t>
      </w:r>
      <w:r w:rsidR="00910441">
        <w:rPr>
          <w:rStyle w:val="Strong"/>
          <w:b w:val="0"/>
        </w:rPr>
        <w:t>6</w:t>
      </w:r>
      <w:r w:rsidR="00910441" w:rsidRPr="00C27AB6">
        <w:rPr>
          <w:rStyle w:val="Strong"/>
          <w:b w:val="0"/>
        </w:rPr>
        <w:t xml:space="preserve"> </w:t>
      </w:r>
      <w:r w:rsidR="6F83CE12" w:rsidRPr="00C27AB6">
        <w:rPr>
          <w:rStyle w:val="Strong"/>
          <w:b w:val="0"/>
        </w:rPr>
        <w:t>– Ethene (Ethylene)</w:t>
      </w:r>
    </w:p>
    <w:p w14:paraId="65ECBA29" w14:textId="786FC4EF" w:rsidR="6F83CE12" w:rsidRDefault="00404590" w:rsidP="008A1F9B">
      <w:pPr>
        <w:rPr>
          <w:rFonts w:ascii="Times New Roman" w:eastAsia="Times New Roman" w:hAnsi="Times New Roman" w:cs="Times New Roman"/>
          <w:color w:val="000000" w:themeColor="accent5"/>
          <w:sz w:val="24"/>
          <w:szCs w:val="24"/>
        </w:rPr>
      </w:pPr>
      <w:r>
        <w:t>This item</w:t>
      </w:r>
      <w:r w:rsidR="6F83CE12">
        <w:t xml:space="preserve"> replaces the default emissions intensity for the ethene (ethylene) production variable. This value has been calculated using representative data. The value has </w:t>
      </w:r>
      <w:r w:rsidR="007E2A53">
        <w:t xml:space="preserve">updated to reflect </w:t>
      </w:r>
      <w:r w:rsidR="00C16790">
        <w:t>that some emissions previously apportioned to ethene (ethylene) are now apportioned to exported steam related to the ethene production variable</w:t>
      </w:r>
      <w:r w:rsidR="6F83CE12">
        <w:t>.</w:t>
      </w:r>
    </w:p>
    <w:p w14:paraId="1178AB61" w14:textId="0B86A0CF" w:rsidR="6F83CE12" w:rsidRPr="00C27AB6" w:rsidRDefault="0099777A" w:rsidP="008A1F9B">
      <w:pPr>
        <w:pStyle w:val="Heading4"/>
        <w:rPr>
          <w:rStyle w:val="Strong"/>
          <w:b w:val="0"/>
        </w:rPr>
      </w:pPr>
      <w:r>
        <w:rPr>
          <w:rStyle w:val="Strong"/>
          <w:b w:val="0"/>
        </w:rPr>
        <w:t>Item</w:t>
      </w:r>
      <w:r w:rsidR="1A269F63" w:rsidRPr="00C27AB6">
        <w:rPr>
          <w:rStyle w:val="Strong"/>
          <w:b w:val="0"/>
        </w:rPr>
        <w:t xml:space="preserve"> </w:t>
      </w:r>
      <w:r w:rsidR="00910441" w:rsidRPr="00C27AB6">
        <w:rPr>
          <w:rStyle w:val="Strong"/>
          <w:b w:val="0"/>
        </w:rPr>
        <w:t>5</w:t>
      </w:r>
      <w:r w:rsidR="00910441">
        <w:rPr>
          <w:rStyle w:val="Strong"/>
          <w:b w:val="0"/>
        </w:rPr>
        <w:t>7</w:t>
      </w:r>
      <w:r w:rsidR="00910441" w:rsidRPr="00C27AB6">
        <w:rPr>
          <w:rStyle w:val="Strong"/>
          <w:b w:val="0"/>
        </w:rPr>
        <w:t xml:space="preserve"> </w:t>
      </w:r>
      <w:r w:rsidR="1A269F63" w:rsidRPr="00C27AB6">
        <w:rPr>
          <w:rStyle w:val="Strong"/>
          <w:b w:val="0"/>
        </w:rPr>
        <w:t>– Polyethylene</w:t>
      </w:r>
    </w:p>
    <w:p w14:paraId="7E76D07E" w14:textId="48FB2D35" w:rsidR="1A269F63" w:rsidRDefault="00404590" w:rsidP="008A1F9B">
      <w:r>
        <w:t>This item</w:t>
      </w:r>
      <w:r w:rsidR="1A269F63">
        <w:t xml:space="preserve"> replaces the default emissions intensity for the polyethylene production variable. This value has been calculated using representative data. The value has been </w:t>
      </w:r>
      <w:r w:rsidR="00CE74C1">
        <w:t>updated to reflect that some emissions previously apportioned to polyethylene are now apportioned to exported steam related to the ethene production variable.</w:t>
      </w:r>
    </w:p>
    <w:p w14:paraId="235F1733" w14:textId="30D26181" w:rsidR="00790632" w:rsidRDefault="0099777A" w:rsidP="008A1F9B">
      <w:pPr>
        <w:pStyle w:val="Heading4"/>
        <w:rPr>
          <w:rStyle w:val="Strong"/>
          <w:b w:val="0"/>
          <w:bCs w:val="0"/>
        </w:rPr>
      </w:pPr>
      <w:r>
        <w:rPr>
          <w:rStyle w:val="Strong"/>
          <w:b w:val="0"/>
        </w:rPr>
        <w:t>Item</w:t>
      </w:r>
      <w:r w:rsidR="03642EB2" w:rsidRPr="00C27AB6">
        <w:rPr>
          <w:rStyle w:val="Strong"/>
          <w:b w:val="0"/>
        </w:rPr>
        <w:t xml:space="preserve"> </w:t>
      </w:r>
      <w:r w:rsidR="00CE74C1" w:rsidRPr="00C27AB6">
        <w:rPr>
          <w:rStyle w:val="Strong"/>
          <w:b w:val="0"/>
        </w:rPr>
        <w:t>5</w:t>
      </w:r>
      <w:r w:rsidR="00CE74C1">
        <w:rPr>
          <w:rStyle w:val="Strong"/>
          <w:b w:val="0"/>
        </w:rPr>
        <w:t>8</w:t>
      </w:r>
      <w:r w:rsidR="00CE74C1" w:rsidRPr="00C27AB6">
        <w:rPr>
          <w:rStyle w:val="Strong"/>
          <w:b w:val="0"/>
        </w:rPr>
        <w:t xml:space="preserve"> </w:t>
      </w:r>
      <w:r w:rsidR="0E7FB4B3" w:rsidRPr="00C27AB6">
        <w:rPr>
          <w:rStyle w:val="Strong"/>
          <w:b w:val="0"/>
        </w:rPr>
        <w:t>– Exported steam related to the ethene production activity</w:t>
      </w:r>
      <w:r w:rsidR="03642EB2" w:rsidRPr="64E93049">
        <w:rPr>
          <w:rStyle w:val="Strong"/>
          <w:b w:val="0"/>
          <w:bCs w:val="0"/>
        </w:rPr>
        <w:t xml:space="preserve"> </w:t>
      </w:r>
    </w:p>
    <w:p w14:paraId="26505BA7" w14:textId="11F36A6F" w:rsidR="0096373F" w:rsidRDefault="00404590" w:rsidP="008A1F9B">
      <w:r>
        <w:t>This item</w:t>
      </w:r>
      <w:r w:rsidR="009A6396">
        <w:t xml:space="preserve"> inserts a new production variable, exported steam related to the ethene production activity, and the corresponding default emissions intensity into Schedule 1 of the Safeguard Rule.</w:t>
      </w:r>
      <w:r w:rsidR="00C34B5A">
        <w:t xml:space="preserve"> This new production variable is intended to apply to facilities which </w:t>
      </w:r>
      <w:r w:rsidR="00D74B5A">
        <w:t xml:space="preserve">produce </w:t>
      </w:r>
      <w:r w:rsidR="0007377D">
        <w:t xml:space="preserve">ethene </w:t>
      </w:r>
      <w:r w:rsidR="000A6D67">
        <w:t xml:space="preserve">(ethylene) </w:t>
      </w:r>
      <w:r w:rsidR="0007377D">
        <w:t xml:space="preserve">and </w:t>
      </w:r>
      <w:r w:rsidR="0096373F">
        <w:t xml:space="preserve">export steam. </w:t>
      </w:r>
    </w:p>
    <w:p w14:paraId="104B8ABD" w14:textId="5418BC2B" w:rsidR="00A958C6" w:rsidRDefault="00E87766" w:rsidP="008A1F9B">
      <w:r>
        <w:t xml:space="preserve">Steam is </w:t>
      </w:r>
      <w:r w:rsidR="00B162EF">
        <w:t xml:space="preserve">ordinarily </w:t>
      </w:r>
      <w:r>
        <w:t>an intermediate product</w:t>
      </w:r>
      <w:r w:rsidR="006130C4">
        <w:t xml:space="preserve"> </w:t>
      </w:r>
      <w:r w:rsidR="00FA5873">
        <w:t xml:space="preserve">and </w:t>
      </w:r>
      <w:r w:rsidR="007C07C1">
        <w:t>ha</w:t>
      </w:r>
      <w:r w:rsidR="00CF43C1">
        <w:t>s associated emissions</w:t>
      </w:r>
      <w:r w:rsidR="00FA5873">
        <w:t xml:space="preserve"> included in </w:t>
      </w:r>
      <w:r w:rsidR="00CF43C1">
        <w:t>the relevant</w:t>
      </w:r>
      <w:r w:rsidR="00FA5873">
        <w:t xml:space="preserve"> </w:t>
      </w:r>
      <w:r w:rsidR="00CF43C1">
        <w:t>output-based</w:t>
      </w:r>
      <w:r w:rsidR="007C07C1">
        <w:t xml:space="preserve"> </w:t>
      </w:r>
      <w:r w:rsidR="00CF43C1">
        <w:t>production variable</w:t>
      </w:r>
      <w:r w:rsidR="00E532EB">
        <w:t xml:space="preserve"> under the Safeguard Mechanism</w:t>
      </w:r>
      <w:r w:rsidR="007C07C1">
        <w:t xml:space="preserve">. </w:t>
      </w:r>
      <w:r w:rsidR="00A238D5">
        <w:t>An alternate approach may be required</w:t>
      </w:r>
      <w:r w:rsidR="009F14B7">
        <w:t xml:space="preserve"> where steam is produced with the explicit purpose of export</w:t>
      </w:r>
      <w:r w:rsidR="49399EFE">
        <w:t>, rather than as an input for a production variable</w:t>
      </w:r>
      <w:r w:rsidR="009D2FAC">
        <w:t>.</w:t>
      </w:r>
      <w:r w:rsidR="00424706">
        <w:t xml:space="preserve"> </w:t>
      </w:r>
      <w:r w:rsidR="009D2FAC">
        <w:t>P</w:t>
      </w:r>
      <w:r w:rsidR="00424706">
        <w:t>articularly when</w:t>
      </w:r>
      <w:r w:rsidR="00C33D43">
        <w:t xml:space="preserve"> emissions associated with export</w:t>
      </w:r>
      <w:r w:rsidR="000A6D67">
        <w:t>ed</w:t>
      </w:r>
      <w:r w:rsidR="00C33D43">
        <w:t xml:space="preserve"> steam </w:t>
      </w:r>
      <w:r w:rsidR="00686FCF">
        <w:t xml:space="preserve">are a </w:t>
      </w:r>
      <w:r w:rsidR="00331D14">
        <w:t>significant</w:t>
      </w:r>
      <w:r w:rsidR="00686FCF">
        <w:t xml:space="preserve"> </w:t>
      </w:r>
      <w:r w:rsidR="00331D14">
        <w:t xml:space="preserve">portion of a facility’s emissions profile, </w:t>
      </w:r>
      <w:r w:rsidR="00F40229">
        <w:t>and</w:t>
      </w:r>
      <w:r w:rsidR="00331D14">
        <w:t xml:space="preserve"> whe</w:t>
      </w:r>
      <w:r w:rsidR="004E0E78">
        <w:t xml:space="preserve">re the production of steam for export is non-linear with the production of the facility’s </w:t>
      </w:r>
      <w:r w:rsidR="000A6D67">
        <w:t>other</w:t>
      </w:r>
      <w:r w:rsidR="004E0E78">
        <w:t xml:space="preserve"> production variables. </w:t>
      </w:r>
      <w:r w:rsidR="0047072D">
        <w:t>In this case</w:t>
      </w:r>
      <w:r w:rsidR="003A42DA">
        <w:t>,</w:t>
      </w:r>
      <w:r w:rsidR="0047072D">
        <w:t xml:space="preserve"> it is appropriate that a</w:t>
      </w:r>
      <w:r w:rsidR="00B62A74">
        <w:t xml:space="preserve"> production variable</w:t>
      </w:r>
      <w:r w:rsidR="5E9C4B99">
        <w:t xml:space="preserve"> </w:t>
      </w:r>
      <w:r w:rsidR="00B62A74">
        <w:t xml:space="preserve">for exported steam </w:t>
      </w:r>
      <w:r w:rsidR="000A6D67">
        <w:t xml:space="preserve">is available </w:t>
      </w:r>
      <w:r w:rsidR="00B62A74">
        <w:t xml:space="preserve">to </w:t>
      </w:r>
      <w:r w:rsidR="003A42DA">
        <w:t xml:space="preserve">reflect the fact </w:t>
      </w:r>
      <w:r w:rsidR="000A6D67">
        <w:t xml:space="preserve">that one or more facilities </w:t>
      </w:r>
      <w:r w:rsidR="003A42DA">
        <w:t xml:space="preserve">are producing steam </w:t>
      </w:r>
      <w:r w:rsidR="28E3B3E7">
        <w:t>for export</w:t>
      </w:r>
      <w:r w:rsidR="003A42DA">
        <w:t xml:space="preserve"> to fill a commercial demand. </w:t>
      </w:r>
    </w:p>
    <w:p w14:paraId="70477256" w14:textId="393D1B6F" w:rsidR="0058685A" w:rsidRDefault="00A958C6" w:rsidP="008A1F9B">
      <w:r>
        <w:t>A</w:t>
      </w:r>
      <w:r w:rsidR="00F1746E">
        <w:t>ccess to a</w:t>
      </w:r>
      <w:r>
        <w:t>n export</w:t>
      </w:r>
      <w:r w:rsidR="000A6D67">
        <w:t>ed</w:t>
      </w:r>
      <w:r>
        <w:t xml:space="preserve"> steam production variable </w:t>
      </w:r>
      <w:r w:rsidR="000A6D67">
        <w:t>would be</w:t>
      </w:r>
      <w:r>
        <w:t xml:space="preserve"> not appropriate </w:t>
      </w:r>
      <w:r w:rsidR="000A6D67">
        <w:t>if it</w:t>
      </w:r>
      <w:r>
        <w:t xml:space="preserve"> is incidental to </w:t>
      </w:r>
      <w:r w:rsidR="00587B9F">
        <w:t xml:space="preserve">usual </w:t>
      </w:r>
      <w:r w:rsidR="007C1166">
        <w:t>activity</w:t>
      </w:r>
      <w:r>
        <w:t xml:space="preserve"> or a by-product of </w:t>
      </w:r>
      <w:r w:rsidR="007C1166">
        <w:t>a facility’s</w:t>
      </w:r>
      <w:r>
        <w:t xml:space="preserve"> primary product. In these cases</w:t>
      </w:r>
      <w:r w:rsidR="00C3099F">
        <w:t>,</w:t>
      </w:r>
      <w:r>
        <w:t xml:space="preserve"> it is appropriate for the emissions associated with exported steam to be included in the relevant output-based production variable.</w:t>
      </w:r>
      <w:r w:rsidR="00F1746E">
        <w:t xml:space="preserve"> </w:t>
      </w:r>
      <w:r w:rsidR="008D7A74">
        <w:t xml:space="preserve">By default, any emissions associated with exported steam have been included in the </w:t>
      </w:r>
      <w:r w:rsidR="00E832BF">
        <w:t xml:space="preserve">default emissions intensity calculation of </w:t>
      </w:r>
      <w:r w:rsidR="00AA1B8E">
        <w:t xml:space="preserve">the associated </w:t>
      </w:r>
      <w:r w:rsidR="00C3099F">
        <w:t xml:space="preserve">output-based production variable. </w:t>
      </w:r>
    </w:p>
    <w:p w14:paraId="140D9F1E" w14:textId="0F96CD74" w:rsidR="0058685A" w:rsidRDefault="0058685A" w:rsidP="008A1F9B">
      <w:r>
        <w:t xml:space="preserve">Because of this, </w:t>
      </w:r>
      <w:r w:rsidR="00AC22EB">
        <w:t>use</w:t>
      </w:r>
      <w:r>
        <w:t xml:space="preserve"> of an export</w:t>
      </w:r>
      <w:r w:rsidR="000A6D67">
        <w:t>ed</w:t>
      </w:r>
      <w:r>
        <w:t xml:space="preserve"> steam production variable</w:t>
      </w:r>
      <w:r w:rsidR="00AC22EB">
        <w:t xml:space="preserve"> </w:t>
      </w:r>
      <w:r w:rsidR="2DF8F3D0">
        <w:t xml:space="preserve">should </w:t>
      </w:r>
      <w:r w:rsidR="00AC22EB">
        <w:t>be limited</w:t>
      </w:r>
      <w:r>
        <w:t xml:space="preserve"> to faciliti</w:t>
      </w:r>
      <w:r w:rsidR="00AC22EB">
        <w:t xml:space="preserve">es </w:t>
      </w:r>
      <w:r w:rsidR="008B3347">
        <w:t>structured</w:t>
      </w:r>
      <w:r w:rsidR="00C34B5A">
        <w:t xml:space="preserve"> such that </w:t>
      </w:r>
      <w:r w:rsidR="008B3347">
        <w:t>steam</w:t>
      </w:r>
      <w:r w:rsidR="00C34B5A">
        <w:t xml:space="preserve"> is intended to be </w:t>
      </w:r>
      <w:r w:rsidR="008B3347">
        <w:t>exported to another facility</w:t>
      </w:r>
      <w:r w:rsidR="00C34B5A">
        <w:t xml:space="preserve"> under ordinary operating </w:t>
      </w:r>
      <w:r w:rsidR="00C34B5A">
        <w:lastRenderedPageBreak/>
        <w:t xml:space="preserve">conditions, </w:t>
      </w:r>
      <w:r w:rsidR="004802E2">
        <w:t xml:space="preserve">and </w:t>
      </w:r>
      <w:r w:rsidR="00C34B5A">
        <w:t xml:space="preserve">which </w:t>
      </w:r>
      <w:r w:rsidR="004802E2">
        <w:t>have had the</w:t>
      </w:r>
      <w:r w:rsidR="00BE45E7">
        <w:t xml:space="preserve"> </w:t>
      </w:r>
      <w:r w:rsidR="004802E2">
        <w:t xml:space="preserve">industry average emissions intensity values </w:t>
      </w:r>
      <w:r w:rsidR="00BE45E7">
        <w:t xml:space="preserve">of </w:t>
      </w:r>
      <w:r w:rsidR="00C34B5A">
        <w:t xml:space="preserve">their </w:t>
      </w:r>
      <w:r w:rsidR="00BE45E7">
        <w:t xml:space="preserve">other production variables </w:t>
      </w:r>
      <w:r w:rsidR="004802E2">
        <w:t>calculated</w:t>
      </w:r>
      <w:r w:rsidR="321D3448">
        <w:t xml:space="preserve"> without </w:t>
      </w:r>
      <w:r w:rsidR="00BE45E7">
        <w:t>the emissions associated with export steam.</w:t>
      </w:r>
    </w:p>
    <w:p w14:paraId="547D512E" w14:textId="4B49E721" w:rsidR="00C3099F" w:rsidRDefault="0018654D" w:rsidP="008A1F9B">
      <w:r>
        <w:t xml:space="preserve">Facilities in the ethylene producing sector have a demonstrated need for an exported steam production variable. </w:t>
      </w:r>
      <w:r w:rsidR="00C3099F">
        <w:t xml:space="preserve">The </w:t>
      </w:r>
      <w:r w:rsidR="00C77FFE">
        <w:t xml:space="preserve">primary production variables of the sector, </w:t>
      </w:r>
      <w:r w:rsidR="00E252F7">
        <w:t>ethylene and polyethylene</w:t>
      </w:r>
      <w:r w:rsidR="00C77FFE">
        <w:t>,</w:t>
      </w:r>
      <w:r w:rsidR="00E252F7">
        <w:t xml:space="preserve"> have </w:t>
      </w:r>
      <w:r w:rsidR="001804A5">
        <w:t>had their default emissions intensity values</w:t>
      </w:r>
      <w:r w:rsidR="00E252F7">
        <w:t xml:space="preserve"> recalculated to exclude emissions associated with </w:t>
      </w:r>
      <w:r w:rsidR="00C80CE8">
        <w:t>exported steam</w:t>
      </w:r>
      <w:r w:rsidR="00492BC7">
        <w:t xml:space="preserve"> and are updated in this set of amendments. </w:t>
      </w:r>
      <w:r w:rsidR="000A6D67">
        <w:t>The Safeguard Rule also includes a production variable for e</w:t>
      </w:r>
      <w:r w:rsidR="000A6D67" w:rsidRPr="002E194B">
        <w:t>xported steam related to the raw sugar manufacturing activity</w:t>
      </w:r>
      <w:r w:rsidR="000A6D67">
        <w:t>.</w:t>
      </w:r>
    </w:p>
    <w:p w14:paraId="23DFBEFA" w14:textId="4246CC43" w:rsidR="00C027B7" w:rsidRPr="00D45A1E" w:rsidRDefault="00404590" w:rsidP="008A1F9B">
      <w:r>
        <w:t>This item</w:t>
      </w:r>
      <w:r w:rsidR="18F7D90D">
        <w:t xml:space="preserve"> i</w:t>
      </w:r>
      <w:r w:rsidR="094E0A3F">
        <w:t xml:space="preserve">ncludes </w:t>
      </w:r>
      <w:r w:rsidR="5A524774">
        <w:t xml:space="preserve">a note on the measurement of steam and guidance on how </w:t>
      </w:r>
      <w:r w:rsidR="6C8EA7D5">
        <w:t>measurement should</w:t>
      </w:r>
      <w:r w:rsidR="73436ACA">
        <w:t xml:space="preserve"> be converted to gigajoules in accordance with standard thermodynamic principles.</w:t>
      </w:r>
    </w:p>
    <w:p w14:paraId="7E34F430" w14:textId="595DA2AB" w:rsidR="43767F37" w:rsidRDefault="0099777A" w:rsidP="008A1F9B">
      <w:pPr>
        <w:pStyle w:val="Heading4"/>
        <w:rPr>
          <w:rStyle w:val="Strong"/>
          <w:b w:val="0"/>
          <w:bCs w:val="0"/>
        </w:rPr>
      </w:pPr>
      <w:r>
        <w:rPr>
          <w:rStyle w:val="Strong"/>
          <w:b w:val="0"/>
        </w:rPr>
        <w:t>Item</w:t>
      </w:r>
      <w:r w:rsidR="43767F37" w:rsidRPr="00C27AB6">
        <w:rPr>
          <w:rStyle w:val="Strong"/>
          <w:b w:val="0"/>
        </w:rPr>
        <w:t xml:space="preserve"> </w:t>
      </w:r>
      <w:r w:rsidR="004C5C27" w:rsidRPr="00C27AB6">
        <w:rPr>
          <w:rStyle w:val="Strong"/>
          <w:b w:val="0"/>
        </w:rPr>
        <w:t>5</w:t>
      </w:r>
      <w:r w:rsidR="000942F5">
        <w:rPr>
          <w:rStyle w:val="Strong"/>
          <w:b w:val="0"/>
        </w:rPr>
        <w:t>9</w:t>
      </w:r>
      <w:r w:rsidR="004C5C27" w:rsidRPr="00C27AB6">
        <w:rPr>
          <w:rStyle w:val="Strong"/>
          <w:b w:val="0"/>
        </w:rPr>
        <w:t xml:space="preserve"> </w:t>
      </w:r>
      <w:r w:rsidR="43767F37" w:rsidRPr="00C27AB6">
        <w:rPr>
          <w:rStyle w:val="Strong"/>
          <w:b w:val="0"/>
        </w:rPr>
        <w:t>– Exported steam related to the raw sugar manufacturing activity</w:t>
      </w:r>
    </w:p>
    <w:p w14:paraId="68459B70" w14:textId="78365B60" w:rsidR="43767F37" w:rsidRDefault="00404590" w:rsidP="008A1F9B">
      <w:r>
        <w:t>This item</w:t>
      </w:r>
      <w:r w:rsidR="43767F37">
        <w:t xml:space="preserve"> inserts a note on the measurement of steam and guidance on how measurement should be converted to gigajoules in accordance with standard thermodynamic principles.</w:t>
      </w:r>
      <w:r w:rsidR="005846AD">
        <w:t xml:space="preserve"> This note is consistent with the note that</w:t>
      </w:r>
      <w:r w:rsidR="000942F5">
        <w:t xml:space="preserve"> has been added by item 58.</w:t>
      </w:r>
    </w:p>
    <w:p w14:paraId="26E80369" w14:textId="175C87B1" w:rsidR="3AC0091C" w:rsidRPr="00C27AB6" w:rsidRDefault="0099777A" w:rsidP="008A1F9B">
      <w:pPr>
        <w:pStyle w:val="Heading4"/>
        <w:rPr>
          <w:rStyle w:val="Strong"/>
          <w:b w:val="0"/>
        </w:rPr>
      </w:pPr>
      <w:r>
        <w:rPr>
          <w:rStyle w:val="Strong"/>
          <w:b w:val="0"/>
        </w:rPr>
        <w:t>Item</w:t>
      </w:r>
      <w:r w:rsidR="3AC0091C" w:rsidRPr="00C27AB6">
        <w:rPr>
          <w:rStyle w:val="Strong"/>
          <w:b w:val="0"/>
        </w:rPr>
        <w:t xml:space="preserve">s </w:t>
      </w:r>
      <w:r w:rsidR="00464354">
        <w:rPr>
          <w:rStyle w:val="Strong"/>
          <w:b w:val="0"/>
        </w:rPr>
        <w:t>60</w:t>
      </w:r>
      <w:r w:rsidR="00464354" w:rsidRPr="00C27AB6">
        <w:rPr>
          <w:rStyle w:val="Strong"/>
          <w:b w:val="0"/>
        </w:rPr>
        <w:t xml:space="preserve"> </w:t>
      </w:r>
      <w:r w:rsidR="2B4ADFD1" w:rsidRPr="00C27AB6">
        <w:rPr>
          <w:rStyle w:val="Strong"/>
          <w:b w:val="0"/>
        </w:rPr>
        <w:t xml:space="preserve">to </w:t>
      </w:r>
      <w:r w:rsidR="00464354" w:rsidRPr="00C27AB6">
        <w:rPr>
          <w:rStyle w:val="Strong"/>
          <w:b w:val="0"/>
        </w:rPr>
        <w:t>6</w:t>
      </w:r>
      <w:r w:rsidR="00903F49">
        <w:rPr>
          <w:rStyle w:val="Strong"/>
          <w:b w:val="0"/>
        </w:rPr>
        <w:t>3</w:t>
      </w:r>
      <w:r w:rsidR="00464354" w:rsidRPr="00C27AB6">
        <w:rPr>
          <w:rStyle w:val="Strong"/>
          <w:b w:val="0"/>
        </w:rPr>
        <w:t xml:space="preserve"> </w:t>
      </w:r>
      <w:r w:rsidR="3AC0091C" w:rsidRPr="00C27AB6">
        <w:rPr>
          <w:rStyle w:val="Strong"/>
          <w:b w:val="0"/>
        </w:rPr>
        <w:t>– Petroleum refining</w:t>
      </w:r>
      <w:r w:rsidR="5DA51FEF" w:rsidRPr="00C27AB6">
        <w:rPr>
          <w:rStyle w:val="Strong"/>
          <w:b w:val="0"/>
        </w:rPr>
        <w:t xml:space="preserve"> and renewable and waste feedstocks</w:t>
      </w:r>
    </w:p>
    <w:p w14:paraId="57F1C4A3" w14:textId="4924BB3E" w:rsidR="3AC0091C" w:rsidRDefault="3AC0091C" w:rsidP="008A1F9B">
      <w:r>
        <w:t xml:space="preserve">The petroleum refining production variable is amended to include renewable and waste feedstocks, allowing for a broader range of feedstocks to be refined alongside petroleum-based feedstocks. This may result in ‘blended’ products from a petroleum refinery, where products are made from refining both petroleum feedstocks and renewable and/or waste feedstocks. </w:t>
      </w:r>
    </w:p>
    <w:p w14:paraId="090183C7" w14:textId="2AC41CE1" w:rsidR="3D763EB9" w:rsidRPr="00C27AB6" w:rsidRDefault="0099777A" w:rsidP="008A1F9B">
      <w:pPr>
        <w:pStyle w:val="Heading4"/>
        <w:rPr>
          <w:rStyle w:val="Strong"/>
          <w:b w:val="0"/>
        </w:rPr>
      </w:pPr>
      <w:r>
        <w:rPr>
          <w:rStyle w:val="Strong"/>
          <w:b w:val="0"/>
        </w:rPr>
        <w:t>Item</w:t>
      </w:r>
      <w:r w:rsidR="00903F49">
        <w:rPr>
          <w:rStyle w:val="Strong"/>
          <w:b w:val="0"/>
        </w:rPr>
        <w:t>s</w:t>
      </w:r>
      <w:r w:rsidR="3D763EB9" w:rsidRPr="00C27AB6">
        <w:rPr>
          <w:rStyle w:val="Strong"/>
          <w:b w:val="0"/>
        </w:rPr>
        <w:t xml:space="preserve"> </w:t>
      </w:r>
      <w:r w:rsidR="00464354" w:rsidRPr="00C27AB6">
        <w:rPr>
          <w:rStyle w:val="Strong"/>
          <w:b w:val="0"/>
        </w:rPr>
        <w:t>6</w:t>
      </w:r>
      <w:r w:rsidR="00464354">
        <w:rPr>
          <w:rStyle w:val="Strong"/>
          <w:b w:val="0"/>
        </w:rPr>
        <w:t>4</w:t>
      </w:r>
      <w:r w:rsidR="00903F49">
        <w:rPr>
          <w:rStyle w:val="Strong"/>
          <w:b w:val="0"/>
        </w:rPr>
        <w:t xml:space="preserve"> and 65</w:t>
      </w:r>
      <w:r w:rsidR="00464354" w:rsidRPr="00C27AB6">
        <w:rPr>
          <w:rStyle w:val="Strong"/>
          <w:b w:val="0"/>
        </w:rPr>
        <w:t xml:space="preserve"> </w:t>
      </w:r>
      <w:r w:rsidR="3D763EB9" w:rsidRPr="00C27AB6">
        <w:rPr>
          <w:rStyle w:val="Strong"/>
          <w:b w:val="0"/>
        </w:rPr>
        <w:t>– Petroleum refining default emissions intensity</w:t>
      </w:r>
    </w:p>
    <w:p w14:paraId="6333EDBD" w14:textId="4094C046" w:rsidR="3D763EB9" w:rsidRDefault="00404590" w:rsidP="008A1F9B">
      <w:pPr>
        <w:rPr>
          <w:color w:val="000000" w:themeColor="accent5"/>
        </w:rPr>
      </w:pPr>
      <w:r>
        <w:t>This item</w:t>
      </w:r>
      <w:r w:rsidR="3D763EB9">
        <w:t xml:space="preserve"> </w:t>
      </w:r>
      <w:r w:rsidR="3AC0091C">
        <w:t>update</w:t>
      </w:r>
      <w:r w:rsidR="5E23CC20">
        <w:t>s the</w:t>
      </w:r>
      <w:r w:rsidR="3AC0091C">
        <w:t xml:space="preserve"> default emissions intensity value </w:t>
      </w:r>
      <w:r w:rsidR="66CCB8F8">
        <w:t xml:space="preserve">for the petroleum refining production variable to </w:t>
      </w:r>
      <w:r w:rsidR="3AC0091C">
        <w:t>reflect the increase in emissions intensity at petroleum refineries due to producing petrol that complies with a 10 ppm sulfur limit (</w:t>
      </w:r>
      <w:r w:rsidR="3AC0091C" w:rsidRPr="64E93049">
        <w:rPr>
          <w:i/>
          <w:iCs/>
          <w:color w:val="000000" w:themeColor="accent5"/>
        </w:rPr>
        <w:t xml:space="preserve">Fuel Quality Standards (Petrol) Determination 2019). </w:t>
      </w:r>
      <w:r w:rsidR="3AC0091C" w:rsidRPr="64E93049">
        <w:rPr>
          <w:color w:val="000000" w:themeColor="accent5"/>
        </w:rPr>
        <w:t>This updated default emissions intensity value would apply from the start of the financial year in which compliance with the more stringent sulfur limit is achieved.</w:t>
      </w:r>
    </w:p>
    <w:p w14:paraId="5EC48743" w14:textId="31E68E24" w:rsidR="663F643B" w:rsidRDefault="0099777A" w:rsidP="008A1F9B">
      <w:pPr>
        <w:pStyle w:val="Heading4"/>
        <w:rPr>
          <w:rFonts w:ascii="Times New Roman" w:eastAsia="Times New Roman" w:hAnsi="Times New Roman" w:cs="Times New Roman"/>
          <w:color w:val="000000" w:themeColor="accent5"/>
          <w:sz w:val="24"/>
          <w:szCs w:val="24"/>
        </w:rPr>
      </w:pPr>
      <w:r>
        <w:rPr>
          <w:rStyle w:val="Strong"/>
          <w:b w:val="0"/>
        </w:rPr>
        <w:t>Item</w:t>
      </w:r>
      <w:r w:rsidR="663F643B" w:rsidRPr="00C27AB6">
        <w:rPr>
          <w:rStyle w:val="Strong"/>
          <w:b w:val="0"/>
        </w:rPr>
        <w:t xml:space="preserve"> </w:t>
      </w:r>
      <w:r w:rsidR="0052416D">
        <w:rPr>
          <w:rStyle w:val="Strong"/>
          <w:b w:val="0"/>
        </w:rPr>
        <w:t>66</w:t>
      </w:r>
      <w:r w:rsidR="001A0A67">
        <w:rPr>
          <w:rStyle w:val="Strong"/>
          <w:b w:val="0"/>
        </w:rPr>
        <w:t xml:space="preserve"> </w:t>
      </w:r>
      <w:r w:rsidR="663F643B" w:rsidRPr="00C27AB6">
        <w:rPr>
          <w:rStyle w:val="Strong"/>
          <w:b w:val="0"/>
        </w:rPr>
        <w:t>– Lithium Hydroxide</w:t>
      </w:r>
    </w:p>
    <w:p w14:paraId="4489C30C" w14:textId="74E7D6CA" w:rsidR="663F643B" w:rsidRDefault="00404590" w:rsidP="008A1F9B">
      <w:r>
        <w:t>This item</w:t>
      </w:r>
      <w:r w:rsidR="663F643B">
        <w:t xml:space="preserve"> inserts the default emissions intensity for the lithium hydroxide production variable. There are a small number of facilities operating in Australia, none of which have reached stable production. Therefore, this emissions intensity has been calculated using forecast and estimated data in line with the supplementary approach</w:t>
      </w:r>
      <w:r w:rsidR="663F643B" w:rsidRPr="64E93049">
        <w:rPr>
          <w:rStyle w:val="FootnoteReference"/>
        </w:rPr>
        <w:footnoteReference w:id="2"/>
      </w:r>
      <w:r w:rsidR="663F643B">
        <w:t>, with advice on data suitability provided by an independent technical expert.</w:t>
      </w:r>
    </w:p>
    <w:p w14:paraId="47D5D417" w14:textId="755248DF" w:rsidR="00A57383" w:rsidRPr="00CE002F" w:rsidRDefault="00404590" w:rsidP="008A1F9B">
      <w:r>
        <w:t>This item</w:t>
      </w:r>
      <w:r w:rsidR="00A57383">
        <w:t xml:space="preserve"> inserts the </w:t>
      </w:r>
      <w:r w:rsidR="00464D22">
        <w:t>best practice emissions intensity</w:t>
      </w:r>
      <w:r w:rsidR="00A57383" w:rsidRPr="00CE002F">
        <w:t xml:space="preserve"> value for </w:t>
      </w:r>
      <w:r w:rsidR="00A57383">
        <w:t>lithium hydroxide</w:t>
      </w:r>
      <w:r w:rsidR="00A57383" w:rsidRPr="00CE002F">
        <w:t xml:space="preserve">. The benchmark is based on a supplementary approach </w:t>
      </w:r>
      <w:r w:rsidR="003E0EF3">
        <w:t>using</w:t>
      </w:r>
      <w:r w:rsidR="00A57383" w:rsidRPr="00CE002F">
        <w:t xml:space="preserve"> forecast data for current or planned Australian facilities</w:t>
      </w:r>
      <w:r w:rsidR="005D0605">
        <w:t>,</w:t>
      </w:r>
      <w:r w:rsidR="00F46535">
        <w:t xml:space="preserve"> as Australian sites were found to be less emissions-intensive than overseas sites with suitable, high-quality data</w:t>
      </w:r>
      <w:r w:rsidR="00F46535" w:rsidRPr="00CE002F">
        <w:t>.</w:t>
      </w:r>
    </w:p>
    <w:p w14:paraId="31EE5C1E" w14:textId="362E8ADB" w:rsidR="446D0141" w:rsidRPr="00C27AB6" w:rsidRDefault="0099777A" w:rsidP="008A1F9B">
      <w:pPr>
        <w:pStyle w:val="Heading4"/>
        <w:rPr>
          <w:rStyle w:val="Strong"/>
          <w:b w:val="0"/>
        </w:rPr>
      </w:pPr>
      <w:r>
        <w:rPr>
          <w:rStyle w:val="Strong"/>
          <w:b w:val="0"/>
        </w:rPr>
        <w:t>Item</w:t>
      </w:r>
      <w:r w:rsidR="70C4EEC8" w:rsidRPr="00C27AB6">
        <w:rPr>
          <w:rStyle w:val="Strong"/>
          <w:b w:val="0"/>
        </w:rPr>
        <w:t xml:space="preserve"> </w:t>
      </w:r>
      <w:r w:rsidR="00D90433" w:rsidRPr="00C27AB6">
        <w:rPr>
          <w:rStyle w:val="Strong"/>
          <w:b w:val="0"/>
        </w:rPr>
        <w:t>6</w:t>
      </w:r>
      <w:r w:rsidR="0052416D">
        <w:rPr>
          <w:rStyle w:val="Strong"/>
          <w:b w:val="0"/>
        </w:rPr>
        <w:t>7</w:t>
      </w:r>
      <w:r w:rsidR="00D90433" w:rsidRPr="00C27AB6">
        <w:rPr>
          <w:rStyle w:val="Strong"/>
          <w:b w:val="0"/>
        </w:rPr>
        <w:t xml:space="preserve"> </w:t>
      </w:r>
      <w:r w:rsidR="70C4EEC8" w:rsidRPr="00C27AB6">
        <w:rPr>
          <w:rStyle w:val="Strong"/>
          <w:b w:val="0"/>
        </w:rPr>
        <w:t xml:space="preserve">– </w:t>
      </w:r>
      <w:r w:rsidR="1BCE8628" w:rsidRPr="00C27AB6">
        <w:rPr>
          <w:rStyle w:val="Strong"/>
          <w:b w:val="0"/>
        </w:rPr>
        <w:t>New production variable</w:t>
      </w:r>
      <w:r w:rsidR="3C7C138F" w:rsidRPr="00C27AB6">
        <w:rPr>
          <w:rStyle w:val="Strong"/>
          <w:b w:val="0"/>
        </w:rPr>
        <w:t>s</w:t>
      </w:r>
      <w:r w:rsidR="1BCE8628" w:rsidRPr="00C27AB6">
        <w:rPr>
          <w:rStyle w:val="Strong"/>
          <w:b w:val="0"/>
        </w:rPr>
        <w:t xml:space="preserve"> </w:t>
      </w:r>
      <w:r w:rsidR="001A59DB" w:rsidRPr="00C27AB6">
        <w:rPr>
          <w:rStyle w:val="Strong"/>
          <w:b w:val="0"/>
        </w:rPr>
        <w:t>for</w:t>
      </w:r>
      <w:r w:rsidR="6A3CB537" w:rsidRPr="00C27AB6">
        <w:rPr>
          <w:rStyle w:val="Strong"/>
          <w:b w:val="0"/>
        </w:rPr>
        <w:t xml:space="preserve"> </w:t>
      </w:r>
      <w:r w:rsidR="1BCE8628" w:rsidRPr="00C27AB6">
        <w:rPr>
          <w:rStyle w:val="Strong"/>
          <w:b w:val="0"/>
        </w:rPr>
        <w:t>h</w:t>
      </w:r>
      <w:r w:rsidR="70C4EEC8" w:rsidRPr="00C27AB6">
        <w:rPr>
          <w:rStyle w:val="Strong"/>
          <w:b w:val="0"/>
        </w:rPr>
        <w:t>ydrogen</w:t>
      </w:r>
      <w:r w:rsidR="2CBF962F" w:rsidRPr="00C27AB6">
        <w:rPr>
          <w:rStyle w:val="Strong"/>
          <w:b w:val="0"/>
        </w:rPr>
        <w:t xml:space="preserve">, </w:t>
      </w:r>
      <w:r w:rsidR="7C63DAF6" w:rsidRPr="00C27AB6">
        <w:rPr>
          <w:rStyle w:val="Strong"/>
          <w:b w:val="0"/>
        </w:rPr>
        <w:t>m</w:t>
      </w:r>
      <w:r w:rsidR="6FE0625E" w:rsidRPr="00C27AB6">
        <w:rPr>
          <w:rStyle w:val="Strong"/>
          <w:b w:val="0"/>
        </w:rPr>
        <w:t xml:space="preserve">ine </w:t>
      </w:r>
      <w:r w:rsidR="7B3CEBDB" w:rsidRPr="00C27AB6">
        <w:rPr>
          <w:rStyle w:val="Strong"/>
          <w:b w:val="0"/>
        </w:rPr>
        <w:t>r</w:t>
      </w:r>
      <w:r w:rsidR="6FE0625E" w:rsidRPr="00C27AB6">
        <w:rPr>
          <w:rStyle w:val="Strong"/>
          <w:b w:val="0"/>
        </w:rPr>
        <w:t>ehabilitation</w:t>
      </w:r>
      <w:r w:rsidR="04B30572" w:rsidRPr="00C27AB6">
        <w:rPr>
          <w:rStyle w:val="Strong"/>
          <w:b w:val="0"/>
        </w:rPr>
        <w:t xml:space="preserve"> and biofuels</w:t>
      </w:r>
    </w:p>
    <w:p w14:paraId="68AF12E4" w14:textId="3291D39E" w:rsidR="446D0141" w:rsidRDefault="00404590" w:rsidP="008A1F9B">
      <w:r>
        <w:t>This item</w:t>
      </w:r>
      <w:r w:rsidR="70C4EEC8">
        <w:t xml:space="preserve"> inserts </w:t>
      </w:r>
      <w:r w:rsidR="00E87856">
        <w:t>five</w:t>
      </w:r>
      <w:r w:rsidR="70C4EEC8">
        <w:t xml:space="preserve"> new production variables</w:t>
      </w:r>
      <w:r w:rsidR="00AA23DB">
        <w:t xml:space="preserve"> under the categories </w:t>
      </w:r>
      <w:r w:rsidR="00C95664">
        <w:t>of</w:t>
      </w:r>
      <w:r w:rsidR="00AA23DB">
        <w:t xml:space="preserve"> </w:t>
      </w:r>
      <w:r w:rsidR="00C95664">
        <w:t>h</w:t>
      </w:r>
      <w:r w:rsidR="00AA23DB">
        <w:t xml:space="preserve">ydrogen, </w:t>
      </w:r>
      <w:r w:rsidR="00C95664">
        <w:t>m</w:t>
      </w:r>
      <w:r w:rsidR="00AA23DB">
        <w:t xml:space="preserve">ine </w:t>
      </w:r>
      <w:r w:rsidR="00C95664">
        <w:t>r</w:t>
      </w:r>
      <w:r w:rsidR="00AA23DB">
        <w:t xml:space="preserve">ehabilitation and </w:t>
      </w:r>
      <w:r w:rsidR="00C95664">
        <w:t>b</w:t>
      </w:r>
      <w:r w:rsidR="00AA23DB">
        <w:t>iofuels</w:t>
      </w:r>
      <w:r w:rsidR="40B11C08">
        <w:t>.</w:t>
      </w:r>
    </w:p>
    <w:p w14:paraId="27479883" w14:textId="1A6CF439" w:rsidR="00AA23DB" w:rsidRPr="00AA23DB" w:rsidRDefault="00AA23DB" w:rsidP="008A1F9B">
      <w:pPr>
        <w:pStyle w:val="Heading5"/>
      </w:pPr>
      <w:r>
        <w:lastRenderedPageBreak/>
        <w:t>Hydrogen</w:t>
      </w:r>
    </w:p>
    <w:p w14:paraId="58DBAE75" w14:textId="604DEF6C" w:rsidR="00987301" w:rsidRDefault="00AA23DB" w:rsidP="008A1F9B">
      <w:r>
        <w:t>A new Part 48 is inserted to Schedule 1 of the Safeguard Rule, containing new production variables</w:t>
      </w:r>
      <w:r w:rsidR="70C4EEC8">
        <w:t xml:space="preserve"> </w:t>
      </w:r>
      <w:r>
        <w:t xml:space="preserve">for </w:t>
      </w:r>
      <w:r w:rsidR="70C4EEC8">
        <w:t xml:space="preserve">gaseous </w:t>
      </w:r>
      <w:r>
        <w:t>hydrogen</w:t>
      </w:r>
      <w:r w:rsidR="70C4EEC8">
        <w:t xml:space="preserve"> and liquefied hydrogen</w:t>
      </w:r>
      <w:r w:rsidR="33470AE5">
        <w:t>, and</w:t>
      </w:r>
      <w:r w:rsidR="70C4EEC8">
        <w:t xml:space="preserve"> the corresponding </w:t>
      </w:r>
      <w:r w:rsidR="00987301">
        <w:t xml:space="preserve">international </w:t>
      </w:r>
      <w:r w:rsidR="70C4EEC8">
        <w:t>best practice</w:t>
      </w:r>
      <w:r w:rsidR="00987301">
        <w:t xml:space="preserve"> </w:t>
      </w:r>
      <w:r w:rsidR="70C4EEC8">
        <w:t>emissions intensity values</w:t>
      </w:r>
      <w:r>
        <w:t>.</w:t>
      </w:r>
      <w:r w:rsidR="70C4EEC8">
        <w:t xml:space="preserve"> </w:t>
      </w:r>
      <w:r w:rsidR="00987301">
        <w:t>The benchmark</w:t>
      </w:r>
      <w:r w:rsidR="00090288">
        <w:t>s</w:t>
      </w:r>
      <w:r w:rsidR="00987301">
        <w:t xml:space="preserve"> </w:t>
      </w:r>
      <w:r w:rsidR="00090288">
        <w:t>are</w:t>
      </w:r>
      <w:r w:rsidR="00987301">
        <w:t xml:space="preserve"> </w:t>
      </w:r>
      <w:r w:rsidR="004777C2">
        <w:t xml:space="preserve">based on a supplementary approach </w:t>
      </w:r>
      <w:r w:rsidR="00F8322C">
        <w:t xml:space="preserve">as suitable global data was not available. The supplementary approach uses </w:t>
      </w:r>
      <w:r w:rsidR="00987301">
        <w:t xml:space="preserve">an engineered </w:t>
      </w:r>
      <w:r w:rsidR="00EE1276">
        <w:t xml:space="preserve">value based on </w:t>
      </w:r>
      <w:r w:rsidR="00F646C8">
        <w:t>gas</w:t>
      </w:r>
      <w:r w:rsidR="00020AA7">
        <w:t>-</w:t>
      </w:r>
      <w:r w:rsidR="00F646C8">
        <w:t>fuel</w:t>
      </w:r>
      <w:r w:rsidR="003546EA">
        <w:t>l</w:t>
      </w:r>
      <w:r w:rsidR="00F646C8">
        <w:t>ed</w:t>
      </w:r>
      <w:r w:rsidR="00020AA7">
        <w:t xml:space="preserve">, </w:t>
      </w:r>
      <w:r w:rsidR="00754ABB" w:rsidRPr="00754ABB">
        <w:t xml:space="preserve">steam methane reforming technology, which </w:t>
      </w:r>
      <w:r w:rsidR="008C562C">
        <w:t>was assessed as being</w:t>
      </w:r>
      <w:r w:rsidR="00754ABB" w:rsidRPr="00754ABB">
        <w:t xml:space="preserve"> the lowest emissions</w:t>
      </w:r>
      <w:r w:rsidR="008C562C">
        <w:t>-</w:t>
      </w:r>
      <w:r w:rsidR="00754ABB" w:rsidRPr="00754ABB">
        <w:t>intensity commercial production</w:t>
      </w:r>
      <w:r w:rsidR="00C2680A">
        <w:t xml:space="preserve"> (that is, </w:t>
      </w:r>
      <w:r w:rsidR="00AA2A22">
        <w:t>not a pilot or demonstration plant and not receiving significant subsidies)</w:t>
      </w:r>
      <w:r w:rsidR="00754ABB" w:rsidRPr="00754ABB">
        <w:t>.</w:t>
      </w:r>
      <w:r w:rsidR="00FA4850">
        <w:t xml:space="preserve"> </w:t>
      </w:r>
    </w:p>
    <w:p w14:paraId="7711E2B5" w14:textId="7792E157" w:rsidR="00A46749" w:rsidRDefault="009F0514" w:rsidP="008A1F9B">
      <w:r>
        <w:t xml:space="preserve">A default value is not required given there is no existing Australian facility producing hydrogen as an </w:t>
      </w:r>
      <w:r w:rsidR="00A46749">
        <w:t>output</w:t>
      </w:r>
      <w:r>
        <w:t xml:space="preserve">. </w:t>
      </w:r>
    </w:p>
    <w:p w14:paraId="1D25BE5A" w14:textId="0D9D5484" w:rsidR="446D0141" w:rsidRDefault="70C4EEC8" w:rsidP="008A1F9B">
      <w:r>
        <w:t>The hydrogen production variables are intended to apply to facilities where the final product is either gaseous or liquid hydrogen. Some existing facilities produce hydrogen as a by-product or produce and use hydrogen in their facility to make their final output. The intent is that these new hydrogen production variables would not apply to those situations, as the emissions from producing hydrogen have already been accounted for in existing production variables (e.g. ammonia and petroleum refining). If a facility produces liquefied hydrogen, only the liquefied hydrogen production variable would apply, not the gaseous hydrogen production variable.</w:t>
      </w:r>
      <w:r w:rsidR="00141164">
        <w:t xml:space="preserve"> The liquefied hydrogen </w:t>
      </w:r>
      <w:r w:rsidR="007571A8">
        <w:t xml:space="preserve">production variable includes the emissions of producing </w:t>
      </w:r>
      <w:r w:rsidR="006E704A">
        <w:t xml:space="preserve">the gaseous </w:t>
      </w:r>
      <w:r w:rsidR="00846480">
        <w:t>hydrogen</w:t>
      </w:r>
      <w:r w:rsidR="00D069FA">
        <w:t xml:space="preserve">. </w:t>
      </w:r>
    </w:p>
    <w:p w14:paraId="05108C36" w14:textId="37EE99C1" w:rsidR="00AA23DB" w:rsidRPr="00AA23DB" w:rsidRDefault="00AA23DB" w:rsidP="008A1F9B">
      <w:pPr>
        <w:pStyle w:val="Heading5"/>
      </w:pPr>
      <w:r>
        <w:t>Mine rehabilitation</w:t>
      </w:r>
    </w:p>
    <w:p w14:paraId="3FAF0A08" w14:textId="5905CE78" w:rsidR="7936463E" w:rsidRDefault="00AD5BDC" w:rsidP="008A1F9B">
      <w:r>
        <w:t>A new Part 49</w:t>
      </w:r>
      <w:r w:rsidR="006E4D3C">
        <w:t xml:space="preserve"> is inserted to Schedule </w:t>
      </w:r>
      <w:r w:rsidR="00721014">
        <w:t>1, containing the</w:t>
      </w:r>
      <w:r w:rsidR="006E4D3C">
        <w:t xml:space="preserve"> </w:t>
      </w:r>
      <w:r w:rsidR="00CF41D6">
        <w:t>new</w:t>
      </w:r>
      <w:r>
        <w:t xml:space="preserve"> </w:t>
      </w:r>
      <w:r w:rsidR="00CF41D6">
        <w:t>m</w:t>
      </w:r>
      <w:r w:rsidR="7936463E">
        <w:t>ine rehabilitation</w:t>
      </w:r>
      <w:r w:rsidR="00CF41D6">
        <w:t xml:space="preserve"> production variable</w:t>
      </w:r>
      <w:r w:rsidR="7936463E">
        <w:t>, and the corresponding default and be</w:t>
      </w:r>
      <w:r w:rsidR="57EE42FC">
        <w:t>st practice emissions intensities</w:t>
      </w:r>
      <w:r w:rsidR="08C40F83">
        <w:t>, is inserted as a new production variable into Schedule 1 of the Safeguard Rule</w:t>
      </w:r>
      <w:r w:rsidR="7936463E">
        <w:t xml:space="preserve">. The current mining production variables already include emissions from progressive and continuous rehabilitation. This new production variable is principally intended to apply at the end of a mine’s life following cessation of production, or circumstances where rehabilitation activities go beyond business as usual such as rehabilitation of an entire pit, or rehabilitation ramping up as production drops towards mine closure.  </w:t>
      </w:r>
    </w:p>
    <w:p w14:paraId="438A47F7" w14:textId="1C3912A1" w:rsidR="7936463E" w:rsidRDefault="7936463E" w:rsidP="008A1F9B">
      <w:r>
        <w:t xml:space="preserve">The </w:t>
      </w:r>
      <w:r w:rsidR="2A426295">
        <w:t>mine rehabilitation</w:t>
      </w:r>
      <w:r>
        <w:t xml:space="preserve"> production variable</w:t>
      </w:r>
      <w:r w:rsidR="2A426295">
        <w:t xml:space="preserve"> </w:t>
      </w:r>
      <w:r>
        <w:t xml:space="preserve">uses an input metric for the production variable because rehabilitation activity differs greatly between facilities, resulting in different fuel burn rates for equipment, comparative scale of activity and mix of activities such as haulage, shaping and revegetation. There is also no </w:t>
      </w:r>
      <w:r w:rsidR="002B5CF0">
        <w:t>clear</w:t>
      </w:r>
      <w:r>
        <w:t xml:space="preserve"> production output</w:t>
      </w:r>
      <w:r w:rsidR="002B5CF0">
        <w:t xml:space="preserve"> of the mine rehabilitation activity</w:t>
      </w:r>
      <w:r>
        <w:t>. By using an energy input, with an emissions intensity based on diesel combustion, the comparative differences between rehabilitation activities at facilities are accounted for. This production variable is closely linked to other mining production variables for any facility to which it applies</w:t>
      </w:r>
      <w:r w:rsidR="00896BF3">
        <w:t xml:space="preserve"> because the same equipment used for mining is typically used in rehabilitation activities.</w:t>
      </w:r>
      <w:r>
        <w:t xml:space="preserve"> The </w:t>
      </w:r>
      <w:r w:rsidR="00CE37F5">
        <w:t>baseline decline rate</w:t>
      </w:r>
      <w:r>
        <w:t xml:space="preserve"> will create </w:t>
      </w:r>
      <w:r w:rsidR="00B16A32">
        <w:t>an</w:t>
      </w:r>
      <w:r>
        <w:t xml:space="preserve"> incentive to reduce emissions</w:t>
      </w:r>
      <w:r w:rsidR="00896BF3">
        <w:t xml:space="preserve"> at</w:t>
      </w:r>
      <w:r w:rsidR="00B16A32">
        <w:t xml:space="preserve"> a mine site</w:t>
      </w:r>
      <w:r>
        <w:t xml:space="preserve">, though </w:t>
      </w:r>
      <w:r w:rsidR="004415A0">
        <w:t>lower emissions</w:t>
      </w:r>
      <w:r>
        <w:t xml:space="preserve"> fuels and technology</w:t>
      </w:r>
      <w:r w:rsidR="002E5AF9">
        <w:t xml:space="preserve">. </w:t>
      </w:r>
      <w:r>
        <w:t xml:space="preserve">The </w:t>
      </w:r>
      <w:r w:rsidR="07EE2589">
        <w:t xml:space="preserve">best practice emissions intensity </w:t>
      </w:r>
      <w:r>
        <w:t xml:space="preserve">value </w:t>
      </w:r>
      <w:r w:rsidR="289BB2F0">
        <w:t xml:space="preserve">for mine rehabilitation </w:t>
      </w:r>
      <w:r>
        <w:t xml:space="preserve">is the same as the default emissions intensity, based on the characteristics of operating </w:t>
      </w:r>
      <w:r w:rsidR="003D6AE5">
        <w:t>mine</w:t>
      </w:r>
      <w:r>
        <w:t xml:space="preserve"> facilities, where diesel remains the primary energy input for vehicle-based operations.</w:t>
      </w:r>
    </w:p>
    <w:p w14:paraId="1A3FB6C7" w14:textId="6276E541" w:rsidR="00AA23DB" w:rsidRPr="00AA23DB" w:rsidRDefault="00AA23DB" w:rsidP="008A1F9B">
      <w:pPr>
        <w:pStyle w:val="Heading5"/>
      </w:pPr>
      <w:r>
        <w:t>Biofuels</w:t>
      </w:r>
    </w:p>
    <w:p w14:paraId="0D457202" w14:textId="027AEDAE" w:rsidR="00460D00" w:rsidRPr="009429D6" w:rsidRDefault="27ECA40B" w:rsidP="008A1F9B">
      <w:r>
        <w:t xml:space="preserve">‘Biofuel’, ‘biofuel production activity’ and ‘biofuel feedstocks’ are defined </w:t>
      </w:r>
      <w:r w:rsidR="2095E0DD">
        <w:t xml:space="preserve">in a new section 102 </w:t>
      </w:r>
      <w:r>
        <w:t>to provide for the new renewable aviation ker</w:t>
      </w:r>
      <w:r w:rsidR="44401890">
        <w:t>os</w:t>
      </w:r>
      <w:r>
        <w:t xml:space="preserve">ene and renewable diesel production variables. </w:t>
      </w:r>
      <w:r w:rsidR="0FEDD8A6">
        <w:t xml:space="preserve">They </w:t>
      </w:r>
      <w:r w:rsidR="466C6811">
        <w:t xml:space="preserve">are intended to capture feedstocks that are non-fossilised </w:t>
      </w:r>
      <w:r w:rsidR="6AD31BD7">
        <w:t>and</w:t>
      </w:r>
      <w:r w:rsidR="535C3A3B">
        <w:t xml:space="preserve"> biodegradable organic material </w:t>
      </w:r>
      <w:r w:rsidR="6605729C">
        <w:t>originating</w:t>
      </w:r>
      <w:r w:rsidR="535C3A3B">
        <w:t xml:space="preserve"> from plants and micro-organisms (i.e. not</w:t>
      </w:r>
      <w:r w:rsidR="6605729C">
        <w:t xml:space="preserve"> petroleum-based feedstocks). </w:t>
      </w:r>
    </w:p>
    <w:p w14:paraId="66FB348E" w14:textId="77CDB583" w:rsidR="00962EB8" w:rsidRPr="0033147F" w:rsidRDefault="06F3FA5F" w:rsidP="008A1F9B">
      <w:r>
        <w:lastRenderedPageBreak/>
        <w:t>R</w:t>
      </w:r>
      <w:r w:rsidR="27ECA40B">
        <w:t>enewable aviation kerosene</w:t>
      </w:r>
      <w:r w:rsidR="06274C67">
        <w:t xml:space="preserve"> is inserted as a new production variable</w:t>
      </w:r>
      <w:r w:rsidR="27ECA40B">
        <w:t xml:space="preserve"> into Schedule 1</w:t>
      </w:r>
      <w:r w:rsidR="7A7F3D9E">
        <w:t xml:space="preserve"> of the Safeguard Rule</w:t>
      </w:r>
      <w:r w:rsidR="27ECA40B">
        <w:t xml:space="preserve">. The metric is kilolitres and it is defined as per the </w:t>
      </w:r>
      <w:r w:rsidR="27ECA40B" w:rsidRPr="64E93049">
        <w:rPr>
          <w:i/>
          <w:iCs/>
        </w:rPr>
        <w:t>National Greenhouse and Energy Reporting Regulations 2008</w:t>
      </w:r>
      <w:r w:rsidR="27ECA40B">
        <w:t>.</w:t>
      </w:r>
      <w:r w:rsidR="206E6D29">
        <w:t xml:space="preserve"> </w:t>
      </w:r>
      <w:r w:rsidR="14AB69E0">
        <w:t>This production variable is intended to apply to fac</w:t>
      </w:r>
      <w:r w:rsidR="4A55D68C">
        <w:t>ilities that refine biofuel feedstocks</w:t>
      </w:r>
      <w:r w:rsidR="0558574F">
        <w:t xml:space="preserve"> only, </w:t>
      </w:r>
      <w:r w:rsidR="76A9B56E">
        <w:t>with no petroleum feedstock refined</w:t>
      </w:r>
      <w:r w:rsidR="2A753662">
        <w:t>, resulting in renewable aviation kerosene</w:t>
      </w:r>
      <w:r w:rsidR="56B82A00">
        <w:t xml:space="preserve"> product.</w:t>
      </w:r>
      <w:r w:rsidR="251FAF57">
        <w:t xml:space="preserve"> </w:t>
      </w:r>
      <w:r w:rsidR="423BF153">
        <w:t xml:space="preserve">This </w:t>
      </w:r>
      <w:r w:rsidR="2F03AEF4">
        <w:t>contrasts with</w:t>
      </w:r>
      <w:r w:rsidR="423BF153">
        <w:t xml:space="preserve"> the petroleum refining production variable, which captures both </w:t>
      </w:r>
      <w:r w:rsidR="3E6376AB">
        <w:t xml:space="preserve">petroleum-based feedstocks and </w:t>
      </w:r>
      <w:r w:rsidR="471AD60F">
        <w:t>some biofuel feedstocks.</w:t>
      </w:r>
    </w:p>
    <w:p w14:paraId="619ACABC" w14:textId="26F9E9CA" w:rsidR="0033147F" w:rsidRPr="0033147F" w:rsidRDefault="0D5A90C3" w:rsidP="008A1F9B">
      <w:r>
        <w:t xml:space="preserve">Renewable </w:t>
      </w:r>
      <w:r w:rsidR="1086BF68">
        <w:t>diesel</w:t>
      </w:r>
      <w:r w:rsidR="483F644D">
        <w:t xml:space="preserve"> is inserted as a new production variable</w:t>
      </w:r>
      <w:r w:rsidR="27ECA40B">
        <w:t xml:space="preserve"> into Schedule 1 of the Safeguard Rule. The metric is kilolitres and it is defined as per the </w:t>
      </w:r>
      <w:r w:rsidR="27ECA40B" w:rsidRPr="64E93049">
        <w:rPr>
          <w:i/>
          <w:iCs/>
        </w:rPr>
        <w:t>National Greenhouse and Energy Reporting Regulations 2008</w:t>
      </w:r>
      <w:r w:rsidR="27ECA40B">
        <w:t>.</w:t>
      </w:r>
      <w:r w:rsidR="31232963">
        <w:t xml:space="preserve"> This production variable is intended to apply to facilities that refine biofuel feedstocks only, with no petroleum feedstock refined, resulting in renewable diesel product.</w:t>
      </w:r>
      <w:r w:rsidR="471AD60F">
        <w:t xml:space="preserve"> This </w:t>
      </w:r>
      <w:r w:rsidR="2F03AEF4">
        <w:t>contrasts with</w:t>
      </w:r>
      <w:r w:rsidR="471AD60F">
        <w:t xml:space="preserve"> the petroleum refining production variable, which captures both petroleum-based feedstocks and some biofuel feedstocks.</w:t>
      </w:r>
    </w:p>
    <w:p w14:paraId="46C28177" w14:textId="78AB4406" w:rsidR="006B30E7" w:rsidRPr="00C27AB6" w:rsidRDefault="0099777A" w:rsidP="008A1F9B">
      <w:pPr>
        <w:pStyle w:val="Heading4"/>
        <w:rPr>
          <w:rStyle w:val="Strong"/>
          <w:b w:val="0"/>
        </w:rPr>
      </w:pPr>
      <w:r>
        <w:rPr>
          <w:rStyle w:val="Strong"/>
          <w:b w:val="0"/>
        </w:rPr>
        <w:t>Item</w:t>
      </w:r>
      <w:r w:rsidR="7DD72E5D" w:rsidRPr="00C27AB6">
        <w:rPr>
          <w:rStyle w:val="Strong"/>
          <w:b w:val="0"/>
        </w:rPr>
        <w:t xml:space="preserve"> </w:t>
      </w:r>
      <w:r w:rsidR="0038392A" w:rsidRPr="00C27AB6">
        <w:rPr>
          <w:rStyle w:val="Strong"/>
          <w:b w:val="0"/>
        </w:rPr>
        <w:t>6</w:t>
      </w:r>
      <w:r w:rsidR="0052416D">
        <w:rPr>
          <w:rStyle w:val="Strong"/>
          <w:b w:val="0"/>
        </w:rPr>
        <w:t>8</w:t>
      </w:r>
      <w:r w:rsidR="0038392A" w:rsidRPr="00C27AB6">
        <w:rPr>
          <w:rStyle w:val="Strong"/>
          <w:b w:val="0"/>
        </w:rPr>
        <w:t xml:space="preserve"> </w:t>
      </w:r>
      <w:r w:rsidR="1086BF68" w:rsidRPr="00C27AB6">
        <w:rPr>
          <w:rStyle w:val="Strong"/>
          <w:b w:val="0"/>
        </w:rPr>
        <w:t>– Trade exposed production variables</w:t>
      </w:r>
      <w:r w:rsidR="6536F348" w:rsidRPr="00C27AB6">
        <w:rPr>
          <w:rStyle w:val="Strong"/>
          <w:b w:val="0"/>
        </w:rPr>
        <w:t xml:space="preserve"> (manufacturing)</w:t>
      </w:r>
    </w:p>
    <w:p w14:paraId="3EA1E4D9" w14:textId="468187C8" w:rsidR="006B30E7" w:rsidRDefault="007E2BD8" w:rsidP="008A1F9B">
      <w:r>
        <w:t xml:space="preserve">Production variables are determined to be </w:t>
      </w:r>
      <w:r w:rsidR="00CA20D5">
        <w:t xml:space="preserve">trade-exposed if the </w:t>
      </w:r>
      <w:r w:rsidR="0069618C">
        <w:t>trade share</w:t>
      </w:r>
      <w:r w:rsidR="006F47BB">
        <w:t xml:space="preserve"> is</w:t>
      </w:r>
      <w:r w:rsidR="0069618C">
        <w:t xml:space="preserve"> above 10 per cent. </w:t>
      </w:r>
      <w:r w:rsidR="006F47BB">
        <w:t xml:space="preserve">Trade share is calculated as the value of imports and exports, divided by the value of domestic production. </w:t>
      </w:r>
      <w:r w:rsidR="006B30E7">
        <w:t>The following production variables are added to the list of trade-exposed production variables that are also manufacturing production variables in Schedule 2 of the Safeguard Rule:</w:t>
      </w:r>
    </w:p>
    <w:p w14:paraId="3DF461CC" w14:textId="240E9EA6" w:rsidR="006B30E7" w:rsidRDefault="006B30E7" w:rsidP="008A1F9B">
      <w:pPr>
        <w:pStyle w:val="ListParagraph"/>
        <w:numPr>
          <w:ilvl w:val="0"/>
          <w:numId w:val="29"/>
        </w:numPr>
      </w:pPr>
      <w:r>
        <w:t>Renewable aviation kerosene</w:t>
      </w:r>
    </w:p>
    <w:p w14:paraId="08307A6B" w14:textId="3CC37878" w:rsidR="006B30E7" w:rsidRDefault="006B30E7" w:rsidP="008A1F9B">
      <w:pPr>
        <w:pStyle w:val="ListParagraph"/>
        <w:numPr>
          <w:ilvl w:val="0"/>
          <w:numId w:val="29"/>
        </w:numPr>
      </w:pPr>
      <w:r>
        <w:t>Renewable diesel</w:t>
      </w:r>
    </w:p>
    <w:p w14:paraId="12EF674F" w14:textId="367F25ED" w:rsidR="006B30E7" w:rsidRDefault="006B30E7" w:rsidP="008A1F9B">
      <w:pPr>
        <w:pStyle w:val="ListParagraph"/>
        <w:numPr>
          <w:ilvl w:val="0"/>
          <w:numId w:val="29"/>
        </w:numPr>
      </w:pPr>
      <w:r>
        <w:t>Gaseous hydrogen</w:t>
      </w:r>
    </w:p>
    <w:p w14:paraId="6C28C532" w14:textId="7A1B0771" w:rsidR="006B30E7" w:rsidRDefault="006B30E7" w:rsidP="008A1F9B">
      <w:pPr>
        <w:pStyle w:val="ListParagraph"/>
        <w:numPr>
          <w:ilvl w:val="0"/>
          <w:numId w:val="29"/>
        </w:numPr>
      </w:pPr>
      <w:r>
        <w:t>Liquefied hydrogen</w:t>
      </w:r>
    </w:p>
    <w:p w14:paraId="701F209A" w14:textId="71338383" w:rsidR="006B30E7" w:rsidRDefault="006B30E7" w:rsidP="008A1F9B">
      <w:pPr>
        <w:pStyle w:val="ListParagraph"/>
        <w:numPr>
          <w:ilvl w:val="0"/>
          <w:numId w:val="29"/>
        </w:numPr>
      </w:pPr>
      <w:r>
        <w:t>Primary iron</w:t>
      </w:r>
    </w:p>
    <w:p w14:paraId="742014F9" w14:textId="0D2C0BC6" w:rsidR="006B30E7" w:rsidRDefault="1086BF68" w:rsidP="008A1F9B">
      <w:pPr>
        <w:pStyle w:val="ListParagraph"/>
        <w:numPr>
          <w:ilvl w:val="0"/>
          <w:numId w:val="29"/>
        </w:numPr>
      </w:pPr>
      <w:r>
        <w:t>Primary steel</w:t>
      </w:r>
    </w:p>
    <w:p w14:paraId="36AE2F21" w14:textId="276C5AD0" w:rsidR="1E84BBC5" w:rsidRPr="00C27AB6" w:rsidRDefault="0099777A" w:rsidP="008A1F9B">
      <w:pPr>
        <w:pStyle w:val="Heading4"/>
        <w:rPr>
          <w:rStyle w:val="Strong"/>
          <w:b w:val="0"/>
        </w:rPr>
      </w:pPr>
      <w:r>
        <w:rPr>
          <w:rStyle w:val="Strong"/>
          <w:b w:val="0"/>
        </w:rPr>
        <w:t>Item</w:t>
      </w:r>
      <w:r w:rsidR="1E84BBC5" w:rsidRPr="00C27AB6">
        <w:rPr>
          <w:rStyle w:val="Strong"/>
          <w:b w:val="0"/>
        </w:rPr>
        <w:t xml:space="preserve"> </w:t>
      </w:r>
      <w:r w:rsidR="006418BD" w:rsidRPr="00C27AB6">
        <w:rPr>
          <w:rStyle w:val="Strong"/>
          <w:b w:val="0"/>
          <w:bCs w:val="0"/>
        </w:rPr>
        <w:t>6</w:t>
      </w:r>
      <w:r w:rsidR="0052416D">
        <w:rPr>
          <w:rStyle w:val="Strong"/>
          <w:b w:val="0"/>
          <w:bCs w:val="0"/>
        </w:rPr>
        <w:t>9</w:t>
      </w:r>
      <w:r w:rsidR="006418BD" w:rsidRPr="00C27AB6">
        <w:rPr>
          <w:rStyle w:val="Strong"/>
          <w:b w:val="0"/>
        </w:rPr>
        <w:t xml:space="preserve"> </w:t>
      </w:r>
      <w:r w:rsidR="1E84BBC5" w:rsidRPr="00C27AB6">
        <w:rPr>
          <w:rStyle w:val="Strong"/>
          <w:b w:val="0"/>
        </w:rPr>
        <w:t>– Trade exposed production variables (non-manufacturing)</w:t>
      </w:r>
    </w:p>
    <w:p w14:paraId="16A95B15" w14:textId="02E4A114" w:rsidR="00A62253" w:rsidRPr="006B30E7" w:rsidRDefault="4D9AB605" w:rsidP="007B1A8C">
      <w:r>
        <w:t>The lithium ore production variable is added to the list of trade-exposed production variables that are not manufacturing production variables in Schedule 2 of the Safeguard Rule</w:t>
      </w:r>
      <w:r w:rsidR="3B9E0476">
        <w:t>.</w:t>
      </w:r>
    </w:p>
    <w:p w14:paraId="43C3FFA8" w14:textId="045F03D2" w:rsidR="64E93049" w:rsidRDefault="64E93049" w:rsidP="64E93049"/>
    <w:p w14:paraId="6E4B8203" w14:textId="77777777" w:rsidR="00CF4F8A" w:rsidRPr="007F1D3A" w:rsidRDefault="004C1BB2" w:rsidP="00CF4F8A">
      <w:pPr>
        <w:pStyle w:val="Calloutbox"/>
      </w:pPr>
      <w:r>
        <w:t>Feedback is sought on the draft provisions in Schedule 1.</w:t>
      </w:r>
    </w:p>
    <w:p w14:paraId="0D7C86A5" w14:textId="78B00BCB" w:rsidR="00CF4F8A" w:rsidRDefault="00CF4F8A" w:rsidP="007B1A8C">
      <w:r>
        <w:br w:type="page"/>
      </w:r>
    </w:p>
    <w:p w14:paraId="4E484B91" w14:textId="77777777" w:rsidR="00CF4F8A" w:rsidRPr="00CF4F8A" w:rsidRDefault="00CF4F8A" w:rsidP="00CF4F8A">
      <w:pPr>
        <w:jc w:val="right"/>
        <w:rPr>
          <w:b/>
          <w:bCs/>
        </w:rPr>
      </w:pPr>
      <w:r w:rsidRPr="00CF4F8A">
        <w:rPr>
          <w:b/>
          <w:bCs/>
        </w:rPr>
        <w:lastRenderedPageBreak/>
        <w:t>Attachment A</w:t>
      </w:r>
    </w:p>
    <w:p w14:paraId="14C1681B" w14:textId="438AFB0A" w:rsidR="00CF4F8A" w:rsidRPr="008A3550" w:rsidRDefault="00CF4F8A" w:rsidP="00CF4F8A">
      <w:pPr>
        <w:rPr>
          <w:b/>
          <w:bCs/>
        </w:rPr>
      </w:pPr>
      <w:r w:rsidRPr="008A3550">
        <w:rPr>
          <w:b/>
          <w:bCs/>
        </w:rPr>
        <w:t>Comparison to UNEP’s Metcoal Methane Partnership and Oil and Gas Methane Partnership 2.0</w:t>
      </w:r>
    </w:p>
    <w:p w14:paraId="30320A29" w14:textId="79D07321" w:rsidR="00CF4F8A" w:rsidRPr="004715EE" w:rsidRDefault="00C52846" w:rsidP="00CF4F8A">
      <w:pPr>
        <w:rPr>
          <w:rFonts w:eastAsia="Times New Roman"/>
        </w:rPr>
      </w:pPr>
      <w:r>
        <w:t>For coal, th</w:t>
      </w:r>
      <w:r w:rsidR="00991383">
        <w:t>e UNEP Metcoal Methane Partnership sets a 2030 performance target of between one and three tonnes of methane per kilotonne of marketed metallurgical coal</w:t>
      </w:r>
      <w:r w:rsidR="00991383" w:rsidRPr="004715EE">
        <w:rPr>
          <w:rFonts w:eastAsia="Times New Roman"/>
        </w:rPr>
        <w:t>, which is equivalent 0.028 to 0.084 t CO</w:t>
      </w:r>
      <w:r w:rsidR="00991383" w:rsidRPr="004715EE">
        <w:rPr>
          <w:rFonts w:eastAsia="Times New Roman"/>
          <w:vertAlign w:val="subscript"/>
        </w:rPr>
        <w:t>2</w:t>
      </w:r>
      <w:r w:rsidR="00991383" w:rsidRPr="004715EE">
        <w:rPr>
          <w:rFonts w:eastAsia="Times New Roman"/>
        </w:rPr>
        <w:t>-e</w:t>
      </w:r>
      <w:r w:rsidR="00545B4F">
        <w:rPr>
          <w:rFonts w:eastAsia="Times New Roman"/>
        </w:rPr>
        <w:t xml:space="preserve"> per</w:t>
      </w:r>
      <w:r w:rsidR="00991383" w:rsidRPr="004715EE">
        <w:rPr>
          <w:rFonts w:eastAsia="Times New Roman"/>
        </w:rPr>
        <w:t xml:space="preserve"> tonne saleable coal. Although the units are not equivalent to the run-of-mine coal production variable, the </w:t>
      </w:r>
      <w:r w:rsidR="00FA3EC7">
        <w:rPr>
          <w:rFonts w:eastAsia="Times New Roman"/>
        </w:rPr>
        <w:t>proposed</w:t>
      </w:r>
      <w:r w:rsidR="002B3F89">
        <w:rPr>
          <w:rFonts w:eastAsia="Times New Roman"/>
        </w:rPr>
        <w:t xml:space="preserve"> best practice emissions intensity value</w:t>
      </w:r>
      <w:r w:rsidR="00991383" w:rsidRPr="004715EE">
        <w:rPr>
          <w:rFonts w:eastAsia="Times New Roman"/>
        </w:rPr>
        <w:t xml:space="preserve"> of </w:t>
      </w:r>
      <w:r w:rsidR="005B115A" w:rsidRPr="004715EE">
        <w:rPr>
          <w:rFonts w:eastAsia="Times New Roman"/>
        </w:rPr>
        <w:t>0.</w:t>
      </w:r>
      <w:r w:rsidR="002B3F89" w:rsidRPr="29943846">
        <w:rPr>
          <w:rFonts w:eastAsia="Times New Roman"/>
        </w:rPr>
        <w:t>00</w:t>
      </w:r>
      <w:r w:rsidR="002B3F89">
        <w:rPr>
          <w:rFonts w:eastAsia="Times New Roman"/>
        </w:rPr>
        <w:t>592</w:t>
      </w:r>
      <w:r w:rsidR="002B3F89" w:rsidRPr="29943846">
        <w:rPr>
          <w:rFonts w:eastAsia="Times New Roman"/>
        </w:rPr>
        <w:t xml:space="preserve"> </w:t>
      </w:r>
      <w:r w:rsidR="00991383" w:rsidRPr="004715EE">
        <w:rPr>
          <w:rFonts w:eastAsia="Times New Roman"/>
        </w:rPr>
        <w:t xml:space="preserve">is </w:t>
      </w:r>
      <w:r w:rsidR="00E72E1E">
        <w:rPr>
          <w:rFonts w:eastAsia="Times New Roman"/>
        </w:rPr>
        <w:t xml:space="preserve">far </w:t>
      </w:r>
      <w:r w:rsidR="00991383" w:rsidRPr="004715EE">
        <w:rPr>
          <w:rFonts w:eastAsia="Times New Roman"/>
        </w:rPr>
        <w:t>more</w:t>
      </w:r>
      <w:r w:rsidR="00E72E1E">
        <w:rPr>
          <w:rFonts w:eastAsia="Times New Roman"/>
        </w:rPr>
        <w:t xml:space="preserve"> stringent. It is also</w:t>
      </w:r>
      <w:r w:rsidR="00991383" w:rsidRPr="004715EE">
        <w:rPr>
          <w:rFonts w:eastAsia="Times New Roman"/>
        </w:rPr>
        <w:t xml:space="preserve"> more stringent given it encompasses other greenhouse gases</w:t>
      </w:r>
      <w:r w:rsidR="002D3AA0">
        <w:rPr>
          <w:rFonts w:eastAsia="Times New Roman"/>
        </w:rPr>
        <w:t xml:space="preserve"> (carbon dioxide and nitrous oxide)</w:t>
      </w:r>
      <w:r w:rsidR="00991383" w:rsidRPr="004715EE">
        <w:rPr>
          <w:rFonts w:eastAsia="Times New Roman"/>
        </w:rPr>
        <w:t xml:space="preserve">, applies on a run-of-mine basis, and, in 2030, the cumulative emissions reduction contribution </w:t>
      </w:r>
      <w:r w:rsidR="008A3550">
        <w:rPr>
          <w:rFonts w:eastAsia="Times New Roman"/>
        </w:rPr>
        <w:t>under the ordinary operation of the Safeguard Rule</w:t>
      </w:r>
      <w:r w:rsidR="00CF4F8A" w:rsidRPr="004715EE">
        <w:rPr>
          <w:rFonts w:eastAsia="Times New Roman"/>
        </w:rPr>
        <w:t xml:space="preserve"> will be a decline of 34%. </w:t>
      </w:r>
    </w:p>
    <w:p w14:paraId="0ABC9679" w14:textId="44C170BF" w:rsidR="00CF4F8A" w:rsidRPr="00383C48" w:rsidRDefault="00CF4F8A" w:rsidP="00CF4F8A">
      <w:pPr>
        <w:rPr>
          <w:rFonts w:eastAsia="Times New Roman"/>
        </w:rPr>
      </w:pPr>
      <w:r w:rsidRPr="00383C48">
        <w:rPr>
          <w:rFonts w:eastAsia="Times New Roman"/>
        </w:rPr>
        <w:t>For the oil and gas sector, the Oil and Gas Methane Partnership 2.0 promotes two targets</w:t>
      </w:r>
      <w:r w:rsidR="005D37EA">
        <w:rPr>
          <w:rFonts w:eastAsia="Times New Roman"/>
        </w:rPr>
        <w:t>.</w:t>
      </w:r>
    </w:p>
    <w:p w14:paraId="2FFBEFC1" w14:textId="77777777" w:rsidR="000F23B0" w:rsidRPr="00645A5D" w:rsidRDefault="000F23B0" w:rsidP="00890EE8">
      <w:pPr>
        <w:rPr>
          <w:rFonts w:ascii="Calibri" w:hAnsi="Calibri"/>
        </w:rPr>
      </w:pPr>
      <w:r w:rsidRPr="00645A5D">
        <w:rPr>
          <w:rStyle w:val="normaltextrun"/>
          <w:rFonts w:ascii="Calibri" w:hAnsi="Calibri"/>
        </w:rPr>
        <w:t xml:space="preserve">The first target is an absolute reduction target of 45% on 2015 levels by 2025 and 60-75% reduction by 2030. Since the Safeguard production variables cover all emissions, not just methane, </w:t>
      </w:r>
      <w:r w:rsidR="00F37125" w:rsidRPr="00645A5D">
        <w:rPr>
          <w:rStyle w:val="normaltextrun"/>
          <w:rFonts w:ascii="Calibri" w:hAnsi="Calibri"/>
        </w:rPr>
        <w:t>a</w:t>
      </w:r>
      <w:r w:rsidR="00362FA7" w:rsidRPr="00645A5D">
        <w:rPr>
          <w:rStyle w:val="normaltextrun"/>
          <w:rFonts w:ascii="Calibri" w:hAnsi="Calibri"/>
        </w:rPr>
        <w:t xml:space="preserve"> practical approach is to compare</w:t>
      </w:r>
      <w:r w:rsidRPr="00645A5D">
        <w:rPr>
          <w:rStyle w:val="normaltextrun"/>
          <w:rFonts w:ascii="Calibri" w:hAnsi="Calibri"/>
        </w:rPr>
        <w:t xml:space="preserve"> the default emissions intensity values for </w:t>
      </w:r>
      <w:r w:rsidR="005F16B1" w:rsidRPr="00645A5D">
        <w:rPr>
          <w:rStyle w:val="normaltextrun"/>
          <w:rFonts w:ascii="Calibri" w:hAnsi="Calibri"/>
        </w:rPr>
        <w:t>relevant</w:t>
      </w:r>
      <w:r w:rsidRPr="00645A5D">
        <w:rPr>
          <w:rStyle w:val="normaltextrun"/>
          <w:rFonts w:ascii="Calibri" w:hAnsi="Calibri"/>
        </w:rPr>
        <w:t xml:space="preserve"> oil and gas production variables with the benchmarks </w:t>
      </w:r>
      <w:r w:rsidR="00362FA7" w:rsidRPr="00645A5D">
        <w:rPr>
          <w:rStyle w:val="normaltextrun"/>
          <w:rFonts w:ascii="Calibri" w:hAnsi="Calibri"/>
        </w:rPr>
        <w:t>that will apply in</w:t>
      </w:r>
      <w:r w:rsidRPr="00645A5D">
        <w:rPr>
          <w:rStyle w:val="normaltextrun"/>
          <w:rFonts w:ascii="Calibri" w:hAnsi="Calibri"/>
        </w:rPr>
        <w:t xml:space="preserve"> 2025 and 2030</w:t>
      </w:r>
      <w:r w:rsidR="00362FA7" w:rsidRPr="00645A5D">
        <w:rPr>
          <w:rStyle w:val="normaltextrun"/>
          <w:rFonts w:ascii="Calibri" w:hAnsi="Calibri"/>
        </w:rPr>
        <w:t xml:space="preserve"> respectively</w:t>
      </w:r>
      <w:r w:rsidRPr="00645A5D">
        <w:rPr>
          <w:rStyle w:val="normaltextrun"/>
          <w:rFonts w:ascii="Calibri" w:hAnsi="Calibri"/>
        </w:rPr>
        <w:t>. </w:t>
      </w:r>
      <w:r w:rsidRPr="00890EE8">
        <w:rPr>
          <w:rStyle w:val="eop"/>
          <w:rFonts w:ascii="Calibri" w:hAnsi="Calibri"/>
        </w:rPr>
        <w:t> </w:t>
      </w:r>
    </w:p>
    <w:p w14:paraId="6F298385" w14:textId="0A4E05E7" w:rsidR="000F23B0" w:rsidRDefault="000F23B0" w:rsidP="00890EE8">
      <w:pPr>
        <w:pStyle w:val="paragraph"/>
        <w:numPr>
          <w:ilvl w:val="0"/>
          <w:numId w:val="47"/>
        </w:numPr>
        <w:spacing w:before="0" w:beforeAutospacing="0" w:after="160" w:afterAutospacing="0" w:line="259" w:lineRule="auto"/>
        <w:ind w:left="714" w:hanging="357"/>
        <w:textAlignment w:val="baseline"/>
        <w:rPr>
          <w:rFonts w:ascii="Calibri" w:hAnsi="Calibri" w:cs="Calibri"/>
          <w:sz w:val="22"/>
          <w:szCs w:val="22"/>
        </w:rPr>
      </w:pPr>
      <w:r>
        <w:rPr>
          <w:rStyle w:val="normaltextrun"/>
          <w:rFonts w:ascii="Calibri" w:hAnsi="Calibri" w:cs="Calibri"/>
          <w:sz w:val="22"/>
          <w:szCs w:val="22"/>
        </w:rPr>
        <w:t xml:space="preserve">The default emissions intensity values were </w:t>
      </w:r>
      <w:r w:rsidR="00385C34">
        <w:rPr>
          <w:rStyle w:val="normaltextrun"/>
          <w:rFonts w:ascii="Calibri" w:hAnsi="Calibri" w:cs="Calibri"/>
          <w:sz w:val="22"/>
          <w:szCs w:val="22"/>
        </w:rPr>
        <w:t xml:space="preserve">generally </w:t>
      </w:r>
      <w:r>
        <w:rPr>
          <w:rStyle w:val="normaltextrun"/>
          <w:rFonts w:ascii="Calibri" w:hAnsi="Calibri" w:cs="Calibri"/>
          <w:sz w:val="22"/>
          <w:szCs w:val="22"/>
        </w:rPr>
        <w:t>determined from data from 2012-13 to 2016-17. If we assume the default values represent the emissions intensity at the midpoint of this time period – 2014-15 – we can compare the change from the default in 2025 and 2030. The benchmarks will apply from 2023-24 and be subject to the default decline rate</w:t>
      </w:r>
      <w:r w:rsidR="00182FDE">
        <w:rPr>
          <w:rStyle w:val="normaltextrun"/>
          <w:rFonts w:ascii="Calibri" w:hAnsi="Calibri" w:cs="Calibri"/>
          <w:sz w:val="22"/>
          <w:szCs w:val="22"/>
        </w:rPr>
        <w:t xml:space="preserve"> of 4.9% per year</w:t>
      </w:r>
      <w:r>
        <w:rPr>
          <w:rStyle w:val="normaltextrun"/>
          <w:rFonts w:ascii="Calibri" w:hAnsi="Calibri" w:cs="Calibri"/>
          <w:sz w:val="22"/>
          <w:szCs w:val="22"/>
        </w:rPr>
        <w:t>. This means that the benchmark value in 2023-24 is effectively reduced by 4.9%;</w:t>
      </w:r>
      <w:r w:rsidR="00FF65C4">
        <w:rPr>
          <w:rStyle w:val="normaltextrun"/>
          <w:rFonts w:ascii="Calibri" w:hAnsi="Calibri" w:cs="Calibri"/>
          <w:sz w:val="22"/>
          <w:szCs w:val="22"/>
        </w:rPr>
        <w:t xml:space="preserve"> </w:t>
      </w:r>
      <w:r>
        <w:rPr>
          <w:rStyle w:val="normaltextrun"/>
          <w:rFonts w:ascii="Calibri" w:hAnsi="Calibri" w:cs="Calibri"/>
          <w:sz w:val="22"/>
          <w:szCs w:val="22"/>
        </w:rPr>
        <w:t xml:space="preserve">in 2024-25 this increases to a 9.8% reduction on the published </w:t>
      </w:r>
      <w:r w:rsidR="00FF65C4">
        <w:rPr>
          <w:rStyle w:val="normaltextrun"/>
          <w:rFonts w:ascii="Calibri" w:hAnsi="Calibri" w:cs="Calibri"/>
          <w:sz w:val="22"/>
          <w:szCs w:val="22"/>
        </w:rPr>
        <w:t>benchmark</w:t>
      </w:r>
      <w:r>
        <w:rPr>
          <w:rStyle w:val="normaltextrun"/>
          <w:rFonts w:ascii="Calibri" w:hAnsi="Calibri" w:cs="Calibri"/>
          <w:sz w:val="22"/>
          <w:szCs w:val="22"/>
        </w:rPr>
        <w:t xml:space="preserve"> and in 2029-30 this </w:t>
      </w:r>
      <w:r w:rsidR="00FF65C4">
        <w:rPr>
          <w:rStyle w:val="normaltextrun"/>
          <w:rFonts w:ascii="Calibri" w:hAnsi="Calibri" w:cs="Calibri"/>
          <w:sz w:val="22"/>
          <w:szCs w:val="22"/>
        </w:rPr>
        <w:t>increases</w:t>
      </w:r>
      <w:r>
        <w:rPr>
          <w:rStyle w:val="normaltextrun"/>
          <w:rFonts w:ascii="Calibri" w:hAnsi="Calibri" w:cs="Calibri"/>
          <w:sz w:val="22"/>
          <w:szCs w:val="22"/>
        </w:rPr>
        <w:t xml:space="preserve"> to a 34% reduction</w:t>
      </w:r>
      <w:r w:rsidR="008A3550">
        <w:rPr>
          <w:rStyle w:val="normaltextrun"/>
          <w:rFonts w:ascii="Calibri" w:hAnsi="Calibri" w:cs="Calibri"/>
          <w:sz w:val="22"/>
          <w:szCs w:val="22"/>
        </w:rPr>
        <w:t xml:space="preserve"> </w:t>
      </w:r>
      <w:r w:rsidR="008A3550" w:rsidRPr="008A3550">
        <w:rPr>
          <w:rStyle w:val="normaltextrun"/>
          <w:rFonts w:ascii="Calibri" w:hAnsi="Calibri" w:cs="Calibri"/>
          <w:sz w:val="22"/>
          <w:szCs w:val="22"/>
        </w:rPr>
        <w:t>under the ordinary operation of the Safeguard Rule</w:t>
      </w:r>
      <w:r>
        <w:rPr>
          <w:rStyle w:val="normaltextrun"/>
          <w:rFonts w:ascii="Calibri" w:hAnsi="Calibri" w:cs="Calibri"/>
          <w:sz w:val="22"/>
          <w:szCs w:val="22"/>
        </w:rPr>
        <w:t>. </w:t>
      </w:r>
      <w:r>
        <w:rPr>
          <w:rStyle w:val="eop"/>
          <w:rFonts w:ascii="Calibri" w:eastAsiaTheme="majorEastAsia" w:hAnsi="Calibri" w:cs="Calibri"/>
          <w:sz w:val="22"/>
          <w:szCs w:val="22"/>
        </w:rPr>
        <w:t> </w:t>
      </w:r>
    </w:p>
    <w:p w14:paraId="26A77F4D" w14:textId="02CEA7E9" w:rsidR="000F23B0" w:rsidRDefault="00FF65C4" w:rsidP="00890EE8">
      <w:pPr>
        <w:pStyle w:val="paragraph"/>
        <w:numPr>
          <w:ilvl w:val="0"/>
          <w:numId w:val="45"/>
        </w:numPr>
        <w:spacing w:before="0" w:beforeAutospacing="0" w:after="160" w:afterAutospacing="0" w:line="259" w:lineRule="auto"/>
        <w:ind w:left="714" w:hanging="357"/>
        <w:textAlignment w:val="baseline"/>
        <w:rPr>
          <w:rFonts w:ascii="Calibri" w:hAnsi="Calibri" w:cs="Calibri"/>
          <w:sz w:val="22"/>
          <w:szCs w:val="22"/>
        </w:rPr>
      </w:pPr>
      <w:r>
        <w:rPr>
          <w:rStyle w:val="normaltextrun"/>
          <w:rFonts w:ascii="Calibri" w:hAnsi="Calibri" w:cs="Calibri"/>
          <w:sz w:val="22"/>
          <w:szCs w:val="22"/>
        </w:rPr>
        <w:t>Comparing the relevant</w:t>
      </w:r>
      <w:r w:rsidR="000F23B0">
        <w:rPr>
          <w:rStyle w:val="normaltextrun"/>
          <w:rFonts w:ascii="Calibri" w:hAnsi="Calibri" w:cs="Calibri"/>
          <w:sz w:val="22"/>
          <w:szCs w:val="22"/>
        </w:rPr>
        <w:t xml:space="preserve"> default value to the declined values of the relevant benchmarks in 2024-25</w:t>
      </w:r>
      <w:r w:rsidR="006F2A78">
        <w:rPr>
          <w:rStyle w:val="normaltextrun"/>
          <w:rFonts w:ascii="Calibri" w:hAnsi="Calibri" w:cs="Calibri"/>
          <w:sz w:val="22"/>
          <w:szCs w:val="22"/>
        </w:rPr>
        <w:t xml:space="preserve"> (</w:t>
      </w:r>
      <w:r w:rsidR="001021B7">
        <w:rPr>
          <w:rStyle w:val="normaltextrun"/>
          <w:rFonts w:ascii="Calibri" w:hAnsi="Calibri" w:cs="Calibri"/>
          <w:sz w:val="22"/>
          <w:szCs w:val="22"/>
        </w:rPr>
        <w:t>for example,</w:t>
      </w:r>
      <w:r w:rsidR="006F2A78">
        <w:rPr>
          <w:rStyle w:val="normaltextrun"/>
          <w:rFonts w:ascii="Calibri" w:hAnsi="Calibri" w:cs="Calibri"/>
          <w:sz w:val="22"/>
          <w:szCs w:val="22"/>
        </w:rPr>
        <w:t xml:space="preserve"> for extracted oil and gas the default value is </w:t>
      </w:r>
      <w:r w:rsidR="005E6484">
        <w:rPr>
          <w:rStyle w:val="normaltextrun"/>
          <w:rFonts w:ascii="Calibri" w:hAnsi="Calibri" w:cs="Calibri"/>
          <w:sz w:val="22"/>
          <w:szCs w:val="22"/>
        </w:rPr>
        <w:t xml:space="preserve">0.000376 and the proposed </w:t>
      </w:r>
      <w:r w:rsidR="00FE369F">
        <w:rPr>
          <w:rStyle w:val="normaltextrun"/>
          <w:rFonts w:ascii="Calibri" w:hAnsi="Calibri" w:cs="Calibri"/>
          <w:sz w:val="22"/>
          <w:szCs w:val="22"/>
        </w:rPr>
        <w:t xml:space="preserve">best practice emissions intensity value </w:t>
      </w:r>
      <w:r w:rsidR="005E6484">
        <w:rPr>
          <w:rStyle w:val="normaltextrun"/>
          <w:rFonts w:ascii="Calibri" w:hAnsi="Calibri" w:cs="Calibri"/>
          <w:sz w:val="22"/>
          <w:szCs w:val="22"/>
        </w:rPr>
        <w:t>is 0.00</w:t>
      </w:r>
      <w:r w:rsidR="00316877">
        <w:rPr>
          <w:rStyle w:val="normaltextrun"/>
          <w:rFonts w:ascii="Calibri" w:hAnsi="Calibri" w:cs="Calibri"/>
          <w:sz w:val="22"/>
          <w:szCs w:val="22"/>
        </w:rPr>
        <w:t>00</w:t>
      </w:r>
      <w:r w:rsidR="002A0935">
        <w:rPr>
          <w:rStyle w:val="normaltextrun"/>
          <w:rFonts w:ascii="Calibri" w:hAnsi="Calibri" w:cs="Calibri"/>
          <w:sz w:val="22"/>
          <w:szCs w:val="22"/>
        </w:rPr>
        <w:t>101</w:t>
      </w:r>
      <w:r w:rsidR="00316877">
        <w:rPr>
          <w:rStyle w:val="normaltextrun"/>
          <w:rFonts w:ascii="Calibri" w:hAnsi="Calibri" w:cs="Calibri"/>
          <w:sz w:val="22"/>
          <w:szCs w:val="22"/>
        </w:rPr>
        <w:t xml:space="preserve">, for </w:t>
      </w:r>
      <w:r w:rsidR="005D52CF">
        <w:rPr>
          <w:rStyle w:val="normaltextrun"/>
          <w:rFonts w:ascii="Calibri" w:hAnsi="Calibri" w:cs="Calibri"/>
          <w:sz w:val="22"/>
          <w:szCs w:val="22"/>
        </w:rPr>
        <w:t xml:space="preserve">processed </w:t>
      </w:r>
      <w:r w:rsidR="00303CED">
        <w:rPr>
          <w:rStyle w:val="normaltextrun"/>
          <w:rFonts w:ascii="Calibri" w:hAnsi="Calibri" w:cs="Calibri"/>
          <w:sz w:val="22"/>
          <w:szCs w:val="22"/>
        </w:rPr>
        <w:t xml:space="preserve">natural gas </w:t>
      </w:r>
      <w:r w:rsidR="006B1C57">
        <w:rPr>
          <w:rStyle w:val="normaltextrun"/>
          <w:rFonts w:ascii="Calibri" w:hAnsi="Calibri" w:cs="Calibri"/>
          <w:sz w:val="22"/>
          <w:szCs w:val="22"/>
        </w:rPr>
        <w:t xml:space="preserve">(integrated extraction and processing) the default value is </w:t>
      </w:r>
      <w:r w:rsidR="00396659">
        <w:rPr>
          <w:rStyle w:val="normaltextrun"/>
          <w:rFonts w:ascii="Calibri" w:hAnsi="Calibri" w:cs="Calibri"/>
          <w:sz w:val="22"/>
          <w:szCs w:val="22"/>
        </w:rPr>
        <w:t xml:space="preserve">0.00275 and the </w:t>
      </w:r>
      <w:r w:rsidR="00336A4D">
        <w:rPr>
          <w:rStyle w:val="normaltextrun"/>
          <w:rFonts w:ascii="Calibri" w:hAnsi="Calibri" w:cs="Calibri"/>
          <w:sz w:val="22"/>
          <w:szCs w:val="22"/>
        </w:rPr>
        <w:t xml:space="preserve">proposed </w:t>
      </w:r>
      <w:r w:rsidR="00DE3991">
        <w:rPr>
          <w:rStyle w:val="normaltextrun"/>
          <w:rFonts w:ascii="Calibri" w:hAnsi="Calibri" w:cs="Calibri"/>
          <w:sz w:val="22"/>
          <w:szCs w:val="22"/>
        </w:rPr>
        <w:t xml:space="preserve">best practice emissions intensity value </w:t>
      </w:r>
      <w:r w:rsidR="00396659">
        <w:rPr>
          <w:rStyle w:val="normaltextrun"/>
          <w:rFonts w:ascii="Calibri" w:hAnsi="Calibri" w:cs="Calibri"/>
          <w:sz w:val="22"/>
          <w:szCs w:val="22"/>
        </w:rPr>
        <w:t xml:space="preserve">is </w:t>
      </w:r>
      <w:r w:rsidR="00506478">
        <w:rPr>
          <w:rStyle w:val="normaltextrun"/>
          <w:rFonts w:ascii="Calibri" w:hAnsi="Calibri" w:cs="Calibri"/>
          <w:sz w:val="22"/>
          <w:szCs w:val="22"/>
        </w:rPr>
        <w:t>0.000</w:t>
      </w:r>
      <w:r w:rsidR="00396659">
        <w:rPr>
          <w:rStyle w:val="normaltextrun"/>
          <w:rFonts w:ascii="Calibri" w:hAnsi="Calibri" w:cs="Calibri"/>
          <w:sz w:val="22"/>
          <w:szCs w:val="22"/>
        </w:rPr>
        <w:t>319)</w:t>
      </w:r>
      <w:r w:rsidR="000F23B0">
        <w:rPr>
          <w:rStyle w:val="normaltextrun"/>
          <w:rFonts w:ascii="Calibri" w:hAnsi="Calibri" w:cs="Calibri"/>
          <w:sz w:val="22"/>
          <w:szCs w:val="22"/>
        </w:rPr>
        <w:t>, and the resulting reduction is between 90% and 98% of the default value. When repeating the comparison for the declined values of the relevant benchmarks in 2029-30, the resulting reduction is between 93% and 9</w:t>
      </w:r>
      <w:r w:rsidR="006E4CC5">
        <w:rPr>
          <w:rStyle w:val="normaltextrun"/>
          <w:rFonts w:ascii="Calibri" w:hAnsi="Calibri" w:cs="Calibri"/>
          <w:sz w:val="22"/>
          <w:szCs w:val="22"/>
        </w:rPr>
        <w:t>8</w:t>
      </w:r>
      <w:r w:rsidR="000F23B0">
        <w:rPr>
          <w:rStyle w:val="normaltextrun"/>
          <w:rFonts w:ascii="Calibri" w:hAnsi="Calibri" w:cs="Calibri"/>
          <w:sz w:val="22"/>
          <w:szCs w:val="22"/>
        </w:rPr>
        <w:t>%</w:t>
      </w:r>
      <w:r w:rsidR="00561455">
        <w:rPr>
          <w:rStyle w:val="normaltextrun"/>
          <w:rFonts w:ascii="Calibri" w:hAnsi="Calibri" w:cs="Calibri"/>
          <w:sz w:val="22"/>
          <w:szCs w:val="22"/>
        </w:rPr>
        <w:t xml:space="preserve"> </w:t>
      </w:r>
      <w:r w:rsidR="000F23B0">
        <w:rPr>
          <w:rStyle w:val="normaltextrun"/>
          <w:rFonts w:ascii="Calibri" w:hAnsi="Calibri" w:cs="Calibri"/>
          <w:sz w:val="22"/>
          <w:szCs w:val="22"/>
        </w:rPr>
        <w:t>of the default value. The analysis shows that the total scope 1 emissions intensity reduction (in CO</w:t>
      </w:r>
      <w:r w:rsidR="000F23B0">
        <w:rPr>
          <w:rStyle w:val="normaltextrun"/>
          <w:rFonts w:ascii="Calibri" w:hAnsi="Calibri" w:cs="Calibri"/>
          <w:sz w:val="17"/>
          <w:szCs w:val="17"/>
          <w:vertAlign w:val="subscript"/>
        </w:rPr>
        <w:t>2</w:t>
      </w:r>
      <w:r w:rsidR="000F23B0">
        <w:rPr>
          <w:rStyle w:val="normaltextrun"/>
          <w:rFonts w:ascii="Calibri" w:hAnsi="Calibri" w:cs="Calibri"/>
          <w:sz w:val="22"/>
          <w:szCs w:val="22"/>
        </w:rPr>
        <w:t xml:space="preserve">-e) required by the benchmarks is larger than the emissions intensity reduction required by the OGMP 2.0 of 45% in 2025 and 60-75% in 2030, noting </w:t>
      </w:r>
      <w:r w:rsidR="00C357A3">
        <w:rPr>
          <w:rStyle w:val="normaltextrun"/>
          <w:rFonts w:ascii="Calibri" w:hAnsi="Calibri" w:cs="Calibri"/>
          <w:sz w:val="22"/>
          <w:szCs w:val="22"/>
        </w:rPr>
        <w:t>these targets</w:t>
      </w:r>
      <w:r w:rsidR="000F23B0">
        <w:rPr>
          <w:rStyle w:val="normaltextrun"/>
          <w:rFonts w:ascii="Calibri" w:hAnsi="Calibri" w:cs="Calibri"/>
          <w:sz w:val="22"/>
          <w:szCs w:val="22"/>
        </w:rPr>
        <w:t xml:space="preserve"> only </w:t>
      </w:r>
      <w:r w:rsidR="00C357A3">
        <w:rPr>
          <w:rStyle w:val="normaltextrun"/>
          <w:rFonts w:ascii="Calibri" w:hAnsi="Calibri" w:cs="Calibri"/>
          <w:sz w:val="22"/>
          <w:szCs w:val="22"/>
        </w:rPr>
        <w:t>apply</w:t>
      </w:r>
      <w:r w:rsidR="000F23B0">
        <w:rPr>
          <w:rStyle w:val="normaltextrun"/>
          <w:rFonts w:ascii="Calibri" w:hAnsi="Calibri" w:cs="Calibri"/>
          <w:sz w:val="22"/>
          <w:szCs w:val="22"/>
        </w:rPr>
        <w:t xml:space="preserve"> to methane emissions. </w:t>
      </w:r>
      <w:r w:rsidR="000F23B0">
        <w:rPr>
          <w:rStyle w:val="eop"/>
          <w:rFonts w:ascii="Calibri" w:eastAsiaTheme="majorEastAsia" w:hAnsi="Calibri" w:cs="Calibri"/>
          <w:sz w:val="22"/>
          <w:szCs w:val="22"/>
        </w:rPr>
        <w:t> </w:t>
      </w:r>
    </w:p>
    <w:p w14:paraId="6E6E652F" w14:textId="6F898F53" w:rsidR="00CF4F8A" w:rsidRDefault="00E543D7" w:rsidP="00E15396">
      <w:r>
        <w:t>The second target, is a</w:t>
      </w:r>
      <w:r w:rsidR="00991383" w:rsidRPr="00E543D7">
        <w:t>n</w:t>
      </w:r>
      <w:r w:rsidR="00991383" w:rsidRPr="00383C48">
        <w:t xml:space="preserve"> industry-led initiative to reduce upstream methane emissions to below 0.2% of marketed gas by 2025 and near zero by 2030</w:t>
      </w:r>
      <w:r w:rsidR="003B39FD" w:rsidRPr="00383C48">
        <w:t xml:space="preserve">, compared to </w:t>
      </w:r>
      <w:r w:rsidR="00C35296">
        <w:t>the</w:t>
      </w:r>
      <w:r w:rsidR="003B39FD" w:rsidRPr="00383C48">
        <w:t xml:space="preserve"> </w:t>
      </w:r>
      <w:r w:rsidR="00C31150" w:rsidRPr="00383C48">
        <w:t xml:space="preserve">international average of methane emissions </w:t>
      </w:r>
      <w:r w:rsidR="00C35296">
        <w:t>of</w:t>
      </w:r>
      <w:r w:rsidR="00C31150" w:rsidRPr="00383C48">
        <w:t xml:space="preserve"> 0.3</w:t>
      </w:r>
      <w:r w:rsidR="00EE3244" w:rsidRPr="00383C48">
        <w:t xml:space="preserve">% of marketable </w:t>
      </w:r>
      <w:r w:rsidR="008A3550">
        <w:t xml:space="preserve">gas </w:t>
      </w:r>
      <w:r w:rsidR="00CF4F8A">
        <w:t xml:space="preserve">in 2017. </w:t>
      </w:r>
    </w:p>
    <w:p w14:paraId="0D095148" w14:textId="679244E3" w:rsidR="00991383" w:rsidRPr="005B7BD6" w:rsidRDefault="00CF4F8A" w:rsidP="00854735">
      <w:pPr>
        <w:pStyle w:val="paragraph"/>
        <w:numPr>
          <w:ilvl w:val="0"/>
          <w:numId w:val="45"/>
        </w:numPr>
        <w:spacing w:before="0" w:beforeAutospacing="0" w:after="160" w:afterAutospacing="0" w:line="259" w:lineRule="auto"/>
        <w:ind w:left="714" w:hanging="357"/>
        <w:textAlignment w:val="baseline"/>
      </w:pPr>
      <w:r w:rsidRPr="00C25D70">
        <w:rPr>
          <w:rFonts w:asciiTheme="minorHAnsi" w:eastAsiaTheme="minorHAnsi" w:hAnsiTheme="minorHAnsi" w:cstheme="minorBidi"/>
          <w:sz w:val="22"/>
          <w:szCs w:val="22"/>
          <w:lang w:eastAsia="en-US"/>
        </w:rPr>
        <w:t xml:space="preserve">For the analysis of how the </w:t>
      </w:r>
      <w:r w:rsidR="00422FA7">
        <w:rPr>
          <w:rStyle w:val="normaltextrun"/>
          <w:rFonts w:asciiTheme="minorHAnsi" w:hAnsiTheme="minorHAnsi" w:cstheme="minorHAnsi"/>
          <w:sz w:val="22"/>
          <w:szCs w:val="22"/>
        </w:rPr>
        <w:t xml:space="preserve">best practice </w:t>
      </w:r>
      <w:r w:rsidRPr="00C25D70">
        <w:rPr>
          <w:rFonts w:asciiTheme="minorHAnsi" w:eastAsiaTheme="minorHAnsi" w:hAnsiTheme="minorHAnsi" w:cstheme="minorBidi"/>
          <w:sz w:val="22"/>
          <w:szCs w:val="22"/>
          <w:lang w:eastAsia="en-US"/>
        </w:rPr>
        <w:t>benchmarks compare to this target, the standard is interpreted to represent a 33% reduction in methane emissions from 2017 to 2025</w:t>
      </w:r>
      <w:r w:rsidR="009923A0" w:rsidRPr="00C25D70">
        <w:rPr>
          <w:rFonts w:asciiTheme="minorHAnsi" w:eastAsiaTheme="minorHAnsi" w:hAnsiTheme="minorHAnsi" w:cstheme="minorBidi"/>
          <w:sz w:val="22"/>
          <w:szCs w:val="22"/>
          <w:lang w:eastAsia="en-US"/>
        </w:rPr>
        <w:t xml:space="preserve"> (</w:t>
      </w:r>
      <w:r w:rsidR="009923A0" w:rsidRPr="00854735">
        <w:rPr>
          <w:rStyle w:val="normaltextrun"/>
          <w:rFonts w:asciiTheme="minorHAnsi" w:hAnsiTheme="minorHAnsi" w:cstheme="minorHAnsi"/>
          <w:sz w:val="22"/>
          <w:szCs w:val="22"/>
        </w:rPr>
        <w:t>i</w:t>
      </w:r>
      <w:r w:rsidR="00FA5A93" w:rsidRPr="00854735">
        <w:rPr>
          <w:rStyle w:val="normaltextrun"/>
          <w:rFonts w:asciiTheme="minorHAnsi" w:hAnsiTheme="minorHAnsi" w:cstheme="minorHAnsi"/>
          <w:sz w:val="22"/>
          <w:szCs w:val="22"/>
        </w:rPr>
        <w:t>.</w:t>
      </w:r>
      <w:r w:rsidR="009923A0" w:rsidRPr="00854735">
        <w:rPr>
          <w:rFonts w:asciiTheme="minorHAnsi" w:eastAsiaTheme="minorHAnsi" w:hAnsiTheme="minorHAnsi" w:cstheme="minorHAnsi"/>
          <w:sz w:val="22"/>
          <w:szCs w:val="22"/>
          <w:lang w:eastAsia="en-US"/>
        </w:rPr>
        <w:t>e</w:t>
      </w:r>
      <w:r w:rsidR="00FA5A93" w:rsidRPr="00854735">
        <w:rPr>
          <w:rStyle w:val="normaltextrun"/>
          <w:rFonts w:asciiTheme="minorHAnsi" w:hAnsiTheme="minorHAnsi" w:cstheme="minorHAnsi"/>
          <w:sz w:val="22"/>
          <w:szCs w:val="22"/>
        </w:rPr>
        <w:t>.</w:t>
      </w:r>
      <w:r w:rsidR="009923A0" w:rsidRPr="00854735">
        <w:rPr>
          <w:rFonts w:asciiTheme="minorHAnsi" w:eastAsiaTheme="minorHAnsi" w:hAnsiTheme="minorHAnsi" w:cstheme="minorHAnsi"/>
          <w:sz w:val="22"/>
          <w:szCs w:val="22"/>
        </w:rPr>
        <w:t xml:space="preserve"> the difference between 0.3% in 2017 and 0.2% in 2025)</w:t>
      </w:r>
      <w:r w:rsidRPr="00854735">
        <w:rPr>
          <w:rFonts w:asciiTheme="minorHAnsi" w:hAnsiTheme="minorHAnsi" w:cstheme="minorHAnsi"/>
          <w:sz w:val="22"/>
          <w:szCs w:val="22"/>
        </w:rPr>
        <w:t>.</w:t>
      </w:r>
      <w:r w:rsidR="008B48B6" w:rsidRPr="00854735">
        <w:rPr>
          <w:rFonts w:asciiTheme="minorHAnsi" w:hAnsiTheme="minorHAnsi" w:cstheme="minorHAnsi"/>
          <w:sz w:val="22"/>
          <w:szCs w:val="22"/>
        </w:rPr>
        <w:t xml:space="preserve"> </w:t>
      </w:r>
      <w:r w:rsidR="003E3509" w:rsidRPr="00854735">
        <w:rPr>
          <w:rFonts w:asciiTheme="minorHAnsi" w:hAnsiTheme="minorHAnsi" w:cstheme="minorHAnsi"/>
          <w:sz w:val="22"/>
          <w:szCs w:val="22"/>
        </w:rPr>
        <w:t>T</w:t>
      </w:r>
      <w:r w:rsidR="008B48B6" w:rsidRPr="00854735">
        <w:rPr>
          <w:rFonts w:asciiTheme="minorHAnsi" w:hAnsiTheme="minorHAnsi" w:cstheme="minorHAnsi"/>
          <w:sz w:val="22"/>
          <w:szCs w:val="22"/>
        </w:rPr>
        <w:t xml:space="preserve">he </w:t>
      </w:r>
      <w:r w:rsidR="00932060" w:rsidRPr="00854735">
        <w:rPr>
          <w:rFonts w:asciiTheme="minorHAnsi" w:hAnsiTheme="minorHAnsi" w:cstheme="minorHAnsi"/>
          <w:sz w:val="22"/>
          <w:szCs w:val="22"/>
        </w:rPr>
        <w:t xml:space="preserve">analysis for the </w:t>
      </w:r>
      <w:r w:rsidR="00F270F2" w:rsidRPr="00854735">
        <w:rPr>
          <w:rFonts w:asciiTheme="minorHAnsi" w:hAnsiTheme="minorHAnsi" w:cstheme="minorHAnsi"/>
          <w:sz w:val="22"/>
          <w:szCs w:val="22"/>
        </w:rPr>
        <w:t>first</w:t>
      </w:r>
      <w:r w:rsidR="00932060" w:rsidRPr="00854735">
        <w:rPr>
          <w:rFonts w:asciiTheme="minorHAnsi" w:hAnsiTheme="minorHAnsi" w:cstheme="minorHAnsi"/>
          <w:sz w:val="22"/>
          <w:szCs w:val="22"/>
        </w:rPr>
        <w:t xml:space="preserve"> target is relevant and shows the overall reductions </w:t>
      </w:r>
      <w:r w:rsidR="00BB2262" w:rsidRPr="00854735">
        <w:rPr>
          <w:rFonts w:asciiTheme="minorHAnsi" w:hAnsiTheme="minorHAnsi" w:cstheme="minorHAnsi"/>
          <w:sz w:val="22"/>
          <w:szCs w:val="22"/>
        </w:rPr>
        <w:t>of 90</w:t>
      </w:r>
      <w:r w:rsidR="00BB2262" w:rsidRPr="00854735">
        <w:rPr>
          <w:rFonts w:asciiTheme="minorHAnsi" w:hAnsiTheme="minorHAnsi"/>
          <w:sz w:val="22"/>
        </w:rPr>
        <w:t>%</w:t>
      </w:r>
      <w:r w:rsidR="00932060" w:rsidRPr="00854735">
        <w:rPr>
          <w:rFonts w:asciiTheme="minorHAnsi" w:hAnsiTheme="minorHAnsi"/>
          <w:sz w:val="22"/>
        </w:rPr>
        <w:t xml:space="preserve"> </w:t>
      </w:r>
      <w:r w:rsidR="00BB2262" w:rsidRPr="00854735">
        <w:rPr>
          <w:rFonts w:asciiTheme="minorHAnsi" w:hAnsiTheme="minorHAnsi"/>
          <w:sz w:val="22"/>
        </w:rPr>
        <w:t xml:space="preserve">of covered emissions </w:t>
      </w:r>
      <w:r w:rsidR="00932060" w:rsidRPr="00854735">
        <w:rPr>
          <w:rFonts w:asciiTheme="minorHAnsi" w:hAnsiTheme="minorHAnsi"/>
          <w:sz w:val="22"/>
        </w:rPr>
        <w:t>under the S</w:t>
      </w:r>
      <w:r w:rsidR="00F5432F" w:rsidRPr="00854735">
        <w:rPr>
          <w:rFonts w:asciiTheme="minorHAnsi" w:hAnsiTheme="minorHAnsi"/>
          <w:sz w:val="22"/>
        </w:rPr>
        <w:t>afeguard benchmarks</w:t>
      </w:r>
      <w:r w:rsidR="00BB2262" w:rsidRPr="00854735">
        <w:rPr>
          <w:rFonts w:asciiTheme="minorHAnsi" w:hAnsiTheme="minorHAnsi"/>
          <w:sz w:val="22"/>
        </w:rPr>
        <w:t xml:space="preserve"> </w:t>
      </w:r>
      <w:r w:rsidR="00540459" w:rsidRPr="00854735">
        <w:rPr>
          <w:rFonts w:asciiTheme="minorHAnsi" w:hAnsiTheme="minorHAnsi"/>
          <w:sz w:val="22"/>
        </w:rPr>
        <w:t>compared to the default values</w:t>
      </w:r>
      <w:r w:rsidR="001608F5" w:rsidRPr="00854735">
        <w:rPr>
          <w:rFonts w:asciiTheme="minorHAnsi" w:hAnsiTheme="minorHAnsi"/>
          <w:sz w:val="22"/>
        </w:rPr>
        <w:t xml:space="preserve"> is</w:t>
      </w:r>
      <w:r w:rsidR="00BB2262" w:rsidRPr="00854735">
        <w:rPr>
          <w:rFonts w:asciiTheme="minorHAnsi" w:hAnsiTheme="minorHAnsi"/>
          <w:sz w:val="22"/>
        </w:rPr>
        <w:t xml:space="preserve"> more stringent than </w:t>
      </w:r>
      <w:r w:rsidR="001608F5" w:rsidRPr="00854735">
        <w:rPr>
          <w:rFonts w:asciiTheme="minorHAnsi" w:hAnsiTheme="minorHAnsi"/>
          <w:sz w:val="22"/>
        </w:rPr>
        <w:t xml:space="preserve">the </w:t>
      </w:r>
      <w:r w:rsidR="00BB2262" w:rsidRPr="00854735">
        <w:rPr>
          <w:rFonts w:asciiTheme="minorHAnsi" w:hAnsiTheme="minorHAnsi"/>
          <w:sz w:val="22"/>
        </w:rPr>
        <w:t xml:space="preserve">33% </w:t>
      </w:r>
      <w:r w:rsidR="000A6B55" w:rsidRPr="00854735">
        <w:rPr>
          <w:rFonts w:asciiTheme="minorHAnsi" w:hAnsiTheme="minorHAnsi"/>
          <w:sz w:val="22"/>
        </w:rPr>
        <w:t xml:space="preserve">reduction in methane emissions </w:t>
      </w:r>
      <w:r w:rsidR="00BB2262" w:rsidRPr="00854735">
        <w:rPr>
          <w:rFonts w:asciiTheme="minorHAnsi" w:hAnsiTheme="minorHAnsi"/>
          <w:sz w:val="22"/>
        </w:rPr>
        <w:t xml:space="preserve">required by the </w:t>
      </w:r>
      <w:r w:rsidR="00D02EFA" w:rsidRPr="00854735">
        <w:rPr>
          <w:rFonts w:asciiTheme="minorHAnsi" w:hAnsiTheme="minorHAnsi"/>
          <w:sz w:val="22"/>
        </w:rPr>
        <w:t>industry-led initiative</w:t>
      </w:r>
      <w:r w:rsidR="00BB2262" w:rsidRPr="00854735">
        <w:rPr>
          <w:rFonts w:asciiTheme="minorHAnsi" w:hAnsiTheme="minorHAnsi"/>
          <w:sz w:val="22"/>
        </w:rPr>
        <w:t>.</w:t>
      </w:r>
    </w:p>
    <w:p w14:paraId="796F4961" w14:textId="70E2F230" w:rsidR="00340A5C" w:rsidRPr="007F1D3A" w:rsidRDefault="00340A5C" w:rsidP="00FA5A93"/>
    <w:sectPr w:rsidR="00340A5C" w:rsidRPr="007F1D3A" w:rsidSect="007F5CEC">
      <w:footerReference w:type="default" r:id="rId12"/>
      <w:headerReference w:type="first" r:id="rId13"/>
      <w:footerReference w:type="first" r:id="rId14"/>
      <w:pgSz w:w="11906" w:h="16838"/>
      <w:pgMar w:top="1276" w:right="1440" w:bottom="1440" w:left="1440" w:header="851"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C21FD" w14:textId="77777777" w:rsidR="006B57B8" w:rsidRDefault="006B57B8" w:rsidP="00B251DB">
      <w:pPr>
        <w:spacing w:after="0" w:line="240" w:lineRule="auto"/>
      </w:pPr>
      <w:r>
        <w:separator/>
      </w:r>
    </w:p>
  </w:endnote>
  <w:endnote w:type="continuationSeparator" w:id="0">
    <w:p w14:paraId="7FC6A11A" w14:textId="77777777" w:rsidR="006B57B8" w:rsidRDefault="006B57B8" w:rsidP="00B251DB">
      <w:pPr>
        <w:spacing w:after="0" w:line="240" w:lineRule="auto"/>
      </w:pPr>
      <w:r>
        <w:continuationSeparator/>
      </w:r>
    </w:p>
  </w:endnote>
  <w:endnote w:type="continuationNotice" w:id="1">
    <w:p w14:paraId="085A9497" w14:textId="77777777" w:rsidR="006B57B8" w:rsidRDefault="006B57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F6EE" w14:textId="59C316DE" w:rsidR="002E05A7" w:rsidRDefault="002E05A7" w:rsidP="00BD0F8A">
    <w:pPr>
      <w:pStyle w:val="Footer"/>
      <w:jc w:val="right"/>
      <w:rPr>
        <w:noProof/>
      </w:rPr>
    </w:pPr>
    <w:r>
      <w:t>Explanatory Document</w:t>
    </w:r>
    <w:r>
      <w:tab/>
      <w:t>DCCEEW.gov.au</w:t>
    </w:r>
    <w:r>
      <w:tab/>
    </w:r>
    <w:sdt>
      <w:sdtPr>
        <w:id w:val="-16452704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60A2E">
          <w:rPr>
            <w:noProof/>
          </w:rPr>
          <w:t>8</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829A" w14:textId="418A9F3C" w:rsidR="002E05A7" w:rsidRDefault="002E05A7" w:rsidP="00BA441E">
    <w:pPr>
      <w:pStyle w:val="Footer"/>
      <w:jc w:val="right"/>
      <w:rPr>
        <w:noProof/>
      </w:rPr>
    </w:pPr>
    <w:r>
      <w:t>Explanatory Document</w:t>
    </w:r>
    <w:r>
      <w:tab/>
      <w:t>DCCEEW.gov.au</w:t>
    </w:r>
    <w:r>
      <w:tab/>
    </w:r>
    <w:sdt>
      <w:sdtPr>
        <w:id w:val="3700433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60A2E">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79050" w14:textId="77777777" w:rsidR="006B57B8" w:rsidRDefault="006B57B8" w:rsidP="00B251DB">
      <w:pPr>
        <w:spacing w:after="0" w:line="240" w:lineRule="auto"/>
      </w:pPr>
      <w:r>
        <w:separator/>
      </w:r>
    </w:p>
  </w:footnote>
  <w:footnote w:type="continuationSeparator" w:id="0">
    <w:p w14:paraId="44D6B924" w14:textId="77777777" w:rsidR="006B57B8" w:rsidRDefault="006B57B8" w:rsidP="00B251DB">
      <w:pPr>
        <w:spacing w:after="0" w:line="240" w:lineRule="auto"/>
      </w:pPr>
      <w:r>
        <w:continuationSeparator/>
      </w:r>
    </w:p>
  </w:footnote>
  <w:footnote w:type="continuationNotice" w:id="1">
    <w:p w14:paraId="3FE8F347" w14:textId="77777777" w:rsidR="006B57B8" w:rsidRDefault="006B57B8">
      <w:pPr>
        <w:spacing w:after="0" w:line="240" w:lineRule="auto"/>
      </w:pPr>
    </w:p>
  </w:footnote>
  <w:footnote w:id="2">
    <w:p w14:paraId="57070839" w14:textId="66499D5C" w:rsidR="64E93049" w:rsidRDefault="64E93049" w:rsidP="64E93049">
      <w:pPr>
        <w:pStyle w:val="FootnoteText"/>
      </w:pPr>
      <w:r w:rsidRPr="64E93049">
        <w:rPr>
          <w:rStyle w:val="FootnoteReference"/>
        </w:rPr>
        <w:footnoteRef/>
      </w:r>
      <w:r>
        <w:t xml:space="preserve"> </w:t>
      </w:r>
      <w:r w:rsidRPr="64E93049">
        <w:rPr>
          <w:i/>
          <w:iCs/>
        </w:rPr>
        <w:t>Framework for developing default production variables and emissions-intensity values</w:t>
      </w:r>
      <w:r w:rsidR="0076178A">
        <w:t>:</w:t>
      </w:r>
      <w:r w:rsidR="004646C7" w:rsidRPr="004646C7">
        <w:t xml:space="preserve"> </w:t>
      </w:r>
      <w:hyperlink r:id="rId1" w:history="1">
        <w:r w:rsidR="004646C7">
          <w:rPr>
            <w:rStyle w:val="Hyperlink"/>
          </w:rPr>
          <w:t>Safeguard Mechanism - DCCEEW</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A466" w14:textId="77777777" w:rsidR="002E05A7" w:rsidRDefault="002E05A7">
    <w:pPr>
      <w:pStyle w:val="Header"/>
    </w:pPr>
    <w:r w:rsidRPr="00180BF8">
      <w:rPr>
        <w:noProof/>
        <w:lang w:eastAsia="en-AU"/>
      </w:rPr>
      <w:drawing>
        <wp:inline distT="0" distB="0" distL="0" distR="0" wp14:anchorId="79139F8C" wp14:editId="00DCC40F">
          <wp:extent cx="3019480" cy="627399"/>
          <wp:effectExtent l="0" t="0" r="0" b="1270"/>
          <wp:docPr id="3" name="Picture 3"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p w14:paraId="7E0FA701" w14:textId="77777777" w:rsidR="002E05A7" w:rsidRDefault="002E05A7"/>
  <w:p w14:paraId="3986DC48" w14:textId="77777777" w:rsidR="002E05A7" w:rsidRDefault="002E05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9F0"/>
    <w:multiLevelType w:val="hybridMultilevel"/>
    <w:tmpl w:val="50AC4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0B84AAD"/>
    <w:multiLevelType w:val="hybridMultilevel"/>
    <w:tmpl w:val="43C43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810EBD"/>
    <w:multiLevelType w:val="hybridMultilevel"/>
    <w:tmpl w:val="79B45A70"/>
    <w:lvl w:ilvl="0" w:tplc="63BEE46A">
      <w:start w:val="1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2490B"/>
    <w:multiLevelType w:val="hybridMultilevel"/>
    <w:tmpl w:val="C32A9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2A4609"/>
    <w:multiLevelType w:val="hybridMultilevel"/>
    <w:tmpl w:val="847ADF42"/>
    <w:lvl w:ilvl="0" w:tplc="56E4C748">
      <w:start w:val="1"/>
      <w:numFmt w:val="decimal"/>
      <w:lvlText w:val="%1."/>
      <w:lvlJc w:val="left"/>
      <w:pPr>
        <w:ind w:left="360" w:hanging="360"/>
      </w:pPr>
      <w:rPr>
        <w:rFonts w:ascii="Times New Roman" w:hAnsi="Times New Roman" w:cs="Times New Roman" w:hint="default"/>
        <w:b w:val="0"/>
        <w:i w:val="0"/>
        <w:sz w:val="24"/>
        <w:szCs w:val="24"/>
        <w:u w:val="no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971B87"/>
    <w:multiLevelType w:val="hybridMultilevel"/>
    <w:tmpl w:val="68A64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2F2078"/>
    <w:multiLevelType w:val="hybridMultilevel"/>
    <w:tmpl w:val="C6543ED4"/>
    <w:lvl w:ilvl="0" w:tplc="0C09000F">
      <w:start w:val="1"/>
      <w:numFmt w:val="decimal"/>
      <w:lvlText w:val="%1."/>
      <w:lvlJc w:val="left"/>
      <w:pPr>
        <w:ind w:left="502" w:hanging="360"/>
      </w:pPr>
    </w:lvl>
    <w:lvl w:ilvl="1" w:tplc="0C090019">
      <w:start w:val="1"/>
      <w:numFmt w:val="lowerLetter"/>
      <w:lvlText w:val="%2."/>
      <w:lvlJc w:val="left"/>
      <w:pPr>
        <w:ind w:left="1222" w:hanging="360"/>
      </w:pPr>
    </w:lvl>
    <w:lvl w:ilvl="2" w:tplc="0C09001B">
      <w:start w:val="1"/>
      <w:numFmt w:val="lowerRoman"/>
      <w:lvlText w:val="%3."/>
      <w:lvlJc w:val="right"/>
      <w:pPr>
        <w:ind w:left="1942" w:hanging="180"/>
      </w:pPr>
    </w:lvl>
    <w:lvl w:ilvl="3" w:tplc="0C09000F">
      <w:start w:val="1"/>
      <w:numFmt w:val="decimal"/>
      <w:lvlText w:val="%4."/>
      <w:lvlJc w:val="left"/>
      <w:pPr>
        <w:ind w:left="2662" w:hanging="360"/>
      </w:pPr>
    </w:lvl>
    <w:lvl w:ilvl="4" w:tplc="0C090019">
      <w:start w:val="1"/>
      <w:numFmt w:val="lowerLetter"/>
      <w:lvlText w:val="%5."/>
      <w:lvlJc w:val="left"/>
      <w:pPr>
        <w:ind w:left="3382" w:hanging="360"/>
      </w:pPr>
    </w:lvl>
    <w:lvl w:ilvl="5" w:tplc="0C09001B">
      <w:start w:val="1"/>
      <w:numFmt w:val="lowerRoman"/>
      <w:lvlText w:val="%6."/>
      <w:lvlJc w:val="right"/>
      <w:pPr>
        <w:ind w:left="4102" w:hanging="180"/>
      </w:pPr>
    </w:lvl>
    <w:lvl w:ilvl="6" w:tplc="0C09000F">
      <w:start w:val="1"/>
      <w:numFmt w:val="decimal"/>
      <w:lvlText w:val="%7."/>
      <w:lvlJc w:val="left"/>
      <w:pPr>
        <w:ind w:left="4822" w:hanging="360"/>
      </w:pPr>
    </w:lvl>
    <w:lvl w:ilvl="7" w:tplc="0C090019">
      <w:start w:val="1"/>
      <w:numFmt w:val="lowerLetter"/>
      <w:lvlText w:val="%8."/>
      <w:lvlJc w:val="left"/>
      <w:pPr>
        <w:ind w:left="5542" w:hanging="360"/>
      </w:pPr>
    </w:lvl>
    <w:lvl w:ilvl="8" w:tplc="0C09001B">
      <w:start w:val="1"/>
      <w:numFmt w:val="lowerRoman"/>
      <w:lvlText w:val="%9."/>
      <w:lvlJc w:val="right"/>
      <w:pPr>
        <w:ind w:left="6262" w:hanging="180"/>
      </w:pPr>
    </w:lvl>
  </w:abstractNum>
  <w:abstractNum w:abstractNumId="8" w15:restartNumberingAfterBreak="0">
    <w:nsid w:val="17733C8E"/>
    <w:multiLevelType w:val="hybridMultilevel"/>
    <w:tmpl w:val="8E8AC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B83139"/>
    <w:multiLevelType w:val="hybridMultilevel"/>
    <w:tmpl w:val="1584DEA4"/>
    <w:lvl w:ilvl="0" w:tplc="5F827A8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EB4FD1"/>
    <w:multiLevelType w:val="hybridMultilevel"/>
    <w:tmpl w:val="12A4A30C"/>
    <w:lvl w:ilvl="0" w:tplc="0C090019">
      <w:start w:val="1"/>
      <w:numFmt w:val="lowerLetter"/>
      <w:lvlText w:val="%1."/>
      <w:lvlJc w:val="left"/>
      <w:pPr>
        <w:ind w:left="1174" w:hanging="360"/>
      </w:pPr>
    </w:lvl>
    <w:lvl w:ilvl="1" w:tplc="FFFFFFFF">
      <w:start w:val="1"/>
      <w:numFmt w:val="lowerLetter"/>
      <w:lvlText w:val="%2."/>
      <w:lvlJc w:val="left"/>
      <w:pPr>
        <w:ind w:left="1894" w:hanging="360"/>
      </w:pPr>
    </w:lvl>
    <w:lvl w:ilvl="2" w:tplc="FFFFFFFF">
      <w:start w:val="1"/>
      <w:numFmt w:val="lowerRoman"/>
      <w:lvlText w:val="%3."/>
      <w:lvlJc w:val="right"/>
      <w:pPr>
        <w:ind w:left="2614" w:hanging="180"/>
      </w:pPr>
    </w:lvl>
    <w:lvl w:ilvl="3" w:tplc="FFFFFFFF">
      <w:start w:val="1"/>
      <w:numFmt w:val="decimal"/>
      <w:lvlText w:val="%4."/>
      <w:lvlJc w:val="left"/>
      <w:pPr>
        <w:ind w:left="3334" w:hanging="360"/>
      </w:pPr>
    </w:lvl>
    <w:lvl w:ilvl="4" w:tplc="FFFFFFFF">
      <w:start w:val="1"/>
      <w:numFmt w:val="lowerLetter"/>
      <w:lvlText w:val="%5."/>
      <w:lvlJc w:val="left"/>
      <w:pPr>
        <w:ind w:left="4054" w:hanging="360"/>
      </w:pPr>
    </w:lvl>
    <w:lvl w:ilvl="5" w:tplc="FFFFFFFF">
      <w:start w:val="1"/>
      <w:numFmt w:val="lowerRoman"/>
      <w:lvlText w:val="%6."/>
      <w:lvlJc w:val="right"/>
      <w:pPr>
        <w:ind w:left="4774" w:hanging="180"/>
      </w:pPr>
    </w:lvl>
    <w:lvl w:ilvl="6" w:tplc="FFFFFFFF">
      <w:start w:val="1"/>
      <w:numFmt w:val="decimal"/>
      <w:lvlText w:val="%7."/>
      <w:lvlJc w:val="left"/>
      <w:pPr>
        <w:ind w:left="5494" w:hanging="360"/>
      </w:pPr>
    </w:lvl>
    <w:lvl w:ilvl="7" w:tplc="FFFFFFFF">
      <w:start w:val="1"/>
      <w:numFmt w:val="lowerLetter"/>
      <w:lvlText w:val="%8."/>
      <w:lvlJc w:val="left"/>
      <w:pPr>
        <w:ind w:left="6214" w:hanging="360"/>
      </w:pPr>
    </w:lvl>
    <w:lvl w:ilvl="8" w:tplc="FFFFFFFF">
      <w:start w:val="1"/>
      <w:numFmt w:val="lowerRoman"/>
      <w:lvlText w:val="%9."/>
      <w:lvlJc w:val="right"/>
      <w:pPr>
        <w:ind w:left="6934" w:hanging="180"/>
      </w:pPr>
    </w:lvl>
  </w:abstractNum>
  <w:abstractNum w:abstractNumId="11" w15:restartNumberingAfterBreak="0">
    <w:nsid w:val="1C312864"/>
    <w:multiLevelType w:val="hybridMultilevel"/>
    <w:tmpl w:val="7840D3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636BED"/>
    <w:multiLevelType w:val="multilevel"/>
    <w:tmpl w:val="445A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0F4679"/>
    <w:multiLevelType w:val="hybridMultilevel"/>
    <w:tmpl w:val="C4A473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667097"/>
    <w:multiLevelType w:val="hybridMultilevel"/>
    <w:tmpl w:val="2C60E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7F6ECF"/>
    <w:multiLevelType w:val="hybridMultilevel"/>
    <w:tmpl w:val="749024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8557FB"/>
    <w:multiLevelType w:val="hybridMultilevel"/>
    <w:tmpl w:val="E8768A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BE65CFC"/>
    <w:multiLevelType w:val="hybridMultilevel"/>
    <w:tmpl w:val="E4B451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75291A"/>
    <w:multiLevelType w:val="hybridMultilevel"/>
    <w:tmpl w:val="F27C32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5BD555F"/>
    <w:multiLevelType w:val="hybridMultilevel"/>
    <w:tmpl w:val="D916B7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D45491"/>
    <w:multiLevelType w:val="hybridMultilevel"/>
    <w:tmpl w:val="2106279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6" w15:restartNumberingAfterBreak="0">
    <w:nsid w:val="3BEC00DB"/>
    <w:multiLevelType w:val="hybridMultilevel"/>
    <w:tmpl w:val="F9582F2C"/>
    <w:lvl w:ilvl="0" w:tplc="3814B8D4">
      <w:start w:val="1"/>
      <w:numFmt w:val="lowerLetter"/>
      <w:pStyle w:val="ListNumber2"/>
      <w:lvlText w:val="%1."/>
      <w:lvlJc w:val="left"/>
      <w:pPr>
        <w:ind w:left="1174" w:hanging="360"/>
      </w:pPr>
    </w:lvl>
    <w:lvl w:ilvl="1" w:tplc="0C090019">
      <w:start w:val="1"/>
      <w:numFmt w:val="lowerLetter"/>
      <w:lvlText w:val="%2."/>
      <w:lvlJc w:val="left"/>
      <w:pPr>
        <w:ind w:left="1894" w:hanging="360"/>
      </w:pPr>
    </w:lvl>
    <w:lvl w:ilvl="2" w:tplc="0C09001B">
      <w:start w:val="1"/>
      <w:numFmt w:val="lowerRoman"/>
      <w:lvlText w:val="%3."/>
      <w:lvlJc w:val="right"/>
      <w:pPr>
        <w:ind w:left="2614" w:hanging="180"/>
      </w:pPr>
    </w:lvl>
    <w:lvl w:ilvl="3" w:tplc="0C09000F">
      <w:start w:val="1"/>
      <w:numFmt w:val="decimal"/>
      <w:lvlText w:val="%4."/>
      <w:lvlJc w:val="left"/>
      <w:pPr>
        <w:ind w:left="3334" w:hanging="360"/>
      </w:pPr>
    </w:lvl>
    <w:lvl w:ilvl="4" w:tplc="0C090019">
      <w:start w:val="1"/>
      <w:numFmt w:val="lowerLetter"/>
      <w:lvlText w:val="%5."/>
      <w:lvlJc w:val="left"/>
      <w:pPr>
        <w:ind w:left="4054" w:hanging="360"/>
      </w:pPr>
    </w:lvl>
    <w:lvl w:ilvl="5" w:tplc="0C09001B">
      <w:start w:val="1"/>
      <w:numFmt w:val="lowerRoman"/>
      <w:lvlText w:val="%6."/>
      <w:lvlJc w:val="right"/>
      <w:pPr>
        <w:ind w:left="4774" w:hanging="180"/>
      </w:pPr>
    </w:lvl>
    <w:lvl w:ilvl="6" w:tplc="0C09000F">
      <w:start w:val="1"/>
      <w:numFmt w:val="decimal"/>
      <w:lvlText w:val="%7."/>
      <w:lvlJc w:val="left"/>
      <w:pPr>
        <w:ind w:left="5494" w:hanging="360"/>
      </w:pPr>
    </w:lvl>
    <w:lvl w:ilvl="7" w:tplc="0C090019">
      <w:start w:val="1"/>
      <w:numFmt w:val="lowerLetter"/>
      <w:lvlText w:val="%8."/>
      <w:lvlJc w:val="left"/>
      <w:pPr>
        <w:ind w:left="6214" w:hanging="360"/>
      </w:pPr>
    </w:lvl>
    <w:lvl w:ilvl="8" w:tplc="0C09001B">
      <w:start w:val="1"/>
      <w:numFmt w:val="lowerRoman"/>
      <w:lvlText w:val="%9."/>
      <w:lvlJc w:val="right"/>
      <w:pPr>
        <w:ind w:left="6934" w:hanging="180"/>
      </w:pPr>
    </w:lvl>
  </w:abstractNum>
  <w:abstractNum w:abstractNumId="27"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E2D0783"/>
    <w:multiLevelType w:val="hybridMultilevel"/>
    <w:tmpl w:val="13B0925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235211A"/>
    <w:multiLevelType w:val="hybridMultilevel"/>
    <w:tmpl w:val="35624AD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AB0CD0"/>
    <w:multiLevelType w:val="hybridMultilevel"/>
    <w:tmpl w:val="E708A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D5B2E44"/>
    <w:multiLevelType w:val="hybridMultilevel"/>
    <w:tmpl w:val="53BCD0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F476736"/>
    <w:multiLevelType w:val="hybridMultilevel"/>
    <w:tmpl w:val="4E4668C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17E6B9F"/>
    <w:multiLevelType w:val="hybridMultilevel"/>
    <w:tmpl w:val="8F46E9B4"/>
    <w:lvl w:ilvl="0" w:tplc="0C090019">
      <w:start w:val="1"/>
      <w:numFmt w:val="lowerLetter"/>
      <w:lvlText w:val="%1."/>
      <w:lvlJc w:val="left"/>
      <w:pPr>
        <w:ind w:left="1174" w:hanging="360"/>
      </w:pPr>
    </w:lvl>
    <w:lvl w:ilvl="1" w:tplc="FFFFFFFF">
      <w:start w:val="1"/>
      <w:numFmt w:val="lowerLetter"/>
      <w:lvlText w:val="%2."/>
      <w:lvlJc w:val="left"/>
      <w:pPr>
        <w:ind w:left="1894" w:hanging="360"/>
      </w:pPr>
    </w:lvl>
    <w:lvl w:ilvl="2" w:tplc="FFFFFFFF">
      <w:start w:val="1"/>
      <w:numFmt w:val="lowerRoman"/>
      <w:lvlText w:val="%3."/>
      <w:lvlJc w:val="right"/>
      <w:pPr>
        <w:ind w:left="2614" w:hanging="180"/>
      </w:pPr>
    </w:lvl>
    <w:lvl w:ilvl="3" w:tplc="FFFFFFFF">
      <w:start w:val="1"/>
      <w:numFmt w:val="decimal"/>
      <w:lvlText w:val="%4."/>
      <w:lvlJc w:val="left"/>
      <w:pPr>
        <w:ind w:left="3334" w:hanging="360"/>
      </w:pPr>
    </w:lvl>
    <w:lvl w:ilvl="4" w:tplc="FFFFFFFF">
      <w:start w:val="1"/>
      <w:numFmt w:val="lowerLetter"/>
      <w:lvlText w:val="%5."/>
      <w:lvlJc w:val="left"/>
      <w:pPr>
        <w:ind w:left="4054" w:hanging="360"/>
      </w:pPr>
    </w:lvl>
    <w:lvl w:ilvl="5" w:tplc="FFFFFFFF">
      <w:start w:val="1"/>
      <w:numFmt w:val="lowerRoman"/>
      <w:lvlText w:val="%6."/>
      <w:lvlJc w:val="right"/>
      <w:pPr>
        <w:ind w:left="4774" w:hanging="180"/>
      </w:pPr>
    </w:lvl>
    <w:lvl w:ilvl="6" w:tplc="FFFFFFFF">
      <w:start w:val="1"/>
      <w:numFmt w:val="decimal"/>
      <w:lvlText w:val="%7."/>
      <w:lvlJc w:val="left"/>
      <w:pPr>
        <w:ind w:left="5494" w:hanging="360"/>
      </w:pPr>
    </w:lvl>
    <w:lvl w:ilvl="7" w:tplc="FFFFFFFF">
      <w:start w:val="1"/>
      <w:numFmt w:val="lowerLetter"/>
      <w:lvlText w:val="%8."/>
      <w:lvlJc w:val="left"/>
      <w:pPr>
        <w:ind w:left="6214" w:hanging="360"/>
      </w:pPr>
    </w:lvl>
    <w:lvl w:ilvl="8" w:tplc="FFFFFFFF">
      <w:start w:val="1"/>
      <w:numFmt w:val="lowerRoman"/>
      <w:lvlText w:val="%9."/>
      <w:lvlJc w:val="right"/>
      <w:pPr>
        <w:ind w:left="6934" w:hanging="180"/>
      </w:pPr>
    </w:lvl>
  </w:abstractNum>
  <w:abstractNum w:abstractNumId="40"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73D57DF"/>
    <w:multiLevelType w:val="hybridMultilevel"/>
    <w:tmpl w:val="D3AADAF2"/>
    <w:lvl w:ilvl="0" w:tplc="161C7A28">
      <w:start w:val="6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B73572"/>
    <w:multiLevelType w:val="hybridMultilevel"/>
    <w:tmpl w:val="27A8B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C986345"/>
    <w:multiLevelType w:val="hybridMultilevel"/>
    <w:tmpl w:val="19AC2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970935164">
    <w:abstractNumId w:val="27"/>
  </w:num>
  <w:num w:numId="2" w16cid:durableId="626856991">
    <w:abstractNumId w:val="24"/>
  </w:num>
  <w:num w:numId="3" w16cid:durableId="872696680">
    <w:abstractNumId w:val="34"/>
  </w:num>
  <w:num w:numId="4" w16cid:durableId="900334401">
    <w:abstractNumId w:val="30"/>
  </w:num>
  <w:num w:numId="5" w16cid:durableId="2022080019">
    <w:abstractNumId w:val="36"/>
  </w:num>
  <w:num w:numId="6" w16cid:durableId="104884359">
    <w:abstractNumId w:val="17"/>
  </w:num>
  <w:num w:numId="7" w16cid:durableId="1508786628">
    <w:abstractNumId w:val="2"/>
  </w:num>
  <w:num w:numId="8" w16cid:durableId="944268557">
    <w:abstractNumId w:val="15"/>
  </w:num>
  <w:num w:numId="9" w16cid:durableId="149251211">
    <w:abstractNumId w:val="32"/>
  </w:num>
  <w:num w:numId="10" w16cid:durableId="1524251071">
    <w:abstractNumId w:val="35"/>
  </w:num>
  <w:num w:numId="11" w16cid:durableId="1611624827">
    <w:abstractNumId w:val="20"/>
  </w:num>
  <w:num w:numId="12" w16cid:durableId="366221482">
    <w:abstractNumId w:val="45"/>
  </w:num>
  <w:num w:numId="13" w16cid:durableId="1320302699">
    <w:abstractNumId w:val="40"/>
  </w:num>
  <w:num w:numId="14" w16cid:durableId="1519927905">
    <w:abstractNumId w:val="28"/>
  </w:num>
  <w:num w:numId="15" w16cid:durableId="2051296047">
    <w:abstractNumId w:val="41"/>
  </w:num>
  <w:num w:numId="16" w16cid:durableId="2146000834">
    <w:abstractNumId w:val="19"/>
  </w:num>
  <w:num w:numId="17" w16cid:durableId="1281186143">
    <w:abstractNumId w:val="23"/>
  </w:num>
  <w:num w:numId="18" w16cid:durableId="1926375482">
    <w:abstractNumId w:val="13"/>
  </w:num>
  <w:num w:numId="19" w16cid:durableId="375199295">
    <w:abstractNumId w:val="5"/>
  </w:num>
  <w:num w:numId="20" w16cid:durableId="1388914952">
    <w:abstractNumId w:val="37"/>
  </w:num>
  <w:num w:numId="21" w16cid:durableId="458643257">
    <w:abstractNumId w:val="1"/>
  </w:num>
  <w:num w:numId="22" w16cid:durableId="1483690893">
    <w:abstractNumId w:val="42"/>
  </w:num>
  <w:num w:numId="23" w16cid:durableId="575480095">
    <w:abstractNumId w:val="16"/>
  </w:num>
  <w:num w:numId="24" w16cid:durableId="2098549855">
    <w:abstractNumId w:val="16"/>
  </w:num>
  <w:num w:numId="25" w16cid:durableId="1336616989">
    <w:abstractNumId w:val="22"/>
  </w:num>
  <w:num w:numId="26" w16cid:durableId="481167291">
    <w:abstractNumId w:val="38"/>
  </w:num>
  <w:num w:numId="27" w16cid:durableId="1660308672">
    <w:abstractNumId w:val="3"/>
  </w:num>
  <w:num w:numId="28" w16cid:durableId="1813135359">
    <w:abstractNumId w:val="43"/>
  </w:num>
  <w:num w:numId="29" w16cid:durableId="836306991">
    <w:abstractNumId w:val="11"/>
  </w:num>
  <w:num w:numId="30" w16cid:durableId="677268245">
    <w:abstractNumId w:val="21"/>
  </w:num>
  <w:num w:numId="31" w16cid:durableId="1136526122">
    <w:abstractNumId w:val="6"/>
  </w:num>
  <w:num w:numId="32" w16cid:durableId="405687822">
    <w:abstractNumId w:val="9"/>
  </w:num>
  <w:num w:numId="33" w16cid:durableId="383875594">
    <w:abstractNumId w:val="0"/>
  </w:num>
  <w:num w:numId="34" w16cid:durableId="472020512">
    <w:abstractNumId w:val="25"/>
  </w:num>
  <w:num w:numId="35" w16cid:durableId="83040813">
    <w:abstractNumId w:val="4"/>
  </w:num>
  <w:num w:numId="36" w16cid:durableId="3812528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61196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849605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58557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44089997">
    <w:abstractNumId w:val="29"/>
  </w:num>
  <w:num w:numId="41" w16cid:durableId="297339388">
    <w:abstractNumId w:val="31"/>
  </w:num>
  <w:num w:numId="42" w16cid:durableId="765660636">
    <w:abstractNumId w:val="33"/>
  </w:num>
  <w:num w:numId="43" w16cid:durableId="552886269">
    <w:abstractNumId w:val="18"/>
  </w:num>
  <w:num w:numId="44" w16cid:durableId="739062701">
    <w:abstractNumId w:val="14"/>
  </w:num>
  <w:num w:numId="45" w16cid:durableId="1886716670">
    <w:abstractNumId w:val="44"/>
  </w:num>
  <w:num w:numId="46" w16cid:durableId="1494682382">
    <w:abstractNumId w:val="12"/>
  </w:num>
  <w:num w:numId="47" w16cid:durableId="5706967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47D"/>
    <w:rsid w:val="00001403"/>
    <w:rsid w:val="000014CD"/>
    <w:rsid w:val="000023B8"/>
    <w:rsid w:val="000033E2"/>
    <w:rsid w:val="0000565D"/>
    <w:rsid w:val="000066B8"/>
    <w:rsid w:val="00006E35"/>
    <w:rsid w:val="000071CF"/>
    <w:rsid w:val="00007FD3"/>
    <w:rsid w:val="00010067"/>
    <w:rsid w:val="000102A5"/>
    <w:rsid w:val="0001100A"/>
    <w:rsid w:val="00012753"/>
    <w:rsid w:val="0001353E"/>
    <w:rsid w:val="00013AAB"/>
    <w:rsid w:val="00014341"/>
    <w:rsid w:val="000152DB"/>
    <w:rsid w:val="0001569F"/>
    <w:rsid w:val="00015BE7"/>
    <w:rsid w:val="00015FD9"/>
    <w:rsid w:val="0001711F"/>
    <w:rsid w:val="000174C9"/>
    <w:rsid w:val="000179AC"/>
    <w:rsid w:val="00017DBD"/>
    <w:rsid w:val="000204A2"/>
    <w:rsid w:val="00020A56"/>
    <w:rsid w:val="00020AA7"/>
    <w:rsid w:val="0002268F"/>
    <w:rsid w:val="00022BA9"/>
    <w:rsid w:val="00022D34"/>
    <w:rsid w:val="0002304A"/>
    <w:rsid w:val="000232F9"/>
    <w:rsid w:val="00024D12"/>
    <w:rsid w:val="00025C03"/>
    <w:rsid w:val="00025DA5"/>
    <w:rsid w:val="00026EAC"/>
    <w:rsid w:val="00027723"/>
    <w:rsid w:val="00027F93"/>
    <w:rsid w:val="00030408"/>
    <w:rsid w:val="000306B1"/>
    <w:rsid w:val="00031D39"/>
    <w:rsid w:val="000322B7"/>
    <w:rsid w:val="00032615"/>
    <w:rsid w:val="00032995"/>
    <w:rsid w:val="000342DD"/>
    <w:rsid w:val="00034863"/>
    <w:rsid w:val="00034932"/>
    <w:rsid w:val="00035255"/>
    <w:rsid w:val="00035319"/>
    <w:rsid w:val="0003661A"/>
    <w:rsid w:val="000368FB"/>
    <w:rsid w:val="00036ED2"/>
    <w:rsid w:val="000370C7"/>
    <w:rsid w:val="00037B9D"/>
    <w:rsid w:val="000446DB"/>
    <w:rsid w:val="00044776"/>
    <w:rsid w:val="000453D5"/>
    <w:rsid w:val="00046A58"/>
    <w:rsid w:val="00046C20"/>
    <w:rsid w:val="00050A7B"/>
    <w:rsid w:val="00050F67"/>
    <w:rsid w:val="00051BE1"/>
    <w:rsid w:val="0005288C"/>
    <w:rsid w:val="00054B89"/>
    <w:rsid w:val="000552B3"/>
    <w:rsid w:val="00056287"/>
    <w:rsid w:val="0005719C"/>
    <w:rsid w:val="000575D1"/>
    <w:rsid w:val="00057C4B"/>
    <w:rsid w:val="00061904"/>
    <w:rsid w:val="00061EF8"/>
    <w:rsid w:val="00062780"/>
    <w:rsid w:val="00062ACF"/>
    <w:rsid w:val="00062B85"/>
    <w:rsid w:val="00063330"/>
    <w:rsid w:val="000633DC"/>
    <w:rsid w:val="0006352E"/>
    <w:rsid w:val="000642D5"/>
    <w:rsid w:val="00064710"/>
    <w:rsid w:val="00064C14"/>
    <w:rsid w:val="00064F5C"/>
    <w:rsid w:val="00065674"/>
    <w:rsid w:val="00065864"/>
    <w:rsid w:val="00065E73"/>
    <w:rsid w:val="0006634F"/>
    <w:rsid w:val="00066527"/>
    <w:rsid w:val="00066EF3"/>
    <w:rsid w:val="0007067B"/>
    <w:rsid w:val="0007103E"/>
    <w:rsid w:val="0007114A"/>
    <w:rsid w:val="00071A7B"/>
    <w:rsid w:val="00071BB1"/>
    <w:rsid w:val="0007377D"/>
    <w:rsid w:val="00074FBD"/>
    <w:rsid w:val="0007531B"/>
    <w:rsid w:val="00076F03"/>
    <w:rsid w:val="00077015"/>
    <w:rsid w:val="0007790A"/>
    <w:rsid w:val="000779F1"/>
    <w:rsid w:val="00080A01"/>
    <w:rsid w:val="00081860"/>
    <w:rsid w:val="00081D07"/>
    <w:rsid w:val="00082288"/>
    <w:rsid w:val="0008279A"/>
    <w:rsid w:val="00083C58"/>
    <w:rsid w:val="00084438"/>
    <w:rsid w:val="00084D50"/>
    <w:rsid w:val="00085871"/>
    <w:rsid w:val="00087A12"/>
    <w:rsid w:val="00090288"/>
    <w:rsid w:val="000907A3"/>
    <w:rsid w:val="00090AA9"/>
    <w:rsid w:val="000913AC"/>
    <w:rsid w:val="0009149D"/>
    <w:rsid w:val="00093483"/>
    <w:rsid w:val="00093BBD"/>
    <w:rsid w:val="000942F5"/>
    <w:rsid w:val="000944E2"/>
    <w:rsid w:val="00094B28"/>
    <w:rsid w:val="0009606C"/>
    <w:rsid w:val="000960D8"/>
    <w:rsid w:val="00096C5F"/>
    <w:rsid w:val="000A1E85"/>
    <w:rsid w:val="000A2391"/>
    <w:rsid w:val="000A2421"/>
    <w:rsid w:val="000A3266"/>
    <w:rsid w:val="000A37F1"/>
    <w:rsid w:val="000A39D3"/>
    <w:rsid w:val="000A3BBE"/>
    <w:rsid w:val="000A3C54"/>
    <w:rsid w:val="000A3FA5"/>
    <w:rsid w:val="000A4383"/>
    <w:rsid w:val="000A59E8"/>
    <w:rsid w:val="000A696C"/>
    <w:rsid w:val="000A69E7"/>
    <w:rsid w:val="000A6AC6"/>
    <w:rsid w:val="000A6B55"/>
    <w:rsid w:val="000A6D67"/>
    <w:rsid w:val="000A788C"/>
    <w:rsid w:val="000B031C"/>
    <w:rsid w:val="000B0762"/>
    <w:rsid w:val="000B12DF"/>
    <w:rsid w:val="000B1FE0"/>
    <w:rsid w:val="000B21D0"/>
    <w:rsid w:val="000B2C4D"/>
    <w:rsid w:val="000B3C25"/>
    <w:rsid w:val="000B519D"/>
    <w:rsid w:val="000B53C4"/>
    <w:rsid w:val="000B6C7B"/>
    <w:rsid w:val="000B7E7A"/>
    <w:rsid w:val="000C0310"/>
    <w:rsid w:val="000C0510"/>
    <w:rsid w:val="000C073F"/>
    <w:rsid w:val="000C0F56"/>
    <w:rsid w:val="000C13E1"/>
    <w:rsid w:val="000C2342"/>
    <w:rsid w:val="000C2B06"/>
    <w:rsid w:val="000C3494"/>
    <w:rsid w:val="000C3972"/>
    <w:rsid w:val="000C3F1E"/>
    <w:rsid w:val="000C43E6"/>
    <w:rsid w:val="000C4ED8"/>
    <w:rsid w:val="000C4F93"/>
    <w:rsid w:val="000C5573"/>
    <w:rsid w:val="000C575D"/>
    <w:rsid w:val="000C5B99"/>
    <w:rsid w:val="000C615E"/>
    <w:rsid w:val="000C635F"/>
    <w:rsid w:val="000C72AA"/>
    <w:rsid w:val="000D05CE"/>
    <w:rsid w:val="000D0F45"/>
    <w:rsid w:val="000D11BA"/>
    <w:rsid w:val="000D1C13"/>
    <w:rsid w:val="000D1CD4"/>
    <w:rsid w:val="000D1F68"/>
    <w:rsid w:val="000D3900"/>
    <w:rsid w:val="000D3BAF"/>
    <w:rsid w:val="000D43AD"/>
    <w:rsid w:val="000D56EC"/>
    <w:rsid w:val="000D5B3E"/>
    <w:rsid w:val="000D6348"/>
    <w:rsid w:val="000D6767"/>
    <w:rsid w:val="000D7E52"/>
    <w:rsid w:val="000E20CF"/>
    <w:rsid w:val="000E4C2B"/>
    <w:rsid w:val="000E599A"/>
    <w:rsid w:val="000E6257"/>
    <w:rsid w:val="000E65A9"/>
    <w:rsid w:val="000E692D"/>
    <w:rsid w:val="000E7B2A"/>
    <w:rsid w:val="000E7D85"/>
    <w:rsid w:val="000F0004"/>
    <w:rsid w:val="000F00EA"/>
    <w:rsid w:val="000F0F62"/>
    <w:rsid w:val="000F1E57"/>
    <w:rsid w:val="000F1E8A"/>
    <w:rsid w:val="000F2373"/>
    <w:rsid w:val="000F23B0"/>
    <w:rsid w:val="000F2564"/>
    <w:rsid w:val="000F2730"/>
    <w:rsid w:val="000F3240"/>
    <w:rsid w:val="000F32CC"/>
    <w:rsid w:val="000F35E7"/>
    <w:rsid w:val="000F37E4"/>
    <w:rsid w:val="000F516A"/>
    <w:rsid w:val="000F5279"/>
    <w:rsid w:val="000F54AB"/>
    <w:rsid w:val="000F56F0"/>
    <w:rsid w:val="000F57E0"/>
    <w:rsid w:val="000F57ED"/>
    <w:rsid w:val="000F5D19"/>
    <w:rsid w:val="000F69C2"/>
    <w:rsid w:val="000F6F29"/>
    <w:rsid w:val="000F779B"/>
    <w:rsid w:val="000F7CF3"/>
    <w:rsid w:val="000F7DB0"/>
    <w:rsid w:val="0010040D"/>
    <w:rsid w:val="0010081E"/>
    <w:rsid w:val="0010096F"/>
    <w:rsid w:val="00100E07"/>
    <w:rsid w:val="001015CA"/>
    <w:rsid w:val="001021B7"/>
    <w:rsid w:val="00102C60"/>
    <w:rsid w:val="00102E97"/>
    <w:rsid w:val="00102F11"/>
    <w:rsid w:val="0010426A"/>
    <w:rsid w:val="00104441"/>
    <w:rsid w:val="00104442"/>
    <w:rsid w:val="00104D0D"/>
    <w:rsid w:val="00104EF9"/>
    <w:rsid w:val="00105767"/>
    <w:rsid w:val="00106337"/>
    <w:rsid w:val="00106A4D"/>
    <w:rsid w:val="00106EAC"/>
    <w:rsid w:val="0010714E"/>
    <w:rsid w:val="001071F5"/>
    <w:rsid w:val="00107DCF"/>
    <w:rsid w:val="001101CD"/>
    <w:rsid w:val="00110F15"/>
    <w:rsid w:val="00110FD3"/>
    <w:rsid w:val="001116F7"/>
    <w:rsid w:val="00111B10"/>
    <w:rsid w:val="00112274"/>
    <w:rsid w:val="00112738"/>
    <w:rsid w:val="00112A38"/>
    <w:rsid w:val="001134D0"/>
    <w:rsid w:val="00114093"/>
    <w:rsid w:val="0011479D"/>
    <w:rsid w:val="00114F02"/>
    <w:rsid w:val="00115A0C"/>
    <w:rsid w:val="00115E48"/>
    <w:rsid w:val="0011605E"/>
    <w:rsid w:val="001167B0"/>
    <w:rsid w:val="00116F3C"/>
    <w:rsid w:val="0011701D"/>
    <w:rsid w:val="00117527"/>
    <w:rsid w:val="001177F2"/>
    <w:rsid w:val="00117F69"/>
    <w:rsid w:val="00120F1A"/>
    <w:rsid w:val="00121167"/>
    <w:rsid w:val="00122133"/>
    <w:rsid w:val="00122171"/>
    <w:rsid w:val="0012354C"/>
    <w:rsid w:val="001237EB"/>
    <w:rsid w:val="00123A32"/>
    <w:rsid w:val="001248D9"/>
    <w:rsid w:val="001264B1"/>
    <w:rsid w:val="001267C6"/>
    <w:rsid w:val="00127355"/>
    <w:rsid w:val="00130053"/>
    <w:rsid w:val="001306EF"/>
    <w:rsid w:val="0013100C"/>
    <w:rsid w:val="001310BF"/>
    <w:rsid w:val="00132AD8"/>
    <w:rsid w:val="00132B8F"/>
    <w:rsid w:val="00132DB8"/>
    <w:rsid w:val="001349AA"/>
    <w:rsid w:val="00134B6A"/>
    <w:rsid w:val="00134C58"/>
    <w:rsid w:val="00135A5F"/>
    <w:rsid w:val="00135ADC"/>
    <w:rsid w:val="00136375"/>
    <w:rsid w:val="00136F10"/>
    <w:rsid w:val="0013728C"/>
    <w:rsid w:val="001374E4"/>
    <w:rsid w:val="00137D85"/>
    <w:rsid w:val="00140645"/>
    <w:rsid w:val="00141164"/>
    <w:rsid w:val="00141A40"/>
    <w:rsid w:val="00141DEC"/>
    <w:rsid w:val="00141E04"/>
    <w:rsid w:val="00142CD7"/>
    <w:rsid w:val="00143D5C"/>
    <w:rsid w:val="00144281"/>
    <w:rsid w:val="001445DE"/>
    <w:rsid w:val="00145BA4"/>
    <w:rsid w:val="001464A9"/>
    <w:rsid w:val="00146B81"/>
    <w:rsid w:val="00146D16"/>
    <w:rsid w:val="00146D19"/>
    <w:rsid w:val="0014772B"/>
    <w:rsid w:val="001517C1"/>
    <w:rsid w:val="001530FE"/>
    <w:rsid w:val="00153295"/>
    <w:rsid w:val="001536CE"/>
    <w:rsid w:val="001536FD"/>
    <w:rsid w:val="00153723"/>
    <w:rsid w:val="001538EE"/>
    <w:rsid w:val="00153AD5"/>
    <w:rsid w:val="00153C15"/>
    <w:rsid w:val="001540A3"/>
    <w:rsid w:val="001552AD"/>
    <w:rsid w:val="00155A4C"/>
    <w:rsid w:val="00156370"/>
    <w:rsid w:val="00156818"/>
    <w:rsid w:val="00157082"/>
    <w:rsid w:val="00157E44"/>
    <w:rsid w:val="001608F5"/>
    <w:rsid w:val="0016096C"/>
    <w:rsid w:val="00160A71"/>
    <w:rsid w:val="00160EB0"/>
    <w:rsid w:val="00161377"/>
    <w:rsid w:val="00161542"/>
    <w:rsid w:val="0016218A"/>
    <w:rsid w:val="00162662"/>
    <w:rsid w:val="00162821"/>
    <w:rsid w:val="00162A87"/>
    <w:rsid w:val="00162AFE"/>
    <w:rsid w:val="00162D50"/>
    <w:rsid w:val="001639B5"/>
    <w:rsid w:val="00164773"/>
    <w:rsid w:val="00166D3E"/>
    <w:rsid w:val="001671B6"/>
    <w:rsid w:val="00170006"/>
    <w:rsid w:val="001704B3"/>
    <w:rsid w:val="00171448"/>
    <w:rsid w:val="001714C8"/>
    <w:rsid w:val="0017238D"/>
    <w:rsid w:val="00172D09"/>
    <w:rsid w:val="00173065"/>
    <w:rsid w:val="0017378E"/>
    <w:rsid w:val="00173A72"/>
    <w:rsid w:val="00173C58"/>
    <w:rsid w:val="00173DC1"/>
    <w:rsid w:val="00173DFE"/>
    <w:rsid w:val="001748D0"/>
    <w:rsid w:val="00175904"/>
    <w:rsid w:val="0017719D"/>
    <w:rsid w:val="001771E9"/>
    <w:rsid w:val="001804A5"/>
    <w:rsid w:val="0018170F"/>
    <w:rsid w:val="00182412"/>
    <w:rsid w:val="001825CE"/>
    <w:rsid w:val="001829F7"/>
    <w:rsid w:val="00182C6F"/>
    <w:rsid w:val="00182FDE"/>
    <w:rsid w:val="001841C9"/>
    <w:rsid w:val="001844A4"/>
    <w:rsid w:val="0018490D"/>
    <w:rsid w:val="00184C71"/>
    <w:rsid w:val="00185207"/>
    <w:rsid w:val="0018654D"/>
    <w:rsid w:val="00190389"/>
    <w:rsid w:val="00190C07"/>
    <w:rsid w:val="0019183E"/>
    <w:rsid w:val="00191FEE"/>
    <w:rsid w:val="0019257D"/>
    <w:rsid w:val="00192580"/>
    <w:rsid w:val="00192DE3"/>
    <w:rsid w:val="001935FA"/>
    <w:rsid w:val="00194134"/>
    <w:rsid w:val="001946D7"/>
    <w:rsid w:val="00194723"/>
    <w:rsid w:val="0019494D"/>
    <w:rsid w:val="00194F34"/>
    <w:rsid w:val="001958D2"/>
    <w:rsid w:val="00195AFE"/>
    <w:rsid w:val="001964A0"/>
    <w:rsid w:val="00197CBA"/>
    <w:rsid w:val="001A020D"/>
    <w:rsid w:val="001A0803"/>
    <w:rsid w:val="001A0A67"/>
    <w:rsid w:val="001A1609"/>
    <w:rsid w:val="001A1C1D"/>
    <w:rsid w:val="001A1CE4"/>
    <w:rsid w:val="001A2505"/>
    <w:rsid w:val="001A3504"/>
    <w:rsid w:val="001A59DB"/>
    <w:rsid w:val="001A73FB"/>
    <w:rsid w:val="001B0996"/>
    <w:rsid w:val="001B0F5A"/>
    <w:rsid w:val="001B124A"/>
    <w:rsid w:val="001B1967"/>
    <w:rsid w:val="001B1CDB"/>
    <w:rsid w:val="001B22C7"/>
    <w:rsid w:val="001B28B9"/>
    <w:rsid w:val="001B2B50"/>
    <w:rsid w:val="001B6A25"/>
    <w:rsid w:val="001B6CCE"/>
    <w:rsid w:val="001C0443"/>
    <w:rsid w:val="001C0699"/>
    <w:rsid w:val="001C0B0F"/>
    <w:rsid w:val="001C1037"/>
    <w:rsid w:val="001C2512"/>
    <w:rsid w:val="001C284F"/>
    <w:rsid w:val="001C2B41"/>
    <w:rsid w:val="001C35D9"/>
    <w:rsid w:val="001C3616"/>
    <w:rsid w:val="001C434C"/>
    <w:rsid w:val="001C4612"/>
    <w:rsid w:val="001C56A8"/>
    <w:rsid w:val="001C5A0D"/>
    <w:rsid w:val="001C5FDD"/>
    <w:rsid w:val="001C66B1"/>
    <w:rsid w:val="001C6CEF"/>
    <w:rsid w:val="001C7760"/>
    <w:rsid w:val="001C7B60"/>
    <w:rsid w:val="001D0EB6"/>
    <w:rsid w:val="001D0F54"/>
    <w:rsid w:val="001D18F5"/>
    <w:rsid w:val="001D216A"/>
    <w:rsid w:val="001D2E82"/>
    <w:rsid w:val="001D3070"/>
    <w:rsid w:val="001D475B"/>
    <w:rsid w:val="001D487B"/>
    <w:rsid w:val="001D4969"/>
    <w:rsid w:val="001D50AE"/>
    <w:rsid w:val="001D63CA"/>
    <w:rsid w:val="001D684A"/>
    <w:rsid w:val="001D688C"/>
    <w:rsid w:val="001D695B"/>
    <w:rsid w:val="001D6AB1"/>
    <w:rsid w:val="001D7409"/>
    <w:rsid w:val="001E0728"/>
    <w:rsid w:val="001E07B7"/>
    <w:rsid w:val="001E0C5D"/>
    <w:rsid w:val="001E187D"/>
    <w:rsid w:val="001E1F7A"/>
    <w:rsid w:val="001E2088"/>
    <w:rsid w:val="001E21C4"/>
    <w:rsid w:val="001E2B2D"/>
    <w:rsid w:val="001E2D81"/>
    <w:rsid w:val="001E5679"/>
    <w:rsid w:val="001E58F6"/>
    <w:rsid w:val="001E6089"/>
    <w:rsid w:val="001E6243"/>
    <w:rsid w:val="001E6B58"/>
    <w:rsid w:val="001E6C08"/>
    <w:rsid w:val="001E6D4A"/>
    <w:rsid w:val="001E7240"/>
    <w:rsid w:val="001E7DCA"/>
    <w:rsid w:val="001F0A8A"/>
    <w:rsid w:val="001F0AA7"/>
    <w:rsid w:val="001F0C5C"/>
    <w:rsid w:val="001F0CC4"/>
    <w:rsid w:val="001F1C39"/>
    <w:rsid w:val="001F24F5"/>
    <w:rsid w:val="001F3111"/>
    <w:rsid w:val="001F3D01"/>
    <w:rsid w:val="001F415C"/>
    <w:rsid w:val="001F45D5"/>
    <w:rsid w:val="001F5169"/>
    <w:rsid w:val="001F5A45"/>
    <w:rsid w:val="001F5AB1"/>
    <w:rsid w:val="001F5CB7"/>
    <w:rsid w:val="001F5F10"/>
    <w:rsid w:val="001F70D6"/>
    <w:rsid w:val="001F7B47"/>
    <w:rsid w:val="001F7BBA"/>
    <w:rsid w:val="0020155D"/>
    <w:rsid w:val="00201DD0"/>
    <w:rsid w:val="00201FED"/>
    <w:rsid w:val="00203501"/>
    <w:rsid w:val="0020460F"/>
    <w:rsid w:val="002046F5"/>
    <w:rsid w:val="00205D3B"/>
    <w:rsid w:val="00205DF3"/>
    <w:rsid w:val="002070BD"/>
    <w:rsid w:val="002073C1"/>
    <w:rsid w:val="00207B65"/>
    <w:rsid w:val="002110FE"/>
    <w:rsid w:val="00211BB3"/>
    <w:rsid w:val="00212035"/>
    <w:rsid w:val="00213328"/>
    <w:rsid w:val="00213DA7"/>
    <w:rsid w:val="00213F4B"/>
    <w:rsid w:val="002140FF"/>
    <w:rsid w:val="00214B0E"/>
    <w:rsid w:val="00214B95"/>
    <w:rsid w:val="00215142"/>
    <w:rsid w:val="0021559A"/>
    <w:rsid w:val="00215A5E"/>
    <w:rsid w:val="00215E3F"/>
    <w:rsid w:val="0021608A"/>
    <w:rsid w:val="002170AE"/>
    <w:rsid w:val="00217AC3"/>
    <w:rsid w:val="0022083E"/>
    <w:rsid w:val="00221CFB"/>
    <w:rsid w:val="0022252A"/>
    <w:rsid w:val="00222ACE"/>
    <w:rsid w:val="00222C47"/>
    <w:rsid w:val="00222D0B"/>
    <w:rsid w:val="00223050"/>
    <w:rsid w:val="00223091"/>
    <w:rsid w:val="00223B3F"/>
    <w:rsid w:val="00223FFC"/>
    <w:rsid w:val="00224502"/>
    <w:rsid w:val="002247B6"/>
    <w:rsid w:val="0022493E"/>
    <w:rsid w:val="00225202"/>
    <w:rsid w:val="002254B5"/>
    <w:rsid w:val="00226585"/>
    <w:rsid w:val="002276A2"/>
    <w:rsid w:val="00230085"/>
    <w:rsid w:val="00230B43"/>
    <w:rsid w:val="0023213F"/>
    <w:rsid w:val="00233647"/>
    <w:rsid w:val="002345CB"/>
    <w:rsid w:val="002347C9"/>
    <w:rsid w:val="00234C31"/>
    <w:rsid w:val="00234C82"/>
    <w:rsid w:val="00234C90"/>
    <w:rsid w:val="00234D2E"/>
    <w:rsid w:val="00234E69"/>
    <w:rsid w:val="002354ED"/>
    <w:rsid w:val="00235891"/>
    <w:rsid w:val="002359FD"/>
    <w:rsid w:val="00235BEC"/>
    <w:rsid w:val="00236A2A"/>
    <w:rsid w:val="00236A88"/>
    <w:rsid w:val="0023717A"/>
    <w:rsid w:val="002371D1"/>
    <w:rsid w:val="0024095E"/>
    <w:rsid w:val="002411B4"/>
    <w:rsid w:val="00241678"/>
    <w:rsid w:val="002417AF"/>
    <w:rsid w:val="0024197A"/>
    <w:rsid w:val="00241D3D"/>
    <w:rsid w:val="00241E8E"/>
    <w:rsid w:val="00243547"/>
    <w:rsid w:val="002449E4"/>
    <w:rsid w:val="00244A4C"/>
    <w:rsid w:val="00245087"/>
    <w:rsid w:val="00245336"/>
    <w:rsid w:val="00245465"/>
    <w:rsid w:val="00245762"/>
    <w:rsid w:val="0024628E"/>
    <w:rsid w:val="00246318"/>
    <w:rsid w:val="00246C0E"/>
    <w:rsid w:val="002476E3"/>
    <w:rsid w:val="002479DC"/>
    <w:rsid w:val="00247DB3"/>
    <w:rsid w:val="00247DC3"/>
    <w:rsid w:val="00247F28"/>
    <w:rsid w:val="00250271"/>
    <w:rsid w:val="002502E3"/>
    <w:rsid w:val="0025120D"/>
    <w:rsid w:val="0025218F"/>
    <w:rsid w:val="00252444"/>
    <w:rsid w:val="00253746"/>
    <w:rsid w:val="00253FC0"/>
    <w:rsid w:val="00254D47"/>
    <w:rsid w:val="00254DA8"/>
    <w:rsid w:val="00255D15"/>
    <w:rsid w:val="00255FAC"/>
    <w:rsid w:val="002568BD"/>
    <w:rsid w:val="00257250"/>
    <w:rsid w:val="00260139"/>
    <w:rsid w:val="00262E4F"/>
    <w:rsid w:val="002634D4"/>
    <w:rsid w:val="0026460F"/>
    <w:rsid w:val="00265D24"/>
    <w:rsid w:val="00266347"/>
    <w:rsid w:val="002707C7"/>
    <w:rsid w:val="00271CEB"/>
    <w:rsid w:val="00271F6C"/>
    <w:rsid w:val="002721B7"/>
    <w:rsid w:val="0027245B"/>
    <w:rsid w:val="0027290E"/>
    <w:rsid w:val="00272B04"/>
    <w:rsid w:val="00272E37"/>
    <w:rsid w:val="00273250"/>
    <w:rsid w:val="00274754"/>
    <w:rsid w:val="00274C3A"/>
    <w:rsid w:val="00274DD2"/>
    <w:rsid w:val="00275346"/>
    <w:rsid w:val="002757C7"/>
    <w:rsid w:val="0027615C"/>
    <w:rsid w:val="00276231"/>
    <w:rsid w:val="00276559"/>
    <w:rsid w:val="00276F55"/>
    <w:rsid w:val="00277227"/>
    <w:rsid w:val="00277DD2"/>
    <w:rsid w:val="002802DA"/>
    <w:rsid w:val="0028190C"/>
    <w:rsid w:val="00281CB2"/>
    <w:rsid w:val="002839DC"/>
    <w:rsid w:val="00283BE7"/>
    <w:rsid w:val="00284270"/>
    <w:rsid w:val="0028452A"/>
    <w:rsid w:val="00284944"/>
    <w:rsid w:val="00284A37"/>
    <w:rsid w:val="00285060"/>
    <w:rsid w:val="002853B0"/>
    <w:rsid w:val="00285992"/>
    <w:rsid w:val="00286095"/>
    <w:rsid w:val="00286392"/>
    <w:rsid w:val="00286788"/>
    <w:rsid w:val="00287102"/>
    <w:rsid w:val="0028798F"/>
    <w:rsid w:val="002904A6"/>
    <w:rsid w:val="00290827"/>
    <w:rsid w:val="002908E0"/>
    <w:rsid w:val="00291462"/>
    <w:rsid w:val="002916AD"/>
    <w:rsid w:val="002930F6"/>
    <w:rsid w:val="002934F4"/>
    <w:rsid w:val="00293717"/>
    <w:rsid w:val="00293ADD"/>
    <w:rsid w:val="00294863"/>
    <w:rsid w:val="00296B42"/>
    <w:rsid w:val="00297167"/>
    <w:rsid w:val="00297252"/>
    <w:rsid w:val="00297540"/>
    <w:rsid w:val="002A01E9"/>
    <w:rsid w:val="002A0935"/>
    <w:rsid w:val="002A0FE8"/>
    <w:rsid w:val="002A1338"/>
    <w:rsid w:val="002A1ED1"/>
    <w:rsid w:val="002A3446"/>
    <w:rsid w:val="002A376C"/>
    <w:rsid w:val="002A4514"/>
    <w:rsid w:val="002A53FA"/>
    <w:rsid w:val="002A5510"/>
    <w:rsid w:val="002A5E68"/>
    <w:rsid w:val="002A6C4A"/>
    <w:rsid w:val="002A6EA8"/>
    <w:rsid w:val="002A6FD7"/>
    <w:rsid w:val="002A7D15"/>
    <w:rsid w:val="002A7DFF"/>
    <w:rsid w:val="002B0EDA"/>
    <w:rsid w:val="002B39D3"/>
    <w:rsid w:val="002B3F89"/>
    <w:rsid w:val="002B43C5"/>
    <w:rsid w:val="002B45EF"/>
    <w:rsid w:val="002B4859"/>
    <w:rsid w:val="002B5C69"/>
    <w:rsid w:val="002B5CF0"/>
    <w:rsid w:val="002B5D6F"/>
    <w:rsid w:val="002B7A19"/>
    <w:rsid w:val="002C055E"/>
    <w:rsid w:val="002C087B"/>
    <w:rsid w:val="002C1C90"/>
    <w:rsid w:val="002C20D5"/>
    <w:rsid w:val="002C2193"/>
    <w:rsid w:val="002C2491"/>
    <w:rsid w:val="002C2865"/>
    <w:rsid w:val="002C3203"/>
    <w:rsid w:val="002C5F38"/>
    <w:rsid w:val="002C6FAB"/>
    <w:rsid w:val="002C702A"/>
    <w:rsid w:val="002C7182"/>
    <w:rsid w:val="002C72A1"/>
    <w:rsid w:val="002C7895"/>
    <w:rsid w:val="002D02ED"/>
    <w:rsid w:val="002D06B1"/>
    <w:rsid w:val="002D0EA2"/>
    <w:rsid w:val="002D1B17"/>
    <w:rsid w:val="002D2081"/>
    <w:rsid w:val="002D230B"/>
    <w:rsid w:val="002D309F"/>
    <w:rsid w:val="002D3750"/>
    <w:rsid w:val="002D3944"/>
    <w:rsid w:val="002D3AA0"/>
    <w:rsid w:val="002D47BE"/>
    <w:rsid w:val="002D51FD"/>
    <w:rsid w:val="002D60EE"/>
    <w:rsid w:val="002D61D1"/>
    <w:rsid w:val="002D6599"/>
    <w:rsid w:val="002D6EA9"/>
    <w:rsid w:val="002D6F09"/>
    <w:rsid w:val="002D7BB0"/>
    <w:rsid w:val="002E04A9"/>
    <w:rsid w:val="002E05A7"/>
    <w:rsid w:val="002E1359"/>
    <w:rsid w:val="002E27BB"/>
    <w:rsid w:val="002E2989"/>
    <w:rsid w:val="002E2A90"/>
    <w:rsid w:val="002E3054"/>
    <w:rsid w:val="002E31E9"/>
    <w:rsid w:val="002E3A1F"/>
    <w:rsid w:val="002E3BA5"/>
    <w:rsid w:val="002E495F"/>
    <w:rsid w:val="002E5AF9"/>
    <w:rsid w:val="002E6037"/>
    <w:rsid w:val="002E6C8A"/>
    <w:rsid w:val="002E77AA"/>
    <w:rsid w:val="002E785E"/>
    <w:rsid w:val="002E7E03"/>
    <w:rsid w:val="002E7F94"/>
    <w:rsid w:val="002F08EC"/>
    <w:rsid w:val="002F14F3"/>
    <w:rsid w:val="002F160B"/>
    <w:rsid w:val="002F1852"/>
    <w:rsid w:val="002F2412"/>
    <w:rsid w:val="002F2628"/>
    <w:rsid w:val="002F267D"/>
    <w:rsid w:val="002F333D"/>
    <w:rsid w:val="002F339C"/>
    <w:rsid w:val="002F3494"/>
    <w:rsid w:val="002F3E39"/>
    <w:rsid w:val="002F3E84"/>
    <w:rsid w:val="002F43B4"/>
    <w:rsid w:val="002F4C7F"/>
    <w:rsid w:val="002F4E2C"/>
    <w:rsid w:val="002F5185"/>
    <w:rsid w:val="002F5839"/>
    <w:rsid w:val="002F599A"/>
    <w:rsid w:val="002F601E"/>
    <w:rsid w:val="002F6669"/>
    <w:rsid w:val="002F673F"/>
    <w:rsid w:val="00301AC5"/>
    <w:rsid w:val="00301F19"/>
    <w:rsid w:val="003026DD"/>
    <w:rsid w:val="00302D9C"/>
    <w:rsid w:val="00303CED"/>
    <w:rsid w:val="00303E0C"/>
    <w:rsid w:val="00303E8B"/>
    <w:rsid w:val="00305365"/>
    <w:rsid w:val="00306C0F"/>
    <w:rsid w:val="0030792B"/>
    <w:rsid w:val="00310CF7"/>
    <w:rsid w:val="00312233"/>
    <w:rsid w:val="0031288D"/>
    <w:rsid w:val="00312E4C"/>
    <w:rsid w:val="00313207"/>
    <w:rsid w:val="003136DD"/>
    <w:rsid w:val="003138C5"/>
    <w:rsid w:val="00314A9E"/>
    <w:rsid w:val="003153A8"/>
    <w:rsid w:val="00315500"/>
    <w:rsid w:val="00315524"/>
    <w:rsid w:val="003157DE"/>
    <w:rsid w:val="00315ADE"/>
    <w:rsid w:val="00315C3D"/>
    <w:rsid w:val="00316877"/>
    <w:rsid w:val="00316CAF"/>
    <w:rsid w:val="003171E0"/>
    <w:rsid w:val="003172AD"/>
    <w:rsid w:val="00317761"/>
    <w:rsid w:val="00317AC8"/>
    <w:rsid w:val="00320D61"/>
    <w:rsid w:val="00321853"/>
    <w:rsid w:val="00321C9A"/>
    <w:rsid w:val="00321CFE"/>
    <w:rsid w:val="003229B2"/>
    <w:rsid w:val="00322FE6"/>
    <w:rsid w:val="0032304C"/>
    <w:rsid w:val="00323F97"/>
    <w:rsid w:val="00324D87"/>
    <w:rsid w:val="00325087"/>
    <w:rsid w:val="00325B5B"/>
    <w:rsid w:val="00325C99"/>
    <w:rsid w:val="00326770"/>
    <w:rsid w:val="00326B0B"/>
    <w:rsid w:val="0032705C"/>
    <w:rsid w:val="003277CF"/>
    <w:rsid w:val="003306AF"/>
    <w:rsid w:val="0033147F"/>
    <w:rsid w:val="003314F6"/>
    <w:rsid w:val="00331935"/>
    <w:rsid w:val="00331C18"/>
    <w:rsid w:val="00331D14"/>
    <w:rsid w:val="00331D92"/>
    <w:rsid w:val="003333AD"/>
    <w:rsid w:val="003342A6"/>
    <w:rsid w:val="003344F1"/>
    <w:rsid w:val="00335D67"/>
    <w:rsid w:val="003363CA"/>
    <w:rsid w:val="003364C7"/>
    <w:rsid w:val="00336A4D"/>
    <w:rsid w:val="00336AF9"/>
    <w:rsid w:val="00337553"/>
    <w:rsid w:val="00337A3B"/>
    <w:rsid w:val="00340A5C"/>
    <w:rsid w:val="00341D42"/>
    <w:rsid w:val="0034213F"/>
    <w:rsid w:val="0034237D"/>
    <w:rsid w:val="00342841"/>
    <w:rsid w:val="00342A59"/>
    <w:rsid w:val="00342AB3"/>
    <w:rsid w:val="00342DB0"/>
    <w:rsid w:val="00343056"/>
    <w:rsid w:val="00343B92"/>
    <w:rsid w:val="0034416F"/>
    <w:rsid w:val="00345702"/>
    <w:rsid w:val="00345827"/>
    <w:rsid w:val="00347285"/>
    <w:rsid w:val="0034736D"/>
    <w:rsid w:val="00347ED7"/>
    <w:rsid w:val="00350409"/>
    <w:rsid w:val="0035063A"/>
    <w:rsid w:val="00350F12"/>
    <w:rsid w:val="003515B7"/>
    <w:rsid w:val="00354217"/>
    <w:rsid w:val="003546EA"/>
    <w:rsid w:val="00354C12"/>
    <w:rsid w:val="00354FF5"/>
    <w:rsid w:val="00355013"/>
    <w:rsid w:val="003552D8"/>
    <w:rsid w:val="003558C9"/>
    <w:rsid w:val="00357D1C"/>
    <w:rsid w:val="0036063B"/>
    <w:rsid w:val="003608A4"/>
    <w:rsid w:val="00361478"/>
    <w:rsid w:val="00361B62"/>
    <w:rsid w:val="003623EB"/>
    <w:rsid w:val="00362601"/>
    <w:rsid w:val="00362FA7"/>
    <w:rsid w:val="00363577"/>
    <w:rsid w:val="003645A4"/>
    <w:rsid w:val="00364C3F"/>
    <w:rsid w:val="0036507E"/>
    <w:rsid w:val="003654C4"/>
    <w:rsid w:val="00365F77"/>
    <w:rsid w:val="00366890"/>
    <w:rsid w:val="00366E1E"/>
    <w:rsid w:val="00367263"/>
    <w:rsid w:val="00367C1B"/>
    <w:rsid w:val="00370238"/>
    <w:rsid w:val="00372AD4"/>
    <w:rsid w:val="003746DA"/>
    <w:rsid w:val="00374826"/>
    <w:rsid w:val="00374D31"/>
    <w:rsid w:val="00376C33"/>
    <w:rsid w:val="00376CE5"/>
    <w:rsid w:val="0038176E"/>
    <w:rsid w:val="00381E82"/>
    <w:rsid w:val="003825B5"/>
    <w:rsid w:val="0038392A"/>
    <w:rsid w:val="00383AA3"/>
    <w:rsid w:val="00383C48"/>
    <w:rsid w:val="003856D6"/>
    <w:rsid w:val="00385C34"/>
    <w:rsid w:val="003869A9"/>
    <w:rsid w:val="00386D45"/>
    <w:rsid w:val="00387110"/>
    <w:rsid w:val="00387277"/>
    <w:rsid w:val="0039025E"/>
    <w:rsid w:val="003908A6"/>
    <w:rsid w:val="00390A03"/>
    <w:rsid w:val="0039134E"/>
    <w:rsid w:val="00391503"/>
    <w:rsid w:val="00391AE7"/>
    <w:rsid w:val="003922EA"/>
    <w:rsid w:val="00394573"/>
    <w:rsid w:val="00394A81"/>
    <w:rsid w:val="0039608F"/>
    <w:rsid w:val="00396659"/>
    <w:rsid w:val="00397739"/>
    <w:rsid w:val="003A08C5"/>
    <w:rsid w:val="003A149C"/>
    <w:rsid w:val="003A28A8"/>
    <w:rsid w:val="003A31E1"/>
    <w:rsid w:val="003A3266"/>
    <w:rsid w:val="003A42CA"/>
    <w:rsid w:val="003A42DA"/>
    <w:rsid w:val="003A43DC"/>
    <w:rsid w:val="003A65A1"/>
    <w:rsid w:val="003A6B75"/>
    <w:rsid w:val="003A7627"/>
    <w:rsid w:val="003A7EF0"/>
    <w:rsid w:val="003B0045"/>
    <w:rsid w:val="003B0F05"/>
    <w:rsid w:val="003B11F4"/>
    <w:rsid w:val="003B30BE"/>
    <w:rsid w:val="003B39FD"/>
    <w:rsid w:val="003B3E08"/>
    <w:rsid w:val="003B561E"/>
    <w:rsid w:val="003B7F26"/>
    <w:rsid w:val="003C0117"/>
    <w:rsid w:val="003C06B3"/>
    <w:rsid w:val="003C138C"/>
    <w:rsid w:val="003C1935"/>
    <w:rsid w:val="003C2161"/>
    <w:rsid w:val="003C236C"/>
    <w:rsid w:val="003C3235"/>
    <w:rsid w:val="003C396B"/>
    <w:rsid w:val="003C3AC5"/>
    <w:rsid w:val="003C421C"/>
    <w:rsid w:val="003C5402"/>
    <w:rsid w:val="003C55CA"/>
    <w:rsid w:val="003C55E4"/>
    <w:rsid w:val="003C619D"/>
    <w:rsid w:val="003C62D8"/>
    <w:rsid w:val="003C6555"/>
    <w:rsid w:val="003C77F1"/>
    <w:rsid w:val="003D0190"/>
    <w:rsid w:val="003D0AC7"/>
    <w:rsid w:val="003D0C11"/>
    <w:rsid w:val="003D1E32"/>
    <w:rsid w:val="003D2539"/>
    <w:rsid w:val="003D2C48"/>
    <w:rsid w:val="003D2F67"/>
    <w:rsid w:val="003D3475"/>
    <w:rsid w:val="003D38ED"/>
    <w:rsid w:val="003D4742"/>
    <w:rsid w:val="003D4BEE"/>
    <w:rsid w:val="003D52F1"/>
    <w:rsid w:val="003D5A9D"/>
    <w:rsid w:val="003D674F"/>
    <w:rsid w:val="003D6AE5"/>
    <w:rsid w:val="003D7169"/>
    <w:rsid w:val="003D7379"/>
    <w:rsid w:val="003D76EA"/>
    <w:rsid w:val="003E0EF3"/>
    <w:rsid w:val="003E1513"/>
    <w:rsid w:val="003E27A8"/>
    <w:rsid w:val="003E30D6"/>
    <w:rsid w:val="003E34D9"/>
    <w:rsid w:val="003E3509"/>
    <w:rsid w:val="003E35E8"/>
    <w:rsid w:val="003E39CD"/>
    <w:rsid w:val="003E3D1D"/>
    <w:rsid w:val="003E466F"/>
    <w:rsid w:val="003E533D"/>
    <w:rsid w:val="003E5D15"/>
    <w:rsid w:val="003E5FF2"/>
    <w:rsid w:val="003E780C"/>
    <w:rsid w:val="003F02AC"/>
    <w:rsid w:val="003F2DD7"/>
    <w:rsid w:val="003F2DE9"/>
    <w:rsid w:val="003F2E6F"/>
    <w:rsid w:val="003F3308"/>
    <w:rsid w:val="003F47B1"/>
    <w:rsid w:val="003F5587"/>
    <w:rsid w:val="003F5ECC"/>
    <w:rsid w:val="003F6DA9"/>
    <w:rsid w:val="003F7099"/>
    <w:rsid w:val="003F763A"/>
    <w:rsid w:val="0040018C"/>
    <w:rsid w:val="00400374"/>
    <w:rsid w:val="0040061D"/>
    <w:rsid w:val="00401F72"/>
    <w:rsid w:val="00402B0A"/>
    <w:rsid w:val="00403288"/>
    <w:rsid w:val="00404590"/>
    <w:rsid w:val="00404774"/>
    <w:rsid w:val="00404884"/>
    <w:rsid w:val="00404964"/>
    <w:rsid w:val="00405578"/>
    <w:rsid w:val="00405B32"/>
    <w:rsid w:val="00405E29"/>
    <w:rsid w:val="00405EF3"/>
    <w:rsid w:val="004063FA"/>
    <w:rsid w:val="004071BE"/>
    <w:rsid w:val="00407D13"/>
    <w:rsid w:val="00407F2B"/>
    <w:rsid w:val="00410CCE"/>
    <w:rsid w:val="004113A5"/>
    <w:rsid w:val="00411E6A"/>
    <w:rsid w:val="0041258D"/>
    <w:rsid w:val="00412D2C"/>
    <w:rsid w:val="00413260"/>
    <w:rsid w:val="00414D0E"/>
    <w:rsid w:val="00414D2F"/>
    <w:rsid w:val="00417AE4"/>
    <w:rsid w:val="00417EB1"/>
    <w:rsid w:val="00420CA4"/>
    <w:rsid w:val="00421461"/>
    <w:rsid w:val="00422251"/>
    <w:rsid w:val="00422AC7"/>
    <w:rsid w:val="00422B4A"/>
    <w:rsid w:val="00422B5E"/>
    <w:rsid w:val="00422FA7"/>
    <w:rsid w:val="00423176"/>
    <w:rsid w:val="004233F8"/>
    <w:rsid w:val="00423735"/>
    <w:rsid w:val="0042409E"/>
    <w:rsid w:val="0042425D"/>
    <w:rsid w:val="00424706"/>
    <w:rsid w:val="00424B1E"/>
    <w:rsid w:val="00424F89"/>
    <w:rsid w:val="0042547D"/>
    <w:rsid w:val="00425754"/>
    <w:rsid w:val="00425927"/>
    <w:rsid w:val="0042679B"/>
    <w:rsid w:val="004269CE"/>
    <w:rsid w:val="00426B97"/>
    <w:rsid w:val="00427815"/>
    <w:rsid w:val="00427B31"/>
    <w:rsid w:val="00430012"/>
    <w:rsid w:val="00430199"/>
    <w:rsid w:val="0043030B"/>
    <w:rsid w:val="00430C48"/>
    <w:rsid w:val="00430D89"/>
    <w:rsid w:val="00431049"/>
    <w:rsid w:val="0043162C"/>
    <w:rsid w:val="004318E4"/>
    <w:rsid w:val="00431C2F"/>
    <w:rsid w:val="00431E48"/>
    <w:rsid w:val="004329FF"/>
    <w:rsid w:val="0043448A"/>
    <w:rsid w:val="00434903"/>
    <w:rsid w:val="004352D1"/>
    <w:rsid w:val="00435336"/>
    <w:rsid w:val="0043570D"/>
    <w:rsid w:val="0043579A"/>
    <w:rsid w:val="00435A4F"/>
    <w:rsid w:val="0043674F"/>
    <w:rsid w:val="0043687D"/>
    <w:rsid w:val="00436E5D"/>
    <w:rsid w:val="00437B9D"/>
    <w:rsid w:val="00437CC8"/>
    <w:rsid w:val="00437D6C"/>
    <w:rsid w:val="0044043F"/>
    <w:rsid w:val="004409E5"/>
    <w:rsid w:val="00440FF2"/>
    <w:rsid w:val="00441499"/>
    <w:rsid w:val="004415A0"/>
    <w:rsid w:val="00441721"/>
    <w:rsid w:val="00441A66"/>
    <w:rsid w:val="00442620"/>
    <w:rsid w:val="004434F8"/>
    <w:rsid w:val="004434FD"/>
    <w:rsid w:val="004437AE"/>
    <w:rsid w:val="00444BF1"/>
    <w:rsid w:val="00444FE2"/>
    <w:rsid w:val="00445973"/>
    <w:rsid w:val="00445DFB"/>
    <w:rsid w:val="00451263"/>
    <w:rsid w:val="00451DB3"/>
    <w:rsid w:val="00452980"/>
    <w:rsid w:val="004530B2"/>
    <w:rsid w:val="004534D1"/>
    <w:rsid w:val="00453C48"/>
    <w:rsid w:val="00453E1B"/>
    <w:rsid w:val="004545EF"/>
    <w:rsid w:val="0045483C"/>
    <w:rsid w:val="004548BD"/>
    <w:rsid w:val="00454E68"/>
    <w:rsid w:val="004551DB"/>
    <w:rsid w:val="004557AC"/>
    <w:rsid w:val="00455E63"/>
    <w:rsid w:val="00455F6D"/>
    <w:rsid w:val="00456211"/>
    <w:rsid w:val="00456580"/>
    <w:rsid w:val="00460D00"/>
    <w:rsid w:val="0046169F"/>
    <w:rsid w:val="00461BFB"/>
    <w:rsid w:val="004632E9"/>
    <w:rsid w:val="0046362F"/>
    <w:rsid w:val="00464354"/>
    <w:rsid w:val="0046455B"/>
    <w:rsid w:val="004646C7"/>
    <w:rsid w:val="00464745"/>
    <w:rsid w:val="00464C09"/>
    <w:rsid w:val="00464D22"/>
    <w:rsid w:val="00464F43"/>
    <w:rsid w:val="0046597B"/>
    <w:rsid w:val="0046678C"/>
    <w:rsid w:val="004670DD"/>
    <w:rsid w:val="0047072D"/>
    <w:rsid w:val="00470F50"/>
    <w:rsid w:val="00471309"/>
    <w:rsid w:val="004715EE"/>
    <w:rsid w:val="004716C7"/>
    <w:rsid w:val="00471971"/>
    <w:rsid w:val="00471BCC"/>
    <w:rsid w:val="00471BD5"/>
    <w:rsid w:val="00472638"/>
    <w:rsid w:val="00472834"/>
    <w:rsid w:val="00472883"/>
    <w:rsid w:val="0047326C"/>
    <w:rsid w:val="00473D69"/>
    <w:rsid w:val="00474476"/>
    <w:rsid w:val="004746D1"/>
    <w:rsid w:val="0047471D"/>
    <w:rsid w:val="00474EFF"/>
    <w:rsid w:val="00476340"/>
    <w:rsid w:val="00476CD3"/>
    <w:rsid w:val="004777C2"/>
    <w:rsid w:val="004779D2"/>
    <w:rsid w:val="0048013C"/>
    <w:rsid w:val="004802E2"/>
    <w:rsid w:val="0048036B"/>
    <w:rsid w:val="00480DCD"/>
    <w:rsid w:val="0048141C"/>
    <w:rsid w:val="00482447"/>
    <w:rsid w:val="004825B6"/>
    <w:rsid w:val="00482D88"/>
    <w:rsid w:val="004831BD"/>
    <w:rsid w:val="0048573A"/>
    <w:rsid w:val="004866D5"/>
    <w:rsid w:val="00486926"/>
    <w:rsid w:val="00486BE7"/>
    <w:rsid w:val="004875F4"/>
    <w:rsid w:val="00487BBA"/>
    <w:rsid w:val="00490E71"/>
    <w:rsid w:val="00490EEA"/>
    <w:rsid w:val="004917BB"/>
    <w:rsid w:val="00491AB3"/>
    <w:rsid w:val="00492AE3"/>
    <w:rsid w:val="00492BC7"/>
    <w:rsid w:val="004932A3"/>
    <w:rsid w:val="00493690"/>
    <w:rsid w:val="004938E7"/>
    <w:rsid w:val="00493B70"/>
    <w:rsid w:val="00494E16"/>
    <w:rsid w:val="00494FA4"/>
    <w:rsid w:val="0049538B"/>
    <w:rsid w:val="00496047"/>
    <w:rsid w:val="004960DB"/>
    <w:rsid w:val="00496258"/>
    <w:rsid w:val="00496261"/>
    <w:rsid w:val="00496656"/>
    <w:rsid w:val="00497313"/>
    <w:rsid w:val="00497A98"/>
    <w:rsid w:val="00497CED"/>
    <w:rsid w:val="00497DBB"/>
    <w:rsid w:val="004A00F2"/>
    <w:rsid w:val="004A03D8"/>
    <w:rsid w:val="004A0CE5"/>
    <w:rsid w:val="004A130F"/>
    <w:rsid w:val="004A189D"/>
    <w:rsid w:val="004A1A18"/>
    <w:rsid w:val="004A41E2"/>
    <w:rsid w:val="004A4270"/>
    <w:rsid w:val="004A448D"/>
    <w:rsid w:val="004A46DE"/>
    <w:rsid w:val="004A4FA2"/>
    <w:rsid w:val="004A6178"/>
    <w:rsid w:val="004A690E"/>
    <w:rsid w:val="004A6E24"/>
    <w:rsid w:val="004A7F4B"/>
    <w:rsid w:val="004B0F5B"/>
    <w:rsid w:val="004B0FBA"/>
    <w:rsid w:val="004B11EF"/>
    <w:rsid w:val="004B16F2"/>
    <w:rsid w:val="004B1E0D"/>
    <w:rsid w:val="004B217E"/>
    <w:rsid w:val="004B24D7"/>
    <w:rsid w:val="004B322A"/>
    <w:rsid w:val="004B326A"/>
    <w:rsid w:val="004B3617"/>
    <w:rsid w:val="004B407C"/>
    <w:rsid w:val="004B4254"/>
    <w:rsid w:val="004B6B5E"/>
    <w:rsid w:val="004B6E86"/>
    <w:rsid w:val="004B74E1"/>
    <w:rsid w:val="004C05FA"/>
    <w:rsid w:val="004C0753"/>
    <w:rsid w:val="004C1BB2"/>
    <w:rsid w:val="004C1F77"/>
    <w:rsid w:val="004C249E"/>
    <w:rsid w:val="004C31FF"/>
    <w:rsid w:val="004C3730"/>
    <w:rsid w:val="004C583F"/>
    <w:rsid w:val="004C5C27"/>
    <w:rsid w:val="004C5C6B"/>
    <w:rsid w:val="004C5D4A"/>
    <w:rsid w:val="004C6C9B"/>
    <w:rsid w:val="004C6CD3"/>
    <w:rsid w:val="004D036E"/>
    <w:rsid w:val="004D0DFA"/>
    <w:rsid w:val="004D16C1"/>
    <w:rsid w:val="004D1820"/>
    <w:rsid w:val="004D1C9F"/>
    <w:rsid w:val="004D1D0A"/>
    <w:rsid w:val="004D2151"/>
    <w:rsid w:val="004D2458"/>
    <w:rsid w:val="004D24FB"/>
    <w:rsid w:val="004D3414"/>
    <w:rsid w:val="004D39F6"/>
    <w:rsid w:val="004D3B0F"/>
    <w:rsid w:val="004D3FD0"/>
    <w:rsid w:val="004D4C34"/>
    <w:rsid w:val="004D4F91"/>
    <w:rsid w:val="004D51A8"/>
    <w:rsid w:val="004D6174"/>
    <w:rsid w:val="004D68A4"/>
    <w:rsid w:val="004D6AD1"/>
    <w:rsid w:val="004D715C"/>
    <w:rsid w:val="004D7184"/>
    <w:rsid w:val="004D797E"/>
    <w:rsid w:val="004E0E78"/>
    <w:rsid w:val="004E10EF"/>
    <w:rsid w:val="004E1E32"/>
    <w:rsid w:val="004E1FA2"/>
    <w:rsid w:val="004E20AD"/>
    <w:rsid w:val="004E24AD"/>
    <w:rsid w:val="004E2649"/>
    <w:rsid w:val="004E2699"/>
    <w:rsid w:val="004E26F4"/>
    <w:rsid w:val="004E2754"/>
    <w:rsid w:val="004E303D"/>
    <w:rsid w:val="004E304C"/>
    <w:rsid w:val="004E3A19"/>
    <w:rsid w:val="004E3CAC"/>
    <w:rsid w:val="004E4469"/>
    <w:rsid w:val="004E5B11"/>
    <w:rsid w:val="004E5DB7"/>
    <w:rsid w:val="004E5E8F"/>
    <w:rsid w:val="004E7C02"/>
    <w:rsid w:val="004F01C3"/>
    <w:rsid w:val="004F0743"/>
    <w:rsid w:val="004F0B08"/>
    <w:rsid w:val="004F0C8A"/>
    <w:rsid w:val="004F12C9"/>
    <w:rsid w:val="004F1476"/>
    <w:rsid w:val="004F2B94"/>
    <w:rsid w:val="004F4BA9"/>
    <w:rsid w:val="004F5E0F"/>
    <w:rsid w:val="004F6143"/>
    <w:rsid w:val="004F6DCE"/>
    <w:rsid w:val="004F7135"/>
    <w:rsid w:val="004F72AA"/>
    <w:rsid w:val="004F740A"/>
    <w:rsid w:val="00500427"/>
    <w:rsid w:val="00500DE3"/>
    <w:rsid w:val="005011D2"/>
    <w:rsid w:val="00501297"/>
    <w:rsid w:val="00502320"/>
    <w:rsid w:val="0050255C"/>
    <w:rsid w:val="00503B56"/>
    <w:rsid w:val="00503ED5"/>
    <w:rsid w:val="005046DB"/>
    <w:rsid w:val="005047D8"/>
    <w:rsid w:val="005053BF"/>
    <w:rsid w:val="00506478"/>
    <w:rsid w:val="00507311"/>
    <w:rsid w:val="005076C8"/>
    <w:rsid w:val="00507AA5"/>
    <w:rsid w:val="00510820"/>
    <w:rsid w:val="00511C1E"/>
    <w:rsid w:val="0051232B"/>
    <w:rsid w:val="00512AF1"/>
    <w:rsid w:val="00513383"/>
    <w:rsid w:val="00513E00"/>
    <w:rsid w:val="00514112"/>
    <w:rsid w:val="005152F7"/>
    <w:rsid w:val="005154CE"/>
    <w:rsid w:val="00515FF1"/>
    <w:rsid w:val="00516B0E"/>
    <w:rsid w:val="005170C3"/>
    <w:rsid w:val="005209C2"/>
    <w:rsid w:val="00520A91"/>
    <w:rsid w:val="00521864"/>
    <w:rsid w:val="00521CDF"/>
    <w:rsid w:val="005221D7"/>
    <w:rsid w:val="0052242A"/>
    <w:rsid w:val="00522952"/>
    <w:rsid w:val="0052299E"/>
    <w:rsid w:val="00523140"/>
    <w:rsid w:val="0052327F"/>
    <w:rsid w:val="00523EFD"/>
    <w:rsid w:val="0052416D"/>
    <w:rsid w:val="00524813"/>
    <w:rsid w:val="00525B5F"/>
    <w:rsid w:val="00525CCE"/>
    <w:rsid w:val="00525E63"/>
    <w:rsid w:val="00526DC6"/>
    <w:rsid w:val="00530D3D"/>
    <w:rsid w:val="005322E3"/>
    <w:rsid w:val="0053334A"/>
    <w:rsid w:val="005348A1"/>
    <w:rsid w:val="00535751"/>
    <w:rsid w:val="005366FB"/>
    <w:rsid w:val="00536F6F"/>
    <w:rsid w:val="00537780"/>
    <w:rsid w:val="00537DAC"/>
    <w:rsid w:val="00540459"/>
    <w:rsid w:val="00540546"/>
    <w:rsid w:val="00542020"/>
    <w:rsid w:val="005425AD"/>
    <w:rsid w:val="0054266C"/>
    <w:rsid w:val="00542E34"/>
    <w:rsid w:val="00543226"/>
    <w:rsid w:val="005437D7"/>
    <w:rsid w:val="0054384D"/>
    <w:rsid w:val="00543A59"/>
    <w:rsid w:val="00544079"/>
    <w:rsid w:val="00544B0C"/>
    <w:rsid w:val="00545AF9"/>
    <w:rsid w:val="00545B4F"/>
    <w:rsid w:val="0054675F"/>
    <w:rsid w:val="00546DD0"/>
    <w:rsid w:val="00546E96"/>
    <w:rsid w:val="00546F14"/>
    <w:rsid w:val="005502D7"/>
    <w:rsid w:val="00550767"/>
    <w:rsid w:val="005525A6"/>
    <w:rsid w:val="00552613"/>
    <w:rsid w:val="00552E55"/>
    <w:rsid w:val="00553487"/>
    <w:rsid w:val="00553929"/>
    <w:rsid w:val="00554045"/>
    <w:rsid w:val="0055409B"/>
    <w:rsid w:val="0055446A"/>
    <w:rsid w:val="0055446F"/>
    <w:rsid w:val="00554CB8"/>
    <w:rsid w:val="00554E02"/>
    <w:rsid w:val="0055523F"/>
    <w:rsid w:val="005557A8"/>
    <w:rsid w:val="0055590B"/>
    <w:rsid w:val="00555DE0"/>
    <w:rsid w:val="00556B5B"/>
    <w:rsid w:val="005579A3"/>
    <w:rsid w:val="00561455"/>
    <w:rsid w:val="0056242D"/>
    <w:rsid w:val="00563771"/>
    <w:rsid w:val="005644E3"/>
    <w:rsid w:val="00564BC9"/>
    <w:rsid w:val="00564F6C"/>
    <w:rsid w:val="0056530B"/>
    <w:rsid w:val="0056652B"/>
    <w:rsid w:val="00566C06"/>
    <w:rsid w:val="00567861"/>
    <w:rsid w:val="005678B3"/>
    <w:rsid w:val="005706B3"/>
    <w:rsid w:val="00572CC9"/>
    <w:rsid w:val="00573F32"/>
    <w:rsid w:val="0057465C"/>
    <w:rsid w:val="00574CA7"/>
    <w:rsid w:val="0057516F"/>
    <w:rsid w:val="00575C40"/>
    <w:rsid w:val="005767D3"/>
    <w:rsid w:val="00577864"/>
    <w:rsid w:val="00577DD8"/>
    <w:rsid w:val="00580759"/>
    <w:rsid w:val="005807A8"/>
    <w:rsid w:val="00581D3D"/>
    <w:rsid w:val="00582E6C"/>
    <w:rsid w:val="00583173"/>
    <w:rsid w:val="0058341F"/>
    <w:rsid w:val="005837F4"/>
    <w:rsid w:val="00583BE6"/>
    <w:rsid w:val="00584255"/>
    <w:rsid w:val="0058449F"/>
    <w:rsid w:val="005846AD"/>
    <w:rsid w:val="00584B74"/>
    <w:rsid w:val="00585309"/>
    <w:rsid w:val="0058685A"/>
    <w:rsid w:val="00587B9F"/>
    <w:rsid w:val="00587DDB"/>
    <w:rsid w:val="00587FA6"/>
    <w:rsid w:val="005901C8"/>
    <w:rsid w:val="00590705"/>
    <w:rsid w:val="005915EA"/>
    <w:rsid w:val="00592625"/>
    <w:rsid w:val="00592C31"/>
    <w:rsid w:val="005932DA"/>
    <w:rsid w:val="005934AB"/>
    <w:rsid w:val="00593DB1"/>
    <w:rsid w:val="00595795"/>
    <w:rsid w:val="00595958"/>
    <w:rsid w:val="005966B1"/>
    <w:rsid w:val="00596975"/>
    <w:rsid w:val="00596A12"/>
    <w:rsid w:val="005974B3"/>
    <w:rsid w:val="00597598"/>
    <w:rsid w:val="00597681"/>
    <w:rsid w:val="00597D89"/>
    <w:rsid w:val="00597E49"/>
    <w:rsid w:val="005A041F"/>
    <w:rsid w:val="005A0A13"/>
    <w:rsid w:val="005A0F06"/>
    <w:rsid w:val="005A0F7F"/>
    <w:rsid w:val="005A2809"/>
    <w:rsid w:val="005A29B5"/>
    <w:rsid w:val="005A5062"/>
    <w:rsid w:val="005A5542"/>
    <w:rsid w:val="005A5911"/>
    <w:rsid w:val="005A6BF7"/>
    <w:rsid w:val="005A772F"/>
    <w:rsid w:val="005A7841"/>
    <w:rsid w:val="005B02AF"/>
    <w:rsid w:val="005B0356"/>
    <w:rsid w:val="005B094C"/>
    <w:rsid w:val="005B115A"/>
    <w:rsid w:val="005B1739"/>
    <w:rsid w:val="005B1929"/>
    <w:rsid w:val="005B3D6A"/>
    <w:rsid w:val="005B4525"/>
    <w:rsid w:val="005B4637"/>
    <w:rsid w:val="005B4A58"/>
    <w:rsid w:val="005B5EF8"/>
    <w:rsid w:val="005B72E4"/>
    <w:rsid w:val="005B7609"/>
    <w:rsid w:val="005B77E1"/>
    <w:rsid w:val="005B7BD6"/>
    <w:rsid w:val="005B7C31"/>
    <w:rsid w:val="005C027C"/>
    <w:rsid w:val="005C0A22"/>
    <w:rsid w:val="005C0D18"/>
    <w:rsid w:val="005C1056"/>
    <w:rsid w:val="005C16A5"/>
    <w:rsid w:val="005C1D4A"/>
    <w:rsid w:val="005C3633"/>
    <w:rsid w:val="005C3951"/>
    <w:rsid w:val="005C4407"/>
    <w:rsid w:val="005C496C"/>
    <w:rsid w:val="005C596D"/>
    <w:rsid w:val="005C6AA4"/>
    <w:rsid w:val="005C76E4"/>
    <w:rsid w:val="005C7D3F"/>
    <w:rsid w:val="005D0605"/>
    <w:rsid w:val="005D0944"/>
    <w:rsid w:val="005D0AB5"/>
    <w:rsid w:val="005D0D18"/>
    <w:rsid w:val="005D1696"/>
    <w:rsid w:val="005D255E"/>
    <w:rsid w:val="005D2AD1"/>
    <w:rsid w:val="005D2B59"/>
    <w:rsid w:val="005D2E11"/>
    <w:rsid w:val="005D3320"/>
    <w:rsid w:val="005D37EA"/>
    <w:rsid w:val="005D40F2"/>
    <w:rsid w:val="005D4B5E"/>
    <w:rsid w:val="005D4C91"/>
    <w:rsid w:val="005D52CF"/>
    <w:rsid w:val="005D5317"/>
    <w:rsid w:val="005D5D79"/>
    <w:rsid w:val="005D5DF0"/>
    <w:rsid w:val="005D64FE"/>
    <w:rsid w:val="005D654B"/>
    <w:rsid w:val="005D6763"/>
    <w:rsid w:val="005D6B09"/>
    <w:rsid w:val="005E0D9A"/>
    <w:rsid w:val="005E158A"/>
    <w:rsid w:val="005E15F7"/>
    <w:rsid w:val="005E22C6"/>
    <w:rsid w:val="005E2CAC"/>
    <w:rsid w:val="005E31DF"/>
    <w:rsid w:val="005E3B4B"/>
    <w:rsid w:val="005E4677"/>
    <w:rsid w:val="005E4855"/>
    <w:rsid w:val="005E4B35"/>
    <w:rsid w:val="005E5B1B"/>
    <w:rsid w:val="005E63DD"/>
    <w:rsid w:val="005E6484"/>
    <w:rsid w:val="005E6F95"/>
    <w:rsid w:val="005E7E9D"/>
    <w:rsid w:val="005F00EC"/>
    <w:rsid w:val="005F0A2F"/>
    <w:rsid w:val="005F0CF0"/>
    <w:rsid w:val="005F147D"/>
    <w:rsid w:val="005F16B1"/>
    <w:rsid w:val="005F1C68"/>
    <w:rsid w:val="005F23DA"/>
    <w:rsid w:val="005F2813"/>
    <w:rsid w:val="005F3552"/>
    <w:rsid w:val="005F36A6"/>
    <w:rsid w:val="005F3C9A"/>
    <w:rsid w:val="005F3F90"/>
    <w:rsid w:val="005F476D"/>
    <w:rsid w:val="005F5BDB"/>
    <w:rsid w:val="005F74EA"/>
    <w:rsid w:val="005F7CD1"/>
    <w:rsid w:val="00601B1D"/>
    <w:rsid w:val="00602966"/>
    <w:rsid w:val="00602E80"/>
    <w:rsid w:val="0060312D"/>
    <w:rsid w:val="0060324C"/>
    <w:rsid w:val="0060368E"/>
    <w:rsid w:val="00603811"/>
    <w:rsid w:val="00603896"/>
    <w:rsid w:val="006038E9"/>
    <w:rsid w:val="00603946"/>
    <w:rsid w:val="00603DDF"/>
    <w:rsid w:val="00605A35"/>
    <w:rsid w:val="00605C67"/>
    <w:rsid w:val="0060608F"/>
    <w:rsid w:val="006062A0"/>
    <w:rsid w:val="00606380"/>
    <w:rsid w:val="006064E1"/>
    <w:rsid w:val="00606C1D"/>
    <w:rsid w:val="00606DF4"/>
    <w:rsid w:val="006070E5"/>
    <w:rsid w:val="00607188"/>
    <w:rsid w:val="006078F6"/>
    <w:rsid w:val="00610C6E"/>
    <w:rsid w:val="0061140B"/>
    <w:rsid w:val="006114F3"/>
    <w:rsid w:val="006117BB"/>
    <w:rsid w:val="00611E7B"/>
    <w:rsid w:val="0061209E"/>
    <w:rsid w:val="0061217D"/>
    <w:rsid w:val="00612412"/>
    <w:rsid w:val="006130C4"/>
    <w:rsid w:val="006133A5"/>
    <w:rsid w:val="006159A1"/>
    <w:rsid w:val="00615D43"/>
    <w:rsid w:val="006169AB"/>
    <w:rsid w:val="00617BDD"/>
    <w:rsid w:val="00617E91"/>
    <w:rsid w:val="006207F4"/>
    <w:rsid w:val="006213B4"/>
    <w:rsid w:val="00621B85"/>
    <w:rsid w:val="00621FC4"/>
    <w:rsid w:val="00622779"/>
    <w:rsid w:val="00623153"/>
    <w:rsid w:val="00623272"/>
    <w:rsid w:val="006234BA"/>
    <w:rsid w:val="00623BA2"/>
    <w:rsid w:val="006240CA"/>
    <w:rsid w:val="00624115"/>
    <w:rsid w:val="006241B7"/>
    <w:rsid w:val="0062445C"/>
    <w:rsid w:val="00626308"/>
    <w:rsid w:val="00627D4A"/>
    <w:rsid w:val="006302F6"/>
    <w:rsid w:val="0063116E"/>
    <w:rsid w:val="00631682"/>
    <w:rsid w:val="0063197D"/>
    <w:rsid w:val="006320F8"/>
    <w:rsid w:val="00632AF0"/>
    <w:rsid w:val="0063380D"/>
    <w:rsid w:val="00633992"/>
    <w:rsid w:val="00633F5A"/>
    <w:rsid w:val="0063469F"/>
    <w:rsid w:val="00634B6D"/>
    <w:rsid w:val="00634DDE"/>
    <w:rsid w:val="006357E0"/>
    <w:rsid w:val="00635934"/>
    <w:rsid w:val="00635DAA"/>
    <w:rsid w:val="00636474"/>
    <w:rsid w:val="00636628"/>
    <w:rsid w:val="00636AED"/>
    <w:rsid w:val="00637099"/>
    <w:rsid w:val="006372C3"/>
    <w:rsid w:val="006374ED"/>
    <w:rsid w:val="00637A3F"/>
    <w:rsid w:val="00640344"/>
    <w:rsid w:val="0064076F"/>
    <w:rsid w:val="00640DA6"/>
    <w:rsid w:val="00640DFC"/>
    <w:rsid w:val="006414FF"/>
    <w:rsid w:val="006418BD"/>
    <w:rsid w:val="00643512"/>
    <w:rsid w:val="00643C94"/>
    <w:rsid w:val="00645321"/>
    <w:rsid w:val="00645754"/>
    <w:rsid w:val="00645A5D"/>
    <w:rsid w:val="00646004"/>
    <w:rsid w:val="006466A3"/>
    <w:rsid w:val="00646E4B"/>
    <w:rsid w:val="00647467"/>
    <w:rsid w:val="0064746F"/>
    <w:rsid w:val="006479D9"/>
    <w:rsid w:val="00647E84"/>
    <w:rsid w:val="0065068A"/>
    <w:rsid w:val="0065170E"/>
    <w:rsid w:val="00651913"/>
    <w:rsid w:val="00651A36"/>
    <w:rsid w:val="00651C26"/>
    <w:rsid w:val="00651F48"/>
    <w:rsid w:val="0065240B"/>
    <w:rsid w:val="00652821"/>
    <w:rsid w:val="006538F8"/>
    <w:rsid w:val="00654469"/>
    <w:rsid w:val="00654D42"/>
    <w:rsid w:val="0065510A"/>
    <w:rsid w:val="00655574"/>
    <w:rsid w:val="00655770"/>
    <w:rsid w:val="00655AFB"/>
    <w:rsid w:val="0065643C"/>
    <w:rsid w:val="006564B2"/>
    <w:rsid w:val="006566F5"/>
    <w:rsid w:val="006568DF"/>
    <w:rsid w:val="006571E8"/>
    <w:rsid w:val="006578E9"/>
    <w:rsid w:val="006605A0"/>
    <w:rsid w:val="00660661"/>
    <w:rsid w:val="00661511"/>
    <w:rsid w:val="006615D3"/>
    <w:rsid w:val="0066160F"/>
    <w:rsid w:val="00662A85"/>
    <w:rsid w:val="00662F34"/>
    <w:rsid w:val="0066311C"/>
    <w:rsid w:val="0066328D"/>
    <w:rsid w:val="0066378C"/>
    <w:rsid w:val="006654F3"/>
    <w:rsid w:val="006656EA"/>
    <w:rsid w:val="00667B37"/>
    <w:rsid w:val="0067099F"/>
    <w:rsid w:val="00670BAA"/>
    <w:rsid w:val="00671D1D"/>
    <w:rsid w:val="00672177"/>
    <w:rsid w:val="006726F7"/>
    <w:rsid w:val="0067418A"/>
    <w:rsid w:val="0067551C"/>
    <w:rsid w:val="00677B8B"/>
    <w:rsid w:val="0068039B"/>
    <w:rsid w:val="00681450"/>
    <w:rsid w:val="00682110"/>
    <w:rsid w:val="0068286F"/>
    <w:rsid w:val="006828DE"/>
    <w:rsid w:val="00682F94"/>
    <w:rsid w:val="00683280"/>
    <w:rsid w:val="00683364"/>
    <w:rsid w:val="00683DE4"/>
    <w:rsid w:val="00684196"/>
    <w:rsid w:val="00685086"/>
    <w:rsid w:val="00685895"/>
    <w:rsid w:val="00686B24"/>
    <w:rsid w:val="00686FCF"/>
    <w:rsid w:val="00687259"/>
    <w:rsid w:val="00687962"/>
    <w:rsid w:val="006903FA"/>
    <w:rsid w:val="0069088B"/>
    <w:rsid w:val="00690FE2"/>
    <w:rsid w:val="0069244C"/>
    <w:rsid w:val="00692BB7"/>
    <w:rsid w:val="00692C4A"/>
    <w:rsid w:val="006930A0"/>
    <w:rsid w:val="006933BA"/>
    <w:rsid w:val="006941A8"/>
    <w:rsid w:val="00695018"/>
    <w:rsid w:val="00695488"/>
    <w:rsid w:val="00695E81"/>
    <w:rsid w:val="0069618C"/>
    <w:rsid w:val="00697E1F"/>
    <w:rsid w:val="006A0F4F"/>
    <w:rsid w:val="006A131C"/>
    <w:rsid w:val="006A13C6"/>
    <w:rsid w:val="006A13F7"/>
    <w:rsid w:val="006A1DE9"/>
    <w:rsid w:val="006A2AE5"/>
    <w:rsid w:val="006A2D87"/>
    <w:rsid w:val="006A388A"/>
    <w:rsid w:val="006A63C3"/>
    <w:rsid w:val="006A7C5F"/>
    <w:rsid w:val="006A7E32"/>
    <w:rsid w:val="006B0527"/>
    <w:rsid w:val="006B0B7C"/>
    <w:rsid w:val="006B0F6B"/>
    <w:rsid w:val="006B1116"/>
    <w:rsid w:val="006B1C57"/>
    <w:rsid w:val="006B1CBD"/>
    <w:rsid w:val="006B1FBB"/>
    <w:rsid w:val="006B30E7"/>
    <w:rsid w:val="006B3F6E"/>
    <w:rsid w:val="006B4EFF"/>
    <w:rsid w:val="006B5566"/>
    <w:rsid w:val="006B5757"/>
    <w:rsid w:val="006B57B8"/>
    <w:rsid w:val="006B6DA0"/>
    <w:rsid w:val="006B6FD4"/>
    <w:rsid w:val="006C0396"/>
    <w:rsid w:val="006C052E"/>
    <w:rsid w:val="006C142E"/>
    <w:rsid w:val="006C1B92"/>
    <w:rsid w:val="006C21C0"/>
    <w:rsid w:val="006C29A8"/>
    <w:rsid w:val="006C381F"/>
    <w:rsid w:val="006C3E65"/>
    <w:rsid w:val="006C3F26"/>
    <w:rsid w:val="006C44C3"/>
    <w:rsid w:val="006C48D7"/>
    <w:rsid w:val="006C4ABD"/>
    <w:rsid w:val="006C4B4F"/>
    <w:rsid w:val="006C4C9C"/>
    <w:rsid w:val="006C5288"/>
    <w:rsid w:val="006C63C2"/>
    <w:rsid w:val="006C68B4"/>
    <w:rsid w:val="006C6D85"/>
    <w:rsid w:val="006D0267"/>
    <w:rsid w:val="006D196C"/>
    <w:rsid w:val="006D1C9E"/>
    <w:rsid w:val="006D2221"/>
    <w:rsid w:val="006D23AE"/>
    <w:rsid w:val="006D390D"/>
    <w:rsid w:val="006D3AF6"/>
    <w:rsid w:val="006D3BBF"/>
    <w:rsid w:val="006D3F4F"/>
    <w:rsid w:val="006D407D"/>
    <w:rsid w:val="006D425D"/>
    <w:rsid w:val="006D46B5"/>
    <w:rsid w:val="006D5343"/>
    <w:rsid w:val="006D5581"/>
    <w:rsid w:val="006D5928"/>
    <w:rsid w:val="006D634B"/>
    <w:rsid w:val="006D6FCD"/>
    <w:rsid w:val="006D752D"/>
    <w:rsid w:val="006D7CB7"/>
    <w:rsid w:val="006D7D8D"/>
    <w:rsid w:val="006E03EF"/>
    <w:rsid w:val="006E0807"/>
    <w:rsid w:val="006E1098"/>
    <w:rsid w:val="006E1324"/>
    <w:rsid w:val="006E16B7"/>
    <w:rsid w:val="006E1CFE"/>
    <w:rsid w:val="006E1E6A"/>
    <w:rsid w:val="006E1F5F"/>
    <w:rsid w:val="006E2038"/>
    <w:rsid w:val="006E2112"/>
    <w:rsid w:val="006E257B"/>
    <w:rsid w:val="006E28A3"/>
    <w:rsid w:val="006E345F"/>
    <w:rsid w:val="006E4001"/>
    <w:rsid w:val="006E45DA"/>
    <w:rsid w:val="006E4C58"/>
    <w:rsid w:val="006E4CC5"/>
    <w:rsid w:val="006E4CF7"/>
    <w:rsid w:val="006E4D3C"/>
    <w:rsid w:val="006E4EB3"/>
    <w:rsid w:val="006E51B8"/>
    <w:rsid w:val="006E57AC"/>
    <w:rsid w:val="006E5CE7"/>
    <w:rsid w:val="006E704A"/>
    <w:rsid w:val="006E7498"/>
    <w:rsid w:val="006E7BAB"/>
    <w:rsid w:val="006E7DA4"/>
    <w:rsid w:val="006E7E72"/>
    <w:rsid w:val="006F04E8"/>
    <w:rsid w:val="006F10DC"/>
    <w:rsid w:val="006F1C6C"/>
    <w:rsid w:val="006F2344"/>
    <w:rsid w:val="006F2A78"/>
    <w:rsid w:val="006F2B7F"/>
    <w:rsid w:val="006F3238"/>
    <w:rsid w:val="006F3354"/>
    <w:rsid w:val="006F3C29"/>
    <w:rsid w:val="006F43B6"/>
    <w:rsid w:val="006F4609"/>
    <w:rsid w:val="006F460E"/>
    <w:rsid w:val="006F47BB"/>
    <w:rsid w:val="006F4A7D"/>
    <w:rsid w:val="006F4CA8"/>
    <w:rsid w:val="006F4E95"/>
    <w:rsid w:val="006F53FA"/>
    <w:rsid w:val="006F58A5"/>
    <w:rsid w:val="006F77CD"/>
    <w:rsid w:val="00700247"/>
    <w:rsid w:val="00701327"/>
    <w:rsid w:val="0070178A"/>
    <w:rsid w:val="007024FB"/>
    <w:rsid w:val="007029FF"/>
    <w:rsid w:val="00702E60"/>
    <w:rsid w:val="00702F2D"/>
    <w:rsid w:val="0070353E"/>
    <w:rsid w:val="00703A9A"/>
    <w:rsid w:val="00703C43"/>
    <w:rsid w:val="00703CF9"/>
    <w:rsid w:val="00704777"/>
    <w:rsid w:val="00704E18"/>
    <w:rsid w:val="0070508F"/>
    <w:rsid w:val="00706E90"/>
    <w:rsid w:val="007104A5"/>
    <w:rsid w:val="0071057B"/>
    <w:rsid w:val="00710D6A"/>
    <w:rsid w:val="007111B4"/>
    <w:rsid w:val="00711349"/>
    <w:rsid w:val="00711E04"/>
    <w:rsid w:val="00713A9B"/>
    <w:rsid w:val="00714178"/>
    <w:rsid w:val="007141A8"/>
    <w:rsid w:val="00714B64"/>
    <w:rsid w:val="00714DB5"/>
    <w:rsid w:val="00715605"/>
    <w:rsid w:val="00715A01"/>
    <w:rsid w:val="00715F9C"/>
    <w:rsid w:val="007160EB"/>
    <w:rsid w:val="0071622D"/>
    <w:rsid w:val="007173B7"/>
    <w:rsid w:val="007173F7"/>
    <w:rsid w:val="00720989"/>
    <w:rsid w:val="00720DA2"/>
    <w:rsid w:val="00721014"/>
    <w:rsid w:val="007223C4"/>
    <w:rsid w:val="0072338A"/>
    <w:rsid w:val="00723C5D"/>
    <w:rsid w:val="007243FF"/>
    <w:rsid w:val="00724C84"/>
    <w:rsid w:val="00724E41"/>
    <w:rsid w:val="007261C5"/>
    <w:rsid w:val="00726D50"/>
    <w:rsid w:val="0072776D"/>
    <w:rsid w:val="007277A5"/>
    <w:rsid w:val="007279BB"/>
    <w:rsid w:val="00730538"/>
    <w:rsid w:val="00730EDD"/>
    <w:rsid w:val="007316AE"/>
    <w:rsid w:val="00731F1B"/>
    <w:rsid w:val="007329B5"/>
    <w:rsid w:val="00732D4C"/>
    <w:rsid w:val="0073424B"/>
    <w:rsid w:val="00734838"/>
    <w:rsid w:val="00736DB5"/>
    <w:rsid w:val="00737C7D"/>
    <w:rsid w:val="0074009B"/>
    <w:rsid w:val="007407A5"/>
    <w:rsid w:val="00740E01"/>
    <w:rsid w:val="00740F8E"/>
    <w:rsid w:val="00740FA8"/>
    <w:rsid w:val="00741973"/>
    <w:rsid w:val="00741BA3"/>
    <w:rsid w:val="0074218B"/>
    <w:rsid w:val="00742328"/>
    <w:rsid w:val="00742E25"/>
    <w:rsid w:val="00744679"/>
    <w:rsid w:val="00744CE1"/>
    <w:rsid w:val="00744E93"/>
    <w:rsid w:val="0074578A"/>
    <w:rsid w:val="00745F68"/>
    <w:rsid w:val="007461AC"/>
    <w:rsid w:val="00751835"/>
    <w:rsid w:val="00751ADA"/>
    <w:rsid w:val="00751B29"/>
    <w:rsid w:val="007520EC"/>
    <w:rsid w:val="00752113"/>
    <w:rsid w:val="007527D2"/>
    <w:rsid w:val="00753036"/>
    <w:rsid w:val="00753223"/>
    <w:rsid w:val="00753245"/>
    <w:rsid w:val="00753277"/>
    <w:rsid w:val="00753281"/>
    <w:rsid w:val="0075483C"/>
    <w:rsid w:val="00754ABB"/>
    <w:rsid w:val="00754B54"/>
    <w:rsid w:val="00756416"/>
    <w:rsid w:val="007567D1"/>
    <w:rsid w:val="007571A8"/>
    <w:rsid w:val="007601D4"/>
    <w:rsid w:val="0076057F"/>
    <w:rsid w:val="00760A2E"/>
    <w:rsid w:val="00760BC0"/>
    <w:rsid w:val="007615BB"/>
    <w:rsid w:val="0076178A"/>
    <w:rsid w:val="007628CB"/>
    <w:rsid w:val="007640DC"/>
    <w:rsid w:val="00766236"/>
    <w:rsid w:val="007662E8"/>
    <w:rsid w:val="0076665A"/>
    <w:rsid w:val="00766AC4"/>
    <w:rsid w:val="00767DA4"/>
    <w:rsid w:val="007706F0"/>
    <w:rsid w:val="00770A3A"/>
    <w:rsid w:val="0077122C"/>
    <w:rsid w:val="007712A5"/>
    <w:rsid w:val="00771EC9"/>
    <w:rsid w:val="007726ED"/>
    <w:rsid w:val="00772814"/>
    <w:rsid w:val="007732F6"/>
    <w:rsid w:val="007738E9"/>
    <w:rsid w:val="0077392F"/>
    <w:rsid w:val="0077402E"/>
    <w:rsid w:val="00774197"/>
    <w:rsid w:val="007749D4"/>
    <w:rsid w:val="00774A6D"/>
    <w:rsid w:val="0077543E"/>
    <w:rsid w:val="00775C24"/>
    <w:rsid w:val="00775E2D"/>
    <w:rsid w:val="00775EC6"/>
    <w:rsid w:val="0077617C"/>
    <w:rsid w:val="00777288"/>
    <w:rsid w:val="0077772F"/>
    <w:rsid w:val="00777939"/>
    <w:rsid w:val="007800C8"/>
    <w:rsid w:val="007823F4"/>
    <w:rsid w:val="00782441"/>
    <w:rsid w:val="007830E8"/>
    <w:rsid w:val="007833BE"/>
    <w:rsid w:val="007833EE"/>
    <w:rsid w:val="00783857"/>
    <w:rsid w:val="00783DCC"/>
    <w:rsid w:val="00784317"/>
    <w:rsid w:val="00784D9C"/>
    <w:rsid w:val="00784F33"/>
    <w:rsid w:val="007850DD"/>
    <w:rsid w:val="007858C6"/>
    <w:rsid w:val="00785AFA"/>
    <w:rsid w:val="00786014"/>
    <w:rsid w:val="0078613C"/>
    <w:rsid w:val="007862C8"/>
    <w:rsid w:val="007862EC"/>
    <w:rsid w:val="00786F2C"/>
    <w:rsid w:val="0078738B"/>
    <w:rsid w:val="007878B2"/>
    <w:rsid w:val="00787907"/>
    <w:rsid w:val="00787CA9"/>
    <w:rsid w:val="00790632"/>
    <w:rsid w:val="007911F7"/>
    <w:rsid w:val="00791B4A"/>
    <w:rsid w:val="007921CC"/>
    <w:rsid w:val="00792314"/>
    <w:rsid w:val="007926B2"/>
    <w:rsid w:val="00792705"/>
    <w:rsid w:val="00792771"/>
    <w:rsid w:val="00793162"/>
    <w:rsid w:val="00793BE2"/>
    <w:rsid w:val="00794594"/>
    <w:rsid w:val="00794AC2"/>
    <w:rsid w:val="007953FD"/>
    <w:rsid w:val="007958EF"/>
    <w:rsid w:val="0079590A"/>
    <w:rsid w:val="0079601A"/>
    <w:rsid w:val="00796EBF"/>
    <w:rsid w:val="00796F59"/>
    <w:rsid w:val="00796FE0"/>
    <w:rsid w:val="007A04CB"/>
    <w:rsid w:val="007A11F2"/>
    <w:rsid w:val="007A289C"/>
    <w:rsid w:val="007A2A61"/>
    <w:rsid w:val="007A4523"/>
    <w:rsid w:val="007A4C08"/>
    <w:rsid w:val="007A51CE"/>
    <w:rsid w:val="007A5621"/>
    <w:rsid w:val="007A57FA"/>
    <w:rsid w:val="007A6D40"/>
    <w:rsid w:val="007A6F01"/>
    <w:rsid w:val="007A759A"/>
    <w:rsid w:val="007A7880"/>
    <w:rsid w:val="007A7F68"/>
    <w:rsid w:val="007B0077"/>
    <w:rsid w:val="007B0385"/>
    <w:rsid w:val="007B0601"/>
    <w:rsid w:val="007B14F8"/>
    <w:rsid w:val="007B1A8C"/>
    <w:rsid w:val="007B20AD"/>
    <w:rsid w:val="007B34A8"/>
    <w:rsid w:val="007B46A2"/>
    <w:rsid w:val="007B48C3"/>
    <w:rsid w:val="007B5284"/>
    <w:rsid w:val="007B553F"/>
    <w:rsid w:val="007B56E9"/>
    <w:rsid w:val="007B5F4B"/>
    <w:rsid w:val="007B629F"/>
    <w:rsid w:val="007B665F"/>
    <w:rsid w:val="007B7042"/>
    <w:rsid w:val="007B786D"/>
    <w:rsid w:val="007B7CF3"/>
    <w:rsid w:val="007B7F30"/>
    <w:rsid w:val="007C07C1"/>
    <w:rsid w:val="007C0EF7"/>
    <w:rsid w:val="007C1047"/>
    <w:rsid w:val="007C1166"/>
    <w:rsid w:val="007C21BD"/>
    <w:rsid w:val="007C232D"/>
    <w:rsid w:val="007C24B2"/>
    <w:rsid w:val="007C2807"/>
    <w:rsid w:val="007C2DB0"/>
    <w:rsid w:val="007C33EB"/>
    <w:rsid w:val="007C3CD1"/>
    <w:rsid w:val="007C4034"/>
    <w:rsid w:val="007C4D36"/>
    <w:rsid w:val="007C5946"/>
    <w:rsid w:val="007C6D00"/>
    <w:rsid w:val="007C6E38"/>
    <w:rsid w:val="007C76B1"/>
    <w:rsid w:val="007C76DB"/>
    <w:rsid w:val="007D0BC0"/>
    <w:rsid w:val="007D198B"/>
    <w:rsid w:val="007D1992"/>
    <w:rsid w:val="007D1AC5"/>
    <w:rsid w:val="007D28DF"/>
    <w:rsid w:val="007D2A1E"/>
    <w:rsid w:val="007D2D72"/>
    <w:rsid w:val="007D2F98"/>
    <w:rsid w:val="007D3787"/>
    <w:rsid w:val="007D47B0"/>
    <w:rsid w:val="007D550B"/>
    <w:rsid w:val="007D597E"/>
    <w:rsid w:val="007D6235"/>
    <w:rsid w:val="007D6820"/>
    <w:rsid w:val="007D7820"/>
    <w:rsid w:val="007D7D3C"/>
    <w:rsid w:val="007E04DD"/>
    <w:rsid w:val="007E141C"/>
    <w:rsid w:val="007E14A8"/>
    <w:rsid w:val="007E1EAC"/>
    <w:rsid w:val="007E2810"/>
    <w:rsid w:val="007E2A53"/>
    <w:rsid w:val="007E2BD8"/>
    <w:rsid w:val="007E376C"/>
    <w:rsid w:val="007E5334"/>
    <w:rsid w:val="007E567E"/>
    <w:rsid w:val="007E5FF2"/>
    <w:rsid w:val="007E664F"/>
    <w:rsid w:val="007E6A5C"/>
    <w:rsid w:val="007F0093"/>
    <w:rsid w:val="007F1D3A"/>
    <w:rsid w:val="007F1D62"/>
    <w:rsid w:val="007F31E3"/>
    <w:rsid w:val="007F3363"/>
    <w:rsid w:val="007F3573"/>
    <w:rsid w:val="007F3AED"/>
    <w:rsid w:val="007F3DCD"/>
    <w:rsid w:val="007F460A"/>
    <w:rsid w:val="007F4850"/>
    <w:rsid w:val="007F50A0"/>
    <w:rsid w:val="007F57FD"/>
    <w:rsid w:val="007F5CEC"/>
    <w:rsid w:val="007F70C0"/>
    <w:rsid w:val="00800039"/>
    <w:rsid w:val="008003FA"/>
    <w:rsid w:val="00800559"/>
    <w:rsid w:val="008007DB"/>
    <w:rsid w:val="00801F37"/>
    <w:rsid w:val="008037E4"/>
    <w:rsid w:val="008050E8"/>
    <w:rsid w:val="0080571E"/>
    <w:rsid w:val="0080609E"/>
    <w:rsid w:val="00806473"/>
    <w:rsid w:val="008107C8"/>
    <w:rsid w:val="00810CCD"/>
    <w:rsid w:val="00811298"/>
    <w:rsid w:val="0081225A"/>
    <w:rsid w:val="008124E0"/>
    <w:rsid w:val="008129C0"/>
    <w:rsid w:val="00812AEA"/>
    <w:rsid w:val="008139E1"/>
    <w:rsid w:val="00813B44"/>
    <w:rsid w:val="00814A90"/>
    <w:rsid w:val="00814DDD"/>
    <w:rsid w:val="00815257"/>
    <w:rsid w:val="008157C7"/>
    <w:rsid w:val="00815DAB"/>
    <w:rsid w:val="00816567"/>
    <w:rsid w:val="00816CB7"/>
    <w:rsid w:val="00816F0D"/>
    <w:rsid w:val="0081716E"/>
    <w:rsid w:val="008173C6"/>
    <w:rsid w:val="008175C8"/>
    <w:rsid w:val="0081799A"/>
    <w:rsid w:val="00817AC7"/>
    <w:rsid w:val="008202FE"/>
    <w:rsid w:val="0082156C"/>
    <w:rsid w:val="00821F13"/>
    <w:rsid w:val="0082214B"/>
    <w:rsid w:val="0082248E"/>
    <w:rsid w:val="0082310E"/>
    <w:rsid w:val="008236DA"/>
    <w:rsid w:val="008237EA"/>
    <w:rsid w:val="00823837"/>
    <w:rsid w:val="008238BB"/>
    <w:rsid w:val="00824C51"/>
    <w:rsid w:val="00824CDA"/>
    <w:rsid w:val="008250F5"/>
    <w:rsid w:val="0082567F"/>
    <w:rsid w:val="008261F3"/>
    <w:rsid w:val="008265EB"/>
    <w:rsid w:val="00830D5A"/>
    <w:rsid w:val="00832131"/>
    <w:rsid w:val="008327F0"/>
    <w:rsid w:val="00833788"/>
    <w:rsid w:val="00834085"/>
    <w:rsid w:val="00834A6F"/>
    <w:rsid w:val="00835139"/>
    <w:rsid w:val="008351AE"/>
    <w:rsid w:val="008358B5"/>
    <w:rsid w:val="00835F61"/>
    <w:rsid w:val="00836342"/>
    <w:rsid w:val="008363B6"/>
    <w:rsid w:val="00836785"/>
    <w:rsid w:val="00836BF7"/>
    <w:rsid w:val="00836C08"/>
    <w:rsid w:val="0084049E"/>
    <w:rsid w:val="00840B44"/>
    <w:rsid w:val="00841A07"/>
    <w:rsid w:val="0084253E"/>
    <w:rsid w:val="008425E4"/>
    <w:rsid w:val="00843C61"/>
    <w:rsid w:val="0084446D"/>
    <w:rsid w:val="008445C2"/>
    <w:rsid w:val="00844FE6"/>
    <w:rsid w:val="008458D5"/>
    <w:rsid w:val="00845A23"/>
    <w:rsid w:val="00846371"/>
    <w:rsid w:val="00846480"/>
    <w:rsid w:val="00847472"/>
    <w:rsid w:val="0084772C"/>
    <w:rsid w:val="00850C8A"/>
    <w:rsid w:val="00850FE2"/>
    <w:rsid w:val="00851157"/>
    <w:rsid w:val="008513C5"/>
    <w:rsid w:val="00851732"/>
    <w:rsid w:val="008525EF"/>
    <w:rsid w:val="00852F84"/>
    <w:rsid w:val="008536A3"/>
    <w:rsid w:val="00853A7A"/>
    <w:rsid w:val="00854735"/>
    <w:rsid w:val="00855615"/>
    <w:rsid w:val="008558E8"/>
    <w:rsid w:val="00855C9F"/>
    <w:rsid w:val="008566E0"/>
    <w:rsid w:val="008601E1"/>
    <w:rsid w:val="00862227"/>
    <w:rsid w:val="00862E5E"/>
    <w:rsid w:val="00862F7A"/>
    <w:rsid w:val="00863753"/>
    <w:rsid w:val="00863808"/>
    <w:rsid w:val="0086404F"/>
    <w:rsid w:val="008665C0"/>
    <w:rsid w:val="00866973"/>
    <w:rsid w:val="008670DC"/>
    <w:rsid w:val="00867421"/>
    <w:rsid w:val="00867442"/>
    <w:rsid w:val="008675B5"/>
    <w:rsid w:val="00867A37"/>
    <w:rsid w:val="008709DC"/>
    <w:rsid w:val="00870E37"/>
    <w:rsid w:val="00870FD1"/>
    <w:rsid w:val="00871065"/>
    <w:rsid w:val="00871566"/>
    <w:rsid w:val="00871896"/>
    <w:rsid w:val="00872242"/>
    <w:rsid w:val="0087333E"/>
    <w:rsid w:val="00873C05"/>
    <w:rsid w:val="00873FB6"/>
    <w:rsid w:val="0087485A"/>
    <w:rsid w:val="00875819"/>
    <w:rsid w:val="008764DC"/>
    <w:rsid w:val="00876C97"/>
    <w:rsid w:val="00877BAF"/>
    <w:rsid w:val="0088027F"/>
    <w:rsid w:val="0088051F"/>
    <w:rsid w:val="008805A1"/>
    <w:rsid w:val="00881786"/>
    <w:rsid w:val="00881788"/>
    <w:rsid w:val="0088250E"/>
    <w:rsid w:val="00883157"/>
    <w:rsid w:val="008837C6"/>
    <w:rsid w:val="0088408F"/>
    <w:rsid w:val="0088434C"/>
    <w:rsid w:val="0088484C"/>
    <w:rsid w:val="00884A68"/>
    <w:rsid w:val="00884AA1"/>
    <w:rsid w:val="00884ED7"/>
    <w:rsid w:val="0088560C"/>
    <w:rsid w:val="0088585B"/>
    <w:rsid w:val="00885C0B"/>
    <w:rsid w:val="00885D3C"/>
    <w:rsid w:val="00886B29"/>
    <w:rsid w:val="00886BD3"/>
    <w:rsid w:val="00887668"/>
    <w:rsid w:val="0088768A"/>
    <w:rsid w:val="00887B50"/>
    <w:rsid w:val="00890209"/>
    <w:rsid w:val="008902ED"/>
    <w:rsid w:val="00890EE8"/>
    <w:rsid w:val="00891868"/>
    <w:rsid w:val="00892B6E"/>
    <w:rsid w:val="00893609"/>
    <w:rsid w:val="00894CB0"/>
    <w:rsid w:val="00894F0F"/>
    <w:rsid w:val="00895957"/>
    <w:rsid w:val="00895A2D"/>
    <w:rsid w:val="00896731"/>
    <w:rsid w:val="0089694F"/>
    <w:rsid w:val="00896BF3"/>
    <w:rsid w:val="0089796A"/>
    <w:rsid w:val="00897F1C"/>
    <w:rsid w:val="008A028B"/>
    <w:rsid w:val="008A0460"/>
    <w:rsid w:val="008A1F9B"/>
    <w:rsid w:val="008A2574"/>
    <w:rsid w:val="008A2C33"/>
    <w:rsid w:val="008A3550"/>
    <w:rsid w:val="008A3B7D"/>
    <w:rsid w:val="008A3C40"/>
    <w:rsid w:val="008A3E97"/>
    <w:rsid w:val="008A4475"/>
    <w:rsid w:val="008A5E4B"/>
    <w:rsid w:val="008A65EB"/>
    <w:rsid w:val="008A6BD0"/>
    <w:rsid w:val="008A7F60"/>
    <w:rsid w:val="008B002C"/>
    <w:rsid w:val="008B12E2"/>
    <w:rsid w:val="008B1805"/>
    <w:rsid w:val="008B267A"/>
    <w:rsid w:val="008B2828"/>
    <w:rsid w:val="008B3347"/>
    <w:rsid w:val="008B36BB"/>
    <w:rsid w:val="008B48B6"/>
    <w:rsid w:val="008B4C92"/>
    <w:rsid w:val="008B4DC0"/>
    <w:rsid w:val="008B6389"/>
    <w:rsid w:val="008B6A35"/>
    <w:rsid w:val="008B6B68"/>
    <w:rsid w:val="008B72F9"/>
    <w:rsid w:val="008B73F1"/>
    <w:rsid w:val="008C004A"/>
    <w:rsid w:val="008C06FC"/>
    <w:rsid w:val="008C0F96"/>
    <w:rsid w:val="008C1151"/>
    <w:rsid w:val="008C1667"/>
    <w:rsid w:val="008C1997"/>
    <w:rsid w:val="008C2FF8"/>
    <w:rsid w:val="008C3071"/>
    <w:rsid w:val="008C31F8"/>
    <w:rsid w:val="008C3260"/>
    <w:rsid w:val="008C3664"/>
    <w:rsid w:val="008C3DE3"/>
    <w:rsid w:val="008C479B"/>
    <w:rsid w:val="008C4E71"/>
    <w:rsid w:val="008C562C"/>
    <w:rsid w:val="008C58C4"/>
    <w:rsid w:val="008C6DC0"/>
    <w:rsid w:val="008C6E4A"/>
    <w:rsid w:val="008C73A2"/>
    <w:rsid w:val="008C7854"/>
    <w:rsid w:val="008C79DC"/>
    <w:rsid w:val="008C7DFF"/>
    <w:rsid w:val="008D02CC"/>
    <w:rsid w:val="008D1E83"/>
    <w:rsid w:val="008D2908"/>
    <w:rsid w:val="008D392D"/>
    <w:rsid w:val="008D3DEC"/>
    <w:rsid w:val="008D3F54"/>
    <w:rsid w:val="008D44CD"/>
    <w:rsid w:val="008D4CDE"/>
    <w:rsid w:val="008D4F33"/>
    <w:rsid w:val="008D7A74"/>
    <w:rsid w:val="008D7ACC"/>
    <w:rsid w:val="008E069A"/>
    <w:rsid w:val="008E069D"/>
    <w:rsid w:val="008E0836"/>
    <w:rsid w:val="008E1253"/>
    <w:rsid w:val="008E1C88"/>
    <w:rsid w:val="008E21B1"/>
    <w:rsid w:val="008E27DA"/>
    <w:rsid w:val="008E29B2"/>
    <w:rsid w:val="008E3419"/>
    <w:rsid w:val="008E49D4"/>
    <w:rsid w:val="008E4E0A"/>
    <w:rsid w:val="008E5092"/>
    <w:rsid w:val="008E517D"/>
    <w:rsid w:val="008E5E07"/>
    <w:rsid w:val="008E604C"/>
    <w:rsid w:val="008E73AF"/>
    <w:rsid w:val="008E7AFD"/>
    <w:rsid w:val="008E7E6E"/>
    <w:rsid w:val="008E7F6B"/>
    <w:rsid w:val="008F11C3"/>
    <w:rsid w:val="008F14B8"/>
    <w:rsid w:val="008F2158"/>
    <w:rsid w:val="008F2E67"/>
    <w:rsid w:val="008F2EA3"/>
    <w:rsid w:val="008F308F"/>
    <w:rsid w:val="008F31EC"/>
    <w:rsid w:val="008F397C"/>
    <w:rsid w:val="008F43FC"/>
    <w:rsid w:val="008F45E3"/>
    <w:rsid w:val="008F5364"/>
    <w:rsid w:val="008F53BD"/>
    <w:rsid w:val="008F5595"/>
    <w:rsid w:val="008F5ECC"/>
    <w:rsid w:val="008F74F5"/>
    <w:rsid w:val="008F7604"/>
    <w:rsid w:val="00901107"/>
    <w:rsid w:val="00901823"/>
    <w:rsid w:val="00901BDC"/>
    <w:rsid w:val="00902407"/>
    <w:rsid w:val="00902573"/>
    <w:rsid w:val="00902838"/>
    <w:rsid w:val="00903136"/>
    <w:rsid w:val="00903202"/>
    <w:rsid w:val="00903F49"/>
    <w:rsid w:val="00904CDE"/>
    <w:rsid w:val="00905029"/>
    <w:rsid w:val="009054F4"/>
    <w:rsid w:val="0090551E"/>
    <w:rsid w:val="00905EF5"/>
    <w:rsid w:val="00906019"/>
    <w:rsid w:val="00906074"/>
    <w:rsid w:val="00906881"/>
    <w:rsid w:val="009074AE"/>
    <w:rsid w:val="00907F69"/>
    <w:rsid w:val="00910389"/>
    <w:rsid w:val="00910441"/>
    <w:rsid w:val="00910C3A"/>
    <w:rsid w:val="00911686"/>
    <w:rsid w:val="00911828"/>
    <w:rsid w:val="0091278A"/>
    <w:rsid w:val="00912F4A"/>
    <w:rsid w:val="00913032"/>
    <w:rsid w:val="009136AC"/>
    <w:rsid w:val="0091394B"/>
    <w:rsid w:val="009144DC"/>
    <w:rsid w:val="00914C25"/>
    <w:rsid w:val="00914C81"/>
    <w:rsid w:val="00914F9A"/>
    <w:rsid w:val="00915C02"/>
    <w:rsid w:val="00917441"/>
    <w:rsid w:val="009177AD"/>
    <w:rsid w:val="0091787C"/>
    <w:rsid w:val="0092014A"/>
    <w:rsid w:val="009204D4"/>
    <w:rsid w:val="009210C7"/>
    <w:rsid w:val="00921538"/>
    <w:rsid w:val="0092185D"/>
    <w:rsid w:val="00921BEA"/>
    <w:rsid w:val="009221C0"/>
    <w:rsid w:val="00922227"/>
    <w:rsid w:val="0092241E"/>
    <w:rsid w:val="00923A30"/>
    <w:rsid w:val="009245AC"/>
    <w:rsid w:val="009252D8"/>
    <w:rsid w:val="00925B6F"/>
    <w:rsid w:val="00925F3B"/>
    <w:rsid w:val="00926A91"/>
    <w:rsid w:val="00926FAA"/>
    <w:rsid w:val="009270D1"/>
    <w:rsid w:val="00927659"/>
    <w:rsid w:val="009309E8"/>
    <w:rsid w:val="009315CE"/>
    <w:rsid w:val="00931AFF"/>
    <w:rsid w:val="00931C1F"/>
    <w:rsid w:val="00932060"/>
    <w:rsid w:val="009323C7"/>
    <w:rsid w:val="00934E54"/>
    <w:rsid w:val="0093561D"/>
    <w:rsid w:val="00935B46"/>
    <w:rsid w:val="00937B13"/>
    <w:rsid w:val="00940C16"/>
    <w:rsid w:val="00940C9A"/>
    <w:rsid w:val="00941DC0"/>
    <w:rsid w:val="009429D6"/>
    <w:rsid w:val="00943DD7"/>
    <w:rsid w:val="00943F9D"/>
    <w:rsid w:val="0094485A"/>
    <w:rsid w:val="009457F0"/>
    <w:rsid w:val="0094592E"/>
    <w:rsid w:val="00945C6E"/>
    <w:rsid w:val="009461BD"/>
    <w:rsid w:val="009470E7"/>
    <w:rsid w:val="0094748C"/>
    <w:rsid w:val="00947EED"/>
    <w:rsid w:val="009507E8"/>
    <w:rsid w:val="00950DE5"/>
    <w:rsid w:val="009518F5"/>
    <w:rsid w:val="00951AF9"/>
    <w:rsid w:val="009523CB"/>
    <w:rsid w:val="00952AFE"/>
    <w:rsid w:val="00952B06"/>
    <w:rsid w:val="0095468D"/>
    <w:rsid w:val="00954E25"/>
    <w:rsid w:val="009551DE"/>
    <w:rsid w:val="0095524F"/>
    <w:rsid w:val="00957D2D"/>
    <w:rsid w:val="00960359"/>
    <w:rsid w:val="009611F5"/>
    <w:rsid w:val="00962537"/>
    <w:rsid w:val="009625D7"/>
    <w:rsid w:val="00962EB8"/>
    <w:rsid w:val="009631DD"/>
    <w:rsid w:val="0096373F"/>
    <w:rsid w:val="0096574D"/>
    <w:rsid w:val="0096682B"/>
    <w:rsid w:val="00967040"/>
    <w:rsid w:val="0096716D"/>
    <w:rsid w:val="009672B8"/>
    <w:rsid w:val="0096794C"/>
    <w:rsid w:val="009679EF"/>
    <w:rsid w:val="00967EEC"/>
    <w:rsid w:val="00970290"/>
    <w:rsid w:val="0097275B"/>
    <w:rsid w:val="00972A22"/>
    <w:rsid w:val="00972C27"/>
    <w:rsid w:val="00972D95"/>
    <w:rsid w:val="00974792"/>
    <w:rsid w:val="009747CB"/>
    <w:rsid w:val="009747DF"/>
    <w:rsid w:val="009749E4"/>
    <w:rsid w:val="00974ABA"/>
    <w:rsid w:val="009755E8"/>
    <w:rsid w:val="00975BCD"/>
    <w:rsid w:val="009762BA"/>
    <w:rsid w:val="009771B1"/>
    <w:rsid w:val="00977D6B"/>
    <w:rsid w:val="00980493"/>
    <w:rsid w:val="00980CAE"/>
    <w:rsid w:val="0098125D"/>
    <w:rsid w:val="00981B5E"/>
    <w:rsid w:val="0098215E"/>
    <w:rsid w:val="00982711"/>
    <w:rsid w:val="00982E8F"/>
    <w:rsid w:val="009842C5"/>
    <w:rsid w:val="009845D6"/>
    <w:rsid w:val="00986802"/>
    <w:rsid w:val="0098715F"/>
    <w:rsid w:val="00987301"/>
    <w:rsid w:val="00987366"/>
    <w:rsid w:val="009873EE"/>
    <w:rsid w:val="009875D6"/>
    <w:rsid w:val="0098784F"/>
    <w:rsid w:val="00987E66"/>
    <w:rsid w:val="00990264"/>
    <w:rsid w:val="00990F22"/>
    <w:rsid w:val="00990F56"/>
    <w:rsid w:val="00991383"/>
    <w:rsid w:val="00992131"/>
    <w:rsid w:val="009923A0"/>
    <w:rsid w:val="00992B68"/>
    <w:rsid w:val="00993FD4"/>
    <w:rsid w:val="009946DD"/>
    <w:rsid w:val="00994EB0"/>
    <w:rsid w:val="00994F8F"/>
    <w:rsid w:val="00995484"/>
    <w:rsid w:val="009962DE"/>
    <w:rsid w:val="0099724A"/>
    <w:rsid w:val="00997607"/>
    <w:rsid w:val="0099771D"/>
    <w:rsid w:val="0099777A"/>
    <w:rsid w:val="009A0CC0"/>
    <w:rsid w:val="009A0D08"/>
    <w:rsid w:val="009A1B29"/>
    <w:rsid w:val="009A2613"/>
    <w:rsid w:val="009A2F7D"/>
    <w:rsid w:val="009A3512"/>
    <w:rsid w:val="009A3E16"/>
    <w:rsid w:val="009A425D"/>
    <w:rsid w:val="009A47F3"/>
    <w:rsid w:val="009A4B32"/>
    <w:rsid w:val="009A4C69"/>
    <w:rsid w:val="009A549D"/>
    <w:rsid w:val="009A583B"/>
    <w:rsid w:val="009A58A5"/>
    <w:rsid w:val="009A5FB7"/>
    <w:rsid w:val="009A62EC"/>
    <w:rsid w:val="009A6396"/>
    <w:rsid w:val="009A639F"/>
    <w:rsid w:val="009A6573"/>
    <w:rsid w:val="009A6F88"/>
    <w:rsid w:val="009A7F05"/>
    <w:rsid w:val="009B08A9"/>
    <w:rsid w:val="009B0F61"/>
    <w:rsid w:val="009B204E"/>
    <w:rsid w:val="009B356D"/>
    <w:rsid w:val="009B3CB4"/>
    <w:rsid w:val="009B4494"/>
    <w:rsid w:val="009B585E"/>
    <w:rsid w:val="009B5ED6"/>
    <w:rsid w:val="009B6203"/>
    <w:rsid w:val="009B6658"/>
    <w:rsid w:val="009B76B1"/>
    <w:rsid w:val="009C00A2"/>
    <w:rsid w:val="009C0B48"/>
    <w:rsid w:val="009C1B1A"/>
    <w:rsid w:val="009C1E49"/>
    <w:rsid w:val="009C22DE"/>
    <w:rsid w:val="009C250F"/>
    <w:rsid w:val="009C2950"/>
    <w:rsid w:val="009C455F"/>
    <w:rsid w:val="009C5821"/>
    <w:rsid w:val="009C68CE"/>
    <w:rsid w:val="009C73AC"/>
    <w:rsid w:val="009C74C3"/>
    <w:rsid w:val="009C7B39"/>
    <w:rsid w:val="009D2047"/>
    <w:rsid w:val="009D2295"/>
    <w:rsid w:val="009D2BF9"/>
    <w:rsid w:val="009D2C75"/>
    <w:rsid w:val="009D2FAC"/>
    <w:rsid w:val="009D39E0"/>
    <w:rsid w:val="009D5C56"/>
    <w:rsid w:val="009D6552"/>
    <w:rsid w:val="009D71BF"/>
    <w:rsid w:val="009D7586"/>
    <w:rsid w:val="009D77EC"/>
    <w:rsid w:val="009D784C"/>
    <w:rsid w:val="009D7C92"/>
    <w:rsid w:val="009D7DEF"/>
    <w:rsid w:val="009E0760"/>
    <w:rsid w:val="009E0926"/>
    <w:rsid w:val="009E13E1"/>
    <w:rsid w:val="009E21A2"/>
    <w:rsid w:val="009E27B1"/>
    <w:rsid w:val="009E291F"/>
    <w:rsid w:val="009E30EA"/>
    <w:rsid w:val="009E3CE1"/>
    <w:rsid w:val="009E52EF"/>
    <w:rsid w:val="009E5766"/>
    <w:rsid w:val="009E5E32"/>
    <w:rsid w:val="009E5F40"/>
    <w:rsid w:val="009E6A9E"/>
    <w:rsid w:val="009E70CE"/>
    <w:rsid w:val="009E7190"/>
    <w:rsid w:val="009E7279"/>
    <w:rsid w:val="009E7FC0"/>
    <w:rsid w:val="009F0514"/>
    <w:rsid w:val="009F135A"/>
    <w:rsid w:val="009F14B7"/>
    <w:rsid w:val="009F1EFE"/>
    <w:rsid w:val="009F224B"/>
    <w:rsid w:val="009F35C4"/>
    <w:rsid w:val="009F3A95"/>
    <w:rsid w:val="009F4610"/>
    <w:rsid w:val="009F6A47"/>
    <w:rsid w:val="009F6D68"/>
    <w:rsid w:val="009F7391"/>
    <w:rsid w:val="009F73C4"/>
    <w:rsid w:val="009F75F4"/>
    <w:rsid w:val="009F7A68"/>
    <w:rsid w:val="00A008BB"/>
    <w:rsid w:val="00A0090E"/>
    <w:rsid w:val="00A010A9"/>
    <w:rsid w:val="00A0111C"/>
    <w:rsid w:val="00A0141C"/>
    <w:rsid w:val="00A01677"/>
    <w:rsid w:val="00A01E35"/>
    <w:rsid w:val="00A02337"/>
    <w:rsid w:val="00A03A43"/>
    <w:rsid w:val="00A05072"/>
    <w:rsid w:val="00A05EB2"/>
    <w:rsid w:val="00A064B5"/>
    <w:rsid w:val="00A0734D"/>
    <w:rsid w:val="00A07945"/>
    <w:rsid w:val="00A102F7"/>
    <w:rsid w:val="00A11586"/>
    <w:rsid w:val="00A11CB6"/>
    <w:rsid w:val="00A12086"/>
    <w:rsid w:val="00A120E6"/>
    <w:rsid w:val="00A12472"/>
    <w:rsid w:val="00A12F07"/>
    <w:rsid w:val="00A14F93"/>
    <w:rsid w:val="00A15C23"/>
    <w:rsid w:val="00A15EEA"/>
    <w:rsid w:val="00A160E9"/>
    <w:rsid w:val="00A16C39"/>
    <w:rsid w:val="00A2043A"/>
    <w:rsid w:val="00A20476"/>
    <w:rsid w:val="00A20798"/>
    <w:rsid w:val="00A20D77"/>
    <w:rsid w:val="00A21401"/>
    <w:rsid w:val="00A216A2"/>
    <w:rsid w:val="00A216E6"/>
    <w:rsid w:val="00A2249B"/>
    <w:rsid w:val="00A2350B"/>
    <w:rsid w:val="00A238D5"/>
    <w:rsid w:val="00A23AFD"/>
    <w:rsid w:val="00A23B42"/>
    <w:rsid w:val="00A23E70"/>
    <w:rsid w:val="00A240B9"/>
    <w:rsid w:val="00A24E84"/>
    <w:rsid w:val="00A2514F"/>
    <w:rsid w:val="00A2560E"/>
    <w:rsid w:val="00A260E7"/>
    <w:rsid w:val="00A26363"/>
    <w:rsid w:val="00A26D9F"/>
    <w:rsid w:val="00A26F79"/>
    <w:rsid w:val="00A27B63"/>
    <w:rsid w:val="00A30541"/>
    <w:rsid w:val="00A3059C"/>
    <w:rsid w:val="00A30CC0"/>
    <w:rsid w:val="00A31466"/>
    <w:rsid w:val="00A314E9"/>
    <w:rsid w:val="00A314ED"/>
    <w:rsid w:val="00A3151F"/>
    <w:rsid w:val="00A31617"/>
    <w:rsid w:val="00A31701"/>
    <w:rsid w:val="00A33326"/>
    <w:rsid w:val="00A33554"/>
    <w:rsid w:val="00A34287"/>
    <w:rsid w:val="00A35154"/>
    <w:rsid w:val="00A35A44"/>
    <w:rsid w:val="00A36652"/>
    <w:rsid w:val="00A36B3D"/>
    <w:rsid w:val="00A36C6D"/>
    <w:rsid w:val="00A36E18"/>
    <w:rsid w:val="00A40324"/>
    <w:rsid w:val="00A40672"/>
    <w:rsid w:val="00A40930"/>
    <w:rsid w:val="00A415E9"/>
    <w:rsid w:val="00A45416"/>
    <w:rsid w:val="00A45BC3"/>
    <w:rsid w:val="00A45EA3"/>
    <w:rsid w:val="00A46749"/>
    <w:rsid w:val="00A4BB17"/>
    <w:rsid w:val="00A502D0"/>
    <w:rsid w:val="00A52B0F"/>
    <w:rsid w:val="00A52F3D"/>
    <w:rsid w:val="00A53488"/>
    <w:rsid w:val="00A538C0"/>
    <w:rsid w:val="00A554DB"/>
    <w:rsid w:val="00A555F9"/>
    <w:rsid w:val="00A55DEF"/>
    <w:rsid w:val="00A56461"/>
    <w:rsid w:val="00A56986"/>
    <w:rsid w:val="00A5707E"/>
    <w:rsid w:val="00A57376"/>
    <w:rsid w:val="00A57383"/>
    <w:rsid w:val="00A57488"/>
    <w:rsid w:val="00A5770C"/>
    <w:rsid w:val="00A5785C"/>
    <w:rsid w:val="00A60407"/>
    <w:rsid w:val="00A607B0"/>
    <w:rsid w:val="00A60F2C"/>
    <w:rsid w:val="00A61235"/>
    <w:rsid w:val="00A613AB"/>
    <w:rsid w:val="00A61858"/>
    <w:rsid w:val="00A61871"/>
    <w:rsid w:val="00A62253"/>
    <w:rsid w:val="00A62D01"/>
    <w:rsid w:val="00A64408"/>
    <w:rsid w:val="00A64F36"/>
    <w:rsid w:val="00A70FBF"/>
    <w:rsid w:val="00A7234D"/>
    <w:rsid w:val="00A72A5E"/>
    <w:rsid w:val="00A731BB"/>
    <w:rsid w:val="00A732A4"/>
    <w:rsid w:val="00A7574D"/>
    <w:rsid w:val="00A76DBB"/>
    <w:rsid w:val="00A76ECF"/>
    <w:rsid w:val="00A77B3C"/>
    <w:rsid w:val="00A80322"/>
    <w:rsid w:val="00A816F7"/>
    <w:rsid w:val="00A820AE"/>
    <w:rsid w:val="00A82A85"/>
    <w:rsid w:val="00A836F8"/>
    <w:rsid w:val="00A84620"/>
    <w:rsid w:val="00A860B3"/>
    <w:rsid w:val="00A861FE"/>
    <w:rsid w:val="00A8679A"/>
    <w:rsid w:val="00A87119"/>
    <w:rsid w:val="00A87120"/>
    <w:rsid w:val="00A91719"/>
    <w:rsid w:val="00A91BAE"/>
    <w:rsid w:val="00A92037"/>
    <w:rsid w:val="00A945A1"/>
    <w:rsid w:val="00A94932"/>
    <w:rsid w:val="00A957F8"/>
    <w:rsid w:val="00A958C6"/>
    <w:rsid w:val="00A95AC2"/>
    <w:rsid w:val="00A9628B"/>
    <w:rsid w:val="00A9669F"/>
    <w:rsid w:val="00A968E0"/>
    <w:rsid w:val="00A96C5B"/>
    <w:rsid w:val="00A9732C"/>
    <w:rsid w:val="00AA0BCD"/>
    <w:rsid w:val="00AA0D41"/>
    <w:rsid w:val="00AA117B"/>
    <w:rsid w:val="00AA1B8E"/>
    <w:rsid w:val="00AA1E8E"/>
    <w:rsid w:val="00AA1EE4"/>
    <w:rsid w:val="00AA2155"/>
    <w:rsid w:val="00AA23DB"/>
    <w:rsid w:val="00AA2A22"/>
    <w:rsid w:val="00AA368D"/>
    <w:rsid w:val="00AA4306"/>
    <w:rsid w:val="00AA46AB"/>
    <w:rsid w:val="00AA479D"/>
    <w:rsid w:val="00AA4E79"/>
    <w:rsid w:val="00AA4EC5"/>
    <w:rsid w:val="00AA5905"/>
    <w:rsid w:val="00AA5FC0"/>
    <w:rsid w:val="00AA6A78"/>
    <w:rsid w:val="00AA6C3C"/>
    <w:rsid w:val="00AA6D88"/>
    <w:rsid w:val="00AA740C"/>
    <w:rsid w:val="00AA77DF"/>
    <w:rsid w:val="00AB0336"/>
    <w:rsid w:val="00AB116D"/>
    <w:rsid w:val="00AB3665"/>
    <w:rsid w:val="00AB473C"/>
    <w:rsid w:val="00AB4975"/>
    <w:rsid w:val="00AB4ACE"/>
    <w:rsid w:val="00AB50AB"/>
    <w:rsid w:val="00AB5E79"/>
    <w:rsid w:val="00AB66ED"/>
    <w:rsid w:val="00AC0239"/>
    <w:rsid w:val="00AC0E1E"/>
    <w:rsid w:val="00AC0ED3"/>
    <w:rsid w:val="00AC2276"/>
    <w:rsid w:val="00AC22EB"/>
    <w:rsid w:val="00AC23BA"/>
    <w:rsid w:val="00AC28F7"/>
    <w:rsid w:val="00AC2922"/>
    <w:rsid w:val="00AC34D2"/>
    <w:rsid w:val="00AC3ED5"/>
    <w:rsid w:val="00AC4419"/>
    <w:rsid w:val="00AC4B0C"/>
    <w:rsid w:val="00AC4FA8"/>
    <w:rsid w:val="00AC5D5F"/>
    <w:rsid w:val="00AC61D9"/>
    <w:rsid w:val="00AC661E"/>
    <w:rsid w:val="00AC6949"/>
    <w:rsid w:val="00AC73E3"/>
    <w:rsid w:val="00AD0091"/>
    <w:rsid w:val="00AD0A90"/>
    <w:rsid w:val="00AD1DC6"/>
    <w:rsid w:val="00AD2351"/>
    <w:rsid w:val="00AD2C0E"/>
    <w:rsid w:val="00AD35CE"/>
    <w:rsid w:val="00AD4521"/>
    <w:rsid w:val="00AD45A6"/>
    <w:rsid w:val="00AD4D92"/>
    <w:rsid w:val="00AD4E31"/>
    <w:rsid w:val="00AD5BDC"/>
    <w:rsid w:val="00AD5F3F"/>
    <w:rsid w:val="00AD6C91"/>
    <w:rsid w:val="00AD76EB"/>
    <w:rsid w:val="00AE10B1"/>
    <w:rsid w:val="00AE11E1"/>
    <w:rsid w:val="00AE1377"/>
    <w:rsid w:val="00AE1482"/>
    <w:rsid w:val="00AE1770"/>
    <w:rsid w:val="00AE25A5"/>
    <w:rsid w:val="00AE3889"/>
    <w:rsid w:val="00AE3DE7"/>
    <w:rsid w:val="00AE401F"/>
    <w:rsid w:val="00AE4253"/>
    <w:rsid w:val="00AE4738"/>
    <w:rsid w:val="00AE47C4"/>
    <w:rsid w:val="00AE5473"/>
    <w:rsid w:val="00AE6D12"/>
    <w:rsid w:val="00AE77C4"/>
    <w:rsid w:val="00AE78D3"/>
    <w:rsid w:val="00AE7AA2"/>
    <w:rsid w:val="00AF0536"/>
    <w:rsid w:val="00AF1E80"/>
    <w:rsid w:val="00AF2AD4"/>
    <w:rsid w:val="00AF3072"/>
    <w:rsid w:val="00AF33D3"/>
    <w:rsid w:val="00AF34F3"/>
    <w:rsid w:val="00AF3AFA"/>
    <w:rsid w:val="00AF3D64"/>
    <w:rsid w:val="00AF3E17"/>
    <w:rsid w:val="00AF4CB7"/>
    <w:rsid w:val="00AF4F76"/>
    <w:rsid w:val="00AF6516"/>
    <w:rsid w:val="00AF67AB"/>
    <w:rsid w:val="00AF6D1D"/>
    <w:rsid w:val="00AF7159"/>
    <w:rsid w:val="00AF7232"/>
    <w:rsid w:val="00B0032D"/>
    <w:rsid w:val="00B00E82"/>
    <w:rsid w:val="00B01236"/>
    <w:rsid w:val="00B01851"/>
    <w:rsid w:val="00B024CF"/>
    <w:rsid w:val="00B04D4E"/>
    <w:rsid w:val="00B04F6C"/>
    <w:rsid w:val="00B0516A"/>
    <w:rsid w:val="00B05206"/>
    <w:rsid w:val="00B05449"/>
    <w:rsid w:val="00B05746"/>
    <w:rsid w:val="00B057B4"/>
    <w:rsid w:val="00B05EA0"/>
    <w:rsid w:val="00B070DB"/>
    <w:rsid w:val="00B10CFD"/>
    <w:rsid w:val="00B10F81"/>
    <w:rsid w:val="00B1125C"/>
    <w:rsid w:val="00B12819"/>
    <w:rsid w:val="00B12917"/>
    <w:rsid w:val="00B12C7B"/>
    <w:rsid w:val="00B132FB"/>
    <w:rsid w:val="00B137DD"/>
    <w:rsid w:val="00B14045"/>
    <w:rsid w:val="00B1452A"/>
    <w:rsid w:val="00B14921"/>
    <w:rsid w:val="00B14988"/>
    <w:rsid w:val="00B14FC5"/>
    <w:rsid w:val="00B162EF"/>
    <w:rsid w:val="00B1655D"/>
    <w:rsid w:val="00B16A32"/>
    <w:rsid w:val="00B17397"/>
    <w:rsid w:val="00B17E3D"/>
    <w:rsid w:val="00B202B4"/>
    <w:rsid w:val="00B21618"/>
    <w:rsid w:val="00B2236B"/>
    <w:rsid w:val="00B2303A"/>
    <w:rsid w:val="00B23FC8"/>
    <w:rsid w:val="00B24B7B"/>
    <w:rsid w:val="00B251DB"/>
    <w:rsid w:val="00B2690A"/>
    <w:rsid w:val="00B26C25"/>
    <w:rsid w:val="00B27D3C"/>
    <w:rsid w:val="00B27E45"/>
    <w:rsid w:val="00B306F2"/>
    <w:rsid w:val="00B31247"/>
    <w:rsid w:val="00B32169"/>
    <w:rsid w:val="00B329BE"/>
    <w:rsid w:val="00B32E45"/>
    <w:rsid w:val="00B33017"/>
    <w:rsid w:val="00B33031"/>
    <w:rsid w:val="00B35837"/>
    <w:rsid w:val="00B35A7B"/>
    <w:rsid w:val="00B35C0C"/>
    <w:rsid w:val="00B36795"/>
    <w:rsid w:val="00B36B40"/>
    <w:rsid w:val="00B37C66"/>
    <w:rsid w:val="00B37CD4"/>
    <w:rsid w:val="00B40B9D"/>
    <w:rsid w:val="00B40F72"/>
    <w:rsid w:val="00B4208F"/>
    <w:rsid w:val="00B4225B"/>
    <w:rsid w:val="00B42897"/>
    <w:rsid w:val="00B42E8E"/>
    <w:rsid w:val="00B43732"/>
    <w:rsid w:val="00B43D91"/>
    <w:rsid w:val="00B45CAF"/>
    <w:rsid w:val="00B462E3"/>
    <w:rsid w:val="00B46700"/>
    <w:rsid w:val="00B467B8"/>
    <w:rsid w:val="00B46DC0"/>
    <w:rsid w:val="00B46E48"/>
    <w:rsid w:val="00B4705C"/>
    <w:rsid w:val="00B476C6"/>
    <w:rsid w:val="00B47B0D"/>
    <w:rsid w:val="00B51C75"/>
    <w:rsid w:val="00B52E3C"/>
    <w:rsid w:val="00B5438E"/>
    <w:rsid w:val="00B5448B"/>
    <w:rsid w:val="00B54D38"/>
    <w:rsid w:val="00B54D44"/>
    <w:rsid w:val="00B54F16"/>
    <w:rsid w:val="00B561F6"/>
    <w:rsid w:val="00B56FAA"/>
    <w:rsid w:val="00B5745B"/>
    <w:rsid w:val="00B57B8B"/>
    <w:rsid w:val="00B6047E"/>
    <w:rsid w:val="00B62A74"/>
    <w:rsid w:val="00B62B7A"/>
    <w:rsid w:val="00B63231"/>
    <w:rsid w:val="00B64591"/>
    <w:rsid w:val="00B6566D"/>
    <w:rsid w:val="00B65F66"/>
    <w:rsid w:val="00B704D5"/>
    <w:rsid w:val="00B70AC6"/>
    <w:rsid w:val="00B717FA"/>
    <w:rsid w:val="00B719B1"/>
    <w:rsid w:val="00B71D97"/>
    <w:rsid w:val="00B736D5"/>
    <w:rsid w:val="00B73B9D"/>
    <w:rsid w:val="00B73E0D"/>
    <w:rsid w:val="00B741D1"/>
    <w:rsid w:val="00B74FC3"/>
    <w:rsid w:val="00B75D8D"/>
    <w:rsid w:val="00B7607E"/>
    <w:rsid w:val="00B76798"/>
    <w:rsid w:val="00B76D9F"/>
    <w:rsid w:val="00B77196"/>
    <w:rsid w:val="00B80D24"/>
    <w:rsid w:val="00B80FD5"/>
    <w:rsid w:val="00B81444"/>
    <w:rsid w:val="00B818F6"/>
    <w:rsid w:val="00B81C13"/>
    <w:rsid w:val="00B82316"/>
    <w:rsid w:val="00B825F0"/>
    <w:rsid w:val="00B82FD5"/>
    <w:rsid w:val="00B83329"/>
    <w:rsid w:val="00B83759"/>
    <w:rsid w:val="00B83F80"/>
    <w:rsid w:val="00B84376"/>
    <w:rsid w:val="00B843BD"/>
    <w:rsid w:val="00B845C6"/>
    <w:rsid w:val="00B8486B"/>
    <w:rsid w:val="00B8520D"/>
    <w:rsid w:val="00B859C7"/>
    <w:rsid w:val="00B85A3E"/>
    <w:rsid w:val="00B85A64"/>
    <w:rsid w:val="00B85DB8"/>
    <w:rsid w:val="00B85F98"/>
    <w:rsid w:val="00B86868"/>
    <w:rsid w:val="00B86B02"/>
    <w:rsid w:val="00B86F5C"/>
    <w:rsid w:val="00B87B13"/>
    <w:rsid w:val="00B910A3"/>
    <w:rsid w:val="00B91649"/>
    <w:rsid w:val="00B9238C"/>
    <w:rsid w:val="00B92529"/>
    <w:rsid w:val="00B9304D"/>
    <w:rsid w:val="00B931D3"/>
    <w:rsid w:val="00B9364A"/>
    <w:rsid w:val="00B9418F"/>
    <w:rsid w:val="00B9617F"/>
    <w:rsid w:val="00B97243"/>
    <w:rsid w:val="00B97D31"/>
    <w:rsid w:val="00B97DEC"/>
    <w:rsid w:val="00BA0BA6"/>
    <w:rsid w:val="00BA1290"/>
    <w:rsid w:val="00BA1679"/>
    <w:rsid w:val="00BA1C3B"/>
    <w:rsid w:val="00BA393B"/>
    <w:rsid w:val="00BA441E"/>
    <w:rsid w:val="00BA469E"/>
    <w:rsid w:val="00BA4C64"/>
    <w:rsid w:val="00BA5A80"/>
    <w:rsid w:val="00BA6029"/>
    <w:rsid w:val="00BA646F"/>
    <w:rsid w:val="00BA66A6"/>
    <w:rsid w:val="00BA68FD"/>
    <w:rsid w:val="00BA71E6"/>
    <w:rsid w:val="00BA7235"/>
    <w:rsid w:val="00BA732D"/>
    <w:rsid w:val="00BA76D1"/>
    <w:rsid w:val="00BA7BE5"/>
    <w:rsid w:val="00BB1542"/>
    <w:rsid w:val="00BB2178"/>
    <w:rsid w:val="00BB2262"/>
    <w:rsid w:val="00BB27DD"/>
    <w:rsid w:val="00BB2A67"/>
    <w:rsid w:val="00BB44F0"/>
    <w:rsid w:val="00BB5815"/>
    <w:rsid w:val="00BB624C"/>
    <w:rsid w:val="00BB631F"/>
    <w:rsid w:val="00BB7496"/>
    <w:rsid w:val="00BC1621"/>
    <w:rsid w:val="00BC16AD"/>
    <w:rsid w:val="00BC1786"/>
    <w:rsid w:val="00BC1C25"/>
    <w:rsid w:val="00BC317B"/>
    <w:rsid w:val="00BC3D53"/>
    <w:rsid w:val="00BC3E6D"/>
    <w:rsid w:val="00BC422E"/>
    <w:rsid w:val="00BC4947"/>
    <w:rsid w:val="00BC4E9D"/>
    <w:rsid w:val="00BC528C"/>
    <w:rsid w:val="00BC547D"/>
    <w:rsid w:val="00BC5791"/>
    <w:rsid w:val="00BC58B6"/>
    <w:rsid w:val="00BC682F"/>
    <w:rsid w:val="00BC7128"/>
    <w:rsid w:val="00BC7D26"/>
    <w:rsid w:val="00BC7DCC"/>
    <w:rsid w:val="00BD09BE"/>
    <w:rsid w:val="00BD0F8A"/>
    <w:rsid w:val="00BD20E4"/>
    <w:rsid w:val="00BD389F"/>
    <w:rsid w:val="00BD3EFD"/>
    <w:rsid w:val="00BD459F"/>
    <w:rsid w:val="00BD4A65"/>
    <w:rsid w:val="00BD4D70"/>
    <w:rsid w:val="00BD739D"/>
    <w:rsid w:val="00BE0A29"/>
    <w:rsid w:val="00BE0D06"/>
    <w:rsid w:val="00BE1287"/>
    <w:rsid w:val="00BE14C7"/>
    <w:rsid w:val="00BE1AC3"/>
    <w:rsid w:val="00BE327C"/>
    <w:rsid w:val="00BE3DAC"/>
    <w:rsid w:val="00BE45E7"/>
    <w:rsid w:val="00BE5245"/>
    <w:rsid w:val="00BE5B8E"/>
    <w:rsid w:val="00BE5E37"/>
    <w:rsid w:val="00BE6EEA"/>
    <w:rsid w:val="00BE6F08"/>
    <w:rsid w:val="00BE714E"/>
    <w:rsid w:val="00BE7418"/>
    <w:rsid w:val="00BE76A5"/>
    <w:rsid w:val="00BE7890"/>
    <w:rsid w:val="00BE798B"/>
    <w:rsid w:val="00BF0444"/>
    <w:rsid w:val="00BF24A5"/>
    <w:rsid w:val="00BF2AA5"/>
    <w:rsid w:val="00BF4C01"/>
    <w:rsid w:val="00BF4FF5"/>
    <w:rsid w:val="00BF504D"/>
    <w:rsid w:val="00BF50A7"/>
    <w:rsid w:val="00BF6CEA"/>
    <w:rsid w:val="00BF6D67"/>
    <w:rsid w:val="00BF71E5"/>
    <w:rsid w:val="00C01DD2"/>
    <w:rsid w:val="00C027B7"/>
    <w:rsid w:val="00C0287D"/>
    <w:rsid w:val="00C02A3C"/>
    <w:rsid w:val="00C03065"/>
    <w:rsid w:val="00C0345A"/>
    <w:rsid w:val="00C040F0"/>
    <w:rsid w:val="00C047EC"/>
    <w:rsid w:val="00C04AB5"/>
    <w:rsid w:val="00C053B6"/>
    <w:rsid w:val="00C0633D"/>
    <w:rsid w:val="00C06417"/>
    <w:rsid w:val="00C06720"/>
    <w:rsid w:val="00C06C3B"/>
    <w:rsid w:val="00C06D68"/>
    <w:rsid w:val="00C10960"/>
    <w:rsid w:val="00C1170F"/>
    <w:rsid w:val="00C11CB9"/>
    <w:rsid w:val="00C13B61"/>
    <w:rsid w:val="00C13C2D"/>
    <w:rsid w:val="00C14869"/>
    <w:rsid w:val="00C152B1"/>
    <w:rsid w:val="00C16487"/>
    <w:rsid w:val="00C16790"/>
    <w:rsid w:val="00C16908"/>
    <w:rsid w:val="00C16A9F"/>
    <w:rsid w:val="00C1711E"/>
    <w:rsid w:val="00C177E4"/>
    <w:rsid w:val="00C20A71"/>
    <w:rsid w:val="00C20E35"/>
    <w:rsid w:val="00C218F0"/>
    <w:rsid w:val="00C2201F"/>
    <w:rsid w:val="00C224B8"/>
    <w:rsid w:val="00C22866"/>
    <w:rsid w:val="00C228B3"/>
    <w:rsid w:val="00C22C3E"/>
    <w:rsid w:val="00C22CC9"/>
    <w:rsid w:val="00C23461"/>
    <w:rsid w:val="00C23A67"/>
    <w:rsid w:val="00C24EDC"/>
    <w:rsid w:val="00C25C99"/>
    <w:rsid w:val="00C25D70"/>
    <w:rsid w:val="00C2619E"/>
    <w:rsid w:val="00C2680A"/>
    <w:rsid w:val="00C26BFF"/>
    <w:rsid w:val="00C27206"/>
    <w:rsid w:val="00C2764A"/>
    <w:rsid w:val="00C27AB6"/>
    <w:rsid w:val="00C3099F"/>
    <w:rsid w:val="00C30A99"/>
    <w:rsid w:val="00C30C7B"/>
    <w:rsid w:val="00C31150"/>
    <w:rsid w:val="00C32041"/>
    <w:rsid w:val="00C326FE"/>
    <w:rsid w:val="00C32F02"/>
    <w:rsid w:val="00C33222"/>
    <w:rsid w:val="00C33250"/>
    <w:rsid w:val="00C339E5"/>
    <w:rsid w:val="00C33C85"/>
    <w:rsid w:val="00C33D43"/>
    <w:rsid w:val="00C347E0"/>
    <w:rsid w:val="00C34B5A"/>
    <w:rsid w:val="00C35296"/>
    <w:rsid w:val="00C357A3"/>
    <w:rsid w:val="00C35A0D"/>
    <w:rsid w:val="00C35C31"/>
    <w:rsid w:val="00C36BA5"/>
    <w:rsid w:val="00C40219"/>
    <w:rsid w:val="00C40F9D"/>
    <w:rsid w:val="00C41B07"/>
    <w:rsid w:val="00C4215C"/>
    <w:rsid w:val="00C42705"/>
    <w:rsid w:val="00C432EC"/>
    <w:rsid w:val="00C43DE0"/>
    <w:rsid w:val="00C43E97"/>
    <w:rsid w:val="00C441F4"/>
    <w:rsid w:val="00C44D1C"/>
    <w:rsid w:val="00C47004"/>
    <w:rsid w:val="00C50157"/>
    <w:rsid w:val="00C511FD"/>
    <w:rsid w:val="00C517EC"/>
    <w:rsid w:val="00C52846"/>
    <w:rsid w:val="00C5326F"/>
    <w:rsid w:val="00C54244"/>
    <w:rsid w:val="00C54EC8"/>
    <w:rsid w:val="00C5588F"/>
    <w:rsid w:val="00C57AA2"/>
    <w:rsid w:val="00C606E3"/>
    <w:rsid w:val="00C61C7B"/>
    <w:rsid w:val="00C61DB9"/>
    <w:rsid w:val="00C623E9"/>
    <w:rsid w:val="00C62653"/>
    <w:rsid w:val="00C62682"/>
    <w:rsid w:val="00C62A38"/>
    <w:rsid w:val="00C63775"/>
    <w:rsid w:val="00C63F43"/>
    <w:rsid w:val="00C640EE"/>
    <w:rsid w:val="00C6450E"/>
    <w:rsid w:val="00C6468A"/>
    <w:rsid w:val="00C64D85"/>
    <w:rsid w:val="00C65375"/>
    <w:rsid w:val="00C65810"/>
    <w:rsid w:val="00C65835"/>
    <w:rsid w:val="00C67845"/>
    <w:rsid w:val="00C67AA7"/>
    <w:rsid w:val="00C67B0D"/>
    <w:rsid w:val="00C70E3A"/>
    <w:rsid w:val="00C7185A"/>
    <w:rsid w:val="00C71B53"/>
    <w:rsid w:val="00C71B81"/>
    <w:rsid w:val="00C7200C"/>
    <w:rsid w:val="00C727C9"/>
    <w:rsid w:val="00C7344B"/>
    <w:rsid w:val="00C73849"/>
    <w:rsid w:val="00C73C91"/>
    <w:rsid w:val="00C74120"/>
    <w:rsid w:val="00C741CE"/>
    <w:rsid w:val="00C741E9"/>
    <w:rsid w:val="00C74A34"/>
    <w:rsid w:val="00C74AA0"/>
    <w:rsid w:val="00C7641F"/>
    <w:rsid w:val="00C7651F"/>
    <w:rsid w:val="00C7679E"/>
    <w:rsid w:val="00C77AEE"/>
    <w:rsid w:val="00C77E15"/>
    <w:rsid w:val="00C77FFE"/>
    <w:rsid w:val="00C80CC3"/>
    <w:rsid w:val="00C80CE8"/>
    <w:rsid w:val="00C80CFD"/>
    <w:rsid w:val="00C8145B"/>
    <w:rsid w:val="00C81A8B"/>
    <w:rsid w:val="00C824F6"/>
    <w:rsid w:val="00C82A6C"/>
    <w:rsid w:val="00C82FC4"/>
    <w:rsid w:val="00C832EC"/>
    <w:rsid w:val="00C83806"/>
    <w:rsid w:val="00C84964"/>
    <w:rsid w:val="00C84F79"/>
    <w:rsid w:val="00C850CE"/>
    <w:rsid w:val="00C8564F"/>
    <w:rsid w:val="00C87C67"/>
    <w:rsid w:val="00C902C2"/>
    <w:rsid w:val="00C9037A"/>
    <w:rsid w:val="00C926DA"/>
    <w:rsid w:val="00C928BE"/>
    <w:rsid w:val="00C934C7"/>
    <w:rsid w:val="00C946A0"/>
    <w:rsid w:val="00C946D7"/>
    <w:rsid w:val="00C94A08"/>
    <w:rsid w:val="00C955A4"/>
    <w:rsid w:val="00C95664"/>
    <w:rsid w:val="00C95F89"/>
    <w:rsid w:val="00C9605C"/>
    <w:rsid w:val="00C961BB"/>
    <w:rsid w:val="00C96E9B"/>
    <w:rsid w:val="00CA098F"/>
    <w:rsid w:val="00CA0D26"/>
    <w:rsid w:val="00CA20D5"/>
    <w:rsid w:val="00CA2273"/>
    <w:rsid w:val="00CA2475"/>
    <w:rsid w:val="00CA2670"/>
    <w:rsid w:val="00CA268C"/>
    <w:rsid w:val="00CA307C"/>
    <w:rsid w:val="00CA355A"/>
    <w:rsid w:val="00CA372E"/>
    <w:rsid w:val="00CA4FAE"/>
    <w:rsid w:val="00CA566A"/>
    <w:rsid w:val="00CA5A8F"/>
    <w:rsid w:val="00CA77D8"/>
    <w:rsid w:val="00CA7AB2"/>
    <w:rsid w:val="00CB03BA"/>
    <w:rsid w:val="00CB234B"/>
    <w:rsid w:val="00CB31FC"/>
    <w:rsid w:val="00CB3365"/>
    <w:rsid w:val="00CB3996"/>
    <w:rsid w:val="00CB44C6"/>
    <w:rsid w:val="00CB5325"/>
    <w:rsid w:val="00CB6743"/>
    <w:rsid w:val="00CB6B38"/>
    <w:rsid w:val="00CB6B51"/>
    <w:rsid w:val="00CB6F04"/>
    <w:rsid w:val="00CC13E1"/>
    <w:rsid w:val="00CC172A"/>
    <w:rsid w:val="00CC2478"/>
    <w:rsid w:val="00CC24C5"/>
    <w:rsid w:val="00CC277B"/>
    <w:rsid w:val="00CC2948"/>
    <w:rsid w:val="00CC3191"/>
    <w:rsid w:val="00CC3B8B"/>
    <w:rsid w:val="00CC4A5B"/>
    <w:rsid w:val="00CC4EFD"/>
    <w:rsid w:val="00CC55AF"/>
    <w:rsid w:val="00CC55C2"/>
    <w:rsid w:val="00CC55E5"/>
    <w:rsid w:val="00CC5AAC"/>
    <w:rsid w:val="00CC5B69"/>
    <w:rsid w:val="00CC5EA9"/>
    <w:rsid w:val="00CC7C59"/>
    <w:rsid w:val="00CC7FDC"/>
    <w:rsid w:val="00CD0153"/>
    <w:rsid w:val="00CD12F8"/>
    <w:rsid w:val="00CD1605"/>
    <w:rsid w:val="00CD1D21"/>
    <w:rsid w:val="00CD1DA9"/>
    <w:rsid w:val="00CD1E27"/>
    <w:rsid w:val="00CD235D"/>
    <w:rsid w:val="00CD2D71"/>
    <w:rsid w:val="00CD2DEA"/>
    <w:rsid w:val="00CD33A0"/>
    <w:rsid w:val="00CD346D"/>
    <w:rsid w:val="00CD38B3"/>
    <w:rsid w:val="00CD3983"/>
    <w:rsid w:val="00CD3CF2"/>
    <w:rsid w:val="00CD46E9"/>
    <w:rsid w:val="00CD4DB8"/>
    <w:rsid w:val="00CD4FA0"/>
    <w:rsid w:val="00CD59D8"/>
    <w:rsid w:val="00CD6F8C"/>
    <w:rsid w:val="00CD6FF5"/>
    <w:rsid w:val="00CD72D2"/>
    <w:rsid w:val="00CE002F"/>
    <w:rsid w:val="00CE06AE"/>
    <w:rsid w:val="00CE09CA"/>
    <w:rsid w:val="00CE0E79"/>
    <w:rsid w:val="00CE192C"/>
    <w:rsid w:val="00CE25A1"/>
    <w:rsid w:val="00CE26A2"/>
    <w:rsid w:val="00CE27B7"/>
    <w:rsid w:val="00CE2C79"/>
    <w:rsid w:val="00CE33DE"/>
    <w:rsid w:val="00CE37F5"/>
    <w:rsid w:val="00CE4193"/>
    <w:rsid w:val="00CE4605"/>
    <w:rsid w:val="00CE4FDF"/>
    <w:rsid w:val="00CE54F5"/>
    <w:rsid w:val="00CE60F6"/>
    <w:rsid w:val="00CE62EE"/>
    <w:rsid w:val="00CE65A0"/>
    <w:rsid w:val="00CE74C1"/>
    <w:rsid w:val="00CE75F3"/>
    <w:rsid w:val="00CF0055"/>
    <w:rsid w:val="00CF064B"/>
    <w:rsid w:val="00CF06D1"/>
    <w:rsid w:val="00CF07A1"/>
    <w:rsid w:val="00CF0CD9"/>
    <w:rsid w:val="00CF261F"/>
    <w:rsid w:val="00CF28E4"/>
    <w:rsid w:val="00CF2952"/>
    <w:rsid w:val="00CF2CA4"/>
    <w:rsid w:val="00CF410D"/>
    <w:rsid w:val="00CF41D6"/>
    <w:rsid w:val="00CF42B9"/>
    <w:rsid w:val="00CF43C1"/>
    <w:rsid w:val="00CF4F8A"/>
    <w:rsid w:val="00CF51E9"/>
    <w:rsid w:val="00CF53D2"/>
    <w:rsid w:val="00CF6228"/>
    <w:rsid w:val="00CF6279"/>
    <w:rsid w:val="00CF7C5A"/>
    <w:rsid w:val="00D0055C"/>
    <w:rsid w:val="00D00839"/>
    <w:rsid w:val="00D00E67"/>
    <w:rsid w:val="00D0161A"/>
    <w:rsid w:val="00D01631"/>
    <w:rsid w:val="00D01986"/>
    <w:rsid w:val="00D02446"/>
    <w:rsid w:val="00D02EFA"/>
    <w:rsid w:val="00D069C8"/>
    <w:rsid w:val="00D069FA"/>
    <w:rsid w:val="00D07A39"/>
    <w:rsid w:val="00D10DAA"/>
    <w:rsid w:val="00D113B6"/>
    <w:rsid w:val="00D1168D"/>
    <w:rsid w:val="00D117E4"/>
    <w:rsid w:val="00D11A19"/>
    <w:rsid w:val="00D120E8"/>
    <w:rsid w:val="00D123E1"/>
    <w:rsid w:val="00D126E6"/>
    <w:rsid w:val="00D12BEF"/>
    <w:rsid w:val="00D142C9"/>
    <w:rsid w:val="00D143B3"/>
    <w:rsid w:val="00D14A50"/>
    <w:rsid w:val="00D14CDD"/>
    <w:rsid w:val="00D21585"/>
    <w:rsid w:val="00D21948"/>
    <w:rsid w:val="00D220CF"/>
    <w:rsid w:val="00D2226F"/>
    <w:rsid w:val="00D225FD"/>
    <w:rsid w:val="00D233C3"/>
    <w:rsid w:val="00D23651"/>
    <w:rsid w:val="00D241F4"/>
    <w:rsid w:val="00D24531"/>
    <w:rsid w:val="00D2480C"/>
    <w:rsid w:val="00D25E28"/>
    <w:rsid w:val="00D2609D"/>
    <w:rsid w:val="00D2721D"/>
    <w:rsid w:val="00D27C25"/>
    <w:rsid w:val="00D306F9"/>
    <w:rsid w:val="00D30FC4"/>
    <w:rsid w:val="00D3113D"/>
    <w:rsid w:val="00D31EE2"/>
    <w:rsid w:val="00D320D1"/>
    <w:rsid w:val="00D3267F"/>
    <w:rsid w:val="00D328D6"/>
    <w:rsid w:val="00D334B3"/>
    <w:rsid w:val="00D33FD1"/>
    <w:rsid w:val="00D34420"/>
    <w:rsid w:val="00D34CA4"/>
    <w:rsid w:val="00D357B5"/>
    <w:rsid w:val="00D36D6A"/>
    <w:rsid w:val="00D3712C"/>
    <w:rsid w:val="00D375DE"/>
    <w:rsid w:val="00D405AB"/>
    <w:rsid w:val="00D40B9D"/>
    <w:rsid w:val="00D416EE"/>
    <w:rsid w:val="00D416FC"/>
    <w:rsid w:val="00D41DB6"/>
    <w:rsid w:val="00D422B5"/>
    <w:rsid w:val="00D429DD"/>
    <w:rsid w:val="00D43D5E"/>
    <w:rsid w:val="00D43EFD"/>
    <w:rsid w:val="00D445D9"/>
    <w:rsid w:val="00D44A29"/>
    <w:rsid w:val="00D4524F"/>
    <w:rsid w:val="00D452D4"/>
    <w:rsid w:val="00D455C4"/>
    <w:rsid w:val="00D457D9"/>
    <w:rsid w:val="00D45A1E"/>
    <w:rsid w:val="00D4711E"/>
    <w:rsid w:val="00D477B8"/>
    <w:rsid w:val="00D478F6"/>
    <w:rsid w:val="00D479C0"/>
    <w:rsid w:val="00D47A31"/>
    <w:rsid w:val="00D50924"/>
    <w:rsid w:val="00D50DF5"/>
    <w:rsid w:val="00D5124A"/>
    <w:rsid w:val="00D514AF"/>
    <w:rsid w:val="00D51FEE"/>
    <w:rsid w:val="00D52EA9"/>
    <w:rsid w:val="00D53154"/>
    <w:rsid w:val="00D54390"/>
    <w:rsid w:val="00D543F2"/>
    <w:rsid w:val="00D54419"/>
    <w:rsid w:val="00D5457F"/>
    <w:rsid w:val="00D54653"/>
    <w:rsid w:val="00D5478C"/>
    <w:rsid w:val="00D548D4"/>
    <w:rsid w:val="00D553D3"/>
    <w:rsid w:val="00D5632E"/>
    <w:rsid w:val="00D56C9F"/>
    <w:rsid w:val="00D57B96"/>
    <w:rsid w:val="00D60B5F"/>
    <w:rsid w:val="00D61259"/>
    <w:rsid w:val="00D62479"/>
    <w:rsid w:val="00D6350E"/>
    <w:rsid w:val="00D635CB"/>
    <w:rsid w:val="00D65306"/>
    <w:rsid w:val="00D65F31"/>
    <w:rsid w:val="00D65FBF"/>
    <w:rsid w:val="00D66084"/>
    <w:rsid w:val="00D66CA4"/>
    <w:rsid w:val="00D67379"/>
    <w:rsid w:val="00D71090"/>
    <w:rsid w:val="00D712B4"/>
    <w:rsid w:val="00D7247C"/>
    <w:rsid w:val="00D72F62"/>
    <w:rsid w:val="00D734A3"/>
    <w:rsid w:val="00D73EC8"/>
    <w:rsid w:val="00D744B4"/>
    <w:rsid w:val="00D74B5A"/>
    <w:rsid w:val="00D75333"/>
    <w:rsid w:val="00D75D23"/>
    <w:rsid w:val="00D7608C"/>
    <w:rsid w:val="00D76383"/>
    <w:rsid w:val="00D7683F"/>
    <w:rsid w:val="00D77C7D"/>
    <w:rsid w:val="00D81731"/>
    <w:rsid w:val="00D8198B"/>
    <w:rsid w:val="00D8416C"/>
    <w:rsid w:val="00D841E9"/>
    <w:rsid w:val="00D84EED"/>
    <w:rsid w:val="00D85050"/>
    <w:rsid w:val="00D85172"/>
    <w:rsid w:val="00D8590A"/>
    <w:rsid w:val="00D863C2"/>
    <w:rsid w:val="00D869CD"/>
    <w:rsid w:val="00D86D2C"/>
    <w:rsid w:val="00D8758B"/>
    <w:rsid w:val="00D87779"/>
    <w:rsid w:val="00D87A44"/>
    <w:rsid w:val="00D90318"/>
    <w:rsid w:val="00D90433"/>
    <w:rsid w:val="00D90535"/>
    <w:rsid w:val="00D9095D"/>
    <w:rsid w:val="00D918F6"/>
    <w:rsid w:val="00D92215"/>
    <w:rsid w:val="00D931A0"/>
    <w:rsid w:val="00D9323A"/>
    <w:rsid w:val="00D93B08"/>
    <w:rsid w:val="00D94269"/>
    <w:rsid w:val="00D9474C"/>
    <w:rsid w:val="00D94A2D"/>
    <w:rsid w:val="00D959E6"/>
    <w:rsid w:val="00D95D83"/>
    <w:rsid w:val="00D9637C"/>
    <w:rsid w:val="00D96FCD"/>
    <w:rsid w:val="00D97121"/>
    <w:rsid w:val="00D978CC"/>
    <w:rsid w:val="00D97F45"/>
    <w:rsid w:val="00DA09F6"/>
    <w:rsid w:val="00DA0B9F"/>
    <w:rsid w:val="00DA13D6"/>
    <w:rsid w:val="00DA2A4D"/>
    <w:rsid w:val="00DA31A1"/>
    <w:rsid w:val="00DA4A43"/>
    <w:rsid w:val="00DA4E29"/>
    <w:rsid w:val="00DA522E"/>
    <w:rsid w:val="00DA5390"/>
    <w:rsid w:val="00DA5F54"/>
    <w:rsid w:val="00DA69B3"/>
    <w:rsid w:val="00DA70E6"/>
    <w:rsid w:val="00DA76AF"/>
    <w:rsid w:val="00DA76F1"/>
    <w:rsid w:val="00DA7ACC"/>
    <w:rsid w:val="00DB0D88"/>
    <w:rsid w:val="00DB1D80"/>
    <w:rsid w:val="00DB2791"/>
    <w:rsid w:val="00DB4C26"/>
    <w:rsid w:val="00DB5147"/>
    <w:rsid w:val="00DB60BF"/>
    <w:rsid w:val="00DB6F1A"/>
    <w:rsid w:val="00DB7072"/>
    <w:rsid w:val="00DB72A4"/>
    <w:rsid w:val="00DB7AA7"/>
    <w:rsid w:val="00DC0225"/>
    <w:rsid w:val="00DC0D4B"/>
    <w:rsid w:val="00DC1C5E"/>
    <w:rsid w:val="00DC224A"/>
    <w:rsid w:val="00DC22F7"/>
    <w:rsid w:val="00DC233F"/>
    <w:rsid w:val="00DC270B"/>
    <w:rsid w:val="00DC2A65"/>
    <w:rsid w:val="00DC3553"/>
    <w:rsid w:val="00DC3624"/>
    <w:rsid w:val="00DC3F31"/>
    <w:rsid w:val="00DC7005"/>
    <w:rsid w:val="00DC70B9"/>
    <w:rsid w:val="00DC79FC"/>
    <w:rsid w:val="00DD09B9"/>
    <w:rsid w:val="00DD09F0"/>
    <w:rsid w:val="00DD0F73"/>
    <w:rsid w:val="00DD136B"/>
    <w:rsid w:val="00DD1A2A"/>
    <w:rsid w:val="00DD207D"/>
    <w:rsid w:val="00DD2202"/>
    <w:rsid w:val="00DD303C"/>
    <w:rsid w:val="00DD30C4"/>
    <w:rsid w:val="00DD3708"/>
    <w:rsid w:val="00DD3743"/>
    <w:rsid w:val="00DD4A38"/>
    <w:rsid w:val="00DD4E94"/>
    <w:rsid w:val="00DD5B76"/>
    <w:rsid w:val="00DD6CE2"/>
    <w:rsid w:val="00DD6F30"/>
    <w:rsid w:val="00DD786E"/>
    <w:rsid w:val="00DD78BF"/>
    <w:rsid w:val="00DD7943"/>
    <w:rsid w:val="00DD7BF7"/>
    <w:rsid w:val="00DE016E"/>
    <w:rsid w:val="00DE01EA"/>
    <w:rsid w:val="00DE1346"/>
    <w:rsid w:val="00DE2D80"/>
    <w:rsid w:val="00DE3250"/>
    <w:rsid w:val="00DE3321"/>
    <w:rsid w:val="00DE346B"/>
    <w:rsid w:val="00DE3991"/>
    <w:rsid w:val="00DE3A77"/>
    <w:rsid w:val="00DE3BD1"/>
    <w:rsid w:val="00DE3F10"/>
    <w:rsid w:val="00DE46DF"/>
    <w:rsid w:val="00DE4DD8"/>
    <w:rsid w:val="00DE51DC"/>
    <w:rsid w:val="00DE5858"/>
    <w:rsid w:val="00DE5A8B"/>
    <w:rsid w:val="00DE5DB9"/>
    <w:rsid w:val="00DE61D9"/>
    <w:rsid w:val="00DE6949"/>
    <w:rsid w:val="00DE6D06"/>
    <w:rsid w:val="00DE71FE"/>
    <w:rsid w:val="00DE761C"/>
    <w:rsid w:val="00DE7AAB"/>
    <w:rsid w:val="00DF0C4C"/>
    <w:rsid w:val="00DF1855"/>
    <w:rsid w:val="00DF1EA0"/>
    <w:rsid w:val="00DF4367"/>
    <w:rsid w:val="00DF45F2"/>
    <w:rsid w:val="00DF4923"/>
    <w:rsid w:val="00DF500A"/>
    <w:rsid w:val="00DF585F"/>
    <w:rsid w:val="00DF5F76"/>
    <w:rsid w:val="00DF636B"/>
    <w:rsid w:val="00DF643F"/>
    <w:rsid w:val="00DF651F"/>
    <w:rsid w:val="00DF6FC1"/>
    <w:rsid w:val="00DF721D"/>
    <w:rsid w:val="00DF7720"/>
    <w:rsid w:val="00DF7911"/>
    <w:rsid w:val="00E0097C"/>
    <w:rsid w:val="00E00C97"/>
    <w:rsid w:val="00E0138B"/>
    <w:rsid w:val="00E01518"/>
    <w:rsid w:val="00E01B98"/>
    <w:rsid w:val="00E01D7D"/>
    <w:rsid w:val="00E020A7"/>
    <w:rsid w:val="00E0297E"/>
    <w:rsid w:val="00E0362F"/>
    <w:rsid w:val="00E0380F"/>
    <w:rsid w:val="00E03ACA"/>
    <w:rsid w:val="00E041D7"/>
    <w:rsid w:val="00E04557"/>
    <w:rsid w:val="00E04FDA"/>
    <w:rsid w:val="00E05325"/>
    <w:rsid w:val="00E057C5"/>
    <w:rsid w:val="00E06F46"/>
    <w:rsid w:val="00E10353"/>
    <w:rsid w:val="00E1103D"/>
    <w:rsid w:val="00E1117E"/>
    <w:rsid w:val="00E12131"/>
    <w:rsid w:val="00E127AF"/>
    <w:rsid w:val="00E12DBA"/>
    <w:rsid w:val="00E14BE1"/>
    <w:rsid w:val="00E14C37"/>
    <w:rsid w:val="00E15396"/>
    <w:rsid w:val="00E1750D"/>
    <w:rsid w:val="00E17C5F"/>
    <w:rsid w:val="00E204CB"/>
    <w:rsid w:val="00E21B2A"/>
    <w:rsid w:val="00E23BAA"/>
    <w:rsid w:val="00E241C9"/>
    <w:rsid w:val="00E24938"/>
    <w:rsid w:val="00E252F7"/>
    <w:rsid w:val="00E25506"/>
    <w:rsid w:val="00E25809"/>
    <w:rsid w:val="00E25E2A"/>
    <w:rsid w:val="00E26119"/>
    <w:rsid w:val="00E26455"/>
    <w:rsid w:val="00E264F5"/>
    <w:rsid w:val="00E26E87"/>
    <w:rsid w:val="00E3027E"/>
    <w:rsid w:val="00E31335"/>
    <w:rsid w:val="00E3145A"/>
    <w:rsid w:val="00E32033"/>
    <w:rsid w:val="00E3277C"/>
    <w:rsid w:val="00E32A77"/>
    <w:rsid w:val="00E32D0D"/>
    <w:rsid w:val="00E3311C"/>
    <w:rsid w:val="00E33126"/>
    <w:rsid w:val="00E33205"/>
    <w:rsid w:val="00E339AB"/>
    <w:rsid w:val="00E339FA"/>
    <w:rsid w:val="00E33E53"/>
    <w:rsid w:val="00E34B0D"/>
    <w:rsid w:val="00E34C54"/>
    <w:rsid w:val="00E37FCF"/>
    <w:rsid w:val="00E40625"/>
    <w:rsid w:val="00E4079C"/>
    <w:rsid w:val="00E40D0D"/>
    <w:rsid w:val="00E4131C"/>
    <w:rsid w:val="00E4183D"/>
    <w:rsid w:val="00E420C9"/>
    <w:rsid w:val="00E420E1"/>
    <w:rsid w:val="00E43630"/>
    <w:rsid w:val="00E456E2"/>
    <w:rsid w:val="00E45AF7"/>
    <w:rsid w:val="00E477AE"/>
    <w:rsid w:val="00E5010A"/>
    <w:rsid w:val="00E519A2"/>
    <w:rsid w:val="00E52FA6"/>
    <w:rsid w:val="00E531A7"/>
    <w:rsid w:val="00E532EB"/>
    <w:rsid w:val="00E53419"/>
    <w:rsid w:val="00E53E39"/>
    <w:rsid w:val="00E543D7"/>
    <w:rsid w:val="00E54B12"/>
    <w:rsid w:val="00E55033"/>
    <w:rsid w:val="00E55F98"/>
    <w:rsid w:val="00E562B9"/>
    <w:rsid w:val="00E5778F"/>
    <w:rsid w:val="00E601B8"/>
    <w:rsid w:val="00E60696"/>
    <w:rsid w:val="00E619AE"/>
    <w:rsid w:val="00E62286"/>
    <w:rsid w:val="00E62AE9"/>
    <w:rsid w:val="00E63AE1"/>
    <w:rsid w:val="00E6407A"/>
    <w:rsid w:val="00E64F4D"/>
    <w:rsid w:val="00E65688"/>
    <w:rsid w:val="00E65EE4"/>
    <w:rsid w:val="00E6616C"/>
    <w:rsid w:val="00E66277"/>
    <w:rsid w:val="00E6631B"/>
    <w:rsid w:val="00E67043"/>
    <w:rsid w:val="00E67131"/>
    <w:rsid w:val="00E67145"/>
    <w:rsid w:val="00E6716C"/>
    <w:rsid w:val="00E7000A"/>
    <w:rsid w:val="00E70229"/>
    <w:rsid w:val="00E709DD"/>
    <w:rsid w:val="00E71445"/>
    <w:rsid w:val="00E71C77"/>
    <w:rsid w:val="00E720F4"/>
    <w:rsid w:val="00E72E1E"/>
    <w:rsid w:val="00E72E55"/>
    <w:rsid w:val="00E74651"/>
    <w:rsid w:val="00E74AD5"/>
    <w:rsid w:val="00E75B56"/>
    <w:rsid w:val="00E76AD6"/>
    <w:rsid w:val="00E76C5C"/>
    <w:rsid w:val="00E776A2"/>
    <w:rsid w:val="00E779DD"/>
    <w:rsid w:val="00E82318"/>
    <w:rsid w:val="00E823CA"/>
    <w:rsid w:val="00E82E16"/>
    <w:rsid w:val="00E832BF"/>
    <w:rsid w:val="00E86635"/>
    <w:rsid w:val="00E86F39"/>
    <w:rsid w:val="00E8707F"/>
    <w:rsid w:val="00E87766"/>
    <w:rsid w:val="00E87856"/>
    <w:rsid w:val="00E8785A"/>
    <w:rsid w:val="00E87EFB"/>
    <w:rsid w:val="00E90179"/>
    <w:rsid w:val="00E907CB"/>
    <w:rsid w:val="00E91BDC"/>
    <w:rsid w:val="00E91D6B"/>
    <w:rsid w:val="00E935E4"/>
    <w:rsid w:val="00E9386B"/>
    <w:rsid w:val="00E93AC9"/>
    <w:rsid w:val="00E94279"/>
    <w:rsid w:val="00E94CF9"/>
    <w:rsid w:val="00E95A0C"/>
    <w:rsid w:val="00E97035"/>
    <w:rsid w:val="00E97267"/>
    <w:rsid w:val="00E97A3B"/>
    <w:rsid w:val="00E97CD0"/>
    <w:rsid w:val="00EA20C8"/>
    <w:rsid w:val="00EA2108"/>
    <w:rsid w:val="00EA2E6B"/>
    <w:rsid w:val="00EA358C"/>
    <w:rsid w:val="00EA461D"/>
    <w:rsid w:val="00EA4933"/>
    <w:rsid w:val="00EA7476"/>
    <w:rsid w:val="00EA7978"/>
    <w:rsid w:val="00EB0E8E"/>
    <w:rsid w:val="00EB11B8"/>
    <w:rsid w:val="00EB13B4"/>
    <w:rsid w:val="00EB13E1"/>
    <w:rsid w:val="00EB1462"/>
    <w:rsid w:val="00EB1951"/>
    <w:rsid w:val="00EB1ED9"/>
    <w:rsid w:val="00EB236D"/>
    <w:rsid w:val="00EB23B3"/>
    <w:rsid w:val="00EB365E"/>
    <w:rsid w:val="00EB3690"/>
    <w:rsid w:val="00EB39EB"/>
    <w:rsid w:val="00EB492F"/>
    <w:rsid w:val="00EB56F2"/>
    <w:rsid w:val="00EB5857"/>
    <w:rsid w:val="00EB62C1"/>
    <w:rsid w:val="00EB6447"/>
    <w:rsid w:val="00EB7464"/>
    <w:rsid w:val="00EB76DB"/>
    <w:rsid w:val="00EB777E"/>
    <w:rsid w:val="00EB7F3C"/>
    <w:rsid w:val="00EC00A2"/>
    <w:rsid w:val="00EC01B9"/>
    <w:rsid w:val="00EC0978"/>
    <w:rsid w:val="00EC1D45"/>
    <w:rsid w:val="00EC1F77"/>
    <w:rsid w:val="00EC2351"/>
    <w:rsid w:val="00EC2B82"/>
    <w:rsid w:val="00EC3EEB"/>
    <w:rsid w:val="00EC413C"/>
    <w:rsid w:val="00EC65FC"/>
    <w:rsid w:val="00EC67D7"/>
    <w:rsid w:val="00ED0203"/>
    <w:rsid w:val="00ED04FA"/>
    <w:rsid w:val="00ED0771"/>
    <w:rsid w:val="00ED09F9"/>
    <w:rsid w:val="00ED0A6B"/>
    <w:rsid w:val="00ED1892"/>
    <w:rsid w:val="00ED1D3F"/>
    <w:rsid w:val="00ED20FE"/>
    <w:rsid w:val="00ED34EE"/>
    <w:rsid w:val="00ED3674"/>
    <w:rsid w:val="00ED3BF1"/>
    <w:rsid w:val="00ED4712"/>
    <w:rsid w:val="00ED4F62"/>
    <w:rsid w:val="00ED674F"/>
    <w:rsid w:val="00ED6CCF"/>
    <w:rsid w:val="00EE07D4"/>
    <w:rsid w:val="00EE10C8"/>
    <w:rsid w:val="00EE1276"/>
    <w:rsid w:val="00EE1E13"/>
    <w:rsid w:val="00EE3244"/>
    <w:rsid w:val="00EE4BDA"/>
    <w:rsid w:val="00EE4DD8"/>
    <w:rsid w:val="00EE512D"/>
    <w:rsid w:val="00EE5895"/>
    <w:rsid w:val="00EE5D9C"/>
    <w:rsid w:val="00EE68BE"/>
    <w:rsid w:val="00EE6A8F"/>
    <w:rsid w:val="00EE7839"/>
    <w:rsid w:val="00EE7D06"/>
    <w:rsid w:val="00EF11F4"/>
    <w:rsid w:val="00EF1AD5"/>
    <w:rsid w:val="00EF3F69"/>
    <w:rsid w:val="00EF448D"/>
    <w:rsid w:val="00EF475E"/>
    <w:rsid w:val="00EF497A"/>
    <w:rsid w:val="00EF5176"/>
    <w:rsid w:val="00EF520C"/>
    <w:rsid w:val="00EF59EA"/>
    <w:rsid w:val="00EF5A3C"/>
    <w:rsid w:val="00EF600A"/>
    <w:rsid w:val="00EF6248"/>
    <w:rsid w:val="00EF6478"/>
    <w:rsid w:val="00EF6974"/>
    <w:rsid w:val="00EF6CD5"/>
    <w:rsid w:val="00EF71F6"/>
    <w:rsid w:val="00F009E4"/>
    <w:rsid w:val="00F00E4E"/>
    <w:rsid w:val="00F0165C"/>
    <w:rsid w:val="00F01EC5"/>
    <w:rsid w:val="00F02A66"/>
    <w:rsid w:val="00F02D96"/>
    <w:rsid w:val="00F02DB0"/>
    <w:rsid w:val="00F03758"/>
    <w:rsid w:val="00F042DE"/>
    <w:rsid w:val="00F043DD"/>
    <w:rsid w:val="00F04D7D"/>
    <w:rsid w:val="00F069E0"/>
    <w:rsid w:val="00F06D8A"/>
    <w:rsid w:val="00F07D12"/>
    <w:rsid w:val="00F10138"/>
    <w:rsid w:val="00F1121F"/>
    <w:rsid w:val="00F119E1"/>
    <w:rsid w:val="00F133A7"/>
    <w:rsid w:val="00F143D8"/>
    <w:rsid w:val="00F146F2"/>
    <w:rsid w:val="00F14E9B"/>
    <w:rsid w:val="00F15748"/>
    <w:rsid w:val="00F157C9"/>
    <w:rsid w:val="00F15AB2"/>
    <w:rsid w:val="00F15B67"/>
    <w:rsid w:val="00F15CF9"/>
    <w:rsid w:val="00F1650F"/>
    <w:rsid w:val="00F17369"/>
    <w:rsid w:val="00F1746E"/>
    <w:rsid w:val="00F17AFB"/>
    <w:rsid w:val="00F20CD7"/>
    <w:rsid w:val="00F20DEC"/>
    <w:rsid w:val="00F21271"/>
    <w:rsid w:val="00F21B91"/>
    <w:rsid w:val="00F22BB9"/>
    <w:rsid w:val="00F2572E"/>
    <w:rsid w:val="00F2653A"/>
    <w:rsid w:val="00F2659F"/>
    <w:rsid w:val="00F26E63"/>
    <w:rsid w:val="00F270B4"/>
    <w:rsid w:val="00F270F2"/>
    <w:rsid w:val="00F27C61"/>
    <w:rsid w:val="00F30332"/>
    <w:rsid w:val="00F306FA"/>
    <w:rsid w:val="00F32392"/>
    <w:rsid w:val="00F3267D"/>
    <w:rsid w:val="00F33C89"/>
    <w:rsid w:val="00F33D1B"/>
    <w:rsid w:val="00F343FE"/>
    <w:rsid w:val="00F34587"/>
    <w:rsid w:val="00F346A6"/>
    <w:rsid w:val="00F34844"/>
    <w:rsid w:val="00F359AF"/>
    <w:rsid w:val="00F359FA"/>
    <w:rsid w:val="00F365A0"/>
    <w:rsid w:val="00F3705C"/>
    <w:rsid w:val="00F37125"/>
    <w:rsid w:val="00F373B5"/>
    <w:rsid w:val="00F40229"/>
    <w:rsid w:val="00F40574"/>
    <w:rsid w:val="00F41A46"/>
    <w:rsid w:val="00F429B9"/>
    <w:rsid w:val="00F43BDE"/>
    <w:rsid w:val="00F43D48"/>
    <w:rsid w:val="00F45787"/>
    <w:rsid w:val="00F46535"/>
    <w:rsid w:val="00F46631"/>
    <w:rsid w:val="00F4737F"/>
    <w:rsid w:val="00F47B51"/>
    <w:rsid w:val="00F47B59"/>
    <w:rsid w:val="00F47BA9"/>
    <w:rsid w:val="00F47EAD"/>
    <w:rsid w:val="00F50BB9"/>
    <w:rsid w:val="00F50CB9"/>
    <w:rsid w:val="00F5209C"/>
    <w:rsid w:val="00F52432"/>
    <w:rsid w:val="00F530E6"/>
    <w:rsid w:val="00F5318A"/>
    <w:rsid w:val="00F53A63"/>
    <w:rsid w:val="00F53DE2"/>
    <w:rsid w:val="00F53EE5"/>
    <w:rsid w:val="00F5432F"/>
    <w:rsid w:val="00F54CAC"/>
    <w:rsid w:val="00F55813"/>
    <w:rsid w:val="00F56094"/>
    <w:rsid w:val="00F56BB8"/>
    <w:rsid w:val="00F57BB4"/>
    <w:rsid w:val="00F6005D"/>
    <w:rsid w:val="00F61335"/>
    <w:rsid w:val="00F61BEF"/>
    <w:rsid w:val="00F61C6D"/>
    <w:rsid w:val="00F62253"/>
    <w:rsid w:val="00F6390A"/>
    <w:rsid w:val="00F63BB2"/>
    <w:rsid w:val="00F64131"/>
    <w:rsid w:val="00F646C8"/>
    <w:rsid w:val="00F64E94"/>
    <w:rsid w:val="00F6514F"/>
    <w:rsid w:val="00F6534C"/>
    <w:rsid w:val="00F6588D"/>
    <w:rsid w:val="00F66024"/>
    <w:rsid w:val="00F6627D"/>
    <w:rsid w:val="00F663C5"/>
    <w:rsid w:val="00F663E3"/>
    <w:rsid w:val="00F66732"/>
    <w:rsid w:val="00F67613"/>
    <w:rsid w:val="00F6761E"/>
    <w:rsid w:val="00F676C8"/>
    <w:rsid w:val="00F6787C"/>
    <w:rsid w:val="00F67C70"/>
    <w:rsid w:val="00F702FF"/>
    <w:rsid w:val="00F70B4E"/>
    <w:rsid w:val="00F719EF"/>
    <w:rsid w:val="00F72CC1"/>
    <w:rsid w:val="00F73CEB"/>
    <w:rsid w:val="00F7444E"/>
    <w:rsid w:val="00F74D53"/>
    <w:rsid w:val="00F7521C"/>
    <w:rsid w:val="00F756FB"/>
    <w:rsid w:val="00F757D9"/>
    <w:rsid w:val="00F76083"/>
    <w:rsid w:val="00F7694B"/>
    <w:rsid w:val="00F76A94"/>
    <w:rsid w:val="00F7708C"/>
    <w:rsid w:val="00F774DC"/>
    <w:rsid w:val="00F8004A"/>
    <w:rsid w:val="00F8007E"/>
    <w:rsid w:val="00F80A9A"/>
    <w:rsid w:val="00F81717"/>
    <w:rsid w:val="00F8205E"/>
    <w:rsid w:val="00F8322C"/>
    <w:rsid w:val="00F83AF8"/>
    <w:rsid w:val="00F84DAA"/>
    <w:rsid w:val="00F8535E"/>
    <w:rsid w:val="00F8568B"/>
    <w:rsid w:val="00F857EF"/>
    <w:rsid w:val="00F85DAD"/>
    <w:rsid w:val="00F86D77"/>
    <w:rsid w:val="00F874F6"/>
    <w:rsid w:val="00F87B5C"/>
    <w:rsid w:val="00F87F6D"/>
    <w:rsid w:val="00F90A63"/>
    <w:rsid w:val="00F90B64"/>
    <w:rsid w:val="00F91AAB"/>
    <w:rsid w:val="00F91C8B"/>
    <w:rsid w:val="00F9260B"/>
    <w:rsid w:val="00F9278C"/>
    <w:rsid w:val="00F9293E"/>
    <w:rsid w:val="00F92ADE"/>
    <w:rsid w:val="00F9345E"/>
    <w:rsid w:val="00F93CAB"/>
    <w:rsid w:val="00F95876"/>
    <w:rsid w:val="00F95BFD"/>
    <w:rsid w:val="00F96329"/>
    <w:rsid w:val="00F965D5"/>
    <w:rsid w:val="00F97D5C"/>
    <w:rsid w:val="00FA1138"/>
    <w:rsid w:val="00FA1B8C"/>
    <w:rsid w:val="00FA2470"/>
    <w:rsid w:val="00FA2CA6"/>
    <w:rsid w:val="00FA31B3"/>
    <w:rsid w:val="00FA3EC7"/>
    <w:rsid w:val="00FA43CB"/>
    <w:rsid w:val="00FA46F6"/>
    <w:rsid w:val="00FA4850"/>
    <w:rsid w:val="00FA5873"/>
    <w:rsid w:val="00FA5A93"/>
    <w:rsid w:val="00FA6A71"/>
    <w:rsid w:val="00FA6ACA"/>
    <w:rsid w:val="00FA725A"/>
    <w:rsid w:val="00FA7305"/>
    <w:rsid w:val="00FB07AD"/>
    <w:rsid w:val="00FB1336"/>
    <w:rsid w:val="00FB154C"/>
    <w:rsid w:val="00FB5304"/>
    <w:rsid w:val="00FB5C53"/>
    <w:rsid w:val="00FB5D90"/>
    <w:rsid w:val="00FB621A"/>
    <w:rsid w:val="00FB6AE8"/>
    <w:rsid w:val="00FB6E2A"/>
    <w:rsid w:val="00FC06F7"/>
    <w:rsid w:val="00FC103F"/>
    <w:rsid w:val="00FC1362"/>
    <w:rsid w:val="00FC438A"/>
    <w:rsid w:val="00FC48A9"/>
    <w:rsid w:val="00FC57DE"/>
    <w:rsid w:val="00FC6A9B"/>
    <w:rsid w:val="00FC7161"/>
    <w:rsid w:val="00FC7634"/>
    <w:rsid w:val="00FC7F43"/>
    <w:rsid w:val="00FD0154"/>
    <w:rsid w:val="00FD09FA"/>
    <w:rsid w:val="00FD1780"/>
    <w:rsid w:val="00FD1791"/>
    <w:rsid w:val="00FD1988"/>
    <w:rsid w:val="00FD2F22"/>
    <w:rsid w:val="00FD446C"/>
    <w:rsid w:val="00FD511B"/>
    <w:rsid w:val="00FD5773"/>
    <w:rsid w:val="00FD59CE"/>
    <w:rsid w:val="00FD615E"/>
    <w:rsid w:val="00FD66BD"/>
    <w:rsid w:val="00FD6EF3"/>
    <w:rsid w:val="00FD6FA1"/>
    <w:rsid w:val="00FE21A4"/>
    <w:rsid w:val="00FE261A"/>
    <w:rsid w:val="00FE33F1"/>
    <w:rsid w:val="00FE369F"/>
    <w:rsid w:val="00FE603D"/>
    <w:rsid w:val="00FE69E0"/>
    <w:rsid w:val="00FE6EDE"/>
    <w:rsid w:val="00FE7072"/>
    <w:rsid w:val="00FE7075"/>
    <w:rsid w:val="00FF04BB"/>
    <w:rsid w:val="00FF07D6"/>
    <w:rsid w:val="00FF23A2"/>
    <w:rsid w:val="00FF3008"/>
    <w:rsid w:val="00FF3282"/>
    <w:rsid w:val="00FF4374"/>
    <w:rsid w:val="00FF607B"/>
    <w:rsid w:val="00FF65C4"/>
    <w:rsid w:val="00FF7002"/>
    <w:rsid w:val="00FF7B78"/>
    <w:rsid w:val="00FF7CBF"/>
    <w:rsid w:val="010C4F51"/>
    <w:rsid w:val="01115933"/>
    <w:rsid w:val="01142F5C"/>
    <w:rsid w:val="01172B1E"/>
    <w:rsid w:val="0123227E"/>
    <w:rsid w:val="0131065D"/>
    <w:rsid w:val="0159E904"/>
    <w:rsid w:val="01795B8A"/>
    <w:rsid w:val="01805284"/>
    <w:rsid w:val="01B7776D"/>
    <w:rsid w:val="01E72FAC"/>
    <w:rsid w:val="02067E2C"/>
    <w:rsid w:val="020ABF6E"/>
    <w:rsid w:val="021F7BC5"/>
    <w:rsid w:val="022AC4DA"/>
    <w:rsid w:val="02757D45"/>
    <w:rsid w:val="02D24114"/>
    <w:rsid w:val="030FB1E8"/>
    <w:rsid w:val="03642EB2"/>
    <w:rsid w:val="0374221B"/>
    <w:rsid w:val="0396FEFD"/>
    <w:rsid w:val="03C53475"/>
    <w:rsid w:val="040F5568"/>
    <w:rsid w:val="04180DCE"/>
    <w:rsid w:val="0425859F"/>
    <w:rsid w:val="042DF0DC"/>
    <w:rsid w:val="047FE688"/>
    <w:rsid w:val="0488308F"/>
    <w:rsid w:val="0489DEEC"/>
    <w:rsid w:val="04B30572"/>
    <w:rsid w:val="04B5CCB4"/>
    <w:rsid w:val="04D4FDBC"/>
    <w:rsid w:val="04E94BEC"/>
    <w:rsid w:val="04E953AD"/>
    <w:rsid w:val="05037D02"/>
    <w:rsid w:val="05532B10"/>
    <w:rsid w:val="05576C04"/>
    <w:rsid w:val="0558574F"/>
    <w:rsid w:val="05834895"/>
    <w:rsid w:val="059925C4"/>
    <w:rsid w:val="059A19FA"/>
    <w:rsid w:val="05BB3A75"/>
    <w:rsid w:val="05C930FD"/>
    <w:rsid w:val="0621BAF9"/>
    <w:rsid w:val="06274C67"/>
    <w:rsid w:val="062C2450"/>
    <w:rsid w:val="063E1A46"/>
    <w:rsid w:val="06451520"/>
    <w:rsid w:val="06ADFA16"/>
    <w:rsid w:val="06B1C662"/>
    <w:rsid w:val="06CD8755"/>
    <w:rsid w:val="06CEDA31"/>
    <w:rsid w:val="06E42679"/>
    <w:rsid w:val="06E695FA"/>
    <w:rsid w:val="06EAD017"/>
    <w:rsid w:val="06F3FA5F"/>
    <w:rsid w:val="0713FC6F"/>
    <w:rsid w:val="073FD47F"/>
    <w:rsid w:val="075800BD"/>
    <w:rsid w:val="0764AC9B"/>
    <w:rsid w:val="0782692E"/>
    <w:rsid w:val="07953CF7"/>
    <w:rsid w:val="07BBBD28"/>
    <w:rsid w:val="07C7F4B1"/>
    <w:rsid w:val="07CA74A6"/>
    <w:rsid w:val="07CF7F79"/>
    <w:rsid w:val="07E89978"/>
    <w:rsid w:val="07EE2589"/>
    <w:rsid w:val="07F0FE63"/>
    <w:rsid w:val="07F61F13"/>
    <w:rsid w:val="083DB544"/>
    <w:rsid w:val="085A092F"/>
    <w:rsid w:val="08605DC3"/>
    <w:rsid w:val="08980FB2"/>
    <w:rsid w:val="08B25B29"/>
    <w:rsid w:val="08C40F83"/>
    <w:rsid w:val="08D05A39"/>
    <w:rsid w:val="092FCD0F"/>
    <w:rsid w:val="094E0A3F"/>
    <w:rsid w:val="095CDBEA"/>
    <w:rsid w:val="09665B75"/>
    <w:rsid w:val="099F4332"/>
    <w:rsid w:val="09A83300"/>
    <w:rsid w:val="09FF5AAD"/>
    <w:rsid w:val="0A153A67"/>
    <w:rsid w:val="0A157744"/>
    <w:rsid w:val="0A1CE8FD"/>
    <w:rsid w:val="0A1D33C9"/>
    <w:rsid w:val="0A287B7A"/>
    <w:rsid w:val="0A6B4BDC"/>
    <w:rsid w:val="0AC821D6"/>
    <w:rsid w:val="0AD3BC49"/>
    <w:rsid w:val="0ADBE921"/>
    <w:rsid w:val="0AEAE46C"/>
    <w:rsid w:val="0AEDB88C"/>
    <w:rsid w:val="0AF943C3"/>
    <w:rsid w:val="0B2221BE"/>
    <w:rsid w:val="0B65E767"/>
    <w:rsid w:val="0BA7667B"/>
    <w:rsid w:val="0BBC0933"/>
    <w:rsid w:val="0C5F5FCE"/>
    <w:rsid w:val="0C614299"/>
    <w:rsid w:val="0C910EE1"/>
    <w:rsid w:val="0CB2C785"/>
    <w:rsid w:val="0CB2CD7B"/>
    <w:rsid w:val="0CCA0F19"/>
    <w:rsid w:val="0CCB6C74"/>
    <w:rsid w:val="0CF227E6"/>
    <w:rsid w:val="0D023FAE"/>
    <w:rsid w:val="0D3EADB2"/>
    <w:rsid w:val="0D4CDB29"/>
    <w:rsid w:val="0D5A90C3"/>
    <w:rsid w:val="0DA67B92"/>
    <w:rsid w:val="0DC44889"/>
    <w:rsid w:val="0DC64C5A"/>
    <w:rsid w:val="0DC70B10"/>
    <w:rsid w:val="0DDCE5AA"/>
    <w:rsid w:val="0DFF4C38"/>
    <w:rsid w:val="0E0172DB"/>
    <w:rsid w:val="0E116334"/>
    <w:rsid w:val="0E366197"/>
    <w:rsid w:val="0E43FEE6"/>
    <w:rsid w:val="0E6619E3"/>
    <w:rsid w:val="0E7FB4B3"/>
    <w:rsid w:val="0E9E5390"/>
    <w:rsid w:val="0EA5FACD"/>
    <w:rsid w:val="0EAA9219"/>
    <w:rsid w:val="0EBDF7FF"/>
    <w:rsid w:val="0ECFC00A"/>
    <w:rsid w:val="0EE8E867"/>
    <w:rsid w:val="0F2D6D5A"/>
    <w:rsid w:val="0F4097DC"/>
    <w:rsid w:val="0F504B7B"/>
    <w:rsid w:val="0F82BC89"/>
    <w:rsid w:val="0F9490D4"/>
    <w:rsid w:val="0FA63EC9"/>
    <w:rsid w:val="0FAD47D8"/>
    <w:rsid w:val="0FBED40E"/>
    <w:rsid w:val="0FEDD8A6"/>
    <w:rsid w:val="0FF5C824"/>
    <w:rsid w:val="0FFAADD7"/>
    <w:rsid w:val="100123F0"/>
    <w:rsid w:val="100F245B"/>
    <w:rsid w:val="102376EA"/>
    <w:rsid w:val="1026AFEA"/>
    <w:rsid w:val="1046627A"/>
    <w:rsid w:val="106B538E"/>
    <w:rsid w:val="108245B8"/>
    <w:rsid w:val="1086BF68"/>
    <w:rsid w:val="108DEFC6"/>
    <w:rsid w:val="1098D59A"/>
    <w:rsid w:val="10B642F4"/>
    <w:rsid w:val="10EC424E"/>
    <w:rsid w:val="10F4C4C8"/>
    <w:rsid w:val="11115345"/>
    <w:rsid w:val="118CB9BD"/>
    <w:rsid w:val="11CF6694"/>
    <w:rsid w:val="120C6B4B"/>
    <w:rsid w:val="123CC4BE"/>
    <w:rsid w:val="12471E7A"/>
    <w:rsid w:val="12602885"/>
    <w:rsid w:val="1268BC22"/>
    <w:rsid w:val="128C6B3F"/>
    <w:rsid w:val="129A8CEB"/>
    <w:rsid w:val="12A99EBE"/>
    <w:rsid w:val="12CD122A"/>
    <w:rsid w:val="131AAFA8"/>
    <w:rsid w:val="132EBF57"/>
    <w:rsid w:val="13464563"/>
    <w:rsid w:val="13BA839E"/>
    <w:rsid w:val="13C5FC53"/>
    <w:rsid w:val="13E7860C"/>
    <w:rsid w:val="13F31340"/>
    <w:rsid w:val="14083F27"/>
    <w:rsid w:val="145395A2"/>
    <w:rsid w:val="1457FEB2"/>
    <w:rsid w:val="1470646E"/>
    <w:rsid w:val="14725363"/>
    <w:rsid w:val="147B0DCE"/>
    <w:rsid w:val="14823E1E"/>
    <w:rsid w:val="14AB69E0"/>
    <w:rsid w:val="14B4C117"/>
    <w:rsid w:val="14F87419"/>
    <w:rsid w:val="15043163"/>
    <w:rsid w:val="1516DBBA"/>
    <w:rsid w:val="153DA45F"/>
    <w:rsid w:val="154C5B48"/>
    <w:rsid w:val="155829EB"/>
    <w:rsid w:val="1564893A"/>
    <w:rsid w:val="1568F363"/>
    <w:rsid w:val="156CDB67"/>
    <w:rsid w:val="1572387F"/>
    <w:rsid w:val="15762E13"/>
    <w:rsid w:val="15913C61"/>
    <w:rsid w:val="15948074"/>
    <w:rsid w:val="15EEDA0D"/>
    <w:rsid w:val="16050FB0"/>
    <w:rsid w:val="160C3201"/>
    <w:rsid w:val="1617FB97"/>
    <w:rsid w:val="163DEE60"/>
    <w:rsid w:val="164753A2"/>
    <w:rsid w:val="16509446"/>
    <w:rsid w:val="167DEC72"/>
    <w:rsid w:val="16A001C4"/>
    <w:rsid w:val="16B9A98E"/>
    <w:rsid w:val="16FB96F3"/>
    <w:rsid w:val="170B3C30"/>
    <w:rsid w:val="17105904"/>
    <w:rsid w:val="173A8D19"/>
    <w:rsid w:val="173DFA7C"/>
    <w:rsid w:val="17529061"/>
    <w:rsid w:val="176273FB"/>
    <w:rsid w:val="1765077A"/>
    <w:rsid w:val="17848AAC"/>
    <w:rsid w:val="178E7D47"/>
    <w:rsid w:val="17985B65"/>
    <w:rsid w:val="17BC9F0A"/>
    <w:rsid w:val="17DAF061"/>
    <w:rsid w:val="17EA370D"/>
    <w:rsid w:val="17F1DB3A"/>
    <w:rsid w:val="1800B32B"/>
    <w:rsid w:val="181F0AA0"/>
    <w:rsid w:val="181F1452"/>
    <w:rsid w:val="184102D6"/>
    <w:rsid w:val="184FAB29"/>
    <w:rsid w:val="185920CC"/>
    <w:rsid w:val="1867B9C6"/>
    <w:rsid w:val="189AFDDA"/>
    <w:rsid w:val="18B5CFB5"/>
    <w:rsid w:val="18D1B60B"/>
    <w:rsid w:val="18DFBB09"/>
    <w:rsid w:val="18F6BF46"/>
    <w:rsid w:val="18F7D90D"/>
    <w:rsid w:val="194D256F"/>
    <w:rsid w:val="19B9ED4F"/>
    <w:rsid w:val="19E3295D"/>
    <w:rsid w:val="19FEFDA7"/>
    <w:rsid w:val="1A21FCF7"/>
    <w:rsid w:val="1A269F63"/>
    <w:rsid w:val="1A3231AF"/>
    <w:rsid w:val="1A32EB4E"/>
    <w:rsid w:val="1A395962"/>
    <w:rsid w:val="1A4C6012"/>
    <w:rsid w:val="1A68164A"/>
    <w:rsid w:val="1AAB3591"/>
    <w:rsid w:val="1AB54033"/>
    <w:rsid w:val="1AEEADC3"/>
    <w:rsid w:val="1B28E069"/>
    <w:rsid w:val="1B33DCAC"/>
    <w:rsid w:val="1B3EDBE1"/>
    <w:rsid w:val="1B5A52C9"/>
    <w:rsid w:val="1B7B7EA0"/>
    <w:rsid w:val="1B95F70C"/>
    <w:rsid w:val="1BCE8628"/>
    <w:rsid w:val="1BD4BF93"/>
    <w:rsid w:val="1BD8C32F"/>
    <w:rsid w:val="1C29FF52"/>
    <w:rsid w:val="1C2E32EC"/>
    <w:rsid w:val="1C3E27A1"/>
    <w:rsid w:val="1C483C40"/>
    <w:rsid w:val="1C70FD1E"/>
    <w:rsid w:val="1C76665A"/>
    <w:rsid w:val="1C83E675"/>
    <w:rsid w:val="1CD92FFD"/>
    <w:rsid w:val="1CF7B611"/>
    <w:rsid w:val="1CFD1396"/>
    <w:rsid w:val="1D1B3A59"/>
    <w:rsid w:val="1D2317C8"/>
    <w:rsid w:val="1D3F6EA5"/>
    <w:rsid w:val="1DA1237D"/>
    <w:rsid w:val="1DBB76D6"/>
    <w:rsid w:val="1DC1DB6E"/>
    <w:rsid w:val="1DC6FE0C"/>
    <w:rsid w:val="1DCE26C6"/>
    <w:rsid w:val="1DF391CC"/>
    <w:rsid w:val="1E10EF52"/>
    <w:rsid w:val="1E203059"/>
    <w:rsid w:val="1E28769D"/>
    <w:rsid w:val="1E447707"/>
    <w:rsid w:val="1E469C63"/>
    <w:rsid w:val="1E5D624F"/>
    <w:rsid w:val="1E7FC2E7"/>
    <w:rsid w:val="1E84BBC5"/>
    <w:rsid w:val="1F186664"/>
    <w:rsid w:val="1F69F727"/>
    <w:rsid w:val="1F8B42CE"/>
    <w:rsid w:val="1FBFD860"/>
    <w:rsid w:val="1FD1CF18"/>
    <w:rsid w:val="1FDA00D6"/>
    <w:rsid w:val="1FF932B0"/>
    <w:rsid w:val="2005EC0E"/>
    <w:rsid w:val="200C4640"/>
    <w:rsid w:val="20112376"/>
    <w:rsid w:val="20352934"/>
    <w:rsid w:val="203FD84D"/>
    <w:rsid w:val="20442C38"/>
    <w:rsid w:val="2058F6A6"/>
    <w:rsid w:val="206E6D29"/>
    <w:rsid w:val="2090425C"/>
    <w:rsid w:val="2093139B"/>
    <w:rsid w:val="2095E0DD"/>
    <w:rsid w:val="20AC2C45"/>
    <w:rsid w:val="20B1E80F"/>
    <w:rsid w:val="20B8A8D2"/>
    <w:rsid w:val="20C25601"/>
    <w:rsid w:val="20C8BFB9"/>
    <w:rsid w:val="20DE698A"/>
    <w:rsid w:val="21029B74"/>
    <w:rsid w:val="2103D27D"/>
    <w:rsid w:val="212CA113"/>
    <w:rsid w:val="2143440F"/>
    <w:rsid w:val="216AF717"/>
    <w:rsid w:val="2193441F"/>
    <w:rsid w:val="21BEFC05"/>
    <w:rsid w:val="21C7FC67"/>
    <w:rsid w:val="21EEAB7C"/>
    <w:rsid w:val="21FA926E"/>
    <w:rsid w:val="2242792A"/>
    <w:rsid w:val="2243565D"/>
    <w:rsid w:val="22500726"/>
    <w:rsid w:val="2254E96C"/>
    <w:rsid w:val="226C17F3"/>
    <w:rsid w:val="22846418"/>
    <w:rsid w:val="22AE1047"/>
    <w:rsid w:val="22BAC21D"/>
    <w:rsid w:val="22E830D6"/>
    <w:rsid w:val="22EAA70A"/>
    <w:rsid w:val="22F78340"/>
    <w:rsid w:val="2332E425"/>
    <w:rsid w:val="23356D74"/>
    <w:rsid w:val="2336094C"/>
    <w:rsid w:val="2373A70B"/>
    <w:rsid w:val="238187A0"/>
    <w:rsid w:val="238A7BDD"/>
    <w:rsid w:val="2391A826"/>
    <w:rsid w:val="23AA8E6E"/>
    <w:rsid w:val="23BCA0B4"/>
    <w:rsid w:val="23C03582"/>
    <w:rsid w:val="23E0CE66"/>
    <w:rsid w:val="23E947E2"/>
    <w:rsid w:val="23F7AAFC"/>
    <w:rsid w:val="23FD1C5F"/>
    <w:rsid w:val="243DFC87"/>
    <w:rsid w:val="249EB608"/>
    <w:rsid w:val="250ED24A"/>
    <w:rsid w:val="251FAF57"/>
    <w:rsid w:val="25697B97"/>
    <w:rsid w:val="25782FF9"/>
    <w:rsid w:val="25AF36CA"/>
    <w:rsid w:val="25D1443D"/>
    <w:rsid w:val="25E35329"/>
    <w:rsid w:val="25E42A3F"/>
    <w:rsid w:val="25F4D603"/>
    <w:rsid w:val="25F8EEF9"/>
    <w:rsid w:val="2617A6B9"/>
    <w:rsid w:val="2623DCFE"/>
    <w:rsid w:val="263C28B7"/>
    <w:rsid w:val="2648E84B"/>
    <w:rsid w:val="26531A50"/>
    <w:rsid w:val="26759377"/>
    <w:rsid w:val="268CC6B8"/>
    <w:rsid w:val="26945DE2"/>
    <w:rsid w:val="26DDC635"/>
    <w:rsid w:val="26E22F30"/>
    <w:rsid w:val="26FE1F51"/>
    <w:rsid w:val="2720FD56"/>
    <w:rsid w:val="27237849"/>
    <w:rsid w:val="272E2085"/>
    <w:rsid w:val="273787D3"/>
    <w:rsid w:val="27528D3B"/>
    <w:rsid w:val="276EFA7C"/>
    <w:rsid w:val="277890DD"/>
    <w:rsid w:val="27CF9F86"/>
    <w:rsid w:val="27DD774D"/>
    <w:rsid w:val="27ECA40B"/>
    <w:rsid w:val="28162935"/>
    <w:rsid w:val="28378597"/>
    <w:rsid w:val="28384645"/>
    <w:rsid w:val="284E4167"/>
    <w:rsid w:val="289A0D87"/>
    <w:rsid w:val="289BB2F0"/>
    <w:rsid w:val="28D38DED"/>
    <w:rsid w:val="28E3B3E7"/>
    <w:rsid w:val="28F915B5"/>
    <w:rsid w:val="290D7C1A"/>
    <w:rsid w:val="294A2CE0"/>
    <w:rsid w:val="294E55F4"/>
    <w:rsid w:val="297C9ABA"/>
    <w:rsid w:val="29943846"/>
    <w:rsid w:val="29997B88"/>
    <w:rsid w:val="299D8F84"/>
    <w:rsid w:val="29DBE3B2"/>
    <w:rsid w:val="29F9B2C9"/>
    <w:rsid w:val="29FFD8EC"/>
    <w:rsid w:val="2A14019C"/>
    <w:rsid w:val="2A1F1DC1"/>
    <w:rsid w:val="2A426295"/>
    <w:rsid w:val="2A753662"/>
    <w:rsid w:val="2A7A8F64"/>
    <w:rsid w:val="2A819774"/>
    <w:rsid w:val="2AAA16C4"/>
    <w:rsid w:val="2ABEFC65"/>
    <w:rsid w:val="2AD36505"/>
    <w:rsid w:val="2ADA9D2B"/>
    <w:rsid w:val="2B310B2D"/>
    <w:rsid w:val="2B4ADFD1"/>
    <w:rsid w:val="2B54D63C"/>
    <w:rsid w:val="2BBD6BD8"/>
    <w:rsid w:val="2BF76F19"/>
    <w:rsid w:val="2BF7D054"/>
    <w:rsid w:val="2BFEC395"/>
    <w:rsid w:val="2C2D6DB2"/>
    <w:rsid w:val="2C4D8427"/>
    <w:rsid w:val="2C7182E6"/>
    <w:rsid w:val="2C75D574"/>
    <w:rsid w:val="2C98BEEC"/>
    <w:rsid w:val="2C9C6CD9"/>
    <w:rsid w:val="2CA07541"/>
    <w:rsid w:val="2CA77583"/>
    <w:rsid w:val="2CAB2F2E"/>
    <w:rsid w:val="2CBF962F"/>
    <w:rsid w:val="2CC1C8F9"/>
    <w:rsid w:val="2CE3A60B"/>
    <w:rsid w:val="2D041B4B"/>
    <w:rsid w:val="2D24E36C"/>
    <w:rsid w:val="2D27780B"/>
    <w:rsid w:val="2D68A32C"/>
    <w:rsid w:val="2D84F639"/>
    <w:rsid w:val="2DDD9A01"/>
    <w:rsid w:val="2DECA84D"/>
    <w:rsid w:val="2DF871E6"/>
    <w:rsid w:val="2DF8F3D0"/>
    <w:rsid w:val="2E004F81"/>
    <w:rsid w:val="2E501D95"/>
    <w:rsid w:val="2EECA99D"/>
    <w:rsid w:val="2F03AEF4"/>
    <w:rsid w:val="2F061942"/>
    <w:rsid w:val="2F135DDD"/>
    <w:rsid w:val="2F24BA28"/>
    <w:rsid w:val="2F31B15C"/>
    <w:rsid w:val="2F4D2ED4"/>
    <w:rsid w:val="2F6D2038"/>
    <w:rsid w:val="2FA3936B"/>
    <w:rsid w:val="2FA7C91A"/>
    <w:rsid w:val="2FAA1F30"/>
    <w:rsid w:val="2FB62956"/>
    <w:rsid w:val="2FD42F24"/>
    <w:rsid w:val="2FD569A7"/>
    <w:rsid w:val="2FEFCA91"/>
    <w:rsid w:val="301AF713"/>
    <w:rsid w:val="3053571D"/>
    <w:rsid w:val="306CDE30"/>
    <w:rsid w:val="30B27E0B"/>
    <w:rsid w:val="30C08A89"/>
    <w:rsid w:val="30C2C0E0"/>
    <w:rsid w:val="30C7ACE4"/>
    <w:rsid w:val="30C80E75"/>
    <w:rsid w:val="30DEE8E1"/>
    <w:rsid w:val="30F24D81"/>
    <w:rsid w:val="3103CCD6"/>
    <w:rsid w:val="31145E6F"/>
    <w:rsid w:val="31192117"/>
    <w:rsid w:val="311C7027"/>
    <w:rsid w:val="31232963"/>
    <w:rsid w:val="3147143D"/>
    <w:rsid w:val="31713A08"/>
    <w:rsid w:val="31995C02"/>
    <w:rsid w:val="31B0DF36"/>
    <w:rsid w:val="31B6C774"/>
    <w:rsid w:val="31F06997"/>
    <w:rsid w:val="321D3448"/>
    <w:rsid w:val="32423687"/>
    <w:rsid w:val="3246C050"/>
    <w:rsid w:val="329BA1DD"/>
    <w:rsid w:val="32CBF173"/>
    <w:rsid w:val="32DF69DC"/>
    <w:rsid w:val="332BAB46"/>
    <w:rsid w:val="333C1CCF"/>
    <w:rsid w:val="33470AE5"/>
    <w:rsid w:val="3392F022"/>
    <w:rsid w:val="33BC8C5E"/>
    <w:rsid w:val="33BFFE43"/>
    <w:rsid w:val="33C8C816"/>
    <w:rsid w:val="33C9DE83"/>
    <w:rsid w:val="33F82B4B"/>
    <w:rsid w:val="34293004"/>
    <w:rsid w:val="34684468"/>
    <w:rsid w:val="34A6E44B"/>
    <w:rsid w:val="34B24535"/>
    <w:rsid w:val="34C8AA97"/>
    <w:rsid w:val="34CF29B2"/>
    <w:rsid w:val="34E96C5E"/>
    <w:rsid w:val="3524C0B2"/>
    <w:rsid w:val="354507DF"/>
    <w:rsid w:val="3545C542"/>
    <w:rsid w:val="3572572F"/>
    <w:rsid w:val="3581DA63"/>
    <w:rsid w:val="35EE3069"/>
    <w:rsid w:val="360122A2"/>
    <w:rsid w:val="36091E33"/>
    <w:rsid w:val="363400F2"/>
    <w:rsid w:val="365C913B"/>
    <w:rsid w:val="368CC4A3"/>
    <w:rsid w:val="36DA63AE"/>
    <w:rsid w:val="37017F45"/>
    <w:rsid w:val="370D0069"/>
    <w:rsid w:val="37153EA8"/>
    <w:rsid w:val="3744477B"/>
    <w:rsid w:val="375E0235"/>
    <w:rsid w:val="37801EA2"/>
    <w:rsid w:val="380F9252"/>
    <w:rsid w:val="3850400D"/>
    <w:rsid w:val="385A465D"/>
    <w:rsid w:val="38651AED"/>
    <w:rsid w:val="38CB9C6E"/>
    <w:rsid w:val="38CE7D52"/>
    <w:rsid w:val="38FEDE21"/>
    <w:rsid w:val="390E6F79"/>
    <w:rsid w:val="392D5145"/>
    <w:rsid w:val="395AB24C"/>
    <w:rsid w:val="397782C0"/>
    <w:rsid w:val="39D33631"/>
    <w:rsid w:val="39D39678"/>
    <w:rsid w:val="3A577F7E"/>
    <w:rsid w:val="3A68D846"/>
    <w:rsid w:val="3A71A17C"/>
    <w:rsid w:val="3AB4D63F"/>
    <w:rsid w:val="3AB71D81"/>
    <w:rsid w:val="3ABB48DB"/>
    <w:rsid w:val="3AC0091C"/>
    <w:rsid w:val="3ACC852F"/>
    <w:rsid w:val="3AE90F68"/>
    <w:rsid w:val="3B1C0A62"/>
    <w:rsid w:val="3B4E1F20"/>
    <w:rsid w:val="3B7169F2"/>
    <w:rsid w:val="3B96400B"/>
    <w:rsid w:val="3B9E0476"/>
    <w:rsid w:val="3BDE9040"/>
    <w:rsid w:val="3BDF9883"/>
    <w:rsid w:val="3C67B906"/>
    <w:rsid w:val="3C76CCC3"/>
    <w:rsid w:val="3C7C138F"/>
    <w:rsid w:val="3C81831B"/>
    <w:rsid w:val="3C8F10B5"/>
    <w:rsid w:val="3C955152"/>
    <w:rsid w:val="3CBD6CD1"/>
    <w:rsid w:val="3D19F188"/>
    <w:rsid w:val="3D363B83"/>
    <w:rsid w:val="3D763EB9"/>
    <w:rsid w:val="3D97A2C0"/>
    <w:rsid w:val="3DBB6EDF"/>
    <w:rsid w:val="3DF1391D"/>
    <w:rsid w:val="3E0D10A4"/>
    <w:rsid w:val="3E221C83"/>
    <w:rsid w:val="3E3CDF65"/>
    <w:rsid w:val="3E5AEBF3"/>
    <w:rsid w:val="3E6376AB"/>
    <w:rsid w:val="3E720B80"/>
    <w:rsid w:val="3EAFF873"/>
    <w:rsid w:val="3ECD75E0"/>
    <w:rsid w:val="3ED7744C"/>
    <w:rsid w:val="3EE614D5"/>
    <w:rsid w:val="3EEA2120"/>
    <w:rsid w:val="3EEB7898"/>
    <w:rsid w:val="3EEE08D9"/>
    <w:rsid w:val="3F11A31A"/>
    <w:rsid w:val="3F163985"/>
    <w:rsid w:val="3F2AD936"/>
    <w:rsid w:val="3F6C31FF"/>
    <w:rsid w:val="3F86603C"/>
    <w:rsid w:val="3F8D097E"/>
    <w:rsid w:val="3FA263F8"/>
    <w:rsid w:val="3FC2A0C1"/>
    <w:rsid w:val="4004C0B1"/>
    <w:rsid w:val="4019FD0B"/>
    <w:rsid w:val="40743902"/>
    <w:rsid w:val="4089FE26"/>
    <w:rsid w:val="40A4CF39"/>
    <w:rsid w:val="40A86CAF"/>
    <w:rsid w:val="40B11C08"/>
    <w:rsid w:val="40D4508C"/>
    <w:rsid w:val="40DAE41B"/>
    <w:rsid w:val="40DE3D1F"/>
    <w:rsid w:val="41327975"/>
    <w:rsid w:val="4141B7A4"/>
    <w:rsid w:val="4159843C"/>
    <w:rsid w:val="416C60CB"/>
    <w:rsid w:val="41B4DCE4"/>
    <w:rsid w:val="42048570"/>
    <w:rsid w:val="423BF153"/>
    <w:rsid w:val="4244F0A2"/>
    <w:rsid w:val="42451165"/>
    <w:rsid w:val="42B8C757"/>
    <w:rsid w:val="42D4ED76"/>
    <w:rsid w:val="431488DE"/>
    <w:rsid w:val="43535C2F"/>
    <w:rsid w:val="43767F37"/>
    <w:rsid w:val="437FD9F3"/>
    <w:rsid w:val="43A8BAEC"/>
    <w:rsid w:val="43AC3E6B"/>
    <w:rsid w:val="43D9C0A2"/>
    <w:rsid w:val="43E915FE"/>
    <w:rsid w:val="4419A037"/>
    <w:rsid w:val="44248902"/>
    <w:rsid w:val="442E0A1F"/>
    <w:rsid w:val="44401890"/>
    <w:rsid w:val="44409740"/>
    <w:rsid w:val="446D0141"/>
    <w:rsid w:val="44A521AC"/>
    <w:rsid w:val="44C824A7"/>
    <w:rsid w:val="44E7820E"/>
    <w:rsid w:val="4514D64B"/>
    <w:rsid w:val="451ADBAB"/>
    <w:rsid w:val="4553FC81"/>
    <w:rsid w:val="455B7CBF"/>
    <w:rsid w:val="457CB227"/>
    <w:rsid w:val="45FC614D"/>
    <w:rsid w:val="46028601"/>
    <w:rsid w:val="461E8298"/>
    <w:rsid w:val="46595709"/>
    <w:rsid w:val="465C3FA9"/>
    <w:rsid w:val="466C6811"/>
    <w:rsid w:val="4677DC3B"/>
    <w:rsid w:val="46D070B4"/>
    <w:rsid w:val="470AB7D8"/>
    <w:rsid w:val="471AD60F"/>
    <w:rsid w:val="474EE332"/>
    <w:rsid w:val="47C10B56"/>
    <w:rsid w:val="47DD7ADE"/>
    <w:rsid w:val="483F644D"/>
    <w:rsid w:val="48C0431A"/>
    <w:rsid w:val="49399EFE"/>
    <w:rsid w:val="493A2047"/>
    <w:rsid w:val="4944ABC9"/>
    <w:rsid w:val="49811B54"/>
    <w:rsid w:val="49A3C7A7"/>
    <w:rsid w:val="49A815DC"/>
    <w:rsid w:val="49E3D0D0"/>
    <w:rsid w:val="49E5C4F5"/>
    <w:rsid w:val="49F991F7"/>
    <w:rsid w:val="4A259A16"/>
    <w:rsid w:val="4A3DA0A9"/>
    <w:rsid w:val="4A55D68C"/>
    <w:rsid w:val="4A58F6C4"/>
    <w:rsid w:val="4A67B7B0"/>
    <w:rsid w:val="4ADCD659"/>
    <w:rsid w:val="4AF5CBA5"/>
    <w:rsid w:val="4B064E69"/>
    <w:rsid w:val="4B0F58DB"/>
    <w:rsid w:val="4B150190"/>
    <w:rsid w:val="4B259108"/>
    <w:rsid w:val="4B27A24C"/>
    <w:rsid w:val="4B2CFFDA"/>
    <w:rsid w:val="4B3B41BA"/>
    <w:rsid w:val="4B3E9E44"/>
    <w:rsid w:val="4B3E9FD6"/>
    <w:rsid w:val="4B68372F"/>
    <w:rsid w:val="4B9BC076"/>
    <w:rsid w:val="4BEEB0AE"/>
    <w:rsid w:val="4BF61A6F"/>
    <w:rsid w:val="4BFE02CA"/>
    <w:rsid w:val="4C0CBA5A"/>
    <w:rsid w:val="4C11E45E"/>
    <w:rsid w:val="4C215836"/>
    <w:rsid w:val="4C59CE61"/>
    <w:rsid w:val="4C9AD48B"/>
    <w:rsid w:val="4CA3BA67"/>
    <w:rsid w:val="4CB3FCE8"/>
    <w:rsid w:val="4CBC8FA3"/>
    <w:rsid w:val="4CCA38ED"/>
    <w:rsid w:val="4D31118A"/>
    <w:rsid w:val="4D39F2D7"/>
    <w:rsid w:val="4D861E89"/>
    <w:rsid w:val="4D9AB605"/>
    <w:rsid w:val="4DA3F684"/>
    <w:rsid w:val="4DDEA9EB"/>
    <w:rsid w:val="4DE4FBFC"/>
    <w:rsid w:val="4DF57C15"/>
    <w:rsid w:val="4E942CC0"/>
    <w:rsid w:val="4EA5FF4D"/>
    <w:rsid w:val="4EBB67CB"/>
    <w:rsid w:val="4ED82292"/>
    <w:rsid w:val="4EEC75CA"/>
    <w:rsid w:val="4EFB82B4"/>
    <w:rsid w:val="4F3A4431"/>
    <w:rsid w:val="4F412FD1"/>
    <w:rsid w:val="4FCF4387"/>
    <w:rsid w:val="4FFE48FA"/>
    <w:rsid w:val="50176161"/>
    <w:rsid w:val="5034A5A9"/>
    <w:rsid w:val="50DDCC0B"/>
    <w:rsid w:val="50DDD757"/>
    <w:rsid w:val="50F20B20"/>
    <w:rsid w:val="50F86D7E"/>
    <w:rsid w:val="514B09D7"/>
    <w:rsid w:val="514CFB6A"/>
    <w:rsid w:val="5168D58E"/>
    <w:rsid w:val="51E25FB8"/>
    <w:rsid w:val="51E43A67"/>
    <w:rsid w:val="520CD3F4"/>
    <w:rsid w:val="5215196A"/>
    <w:rsid w:val="52350B1F"/>
    <w:rsid w:val="524E1EF3"/>
    <w:rsid w:val="52683789"/>
    <w:rsid w:val="526D56FA"/>
    <w:rsid w:val="52A2168A"/>
    <w:rsid w:val="52AEB67C"/>
    <w:rsid w:val="52B02486"/>
    <w:rsid w:val="52B90D28"/>
    <w:rsid w:val="52FBCC1C"/>
    <w:rsid w:val="53055F6A"/>
    <w:rsid w:val="535C3A3B"/>
    <w:rsid w:val="535F4D48"/>
    <w:rsid w:val="5377DE2D"/>
    <w:rsid w:val="53926DCB"/>
    <w:rsid w:val="53B4E604"/>
    <w:rsid w:val="53B66044"/>
    <w:rsid w:val="54036CC8"/>
    <w:rsid w:val="5414D6E7"/>
    <w:rsid w:val="54345838"/>
    <w:rsid w:val="5455C6EC"/>
    <w:rsid w:val="546B1A78"/>
    <w:rsid w:val="546D64FB"/>
    <w:rsid w:val="54709853"/>
    <w:rsid w:val="5480789C"/>
    <w:rsid w:val="549646FA"/>
    <w:rsid w:val="54DC2560"/>
    <w:rsid w:val="54E1E370"/>
    <w:rsid w:val="55453D0A"/>
    <w:rsid w:val="554D5DF8"/>
    <w:rsid w:val="55513901"/>
    <w:rsid w:val="5565F515"/>
    <w:rsid w:val="557C8229"/>
    <w:rsid w:val="557DB3E7"/>
    <w:rsid w:val="5580BBA1"/>
    <w:rsid w:val="55899C81"/>
    <w:rsid w:val="55B37002"/>
    <w:rsid w:val="55F1974D"/>
    <w:rsid w:val="55F29546"/>
    <w:rsid w:val="56018894"/>
    <w:rsid w:val="5601D2FC"/>
    <w:rsid w:val="5636FD27"/>
    <w:rsid w:val="564B3FB8"/>
    <w:rsid w:val="564E1529"/>
    <w:rsid w:val="5656B007"/>
    <w:rsid w:val="566CBD83"/>
    <w:rsid w:val="56703B0E"/>
    <w:rsid w:val="56B82A00"/>
    <w:rsid w:val="56C448EF"/>
    <w:rsid w:val="571292C0"/>
    <w:rsid w:val="57378F1A"/>
    <w:rsid w:val="57451B52"/>
    <w:rsid w:val="57695EF5"/>
    <w:rsid w:val="5790D2C0"/>
    <w:rsid w:val="57B7EEF0"/>
    <w:rsid w:val="57C58B3A"/>
    <w:rsid w:val="57EDE05B"/>
    <w:rsid w:val="57EE42FC"/>
    <w:rsid w:val="5821B10A"/>
    <w:rsid w:val="5851420B"/>
    <w:rsid w:val="58605365"/>
    <w:rsid w:val="586F95FE"/>
    <w:rsid w:val="587DE2B0"/>
    <w:rsid w:val="58893E6A"/>
    <w:rsid w:val="588CEAAE"/>
    <w:rsid w:val="5897DB49"/>
    <w:rsid w:val="58A5A701"/>
    <w:rsid w:val="58D26439"/>
    <w:rsid w:val="58E32481"/>
    <w:rsid w:val="590B7B24"/>
    <w:rsid w:val="591800CF"/>
    <w:rsid w:val="59245232"/>
    <w:rsid w:val="5929380F"/>
    <w:rsid w:val="5945FA2A"/>
    <w:rsid w:val="598BAAEB"/>
    <w:rsid w:val="59C70D20"/>
    <w:rsid w:val="59DF9529"/>
    <w:rsid w:val="59FD510B"/>
    <w:rsid w:val="5A15AF38"/>
    <w:rsid w:val="5A17C63C"/>
    <w:rsid w:val="5A2B6BCC"/>
    <w:rsid w:val="5A524774"/>
    <w:rsid w:val="5A6E248D"/>
    <w:rsid w:val="5A87B697"/>
    <w:rsid w:val="5A8C174D"/>
    <w:rsid w:val="5AA1FF67"/>
    <w:rsid w:val="5AA57C87"/>
    <w:rsid w:val="5AAB85B0"/>
    <w:rsid w:val="5AB3A69E"/>
    <w:rsid w:val="5AD14005"/>
    <w:rsid w:val="5AE8F3C0"/>
    <w:rsid w:val="5B1AF56A"/>
    <w:rsid w:val="5B45036F"/>
    <w:rsid w:val="5B610C81"/>
    <w:rsid w:val="5B649572"/>
    <w:rsid w:val="5B6EBBC6"/>
    <w:rsid w:val="5B7863AC"/>
    <w:rsid w:val="5B788516"/>
    <w:rsid w:val="5B7D07DD"/>
    <w:rsid w:val="5BA73260"/>
    <w:rsid w:val="5BAC5F32"/>
    <w:rsid w:val="5BADDFC0"/>
    <w:rsid w:val="5BAE273C"/>
    <w:rsid w:val="5BF5F172"/>
    <w:rsid w:val="5C01FA7B"/>
    <w:rsid w:val="5C1A8A65"/>
    <w:rsid w:val="5C31EC5A"/>
    <w:rsid w:val="5C608580"/>
    <w:rsid w:val="5C60D8D1"/>
    <w:rsid w:val="5C9A1DB4"/>
    <w:rsid w:val="5CAFC697"/>
    <w:rsid w:val="5CB18E1B"/>
    <w:rsid w:val="5CC118B6"/>
    <w:rsid w:val="5CD50964"/>
    <w:rsid w:val="5CF621FC"/>
    <w:rsid w:val="5CFA3FB0"/>
    <w:rsid w:val="5D11644D"/>
    <w:rsid w:val="5D3CCEFC"/>
    <w:rsid w:val="5D9A5332"/>
    <w:rsid w:val="5DA31046"/>
    <w:rsid w:val="5DA51FEF"/>
    <w:rsid w:val="5DAED6B7"/>
    <w:rsid w:val="5DBFE3F0"/>
    <w:rsid w:val="5DC3B80F"/>
    <w:rsid w:val="5DE4560A"/>
    <w:rsid w:val="5E23CC20"/>
    <w:rsid w:val="5E3B256F"/>
    <w:rsid w:val="5E4C640F"/>
    <w:rsid w:val="5E5E24B8"/>
    <w:rsid w:val="5E642AAB"/>
    <w:rsid w:val="5E9C3634"/>
    <w:rsid w:val="5E9C4B99"/>
    <w:rsid w:val="5EBAD475"/>
    <w:rsid w:val="5EC6450B"/>
    <w:rsid w:val="5ED743C8"/>
    <w:rsid w:val="5F3A67B8"/>
    <w:rsid w:val="5F3F4C6F"/>
    <w:rsid w:val="5F590275"/>
    <w:rsid w:val="5F5D523D"/>
    <w:rsid w:val="5F6F1E54"/>
    <w:rsid w:val="5F884424"/>
    <w:rsid w:val="5FCF6DEC"/>
    <w:rsid w:val="5FD7E4B6"/>
    <w:rsid w:val="600E0EB5"/>
    <w:rsid w:val="60380695"/>
    <w:rsid w:val="604B7B35"/>
    <w:rsid w:val="606A6799"/>
    <w:rsid w:val="6080009B"/>
    <w:rsid w:val="6085DFF3"/>
    <w:rsid w:val="60B22FC7"/>
    <w:rsid w:val="60CCE49F"/>
    <w:rsid w:val="60E89CB1"/>
    <w:rsid w:val="60EDCB44"/>
    <w:rsid w:val="61562C60"/>
    <w:rsid w:val="6177E966"/>
    <w:rsid w:val="618C242D"/>
    <w:rsid w:val="618E04ED"/>
    <w:rsid w:val="618EF56C"/>
    <w:rsid w:val="61920735"/>
    <w:rsid w:val="6192D3DC"/>
    <w:rsid w:val="61D41786"/>
    <w:rsid w:val="6223C1B5"/>
    <w:rsid w:val="624E75F4"/>
    <w:rsid w:val="628F91F2"/>
    <w:rsid w:val="62910080"/>
    <w:rsid w:val="62946A92"/>
    <w:rsid w:val="629A4FAB"/>
    <w:rsid w:val="629D3999"/>
    <w:rsid w:val="62C5DBC0"/>
    <w:rsid w:val="630D08D7"/>
    <w:rsid w:val="6330383A"/>
    <w:rsid w:val="63603881"/>
    <w:rsid w:val="6379DFD7"/>
    <w:rsid w:val="63909A02"/>
    <w:rsid w:val="63B49017"/>
    <w:rsid w:val="63D378BD"/>
    <w:rsid w:val="640E45FA"/>
    <w:rsid w:val="6417572B"/>
    <w:rsid w:val="643D5785"/>
    <w:rsid w:val="646DC231"/>
    <w:rsid w:val="64A24797"/>
    <w:rsid w:val="64B51700"/>
    <w:rsid w:val="64C950CC"/>
    <w:rsid w:val="64DCCB98"/>
    <w:rsid w:val="64DEBAC6"/>
    <w:rsid w:val="64E37816"/>
    <w:rsid w:val="64E93049"/>
    <w:rsid w:val="6530DE88"/>
    <w:rsid w:val="6536F348"/>
    <w:rsid w:val="65506078"/>
    <w:rsid w:val="655D2C22"/>
    <w:rsid w:val="656C60C1"/>
    <w:rsid w:val="65C867FB"/>
    <w:rsid w:val="65CE2758"/>
    <w:rsid w:val="65DF6381"/>
    <w:rsid w:val="65E9A4D0"/>
    <w:rsid w:val="65FD7AF0"/>
    <w:rsid w:val="6605729C"/>
    <w:rsid w:val="6616624B"/>
    <w:rsid w:val="663F643B"/>
    <w:rsid w:val="6662A7A2"/>
    <w:rsid w:val="6673BC3C"/>
    <w:rsid w:val="6674FF9E"/>
    <w:rsid w:val="66782703"/>
    <w:rsid w:val="66CCB8F8"/>
    <w:rsid w:val="6728B7A6"/>
    <w:rsid w:val="6740A727"/>
    <w:rsid w:val="67731EC7"/>
    <w:rsid w:val="679B2639"/>
    <w:rsid w:val="67D3050B"/>
    <w:rsid w:val="68269A40"/>
    <w:rsid w:val="6854BEC8"/>
    <w:rsid w:val="6888013A"/>
    <w:rsid w:val="68FCF136"/>
    <w:rsid w:val="69081D35"/>
    <w:rsid w:val="69125350"/>
    <w:rsid w:val="691D859C"/>
    <w:rsid w:val="69296F86"/>
    <w:rsid w:val="69318C57"/>
    <w:rsid w:val="694D93BF"/>
    <w:rsid w:val="698AF2C3"/>
    <w:rsid w:val="69B720F0"/>
    <w:rsid w:val="69D43AF2"/>
    <w:rsid w:val="69D5AFF4"/>
    <w:rsid w:val="69E19C38"/>
    <w:rsid w:val="69E416BE"/>
    <w:rsid w:val="69F4F735"/>
    <w:rsid w:val="6A1100DA"/>
    <w:rsid w:val="6A210381"/>
    <w:rsid w:val="6A23D19B"/>
    <w:rsid w:val="6A3CB537"/>
    <w:rsid w:val="6A5452E2"/>
    <w:rsid w:val="6A84D1CE"/>
    <w:rsid w:val="6A9026A0"/>
    <w:rsid w:val="6AA0F939"/>
    <w:rsid w:val="6AAB852D"/>
    <w:rsid w:val="6ABEB422"/>
    <w:rsid w:val="6AD31BD7"/>
    <w:rsid w:val="6ADFD0D4"/>
    <w:rsid w:val="6B04441B"/>
    <w:rsid w:val="6B28F6A3"/>
    <w:rsid w:val="6B3F74EA"/>
    <w:rsid w:val="6B4B76AB"/>
    <w:rsid w:val="6B52E5D3"/>
    <w:rsid w:val="6B5F9F35"/>
    <w:rsid w:val="6B91FED3"/>
    <w:rsid w:val="6BB983E4"/>
    <w:rsid w:val="6BBCD3E2"/>
    <w:rsid w:val="6BC5153F"/>
    <w:rsid w:val="6BF4A8F2"/>
    <w:rsid w:val="6BFB8784"/>
    <w:rsid w:val="6C28ED0D"/>
    <w:rsid w:val="6C36DB57"/>
    <w:rsid w:val="6C3A3839"/>
    <w:rsid w:val="6C5428C1"/>
    <w:rsid w:val="6C550B67"/>
    <w:rsid w:val="6C5528C7"/>
    <w:rsid w:val="6C6BBC85"/>
    <w:rsid w:val="6C7BA135"/>
    <w:rsid w:val="6C8EA7D5"/>
    <w:rsid w:val="6C9D2F75"/>
    <w:rsid w:val="6D445F27"/>
    <w:rsid w:val="6D96FD0B"/>
    <w:rsid w:val="6DACDD3B"/>
    <w:rsid w:val="6DAFD323"/>
    <w:rsid w:val="6DB2BFB6"/>
    <w:rsid w:val="6DE2063C"/>
    <w:rsid w:val="6DED040D"/>
    <w:rsid w:val="6DEFE154"/>
    <w:rsid w:val="6DFFDE6E"/>
    <w:rsid w:val="6E251A60"/>
    <w:rsid w:val="6E2E3663"/>
    <w:rsid w:val="6E4CB6AD"/>
    <w:rsid w:val="6E671797"/>
    <w:rsid w:val="6E8644D6"/>
    <w:rsid w:val="6EB78058"/>
    <w:rsid w:val="6EC5B3ED"/>
    <w:rsid w:val="6F6ED2D4"/>
    <w:rsid w:val="6F71E0CF"/>
    <w:rsid w:val="6F7DD69D"/>
    <w:rsid w:val="6F83CE12"/>
    <w:rsid w:val="6FA2C99F"/>
    <w:rsid w:val="6FE0625E"/>
    <w:rsid w:val="6FEC392B"/>
    <w:rsid w:val="7050DDBC"/>
    <w:rsid w:val="7051389A"/>
    <w:rsid w:val="707BF672"/>
    <w:rsid w:val="70912579"/>
    <w:rsid w:val="70996FC5"/>
    <w:rsid w:val="70B67EFD"/>
    <w:rsid w:val="70C4EEC8"/>
    <w:rsid w:val="70C838A4"/>
    <w:rsid w:val="70D2643D"/>
    <w:rsid w:val="70EE8BD2"/>
    <w:rsid w:val="710EBA83"/>
    <w:rsid w:val="711E4E66"/>
    <w:rsid w:val="71588ABF"/>
    <w:rsid w:val="715EB6DB"/>
    <w:rsid w:val="71600362"/>
    <w:rsid w:val="71999164"/>
    <w:rsid w:val="71A20F74"/>
    <w:rsid w:val="71A4A0CE"/>
    <w:rsid w:val="71A4F6B1"/>
    <w:rsid w:val="71BD4059"/>
    <w:rsid w:val="71CA8491"/>
    <w:rsid w:val="71E7B67B"/>
    <w:rsid w:val="71EC1731"/>
    <w:rsid w:val="720A465A"/>
    <w:rsid w:val="7221DDD3"/>
    <w:rsid w:val="722CF5DA"/>
    <w:rsid w:val="727A0092"/>
    <w:rsid w:val="727A1555"/>
    <w:rsid w:val="727C781D"/>
    <w:rsid w:val="72ACD567"/>
    <w:rsid w:val="72C6E40C"/>
    <w:rsid w:val="72D380C4"/>
    <w:rsid w:val="730347A6"/>
    <w:rsid w:val="73436ACA"/>
    <w:rsid w:val="7367AB91"/>
    <w:rsid w:val="739814EE"/>
    <w:rsid w:val="739D896F"/>
    <w:rsid w:val="73A6F14E"/>
    <w:rsid w:val="73EBE474"/>
    <w:rsid w:val="741F14A7"/>
    <w:rsid w:val="74456CF3"/>
    <w:rsid w:val="7449DBCA"/>
    <w:rsid w:val="74532A16"/>
    <w:rsid w:val="7494F1B1"/>
    <w:rsid w:val="74A607D3"/>
    <w:rsid w:val="74CF68AF"/>
    <w:rsid w:val="74E94A0E"/>
    <w:rsid w:val="7505D540"/>
    <w:rsid w:val="7555249D"/>
    <w:rsid w:val="7564969C"/>
    <w:rsid w:val="75962E63"/>
    <w:rsid w:val="75A38519"/>
    <w:rsid w:val="75A83F61"/>
    <w:rsid w:val="75BAE508"/>
    <w:rsid w:val="75CA9430"/>
    <w:rsid w:val="75E7AE78"/>
    <w:rsid w:val="75ED968A"/>
    <w:rsid w:val="760D31F0"/>
    <w:rsid w:val="760D44CB"/>
    <w:rsid w:val="76162040"/>
    <w:rsid w:val="7627AB1E"/>
    <w:rsid w:val="76452BFA"/>
    <w:rsid w:val="769A7150"/>
    <w:rsid w:val="76A9B56E"/>
    <w:rsid w:val="770066FD"/>
    <w:rsid w:val="77092F27"/>
    <w:rsid w:val="77620F12"/>
    <w:rsid w:val="77A8746B"/>
    <w:rsid w:val="77DADE67"/>
    <w:rsid w:val="7833FE7A"/>
    <w:rsid w:val="783DF117"/>
    <w:rsid w:val="78584BD8"/>
    <w:rsid w:val="78A7407F"/>
    <w:rsid w:val="78AC9E10"/>
    <w:rsid w:val="78AE505F"/>
    <w:rsid w:val="78B762E9"/>
    <w:rsid w:val="78F7DEF5"/>
    <w:rsid w:val="7902BBBD"/>
    <w:rsid w:val="791EA893"/>
    <w:rsid w:val="7924B8E3"/>
    <w:rsid w:val="7936463E"/>
    <w:rsid w:val="795BAF48"/>
    <w:rsid w:val="796EEBE4"/>
    <w:rsid w:val="796FF29B"/>
    <w:rsid w:val="797852E8"/>
    <w:rsid w:val="7A29ECA1"/>
    <w:rsid w:val="7A7F3D9E"/>
    <w:rsid w:val="7AB00B20"/>
    <w:rsid w:val="7AC6ECD0"/>
    <w:rsid w:val="7AE0C157"/>
    <w:rsid w:val="7AF0EB5E"/>
    <w:rsid w:val="7B099023"/>
    <w:rsid w:val="7B1984F6"/>
    <w:rsid w:val="7B252CBB"/>
    <w:rsid w:val="7B3CEBDB"/>
    <w:rsid w:val="7BA591D9"/>
    <w:rsid w:val="7BB5910D"/>
    <w:rsid w:val="7BE64A85"/>
    <w:rsid w:val="7BF4278F"/>
    <w:rsid w:val="7C0E2946"/>
    <w:rsid w:val="7C240567"/>
    <w:rsid w:val="7C2AF43A"/>
    <w:rsid w:val="7C62BD31"/>
    <w:rsid w:val="7C63DAF6"/>
    <w:rsid w:val="7C7D1EA9"/>
    <w:rsid w:val="7C878627"/>
    <w:rsid w:val="7CA01611"/>
    <w:rsid w:val="7CA69394"/>
    <w:rsid w:val="7CFA0045"/>
    <w:rsid w:val="7D289F23"/>
    <w:rsid w:val="7D76B593"/>
    <w:rsid w:val="7D86D3CA"/>
    <w:rsid w:val="7D8E59F0"/>
    <w:rsid w:val="7DD72E5D"/>
    <w:rsid w:val="7DFECC33"/>
    <w:rsid w:val="7E225CA2"/>
    <w:rsid w:val="7E35438C"/>
    <w:rsid w:val="7E3BE672"/>
    <w:rsid w:val="7E6924A4"/>
    <w:rsid w:val="7E77153E"/>
    <w:rsid w:val="7E78BDBD"/>
    <w:rsid w:val="7E7A1476"/>
    <w:rsid w:val="7EBEE23C"/>
    <w:rsid w:val="7EE1E672"/>
    <w:rsid w:val="7F05E2E3"/>
    <w:rsid w:val="7F240086"/>
    <w:rsid w:val="7F2F8590"/>
    <w:rsid w:val="7F541082"/>
    <w:rsid w:val="7F618A28"/>
    <w:rsid w:val="7F6BC0C8"/>
    <w:rsid w:val="7F78C86B"/>
    <w:rsid w:val="7F8F1AEF"/>
    <w:rsid w:val="7F952005"/>
    <w:rsid w:val="7FB0CF9F"/>
    <w:rsid w:val="7FD582CB"/>
    <w:rsid w:val="7FE212A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B8E91"/>
  <w15:chartTrackingRefBased/>
  <w15:docId w15:val="{0905D22E-AAAF-45D9-A77A-D9EA5A50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08"/>
  </w:style>
  <w:style w:type="paragraph" w:styleId="Heading1">
    <w:name w:val="heading 1"/>
    <w:basedOn w:val="Normal"/>
    <w:next w:val="Normal"/>
    <w:link w:val="Heading1Char"/>
    <w:uiPriority w:val="9"/>
    <w:qFormat/>
    <w:rsid w:val="00EC00A2"/>
    <w:pPr>
      <w:keepNext/>
      <w:keepLines/>
      <w:spacing w:before="360" w:after="80"/>
      <w:outlineLvl w:val="0"/>
    </w:pPr>
    <w:rPr>
      <w:rFonts w:asciiTheme="majorHAnsi" w:eastAsiaTheme="majorEastAsia" w:hAnsiTheme="majorHAnsi" w:cstheme="majorBidi"/>
      <w:color w:val="083A42" w:themeColor="text2"/>
      <w:sz w:val="48"/>
      <w:szCs w:val="32"/>
    </w:rPr>
  </w:style>
  <w:style w:type="paragraph" w:styleId="Heading2">
    <w:name w:val="heading 2"/>
    <w:basedOn w:val="Normal"/>
    <w:next w:val="Normal"/>
    <w:link w:val="Heading2Char"/>
    <w:uiPriority w:val="9"/>
    <w:unhideWhenUsed/>
    <w:qFormat/>
    <w:rsid w:val="00F81717"/>
    <w:pPr>
      <w:keepNext/>
      <w:keepLines/>
      <w:spacing w:before="40" w:after="40"/>
      <w:outlineLvl w:val="1"/>
    </w:pPr>
    <w:rPr>
      <w:rFonts w:asciiTheme="majorHAnsi" w:eastAsiaTheme="majorEastAsia" w:hAnsiTheme="majorHAnsi" w:cstheme="majorBidi"/>
      <w:color w:val="002060"/>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83A42" w:themeColor="text2"/>
      <w:sz w:val="32"/>
      <w:szCs w:val="40"/>
    </w:rPr>
  </w:style>
  <w:style w:type="paragraph" w:styleId="Heading4">
    <w:name w:val="heading 4"/>
    <w:basedOn w:val="Normal"/>
    <w:next w:val="Normal"/>
    <w:link w:val="Heading4Char"/>
    <w:uiPriority w:val="9"/>
    <w:unhideWhenUsed/>
    <w:qFormat/>
    <w:rsid w:val="00E37FCF"/>
    <w:pPr>
      <w:keepNext/>
      <w:keepLines/>
      <w:spacing w:before="40" w:after="0"/>
      <w:outlineLvl w:val="3"/>
    </w:pPr>
    <w:rPr>
      <w:rFonts w:asciiTheme="majorHAnsi" w:eastAsiaTheme="majorEastAsia" w:hAnsiTheme="majorHAnsi" w:cstheme="majorBidi"/>
      <w:iCs/>
      <w:color w:val="083A42" w:themeColor="text2"/>
      <w:sz w:val="28"/>
      <w:szCs w:val="28"/>
    </w:rPr>
  </w:style>
  <w:style w:type="paragraph" w:styleId="Heading5">
    <w:name w:val="heading 5"/>
    <w:basedOn w:val="Normal"/>
    <w:next w:val="Normal"/>
    <w:link w:val="Heading5Char"/>
    <w:uiPriority w:val="9"/>
    <w:unhideWhenUsed/>
    <w:qFormat/>
    <w:rsid w:val="009551DE"/>
    <w:pPr>
      <w:keepNext/>
      <w:keepLines/>
      <w:spacing w:before="40" w:after="60"/>
      <w:outlineLvl w:val="4"/>
    </w:pPr>
    <w:rPr>
      <w:rFonts w:asciiTheme="majorHAnsi" w:eastAsiaTheme="majorEastAsia" w:hAnsiTheme="majorHAnsi" w:cstheme="majorBidi"/>
      <w:color w:val="083A42" w:themeColor="text2"/>
      <w:sz w:val="26"/>
      <w:szCs w:val="26"/>
    </w:rPr>
  </w:style>
  <w:style w:type="paragraph" w:styleId="Heading6">
    <w:name w:val="heading 6"/>
    <w:basedOn w:val="Normal"/>
    <w:next w:val="Normal"/>
    <w:link w:val="Heading6Char"/>
    <w:uiPriority w:val="9"/>
    <w:unhideWhenUsed/>
    <w:qFormat/>
    <w:rsid w:val="00CA4FAE"/>
    <w:pPr>
      <w:keepNext/>
      <w:keepLines/>
      <w:spacing w:before="40" w:after="0"/>
      <w:outlineLvl w:val="5"/>
    </w:pPr>
    <w:rPr>
      <w:rFonts w:asciiTheme="majorHAnsi" w:eastAsiaTheme="majorEastAsia" w:hAnsiTheme="majorHAnsi" w:cstheme="majorBidi"/>
      <w:color w:val="562403" w:themeColor="accent3"/>
    </w:rPr>
  </w:style>
  <w:style w:type="paragraph" w:styleId="Heading7">
    <w:name w:val="heading 7"/>
    <w:basedOn w:val="Normal"/>
    <w:next w:val="Normal"/>
    <w:link w:val="Heading7Char"/>
    <w:uiPriority w:val="9"/>
    <w:unhideWhenUsed/>
    <w:qFormat/>
    <w:rsid w:val="00CA4FAE"/>
    <w:pPr>
      <w:keepNext/>
      <w:keepLines/>
      <w:spacing w:before="40" w:after="0"/>
      <w:outlineLvl w:val="6"/>
    </w:pPr>
    <w:rPr>
      <w:rFonts w:asciiTheme="majorHAnsi" w:eastAsiaTheme="majorEastAsia" w:hAnsiTheme="majorHAnsi" w:cstheme="majorBidi"/>
      <w:i/>
      <w:iCs/>
      <w:color w:val="083A42" w:themeColor="text2"/>
    </w:rPr>
  </w:style>
  <w:style w:type="paragraph" w:styleId="Heading8">
    <w:name w:val="heading 8"/>
    <w:basedOn w:val="Normal"/>
    <w:next w:val="Normal"/>
    <w:link w:val="Heading8Char"/>
    <w:uiPriority w:val="9"/>
    <w:unhideWhenUsed/>
    <w:qFormat/>
    <w:rsid w:val="00CA4FAE"/>
    <w:pPr>
      <w:keepNext/>
      <w:keepLines/>
      <w:spacing w:before="40" w:after="0"/>
      <w:outlineLvl w:val="7"/>
    </w:pPr>
    <w:rPr>
      <w:rFonts w:asciiTheme="majorHAnsi" w:eastAsiaTheme="majorEastAsia" w:hAnsiTheme="majorHAnsi" w:cstheme="majorBidi"/>
      <w:color w:val="562403" w:themeColor="accent3"/>
      <w:sz w:val="21"/>
      <w:szCs w:val="21"/>
    </w:rPr>
  </w:style>
  <w:style w:type="paragraph" w:styleId="Heading9">
    <w:name w:val="heading 9"/>
    <w:basedOn w:val="Normal"/>
    <w:next w:val="Normal"/>
    <w:link w:val="Heading9Char"/>
    <w:uiPriority w:val="9"/>
    <w:unhideWhenUsed/>
    <w:qFormat/>
    <w:rsid w:val="00CA4FAE"/>
    <w:pPr>
      <w:keepNext/>
      <w:keepLines/>
      <w:spacing w:before="40" w:after="0"/>
      <w:outlineLvl w:val="8"/>
    </w:pPr>
    <w:rPr>
      <w:rFonts w:asciiTheme="majorHAnsi" w:eastAsiaTheme="majorEastAsia" w:hAnsiTheme="majorHAnsi" w:cstheme="majorBidi"/>
      <w:i/>
      <w:iCs/>
      <w:color w:val="083A42" w:themeColor="text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C00A2"/>
    <w:rPr>
      <w:rFonts w:asciiTheme="majorHAnsi" w:eastAsiaTheme="majorEastAsia" w:hAnsiTheme="majorHAnsi" w:cstheme="majorBidi"/>
      <w:color w:val="083A42" w:themeColor="text2"/>
      <w:sz w:val="48"/>
      <w:szCs w:val="32"/>
    </w:rPr>
  </w:style>
  <w:style w:type="paragraph" w:styleId="Title">
    <w:name w:val="Title"/>
    <w:basedOn w:val="Normal"/>
    <w:next w:val="Normal"/>
    <w:link w:val="TitleChar"/>
    <w:uiPriority w:val="10"/>
    <w:qFormat/>
    <w:rsid w:val="00EC00A2"/>
    <w:pPr>
      <w:pBdr>
        <w:bottom w:val="single" w:sz="8" w:space="1" w:color="083A42" w:themeColor="text2"/>
      </w:pBdr>
      <w:spacing w:before="360" w:after="120" w:line="240" w:lineRule="auto"/>
      <w:contextualSpacing/>
      <w:outlineLvl w:val="0"/>
    </w:pPr>
    <w:rPr>
      <w:rFonts w:asciiTheme="majorHAnsi" w:eastAsiaTheme="majorEastAsia" w:hAnsiTheme="majorHAnsi" w:cstheme="majorBidi"/>
      <w:color w:val="083A42" w:themeColor="text2"/>
      <w:spacing w:val="-10"/>
      <w:kern w:val="28"/>
      <w:sz w:val="56"/>
      <w:szCs w:val="7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color w:val="083A42" w:themeColor="text2"/>
      <w:spacing w:val="-10"/>
      <w:kern w:val="28"/>
      <w:sz w:val="56"/>
      <w:szCs w:val="72"/>
    </w:rPr>
  </w:style>
  <w:style w:type="paragraph" w:styleId="Subtitle">
    <w:name w:val="Subtitle"/>
    <w:basedOn w:val="Normal"/>
    <w:next w:val="Normal"/>
    <w:link w:val="SubtitleChar"/>
    <w:uiPriority w:val="11"/>
    <w:qFormat/>
    <w:rsid w:val="00141A40"/>
    <w:pPr>
      <w:numPr>
        <w:ilvl w:val="1"/>
      </w:numPr>
    </w:pPr>
    <w:rPr>
      <w:rFonts w:eastAsiaTheme="minorEastAsia"/>
      <w:color w:val="0C5B68" w:themeColor="text2" w:themeTint="E6"/>
      <w:sz w:val="32"/>
    </w:rPr>
  </w:style>
  <w:style w:type="character" w:customStyle="1" w:styleId="SubtitleChar">
    <w:name w:val="Subtitle Char"/>
    <w:basedOn w:val="DefaultParagraphFont"/>
    <w:link w:val="Subtitle"/>
    <w:uiPriority w:val="11"/>
    <w:rsid w:val="00141A40"/>
    <w:rPr>
      <w:rFonts w:eastAsiaTheme="minorEastAsia"/>
      <w:color w:val="0C5B68" w:themeColor="text2" w:themeTint="E6"/>
      <w:sz w:val="32"/>
    </w:rPr>
  </w:style>
  <w:style w:type="character" w:customStyle="1" w:styleId="Heading2Char">
    <w:name w:val="Heading 2 Char"/>
    <w:basedOn w:val="DefaultParagraphFont"/>
    <w:link w:val="Heading2"/>
    <w:uiPriority w:val="9"/>
    <w:rsid w:val="00141A40"/>
    <w:rPr>
      <w:rFonts w:asciiTheme="majorHAnsi" w:eastAsiaTheme="majorEastAsia" w:hAnsiTheme="majorHAnsi" w:cstheme="majorBidi"/>
      <w:color w:val="002060"/>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83A42" w:themeColor="text2"/>
      <w:sz w:val="32"/>
      <w:szCs w:val="40"/>
    </w:rPr>
  </w:style>
  <w:style w:type="character" w:customStyle="1" w:styleId="Heading4Char">
    <w:name w:val="Heading 4 Char"/>
    <w:basedOn w:val="DefaultParagraphFont"/>
    <w:link w:val="Heading4"/>
    <w:uiPriority w:val="9"/>
    <w:rsid w:val="00141A40"/>
    <w:rPr>
      <w:rFonts w:asciiTheme="majorHAnsi" w:eastAsiaTheme="majorEastAsia" w:hAnsiTheme="majorHAnsi" w:cstheme="majorBidi"/>
      <w:iCs/>
      <w:color w:val="083A42" w:themeColor="text2"/>
      <w:sz w:val="28"/>
      <w:szCs w:val="28"/>
    </w:rPr>
  </w:style>
  <w:style w:type="character" w:customStyle="1" w:styleId="Heading5Char">
    <w:name w:val="Heading 5 Char"/>
    <w:basedOn w:val="DefaultParagraphFont"/>
    <w:link w:val="Heading5"/>
    <w:uiPriority w:val="9"/>
    <w:rsid w:val="009551DE"/>
    <w:rPr>
      <w:rFonts w:asciiTheme="majorHAnsi" w:eastAsiaTheme="majorEastAsia" w:hAnsiTheme="majorHAnsi" w:cstheme="majorBidi"/>
      <w:color w:val="083A42"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Bulleted Para,CV text,Dot pt,F5 List Paragraph,FooterText,L,List Paragraph1,List Paragraph11,List Paragraph111,List Paragraph2,Medium Grid 1 - Accent 21,NFP GP Bulleted List,Numbered Paragraph,Rec para,Recommendation,numbered,列出段落,列出段落1"/>
    <w:basedOn w:val="Normal"/>
    <w:link w:val="ListParagraphChar"/>
    <w:uiPriority w:val="34"/>
    <w:qFormat/>
    <w:rsid w:val="004632E9"/>
    <w:pPr>
      <w:numPr>
        <w:numId w:val="10"/>
      </w:numPr>
      <w:contextualSpacing/>
    </w:pPr>
  </w:style>
  <w:style w:type="character" w:styleId="Hyperlink">
    <w:name w:val="Hyperlink"/>
    <w:basedOn w:val="DefaultParagraphFont"/>
    <w:uiPriority w:val="99"/>
    <w:unhideWhenUsed/>
    <w:rsid w:val="00711349"/>
    <w:rPr>
      <w:color w:val="0563C1"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141A40"/>
    <w:pPr>
      <w:spacing w:after="120" w:line="240" w:lineRule="auto"/>
    </w:pPr>
    <w:rPr>
      <w:i/>
      <w:iCs/>
      <w:color w:val="408479" w:themeColor="accent2" w:themeTint="BF"/>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1E3E39" w:themeColor="accent2"/>
        <w:left w:val="single" w:sz="4" w:space="0" w:color="1E3E39" w:themeColor="accent2"/>
        <w:bottom w:val="single" w:sz="4" w:space="0" w:color="1E3E39" w:themeColor="accent2"/>
        <w:right w:val="single" w:sz="4" w:space="0" w:color="1E3E39" w:themeColor="accent2"/>
      </w:tblBorders>
    </w:tblPr>
    <w:tblStylePr w:type="firstRow">
      <w:rPr>
        <w:b/>
        <w:bCs/>
        <w:color w:val="FFFFFF" w:themeColor="background1"/>
      </w:rPr>
      <w:tblPr/>
      <w:tcPr>
        <w:shd w:val="clear" w:color="auto" w:fill="1E3E39" w:themeFill="accent2"/>
      </w:tcPr>
    </w:tblStylePr>
    <w:tblStylePr w:type="lastRow">
      <w:rPr>
        <w:b/>
        <w:bCs/>
      </w:rPr>
      <w:tblPr/>
      <w:tcPr>
        <w:tcBorders>
          <w:top w:val="double" w:sz="4" w:space="0" w:color="1E3E3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3E39" w:themeColor="accent2"/>
          <w:right w:val="single" w:sz="4" w:space="0" w:color="1E3E39" w:themeColor="accent2"/>
        </w:tcBorders>
      </w:tcPr>
    </w:tblStylePr>
    <w:tblStylePr w:type="band1Horz">
      <w:tblPr/>
      <w:tcPr>
        <w:tcBorders>
          <w:top w:val="single" w:sz="4" w:space="0" w:color="1E3E39" w:themeColor="accent2"/>
          <w:bottom w:val="single" w:sz="4" w:space="0" w:color="1E3E3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3E39" w:themeColor="accent2"/>
          <w:left w:val="nil"/>
        </w:tcBorders>
      </w:tcPr>
    </w:tblStylePr>
    <w:tblStylePr w:type="swCell">
      <w:tblPr/>
      <w:tcPr>
        <w:tcBorders>
          <w:top w:val="double" w:sz="4" w:space="0" w:color="1E3E39" w:themeColor="accent2"/>
          <w:right w:val="nil"/>
        </w:tcBorders>
      </w:tcPr>
    </w:tblStylePr>
  </w:style>
  <w:style w:type="table" w:styleId="ListTable3-Accent3">
    <w:name w:val="List Table 3 Accent 3"/>
    <w:basedOn w:val="TableNormal"/>
    <w:uiPriority w:val="48"/>
    <w:rsid w:val="00141A40"/>
    <w:pPr>
      <w:spacing w:after="0" w:line="240" w:lineRule="auto"/>
    </w:pPr>
    <w:tblPr>
      <w:tblStyleRowBandSize w:val="1"/>
      <w:tblStyleColBandSize w:val="1"/>
      <w:tblBorders>
        <w:top w:val="single" w:sz="4" w:space="0" w:color="562403" w:themeColor="accent3"/>
        <w:left w:val="single" w:sz="4" w:space="0" w:color="562403" w:themeColor="accent3"/>
        <w:bottom w:val="single" w:sz="4" w:space="0" w:color="562403" w:themeColor="accent3"/>
        <w:right w:val="single" w:sz="4" w:space="0" w:color="562403" w:themeColor="accent3"/>
      </w:tblBorders>
    </w:tblPr>
    <w:tblStylePr w:type="firstRow">
      <w:rPr>
        <w:b/>
        <w:bCs/>
        <w:color w:val="FFFFFF" w:themeColor="background1"/>
      </w:rPr>
      <w:tblPr/>
      <w:tcPr>
        <w:shd w:val="clear" w:color="auto" w:fill="BB4E06" w:themeFill="accent3" w:themeFillTint="BF"/>
      </w:tcPr>
    </w:tblStylePr>
    <w:tblStylePr w:type="lastRow">
      <w:rPr>
        <w:b/>
        <w:bCs/>
      </w:rPr>
      <w:tblPr/>
      <w:tcPr>
        <w:tcBorders>
          <w:top w:val="double" w:sz="4" w:space="0" w:color="5624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2403" w:themeColor="accent3"/>
          <w:right w:val="single" w:sz="4" w:space="0" w:color="562403" w:themeColor="accent3"/>
        </w:tcBorders>
      </w:tcPr>
    </w:tblStylePr>
    <w:tblStylePr w:type="band1Horz">
      <w:tblPr/>
      <w:tcPr>
        <w:tcBorders>
          <w:top w:val="single" w:sz="4" w:space="0" w:color="562403" w:themeColor="accent3"/>
          <w:bottom w:val="single" w:sz="4" w:space="0" w:color="5624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2403" w:themeColor="accent3"/>
          <w:left w:val="nil"/>
        </w:tcBorders>
      </w:tcPr>
    </w:tblStylePr>
    <w:tblStylePr w:type="swCell">
      <w:tblPr/>
      <w:tcPr>
        <w:tcBorders>
          <w:top w:val="double" w:sz="4" w:space="0" w:color="562403"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6D3D3" w:themeColor="accent4" w:themeTint="33"/>
        <w:left w:val="single" w:sz="4" w:space="4" w:color="D6D3D3" w:themeColor="accent4" w:themeTint="33"/>
        <w:bottom w:val="single" w:sz="4" w:space="6" w:color="D6D3D3" w:themeColor="accent4" w:themeTint="33"/>
        <w:right w:val="single" w:sz="4" w:space="4" w:color="D6D3D3" w:themeColor="accent4" w:themeTint="33"/>
      </w:pBdr>
      <w:shd w:val="clear" w:color="auto" w:fill="D6D3D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6D3D3" w:themeFill="accent4" w:themeFillTint="33"/>
    </w:rPr>
  </w:style>
  <w:style w:type="paragraph" w:customStyle="1" w:styleId="Calloutbox">
    <w:name w:val="Call out box"/>
    <w:basedOn w:val="Normal"/>
    <w:qFormat/>
    <w:rsid w:val="00141A40"/>
    <w:pPr>
      <w:pBdr>
        <w:top w:val="single" w:sz="4" w:space="6" w:color="B8DCD7" w:themeColor="accent2" w:themeTint="40"/>
        <w:left w:val="single" w:sz="4" w:space="4" w:color="B8DCD7" w:themeColor="accent2" w:themeTint="40"/>
        <w:bottom w:val="single" w:sz="4" w:space="6" w:color="B8DCD7" w:themeColor="accent2" w:themeTint="40"/>
        <w:right w:val="single" w:sz="4" w:space="4" w:color="B8DCD7" w:themeColor="accent2" w:themeTint="40"/>
      </w:pBdr>
      <w:shd w:val="clear" w:color="auto" w:fill="B8DCD7" w:themeFill="accent2" w:themeFillTint="40"/>
      <w:contextualSpacing/>
    </w:pPr>
  </w:style>
  <w:style w:type="character" w:customStyle="1" w:styleId="Heading6Char">
    <w:name w:val="Heading 6 Char"/>
    <w:basedOn w:val="DefaultParagraphFont"/>
    <w:link w:val="Heading6"/>
    <w:uiPriority w:val="9"/>
    <w:rsid w:val="00CA4FAE"/>
    <w:rPr>
      <w:rFonts w:asciiTheme="majorHAnsi" w:eastAsiaTheme="majorEastAsia" w:hAnsiTheme="majorHAnsi" w:cstheme="majorBidi"/>
      <w:color w:val="562403" w:themeColor="accent3"/>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55AD9F" w:themeColor="accent2" w:themeTint="99"/>
        <w:left w:val="single" w:sz="4" w:space="0" w:color="55AD9F" w:themeColor="accent2" w:themeTint="99"/>
        <w:bottom w:val="single" w:sz="4" w:space="0" w:color="55AD9F" w:themeColor="accent2" w:themeTint="99"/>
        <w:right w:val="single" w:sz="4" w:space="0" w:color="55AD9F" w:themeColor="accent2" w:themeTint="99"/>
        <w:insideH w:val="single" w:sz="4" w:space="0" w:color="55AD9F" w:themeColor="accent2" w:themeTint="99"/>
        <w:insideV w:val="single" w:sz="4" w:space="0" w:color="55AD9F" w:themeColor="accent2" w:themeTint="99"/>
      </w:tblBorders>
    </w:tblPr>
    <w:tblStylePr w:type="firstRow">
      <w:rPr>
        <w:b/>
        <w:bCs/>
        <w:color w:val="FFFFFF" w:themeColor="background1"/>
      </w:rPr>
      <w:tblPr/>
      <w:tcPr>
        <w:tcBorders>
          <w:top w:val="single" w:sz="4" w:space="0" w:color="1E3E39" w:themeColor="accent2"/>
          <w:left w:val="single" w:sz="4" w:space="0" w:color="1E3E39" w:themeColor="accent2"/>
          <w:bottom w:val="single" w:sz="4" w:space="0" w:color="1E3E39" w:themeColor="accent2"/>
          <w:right w:val="single" w:sz="4" w:space="0" w:color="1E3E39" w:themeColor="accent2"/>
          <w:insideH w:val="nil"/>
          <w:insideV w:val="nil"/>
        </w:tcBorders>
        <w:shd w:val="clear" w:color="auto" w:fill="1E3E39" w:themeFill="accent2"/>
      </w:tcPr>
    </w:tblStylePr>
    <w:tblStylePr w:type="lastRow">
      <w:rPr>
        <w:b/>
        <w:bCs/>
      </w:rPr>
      <w:tblPr/>
      <w:tcPr>
        <w:tcBorders>
          <w:top w:val="double" w:sz="4" w:space="0" w:color="1E3E39" w:themeColor="accent2"/>
        </w:tcBorders>
      </w:tcPr>
    </w:tblStylePr>
    <w:tblStylePr w:type="firstCol">
      <w:rPr>
        <w:b/>
        <w:bCs/>
      </w:rPr>
    </w:tblStylePr>
    <w:tblStylePr w:type="lastCol">
      <w:rPr>
        <w:b/>
        <w:bCs/>
      </w:rPr>
    </w:tblStylePr>
    <w:tblStylePr w:type="band1Vert">
      <w:tblPr/>
      <w:tcPr>
        <w:shd w:val="clear" w:color="auto" w:fill="C6E3DF" w:themeFill="accent2" w:themeFillTint="33"/>
      </w:tcPr>
    </w:tblStylePr>
    <w:tblStylePr w:type="band1Horz">
      <w:tblPr/>
      <w:tcPr>
        <w:shd w:val="clear" w:color="auto" w:fill="C6E3D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8EC8BF" w:themeColor="accent2" w:themeTint="66"/>
        <w:left w:val="single" w:sz="4" w:space="0" w:color="8EC8BF" w:themeColor="accent2" w:themeTint="66"/>
        <w:bottom w:val="single" w:sz="4" w:space="0" w:color="8EC8BF" w:themeColor="accent2" w:themeTint="66"/>
        <w:right w:val="single" w:sz="4" w:space="0" w:color="8EC8BF" w:themeColor="accent2" w:themeTint="66"/>
        <w:insideH w:val="single" w:sz="4" w:space="0" w:color="8EC8BF" w:themeColor="accent2" w:themeTint="66"/>
        <w:insideV w:val="single" w:sz="4" w:space="0" w:color="8EC8BF" w:themeColor="accent2" w:themeTint="66"/>
      </w:tblBorders>
    </w:tblPr>
    <w:tblStylePr w:type="firstRow">
      <w:rPr>
        <w:b/>
        <w:bCs/>
      </w:rPr>
      <w:tblPr/>
      <w:tcPr>
        <w:tcBorders>
          <w:bottom w:val="single" w:sz="12" w:space="0" w:color="55AD9F" w:themeColor="accent2" w:themeTint="99"/>
        </w:tcBorders>
      </w:tcPr>
    </w:tblStylePr>
    <w:tblStylePr w:type="lastRow">
      <w:rPr>
        <w:b/>
        <w:bCs/>
      </w:rPr>
      <w:tblPr/>
      <w:tcPr>
        <w:tcBorders>
          <w:top w:val="double" w:sz="2" w:space="0" w:color="55AD9F"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2F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2F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2F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2F49" w:themeFill="accent1"/>
      </w:tcPr>
    </w:tblStylePr>
    <w:tblStylePr w:type="band1Vert">
      <w:tblPr/>
      <w:tcPr>
        <w:shd w:val="clear" w:color="auto" w:fill="84A8D5" w:themeFill="accent1" w:themeFillTint="66"/>
      </w:tcPr>
    </w:tblStylePr>
    <w:tblStylePr w:type="band1Horz">
      <w:tblPr/>
      <w:tcPr>
        <w:shd w:val="clear" w:color="auto" w:fill="84A8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467DC0" w:themeColor="accent1" w:themeTint="99"/>
        <w:left w:val="single" w:sz="4" w:space="0" w:color="467DC0" w:themeColor="accent1" w:themeTint="99"/>
        <w:bottom w:val="single" w:sz="4" w:space="0" w:color="467DC0" w:themeColor="accent1" w:themeTint="99"/>
        <w:right w:val="single" w:sz="4" w:space="0" w:color="467DC0" w:themeColor="accent1" w:themeTint="99"/>
        <w:insideH w:val="single" w:sz="4" w:space="0" w:color="467DC0" w:themeColor="accent1" w:themeTint="99"/>
        <w:insideV w:val="single" w:sz="4" w:space="0" w:color="467DC0" w:themeColor="accent1" w:themeTint="99"/>
      </w:tblBorders>
    </w:tblPr>
    <w:tblStylePr w:type="firstRow">
      <w:rPr>
        <w:b/>
        <w:bCs/>
        <w:color w:val="FFFFFF" w:themeColor="background1"/>
      </w:rPr>
      <w:tblPr/>
      <w:tcPr>
        <w:tcBorders>
          <w:top w:val="single" w:sz="4" w:space="0" w:color="192F49" w:themeColor="accent1"/>
          <w:left w:val="single" w:sz="4" w:space="0" w:color="192F49" w:themeColor="accent1"/>
          <w:bottom w:val="single" w:sz="4" w:space="0" w:color="192F49" w:themeColor="accent1"/>
          <w:right w:val="single" w:sz="4" w:space="0" w:color="192F49" w:themeColor="accent1"/>
          <w:insideH w:val="nil"/>
          <w:insideV w:val="nil"/>
        </w:tcBorders>
        <w:shd w:val="clear" w:color="auto" w:fill="192F49" w:themeFill="accent1"/>
      </w:tcPr>
    </w:tblStylePr>
    <w:tblStylePr w:type="lastRow">
      <w:rPr>
        <w:b/>
        <w:bCs/>
      </w:rPr>
      <w:tblPr/>
      <w:tcPr>
        <w:tcBorders>
          <w:top w:val="double" w:sz="4" w:space="0" w:color="192F49" w:themeColor="accent1"/>
        </w:tcBorders>
      </w:tcPr>
    </w:tblStylePr>
    <w:tblStylePr w:type="firstCol">
      <w:rPr>
        <w:b/>
        <w:bCs/>
      </w:rPr>
    </w:tblStylePr>
    <w:tblStylePr w:type="lastCol">
      <w:rPr>
        <w:b/>
        <w:bCs/>
      </w:rPr>
    </w:tblStylePr>
    <w:tblStylePr w:type="band1Vert">
      <w:tblPr/>
      <w:tcPr>
        <w:shd w:val="clear" w:color="auto" w:fill="C1D3EA" w:themeFill="accent1" w:themeFillTint="33"/>
      </w:tcPr>
    </w:tblStylePr>
    <w:tblStylePr w:type="band1Horz">
      <w:tblPr/>
      <w:tcPr>
        <w:shd w:val="clear" w:color="auto" w:fill="C1D3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857C7C" w:themeColor="accent4" w:themeTint="99"/>
        <w:left w:val="single" w:sz="4" w:space="0" w:color="857C7C" w:themeColor="accent4" w:themeTint="99"/>
        <w:bottom w:val="single" w:sz="4" w:space="0" w:color="857C7C" w:themeColor="accent4" w:themeTint="99"/>
        <w:right w:val="single" w:sz="4" w:space="0" w:color="857C7C" w:themeColor="accent4" w:themeTint="99"/>
        <w:insideH w:val="single" w:sz="4" w:space="0" w:color="857C7C" w:themeColor="accent4" w:themeTint="99"/>
        <w:insideV w:val="single" w:sz="4" w:space="0" w:color="857C7C" w:themeColor="accent4" w:themeTint="99"/>
      </w:tblBorders>
    </w:tblPr>
    <w:tblStylePr w:type="firstRow">
      <w:rPr>
        <w:b/>
        <w:bCs/>
        <w:color w:val="FFFFFF" w:themeColor="background1"/>
      </w:rPr>
      <w:tblPr/>
      <w:tcPr>
        <w:tcBorders>
          <w:top w:val="single" w:sz="4" w:space="0" w:color="2E2B2B" w:themeColor="accent4"/>
          <w:left w:val="single" w:sz="4" w:space="0" w:color="2E2B2B" w:themeColor="accent4"/>
          <w:bottom w:val="single" w:sz="4" w:space="0" w:color="2E2B2B" w:themeColor="accent4"/>
          <w:right w:val="single" w:sz="4" w:space="0" w:color="2E2B2B" w:themeColor="accent4"/>
          <w:insideH w:val="nil"/>
          <w:insideV w:val="nil"/>
        </w:tcBorders>
        <w:shd w:val="clear" w:color="auto" w:fill="2E2B2B" w:themeFill="accent4"/>
      </w:tcPr>
    </w:tblStylePr>
    <w:tblStylePr w:type="lastRow">
      <w:rPr>
        <w:b/>
        <w:bCs/>
      </w:rPr>
      <w:tblPr/>
      <w:tcPr>
        <w:tcBorders>
          <w:top w:val="double" w:sz="4" w:space="0" w:color="2E2B2B" w:themeColor="accent4"/>
        </w:tcBorders>
      </w:tcPr>
    </w:tblStylePr>
    <w:tblStylePr w:type="firstCol">
      <w:rPr>
        <w:b/>
        <w:bCs/>
      </w:rPr>
    </w:tblStylePr>
    <w:tblStylePr w:type="lastCol">
      <w:rPr>
        <w:b/>
        <w:bCs/>
      </w:rPr>
    </w:tblStylePr>
    <w:tblStylePr w:type="band1Vert">
      <w:tblPr/>
      <w:tcPr>
        <w:shd w:val="clear" w:color="auto" w:fill="D6D3D3" w:themeFill="accent4" w:themeFillTint="33"/>
      </w:tcPr>
    </w:tblStylePr>
    <w:tblStylePr w:type="band1Horz">
      <w:tblPr/>
      <w:tcPr>
        <w:shd w:val="clear" w:color="auto" w:fill="D6D3D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F6680A" w:themeColor="accent3" w:themeTint="99"/>
        <w:left w:val="single" w:sz="4" w:space="0" w:color="F6680A" w:themeColor="accent3" w:themeTint="99"/>
        <w:bottom w:val="single" w:sz="4" w:space="0" w:color="F6680A" w:themeColor="accent3" w:themeTint="99"/>
        <w:right w:val="single" w:sz="4" w:space="0" w:color="F6680A" w:themeColor="accent3" w:themeTint="99"/>
        <w:insideH w:val="single" w:sz="4" w:space="0" w:color="F6680A" w:themeColor="accent3" w:themeTint="99"/>
        <w:insideV w:val="single" w:sz="4" w:space="0" w:color="F6680A" w:themeColor="accent3" w:themeTint="99"/>
      </w:tblBorders>
    </w:tblPr>
    <w:tblStylePr w:type="firstRow">
      <w:rPr>
        <w:b/>
        <w:bCs/>
        <w:color w:val="FFFFFF" w:themeColor="background1"/>
      </w:rPr>
      <w:tblPr/>
      <w:tcPr>
        <w:tcBorders>
          <w:top w:val="single" w:sz="4" w:space="0" w:color="562403" w:themeColor="accent3"/>
          <w:left w:val="single" w:sz="4" w:space="0" w:color="562403" w:themeColor="accent3"/>
          <w:bottom w:val="single" w:sz="4" w:space="0" w:color="562403" w:themeColor="accent3"/>
          <w:right w:val="single" w:sz="4" w:space="0" w:color="562403" w:themeColor="accent3"/>
          <w:insideH w:val="nil"/>
          <w:insideV w:val="nil"/>
        </w:tcBorders>
        <w:shd w:val="clear" w:color="auto" w:fill="562403" w:themeFill="accent3"/>
      </w:tcPr>
    </w:tblStylePr>
    <w:tblStylePr w:type="lastRow">
      <w:rPr>
        <w:b/>
        <w:bCs/>
      </w:rPr>
      <w:tblPr/>
      <w:tcPr>
        <w:tcBorders>
          <w:top w:val="double" w:sz="4" w:space="0" w:color="562403" w:themeColor="accent3"/>
        </w:tcBorders>
      </w:tcPr>
    </w:tblStylePr>
    <w:tblStylePr w:type="firstCol">
      <w:rPr>
        <w:b/>
        <w:bCs/>
      </w:rPr>
    </w:tblStylePr>
    <w:tblStylePr w:type="lastCol">
      <w:rPr>
        <w:b/>
        <w:bCs/>
      </w:rPr>
    </w:tblStylePr>
    <w:tblStylePr w:type="band1Vert">
      <w:tblPr/>
      <w:tcPr>
        <w:shd w:val="clear" w:color="auto" w:fill="FCCCAD" w:themeFill="accent3" w:themeFillTint="33"/>
      </w:tcPr>
    </w:tblStylePr>
    <w:tblStylePr w:type="band1Horz">
      <w:tblPr/>
      <w:tcPr>
        <w:shd w:val="clear" w:color="auto" w:fill="FCCCAD" w:themeFill="accent3" w:themeFillTint="33"/>
      </w:tcPr>
    </w:tblStylePr>
  </w:style>
  <w:style w:type="character" w:customStyle="1" w:styleId="Heading7Char">
    <w:name w:val="Heading 7 Char"/>
    <w:basedOn w:val="DefaultParagraphFont"/>
    <w:link w:val="Heading7"/>
    <w:uiPriority w:val="9"/>
    <w:rsid w:val="00CA4FAE"/>
    <w:rPr>
      <w:rFonts w:asciiTheme="majorHAnsi" w:eastAsiaTheme="majorEastAsia" w:hAnsiTheme="majorHAnsi" w:cstheme="majorBidi"/>
      <w:i/>
      <w:iCs/>
      <w:color w:val="083A42" w:themeColor="text2"/>
    </w:rPr>
  </w:style>
  <w:style w:type="character" w:customStyle="1" w:styleId="Heading8Char">
    <w:name w:val="Heading 8 Char"/>
    <w:basedOn w:val="DefaultParagraphFont"/>
    <w:link w:val="Heading8"/>
    <w:uiPriority w:val="9"/>
    <w:rsid w:val="00CA4FAE"/>
    <w:rPr>
      <w:rFonts w:asciiTheme="majorHAnsi" w:eastAsiaTheme="majorEastAsia" w:hAnsiTheme="majorHAnsi" w:cstheme="majorBidi"/>
      <w:color w:val="562403" w:themeColor="accent3"/>
      <w:sz w:val="21"/>
      <w:szCs w:val="21"/>
    </w:rPr>
  </w:style>
  <w:style w:type="character" w:customStyle="1" w:styleId="Heading9Char">
    <w:name w:val="Heading 9 Char"/>
    <w:basedOn w:val="DefaultParagraphFont"/>
    <w:link w:val="Heading9"/>
    <w:uiPriority w:val="9"/>
    <w:rsid w:val="00CA4FAE"/>
    <w:rPr>
      <w:rFonts w:asciiTheme="majorHAnsi" w:eastAsiaTheme="majorEastAsia" w:hAnsiTheme="majorHAnsi" w:cstheme="majorBidi"/>
      <w:i/>
      <w:iCs/>
      <w:color w:val="083A42" w:themeColor="text2"/>
      <w:sz w:val="21"/>
      <w:szCs w:val="21"/>
    </w:rPr>
  </w:style>
  <w:style w:type="character" w:styleId="CommentReference">
    <w:name w:val="annotation reference"/>
    <w:basedOn w:val="DefaultParagraphFont"/>
    <w:uiPriority w:val="99"/>
    <w:semiHidden/>
    <w:unhideWhenUsed/>
    <w:rsid w:val="007862C8"/>
    <w:rPr>
      <w:sz w:val="16"/>
      <w:szCs w:val="16"/>
    </w:rPr>
  </w:style>
  <w:style w:type="paragraph" w:styleId="CommentText">
    <w:name w:val="annotation text"/>
    <w:basedOn w:val="Normal"/>
    <w:link w:val="CommentTextChar"/>
    <w:uiPriority w:val="99"/>
    <w:unhideWhenUsed/>
    <w:rsid w:val="007862C8"/>
    <w:pPr>
      <w:spacing w:line="240" w:lineRule="auto"/>
    </w:pPr>
    <w:rPr>
      <w:sz w:val="20"/>
      <w:szCs w:val="20"/>
    </w:rPr>
  </w:style>
  <w:style w:type="character" w:customStyle="1" w:styleId="CommentTextChar">
    <w:name w:val="Comment Text Char"/>
    <w:basedOn w:val="DefaultParagraphFont"/>
    <w:link w:val="CommentText"/>
    <w:uiPriority w:val="99"/>
    <w:rsid w:val="007862C8"/>
    <w:rPr>
      <w:sz w:val="20"/>
      <w:szCs w:val="20"/>
    </w:rPr>
  </w:style>
  <w:style w:type="character" w:customStyle="1" w:styleId="CharAmPartNo">
    <w:name w:val="CharAmPartNo"/>
    <w:basedOn w:val="DefaultParagraphFont"/>
    <w:qFormat/>
    <w:rsid w:val="004A6E24"/>
  </w:style>
  <w:style w:type="character" w:customStyle="1" w:styleId="CharAmPartText">
    <w:name w:val="CharAmPartText"/>
    <w:basedOn w:val="DefaultParagraphFont"/>
    <w:qFormat/>
    <w:rsid w:val="004A6E24"/>
  </w:style>
  <w:style w:type="character" w:styleId="FollowedHyperlink">
    <w:name w:val="FollowedHyperlink"/>
    <w:basedOn w:val="DefaultParagraphFont"/>
    <w:uiPriority w:val="99"/>
    <w:semiHidden/>
    <w:unhideWhenUsed/>
    <w:rsid w:val="0017000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E0E79"/>
    <w:rPr>
      <w:b/>
      <w:bCs/>
    </w:rPr>
  </w:style>
  <w:style w:type="character" w:customStyle="1" w:styleId="CommentSubjectChar">
    <w:name w:val="Comment Subject Char"/>
    <w:basedOn w:val="CommentTextChar"/>
    <w:link w:val="CommentSubject"/>
    <w:uiPriority w:val="99"/>
    <w:semiHidden/>
    <w:rsid w:val="00CE0E79"/>
    <w:rPr>
      <w:b/>
      <w:bCs/>
      <w:sz w:val="20"/>
      <w:szCs w:val="20"/>
    </w:rPr>
  </w:style>
  <w:style w:type="paragraph" w:customStyle="1" w:styleId="ActHead7">
    <w:name w:val="ActHead 7"/>
    <w:aliases w:val="ap"/>
    <w:basedOn w:val="Normal"/>
    <w:next w:val="Normal"/>
    <w:qFormat/>
    <w:rsid w:val="00D81731"/>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character" w:styleId="UnresolvedMention">
    <w:name w:val="Unresolved Mention"/>
    <w:basedOn w:val="DefaultParagraphFont"/>
    <w:uiPriority w:val="99"/>
    <w:semiHidden/>
    <w:unhideWhenUsed/>
    <w:rsid w:val="007B34A8"/>
    <w:rPr>
      <w:color w:val="605E5C"/>
      <w:shd w:val="clear" w:color="auto" w:fill="E1DFDD"/>
    </w:rPr>
  </w:style>
  <w:style w:type="character" w:styleId="Mention">
    <w:name w:val="Mention"/>
    <w:basedOn w:val="DefaultParagraphFont"/>
    <w:uiPriority w:val="99"/>
    <w:unhideWhenUsed/>
    <w:rsid w:val="006E51B8"/>
    <w:rPr>
      <w:color w:val="2B579A"/>
      <w:shd w:val="clear" w:color="auto" w:fill="E1DFDD"/>
    </w:rPr>
  </w:style>
  <w:style w:type="paragraph" w:styleId="Revision">
    <w:name w:val="Revision"/>
    <w:hidden/>
    <w:uiPriority w:val="99"/>
    <w:semiHidden/>
    <w:rsid w:val="00410CCE"/>
    <w:pPr>
      <w:spacing w:after="0" w:line="240" w:lineRule="auto"/>
    </w:pPr>
  </w:style>
  <w:style w:type="character" w:customStyle="1" w:styleId="ui-provider">
    <w:name w:val="ui-provider"/>
    <w:basedOn w:val="DefaultParagraphFont"/>
    <w:rsid w:val="00A24E84"/>
  </w:style>
  <w:style w:type="character" w:styleId="FootnoteReference">
    <w:name w:val="footnote reference"/>
    <w:basedOn w:val="DefaultParagraphFont"/>
    <w:uiPriority w:val="99"/>
    <w:semiHidden/>
    <w:unhideWhenUsed/>
    <w:rsid w:val="006E7BAB"/>
    <w:rPr>
      <w:vertAlign w:val="superscript"/>
    </w:rPr>
  </w:style>
  <w:style w:type="character" w:customStyle="1" w:styleId="eop">
    <w:name w:val="eop"/>
    <w:basedOn w:val="DefaultParagraphFont"/>
    <w:rsid w:val="006E7BAB"/>
  </w:style>
  <w:style w:type="paragraph" w:styleId="ListNumber">
    <w:name w:val="List Number"/>
    <w:basedOn w:val="Normal"/>
    <w:uiPriority w:val="9"/>
    <w:unhideWhenUsed/>
    <w:qFormat/>
    <w:rsid w:val="006E7BAB"/>
    <w:pPr>
      <w:tabs>
        <w:tab w:val="left" w:pos="142"/>
      </w:tabs>
      <w:spacing w:before="120" w:after="120" w:line="276" w:lineRule="auto"/>
      <w:ind w:left="360" w:hanging="360"/>
    </w:pPr>
  </w:style>
  <w:style w:type="paragraph" w:styleId="ListNumber2">
    <w:name w:val="List Number 2"/>
    <w:uiPriority w:val="10"/>
    <w:semiHidden/>
    <w:unhideWhenUsed/>
    <w:qFormat/>
    <w:rsid w:val="008B73F1"/>
    <w:pPr>
      <w:numPr>
        <w:numId w:val="36"/>
      </w:numPr>
      <w:spacing w:before="120" w:after="120" w:line="264" w:lineRule="auto"/>
    </w:pPr>
    <w:rPr>
      <w:rFonts w:eastAsia="Times New Roman" w:cs="Times New Roman"/>
      <w:szCs w:val="24"/>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locked/>
    <w:rsid w:val="006E7BAB"/>
  </w:style>
  <w:style w:type="paragraph" w:styleId="EndnoteText">
    <w:name w:val="endnote text"/>
    <w:basedOn w:val="Normal"/>
    <w:link w:val="EndnoteTextChar"/>
    <w:uiPriority w:val="99"/>
    <w:semiHidden/>
    <w:unhideWhenUsed/>
    <w:rsid w:val="00EB76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76DB"/>
    <w:rPr>
      <w:sz w:val="20"/>
      <w:szCs w:val="20"/>
    </w:rPr>
  </w:style>
  <w:style w:type="character" w:styleId="EndnoteReference">
    <w:name w:val="endnote reference"/>
    <w:basedOn w:val="DefaultParagraphFont"/>
    <w:uiPriority w:val="99"/>
    <w:semiHidden/>
    <w:unhideWhenUsed/>
    <w:rsid w:val="00EB76DB"/>
    <w:rPr>
      <w:vertAlign w:val="superscript"/>
    </w:rPr>
  </w:style>
  <w:style w:type="paragraph" w:styleId="FootnoteText">
    <w:name w:val="footnote text"/>
    <w:basedOn w:val="Normal"/>
    <w:link w:val="FootnoteTextChar"/>
    <w:uiPriority w:val="99"/>
    <w:semiHidden/>
    <w:unhideWhenUsed/>
    <w:rsid w:val="00EB76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76DB"/>
    <w:rPr>
      <w:sz w:val="20"/>
      <w:szCs w:val="20"/>
    </w:rPr>
  </w:style>
  <w:style w:type="paragraph" w:customStyle="1" w:styleId="paragraph">
    <w:name w:val="paragraph"/>
    <w:basedOn w:val="Normal"/>
    <w:rsid w:val="009A47F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A47F3"/>
  </w:style>
  <w:style w:type="paragraph" w:customStyle="1" w:styleId="Heading01">
    <w:name w:val="Heading 0.1"/>
    <w:basedOn w:val="Heading1"/>
    <w:next w:val="Normal"/>
    <w:link w:val="Heading01Char"/>
    <w:qFormat/>
    <w:rsid w:val="00FA46F6"/>
  </w:style>
  <w:style w:type="character" w:customStyle="1" w:styleId="Heading01Char">
    <w:name w:val="Heading 0.1 Char"/>
    <w:basedOn w:val="Heading1Char"/>
    <w:link w:val="Heading01"/>
    <w:rsid w:val="00FA46F6"/>
    <w:rPr>
      <w:rFonts w:asciiTheme="majorHAnsi" w:eastAsiaTheme="majorEastAsia" w:hAnsiTheme="majorHAnsi" w:cstheme="majorBidi"/>
      <w:color w:val="083A42" w:themeColor="text2"/>
      <w:sz w:val="4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6778">
      <w:bodyDiv w:val="1"/>
      <w:marLeft w:val="0"/>
      <w:marRight w:val="0"/>
      <w:marTop w:val="0"/>
      <w:marBottom w:val="0"/>
      <w:divBdr>
        <w:top w:val="none" w:sz="0" w:space="0" w:color="auto"/>
        <w:left w:val="none" w:sz="0" w:space="0" w:color="auto"/>
        <w:bottom w:val="none" w:sz="0" w:space="0" w:color="auto"/>
        <w:right w:val="none" w:sz="0" w:space="0" w:color="auto"/>
      </w:divBdr>
    </w:div>
    <w:div w:id="230775804">
      <w:bodyDiv w:val="1"/>
      <w:marLeft w:val="0"/>
      <w:marRight w:val="0"/>
      <w:marTop w:val="0"/>
      <w:marBottom w:val="0"/>
      <w:divBdr>
        <w:top w:val="none" w:sz="0" w:space="0" w:color="auto"/>
        <w:left w:val="none" w:sz="0" w:space="0" w:color="auto"/>
        <w:bottom w:val="none" w:sz="0" w:space="0" w:color="auto"/>
        <w:right w:val="none" w:sz="0" w:space="0" w:color="auto"/>
      </w:divBdr>
    </w:div>
    <w:div w:id="309789909">
      <w:bodyDiv w:val="1"/>
      <w:marLeft w:val="0"/>
      <w:marRight w:val="0"/>
      <w:marTop w:val="0"/>
      <w:marBottom w:val="0"/>
      <w:divBdr>
        <w:top w:val="none" w:sz="0" w:space="0" w:color="auto"/>
        <w:left w:val="none" w:sz="0" w:space="0" w:color="auto"/>
        <w:bottom w:val="none" w:sz="0" w:space="0" w:color="auto"/>
        <w:right w:val="none" w:sz="0" w:space="0" w:color="auto"/>
      </w:divBdr>
    </w:div>
    <w:div w:id="590166787">
      <w:bodyDiv w:val="1"/>
      <w:marLeft w:val="0"/>
      <w:marRight w:val="0"/>
      <w:marTop w:val="0"/>
      <w:marBottom w:val="0"/>
      <w:divBdr>
        <w:top w:val="none" w:sz="0" w:space="0" w:color="auto"/>
        <w:left w:val="none" w:sz="0" w:space="0" w:color="auto"/>
        <w:bottom w:val="none" w:sz="0" w:space="0" w:color="auto"/>
        <w:right w:val="none" w:sz="0" w:space="0" w:color="auto"/>
      </w:divBdr>
      <w:divsChild>
        <w:div w:id="1592661970">
          <w:marLeft w:val="0"/>
          <w:marRight w:val="0"/>
          <w:marTop w:val="0"/>
          <w:marBottom w:val="0"/>
          <w:divBdr>
            <w:top w:val="none" w:sz="0" w:space="0" w:color="auto"/>
            <w:left w:val="none" w:sz="0" w:space="0" w:color="auto"/>
            <w:bottom w:val="none" w:sz="0" w:space="0" w:color="auto"/>
            <w:right w:val="none" w:sz="0" w:space="0" w:color="auto"/>
          </w:divBdr>
        </w:div>
        <w:div w:id="1674188205">
          <w:marLeft w:val="0"/>
          <w:marRight w:val="0"/>
          <w:marTop w:val="0"/>
          <w:marBottom w:val="0"/>
          <w:divBdr>
            <w:top w:val="none" w:sz="0" w:space="0" w:color="auto"/>
            <w:left w:val="none" w:sz="0" w:space="0" w:color="auto"/>
            <w:bottom w:val="none" w:sz="0" w:space="0" w:color="auto"/>
            <w:right w:val="none" w:sz="0" w:space="0" w:color="auto"/>
          </w:divBdr>
        </w:div>
      </w:divsChild>
    </w:div>
    <w:div w:id="742946218">
      <w:bodyDiv w:val="1"/>
      <w:marLeft w:val="0"/>
      <w:marRight w:val="0"/>
      <w:marTop w:val="0"/>
      <w:marBottom w:val="0"/>
      <w:divBdr>
        <w:top w:val="none" w:sz="0" w:space="0" w:color="auto"/>
        <w:left w:val="none" w:sz="0" w:space="0" w:color="auto"/>
        <w:bottom w:val="none" w:sz="0" w:space="0" w:color="auto"/>
        <w:right w:val="none" w:sz="0" w:space="0" w:color="auto"/>
      </w:divBdr>
    </w:div>
    <w:div w:id="829716893">
      <w:bodyDiv w:val="1"/>
      <w:marLeft w:val="0"/>
      <w:marRight w:val="0"/>
      <w:marTop w:val="0"/>
      <w:marBottom w:val="0"/>
      <w:divBdr>
        <w:top w:val="none" w:sz="0" w:space="0" w:color="auto"/>
        <w:left w:val="none" w:sz="0" w:space="0" w:color="auto"/>
        <w:bottom w:val="none" w:sz="0" w:space="0" w:color="auto"/>
        <w:right w:val="none" w:sz="0" w:space="0" w:color="auto"/>
      </w:divBdr>
    </w:div>
    <w:div w:id="1019308774">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209028336">
      <w:bodyDiv w:val="1"/>
      <w:marLeft w:val="0"/>
      <w:marRight w:val="0"/>
      <w:marTop w:val="0"/>
      <w:marBottom w:val="0"/>
      <w:divBdr>
        <w:top w:val="none" w:sz="0" w:space="0" w:color="auto"/>
        <w:left w:val="none" w:sz="0" w:space="0" w:color="auto"/>
        <w:bottom w:val="none" w:sz="0" w:space="0" w:color="auto"/>
        <w:right w:val="none" w:sz="0" w:space="0" w:color="auto"/>
      </w:divBdr>
    </w:div>
    <w:div w:id="1234513068">
      <w:bodyDiv w:val="1"/>
      <w:marLeft w:val="0"/>
      <w:marRight w:val="0"/>
      <w:marTop w:val="0"/>
      <w:marBottom w:val="0"/>
      <w:divBdr>
        <w:top w:val="none" w:sz="0" w:space="0" w:color="auto"/>
        <w:left w:val="none" w:sz="0" w:space="0" w:color="auto"/>
        <w:bottom w:val="none" w:sz="0" w:space="0" w:color="auto"/>
        <w:right w:val="none" w:sz="0" w:space="0" w:color="auto"/>
      </w:divBdr>
    </w:div>
    <w:div w:id="1290430831">
      <w:bodyDiv w:val="1"/>
      <w:marLeft w:val="0"/>
      <w:marRight w:val="0"/>
      <w:marTop w:val="0"/>
      <w:marBottom w:val="0"/>
      <w:divBdr>
        <w:top w:val="none" w:sz="0" w:space="0" w:color="auto"/>
        <w:left w:val="none" w:sz="0" w:space="0" w:color="auto"/>
        <w:bottom w:val="none" w:sz="0" w:space="0" w:color="auto"/>
        <w:right w:val="none" w:sz="0" w:space="0" w:color="auto"/>
      </w:divBdr>
      <w:divsChild>
        <w:div w:id="421030891">
          <w:marLeft w:val="0"/>
          <w:marRight w:val="0"/>
          <w:marTop w:val="0"/>
          <w:marBottom w:val="0"/>
          <w:divBdr>
            <w:top w:val="none" w:sz="0" w:space="0" w:color="auto"/>
            <w:left w:val="none" w:sz="0" w:space="0" w:color="auto"/>
            <w:bottom w:val="none" w:sz="0" w:space="0" w:color="auto"/>
            <w:right w:val="none" w:sz="0" w:space="0" w:color="auto"/>
          </w:divBdr>
        </w:div>
      </w:divsChild>
    </w:div>
    <w:div w:id="1290477328">
      <w:bodyDiv w:val="1"/>
      <w:marLeft w:val="0"/>
      <w:marRight w:val="0"/>
      <w:marTop w:val="0"/>
      <w:marBottom w:val="0"/>
      <w:divBdr>
        <w:top w:val="none" w:sz="0" w:space="0" w:color="auto"/>
        <w:left w:val="none" w:sz="0" w:space="0" w:color="auto"/>
        <w:bottom w:val="none" w:sz="0" w:space="0" w:color="auto"/>
        <w:right w:val="none" w:sz="0" w:space="0" w:color="auto"/>
      </w:divBdr>
    </w:div>
    <w:div w:id="1486318539">
      <w:bodyDiv w:val="1"/>
      <w:marLeft w:val="0"/>
      <w:marRight w:val="0"/>
      <w:marTop w:val="0"/>
      <w:marBottom w:val="0"/>
      <w:divBdr>
        <w:top w:val="none" w:sz="0" w:space="0" w:color="auto"/>
        <w:left w:val="none" w:sz="0" w:space="0" w:color="auto"/>
        <w:bottom w:val="none" w:sz="0" w:space="0" w:color="auto"/>
        <w:right w:val="none" w:sz="0" w:space="0" w:color="auto"/>
      </w:divBdr>
    </w:div>
    <w:div w:id="1532574302">
      <w:bodyDiv w:val="1"/>
      <w:marLeft w:val="0"/>
      <w:marRight w:val="0"/>
      <w:marTop w:val="0"/>
      <w:marBottom w:val="0"/>
      <w:divBdr>
        <w:top w:val="none" w:sz="0" w:space="0" w:color="auto"/>
        <w:left w:val="none" w:sz="0" w:space="0" w:color="auto"/>
        <w:bottom w:val="none" w:sz="0" w:space="0" w:color="auto"/>
        <w:right w:val="none" w:sz="0" w:space="0" w:color="auto"/>
      </w:divBdr>
    </w:div>
    <w:div w:id="1638876112">
      <w:bodyDiv w:val="1"/>
      <w:marLeft w:val="0"/>
      <w:marRight w:val="0"/>
      <w:marTop w:val="0"/>
      <w:marBottom w:val="0"/>
      <w:divBdr>
        <w:top w:val="none" w:sz="0" w:space="0" w:color="auto"/>
        <w:left w:val="none" w:sz="0" w:space="0" w:color="auto"/>
        <w:bottom w:val="none" w:sz="0" w:space="0" w:color="auto"/>
        <w:right w:val="none" w:sz="0" w:space="0" w:color="auto"/>
      </w:divBdr>
    </w:div>
    <w:div w:id="1683780306">
      <w:bodyDiv w:val="1"/>
      <w:marLeft w:val="0"/>
      <w:marRight w:val="0"/>
      <w:marTop w:val="0"/>
      <w:marBottom w:val="0"/>
      <w:divBdr>
        <w:top w:val="none" w:sz="0" w:space="0" w:color="auto"/>
        <w:left w:val="none" w:sz="0" w:space="0" w:color="auto"/>
        <w:bottom w:val="none" w:sz="0" w:space="0" w:color="auto"/>
        <w:right w:val="none" w:sz="0" w:space="0" w:color="auto"/>
      </w:divBdr>
    </w:div>
    <w:div w:id="174633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dcceew.gov.au/climate-change/emissions-reporting/national-greenhouse-energy-reporting-scheme/safeguard-mechanis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CCEEW">
      <a:dk1>
        <a:sysClr val="windowText" lastClr="000000"/>
      </a:dk1>
      <a:lt1>
        <a:sysClr val="window" lastClr="FFFFFF"/>
      </a:lt1>
      <a:dk2>
        <a:srgbClr val="083A42"/>
      </a:dk2>
      <a:lt2>
        <a:srgbClr val="E7E6E6"/>
      </a:lt2>
      <a:accent1>
        <a:srgbClr val="192F49"/>
      </a:accent1>
      <a:accent2>
        <a:srgbClr val="1E3E39"/>
      </a:accent2>
      <a:accent3>
        <a:srgbClr val="562403"/>
      </a:accent3>
      <a:accent4>
        <a:srgbClr val="2E2B2B"/>
      </a:accent4>
      <a:accent5>
        <a:srgbClr val="000000"/>
      </a:accent5>
      <a:accent6>
        <a:srgbClr val="FFFFFF"/>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33738F76A1434F80376E56194BF1A6" ma:contentTypeVersion="15" ma:contentTypeDescription="Create a new document." ma:contentTypeScope="" ma:versionID="fe0eed1617b50b0aba9566c18bc68f52">
  <xsd:schema xmlns:xsd="http://www.w3.org/2001/XMLSchema" xmlns:xs="http://www.w3.org/2001/XMLSchema" xmlns:p="http://schemas.microsoft.com/office/2006/metadata/properties" xmlns:ns2="eb511945-55a0-4b8c-a28b-7bc3ad442a40" xmlns:ns3="e75883d2-18c9-4905-892c-33562302d513" xmlns:ns4="81c01dc6-2c49-4730-b140-874c95cac377" targetNamespace="http://schemas.microsoft.com/office/2006/metadata/properties" ma:root="true" ma:fieldsID="6092530a96fab342a6f6873ca862d737" ns2:_="" ns3:_="" ns4:_="">
    <xsd:import namespace="eb511945-55a0-4b8c-a28b-7bc3ad442a40"/>
    <xsd:import namespace="e75883d2-18c9-4905-892c-33562302d513"/>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Topic"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11945-55a0-4b8c-a28b-7bc3ad442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Topic" ma:index="21" nillable="true" ma:displayName="Topic" ma:internalName="Topic">
      <xsd:simpleType>
        <xsd:restriction base="dms:Text">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883d2-18c9-4905-892c-33562302d5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41adf00-6d05-41ae-bb6f-f81535a4e6ed}" ma:internalName="TaxCatchAll" ma:showField="CatchAllData" ma:web="4c70a926-dbaa-45f1-afc0-26a9639aec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eb511945-55a0-4b8c-a28b-7bc3ad442a40">
      <Terms xmlns="http://schemas.microsoft.com/office/infopath/2007/PartnerControls"/>
    </lcf76f155ced4ddcb4097134ff3c332f>
    <Topic xmlns="eb511945-55a0-4b8c-a28b-7bc3ad442a40" xsi:nil="true"/>
    <SharedWithUsers xmlns="e75883d2-18c9-4905-892c-33562302d513">
      <UserInfo>
        <DisplayName>Johnson, Edwina</DisplayName>
        <AccountId>155</AccountId>
        <AccountType/>
      </UserInfo>
      <UserInfo>
        <DisplayName>Lonergan, Clare</DisplayName>
        <AccountId>143</AccountId>
        <AccountType/>
      </UserInfo>
      <UserInfo>
        <DisplayName>Duncan, Lachlan</DisplayName>
        <AccountId>1044</AccountId>
        <AccountType/>
      </UserInfo>
      <UserInfo>
        <DisplayName>Wood, Peter</DisplayName>
        <AccountId>119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33738F76A1434F80376E56194BF1A6" ma:contentTypeVersion="15" ma:contentTypeDescription="Create a new document." ma:contentTypeScope="" ma:versionID="fe0eed1617b50b0aba9566c18bc68f52">
  <xsd:schema xmlns:xsd="http://www.w3.org/2001/XMLSchema" xmlns:xs="http://www.w3.org/2001/XMLSchema" xmlns:p="http://schemas.microsoft.com/office/2006/metadata/properties" xmlns:ns2="eb511945-55a0-4b8c-a28b-7bc3ad442a40" xmlns:ns3="e75883d2-18c9-4905-892c-33562302d513" xmlns:ns4="81c01dc6-2c49-4730-b140-874c95cac377" targetNamespace="http://schemas.microsoft.com/office/2006/metadata/properties" ma:root="true" ma:fieldsID="6092530a96fab342a6f6873ca862d737" ns2:_="" ns3:_="" ns4:_="">
    <xsd:import namespace="eb511945-55a0-4b8c-a28b-7bc3ad442a40"/>
    <xsd:import namespace="e75883d2-18c9-4905-892c-33562302d513"/>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Topic"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11945-55a0-4b8c-a28b-7bc3ad442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Topic" ma:index="21" nillable="true" ma:displayName="Topic" ma:internalName="Topic">
      <xsd:simpleType>
        <xsd:restriction base="dms:Text">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883d2-18c9-4905-892c-33562302d5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41adf00-6d05-41ae-bb6f-f81535a4e6ed}" ma:internalName="TaxCatchAll" ma:showField="CatchAllData" ma:web="4c70a926-dbaa-45f1-afc0-26a9639aec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C9C74-29CC-4CED-99F6-5AF4708B6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11945-55a0-4b8c-a28b-7bc3ad442a40"/>
    <ds:schemaRef ds:uri="e75883d2-18c9-4905-892c-33562302d513"/>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9273B5-3814-42D4-950D-F79FAD384BA1}">
  <ds:schemaRefs>
    <ds:schemaRef ds:uri="http://schemas.microsoft.com/office/2006/metadata/properties"/>
    <ds:schemaRef ds:uri="http://schemas.microsoft.com/office/infopath/2007/PartnerControls"/>
    <ds:schemaRef ds:uri="81c01dc6-2c49-4730-b140-874c95cac377"/>
    <ds:schemaRef ds:uri="eb511945-55a0-4b8c-a28b-7bc3ad442a40"/>
    <ds:schemaRef ds:uri="e75883d2-18c9-4905-892c-33562302d513"/>
  </ds:schemaRefs>
</ds:datastoreItem>
</file>

<file path=customXml/itemProps3.xml><?xml version="1.0" encoding="utf-8"?>
<ds:datastoreItem xmlns:ds="http://schemas.openxmlformats.org/officeDocument/2006/customXml" ds:itemID="{AA5C218F-79F5-4136-9AF6-7FA9DD8549F9}">
  <ds:schemaRefs>
    <ds:schemaRef ds:uri="http://schemas.microsoft.com/sharepoint/v3/contenttype/forms"/>
  </ds:schemaRefs>
</ds:datastoreItem>
</file>

<file path=customXml/itemProps4.xml><?xml version="1.0" encoding="utf-8"?>
<ds:datastoreItem xmlns:ds="http://schemas.openxmlformats.org/officeDocument/2006/customXml" ds:itemID="{18B12B6D-6FA2-45B0-A601-F5673D1D6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11945-55a0-4b8c-a28b-7bc3ad442a40"/>
    <ds:schemaRef ds:uri="e75883d2-18c9-4905-892c-33562302d513"/>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68E1BA-332B-402C-8D2B-C4501ECA3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7969</Words>
  <Characters>45427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53290</CharactersWithSpaces>
  <SharedDoc>false</SharedDoc>
  <HLinks>
    <vt:vector size="30" baseType="variant">
      <vt:variant>
        <vt:i4>5570676</vt:i4>
      </vt:variant>
      <vt:variant>
        <vt:i4>12</vt:i4>
      </vt:variant>
      <vt:variant>
        <vt:i4>0</vt:i4>
      </vt:variant>
      <vt:variant>
        <vt:i4>5</vt:i4>
      </vt:variant>
      <vt:variant>
        <vt:lpwstr>mailto:Clare.Lonergan@dcceew.gov.au</vt:lpwstr>
      </vt:variant>
      <vt:variant>
        <vt:lpwstr/>
      </vt:variant>
      <vt:variant>
        <vt:i4>5046370</vt:i4>
      </vt:variant>
      <vt:variant>
        <vt:i4>9</vt:i4>
      </vt:variant>
      <vt:variant>
        <vt:i4>0</vt:i4>
      </vt:variant>
      <vt:variant>
        <vt:i4>5</vt:i4>
      </vt:variant>
      <vt:variant>
        <vt:lpwstr>mailto:Peter.Wood@dcceew.gov.au</vt:lpwstr>
      </vt:variant>
      <vt:variant>
        <vt:lpwstr/>
      </vt:variant>
      <vt:variant>
        <vt:i4>6815835</vt:i4>
      </vt:variant>
      <vt:variant>
        <vt:i4>6</vt:i4>
      </vt:variant>
      <vt:variant>
        <vt:i4>0</vt:i4>
      </vt:variant>
      <vt:variant>
        <vt:i4>5</vt:i4>
      </vt:variant>
      <vt:variant>
        <vt:lpwstr>mailto:Fiona.Gilbert@dcceew.gov.au</vt:lpwstr>
      </vt:variant>
      <vt:variant>
        <vt:lpwstr/>
      </vt:variant>
      <vt:variant>
        <vt:i4>6815835</vt:i4>
      </vt:variant>
      <vt:variant>
        <vt:i4>3</vt:i4>
      </vt:variant>
      <vt:variant>
        <vt:i4>0</vt:i4>
      </vt:variant>
      <vt:variant>
        <vt:i4>5</vt:i4>
      </vt:variant>
      <vt:variant>
        <vt:lpwstr>mailto:Fiona.Gilbert@dcceew.gov.au</vt:lpwstr>
      </vt:variant>
      <vt:variant>
        <vt:lpwstr/>
      </vt:variant>
      <vt:variant>
        <vt:i4>5570676</vt:i4>
      </vt:variant>
      <vt:variant>
        <vt:i4>0</vt:i4>
      </vt:variant>
      <vt:variant>
        <vt:i4>0</vt:i4>
      </vt:variant>
      <vt:variant>
        <vt:i4>5</vt:i4>
      </vt:variant>
      <vt:variant>
        <vt:lpwstr>mailto:Clare.Lonergan@dcceew.gov.au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Kayleigh</dc:creator>
  <cp:keywords/>
  <dc:description/>
  <cp:lastModifiedBy>Lonergan, Clare</cp:lastModifiedBy>
  <cp:revision>7</cp:revision>
  <dcterms:created xsi:type="dcterms:W3CDTF">2023-12-14T02:55:00Z</dcterms:created>
  <dcterms:modified xsi:type="dcterms:W3CDTF">2023-12-14T22:19:00Z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0x010100CB33738F76A1434F80376E56194BF1A6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