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764" w:rsidRPr="00F53E02" w14:paraId="354A66DA" w14:textId="77777777" w:rsidTr="009646DA">
        <w:trPr>
          <w:trHeight w:val="7362"/>
        </w:trPr>
        <w:tc>
          <w:tcPr>
            <w:tcW w:w="9016" w:type="dxa"/>
            <w:shd w:val="clear" w:color="auto" w:fill="B8DCD7" w:themeFill="accent2" w:themeFillTint="40"/>
          </w:tcPr>
          <w:p w14:paraId="7B279E6A" w14:textId="504D4E96" w:rsidR="00E30764" w:rsidRPr="00690F00" w:rsidRDefault="00E30764" w:rsidP="00E30764">
            <w:pPr>
              <w:pStyle w:val="Title"/>
              <w:spacing w:before="120" w:after="240"/>
              <w:rPr>
                <w:b/>
                <w:bCs/>
                <w:color w:val="2B5952" w:themeColor="accent2" w:themeTint="E6"/>
              </w:rPr>
            </w:pPr>
            <w:bookmarkStart w:id="0" w:name="_Toc19023741"/>
            <w:bookmarkStart w:id="1" w:name="_Toc19107846"/>
            <w:r w:rsidRPr="00F53E02">
              <w:rPr>
                <w:b/>
                <w:bCs/>
                <w:color w:val="2B5952" w:themeColor="accent2" w:themeTint="E6"/>
                <w:sz w:val="40"/>
              </w:rPr>
              <w:t>Notice of Proposal to Declare an Area</w:t>
            </w:r>
            <w:r w:rsidR="00D93EDB" w:rsidRPr="00F53E02">
              <w:rPr>
                <w:b/>
                <w:bCs/>
                <w:color w:val="2B5952" w:themeColor="accent2" w:themeTint="E6"/>
                <w:sz w:val="40"/>
              </w:rPr>
              <w:t xml:space="preserve"> </w:t>
            </w:r>
            <w:r w:rsidR="00D0112A">
              <w:rPr>
                <w:b/>
                <w:bCs/>
                <w:color w:val="2B5952" w:themeColor="accent2" w:themeTint="E6"/>
                <w:sz w:val="40"/>
              </w:rPr>
              <w:t>–</w:t>
            </w:r>
            <w:r w:rsidR="00D93EDB" w:rsidRPr="00F53E02">
              <w:rPr>
                <w:b/>
                <w:bCs/>
                <w:color w:val="2B5952" w:themeColor="accent2" w:themeTint="E6"/>
                <w:sz w:val="40"/>
              </w:rPr>
              <w:t xml:space="preserve"> </w:t>
            </w:r>
            <w:r w:rsidR="00D0112A" w:rsidRPr="00690F00">
              <w:rPr>
                <w:b/>
                <w:bCs/>
                <w:color w:val="2B5952" w:themeColor="accent2" w:themeTint="E6"/>
                <w:sz w:val="40"/>
              </w:rPr>
              <w:t>Indian Ocean off</w:t>
            </w:r>
            <w:r w:rsidR="004863E7">
              <w:rPr>
                <w:b/>
                <w:bCs/>
                <w:color w:val="2B5952" w:themeColor="accent2" w:themeTint="E6"/>
                <w:sz w:val="40"/>
              </w:rPr>
              <w:t xml:space="preserve"> </w:t>
            </w:r>
            <w:r w:rsidR="004863E7" w:rsidRPr="004863E7">
              <w:rPr>
                <w:b/>
                <w:bCs/>
                <w:color w:val="2B5952" w:themeColor="accent2" w:themeTint="E6"/>
                <w:sz w:val="40"/>
              </w:rPr>
              <w:t>the</w:t>
            </w:r>
            <w:r w:rsidR="00D0112A" w:rsidRPr="00690F00">
              <w:rPr>
                <w:b/>
                <w:bCs/>
                <w:color w:val="2B5952" w:themeColor="accent2" w:themeTint="E6"/>
                <w:sz w:val="40"/>
              </w:rPr>
              <w:t xml:space="preserve"> </w:t>
            </w:r>
            <w:r w:rsidR="00D37C1D" w:rsidRPr="00690F00">
              <w:rPr>
                <w:b/>
                <w:bCs/>
                <w:color w:val="2B5952" w:themeColor="accent2" w:themeTint="E6"/>
                <w:sz w:val="40"/>
              </w:rPr>
              <w:t>Bunbury</w:t>
            </w:r>
            <w:r w:rsidR="004863E7">
              <w:rPr>
                <w:b/>
                <w:bCs/>
                <w:color w:val="2B5952" w:themeColor="accent2" w:themeTint="E6"/>
                <w:sz w:val="40"/>
              </w:rPr>
              <w:t xml:space="preserve"> </w:t>
            </w:r>
            <w:r w:rsidR="004863E7" w:rsidRPr="004863E7">
              <w:rPr>
                <w:b/>
                <w:bCs/>
                <w:color w:val="2B5952" w:themeColor="accent2" w:themeTint="E6"/>
                <w:sz w:val="40"/>
              </w:rPr>
              <w:t>region</w:t>
            </w:r>
            <w:r w:rsidR="00D37C1D" w:rsidRPr="00690F00">
              <w:rPr>
                <w:b/>
                <w:bCs/>
                <w:color w:val="2B5952" w:themeColor="accent2" w:themeTint="E6"/>
                <w:sz w:val="40"/>
              </w:rPr>
              <w:t xml:space="preserve"> </w:t>
            </w:r>
            <w:r w:rsidR="00012378" w:rsidRPr="00690F00">
              <w:rPr>
                <w:b/>
                <w:bCs/>
                <w:color w:val="2B5952" w:themeColor="accent2" w:themeTint="E6"/>
                <w:sz w:val="40"/>
              </w:rPr>
              <w:t>in</w:t>
            </w:r>
            <w:r w:rsidR="003C5ACC" w:rsidRPr="00690F00">
              <w:rPr>
                <w:b/>
                <w:bCs/>
                <w:color w:val="2B5952" w:themeColor="accent2" w:themeTint="E6"/>
                <w:sz w:val="40"/>
              </w:rPr>
              <w:t xml:space="preserve"> Western Australia</w:t>
            </w:r>
          </w:p>
          <w:bookmarkEnd w:id="0"/>
          <w:bookmarkEnd w:id="1"/>
          <w:p w14:paraId="4743A84C" w14:textId="668CAA7D" w:rsidR="002F57F5" w:rsidRPr="00F53E02" w:rsidRDefault="009159AF" w:rsidP="00D93EDB">
            <w:pPr>
              <w:spacing w:line="40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017B0" w:rsidRPr="00BD5AD9">
              <w:rPr>
                <w:sz w:val="24"/>
                <w:szCs w:val="24"/>
              </w:rPr>
              <w:t xml:space="preserve"> February</w:t>
            </w:r>
            <w:r w:rsidR="00FA313F">
              <w:rPr>
                <w:sz w:val="24"/>
                <w:szCs w:val="24"/>
              </w:rPr>
              <w:t xml:space="preserve"> 2024</w:t>
            </w:r>
          </w:p>
          <w:p w14:paraId="49EFDB71" w14:textId="1C320DAF" w:rsidR="00E30764" w:rsidRPr="00F53E02" w:rsidRDefault="00E30764" w:rsidP="00D93EDB">
            <w:pPr>
              <w:spacing w:line="408" w:lineRule="auto"/>
              <w:rPr>
                <w:sz w:val="24"/>
                <w:szCs w:val="24"/>
              </w:rPr>
            </w:pPr>
            <w:r w:rsidRPr="00F53E02">
              <w:rPr>
                <w:sz w:val="24"/>
                <w:szCs w:val="24"/>
              </w:rPr>
              <w:t xml:space="preserve">I, The Honourable Chris Bowen MP, the responsible Commonwealth Minister for the </w:t>
            </w:r>
            <w:r w:rsidRPr="00F53E02">
              <w:rPr>
                <w:i/>
                <w:sz w:val="24"/>
                <w:szCs w:val="24"/>
              </w:rPr>
              <w:t>Offshore Electricity Infrastructure Act 2021</w:t>
            </w:r>
            <w:r w:rsidRPr="00F53E02">
              <w:rPr>
                <w:sz w:val="24"/>
                <w:szCs w:val="24"/>
              </w:rPr>
              <w:t xml:space="preserve"> (the Act), make the following notice under section 18 of the Act:</w:t>
            </w:r>
          </w:p>
          <w:p w14:paraId="11C24D2E" w14:textId="04CF04CC" w:rsidR="00E30764" w:rsidRPr="00F53E02" w:rsidRDefault="00E30764" w:rsidP="00D93EDB">
            <w:pPr>
              <w:pStyle w:val="ListParagraph"/>
              <w:numPr>
                <w:ilvl w:val="0"/>
                <w:numId w:val="16"/>
              </w:numPr>
              <w:spacing w:line="408" w:lineRule="auto"/>
              <w:rPr>
                <w:rStyle w:val="Hyperlink"/>
                <w:sz w:val="24"/>
                <w:szCs w:val="24"/>
              </w:rPr>
            </w:pPr>
            <w:r w:rsidRPr="00F53E02">
              <w:rPr>
                <w:sz w:val="24"/>
                <w:szCs w:val="24"/>
              </w:rPr>
              <w:t xml:space="preserve">I propose to declare an area </w:t>
            </w:r>
            <w:r w:rsidR="001737E9" w:rsidRPr="00F53E02">
              <w:rPr>
                <w:sz w:val="24"/>
                <w:szCs w:val="24"/>
              </w:rPr>
              <w:t>i</w:t>
            </w:r>
            <w:r w:rsidR="001737E9" w:rsidRPr="00F53E02">
              <w:t xml:space="preserve">n the </w:t>
            </w:r>
            <w:r w:rsidR="00313719">
              <w:t xml:space="preserve">Indian Ocean </w:t>
            </w:r>
            <w:r w:rsidR="00B36816">
              <w:t xml:space="preserve">off </w:t>
            </w:r>
            <w:r w:rsidR="0015603C">
              <w:t xml:space="preserve">the </w:t>
            </w:r>
            <w:r w:rsidR="00C1155F">
              <w:t>Bunbury</w:t>
            </w:r>
            <w:r w:rsidR="0015603C">
              <w:t xml:space="preserve"> region</w:t>
            </w:r>
            <w:r w:rsidR="00C1155F">
              <w:t xml:space="preserve"> in Western Australia</w:t>
            </w:r>
            <w:r w:rsidR="00BE6589" w:rsidRPr="00F53E02">
              <w:rPr>
                <w:sz w:val="24"/>
                <w:szCs w:val="24"/>
              </w:rPr>
              <w:t xml:space="preserve">, </w:t>
            </w:r>
            <w:r w:rsidRPr="00F53E02">
              <w:rPr>
                <w:sz w:val="24"/>
                <w:szCs w:val="24"/>
              </w:rPr>
              <w:t xml:space="preserve">as identified by the dataset titled </w:t>
            </w:r>
            <w:r w:rsidR="00BA46D1" w:rsidRPr="00F53E02">
              <w:rPr>
                <w:sz w:val="24"/>
                <w:szCs w:val="24"/>
              </w:rPr>
              <w:t>‘</w:t>
            </w:r>
            <w:r w:rsidRPr="00F53E02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Offshore Electricity Infrastructure Act 2021– Proposed Area – </w:t>
            </w:r>
            <w:r w:rsidR="000E6F1B" w:rsidRPr="00F34B5C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B</w:t>
            </w:r>
            <w:r w:rsidR="000E6F1B" w:rsidRPr="004D783F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unbury</w:t>
            </w:r>
            <w:r w:rsidR="004863E7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 </w:t>
            </w:r>
            <w:r w:rsidR="004863E7" w:rsidRPr="004863E7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region</w:t>
            </w:r>
            <w:r w:rsidR="00224568" w:rsidRPr="004D783F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, WA</w:t>
            </w:r>
            <w:r w:rsidR="00C2404E" w:rsidRPr="004D783F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>’</w:t>
            </w:r>
            <w:r w:rsidR="00147DD8" w:rsidRPr="004D783F">
              <w:rPr>
                <w:rStyle w:val="Hyperlink"/>
                <w:i/>
                <w:color w:val="auto"/>
                <w:sz w:val="24"/>
                <w:szCs w:val="24"/>
                <w:u w:val="none"/>
              </w:rPr>
              <w:t xml:space="preserve"> </w:t>
            </w:r>
            <w:r w:rsidR="00BA46D1" w:rsidRPr="00F53E02">
              <w:rPr>
                <w:rStyle w:val="Hyperlink"/>
                <w:iCs/>
                <w:color w:val="auto"/>
                <w:sz w:val="24"/>
                <w:szCs w:val="24"/>
                <w:u w:val="none"/>
              </w:rPr>
              <w:t xml:space="preserve">available on the </w:t>
            </w:r>
            <w:r w:rsidR="00BA46D1" w:rsidRPr="00F53E02">
              <w:rPr>
                <w:rStyle w:val="Hyperlink"/>
                <w:iCs/>
                <w:sz w:val="24"/>
                <w:szCs w:val="24"/>
              </w:rPr>
              <w:fldChar w:fldCharType="begin"/>
            </w:r>
            <w:r w:rsidR="007E15D9">
              <w:rPr>
                <w:rStyle w:val="Hyperlink"/>
                <w:iCs/>
                <w:sz w:val="24"/>
                <w:szCs w:val="24"/>
              </w:rPr>
              <w:instrText>HYPERLINK "https://www.dcceew.gov.au/energy/renewable/offshore-wind"</w:instrText>
            </w:r>
            <w:r w:rsidR="00BA46D1" w:rsidRPr="00F53E02">
              <w:rPr>
                <w:rStyle w:val="Hyperlink"/>
                <w:iCs/>
                <w:sz w:val="24"/>
                <w:szCs w:val="24"/>
              </w:rPr>
            </w:r>
            <w:r w:rsidR="00BA46D1" w:rsidRPr="00F53E02">
              <w:rPr>
                <w:rStyle w:val="Hyperlink"/>
                <w:iCs/>
                <w:sz w:val="24"/>
                <w:szCs w:val="24"/>
              </w:rPr>
              <w:fldChar w:fldCharType="separate"/>
            </w:r>
            <w:r w:rsidR="00BA46D1" w:rsidRPr="00F53E02">
              <w:rPr>
                <w:rStyle w:val="Hyperlink"/>
                <w:iCs/>
                <w:sz w:val="24"/>
                <w:szCs w:val="24"/>
              </w:rPr>
              <w:t>Department of Climate Change, Energy, the Environment and Water’s website.</w:t>
            </w:r>
          </w:p>
          <w:p w14:paraId="6617A0FF" w14:textId="267EBB6E" w:rsidR="00E30764" w:rsidRPr="00F53E02" w:rsidRDefault="00BA46D1" w:rsidP="00D93EDB">
            <w:pPr>
              <w:pStyle w:val="ListParagraph"/>
              <w:numPr>
                <w:ilvl w:val="0"/>
                <w:numId w:val="16"/>
              </w:numPr>
              <w:spacing w:line="408" w:lineRule="auto"/>
              <w:rPr>
                <w:sz w:val="24"/>
                <w:szCs w:val="24"/>
              </w:rPr>
            </w:pPr>
            <w:r w:rsidRPr="00F53E02">
              <w:rPr>
                <w:rStyle w:val="Hyperlink"/>
                <w:iCs/>
                <w:sz w:val="24"/>
                <w:szCs w:val="24"/>
              </w:rPr>
              <w:fldChar w:fldCharType="end"/>
            </w:r>
            <w:r w:rsidR="00E30764" w:rsidRPr="00F53E02">
              <w:rPr>
                <w:sz w:val="24"/>
                <w:szCs w:val="24"/>
              </w:rPr>
              <w:t>I invite submissions from the public on this proposal.</w:t>
            </w:r>
          </w:p>
          <w:p w14:paraId="338834D3" w14:textId="20B983D7" w:rsidR="00E30764" w:rsidRPr="00F53E02" w:rsidRDefault="00E30764" w:rsidP="00D93EDB">
            <w:pPr>
              <w:pStyle w:val="ListParagraph"/>
              <w:numPr>
                <w:ilvl w:val="0"/>
                <w:numId w:val="16"/>
              </w:numPr>
              <w:spacing w:line="408" w:lineRule="auto"/>
              <w:rPr>
                <w:sz w:val="24"/>
                <w:szCs w:val="24"/>
              </w:rPr>
            </w:pPr>
            <w:r w:rsidRPr="00F53E02">
              <w:rPr>
                <w:sz w:val="24"/>
                <w:szCs w:val="24"/>
              </w:rPr>
              <w:t xml:space="preserve">Submissions are to be made via the </w:t>
            </w:r>
            <w:hyperlink r:id="rId11" w:history="1">
              <w:r w:rsidRPr="00E30FDF">
                <w:rPr>
                  <w:rStyle w:val="Hyperlink"/>
                  <w:sz w:val="24"/>
                  <w:szCs w:val="24"/>
                </w:rPr>
                <w:t>Consultation Hub</w:t>
              </w:r>
            </w:hyperlink>
            <w:r w:rsidRPr="00E30FDF">
              <w:rPr>
                <w:sz w:val="24"/>
                <w:szCs w:val="24"/>
              </w:rPr>
              <w:t>.</w:t>
            </w:r>
          </w:p>
          <w:p w14:paraId="7B423078" w14:textId="70028870" w:rsidR="00E30764" w:rsidRPr="00F53E02" w:rsidRDefault="00E30764" w:rsidP="009646DA">
            <w:pPr>
              <w:pStyle w:val="ListParagraph"/>
              <w:numPr>
                <w:ilvl w:val="0"/>
                <w:numId w:val="16"/>
              </w:numPr>
              <w:spacing w:line="432" w:lineRule="auto"/>
              <w:rPr>
                <w:sz w:val="24"/>
                <w:szCs w:val="24"/>
              </w:rPr>
            </w:pPr>
            <w:r w:rsidRPr="00F53E02">
              <w:rPr>
                <w:sz w:val="24"/>
                <w:szCs w:val="24"/>
              </w:rPr>
              <w:t xml:space="preserve">Submissions must be received </w:t>
            </w:r>
            <w:r w:rsidRPr="005E482B">
              <w:rPr>
                <w:sz w:val="24"/>
                <w:szCs w:val="24"/>
              </w:rPr>
              <w:t>by</w:t>
            </w:r>
            <w:r w:rsidRPr="005E482B">
              <w:rPr>
                <w:b/>
                <w:sz w:val="24"/>
                <w:szCs w:val="24"/>
              </w:rPr>
              <w:t xml:space="preserve"> </w:t>
            </w:r>
            <w:r w:rsidR="00DD12E5" w:rsidRPr="00523A61">
              <w:rPr>
                <w:b/>
                <w:sz w:val="24"/>
                <w:szCs w:val="24"/>
              </w:rPr>
              <w:t>3</w:t>
            </w:r>
            <w:r w:rsidR="007017B0" w:rsidRPr="00523A61">
              <w:rPr>
                <w:b/>
                <w:sz w:val="24"/>
                <w:szCs w:val="24"/>
              </w:rPr>
              <w:t xml:space="preserve"> May</w:t>
            </w:r>
            <w:r w:rsidR="001E37CA" w:rsidRPr="00523A61">
              <w:rPr>
                <w:b/>
                <w:sz w:val="24"/>
                <w:szCs w:val="24"/>
              </w:rPr>
              <w:t xml:space="preserve"> </w:t>
            </w:r>
            <w:r w:rsidR="00313719" w:rsidRPr="00523A61">
              <w:rPr>
                <w:b/>
                <w:sz w:val="24"/>
                <w:szCs w:val="24"/>
              </w:rPr>
              <w:t>2024</w:t>
            </w:r>
            <w:r w:rsidRPr="00F53E02" w:rsidDel="00A60C29">
              <w:rPr>
                <w:b/>
                <w:sz w:val="24"/>
                <w:szCs w:val="24"/>
              </w:rPr>
              <w:t xml:space="preserve"> </w:t>
            </w:r>
            <w:r w:rsidRPr="00F53E02">
              <w:rPr>
                <w:sz w:val="24"/>
                <w:szCs w:val="24"/>
              </w:rPr>
              <w:t>in order to be considered.</w:t>
            </w:r>
          </w:p>
        </w:tc>
      </w:tr>
    </w:tbl>
    <w:p w14:paraId="16AA2F6B" w14:textId="77777777" w:rsidR="00E30764" w:rsidRPr="00F53E02" w:rsidRDefault="00E30764" w:rsidP="006175C9">
      <w:pPr>
        <w:spacing w:after="0"/>
        <w:rPr>
          <w:sz w:val="24"/>
          <w:szCs w:val="24"/>
        </w:rPr>
      </w:pPr>
    </w:p>
    <w:p w14:paraId="3DAE0066" w14:textId="7E96F3BC" w:rsidR="007265AC" w:rsidRPr="00F53E02" w:rsidRDefault="007265AC" w:rsidP="00691F36">
      <w:pPr>
        <w:rPr>
          <w:b/>
          <w:sz w:val="24"/>
          <w:szCs w:val="24"/>
        </w:rPr>
      </w:pPr>
      <w:r w:rsidRPr="00F53E02">
        <w:rPr>
          <w:b/>
          <w:sz w:val="24"/>
          <w:szCs w:val="24"/>
        </w:rPr>
        <w:t xml:space="preserve">All areas declared as suitable for offshore renewable energy will be multi-user </w:t>
      </w:r>
      <w:r w:rsidR="00962F74" w:rsidRPr="00F53E02">
        <w:rPr>
          <w:b/>
          <w:sz w:val="24"/>
          <w:szCs w:val="24"/>
        </w:rPr>
        <w:t>area</w:t>
      </w:r>
      <w:r w:rsidRPr="00F53E02">
        <w:rPr>
          <w:b/>
          <w:sz w:val="24"/>
          <w:szCs w:val="24"/>
        </w:rPr>
        <w:t xml:space="preserve">s. Offshore renewable energy projects must share the area with other users and interests. </w:t>
      </w:r>
    </w:p>
    <w:p w14:paraId="108BAD6C" w14:textId="77777777" w:rsidR="00AF0420" w:rsidRPr="00F53E02" w:rsidRDefault="00AF0420" w:rsidP="00AF0420">
      <w:pPr>
        <w:pStyle w:val="Heading2"/>
        <w:rPr>
          <w:sz w:val="24"/>
          <w:szCs w:val="24"/>
        </w:rPr>
      </w:pPr>
      <w:r w:rsidRPr="00F53E02">
        <w:rPr>
          <w:sz w:val="24"/>
          <w:szCs w:val="24"/>
        </w:rPr>
        <w:t>Further Information</w:t>
      </w:r>
    </w:p>
    <w:p w14:paraId="5988BE8E" w14:textId="2329B21B" w:rsidR="00AF0420" w:rsidRPr="004D783F" w:rsidRDefault="00AF0420" w:rsidP="00AF0420">
      <w:pPr>
        <w:shd w:val="clear" w:color="auto" w:fill="FFFFFF" w:themeFill="background1"/>
        <w:spacing w:after="120" w:line="276" w:lineRule="auto"/>
        <w:rPr>
          <w:sz w:val="24"/>
          <w:szCs w:val="24"/>
        </w:rPr>
      </w:pPr>
      <w:r w:rsidRPr="004D783F">
        <w:rPr>
          <w:sz w:val="24"/>
          <w:szCs w:val="24"/>
        </w:rPr>
        <w:t>For more information on the</w:t>
      </w:r>
      <w:r w:rsidR="00C92DAF" w:rsidRPr="004D783F">
        <w:rPr>
          <w:sz w:val="24"/>
          <w:szCs w:val="24"/>
        </w:rPr>
        <w:t xml:space="preserve"> </w:t>
      </w:r>
      <w:r w:rsidRPr="004D783F">
        <w:rPr>
          <w:sz w:val="24"/>
          <w:szCs w:val="24"/>
        </w:rPr>
        <w:t>area</w:t>
      </w:r>
      <w:r w:rsidR="00C92DAF" w:rsidRPr="004D783F">
        <w:rPr>
          <w:sz w:val="24"/>
          <w:szCs w:val="24"/>
        </w:rPr>
        <w:t xml:space="preserve"> proposed</w:t>
      </w:r>
      <w:r w:rsidRPr="004D783F">
        <w:rPr>
          <w:sz w:val="24"/>
          <w:szCs w:val="24"/>
        </w:rPr>
        <w:t xml:space="preserve">, see </w:t>
      </w:r>
      <w:r w:rsidR="00392AD6">
        <w:rPr>
          <w:i/>
          <w:sz w:val="24"/>
          <w:szCs w:val="24"/>
        </w:rPr>
        <w:t>Frequently Asked Questions</w:t>
      </w:r>
      <w:r w:rsidR="00663D4D" w:rsidRPr="004D783F">
        <w:rPr>
          <w:sz w:val="24"/>
          <w:szCs w:val="24"/>
        </w:rPr>
        <w:t xml:space="preserve"> </w:t>
      </w:r>
      <w:r w:rsidRPr="004D783F">
        <w:rPr>
          <w:sz w:val="24"/>
          <w:szCs w:val="24"/>
        </w:rPr>
        <w:t xml:space="preserve">and the </w:t>
      </w:r>
      <w:r w:rsidRPr="004D783F">
        <w:rPr>
          <w:i/>
          <w:sz w:val="24"/>
          <w:szCs w:val="24"/>
        </w:rPr>
        <w:t xml:space="preserve">Marine Users, Interests and the Environment in the </w:t>
      </w:r>
      <w:r w:rsidR="007A5F4E" w:rsidRPr="004D783F">
        <w:rPr>
          <w:i/>
          <w:sz w:val="24"/>
          <w:szCs w:val="24"/>
        </w:rPr>
        <w:t xml:space="preserve">Bunbury </w:t>
      </w:r>
      <w:r w:rsidR="001D512C">
        <w:rPr>
          <w:i/>
          <w:sz w:val="24"/>
          <w:szCs w:val="24"/>
        </w:rPr>
        <w:t>r</w:t>
      </w:r>
      <w:r w:rsidR="007A5F4E" w:rsidRPr="004D783F">
        <w:rPr>
          <w:i/>
          <w:sz w:val="24"/>
          <w:szCs w:val="24"/>
        </w:rPr>
        <w:t>egion</w:t>
      </w:r>
      <w:r w:rsidR="001737E9" w:rsidRPr="004D783F">
        <w:rPr>
          <w:i/>
          <w:sz w:val="24"/>
          <w:szCs w:val="24"/>
        </w:rPr>
        <w:t xml:space="preserve"> </w:t>
      </w:r>
      <w:r w:rsidRPr="004D783F">
        <w:rPr>
          <w:sz w:val="24"/>
          <w:szCs w:val="24"/>
        </w:rPr>
        <w:t xml:space="preserve">supporting documents available on the </w:t>
      </w:r>
      <w:r w:rsidR="007F0D6F" w:rsidRPr="004D783F">
        <w:t>Consultation Hub</w:t>
      </w:r>
      <w:r w:rsidRPr="004D783F">
        <w:rPr>
          <w:sz w:val="24"/>
          <w:szCs w:val="24"/>
        </w:rPr>
        <w:t xml:space="preserve">. </w:t>
      </w:r>
    </w:p>
    <w:p w14:paraId="36FA989E" w14:textId="234688C1" w:rsidR="00AF0420" w:rsidRPr="00AF0420" w:rsidRDefault="00AF0420" w:rsidP="00AF0420">
      <w:pPr>
        <w:shd w:val="clear" w:color="auto" w:fill="FFFFFF" w:themeFill="background1"/>
        <w:spacing w:after="120" w:line="276" w:lineRule="auto"/>
        <w:rPr>
          <w:color w:val="000000"/>
          <w:sz w:val="24"/>
          <w:szCs w:val="24"/>
          <w:shd w:val="clear" w:color="auto" w:fill="FFFFFF"/>
        </w:rPr>
      </w:pPr>
      <w:r w:rsidRPr="004D783F">
        <w:rPr>
          <w:color w:val="000000"/>
          <w:sz w:val="24"/>
          <w:szCs w:val="24"/>
          <w:shd w:val="clear" w:color="auto" w:fill="FFFFFF"/>
        </w:rPr>
        <w:t>A map allows users to interact with the</w:t>
      </w:r>
      <w:r w:rsidR="00C35D99" w:rsidRPr="004D783F">
        <w:rPr>
          <w:color w:val="000000"/>
          <w:sz w:val="24"/>
          <w:szCs w:val="24"/>
          <w:shd w:val="clear" w:color="auto" w:fill="FFFFFF"/>
        </w:rPr>
        <w:t xml:space="preserve"> </w:t>
      </w:r>
      <w:r w:rsidR="003830EB">
        <w:rPr>
          <w:color w:val="000000"/>
          <w:sz w:val="24"/>
          <w:szCs w:val="24"/>
          <w:shd w:val="clear" w:color="auto" w:fill="FFFFFF"/>
        </w:rPr>
        <w:t xml:space="preserve">proposed </w:t>
      </w:r>
      <w:r w:rsidR="00C35D99" w:rsidRPr="004D783F">
        <w:rPr>
          <w:color w:val="000000"/>
          <w:sz w:val="24"/>
          <w:szCs w:val="24"/>
          <w:shd w:val="clear" w:color="auto" w:fill="FFFFFF"/>
        </w:rPr>
        <w:t>area in the</w:t>
      </w:r>
      <w:r w:rsidRPr="004D783F">
        <w:rPr>
          <w:color w:val="000000"/>
          <w:sz w:val="24"/>
          <w:szCs w:val="24"/>
          <w:shd w:val="clear" w:color="auto" w:fill="FFFFFF"/>
        </w:rPr>
        <w:t xml:space="preserve"> </w:t>
      </w:r>
      <w:r w:rsidR="00F10042" w:rsidRPr="004D783F">
        <w:rPr>
          <w:color w:val="000000"/>
          <w:sz w:val="24"/>
          <w:szCs w:val="24"/>
          <w:shd w:val="clear" w:color="auto" w:fill="FFFFFF"/>
        </w:rPr>
        <w:t>Indian</w:t>
      </w:r>
      <w:r w:rsidR="001737E9" w:rsidRPr="004D783F">
        <w:rPr>
          <w:color w:val="000000"/>
          <w:sz w:val="24"/>
          <w:szCs w:val="24"/>
          <w:shd w:val="clear" w:color="auto" w:fill="FFFFFF"/>
        </w:rPr>
        <w:t xml:space="preserve"> Ocean</w:t>
      </w:r>
      <w:r w:rsidR="00CE0B37" w:rsidRPr="004D783F">
        <w:rPr>
          <w:color w:val="000000"/>
          <w:sz w:val="24"/>
          <w:szCs w:val="24"/>
          <w:shd w:val="clear" w:color="auto" w:fill="FFFFFF"/>
        </w:rPr>
        <w:t xml:space="preserve"> off </w:t>
      </w:r>
      <w:r w:rsidR="004863E7">
        <w:rPr>
          <w:color w:val="000000"/>
          <w:sz w:val="24"/>
          <w:szCs w:val="24"/>
          <w:shd w:val="clear" w:color="auto" w:fill="FFFFFF"/>
        </w:rPr>
        <w:t xml:space="preserve">the </w:t>
      </w:r>
      <w:r w:rsidR="00CE0B37" w:rsidRPr="004D783F">
        <w:rPr>
          <w:color w:val="000000"/>
          <w:sz w:val="24"/>
          <w:szCs w:val="24"/>
          <w:shd w:val="clear" w:color="auto" w:fill="FFFFFF"/>
        </w:rPr>
        <w:t>Bunbury</w:t>
      </w:r>
      <w:r w:rsidR="004863E7">
        <w:rPr>
          <w:color w:val="000000"/>
          <w:sz w:val="24"/>
          <w:szCs w:val="24"/>
          <w:shd w:val="clear" w:color="auto" w:fill="FFFFFF"/>
        </w:rPr>
        <w:t xml:space="preserve"> region</w:t>
      </w:r>
      <w:r w:rsidR="00CE0B37" w:rsidRPr="004D783F">
        <w:rPr>
          <w:color w:val="000000"/>
          <w:sz w:val="24"/>
          <w:szCs w:val="24"/>
          <w:shd w:val="clear" w:color="auto" w:fill="FFFFFF"/>
        </w:rPr>
        <w:t xml:space="preserve"> </w:t>
      </w:r>
      <w:r w:rsidRPr="004D783F">
        <w:rPr>
          <w:color w:val="000000"/>
          <w:sz w:val="24"/>
          <w:szCs w:val="24"/>
          <w:shd w:val="clear" w:color="auto" w:fill="FFFFFF"/>
        </w:rPr>
        <w:t>under consideration and geographic information relevant to other users and interests</w:t>
      </w:r>
      <w:r w:rsidRPr="00AF0420">
        <w:rPr>
          <w:color w:val="000000"/>
          <w:sz w:val="24"/>
          <w:szCs w:val="24"/>
          <w:shd w:val="clear" w:color="auto" w:fill="FFFFFF"/>
        </w:rPr>
        <w:t xml:space="preserve"> in the area. The map, </w:t>
      </w:r>
      <w:r w:rsidR="00DA6D0C">
        <w:rPr>
          <w:color w:val="000000"/>
          <w:sz w:val="24"/>
          <w:szCs w:val="24"/>
          <w:shd w:val="clear" w:color="auto" w:fill="FFFFFF"/>
        </w:rPr>
        <w:t xml:space="preserve">as well as </w:t>
      </w:r>
      <w:r w:rsidRPr="00AF0420">
        <w:rPr>
          <w:color w:val="000000"/>
          <w:sz w:val="24"/>
          <w:szCs w:val="24"/>
          <w:shd w:val="clear" w:color="auto" w:fill="FFFFFF"/>
        </w:rPr>
        <w:t xml:space="preserve">other tools, visualisations and data relevant to </w:t>
      </w:r>
      <w:r w:rsidR="00C35D99">
        <w:rPr>
          <w:color w:val="000000"/>
          <w:sz w:val="24"/>
          <w:szCs w:val="24"/>
          <w:shd w:val="clear" w:color="auto" w:fill="FFFFFF"/>
        </w:rPr>
        <w:t>offshore renewable energy</w:t>
      </w:r>
      <w:r w:rsidRPr="00AF0420">
        <w:rPr>
          <w:color w:val="000000"/>
          <w:sz w:val="24"/>
          <w:szCs w:val="24"/>
          <w:shd w:val="clear" w:color="auto" w:fill="FFFFFF"/>
        </w:rPr>
        <w:t xml:space="preserve"> in Australian waters are available on the</w:t>
      </w:r>
      <w:r w:rsidRPr="00AF0420">
        <w:rPr>
          <w:sz w:val="24"/>
          <w:szCs w:val="24"/>
        </w:rPr>
        <w:t xml:space="preserve"> </w:t>
      </w:r>
      <w:hyperlink r:id="rId12" w:history="1">
        <w:r w:rsidRPr="00AF0420">
          <w:rPr>
            <w:rStyle w:val="Hyperlink"/>
            <w:sz w:val="24"/>
            <w:szCs w:val="24"/>
          </w:rPr>
          <w:t>Australian Marine Spatial Information System</w:t>
        </w:r>
      </w:hyperlink>
      <w:r w:rsidRPr="00AF0420">
        <w:rPr>
          <w:color w:val="000000"/>
          <w:sz w:val="24"/>
          <w:szCs w:val="24"/>
          <w:shd w:val="clear" w:color="auto" w:fill="FFFFFF"/>
        </w:rPr>
        <w:t xml:space="preserve"> portal.</w:t>
      </w:r>
    </w:p>
    <w:p w14:paraId="49B0413D" w14:textId="24500226" w:rsidR="00691F36" w:rsidRPr="00AF0420" w:rsidRDefault="0012303D" w:rsidP="0024389C">
      <w:pPr>
        <w:pStyle w:val="Heading2"/>
        <w:rPr>
          <w:sz w:val="24"/>
          <w:szCs w:val="24"/>
        </w:rPr>
      </w:pPr>
      <w:r w:rsidRPr="00AF0420">
        <w:rPr>
          <w:sz w:val="24"/>
          <w:szCs w:val="24"/>
        </w:rPr>
        <w:t>Indicative map of area</w:t>
      </w:r>
    </w:p>
    <w:p w14:paraId="4BB2DC66" w14:textId="44DCD9F0" w:rsidR="00AF0420" w:rsidRDefault="00C128AC" w:rsidP="003A3535">
      <w:pPr>
        <w:shd w:val="clear" w:color="auto" w:fill="FFFFFF" w:themeFill="background1"/>
        <w:spacing w:after="120" w:line="276" w:lineRule="auto"/>
        <w:rPr>
          <w:sz w:val="24"/>
          <w:szCs w:val="24"/>
        </w:rPr>
        <w:sectPr w:rsidR="00AF0420" w:rsidSect="00343FF5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276" w:left="1440" w:header="142" w:footer="476" w:gutter="0"/>
          <w:pgNumType w:start="1"/>
          <w:cols w:space="708"/>
          <w:docGrid w:linePitch="360"/>
        </w:sectPr>
      </w:pPr>
      <w:r w:rsidRPr="00AF0420">
        <w:rPr>
          <w:sz w:val="24"/>
          <w:szCs w:val="24"/>
        </w:rPr>
        <w:t xml:space="preserve">An indicative map of the proposed area is shown below. </w:t>
      </w:r>
      <w:r w:rsidR="00691F36" w:rsidRPr="00AF0420">
        <w:rPr>
          <w:sz w:val="24"/>
          <w:szCs w:val="24"/>
        </w:rPr>
        <w:t xml:space="preserve">This map is a guide only, and is not a definitive representation of the area proposed to be declared. The exact series of geospatial coordinates for the area is available in the dataset titled </w:t>
      </w:r>
      <w:r w:rsidR="00691F36" w:rsidRPr="00AF0420">
        <w:rPr>
          <w:i/>
          <w:sz w:val="24"/>
          <w:szCs w:val="24"/>
        </w:rPr>
        <w:t>Offshore Electricity Infrastructure Act 2021–</w:t>
      </w:r>
      <w:r w:rsidR="00465B5F" w:rsidRPr="00AF0420">
        <w:rPr>
          <w:i/>
          <w:sz w:val="24"/>
          <w:szCs w:val="24"/>
        </w:rPr>
        <w:t xml:space="preserve"> Proposed </w:t>
      </w:r>
      <w:r w:rsidR="00691F36" w:rsidRPr="00AF0420">
        <w:rPr>
          <w:i/>
          <w:sz w:val="24"/>
          <w:szCs w:val="24"/>
        </w:rPr>
        <w:t>Area</w:t>
      </w:r>
      <w:r w:rsidR="00465B5F" w:rsidRPr="00AF0420">
        <w:rPr>
          <w:i/>
          <w:sz w:val="24"/>
          <w:szCs w:val="24"/>
        </w:rPr>
        <w:t xml:space="preserve"> – </w:t>
      </w:r>
      <w:r w:rsidR="00C92B08">
        <w:rPr>
          <w:i/>
          <w:sz w:val="24"/>
          <w:szCs w:val="24"/>
        </w:rPr>
        <w:t>Bunbury</w:t>
      </w:r>
      <w:r w:rsidR="004863E7">
        <w:rPr>
          <w:i/>
          <w:sz w:val="24"/>
          <w:szCs w:val="24"/>
        </w:rPr>
        <w:t xml:space="preserve"> region</w:t>
      </w:r>
      <w:r w:rsidR="00224568">
        <w:rPr>
          <w:i/>
          <w:sz w:val="24"/>
          <w:szCs w:val="24"/>
        </w:rPr>
        <w:t>, WA</w:t>
      </w:r>
      <w:r w:rsidR="003830EB">
        <w:rPr>
          <w:i/>
          <w:sz w:val="24"/>
          <w:szCs w:val="24"/>
        </w:rPr>
        <w:t xml:space="preserve"> </w:t>
      </w:r>
      <w:r w:rsidR="00691F36" w:rsidRPr="00AF0420">
        <w:rPr>
          <w:sz w:val="24"/>
          <w:szCs w:val="24"/>
        </w:rPr>
        <w:t xml:space="preserve">available on the </w:t>
      </w:r>
      <w:r w:rsidR="00CB4091" w:rsidRPr="00AF0420">
        <w:rPr>
          <w:sz w:val="24"/>
          <w:szCs w:val="24"/>
        </w:rPr>
        <w:t>Department of Climate Change, Energy, the Environment and Water’s</w:t>
      </w:r>
      <w:r w:rsidR="00691F36" w:rsidRPr="00AF0420">
        <w:rPr>
          <w:sz w:val="24"/>
          <w:szCs w:val="24"/>
        </w:rPr>
        <w:t xml:space="preserve"> website.</w:t>
      </w:r>
      <w:r w:rsidR="00A117E5" w:rsidRPr="00AF0420">
        <w:rPr>
          <w:sz w:val="24"/>
          <w:szCs w:val="24"/>
        </w:rPr>
        <w:t xml:space="preserve"> </w:t>
      </w:r>
    </w:p>
    <w:p w14:paraId="0F653133" w14:textId="537CB1E7" w:rsidR="00856279" w:rsidRPr="00AF3568" w:rsidRDefault="003723BB" w:rsidP="00C92B08">
      <w:pPr>
        <w:spacing w:after="0"/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w:drawing>
          <wp:inline distT="0" distB="0" distL="0" distR="0" wp14:anchorId="71C1C37B" wp14:editId="462C40BE">
            <wp:extent cx="8107045" cy="5731510"/>
            <wp:effectExtent l="0" t="0" r="8255" b="2540"/>
            <wp:docPr id="957875578" name="Picture 957875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875578" name="Picture 95787557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04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279" w:rsidRPr="00AF3568" w:rsidSect="003723BB">
      <w:footerReference w:type="default" r:id="rId18"/>
      <w:pgSz w:w="16838" w:h="11906" w:orient="landscape"/>
      <w:pgMar w:top="1440" w:right="1440" w:bottom="1440" w:left="1440" w:header="142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81A3" w14:textId="77777777" w:rsidR="00B61154" w:rsidRDefault="00B61154" w:rsidP="00B251DB">
      <w:pPr>
        <w:spacing w:after="0" w:line="240" w:lineRule="auto"/>
      </w:pPr>
      <w:r>
        <w:separator/>
      </w:r>
    </w:p>
  </w:endnote>
  <w:endnote w:type="continuationSeparator" w:id="0">
    <w:p w14:paraId="41688DD1" w14:textId="77777777" w:rsidR="00B61154" w:rsidRDefault="00B61154" w:rsidP="00B251DB">
      <w:pPr>
        <w:spacing w:after="0" w:line="240" w:lineRule="auto"/>
      </w:pPr>
      <w:r>
        <w:continuationSeparator/>
      </w:r>
    </w:p>
  </w:endnote>
  <w:endnote w:type="continuationNotice" w:id="1">
    <w:p w14:paraId="464BEA70" w14:textId="77777777" w:rsidR="00B61154" w:rsidRDefault="00B61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7C96" w14:textId="1003AD59" w:rsidR="00092A41" w:rsidRPr="0013491D" w:rsidRDefault="0013491D" w:rsidP="0013491D">
    <w:pPr>
      <w:pStyle w:val="Footer"/>
      <w:pBdr>
        <w:top w:val="single" w:sz="4" w:space="1" w:color="auto"/>
      </w:pBdr>
      <w:jc w:val="center"/>
      <w:rPr>
        <w:b/>
        <w:noProof/>
        <w:sz w:val="24"/>
        <w:szCs w:val="24"/>
      </w:rPr>
    </w:pPr>
    <w:r>
      <w:rPr>
        <w:b/>
        <w:color w:val="FF0000"/>
        <w:sz w:val="28"/>
      </w:rPr>
      <w:tab/>
    </w:r>
    <w:r w:rsidRPr="0013491D">
      <w:rPr>
        <w:sz w:val="24"/>
        <w:szCs w:val="24"/>
      </w:rPr>
      <w:t>DCCEEW.gov.au</w:t>
    </w:r>
    <w:r w:rsidRPr="0013491D">
      <w:rPr>
        <w:b/>
        <w:color w:val="FF0000"/>
        <w:sz w:val="24"/>
        <w:szCs w:val="24"/>
      </w:rPr>
      <w:tab/>
    </w:r>
    <w:r w:rsidRPr="0013491D">
      <w:rPr>
        <w:bCs/>
        <w:sz w:val="24"/>
        <w:szCs w:val="24"/>
      </w:rPr>
      <w:t>Page 1 of 2</w:t>
    </w:r>
    <w:r w:rsidR="00092A41" w:rsidRPr="0013491D">
      <w:rPr>
        <w:b/>
        <w:color w:val="FF0000"/>
        <w:sz w:val="24"/>
        <w:szCs w:val="24"/>
      </w:rPr>
      <w:tab/>
    </w:r>
    <w:r w:rsidR="00BD0F8A" w:rsidRPr="0013491D">
      <w:rPr>
        <w:b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1687" w14:textId="21F02D22" w:rsidR="00607188" w:rsidRPr="00092A41" w:rsidRDefault="00985D36" w:rsidP="00EC00A2">
    <w:pPr>
      <w:pStyle w:val="Footer"/>
      <w:jc w:val="right"/>
      <w:rPr>
        <w:b/>
        <w:noProof/>
      </w:rPr>
    </w:pPr>
    <w:r>
      <w:t>Notice of Proposal to Declare an Area                                               Pacific Ocean off Hunter, New South Wales</w:t>
    </w:r>
    <w:r w:rsidR="00EC00A2">
      <w:tab/>
    </w:r>
    <w:r w:rsidR="005F23DA">
      <w:t>DCCEEW</w:t>
    </w:r>
    <w:r w:rsidR="00EC00A2">
      <w:t>.gov.au</w:t>
    </w:r>
    <w:r w:rsidR="00EC00A2">
      <w:tab/>
    </w:r>
    <w:sdt>
      <w:sdtPr>
        <w:id w:val="-1972122863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="00EC00A2" w:rsidRPr="00092A41">
          <w:rPr>
            <w:b/>
          </w:rPr>
          <w:fldChar w:fldCharType="begin"/>
        </w:r>
        <w:r w:rsidR="00EC00A2" w:rsidRPr="00092A41">
          <w:rPr>
            <w:b/>
          </w:rPr>
          <w:instrText xml:space="preserve"> PAGE   \* MERGEFORMAT </w:instrText>
        </w:r>
        <w:r w:rsidR="00EC00A2" w:rsidRPr="00092A41">
          <w:rPr>
            <w:b/>
          </w:rPr>
          <w:fldChar w:fldCharType="separate"/>
        </w:r>
        <w:r w:rsidR="00092A41">
          <w:rPr>
            <w:b/>
            <w:noProof/>
          </w:rPr>
          <w:t>1</w:t>
        </w:r>
        <w:r w:rsidR="00EC00A2" w:rsidRPr="00092A41">
          <w:rPr>
            <w:b/>
            <w:noProof/>
          </w:rPr>
          <w:fldChar w:fldCharType="end"/>
        </w:r>
      </w:sdtContent>
    </w:sdt>
  </w:p>
  <w:p w14:paraId="119A1688" w14:textId="1423320A" w:rsidR="006C0396" w:rsidRPr="00092A41" w:rsidRDefault="00092A41" w:rsidP="00092A41">
    <w:pPr>
      <w:pStyle w:val="Footer"/>
      <w:jc w:val="center"/>
      <w:rPr>
        <w:b/>
        <w:color w:val="FF0000"/>
        <w:sz w:val="28"/>
      </w:rPr>
    </w:pPr>
    <w:r w:rsidRPr="00092A41">
      <w:rPr>
        <w:b/>
        <w:color w:val="FF0000"/>
        <w:sz w:val="28"/>
      </w:rPr>
      <w:t>OFFICIAL: Sensitive</w:t>
    </w:r>
  </w:p>
  <w:p w14:paraId="203A8845" w14:textId="77777777" w:rsidR="00092A41" w:rsidRDefault="00092A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1027" w14:textId="0048EE33" w:rsidR="0013491D" w:rsidRPr="0013491D" w:rsidRDefault="0013491D" w:rsidP="00416D79">
    <w:pPr>
      <w:pStyle w:val="Footer"/>
      <w:pBdr>
        <w:top w:val="single" w:sz="4" w:space="1" w:color="auto"/>
      </w:pBdr>
      <w:tabs>
        <w:tab w:val="clear" w:pos="4513"/>
        <w:tab w:val="center" w:pos="6663"/>
      </w:tabs>
      <w:jc w:val="center"/>
      <w:rPr>
        <w:b/>
        <w:noProof/>
        <w:sz w:val="24"/>
        <w:szCs w:val="24"/>
      </w:rPr>
    </w:pPr>
    <w:r>
      <w:tab/>
    </w:r>
    <w:r w:rsidRPr="0013491D">
      <w:rPr>
        <w:sz w:val="24"/>
        <w:szCs w:val="24"/>
      </w:rPr>
      <w:t>DCCEEW.gov.au</w:t>
    </w:r>
    <w:r w:rsidRPr="0013491D">
      <w:rPr>
        <w:b/>
        <w:color w:val="FF0000"/>
        <w:sz w:val="24"/>
        <w:szCs w:val="24"/>
      </w:rPr>
      <w:tab/>
    </w:r>
    <w:r w:rsidRPr="0013491D">
      <w:rPr>
        <w:b/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ab/>
    </w:r>
    <w:r w:rsidRPr="0013491D">
      <w:rPr>
        <w:bCs/>
        <w:sz w:val="24"/>
        <w:szCs w:val="24"/>
      </w:rPr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CC4F" w14:textId="77777777" w:rsidR="00B61154" w:rsidRDefault="00B61154" w:rsidP="00B251DB">
      <w:pPr>
        <w:spacing w:after="0" w:line="240" w:lineRule="auto"/>
      </w:pPr>
      <w:r>
        <w:separator/>
      </w:r>
    </w:p>
  </w:footnote>
  <w:footnote w:type="continuationSeparator" w:id="0">
    <w:p w14:paraId="0B3DBC0D" w14:textId="77777777" w:rsidR="00B61154" w:rsidRDefault="00B61154" w:rsidP="00B251DB">
      <w:pPr>
        <w:spacing w:after="0" w:line="240" w:lineRule="auto"/>
      </w:pPr>
      <w:r>
        <w:continuationSeparator/>
      </w:r>
    </w:p>
  </w:footnote>
  <w:footnote w:type="continuationNotice" w:id="1">
    <w:p w14:paraId="477A7E42" w14:textId="77777777" w:rsidR="00B61154" w:rsidRDefault="00B611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A04A" w14:textId="44D339E1" w:rsidR="00092A41" w:rsidRPr="00092A41" w:rsidRDefault="00AF0420" w:rsidP="00AF0420">
    <w:pPr>
      <w:pStyle w:val="Footer"/>
      <w:rPr>
        <w:rStyle w:val="Strong"/>
      </w:rPr>
    </w:pPr>
    <w:r w:rsidRPr="00180BF8">
      <w:rPr>
        <w:noProof/>
        <w:lang w:eastAsia="en-AU"/>
      </w:rPr>
      <w:drawing>
        <wp:inline distT="0" distB="0" distL="0" distR="0" wp14:anchorId="76604E97" wp14:editId="67B3FF99">
          <wp:extent cx="3019480" cy="627399"/>
          <wp:effectExtent l="0" t="0" r="0" b="1270"/>
          <wp:docPr id="1888716058" name="Picture 1888716058" title="Australian Government Department of Climate Change, Energy, the Environment and Wa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IS-header-tem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846" cy="643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a14="http://schemas.microsoft.com/office/drawing/2010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1686" w14:textId="3AD25FF5" w:rsidR="00806473" w:rsidRPr="00092A41" w:rsidRDefault="00092A41" w:rsidP="00092A41">
    <w:pPr>
      <w:pStyle w:val="Header"/>
      <w:jc w:val="center"/>
      <w:rPr>
        <w:b/>
        <w:color w:val="FF0000"/>
        <w:sz w:val="24"/>
      </w:rPr>
    </w:pPr>
    <w:r>
      <w:rPr>
        <w:b/>
        <w:color w:val="FF0000"/>
        <w:sz w:val="24"/>
      </w:rPr>
      <w:t>OFFICIAL: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E21CD"/>
    <w:multiLevelType w:val="hybridMultilevel"/>
    <w:tmpl w:val="D64A59AE"/>
    <w:lvl w:ilvl="0" w:tplc="C6F644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2302771">
    <w:abstractNumId w:val="6"/>
  </w:num>
  <w:num w:numId="2" w16cid:durableId="573127219">
    <w:abstractNumId w:val="5"/>
  </w:num>
  <w:num w:numId="3" w16cid:durableId="555548704">
    <w:abstractNumId w:val="10"/>
  </w:num>
  <w:num w:numId="4" w16cid:durableId="733434367">
    <w:abstractNumId w:val="8"/>
  </w:num>
  <w:num w:numId="5" w16cid:durableId="1769111466">
    <w:abstractNumId w:val="12"/>
  </w:num>
  <w:num w:numId="6" w16cid:durableId="268972858">
    <w:abstractNumId w:val="2"/>
  </w:num>
  <w:num w:numId="7" w16cid:durableId="827940100">
    <w:abstractNumId w:val="0"/>
  </w:num>
  <w:num w:numId="8" w16cid:durableId="1390420672">
    <w:abstractNumId w:val="1"/>
  </w:num>
  <w:num w:numId="9" w16cid:durableId="224995164">
    <w:abstractNumId w:val="9"/>
  </w:num>
  <w:num w:numId="10" w16cid:durableId="790245280">
    <w:abstractNumId w:val="11"/>
  </w:num>
  <w:num w:numId="11" w16cid:durableId="741870374">
    <w:abstractNumId w:val="4"/>
  </w:num>
  <w:num w:numId="12" w16cid:durableId="1845826642">
    <w:abstractNumId w:val="15"/>
  </w:num>
  <w:num w:numId="13" w16cid:durableId="2121408603">
    <w:abstractNumId w:val="13"/>
  </w:num>
  <w:num w:numId="14" w16cid:durableId="1934120146">
    <w:abstractNumId w:val="7"/>
  </w:num>
  <w:num w:numId="15" w16cid:durableId="1213233240">
    <w:abstractNumId w:val="14"/>
  </w:num>
  <w:num w:numId="16" w16cid:durableId="118640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7D"/>
    <w:rsid w:val="00012378"/>
    <w:rsid w:val="00015D8F"/>
    <w:rsid w:val="00031D39"/>
    <w:rsid w:val="00032995"/>
    <w:rsid w:val="00046C20"/>
    <w:rsid w:val="000552B3"/>
    <w:rsid w:val="00067945"/>
    <w:rsid w:val="0007067B"/>
    <w:rsid w:val="00076D18"/>
    <w:rsid w:val="00077314"/>
    <w:rsid w:val="00081D07"/>
    <w:rsid w:val="000820D0"/>
    <w:rsid w:val="00092A41"/>
    <w:rsid w:val="000C3494"/>
    <w:rsid w:val="000E599A"/>
    <w:rsid w:val="000E6F1B"/>
    <w:rsid w:val="000E7AC5"/>
    <w:rsid w:val="000F2564"/>
    <w:rsid w:val="000F5FF0"/>
    <w:rsid w:val="0011549B"/>
    <w:rsid w:val="0012303D"/>
    <w:rsid w:val="00123A32"/>
    <w:rsid w:val="001249D9"/>
    <w:rsid w:val="0013491D"/>
    <w:rsid w:val="00136F10"/>
    <w:rsid w:val="00141A40"/>
    <w:rsid w:val="00146294"/>
    <w:rsid w:val="00147DD8"/>
    <w:rsid w:val="001506FA"/>
    <w:rsid w:val="00153C15"/>
    <w:rsid w:val="001540A3"/>
    <w:rsid w:val="0015603C"/>
    <w:rsid w:val="00164447"/>
    <w:rsid w:val="0017006E"/>
    <w:rsid w:val="001737E9"/>
    <w:rsid w:val="00196AC7"/>
    <w:rsid w:val="001A73D4"/>
    <w:rsid w:val="001D216A"/>
    <w:rsid w:val="001D2E82"/>
    <w:rsid w:val="001D512C"/>
    <w:rsid w:val="001E37CA"/>
    <w:rsid w:val="001E5E74"/>
    <w:rsid w:val="001F1401"/>
    <w:rsid w:val="001F5AB1"/>
    <w:rsid w:val="00205DF3"/>
    <w:rsid w:val="0021716C"/>
    <w:rsid w:val="0022083E"/>
    <w:rsid w:val="00222D0B"/>
    <w:rsid w:val="00224568"/>
    <w:rsid w:val="00241D3D"/>
    <w:rsid w:val="002429B8"/>
    <w:rsid w:val="0024389C"/>
    <w:rsid w:val="0025218F"/>
    <w:rsid w:val="00254DA8"/>
    <w:rsid w:val="00272B04"/>
    <w:rsid w:val="002869AD"/>
    <w:rsid w:val="002924DC"/>
    <w:rsid w:val="002B5C69"/>
    <w:rsid w:val="002D230B"/>
    <w:rsid w:val="002F57F5"/>
    <w:rsid w:val="00313719"/>
    <w:rsid w:val="00322BA3"/>
    <w:rsid w:val="003329A0"/>
    <w:rsid w:val="00343FF5"/>
    <w:rsid w:val="00360E2E"/>
    <w:rsid w:val="003723BB"/>
    <w:rsid w:val="00375364"/>
    <w:rsid w:val="003830EB"/>
    <w:rsid w:val="00392AD6"/>
    <w:rsid w:val="003A3535"/>
    <w:rsid w:val="003A3A00"/>
    <w:rsid w:val="003C5ACC"/>
    <w:rsid w:val="003D38ED"/>
    <w:rsid w:val="003D5E5F"/>
    <w:rsid w:val="003E5652"/>
    <w:rsid w:val="003F3B57"/>
    <w:rsid w:val="00411DBE"/>
    <w:rsid w:val="00416D79"/>
    <w:rsid w:val="004632E9"/>
    <w:rsid w:val="00465B5F"/>
    <w:rsid w:val="0046678C"/>
    <w:rsid w:val="004733A9"/>
    <w:rsid w:val="004741BD"/>
    <w:rsid w:val="004858A4"/>
    <w:rsid w:val="004863E7"/>
    <w:rsid w:val="004A1A49"/>
    <w:rsid w:val="004A6304"/>
    <w:rsid w:val="004A7D55"/>
    <w:rsid w:val="004B4254"/>
    <w:rsid w:val="004C05FA"/>
    <w:rsid w:val="004C6DC7"/>
    <w:rsid w:val="004D3B0F"/>
    <w:rsid w:val="004D44A5"/>
    <w:rsid w:val="004D76C3"/>
    <w:rsid w:val="004D783F"/>
    <w:rsid w:val="004F0771"/>
    <w:rsid w:val="004F413F"/>
    <w:rsid w:val="00514E94"/>
    <w:rsid w:val="00516B0E"/>
    <w:rsid w:val="00523A61"/>
    <w:rsid w:val="00536EBA"/>
    <w:rsid w:val="00547498"/>
    <w:rsid w:val="0056686F"/>
    <w:rsid w:val="00584B74"/>
    <w:rsid w:val="005914A2"/>
    <w:rsid w:val="00591C31"/>
    <w:rsid w:val="005C636A"/>
    <w:rsid w:val="005D2053"/>
    <w:rsid w:val="005E482B"/>
    <w:rsid w:val="005F23DA"/>
    <w:rsid w:val="005F59DD"/>
    <w:rsid w:val="00603DDF"/>
    <w:rsid w:val="006065E7"/>
    <w:rsid w:val="00607188"/>
    <w:rsid w:val="00607C54"/>
    <w:rsid w:val="006175C9"/>
    <w:rsid w:val="006433B4"/>
    <w:rsid w:val="00663D4D"/>
    <w:rsid w:val="00671748"/>
    <w:rsid w:val="00671D1D"/>
    <w:rsid w:val="0068286F"/>
    <w:rsid w:val="00690F00"/>
    <w:rsid w:val="00691F36"/>
    <w:rsid w:val="00692CC9"/>
    <w:rsid w:val="006A14E0"/>
    <w:rsid w:val="006C0396"/>
    <w:rsid w:val="006C4C9C"/>
    <w:rsid w:val="006C5288"/>
    <w:rsid w:val="006C750B"/>
    <w:rsid w:val="006D2221"/>
    <w:rsid w:val="006D5541"/>
    <w:rsid w:val="006E0667"/>
    <w:rsid w:val="006E1E6A"/>
    <w:rsid w:val="006E4001"/>
    <w:rsid w:val="006E4B98"/>
    <w:rsid w:val="006F58A5"/>
    <w:rsid w:val="007017B0"/>
    <w:rsid w:val="00711349"/>
    <w:rsid w:val="00720DA2"/>
    <w:rsid w:val="00723C5D"/>
    <w:rsid w:val="007265AC"/>
    <w:rsid w:val="00742E25"/>
    <w:rsid w:val="007559CA"/>
    <w:rsid w:val="00772D68"/>
    <w:rsid w:val="007737B1"/>
    <w:rsid w:val="007833EE"/>
    <w:rsid w:val="007862C8"/>
    <w:rsid w:val="007A179C"/>
    <w:rsid w:val="007A195F"/>
    <w:rsid w:val="007A5F4E"/>
    <w:rsid w:val="007B0385"/>
    <w:rsid w:val="007B553F"/>
    <w:rsid w:val="007E15D9"/>
    <w:rsid w:val="007F0D6F"/>
    <w:rsid w:val="007F7638"/>
    <w:rsid w:val="00806473"/>
    <w:rsid w:val="0081303D"/>
    <w:rsid w:val="00815AAA"/>
    <w:rsid w:val="008300B0"/>
    <w:rsid w:val="00830482"/>
    <w:rsid w:val="00853A7A"/>
    <w:rsid w:val="00856279"/>
    <w:rsid w:val="008678AC"/>
    <w:rsid w:val="00873C95"/>
    <w:rsid w:val="00892B6E"/>
    <w:rsid w:val="009159AF"/>
    <w:rsid w:val="00930EFA"/>
    <w:rsid w:val="00936855"/>
    <w:rsid w:val="00962F74"/>
    <w:rsid w:val="009646DA"/>
    <w:rsid w:val="0097003F"/>
    <w:rsid w:val="00982F06"/>
    <w:rsid w:val="00985D36"/>
    <w:rsid w:val="009A549D"/>
    <w:rsid w:val="009B0C96"/>
    <w:rsid w:val="009E11C5"/>
    <w:rsid w:val="009E4633"/>
    <w:rsid w:val="00A117E5"/>
    <w:rsid w:val="00A33961"/>
    <w:rsid w:val="00A52F3D"/>
    <w:rsid w:val="00A6592A"/>
    <w:rsid w:val="00A731BB"/>
    <w:rsid w:val="00A83B7D"/>
    <w:rsid w:val="00A84C26"/>
    <w:rsid w:val="00A9099B"/>
    <w:rsid w:val="00AA1B3F"/>
    <w:rsid w:val="00AA740C"/>
    <w:rsid w:val="00AB4041"/>
    <w:rsid w:val="00AF0420"/>
    <w:rsid w:val="00AF3568"/>
    <w:rsid w:val="00B0182C"/>
    <w:rsid w:val="00B17CCB"/>
    <w:rsid w:val="00B251DB"/>
    <w:rsid w:val="00B26C25"/>
    <w:rsid w:val="00B3021B"/>
    <w:rsid w:val="00B35C0C"/>
    <w:rsid w:val="00B36816"/>
    <w:rsid w:val="00B43D91"/>
    <w:rsid w:val="00B61154"/>
    <w:rsid w:val="00B6196B"/>
    <w:rsid w:val="00B67857"/>
    <w:rsid w:val="00B72545"/>
    <w:rsid w:val="00B818F6"/>
    <w:rsid w:val="00BA46D1"/>
    <w:rsid w:val="00BC547D"/>
    <w:rsid w:val="00BC5913"/>
    <w:rsid w:val="00BD0F8A"/>
    <w:rsid w:val="00BD5AD9"/>
    <w:rsid w:val="00BE6589"/>
    <w:rsid w:val="00BE6EEA"/>
    <w:rsid w:val="00C05304"/>
    <w:rsid w:val="00C1155F"/>
    <w:rsid w:val="00C128AC"/>
    <w:rsid w:val="00C2404E"/>
    <w:rsid w:val="00C30DBB"/>
    <w:rsid w:val="00C35D99"/>
    <w:rsid w:val="00C441F4"/>
    <w:rsid w:val="00C92B08"/>
    <w:rsid w:val="00C92DAF"/>
    <w:rsid w:val="00CA4244"/>
    <w:rsid w:val="00CA4FAE"/>
    <w:rsid w:val="00CB4091"/>
    <w:rsid w:val="00CE0B37"/>
    <w:rsid w:val="00CE27B7"/>
    <w:rsid w:val="00CF13CD"/>
    <w:rsid w:val="00D0112A"/>
    <w:rsid w:val="00D06EC2"/>
    <w:rsid w:val="00D1053C"/>
    <w:rsid w:val="00D220CF"/>
    <w:rsid w:val="00D370C5"/>
    <w:rsid w:val="00D37C1D"/>
    <w:rsid w:val="00D841E9"/>
    <w:rsid w:val="00D93EDB"/>
    <w:rsid w:val="00DA52F1"/>
    <w:rsid w:val="00DA6D0C"/>
    <w:rsid w:val="00DD12E5"/>
    <w:rsid w:val="00DE7549"/>
    <w:rsid w:val="00E01D7D"/>
    <w:rsid w:val="00E3027E"/>
    <w:rsid w:val="00E30764"/>
    <w:rsid w:val="00E30FDF"/>
    <w:rsid w:val="00E44A67"/>
    <w:rsid w:val="00EA358C"/>
    <w:rsid w:val="00EC00A2"/>
    <w:rsid w:val="00EF1D75"/>
    <w:rsid w:val="00F10042"/>
    <w:rsid w:val="00F121BF"/>
    <w:rsid w:val="00F22BB9"/>
    <w:rsid w:val="00F24228"/>
    <w:rsid w:val="00F267B0"/>
    <w:rsid w:val="00F3031D"/>
    <w:rsid w:val="00F34B5C"/>
    <w:rsid w:val="00F53E02"/>
    <w:rsid w:val="00F60D0B"/>
    <w:rsid w:val="00F71A73"/>
    <w:rsid w:val="00F83A6A"/>
    <w:rsid w:val="00F929C7"/>
    <w:rsid w:val="00FA313F"/>
    <w:rsid w:val="00FD1791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A1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83A42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A40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7D3404" w:themeColor="accent3" w:themeTint="E6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83A42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1A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408479" w:themeColor="accent2" w:themeTint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83A42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4F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62403" w:themeColor="accent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4F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83A42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4F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2403" w:themeColor="accent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4F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83A42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83A42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83A42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083A42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83A42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A40"/>
    <w:pPr>
      <w:numPr>
        <w:ilvl w:val="1"/>
      </w:numPr>
    </w:pPr>
    <w:rPr>
      <w:rFonts w:eastAsiaTheme="minorEastAsia"/>
      <w:color w:val="0C5B68" w:themeColor="text2" w:themeTint="E6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41A40"/>
    <w:rPr>
      <w:rFonts w:eastAsiaTheme="minorEastAsia"/>
      <w:color w:val="0C5B68" w:themeColor="text2" w:themeTint="E6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1A40"/>
    <w:rPr>
      <w:rFonts w:asciiTheme="majorHAnsi" w:eastAsiaTheme="majorEastAsia" w:hAnsiTheme="majorHAnsi" w:cstheme="majorBidi"/>
      <w:color w:val="7D3404" w:themeColor="accent3" w:themeTint="E6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83A42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141A40"/>
    <w:rPr>
      <w:rFonts w:asciiTheme="majorHAnsi" w:eastAsiaTheme="majorEastAsia" w:hAnsiTheme="majorHAnsi" w:cstheme="majorBidi"/>
      <w:iCs/>
      <w:color w:val="408479" w:themeColor="accent2" w:themeTint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83A42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141A40"/>
    <w:pPr>
      <w:spacing w:after="120" w:line="240" w:lineRule="auto"/>
    </w:pPr>
    <w:rPr>
      <w:i/>
      <w:iCs/>
      <w:color w:val="408479" w:themeColor="accent2" w:themeTint="BF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E3E39" w:themeColor="accent2"/>
        <w:left w:val="single" w:sz="4" w:space="0" w:color="1E3E39" w:themeColor="accent2"/>
        <w:bottom w:val="single" w:sz="4" w:space="0" w:color="1E3E39" w:themeColor="accent2"/>
        <w:right w:val="single" w:sz="4" w:space="0" w:color="1E3E3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3E39" w:themeFill="accent2"/>
      </w:tcPr>
    </w:tblStylePr>
    <w:tblStylePr w:type="lastRow">
      <w:rPr>
        <w:b/>
        <w:bCs/>
      </w:rPr>
      <w:tblPr/>
      <w:tcPr>
        <w:tcBorders>
          <w:top w:val="double" w:sz="4" w:space="0" w:color="1E3E3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E39" w:themeColor="accent2"/>
          <w:right w:val="single" w:sz="4" w:space="0" w:color="1E3E39" w:themeColor="accent2"/>
        </w:tcBorders>
      </w:tcPr>
    </w:tblStylePr>
    <w:tblStylePr w:type="band1Horz">
      <w:tblPr/>
      <w:tcPr>
        <w:tcBorders>
          <w:top w:val="single" w:sz="4" w:space="0" w:color="1E3E39" w:themeColor="accent2"/>
          <w:bottom w:val="single" w:sz="4" w:space="0" w:color="1E3E3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E39" w:themeColor="accent2"/>
          <w:left w:val="nil"/>
        </w:tcBorders>
      </w:tcPr>
    </w:tblStylePr>
    <w:tblStylePr w:type="swCell">
      <w:tblPr/>
      <w:tcPr>
        <w:tcBorders>
          <w:top w:val="double" w:sz="4" w:space="0" w:color="1E3E3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41A40"/>
    <w:pPr>
      <w:spacing w:after="0" w:line="240" w:lineRule="auto"/>
    </w:pPr>
    <w:tblPr>
      <w:tblStyleRowBandSize w:val="1"/>
      <w:tblStyleColBandSize w:val="1"/>
      <w:tblBorders>
        <w:top w:val="single" w:sz="4" w:space="0" w:color="562403" w:themeColor="accent3"/>
        <w:left w:val="single" w:sz="4" w:space="0" w:color="562403" w:themeColor="accent3"/>
        <w:bottom w:val="single" w:sz="4" w:space="0" w:color="562403" w:themeColor="accent3"/>
        <w:right w:val="single" w:sz="4" w:space="0" w:color="5624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B4E06" w:themeFill="accent3" w:themeFillTint="BF"/>
      </w:tcPr>
    </w:tblStylePr>
    <w:tblStylePr w:type="lastRow">
      <w:rPr>
        <w:b/>
        <w:bCs/>
      </w:rPr>
      <w:tblPr/>
      <w:tcPr>
        <w:tcBorders>
          <w:top w:val="double" w:sz="4" w:space="0" w:color="5624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2403" w:themeColor="accent3"/>
          <w:right w:val="single" w:sz="4" w:space="0" w:color="562403" w:themeColor="accent3"/>
        </w:tcBorders>
      </w:tcPr>
    </w:tblStylePr>
    <w:tblStylePr w:type="band1Horz">
      <w:tblPr/>
      <w:tcPr>
        <w:tcBorders>
          <w:top w:val="single" w:sz="4" w:space="0" w:color="562403" w:themeColor="accent3"/>
          <w:bottom w:val="single" w:sz="4" w:space="0" w:color="5624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2403" w:themeColor="accent3"/>
          <w:left w:val="nil"/>
        </w:tcBorders>
      </w:tcPr>
    </w:tblStylePr>
    <w:tblStylePr w:type="swCell">
      <w:tblPr/>
      <w:tcPr>
        <w:tcBorders>
          <w:top w:val="double" w:sz="4" w:space="0" w:color="562403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D6D3D3" w:themeColor="accent4" w:themeTint="33"/>
        <w:left w:val="single" w:sz="4" w:space="4" w:color="D6D3D3" w:themeColor="accent4" w:themeTint="33"/>
        <w:bottom w:val="single" w:sz="4" w:space="6" w:color="D6D3D3" w:themeColor="accent4" w:themeTint="33"/>
        <w:right w:val="single" w:sz="4" w:space="4" w:color="D6D3D3" w:themeColor="accent4" w:themeTint="33"/>
      </w:pBdr>
      <w:shd w:val="clear" w:color="auto" w:fill="D6D3D3" w:themeFill="accent4" w:themeFillTint="33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D6D3D3" w:themeFill="accent4" w:themeFillTint="33"/>
    </w:rPr>
  </w:style>
  <w:style w:type="paragraph" w:customStyle="1" w:styleId="Calloutbox">
    <w:name w:val="Call out box"/>
    <w:basedOn w:val="Normal"/>
    <w:qFormat/>
    <w:rsid w:val="00141A40"/>
    <w:pPr>
      <w:pBdr>
        <w:top w:val="single" w:sz="4" w:space="6" w:color="B8DCD7" w:themeColor="accent2" w:themeTint="40"/>
        <w:left w:val="single" w:sz="4" w:space="4" w:color="B8DCD7" w:themeColor="accent2" w:themeTint="40"/>
        <w:bottom w:val="single" w:sz="4" w:space="6" w:color="B8DCD7" w:themeColor="accent2" w:themeTint="40"/>
        <w:right w:val="single" w:sz="4" w:space="4" w:color="B8DCD7" w:themeColor="accent2" w:themeTint="40"/>
      </w:pBdr>
      <w:shd w:val="clear" w:color="auto" w:fill="B8DCD7" w:themeFill="accent2" w:themeFillTint="4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CA4FAE"/>
    <w:rPr>
      <w:rFonts w:asciiTheme="majorHAnsi" w:eastAsiaTheme="majorEastAsia" w:hAnsiTheme="majorHAnsi" w:cstheme="majorBidi"/>
      <w:color w:val="562403" w:themeColor="accent3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AD9F" w:themeColor="accent2" w:themeTint="99"/>
        <w:left w:val="single" w:sz="4" w:space="0" w:color="55AD9F" w:themeColor="accent2" w:themeTint="99"/>
        <w:bottom w:val="single" w:sz="4" w:space="0" w:color="55AD9F" w:themeColor="accent2" w:themeTint="99"/>
        <w:right w:val="single" w:sz="4" w:space="0" w:color="55AD9F" w:themeColor="accent2" w:themeTint="99"/>
        <w:insideH w:val="single" w:sz="4" w:space="0" w:color="55AD9F" w:themeColor="accent2" w:themeTint="99"/>
        <w:insideV w:val="single" w:sz="4" w:space="0" w:color="55AD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3E39" w:themeColor="accent2"/>
          <w:left w:val="single" w:sz="4" w:space="0" w:color="1E3E39" w:themeColor="accent2"/>
          <w:bottom w:val="single" w:sz="4" w:space="0" w:color="1E3E39" w:themeColor="accent2"/>
          <w:right w:val="single" w:sz="4" w:space="0" w:color="1E3E39" w:themeColor="accent2"/>
          <w:insideH w:val="nil"/>
          <w:insideV w:val="nil"/>
        </w:tcBorders>
        <w:shd w:val="clear" w:color="auto" w:fill="1E3E39" w:themeFill="accent2"/>
      </w:tcPr>
    </w:tblStylePr>
    <w:tblStylePr w:type="lastRow">
      <w:rPr>
        <w:b/>
        <w:bCs/>
      </w:rPr>
      <w:tblPr/>
      <w:tcPr>
        <w:tcBorders>
          <w:top w:val="double" w:sz="4" w:space="0" w:color="1E3E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DF" w:themeFill="accent2" w:themeFillTint="33"/>
      </w:tcPr>
    </w:tblStylePr>
    <w:tblStylePr w:type="band1Horz">
      <w:tblPr/>
      <w:tcPr>
        <w:shd w:val="clear" w:color="auto" w:fill="C6E3D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8EC8BF" w:themeColor="accent2" w:themeTint="66"/>
        <w:left w:val="single" w:sz="4" w:space="0" w:color="8EC8BF" w:themeColor="accent2" w:themeTint="66"/>
        <w:bottom w:val="single" w:sz="4" w:space="0" w:color="8EC8BF" w:themeColor="accent2" w:themeTint="66"/>
        <w:right w:val="single" w:sz="4" w:space="0" w:color="8EC8BF" w:themeColor="accent2" w:themeTint="66"/>
        <w:insideH w:val="single" w:sz="4" w:space="0" w:color="8EC8BF" w:themeColor="accent2" w:themeTint="66"/>
        <w:insideV w:val="single" w:sz="4" w:space="0" w:color="8EC8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5AD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AD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3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2F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2F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2F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2F49" w:themeFill="accent1"/>
      </w:tcPr>
    </w:tblStylePr>
    <w:tblStylePr w:type="band1Vert">
      <w:tblPr/>
      <w:tcPr>
        <w:shd w:val="clear" w:color="auto" w:fill="84A8D5" w:themeFill="accent1" w:themeFillTint="66"/>
      </w:tcPr>
    </w:tblStylePr>
    <w:tblStylePr w:type="band1Horz">
      <w:tblPr/>
      <w:tcPr>
        <w:shd w:val="clear" w:color="auto" w:fill="84A8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67DC0" w:themeColor="accent1" w:themeTint="99"/>
        <w:left w:val="single" w:sz="4" w:space="0" w:color="467DC0" w:themeColor="accent1" w:themeTint="99"/>
        <w:bottom w:val="single" w:sz="4" w:space="0" w:color="467DC0" w:themeColor="accent1" w:themeTint="99"/>
        <w:right w:val="single" w:sz="4" w:space="0" w:color="467DC0" w:themeColor="accent1" w:themeTint="99"/>
        <w:insideH w:val="single" w:sz="4" w:space="0" w:color="467DC0" w:themeColor="accent1" w:themeTint="99"/>
        <w:insideV w:val="single" w:sz="4" w:space="0" w:color="467D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2F49" w:themeColor="accent1"/>
          <w:left w:val="single" w:sz="4" w:space="0" w:color="192F49" w:themeColor="accent1"/>
          <w:bottom w:val="single" w:sz="4" w:space="0" w:color="192F49" w:themeColor="accent1"/>
          <w:right w:val="single" w:sz="4" w:space="0" w:color="192F49" w:themeColor="accent1"/>
          <w:insideH w:val="nil"/>
          <w:insideV w:val="nil"/>
        </w:tcBorders>
        <w:shd w:val="clear" w:color="auto" w:fill="192F49" w:themeFill="accent1"/>
      </w:tcPr>
    </w:tblStylePr>
    <w:tblStylePr w:type="lastRow">
      <w:rPr>
        <w:b/>
        <w:bCs/>
      </w:rPr>
      <w:tblPr/>
      <w:tcPr>
        <w:tcBorders>
          <w:top w:val="double" w:sz="4" w:space="0" w:color="192F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3EA" w:themeFill="accent1" w:themeFillTint="33"/>
      </w:tcPr>
    </w:tblStylePr>
    <w:tblStylePr w:type="band1Horz">
      <w:tblPr/>
      <w:tcPr>
        <w:shd w:val="clear" w:color="auto" w:fill="C1D3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857C7C" w:themeColor="accent4" w:themeTint="99"/>
        <w:left w:val="single" w:sz="4" w:space="0" w:color="857C7C" w:themeColor="accent4" w:themeTint="99"/>
        <w:bottom w:val="single" w:sz="4" w:space="0" w:color="857C7C" w:themeColor="accent4" w:themeTint="99"/>
        <w:right w:val="single" w:sz="4" w:space="0" w:color="857C7C" w:themeColor="accent4" w:themeTint="99"/>
        <w:insideH w:val="single" w:sz="4" w:space="0" w:color="857C7C" w:themeColor="accent4" w:themeTint="99"/>
        <w:insideV w:val="single" w:sz="4" w:space="0" w:color="857C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B2B" w:themeColor="accent4"/>
          <w:left w:val="single" w:sz="4" w:space="0" w:color="2E2B2B" w:themeColor="accent4"/>
          <w:bottom w:val="single" w:sz="4" w:space="0" w:color="2E2B2B" w:themeColor="accent4"/>
          <w:right w:val="single" w:sz="4" w:space="0" w:color="2E2B2B" w:themeColor="accent4"/>
          <w:insideH w:val="nil"/>
          <w:insideV w:val="nil"/>
        </w:tcBorders>
        <w:shd w:val="clear" w:color="auto" w:fill="2E2B2B" w:themeFill="accent4"/>
      </w:tcPr>
    </w:tblStylePr>
    <w:tblStylePr w:type="lastRow">
      <w:rPr>
        <w:b/>
        <w:bCs/>
      </w:rPr>
      <w:tblPr/>
      <w:tcPr>
        <w:tcBorders>
          <w:top w:val="double" w:sz="4" w:space="0" w:color="2E2B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D3" w:themeFill="accent4" w:themeFillTint="33"/>
      </w:tcPr>
    </w:tblStylePr>
    <w:tblStylePr w:type="band1Horz">
      <w:tblPr/>
      <w:tcPr>
        <w:shd w:val="clear" w:color="auto" w:fill="D6D3D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6680A" w:themeColor="accent3" w:themeTint="99"/>
        <w:left w:val="single" w:sz="4" w:space="0" w:color="F6680A" w:themeColor="accent3" w:themeTint="99"/>
        <w:bottom w:val="single" w:sz="4" w:space="0" w:color="F6680A" w:themeColor="accent3" w:themeTint="99"/>
        <w:right w:val="single" w:sz="4" w:space="0" w:color="F6680A" w:themeColor="accent3" w:themeTint="99"/>
        <w:insideH w:val="single" w:sz="4" w:space="0" w:color="F6680A" w:themeColor="accent3" w:themeTint="99"/>
        <w:insideV w:val="single" w:sz="4" w:space="0" w:color="F6680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2403" w:themeColor="accent3"/>
          <w:left w:val="single" w:sz="4" w:space="0" w:color="562403" w:themeColor="accent3"/>
          <w:bottom w:val="single" w:sz="4" w:space="0" w:color="562403" w:themeColor="accent3"/>
          <w:right w:val="single" w:sz="4" w:space="0" w:color="562403" w:themeColor="accent3"/>
          <w:insideH w:val="nil"/>
          <w:insideV w:val="nil"/>
        </w:tcBorders>
        <w:shd w:val="clear" w:color="auto" w:fill="562403" w:themeFill="accent3"/>
      </w:tcPr>
    </w:tblStylePr>
    <w:tblStylePr w:type="lastRow">
      <w:rPr>
        <w:b/>
        <w:bCs/>
      </w:rPr>
      <w:tblPr/>
      <w:tcPr>
        <w:tcBorders>
          <w:top w:val="double" w:sz="4" w:space="0" w:color="5624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CAD" w:themeFill="accent3" w:themeFillTint="33"/>
      </w:tcPr>
    </w:tblStylePr>
    <w:tblStylePr w:type="band1Horz">
      <w:tblPr/>
      <w:tcPr>
        <w:shd w:val="clear" w:color="auto" w:fill="FCCCAD" w:themeFill="accent3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CA4FAE"/>
    <w:rPr>
      <w:rFonts w:asciiTheme="majorHAnsi" w:eastAsiaTheme="majorEastAsia" w:hAnsiTheme="majorHAnsi" w:cstheme="majorBidi"/>
      <w:i/>
      <w:iCs/>
      <w:color w:val="083A42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A4FAE"/>
    <w:rPr>
      <w:rFonts w:asciiTheme="majorHAnsi" w:eastAsiaTheme="majorEastAsia" w:hAnsiTheme="majorHAnsi" w:cstheme="majorBidi"/>
      <w:color w:val="562403" w:themeColor="accent3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CA4FAE"/>
    <w:rPr>
      <w:rFonts w:asciiTheme="majorHAnsi" w:eastAsiaTheme="majorEastAsia" w:hAnsiTheme="majorHAnsi" w:cstheme="majorBidi"/>
      <w:i/>
      <w:iCs/>
      <w:color w:val="083A42" w:themeColor="text2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86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2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77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5D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4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1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msis-geoscience-au.hub.arcgis.com/pages/renewables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sult.dcceew.gov.au/oei-bunbur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CEEW">
      <a:dk1>
        <a:sysClr val="windowText" lastClr="000000"/>
      </a:dk1>
      <a:lt1>
        <a:sysClr val="window" lastClr="FFFFFF"/>
      </a:lt1>
      <a:dk2>
        <a:srgbClr val="083A42"/>
      </a:dk2>
      <a:lt2>
        <a:srgbClr val="E7E6E6"/>
      </a:lt2>
      <a:accent1>
        <a:srgbClr val="192F49"/>
      </a:accent1>
      <a:accent2>
        <a:srgbClr val="1E3E39"/>
      </a:accent2>
      <a:accent3>
        <a:srgbClr val="562403"/>
      </a:accent3>
      <a:accent4>
        <a:srgbClr val="2E2B2B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3F020C0D66A408AC5E2F51A8D5F99" ma:contentTypeVersion="16" ma:contentTypeDescription="Create a new document." ma:contentTypeScope="" ma:versionID="79be7a56ffb3441d792104c0386641c1">
  <xsd:schema xmlns:xsd="http://www.w3.org/2001/XMLSchema" xmlns:xs="http://www.w3.org/2001/XMLSchema" xmlns:p="http://schemas.microsoft.com/office/2006/metadata/properties" xmlns:ns2="a6e86820-684a-4c77-a2e2-d773523b5b34" xmlns:ns3="263e80a3-83eb-403e-a237-b3125a65bc88" xmlns:ns4="81c01dc6-2c49-4730-b140-874c95cac377" targetNamespace="http://schemas.microsoft.com/office/2006/metadata/properties" ma:root="true" ma:fieldsID="5a50de049631a995e9e002b19bc1b6bd" ns2:_="" ns3:_="" ns4:_="">
    <xsd:import namespace="a6e86820-684a-4c77-a2e2-d773523b5b34"/>
    <xsd:import namespace="263e80a3-83eb-403e-a237-b3125a65bc88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uthorship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86820-684a-4c77-a2e2-d773523b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80a3-83eb-403e-a237-b3125a65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uthorship" ma:index="20" nillable="true" ma:displayName="Authorship" ma:format="Dropdown" ma:internalName="Authorship">
      <xsd:simpleType>
        <xsd:restriction base="dms:Choice">
          <xsd:enumeration value="Government"/>
          <xsd:enumeration value="Industry"/>
          <xsd:enumeration value="Academic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45d8e6-bb2d-417b-a0ab-3512baac0c97}" ma:internalName="TaxCatchAll" ma:showField="CatchAllData" ma:web="a6e86820-684a-4c77-a2e2-d773523b5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ship xmlns="263e80a3-83eb-403e-a237-b3125a65bc88" xsi:nil="true"/>
    <lcf76f155ced4ddcb4097134ff3c332f xmlns="263e80a3-83eb-403e-a237-b3125a65bc88">
      <Terms xmlns="http://schemas.microsoft.com/office/infopath/2007/PartnerControls"/>
    </lcf76f155ced4ddcb4097134ff3c332f>
    <TaxCatchAll xmlns="81c01dc6-2c49-4730-b140-874c95cac377"/>
  </documentManagement>
</p:properties>
</file>

<file path=customXml/itemProps1.xml><?xml version="1.0" encoding="utf-8"?>
<ds:datastoreItem xmlns:ds="http://schemas.openxmlformats.org/officeDocument/2006/customXml" ds:itemID="{C35A7519-63F1-4B1B-AD9C-102CDA500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4539B-2D8E-47AF-8947-DCECD638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86820-684a-4c77-a2e2-d773523b5b34"/>
    <ds:schemaRef ds:uri="263e80a3-83eb-403e-a237-b3125a65bc88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546E1-B022-49BC-A754-46293190C4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F3168-46A2-4EE2-B5F2-FAF84A6BD163}">
  <ds:schemaRefs>
    <ds:schemaRef ds:uri="http://schemas.microsoft.com/office/2006/metadata/properties"/>
    <ds:schemaRef ds:uri="http://schemas.microsoft.com/office/infopath/2007/PartnerControls"/>
    <ds:schemaRef ds:uri="263e80a3-83eb-403e-a237-b3125a65bc88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2024-02-19T00:17:00Z</dcterms:created>
  <dcterms:modified xsi:type="dcterms:W3CDTF">2024-02-19T07:13:00Z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0x0101009583F020C0D66A408AC5E2F51A8D5F99</vt:lpwstr>
  </property>
  <property fmtid="{D5CDD505-2E9C-101B-9397-08002B2CF9AE}" pid="3" name="MediaServiceImageTags">
    <vt:lpwstr/>
  </property>
</Properties>
</file>