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854D" w14:textId="2FC1C8B2" w:rsidR="001936B2" w:rsidRPr="00E07064" w:rsidRDefault="001A082E" w:rsidP="001936B2">
      <w:pPr>
        <w:pStyle w:val="Heading1"/>
      </w:pPr>
      <w:r>
        <w:t xml:space="preserve">Draft </w:t>
      </w:r>
      <w:r w:rsidR="002B051B">
        <w:t>u</w:t>
      </w:r>
      <w:r w:rsidR="001936B2" w:rsidRPr="00E07064">
        <w:t xml:space="preserve">pdate to the Climate Change Considerations </w:t>
      </w:r>
      <w:r w:rsidR="00041E5F" w:rsidRPr="00E07064">
        <w:t xml:space="preserve">chapter </w:t>
      </w:r>
      <w:r w:rsidR="001936B2" w:rsidRPr="00E07064">
        <w:t>in Australian Rainfall and Runoff</w:t>
      </w:r>
      <w:r w:rsidR="000C7E3C" w:rsidRPr="00E07064">
        <w:t>: A Guide to Flood Estimation</w:t>
      </w:r>
    </w:p>
    <w:p w14:paraId="4091F91A" w14:textId="7B67D11A" w:rsidR="00764D6A" w:rsidRDefault="00F10282">
      <w:pPr>
        <w:pStyle w:val="Subtitle"/>
      </w:pPr>
      <w:r>
        <w:t xml:space="preserve">Book 1. </w:t>
      </w:r>
      <w:r w:rsidR="00B87D25">
        <w:t>Chapter 6. Climate Change Considerations</w:t>
      </w:r>
    </w:p>
    <w:p w14:paraId="3DB8BF34" w14:textId="1FAC8759" w:rsidR="00A83C2F" w:rsidRPr="00A83C2F" w:rsidRDefault="006E2418" w:rsidP="002E59A3">
      <w:r>
        <w:rPr>
          <w:noProof/>
        </w:rPr>
        <w:drawing>
          <wp:inline distT="0" distB="0" distL="0" distR="0" wp14:anchorId="63832F35" wp14:editId="52741BD5">
            <wp:extent cx="4610100" cy="3075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40" cy="3083592"/>
                    </a:xfrm>
                    <a:prstGeom prst="rect">
                      <a:avLst/>
                    </a:prstGeom>
                    <a:noFill/>
                    <a:ln>
                      <a:noFill/>
                    </a:ln>
                  </pic:spPr>
                </pic:pic>
              </a:graphicData>
            </a:graphic>
          </wp:inline>
        </w:drawing>
      </w:r>
    </w:p>
    <w:p w14:paraId="138882B3" w14:textId="71D6DDEE" w:rsidR="001A4592" w:rsidRDefault="001A4592" w:rsidP="001A4592">
      <w:pPr>
        <w:pStyle w:val="Normalsmall"/>
        <w:tabs>
          <w:tab w:val="left" w:pos="5900"/>
        </w:tabs>
      </w:pPr>
      <w:r>
        <w:tab/>
      </w:r>
    </w:p>
    <w:p w14:paraId="247849D8" w14:textId="5B0CF130" w:rsidR="00A83C2F" w:rsidRDefault="002E59A3">
      <w:pPr>
        <w:pStyle w:val="Normalsmall"/>
      </w:pPr>
      <w:r>
        <w:rPr>
          <w:noProof/>
        </w:rPr>
        <w:drawing>
          <wp:anchor distT="0" distB="0" distL="114300" distR="114300" simplePos="0" relativeHeight="251658240" behindDoc="0" locked="0" layoutInCell="1" allowOverlap="1" wp14:anchorId="7553A654" wp14:editId="4BB74F90">
            <wp:simplePos x="0" y="0"/>
            <wp:positionH relativeFrom="column">
              <wp:posOffset>4610735</wp:posOffset>
            </wp:positionH>
            <wp:positionV relativeFrom="paragraph">
              <wp:posOffset>-252095</wp:posOffset>
            </wp:positionV>
            <wp:extent cx="920221" cy="1193800"/>
            <wp:effectExtent l="0" t="0" r="0" b="6350"/>
            <wp:wrapThrough wrapText="bothSides">
              <wp:wrapPolygon edited="0">
                <wp:start x="8944" y="0"/>
                <wp:lineTo x="3130" y="2757"/>
                <wp:lineTo x="1342" y="3791"/>
                <wp:lineTo x="1342" y="11030"/>
                <wp:lineTo x="10286" y="16545"/>
                <wp:lineTo x="0" y="16545"/>
                <wp:lineTo x="0" y="19302"/>
                <wp:lineTo x="1342" y="21370"/>
                <wp:lineTo x="19677" y="21370"/>
                <wp:lineTo x="21019" y="19302"/>
                <wp:lineTo x="21019" y="16545"/>
                <wp:lineTo x="11180" y="16545"/>
                <wp:lineTo x="19677" y="11030"/>
                <wp:lineTo x="20124" y="4136"/>
                <wp:lineTo x="18335" y="2757"/>
                <wp:lineTo x="12075" y="0"/>
                <wp:lineTo x="8944" y="0"/>
              </wp:wrapPolygon>
            </wp:wrapThrough>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221" cy="1193800"/>
                    </a:xfrm>
                    <a:prstGeom prst="rect">
                      <a:avLst/>
                    </a:prstGeom>
                    <a:noFill/>
                    <a:ln>
                      <a:noFill/>
                    </a:ln>
                  </pic:spPr>
                </pic:pic>
              </a:graphicData>
            </a:graphic>
          </wp:anchor>
        </w:drawing>
      </w:r>
      <w:r w:rsidR="00E91D72">
        <w:br w:type="page"/>
      </w:r>
    </w:p>
    <w:p w14:paraId="6D110C23" w14:textId="1FFD5DC8" w:rsidR="00A83C2F" w:rsidRPr="00490E2F" w:rsidRDefault="00490E2F" w:rsidP="00A83C2F">
      <w:pPr>
        <w:rPr>
          <w:b/>
          <w:bCs/>
        </w:rPr>
      </w:pPr>
      <w:r w:rsidRPr="00490E2F">
        <w:rPr>
          <w:b/>
          <w:bCs/>
        </w:rPr>
        <w:lastRenderedPageBreak/>
        <w:t>Technical Working Group</w:t>
      </w:r>
    </w:p>
    <w:p w14:paraId="420B8783" w14:textId="5862D2C5" w:rsidR="00A83C2F" w:rsidRDefault="00801475" w:rsidP="00A83C2F">
      <w:pPr>
        <w:pStyle w:val="NoSpacing"/>
      </w:pPr>
      <w:r>
        <w:t>T</w:t>
      </w:r>
      <w:r w:rsidR="00A83C2F">
        <w:t xml:space="preserve">his document </w:t>
      </w:r>
      <w:r w:rsidR="00FD33E6">
        <w:t xml:space="preserve">has </w:t>
      </w:r>
      <w:r w:rsidR="00A83C2F">
        <w:t xml:space="preserve">been developed through engagement with a Technical Working Group, comprising the following members: </w:t>
      </w:r>
    </w:p>
    <w:p w14:paraId="15418D3C" w14:textId="77777777" w:rsidR="00754058" w:rsidRDefault="00754058" w:rsidP="00A83C2F">
      <w:pPr>
        <w:pStyle w:val="NoSpacing"/>
      </w:pPr>
    </w:p>
    <w:p w14:paraId="4F5A7C8A" w14:textId="77777777" w:rsidR="00A83C2F" w:rsidRDefault="00A83C2F" w:rsidP="00A83C2F">
      <w:pPr>
        <w:pStyle w:val="NoSpacing"/>
        <w:numPr>
          <w:ilvl w:val="0"/>
          <w:numId w:val="39"/>
        </w:numPr>
      </w:pPr>
      <w:r>
        <w:t xml:space="preserve">Dr </w:t>
      </w:r>
      <w:r w:rsidRPr="005C4802">
        <w:t>Conrad Wasko,</w:t>
      </w:r>
      <w:r>
        <w:t xml:space="preserve"> The University of Melbourne</w:t>
      </w:r>
    </w:p>
    <w:p w14:paraId="5D688CB4" w14:textId="77777777" w:rsidR="00A83C2F" w:rsidRDefault="00A83C2F" w:rsidP="00A83C2F">
      <w:pPr>
        <w:pStyle w:val="NoSpacing"/>
        <w:numPr>
          <w:ilvl w:val="0"/>
          <w:numId w:val="39"/>
        </w:numPr>
      </w:pPr>
      <w:r>
        <w:t xml:space="preserve">Professor </w:t>
      </w:r>
      <w:r w:rsidRPr="005C4802">
        <w:t>Seth Westra,</w:t>
      </w:r>
      <w:r>
        <w:t xml:space="preserve"> University of Adelaide</w:t>
      </w:r>
    </w:p>
    <w:p w14:paraId="3279174E" w14:textId="17B204B3" w:rsidR="000F45BE" w:rsidRDefault="000F45BE" w:rsidP="00A83C2F">
      <w:pPr>
        <w:pStyle w:val="NoSpacing"/>
        <w:numPr>
          <w:ilvl w:val="0"/>
          <w:numId w:val="39"/>
        </w:numPr>
      </w:pPr>
      <w:r>
        <w:t>P</w:t>
      </w:r>
      <w:r w:rsidR="00DB7997">
        <w:t>rofessor Rory Nathan, The University of Melbourne</w:t>
      </w:r>
    </w:p>
    <w:p w14:paraId="0EEAB5AD" w14:textId="5EC8E8A1" w:rsidR="00A83C2F" w:rsidRDefault="00A83C2F" w:rsidP="00A83C2F">
      <w:pPr>
        <w:pStyle w:val="NoSpacing"/>
        <w:numPr>
          <w:ilvl w:val="0"/>
          <w:numId w:val="39"/>
        </w:numPr>
      </w:pPr>
      <w:r>
        <w:t xml:space="preserve">Dr </w:t>
      </w:r>
      <w:proofErr w:type="spellStart"/>
      <w:r>
        <w:t>D</w:t>
      </w:r>
      <w:r w:rsidRPr="7F5427A3">
        <w:t>ö</w:t>
      </w:r>
      <w:r>
        <w:t>rte</w:t>
      </w:r>
      <w:proofErr w:type="spellEnd"/>
      <w:r>
        <w:t xml:space="preserve"> Jakob, Bureau of Meteorology</w:t>
      </w:r>
    </w:p>
    <w:p w14:paraId="5D4870FB" w14:textId="77777777" w:rsidR="00A83C2F" w:rsidRDefault="00A83C2F" w:rsidP="00A83C2F">
      <w:pPr>
        <w:pStyle w:val="NoSpacing"/>
        <w:numPr>
          <w:ilvl w:val="0"/>
          <w:numId w:val="39"/>
        </w:numPr>
      </w:pPr>
      <w:r w:rsidRPr="005C4802">
        <w:t>Chris Nielsen,</w:t>
      </w:r>
      <w:r>
        <w:t xml:space="preserve"> </w:t>
      </w:r>
      <w:r w:rsidRPr="00DB7997">
        <w:t>Department of Regional Development Manufacturing and Water, Qld</w:t>
      </w:r>
    </w:p>
    <w:p w14:paraId="3F2343CC" w14:textId="77777777" w:rsidR="00A83C2F" w:rsidRDefault="00A83C2F" w:rsidP="00A83C2F">
      <w:pPr>
        <w:pStyle w:val="NoSpacing"/>
        <w:numPr>
          <w:ilvl w:val="0"/>
          <w:numId w:val="39"/>
        </w:numPr>
      </w:pPr>
      <w:r>
        <w:t xml:space="preserve">Professor </w:t>
      </w:r>
      <w:r w:rsidRPr="005C4802">
        <w:t xml:space="preserve">Jason Evans, </w:t>
      </w:r>
      <w:r>
        <w:t>The University of New South Wales</w:t>
      </w:r>
    </w:p>
    <w:p w14:paraId="46ECB131" w14:textId="77777777" w:rsidR="00A83C2F" w:rsidRDefault="00A83C2F" w:rsidP="00A83C2F">
      <w:pPr>
        <w:pStyle w:val="NoSpacing"/>
        <w:numPr>
          <w:ilvl w:val="0"/>
          <w:numId w:val="39"/>
        </w:numPr>
      </w:pPr>
      <w:r w:rsidRPr="005C4802">
        <w:t xml:space="preserve">Simon Rodgers, </w:t>
      </w:r>
      <w:r w:rsidRPr="00C27DEF">
        <w:t>Department of Water and Environmental Regulation</w:t>
      </w:r>
      <w:r>
        <w:t>, WA</w:t>
      </w:r>
    </w:p>
    <w:p w14:paraId="0156749B" w14:textId="77777777" w:rsidR="00A83C2F" w:rsidRDefault="00A83C2F" w:rsidP="00A83C2F">
      <w:pPr>
        <w:pStyle w:val="NoSpacing"/>
        <w:numPr>
          <w:ilvl w:val="0"/>
          <w:numId w:val="39"/>
        </w:numPr>
      </w:pPr>
      <w:r w:rsidRPr="005C4802">
        <w:t xml:space="preserve">Mark </w:t>
      </w:r>
      <w:proofErr w:type="spellStart"/>
      <w:r w:rsidRPr="005C4802">
        <w:t>Babister</w:t>
      </w:r>
      <w:proofErr w:type="spellEnd"/>
      <w:r w:rsidRPr="005C4802">
        <w:t xml:space="preserve">, </w:t>
      </w:r>
      <w:r>
        <w:t>WMA Water</w:t>
      </w:r>
    </w:p>
    <w:p w14:paraId="6CC3FC94" w14:textId="4DC9A9BF" w:rsidR="00A83C2F" w:rsidRDefault="00A83C2F" w:rsidP="00A83C2F">
      <w:pPr>
        <w:pStyle w:val="NoSpacing"/>
        <w:numPr>
          <w:ilvl w:val="0"/>
          <w:numId w:val="39"/>
        </w:numPr>
      </w:pPr>
      <w:r>
        <w:t>Dr Andrew Dowdy, Bureau of Meteorology</w:t>
      </w:r>
    </w:p>
    <w:p w14:paraId="35BDA24B" w14:textId="4C81D229" w:rsidR="00A83C2F" w:rsidRDefault="00A83C2F" w:rsidP="00A83C2F">
      <w:pPr>
        <w:pStyle w:val="NoSpacing"/>
        <w:numPr>
          <w:ilvl w:val="0"/>
          <w:numId w:val="39"/>
        </w:numPr>
      </w:pPr>
      <w:r>
        <w:t>Dr Wendy Sharples, Bureau of Meteorology</w:t>
      </w:r>
    </w:p>
    <w:p w14:paraId="2F8A70AB" w14:textId="77777777" w:rsidR="00A83C2F" w:rsidRDefault="00A83C2F">
      <w:pPr>
        <w:pStyle w:val="Normalsmall"/>
      </w:pPr>
    </w:p>
    <w:p w14:paraId="3E1F8359" w14:textId="7E376E2B" w:rsidR="00764D6A" w:rsidRDefault="00E91D72">
      <w:pPr>
        <w:pStyle w:val="Normalsmall"/>
      </w:pPr>
      <w:r>
        <w:t xml:space="preserve">© Commonwealth of Australia </w:t>
      </w:r>
      <w:r w:rsidR="00B97E61">
        <w:t>202</w:t>
      </w:r>
      <w:r w:rsidR="003D2DA1">
        <w:t>3</w:t>
      </w:r>
    </w:p>
    <w:p w14:paraId="59FECEF6" w14:textId="77777777" w:rsidR="00764D6A" w:rsidRDefault="00E91D72">
      <w:pPr>
        <w:pStyle w:val="Normalsmall"/>
        <w:rPr>
          <w:rStyle w:val="Strong"/>
        </w:rPr>
      </w:pPr>
      <w:r>
        <w:rPr>
          <w:rStyle w:val="Strong"/>
        </w:rPr>
        <w:t>Ownership of intellectual property rights</w:t>
      </w:r>
    </w:p>
    <w:p w14:paraId="1F56A73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A596F0C" w14:textId="77777777" w:rsidR="00764D6A" w:rsidRDefault="00E91D72">
      <w:pPr>
        <w:pStyle w:val="Normalsmall"/>
        <w:rPr>
          <w:rStyle w:val="Strong"/>
        </w:rPr>
      </w:pPr>
      <w:r>
        <w:rPr>
          <w:rStyle w:val="Strong"/>
        </w:rPr>
        <w:t>Creative Commons licence</w:t>
      </w:r>
    </w:p>
    <w:p w14:paraId="3406148C"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84F1BFE"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3DF1D702" w14:textId="77777777" w:rsidR="00764D6A" w:rsidRPr="00364A4A" w:rsidRDefault="00E91D72">
      <w:pPr>
        <w:pStyle w:val="Normalsmall"/>
      </w:pPr>
      <w:r w:rsidRPr="00364A4A">
        <w:rPr>
          <w:noProof/>
          <w:lang w:eastAsia="en-AU"/>
        </w:rPr>
        <w:drawing>
          <wp:inline distT="0" distB="0" distL="0" distR="0" wp14:anchorId="0B9E48DA" wp14:editId="525D950E">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1D24B9C" w14:textId="77777777" w:rsidR="00764D6A" w:rsidRPr="00364A4A" w:rsidRDefault="00E91D72">
      <w:pPr>
        <w:pStyle w:val="Normalsmall"/>
        <w:rPr>
          <w:rStyle w:val="Strong"/>
        </w:rPr>
      </w:pPr>
      <w:r w:rsidRPr="00364A4A">
        <w:rPr>
          <w:rStyle w:val="Strong"/>
        </w:rPr>
        <w:t>Cataloguing data</w:t>
      </w:r>
    </w:p>
    <w:p w14:paraId="7BAB5804" w14:textId="7287C8E1" w:rsidR="00764D6A" w:rsidRPr="00EE515B" w:rsidRDefault="00E91D72">
      <w:pPr>
        <w:pStyle w:val="Normalsmall"/>
      </w:pPr>
      <w:r w:rsidRPr="00EE515B">
        <w:t xml:space="preserve">This publication (and any material sourced from it) should be attributed as: </w:t>
      </w:r>
      <w:r w:rsidR="009D5007" w:rsidRPr="00EE515B">
        <w:t>D</w:t>
      </w:r>
      <w:r w:rsidR="000F2194" w:rsidRPr="00EE515B">
        <w:t>CCEEW</w:t>
      </w:r>
      <w:r w:rsidR="00B97E61" w:rsidRPr="00EE515B">
        <w:t xml:space="preserve"> 202</w:t>
      </w:r>
      <w:r w:rsidR="005F2BC0" w:rsidRPr="00EE515B">
        <w:t>3</w:t>
      </w:r>
      <w:r w:rsidRPr="00EE515B">
        <w:t>,</w:t>
      </w:r>
      <w:r w:rsidR="005F2BC0" w:rsidRPr="00EE515B">
        <w:t xml:space="preserve"> </w:t>
      </w:r>
      <w:r w:rsidR="005F2BC0" w:rsidRPr="00EE515B">
        <w:rPr>
          <w:i/>
          <w:iCs/>
        </w:rPr>
        <w:t>Discussion Paper:</w:t>
      </w:r>
      <w:r w:rsidRPr="00EE515B">
        <w:t xml:space="preserve"> </w:t>
      </w:r>
      <w:r w:rsidR="005F2BC0" w:rsidRPr="00EE515B">
        <w:rPr>
          <w:i/>
          <w:iCs/>
        </w:rPr>
        <w:t xml:space="preserve">Update to Climate Change Considerations </w:t>
      </w:r>
      <w:r w:rsidR="00041E5F" w:rsidRPr="00EE515B">
        <w:rPr>
          <w:i/>
          <w:iCs/>
        </w:rPr>
        <w:t xml:space="preserve">chapter </w:t>
      </w:r>
      <w:r w:rsidR="005F2BC0" w:rsidRPr="00EE515B">
        <w:rPr>
          <w:i/>
          <w:iCs/>
        </w:rPr>
        <w:t xml:space="preserve">in </w:t>
      </w:r>
      <w:r w:rsidR="001B244F" w:rsidRPr="00EE515B">
        <w:rPr>
          <w:i/>
          <w:iCs/>
        </w:rPr>
        <w:t>Australian Rainfall and Runoff</w:t>
      </w:r>
      <w:r w:rsidR="000C7E3C" w:rsidRPr="00EE515B">
        <w:rPr>
          <w:i/>
          <w:iCs/>
        </w:rPr>
        <w:t xml:space="preserve">: A Guide to </w:t>
      </w:r>
      <w:r w:rsidR="00BB68F2" w:rsidRPr="00EE515B">
        <w:rPr>
          <w:i/>
          <w:iCs/>
        </w:rPr>
        <w:t>Flood Estimation</w:t>
      </w:r>
      <w:r w:rsidR="008A5A59" w:rsidRPr="00EE515B">
        <w:rPr>
          <w:i/>
          <w:iCs/>
        </w:rPr>
        <w:t xml:space="preserve"> Discussion Paper</w:t>
      </w:r>
      <w:r w:rsidRPr="00EE515B">
        <w:t xml:space="preserve">, </w:t>
      </w:r>
      <w:r w:rsidR="006F065B" w:rsidRPr="00EE515B">
        <w:t>Department of Climate Change, Energy, the Environment and Water</w:t>
      </w:r>
      <w:r w:rsidRPr="00EE515B">
        <w:t>, Canberra, CC BY 4.0.</w:t>
      </w:r>
    </w:p>
    <w:p w14:paraId="775C8212" w14:textId="77777777" w:rsidR="00764D6A" w:rsidRDefault="00E91D72">
      <w:pPr>
        <w:pStyle w:val="Normalsmall"/>
      </w:pPr>
      <w:r w:rsidRPr="00EE515B">
        <w:t xml:space="preserve">This publication is available at </w:t>
      </w:r>
      <w:hyperlink r:id="rId16" w:history="1">
        <w:r w:rsidR="00D86640" w:rsidRPr="00EE515B">
          <w:rPr>
            <w:rStyle w:val="Hyperlink"/>
          </w:rPr>
          <w:t>dcceew.gov.au/publications</w:t>
        </w:r>
      </w:hyperlink>
      <w:r w:rsidRPr="00EE515B">
        <w:t>.</w:t>
      </w:r>
    </w:p>
    <w:p w14:paraId="32F6DD9B" w14:textId="77777777" w:rsidR="00DE0AAE" w:rsidRDefault="00D86640">
      <w:pPr>
        <w:pStyle w:val="Normalsmall"/>
        <w:spacing w:after="0"/>
      </w:pPr>
      <w:r w:rsidRPr="00D86640">
        <w:t>Department of Climate Change, Energy, the Environment and Water</w:t>
      </w:r>
    </w:p>
    <w:p w14:paraId="43A060E5"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7AB20602" w14:textId="77777777" w:rsidR="00764D6A" w:rsidRPr="00364A4A" w:rsidRDefault="00E91D72">
      <w:pPr>
        <w:pStyle w:val="Normalsmall"/>
        <w:spacing w:after="0"/>
      </w:pPr>
      <w:r w:rsidRPr="00364A4A">
        <w:t>Telephone 1800 900 090</w:t>
      </w:r>
    </w:p>
    <w:p w14:paraId="1A9D6C3F" w14:textId="77777777" w:rsidR="00764D6A" w:rsidRPr="00364A4A" w:rsidRDefault="00E91D72">
      <w:pPr>
        <w:pStyle w:val="Normalsmall"/>
      </w:pPr>
      <w:bookmarkStart w:id="0" w:name="_Hlk108621036"/>
      <w:r w:rsidRPr="00364A4A">
        <w:t xml:space="preserve">Web </w:t>
      </w:r>
      <w:hyperlink r:id="rId17" w:history="1">
        <w:r w:rsidR="00D86640">
          <w:rPr>
            <w:rStyle w:val="Hyperlink"/>
          </w:rPr>
          <w:t>dcceew.gov.au</w:t>
        </w:r>
      </w:hyperlink>
    </w:p>
    <w:bookmarkEnd w:id="0"/>
    <w:p w14:paraId="244E678F" w14:textId="77777777" w:rsidR="007C358A" w:rsidRDefault="007C358A">
      <w:pPr>
        <w:pStyle w:val="Normalsmall"/>
      </w:pPr>
      <w:r w:rsidRPr="00364A4A">
        <w:rPr>
          <w:rStyle w:val="Strong"/>
        </w:rPr>
        <w:t>Disclaimer</w:t>
      </w:r>
    </w:p>
    <w:p w14:paraId="6EE7950A"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B8A08EB" w14:textId="77777777" w:rsidR="00B02B9B" w:rsidRDefault="00B02B9B" w:rsidP="00B02B9B">
      <w:pPr>
        <w:pStyle w:val="Normalsmall"/>
      </w:pPr>
      <w:r>
        <w:rPr>
          <w:rStyle w:val="Strong"/>
        </w:rPr>
        <w:t>Acknowledgement of Country</w:t>
      </w:r>
    </w:p>
    <w:p w14:paraId="2FC913B5" w14:textId="2FF6DF72" w:rsidR="00764D6A" w:rsidRDefault="005802BB">
      <w:pPr>
        <w:spacing w:after="0" w:line="240" w:lineRule="auto"/>
      </w:pPr>
      <w:r>
        <w:rPr>
          <w:rStyle w:val="cf01"/>
        </w:rPr>
        <w:t xml:space="preserve">We acknowledge the Traditional Owners of Country throughout Australia and recognise their continuing connection to land, </w:t>
      </w:r>
      <w:proofErr w:type="gramStart"/>
      <w:r>
        <w:rPr>
          <w:rStyle w:val="cf01"/>
        </w:rPr>
        <w:t>waters</w:t>
      </w:r>
      <w:proofErr w:type="gramEnd"/>
      <w:r>
        <w:rPr>
          <w:rStyle w:val="cf01"/>
        </w:rPr>
        <w:t xml:space="preserve"> and culture. We pay our respects to their Elders past and present.</w:t>
      </w:r>
      <w:r w:rsidR="00E91D72">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5005C95D" w14:textId="4E1E2646" w:rsidR="00764D6A" w:rsidRDefault="00E91D72">
          <w:pPr>
            <w:pStyle w:val="TOCHeading"/>
          </w:pPr>
          <w:r>
            <w:t>Contents</w:t>
          </w:r>
        </w:p>
        <w:p w14:paraId="027881A7" w14:textId="185A5B1F" w:rsidR="0006627D"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3543604" w:history="1">
            <w:r w:rsidR="0006627D" w:rsidRPr="00545DAA">
              <w:rPr>
                <w:rStyle w:val="Hyperlink"/>
              </w:rPr>
              <w:t>Make a submission</w:t>
            </w:r>
            <w:r w:rsidR="0006627D">
              <w:rPr>
                <w:webHidden/>
              </w:rPr>
              <w:tab/>
            </w:r>
            <w:r w:rsidR="0006627D">
              <w:rPr>
                <w:webHidden/>
              </w:rPr>
              <w:fldChar w:fldCharType="begin"/>
            </w:r>
            <w:r w:rsidR="0006627D">
              <w:rPr>
                <w:webHidden/>
              </w:rPr>
              <w:instrText xml:space="preserve"> PAGEREF _Toc153543604 \h </w:instrText>
            </w:r>
            <w:r w:rsidR="0006627D">
              <w:rPr>
                <w:webHidden/>
              </w:rPr>
            </w:r>
            <w:r w:rsidR="0006627D">
              <w:rPr>
                <w:webHidden/>
              </w:rPr>
              <w:fldChar w:fldCharType="separate"/>
            </w:r>
            <w:r w:rsidR="00A67A36">
              <w:rPr>
                <w:webHidden/>
              </w:rPr>
              <w:t>1</w:t>
            </w:r>
            <w:r w:rsidR="0006627D">
              <w:rPr>
                <w:webHidden/>
              </w:rPr>
              <w:fldChar w:fldCharType="end"/>
            </w:r>
          </w:hyperlink>
        </w:p>
        <w:p w14:paraId="6412932C" w14:textId="2DF374D1" w:rsidR="0006627D" w:rsidRDefault="00000000">
          <w:pPr>
            <w:pStyle w:val="TOC2"/>
            <w:rPr>
              <w:rFonts w:eastAsiaTheme="minorEastAsia"/>
              <w:kern w:val="2"/>
              <w:lang w:eastAsia="en-AU"/>
              <w14:ligatures w14:val="standardContextual"/>
            </w:rPr>
          </w:pPr>
          <w:hyperlink w:anchor="_Toc153543605" w:history="1">
            <w:r w:rsidR="0006627D" w:rsidRPr="00545DAA">
              <w:rPr>
                <w:rStyle w:val="Hyperlink"/>
                <w:lang w:eastAsia="ja-JP"/>
              </w:rPr>
              <w:t>Have your say</w:t>
            </w:r>
            <w:r w:rsidR="0006627D">
              <w:rPr>
                <w:webHidden/>
              </w:rPr>
              <w:tab/>
            </w:r>
            <w:r w:rsidR="0006627D">
              <w:rPr>
                <w:webHidden/>
              </w:rPr>
              <w:fldChar w:fldCharType="begin"/>
            </w:r>
            <w:r w:rsidR="0006627D">
              <w:rPr>
                <w:webHidden/>
              </w:rPr>
              <w:instrText xml:space="preserve"> PAGEREF _Toc153543605 \h </w:instrText>
            </w:r>
            <w:r w:rsidR="0006627D">
              <w:rPr>
                <w:webHidden/>
              </w:rPr>
            </w:r>
            <w:r w:rsidR="0006627D">
              <w:rPr>
                <w:webHidden/>
              </w:rPr>
              <w:fldChar w:fldCharType="separate"/>
            </w:r>
            <w:r w:rsidR="00A67A36">
              <w:rPr>
                <w:webHidden/>
              </w:rPr>
              <w:t>1</w:t>
            </w:r>
            <w:r w:rsidR="0006627D">
              <w:rPr>
                <w:webHidden/>
              </w:rPr>
              <w:fldChar w:fldCharType="end"/>
            </w:r>
          </w:hyperlink>
        </w:p>
        <w:p w14:paraId="37A4DEF8" w14:textId="6605BC80" w:rsidR="0006627D" w:rsidRDefault="00000000">
          <w:pPr>
            <w:pStyle w:val="TOC2"/>
            <w:rPr>
              <w:rFonts w:eastAsiaTheme="minorEastAsia"/>
              <w:kern w:val="2"/>
              <w:lang w:eastAsia="en-AU"/>
              <w14:ligatures w14:val="standardContextual"/>
            </w:rPr>
          </w:pPr>
          <w:hyperlink w:anchor="_Toc153543606" w:history="1">
            <w:r w:rsidR="0006627D" w:rsidRPr="00545DAA">
              <w:rPr>
                <w:rStyle w:val="Hyperlink"/>
                <w:lang w:eastAsia="ja-JP"/>
              </w:rPr>
              <w:t>Next steps</w:t>
            </w:r>
            <w:r w:rsidR="0006627D">
              <w:rPr>
                <w:webHidden/>
              </w:rPr>
              <w:tab/>
            </w:r>
            <w:r w:rsidR="0006627D">
              <w:rPr>
                <w:webHidden/>
              </w:rPr>
              <w:fldChar w:fldCharType="begin"/>
            </w:r>
            <w:r w:rsidR="0006627D">
              <w:rPr>
                <w:webHidden/>
              </w:rPr>
              <w:instrText xml:space="preserve"> PAGEREF _Toc153543606 \h </w:instrText>
            </w:r>
            <w:r w:rsidR="0006627D">
              <w:rPr>
                <w:webHidden/>
              </w:rPr>
            </w:r>
            <w:r w:rsidR="0006627D">
              <w:rPr>
                <w:webHidden/>
              </w:rPr>
              <w:fldChar w:fldCharType="separate"/>
            </w:r>
            <w:r w:rsidR="00A67A36">
              <w:rPr>
                <w:webHidden/>
              </w:rPr>
              <w:t>1</w:t>
            </w:r>
            <w:r w:rsidR="0006627D">
              <w:rPr>
                <w:webHidden/>
              </w:rPr>
              <w:fldChar w:fldCharType="end"/>
            </w:r>
          </w:hyperlink>
        </w:p>
        <w:p w14:paraId="4B0AB4B9" w14:textId="5635A5DB" w:rsidR="0006627D" w:rsidRDefault="00000000">
          <w:pPr>
            <w:pStyle w:val="TOC2"/>
            <w:rPr>
              <w:rFonts w:eastAsiaTheme="minorEastAsia"/>
              <w:kern w:val="2"/>
              <w:lang w:eastAsia="en-AU"/>
              <w14:ligatures w14:val="standardContextual"/>
            </w:rPr>
          </w:pPr>
          <w:hyperlink w:anchor="_Toc153543607" w:history="1">
            <w:r w:rsidR="0006627D" w:rsidRPr="00545DAA">
              <w:rPr>
                <w:rStyle w:val="Hyperlink"/>
                <w:lang w:eastAsia="ja-JP"/>
              </w:rPr>
              <w:t>Contacts</w:t>
            </w:r>
            <w:r w:rsidR="0006627D">
              <w:rPr>
                <w:webHidden/>
              </w:rPr>
              <w:tab/>
            </w:r>
            <w:r w:rsidR="0006627D">
              <w:rPr>
                <w:webHidden/>
              </w:rPr>
              <w:fldChar w:fldCharType="begin"/>
            </w:r>
            <w:r w:rsidR="0006627D">
              <w:rPr>
                <w:webHidden/>
              </w:rPr>
              <w:instrText xml:space="preserve"> PAGEREF _Toc153543607 \h </w:instrText>
            </w:r>
            <w:r w:rsidR="0006627D">
              <w:rPr>
                <w:webHidden/>
              </w:rPr>
            </w:r>
            <w:r w:rsidR="0006627D">
              <w:rPr>
                <w:webHidden/>
              </w:rPr>
              <w:fldChar w:fldCharType="separate"/>
            </w:r>
            <w:r w:rsidR="00A67A36">
              <w:rPr>
                <w:webHidden/>
              </w:rPr>
              <w:t>1</w:t>
            </w:r>
            <w:r w:rsidR="0006627D">
              <w:rPr>
                <w:webHidden/>
              </w:rPr>
              <w:fldChar w:fldCharType="end"/>
            </w:r>
          </w:hyperlink>
        </w:p>
        <w:p w14:paraId="74C3F4DF" w14:textId="29B3F354" w:rsidR="0006627D" w:rsidRDefault="00000000">
          <w:pPr>
            <w:pStyle w:val="TOC1"/>
            <w:rPr>
              <w:rFonts w:eastAsiaTheme="minorEastAsia"/>
              <w:b w:val="0"/>
              <w:kern w:val="2"/>
              <w:lang w:eastAsia="en-AU"/>
              <w14:ligatures w14:val="standardContextual"/>
            </w:rPr>
          </w:pPr>
          <w:hyperlink w:anchor="_Toc153543608" w:history="1">
            <w:r w:rsidR="0006627D" w:rsidRPr="00545DAA">
              <w:rPr>
                <w:rStyle w:val="Hyperlink"/>
              </w:rPr>
              <w:t>1</w:t>
            </w:r>
            <w:r w:rsidR="0006627D">
              <w:rPr>
                <w:rFonts w:eastAsiaTheme="minorEastAsia"/>
                <w:b w:val="0"/>
                <w:kern w:val="2"/>
                <w:lang w:eastAsia="en-AU"/>
                <w14:ligatures w14:val="standardContextual"/>
              </w:rPr>
              <w:tab/>
            </w:r>
            <w:r w:rsidR="0006627D" w:rsidRPr="00545DAA">
              <w:rPr>
                <w:rStyle w:val="Hyperlink"/>
              </w:rPr>
              <w:t>Introduction</w:t>
            </w:r>
            <w:r w:rsidR="0006627D">
              <w:rPr>
                <w:webHidden/>
              </w:rPr>
              <w:tab/>
            </w:r>
            <w:r w:rsidR="0006627D">
              <w:rPr>
                <w:webHidden/>
              </w:rPr>
              <w:fldChar w:fldCharType="begin"/>
            </w:r>
            <w:r w:rsidR="0006627D">
              <w:rPr>
                <w:webHidden/>
              </w:rPr>
              <w:instrText xml:space="preserve"> PAGEREF _Toc153543608 \h </w:instrText>
            </w:r>
            <w:r w:rsidR="0006627D">
              <w:rPr>
                <w:webHidden/>
              </w:rPr>
            </w:r>
            <w:r w:rsidR="0006627D">
              <w:rPr>
                <w:webHidden/>
              </w:rPr>
              <w:fldChar w:fldCharType="separate"/>
            </w:r>
            <w:r w:rsidR="00A67A36">
              <w:rPr>
                <w:webHidden/>
              </w:rPr>
              <w:t>2</w:t>
            </w:r>
            <w:r w:rsidR="0006627D">
              <w:rPr>
                <w:webHidden/>
              </w:rPr>
              <w:fldChar w:fldCharType="end"/>
            </w:r>
          </w:hyperlink>
        </w:p>
        <w:p w14:paraId="1C95FCC9" w14:textId="1EF0F802" w:rsidR="0006627D" w:rsidRDefault="00000000">
          <w:pPr>
            <w:pStyle w:val="TOC2"/>
            <w:tabs>
              <w:tab w:val="left" w:pos="1100"/>
            </w:tabs>
            <w:rPr>
              <w:rFonts w:eastAsiaTheme="minorEastAsia"/>
              <w:kern w:val="2"/>
              <w:lang w:eastAsia="en-AU"/>
              <w14:ligatures w14:val="standardContextual"/>
            </w:rPr>
          </w:pPr>
          <w:hyperlink w:anchor="_Toc153543611" w:history="1">
            <w:r w:rsidR="0006627D" w:rsidRPr="00545DAA">
              <w:rPr>
                <w:rStyle w:val="Hyperlink"/>
              </w:rPr>
              <w:t>1.1</w:t>
            </w:r>
            <w:r w:rsidR="0006627D">
              <w:rPr>
                <w:rFonts w:eastAsiaTheme="minorEastAsia"/>
                <w:kern w:val="2"/>
                <w:lang w:eastAsia="en-AU"/>
                <w14:ligatures w14:val="standardContextual"/>
              </w:rPr>
              <w:tab/>
            </w:r>
            <w:r w:rsidR="0006627D" w:rsidRPr="00545DAA">
              <w:rPr>
                <w:rStyle w:val="Hyperlink"/>
              </w:rPr>
              <w:t>Scientific basis and current guidance</w:t>
            </w:r>
            <w:r w:rsidR="0006627D">
              <w:rPr>
                <w:webHidden/>
              </w:rPr>
              <w:tab/>
            </w:r>
            <w:r w:rsidR="0006627D">
              <w:rPr>
                <w:webHidden/>
              </w:rPr>
              <w:fldChar w:fldCharType="begin"/>
            </w:r>
            <w:r w:rsidR="0006627D">
              <w:rPr>
                <w:webHidden/>
              </w:rPr>
              <w:instrText xml:space="preserve"> PAGEREF _Toc153543611 \h </w:instrText>
            </w:r>
            <w:r w:rsidR="0006627D">
              <w:rPr>
                <w:webHidden/>
              </w:rPr>
            </w:r>
            <w:r w:rsidR="0006627D">
              <w:rPr>
                <w:webHidden/>
              </w:rPr>
              <w:fldChar w:fldCharType="separate"/>
            </w:r>
            <w:r w:rsidR="00A67A36">
              <w:rPr>
                <w:webHidden/>
              </w:rPr>
              <w:t>2</w:t>
            </w:r>
            <w:r w:rsidR="0006627D">
              <w:rPr>
                <w:webHidden/>
              </w:rPr>
              <w:fldChar w:fldCharType="end"/>
            </w:r>
          </w:hyperlink>
        </w:p>
        <w:p w14:paraId="410F628B" w14:textId="1C149B25" w:rsidR="0006627D" w:rsidRDefault="00000000">
          <w:pPr>
            <w:pStyle w:val="TOC2"/>
            <w:tabs>
              <w:tab w:val="left" w:pos="1100"/>
            </w:tabs>
            <w:rPr>
              <w:rFonts w:eastAsiaTheme="minorEastAsia"/>
              <w:kern w:val="2"/>
              <w:lang w:eastAsia="en-AU"/>
              <w14:ligatures w14:val="standardContextual"/>
            </w:rPr>
          </w:pPr>
          <w:hyperlink w:anchor="_Toc153543612" w:history="1">
            <w:r w:rsidR="0006627D" w:rsidRPr="00545DAA">
              <w:rPr>
                <w:rStyle w:val="Hyperlink"/>
              </w:rPr>
              <w:t>1.2</w:t>
            </w:r>
            <w:r w:rsidR="0006627D">
              <w:rPr>
                <w:rFonts w:eastAsiaTheme="minorEastAsia"/>
                <w:kern w:val="2"/>
                <w:lang w:eastAsia="en-AU"/>
                <w14:ligatures w14:val="standardContextual"/>
              </w:rPr>
              <w:tab/>
            </w:r>
            <w:r w:rsidR="0006627D" w:rsidRPr="00545DAA">
              <w:rPr>
                <w:rStyle w:val="Hyperlink"/>
              </w:rPr>
              <w:t>Key updates to existing guidance</w:t>
            </w:r>
            <w:r w:rsidR="0006627D">
              <w:rPr>
                <w:webHidden/>
              </w:rPr>
              <w:tab/>
            </w:r>
            <w:r w:rsidR="0006627D">
              <w:rPr>
                <w:webHidden/>
              </w:rPr>
              <w:fldChar w:fldCharType="begin"/>
            </w:r>
            <w:r w:rsidR="0006627D">
              <w:rPr>
                <w:webHidden/>
              </w:rPr>
              <w:instrText xml:space="preserve"> PAGEREF _Toc153543612 \h </w:instrText>
            </w:r>
            <w:r w:rsidR="0006627D">
              <w:rPr>
                <w:webHidden/>
              </w:rPr>
            </w:r>
            <w:r w:rsidR="0006627D">
              <w:rPr>
                <w:webHidden/>
              </w:rPr>
              <w:fldChar w:fldCharType="separate"/>
            </w:r>
            <w:r w:rsidR="00A67A36">
              <w:rPr>
                <w:webHidden/>
              </w:rPr>
              <w:t>2</w:t>
            </w:r>
            <w:r w:rsidR="0006627D">
              <w:rPr>
                <w:webHidden/>
              </w:rPr>
              <w:fldChar w:fldCharType="end"/>
            </w:r>
          </w:hyperlink>
        </w:p>
        <w:p w14:paraId="064438D4" w14:textId="0F506EA6" w:rsidR="0006627D" w:rsidRDefault="00000000">
          <w:pPr>
            <w:pStyle w:val="TOC1"/>
            <w:rPr>
              <w:rFonts w:eastAsiaTheme="minorEastAsia"/>
              <w:b w:val="0"/>
              <w:kern w:val="2"/>
              <w:lang w:eastAsia="en-AU"/>
              <w14:ligatures w14:val="standardContextual"/>
            </w:rPr>
          </w:pPr>
          <w:hyperlink w:anchor="_Toc153543613" w:history="1">
            <w:r w:rsidR="0006627D" w:rsidRPr="00545DAA">
              <w:rPr>
                <w:rStyle w:val="Hyperlink"/>
              </w:rPr>
              <w:t>2</w:t>
            </w:r>
            <w:r w:rsidR="0006627D">
              <w:rPr>
                <w:rFonts w:eastAsiaTheme="minorEastAsia"/>
                <w:b w:val="0"/>
                <w:kern w:val="2"/>
                <w:lang w:eastAsia="en-AU"/>
                <w14:ligatures w14:val="standardContextual"/>
              </w:rPr>
              <w:tab/>
            </w:r>
            <w:r w:rsidR="0006627D" w:rsidRPr="00545DAA">
              <w:rPr>
                <w:rStyle w:val="Hyperlink"/>
              </w:rPr>
              <w:t>Decision contexts for flood guidance</w:t>
            </w:r>
            <w:r w:rsidR="0006627D">
              <w:rPr>
                <w:webHidden/>
              </w:rPr>
              <w:tab/>
            </w:r>
            <w:r w:rsidR="0006627D">
              <w:rPr>
                <w:webHidden/>
              </w:rPr>
              <w:fldChar w:fldCharType="begin"/>
            </w:r>
            <w:r w:rsidR="0006627D">
              <w:rPr>
                <w:webHidden/>
              </w:rPr>
              <w:instrText xml:space="preserve"> PAGEREF _Toc153543613 \h </w:instrText>
            </w:r>
            <w:r w:rsidR="0006627D">
              <w:rPr>
                <w:webHidden/>
              </w:rPr>
            </w:r>
            <w:r w:rsidR="0006627D">
              <w:rPr>
                <w:webHidden/>
              </w:rPr>
              <w:fldChar w:fldCharType="separate"/>
            </w:r>
            <w:r w:rsidR="00A67A36">
              <w:rPr>
                <w:webHidden/>
              </w:rPr>
              <w:t>4</w:t>
            </w:r>
            <w:r w:rsidR="0006627D">
              <w:rPr>
                <w:webHidden/>
              </w:rPr>
              <w:fldChar w:fldCharType="end"/>
            </w:r>
          </w:hyperlink>
        </w:p>
        <w:p w14:paraId="0244D7B0" w14:textId="0447979C" w:rsidR="0006627D" w:rsidRDefault="00000000">
          <w:pPr>
            <w:pStyle w:val="TOC1"/>
            <w:rPr>
              <w:rFonts w:eastAsiaTheme="minorEastAsia"/>
              <w:b w:val="0"/>
              <w:kern w:val="2"/>
              <w:lang w:eastAsia="en-AU"/>
              <w14:ligatures w14:val="standardContextual"/>
            </w:rPr>
          </w:pPr>
          <w:hyperlink w:anchor="_Toc153543614" w:history="1">
            <w:r w:rsidR="0006627D" w:rsidRPr="00545DAA">
              <w:rPr>
                <w:rStyle w:val="Hyperlink"/>
              </w:rPr>
              <w:t>3</w:t>
            </w:r>
            <w:r w:rsidR="0006627D">
              <w:rPr>
                <w:rFonts w:eastAsiaTheme="minorEastAsia"/>
                <w:b w:val="0"/>
                <w:kern w:val="2"/>
                <w:lang w:eastAsia="en-AU"/>
                <w14:ligatures w14:val="standardContextual"/>
              </w:rPr>
              <w:tab/>
            </w:r>
            <w:r w:rsidR="0006627D" w:rsidRPr="00545DAA">
              <w:rPr>
                <w:rStyle w:val="Hyperlink"/>
              </w:rPr>
              <w:t>Selection of a design flood estimation method</w:t>
            </w:r>
            <w:r w:rsidR="0006627D">
              <w:rPr>
                <w:webHidden/>
              </w:rPr>
              <w:tab/>
            </w:r>
            <w:r w:rsidR="0006627D">
              <w:rPr>
                <w:webHidden/>
              </w:rPr>
              <w:fldChar w:fldCharType="begin"/>
            </w:r>
            <w:r w:rsidR="0006627D">
              <w:rPr>
                <w:webHidden/>
              </w:rPr>
              <w:instrText xml:space="preserve"> PAGEREF _Toc153543614 \h </w:instrText>
            </w:r>
            <w:r w:rsidR="0006627D">
              <w:rPr>
                <w:webHidden/>
              </w:rPr>
            </w:r>
            <w:r w:rsidR="0006627D">
              <w:rPr>
                <w:webHidden/>
              </w:rPr>
              <w:fldChar w:fldCharType="separate"/>
            </w:r>
            <w:r w:rsidR="00A67A36">
              <w:rPr>
                <w:webHidden/>
              </w:rPr>
              <w:t>6</w:t>
            </w:r>
            <w:r w:rsidR="0006627D">
              <w:rPr>
                <w:webHidden/>
              </w:rPr>
              <w:fldChar w:fldCharType="end"/>
            </w:r>
          </w:hyperlink>
        </w:p>
        <w:p w14:paraId="26133708" w14:textId="310D1F88" w:rsidR="0006627D" w:rsidRDefault="00000000">
          <w:pPr>
            <w:pStyle w:val="TOC1"/>
            <w:rPr>
              <w:rFonts w:eastAsiaTheme="minorEastAsia"/>
              <w:b w:val="0"/>
              <w:kern w:val="2"/>
              <w:lang w:eastAsia="en-AU"/>
              <w14:ligatures w14:val="standardContextual"/>
            </w:rPr>
          </w:pPr>
          <w:hyperlink w:anchor="_Toc153543615" w:history="1">
            <w:r w:rsidR="0006627D" w:rsidRPr="00545DAA">
              <w:rPr>
                <w:rStyle w:val="Hyperlink"/>
              </w:rPr>
              <w:t>4</w:t>
            </w:r>
            <w:r w:rsidR="0006627D">
              <w:rPr>
                <w:rFonts w:eastAsiaTheme="minorEastAsia"/>
                <w:b w:val="0"/>
                <w:kern w:val="2"/>
                <w:lang w:eastAsia="en-AU"/>
                <w14:ligatures w14:val="standardContextual"/>
              </w:rPr>
              <w:tab/>
            </w:r>
            <w:r w:rsidR="0006627D" w:rsidRPr="00545DAA">
              <w:rPr>
                <w:rStyle w:val="Hyperlink"/>
              </w:rPr>
              <w:t>Incorporating climate change into event-based design flood estimates</w:t>
            </w:r>
            <w:r w:rsidR="0006627D">
              <w:rPr>
                <w:webHidden/>
              </w:rPr>
              <w:tab/>
            </w:r>
            <w:r w:rsidR="0006627D">
              <w:rPr>
                <w:webHidden/>
              </w:rPr>
              <w:fldChar w:fldCharType="begin"/>
            </w:r>
            <w:r w:rsidR="0006627D">
              <w:rPr>
                <w:webHidden/>
              </w:rPr>
              <w:instrText xml:space="preserve"> PAGEREF _Toc153543615 \h </w:instrText>
            </w:r>
            <w:r w:rsidR="0006627D">
              <w:rPr>
                <w:webHidden/>
              </w:rPr>
            </w:r>
            <w:r w:rsidR="0006627D">
              <w:rPr>
                <w:webHidden/>
              </w:rPr>
              <w:fldChar w:fldCharType="separate"/>
            </w:r>
            <w:r w:rsidR="00A67A36">
              <w:rPr>
                <w:webHidden/>
              </w:rPr>
              <w:t>8</w:t>
            </w:r>
            <w:r w:rsidR="0006627D">
              <w:rPr>
                <w:webHidden/>
              </w:rPr>
              <w:fldChar w:fldCharType="end"/>
            </w:r>
          </w:hyperlink>
        </w:p>
        <w:p w14:paraId="4A32FB4F" w14:textId="3646A926" w:rsidR="0006627D" w:rsidRDefault="00000000">
          <w:pPr>
            <w:pStyle w:val="TOC2"/>
            <w:tabs>
              <w:tab w:val="left" w:pos="1100"/>
            </w:tabs>
            <w:rPr>
              <w:rFonts w:eastAsiaTheme="minorEastAsia"/>
              <w:kern w:val="2"/>
              <w:lang w:eastAsia="en-AU"/>
              <w14:ligatures w14:val="standardContextual"/>
            </w:rPr>
          </w:pPr>
          <w:hyperlink w:anchor="_Toc153543616" w:history="1">
            <w:r w:rsidR="0006627D" w:rsidRPr="00545DAA">
              <w:rPr>
                <w:rStyle w:val="Hyperlink"/>
              </w:rPr>
              <w:t>4.1</w:t>
            </w:r>
            <w:r w:rsidR="0006627D">
              <w:rPr>
                <w:rFonts w:eastAsiaTheme="minorEastAsia"/>
                <w:kern w:val="2"/>
                <w:lang w:eastAsia="en-AU"/>
                <w14:ligatures w14:val="standardContextual"/>
              </w:rPr>
              <w:tab/>
            </w:r>
            <w:r w:rsidR="0006627D" w:rsidRPr="00545DAA">
              <w:rPr>
                <w:rStyle w:val="Hyperlink"/>
              </w:rPr>
              <w:t>Intensity-Frequency-Duration curves</w:t>
            </w:r>
            <w:r w:rsidR="0006627D">
              <w:rPr>
                <w:webHidden/>
              </w:rPr>
              <w:tab/>
            </w:r>
            <w:r w:rsidR="0006627D">
              <w:rPr>
                <w:webHidden/>
              </w:rPr>
              <w:fldChar w:fldCharType="begin"/>
            </w:r>
            <w:r w:rsidR="0006627D">
              <w:rPr>
                <w:webHidden/>
              </w:rPr>
              <w:instrText xml:space="preserve"> PAGEREF _Toc153543616 \h </w:instrText>
            </w:r>
            <w:r w:rsidR="0006627D">
              <w:rPr>
                <w:webHidden/>
              </w:rPr>
            </w:r>
            <w:r w:rsidR="0006627D">
              <w:rPr>
                <w:webHidden/>
              </w:rPr>
              <w:fldChar w:fldCharType="separate"/>
            </w:r>
            <w:r w:rsidR="00A67A36">
              <w:rPr>
                <w:webHidden/>
              </w:rPr>
              <w:t>8</w:t>
            </w:r>
            <w:r w:rsidR="0006627D">
              <w:rPr>
                <w:webHidden/>
              </w:rPr>
              <w:fldChar w:fldCharType="end"/>
            </w:r>
          </w:hyperlink>
        </w:p>
        <w:p w14:paraId="20DFE888" w14:textId="1119F7BD" w:rsidR="0006627D" w:rsidRDefault="00000000">
          <w:pPr>
            <w:pStyle w:val="TOC2"/>
            <w:tabs>
              <w:tab w:val="left" w:pos="1100"/>
            </w:tabs>
            <w:rPr>
              <w:rFonts w:eastAsiaTheme="minorEastAsia"/>
              <w:kern w:val="2"/>
              <w:lang w:eastAsia="en-AU"/>
              <w14:ligatures w14:val="standardContextual"/>
            </w:rPr>
          </w:pPr>
          <w:hyperlink w:anchor="_Toc153543617" w:history="1">
            <w:r w:rsidR="0006627D" w:rsidRPr="00545DAA">
              <w:rPr>
                <w:rStyle w:val="Hyperlink"/>
              </w:rPr>
              <w:t>4.2</w:t>
            </w:r>
            <w:r w:rsidR="0006627D">
              <w:rPr>
                <w:rFonts w:eastAsiaTheme="minorEastAsia"/>
                <w:kern w:val="2"/>
                <w:lang w:eastAsia="en-AU"/>
                <w14:ligatures w14:val="standardContextual"/>
              </w:rPr>
              <w:tab/>
            </w:r>
            <w:r w:rsidR="0006627D" w:rsidRPr="00545DAA">
              <w:rPr>
                <w:rStyle w:val="Hyperlink"/>
              </w:rPr>
              <w:t>Temporal patterns</w:t>
            </w:r>
            <w:r w:rsidR="0006627D">
              <w:rPr>
                <w:webHidden/>
              </w:rPr>
              <w:tab/>
            </w:r>
            <w:r w:rsidR="0006627D">
              <w:rPr>
                <w:webHidden/>
              </w:rPr>
              <w:fldChar w:fldCharType="begin"/>
            </w:r>
            <w:r w:rsidR="0006627D">
              <w:rPr>
                <w:webHidden/>
              </w:rPr>
              <w:instrText xml:space="preserve"> PAGEREF _Toc153543617 \h </w:instrText>
            </w:r>
            <w:r w:rsidR="0006627D">
              <w:rPr>
                <w:webHidden/>
              </w:rPr>
            </w:r>
            <w:r w:rsidR="0006627D">
              <w:rPr>
                <w:webHidden/>
              </w:rPr>
              <w:fldChar w:fldCharType="separate"/>
            </w:r>
            <w:r w:rsidR="00A67A36">
              <w:rPr>
                <w:webHidden/>
              </w:rPr>
              <w:t>12</w:t>
            </w:r>
            <w:r w:rsidR="0006627D">
              <w:rPr>
                <w:webHidden/>
              </w:rPr>
              <w:fldChar w:fldCharType="end"/>
            </w:r>
          </w:hyperlink>
        </w:p>
        <w:p w14:paraId="48E87349" w14:textId="70423CE7" w:rsidR="0006627D" w:rsidRDefault="00000000">
          <w:pPr>
            <w:pStyle w:val="TOC2"/>
            <w:tabs>
              <w:tab w:val="left" w:pos="1100"/>
            </w:tabs>
            <w:rPr>
              <w:rFonts w:eastAsiaTheme="minorEastAsia"/>
              <w:kern w:val="2"/>
              <w:lang w:eastAsia="en-AU"/>
              <w14:ligatures w14:val="standardContextual"/>
            </w:rPr>
          </w:pPr>
          <w:hyperlink w:anchor="_Toc153543618" w:history="1">
            <w:r w:rsidR="0006627D" w:rsidRPr="00545DAA">
              <w:rPr>
                <w:rStyle w:val="Hyperlink"/>
              </w:rPr>
              <w:t>4.3</w:t>
            </w:r>
            <w:r w:rsidR="0006627D">
              <w:rPr>
                <w:rFonts w:eastAsiaTheme="minorEastAsia"/>
                <w:kern w:val="2"/>
                <w:lang w:eastAsia="en-AU"/>
                <w14:ligatures w14:val="standardContextual"/>
              </w:rPr>
              <w:tab/>
            </w:r>
            <w:r w:rsidR="0006627D" w:rsidRPr="00545DAA">
              <w:rPr>
                <w:rStyle w:val="Hyperlink"/>
              </w:rPr>
              <w:t>Spatial patterns</w:t>
            </w:r>
            <w:r w:rsidR="0006627D">
              <w:rPr>
                <w:webHidden/>
              </w:rPr>
              <w:tab/>
            </w:r>
            <w:r w:rsidR="0006627D">
              <w:rPr>
                <w:webHidden/>
              </w:rPr>
              <w:fldChar w:fldCharType="begin"/>
            </w:r>
            <w:r w:rsidR="0006627D">
              <w:rPr>
                <w:webHidden/>
              </w:rPr>
              <w:instrText xml:space="preserve"> PAGEREF _Toc153543618 \h </w:instrText>
            </w:r>
            <w:r w:rsidR="0006627D">
              <w:rPr>
                <w:webHidden/>
              </w:rPr>
            </w:r>
            <w:r w:rsidR="0006627D">
              <w:rPr>
                <w:webHidden/>
              </w:rPr>
              <w:fldChar w:fldCharType="separate"/>
            </w:r>
            <w:r w:rsidR="00A67A36">
              <w:rPr>
                <w:webHidden/>
              </w:rPr>
              <w:t>13</w:t>
            </w:r>
            <w:r w:rsidR="0006627D">
              <w:rPr>
                <w:webHidden/>
              </w:rPr>
              <w:fldChar w:fldCharType="end"/>
            </w:r>
          </w:hyperlink>
        </w:p>
        <w:p w14:paraId="189B951C" w14:textId="5A6CC107" w:rsidR="0006627D" w:rsidRDefault="00000000">
          <w:pPr>
            <w:pStyle w:val="TOC2"/>
            <w:tabs>
              <w:tab w:val="left" w:pos="1100"/>
            </w:tabs>
            <w:rPr>
              <w:rFonts w:eastAsiaTheme="minorEastAsia"/>
              <w:kern w:val="2"/>
              <w:lang w:eastAsia="en-AU"/>
              <w14:ligatures w14:val="standardContextual"/>
            </w:rPr>
          </w:pPr>
          <w:hyperlink w:anchor="_Toc153543619" w:history="1">
            <w:r w:rsidR="0006627D" w:rsidRPr="00545DAA">
              <w:rPr>
                <w:rStyle w:val="Hyperlink"/>
              </w:rPr>
              <w:t>4.4</w:t>
            </w:r>
            <w:r w:rsidR="0006627D">
              <w:rPr>
                <w:rFonts w:eastAsiaTheme="minorEastAsia"/>
                <w:kern w:val="2"/>
                <w:lang w:eastAsia="en-AU"/>
                <w14:ligatures w14:val="standardContextual"/>
              </w:rPr>
              <w:tab/>
            </w:r>
            <w:r w:rsidR="0006627D" w:rsidRPr="00545DAA">
              <w:rPr>
                <w:rStyle w:val="Hyperlink"/>
              </w:rPr>
              <w:t>Loss parameters</w:t>
            </w:r>
            <w:r w:rsidR="0006627D">
              <w:rPr>
                <w:webHidden/>
              </w:rPr>
              <w:tab/>
            </w:r>
            <w:r w:rsidR="0006627D">
              <w:rPr>
                <w:webHidden/>
              </w:rPr>
              <w:fldChar w:fldCharType="begin"/>
            </w:r>
            <w:r w:rsidR="0006627D">
              <w:rPr>
                <w:webHidden/>
              </w:rPr>
              <w:instrText xml:space="preserve"> PAGEREF _Toc153543619 \h </w:instrText>
            </w:r>
            <w:r w:rsidR="0006627D">
              <w:rPr>
                <w:webHidden/>
              </w:rPr>
            </w:r>
            <w:r w:rsidR="0006627D">
              <w:rPr>
                <w:webHidden/>
              </w:rPr>
              <w:fldChar w:fldCharType="separate"/>
            </w:r>
            <w:r w:rsidR="00A67A36">
              <w:rPr>
                <w:webHidden/>
              </w:rPr>
              <w:t>13</w:t>
            </w:r>
            <w:r w:rsidR="0006627D">
              <w:rPr>
                <w:webHidden/>
              </w:rPr>
              <w:fldChar w:fldCharType="end"/>
            </w:r>
          </w:hyperlink>
        </w:p>
        <w:p w14:paraId="23B401A1" w14:textId="47328386" w:rsidR="0006627D" w:rsidRDefault="00000000">
          <w:pPr>
            <w:pStyle w:val="TOC2"/>
            <w:tabs>
              <w:tab w:val="left" w:pos="1100"/>
            </w:tabs>
            <w:rPr>
              <w:rFonts w:eastAsiaTheme="minorEastAsia"/>
              <w:kern w:val="2"/>
              <w:lang w:eastAsia="en-AU"/>
              <w14:ligatures w14:val="standardContextual"/>
            </w:rPr>
          </w:pPr>
          <w:hyperlink w:anchor="_Toc153543620" w:history="1">
            <w:r w:rsidR="0006627D" w:rsidRPr="00545DAA">
              <w:rPr>
                <w:rStyle w:val="Hyperlink"/>
              </w:rPr>
              <w:t>4.5</w:t>
            </w:r>
            <w:r w:rsidR="0006627D">
              <w:rPr>
                <w:rFonts w:eastAsiaTheme="minorEastAsia"/>
                <w:kern w:val="2"/>
                <w:lang w:eastAsia="en-AU"/>
                <w14:ligatures w14:val="standardContextual"/>
              </w:rPr>
              <w:tab/>
            </w:r>
            <w:r w:rsidR="0006627D" w:rsidRPr="00545DAA">
              <w:rPr>
                <w:rStyle w:val="Hyperlink"/>
              </w:rPr>
              <w:t>Sea levels and sea level interaction</w:t>
            </w:r>
            <w:r w:rsidR="0006627D">
              <w:rPr>
                <w:webHidden/>
              </w:rPr>
              <w:tab/>
            </w:r>
            <w:r w:rsidR="0006627D">
              <w:rPr>
                <w:webHidden/>
              </w:rPr>
              <w:fldChar w:fldCharType="begin"/>
            </w:r>
            <w:r w:rsidR="0006627D">
              <w:rPr>
                <w:webHidden/>
              </w:rPr>
              <w:instrText xml:space="preserve"> PAGEREF _Toc153543620 \h </w:instrText>
            </w:r>
            <w:r w:rsidR="0006627D">
              <w:rPr>
                <w:webHidden/>
              </w:rPr>
            </w:r>
            <w:r w:rsidR="0006627D">
              <w:rPr>
                <w:webHidden/>
              </w:rPr>
              <w:fldChar w:fldCharType="separate"/>
            </w:r>
            <w:r w:rsidR="00A67A36">
              <w:rPr>
                <w:webHidden/>
              </w:rPr>
              <w:t>14</w:t>
            </w:r>
            <w:r w:rsidR="0006627D">
              <w:rPr>
                <w:webHidden/>
              </w:rPr>
              <w:fldChar w:fldCharType="end"/>
            </w:r>
          </w:hyperlink>
        </w:p>
        <w:p w14:paraId="4BAF48A4" w14:textId="49B69AE0" w:rsidR="0006627D" w:rsidRDefault="00000000">
          <w:pPr>
            <w:pStyle w:val="TOC2"/>
            <w:tabs>
              <w:tab w:val="left" w:pos="1100"/>
            </w:tabs>
            <w:rPr>
              <w:rFonts w:eastAsiaTheme="minorEastAsia"/>
              <w:kern w:val="2"/>
              <w:lang w:eastAsia="en-AU"/>
              <w14:ligatures w14:val="standardContextual"/>
            </w:rPr>
          </w:pPr>
          <w:hyperlink w:anchor="_Toc153543621" w:history="1">
            <w:r w:rsidR="0006627D" w:rsidRPr="00545DAA">
              <w:rPr>
                <w:rStyle w:val="Hyperlink"/>
              </w:rPr>
              <w:t>4.6</w:t>
            </w:r>
            <w:r w:rsidR="0006627D">
              <w:rPr>
                <w:rFonts w:eastAsiaTheme="minorEastAsia"/>
                <w:kern w:val="2"/>
                <w:lang w:eastAsia="en-AU"/>
                <w14:ligatures w14:val="standardContextual"/>
              </w:rPr>
              <w:tab/>
            </w:r>
            <w:r w:rsidR="0006627D" w:rsidRPr="00545DAA">
              <w:rPr>
                <w:rStyle w:val="Hyperlink"/>
              </w:rPr>
              <w:t>Increased uncertainty due to climate change</w:t>
            </w:r>
            <w:r w:rsidR="0006627D">
              <w:rPr>
                <w:webHidden/>
              </w:rPr>
              <w:tab/>
            </w:r>
            <w:r w:rsidR="0006627D">
              <w:rPr>
                <w:webHidden/>
              </w:rPr>
              <w:fldChar w:fldCharType="begin"/>
            </w:r>
            <w:r w:rsidR="0006627D">
              <w:rPr>
                <w:webHidden/>
              </w:rPr>
              <w:instrText xml:space="preserve"> PAGEREF _Toc153543621 \h </w:instrText>
            </w:r>
            <w:r w:rsidR="0006627D">
              <w:rPr>
                <w:webHidden/>
              </w:rPr>
            </w:r>
            <w:r w:rsidR="0006627D">
              <w:rPr>
                <w:webHidden/>
              </w:rPr>
              <w:fldChar w:fldCharType="separate"/>
            </w:r>
            <w:r w:rsidR="00A67A36">
              <w:rPr>
                <w:webHidden/>
              </w:rPr>
              <w:t>14</w:t>
            </w:r>
            <w:r w:rsidR="0006627D">
              <w:rPr>
                <w:webHidden/>
              </w:rPr>
              <w:fldChar w:fldCharType="end"/>
            </w:r>
          </w:hyperlink>
        </w:p>
        <w:p w14:paraId="1E829C8A" w14:textId="72B731BD" w:rsidR="0006627D" w:rsidRDefault="00000000">
          <w:pPr>
            <w:pStyle w:val="TOC1"/>
            <w:rPr>
              <w:rFonts w:eastAsiaTheme="minorEastAsia"/>
              <w:b w:val="0"/>
              <w:kern w:val="2"/>
              <w:lang w:eastAsia="en-AU"/>
              <w14:ligatures w14:val="standardContextual"/>
            </w:rPr>
          </w:pPr>
          <w:hyperlink w:anchor="_Toc153543622" w:history="1">
            <w:r w:rsidR="0006627D" w:rsidRPr="00545DAA">
              <w:rPr>
                <w:rStyle w:val="Hyperlink"/>
              </w:rPr>
              <w:t>5</w:t>
            </w:r>
            <w:r w:rsidR="0006627D">
              <w:rPr>
                <w:rFonts w:eastAsiaTheme="minorEastAsia"/>
                <w:b w:val="0"/>
                <w:kern w:val="2"/>
                <w:lang w:eastAsia="en-AU"/>
                <w14:ligatures w14:val="standardContextual"/>
              </w:rPr>
              <w:tab/>
            </w:r>
            <w:r w:rsidR="0006627D" w:rsidRPr="00545DAA">
              <w:rPr>
                <w:rStyle w:val="Hyperlink"/>
              </w:rPr>
              <w:t>Updates to the climate change considerations</w:t>
            </w:r>
            <w:r w:rsidR="0006627D">
              <w:rPr>
                <w:webHidden/>
              </w:rPr>
              <w:tab/>
            </w:r>
            <w:r w:rsidR="0006627D">
              <w:rPr>
                <w:webHidden/>
              </w:rPr>
              <w:fldChar w:fldCharType="begin"/>
            </w:r>
            <w:r w:rsidR="0006627D">
              <w:rPr>
                <w:webHidden/>
              </w:rPr>
              <w:instrText xml:space="preserve"> PAGEREF _Toc153543622 \h </w:instrText>
            </w:r>
            <w:r w:rsidR="0006627D">
              <w:rPr>
                <w:webHidden/>
              </w:rPr>
            </w:r>
            <w:r w:rsidR="0006627D">
              <w:rPr>
                <w:webHidden/>
              </w:rPr>
              <w:fldChar w:fldCharType="separate"/>
            </w:r>
            <w:r w:rsidR="00A67A36">
              <w:rPr>
                <w:webHidden/>
              </w:rPr>
              <w:t>16</w:t>
            </w:r>
            <w:r w:rsidR="0006627D">
              <w:rPr>
                <w:webHidden/>
              </w:rPr>
              <w:fldChar w:fldCharType="end"/>
            </w:r>
          </w:hyperlink>
        </w:p>
        <w:p w14:paraId="13BC0F43" w14:textId="7A623E69" w:rsidR="0006627D" w:rsidRDefault="00000000">
          <w:pPr>
            <w:pStyle w:val="TOC1"/>
            <w:rPr>
              <w:rFonts w:eastAsiaTheme="minorEastAsia"/>
              <w:b w:val="0"/>
              <w:kern w:val="2"/>
              <w:lang w:eastAsia="en-AU"/>
              <w14:ligatures w14:val="standardContextual"/>
            </w:rPr>
          </w:pPr>
          <w:hyperlink w:anchor="_Toc153543623" w:history="1">
            <w:r w:rsidR="0006627D" w:rsidRPr="00545DAA">
              <w:rPr>
                <w:rStyle w:val="Hyperlink"/>
              </w:rPr>
              <w:t>6</w:t>
            </w:r>
            <w:r w:rsidR="0006627D">
              <w:rPr>
                <w:rFonts w:eastAsiaTheme="minorEastAsia"/>
                <w:b w:val="0"/>
                <w:kern w:val="2"/>
                <w:lang w:eastAsia="en-AU"/>
                <w14:ligatures w14:val="standardContextual"/>
              </w:rPr>
              <w:tab/>
            </w:r>
            <w:r w:rsidR="0006627D" w:rsidRPr="00545DAA">
              <w:rPr>
                <w:rStyle w:val="Hyperlink"/>
              </w:rPr>
              <w:t>Worked examples</w:t>
            </w:r>
            <w:r w:rsidR="0006627D">
              <w:rPr>
                <w:webHidden/>
              </w:rPr>
              <w:tab/>
            </w:r>
            <w:r w:rsidR="0006627D">
              <w:rPr>
                <w:webHidden/>
              </w:rPr>
              <w:fldChar w:fldCharType="begin"/>
            </w:r>
            <w:r w:rsidR="0006627D">
              <w:rPr>
                <w:webHidden/>
              </w:rPr>
              <w:instrText xml:space="preserve"> PAGEREF _Toc153543623 \h </w:instrText>
            </w:r>
            <w:r w:rsidR="0006627D">
              <w:rPr>
                <w:webHidden/>
              </w:rPr>
            </w:r>
            <w:r w:rsidR="0006627D">
              <w:rPr>
                <w:webHidden/>
              </w:rPr>
              <w:fldChar w:fldCharType="separate"/>
            </w:r>
            <w:r w:rsidR="00A67A36">
              <w:rPr>
                <w:webHidden/>
              </w:rPr>
              <w:t>17</w:t>
            </w:r>
            <w:r w:rsidR="0006627D">
              <w:rPr>
                <w:webHidden/>
              </w:rPr>
              <w:fldChar w:fldCharType="end"/>
            </w:r>
          </w:hyperlink>
        </w:p>
        <w:p w14:paraId="30A22880" w14:textId="17333AEA" w:rsidR="0006627D" w:rsidRDefault="00000000">
          <w:pPr>
            <w:pStyle w:val="TOC1"/>
            <w:rPr>
              <w:rFonts w:eastAsiaTheme="minorEastAsia"/>
              <w:b w:val="0"/>
              <w:kern w:val="2"/>
              <w:lang w:eastAsia="en-AU"/>
              <w14:ligatures w14:val="standardContextual"/>
            </w:rPr>
          </w:pPr>
          <w:hyperlink w:anchor="_Toc153543624" w:history="1">
            <w:r w:rsidR="0006627D" w:rsidRPr="00545DAA">
              <w:rPr>
                <w:rStyle w:val="Hyperlink"/>
              </w:rPr>
              <w:t>7</w:t>
            </w:r>
            <w:r w:rsidR="0006627D">
              <w:rPr>
                <w:rFonts w:eastAsiaTheme="minorEastAsia"/>
                <w:b w:val="0"/>
                <w:kern w:val="2"/>
                <w:lang w:eastAsia="en-AU"/>
                <w14:ligatures w14:val="standardContextual"/>
              </w:rPr>
              <w:tab/>
            </w:r>
            <w:r w:rsidR="0006627D" w:rsidRPr="00545DAA">
              <w:rPr>
                <w:rStyle w:val="Hyperlink"/>
              </w:rPr>
              <w:t>Appendix</w:t>
            </w:r>
            <w:r w:rsidR="0006627D">
              <w:rPr>
                <w:webHidden/>
              </w:rPr>
              <w:tab/>
            </w:r>
            <w:r w:rsidR="0006627D">
              <w:rPr>
                <w:webHidden/>
              </w:rPr>
              <w:fldChar w:fldCharType="begin"/>
            </w:r>
            <w:r w:rsidR="0006627D">
              <w:rPr>
                <w:webHidden/>
              </w:rPr>
              <w:instrText xml:space="preserve"> PAGEREF _Toc153543624 \h </w:instrText>
            </w:r>
            <w:r w:rsidR="0006627D">
              <w:rPr>
                <w:webHidden/>
              </w:rPr>
            </w:r>
            <w:r w:rsidR="0006627D">
              <w:rPr>
                <w:webHidden/>
              </w:rPr>
              <w:fldChar w:fldCharType="separate"/>
            </w:r>
            <w:r w:rsidR="00A67A36">
              <w:rPr>
                <w:webHidden/>
              </w:rPr>
              <w:t>21</w:t>
            </w:r>
            <w:r w:rsidR="0006627D">
              <w:rPr>
                <w:webHidden/>
              </w:rPr>
              <w:fldChar w:fldCharType="end"/>
            </w:r>
          </w:hyperlink>
        </w:p>
        <w:p w14:paraId="57F881F4" w14:textId="606E524C" w:rsidR="0006627D" w:rsidRDefault="00000000">
          <w:pPr>
            <w:pStyle w:val="TOC1"/>
            <w:rPr>
              <w:rFonts w:eastAsiaTheme="minorEastAsia"/>
              <w:b w:val="0"/>
              <w:kern w:val="2"/>
              <w:lang w:eastAsia="en-AU"/>
              <w14:ligatures w14:val="standardContextual"/>
            </w:rPr>
          </w:pPr>
          <w:hyperlink w:anchor="_Toc153543625" w:history="1">
            <w:r w:rsidR="0006627D" w:rsidRPr="00545DAA">
              <w:rPr>
                <w:rStyle w:val="Hyperlink"/>
              </w:rPr>
              <w:t>8</w:t>
            </w:r>
            <w:r w:rsidR="0006627D">
              <w:rPr>
                <w:rFonts w:eastAsiaTheme="minorEastAsia"/>
                <w:b w:val="0"/>
                <w:kern w:val="2"/>
                <w:lang w:eastAsia="en-AU"/>
                <w14:ligatures w14:val="standardContextual"/>
              </w:rPr>
              <w:tab/>
            </w:r>
            <w:r w:rsidR="0006627D" w:rsidRPr="00545DAA">
              <w:rPr>
                <w:rStyle w:val="Hyperlink"/>
              </w:rPr>
              <w:t>References</w:t>
            </w:r>
            <w:r w:rsidR="0006627D">
              <w:rPr>
                <w:webHidden/>
              </w:rPr>
              <w:tab/>
            </w:r>
            <w:r w:rsidR="0006627D">
              <w:rPr>
                <w:webHidden/>
              </w:rPr>
              <w:fldChar w:fldCharType="begin"/>
            </w:r>
            <w:r w:rsidR="0006627D">
              <w:rPr>
                <w:webHidden/>
              </w:rPr>
              <w:instrText xml:space="preserve"> PAGEREF _Toc153543625 \h </w:instrText>
            </w:r>
            <w:r w:rsidR="0006627D">
              <w:rPr>
                <w:webHidden/>
              </w:rPr>
            </w:r>
            <w:r w:rsidR="0006627D">
              <w:rPr>
                <w:webHidden/>
              </w:rPr>
              <w:fldChar w:fldCharType="separate"/>
            </w:r>
            <w:r w:rsidR="00A67A36">
              <w:rPr>
                <w:webHidden/>
              </w:rPr>
              <w:t>22</w:t>
            </w:r>
            <w:r w:rsidR="0006627D">
              <w:rPr>
                <w:webHidden/>
              </w:rPr>
              <w:fldChar w:fldCharType="end"/>
            </w:r>
          </w:hyperlink>
        </w:p>
        <w:p w14:paraId="08F42C51" w14:textId="4F878B76" w:rsidR="00530027" w:rsidRDefault="00E91D72" w:rsidP="00530027">
          <w:pPr>
            <w:rPr>
              <w:b/>
              <w:noProof/>
            </w:rPr>
          </w:pPr>
          <w:r>
            <w:rPr>
              <w:b/>
              <w:noProof/>
            </w:rPr>
            <w:fldChar w:fldCharType="end"/>
          </w:r>
        </w:p>
      </w:sdtContent>
    </w:sdt>
    <w:p w14:paraId="27018576" w14:textId="02A48BD9" w:rsidR="00764D6A" w:rsidRPr="00530027" w:rsidRDefault="00764D6A" w:rsidP="00530027">
      <w:pPr>
        <w:rPr>
          <w:bCs/>
          <w:noProof/>
        </w:rPr>
      </w:pPr>
    </w:p>
    <w:p w14:paraId="2AA9C612" w14:textId="77777777" w:rsidR="00530027" w:rsidRDefault="00530027"/>
    <w:p w14:paraId="6C6C3B0E" w14:textId="4AA36AD9" w:rsidR="00764D6A" w:rsidRDefault="00764D6A" w:rsidP="00E748B5">
      <w:pPr>
        <w:pStyle w:val="Heading2"/>
        <w:numPr>
          <w:ilvl w:val="0"/>
          <w:numId w:val="0"/>
        </w:numPr>
        <w:ind w:left="720" w:hanging="720"/>
        <w:sectPr w:rsidR="00764D6A">
          <w:headerReference w:type="default" r:id="rId18"/>
          <w:footerReference w:type="default" r:id="rId19"/>
          <w:headerReference w:type="first" r:id="rId20"/>
          <w:footerReference w:type="first" r:id="rId21"/>
          <w:pgSz w:w="11906" w:h="16838"/>
          <w:pgMar w:top="1418" w:right="1418" w:bottom="1418" w:left="1418" w:header="567" w:footer="283" w:gutter="0"/>
          <w:pgNumType w:fmt="lowerRoman" w:start="1"/>
          <w:cols w:space="708"/>
          <w:titlePg/>
          <w:docGrid w:linePitch="360"/>
        </w:sectPr>
      </w:pPr>
    </w:p>
    <w:p w14:paraId="4862F900" w14:textId="77777777" w:rsidR="0087135C" w:rsidRDefault="0087135C" w:rsidP="003751E6">
      <w:pPr>
        <w:pStyle w:val="Heading2"/>
        <w:numPr>
          <w:ilvl w:val="0"/>
          <w:numId w:val="0"/>
        </w:numPr>
      </w:pPr>
      <w:bookmarkStart w:id="1" w:name="_Toc132794310"/>
      <w:bookmarkStart w:id="2" w:name="_Toc153543604"/>
      <w:r>
        <w:lastRenderedPageBreak/>
        <w:t xml:space="preserve">Make a </w:t>
      </w:r>
      <w:proofErr w:type="gramStart"/>
      <w:r>
        <w:t>submission</w:t>
      </w:r>
      <w:bookmarkEnd w:id="1"/>
      <w:bookmarkEnd w:id="2"/>
      <w:proofErr w:type="gramEnd"/>
    </w:p>
    <w:p w14:paraId="17F74D0B" w14:textId="1D36A09B" w:rsidR="0087135C" w:rsidRDefault="0087135C" w:rsidP="0087135C">
      <w:pPr>
        <w:rPr>
          <w:rFonts w:ascii="Calibri" w:hAnsi="Calibri" w:cs="Calibri"/>
        </w:rPr>
      </w:pPr>
      <w:r w:rsidRPr="2FC70281">
        <w:rPr>
          <w:lang w:eastAsia="ja-JP"/>
        </w:rPr>
        <w:t>We are seeking</w:t>
      </w:r>
      <w:r w:rsidR="7E29E548" w:rsidRPr="2FC70281">
        <w:rPr>
          <w:lang w:eastAsia="ja-JP"/>
        </w:rPr>
        <w:t xml:space="preserve"> feedback on</w:t>
      </w:r>
      <w:r w:rsidRPr="2FC70281">
        <w:rPr>
          <w:lang w:eastAsia="ja-JP"/>
        </w:rPr>
        <w:t xml:space="preserve"> the draft updated Climate Chance Considerations chapter (the guidance) of </w:t>
      </w:r>
      <w:r w:rsidRPr="2FC70281">
        <w:rPr>
          <w:i/>
          <w:iCs/>
          <w:lang w:eastAsia="ja-JP"/>
        </w:rPr>
        <w:t>Australian Rainfall and Runoff</w:t>
      </w:r>
      <w:r w:rsidRPr="2FC70281">
        <w:rPr>
          <w:lang w:eastAsia="ja-JP"/>
        </w:rPr>
        <w:t xml:space="preserve">: </w:t>
      </w:r>
      <w:r w:rsidRPr="2FC70281">
        <w:rPr>
          <w:i/>
          <w:iCs/>
          <w:lang w:eastAsia="ja-JP"/>
        </w:rPr>
        <w:t xml:space="preserve">A Guide to Flood Estimation </w:t>
      </w:r>
      <w:r w:rsidRPr="008E319E">
        <w:rPr>
          <w:lang w:eastAsia="ja-JP"/>
        </w:rPr>
        <w:t>(ARR)</w:t>
      </w:r>
      <w:r w:rsidRPr="00944A33">
        <w:rPr>
          <w:lang w:eastAsia="ja-JP"/>
        </w:rPr>
        <w:t>.</w:t>
      </w:r>
    </w:p>
    <w:p w14:paraId="055362E3" w14:textId="0048F791" w:rsidR="0087135C" w:rsidRPr="00197093" w:rsidRDefault="0087135C" w:rsidP="0087135C">
      <w:pPr>
        <w:rPr>
          <w:rFonts w:ascii="Calibri" w:hAnsi="Calibri" w:cs="Calibri"/>
          <w:iCs/>
        </w:rPr>
      </w:pPr>
      <w:r>
        <w:rPr>
          <w:lang w:eastAsia="ja-JP"/>
        </w:rPr>
        <w:t xml:space="preserve">Both the scientific and engineering </w:t>
      </w:r>
      <w:r w:rsidR="0037450B">
        <w:rPr>
          <w:lang w:eastAsia="ja-JP"/>
        </w:rPr>
        <w:t xml:space="preserve">communities </w:t>
      </w:r>
      <w:r>
        <w:rPr>
          <w:lang w:eastAsia="ja-JP"/>
        </w:rPr>
        <w:t>recognise that the guidance</w:t>
      </w:r>
      <w:r w:rsidRPr="002D22F0">
        <w:rPr>
          <w:lang w:eastAsia="ja-JP"/>
        </w:rPr>
        <w:t xml:space="preserve"> i</w:t>
      </w:r>
      <w:r>
        <w:rPr>
          <w:lang w:eastAsia="ja-JP"/>
        </w:rPr>
        <w:t xml:space="preserve">s based on science that is now over a decade old. The </w:t>
      </w:r>
      <w:r w:rsidRPr="007B2486">
        <w:rPr>
          <w:lang w:eastAsia="ja-JP"/>
        </w:rPr>
        <w:t>Department of Climate Change</w:t>
      </w:r>
      <w:r w:rsidR="00E80E45">
        <w:rPr>
          <w:lang w:eastAsia="ja-JP"/>
        </w:rPr>
        <w:t>,</w:t>
      </w:r>
      <w:r w:rsidRPr="007B2486">
        <w:rPr>
          <w:lang w:eastAsia="ja-JP"/>
        </w:rPr>
        <w:t xml:space="preserve"> Energy, the Environment and Water (DCCEEW)</w:t>
      </w:r>
      <w:r w:rsidR="00E80E45">
        <w:rPr>
          <w:lang w:eastAsia="ja-JP"/>
        </w:rPr>
        <w:t>,</w:t>
      </w:r>
      <w:r w:rsidRPr="007B2486">
        <w:rPr>
          <w:lang w:eastAsia="ja-JP"/>
        </w:rPr>
        <w:t xml:space="preserve"> in partnership with Engineers Australia</w:t>
      </w:r>
      <w:r w:rsidR="00E80E45">
        <w:rPr>
          <w:lang w:eastAsia="ja-JP"/>
        </w:rPr>
        <w:t>,</w:t>
      </w:r>
      <w:r w:rsidR="00882353">
        <w:rPr>
          <w:lang w:eastAsia="ja-JP"/>
        </w:rPr>
        <w:t xml:space="preserve"> are running </w:t>
      </w:r>
      <w:r w:rsidR="0051245D">
        <w:rPr>
          <w:lang w:eastAsia="ja-JP"/>
        </w:rPr>
        <w:t xml:space="preserve">a project </w:t>
      </w:r>
      <w:r w:rsidRPr="007B2486">
        <w:rPr>
          <w:lang w:eastAsia="ja-JP"/>
        </w:rPr>
        <w:t xml:space="preserve">to update the </w:t>
      </w:r>
      <w:r w:rsidRPr="00197093">
        <w:rPr>
          <w:iCs/>
          <w:lang w:eastAsia="ja-JP"/>
        </w:rPr>
        <w:t>Climate Change Considerations chapter of ARR.</w:t>
      </w:r>
      <w:r w:rsidR="0051245D">
        <w:rPr>
          <w:iCs/>
          <w:lang w:eastAsia="ja-JP"/>
        </w:rPr>
        <w:t xml:space="preserve"> The </w:t>
      </w:r>
      <w:r w:rsidR="0051245D" w:rsidRPr="007B2486">
        <w:rPr>
          <w:lang w:eastAsia="ja-JP"/>
        </w:rPr>
        <w:t>project</w:t>
      </w:r>
      <w:r w:rsidR="0051245D">
        <w:rPr>
          <w:lang w:eastAsia="ja-JP"/>
        </w:rPr>
        <w:t xml:space="preserve"> is</w:t>
      </w:r>
      <w:r w:rsidR="0051245D" w:rsidRPr="007B2486">
        <w:rPr>
          <w:lang w:eastAsia="ja-JP"/>
        </w:rPr>
        <w:t xml:space="preserve"> funded under the National Emergency Management Agency</w:t>
      </w:r>
      <w:r w:rsidR="0051245D">
        <w:rPr>
          <w:lang w:eastAsia="ja-JP"/>
        </w:rPr>
        <w:t xml:space="preserve">, </w:t>
      </w:r>
      <w:r w:rsidR="0051245D" w:rsidRPr="007B2486">
        <w:rPr>
          <w:lang w:eastAsia="ja-JP"/>
        </w:rPr>
        <w:t xml:space="preserve">Disaster Risk Reduction Package </w:t>
      </w:r>
    </w:p>
    <w:p w14:paraId="6B05414E" w14:textId="0A4E2B07" w:rsidR="0087135C" w:rsidRDefault="0087135C" w:rsidP="0087135C">
      <w:pPr>
        <w:rPr>
          <w:rFonts w:ascii="Calibri" w:eastAsia="Calibri" w:hAnsi="Calibri"/>
          <w:color w:val="000000" w:themeColor="text1"/>
          <w:szCs w:val="21"/>
        </w:rPr>
      </w:pPr>
      <w:bookmarkStart w:id="3" w:name="_Toc132794311"/>
      <w:r>
        <w:rPr>
          <w:rFonts w:ascii="Calibri" w:eastAsia="Calibri" w:hAnsi="Calibri"/>
          <w:color w:val="000000" w:themeColor="text1"/>
          <w:szCs w:val="21"/>
        </w:rPr>
        <w:t>In</w:t>
      </w:r>
      <w:r w:rsidR="003751E6">
        <w:rPr>
          <w:rFonts w:ascii="Calibri" w:eastAsia="Calibri" w:hAnsi="Calibri"/>
          <w:color w:val="000000" w:themeColor="text1"/>
          <w:szCs w:val="21"/>
        </w:rPr>
        <w:t xml:space="preserve"> May</w:t>
      </w:r>
      <w:r w:rsidR="00CC091C">
        <w:rPr>
          <w:rFonts w:ascii="Calibri" w:eastAsia="Calibri" w:hAnsi="Calibri"/>
          <w:color w:val="000000" w:themeColor="text1"/>
          <w:szCs w:val="21"/>
        </w:rPr>
        <w:t xml:space="preserve"> and June </w:t>
      </w:r>
      <w:r>
        <w:rPr>
          <w:rFonts w:ascii="Calibri" w:eastAsia="Calibri" w:hAnsi="Calibri"/>
          <w:color w:val="000000" w:themeColor="text1"/>
          <w:szCs w:val="21"/>
        </w:rPr>
        <w:t>2023</w:t>
      </w:r>
      <w:r w:rsidR="00CC091C">
        <w:rPr>
          <w:rFonts w:ascii="Calibri" w:eastAsia="Calibri" w:hAnsi="Calibri"/>
          <w:color w:val="000000" w:themeColor="text1"/>
          <w:szCs w:val="21"/>
        </w:rPr>
        <w:t xml:space="preserve">, </w:t>
      </w:r>
      <w:r>
        <w:rPr>
          <w:rFonts w:ascii="Calibri" w:eastAsia="Calibri" w:hAnsi="Calibri"/>
          <w:color w:val="000000" w:themeColor="text1"/>
          <w:szCs w:val="21"/>
        </w:rPr>
        <w:t xml:space="preserve">we ran a consultation to ensure that the scope of the update reflects user needs. The consultation returned more than 50 submissions. </w:t>
      </w:r>
      <w:r w:rsidRPr="00BA2286">
        <w:rPr>
          <w:rFonts w:ascii="Calibri" w:eastAsia="Calibri" w:hAnsi="Calibri"/>
          <w:color w:val="000000" w:themeColor="text1"/>
          <w:szCs w:val="21"/>
        </w:rPr>
        <w:t xml:space="preserve">The survey revealed overwhelming support for </w:t>
      </w:r>
      <w:r>
        <w:rPr>
          <w:rFonts w:ascii="Calibri" w:eastAsia="Calibri" w:hAnsi="Calibri"/>
          <w:color w:val="000000" w:themeColor="text1"/>
          <w:szCs w:val="21"/>
        </w:rPr>
        <w:t xml:space="preserve">both </w:t>
      </w:r>
      <w:r w:rsidRPr="00BA2286">
        <w:rPr>
          <w:rFonts w:ascii="Calibri" w:eastAsia="Calibri" w:hAnsi="Calibri"/>
          <w:color w:val="000000" w:themeColor="text1"/>
          <w:szCs w:val="21"/>
        </w:rPr>
        <w:t>the update</w:t>
      </w:r>
      <w:r>
        <w:rPr>
          <w:rFonts w:ascii="Calibri" w:eastAsia="Calibri" w:hAnsi="Calibri"/>
          <w:color w:val="000000" w:themeColor="text1"/>
          <w:szCs w:val="21"/>
        </w:rPr>
        <w:t xml:space="preserve"> and the proposed approach outlined in the consultation paper</w:t>
      </w:r>
      <w:r w:rsidRPr="00BA2286">
        <w:rPr>
          <w:rFonts w:ascii="Calibri" w:eastAsia="Calibri" w:hAnsi="Calibri"/>
          <w:color w:val="000000" w:themeColor="text1"/>
          <w:szCs w:val="21"/>
        </w:rPr>
        <w:t xml:space="preserve">. </w:t>
      </w:r>
    </w:p>
    <w:p w14:paraId="43A738EF" w14:textId="001E7FF0" w:rsidR="0087135C" w:rsidRDefault="0087135C" w:rsidP="0087135C">
      <w:pPr>
        <w:rPr>
          <w:rFonts w:ascii="Calibri" w:eastAsia="Calibri" w:hAnsi="Calibri" w:cs="Calibri"/>
          <w:color w:val="000000" w:themeColor="text1"/>
          <w:szCs w:val="21"/>
        </w:rPr>
      </w:pPr>
      <w:r>
        <w:rPr>
          <w:rFonts w:ascii="Calibri" w:eastAsia="Calibri" w:hAnsi="Calibri" w:cs="Calibri"/>
          <w:color w:val="000000" w:themeColor="text1"/>
          <w:szCs w:val="21"/>
        </w:rPr>
        <w:t xml:space="preserve">This draft guidance reflects the approach outlined in the consultation paper and incorporates the feedback received from the survey along with the most recent climate science research, projections and observed data. </w:t>
      </w:r>
    </w:p>
    <w:p w14:paraId="013FFC60" w14:textId="73D56B9B" w:rsidR="0087135C" w:rsidRPr="007C3BD7" w:rsidRDefault="0087135C" w:rsidP="0087135C">
      <w:pPr>
        <w:rPr>
          <w:rFonts w:ascii="Calibri" w:hAnsi="Calibri" w:cs="Calibri"/>
          <w:color w:val="000000"/>
          <w:szCs w:val="21"/>
          <w:shd w:val="clear" w:color="auto" w:fill="FFFFFF"/>
        </w:rPr>
      </w:pPr>
      <w:r>
        <w:t xml:space="preserve">Your input on this draft guidance will </w:t>
      </w:r>
      <w:r>
        <w:rPr>
          <w:lang w:eastAsia="ja-JP"/>
        </w:rPr>
        <w:t xml:space="preserve">ensure the update reflects user needs before the document is finalised </w:t>
      </w:r>
      <w:proofErr w:type="spellStart"/>
      <w:r w:rsidR="0051053D">
        <w:t xml:space="preserve">mid </w:t>
      </w:r>
      <w:r>
        <w:t>2024</w:t>
      </w:r>
      <w:proofErr w:type="spellEnd"/>
      <w:r>
        <w:t>.</w:t>
      </w:r>
      <w:r>
        <w:rPr>
          <w:rStyle w:val="normaltextrun"/>
          <w:rFonts w:ascii="Calibri" w:hAnsi="Calibri" w:cs="Calibri"/>
          <w:color w:val="000000"/>
          <w:szCs w:val="21"/>
          <w:shd w:val="clear" w:color="auto" w:fill="FFFFFF"/>
        </w:rPr>
        <w:t xml:space="preserve"> </w:t>
      </w:r>
    </w:p>
    <w:p w14:paraId="0EC1904C" w14:textId="77777777" w:rsidR="0087135C" w:rsidRDefault="0087135C" w:rsidP="0087135C">
      <w:pPr>
        <w:pStyle w:val="Heading3"/>
        <w:numPr>
          <w:ilvl w:val="0"/>
          <w:numId w:val="0"/>
        </w:numPr>
        <w:ind w:left="964" w:hanging="964"/>
        <w:rPr>
          <w:lang w:eastAsia="ja-JP"/>
        </w:rPr>
      </w:pPr>
      <w:bookmarkStart w:id="4" w:name="_Toc153543605"/>
      <w:r>
        <w:rPr>
          <w:lang w:eastAsia="ja-JP"/>
        </w:rPr>
        <w:t xml:space="preserve">Have your </w:t>
      </w:r>
      <w:proofErr w:type="gramStart"/>
      <w:r>
        <w:rPr>
          <w:lang w:eastAsia="ja-JP"/>
        </w:rPr>
        <w:t>say</w:t>
      </w:r>
      <w:bookmarkEnd w:id="3"/>
      <w:bookmarkEnd w:id="4"/>
      <w:proofErr w:type="gramEnd"/>
    </w:p>
    <w:p w14:paraId="32C96789" w14:textId="65962286" w:rsidR="0087135C" w:rsidRPr="00F97D69" w:rsidRDefault="0087135C" w:rsidP="0087135C">
      <w:pPr>
        <w:pStyle w:val="ListBullet"/>
        <w:numPr>
          <w:ilvl w:val="0"/>
          <w:numId w:val="36"/>
        </w:numPr>
        <w:spacing w:line="256" w:lineRule="auto"/>
        <w:rPr>
          <w:lang w:eastAsia="ja-JP"/>
        </w:rPr>
      </w:pPr>
      <w:r w:rsidRPr="00F97D69">
        <w:t xml:space="preserve">Use this </w:t>
      </w:r>
      <w:hyperlink r:id="rId22" w:history="1">
        <w:r w:rsidRPr="00F84FA6">
          <w:rPr>
            <w:rStyle w:val="Hyperlink"/>
          </w:rPr>
          <w:t>LINK</w:t>
        </w:r>
      </w:hyperlink>
      <w:r w:rsidRPr="00F97D69">
        <w:t xml:space="preserve"> to answer questions</w:t>
      </w:r>
      <w:r w:rsidR="00364608" w:rsidRPr="00F97D69">
        <w:t>.</w:t>
      </w:r>
    </w:p>
    <w:p w14:paraId="7395D363" w14:textId="3C468C7B" w:rsidR="0087135C" w:rsidRDefault="00364608" w:rsidP="0087135C">
      <w:pPr>
        <w:pStyle w:val="ListBullet"/>
        <w:numPr>
          <w:ilvl w:val="0"/>
          <w:numId w:val="36"/>
        </w:numPr>
        <w:spacing w:line="256" w:lineRule="auto"/>
        <w:rPr>
          <w:lang w:eastAsia="ja-JP"/>
        </w:rPr>
      </w:pPr>
      <w:r>
        <w:t xml:space="preserve">You </w:t>
      </w:r>
      <w:r w:rsidR="0087135C">
        <w:t>will need to register or sign in to participate. Read our privacy notice before you register</w:t>
      </w:r>
      <w:r w:rsidR="002F3688">
        <w:t>.</w:t>
      </w:r>
    </w:p>
    <w:p w14:paraId="55DB72A4" w14:textId="5A31550E" w:rsidR="0087135C" w:rsidRDefault="002F3688" w:rsidP="0087135C">
      <w:pPr>
        <w:pStyle w:val="ListBullet"/>
        <w:numPr>
          <w:ilvl w:val="0"/>
          <w:numId w:val="36"/>
        </w:numPr>
        <w:spacing w:line="256" w:lineRule="auto"/>
        <w:rPr>
          <w:lang w:eastAsia="ja-JP"/>
        </w:rPr>
      </w:pPr>
      <w:r>
        <w:t xml:space="preserve">Before </w:t>
      </w:r>
      <w:r w:rsidR="0087135C">
        <w:t>you share your feedback, read this discussion paper</w:t>
      </w:r>
      <w:r>
        <w:t>.</w:t>
      </w:r>
    </w:p>
    <w:p w14:paraId="5EC9CE93" w14:textId="316F31F7" w:rsidR="0087135C" w:rsidRDefault="00A101CC" w:rsidP="0087135C">
      <w:pPr>
        <w:pStyle w:val="ListBullet"/>
        <w:numPr>
          <w:ilvl w:val="0"/>
          <w:numId w:val="36"/>
        </w:numPr>
        <w:spacing w:line="256" w:lineRule="auto"/>
        <w:rPr>
          <w:lang w:eastAsia="ja-JP"/>
        </w:rPr>
      </w:pPr>
      <w:r>
        <w:t xml:space="preserve">We </w:t>
      </w:r>
      <w:r w:rsidR="0087135C">
        <w:t xml:space="preserve">have included questions for you to consider. You may address all or some of </w:t>
      </w:r>
      <w:proofErr w:type="gramStart"/>
      <w:r w:rsidR="0087135C">
        <w:t>these, or</w:t>
      </w:r>
      <w:proofErr w:type="gramEnd"/>
      <w:r w:rsidR="0087135C">
        <w:t xml:space="preserve"> provide more general comments</w:t>
      </w:r>
      <w:r>
        <w:t>.</w:t>
      </w:r>
    </w:p>
    <w:p w14:paraId="7F06C4CD" w14:textId="067F3D56" w:rsidR="0087135C" w:rsidRDefault="00F033FD" w:rsidP="0087135C">
      <w:pPr>
        <w:pStyle w:val="ListBullet"/>
        <w:numPr>
          <w:ilvl w:val="0"/>
          <w:numId w:val="36"/>
        </w:numPr>
        <w:spacing w:line="256" w:lineRule="auto"/>
        <w:rPr>
          <w:lang w:eastAsia="ja-JP"/>
        </w:rPr>
      </w:pPr>
      <w:r>
        <w:t xml:space="preserve">Ensure </w:t>
      </w:r>
      <w:r w:rsidR="0087135C">
        <w:t xml:space="preserve">you provide your feedback by 5 pm (AEDT) on </w:t>
      </w:r>
      <w:r w:rsidR="00A83B9D">
        <w:t>1</w:t>
      </w:r>
      <w:r w:rsidR="00FB4D52">
        <w:t>2 February</w:t>
      </w:r>
      <w:r w:rsidR="0087135C">
        <w:t xml:space="preserve"> 2024.</w:t>
      </w:r>
    </w:p>
    <w:p w14:paraId="41B8DFCA" w14:textId="77777777" w:rsidR="0087135C" w:rsidRDefault="0087135C" w:rsidP="0087135C">
      <w:pPr>
        <w:pStyle w:val="Heading3"/>
        <w:numPr>
          <w:ilvl w:val="0"/>
          <w:numId w:val="0"/>
        </w:numPr>
        <w:ind w:left="964" w:hanging="964"/>
        <w:rPr>
          <w:lang w:eastAsia="ja-JP"/>
        </w:rPr>
      </w:pPr>
      <w:bookmarkStart w:id="5" w:name="_Toc132794312"/>
      <w:bookmarkStart w:id="6" w:name="_Toc153543606"/>
      <w:r>
        <w:rPr>
          <w:lang w:eastAsia="ja-JP"/>
        </w:rPr>
        <w:t>Next steps</w:t>
      </w:r>
      <w:bookmarkEnd w:id="5"/>
      <w:bookmarkEnd w:id="6"/>
    </w:p>
    <w:p w14:paraId="4C651758" w14:textId="15D9AC83" w:rsidR="003D79C4" w:rsidRDefault="0087135C" w:rsidP="003D79C4">
      <w:r>
        <w:t xml:space="preserve">Your ideas will help us to incorporate user needs into the update of the </w:t>
      </w:r>
      <w:r w:rsidRPr="001B4794">
        <w:rPr>
          <w:i/>
          <w:iCs/>
        </w:rPr>
        <w:t>Climate Change Considerations</w:t>
      </w:r>
      <w:r>
        <w:t xml:space="preserve"> chapter of ARR. We may contact you to seek more information about your submission. </w:t>
      </w:r>
      <w:r w:rsidR="003D79C4">
        <w:t xml:space="preserve"> We will use the feedback provided to finalise the draft chapter. We expect to publish this in the first half of 2024. </w:t>
      </w:r>
    </w:p>
    <w:p w14:paraId="6C6E10D6" w14:textId="5D3D6688" w:rsidR="0087135C" w:rsidRDefault="0087135C" w:rsidP="0087135C"/>
    <w:p w14:paraId="7D488A24" w14:textId="77777777" w:rsidR="0087135C" w:rsidRDefault="0087135C" w:rsidP="0087135C">
      <w:pPr>
        <w:pStyle w:val="Heading3"/>
        <w:numPr>
          <w:ilvl w:val="0"/>
          <w:numId w:val="0"/>
        </w:numPr>
        <w:ind w:left="964" w:hanging="964"/>
        <w:rPr>
          <w:lang w:eastAsia="ja-JP"/>
        </w:rPr>
      </w:pPr>
      <w:bookmarkStart w:id="7" w:name="_Toc132794313"/>
      <w:bookmarkStart w:id="8" w:name="_Toc153543607"/>
      <w:r>
        <w:rPr>
          <w:lang w:eastAsia="ja-JP"/>
        </w:rPr>
        <w:t>Contacts</w:t>
      </w:r>
      <w:bookmarkEnd w:id="7"/>
      <w:bookmarkEnd w:id="8"/>
    </w:p>
    <w:p w14:paraId="195838CB" w14:textId="76BCDDF6" w:rsidR="0087135C" w:rsidRPr="0087135C" w:rsidRDefault="0087135C" w:rsidP="0087135C">
      <w:pPr>
        <w:rPr>
          <w:rFonts w:ascii="Calibri" w:eastAsia="Calibri" w:hAnsi="Calibri" w:cs="Calibri"/>
          <w:color w:val="000000" w:themeColor="text1"/>
          <w:szCs w:val="21"/>
        </w:rPr>
      </w:pPr>
      <w:r>
        <w:rPr>
          <w:lang w:eastAsia="ja-JP"/>
        </w:rPr>
        <w:t>For information about the update of</w:t>
      </w:r>
      <w:r>
        <w:rPr>
          <w:rFonts w:ascii="Calibri" w:eastAsia="Calibri" w:hAnsi="Calibri" w:cs="Calibri"/>
          <w:color w:val="000000" w:themeColor="text1"/>
          <w:szCs w:val="21"/>
        </w:rPr>
        <w:t xml:space="preserve"> </w:t>
      </w:r>
      <w:r w:rsidRPr="005E513D">
        <w:rPr>
          <w:rFonts w:ascii="Calibri" w:eastAsia="Calibri" w:hAnsi="Calibri" w:cs="Calibri"/>
          <w:color w:val="000000" w:themeColor="text1"/>
          <w:szCs w:val="21"/>
        </w:rPr>
        <w:t>the Climate Change Considerations</w:t>
      </w:r>
      <w:r>
        <w:rPr>
          <w:rFonts w:ascii="Calibri" w:eastAsia="Calibri" w:hAnsi="Calibri" w:cs="Calibri"/>
          <w:color w:val="000000" w:themeColor="text1"/>
          <w:szCs w:val="21"/>
        </w:rPr>
        <w:t xml:space="preserve"> chapter of</w:t>
      </w:r>
      <w:r w:rsidRPr="002C5DB1">
        <w:rPr>
          <w:rFonts w:ascii="Calibri" w:eastAsia="Calibri" w:hAnsi="Calibri" w:cs="Calibri"/>
          <w:color w:val="000000" w:themeColor="text1"/>
          <w:szCs w:val="21"/>
        </w:rPr>
        <w:t xml:space="preserve"> </w:t>
      </w:r>
      <w:r>
        <w:rPr>
          <w:rFonts w:ascii="Calibri" w:eastAsia="Calibri" w:hAnsi="Calibri" w:cs="Calibri"/>
          <w:i/>
          <w:iCs/>
          <w:color w:val="000000" w:themeColor="text1"/>
          <w:szCs w:val="21"/>
        </w:rPr>
        <w:t>Australian Rainfall and Runoff</w:t>
      </w:r>
      <w:r w:rsidRPr="007E5C2E">
        <w:rPr>
          <w:rFonts w:ascii="Calibri" w:eastAsia="Calibri" w:hAnsi="Calibri" w:cs="Calibri"/>
          <w:i/>
          <w:iCs/>
          <w:color w:val="000000" w:themeColor="text1"/>
          <w:szCs w:val="21"/>
        </w:rPr>
        <w:t>: A Guide to Flood Estimation</w:t>
      </w:r>
      <w:r w:rsidR="006E5164">
        <w:rPr>
          <w:rFonts w:ascii="Calibri" w:eastAsia="Calibri" w:hAnsi="Calibri" w:cs="Calibri"/>
          <w:i/>
          <w:iCs/>
          <w:color w:val="000000" w:themeColor="text1"/>
          <w:szCs w:val="21"/>
        </w:rPr>
        <w:t>,</w:t>
      </w:r>
      <w:r>
        <w:rPr>
          <w:rFonts w:ascii="Calibri" w:eastAsia="Calibri" w:hAnsi="Calibri" w:cs="Calibri"/>
          <w:color w:val="000000" w:themeColor="text1"/>
          <w:szCs w:val="21"/>
        </w:rPr>
        <w:t xml:space="preserve"> please email </w:t>
      </w:r>
      <w:hyperlink r:id="rId23" w:history="1">
        <w:r w:rsidRPr="00B4105B">
          <w:rPr>
            <w:rStyle w:val="Hyperlink"/>
            <w:rFonts w:ascii="Calibri" w:eastAsia="Calibri" w:hAnsi="Calibri" w:cs="Calibri"/>
            <w:szCs w:val="21"/>
          </w:rPr>
          <w:t>climate.science@dcceew.gov.au</w:t>
        </w:r>
      </w:hyperlink>
      <w:r>
        <w:rPr>
          <w:rStyle w:val="Hyperlink"/>
          <w:rFonts w:ascii="Calibri" w:eastAsia="Calibri" w:hAnsi="Calibri" w:cs="Calibri"/>
          <w:szCs w:val="21"/>
        </w:rPr>
        <w:t>.</w:t>
      </w:r>
      <w:r>
        <w:br w:type="page"/>
      </w:r>
    </w:p>
    <w:p w14:paraId="1C706F5E" w14:textId="4D06CFA1" w:rsidR="00764D6A" w:rsidRDefault="00C93EFA" w:rsidP="00CB2439">
      <w:pPr>
        <w:pStyle w:val="Heading2"/>
      </w:pPr>
      <w:bookmarkStart w:id="9" w:name="_Toc153543608"/>
      <w:r>
        <w:lastRenderedPageBreak/>
        <w:t>Introduction</w:t>
      </w:r>
      <w:bookmarkEnd w:id="9"/>
    </w:p>
    <w:p w14:paraId="1FC6AF66" w14:textId="77777777" w:rsidR="00085DC5" w:rsidRPr="00280513" w:rsidRDefault="00085DC5" w:rsidP="00085DC5">
      <w:pPr>
        <w:pStyle w:val="BoxText"/>
        <w:rPr>
          <w:b/>
          <w:bCs/>
          <w:sz w:val="22"/>
        </w:rPr>
      </w:pPr>
      <w:r w:rsidRPr="00280513">
        <w:rPr>
          <w:b/>
          <w:bCs/>
          <w:sz w:val="22"/>
        </w:rPr>
        <w:t>Key messages</w:t>
      </w:r>
    </w:p>
    <w:p w14:paraId="24439035" w14:textId="77777777" w:rsidR="00085DC5" w:rsidRPr="00280513" w:rsidRDefault="00085DC5" w:rsidP="00085DC5">
      <w:pPr>
        <w:pStyle w:val="BoxText"/>
        <w:rPr>
          <w:sz w:val="22"/>
        </w:rPr>
      </w:pPr>
      <w:r w:rsidRPr="00280513">
        <w:rPr>
          <w:sz w:val="22"/>
        </w:rPr>
        <w:t>Because our climate is changing, unadjusted historical observations are no longer a suitable basis for design flood estimation: they must be adjusted to reflect the impacts of rising global temperatures. This chapter provides guidance on how to do this. It is based on systematic review and meta-analysis of recent science that was developed to support the update.</w:t>
      </w:r>
    </w:p>
    <w:p w14:paraId="3ECEB4D1" w14:textId="77777777" w:rsidR="00A90D19" w:rsidRPr="00A90D19" w:rsidRDefault="00A90D19" w:rsidP="00A90D19">
      <w:pPr>
        <w:pStyle w:val="Heading3"/>
      </w:pPr>
      <w:bookmarkStart w:id="10" w:name="_Toc153543609"/>
      <w:bookmarkStart w:id="11" w:name="_Toc153543610"/>
      <w:bookmarkStart w:id="12" w:name="_Toc153543611"/>
      <w:bookmarkEnd w:id="10"/>
      <w:bookmarkEnd w:id="11"/>
      <w:r w:rsidRPr="00A90D19">
        <w:t>Scientific basis and current guidance</w:t>
      </w:r>
      <w:bookmarkEnd w:id="12"/>
    </w:p>
    <w:p w14:paraId="1A2EB1F6" w14:textId="5C5BB158" w:rsidR="00A90D19" w:rsidRDefault="00A90D19" w:rsidP="00A90D19">
      <w:r>
        <w:t xml:space="preserve">There is unequivocal evidence that greenhouse gas emissions have caused global warming. The Intergovernmental Panel on Climate Change’s </w:t>
      </w:r>
      <w:r w:rsidR="00211E4E">
        <w:t xml:space="preserve">sixth </w:t>
      </w:r>
      <w:r>
        <w:t>assessment report concluded that global surface temperatures have reached 1.1</w:t>
      </w:r>
      <w:r w:rsidRPr="2A38AF31">
        <w:t>°</w:t>
      </w:r>
      <w:r>
        <w:t>C above pre-industrial levels, with significant further warming expected (IPCC 2023). This warming is causing an increase in many drivers of flood risk, including an intensification of extreme rainfall events and the elevation of average and extreme sea levels (IPCC 2023).</w:t>
      </w:r>
    </w:p>
    <w:p w14:paraId="0C6DDD79" w14:textId="386EF327" w:rsidR="00A90D19" w:rsidRDefault="00A90D19" w:rsidP="00A90D19">
      <w:r>
        <w:t>Traditionally design flood estimation has assumed that historical observations are representative of current and future conditions. This is no longer the case. Records on historical flooding or flood drivers (</w:t>
      </w:r>
      <w:r w:rsidR="00B34175">
        <w:t>such as</w:t>
      </w:r>
      <w:r>
        <w:t xml:space="preserve"> extreme rainfall or sea level) can no longer be assumed to provide a direct analogue of </w:t>
      </w:r>
      <w:r w:rsidRPr="00F25AC8">
        <w:t xml:space="preserve">current or future flood risk. There is now a requirement to account for non-stationarity in flood loading conditions to </w:t>
      </w:r>
      <w:r w:rsidRPr="00651F4C">
        <w:t xml:space="preserve">assess </w:t>
      </w:r>
      <w:r w:rsidRPr="00F25AC8">
        <w:t>current risks, as well as risks over the expected service life of the project.</w:t>
      </w:r>
      <w:r>
        <w:t xml:space="preserve"> </w:t>
      </w:r>
    </w:p>
    <w:p w14:paraId="1D7DB943" w14:textId="1A7BDD01" w:rsidR="0028465E" w:rsidRDefault="00A90D19" w:rsidP="0028465E">
      <w:r>
        <w:t>This chapter provides practitioners, designers, and decision makers with guidance on how to assess the changing risks due to climate change on design flood characteristics.</w:t>
      </w:r>
      <w:r w:rsidR="00FD4FEA">
        <w:t xml:space="preserve"> As with the rest of ARR,</w:t>
      </w:r>
      <w:r w:rsidR="00FD4FEA" w:rsidRPr="00CC0AA4">
        <w:t xml:space="preserve"> the </w:t>
      </w:r>
      <w:r w:rsidR="00FD4FEA">
        <w:t xml:space="preserve">content </w:t>
      </w:r>
      <w:r w:rsidR="00FD4FEA" w:rsidRPr="00CC0AA4">
        <w:t xml:space="preserve">is advisory and not </w:t>
      </w:r>
      <w:r w:rsidR="00FD4FEA">
        <w:t>prescriptive</w:t>
      </w:r>
      <w:r w:rsidR="00FD4FEA" w:rsidRPr="00CC0AA4">
        <w:t xml:space="preserve"> or a substitute for regulation</w:t>
      </w:r>
      <w:r w:rsidR="00FD4FEA">
        <w:t xml:space="preserve">. </w:t>
      </w:r>
    </w:p>
    <w:p w14:paraId="646B906E" w14:textId="058D4419" w:rsidR="00BD234E" w:rsidRDefault="0054748A" w:rsidP="00F25AC8">
      <w:pPr>
        <w:pStyle w:val="Heading3"/>
      </w:pPr>
      <w:bookmarkStart w:id="13" w:name="_Toc153543612"/>
      <w:r>
        <w:t>Key updates to existing guidance</w:t>
      </w:r>
      <w:bookmarkEnd w:id="13"/>
    </w:p>
    <w:p w14:paraId="2C556E66" w14:textId="73B23E4C" w:rsidR="00A90D19" w:rsidRDefault="00A90D19" w:rsidP="00A90D19">
      <w:r>
        <w:t xml:space="preserve">This chapter replaces the 2019 edition of the Climate Change Considerations chapter (Bates et al. 2019) in </w:t>
      </w:r>
      <w:r w:rsidRPr="00B64F39">
        <w:t>Book 1, Chapter 6</w:t>
      </w:r>
      <w:r w:rsidRPr="00A90E07">
        <w:t xml:space="preserve"> </w:t>
      </w:r>
      <w:r>
        <w:t xml:space="preserve">of </w:t>
      </w:r>
      <w:r w:rsidRPr="00B64F39">
        <w:rPr>
          <w:i/>
          <w:iCs/>
        </w:rPr>
        <w:t>Australian Rainfall and Runoff</w:t>
      </w:r>
      <w:r>
        <w:t xml:space="preserve"> (ARR) (Ball et al</w:t>
      </w:r>
      <w:r w:rsidR="00302F98">
        <w:t>.</w:t>
      </w:r>
      <w:r>
        <w:t xml:space="preserve"> 2019). </w:t>
      </w:r>
      <w:r w:rsidR="00983E18">
        <w:t>T</w:t>
      </w:r>
      <w:r>
        <w:t>his chapter provides guidance that reflects the contemporary science, is applicable across the range of design flood approaches, an</w:t>
      </w:r>
      <w:r w:rsidRPr="00F25AC8">
        <w:t xml:space="preserve">d facilitates consistent application of climate change in design flood estimation. </w:t>
      </w:r>
      <w:r>
        <w:t>This guidance is based on an extensive and rigorous systematic review and meta-analysis of over 300 distinct peer</w:t>
      </w:r>
      <w:r w:rsidR="00AE3F4D">
        <w:t>-</w:t>
      </w:r>
      <w:r>
        <w:t>reviewed scientific studies published largely from 2011 onwards. For further information on the scientific basis for this guidance</w:t>
      </w:r>
      <w:r w:rsidR="009E461C">
        <w:t>,</w:t>
      </w:r>
      <w:r>
        <w:t xml:space="preserve"> readers are referred to Wasko et al</w:t>
      </w:r>
      <w:r w:rsidR="00302F98">
        <w:t>.</w:t>
      </w:r>
      <w:r>
        <w:t xml:space="preserve"> (202</w:t>
      </w:r>
      <w:r w:rsidR="004D5AF3">
        <w:t>3</w:t>
      </w:r>
      <w:r>
        <w:t xml:space="preserve">). </w:t>
      </w:r>
      <w:r w:rsidRPr="00F25AC8">
        <w:t>Key differences from the 2019 edition of Clima</w:t>
      </w:r>
      <w:r>
        <w:t>te Change Consideration include:</w:t>
      </w:r>
    </w:p>
    <w:p w14:paraId="6478F8F9" w14:textId="79172037" w:rsidR="00A90D19" w:rsidRPr="001C5F95" w:rsidRDefault="00CC1057" w:rsidP="00A90D19">
      <w:pPr>
        <w:pStyle w:val="ListParagraph"/>
        <w:numPr>
          <w:ilvl w:val="0"/>
          <w:numId w:val="57"/>
        </w:numPr>
      </w:pPr>
      <w:r>
        <w:t>r</w:t>
      </w:r>
      <w:r w:rsidRPr="00F25AC8">
        <w:t xml:space="preserve">ecognition </w:t>
      </w:r>
      <w:r w:rsidR="00A90D19" w:rsidRPr="00F25AC8">
        <w:t xml:space="preserve">that global temperatures have increased over the historical period used to </w:t>
      </w:r>
      <w:r w:rsidR="00A90D19" w:rsidRPr="001C5F95">
        <w:t xml:space="preserve">derive design rainfall </w:t>
      </w:r>
      <w:proofErr w:type="gramStart"/>
      <w:r w:rsidR="00A90D19" w:rsidRPr="001C5F95">
        <w:t>information</w:t>
      </w:r>
      <w:proofErr w:type="gramEnd"/>
    </w:p>
    <w:p w14:paraId="3E05DD46" w14:textId="719025C6" w:rsidR="009728DB" w:rsidRPr="001C5F95" w:rsidRDefault="00363445" w:rsidP="00A90D19">
      <w:pPr>
        <w:pStyle w:val="ListParagraph"/>
        <w:numPr>
          <w:ilvl w:val="0"/>
          <w:numId w:val="57"/>
        </w:numPr>
      </w:pPr>
      <w:r>
        <w:t>a</w:t>
      </w:r>
      <w:r w:rsidR="009728DB" w:rsidRPr="001C5F95">
        <w:t xml:space="preserve"> recommendation to adjust 2016 IFDs to present current climate </w:t>
      </w:r>
      <w:proofErr w:type="gramStart"/>
      <w:r w:rsidR="009728DB" w:rsidRPr="001C5F95">
        <w:t>conditions</w:t>
      </w:r>
      <w:proofErr w:type="gramEnd"/>
    </w:p>
    <w:p w14:paraId="0FF451F6" w14:textId="6A4A0C9E" w:rsidR="00A90D19" w:rsidRPr="00F25AC8" w:rsidRDefault="00363445" w:rsidP="00A90D19">
      <w:pPr>
        <w:pStyle w:val="ListParagraph"/>
        <w:numPr>
          <w:ilvl w:val="0"/>
          <w:numId w:val="57"/>
        </w:numPr>
      </w:pPr>
      <w:r>
        <w:t>p</w:t>
      </w:r>
      <w:r w:rsidR="00A90D19" w:rsidRPr="00F25AC8">
        <w:t xml:space="preserve">rovision of information to support a range of approaches to </w:t>
      </w:r>
      <w:proofErr w:type="gramStart"/>
      <w:r w:rsidR="00A90D19" w:rsidRPr="00F25AC8">
        <w:t>decision</w:t>
      </w:r>
      <w:r w:rsidR="00E87436">
        <w:t>-</w:t>
      </w:r>
      <w:r w:rsidR="00A90D19" w:rsidRPr="00F25AC8">
        <w:t>making</w:t>
      </w:r>
      <w:proofErr w:type="gramEnd"/>
    </w:p>
    <w:p w14:paraId="2AF8F441" w14:textId="180CD50F" w:rsidR="00A90D19" w:rsidRPr="00F25AC8" w:rsidRDefault="00363445" w:rsidP="00A90D19">
      <w:pPr>
        <w:pStyle w:val="ListParagraph"/>
        <w:numPr>
          <w:ilvl w:val="0"/>
          <w:numId w:val="57"/>
        </w:numPr>
      </w:pPr>
      <w:r>
        <w:t>p</w:t>
      </w:r>
      <w:r w:rsidR="00A90D19" w:rsidRPr="00F25AC8">
        <w:t xml:space="preserve">rovision of guidance across the range of </w:t>
      </w:r>
      <w:r w:rsidR="00A90D19">
        <w:t>Annual Exceedance Probability (</w:t>
      </w:r>
      <w:r w:rsidR="00A90D19" w:rsidRPr="00F25AC8">
        <w:t>AEP</w:t>
      </w:r>
      <w:r w:rsidR="00A90D19">
        <w:t>)</w:t>
      </w:r>
      <w:r w:rsidR="00A90D19" w:rsidRPr="00F25AC8">
        <w:t xml:space="preserve"> considered in </w:t>
      </w:r>
      <w:r w:rsidR="00F94F2D" w:rsidRPr="00B35558">
        <w:t>ARR</w:t>
      </w:r>
      <w:r w:rsidR="00A90D19" w:rsidRPr="00F94F2D">
        <w:t xml:space="preserve"> </w:t>
      </w:r>
      <w:r w:rsidR="00A90D19" w:rsidRPr="00F25AC8">
        <w:t xml:space="preserve">up to and including the </w:t>
      </w:r>
      <w:r w:rsidR="00A90D19">
        <w:t>Probable Maximum Precipitation (</w:t>
      </w:r>
      <w:r w:rsidR="00A90D19" w:rsidRPr="00F25AC8">
        <w:t>PMP</w:t>
      </w:r>
      <w:r w:rsidR="00A90D19">
        <w:t>)</w:t>
      </w:r>
    </w:p>
    <w:p w14:paraId="2BBF29B2" w14:textId="6E4C9C68" w:rsidR="00A90D19" w:rsidRPr="00F25AC8" w:rsidRDefault="00363445" w:rsidP="00A90D19">
      <w:pPr>
        <w:pStyle w:val="ListParagraph"/>
        <w:numPr>
          <w:ilvl w:val="0"/>
          <w:numId w:val="57"/>
        </w:numPr>
      </w:pPr>
      <w:r>
        <w:t>p</w:t>
      </w:r>
      <w:r w:rsidR="00A90D19" w:rsidRPr="00F25AC8">
        <w:t>rovision of uncertainty estimates</w:t>
      </w:r>
    </w:p>
    <w:p w14:paraId="5FAF6176" w14:textId="689BAF0C" w:rsidR="00A90D19" w:rsidRPr="00F25AC8" w:rsidRDefault="00363445" w:rsidP="00A90D19">
      <w:pPr>
        <w:pStyle w:val="ListParagraph"/>
        <w:numPr>
          <w:ilvl w:val="0"/>
          <w:numId w:val="57"/>
        </w:numPr>
      </w:pPr>
      <w:r>
        <w:t>c</w:t>
      </w:r>
      <w:r w:rsidR="00A90D19" w:rsidRPr="00F25AC8">
        <w:t>onsideration of additional factors that influence design flood estimates</w:t>
      </w:r>
      <w:r w:rsidR="00E87436">
        <w:t>;</w:t>
      </w:r>
      <w:r w:rsidR="00E87436" w:rsidRPr="00F25AC8">
        <w:t xml:space="preserve"> </w:t>
      </w:r>
      <w:r w:rsidR="00A90D19" w:rsidRPr="00F25AC8">
        <w:t>that is</w:t>
      </w:r>
      <w:r w:rsidR="00E87436">
        <w:t>,</w:t>
      </w:r>
      <w:r w:rsidR="00A90D19" w:rsidRPr="00F25AC8">
        <w:t xml:space="preserve"> changes in rainfall losses, temporal patterns, and sea level rise.</w:t>
      </w:r>
    </w:p>
    <w:p w14:paraId="75C9B9E2" w14:textId="77777777" w:rsidR="00A90D19" w:rsidRDefault="00A90D19" w:rsidP="00BF70C2"/>
    <w:p w14:paraId="0DFEDFE9" w14:textId="7C7B4F4B" w:rsidR="00196878" w:rsidRDefault="00187BA8" w:rsidP="00BF70C2">
      <w:r>
        <w:lastRenderedPageBreak/>
        <w:t>T</w:t>
      </w:r>
      <w:r w:rsidR="00196878">
        <w:t xml:space="preserve">his chapter is structured as follows: </w:t>
      </w:r>
    </w:p>
    <w:p w14:paraId="19445148" w14:textId="36D48C6B" w:rsidR="00196878" w:rsidRDefault="00D90703" w:rsidP="00D90703">
      <w:pPr>
        <w:pStyle w:val="ListParagraph"/>
        <w:numPr>
          <w:ilvl w:val="0"/>
          <w:numId w:val="52"/>
        </w:numPr>
      </w:pPr>
      <w:r>
        <w:t xml:space="preserve">Section 2 discusses the </w:t>
      </w:r>
      <w:r w:rsidR="00963F5D">
        <w:t xml:space="preserve">2 </w:t>
      </w:r>
      <w:r w:rsidR="004C0144">
        <w:t>primary types</w:t>
      </w:r>
      <w:r>
        <w:t xml:space="preserve"> of uncertainty exacerbated by climate change that are relevant to flood design</w:t>
      </w:r>
      <w:r w:rsidR="003108BC">
        <w:t>.</w:t>
      </w:r>
    </w:p>
    <w:p w14:paraId="1C3AD3C7" w14:textId="3B45DC27" w:rsidR="00D90703" w:rsidRDefault="00137A4F" w:rsidP="001F0E21">
      <w:pPr>
        <w:pStyle w:val="ListParagraph"/>
        <w:numPr>
          <w:ilvl w:val="0"/>
          <w:numId w:val="52"/>
        </w:numPr>
      </w:pPr>
      <w:r>
        <w:t>Section 3 covers</w:t>
      </w:r>
      <w:r w:rsidR="00B978E4">
        <w:t xml:space="preserve"> how climate change affects design </w:t>
      </w:r>
      <w:r>
        <w:t>flood estimation methods</w:t>
      </w:r>
      <w:r w:rsidR="00B978E4">
        <w:t xml:space="preserve"> more broadly</w:t>
      </w:r>
      <w:r w:rsidR="003108BC">
        <w:t>.</w:t>
      </w:r>
    </w:p>
    <w:p w14:paraId="68FF685A" w14:textId="05495F3D" w:rsidR="00137A4F" w:rsidRDefault="007B3B72" w:rsidP="001F0E21">
      <w:pPr>
        <w:pStyle w:val="ListParagraph"/>
        <w:numPr>
          <w:ilvl w:val="0"/>
          <w:numId w:val="52"/>
        </w:numPr>
      </w:pPr>
      <w:r>
        <w:t xml:space="preserve">Section 4 describes how to account for climate change in </w:t>
      </w:r>
      <w:r w:rsidR="00181245">
        <w:t>the</w:t>
      </w:r>
      <w:r>
        <w:t xml:space="preserve"> key aspects of event-based </w:t>
      </w:r>
      <w:r w:rsidR="00181245">
        <w:t xml:space="preserve">design </w:t>
      </w:r>
      <w:r>
        <w:t xml:space="preserve">flood </w:t>
      </w:r>
      <w:r w:rsidR="00181245">
        <w:t>estimation, with t</w:t>
      </w:r>
      <w:r>
        <w:t xml:space="preserve">he </w:t>
      </w:r>
      <w:r w:rsidR="00C309F0">
        <w:t xml:space="preserve">recommendations </w:t>
      </w:r>
      <w:r>
        <w:t xml:space="preserve">linked to the worked examples in </w:t>
      </w:r>
      <w:r w:rsidR="00C309F0">
        <w:t>S</w:t>
      </w:r>
      <w:r>
        <w:t>ection 6</w:t>
      </w:r>
      <w:r w:rsidR="003108BC">
        <w:t>.</w:t>
      </w:r>
    </w:p>
    <w:p w14:paraId="53BBF1F6" w14:textId="6E830179" w:rsidR="000E48ED" w:rsidRDefault="009B6450" w:rsidP="001F0E21">
      <w:pPr>
        <w:pStyle w:val="ListParagraph"/>
        <w:numPr>
          <w:ilvl w:val="0"/>
          <w:numId w:val="52"/>
        </w:numPr>
      </w:pPr>
      <w:r>
        <w:t xml:space="preserve">Section 5 </w:t>
      </w:r>
      <w:r w:rsidR="00C309F0">
        <w:t xml:space="preserve">presents </w:t>
      </w:r>
      <w:r w:rsidR="00413DC2">
        <w:t>upd</w:t>
      </w:r>
      <w:r w:rsidR="00284CBA">
        <w:t xml:space="preserve">ates </w:t>
      </w:r>
      <w:r w:rsidR="00B65939">
        <w:t>to</w:t>
      </w:r>
      <w:r w:rsidR="00972B62">
        <w:t xml:space="preserve"> the climate change considerations chapter</w:t>
      </w:r>
      <w:r w:rsidR="003108BC">
        <w:t>.</w:t>
      </w:r>
    </w:p>
    <w:p w14:paraId="589D2F74" w14:textId="3AE11B98" w:rsidR="00972B62" w:rsidRDefault="00150CAA" w:rsidP="001F0E21">
      <w:pPr>
        <w:pStyle w:val="ListParagraph"/>
        <w:numPr>
          <w:ilvl w:val="0"/>
          <w:numId w:val="52"/>
        </w:numPr>
      </w:pPr>
      <w:r>
        <w:t xml:space="preserve">Section 6 </w:t>
      </w:r>
      <w:r w:rsidR="00F25AC8">
        <w:t>provides</w:t>
      </w:r>
      <w:r w:rsidR="00460D93">
        <w:t xml:space="preserve"> worked examples of the guidance presented in Section 4.</w:t>
      </w:r>
    </w:p>
    <w:p w14:paraId="2AACDEA1" w14:textId="5E6B95A5" w:rsidR="001A6DF7" w:rsidRDefault="001A6DF7" w:rsidP="001A6DF7">
      <w:pPr>
        <w:pStyle w:val="Heading2"/>
      </w:pPr>
      <w:bookmarkStart w:id="14" w:name="_Toc153543613"/>
      <w:r>
        <w:lastRenderedPageBreak/>
        <w:t>Decision contexts for flood guidance</w:t>
      </w:r>
      <w:bookmarkEnd w:id="14"/>
    </w:p>
    <w:p w14:paraId="2EC2582F" w14:textId="77777777" w:rsidR="00F1489B" w:rsidRPr="00F1489B" w:rsidRDefault="00F1489B" w:rsidP="00F1489B">
      <w:pPr>
        <w:pStyle w:val="BoxText"/>
        <w:rPr>
          <w:b/>
          <w:bCs/>
        </w:rPr>
      </w:pPr>
      <w:r w:rsidRPr="00F1489B">
        <w:rPr>
          <w:b/>
          <w:bCs/>
        </w:rPr>
        <w:t>Key messages</w:t>
      </w:r>
    </w:p>
    <w:p w14:paraId="02165B89" w14:textId="3A5E174C" w:rsidR="00F1489B" w:rsidRPr="00952322" w:rsidRDefault="00F1489B" w:rsidP="00F1489B">
      <w:pPr>
        <w:pStyle w:val="BoxText"/>
        <w:rPr>
          <w:b/>
          <w:bCs/>
        </w:rPr>
      </w:pPr>
      <w:r w:rsidRPr="00142C78">
        <w:t xml:space="preserve">Climate variability heavily influences the risks of flooding from one </w:t>
      </w:r>
      <w:proofErr w:type="gramStart"/>
      <w:r w:rsidRPr="00142C78">
        <w:t>time period</w:t>
      </w:r>
      <w:proofErr w:type="gramEnd"/>
      <w:r w:rsidRPr="00142C78">
        <w:t xml:space="preserve"> to the next (‘aleatory uncertainty’) and these risks will shift under climate change. There is considerable uncertainty associated with future global emissions and the physical effects of these emissions on flood drivers increases the uncertainty of design flood estimates (‘epistemic uncertainty’). A user needs to choose their approach to design flood estimation in the context of these </w:t>
      </w:r>
      <w:r w:rsidR="00CB6339">
        <w:t>2</w:t>
      </w:r>
      <w:r w:rsidR="00CB6339" w:rsidRPr="00142C78">
        <w:t xml:space="preserve"> </w:t>
      </w:r>
      <w:r w:rsidRPr="00142C78">
        <w:t>sources of uncertainty.</w:t>
      </w:r>
    </w:p>
    <w:p w14:paraId="73904086" w14:textId="26825848" w:rsidR="00B530E5" w:rsidRDefault="00E66A71" w:rsidP="00B530E5">
      <w:r w:rsidRPr="00B35558">
        <w:t>ARR</w:t>
      </w:r>
      <w:r w:rsidR="00B530E5">
        <w:t xml:space="preserve"> provides guidance to support the estimation of design floods that inform either standards-based design criteria (such as designing to the 1% AEP standard) or risk-based approaches that seek to understand flood behaviour across a range of flood magnitudes up to and including the Probable Maximum Flood (PMF) (see </w:t>
      </w:r>
      <w:r w:rsidR="00B530E5" w:rsidRPr="001412B1">
        <w:t>Book 1 Chapter 5</w:t>
      </w:r>
      <w:r w:rsidR="00B530E5">
        <w:t xml:space="preserve"> for more detail). Guidance in </w:t>
      </w:r>
      <w:r w:rsidRPr="00280513">
        <w:t>ARR</w:t>
      </w:r>
      <w:r w:rsidR="00B530E5" w:rsidDel="00E66A71">
        <w:t xml:space="preserve"> </w:t>
      </w:r>
      <w:r w:rsidR="00B530E5">
        <w:t xml:space="preserve">is largely focused on dealing with the inherent randomness of factors (the aleatory uncertainties) that influence the exceedance probability of a given event </w:t>
      </w:r>
      <w:r w:rsidR="00B530E5" w:rsidRPr="001412B1">
        <w:t>(Book 4 Chapter 3).</w:t>
      </w:r>
      <w:r w:rsidR="00B530E5">
        <w:t xml:space="preserve"> In rainfall-based estimates this most often involves consideration of</w:t>
      </w:r>
      <w:r w:rsidR="009E644B">
        <w:t xml:space="preserve"> Intensity-Frequency-D</w:t>
      </w:r>
      <w:r w:rsidR="00AD0580">
        <w:t>uration (</w:t>
      </w:r>
      <w:r w:rsidR="00B530E5">
        <w:t>IFD</w:t>
      </w:r>
      <w:r w:rsidR="00AD0580">
        <w:t>)</w:t>
      </w:r>
      <w:r w:rsidR="00B530E5">
        <w:t xml:space="preserve"> rainfall </w:t>
      </w:r>
      <w:r w:rsidR="00B530E5" w:rsidRPr="001412B1">
        <w:t>bursts (Book 2 Chapter 3), variability in rainfall temporal patterns (Book 2 Chapter 5), and the influence of antecedent and event losses (Book 5 Chapter 3). In techniques</w:t>
      </w:r>
      <w:r w:rsidR="00B530E5">
        <w:t xml:space="preserve"> based directly on the analysis of flood data </w:t>
      </w:r>
      <w:r w:rsidR="00B530E5" w:rsidRPr="001412B1">
        <w:t>(Book 3), the</w:t>
      </w:r>
      <w:r w:rsidR="00B530E5">
        <w:t xml:space="preserve"> aleatory uncertainty of these factors is implicitly accounted for in the sampling variability represented in the available flood observations. </w:t>
      </w:r>
      <w:r w:rsidR="004B0913">
        <w:t>Climate change</w:t>
      </w:r>
      <w:r w:rsidR="00B530E5">
        <w:t xml:space="preserve"> is now impacting the frequency and behaviour of many of the factors that influence flood behaviour </w:t>
      </w:r>
      <w:r w:rsidR="00B530E5" w:rsidRPr="00562378">
        <w:t>resulting in non-stationarity in</w:t>
      </w:r>
      <w:r w:rsidR="00B530E5">
        <w:t xml:space="preserve"> design flood estimates, shifting estimates of the aleatory uncertainty (Figure 1).</w:t>
      </w:r>
    </w:p>
    <w:p w14:paraId="0008588F" w14:textId="1736FBD2" w:rsidR="00B530E5" w:rsidRDefault="00B530E5" w:rsidP="00B530E5">
      <w:r>
        <w:t xml:space="preserve">While much of the emphasis of climate science is to understand the likely historical and future changes to key flood risk drivers, another important consequence of climate change is an increase in the epistemic uncertainty of design flood estimates (Figure 1). This additional uncertainty arises from limitations in data and knowledge, where in the context of climate change this includes the uncertainty associated with future </w:t>
      </w:r>
      <w:r w:rsidR="00304AD0">
        <w:t xml:space="preserve">global </w:t>
      </w:r>
      <w:r>
        <w:t xml:space="preserve">emissions and mitigation strategies, resultant uncertainty </w:t>
      </w:r>
      <w:r w:rsidR="005E4AE2">
        <w:t xml:space="preserve">in </w:t>
      </w:r>
      <w:r>
        <w:t xml:space="preserve">future </w:t>
      </w:r>
      <w:r w:rsidR="00397DAC">
        <w:t xml:space="preserve">global and regional </w:t>
      </w:r>
      <w:r>
        <w:t xml:space="preserve">temperature changes, and uncertainties on the implication of changing temperatures and associated processes on flood risk drivers. Within </w:t>
      </w:r>
      <w:r w:rsidR="00A463DF">
        <w:t xml:space="preserve">risk-based </w:t>
      </w:r>
      <w:r w:rsidR="0052461B">
        <w:t>decision-making</w:t>
      </w:r>
      <w:r>
        <w:t xml:space="preserve"> frameworks (</w:t>
      </w:r>
      <w:r w:rsidR="00A463DF">
        <w:t xml:space="preserve">where risk is </w:t>
      </w:r>
      <w:r>
        <w:t xml:space="preserve">commonly defined as ‘the effect of uncertainty on objectives’, ISO 31000), </w:t>
      </w:r>
      <w:r w:rsidR="00FB1EC6">
        <w:t xml:space="preserve">considerations of </w:t>
      </w:r>
      <w:r w:rsidR="00A463DF">
        <w:t>the</w:t>
      </w:r>
      <w:r>
        <w:t xml:space="preserve"> projected changes in flood risk drivers </w:t>
      </w:r>
      <w:r w:rsidR="00A463DF">
        <w:t xml:space="preserve">as well </w:t>
      </w:r>
      <w:r w:rsidR="00D42F52">
        <w:t xml:space="preserve">as the increasing level of uncertainty associated with those drivers </w:t>
      </w:r>
      <w:r w:rsidR="001F37D8">
        <w:t xml:space="preserve">are both relevant in assessment of overall risk. </w:t>
      </w:r>
    </w:p>
    <w:p w14:paraId="5B3A0D6F" w14:textId="57EE5619" w:rsidR="00B530E5" w:rsidRDefault="00B47550" w:rsidP="00B530E5">
      <w:r w:rsidRPr="00B47550">
        <w:rPr>
          <w:noProof/>
        </w:rPr>
        <w:t xml:space="preserve"> </w:t>
      </w:r>
    </w:p>
    <w:p w14:paraId="5D2250F6" w14:textId="1484A5A6" w:rsidR="00B530E5" w:rsidRPr="00A22B9B" w:rsidRDefault="003C42D5" w:rsidP="00B530E5">
      <w:pPr>
        <w:jc w:val="center"/>
      </w:pPr>
      <w:r>
        <w:rPr>
          <w:b/>
          <w:bCs/>
          <w:noProof/>
        </w:rPr>
        <w:lastRenderedPageBreak/>
        <w:drawing>
          <wp:inline distT="0" distB="0" distL="0" distR="0" wp14:anchorId="3FD38D9F" wp14:editId="4E0FE521">
            <wp:extent cx="5537200" cy="3109769"/>
            <wp:effectExtent l="0" t="0" r="6350" b="0"/>
            <wp:docPr id="1423724342" name="Picture 1423724342" descr="Schematic graph of rainfall depth vs exceedance probability that shows aleatory and epistemic uncertainties both increase with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24342" name="Picture 4" descr="Schematic graph of rainfall depth vs exceedance probability that shows aleatory and epistemic uncertainties both increase with climate change."/>
                    <pic:cNvPicPr/>
                  </pic:nvPicPr>
                  <pic:blipFill rotWithShape="1">
                    <a:blip r:embed="rId24" cstate="print">
                      <a:extLst>
                        <a:ext uri="{28A0092B-C50C-407E-A947-70E740481C1C}">
                          <a14:useLocalDpi xmlns:a14="http://schemas.microsoft.com/office/drawing/2010/main" val="0"/>
                        </a:ext>
                      </a:extLst>
                    </a:blip>
                    <a:srcRect l="5871" t="12589" r="7283" b="18441"/>
                    <a:stretch/>
                  </pic:blipFill>
                  <pic:spPr bwMode="auto">
                    <a:xfrm>
                      <a:off x="0" y="0"/>
                      <a:ext cx="5556714" cy="3120729"/>
                    </a:xfrm>
                    <a:prstGeom prst="rect">
                      <a:avLst/>
                    </a:prstGeom>
                    <a:ln>
                      <a:noFill/>
                    </a:ln>
                    <a:extLst>
                      <a:ext uri="{53640926-AAD7-44D8-BBD7-CCE9431645EC}">
                        <a14:shadowObscured xmlns:a14="http://schemas.microsoft.com/office/drawing/2010/main"/>
                      </a:ext>
                    </a:extLst>
                  </pic:spPr>
                </pic:pic>
              </a:graphicData>
            </a:graphic>
          </wp:inline>
        </w:drawing>
      </w:r>
      <w:r w:rsidR="00B530E5" w:rsidRPr="00C941EF">
        <w:rPr>
          <w:b/>
          <w:bCs/>
        </w:rPr>
        <w:t xml:space="preserve">Figure 1. </w:t>
      </w:r>
      <w:r w:rsidR="007C326B">
        <w:t xml:space="preserve">Climate change is </w:t>
      </w:r>
      <w:r w:rsidR="00B530E5" w:rsidRPr="00A22B9B">
        <w:t>shift</w:t>
      </w:r>
      <w:r w:rsidR="000D5E84">
        <w:t>ing</w:t>
      </w:r>
      <w:r w:rsidR="00B530E5" w:rsidRPr="00A22B9B">
        <w:t xml:space="preserve"> our best estimate of the relationship between event magnitude and </w:t>
      </w:r>
      <w:r w:rsidR="00261FF0" w:rsidRPr="00A22B9B">
        <w:t>frequency and</w:t>
      </w:r>
      <w:r w:rsidR="00B530E5" w:rsidRPr="00A22B9B">
        <w:t xml:space="preserve"> increas</w:t>
      </w:r>
      <w:r w:rsidR="000D5E84">
        <w:t>ing</w:t>
      </w:r>
      <w:r w:rsidR="00B530E5" w:rsidRPr="00A22B9B">
        <w:t xml:space="preserve"> the inherent uncertainty in such estimates.</w:t>
      </w:r>
    </w:p>
    <w:p w14:paraId="0888DB97" w14:textId="5C2C50B0" w:rsidR="00B530E5" w:rsidRDefault="00B530E5" w:rsidP="00B530E5">
      <w:r>
        <w:t>In addition to standards-based and risk-based decision-making approaches, there has recently been interest in decision-making frameworks that are less reliant on annualised probability-based estimates of flood magnitude. Examples include robust design approaches that can adapt to changes in design flood estimates over time (adaptive management), sensitivity and stress</w:t>
      </w:r>
      <w:r w:rsidR="006B515D">
        <w:t>-</w:t>
      </w:r>
      <w:r>
        <w:t>testing approaches that explore the effect of alternative assumptions on decision</w:t>
      </w:r>
      <w:r w:rsidR="00CC550F">
        <w:t>-</w:t>
      </w:r>
      <w:r>
        <w:t xml:space="preserve">making (‘bottom-up’ and ‘decision-scaling’ approaches), and ‘storyline’ methods that often draw on historical flood events, but which are modified to account for potential impacts of climate change. </w:t>
      </w:r>
    </w:p>
    <w:p w14:paraId="3482EF1C" w14:textId="6F566B10" w:rsidR="005F2C69" w:rsidRDefault="00B530E5" w:rsidP="00B530E5">
      <w:r>
        <w:t xml:space="preserve">This chapter provides guidance for future change to design floods recognising the requirements of current design procedures (and the need to capture the shifts in the magnitude-frequency relationships relevant to both standards-based and risk-based decision-making approaches), while also providing information to assist </w:t>
      </w:r>
      <w:r w:rsidR="327F6D1B">
        <w:t xml:space="preserve">in </w:t>
      </w:r>
      <w:r>
        <w:t xml:space="preserve">estimating the uncertainty associated with those best estimates. </w:t>
      </w:r>
      <w:r w:rsidR="00F05671">
        <w:t xml:space="preserve">This </w:t>
      </w:r>
      <w:r w:rsidR="00875F4E">
        <w:t>allows for consistency in the guidance here and the above decision-making frameworks</w:t>
      </w:r>
      <w:r w:rsidR="00261FF0">
        <w:t>.</w:t>
      </w:r>
      <w:r w:rsidR="00875F4E">
        <w:t xml:space="preserve"> </w:t>
      </w:r>
      <w:r w:rsidR="00261FF0">
        <w:t>F</w:t>
      </w:r>
      <w:r w:rsidR="000F7AE5">
        <w:t xml:space="preserve">or </w:t>
      </w:r>
      <w:r w:rsidR="00261FF0">
        <w:t>example,</w:t>
      </w:r>
      <w:r w:rsidR="00875F4E">
        <w:t xml:space="preserve"> </w:t>
      </w:r>
      <w:r w:rsidR="00592AC3">
        <w:t>a standard</w:t>
      </w:r>
      <w:r w:rsidR="00162267">
        <w:t>s</w:t>
      </w:r>
      <w:r w:rsidR="00592AC3">
        <w:t>-based approach may adopt the median values presented in Section 4</w:t>
      </w:r>
      <w:r w:rsidR="005F2C69">
        <w:t xml:space="preserve"> and incorporate the uncertainty in a Monte</w:t>
      </w:r>
      <w:r w:rsidR="005E4492">
        <w:t xml:space="preserve"> </w:t>
      </w:r>
      <w:r w:rsidR="005F2C69">
        <w:t>Carlo framework</w:t>
      </w:r>
      <w:r w:rsidR="00800161">
        <w:t>. A</w:t>
      </w:r>
      <w:r w:rsidR="00592AC3">
        <w:t xml:space="preserve"> </w:t>
      </w:r>
      <w:r w:rsidR="005570DE">
        <w:t xml:space="preserve">bottom-up approach </w:t>
      </w:r>
      <w:r w:rsidR="00892DFC">
        <w:t>may</w:t>
      </w:r>
      <w:r w:rsidR="005570DE">
        <w:t xml:space="preserve"> use the uncertainty as a guide for</w:t>
      </w:r>
      <w:r w:rsidR="00892DFC">
        <w:t xml:space="preserve"> sensitivity testing to</w:t>
      </w:r>
      <w:r w:rsidR="005570DE">
        <w:t xml:space="preserve"> develop system response surfaces</w:t>
      </w:r>
      <w:r w:rsidR="00405373">
        <w:t xml:space="preserve"> for the hazard of interest</w:t>
      </w:r>
      <w:r w:rsidR="008E1185">
        <w:t>. A</w:t>
      </w:r>
      <w:bookmarkStart w:id="15" w:name="_Hlk151705356"/>
      <w:r w:rsidR="00261FF0">
        <w:t xml:space="preserve"> risk-based approach may consider the probabilities and consequences of flooding across a range of exceedance probabilities, accounting for both aleatory and epistemic uncertainties.</w:t>
      </w:r>
      <w:bookmarkEnd w:id="15"/>
    </w:p>
    <w:p w14:paraId="055CEAC1" w14:textId="1DA65E74" w:rsidR="00B530E5" w:rsidRDefault="00B530E5" w:rsidP="00B530E5">
      <w:r>
        <w:t xml:space="preserve">The reader </w:t>
      </w:r>
      <w:r w:rsidR="005F2C69">
        <w:t>is referred</w:t>
      </w:r>
      <w:r>
        <w:t xml:space="preserve"> to </w:t>
      </w:r>
      <w:r w:rsidRPr="001F7A11">
        <w:t>Book 1, Chapter 5 for further information on risk-based decision making, with Book 1, Section 5.10.5.2</w:t>
      </w:r>
      <w:r>
        <w:t xml:space="preserve"> detailing a possible process of undertaking a non-stationary risk assessment. Further information on approaches for rep</w:t>
      </w:r>
      <w:r w:rsidRPr="00261FF0">
        <w:t xml:space="preserve">resenting epistemic uncertainty as part of the design flood estimation process are presented </w:t>
      </w:r>
      <w:r w:rsidRPr="001F7A11">
        <w:t>in Book 7, Chapter 9</w:t>
      </w:r>
      <w:r w:rsidR="005E4AE2" w:rsidRPr="001F7A11">
        <w:t xml:space="preserve">, </w:t>
      </w:r>
      <w:r w:rsidR="00261FF0" w:rsidRPr="001F7A11">
        <w:t>with</w:t>
      </w:r>
      <w:r w:rsidR="005E4AE2" w:rsidRPr="001F7A11">
        <w:t xml:space="preserve"> the different approaches to </w:t>
      </w:r>
      <w:r w:rsidR="00261FF0" w:rsidRPr="001F7A11">
        <w:t xml:space="preserve">address </w:t>
      </w:r>
      <w:r w:rsidR="005E4AE2" w:rsidRPr="001F7A11">
        <w:t>aleatory uncertainty described in Book 1, Chapter 3.</w:t>
      </w:r>
    </w:p>
    <w:p w14:paraId="7AFC4743" w14:textId="77777777" w:rsidR="00B530E5" w:rsidRDefault="00B530E5">
      <w:pPr>
        <w:spacing w:after="0" w:line="240" w:lineRule="auto"/>
      </w:pPr>
    </w:p>
    <w:p w14:paraId="2502A3B2" w14:textId="6DB8BDD6" w:rsidR="00B530E5" w:rsidRDefault="00401306" w:rsidP="00401306">
      <w:pPr>
        <w:pStyle w:val="Heading2"/>
      </w:pPr>
      <w:bookmarkStart w:id="16" w:name="_Toc153543614"/>
      <w:r>
        <w:lastRenderedPageBreak/>
        <w:t>Selection of a design flood estimation method</w:t>
      </w:r>
      <w:bookmarkEnd w:id="16"/>
    </w:p>
    <w:p w14:paraId="2DDCBBEE" w14:textId="718178C7" w:rsidR="00F1740D" w:rsidRPr="00B35558" w:rsidRDefault="00F1740D" w:rsidP="00F1740D">
      <w:pPr>
        <w:pStyle w:val="BoxText"/>
        <w:rPr>
          <w:b/>
          <w:bCs/>
          <w:sz w:val="22"/>
        </w:rPr>
      </w:pPr>
      <w:r w:rsidRPr="00B35558">
        <w:rPr>
          <w:b/>
          <w:bCs/>
          <w:sz w:val="22"/>
        </w:rPr>
        <w:t xml:space="preserve">Key </w:t>
      </w:r>
      <w:r w:rsidR="00937C02" w:rsidRPr="00B35558">
        <w:rPr>
          <w:b/>
          <w:bCs/>
          <w:sz w:val="22"/>
        </w:rPr>
        <w:t>m</w:t>
      </w:r>
      <w:r w:rsidRPr="00B35558">
        <w:rPr>
          <w:b/>
          <w:bCs/>
          <w:sz w:val="22"/>
        </w:rPr>
        <w:t>essages</w:t>
      </w:r>
    </w:p>
    <w:p w14:paraId="1824C824" w14:textId="0F035418" w:rsidR="00F1740D" w:rsidRPr="00B35558" w:rsidRDefault="00F1740D" w:rsidP="00F1740D">
      <w:pPr>
        <w:pStyle w:val="BoxText"/>
        <w:rPr>
          <w:b/>
          <w:bCs/>
          <w:sz w:val="22"/>
        </w:rPr>
      </w:pPr>
      <w:r w:rsidRPr="00B35558">
        <w:rPr>
          <w:sz w:val="22"/>
        </w:rPr>
        <w:t xml:space="preserve">There are </w:t>
      </w:r>
      <w:r w:rsidR="00F7554F">
        <w:rPr>
          <w:sz w:val="22"/>
        </w:rPr>
        <w:t>2</w:t>
      </w:r>
      <w:r w:rsidR="00937C02" w:rsidRPr="00B35558">
        <w:rPr>
          <w:sz w:val="22"/>
        </w:rPr>
        <w:t xml:space="preserve"> </w:t>
      </w:r>
      <w:r w:rsidRPr="00B35558">
        <w:rPr>
          <w:sz w:val="22"/>
        </w:rPr>
        <w:t>broad classes of flood design estimation methods: direct flood-based procedures and rainfall-based procedures. The latter class can be further divided into continuous and event-based approaches. In the absence of a scientific consensus for incorporating climate change into direct flood-based procedures and continuous approaches, event-based procedures are recommended as the primary class of procedures for incorporating climate change into design flood estimates.</w:t>
      </w:r>
    </w:p>
    <w:p w14:paraId="7678BAE9" w14:textId="5C82C244" w:rsidR="00A7799D" w:rsidRDefault="00A7799D" w:rsidP="00A7799D">
      <w:r>
        <w:t xml:space="preserve">Design flood estimation methods can be divided into </w:t>
      </w:r>
      <w:r w:rsidR="005554E2">
        <w:t xml:space="preserve">2 </w:t>
      </w:r>
      <w:r>
        <w:t>broad classes of procedures</w:t>
      </w:r>
      <w:r w:rsidR="00800368">
        <w:t>,</w:t>
      </w:r>
      <w:r>
        <w:t xml:space="preserve"> flood data-based procedures that involve the direct analysis of observed flood and related data and rainfall-based procedures that use rainfall-runoff models to transform rainfall information into estimates of the design flood (see </w:t>
      </w:r>
      <w:r w:rsidRPr="0030047B">
        <w:t>Book 1, Chapter 3</w:t>
      </w:r>
      <w:r>
        <w:t xml:space="preserve">). </w:t>
      </w:r>
    </w:p>
    <w:p w14:paraId="0CF4D8F7" w14:textId="3BA6A9F1" w:rsidR="00662F87" w:rsidRDefault="00A7799D" w:rsidP="00A7799D">
      <w:r>
        <w:t>Following the review of Wasko et al</w:t>
      </w:r>
      <w:r w:rsidR="00302F98">
        <w:t>.</w:t>
      </w:r>
      <w:r>
        <w:t xml:space="preserve"> (202</w:t>
      </w:r>
      <w:r w:rsidR="00B84A2C">
        <w:t>3</w:t>
      </w:r>
      <w:r>
        <w:t>), no</w:t>
      </w:r>
      <w:r w:rsidR="00367B20">
        <w:t xml:space="preserve"> </w:t>
      </w:r>
      <w:r w:rsidR="00A935FF">
        <w:t>scientific consensus</w:t>
      </w:r>
      <w:r>
        <w:t xml:space="preserve"> </w:t>
      </w:r>
      <w:r w:rsidR="00A935FF">
        <w:t>was</w:t>
      </w:r>
      <w:r>
        <w:t xml:space="preserve"> identified for incorporating climate change into direct flood-based procedures such as flood frequency analysis. This assessment is based on the following considerations: </w:t>
      </w:r>
    </w:p>
    <w:p w14:paraId="24B0AE85" w14:textId="79B02087" w:rsidR="00A13843" w:rsidRDefault="00A13843" w:rsidP="006E3CF8">
      <w:pPr>
        <w:pStyle w:val="ListParagraph"/>
        <w:numPr>
          <w:ilvl w:val="0"/>
          <w:numId w:val="58"/>
        </w:numPr>
      </w:pPr>
      <w:r>
        <w:t>A</w:t>
      </w:r>
      <w:r w:rsidR="00A7799D">
        <w:t>ny non-stationarity in observed streamflow series may be caused by multiple drivers, not all of which are the result of climate change</w:t>
      </w:r>
      <w:r>
        <w:t>.</w:t>
      </w:r>
    </w:p>
    <w:p w14:paraId="5B3808ED" w14:textId="77777777" w:rsidR="00A13843" w:rsidRDefault="00A13843" w:rsidP="006E3CF8">
      <w:pPr>
        <w:pStyle w:val="ListParagraph"/>
        <w:numPr>
          <w:ilvl w:val="0"/>
          <w:numId w:val="58"/>
        </w:numPr>
      </w:pPr>
      <w:r>
        <w:t>F</w:t>
      </w:r>
      <w:r w:rsidR="00A7799D">
        <w:t>or changes attributed to climate change, future trends may not continue at the same rate or in the same manner as historical trends</w:t>
      </w:r>
      <w:r>
        <w:t>.</w:t>
      </w:r>
    </w:p>
    <w:p w14:paraId="6B589707" w14:textId="77777777" w:rsidR="004A6E9D" w:rsidRDefault="00A13843" w:rsidP="006E3CF8">
      <w:pPr>
        <w:pStyle w:val="ListParagraph"/>
        <w:numPr>
          <w:ilvl w:val="0"/>
          <w:numId w:val="58"/>
        </w:numPr>
      </w:pPr>
      <w:r>
        <w:t>T</w:t>
      </w:r>
      <w:r w:rsidR="00A7799D">
        <w:t xml:space="preserve">he high year-to-year variability in observed streamflow series means that inferring trends based on relatively short individual time series is </w:t>
      </w:r>
      <w:r w:rsidR="002B5EFF">
        <w:t xml:space="preserve">unlikely to be </w:t>
      </w:r>
      <w:r w:rsidR="00A7799D">
        <w:t xml:space="preserve">statistically robust. </w:t>
      </w:r>
    </w:p>
    <w:p w14:paraId="639933BA" w14:textId="77777777" w:rsidR="004A6E9D" w:rsidRDefault="004A6E9D" w:rsidP="004A6E9D">
      <w:pPr>
        <w:pStyle w:val="ListParagraph"/>
        <w:ind w:left="360"/>
      </w:pPr>
    </w:p>
    <w:p w14:paraId="10A7834B" w14:textId="08E3FAAB" w:rsidR="00A7799D" w:rsidRPr="001C5F95" w:rsidRDefault="00A7799D" w:rsidP="004A6E9D">
      <w:r>
        <w:t xml:space="preserve">Although the final point may be addressed by using regionalisation approaches, it is unlikely that the other issues can be addressed in the absence of a process-based approach that appropriately </w:t>
      </w:r>
      <w:r w:rsidRPr="001C5F95">
        <w:t xml:space="preserve">connect the climate drivers to the design flood. </w:t>
      </w:r>
    </w:p>
    <w:p w14:paraId="17C5EF8D" w14:textId="1A12A961" w:rsidR="00030CA1" w:rsidRPr="001C5F95" w:rsidRDefault="00A7799D" w:rsidP="00BB63BD">
      <w:r w:rsidRPr="001C5F95">
        <w:t>In contrast to flood-based procedures, rainfall-based procedures provide a mechanism to relate information on climate projections to design flood estimates using either event-based or continuous simulation approaches. For continuous simulation to be suitable for flood estimation under a non-stationary climate, the timeseries need to reflect the complexities of future changes. As highlighted in Wasko et al</w:t>
      </w:r>
      <w:r w:rsidR="00302F98">
        <w:t>.</w:t>
      </w:r>
      <w:r w:rsidRPr="001C5F95">
        <w:t xml:space="preserve"> (202</w:t>
      </w:r>
      <w:r w:rsidR="00B84A2C">
        <w:t>3</w:t>
      </w:r>
      <w:r w:rsidRPr="001C5F95">
        <w:t>), extreme rainfall is likely to change at a different rate to average rainfall</w:t>
      </w:r>
      <w:r w:rsidR="00E4329E" w:rsidRPr="001C5F95">
        <w:t>. Similarly</w:t>
      </w:r>
      <w:r w:rsidR="00236B12" w:rsidRPr="001C5F95">
        <w:t xml:space="preserve"> </w:t>
      </w:r>
      <w:r w:rsidRPr="001C5F95">
        <w:t xml:space="preserve">short-duration extremes </w:t>
      </w:r>
      <w:r w:rsidR="00236B12" w:rsidRPr="001C5F95">
        <w:t xml:space="preserve">(sub-daily rainfall) and </w:t>
      </w:r>
      <w:r w:rsidRPr="001C5F95">
        <w:t>longer-duration extremes</w:t>
      </w:r>
      <w:r w:rsidR="001850AB" w:rsidRPr="001C5F95">
        <w:t xml:space="preserve"> (</w:t>
      </w:r>
      <w:r w:rsidR="00885740" w:rsidRPr="001C5F95">
        <w:t xml:space="preserve">multi-day accumulations) are likely to be </w:t>
      </w:r>
      <w:r w:rsidR="00B2540E" w:rsidRPr="001C5F95">
        <w:t>experiencing</w:t>
      </w:r>
      <w:r w:rsidR="00885740" w:rsidRPr="001C5F95">
        <w:t xml:space="preserve"> differing rates of change in both the frequency and </w:t>
      </w:r>
      <w:r w:rsidR="00B2540E" w:rsidRPr="001C5F95">
        <w:t>intensity</w:t>
      </w:r>
      <w:r w:rsidRPr="001C5F95">
        <w:t xml:space="preserve">, leading to complex changes in the temporal patterns of rainfall. There may also be changes to the seasonality of heavy rainfall events, as well as shifts to the spatial pattern of events. </w:t>
      </w:r>
    </w:p>
    <w:p w14:paraId="05649776" w14:textId="6AA30088" w:rsidR="00A7799D" w:rsidRDefault="00030CA1" w:rsidP="00BB63BD">
      <w:r w:rsidRPr="00F87FA5">
        <w:t>Although continuous simulation approaches can be adapted to use climate-adjusted input timeseries (rainfall and potential evapotranspiration),</w:t>
      </w:r>
      <w:r w:rsidRPr="00F87FA5" w:rsidDel="00F36617">
        <w:t xml:space="preserve"> </w:t>
      </w:r>
      <w:r w:rsidRPr="001C5F95">
        <w:t>f</w:t>
      </w:r>
      <w:r w:rsidR="008A43C7" w:rsidRPr="001C5F95">
        <w:t>urther research is required to develop robust and practical methods to generate these climate-adjusted inputs into continuous simulation models, and thus the application of these methods is likely to be limited to highly specialised settings.</w:t>
      </w:r>
      <w:r w:rsidR="008032A1" w:rsidRPr="001C5F95">
        <w:t xml:space="preserve"> </w:t>
      </w:r>
      <w:r w:rsidR="00E737BE" w:rsidRPr="001C5F95">
        <w:t>A</w:t>
      </w:r>
      <w:r w:rsidR="006618FB" w:rsidRPr="001C5F95">
        <w:t>s</w:t>
      </w:r>
      <w:r w:rsidR="00E737BE" w:rsidRPr="001C5F95">
        <w:t xml:space="preserve"> a </w:t>
      </w:r>
      <w:r w:rsidR="006618FB" w:rsidRPr="001C5F95">
        <w:t xml:space="preserve">pragmatic </w:t>
      </w:r>
      <w:r w:rsidR="00E737BE" w:rsidRPr="001C5F95">
        <w:t xml:space="preserve">minimum </w:t>
      </w:r>
      <w:r w:rsidR="00C143E2" w:rsidRPr="001C5F95">
        <w:t xml:space="preserve">it is recommended that </w:t>
      </w:r>
      <w:r w:rsidR="00857A90" w:rsidRPr="001C5F95">
        <w:t>extreme rainfalls</w:t>
      </w:r>
      <w:r w:rsidR="0010298C" w:rsidRPr="001C5F95">
        <w:t xml:space="preserve"> in the timeseries</w:t>
      </w:r>
      <w:r w:rsidR="00857A90" w:rsidRPr="001C5F95">
        <w:t xml:space="preserve"> </w:t>
      </w:r>
      <w:r w:rsidR="0010298C" w:rsidRPr="001C5F95">
        <w:t xml:space="preserve">used for continuous </w:t>
      </w:r>
      <w:r w:rsidR="0010298C" w:rsidRPr="001C5F95">
        <w:lastRenderedPageBreak/>
        <w:t xml:space="preserve">simulation </w:t>
      </w:r>
      <w:r w:rsidR="00857A90" w:rsidRPr="001C5F95">
        <w:t xml:space="preserve">be scaled to reflect the </w:t>
      </w:r>
      <w:r w:rsidR="00783F2D" w:rsidRPr="001C5F95">
        <w:t xml:space="preserve">recommendations for </w:t>
      </w:r>
      <w:r w:rsidR="0010298C" w:rsidRPr="001C5F95">
        <w:t>incorporating</w:t>
      </w:r>
      <w:r w:rsidR="00783F2D" w:rsidRPr="001C5F95">
        <w:t xml:space="preserve"> climate change into Intensity-</w:t>
      </w:r>
      <w:r w:rsidR="0010298C" w:rsidRPr="001C5F95">
        <w:t>Frequency</w:t>
      </w:r>
      <w:r w:rsidR="00783F2D" w:rsidRPr="001C5F95">
        <w:t xml:space="preserve">-Duration </w:t>
      </w:r>
      <w:r w:rsidR="0010298C" w:rsidRPr="001C5F95">
        <w:t>curves</w:t>
      </w:r>
      <w:r w:rsidR="00783F2D" w:rsidRPr="001C5F95">
        <w:t xml:space="preserve"> (Section 4.1)</w:t>
      </w:r>
      <w:r w:rsidR="00756A04" w:rsidRPr="001C5F95">
        <w:t>,</w:t>
      </w:r>
      <w:r w:rsidR="00783F2D" w:rsidRPr="001C5F95">
        <w:t xml:space="preserve"> with </w:t>
      </w:r>
      <w:r w:rsidR="0010298C" w:rsidRPr="001C5F95">
        <w:t xml:space="preserve">the remaining rainfalls </w:t>
      </w:r>
      <w:r w:rsidR="00751897" w:rsidRPr="001C5F95">
        <w:t xml:space="preserve">adjusted to </w:t>
      </w:r>
      <w:r w:rsidR="001F16AF" w:rsidRPr="001C5F95">
        <w:t>reflect</w:t>
      </w:r>
      <w:r w:rsidR="00751897" w:rsidRPr="001C5F95">
        <w:t xml:space="preserve"> projections of the mean</w:t>
      </w:r>
      <w:r w:rsidR="00B849C3" w:rsidRPr="001C5F95">
        <w:t xml:space="preserve"> seasonal or</w:t>
      </w:r>
      <w:r w:rsidR="00751897" w:rsidRPr="001C5F95">
        <w:t xml:space="preserve"> annual rainfall</w:t>
      </w:r>
      <w:r w:rsidR="001F16AF" w:rsidRPr="001C5F95">
        <w:t xml:space="preserve"> for the location of interest</w:t>
      </w:r>
      <w:r w:rsidR="00751897" w:rsidRPr="001C5F95">
        <w:t>.</w:t>
      </w:r>
    </w:p>
    <w:p w14:paraId="7F133AB8" w14:textId="0DBDE27B" w:rsidR="00A7799D" w:rsidRDefault="00D229F7" w:rsidP="00A7799D">
      <w:r>
        <w:t xml:space="preserve">Due to the </w:t>
      </w:r>
      <w:r w:rsidR="006618FB">
        <w:t xml:space="preserve">above </w:t>
      </w:r>
      <w:r>
        <w:t>considerations</w:t>
      </w:r>
      <w:r w:rsidR="00A7799D">
        <w:t>,</w:t>
      </w:r>
      <w:r w:rsidR="00261FF0">
        <w:t xml:space="preserve"> </w:t>
      </w:r>
      <w:r w:rsidR="00A7799D">
        <w:t>event-based procedures are recommended as the primary class of procedures for incorporating climate change into design flo</w:t>
      </w:r>
      <w:r w:rsidR="00A7799D" w:rsidRPr="00DE381C">
        <w:t>od estimates.</w:t>
      </w:r>
      <w:r w:rsidR="00DE381C" w:rsidRPr="00DE381C">
        <w:t xml:space="preserve"> The practical advantage of this recommendation is that event-based procedures are the </w:t>
      </w:r>
      <w:proofErr w:type="gramStart"/>
      <w:r w:rsidR="00DE381C" w:rsidRPr="00DE381C">
        <w:t>most commonly used</w:t>
      </w:r>
      <w:proofErr w:type="gramEnd"/>
      <w:r w:rsidR="00DE381C" w:rsidRPr="00DE381C">
        <w:t xml:space="preserve"> </w:t>
      </w:r>
      <w:r w:rsidR="00DE381C">
        <w:t xml:space="preserve">method </w:t>
      </w:r>
      <w:r w:rsidR="00DE381C" w:rsidRPr="00DE381C">
        <w:t xml:space="preserve">to derive design flood estimates, and hence the adjustment of these methods to account for climate change represents an easy adoption pathway. </w:t>
      </w:r>
      <w:r w:rsidR="00A7799D" w:rsidRPr="00DE381C">
        <w:t xml:space="preserve">In the context of climate change assessments, </w:t>
      </w:r>
      <w:r w:rsidR="006618FB" w:rsidRPr="00DE381C">
        <w:t xml:space="preserve">the </w:t>
      </w:r>
      <w:r w:rsidR="00A7799D" w:rsidRPr="00DE381C">
        <w:t>advantages of this class of procedures are the ability to clearly map climate projections (inc</w:t>
      </w:r>
      <w:r w:rsidR="00A7799D">
        <w:t>luding those related to extreme rainfall and/or sea levels) to the inputs of event-based rainfall-runoff and hydraulic models, together with their general applicability across both gauged and ungauged catchments and for a wide range of annual exceedance probabilities from the 1EY event through to the Probable Maximum Precipitation (PMP</w:t>
      </w:r>
      <w:r w:rsidR="004A6E9D">
        <w:t>)</w:t>
      </w:r>
      <w:r w:rsidR="00A7799D" w:rsidRPr="004A6E9D">
        <w:t xml:space="preserve"> </w:t>
      </w:r>
      <w:r w:rsidR="004A6E9D">
        <w:t>(</w:t>
      </w:r>
      <w:r w:rsidR="00A7799D" w:rsidRPr="004A6E9D">
        <w:t xml:space="preserve">Figure 1.3.2 of Book 1, Chapter </w:t>
      </w:r>
      <w:r w:rsidR="00A7799D" w:rsidRPr="00480B93">
        <w:t>3).</w:t>
      </w:r>
      <w:r w:rsidR="00A7799D">
        <w:t xml:space="preserve"> </w:t>
      </w:r>
    </w:p>
    <w:p w14:paraId="3697B414" w14:textId="00654B32" w:rsidR="00401306" w:rsidRDefault="001C4A3B" w:rsidP="001C4A3B">
      <w:pPr>
        <w:pStyle w:val="Heading2"/>
      </w:pPr>
      <w:bookmarkStart w:id="17" w:name="_Toc153543615"/>
      <w:r>
        <w:lastRenderedPageBreak/>
        <w:t>Incorporating climate change into event-based design flood estimates</w:t>
      </w:r>
      <w:bookmarkEnd w:id="17"/>
    </w:p>
    <w:p w14:paraId="724B1581" w14:textId="48A64048" w:rsidR="00480B93" w:rsidRPr="00B35558" w:rsidRDefault="00480B93" w:rsidP="00480B93">
      <w:pPr>
        <w:pStyle w:val="BoxText"/>
        <w:rPr>
          <w:b/>
          <w:bCs/>
          <w:sz w:val="22"/>
        </w:rPr>
      </w:pPr>
      <w:r w:rsidRPr="00B35558">
        <w:rPr>
          <w:b/>
          <w:bCs/>
          <w:sz w:val="22"/>
        </w:rPr>
        <w:t xml:space="preserve">Key </w:t>
      </w:r>
      <w:r w:rsidR="0030131A">
        <w:rPr>
          <w:b/>
          <w:bCs/>
          <w:sz w:val="22"/>
        </w:rPr>
        <w:t>m</w:t>
      </w:r>
      <w:r w:rsidRPr="00B35558">
        <w:rPr>
          <w:b/>
          <w:bCs/>
          <w:sz w:val="22"/>
        </w:rPr>
        <w:t>essages</w:t>
      </w:r>
    </w:p>
    <w:p w14:paraId="72321765" w14:textId="0C429B43" w:rsidR="00480B93" w:rsidRPr="00B35558" w:rsidRDefault="00480B93" w:rsidP="00480B93">
      <w:pPr>
        <w:pStyle w:val="BoxText"/>
        <w:rPr>
          <w:sz w:val="22"/>
        </w:rPr>
      </w:pPr>
      <w:r w:rsidRPr="00B35558">
        <w:rPr>
          <w:sz w:val="22"/>
        </w:rPr>
        <w:t>Changes in extreme rainfall are likely to represent the primary mechanism for increases in flood risk across most Australian catchments. This section provides information on how to adjust design rainfall estimates as well as temporal patterns, loss parameters, and sea level rise. Uncertainties are presented for each of the aspects of the design flood estimate for which climate change guidance is provided. The reader is referred to supporting guidance for sea level rise. Examples are presented in Section 6.</w:t>
      </w:r>
    </w:p>
    <w:p w14:paraId="781BBCB8" w14:textId="35E6558F" w:rsidR="00E82492" w:rsidRPr="00480B93" w:rsidRDefault="00E82492" w:rsidP="00E82492">
      <w:r>
        <w:t xml:space="preserve">Event-based procedures are summarised </w:t>
      </w:r>
      <w:r w:rsidRPr="00480B93">
        <w:t>in Book 4, Chapter 3, and as highlighted in that chapter, they generally take into consideration the following climate-related factors:</w:t>
      </w:r>
    </w:p>
    <w:p w14:paraId="5B23CD10" w14:textId="0B67288E" w:rsidR="00E82492" w:rsidRPr="00480B93" w:rsidRDefault="00E82492" w:rsidP="008C36C2">
      <w:pPr>
        <w:pStyle w:val="ListParagraph"/>
        <w:numPr>
          <w:ilvl w:val="0"/>
          <w:numId w:val="59"/>
        </w:numPr>
        <w:spacing w:after="160" w:line="259" w:lineRule="auto"/>
        <w:contextualSpacing/>
      </w:pPr>
      <w:r w:rsidRPr="00480B93">
        <w:t>A design storm of a given AEP and duration, usually derived from published IFD data (Book 2, Chapter 2)</w:t>
      </w:r>
      <w:r w:rsidR="008C36C2">
        <w:t>.</w:t>
      </w:r>
    </w:p>
    <w:p w14:paraId="077EC026" w14:textId="4149289E" w:rsidR="00E82492" w:rsidRPr="00480B93" w:rsidRDefault="00E82492" w:rsidP="008C36C2">
      <w:pPr>
        <w:pStyle w:val="ListParagraph"/>
        <w:numPr>
          <w:ilvl w:val="0"/>
          <w:numId w:val="59"/>
        </w:numPr>
        <w:spacing w:after="160" w:line="259" w:lineRule="auto"/>
        <w:contextualSpacing/>
      </w:pPr>
      <w:r w:rsidRPr="00480B93">
        <w:t>Temporal patterns to distribute the design rainfall over the duration of the event (Book 2,</w:t>
      </w:r>
      <w:r w:rsidR="00D6493A" w:rsidRPr="00480B93">
        <w:t> </w:t>
      </w:r>
      <w:r w:rsidRPr="00480B93">
        <w:t>Chapter 5)</w:t>
      </w:r>
      <w:r w:rsidR="008C36C2">
        <w:t>.</w:t>
      </w:r>
    </w:p>
    <w:p w14:paraId="249E2369" w14:textId="2EA81815" w:rsidR="00E82492" w:rsidRPr="00480B93" w:rsidRDefault="00E82492" w:rsidP="008C36C2">
      <w:pPr>
        <w:pStyle w:val="ListParagraph"/>
        <w:numPr>
          <w:ilvl w:val="0"/>
          <w:numId w:val="59"/>
        </w:numPr>
        <w:spacing w:after="160" w:line="259" w:lineRule="auto"/>
        <w:contextualSpacing/>
      </w:pPr>
      <w:r w:rsidRPr="00480B93">
        <w:t>Spatial patterns to represent rainfall variation over a catchment (Book 2, Chapter 4)</w:t>
      </w:r>
      <w:r w:rsidR="008C36C2">
        <w:t>.</w:t>
      </w:r>
    </w:p>
    <w:p w14:paraId="61C1300F" w14:textId="3F84C16C" w:rsidR="00E82492" w:rsidRPr="00480B93" w:rsidRDefault="00E82492" w:rsidP="008C36C2">
      <w:pPr>
        <w:pStyle w:val="ListParagraph"/>
        <w:numPr>
          <w:ilvl w:val="0"/>
          <w:numId w:val="59"/>
        </w:numPr>
        <w:spacing w:after="160" w:line="259" w:lineRule="auto"/>
        <w:contextualSpacing/>
      </w:pPr>
      <w:r w:rsidRPr="00480B93">
        <w:t>Loss parameters that represent soil moisture conditions in the catchment antecedent to the event and the capacity of the soil to absorb rainfall during the event (Book 5, Chapter 5)</w:t>
      </w:r>
      <w:r w:rsidR="0038222D" w:rsidRPr="00480B93">
        <w:t>.</w:t>
      </w:r>
    </w:p>
    <w:p w14:paraId="624860EF" w14:textId="5A1E647E" w:rsidR="00E82492" w:rsidRPr="0065418F" w:rsidRDefault="00E82492" w:rsidP="00E82492">
      <w:r w:rsidRPr="001C5F95">
        <w:t>The above list of climate-related factors is not necessarily exhaustive. For example, in low-lying (</w:t>
      </w:r>
      <w:r w:rsidR="00620F7A">
        <w:t>such as</w:t>
      </w:r>
      <w:r w:rsidR="00D6493A" w:rsidRPr="001C5F95">
        <w:t xml:space="preserve"> </w:t>
      </w:r>
      <w:r w:rsidRPr="001C5F95">
        <w:t xml:space="preserve">estuarine) catchments, the above is combined with information on sea levels that </w:t>
      </w:r>
      <w:r w:rsidR="160D03A2" w:rsidRPr="001C5F95">
        <w:t>are</w:t>
      </w:r>
      <w:r w:rsidRPr="001C5F95">
        <w:t xml:space="preserve"> influenced by both astronomical tides and storm surges (Book 6, Chapter 5). In the following sections, guidance is provided on accounting for climate change associated with each of the </w:t>
      </w:r>
      <w:r w:rsidR="00620F7A">
        <w:t>4</w:t>
      </w:r>
      <w:r w:rsidR="00620F7A" w:rsidRPr="001C5F95">
        <w:t> </w:t>
      </w:r>
      <w:r w:rsidRPr="001C5F95">
        <w:t xml:space="preserve">aspects of event-based design flood modelling described above. </w:t>
      </w:r>
      <w:r w:rsidR="00824AB3" w:rsidRPr="001C5F95">
        <w:t xml:space="preserve">The section closes with a discussion of the approach </w:t>
      </w:r>
      <w:r w:rsidR="00213F8B" w:rsidRPr="001C5F95">
        <w:t>to estimating the</w:t>
      </w:r>
      <w:r w:rsidR="00824AB3" w:rsidRPr="001C5F95">
        <w:t xml:space="preserve"> epistemic uncertainty.</w:t>
      </w:r>
    </w:p>
    <w:p w14:paraId="7AAB77A6" w14:textId="7B1C247F" w:rsidR="001C4A3B" w:rsidRDefault="00E82492" w:rsidP="001E2662">
      <w:pPr>
        <w:pStyle w:val="Heading3"/>
      </w:pPr>
      <w:bookmarkStart w:id="18" w:name="_Toc153543616"/>
      <w:r>
        <w:t>Intensity-Frequency-Duration curves</w:t>
      </w:r>
      <w:bookmarkEnd w:id="18"/>
    </w:p>
    <w:p w14:paraId="611C7B5E" w14:textId="01FD498B" w:rsidR="00076F1A" w:rsidRDefault="00E66266" w:rsidP="00E66266">
      <w:r>
        <w:t>For most Australian catchments, changes in extreme rainfall are likely to represent the primary mechanism for increases in flood risk with Wasko et al</w:t>
      </w:r>
      <w:r w:rsidR="00302F98">
        <w:t>.</w:t>
      </w:r>
      <w:r>
        <w:t xml:space="preserve"> (202</w:t>
      </w:r>
      <w:r w:rsidR="00AB16C0">
        <w:t>3</w:t>
      </w:r>
      <w:r>
        <w:t>) identifying over 40 studies that quantify changes of extreme rainfall over Austr</w:t>
      </w:r>
      <w:r w:rsidRPr="001C5F95">
        <w:t xml:space="preserve">alia. </w:t>
      </w:r>
      <w:r w:rsidR="003B182E" w:rsidRPr="001C5F95">
        <w:t xml:space="preserve">For consistency with the </w:t>
      </w:r>
      <w:r w:rsidR="003B182E" w:rsidRPr="001C5F95">
        <w:rPr>
          <w:rFonts w:ascii="Calibri" w:eastAsia="Times New Roman" w:hAnsi="Calibri" w:cs="Calibri"/>
          <w:lang w:eastAsia="en-AU"/>
        </w:rPr>
        <w:t>Intergovernmental Panel on Climate Change</w:t>
      </w:r>
      <w:r w:rsidR="003B182E" w:rsidRPr="001C5F95">
        <w:t xml:space="preserve"> (IPCC) projections, and to be representative of the climatic drivers of changes in moisture sources,</w:t>
      </w:r>
      <w:r w:rsidRPr="001C5F95">
        <w:t xml:space="preserve"> a scaling approach is recommended</w:t>
      </w:r>
      <w:r w:rsidR="007B3756" w:rsidRPr="001C5F95">
        <w:t xml:space="preserve"> whereby design rainfalls are factored at a rate proportional to global </w:t>
      </w:r>
      <w:r w:rsidR="00076F1A" w:rsidRPr="001C5F95">
        <w:t xml:space="preserve">surface </w:t>
      </w:r>
      <w:r w:rsidR="007B3756" w:rsidRPr="001C5F95">
        <w:t>temperature</w:t>
      </w:r>
      <w:r w:rsidR="00076F1A" w:rsidRPr="001C5F95">
        <w:t xml:space="preserve"> increase</w:t>
      </w:r>
      <w:r w:rsidRPr="001C5F95">
        <w:t>.</w:t>
      </w:r>
    </w:p>
    <w:p w14:paraId="48DD953D" w14:textId="3BBD8EF9" w:rsidR="00664562" w:rsidRDefault="00664562" w:rsidP="2FC70281">
      <w:pPr>
        <w:rPr>
          <w:rFonts w:ascii="Calibri" w:eastAsia="Times New Roman" w:hAnsi="Calibri" w:cs="Calibri"/>
          <w:lang w:eastAsia="en-AU"/>
        </w:rPr>
      </w:pPr>
      <w:r>
        <w:rPr>
          <w:rFonts w:ascii="Calibri" w:eastAsia="Times New Roman" w:hAnsi="Calibri" w:cs="Calibri"/>
          <w:lang w:eastAsia="en-AU"/>
        </w:rPr>
        <w:lastRenderedPageBreak/>
        <w:t xml:space="preserve">The current IFD curves </w:t>
      </w:r>
      <w:r w:rsidR="00DE22FA">
        <w:rPr>
          <w:rFonts w:ascii="Calibri" w:eastAsia="Times New Roman" w:hAnsi="Calibri" w:cs="Calibri"/>
          <w:lang w:eastAsia="en-AU"/>
        </w:rPr>
        <w:t>that are included in the 2016 IFD portal</w:t>
      </w:r>
      <w:r w:rsidR="00DE22FA">
        <w:rPr>
          <w:rStyle w:val="FootnoteReference"/>
          <w:rFonts w:ascii="Calibri" w:eastAsia="Times New Roman" w:hAnsi="Calibri" w:cs="Calibri"/>
          <w:lang w:eastAsia="en-AU"/>
        </w:rPr>
        <w:footnoteReference w:id="2"/>
      </w:r>
      <w:r w:rsidR="00DE22FA">
        <w:rPr>
          <w:rFonts w:ascii="Calibri" w:eastAsia="Times New Roman" w:hAnsi="Calibri" w:cs="Calibri"/>
          <w:lang w:eastAsia="en-AU"/>
        </w:rPr>
        <w:t xml:space="preserve"> were derived using historical data</w:t>
      </w:r>
      <w:r w:rsidR="008D267B">
        <w:rPr>
          <w:rFonts w:ascii="Calibri" w:eastAsia="Times New Roman" w:hAnsi="Calibri" w:cs="Calibri"/>
          <w:lang w:eastAsia="en-AU"/>
        </w:rPr>
        <w:t xml:space="preserve"> </w:t>
      </w:r>
      <w:r w:rsidR="008D267B" w:rsidRPr="00055A2A">
        <w:rPr>
          <w:rFonts w:ascii="Calibri" w:eastAsia="Times New Roman" w:hAnsi="Calibri" w:cs="Calibri"/>
          <w:lang w:eastAsia="en-AU"/>
        </w:rPr>
        <w:t>(Book 2, Chapter 3)</w:t>
      </w:r>
      <w:r w:rsidR="00055C58" w:rsidRPr="00055A2A">
        <w:rPr>
          <w:rFonts w:ascii="Calibri" w:eastAsia="Times New Roman" w:hAnsi="Calibri" w:cs="Calibri"/>
          <w:lang w:eastAsia="en-AU"/>
        </w:rPr>
        <w:t xml:space="preserve">. The data from individual gauges varies, but a good </w:t>
      </w:r>
      <w:r w:rsidR="00C75BC3" w:rsidRPr="00055A2A">
        <w:rPr>
          <w:rFonts w:ascii="Calibri" w:eastAsia="Times New Roman" w:hAnsi="Calibri" w:cs="Calibri"/>
          <w:lang w:eastAsia="en-AU"/>
        </w:rPr>
        <w:t>estimate</w:t>
      </w:r>
      <w:r w:rsidR="00055C58" w:rsidRPr="00055A2A">
        <w:rPr>
          <w:rFonts w:ascii="Calibri" w:eastAsia="Times New Roman" w:hAnsi="Calibri" w:cs="Calibri"/>
          <w:lang w:eastAsia="en-AU"/>
        </w:rPr>
        <w:t xml:space="preserve"> for the midpoint of</w:t>
      </w:r>
      <w:r w:rsidR="00055C58">
        <w:rPr>
          <w:rFonts w:ascii="Calibri" w:eastAsia="Times New Roman" w:hAnsi="Calibri" w:cs="Calibri"/>
          <w:lang w:eastAsia="en-AU"/>
        </w:rPr>
        <w:t xml:space="preserve"> the data period </w:t>
      </w:r>
      <w:r w:rsidR="00C75BC3">
        <w:rPr>
          <w:rFonts w:ascii="Calibri" w:eastAsia="Times New Roman" w:hAnsi="Calibri" w:cs="Calibri"/>
          <w:lang w:eastAsia="en-AU"/>
        </w:rPr>
        <w:t xml:space="preserve">used in estimating </w:t>
      </w:r>
      <w:r w:rsidR="00BB63BD">
        <w:rPr>
          <w:rFonts w:ascii="Calibri" w:eastAsia="Times New Roman" w:hAnsi="Calibri" w:cs="Calibri"/>
          <w:lang w:eastAsia="en-AU"/>
        </w:rPr>
        <w:t xml:space="preserve">the 2016 </w:t>
      </w:r>
      <w:r w:rsidR="00C75BC3">
        <w:rPr>
          <w:rFonts w:ascii="Calibri" w:eastAsia="Times New Roman" w:hAnsi="Calibri" w:cs="Calibri"/>
          <w:lang w:eastAsia="en-AU"/>
        </w:rPr>
        <w:t>IFDs is 1961-1990.</w:t>
      </w:r>
      <w:r w:rsidR="003F327E">
        <w:rPr>
          <w:rFonts w:ascii="Calibri" w:eastAsia="Times New Roman" w:hAnsi="Calibri" w:cs="Calibri"/>
          <w:lang w:eastAsia="en-AU"/>
        </w:rPr>
        <w:t xml:space="preserve"> Figure 2 presents the latest </w:t>
      </w:r>
      <w:r w:rsidR="00301D75">
        <w:rPr>
          <w:rFonts w:ascii="Calibri" w:eastAsia="Times New Roman" w:hAnsi="Calibri" w:cs="Calibri"/>
          <w:lang w:eastAsia="en-AU"/>
        </w:rPr>
        <w:t>Intergovernmental</w:t>
      </w:r>
      <w:r w:rsidR="00813A77">
        <w:rPr>
          <w:rFonts w:ascii="Calibri" w:eastAsia="Times New Roman" w:hAnsi="Calibri" w:cs="Calibri"/>
          <w:lang w:eastAsia="en-AU"/>
        </w:rPr>
        <w:t xml:space="preserve"> Panel on </w:t>
      </w:r>
      <w:r w:rsidR="00301D75">
        <w:rPr>
          <w:rFonts w:ascii="Calibri" w:eastAsia="Times New Roman" w:hAnsi="Calibri" w:cs="Calibri"/>
          <w:lang w:eastAsia="en-AU"/>
        </w:rPr>
        <w:t>Climate</w:t>
      </w:r>
      <w:r w:rsidR="00813A77">
        <w:rPr>
          <w:rFonts w:ascii="Calibri" w:eastAsia="Times New Roman" w:hAnsi="Calibri" w:cs="Calibri"/>
          <w:lang w:eastAsia="en-AU"/>
        </w:rPr>
        <w:t xml:space="preserve"> Change (IPCC) temperature projections </w:t>
      </w:r>
      <w:r w:rsidR="00301D75">
        <w:t xml:space="preserve">based on Shared Socioeconomic Pathways (SSPs) that cover a broad range of potential future development options often referred to as very low </w:t>
      </w:r>
      <w:r w:rsidR="6B505B1D">
        <w:t>(</w:t>
      </w:r>
      <w:r w:rsidR="00301D75">
        <w:t>SSP1-1.9), low (SSP1-2.6), medium (SSP2-4.5), high (SSP3-7.0) and very high (SSP5-8.5) emissions pathways.</w:t>
      </w:r>
      <w:r w:rsidR="00457670">
        <w:t xml:space="preserve"> The best estimate for the </w:t>
      </w:r>
      <w:r w:rsidR="00987493">
        <w:t xml:space="preserve">mid-point </w:t>
      </w:r>
      <w:r w:rsidR="005C3135">
        <w:t xml:space="preserve">of </w:t>
      </w:r>
      <w:r w:rsidR="00457670">
        <w:t xml:space="preserve">the data used for the generation of the 2016 IFDs is shaded in grey. </w:t>
      </w:r>
      <w:r w:rsidR="00DE381C">
        <w:t xml:space="preserve">As </w:t>
      </w:r>
      <w:r w:rsidR="000518C6">
        <w:t>global temperature</w:t>
      </w:r>
      <w:r w:rsidR="006E6252">
        <w:t>s</w:t>
      </w:r>
      <w:r w:rsidR="000518C6">
        <w:t xml:space="preserve"> </w:t>
      </w:r>
      <w:r w:rsidR="006E6252">
        <w:t xml:space="preserve">have </w:t>
      </w:r>
      <w:r w:rsidR="000518C6">
        <w:t xml:space="preserve">risen since </w:t>
      </w:r>
      <w:r w:rsidR="00963EAB">
        <w:t>this period,</w:t>
      </w:r>
      <w:r w:rsidR="000518C6">
        <w:t xml:space="preserve"> </w:t>
      </w:r>
      <w:r w:rsidR="001F61F2">
        <w:t>design rainfall estimates require factori</w:t>
      </w:r>
      <w:r w:rsidR="001F61F2" w:rsidRPr="00DE381C">
        <w:t xml:space="preserve">ng </w:t>
      </w:r>
      <w:r w:rsidR="006E6252" w:rsidRPr="00DE381C">
        <w:t xml:space="preserve">to account </w:t>
      </w:r>
      <w:r w:rsidR="001F61F2" w:rsidRPr="00DE381C">
        <w:t>for this</w:t>
      </w:r>
      <w:r w:rsidR="001F61F2">
        <w:t xml:space="preserve"> temperature increase.</w:t>
      </w:r>
      <w:r>
        <w:rPr>
          <w:rFonts w:ascii="Calibri" w:eastAsia="Times New Roman" w:hAnsi="Calibri" w:cs="Calibri"/>
          <w:lang w:eastAsia="en-AU"/>
        </w:rPr>
        <w:t xml:space="preserve"> </w:t>
      </w:r>
      <w:r w:rsidR="00C3381E">
        <w:rPr>
          <w:rFonts w:ascii="Calibri" w:eastAsia="Times New Roman" w:hAnsi="Calibri" w:cs="Calibri"/>
          <w:lang w:eastAsia="en-AU"/>
        </w:rPr>
        <w:t xml:space="preserve"> </w:t>
      </w:r>
    </w:p>
    <w:p w14:paraId="5A31CA56" w14:textId="568F0AB0" w:rsidR="00076F1A" w:rsidRDefault="007C35FC" w:rsidP="00031FC3">
      <w:pPr>
        <w:rPr>
          <w:rFonts w:ascii="Calibri" w:eastAsia="Times New Roman" w:hAnsi="Calibri" w:cs="Calibri"/>
          <w:lang w:eastAsia="en-AU"/>
        </w:rPr>
      </w:pPr>
      <w:r>
        <w:rPr>
          <w:rFonts w:ascii="Calibri" w:eastAsia="Times New Roman" w:hAnsi="Calibri" w:cs="Calibri"/>
          <w:noProof/>
          <w:lang w:eastAsia="en-AU"/>
        </w:rPr>
        <w:drawing>
          <wp:inline distT="0" distB="0" distL="0" distR="0" wp14:anchorId="111F321B" wp14:editId="66D316A0">
            <wp:extent cx="5757790" cy="3480867"/>
            <wp:effectExtent l="0" t="0" r="0" b="5715"/>
            <wp:docPr id="1025085122" name="Picture 1025085122" descr="A graph showing the increase in global average temperature with time from 1950 to present, followed by four projected pathways for global temperature to 2100.  The projected temperature pathways each use different assumptions about future socio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85122" name="Picture 5" descr="A graph showing the increase in global average temperature with time from 1950 to present, followed by four projected pathways for global temperature to 2100.  The projected temperature pathways each use different assumptions about future socioeconomic development."/>
                    <pic:cNvPicPr/>
                  </pic:nvPicPr>
                  <pic:blipFill rotWithShape="1">
                    <a:blip r:embed="rId25" cstate="print">
                      <a:extLst>
                        <a:ext uri="{28A0092B-C50C-407E-A947-70E740481C1C}">
                          <a14:useLocalDpi xmlns:a14="http://schemas.microsoft.com/office/drawing/2010/main" val="0"/>
                        </a:ext>
                      </a:extLst>
                    </a:blip>
                    <a:srcRect t="11393" b="3976"/>
                    <a:stretch/>
                  </pic:blipFill>
                  <pic:spPr bwMode="auto">
                    <a:xfrm>
                      <a:off x="0" y="0"/>
                      <a:ext cx="5759450" cy="3481871"/>
                    </a:xfrm>
                    <a:prstGeom prst="rect">
                      <a:avLst/>
                    </a:prstGeom>
                    <a:ln>
                      <a:noFill/>
                    </a:ln>
                    <a:extLst>
                      <a:ext uri="{53640926-AAD7-44D8-BBD7-CCE9431645EC}">
                        <a14:shadowObscured xmlns:a14="http://schemas.microsoft.com/office/drawing/2010/main"/>
                      </a:ext>
                    </a:extLst>
                  </pic:spPr>
                </pic:pic>
              </a:graphicData>
            </a:graphic>
          </wp:inline>
        </w:drawing>
      </w:r>
    </w:p>
    <w:p w14:paraId="432C26E0" w14:textId="7B83CB9C" w:rsidR="00076F1A" w:rsidRPr="006130BF" w:rsidRDefault="00076F1A" w:rsidP="00076F1A">
      <w:pPr>
        <w:spacing w:before="100" w:beforeAutospacing="1" w:after="100" w:afterAutospacing="1" w:line="240" w:lineRule="auto"/>
        <w:jc w:val="center"/>
        <w:textAlignment w:val="baseline"/>
        <w:rPr>
          <w:rFonts w:ascii="Calibri" w:eastAsia="Times New Roman" w:hAnsi="Calibri" w:cs="Calibri"/>
          <w:lang w:eastAsia="en-AU"/>
        </w:rPr>
      </w:pPr>
      <w:r w:rsidRPr="6D47D990">
        <w:rPr>
          <w:rFonts w:ascii="Calibri" w:eastAsia="Times New Roman" w:hAnsi="Calibri" w:cs="Calibri"/>
          <w:b/>
          <w:bCs/>
          <w:lang w:eastAsia="en-AU"/>
        </w:rPr>
        <w:t>Figure 2.</w:t>
      </w:r>
      <w:r w:rsidRPr="6D47D990">
        <w:rPr>
          <w:rFonts w:ascii="Calibri" w:eastAsia="Times New Roman" w:hAnsi="Calibri" w:cs="Calibri"/>
          <w:lang w:eastAsia="en-AU"/>
        </w:rPr>
        <w:t xml:space="preserve"> Projected temperature increases associated with </w:t>
      </w:r>
      <w:r>
        <w:rPr>
          <w:rFonts w:ascii="Calibri" w:eastAsia="Times New Roman" w:hAnsi="Calibri" w:cs="Calibri"/>
          <w:lang w:eastAsia="en-AU"/>
        </w:rPr>
        <w:t>AR6</w:t>
      </w:r>
      <w:r w:rsidRPr="6D47D990">
        <w:rPr>
          <w:rFonts w:ascii="Calibri" w:eastAsia="Times New Roman" w:hAnsi="Calibri" w:cs="Calibri"/>
          <w:lang w:eastAsia="en-AU"/>
        </w:rPr>
        <w:t xml:space="preserve"> socioeconomic pathways </w:t>
      </w:r>
      <w:r w:rsidR="00DE381C" w:rsidRPr="6D47D990">
        <w:rPr>
          <w:rFonts w:ascii="Calibri" w:eastAsia="Times New Roman" w:hAnsi="Calibri" w:cs="Calibri"/>
          <w:lang w:eastAsia="en-AU"/>
        </w:rPr>
        <w:t>relative to 1</w:t>
      </w:r>
      <w:r w:rsidR="00DE381C">
        <w:rPr>
          <w:rFonts w:ascii="Calibri" w:eastAsia="Times New Roman" w:hAnsi="Calibri" w:cs="Calibri"/>
          <w:lang w:eastAsia="en-AU"/>
        </w:rPr>
        <w:t xml:space="preserve">961-1990 (shaded </w:t>
      </w:r>
      <w:r w:rsidR="00BB63BD">
        <w:rPr>
          <w:rFonts w:ascii="Calibri" w:eastAsia="Times New Roman" w:hAnsi="Calibri" w:cs="Calibri"/>
          <w:lang w:eastAsia="en-AU"/>
        </w:rPr>
        <w:t xml:space="preserve">vertically in </w:t>
      </w:r>
      <w:r w:rsidR="00DE381C">
        <w:rPr>
          <w:rFonts w:ascii="Calibri" w:eastAsia="Times New Roman" w:hAnsi="Calibri" w:cs="Calibri"/>
          <w:lang w:eastAsia="en-AU"/>
        </w:rPr>
        <w:t xml:space="preserve">grey) </w:t>
      </w:r>
      <w:r w:rsidRPr="6D47D990">
        <w:rPr>
          <w:rFonts w:ascii="Calibri" w:eastAsia="Times New Roman" w:hAnsi="Calibri" w:cs="Calibri"/>
          <w:lang w:eastAsia="en-AU"/>
        </w:rPr>
        <w:t>and their associated uncertainty</w:t>
      </w:r>
      <w:r w:rsidR="00DE381C">
        <w:rPr>
          <w:rStyle w:val="FootnoteReference"/>
          <w:rFonts w:ascii="Calibri" w:eastAsia="Times New Roman" w:hAnsi="Calibri" w:cs="Calibri"/>
          <w:lang w:eastAsia="en-AU"/>
        </w:rPr>
        <w:footnoteReference w:id="3"/>
      </w:r>
      <w:r w:rsidRPr="6D47D990">
        <w:rPr>
          <w:rFonts w:ascii="Calibri" w:eastAsia="Times New Roman" w:hAnsi="Calibri" w:cs="Calibri"/>
          <w:lang w:eastAsia="en-AU"/>
        </w:rPr>
        <w:t>.</w:t>
      </w:r>
    </w:p>
    <w:p w14:paraId="61B5EEC9" w14:textId="77777777" w:rsidR="00055A2A" w:rsidRDefault="00055A2A">
      <w:pPr>
        <w:spacing w:after="0" w:line="240" w:lineRule="auto"/>
      </w:pPr>
      <w:r>
        <w:br w:type="page"/>
      </w:r>
    </w:p>
    <w:p w14:paraId="7B9C906A" w14:textId="6D1B6979" w:rsidR="00E66266" w:rsidRDefault="00BC772B" w:rsidP="00E66266">
      <w:r>
        <w:lastRenderedPageBreak/>
        <w:t xml:space="preserve">To account for changes since the </w:t>
      </w:r>
      <w:r w:rsidR="000D6993">
        <w:t>period represented by the IFD curves in the 2016 IFD portal</w:t>
      </w:r>
      <w:r w:rsidR="00EF5D27">
        <w:t xml:space="preserve">, it is recommended that </w:t>
      </w:r>
      <w:r w:rsidR="00E66266">
        <w:t xml:space="preserve">IFD </w:t>
      </w:r>
      <w:r w:rsidR="006E6252">
        <w:t xml:space="preserve">information </w:t>
      </w:r>
      <w:r w:rsidR="00E66266">
        <w:t xml:space="preserve">as well as estimates of the PMP </w:t>
      </w:r>
      <w:r w:rsidR="002F5A52">
        <w:t xml:space="preserve">should be </w:t>
      </w:r>
      <w:r w:rsidR="00E66266">
        <w:t xml:space="preserve">adjusted using </w:t>
      </w:r>
      <w:r w:rsidR="00E66266" w:rsidRPr="00055A2A">
        <w:t>Equation 1</w:t>
      </w:r>
      <w:r w:rsidR="00F45AF0" w:rsidRPr="00055A2A">
        <w:t xml:space="preserve"> and the relevant rate of change in Table 1</w:t>
      </w:r>
      <w:r w:rsidR="00E66266">
        <w:t xml:space="preserve">: </w:t>
      </w:r>
    </w:p>
    <w:p w14:paraId="405D393B" w14:textId="408C9F9B" w:rsidR="00E66266" w:rsidRDefault="00000000" w:rsidP="00055A2A">
      <w:pPr>
        <w:jc w:val="center"/>
      </w:pPr>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=I×</m:t>
        </m:r>
        <m:sSup>
          <m:sSupPr>
            <m:ctrlPr>
              <w:rPr>
                <w:rFonts w:ascii="Cambria Math" w:hAnsi="Cambria Math"/>
                <w:i/>
              </w:rPr>
            </m:ctrlPr>
          </m:sSupPr>
          <m:e>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100</m:t>
                </m:r>
              </m:den>
            </m:f>
            <m:r>
              <w:rPr>
                <w:rFonts w:ascii="Cambria Math" w:hAnsi="Cambria Math"/>
              </w:rPr>
              <m:t>)</m:t>
            </m:r>
          </m:e>
          <m:sup>
            <m:r>
              <w:rPr>
                <w:rFonts w:ascii="Cambria Math" w:hAnsi="Cambria Math"/>
              </w:rPr>
              <m:t>∆T</m:t>
            </m:r>
          </m:sup>
        </m:sSup>
      </m:oMath>
      <w:r w:rsidR="00E66266">
        <w:rPr>
          <w:rFonts w:eastAsiaTheme="minorEastAsia"/>
        </w:rPr>
        <w:t xml:space="preserve"> </w:t>
      </w:r>
      <w:r w:rsidR="00E66266">
        <w:rPr>
          <w:rFonts w:eastAsiaTheme="minorEastAsia"/>
        </w:rPr>
        <w:tab/>
      </w:r>
      <w:r w:rsidR="00E66266">
        <w:rPr>
          <w:rFonts w:eastAsiaTheme="minorEastAsia"/>
        </w:rPr>
        <w:tab/>
      </w:r>
      <w:r w:rsidR="00E66266">
        <w:rPr>
          <w:rFonts w:eastAsiaTheme="minorEastAsia"/>
        </w:rPr>
        <w:tab/>
      </w:r>
      <w:r w:rsidR="00E66266">
        <w:rPr>
          <w:rFonts w:eastAsiaTheme="minorEastAsia"/>
        </w:rPr>
        <w:tab/>
      </w:r>
      <w:r w:rsidR="00E66266">
        <w:rPr>
          <w:rFonts w:eastAsiaTheme="minorEastAsia"/>
        </w:rPr>
        <w:tab/>
        <w:t>(1)</w:t>
      </w:r>
    </w:p>
    <w:p w14:paraId="7957561C" w14:textId="165D7218" w:rsidR="00250A1E" w:rsidRDefault="008E587B" w:rsidP="00E66266">
      <w:proofErr w:type="gramStart"/>
      <w:r>
        <w:t>w</w:t>
      </w:r>
      <w:r w:rsidR="00E66266">
        <w:t>here</w:t>
      </w:r>
      <w:proofErr w:type="gramEnd"/>
      <w:r w:rsidR="00E66266">
        <w:t xml:space="preserve"> </w:t>
      </w:r>
    </w:p>
    <w:p w14:paraId="00367ABD" w14:textId="2B4C1722" w:rsidR="00250A1E" w:rsidRPr="00DE381C" w:rsidRDefault="00000000" w:rsidP="00DE381C">
      <w:pPr>
        <w:pStyle w:val="ListNumber2"/>
        <w:numPr>
          <w:ilvl w:val="0"/>
          <w:numId w:val="56"/>
        </w:numPr>
      </w:pPr>
      <m:oMath>
        <m:sSub>
          <m:sSubPr>
            <m:ctrlPr>
              <w:rPr>
                <w:rFonts w:ascii="Cambria Math" w:hAnsi="Cambria Math"/>
                <w:i/>
              </w:rPr>
            </m:ctrlPr>
          </m:sSubPr>
          <m:e>
            <m:r>
              <w:rPr>
                <w:rFonts w:ascii="Cambria Math" w:hAnsi="Cambria Math"/>
              </w:rPr>
              <m:t>I</m:t>
            </m:r>
          </m:e>
          <m:sub>
            <m:r>
              <w:rPr>
                <w:rFonts w:ascii="Cambria Math" w:hAnsi="Cambria Math"/>
              </w:rPr>
              <m:t>p</m:t>
            </m:r>
          </m:sub>
        </m:sSub>
      </m:oMath>
      <w:r w:rsidR="00E66266">
        <w:rPr>
          <w:rFonts w:eastAsiaTheme="minorEastAsia"/>
        </w:rPr>
        <w:t xml:space="preserve">is the projected rainfall depth or </w:t>
      </w:r>
      <w:proofErr w:type="gramStart"/>
      <w:r w:rsidR="00E66266">
        <w:rPr>
          <w:rFonts w:eastAsiaTheme="minorEastAsia"/>
        </w:rPr>
        <w:t>intensity</w:t>
      </w:r>
      <w:proofErr w:type="gramEnd"/>
    </w:p>
    <w:p w14:paraId="5E5DB482" w14:textId="57D82462" w:rsidR="008E587B" w:rsidRPr="00DE381C" w:rsidRDefault="009262D8" w:rsidP="008A3056">
      <w:pPr>
        <w:pStyle w:val="ListNumber2"/>
        <w:numPr>
          <w:ilvl w:val="0"/>
          <w:numId w:val="56"/>
        </w:numPr>
      </w:pPr>
      <w:r>
        <w:rPr>
          <w:rFonts w:eastAsiaTheme="minorEastAsia"/>
        </w:rPr>
        <w:t xml:space="preserve"> </w:t>
      </w:r>
      <m:oMath>
        <m:r>
          <w:rPr>
            <w:rFonts w:ascii="Cambria Math" w:hAnsi="Cambria Math"/>
          </w:rPr>
          <m:t>α</m:t>
        </m:r>
      </m:oMath>
      <w:r>
        <w:rPr>
          <w:rFonts w:eastAsiaTheme="minorEastAsia"/>
        </w:rPr>
        <w:t xml:space="preserve"> is the rate of change from </w:t>
      </w:r>
      <w:r w:rsidRPr="00FC5BEC">
        <w:rPr>
          <w:rFonts w:eastAsiaTheme="minorEastAsia"/>
        </w:rPr>
        <w:t xml:space="preserve">Table </w:t>
      </w:r>
      <w:proofErr w:type="gramStart"/>
      <w:r w:rsidRPr="00FC5BEC">
        <w:rPr>
          <w:rFonts w:eastAsiaTheme="minorEastAsia"/>
        </w:rPr>
        <w:t>1</w:t>
      </w:r>
      <w:proofErr w:type="gramEnd"/>
    </w:p>
    <w:p w14:paraId="735C2E40" w14:textId="3F65BE8E" w:rsidR="008A3056" w:rsidRPr="001804A3" w:rsidRDefault="008E587B" w:rsidP="00DE381C">
      <w:pPr>
        <w:pStyle w:val="ListNumber2"/>
        <w:numPr>
          <w:ilvl w:val="0"/>
          <w:numId w:val="56"/>
        </w:numPr>
      </w:pPr>
      <w:r>
        <w:rPr>
          <w:rFonts w:eastAsiaTheme="minorEastAsia"/>
        </w:rPr>
        <w:t xml:space="preserve"> </w:t>
      </w:r>
      <m:oMath>
        <m:r>
          <w:rPr>
            <w:rFonts w:ascii="Cambria Math" w:hAnsi="Cambria Math"/>
          </w:rPr>
          <m:t xml:space="preserve">I </m:t>
        </m:r>
      </m:oMath>
      <w:r w:rsidRPr="001804A3">
        <w:rPr>
          <w:rFonts w:eastAsiaTheme="minorEastAsia"/>
        </w:rPr>
        <w:t xml:space="preserve">is the design rainfall depth or </w:t>
      </w:r>
      <w:proofErr w:type="gramStart"/>
      <w:r w:rsidRPr="001804A3">
        <w:rPr>
          <w:rFonts w:eastAsiaTheme="minorEastAsia"/>
        </w:rPr>
        <w:t>intensity</w:t>
      </w:r>
      <w:proofErr w:type="gramEnd"/>
    </w:p>
    <w:p w14:paraId="64E79494" w14:textId="69FA3BBE" w:rsidR="0092015E" w:rsidRPr="001804A3" w:rsidRDefault="00E66266" w:rsidP="00F41770">
      <w:pPr>
        <w:pStyle w:val="ListNumber2"/>
        <w:numPr>
          <w:ilvl w:val="0"/>
          <w:numId w:val="56"/>
        </w:numPr>
      </w:pPr>
      <m:oMath>
        <m:r>
          <w:rPr>
            <w:rFonts w:ascii="Cambria Math" w:hAnsi="Cambria Math"/>
          </w:rPr>
          <m:t>∆T</m:t>
        </m:r>
      </m:oMath>
      <w:r w:rsidR="0092015E" w:rsidRPr="001804A3">
        <w:rPr>
          <w:rFonts w:eastAsiaTheme="minorEastAsia"/>
        </w:rPr>
        <w:t xml:space="preserve"> </w:t>
      </w:r>
      <w:r w:rsidR="003A5FAE" w:rsidRPr="001804A3">
        <w:rPr>
          <w:rFonts w:eastAsiaTheme="minorEastAsia"/>
        </w:rPr>
        <w:t>is the</w:t>
      </w:r>
      <w:r w:rsidR="00011744" w:rsidRPr="001804A3">
        <w:rPr>
          <w:rFonts w:eastAsiaTheme="minorEastAsia"/>
        </w:rPr>
        <w:t xml:space="preserve"> </w:t>
      </w:r>
      <w:r w:rsidR="00D04726" w:rsidRPr="001804A3">
        <w:rPr>
          <w:rFonts w:eastAsiaTheme="minorEastAsia"/>
        </w:rPr>
        <w:t>most up</w:t>
      </w:r>
      <w:r w:rsidR="00EC7AF0">
        <w:rPr>
          <w:rFonts w:eastAsiaTheme="minorEastAsia"/>
        </w:rPr>
        <w:t>-</w:t>
      </w:r>
      <w:r w:rsidR="00D04726" w:rsidRPr="001804A3">
        <w:rPr>
          <w:rFonts w:eastAsiaTheme="minorEastAsia"/>
        </w:rPr>
        <w:t>to</w:t>
      </w:r>
      <w:r w:rsidR="00EC7AF0">
        <w:rPr>
          <w:rFonts w:eastAsiaTheme="minorEastAsia"/>
        </w:rPr>
        <w:t>-</w:t>
      </w:r>
      <w:r w:rsidR="00D04726" w:rsidRPr="001804A3">
        <w:rPr>
          <w:rFonts w:eastAsiaTheme="minorEastAsia"/>
        </w:rPr>
        <w:t>date</w:t>
      </w:r>
      <w:r w:rsidR="00011744" w:rsidRPr="001804A3">
        <w:rPr>
          <w:rFonts w:eastAsiaTheme="minorEastAsia"/>
        </w:rPr>
        <w:t xml:space="preserve"> estimate of</w:t>
      </w:r>
      <w:r w:rsidR="003A5FAE" w:rsidRPr="001804A3">
        <w:rPr>
          <w:rFonts w:eastAsiaTheme="minorEastAsia"/>
        </w:rPr>
        <w:t xml:space="preserve"> </w:t>
      </w:r>
      <w:r w:rsidRPr="001804A3">
        <w:rPr>
          <w:rFonts w:eastAsiaTheme="minorEastAsia"/>
        </w:rPr>
        <w:t xml:space="preserve">global (land and ocean) temperature </w:t>
      </w:r>
      <w:r w:rsidR="00176E6D" w:rsidRPr="001804A3">
        <w:rPr>
          <w:rFonts w:eastAsiaTheme="minorEastAsia"/>
        </w:rPr>
        <w:t xml:space="preserve">projection </w:t>
      </w:r>
      <w:r w:rsidR="00540792" w:rsidRPr="001804A3">
        <w:rPr>
          <w:rFonts w:eastAsiaTheme="minorEastAsia"/>
        </w:rPr>
        <w:t>for the design period of interest</w:t>
      </w:r>
      <w:r w:rsidR="00176E6D" w:rsidRPr="001804A3">
        <w:rPr>
          <w:rFonts w:eastAsiaTheme="minorEastAsia"/>
        </w:rPr>
        <w:t xml:space="preserve"> and selected climate scenario</w:t>
      </w:r>
      <w:r w:rsidR="009262D8" w:rsidRPr="001804A3">
        <w:rPr>
          <w:rFonts w:eastAsiaTheme="minorEastAsia"/>
        </w:rPr>
        <w:t xml:space="preserve"> </w:t>
      </w:r>
      <w:r w:rsidR="0093381C" w:rsidRPr="001804A3">
        <w:rPr>
          <w:rFonts w:eastAsiaTheme="minorEastAsia"/>
        </w:rPr>
        <w:t>relative to</w:t>
      </w:r>
      <w:r w:rsidR="00086AA6" w:rsidRPr="001804A3">
        <w:rPr>
          <w:rFonts w:eastAsiaTheme="minorEastAsia"/>
        </w:rPr>
        <w:t xml:space="preserve"> a</w:t>
      </w:r>
      <w:r w:rsidR="0093381C" w:rsidRPr="001804A3">
        <w:rPr>
          <w:rFonts w:eastAsiaTheme="minorEastAsia"/>
        </w:rPr>
        <w:t xml:space="preserve"> </w:t>
      </w:r>
      <w:r w:rsidR="006C6ABE" w:rsidRPr="001804A3">
        <w:rPr>
          <w:rFonts w:eastAsiaTheme="minorEastAsia"/>
        </w:rPr>
        <w:t>baseline</w:t>
      </w:r>
      <w:r w:rsidR="00086AA6" w:rsidRPr="001804A3">
        <w:rPr>
          <w:rFonts w:eastAsiaTheme="minorEastAsia"/>
        </w:rPr>
        <w:t xml:space="preserve"> </w:t>
      </w:r>
      <w:proofErr w:type="gramStart"/>
      <w:r w:rsidR="00086AA6" w:rsidRPr="001804A3">
        <w:rPr>
          <w:rFonts w:eastAsiaTheme="minorEastAsia"/>
        </w:rPr>
        <w:t>time period</w:t>
      </w:r>
      <w:proofErr w:type="gramEnd"/>
      <w:r w:rsidR="00086AA6" w:rsidRPr="001804A3">
        <w:rPr>
          <w:rFonts w:eastAsiaTheme="minorEastAsia"/>
        </w:rPr>
        <w:t>. W</w:t>
      </w:r>
      <w:r w:rsidR="001A1A90" w:rsidRPr="001804A3">
        <w:rPr>
          <w:rFonts w:eastAsiaTheme="minorEastAsia"/>
        </w:rPr>
        <w:t>hen us</w:t>
      </w:r>
      <w:r w:rsidR="0013672E" w:rsidRPr="001804A3">
        <w:rPr>
          <w:rFonts w:eastAsiaTheme="minorEastAsia"/>
        </w:rPr>
        <w:t xml:space="preserve">ed </w:t>
      </w:r>
      <w:r w:rsidR="001A1A90" w:rsidRPr="001804A3">
        <w:rPr>
          <w:rFonts w:eastAsiaTheme="minorEastAsia"/>
        </w:rPr>
        <w:t xml:space="preserve">in conjunction with the 2016 IFD curves </w:t>
      </w:r>
      <w:r w:rsidR="00086AA6" w:rsidRPr="001804A3">
        <w:rPr>
          <w:rFonts w:eastAsiaTheme="minorEastAsia"/>
        </w:rPr>
        <w:t xml:space="preserve">the baseline </w:t>
      </w:r>
      <w:r w:rsidR="001A1A90" w:rsidRPr="001804A3">
        <w:rPr>
          <w:rFonts w:eastAsiaTheme="minorEastAsia"/>
        </w:rPr>
        <w:t xml:space="preserve">is recommended to be the 1961-1990 period </w:t>
      </w:r>
      <w:r w:rsidR="009262D8" w:rsidRPr="001804A3">
        <w:rPr>
          <w:rFonts w:eastAsiaTheme="minorEastAsia"/>
        </w:rPr>
        <w:t>(see Table 2</w:t>
      </w:r>
      <w:r w:rsidR="00540792" w:rsidRPr="001804A3">
        <w:rPr>
          <w:rFonts w:eastAsiaTheme="minorEastAsia"/>
        </w:rPr>
        <w:t xml:space="preserve"> and text below</w:t>
      </w:r>
      <w:r w:rsidR="009262D8" w:rsidRPr="001804A3">
        <w:rPr>
          <w:rFonts w:eastAsiaTheme="minorEastAsia"/>
        </w:rPr>
        <w:t>)</w:t>
      </w:r>
      <w:r w:rsidR="0092015E" w:rsidRPr="001804A3">
        <w:rPr>
          <w:rFonts w:eastAsiaTheme="minorEastAsia"/>
        </w:rPr>
        <w:t>.</w:t>
      </w:r>
      <w:r w:rsidR="008E193D" w:rsidRPr="001804A3">
        <w:rPr>
          <w:rFonts w:eastAsiaTheme="minorEastAsia"/>
        </w:rPr>
        <w:t xml:space="preserve"> </w:t>
      </w:r>
    </w:p>
    <w:p w14:paraId="251BC03A" w14:textId="04E5B194" w:rsidR="003B182E" w:rsidRPr="001804A3" w:rsidRDefault="00E66266" w:rsidP="0013672E">
      <w:pPr>
        <w:pStyle w:val="ListNumber2"/>
      </w:pPr>
      <w:r w:rsidRPr="00F75A1D">
        <w:t xml:space="preserve">The </w:t>
      </w:r>
      <w:r w:rsidR="00D04726" w:rsidRPr="00F75A1D">
        <w:t xml:space="preserve">rates of change </w:t>
      </w:r>
      <w:r w:rsidRPr="00F75A1D">
        <w:t>in Table 1 apply to exceedance probabilities fro</w:t>
      </w:r>
      <w:r>
        <w:t>m the 1EY event through to the PMP and have bee</w:t>
      </w:r>
      <w:r w:rsidRPr="0013672E">
        <w:t xml:space="preserve">n </w:t>
      </w:r>
      <w:r w:rsidR="006E6252" w:rsidRPr="0013672E">
        <w:t xml:space="preserve">developed </w:t>
      </w:r>
      <w:r w:rsidRPr="0013672E">
        <w:t xml:space="preserve">for application across mainland Australia and Tasmania. </w:t>
      </w:r>
      <w:r w:rsidR="00DE31B8">
        <w:t>T</w:t>
      </w:r>
      <w:r w:rsidRPr="0013672E">
        <w:t xml:space="preserve">here is some evidence for heterogeneity in the rate of change across space as well as by </w:t>
      </w:r>
      <w:r w:rsidR="006E6252" w:rsidRPr="0013672E">
        <w:t>event severity</w:t>
      </w:r>
      <w:r w:rsidR="00DE31B8">
        <w:t>. However,</w:t>
      </w:r>
      <w:r w:rsidRPr="0013672E">
        <w:t xml:space="preserve"> there</w:t>
      </w:r>
      <w:r>
        <w:t xml:space="preserve"> is insufficient information to quantitatively describe these differences, and/or the magnitude of difference was deemed to be small relative to th</w:t>
      </w:r>
      <w:r w:rsidRPr="0013672E">
        <w:t xml:space="preserve">e </w:t>
      </w:r>
      <w:r w:rsidR="006E6252" w:rsidRPr="0013672E">
        <w:t xml:space="preserve">associated </w:t>
      </w:r>
      <w:r w:rsidRPr="0013672E">
        <w:t xml:space="preserve">uncertainty. </w:t>
      </w:r>
      <w:r w:rsidR="006E6252" w:rsidRPr="0013672E">
        <w:t>The information provided in Table 1 relates to storm durations for which most published evidence is available</w:t>
      </w:r>
      <w:r w:rsidR="002A0679">
        <w:t>. G</w:t>
      </w:r>
      <w:r w:rsidR="000842FB" w:rsidRPr="0013672E">
        <w:t xml:space="preserve">uidance on factors for use with burst durations between 1 and 24 hours </w:t>
      </w:r>
      <w:r w:rsidR="001A2531">
        <w:t xml:space="preserve">is </w:t>
      </w:r>
      <w:r w:rsidR="000842FB" w:rsidRPr="0013672E">
        <w:t xml:space="preserve">given in </w:t>
      </w:r>
      <w:r w:rsidR="000842FB" w:rsidRPr="001804A3">
        <w:t xml:space="preserve">Appendix A. </w:t>
      </w:r>
    </w:p>
    <w:p w14:paraId="536956B0" w14:textId="3B1449AE" w:rsidR="00E66266" w:rsidRPr="001804A3" w:rsidRDefault="003B182E" w:rsidP="0013672E">
      <w:pPr>
        <w:pStyle w:val="ListNumber2"/>
      </w:pPr>
      <w:r w:rsidRPr="001804A3">
        <w:t xml:space="preserve">The differing rates of change with storm duration reflect the fact that the mechanisms that cause extreme rainfall at these </w:t>
      </w:r>
      <w:r w:rsidR="00CB6339">
        <w:t>2</w:t>
      </w:r>
      <w:r w:rsidR="00CB6339" w:rsidRPr="001804A3">
        <w:t xml:space="preserve"> </w:t>
      </w:r>
      <w:r w:rsidRPr="001804A3">
        <w:t>durations are often distinct</w:t>
      </w:r>
      <w:r w:rsidR="00B06F07">
        <w:t>. Note</w:t>
      </w:r>
      <w:r w:rsidRPr="001804A3">
        <w:t xml:space="preserve"> that short duration extremes are often embedded in longer duration extremes. </w:t>
      </w:r>
      <w:r w:rsidR="000842FB" w:rsidRPr="001804A3">
        <w:t xml:space="preserve">It is possible that application of the scaling factors </w:t>
      </w:r>
      <w:r w:rsidR="002A1743" w:rsidRPr="001804A3">
        <w:t xml:space="preserve">provided in Table 1 and </w:t>
      </w:r>
      <w:r w:rsidR="0013672E" w:rsidRPr="001804A3">
        <w:t xml:space="preserve">Table </w:t>
      </w:r>
      <w:r w:rsidR="002A1743" w:rsidRPr="001804A3">
        <w:t xml:space="preserve">A1 </w:t>
      </w:r>
      <w:r w:rsidR="000842FB" w:rsidRPr="001804A3">
        <w:t>may yield inconsistencies in</w:t>
      </w:r>
      <w:r w:rsidR="000842FB" w:rsidRPr="00F75A1D">
        <w:t xml:space="preserve"> the resulting design rainfall frequency curves</w:t>
      </w:r>
      <w:r w:rsidR="002A1743" w:rsidRPr="00F75A1D">
        <w:t>. Such inconsistencies are not unexpected given the uncertainties involved in their derivation</w:t>
      </w:r>
      <w:r w:rsidR="0011476C">
        <w:t>. A</w:t>
      </w:r>
      <w:r w:rsidR="002A1743" w:rsidRPr="00F75A1D">
        <w:t>ccordingly</w:t>
      </w:r>
      <w:r w:rsidR="0011476C">
        <w:t>,</w:t>
      </w:r>
      <w:r w:rsidR="002A1743" w:rsidRPr="00F75A1D">
        <w:t xml:space="preserve"> the I</w:t>
      </w:r>
      <w:r w:rsidR="002A1743" w:rsidRPr="001804A3">
        <w:t xml:space="preserve">FD curves should be adjusted as minimally as possible to ensure the curve of one duration does not cross </w:t>
      </w:r>
      <w:r w:rsidR="0013672E" w:rsidRPr="001804A3">
        <w:t xml:space="preserve">the curve </w:t>
      </w:r>
      <w:r w:rsidR="002A1743" w:rsidRPr="001804A3">
        <w:t>of another.</w:t>
      </w:r>
    </w:p>
    <w:p w14:paraId="0B2F7801" w14:textId="46E974D2" w:rsidR="00E66266" w:rsidRPr="0013672E" w:rsidRDefault="00E66266" w:rsidP="0013672E">
      <w:pPr>
        <w:pStyle w:val="TableHeading"/>
        <w:jc w:val="center"/>
      </w:pPr>
      <w:r w:rsidRPr="001804A3">
        <w:rPr>
          <w:bCs/>
        </w:rPr>
        <w:t>Table 1.</w:t>
      </w:r>
      <w:r w:rsidRPr="001804A3">
        <w:t xml:space="preserve"> Recommended rates of change (</w:t>
      </w:r>
      <m:oMath>
        <m:r>
          <m:rPr>
            <m:sty m:val="bi"/>
          </m:rPr>
          <w:rPr>
            <w:rFonts w:ascii="Cambria Math" w:hAnsi="Cambria Math"/>
            <w:lang w:eastAsia="en-AU"/>
          </w:rPr>
          <m:t>α</m:t>
        </m:r>
      </m:oMath>
      <w:r w:rsidRPr="001804A3">
        <w:t>) and associated uncertainty derived in Wasko et al</w:t>
      </w:r>
      <w:r w:rsidR="00302F98">
        <w:t>.</w:t>
      </w:r>
      <w:r w:rsidRPr="001804A3">
        <w:t xml:space="preserve"> (202</w:t>
      </w:r>
      <w:r w:rsidR="00334EB3">
        <w:t>3</w:t>
      </w:r>
      <w:r w:rsidRPr="001804A3">
        <w:t>), presented per degree global temperature change (%/°C). The factors in this table are applicable for exceedance probabilities from 1EY up to and including the PMP and are designed for application across mainland Australia and Tasmania.</w:t>
      </w:r>
    </w:p>
    <w:tbl>
      <w:tblPr>
        <w:tblStyle w:val="GridTable1Light"/>
        <w:tblW w:w="0" w:type="auto"/>
        <w:jc w:val="center"/>
        <w:tblLook w:val="04A0" w:firstRow="1" w:lastRow="0" w:firstColumn="1" w:lastColumn="0" w:noHBand="0" w:noVBand="1"/>
      </w:tblPr>
      <w:tblGrid>
        <w:gridCol w:w="3685"/>
        <w:gridCol w:w="1080"/>
        <w:gridCol w:w="2160"/>
        <w:gridCol w:w="983"/>
      </w:tblGrid>
      <w:tr w:rsidR="00E66266" w:rsidRPr="00AA577D" w14:paraId="5DB8C4F4"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5" w:type="dxa"/>
            <w:hideMark/>
          </w:tcPr>
          <w:p w14:paraId="371B7E94" w14:textId="77777777" w:rsidR="00E66266" w:rsidRPr="00AA577D" w:rsidRDefault="00E66266">
            <w:pPr>
              <w:spacing w:before="100" w:beforeAutospacing="1" w:after="100" w:afterAutospacing="1"/>
              <w:textAlignment w:val="baseline"/>
              <w:rPr>
                <w:rFonts w:eastAsia="Times New Roman" w:cstheme="minorHAnsi"/>
                <w:lang w:eastAsia="en-AU"/>
              </w:rPr>
            </w:pPr>
            <w:r w:rsidRPr="00AA577D">
              <w:rPr>
                <w:rFonts w:eastAsia="Times New Roman" w:cstheme="minorHAnsi"/>
                <w:lang w:eastAsia="en-AU"/>
              </w:rPr>
              <w:t> </w:t>
            </w:r>
          </w:p>
        </w:tc>
        <w:tc>
          <w:tcPr>
            <w:tcW w:w="1080" w:type="dxa"/>
            <w:hideMark/>
          </w:tcPr>
          <w:p w14:paraId="34D3C0CB"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sidRPr="00AA577D">
              <w:rPr>
                <w:rFonts w:eastAsia="Times New Roman" w:cstheme="minorHAnsi"/>
                <w:lang w:eastAsia="en-AU"/>
              </w:rPr>
              <w:t>≤ 1 hr</w:t>
            </w:r>
          </w:p>
        </w:tc>
        <w:tc>
          <w:tcPr>
            <w:tcW w:w="2160" w:type="dxa"/>
          </w:tcPr>
          <w:p w14:paraId="3A97FB19"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sidRPr="005E65B1">
              <w:rPr>
                <w:rFonts w:eastAsia="Times New Roman" w:cstheme="minorHAnsi"/>
                <w:lang w:eastAsia="en-AU"/>
              </w:rPr>
              <w:t>&gt;</w:t>
            </w:r>
            <w:r>
              <w:rPr>
                <w:rFonts w:eastAsia="Times New Roman" w:cstheme="minorHAnsi"/>
                <w:lang w:eastAsia="en-AU"/>
              </w:rPr>
              <w:t xml:space="preserve"> </w:t>
            </w:r>
            <w:r w:rsidRPr="005E65B1">
              <w:rPr>
                <w:rFonts w:eastAsia="Times New Roman" w:cstheme="minorHAnsi"/>
                <w:lang w:eastAsia="en-AU"/>
              </w:rPr>
              <w:t>1 hr and &lt;</w:t>
            </w:r>
            <w:r>
              <w:rPr>
                <w:rFonts w:eastAsia="Times New Roman" w:cstheme="minorHAnsi"/>
                <w:lang w:eastAsia="en-AU"/>
              </w:rPr>
              <w:t xml:space="preserve"> </w:t>
            </w:r>
            <w:r w:rsidRPr="005E65B1">
              <w:rPr>
                <w:rFonts w:eastAsia="Times New Roman" w:cstheme="minorHAnsi"/>
                <w:lang w:eastAsia="en-AU"/>
              </w:rPr>
              <w:t>24 hr</w:t>
            </w:r>
          </w:p>
        </w:tc>
        <w:tc>
          <w:tcPr>
            <w:tcW w:w="983" w:type="dxa"/>
            <w:hideMark/>
          </w:tcPr>
          <w:p w14:paraId="7388AF44"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sidRPr="00AA577D">
              <w:rPr>
                <w:rFonts w:eastAsia="Times New Roman" w:cstheme="minorHAnsi"/>
                <w:lang w:eastAsia="en-AU"/>
              </w:rPr>
              <w:t>≥</w:t>
            </w:r>
            <w:r>
              <w:rPr>
                <w:rFonts w:eastAsia="Times New Roman" w:cstheme="minorHAnsi"/>
                <w:lang w:eastAsia="en-AU"/>
              </w:rPr>
              <w:t xml:space="preserve"> </w:t>
            </w:r>
            <w:r w:rsidRPr="00AA577D">
              <w:rPr>
                <w:rFonts w:eastAsia="Times New Roman" w:cstheme="minorHAnsi"/>
                <w:lang w:eastAsia="en-AU"/>
              </w:rPr>
              <w:t>24 hr</w:t>
            </w:r>
          </w:p>
        </w:tc>
      </w:tr>
      <w:tr w:rsidR="00E66266" w:rsidRPr="00AA577D" w14:paraId="5D3032F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hideMark/>
          </w:tcPr>
          <w:p w14:paraId="1468AB38" w14:textId="77777777" w:rsidR="00E66266" w:rsidRPr="00AA577D" w:rsidRDefault="00E66266">
            <w:pPr>
              <w:spacing w:before="100" w:beforeAutospacing="1" w:after="100" w:afterAutospacing="1"/>
              <w:textAlignment w:val="baseline"/>
              <w:rPr>
                <w:rFonts w:eastAsia="Times New Roman" w:cstheme="minorHAnsi"/>
                <w:lang w:eastAsia="en-AU"/>
              </w:rPr>
            </w:pPr>
            <w:r w:rsidRPr="00AA577D">
              <w:rPr>
                <w:rFonts w:eastAsia="Times New Roman" w:cstheme="minorHAnsi"/>
                <w:lang w:eastAsia="en-AU"/>
              </w:rPr>
              <w:t>Central (median) estimate (%/</w:t>
            </w:r>
            <w:r>
              <w:rPr>
                <w:rFonts w:eastAsia="Times New Roman" w:cstheme="minorHAnsi"/>
                <w:lang w:eastAsia="en-AU"/>
              </w:rPr>
              <w:t>°C</w:t>
            </w:r>
            <w:r w:rsidRPr="00AA577D">
              <w:rPr>
                <w:rFonts w:eastAsia="Times New Roman" w:cstheme="minorHAnsi"/>
                <w:lang w:eastAsia="en-AU"/>
              </w:rPr>
              <w:t>)</w:t>
            </w:r>
          </w:p>
        </w:tc>
        <w:tc>
          <w:tcPr>
            <w:tcW w:w="1080" w:type="dxa"/>
            <w:hideMark/>
          </w:tcPr>
          <w:p w14:paraId="0E7D5060"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29DF7AB0">
              <w:rPr>
                <w:rFonts w:eastAsia="Times New Roman"/>
                <w:lang w:eastAsia="en-AU"/>
              </w:rPr>
              <w:t>15</w:t>
            </w:r>
          </w:p>
        </w:tc>
        <w:tc>
          <w:tcPr>
            <w:tcW w:w="2160" w:type="dxa"/>
            <w:vMerge w:val="restart"/>
          </w:tcPr>
          <w:p w14:paraId="78811BDC" w14:textId="77777777" w:rsidR="00E66266" w:rsidRPr="29DF7AB0" w:rsidRDefault="00E6626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Pr>
                <w:rFonts w:eastAsia="Times New Roman"/>
                <w:lang w:eastAsia="en-AU"/>
              </w:rPr>
              <w:t xml:space="preserve">Interpolation zone (see </w:t>
            </w:r>
            <w:r w:rsidRPr="00E87283">
              <w:rPr>
                <w:rFonts w:eastAsia="Times New Roman"/>
                <w:b/>
                <w:bCs/>
                <w:u w:val="single"/>
                <w:lang w:eastAsia="en-AU"/>
              </w:rPr>
              <w:t>Table A1</w:t>
            </w:r>
            <w:r>
              <w:rPr>
                <w:rFonts w:eastAsia="Times New Roman"/>
                <w:lang w:eastAsia="en-AU"/>
              </w:rPr>
              <w:t>)</w:t>
            </w:r>
          </w:p>
        </w:tc>
        <w:tc>
          <w:tcPr>
            <w:tcW w:w="983" w:type="dxa"/>
            <w:hideMark/>
          </w:tcPr>
          <w:p w14:paraId="0C16AE7A"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29DF7AB0">
              <w:rPr>
                <w:rFonts w:eastAsia="Times New Roman"/>
                <w:lang w:eastAsia="en-AU"/>
              </w:rPr>
              <w:t>8</w:t>
            </w:r>
          </w:p>
        </w:tc>
      </w:tr>
      <w:tr w:rsidR="00E66266" w:rsidRPr="00AA577D" w14:paraId="32980D5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685" w:type="dxa"/>
            <w:hideMark/>
          </w:tcPr>
          <w:p w14:paraId="1D212EB7" w14:textId="450806BF" w:rsidR="00E66266" w:rsidRPr="00AA577D" w:rsidRDefault="00E66266">
            <w:pPr>
              <w:spacing w:before="100" w:beforeAutospacing="1" w:after="100" w:afterAutospacing="1"/>
              <w:textAlignment w:val="baseline"/>
              <w:rPr>
                <w:rFonts w:eastAsia="Times New Roman"/>
                <w:lang w:eastAsia="en-AU"/>
              </w:rPr>
            </w:pPr>
            <w:r w:rsidRPr="2E090661">
              <w:rPr>
                <w:rFonts w:eastAsia="Times New Roman"/>
                <w:lang w:eastAsia="en-AU"/>
              </w:rPr>
              <w:t>‘Likely’ range (corresponding to ~66%</w:t>
            </w:r>
            <w:r w:rsidR="009A0657" w:rsidRPr="009A0657">
              <w:rPr>
                <w:rStyle w:val="eop"/>
                <w:rFonts w:cs="Calibri"/>
                <w:bCs w:val="0"/>
                <w:sz w:val="18"/>
                <w:szCs w:val="18"/>
              </w:rPr>
              <w:t>†</w:t>
            </w:r>
            <w:r w:rsidRPr="2E090661">
              <w:rPr>
                <w:rFonts w:eastAsia="Times New Roman"/>
                <w:lang w:eastAsia="en-AU"/>
              </w:rPr>
              <w:t xml:space="preserve"> range) (%/°C)</w:t>
            </w:r>
          </w:p>
        </w:tc>
        <w:tc>
          <w:tcPr>
            <w:tcW w:w="1080" w:type="dxa"/>
            <w:hideMark/>
          </w:tcPr>
          <w:p w14:paraId="1D09E04C"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AA577D">
              <w:rPr>
                <w:rFonts w:eastAsia="Times New Roman" w:cstheme="minorHAnsi"/>
                <w:lang w:eastAsia="en-AU"/>
              </w:rPr>
              <w:t>7-28</w:t>
            </w:r>
          </w:p>
        </w:tc>
        <w:tc>
          <w:tcPr>
            <w:tcW w:w="2160" w:type="dxa"/>
            <w:vMerge/>
          </w:tcPr>
          <w:p w14:paraId="1EEE97D5"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p>
        </w:tc>
        <w:tc>
          <w:tcPr>
            <w:tcW w:w="983" w:type="dxa"/>
            <w:hideMark/>
          </w:tcPr>
          <w:p w14:paraId="42438026"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AA577D">
              <w:rPr>
                <w:rFonts w:eastAsia="Times New Roman" w:cstheme="minorHAnsi"/>
                <w:lang w:eastAsia="en-AU"/>
              </w:rPr>
              <w:t>2-15</w:t>
            </w:r>
          </w:p>
        </w:tc>
      </w:tr>
    </w:tbl>
    <w:p w14:paraId="0147148E" w14:textId="100D937A" w:rsidR="00D62DB5" w:rsidRPr="00CD56EB" w:rsidRDefault="00D62DB5" w:rsidP="00D62DB5">
      <w:pPr>
        <w:pStyle w:val="NoSpacing"/>
        <w:rPr>
          <w:sz w:val="20"/>
          <w:szCs w:val="20"/>
          <w:lang w:eastAsia="en-AU"/>
        </w:rPr>
      </w:pPr>
      <w:r w:rsidRPr="00CD56EB">
        <w:rPr>
          <w:sz w:val="20"/>
          <w:szCs w:val="20"/>
          <w:lang w:eastAsia="en-AU"/>
        </w:rPr>
        <w:t xml:space="preserve">† </w:t>
      </w:r>
      <w:r w:rsidR="00C34C05">
        <w:rPr>
          <w:sz w:val="20"/>
          <w:szCs w:val="20"/>
          <w:lang w:eastAsia="en-AU"/>
        </w:rPr>
        <w:t>Consistent with terminology used by the IPCC the 66% range corresponds to an uncertainty range of +/- 33%.</w:t>
      </w:r>
    </w:p>
    <w:p w14:paraId="0E45A7A4" w14:textId="77777777" w:rsidR="00E66266" w:rsidRDefault="00E66266" w:rsidP="00E66266">
      <w:pPr>
        <w:rPr>
          <w:rStyle w:val="normaltextrun"/>
          <w:rFonts w:cs="Calibri"/>
        </w:rPr>
      </w:pPr>
    </w:p>
    <w:p w14:paraId="25341E51" w14:textId="2E16487C" w:rsidR="0040336F" w:rsidRPr="00E87CDF" w:rsidRDefault="00CC5C85" w:rsidP="00E66266">
      <w:pPr>
        <w:rPr>
          <w:rFonts w:eastAsiaTheme="minorEastAsia"/>
        </w:rPr>
      </w:pPr>
      <w:r>
        <w:rPr>
          <w:rFonts w:ascii="Calibri" w:eastAsia="Times New Roman" w:hAnsi="Calibri" w:cs="Calibri"/>
          <w:lang w:eastAsia="en-AU"/>
        </w:rPr>
        <w:t>T</w:t>
      </w:r>
      <w:r w:rsidR="00E66266" w:rsidRPr="6D47D990">
        <w:rPr>
          <w:rFonts w:ascii="Calibri" w:eastAsia="Times New Roman" w:hAnsi="Calibri" w:cs="Calibri"/>
          <w:lang w:eastAsia="en-AU"/>
        </w:rPr>
        <w:t>o ensure consistency with</w:t>
      </w:r>
      <w:r w:rsidR="00355354">
        <w:rPr>
          <w:rFonts w:ascii="Calibri" w:eastAsia="Times New Roman" w:hAnsi="Calibri" w:cs="Calibri"/>
          <w:lang w:eastAsia="en-AU"/>
        </w:rPr>
        <w:t xml:space="preserve"> </w:t>
      </w:r>
      <w:r w:rsidR="00E66266" w:rsidRPr="6D47D990">
        <w:rPr>
          <w:rFonts w:ascii="Calibri" w:eastAsia="Times New Roman" w:hAnsi="Calibri" w:cs="Calibri"/>
          <w:lang w:eastAsia="en-AU"/>
        </w:rPr>
        <w:t>IPCC projections and be representative of the climatic drivers of change</w:t>
      </w:r>
      <w:r w:rsidR="00E66266">
        <w:rPr>
          <w:rFonts w:ascii="Calibri" w:eastAsia="Times New Roman" w:hAnsi="Calibri" w:cs="Calibri"/>
          <w:lang w:eastAsia="en-AU"/>
        </w:rPr>
        <w:t xml:space="preserve"> </w:t>
      </w:r>
      <w:r w:rsidR="00E66266" w:rsidRPr="6D47D990">
        <w:rPr>
          <w:rFonts w:ascii="Calibri" w:eastAsia="Times New Roman" w:hAnsi="Calibri" w:cs="Calibri"/>
          <w:lang w:eastAsia="en-AU"/>
        </w:rPr>
        <w:t>in extreme rainfall</w:t>
      </w:r>
      <w:r w:rsidR="00360B28">
        <w:rPr>
          <w:rFonts w:ascii="Calibri" w:eastAsia="Times New Roman" w:hAnsi="Calibri" w:cs="Calibri"/>
          <w:lang w:eastAsia="en-AU"/>
        </w:rPr>
        <w:t xml:space="preserve">, the rates of change in </w:t>
      </w:r>
      <w:r w:rsidR="00360B28" w:rsidRPr="00F75A1D">
        <w:rPr>
          <w:rFonts w:ascii="Calibri" w:eastAsia="Times New Roman" w:hAnsi="Calibri" w:cs="Calibri"/>
          <w:lang w:eastAsia="en-AU"/>
        </w:rPr>
        <w:t>Table 1 are presented relative to</w:t>
      </w:r>
      <w:r w:rsidR="00E66266" w:rsidRPr="00F75A1D">
        <w:rPr>
          <w:rFonts w:ascii="Calibri" w:eastAsia="Times New Roman" w:hAnsi="Calibri" w:cs="Calibri"/>
          <w:lang w:eastAsia="en-AU"/>
        </w:rPr>
        <w:t xml:space="preserve"> </w:t>
      </w:r>
      <w:r w:rsidRPr="00F75A1D">
        <w:rPr>
          <w:rFonts w:ascii="Calibri" w:eastAsia="Times New Roman" w:hAnsi="Calibri" w:cs="Calibri"/>
          <w:lang w:eastAsia="en-AU"/>
        </w:rPr>
        <w:t>global temperatures</w:t>
      </w:r>
      <w:r w:rsidR="00360B28" w:rsidRPr="00F75A1D">
        <w:rPr>
          <w:rFonts w:ascii="Calibri" w:eastAsia="Times New Roman" w:hAnsi="Calibri" w:cs="Calibri"/>
          <w:lang w:eastAsia="en-AU"/>
        </w:rPr>
        <w:t xml:space="preserve"> changes. Hence</w:t>
      </w:r>
      <w:r w:rsidR="00F7647B" w:rsidRPr="00F75A1D">
        <w:rPr>
          <w:rFonts w:ascii="Calibri" w:eastAsia="Times New Roman" w:hAnsi="Calibri" w:cs="Calibri"/>
          <w:lang w:eastAsia="en-AU"/>
        </w:rPr>
        <w:t>, to adjust IFDs for climate change</w:t>
      </w:r>
      <w:r w:rsidR="00F7647B" w:rsidRPr="00F75A1D">
        <w:rPr>
          <w:rStyle w:val="normaltextrun"/>
          <w:rFonts w:cs="Calibri"/>
        </w:rPr>
        <w:t>,</w:t>
      </w:r>
      <w:r w:rsidR="00E66266" w:rsidRPr="00F75A1D">
        <w:rPr>
          <w:rStyle w:val="normaltextrun"/>
          <w:rFonts w:cs="Calibri"/>
        </w:rPr>
        <w:t xml:space="preserve"> </w:t>
      </w:r>
      <w:r w:rsidR="00F7647B" w:rsidRPr="00F75A1D">
        <w:rPr>
          <w:rFonts w:ascii="Calibri" w:eastAsia="Times New Roman" w:hAnsi="Calibri" w:cs="Calibri"/>
          <w:lang w:eastAsia="en-AU"/>
        </w:rPr>
        <w:t>g</w:t>
      </w:r>
      <w:r w:rsidR="00E66266" w:rsidRPr="00F75A1D">
        <w:rPr>
          <w:rFonts w:ascii="Calibri" w:eastAsia="Times New Roman" w:hAnsi="Calibri" w:cs="Calibri"/>
          <w:lang w:eastAsia="en-AU"/>
        </w:rPr>
        <w:t xml:space="preserve">lobal temperature projections </w:t>
      </w:r>
      <m:oMath>
        <m:r>
          <w:rPr>
            <w:rFonts w:ascii="Cambria Math" w:hAnsi="Cambria Math"/>
          </w:rPr>
          <m:t>∆T</m:t>
        </m:r>
      </m:oMath>
      <w:r w:rsidR="00F7647B" w:rsidRPr="00F75A1D">
        <w:rPr>
          <w:rFonts w:ascii="Calibri" w:eastAsia="Times New Roman" w:hAnsi="Calibri" w:cs="Calibri"/>
          <w:lang w:eastAsia="en-AU"/>
        </w:rPr>
        <w:t xml:space="preserve"> are required. </w:t>
      </w:r>
      <w:r w:rsidR="00FD7438" w:rsidRPr="00F75A1D">
        <w:rPr>
          <w:rFonts w:ascii="Calibri" w:eastAsia="Times New Roman" w:hAnsi="Calibri" w:cs="Calibri"/>
          <w:lang w:eastAsia="en-AU"/>
        </w:rPr>
        <w:t xml:space="preserve">The current global temperature projections are </w:t>
      </w:r>
      <w:r w:rsidR="00E66266" w:rsidRPr="00F75A1D">
        <w:rPr>
          <w:rFonts w:ascii="Calibri" w:eastAsia="Times New Roman" w:hAnsi="Calibri" w:cs="Calibri"/>
          <w:lang w:eastAsia="en-AU"/>
        </w:rPr>
        <w:t xml:space="preserve">provided in Table 2 </w:t>
      </w:r>
      <w:r w:rsidR="00FD7438" w:rsidRPr="00F75A1D">
        <w:rPr>
          <w:rFonts w:ascii="Calibri" w:eastAsia="Times New Roman" w:hAnsi="Calibri" w:cs="Calibri"/>
          <w:lang w:eastAsia="en-AU"/>
        </w:rPr>
        <w:t>and</w:t>
      </w:r>
      <w:r w:rsidR="00FD7438" w:rsidRPr="6D47D990">
        <w:rPr>
          <w:rFonts w:ascii="Calibri" w:eastAsia="Times New Roman" w:hAnsi="Calibri" w:cs="Calibri"/>
          <w:lang w:eastAsia="en-AU"/>
        </w:rPr>
        <w:t xml:space="preserve"> </w:t>
      </w:r>
      <w:r w:rsidR="00E66266" w:rsidRPr="6D47D990">
        <w:rPr>
          <w:rFonts w:ascii="Calibri" w:eastAsia="Times New Roman" w:hAnsi="Calibri" w:cs="Calibri"/>
          <w:lang w:eastAsia="en-AU"/>
        </w:rPr>
        <w:t xml:space="preserve">derived from the IPCC Sixth </w:t>
      </w:r>
      <w:r w:rsidR="00E66266" w:rsidRPr="6D47D990">
        <w:rPr>
          <w:rFonts w:ascii="Calibri" w:eastAsia="Times New Roman" w:hAnsi="Calibri" w:cs="Calibri"/>
          <w:lang w:eastAsia="en-AU"/>
        </w:rPr>
        <w:lastRenderedPageBreak/>
        <w:t>Assessment Report (AR6) using the IPCC atlas</w:t>
      </w:r>
      <w:r w:rsidR="00E66266">
        <w:rPr>
          <w:rStyle w:val="FootnoteReference"/>
        </w:rPr>
        <w:footnoteReference w:id="4"/>
      </w:r>
      <w:r w:rsidR="00E66266" w:rsidRPr="6D47D990">
        <w:rPr>
          <w:rFonts w:ascii="Calibri" w:eastAsia="Times New Roman" w:hAnsi="Calibri" w:cs="Calibri"/>
          <w:lang w:eastAsia="en-AU"/>
        </w:rPr>
        <w:t xml:space="preserve">. </w:t>
      </w:r>
      <w:r w:rsidR="00D947DB">
        <w:rPr>
          <w:rFonts w:eastAsiaTheme="minorEastAsia"/>
        </w:rPr>
        <w:t xml:space="preserve">An example application of Equation 1 is provided in </w:t>
      </w:r>
      <w:r w:rsidR="00D947DB" w:rsidRPr="00E87CDF">
        <w:rPr>
          <w:rFonts w:eastAsiaTheme="minorEastAsia"/>
        </w:rPr>
        <w:t xml:space="preserve">Example 1a in Section 6. </w:t>
      </w:r>
    </w:p>
    <w:p w14:paraId="04F495FC" w14:textId="77777777" w:rsidR="00E9147B" w:rsidRPr="00FA5995" w:rsidRDefault="00E9147B" w:rsidP="00E9147B">
      <w:r w:rsidRPr="00E87CDF">
        <w:t xml:space="preserve">A range of factors are likely to influence selection of SSP(s) for analysis, including the service life of the asset, perceptions of likelihood, adaptive management options, and the risk appetite associated with the decision. </w:t>
      </w:r>
      <w:r w:rsidRPr="00E87CDF">
        <w:rPr>
          <w:rFonts w:eastAsia="Times New Roman"/>
        </w:rPr>
        <w:t>For more information on how to include SSP uncertainty as part of a holistic assessment of flood risk uncertainty</w:t>
      </w:r>
      <w:r w:rsidRPr="00E87CDF">
        <w:t>, refer to Section 4.6. An e</w:t>
      </w:r>
      <w:r w:rsidRPr="00E87CDF">
        <w:rPr>
          <w:rFonts w:eastAsiaTheme="minorEastAsia"/>
        </w:rPr>
        <w:t>xample to assist in the choice of appropriate climate scenarios is provided in Example 2 of Section 6.  Guid</w:t>
      </w:r>
      <w:r w:rsidRPr="00E87CDF">
        <w:t xml:space="preserve">ance for using and </w:t>
      </w:r>
      <w:r>
        <w:t>developing climate scenarios can be found in the Australian Climate Scenarios Framework (in prep).</w:t>
      </w:r>
    </w:p>
    <w:p w14:paraId="3D18927D" w14:textId="773A4531" w:rsidR="00E66266" w:rsidRPr="00640800" w:rsidRDefault="00E66266" w:rsidP="0013672E">
      <w:pPr>
        <w:pStyle w:val="TableHeading"/>
        <w:jc w:val="center"/>
        <w:rPr>
          <w:szCs w:val="18"/>
        </w:rPr>
      </w:pPr>
      <w:bookmarkStart w:id="19" w:name="_Hlk153184530"/>
      <w:r w:rsidRPr="001804A3">
        <w:rPr>
          <w:rStyle w:val="normaltextrun"/>
          <w:rFonts w:cs="Calibri"/>
          <w:szCs w:val="18"/>
        </w:rPr>
        <w:t xml:space="preserve">Table 2. </w:t>
      </w:r>
      <w:r w:rsidRPr="001804A3">
        <w:rPr>
          <w:rFonts w:ascii="Calibri" w:hAnsi="Calibri"/>
          <w:szCs w:val="18"/>
        </w:rPr>
        <w:t>IPCC Sixth Assessment Report</w:t>
      </w:r>
      <w:r w:rsidRPr="001804A3">
        <w:rPr>
          <w:rStyle w:val="normaltextrun"/>
          <w:rFonts w:cs="Calibri"/>
          <w:szCs w:val="18"/>
        </w:rPr>
        <w:t xml:space="preserve"> (AR6) global mean surface temperature projections</w:t>
      </w:r>
      <w:r w:rsidR="004C0AA0" w:rsidRPr="001804A3">
        <w:rPr>
          <w:rStyle w:val="normaltextrun"/>
          <w:rFonts w:cs="Calibri"/>
          <w:szCs w:val="18"/>
        </w:rPr>
        <w:t xml:space="preserve"> (</w:t>
      </w:r>
      <m:oMath>
        <m:r>
          <m:rPr>
            <m:sty m:val="bi"/>
          </m:rPr>
          <w:rPr>
            <w:rFonts w:ascii="Cambria Math" w:hAnsi="Cambria Math"/>
          </w:rPr>
          <m:t>∆T)</m:t>
        </m:r>
      </m:oMath>
      <w:r w:rsidR="004C0AA0" w:rsidRPr="001804A3">
        <w:rPr>
          <w:rStyle w:val="normaltextrun"/>
          <w:rFonts w:cs="Calibri"/>
          <w:szCs w:val="18"/>
        </w:rPr>
        <w:t xml:space="preserve"> </w:t>
      </w:r>
      <w:r w:rsidRPr="001804A3">
        <w:rPr>
          <w:rStyle w:val="normaltextrun"/>
          <w:rFonts w:cs="Calibri"/>
          <w:szCs w:val="18"/>
        </w:rPr>
        <w:t>for four socio-economic pathways relative to 1961-1990. The</w:t>
      </w:r>
      <w:r w:rsidRPr="001804A3">
        <w:rPr>
          <w:rStyle w:val="eop"/>
          <w:rFonts w:cs="Calibri"/>
          <w:szCs w:val="18"/>
        </w:rPr>
        <w:t xml:space="preserve"> 90% uncertainty interval is provided in parentheses†</w:t>
      </w:r>
      <w:bookmarkEnd w:id="19"/>
      <w:r w:rsidRPr="001804A3">
        <w:rPr>
          <w:rStyle w:val="eop"/>
          <w:rFonts w:cs="Calibri"/>
          <w:szCs w:val="18"/>
        </w:rPr>
        <w:t>.</w:t>
      </w:r>
    </w:p>
    <w:tbl>
      <w:tblPr>
        <w:tblStyle w:val="GridTable1Light"/>
        <w:tblW w:w="9493" w:type="dxa"/>
        <w:tblLayout w:type="fixed"/>
        <w:tblLook w:val="04A0" w:firstRow="1" w:lastRow="0" w:firstColumn="1" w:lastColumn="0" w:noHBand="0" w:noVBand="1"/>
      </w:tblPr>
      <w:tblGrid>
        <w:gridCol w:w="4135"/>
        <w:gridCol w:w="1317"/>
        <w:gridCol w:w="1225"/>
        <w:gridCol w:w="1591"/>
        <w:gridCol w:w="1225"/>
      </w:tblGrid>
      <w:tr w:rsidR="00E66266" w:rsidRPr="00AA577D" w14:paraId="5E28AB61" w14:textId="77777777" w:rsidTr="001367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5" w:type="dxa"/>
            <w:hideMark/>
          </w:tcPr>
          <w:p w14:paraId="72B88CE4" w14:textId="6A21BDCC" w:rsidR="00E66266" w:rsidRPr="00AA577D" w:rsidRDefault="00086AA6">
            <w:pPr>
              <w:spacing w:before="100" w:beforeAutospacing="1" w:after="100" w:afterAutospacing="1"/>
              <w:textAlignment w:val="baseline"/>
              <w:rPr>
                <w:rFonts w:eastAsia="Times New Roman"/>
                <w:lang w:eastAsia="en-AU"/>
              </w:rPr>
            </w:pPr>
            <w:r>
              <w:rPr>
                <w:rFonts w:eastAsia="Times New Roman"/>
                <w:lang w:eastAsia="en-AU"/>
              </w:rPr>
              <w:t>Climate Scenario</w:t>
            </w:r>
          </w:p>
        </w:tc>
        <w:tc>
          <w:tcPr>
            <w:tcW w:w="1317" w:type="dxa"/>
            <w:hideMark/>
          </w:tcPr>
          <w:p w14:paraId="2D01EB9C"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5F38E1DA">
              <w:rPr>
                <w:rFonts w:eastAsia="Times New Roman"/>
                <w:lang w:eastAsia="en-AU"/>
              </w:rPr>
              <w:t>SSP1-2.6</w:t>
            </w:r>
          </w:p>
        </w:tc>
        <w:tc>
          <w:tcPr>
            <w:tcW w:w="1225" w:type="dxa"/>
            <w:shd w:val="clear" w:color="auto" w:fill="auto"/>
          </w:tcPr>
          <w:p w14:paraId="3DB87EFD"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SSP2-4.5</w:t>
            </w:r>
          </w:p>
        </w:tc>
        <w:tc>
          <w:tcPr>
            <w:tcW w:w="1591" w:type="dxa"/>
            <w:shd w:val="clear" w:color="auto" w:fill="auto"/>
            <w:hideMark/>
          </w:tcPr>
          <w:p w14:paraId="69EC760A"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SSP3-7.0</w:t>
            </w:r>
          </w:p>
        </w:tc>
        <w:tc>
          <w:tcPr>
            <w:tcW w:w="1225" w:type="dxa"/>
          </w:tcPr>
          <w:p w14:paraId="2F795E70" w14:textId="77777777" w:rsidR="00E66266" w:rsidRPr="00AA577D" w:rsidRDefault="00E66266">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SSP5-8.5</w:t>
            </w:r>
          </w:p>
        </w:tc>
      </w:tr>
      <w:tr w:rsidR="00E66266" w:rsidRPr="00AA577D" w14:paraId="3C575159" w14:textId="77777777" w:rsidTr="0013672E">
        <w:trPr>
          <w:trHeight w:val="300"/>
        </w:trPr>
        <w:tc>
          <w:tcPr>
            <w:cnfStyle w:val="001000000000" w:firstRow="0" w:lastRow="0" w:firstColumn="1" w:lastColumn="0" w:oddVBand="0" w:evenVBand="0" w:oddHBand="0" w:evenHBand="0" w:firstRowFirstColumn="0" w:firstRowLastColumn="0" w:lastRowFirstColumn="0" w:lastRowLastColumn="0"/>
            <w:tcW w:w="4135" w:type="dxa"/>
            <w:hideMark/>
          </w:tcPr>
          <w:p w14:paraId="59438705" w14:textId="77777777" w:rsidR="00E66266" w:rsidRPr="00AA577D" w:rsidRDefault="00E66266">
            <w:pPr>
              <w:spacing w:before="100" w:beforeAutospacing="1" w:after="100" w:afterAutospacing="1"/>
              <w:textAlignment w:val="baseline"/>
              <w:rPr>
                <w:rFonts w:eastAsia="Times New Roman" w:cstheme="minorHAnsi"/>
                <w:lang w:eastAsia="en-AU"/>
              </w:rPr>
            </w:pPr>
            <w:r>
              <w:rPr>
                <w:rFonts w:eastAsia="Times New Roman" w:cstheme="minorHAnsi"/>
                <w:lang w:eastAsia="en-AU"/>
              </w:rPr>
              <w:t>Current and near-term (2021-2040) (°C)</w:t>
            </w:r>
          </w:p>
        </w:tc>
        <w:tc>
          <w:tcPr>
            <w:tcW w:w="1317" w:type="dxa"/>
          </w:tcPr>
          <w:p w14:paraId="0E9FC268"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1.3</w:t>
            </w:r>
            <w:r>
              <w:rPr>
                <w:rFonts w:eastAsia="Times New Roman" w:cstheme="minorHAnsi"/>
                <w:lang w:eastAsia="en-AU"/>
              </w:rPr>
              <w:br/>
              <w:t>(0.9-1.8)</w:t>
            </w:r>
          </w:p>
        </w:tc>
        <w:tc>
          <w:tcPr>
            <w:tcW w:w="1225" w:type="dxa"/>
            <w:shd w:val="clear" w:color="auto" w:fill="auto"/>
          </w:tcPr>
          <w:p w14:paraId="21F1BF5D"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1.3</w:t>
            </w:r>
            <w:r>
              <w:rPr>
                <w:rFonts w:eastAsia="Times New Roman" w:cstheme="minorHAnsi"/>
                <w:lang w:eastAsia="en-AU"/>
              </w:rPr>
              <w:br/>
              <w:t>(0.9-1.9)</w:t>
            </w:r>
          </w:p>
        </w:tc>
        <w:tc>
          <w:tcPr>
            <w:tcW w:w="1591" w:type="dxa"/>
            <w:shd w:val="clear" w:color="auto" w:fill="auto"/>
          </w:tcPr>
          <w:p w14:paraId="5247135F"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1.3</w:t>
            </w:r>
            <w:r>
              <w:rPr>
                <w:rFonts w:eastAsia="Times New Roman" w:cstheme="minorHAnsi"/>
                <w:lang w:eastAsia="en-AU"/>
              </w:rPr>
              <w:br/>
              <w:t>(1.0-1.9)</w:t>
            </w:r>
          </w:p>
        </w:tc>
        <w:tc>
          <w:tcPr>
            <w:tcW w:w="1225" w:type="dxa"/>
          </w:tcPr>
          <w:p w14:paraId="0BBF1362"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1.4</w:t>
            </w:r>
            <w:r>
              <w:rPr>
                <w:rFonts w:eastAsia="Times New Roman" w:cstheme="minorHAnsi"/>
                <w:lang w:eastAsia="en-AU"/>
              </w:rPr>
              <w:br/>
              <w:t>(1.0-2.0)</w:t>
            </w:r>
          </w:p>
        </w:tc>
      </w:tr>
      <w:tr w:rsidR="00E66266" w:rsidRPr="00AA577D" w14:paraId="1268B355" w14:textId="77777777" w:rsidTr="0013672E">
        <w:trPr>
          <w:trHeight w:val="300"/>
        </w:trPr>
        <w:tc>
          <w:tcPr>
            <w:cnfStyle w:val="001000000000" w:firstRow="0" w:lastRow="0" w:firstColumn="1" w:lastColumn="0" w:oddVBand="0" w:evenVBand="0" w:oddHBand="0" w:evenHBand="0" w:firstRowFirstColumn="0" w:firstRowLastColumn="0" w:lastRowFirstColumn="0" w:lastRowLastColumn="0"/>
            <w:tcW w:w="4135" w:type="dxa"/>
            <w:hideMark/>
          </w:tcPr>
          <w:p w14:paraId="7CD88664" w14:textId="77777777" w:rsidR="00E66266" w:rsidRPr="00AA577D" w:rsidRDefault="00E66266">
            <w:pPr>
              <w:spacing w:before="100" w:beforeAutospacing="1" w:after="100" w:afterAutospacing="1"/>
              <w:textAlignment w:val="baseline"/>
              <w:rPr>
                <w:rFonts w:eastAsia="Times New Roman" w:cstheme="minorHAnsi"/>
                <w:lang w:eastAsia="en-AU"/>
              </w:rPr>
            </w:pPr>
            <w:r>
              <w:rPr>
                <w:rFonts w:eastAsia="Times New Roman" w:cstheme="minorHAnsi"/>
                <w:lang w:eastAsia="en-AU"/>
              </w:rPr>
              <w:t>Medium-term (2041-2060) (°C)</w:t>
            </w:r>
          </w:p>
        </w:tc>
        <w:tc>
          <w:tcPr>
            <w:tcW w:w="1317" w:type="dxa"/>
          </w:tcPr>
          <w:p w14:paraId="19A899F9"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1.6</w:t>
            </w:r>
            <w:r>
              <w:rPr>
                <w:rFonts w:eastAsia="Times New Roman" w:cstheme="minorHAnsi"/>
                <w:lang w:eastAsia="en-AU"/>
              </w:rPr>
              <w:br/>
              <w:t>(1.1-2.3)</w:t>
            </w:r>
          </w:p>
        </w:tc>
        <w:tc>
          <w:tcPr>
            <w:tcW w:w="1225" w:type="dxa"/>
            <w:shd w:val="clear" w:color="auto" w:fill="auto"/>
          </w:tcPr>
          <w:p w14:paraId="7427B1CE"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1.8</w:t>
            </w:r>
            <w:r>
              <w:rPr>
                <w:rFonts w:eastAsia="Times New Roman" w:cstheme="minorHAnsi"/>
                <w:lang w:eastAsia="en-AU"/>
              </w:rPr>
              <w:br/>
              <w:t>(1.3-2.6)</w:t>
            </w:r>
          </w:p>
        </w:tc>
        <w:tc>
          <w:tcPr>
            <w:tcW w:w="1591" w:type="dxa"/>
            <w:shd w:val="clear" w:color="auto" w:fill="auto"/>
          </w:tcPr>
          <w:p w14:paraId="31DD2F90"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2.0</w:t>
            </w:r>
            <w:r>
              <w:rPr>
                <w:rFonts w:eastAsia="Times New Roman" w:cstheme="minorHAnsi"/>
                <w:lang w:eastAsia="en-AU"/>
              </w:rPr>
              <w:br/>
              <w:t>(1.5-2.9)</w:t>
            </w:r>
          </w:p>
        </w:tc>
        <w:tc>
          <w:tcPr>
            <w:tcW w:w="1225" w:type="dxa"/>
          </w:tcPr>
          <w:p w14:paraId="0D766761"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2.3</w:t>
            </w:r>
            <w:r>
              <w:rPr>
                <w:rFonts w:eastAsia="Times New Roman" w:cstheme="minorHAnsi"/>
                <w:lang w:eastAsia="en-AU"/>
              </w:rPr>
              <w:br/>
              <w:t>(1.6-3.2)</w:t>
            </w:r>
          </w:p>
        </w:tc>
      </w:tr>
      <w:tr w:rsidR="00E66266" w:rsidRPr="00AA577D" w14:paraId="7BF3710E" w14:textId="77777777" w:rsidTr="0013672E">
        <w:trPr>
          <w:trHeight w:val="300"/>
        </w:trPr>
        <w:tc>
          <w:tcPr>
            <w:cnfStyle w:val="001000000000" w:firstRow="0" w:lastRow="0" w:firstColumn="1" w:lastColumn="0" w:oddVBand="0" w:evenVBand="0" w:oddHBand="0" w:evenHBand="0" w:firstRowFirstColumn="0" w:firstRowLastColumn="0" w:lastRowFirstColumn="0" w:lastRowLastColumn="0"/>
            <w:tcW w:w="4135" w:type="dxa"/>
          </w:tcPr>
          <w:p w14:paraId="55B4751B" w14:textId="77777777" w:rsidR="00E66266" w:rsidRDefault="00E66266">
            <w:pPr>
              <w:spacing w:before="100" w:beforeAutospacing="1" w:after="100" w:afterAutospacing="1"/>
              <w:textAlignment w:val="baseline"/>
              <w:rPr>
                <w:rFonts w:eastAsia="Times New Roman" w:cstheme="minorHAnsi"/>
                <w:lang w:eastAsia="en-AU"/>
              </w:rPr>
            </w:pPr>
            <w:r>
              <w:rPr>
                <w:rFonts w:eastAsia="Times New Roman" w:cstheme="minorHAnsi"/>
                <w:lang w:eastAsia="en-AU"/>
              </w:rPr>
              <w:t>Long-term (2081-2100) (°C)</w:t>
            </w:r>
          </w:p>
        </w:tc>
        <w:tc>
          <w:tcPr>
            <w:tcW w:w="1317" w:type="dxa"/>
          </w:tcPr>
          <w:p w14:paraId="06FD739D"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1.7</w:t>
            </w:r>
            <w:r>
              <w:rPr>
                <w:rFonts w:eastAsia="Times New Roman" w:cstheme="minorHAnsi"/>
                <w:lang w:eastAsia="en-AU"/>
              </w:rPr>
              <w:br/>
              <w:t>(1.1-2.6)</w:t>
            </w:r>
          </w:p>
        </w:tc>
        <w:tc>
          <w:tcPr>
            <w:tcW w:w="1225" w:type="dxa"/>
            <w:shd w:val="clear" w:color="auto" w:fill="auto"/>
          </w:tcPr>
          <w:p w14:paraId="4449099A"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3657E045">
              <w:rPr>
                <w:rFonts w:eastAsia="Times New Roman"/>
                <w:lang w:eastAsia="en-AU"/>
              </w:rPr>
              <w:t>2.7</w:t>
            </w:r>
            <w:r>
              <w:br/>
            </w:r>
            <w:r w:rsidRPr="3657E045">
              <w:rPr>
                <w:rFonts w:eastAsia="Times New Roman"/>
                <w:lang w:eastAsia="en-AU"/>
              </w:rPr>
              <w:t>(1.9-3.8)</w:t>
            </w:r>
          </w:p>
        </w:tc>
        <w:tc>
          <w:tcPr>
            <w:tcW w:w="1591" w:type="dxa"/>
            <w:shd w:val="clear" w:color="auto" w:fill="auto"/>
          </w:tcPr>
          <w:p w14:paraId="4102424B"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3657E045">
              <w:rPr>
                <w:rFonts w:eastAsia="Times New Roman"/>
                <w:lang w:eastAsia="en-AU"/>
              </w:rPr>
              <w:t>3.6</w:t>
            </w:r>
            <w:r>
              <w:br/>
            </w:r>
            <w:r w:rsidRPr="3657E045">
              <w:rPr>
                <w:rFonts w:eastAsia="Times New Roman"/>
                <w:lang w:eastAsia="en-AU"/>
              </w:rPr>
              <w:t>(2.7-5.0)</w:t>
            </w:r>
          </w:p>
        </w:tc>
        <w:tc>
          <w:tcPr>
            <w:tcW w:w="1225" w:type="dxa"/>
          </w:tcPr>
          <w:p w14:paraId="0EB61FED" w14:textId="77777777" w:rsidR="00E66266" w:rsidRPr="00AA577D" w:rsidRDefault="00E6626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4.5</w:t>
            </w:r>
            <w:r>
              <w:rPr>
                <w:rFonts w:eastAsia="Times New Roman" w:cstheme="minorHAnsi"/>
                <w:lang w:eastAsia="en-AU"/>
              </w:rPr>
              <w:br/>
              <w:t>(3.2-6.3)</w:t>
            </w:r>
          </w:p>
        </w:tc>
      </w:tr>
    </w:tbl>
    <w:p w14:paraId="45451B80" w14:textId="747739F5" w:rsidR="00E66266" w:rsidRPr="00CD56EB" w:rsidRDefault="00E66266" w:rsidP="00E66266">
      <w:pPr>
        <w:pStyle w:val="NoSpacing"/>
        <w:rPr>
          <w:sz w:val="20"/>
          <w:szCs w:val="20"/>
          <w:lang w:eastAsia="en-AU"/>
        </w:rPr>
      </w:pPr>
      <w:r w:rsidRPr="00CD56EB">
        <w:rPr>
          <w:sz w:val="20"/>
          <w:szCs w:val="20"/>
          <w:lang w:eastAsia="en-AU"/>
        </w:rPr>
        <w:t xml:space="preserve">† </w:t>
      </w:r>
      <w:r>
        <w:rPr>
          <w:sz w:val="20"/>
          <w:szCs w:val="20"/>
          <w:lang w:eastAsia="en-AU"/>
        </w:rPr>
        <w:t>P</w:t>
      </w:r>
      <w:r w:rsidRPr="00CD56EB">
        <w:rPr>
          <w:sz w:val="20"/>
          <w:szCs w:val="20"/>
          <w:lang w:eastAsia="en-AU"/>
        </w:rPr>
        <w:t xml:space="preserve">rojections obtained from the IPCC atlas </w:t>
      </w:r>
      <w:hyperlink r:id="rId26">
        <w:r w:rsidRPr="5F38E1DA">
          <w:rPr>
            <w:rStyle w:val="Hyperlink"/>
            <w:sz w:val="20"/>
            <w:szCs w:val="20"/>
          </w:rPr>
          <w:t>https://interactive-atlas.ipcc.ch/</w:t>
        </w:r>
      </w:hyperlink>
      <w:r w:rsidRPr="00CD56EB">
        <w:rPr>
          <w:sz w:val="20"/>
          <w:szCs w:val="20"/>
        </w:rPr>
        <w:t xml:space="preserve"> (Iturbide et al. 2021; Gutiérrez et al</w:t>
      </w:r>
      <w:r w:rsidR="00F7745C">
        <w:rPr>
          <w:sz w:val="20"/>
          <w:szCs w:val="20"/>
        </w:rPr>
        <w:t>.</w:t>
      </w:r>
      <w:r w:rsidRPr="00CD56EB">
        <w:rPr>
          <w:sz w:val="20"/>
          <w:szCs w:val="20"/>
        </w:rPr>
        <w:t xml:space="preserve"> 2021)</w:t>
      </w:r>
    </w:p>
    <w:p w14:paraId="073CC942" w14:textId="77777777" w:rsidR="00E66266" w:rsidRDefault="00E66266" w:rsidP="00E66266"/>
    <w:p w14:paraId="42018E97" w14:textId="7E27F171" w:rsidR="00E66266" w:rsidRPr="001804A3" w:rsidRDefault="00E66266" w:rsidP="00E66266">
      <w:r>
        <w:t>The IPCC AR6 projections us</w:t>
      </w:r>
      <w:r w:rsidR="00FD7438">
        <w:t>e</w:t>
      </w:r>
      <w:r>
        <w:t xml:space="preserve"> climate model simulations from the Coupled Model Intercomparison Project Phase 6 (CMIP6) based on a range of assumptions including </w:t>
      </w:r>
      <w:r w:rsidR="616AE2C2">
        <w:t>physical climate science,</w:t>
      </w:r>
      <w:r>
        <w:t xml:space="preserve"> socio-economic </w:t>
      </w:r>
      <w:proofErr w:type="gramStart"/>
      <w:r>
        <w:t>factors</w:t>
      </w:r>
      <w:proofErr w:type="gramEnd"/>
      <w:r>
        <w:t xml:space="preserve"> and mitigation efforts. These projections are neither predictions nor forecasts but instead </w:t>
      </w:r>
      <w:r w:rsidR="752A3718">
        <w:t xml:space="preserve">describe </w:t>
      </w:r>
      <w:r>
        <w:t xml:space="preserve">plausible scenarios that represent future climate uncertainty. </w:t>
      </w:r>
      <w:r w:rsidR="00B945BC">
        <w:t>I</w:t>
      </w:r>
      <w:r>
        <w:t xml:space="preserve">t is noted that future Assessment Reports by the IPCC may potentially move away from the current SSPs. If a user wishes to design based on Global Warming Levels – the global temperature </w:t>
      </w:r>
      <w:proofErr w:type="gramStart"/>
      <w:r>
        <w:t>change</w:t>
      </w:r>
      <w:proofErr w:type="gramEnd"/>
      <w:r>
        <w:t xml:space="preserve"> relative to the pre-industrial period of 1850-1900 – </w:t>
      </w:r>
      <w:r w:rsidR="00666107">
        <w:t xml:space="preserve">then </w:t>
      </w:r>
      <w:r>
        <w:t>an adjustment for the additional warming of 0.3°C between 1850-19</w:t>
      </w:r>
      <w:r w:rsidR="6D7CA164">
        <w:t>0</w:t>
      </w:r>
      <w:r>
        <w:t>0</w:t>
      </w:r>
      <w:r w:rsidRPr="00FC5BEC">
        <w:t xml:space="preserve"> and 1961-1990 </w:t>
      </w:r>
      <w:r w:rsidR="00101223" w:rsidRPr="00FC5BEC">
        <w:t>is</w:t>
      </w:r>
      <w:r w:rsidRPr="00FC5BEC">
        <w:t xml:space="preserve"> required (see Example 2).</w:t>
      </w:r>
      <w:r w:rsidR="00BD5515" w:rsidRPr="00FC5BEC">
        <w:t xml:space="preserve"> </w:t>
      </w:r>
      <w:r w:rsidR="00BD5515" w:rsidRPr="00FC5BEC">
        <w:rPr>
          <w:lang w:eastAsia="en-AU"/>
        </w:rPr>
        <w:t>Further</w:t>
      </w:r>
      <w:r w:rsidR="00111EE2">
        <w:rPr>
          <w:lang w:eastAsia="en-AU"/>
        </w:rPr>
        <w:t>,</w:t>
      </w:r>
      <w:r w:rsidR="00BD5515" w:rsidRPr="00FC5BEC">
        <w:rPr>
          <w:lang w:eastAsia="en-AU"/>
        </w:rPr>
        <w:t xml:space="preserve"> it may be that IFD curves will be updated in the future. If a user has reason to believe a different baseline (refer Figure 2) is applicable to the adjustment of design rainfalls, then the warming since the baseline needs to </w:t>
      </w:r>
      <w:r w:rsidR="00AA09C3" w:rsidRPr="00FC5BEC">
        <w:rPr>
          <w:lang w:eastAsia="en-AU"/>
        </w:rPr>
        <w:t xml:space="preserve">be </w:t>
      </w:r>
      <w:r w:rsidR="00BD5515" w:rsidRPr="00FC5BEC">
        <w:rPr>
          <w:lang w:eastAsia="en-AU"/>
        </w:rPr>
        <w:t>calculated by the user (see Example 3)</w:t>
      </w:r>
      <w:r w:rsidR="00515772" w:rsidRPr="00FC5BEC">
        <w:rPr>
          <w:lang w:eastAsia="en-AU"/>
        </w:rPr>
        <w:t>.</w:t>
      </w:r>
      <w:r w:rsidR="00BD5515" w:rsidRPr="00FC5BEC">
        <w:t xml:space="preserve"> </w:t>
      </w:r>
      <w:r w:rsidRPr="00FC5BEC">
        <w:t xml:space="preserve">Readers </w:t>
      </w:r>
      <w:r w:rsidR="00515772" w:rsidRPr="00FC5BEC">
        <w:t xml:space="preserve">should </w:t>
      </w:r>
      <w:r w:rsidRPr="00FC5BEC">
        <w:t xml:space="preserve">always refer to the latest </w:t>
      </w:r>
      <w:r w:rsidR="00726C90" w:rsidRPr="00FC5BEC">
        <w:t xml:space="preserve">global </w:t>
      </w:r>
      <w:r w:rsidRPr="00FC5BEC">
        <w:t xml:space="preserve">climate projections and </w:t>
      </w:r>
      <w:r w:rsidRPr="001804A3">
        <w:t>Global Warming Levels</w:t>
      </w:r>
      <w:r w:rsidR="00BD5515" w:rsidRPr="001804A3">
        <w:rPr>
          <w:rStyle w:val="FootnoteReference"/>
        </w:rPr>
        <w:footnoteReference w:id="5"/>
      </w:r>
      <w:r w:rsidRPr="001804A3">
        <w:t>.</w:t>
      </w:r>
      <w:r w:rsidR="0D60BE01" w:rsidRPr="001804A3">
        <w:t xml:space="preserve"> </w:t>
      </w:r>
    </w:p>
    <w:p w14:paraId="3679790E" w14:textId="5BFBA0F9" w:rsidR="00374235" w:rsidRDefault="00E66266" w:rsidP="00E66266">
      <w:pPr>
        <w:rPr>
          <w:lang w:eastAsia="en-AU"/>
        </w:rPr>
      </w:pPr>
      <w:r w:rsidRPr="001804A3">
        <w:rPr>
          <w:lang w:eastAsia="en-AU"/>
        </w:rPr>
        <w:t xml:space="preserve">The projections in Table 2 are provided up to 2081-2100. In many cases, the effective service life of infrastructure </w:t>
      </w:r>
      <w:r w:rsidR="00666107" w:rsidRPr="001804A3">
        <w:rPr>
          <w:lang w:eastAsia="en-AU"/>
        </w:rPr>
        <w:t xml:space="preserve">may </w:t>
      </w:r>
      <w:r w:rsidRPr="001804A3">
        <w:rPr>
          <w:lang w:eastAsia="en-AU"/>
        </w:rPr>
        <w:t xml:space="preserve">extend beyond this period, with an indication of effective service life estimates provided in Table 1.5.2, Book 1 Chapter 5. </w:t>
      </w:r>
      <w:r w:rsidR="00CA62CC" w:rsidRPr="001804A3">
        <w:rPr>
          <w:lang w:eastAsia="en-AU"/>
        </w:rPr>
        <w:t>T</w:t>
      </w:r>
      <w:r w:rsidRPr="001804A3">
        <w:rPr>
          <w:lang w:eastAsia="en-AU"/>
        </w:rPr>
        <w:t xml:space="preserve">he IPCC Chapter 4 of Working Group 1 </w:t>
      </w:r>
      <w:r w:rsidR="00CA62CC" w:rsidRPr="001804A3">
        <w:rPr>
          <w:lang w:eastAsia="en-AU"/>
        </w:rPr>
        <w:t xml:space="preserve">provides some limited information on </w:t>
      </w:r>
      <w:r w:rsidRPr="001804A3">
        <w:rPr>
          <w:lang w:eastAsia="en-AU"/>
        </w:rPr>
        <w:t>projections up to 2300</w:t>
      </w:r>
      <w:r w:rsidR="001A2D20" w:rsidRPr="00F87FA5">
        <w:rPr>
          <w:lang w:eastAsia="en-AU"/>
        </w:rPr>
        <w:t xml:space="preserve"> and these are reproduced here in Table 3 relative to 1850-1900</w:t>
      </w:r>
      <w:r w:rsidRPr="001804A3">
        <w:rPr>
          <w:lang w:eastAsia="en-AU"/>
        </w:rPr>
        <w:t xml:space="preserve">. It is noted that for SSP2-4.5, SSP3-7.0 and SSP5-8.5, temperatures are projected to </w:t>
      </w:r>
      <w:r w:rsidRPr="001804A3">
        <w:rPr>
          <w:lang w:eastAsia="en-AU"/>
        </w:rPr>
        <w:lastRenderedPageBreak/>
        <w:t xml:space="preserve">continue increasing beyond 2100 (Figure 2). For further information on potential changes to temperature beyond 2100, the reader is referred to Chapter 4 of the IPCC </w:t>
      </w:r>
      <w:r w:rsidRPr="001804A3">
        <w:t>AR6 Report</w:t>
      </w:r>
      <w:r w:rsidRPr="001804A3">
        <w:rPr>
          <w:rStyle w:val="FootnoteReference"/>
          <w:lang w:eastAsia="en-AU"/>
        </w:rPr>
        <w:footnoteReference w:id="6"/>
      </w:r>
      <w:r w:rsidR="00AA09C3" w:rsidRPr="001804A3">
        <w:rPr>
          <w:lang w:eastAsia="en-AU"/>
        </w:rPr>
        <w:t>.</w:t>
      </w:r>
      <w:r w:rsidRPr="001804A3">
        <w:rPr>
          <w:lang w:eastAsia="en-AU"/>
        </w:rPr>
        <w:t xml:space="preserve"> </w:t>
      </w:r>
      <w:r w:rsidR="001D5700" w:rsidRPr="001804A3">
        <w:rPr>
          <w:lang w:eastAsia="en-AU"/>
        </w:rPr>
        <w:t>For applying these projections relative to 1850-1900 the user is referred to Example 2.</w:t>
      </w:r>
    </w:p>
    <w:p w14:paraId="101C928E" w14:textId="77777777" w:rsidR="00DA0B96" w:rsidRDefault="00DA0B96" w:rsidP="00E66266">
      <w:pPr>
        <w:rPr>
          <w:lang w:eastAsia="en-AU"/>
        </w:rPr>
      </w:pPr>
    </w:p>
    <w:p w14:paraId="16D31D00" w14:textId="7417F63A" w:rsidR="00DA0B96" w:rsidRPr="00F87FA5" w:rsidRDefault="00DA0B96" w:rsidP="00F87FA5">
      <w:pPr>
        <w:pStyle w:val="TableHeading"/>
        <w:jc w:val="center"/>
        <w:rPr>
          <w:rFonts w:ascii="Calibri" w:hAnsi="Calibri"/>
          <w:szCs w:val="18"/>
        </w:rPr>
      </w:pPr>
      <w:r w:rsidRPr="00F87FA5">
        <w:rPr>
          <w:rFonts w:ascii="Calibri" w:hAnsi="Calibri"/>
          <w:szCs w:val="18"/>
        </w:rPr>
        <w:t>Table 3. IPCC Sixth Assessment Report (AR6) global mean surface temperature projections (∆T) for 2300</w:t>
      </w:r>
      <w:r w:rsidR="001D5700" w:rsidRPr="00F87FA5">
        <w:rPr>
          <w:rFonts w:ascii="Calibri" w:hAnsi="Calibri"/>
          <w:szCs w:val="18"/>
        </w:rPr>
        <w:t xml:space="preserve"> </w:t>
      </w:r>
      <w:r w:rsidRPr="00F87FA5">
        <w:rPr>
          <w:rFonts w:ascii="Calibri" w:hAnsi="Calibri"/>
          <w:szCs w:val="18"/>
        </w:rPr>
        <w:t xml:space="preserve">for </w:t>
      </w:r>
      <w:r w:rsidR="005A267E">
        <w:rPr>
          <w:rFonts w:ascii="Calibri" w:hAnsi="Calibri"/>
          <w:szCs w:val="18"/>
        </w:rPr>
        <w:t>4</w:t>
      </w:r>
      <w:r w:rsidR="005A267E" w:rsidRPr="00F87FA5">
        <w:rPr>
          <w:rFonts w:ascii="Calibri" w:hAnsi="Calibri"/>
          <w:szCs w:val="18"/>
        </w:rPr>
        <w:t xml:space="preserve"> </w:t>
      </w:r>
      <w:r w:rsidRPr="00F87FA5">
        <w:rPr>
          <w:rFonts w:ascii="Calibri" w:hAnsi="Calibri"/>
          <w:szCs w:val="18"/>
        </w:rPr>
        <w:t>socio-economic pathways relative to 1850-1900. The 90% uncertainty interval is provided in parentheses†</w:t>
      </w:r>
      <w:r w:rsidR="001A2D20" w:rsidRPr="00F87FA5">
        <w:rPr>
          <w:rFonts w:ascii="Calibri" w:hAnsi="Calibri"/>
          <w:szCs w:val="18"/>
        </w:rPr>
        <w:t>†</w:t>
      </w:r>
    </w:p>
    <w:tbl>
      <w:tblPr>
        <w:tblStyle w:val="GridTable1Light"/>
        <w:tblW w:w="4495" w:type="dxa"/>
        <w:jc w:val="center"/>
        <w:tblLayout w:type="fixed"/>
        <w:tblLook w:val="04A0" w:firstRow="1" w:lastRow="0" w:firstColumn="1" w:lastColumn="0" w:noHBand="0" w:noVBand="1"/>
      </w:tblPr>
      <w:tblGrid>
        <w:gridCol w:w="2155"/>
        <w:gridCol w:w="2340"/>
      </w:tblGrid>
      <w:tr w:rsidR="00DA0B96" w:rsidRPr="001804A3" w14:paraId="2AA23695" w14:textId="77777777" w:rsidTr="00F87FA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hideMark/>
          </w:tcPr>
          <w:p w14:paraId="7A2C638B" w14:textId="77777777" w:rsidR="00DA0B96" w:rsidRPr="001804A3" w:rsidRDefault="00DA0B96" w:rsidP="003635CA">
            <w:pPr>
              <w:spacing w:before="100" w:beforeAutospacing="1" w:after="100" w:afterAutospacing="1"/>
              <w:textAlignment w:val="baseline"/>
              <w:rPr>
                <w:rFonts w:eastAsia="Times New Roman"/>
                <w:lang w:eastAsia="en-AU"/>
              </w:rPr>
            </w:pPr>
            <w:r w:rsidRPr="001804A3">
              <w:rPr>
                <w:rFonts w:eastAsia="Times New Roman"/>
                <w:lang w:eastAsia="en-AU"/>
              </w:rPr>
              <w:t>Climate Scenario</w:t>
            </w:r>
          </w:p>
        </w:tc>
        <w:tc>
          <w:tcPr>
            <w:tcW w:w="2340" w:type="dxa"/>
          </w:tcPr>
          <w:p w14:paraId="13F3D48B" w14:textId="32A0FF1A" w:rsidR="00DA0B96" w:rsidRPr="001804A3" w:rsidRDefault="00DA0B96" w:rsidP="003635CA">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001804A3">
              <w:rPr>
                <w:rFonts w:eastAsia="Times New Roman"/>
                <w:lang w:eastAsia="en-AU"/>
              </w:rPr>
              <w:t xml:space="preserve">Median </w:t>
            </w:r>
            <w:r w:rsidRPr="001804A3">
              <w:rPr>
                <w:rFonts w:eastAsia="Times New Roman" w:cstheme="minorHAnsi"/>
                <w:lang w:eastAsia="en-AU"/>
              </w:rPr>
              <w:t>(°C)</w:t>
            </w:r>
          </w:p>
        </w:tc>
      </w:tr>
      <w:tr w:rsidR="00DA0B96" w:rsidRPr="001804A3" w14:paraId="23981945" w14:textId="77777777" w:rsidTr="00F87FA5">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hideMark/>
          </w:tcPr>
          <w:p w14:paraId="2C14AC33" w14:textId="789B0804" w:rsidR="00DA0B96" w:rsidRPr="001804A3" w:rsidRDefault="00DA0B96" w:rsidP="003635CA">
            <w:pPr>
              <w:spacing w:before="100" w:beforeAutospacing="1" w:after="100" w:afterAutospacing="1"/>
              <w:textAlignment w:val="baseline"/>
              <w:rPr>
                <w:rFonts w:eastAsia="Times New Roman" w:cstheme="minorHAnsi"/>
                <w:lang w:eastAsia="en-AU"/>
              </w:rPr>
            </w:pPr>
            <w:r w:rsidRPr="001804A3">
              <w:rPr>
                <w:rFonts w:eastAsia="Times New Roman" w:cstheme="minorHAnsi"/>
                <w:lang w:eastAsia="en-AU"/>
              </w:rPr>
              <w:t>SSP5-8.5</w:t>
            </w:r>
          </w:p>
        </w:tc>
        <w:tc>
          <w:tcPr>
            <w:tcW w:w="2340" w:type="dxa"/>
          </w:tcPr>
          <w:p w14:paraId="301EF19A" w14:textId="206DADEE" w:rsidR="00DA0B96" w:rsidRPr="001804A3" w:rsidRDefault="00DA0B96" w:rsidP="00DA0B9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1804A3">
              <w:rPr>
                <w:rFonts w:eastAsia="Times New Roman" w:cstheme="minorHAnsi"/>
                <w:lang w:eastAsia="en-AU"/>
              </w:rPr>
              <w:t>9.6 (6.6-14.1)</w:t>
            </w:r>
          </w:p>
        </w:tc>
      </w:tr>
      <w:tr w:rsidR="00DA0B96" w:rsidRPr="001804A3" w14:paraId="705787AC" w14:textId="77777777" w:rsidTr="00F87FA5">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hideMark/>
          </w:tcPr>
          <w:p w14:paraId="1D0E31FA" w14:textId="72B3517F" w:rsidR="00DA0B96" w:rsidRPr="001804A3" w:rsidRDefault="00DA0B96" w:rsidP="003635CA">
            <w:pPr>
              <w:spacing w:before="100" w:beforeAutospacing="1" w:after="100" w:afterAutospacing="1"/>
              <w:textAlignment w:val="baseline"/>
              <w:rPr>
                <w:rFonts w:eastAsia="Times New Roman" w:cstheme="minorHAnsi"/>
                <w:lang w:eastAsia="en-AU"/>
              </w:rPr>
            </w:pPr>
            <w:r w:rsidRPr="001804A3">
              <w:rPr>
                <w:rFonts w:eastAsia="Times New Roman" w:cstheme="minorHAnsi"/>
                <w:lang w:eastAsia="en-AU"/>
              </w:rPr>
              <w:t>SSP3-7.0</w:t>
            </w:r>
          </w:p>
        </w:tc>
        <w:tc>
          <w:tcPr>
            <w:tcW w:w="2340" w:type="dxa"/>
          </w:tcPr>
          <w:p w14:paraId="44A0095B" w14:textId="2490217E" w:rsidR="00DA0B96" w:rsidRPr="001804A3" w:rsidRDefault="00DA0B96" w:rsidP="003635CA">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1804A3">
              <w:rPr>
                <w:rFonts w:eastAsia="Times New Roman" w:cstheme="minorHAnsi"/>
                <w:lang w:eastAsia="en-AU"/>
              </w:rPr>
              <w:t>8.2 (5.7-11.8)</w:t>
            </w:r>
          </w:p>
        </w:tc>
      </w:tr>
      <w:tr w:rsidR="00DA0B96" w:rsidRPr="001804A3" w14:paraId="71147EDB" w14:textId="77777777" w:rsidTr="00F87FA5">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tcPr>
          <w:p w14:paraId="68FCB2D0" w14:textId="2D0B7AEC" w:rsidR="00DA0B96" w:rsidRPr="001804A3" w:rsidRDefault="00DA0B96" w:rsidP="00DA0B96">
            <w:pPr>
              <w:spacing w:before="100" w:beforeAutospacing="1" w:after="100" w:afterAutospacing="1"/>
              <w:textAlignment w:val="baseline"/>
              <w:rPr>
                <w:rFonts w:eastAsia="Times New Roman" w:cstheme="minorHAnsi"/>
                <w:lang w:eastAsia="en-AU"/>
              </w:rPr>
            </w:pPr>
            <w:r w:rsidRPr="001804A3">
              <w:rPr>
                <w:rFonts w:eastAsia="Times New Roman" w:cstheme="minorHAnsi"/>
                <w:lang w:eastAsia="en-AU"/>
              </w:rPr>
              <w:t>SSP2-4.5</w:t>
            </w:r>
          </w:p>
        </w:tc>
        <w:tc>
          <w:tcPr>
            <w:tcW w:w="2340" w:type="dxa"/>
          </w:tcPr>
          <w:p w14:paraId="4164D3F7" w14:textId="2DD657EB" w:rsidR="00DA0B96" w:rsidRPr="001804A3" w:rsidRDefault="00DA0B96" w:rsidP="00DA0B9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1804A3">
              <w:rPr>
                <w:rFonts w:eastAsia="Times New Roman" w:cstheme="minorHAnsi"/>
                <w:lang w:eastAsia="en-AU"/>
              </w:rPr>
              <w:t>3.3 (2.3-4.6)</w:t>
            </w:r>
          </w:p>
        </w:tc>
      </w:tr>
      <w:tr w:rsidR="00DA0B96" w:rsidRPr="001804A3" w14:paraId="288FEEC0" w14:textId="77777777" w:rsidTr="00F87FA5">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tcPr>
          <w:p w14:paraId="01866D03" w14:textId="0CF58A83" w:rsidR="00DA0B96" w:rsidRPr="001804A3" w:rsidRDefault="00DA0B96" w:rsidP="00DA0B96">
            <w:pPr>
              <w:spacing w:before="100" w:beforeAutospacing="1" w:after="100" w:afterAutospacing="1"/>
              <w:textAlignment w:val="baseline"/>
              <w:rPr>
                <w:rFonts w:eastAsia="Times New Roman" w:cstheme="minorHAnsi"/>
                <w:lang w:eastAsia="en-AU"/>
              </w:rPr>
            </w:pPr>
            <w:r w:rsidRPr="001804A3">
              <w:rPr>
                <w:rFonts w:eastAsia="Times New Roman"/>
                <w:lang w:eastAsia="en-AU"/>
              </w:rPr>
              <w:t>SSP1-2.6</w:t>
            </w:r>
          </w:p>
        </w:tc>
        <w:tc>
          <w:tcPr>
            <w:tcW w:w="2340" w:type="dxa"/>
          </w:tcPr>
          <w:p w14:paraId="1D10BD05" w14:textId="52E82D0D" w:rsidR="00DA0B96" w:rsidRPr="001804A3" w:rsidRDefault="00DA0B96" w:rsidP="00DA0B9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1804A3">
              <w:rPr>
                <w:rFonts w:eastAsia="Times New Roman" w:cstheme="minorHAnsi"/>
                <w:lang w:eastAsia="en-AU"/>
              </w:rPr>
              <w:t>1.5 (1.0-2.2)</w:t>
            </w:r>
          </w:p>
        </w:tc>
      </w:tr>
    </w:tbl>
    <w:p w14:paraId="36E8F198" w14:textId="5CDF13BF" w:rsidR="00DA0B96" w:rsidRDefault="001A2D20" w:rsidP="001A2D20">
      <w:pPr>
        <w:pStyle w:val="NoSpacing"/>
        <w:rPr>
          <w:sz w:val="20"/>
          <w:szCs w:val="20"/>
          <w:lang w:eastAsia="en-AU"/>
        </w:rPr>
      </w:pPr>
      <w:r w:rsidRPr="001804A3">
        <w:rPr>
          <w:sz w:val="20"/>
          <w:szCs w:val="20"/>
          <w:lang w:eastAsia="en-AU"/>
        </w:rPr>
        <w:t>†</w:t>
      </w:r>
      <w:r w:rsidRPr="00F87FA5">
        <w:rPr>
          <w:sz w:val="20"/>
          <w:szCs w:val="20"/>
          <w:lang w:eastAsia="en-AU"/>
        </w:rPr>
        <w:t>† Projections obtained from</w:t>
      </w:r>
      <w:r w:rsidRPr="001804A3">
        <w:t xml:space="preserve"> </w:t>
      </w:r>
      <w:r w:rsidRPr="001804A3">
        <w:rPr>
          <w:sz w:val="20"/>
          <w:szCs w:val="20"/>
          <w:lang w:eastAsia="en-AU"/>
        </w:rPr>
        <w:t>Table 4.9 of the IPCC AR6 Chapter 4 of Working Group 1 https://www.ipcc.ch/report/ar6/wg1/ (Lee et al. 2021)</w:t>
      </w:r>
    </w:p>
    <w:p w14:paraId="693C8CAE" w14:textId="77777777" w:rsidR="001A2D20" w:rsidRPr="00F87FA5" w:rsidRDefault="001A2D20" w:rsidP="00F87FA5">
      <w:pPr>
        <w:pStyle w:val="NoSpacing"/>
        <w:rPr>
          <w:sz w:val="20"/>
          <w:szCs w:val="20"/>
          <w:lang w:eastAsia="en-AU"/>
        </w:rPr>
      </w:pPr>
    </w:p>
    <w:p w14:paraId="02232CBC" w14:textId="30F3A814" w:rsidR="00E82492" w:rsidRDefault="00E66266" w:rsidP="00E66266">
      <w:pPr>
        <w:pStyle w:val="Heading3"/>
      </w:pPr>
      <w:bookmarkStart w:id="20" w:name="_Toc153543617"/>
      <w:r>
        <w:t>Temporal patterns</w:t>
      </w:r>
      <w:bookmarkEnd w:id="20"/>
    </w:p>
    <w:p w14:paraId="2C0D6CFA" w14:textId="2A2317CA" w:rsidR="0020039E" w:rsidRDefault="0020039E" w:rsidP="0020039E">
      <w:bookmarkStart w:id="21" w:name="_Hlk146620536"/>
      <w:r>
        <w:t>Evidence presented in Wasko et al</w:t>
      </w:r>
      <w:r w:rsidR="00F0185B">
        <w:t>.</w:t>
      </w:r>
      <w:r>
        <w:t xml:space="preserve"> (202</w:t>
      </w:r>
      <w:r w:rsidR="00B42A52">
        <w:t>3)</w:t>
      </w:r>
      <w:r>
        <w:t xml:space="preserve"> found that due to climate change</w:t>
      </w:r>
      <w:r w:rsidR="00875B89">
        <w:t>,</w:t>
      </w:r>
      <w:r>
        <w:t xml:space="preserve"> temporal patterns may become slightly more front-loaded</w:t>
      </w:r>
      <w:r w:rsidR="001B7DA5">
        <w:t xml:space="preserve"> with a greater proportion of the storm volume falling towards the start of the storm</w:t>
      </w:r>
      <w:r>
        <w:t xml:space="preserve">. While the shift towards more front-loaded storms based on the analysis of historical data is statistically significant, the magnitude of these changes is small and the impact of temporal pattern changes on design flood estimates may be of little practical significance, particularly for those systems where flood levels are largely dependent on flood volume. </w:t>
      </w:r>
    </w:p>
    <w:p w14:paraId="2ABFB98B" w14:textId="7C6B7915" w:rsidR="001B7DA5" w:rsidRPr="00FC5BEC" w:rsidRDefault="0020039E" w:rsidP="0020039E">
      <w:r>
        <w:t xml:space="preserve">Currently there is no published methodology for quantifying the effect of changing temporal patterns on design flood estimates, nor published literature on the implications on their impacts on design flood estimates. </w:t>
      </w:r>
      <w:r w:rsidR="001B7DA5">
        <w:t xml:space="preserve">If a </w:t>
      </w:r>
      <w:r w:rsidR="001B7DA5" w:rsidRPr="00FC5BEC">
        <w:t xml:space="preserve">user believes their design flood estimate may be sensitive to small changes in the temporal pattern, </w:t>
      </w:r>
      <w:r w:rsidRPr="00FC5BEC">
        <w:t xml:space="preserve">a sensitivity analysis can be undertaken (Book 7 Chapter 9). </w:t>
      </w:r>
      <w:r w:rsidR="001B7DA5" w:rsidRPr="00FC5BEC">
        <w:t>This can be performed using a non-uniform sampling (or weighting) approach in either an Ensemble Event averaging (Book 4, Section 3.2.3) or Monte</w:t>
      </w:r>
      <w:r w:rsidR="00026834" w:rsidRPr="00FC5BEC">
        <w:t xml:space="preserve"> </w:t>
      </w:r>
      <w:r w:rsidR="001B7DA5" w:rsidRPr="00FC5BEC">
        <w:t>Carlo scheme (Book 4, Section 3.2.4) whereby temporal patterns are preferentially selected based on projected future changes. If Ensemble Event averaging is used, then it may also be possible to directly alter the shape of the temporal patterns.</w:t>
      </w:r>
    </w:p>
    <w:p w14:paraId="3A33A30E" w14:textId="49ABD37B" w:rsidR="001B7DA5" w:rsidRPr="00A21D0D" w:rsidRDefault="000D1CA6" w:rsidP="0020039E">
      <w:r w:rsidRPr="00FC5BEC">
        <w:t xml:space="preserve">The projected change </w:t>
      </w:r>
      <w:r w:rsidR="00666107" w:rsidRPr="00FC5BEC">
        <w:t xml:space="preserve">can be assessed by </w:t>
      </w:r>
      <w:r w:rsidRPr="00FC5BEC">
        <w:t>app</w:t>
      </w:r>
      <w:r w:rsidR="00666107" w:rsidRPr="00FC5BEC">
        <w:t>lying</w:t>
      </w:r>
      <w:r w:rsidRPr="00FC5BEC">
        <w:t xml:space="preserve"> a reduction in the percentage of the event duration at which 50% of the cumulative event precipitation total is reached. This reduction is to be applied relative to the global temperature change </w:t>
      </w:r>
      <m:oMath>
        <m:r>
          <w:rPr>
            <w:rFonts w:ascii="Cambria Math" w:hAnsi="Cambria Math"/>
          </w:rPr>
          <m:t>∆T</m:t>
        </m:r>
      </m:oMath>
      <w:r w:rsidRPr="00FC5BEC">
        <w:t xml:space="preserve"> (Table 2)</w:t>
      </w:r>
      <w:r w:rsidR="00D42519" w:rsidRPr="00FC5BEC">
        <w:t xml:space="preserve"> as per Equation 1</w:t>
      </w:r>
      <w:r w:rsidRPr="00FC5BEC">
        <w:t>.</w:t>
      </w:r>
      <w:r w:rsidR="0020039E" w:rsidRPr="00FC5BEC">
        <w:t xml:space="preserve"> </w:t>
      </w:r>
      <w:r w:rsidRPr="00FC5BEC">
        <w:t>For</w:t>
      </w:r>
      <w:r>
        <w:t xml:space="preserve"> storm durations less than or equal to 6 hours</w:t>
      </w:r>
      <w:r w:rsidR="00696EBA">
        <w:t>,</w:t>
      </w:r>
      <w:r>
        <w:t xml:space="preserve"> this change is no greater than a 2.5% per degree global temperature change</w:t>
      </w:r>
      <w:r w:rsidR="0020039E">
        <w:t>. For events between 6 and 24 hours in duration the reduction is no greater than 1%</w:t>
      </w:r>
      <w:r>
        <w:t xml:space="preserve"> per degree global temperature change. For longer durations</w:t>
      </w:r>
      <w:r w:rsidR="000D3BA4">
        <w:t>,</w:t>
      </w:r>
      <w:r>
        <w:t xml:space="preserve"> </w:t>
      </w:r>
      <w:r w:rsidR="0020039E">
        <w:t>the shift may be assumed to be zero</w:t>
      </w:r>
      <w:r>
        <w:t>.</w:t>
      </w:r>
      <w:r w:rsidR="0020039E">
        <w:t xml:space="preserve"> More detailed information on the variation and uncertainty in these factors can be found in Figure 9 in Visser et al</w:t>
      </w:r>
      <w:r w:rsidR="00F0185B">
        <w:t>.</w:t>
      </w:r>
      <w:r w:rsidR="0020039E">
        <w:t xml:space="preserve"> (2023)</w:t>
      </w:r>
      <w:r w:rsidR="001B7DA5">
        <w:t>.</w:t>
      </w:r>
    </w:p>
    <w:p w14:paraId="6DB13CBF" w14:textId="445F6A4A" w:rsidR="00627704" w:rsidRDefault="00627704" w:rsidP="00F457E8">
      <w:pPr>
        <w:pStyle w:val="Heading3"/>
      </w:pPr>
      <w:bookmarkStart w:id="22" w:name="_Toc153543618"/>
      <w:r>
        <w:lastRenderedPageBreak/>
        <w:t>Spatial</w:t>
      </w:r>
      <w:r w:rsidR="001B7DA5">
        <w:t xml:space="preserve"> patterns</w:t>
      </w:r>
      <w:bookmarkEnd w:id="22"/>
    </w:p>
    <w:p w14:paraId="417B76F4" w14:textId="7F8678BE" w:rsidR="0020039E" w:rsidRPr="001E6C21" w:rsidRDefault="0020039E" w:rsidP="0020039E">
      <w:r>
        <w:t xml:space="preserve">Although there is some evidence that climate change will influence spatial patterns of extreme rainfall, there are considerable uncertainties around </w:t>
      </w:r>
      <w:r w:rsidR="001B7DA5">
        <w:t>such changes</w:t>
      </w:r>
      <w:r>
        <w:t xml:space="preserve"> for localised regions. </w:t>
      </w:r>
      <w:r w:rsidR="00B059E3">
        <w:t xml:space="preserve">As such, </w:t>
      </w:r>
      <w:r w:rsidR="00660FEC">
        <w:t xml:space="preserve">there is </w:t>
      </w:r>
      <w:r w:rsidR="001B7DA5">
        <w:t>insufficient</w:t>
      </w:r>
      <w:r w:rsidR="00660FEC">
        <w:t xml:space="preserve"> justification for amending</w:t>
      </w:r>
      <w:r>
        <w:t xml:space="preserve"> spatial patterns </w:t>
      </w:r>
      <w:r w:rsidR="001B7DA5">
        <w:t xml:space="preserve">or </w:t>
      </w:r>
      <w:r>
        <w:t xml:space="preserve">areal reduction factors. </w:t>
      </w:r>
    </w:p>
    <w:p w14:paraId="273BF559" w14:textId="47E5B66F" w:rsidR="00E66266" w:rsidRDefault="0020039E" w:rsidP="0020039E">
      <w:pPr>
        <w:pStyle w:val="Heading3"/>
      </w:pPr>
      <w:bookmarkStart w:id="23" w:name="_Toc153543619"/>
      <w:bookmarkEnd w:id="21"/>
      <w:r>
        <w:t>Loss parameters</w:t>
      </w:r>
      <w:bookmarkEnd w:id="23"/>
    </w:p>
    <w:p w14:paraId="70AE4536" w14:textId="33172C60" w:rsidR="000246F3" w:rsidRDefault="000246F3" w:rsidP="000246F3">
      <w:r>
        <w:t>There is evidence that historical changes in antecedent moisture conditions</w:t>
      </w:r>
      <w:r w:rsidR="00467950">
        <w:t xml:space="preserve"> </w:t>
      </w:r>
      <w:r w:rsidR="00D42519">
        <w:t>– the expected conditions prior to an extreme rainfall event – ha</w:t>
      </w:r>
      <w:r>
        <w:t>ve</w:t>
      </w:r>
      <w:r w:rsidR="00D42519">
        <w:t xml:space="preserve"> </w:t>
      </w:r>
      <w:r>
        <w:t>impacted on frequent flood peaks, with smaller proportional impacts for rarer events. The review of Wasko et al</w:t>
      </w:r>
      <w:r w:rsidR="00F0185B">
        <w:t>.</w:t>
      </w:r>
      <w:r>
        <w:t xml:space="preserve"> (202</w:t>
      </w:r>
      <w:r w:rsidR="00B42A52">
        <w:t>3</w:t>
      </w:r>
      <w:r>
        <w:t xml:space="preserve">) found multiple studies that presented evidence of drying antecedent </w:t>
      </w:r>
      <w:r w:rsidR="00D42519">
        <w:t xml:space="preserve">moisture </w:t>
      </w:r>
      <w:r>
        <w:t>conditions across Australia, particularly in regions that are experiencing decreases in annual and/or seasonal rainfall. Ho et al</w:t>
      </w:r>
      <w:r w:rsidR="00F0185B">
        <w:t>.</w:t>
      </w:r>
      <w:r>
        <w:t xml:space="preserve"> (2023) linked projected changes in soil moisture to loss model parameters, allowing for the projection of loss parameters in design flood estimation under climate change. Respecting that regional differences will exist due to the differential wetting/drying of the continent with climate change, particularly with greater drying projected in southern Australia, Table </w:t>
      </w:r>
      <w:r w:rsidR="001D5700">
        <w:t xml:space="preserve">4 </w:t>
      </w:r>
      <w:r>
        <w:t xml:space="preserve">presents rates of change per degree Celsius for the National Resource Management Regions clusters </w:t>
      </w:r>
      <w:r w:rsidRPr="29DF7AB0">
        <w:rPr>
          <w:rStyle w:val="normaltextrun"/>
          <w:rFonts w:cs="Calibri"/>
        </w:rPr>
        <w:t>(CSIRO and Bureau o</w:t>
      </w:r>
      <w:r w:rsidRPr="00F457E8">
        <w:rPr>
          <w:rStyle w:val="normaltextrun"/>
          <w:rFonts w:cs="Calibri"/>
        </w:rPr>
        <w:t>f Meteorology, 2015)</w:t>
      </w:r>
      <w:r w:rsidRPr="00F457E8">
        <w:t xml:space="preserve">. These clusters are those used for temporal </w:t>
      </w:r>
      <w:r w:rsidRPr="00FC5BEC">
        <w:t>patterns (Book 5, Section 5.3.3)</w:t>
      </w:r>
      <w:r w:rsidR="00702F2F" w:rsidRPr="00FC5BEC">
        <w:t xml:space="preserve"> and</w:t>
      </w:r>
      <w:r w:rsidR="00702F2F" w:rsidRPr="00F457E8">
        <w:t xml:space="preserve"> can be obtained from the ARR datahub</w:t>
      </w:r>
      <w:r w:rsidRPr="00F457E8">
        <w:t>. The rates of change for initial loss and continuing l</w:t>
      </w:r>
      <w:r>
        <w:t>oss are generally positive (losses will generally increase with higher temperatures), which reduces the impact of increased rainfall intensities, particularly for frequent floods or for systems whose performance is dependent on the volume of a flood as well as its peak.</w:t>
      </w:r>
    </w:p>
    <w:p w14:paraId="68A2127D" w14:textId="6745B82C" w:rsidR="000246F3" w:rsidRDefault="000246F3" w:rsidP="000246F3">
      <w:r>
        <w:t>To adjust the loss parameters for climate change, the rates of change can be applied as per Equation</w:t>
      </w:r>
      <w:r w:rsidR="00702F2F">
        <w:t> </w:t>
      </w:r>
      <w:r>
        <w:t xml:space="preserve">1 relative to the </w:t>
      </w:r>
      <w:r w:rsidRPr="6D47D990">
        <w:rPr>
          <w:rStyle w:val="eop"/>
          <w:rFonts w:cs="Calibri"/>
        </w:rPr>
        <w:t xml:space="preserve">1961-1990 baseline, as this represents a similar data baseline for the derivation of loss </w:t>
      </w:r>
      <w:r w:rsidRPr="00FC5BEC">
        <w:rPr>
          <w:rStyle w:val="eop"/>
          <w:rFonts w:cs="Calibri"/>
        </w:rPr>
        <w:t xml:space="preserve">parameters in </w:t>
      </w:r>
      <w:r w:rsidRPr="00FC5BEC">
        <w:t>Book 5 Chapter 3</w:t>
      </w:r>
      <w:r w:rsidR="00BD5515" w:rsidRPr="00FC5BEC">
        <w:t xml:space="preserve"> (see Example 4)</w:t>
      </w:r>
      <w:r w:rsidRPr="00FC5BEC">
        <w:t>. The uncertainty range represents pooling across individual sites, climate change projections, different climate models and bias corrections methods. Given this pooling, and the non-linear response of soil moisture to changes in rainfall and temperature, the uncertainty presented here is likely to underestimate the true uncertainty. A sensitivity analysis to these uncertainties can be undertaken following the methodology in Book 7 Chapter 9.</w:t>
      </w:r>
    </w:p>
    <w:p w14:paraId="2CAC3894" w14:textId="0A7E1C28" w:rsidR="000246F3" w:rsidRPr="00624721" w:rsidRDefault="000246F3" w:rsidP="00F457E8">
      <w:pPr>
        <w:pStyle w:val="TableHeading"/>
        <w:rPr>
          <w:szCs w:val="18"/>
        </w:rPr>
      </w:pPr>
      <w:r w:rsidRPr="00F457E8">
        <w:rPr>
          <w:rStyle w:val="normaltextrun"/>
          <w:rFonts w:cs="Calibri"/>
          <w:szCs w:val="18"/>
        </w:rPr>
        <w:t xml:space="preserve">Table </w:t>
      </w:r>
      <w:r w:rsidR="001D5700">
        <w:rPr>
          <w:rStyle w:val="normaltextrun"/>
          <w:rFonts w:cs="Calibri"/>
          <w:szCs w:val="18"/>
        </w:rPr>
        <w:t>4</w:t>
      </w:r>
      <w:r w:rsidRPr="00F457E8">
        <w:rPr>
          <w:rStyle w:val="normaltextrun"/>
          <w:rFonts w:cs="Calibri"/>
          <w:szCs w:val="18"/>
        </w:rPr>
        <w:t>. Rates of change for initial loss (IL) and continuous loss (CL) parameters per degree global temperature change (%/°C) for Natural Resource Management Regions clusters (CSIRO and Bureau of Meteorology, 2015), adapted from Ho et al</w:t>
      </w:r>
      <w:r w:rsidR="00F0185B">
        <w:rPr>
          <w:rStyle w:val="normaltextrun"/>
          <w:rFonts w:cs="Calibri"/>
          <w:szCs w:val="18"/>
        </w:rPr>
        <w:t>.</w:t>
      </w:r>
      <w:r w:rsidRPr="00F457E8">
        <w:rPr>
          <w:rStyle w:val="normaltextrun"/>
          <w:rFonts w:cs="Calibri"/>
          <w:szCs w:val="18"/>
        </w:rPr>
        <w:t xml:space="preserve"> (2023).</w:t>
      </w:r>
      <w:r w:rsidRPr="00624721">
        <w:rPr>
          <w:rStyle w:val="eop"/>
          <w:rFonts w:cs="Calibri"/>
          <w:szCs w:val="18"/>
        </w:rPr>
        <w:t xml:space="preserve"> The ‘likely’ range (corresponding to ~66% range) is presented in parenthesis. These rates of change should be applied relative to a 1961-1990 baseline global temperature date unless a reasonable alternative is justified.</w:t>
      </w:r>
    </w:p>
    <w:tbl>
      <w:tblPr>
        <w:tblStyle w:val="GridTable1Light"/>
        <w:tblW w:w="0" w:type="auto"/>
        <w:jc w:val="center"/>
        <w:tblLook w:val="04A0" w:firstRow="1" w:lastRow="0" w:firstColumn="1" w:lastColumn="0" w:noHBand="0" w:noVBand="1"/>
      </w:tblPr>
      <w:tblGrid>
        <w:gridCol w:w="3978"/>
        <w:gridCol w:w="1560"/>
        <w:gridCol w:w="1417"/>
      </w:tblGrid>
      <w:tr w:rsidR="000246F3" w:rsidRPr="00AA577D" w14:paraId="21C8ECAC"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78" w:type="dxa"/>
            <w:hideMark/>
          </w:tcPr>
          <w:p w14:paraId="66034035" w14:textId="7EAC4127" w:rsidR="000246F3" w:rsidRPr="00AA577D" w:rsidRDefault="000246F3">
            <w:pPr>
              <w:spacing w:before="100" w:beforeAutospacing="1" w:after="100" w:afterAutospacing="1"/>
              <w:textAlignment w:val="baseline"/>
              <w:rPr>
                <w:rFonts w:eastAsia="Times New Roman" w:cstheme="minorHAnsi"/>
                <w:lang w:eastAsia="en-AU"/>
              </w:rPr>
            </w:pPr>
            <w:r w:rsidRPr="00AA577D">
              <w:rPr>
                <w:rFonts w:eastAsia="Times New Roman" w:cstheme="minorHAnsi"/>
                <w:lang w:eastAsia="en-AU"/>
              </w:rPr>
              <w:t> </w:t>
            </w:r>
            <w:r>
              <w:rPr>
                <w:rFonts w:eastAsia="Times New Roman" w:cstheme="minorHAnsi"/>
                <w:lang w:eastAsia="en-AU"/>
              </w:rPr>
              <w:t>Natural Resource Management Cluster</w:t>
            </w:r>
          </w:p>
        </w:tc>
        <w:tc>
          <w:tcPr>
            <w:tcW w:w="0" w:type="dxa"/>
            <w:hideMark/>
          </w:tcPr>
          <w:p w14:paraId="25C3252B" w14:textId="77777777" w:rsidR="000246F3" w:rsidRPr="00AA577D" w:rsidRDefault="000246F3">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2A38AF31">
              <w:rPr>
                <w:rFonts w:eastAsia="Times New Roman"/>
                <w:lang w:eastAsia="en-AU"/>
              </w:rPr>
              <w:t>IL (%/°C)</w:t>
            </w:r>
          </w:p>
        </w:tc>
        <w:tc>
          <w:tcPr>
            <w:tcW w:w="0" w:type="dxa"/>
          </w:tcPr>
          <w:p w14:paraId="4A75BC63" w14:textId="77777777" w:rsidR="000246F3" w:rsidRPr="00AA577D" w:rsidRDefault="000246F3">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en-AU"/>
              </w:rPr>
            </w:pPr>
            <w:r w:rsidRPr="3D3AA905">
              <w:rPr>
                <w:rFonts w:eastAsia="Times New Roman"/>
                <w:lang w:eastAsia="en-AU"/>
              </w:rPr>
              <w:t>CL (%/°C)</w:t>
            </w:r>
          </w:p>
        </w:tc>
      </w:tr>
      <w:tr w:rsidR="000246F3" w:rsidRPr="00AA577D" w14:paraId="088FD358"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hideMark/>
          </w:tcPr>
          <w:p w14:paraId="342C39A2" w14:textId="55A71016"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Southern and South -</w:t>
            </w:r>
            <w:r w:rsidR="004E09CB">
              <w:rPr>
                <w:rFonts w:eastAsia="Times New Roman" w:cstheme="minorHAnsi"/>
                <w:lang w:eastAsia="en-AU"/>
              </w:rPr>
              <w:t xml:space="preserve"> </w:t>
            </w:r>
            <w:r w:rsidRPr="003050AA">
              <w:rPr>
                <w:rFonts w:eastAsia="Times New Roman" w:cstheme="minorHAnsi"/>
                <w:lang w:eastAsia="en-AU"/>
              </w:rPr>
              <w:t>Western Flatlands</w:t>
            </w:r>
          </w:p>
        </w:tc>
        <w:tc>
          <w:tcPr>
            <w:tcW w:w="0" w:type="dxa"/>
          </w:tcPr>
          <w:p w14:paraId="1FABC9B4"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4.5 (2.0-7.1)</w:t>
            </w:r>
          </w:p>
        </w:tc>
        <w:tc>
          <w:tcPr>
            <w:tcW w:w="0" w:type="dxa"/>
          </w:tcPr>
          <w:p w14:paraId="1C65CDAB"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5.6 (2.5-8.7)</w:t>
            </w:r>
          </w:p>
        </w:tc>
      </w:tr>
      <w:tr w:rsidR="000246F3" w:rsidRPr="00AA577D" w14:paraId="05379DD2"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hideMark/>
          </w:tcPr>
          <w:p w14:paraId="10AB8F9E" w14:textId="77777777"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Murray Basin</w:t>
            </w:r>
          </w:p>
        </w:tc>
        <w:tc>
          <w:tcPr>
            <w:tcW w:w="0" w:type="dxa"/>
          </w:tcPr>
          <w:p w14:paraId="20B1602A"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3.1 (1.0-5.7)</w:t>
            </w:r>
          </w:p>
        </w:tc>
        <w:tc>
          <w:tcPr>
            <w:tcW w:w="0" w:type="dxa"/>
          </w:tcPr>
          <w:p w14:paraId="4FC2F4D6"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6.7 (1.5-12.1)</w:t>
            </w:r>
          </w:p>
        </w:tc>
      </w:tr>
      <w:tr w:rsidR="000246F3" w:rsidRPr="00AA577D" w14:paraId="5DF55273"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tcPr>
          <w:p w14:paraId="41AE403B" w14:textId="77777777"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Southern Slopes</w:t>
            </w:r>
          </w:p>
        </w:tc>
        <w:tc>
          <w:tcPr>
            <w:tcW w:w="0" w:type="dxa"/>
          </w:tcPr>
          <w:p w14:paraId="54E2E116"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3.9 (1.5-7.2)</w:t>
            </w:r>
          </w:p>
        </w:tc>
        <w:tc>
          <w:tcPr>
            <w:tcW w:w="0" w:type="dxa"/>
          </w:tcPr>
          <w:p w14:paraId="1EE1F80A"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8.5 (2.9-15.7)</w:t>
            </w:r>
          </w:p>
        </w:tc>
      </w:tr>
      <w:tr w:rsidR="000246F3" w:rsidRPr="00AA577D" w14:paraId="21E156B9"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tcPr>
          <w:p w14:paraId="2768F62C" w14:textId="77777777"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East Coast</w:t>
            </w:r>
          </w:p>
        </w:tc>
        <w:tc>
          <w:tcPr>
            <w:tcW w:w="1560" w:type="dxa"/>
          </w:tcPr>
          <w:p w14:paraId="00B8BB26"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2.0 (0.6-4.3)</w:t>
            </w:r>
          </w:p>
        </w:tc>
        <w:tc>
          <w:tcPr>
            <w:tcW w:w="1417" w:type="dxa"/>
          </w:tcPr>
          <w:p w14:paraId="49F04705"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3.8 (1.1-8.0)</w:t>
            </w:r>
          </w:p>
        </w:tc>
      </w:tr>
      <w:tr w:rsidR="000246F3" w:rsidRPr="00AA577D" w14:paraId="4996883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tcPr>
          <w:p w14:paraId="5CC8B638" w14:textId="77777777"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Central Slopes</w:t>
            </w:r>
          </w:p>
        </w:tc>
        <w:tc>
          <w:tcPr>
            <w:tcW w:w="1560" w:type="dxa"/>
          </w:tcPr>
          <w:p w14:paraId="1B037955"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1.1 (0.4-2.2)</w:t>
            </w:r>
          </w:p>
        </w:tc>
        <w:tc>
          <w:tcPr>
            <w:tcW w:w="1417" w:type="dxa"/>
          </w:tcPr>
          <w:p w14:paraId="6F527670"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2.0 (-0.5-7.5) </w:t>
            </w:r>
          </w:p>
        </w:tc>
      </w:tr>
      <w:tr w:rsidR="000246F3" w:rsidRPr="00AA577D" w14:paraId="6F98D552"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tcPr>
          <w:p w14:paraId="2EF59F8C" w14:textId="77777777" w:rsidR="000246F3" w:rsidRPr="003050AA" w:rsidRDefault="000246F3">
            <w:pPr>
              <w:spacing w:before="100" w:beforeAutospacing="1" w:after="100" w:afterAutospacing="1"/>
              <w:textAlignment w:val="baseline"/>
              <w:rPr>
                <w:rFonts w:eastAsia="Times New Roman" w:cstheme="minorHAnsi"/>
                <w:b w:val="0"/>
                <w:bCs w:val="0"/>
                <w:lang w:eastAsia="en-AU"/>
              </w:rPr>
            </w:pPr>
            <w:r w:rsidRPr="003050AA">
              <w:rPr>
                <w:rFonts w:eastAsia="Times New Roman" w:cstheme="minorHAnsi"/>
                <w:lang w:eastAsia="en-AU"/>
              </w:rPr>
              <w:t>Wet Tropics</w:t>
            </w:r>
          </w:p>
        </w:tc>
        <w:tc>
          <w:tcPr>
            <w:tcW w:w="1560" w:type="dxa"/>
          </w:tcPr>
          <w:p w14:paraId="1FF67C5A"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0.8 (-0.4-2.0)</w:t>
            </w:r>
          </w:p>
        </w:tc>
        <w:tc>
          <w:tcPr>
            <w:tcW w:w="1417" w:type="dxa"/>
          </w:tcPr>
          <w:p w14:paraId="4E0D4EE7"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1.4 (-0.1-4.8)</w:t>
            </w:r>
          </w:p>
        </w:tc>
      </w:tr>
      <w:tr w:rsidR="000246F3" w:rsidRPr="00AA577D" w14:paraId="0BD8BA3E" w14:textId="77777777">
        <w:trPr>
          <w:trHeight w:val="300"/>
          <w:jc w:val="center"/>
        </w:trPr>
        <w:tc>
          <w:tcPr>
            <w:cnfStyle w:val="001000000000" w:firstRow="0" w:lastRow="0" w:firstColumn="1" w:lastColumn="0" w:oddVBand="0" w:evenVBand="0" w:oddHBand="0" w:evenHBand="0" w:firstRowFirstColumn="0" w:firstRowLastColumn="0" w:lastRowFirstColumn="0" w:lastRowLastColumn="0"/>
            <w:tcW w:w="3978" w:type="dxa"/>
          </w:tcPr>
          <w:p w14:paraId="553CB016" w14:textId="77777777" w:rsidR="000246F3" w:rsidRPr="003050AA" w:rsidRDefault="000246F3">
            <w:pPr>
              <w:spacing w:before="100" w:beforeAutospacing="1" w:after="100" w:afterAutospacing="1"/>
              <w:textAlignment w:val="baseline"/>
              <w:rPr>
                <w:rFonts w:eastAsia="Times New Roman"/>
                <w:b w:val="0"/>
                <w:lang w:eastAsia="en-AU"/>
              </w:rPr>
            </w:pPr>
            <w:r w:rsidRPr="4A8334BF">
              <w:rPr>
                <w:rFonts w:eastAsia="Times New Roman"/>
                <w:lang w:eastAsia="en-AU"/>
              </w:rPr>
              <w:t>Monsoonal North</w:t>
            </w:r>
          </w:p>
        </w:tc>
        <w:tc>
          <w:tcPr>
            <w:tcW w:w="1560" w:type="dxa"/>
          </w:tcPr>
          <w:p w14:paraId="143C1B3B"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2.4 (1.0-5.4)</w:t>
            </w:r>
          </w:p>
        </w:tc>
        <w:tc>
          <w:tcPr>
            <w:tcW w:w="1417" w:type="dxa"/>
          </w:tcPr>
          <w:p w14:paraId="60ED54BD" w14:textId="77777777" w:rsidR="000246F3" w:rsidRPr="00AA577D" w:rsidRDefault="000246F3">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4A8334BF">
              <w:rPr>
                <w:rFonts w:eastAsia="Times New Roman"/>
                <w:lang w:eastAsia="en-AU"/>
              </w:rPr>
              <w:t>4.4 (3.1-9.5)</w:t>
            </w:r>
          </w:p>
        </w:tc>
      </w:tr>
    </w:tbl>
    <w:p w14:paraId="146D9F5D" w14:textId="77777777" w:rsidR="000246F3" w:rsidRPr="00B30C15" w:rsidRDefault="000246F3" w:rsidP="000246F3"/>
    <w:p w14:paraId="2C9CEFE5" w14:textId="7FA3A7D5" w:rsidR="0020039E" w:rsidRDefault="000246F3" w:rsidP="000246F3">
      <w:pPr>
        <w:pStyle w:val="Heading3"/>
      </w:pPr>
      <w:bookmarkStart w:id="24" w:name="_Toc153543620"/>
      <w:r>
        <w:lastRenderedPageBreak/>
        <w:t>Sea levels and sea level interaction</w:t>
      </w:r>
      <w:bookmarkEnd w:id="24"/>
      <w:r>
        <w:t xml:space="preserve"> </w:t>
      </w:r>
    </w:p>
    <w:p w14:paraId="3B5548D2" w14:textId="373770BE" w:rsidR="001E317C" w:rsidRDefault="001E317C" w:rsidP="001E317C">
      <w:r>
        <w:t>There is significant evidence that sea levels are increasing and will continue to increase due to climate change. Acknowledging that sea level rise and changes in storm surges vary regionally, the reader is referred to the 4</w:t>
      </w:r>
      <w:r w:rsidRPr="2FC70281">
        <w:rPr>
          <w:vertAlign w:val="superscript"/>
        </w:rPr>
        <w:t>th</w:t>
      </w:r>
      <w:r>
        <w:t xml:space="preserve"> Edition of the Guidelines for Responding to the Effects of Climate Change in Coastal and Ocean Engineering (and future updates)</w:t>
      </w:r>
      <w:r w:rsidR="00DD193B">
        <w:t xml:space="preserve">. </w:t>
      </w:r>
      <w:r w:rsidR="003532D1">
        <w:t>The guidelines</w:t>
      </w:r>
      <w:r w:rsidR="00CD301F">
        <w:t xml:space="preserve"> assist</w:t>
      </w:r>
      <w:r w:rsidR="00CD301F" w:rsidRPr="00CD301F">
        <w:t xml:space="preserve"> assess</w:t>
      </w:r>
      <w:r w:rsidR="00CD301F">
        <w:t>ment of</w:t>
      </w:r>
      <w:r w:rsidR="00CD301F" w:rsidRPr="00CD301F">
        <w:t xml:space="preserve"> the significance of climate change for a particular situation or project.</w:t>
      </w:r>
      <w:r w:rsidR="0026459B">
        <w:t xml:space="preserve"> The reader is referred to the IPCC for the most up</w:t>
      </w:r>
      <w:r w:rsidR="00004FC9">
        <w:t>-</w:t>
      </w:r>
      <w:r w:rsidR="0026459B">
        <w:t>to</w:t>
      </w:r>
      <w:r w:rsidR="00004FC9">
        <w:t>-</w:t>
      </w:r>
      <w:r w:rsidR="0026459B">
        <w:t>date projections of mean sea level rise</w:t>
      </w:r>
      <w:r w:rsidR="0026459B">
        <w:rPr>
          <w:rStyle w:val="FootnoteReference"/>
        </w:rPr>
        <w:footnoteReference w:id="7"/>
      </w:r>
      <w:r>
        <w:t xml:space="preserve">. </w:t>
      </w:r>
    </w:p>
    <w:p w14:paraId="51D76140" w14:textId="2E5D4A07" w:rsidR="001E317C" w:rsidRPr="00886796" w:rsidRDefault="00702F2F" w:rsidP="001E317C">
      <w:r>
        <w:t>Changes to the interaction</w:t>
      </w:r>
      <w:r w:rsidR="00B41A8C">
        <w:t xml:space="preserve"> (or ‘joint </w:t>
      </w:r>
      <w:r w:rsidR="00FC7A83">
        <w:t>probability’</w:t>
      </w:r>
      <w:r w:rsidR="00B41A8C">
        <w:t>)</w:t>
      </w:r>
      <w:r>
        <w:t xml:space="preserve"> between high sea levels (due to the combination of high astronomic tides and storm surges) and heavy rainfall events</w:t>
      </w:r>
      <w:r w:rsidR="00593E56">
        <w:t>,</w:t>
      </w:r>
      <w:r>
        <w:t xml:space="preserve"> remain poorly understood. </w:t>
      </w:r>
      <w:r w:rsidR="001E317C">
        <w:t xml:space="preserve">The approach to calculating the joint probability of extreme rainfall and elevated sea levels described in </w:t>
      </w:r>
      <w:r w:rsidR="001E317C" w:rsidRPr="00FC5BEC">
        <w:t xml:space="preserve">Book 6 Chapter 5 does not account for possible changes in the interaction between those drivers. One approach to evaluate the importance of changes to the interaction between extreme rainfall and storm surge would be to conduct a sensitivity analysis on the dependence parameter recommended in Book </w:t>
      </w:r>
      <w:r w:rsidR="00F10282" w:rsidRPr="00FC5BEC">
        <w:t xml:space="preserve">6 </w:t>
      </w:r>
      <w:r w:rsidR="001E317C" w:rsidRPr="00FC5BEC">
        <w:t>Chapter 5.</w:t>
      </w:r>
      <w:r w:rsidR="001E317C">
        <w:t xml:space="preserve"> </w:t>
      </w:r>
    </w:p>
    <w:p w14:paraId="48929EB4" w14:textId="76489484" w:rsidR="000246F3" w:rsidRDefault="001E317C" w:rsidP="00B16D0C">
      <w:pPr>
        <w:pStyle w:val="Heading3"/>
      </w:pPr>
      <w:bookmarkStart w:id="25" w:name="_Toc153543621"/>
      <w:r>
        <w:t>Increased uncertainty due to climate change</w:t>
      </w:r>
      <w:bookmarkEnd w:id="25"/>
    </w:p>
    <w:p w14:paraId="1A91F0F8" w14:textId="7A8CE577" w:rsidR="00B81928" w:rsidRDefault="00B81928" w:rsidP="00B81928">
      <w:pPr>
        <w:spacing w:after="0"/>
      </w:pPr>
      <w:r>
        <w:t xml:space="preserve">As discussed in </w:t>
      </w:r>
      <w:r w:rsidRPr="00040644">
        <w:t>Section 1.</w:t>
      </w:r>
      <w:r w:rsidR="000101A6" w:rsidRPr="00040644">
        <w:t>1</w:t>
      </w:r>
      <w:r w:rsidRPr="00040644">
        <w:t xml:space="preserve">, </w:t>
      </w:r>
      <w:r>
        <w:t>design flood estimates need to account for climate change and the associated increase in uncertainty. Epistemic uncertainties (due to lack of knowledge) affect:</w:t>
      </w:r>
    </w:p>
    <w:p w14:paraId="0AF1A064" w14:textId="631AA7C3" w:rsidR="000842D1" w:rsidRPr="00811355" w:rsidRDefault="00F12EE7" w:rsidP="000842D1">
      <w:pPr>
        <w:pStyle w:val="ListParagraph"/>
        <w:numPr>
          <w:ilvl w:val="0"/>
          <w:numId w:val="46"/>
        </w:numPr>
        <w:spacing w:after="160" w:line="259" w:lineRule="auto"/>
        <w:contextualSpacing/>
      </w:pPr>
      <w:r>
        <w:t>t</w:t>
      </w:r>
      <w:r w:rsidR="000842D1" w:rsidRPr="00811355">
        <w:t>emperature projections</w:t>
      </w:r>
      <w:r w:rsidR="000367C0">
        <w:t>,</w:t>
      </w:r>
      <w:r w:rsidR="000842D1" w:rsidRPr="00811355">
        <w:t xml:space="preserve"> due to future emission pathways and </w:t>
      </w:r>
      <w:proofErr w:type="gramStart"/>
      <w:r w:rsidR="000842D1" w:rsidRPr="00811355">
        <w:t>feedbacks</w:t>
      </w:r>
      <w:proofErr w:type="gramEnd"/>
      <w:r w:rsidR="000842D1" w:rsidRPr="00811355">
        <w:t xml:space="preserve"> within the earth system, as described in Table 2</w:t>
      </w:r>
      <w:r w:rsidR="001D5700">
        <w:t xml:space="preserve"> and Table 3</w:t>
      </w:r>
    </w:p>
    <w:p w14:paraId="5D6D71DA" w14:textId="744E7EF6" w:rsidR="00702F2F" w:rsidRPr="00811355" w:rsidRDefault="00F12EE7" w:rsidP="00702F2F">
      <w:pPr>
        <w:pStyle w:val="ListParagraph"/>
        <w:numPr>
          <w:ilvl w:val="0"/>
          <w:numId w:val="46"/>
        </w:numPr>
        <w:spacing w:after="160" w:line="259" w:lineRule="auto"/>
        <w:contextualSpacing/>
      </w:pPr>
      <w:r>
        <w:t>f</w:t>
      </w:r>
      <w:r w:rsidR="00702F2F" w:rsidRPr="00811355">
        <w:t>uture precipitation extremes for a given temperature change, as described in Table 1</w:t>
      </w:r>
    </w:p>
    <w:p w14:paraId="2958D7F7" w14:textId="3FC3B8DD" w:rsidR="009F2D49" w:rsidRPr="00811355" w:rsidRDefault="00011D33" w:rsidP="009F2D49">
      <w:pPr>
        <w:pStyle w:val="ListParagraph"/>
        <w:numPr>
          <w:ilvl w:val="0"/>
          <w:numId w:val="46"/>
        </w:numPr>
        <w:spacing w:after="160" w:line="259" w:lineRule="auto"/>
        <w:contextualSpacing/>
      </w:pPr>
      <w:r>
        <w:t>l</w:t>
      </w:r>
      <w:r w:rsidR="009F2D49" w:rsidRPr="00811355">
        <w:t>oss parameters</w:t>
      </w:r>
      <w:r w:rsidR="001F6F39">
        <w:t>,</w:t>
      </w:r>
      <w:r w:rsidR="009F2D49" w:rsidRPr="00811355">
        <w:t xml:space="preserve"> </w:t>
      </w:r>
      <w:r w:rsidR="00702F2F" w:rsidRPr="00811355">
        <w:t>as described in T</w:t>
      </w:r>
      <w:r w:rsidR="009F2D49" w:rsidRPr="00811355">
        <w:t xml:space="preserve">able </w:t>
      </w:r>
      <w:r w:rsidR="001D5700">
        <w:t>4</w:t>
      </w:r>
      <w:r w:rsidR="00FC5BEC">
        <w:t>.</w:t>
      </w:r>
    </w:p>
    <w:p w14:paraId="32A74E6F" w14:textId="19DBE228" w:rsidR="00462C2F" w:rsidRDefault="00702F2F" w:rsidP="00A7671A">
      <w:pPr>
        <w:spacing w:after="160" w:line="259" w:lineRule="auto"/>
        <w:contextualSpacing/>
      </w:pPr>
      <w:r>
        <w:t>Although not provided here, epistemic uncertainties also impact:</w:t>
      </w:r>
    </w:p>
    <w:p w14:paraId="616AD388" w14:textId="5E116E0C" w:rsidR="00B81928" w:rsidRDefault="00011D33" w:rsidP="00B81928">
      <w:pPr>
        <w:pStyle w:val="ListParagraph"/>
        <w:numPr>
          <w:ilvl w:val="0"/>
          <w:numId w:val="46"/>
        </w:numPr>
        <w:spacing w:after="160" w:line="259" w:lineRule="auto"/>
        <w:contextualSpacing/>
      </w:pPr>
      <w:r>
        <w:t xml:space="preserve">sea </w:t>
      </w:r>
      <w:r w:rsidR="00B81928">
        <w:t>level rise</w:t>
      </w:r>
    </w:p>
    <w:p w14:paraId="5A41F9D9" w14:textId="63578AB8" w:rsidR="00B81928" w:rsidRDefault="00011D33" w:rsidP="00B81928">
      <w:pPr>
        <w:pStyle w:val="ListParagraph"/>
        <w:numPr>
          <w:ilvl w:val="0"/>
          <w:numId w:val="46"/>
        </w:numPr>
        <w:spacing w:after="160" w:line="259" w:lineRule="auto"/>
        <w:contextualSpacing/>
      </w:pPr>
      <w:r>
        <w:t xml:space="preserve">other </w:t>
      </w:r>
      <w:r w:rsidR="00B81928">
        <w:t>inputs to the rainfall-runoff model, including temporal</w:t>
      </w:r>
      <w:r w:rsidR="00A80648">
        <w:t xml:space="preserve"> and</w:t>
      </w:r>
      <w:r w:rsidR="00B81928">
        <w:t xml:space="preserve"> spatial </w:t>
      </w:r>
      <w:proofErr w:type="gramStart"/>
      <w:r w:rsidR="00B81928">
        <w:t>patterns</w:t>
      </w:r>
      <w:proofErr w:type="gramEnd"/>
      <w:r w:rsidR="00B81928">
        <w:t xml:space="preserve"> </w:t>
      </w:r>
    </w:p>
    <w:p w14:paraId="301AD3D2" w14:textId="796117B4" w:rsidR="00B81928" w:rsidRDefault="00965CEB" w:rsidP="00B81928">
      <w:pPr>
        <w:pStyle w:val="ListParagraph"/>
        <w:numPr>
          <w:ilvl w:val="0"/>
          <w:numId w:val="46"/>
        </w:numPr>
        <w:spacing w:after="160" w:line="259" w:lineRule="auto"/>
        <w:contextualSpacing/>
      </w:pPr>
      <w:r>
        <w:t>r</w:t>
      </w:r>
      <w:r w:rsidR="00B81928">
        <w:t>ainfall-runoff transformation, recognising that potential changes to catchment properties (</w:t>
      </w:r>
      <w:r w:rsidR="00011D33">
        <w:t>such as</w:t>
      </w:r>
      <w:r w:rsidR="00B81928">
        <w:t xml:space="preserve"> vegetation changes and/or bushfire) may mean that calibration of rainfall-runoff models to historic information may not reflect future conditions.</w:t>
      </w:r>
    </w:p>
    <w:p w14:paraId="0F0B8EB5" w14:textId="4D7A9AA9" w:rsidR="00B81928" w:rsidRPr="00FC5BEC" w:rsidRDefault="00B81928" w:rsidP="00B81928">
      <w:r>
        <w:t>Each of these epistemic uncertainties affect the overall confidence in the design flood estimate. Epistemic uncertainties are not unique to the consideration of climate change. For example, IFD curves have inherent uncertainties associated with finite sample sizes</w:t>
      </w:r>
      <w:r w:rsidR="000F1781">
        <w:t>. T</w:t>
      </w:r>
      <w:r>
        <w:t xml:space="preserve">here are </w:t>
      </w:r>
      <w:r w:rsidR="000F1781">
        <w:t xml:space="preserve">also </w:t>
      </w:r>
      <w:r w:rsidR="005436A3">
        <w:t xml:space="preserve">other </w:t>
      </w:r>
      <w:r>
        <w:t>knowledge-based uncertainties associated with translating rainfall to estimates of runoff, flood level and velocity. When applied in the context of risk assessments, there are also uncertainties in estimating consequences (</w:t>
      </w:r>
      <w:r w:rsidR="005436A3">
        <w:t xml:space="preserve">such as </w:t>
      </w:r>
      <w:r>
        <w:t xml:space="preserve">damages and/or loss of life) that reflect current and future exposure and vulnerability of assets and populations. </w:t>
      </w:r>
      <w:r w:rsidR="00653DAA">
        <w:t>It</w:t>
      </w:r>
      <w:r w:rsidR="00233CF8">
        <w:t xml:space="preserve"> is recommended that a</w:t>
      </w:r>
      <w:r>
        <w:t>pproach</w:t>
      </w:r>
      <w:r w:rsidR="00702F2F">
        <w:t>es</w:t>
      </w:r>
      <w:r>
        <w:t xml:space="preserve"> to characterising uncertainty associated with design floods should recognis</w:t>
      </w:r>
      <w:r w:rsidR="006E70F1">
        <w:t>e</w:t>
      </w:r>
      <w:r>
        <w:t xml:space="preserve"> that both climat</w:t>
      </w:r>
      <w:r w:rsidR="00702F2F">
        <w:t>e change factors</w:t>
      </w:r>
      <w:r>
        <w:t xml:space="preserve"> and non-climat</w:t>
      </w:r>
      <w:r w:rsidR="00702F2F">
        <w:t xml:space="preserve">e change </w:t>
      </w:r>
      <w:r>
        <w:t xml:space="preserve">factors influence the design flood uncertainty. Various approaches </w:t>
      </w:r>
      <w:r>
        <w:lastRenderedPageBreak/>
        <w:t xml:space="preserve">for representing uncertainty within design flood estimation methods are provided </w:t>
      </w:r>
      <w:r w:rsidRPr="00FC5BEC">
        <w:t>in Book 7, Chapter</w:t>
      </w:r>
      <w:r w:rsidR="00942A3B" w:rsidRPr="00FC5BEC">
        <w:t> </w:t>
      </w:r>
      <w:r w:rsidRPr="00FC5BEC">
        <w:t xml:space="preserve">9. </w:t>
      </w:r>
    </w:p>
    <w:p w14:paraId="2FCF9B9D" w14:textId="68658B9E" w:rsidR="001E317C" w:rsidRDefault="00C54364" w:rsidP="00C273C4">
      <w:pPr>
        <w:pStyle w:val="Heading2"/>
      </w:pPr>
      <w:bookmarkStart w:id="26" w:name="_Toc153543622"/>
      <w:r>
        <w:lastRenderedPageBreak/>
        <w:t>Updates to the climate change considerations</w:t>
      </w:r>
      <w:bookmarkEnd w:id="26"/>
    </w:p>
    <w:p w14:paraId="6A229E1C" w14:textId="31EB223D" w:rsidR="00E20120" w:rsidRPr="00B35558" w:rsidRDefault="00E20120" w:rsidP="00E20120">
      <w:pPr>
        <w:pStyle w:val="BoxText"/>
        <w:rPr>
          <w:b/>
          <w:bCs/>
          <w:sz w:val="22"/>
        </w:rPr>
      </w:pPr>
      <w:r w:rsidRPr="00B35558">
        <w:rPr>
          <w:b/>
          <w:bCs/>
          <w:sz w:val="22"/>
        </w:rPr>
        <w:t>Key messages</w:t>
      </w:r>
    </w:p>
    <w:p w14:paraId="7198BE9F" w14:textId="29D1A138" w:rsidR="00E20120" w:rsidRPr="00B35558" w:rsidRDefault="00E20120" w:rsidP="00E20120">
      <w:pPr>
        <w:pStyle w:val="BoxText"/>
        <w:rPr>
          <w:sz w:val="22"/>
        </w:rPr>
      </w:pPr>
      <w:r w:rsidRPr="00B35558">
        <w:rPr>
          <w:sz w:val="22"/>
        </w:rPr>
        <w:t xml:space="preserve">While information in this update is the best available at the time of publication, more and better information will become available over the coming years. </w:t>
      </w:r>
    </w:p>
    <w:p w14:paraId="4781D5B6" w14:textId="5B2CD0F0" w:rsidR="00E20120" w:rsidRPr="00B35558" w:rsidRDefault="00E20120" w:rsidP="00E20120">
      <w:pPr>
        <w:pStyle w:val="BoxText"/>
        <w:rPr>
          <w:sz w:val="22"/>
        </w:rPr>
      </w:pPr>
      <w:r w:rsidRPr="00B35558">
        <w:rPr>
          <w:sz w:val="22"/>
        </w:rPr>
        <w:t xml:space="preserve">Future updates should consider the same approach of drawing on peer-reviewed science, considering multiple lines of evidence, synthesising these lines of </w:t>
      </w:r>
      <w:proofErr w:type="gramStart"/>
      <w:r w:rsidRPr="00B35558">
        <w:rPr>
          <w:sz w:val="22"/>
        </w:rPr>
        <w:t>evidence</w:t>
      </w:r>
      <w:proofErr w:type="gramEnd"/>
      <w:r w:rsidRPr="00B35558">
        <w:rPr>
          <w:sz w:val="22"/>
        </w:rPr>
        <w:t xml:space="preserve"> and publishing the results in a reputable peer-reviewed journal.</w:t>
      </w:r>
    </w:p>
    <w:p w14:paraId="504F8044" w14:textId="0D030171" w:rsidR="009726A9" w:rsidRDefault="009726A9" w:rsidP="009726A9">
      <w:r w:rsidRPr="001804A3">
        <w:t>Climate change projections provided in this guidance are based on the review of the science by</w:t>
      </w:r>
      <w:r>
        <w:t xml:space="preserve"> Wasko et al</w:t>
      </w:r>
      <w:r w:rsidR="00F0185B">
        <w:t>.</w:t>
      </w:r>
      <w:r>
        <w:t xml:space="preserve"> (202</w:t>
      </w:r>
      <w:r w:rsidR="00B80046">
        <w:t>3)</w:t>
      </w:r>
      <w:r>
        <w:t xml:space="preserve"> and represent best-available information at the time of publication. The science review adopted a rigorous systematic review process, together with a meta-analysis to quantify the scaling relationships presented </w:t>
      </w:r>
      <w:r w:rsidRPr="00FC5BEC">
        <w:t>in Section 1.4.1.</w:t>
      </w:r>
      <w:r>
        <w:t xml:space="preserve"> Information from multiple lines of evidence was sought, including the instrumental records (</w:t>
      </w:r>
      <w:r w:rsidR="00592290">
        <w:t xml:space="preserve">such as </w:t>
      </w:r>
      <w:r>
        <w:t>daily and sub-daily rainfall datasets and radar rainfall records)</w:t>
      </w:r>
      <w:r w:rsidR="00466597">
        <w:t xml:space="preserve"> and </w:t>
      </w:r>
      <w:r>
        <w:t xml:space="preserve">modelling studies (including general circulation models and several classes of regional climate models together with statistical downscaling approaches). </w:t>
      </w:r>
    </w:p>
    <w:p w14:paraId="14F8841A" w14:textId="6D713648" w:rsidR="009726A9" w:rsidRDefault="009726A9" w:rsidP="009726A9">
      <w:pPr>
        <w:spacing w:after="0"/>
      </w:pPr>
      <w:r>
        <w:t xml:space="preserve">It is recommended that </w:t>
      </w:r>
      <w:r w:rsidR="000101A6">
        <w:t xml:space="preserve">future </w:t>
      </w:r>
      <w:r>
        <w:t>best</w:t>
      </w:r>
      <w:r w:rsidR="00C00641">
        <w:t xml:space="preserve"> </w:t>
      </w:r>
      <w:r>
        <w:t xml:space="preserve">practice updates of </w:t>
      </w:r>
      <w:r w:rsidR="00C9150A">
        <w:t xml:space="preserve">this chapter </w:t>
      </w:r>
      <w:r>
        <w:t>should consider:</w:t>
      </w:r>
    </w:p>
    <w:p w14:paraId="1CF0934B" w14:textId="0EA50EB7" w:rsidR="009726A9" w:rsidRDefault="00A829C3" w:rsidP="009726A9">
      <w:pPr>
        <w:pStyle w:val="ListParagraph"/>
        <w:numPr>
          <w:ilvl w:val="0"/>
          <w:numId w:val="47"/>
        </w:numPr>
        <w:spacing w:after="160" w:line="259" w:lineRule="auto"/>
        <w:contextualSpacing/>
      </w:pPr>
      <w:r>
        <w:t>d</w:t>
      </w:r>
      <w:r w:rsidR="009726A9">
        <w:t>rawing on peer</w:t>
      </w:r>
      <w:r w:rsidR="006009A3">
        <w:t>-</w:t>
      </w:r>
      <w:r w:rsidR="009726A9">
        <w:t>reviewed studies in reputable scientific journals</w:t>
      </w:r>
    </w:p>
    <w:p w14:paraId="544F606A" w14:textId="426B5162" w:rsidR="009726A9" w:rsidRDefault="006009A3" w:rsidP="009726A9">
      <w:pPr>
        <w:pStyle w:val="ListParagraph"/>
        <w:numPr>
          <w:ilvl w:val="0"/>
          <w:numId w:val="47"/>
        </w:numPr>
        <w:spacing w:after="160" w:line="259" w:lineRule="auto"/>
        <w:contextualSpacing/>
      </w:pPr>
      <w:r>
        <w:t>a</w:t>
      </w:r>
      <w:r w:rsidR="00466597">
        <w:t xml:space="preserve">dopting </w:t>
      </w:r>
      <w:r w:rsidR="002D3AD8">
        <w:t xml:space="preserve">a </w:t>
      </w:r>
      <w:r w:rsidR="009726A9">
        <w:t>multiple</w:t>
      </w:r>
      <w:r w:rsidR="00466597">
        <w:t>-</w:t>
      </w:r>
      <w:r w:rsidR="009726A9">
        <w:t>lines</w:t>
      </w:r>
      <w:r w:rsidR="00466597">
        <w:t>-</w:t>
      </w:r>
      <w:r w:rsidR="009726A9">
        <w:t>of</w:t>
      </w:r>
      <w:r w:rsidR="00466597">
        <w:t>-</w:t>
      </w:r>
      <w:r w:rsidR="009726A9">
        <w:t xml:space="preserve">evidence approach that recognises potential limitations with any single line of </w:t>
      </w:r>
      <w:proofErr w:type="gramStart"/>
      <w:r w:rsidR="009726A9">
        <w:t>evidence</w:t>
      </w:r>
      <w:proofErr w:type="gramEnd"/>
    </w:p>
    <w:p w14:paraId="043296E2" w14:textId="1CC9C70B" w:rsidR="009726A9" w:rsidRDefault="006009A3" w:rsidP="009726A9">
      <w:pPr>
        <w:pStyle w:val="ListParagraph"/>
        <w:numPr>
          <w:ilvl w:val="0"/>
          <w:numId w:val="47"/>
        </w:numPr>
        <w:spacing w:after="160" w:line="259" w:lineRule="auto"/>
        <w:contextualSpacing/>
      </w:pPr>
      <w:r>
        <w:t>s</w:t>
      </w:r>
      <w:r w:rsidR="00A829C3">
        <w:t xml:space="preserve">ynthesising </w:t>
      </w:r>
      <w:r w:rsidR="009726A9">
        <w:t xml:space="preserve">available evidence using protocols that ensure rigour and avoid potential for </w:t>
      </w:r>
      <w:proofErr w:type="gramStart"/>
      <w:r w:rsidR="009726A9">
        <w:t>biases</w:t>
      </w:r>
      <w:proofErr w:type="gramEnd"/>
    </w:p>
    <w:p w14:paraId="23D2FD72" w14:textId="50A136E5" w:rsidR="009726A9" w:rsidRDefault="009A723F" w:rsidP="009726A9">
      <w:pPr>
        <w:pStyle w:val="ListParagraph"/>
        <w:numPr>
          <w:ilvl w:val="0"/>
          <w:numId w:val="47"/>
        </w:numPr>
        <w:spacing w:after="160" w:line="259" w:lineRule="auto"/>
        <w:contextualSpacing/>
      </w:pPr>
      <w:r>
        <w:t>e</w:t>
      </w:r>
      <w:r w:rsidR="009726A9">
        <w:t>nsuring that any synthesis is peer</w:t>
      </w:r>
      <w:r w:rsidR="006009A3">
        <w:t>-</w:t>
      </w:r>
      <w:r w:rsidR="009726A9">
        <w:t xml:space="preserve">reviewed and published in a reputable scientific journal. </w:t>
      </w:r>
    </w:p>
    <w:p w14:paraId="0DBD1EC6" w14:textId="2F551DA3" w:rsidR="00C54364" w:rsidRDefault="005F70EB" w:rsidP="005F70EB">
      <w:pPr>
        <w:pStyle w:val="Heading2"/>
      </w:pPr>
      <w:bookmarkStart w:id="27" w:name="_Toc153543623"/>
      <w:r>
        <w:lastRenderedPageBreak/>
        <w:t xml:space="preserve">Worked </w:t>
      </w:r>
      <w:proofErr w:type="gramStart"/>
      <w:r>
        <w:t>examples</w:t>
      </w:r>
      <w:bookmarkEnd w:id="27"/>
      <w:proofErr w:type="gramEnd"/>
    </w:p>
    <w:p w14:paraId="3A5A79C5" w14:textId="77777777" w:rsidR="00A6732C" w:rsidRPr="00E87CDF" w:rsidRDefault="00A6732C" w:rsidP="00A6732C">
      <w:pPr>
        <w:pStyle w:val="BoxText"/>
        <w:rPr>
          <w:b/>
          <w:bCs/>
          <w:sz w:val="22"/>
        </w:rPr>
      </w:pPr>
      <w:r w:rsidRPr="00E87CDF">
        <w:rPr>
          <w:b/>
          <w:bCs/>
          <w:sz w:val="22"/>
        </w:rPr>
        <w:t>Key messages</w:t>
      </w:r>
    </w:p>
    <w:p w14:paraId="3BFE54B5" w14:textId="77777777" w:rsidR="00A6732C" w:rsidRPr="00E87CDF" w:rsidRDefault="00A6732C" w:rsidP="00A6732C">
      <w:pPr>
        <w:pStyle w:val="BoxText"/>
        <w:rPr>
          <w:sz w:val="22"/>
        </w:rPr>
      </w:pPr>
      <w:r w:rsidRPr="00E87CDF">
        <w:rPr>
          <w:sz w:val="22"/>
        </w:rPr>
        <w:t>This section comprises 4 worked examples. The first 3 examples present a simple end-of-life design. They aim to familiarise the practitioner with the use of temperature projections in the context of design rainfall adjustment. The choice of climate scenario in these first examples is solely adopted for the purposes of demonstration design rainfall adjustment.</w:t>
      </w:r>
    </w:p>
    <w:p w14:paraId="27046AF0" w14:textId="77777777" w:rsidR="00A6732C" w:rsidRPr="00E87CDF" w:rsidRDefault="00A6732C" w:rsidP="00A6732C">
      <w:pPr>
        <w:pStyle w:val="BoxText"/>
        <w:rPr>
          <w:sz w:val="22"/>
        </w:rPr>
      </w:pPr>
      <w:r w:rsidRPr="00E87CDF">
        <w:rPr>
          <w:sz w:val="22"/>
        </w:rPr>
        <w:t xml:space="preserve">The last example focuses on design flood estimation using adaptive management, presenting a use case that demonstrates how a practitioner could adopt climate scenarios in their design. </w:t>
      </w:r>
    </w:p>
    <w:p w14:paraId="6F874217" w14:textId="77777777" w:rsidR="00A6732C" w:rsidRPr="00E87CDF" w:rsidRDefault="00A6732C" w:rsidP="00A6732C">
      <w:pPr>
        <w:pStyle w:val="BoxText"/>
        <w:rPr>
          <w:sz w:val="22"/>
        </w:rPr>
      </w:pPr>
      <w:r w:rsidRPr="00E87CDF">
        <w:rPr>
          <w:sz w:val="22"/>
        </w:rPr>
        <w:t>The examples are:</w:t>
      </w:r>
    </w:p>
    <w:p w14:paraId="32FF6272" w14:textId="77777777" w:rsidR="00A6732C" w:rsidRPr="00E87CDF" w:rsidRDefault="00A6732C" w:rsidP="00A6732C">
      <w:pPr>
        <w:pStyle w:val="BoxText"/>
        <w:ind w:left="284" w:hanging="284"/>
        <w:rPr>
          <w:sz w:val="22"/>
        </w:rPr>
      </w:pPr>
      <w:r w:rsidRPr="00E87CDF">
        <w:rPr>
          <w:sz w:val="22"/>
        </w:rPr>
        <w:t>1a</w:t>
      </w:r>
      <w:r w:rsidRPr="00E87CDF">
        <w:rPr>
          <w:sz w:val="22"/>
        </w:rPr>
        <w:tab/>
        <w:t>Design rainfall adjustment for a given emissions scenario.</w:t>
      </w:r>
    </w:p>
    <w:p w14:paraId="0A706D15" w14:textId="77777777" w:rsidR="00A6732C" w:rsidRPr="00E87CDF" w:rsidRDefault="00A6732C" w:rsidP="00A6732C">
      <w:pPr>
        <w:pStyle w:val="BoxText"/>
        <w:ind w:left="284" w:hanging="284"/>
        <w:rPr>
          <w:sz w:val="22"/>
        </w:rPr>
      </w:pPr>
      <w:r w:rsidRPr="00E87CDF">
        <w:rPr>
          <w:sz w:val="22"/>
        </w:rPr>
        <w:t>1b</w:t>
      </w:r>
      <w:r w:rsidRPr="00E87CDF">
        <w:rPr>
          <w:sz w:val="22"/>
        </w:rPr>
        <w:tab/>
        <w:t>Design rainfall adjustment for a given global warming level.</w:t>
      </w:r>
    </w:p>
    <w:p w14:paraId="161584EA" w14:textId="77777777" w:rsidR="00A6732C" w:rsidRPr="00E87CDF" w:rsidRDefault="00A6732C" w:rsidP="00A6732C">
      <w:pPr>
        <w:pStyle w:val="BoxText"/>
        <w:ind w:left="284" w:hanging="284"/>
        <w:rPr>
          <w:sz w:val="22"/>
        </w:rPr>
      </w:pPr>
      <w:r w:rsidRPr="00E87CDF">
        <w:rPr>
          <w:sz w:val="22"/>
        </w:rPr>
        <w:t>1c</w:t>
      </w:r>
      <w:r w:rsidRPr="00E87CDF">
        <w:rPr>
          <w:sz w:val="22"/>
        </w:rPr>
        <w:tab/>
        <w:t>Design rainfall adjustment using a non-standard baseline.</w:t>
      </w:r>
    </w:p>
    <w:p w14:paraId="5298C705" w14:textId="77777777" w:rsidR="00A6732C" w:rsidRPr="00280513" w:rsidRDefault="00A6732C" w:rsidP="00A6732C">
      <w:pPr>
        <w:pStyle w:val="BoxText"/>
        <w:ind w:left="284" w:hanging="284"/>
        <w:rPr>
          <w:sz w:val="22"/>
        </w:rPr>
      </w:pPr>
      <w:r w:rsidRPr="00E87CDF">
        <w:rPr>
          <w:sz w:val="22"/>
        </w:rPr>
        <w:t>2</w:t>
      </w:r>
      <w:r w:rsidRPr="00E87CDF">
        <w:rPr>
          <w:sz w:val="22"/>
        </w:rPr>
        <w:tab/>
        <w:t>Adaptive management under uncertainty in the future climate.</w:t>
      </w:r>
    </w:p>
    <w:p w14:paraId="73A219B2" w14:textId="4FBDF3B6" w:rsidR="00214E80" w:rsidRDefault="00485695" w:rsidP="00485695">
      <w:pPr>
        <w:rPr>
          <w:b/>
          <w:bCs/>
        </w:rPr>
      </w:pPr>
      <w:r w:rsidRPr="00C941EF">
        <w:rPr>
          <w:b/>
          <w:bCs/>
        </w:rPr>
        <w:t>Example 1</w:t>
      </w:r>
      <w:r w:rsidR="00FC5BEC">
        <w:rPr>
          <w:b/>
          <w:bCs/>
        </w:rPr>
        <w:t xml:space="preserve">. </w:t>
      </w:r>
      <w:r>
        <w:rPr>
          <w:b/>
          <w:bCs/>
        </w:rPr>
        <w:t>Design rainfall adjustment for a given emissions scenario</w:t>
      </w:r>
      <w:r w:rsidRPr="00C941EF">
        <w:rPr>
          <w:b/>
          <w:bCs/>
        </w:rPr>
        <w:t>.</w:t>
      </w:r>
    </w:p>
    <w:p w14:paraId="38E8BF55" w14:textId="4E03B21E" w:rsidR="00214E80" w:rsidRPr="002C15C6" w:rsidRDefault="00F738F2" w:rsidP="00485695">
      <w:r>
        <w:t xml:space="preserve">This example presents the most typical use case, where a </w:t>
      </w:r>
      <w:r w:rsidR="00146960">
        <w:t xml:space="preserve">practitioner </w:t>
      </w:r>
      <w:r>
        <w:t>knows their design AEP, target horizon for decision making, and wishes to estimate the impact of climate change on the existing 2016 IFDs.</w:t>
      </w:r>
    </w:p>
    <w:p w14:paraId="3CE91B65" w14:textId="64DA5D45" w:rsidR="00214E80" w:rsidRDefault="00485695" w:rsidP="00485695">
      <w:r w:rsidRPr="00F17515">
        <w:t xml:space="preserve">A </w:t>
      </w:r>
      <w:r w:rsidR="00146960">
        <w:t>practitioner</w:t>
      </w:r>
      <w:r w:rsidRPr="00F17515">
        <w:t xml:space="preserve"> wish</w:t>
      </w:r>
      <w:r>
        <w:t>es</w:t>
      </w:r>
      <w:r w:rsidRPr="00F17515">
        <w:t xml:space="preserve"> to</w:t>
      </w:r>
      <w:r w:rsidR="00BD5515">
        <w:t xml:space="preserve"> estimate the design rainfall for use in the design o</w:t>
      </w:r>
      <w:r w:rsidR="00BD5515" w:rsidRPr="002C15C6">
        <w:t xml:space="preserve">f a </w:t>
      </w:r>
      <w:r w:rsidR="00666107" w:rsidRPr="002C15C6">
        <w:t>bridge</w:t>
      </w:r>
      <w:r w:rsidR="00214E80" w:rsidRPr="002C15C6">
        <w:t xml:space="preserve"> to</w:t>
      </w:r>
      <w:r w:rsidR="00214E80">
        <w:t xml:space="preserve"> withstand a 1% AEP flood event</w:t>
      </w:r>
      <w:r w:rsidR="00BD5515">
        <w:t xml:space="preserve"> for the end of its service life which corresponds to the end of the </w:t>
      </w:r>
      <w:r w:rsidR="005A3B7B">
        <w:t>century (</w:t>
      </w:r>
      <w:proofErr w:type="gramStart"/>
      <w:r w:rsidR="005A3B7B">
        <w:t>2081 to 2100 time</w:t>
      </w:r>
      <w:proofErr w:type="gramEnd"/>
      <w:r w:rsidR="005A3B7B">
        <w:t xml:space="preserve"> horizon, Table 2). </w:t>
      </w:r>
      <w:r w:rsidR="00BD5515">
        <w:t>As part of testing critical durations for the catchment</w:t>
      </w:r>
      <w:r w:rsidR="00C41BBE">
        <w:t>,</w:t>
      </w:r>
      <w:r w:rsidR="00214E80">
        <w:t xml:space="preserve"> the </w:t>
      </w:r>
      <w:r w:rsidR="00146960">
        <w:t>practitioner</w:t>
      </w:r>
      <w:r w:rsidR="00214E80">
        <w:t xml:space="preserve"> wishes to test the </w:t>
      </w:r>
      <w:proofErr w:type="gramStart"/>
      <w:r w:rsidR="00214E80">
        <w:t>24</w:t>
      </w:r>
      <w:r w:rsidR="00541ED0">
        <w:t> </w:t>
      </w:r>
      <w:r w:rsidR="00214E80">
        <w:t>hour</w:t>
      </w:r>
      <w:proofErr w:type="gramEnd"/>
      <w:r w:rsidR="00214E80">
        <w:t xml:space="preserve"> rainfall. </w:t>
      </w:r>
    </w:p>
    <w:p w14:paraId="3C3A2B6E" w14:textId="464DA46F" w:rsidR="00214E80" w:rsidRPr="00FC5BEC" w:rsidRDefault="00214E80" w:rsidP="00485695">
      <w:r w:rsidRPr="00FC5BEC">
        <w:t xml:space="preserve">Using the 2016 IFD portal (Book 2, Chapter 3) the rainfall depth for the </w:t>
      </w:r>
      <w:r w:rsidR="0048317D" w:rsidRPr="00FC5BEC">
        <w:t>24</w:t>
      </w:r>
      <w:r w:rsidRPr="00FC5BEC">
        <w:t xml:space="preserve"> hour, 1% AEP is 300 mm. </w:t>
      </w:r>
    </w:p>
    <w:p w14:paraId="7C75DFD9" w14:textId="7A8E7105" w:rsidR="00214E80" w:rsidRDefault="00214E80" w:rsidP="00485695">
      <w:r>
        <w:t>Table 1 provides an 8%/</w:t>
      </w:r>
      <w:r w:rsidRPr="2FC70281">
        <w:t>°</w:t>
      </w:r>
      <w:r>
        <w:t xml:space="preserve">C rate of change for a duration of 24 hours. The </w:t>
      </w:r>
      <w:r w:rsidR="00146960">
        <w:t>practitioner</w:t>
      </w:r>
      <w:r>
        <w:t xml:space="preserve"> </w:t>
      </w:r>
      <w:r w:rsidR="00AE2472">
        <w:t>is testing the impact of the SSP2-4.5</w:t>
      </w:r>
      <w:r w:rsidR="00D91F11">
        <w:t xml:space="preserve">, </w:t>
      </w:r>
      <w:r>
        <w:t xml:space="preserve">which corresponds to a 2.7°C increase by the end of the century (Table 2) relative to the baseline adopted for the 2016 IFDs.  </w:t>
      </w:r>
    </w:p>
    <w:p w14:paraId="3422AECA" w14:textId="7BF229CD" w:rsidR="00485695" w:rsidRDefault="00214E80" w:rsidP="00485695">
      <w:pPr>
        <w:rPr>
          <w:rStyle w:val="normaltextrun"/>
          <w:rFonts w:cs="Calibri"/>
        </w:rPr>
      </w:pPr>
      <w:r>
        <w:t>Using Equation 1 the factored design rainfall is</w:t>
      </w:r>
      <w:r w:rsidR="00485695" w:rsidRPr="5623E5C0">
        <w:rPr>
          <w:rStyle w:val="normaltextrun"/>
          <w:rFonts w:cs="Calibri"/>
        </w:rPr>
        <w:t>:</w:t>
      </w:r>
    </w:p>
    <w:p w14:paraId="31985BAB" w14:textId="483DF0A9" w:rsidR="00485695" w:rsidRDefault="00485695" w:rsidP="00485695">
      <w:pPr>
        <w:jc w:val="center"/>
      </w:pPr>
      <m:oMathPara>
        <m:oMath>
          <m:r>
            <w:rPr>
              <w:rStyle w:val="normaltextrun"/>
              <w:rFonts w:ascii="Cambria Math" w:hAnsi="Cambria Math" w:cs="Calibri"/>
            </w:rPr>
            <m:t>300×</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2.7</m:t>
              </m:r>
            </m:sup>
          </m:sSup>
          <m:r>
            <w:rPr>
              <w:rStyle w:val="normaltextrun"/>
              <w:rFonts w:ascii="Cambria Math" w:hAnsi="Cambria Math" w:cs="Calibri"/>
            </w:rPr>
            <m:t>=369mm</m:t>
          </m:r>
        </m:oMath>
      </m:oMathPara>
    </w:p>
    <w:p w14:paraId="1877E987" w14:textId="4592B977" w:rsidR="00F738F2" w:rsidRDefault="00485695" w:rsidP="00485695">
      <w:r w:rsidRPr="7D2A6C8C">
        <w:rPr>
          <w:b/>
          <w:bCs/>
        </w:rPr>
        <w:t xml:space="preserve">Example </w:t>
      </w:r>
      <w:r w:rsidR="00C322FF">
        <w:rPr>
          <w:b/>
          <w:bCs/>
        </w:rPr>
        <w:t>1b</w:t>
      </w:r>
      <w:r w:rsidR="00FC5BEC">
        <w:rPr>
          <w:b/>
          <w:bCs/>
        </w:rPr>
        <w:t xml:space="preserve">. </w:t>
      </w:r>
      <w:r>
        <w:rPr>
          <w:b/>
          <w:bCs/>
        </w:rPr>
        <w:t>D</w:t>
      </w:r>
      <w:r w:rsidRPr="7D2A6C8C">
        <w:rPr>
          <w:b/>
          <w:bCs/>
        </w:rPr>
        <w:t>esign rainfall adjustment for a given global warming level.</w:t>
      </w:r>
      <w:r>
        <w:t xml:space="preserve"> </w:t>
      </w:r>
    </w:p>
    <w:p w14:paraId="112C66F3" w14:textId="693FC619" w:rsidR="00F738F2" w:rsidRDefault="00F738F2" w:rsidP="00485695">
      <w:r>
        <w:t xml:space="preserve">The Shared Socioeconomic Pathways (SSPs) used in the </w:t>
      </w:r>
      <w:r w:rsidR="00211E4E">
        <w:t xml:space="preserve">sixth </w:t>
      </w:r>
      <w:r>
        <w:t>Assessment Report by the IPCC are likely to be superseded. Global Warming Levels (GWLs), which are derived from climate models run using SSPs, may be use</w:t>
      </w:r>
      <w:r w:rsidR="3EAF0889">
        <w:t>d</w:t>
      </w:r>
      <w:r>
        <w:t xml:space="preserve"> more widely in the future to describe temperature projections.</w:t>
      </w:r>
      <w:r w:rsidR="00374235">
        <w:t xml:space="preserve"> GWLs are reported relative to the pre-industrial period which has a different baseline to that used in the derivation of the 2016 IFDs.</w:t>
      </w:r>
      <w:r>
        <w:t xml:space="preserve"> This example presents </w:t>
      </w:r>
      <w:r w:rsidR="00FB39DC">
        <w:t>an approach to estimating</w:t>
      </w:r>
      <w:r>
        <w:t xml:space="preserve"> the impact of climate change on design rainfall using global warming levels.</w:t>
      </w:r>
    </w:p>
    <w:p w14:paraId="34959B91" w14:textId="77777777" w:rsidR="00187175" w:rsidRDefault="00187175" w:rsidP="00187175">
      <w:r>
        <w:lastRenderedPageBreak/>
        <w:t>For comparison the example above is followed. A</w:t>
      </w:r>
      <w:r w:rsidRPr="00F17515">
        <w:t xml:space="preserve"> </w:t>
      </w:r>
      <w:r>
        <w:t>practitioner</w:t>
      </w:r>
      <w:r w:rsidRPr="00F17515">
        <w:t xml:space="preserve"> wish</w:t>
      </w:r>
      <w:r>
        <w:t>es</w:t>
      </w:r>
      <w:r w:rsidRPr="00F17515">
        <w:t xml:space="preserve"> to</w:t>
      </w:r>
      <w:r>
        <w:t xml:space="preserve"> estimate the design rainfall for use in the design of </w:t>
      </w:r>
      <w:r w:rsidRPr="002C15C6">
        <w:t>a bridge to wit</w:t>
      </w:r>
      <w:r>
        <w:t>hstand a 1% AEP flood event for the end of its service life which is taken to correspond</w:t>
      </w:r>
      <w:r w:rsidRPr="002D45E5">
        <w:t xml:space="preserve"> </w:t>
      </w:r>
      <w:r>
        <w:t>to the end of the century (</w:t>
      </w:r>
      <w:proofErr w:type="gramStart"/>
      <w:r>
        <w:t>2081 to 2100 time</w:t>
      </w:r>
      <w:proofErr w:type="gramEnd"/>
      <w:r>
        <w:t xml:space="preserve"> horizon, Table 2). As part of testing critical durations for the catchment the practitioner wishes to test the </w:t>
      </w:r>
      <w:proofErr w:type="gramStart"/>
      <w:r>
        <w:t>24 hour</w:t>
      </w:r>
      <w:proofErr w:type="gramEnd"/>
      <w:r>
        <w:t xml:space="preserve"> rainfall. The practitioner is testing a scenario under which the world will warm by </w:t>
      </w:r>
      <w:r w:rsidRPr="7D2A6C8C">
        <w:rPr>
          <w:rStyle w:val="normaltextrun"/>
          <w:rFonts w:cs="Calibri"/>
        </w:rPr>
        <w:t>3.0</w:t>
      </w:r>
      <w:r w:rsidRPr="7D2A6C8C">
        <w:t>°</w:t>
      </w:r>
      <w:r>
        <w:t>C</w:t>
      </w:r>
      <w:r>
        <w:rPr>
          <w:rStyle w:val="FootnoteReference"/>
        </w:rPr>
        <w:footnoteReference w:id="8"/>
      </w:r>
      <w:r>
        <w:t xml:space="preserve"> by the end of the century relative to preindustrial levels.</w:t>
      </w:r>
    </w:p>
    <w:p w14:paraId="3229748F" w14:textId="2B31296F" w:rsidR="00F738F2" w:rsidRDefault="00F738F2" w:rsidP="00F738F2">
      <w:r>
        <w:t>Using the 2016 IFD portal (</w:t>
      </w:r>
      <w:r w:rsidRPr="00FC5BEC">
        <w:t>Book 2, Chapter 3</w:t>
      </w:r>
      <w:r>
        <w:t xml:space="preserve">) the rainfall depth for the </w:t>
      </w:r>
      <w:r w:rsidR="0048317D">
        <w:t>24</w:t>
      </w:r>
      <w:r>
        <w:t xml:space="preserve"> hour, 1% AEP is 300 mm. </w:t>
      </w:r>
    </w:p>
    <w:p w14:paraId="6B08569F" w14:textId="19933B16" w:rsidR="00485695" w:rsidRDefault="00F738F2" w:rsidP="0048317D">
      <w:r>
        <w:t>Table 1 provides an 8%/</w:t>
      </w:r>
      <w:r w:rsidRPr="00F17515">
        <w:rPr>
          <w:rFonts w:cstheme="minorHAnsi"/>
        </w:rPr>
        <w:t>°</w:t>
      </w:r>
      <w:r>
        <w:t>C rate of change for a duration of 24 hours.</w:t>
      </w:r>
      <w:r w:rsidR="0048317D">
        <w:t xml:space="preserve"> </w:t>
      </w:r>
      <w:r w:rsidR="00485695">
        <w:t xml:space="preserve">The data used to derive the IFD curves can be approximated to correspond to the baseline of </w:t>
      </w:r>
      <w:r w:rsidR="00485695">
        <w:rPr>
          <w:rStyle w:val="normaltextrun"/>
          <w:rFonts w:cs="Calibri"/>
        </w:rPr>
        <w:t>1961-1990, but Global Warming Levels are calculated from pre-industrial periods. Hence the additional warming is 3.0</w:t>
      </w:r>
      <w:r w:rsidR="00485695" w:rsidRPr="00F17515">
        <w:rPr>
          <w:rFonts w:cstheme="minorHAnsi"/>
        </w:rPr>
        <w:t>°</w:t>
      </w:r>
      <w:r w:rsidR="00485695">
        <w:rPr>
          <w:rFonts w:cstheme="minorHAnsi"/>
        </w:rPr>
        <w:t>C</w:t>
      </w:r>
      <w:r w:rsidR="00485695">
        <w:rPr>
          <w:rStyle w:val="normaltextrun"/>
          <w:rFonts w:cs="Calibri"/>
        </w:rPr>
        <w:t>-0.3</w:t>
      </w:r>
      <w:r w:rsidR="00485695" w:rsidRPr="00F17515">
        <w:rPr>
          <w:rFonts w:cstheme="minorHAnsi"/>
        </w:rPr>
        <w:t>°</w:t>
      </w:r>
      <w:r w:rsidR="00485695">
        <w:rPr>
          <w:rFonts w:cstheme="minorHAnsi"/>
        </w:rPr>
        <w:t>C</w:t>
      </w:r>
      <w:r w:rsidR="00485695">
        <w:rPr>
          <w:rStyle w:val="normaltextrun"/>
          <w:rFonts w:cs="Calibri"/>
        </w:rPr>
        <w:t xml:space="preserve"> = 2.7</w:t>
      </w:r>
      <w:r w:rsidR="00485695" w:rsidRPr="00F17515">
        <w:rPr>
          <w:rFonts w:cstheme="minorHAnsi"/>
        </w:rPr>
        <w:t>°</w:t>
      </w:r>
      <w:r w:rsidR="00485695">
        <w:rPr>
          <w:rFonts w:cstheme="minorHAnsi"/>
        </w:rPr>
        <w:t>C</w:t>
      </w:r>
      <w:r w:rsidR="00485695">
        <w:rPr>
          <w:rStyle w:val="normaltextrun"/>
          <w:rFonts w:cs="Calibri"/>
        </w:rPr>
        <w:t xml:space="preserve"> where 0.3</w:t>
      </w:r>
      <w:r w:rsidR="00485695" w:rsidRPr="00F17515">
        <w:rPr>
          <w:rFonts w:cstheme="minorHAnsi"/>
        </w:rPr>
        <w:t>°</w:t>
      </w:r>
      <w:r w:rsidR="00485695">
        <w:rPr>
          <w:rFonts w:cstheme="minorHAnsi"/>
        </w:rPr>
        <w:t>C</w:t>
      </w:r>
      <w:r w:rsidR="00485695">
        <w:rPr>
          <w:rStyle w:val="normaltextrun"/>
          <w:rFonts w:cs="Calibri"/>
        </w:rPr>
        <w:t xml:space="preserve"> is the difference between the pre-industrial period and the period used for </w:t>
      </w:r>
      <w:r w:rsidR="0048317D">
        <w:rPr>
          <w:rStyle w:val="normaltextrun"/>
          <w:rFonts w:cs="Calibri"/>
        </w:rPr>
        <w:t xml:space="preserve">derivation </w:t>
      </w:r>
      <w:r w:rsidR="00485695">
        <w:rPr>
          <w:rStyle w:val="normaltextrun"/>
          <w:rFonts w:cs="Calibri"/>
        </w:rPr>
        <w:t>of</w:t>
      </w:r>
      <w:r w:rsidR="0048317D">
        <w:rPr>
          <w:rStyle w:val="normaltextrun"/>
          <w:rFonts w:cs="Calibri"/>
        </w:rPr>
        <w:t xml:space="preserve"> the 2016</w:t>
      </w:r>
      <w:r w:rsidR="00485695">
        <w:rPr>
          <w:rStyle w:val="normaltextrun"/>
          <w:rFonts w:cs="Calibri"/>
        </w:rPr>
        <w:t xml:space="preserve"> IFD curves. </w:t>
      </w:r>
    </w:p>
    <w:p w14:paraId="3DAE767E" w14:textId="77777777" w:rsidR="0048317D" w:rsidRDefault="0048317D" w:rsidP="0048317D">
      <w:pPr>
        <w:rPr>
          <w:rStyle w:val="normaltextrun"/>
          <w:rFonts w:cs="Calibri"/>
        </w:rPr>
      </w:pPr>
      <w:r>
        <w:t>Using Equation 1 the factored design rainfall is</w:t>
      </w:r>
      <w:r w:rsidRPr="5623E5C0">
        <w:rPr>
          <w:rStyle w:val="normaltextrun"/>
          <w:rFonts w:cs="Calibri"/>
        </w:rPr>
        <w:t>:</w:t>
      </w:r>
    </w:p>
    <w:p w14:paraId="6904A380" w14:textId="77777777" w:rsidR="0048317D" w:rsidRDefault="0048317D" w:rsidP="0048317D">
      <w:pPr>
        <w:jc w:val="center"/>
      </w:pPr>
      <m:oMathPara>
        <m:oMath>
          <m:r>
            <w:rPr>
              <w:rStyle w:val="normaltextrun"/>
              <w:rFonts w:ascii="Cambria Math" w:hAnsi="Cambria Math" w:cs="Calibri"/>
            </w:rPr>
            <m:t>300×</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2.7</m:t>
              </m:r>
            </m:sup>
          </m:sSup>
          <m:r>
            <w:rPr>
              <w:rStyle w:val="normaltextrun"/>
              <w:rFonts w:ascii="Cambria Math" w:hAnsi="Cambria Math" w:cs="Calibri"/>
            </w:rPr>
            <m:t>=369mm</m:t>
          </m:r>
        </m:oMath>
      </m:oMathPara>
    </w:p>
    <w:p w14:paraId="31D655D7" w14:textId="77777777" w:rsidR="0048317D" w:rsidRDefault="0048317D" w:rsidP="0048317D"/>
    <w:p w14:paraId="365FA2C3" w14:textId="02D2B99B" w:rsidR="0048317D" w:rsidRDefault="00485695" w:rsidP="00485695">
      <w:r w:rsidRPr="7D2A6C8C">
        <w:rPr>
          <w:b/>
          <w:bCs/>
        </w:rPr>
        <w:t xml:space="preserve">Example </w:t>
      </w:r>
      <w:r w:rsidR="00CC72B3">
        <w:rPr>
          <w:b/>
          <w:bCs/>
        </w:rPr>
        <w:t>1c</w:t>
      </w:r>
      <w:r w:rsidR="00FC5BEC">
        <w:rPr>
          <w:b/>
          <w:bCs/>
        </w:rPr>
        <w:t xml:space="preserve">. </w:t>
      </w:r>
      <w:r>
        <w:rPr>
          <w:b/>
          <w:bCs/>
        </w:rPr>
        <w:t>D</w:t>
      </w:r>
      <w:r w:rsidRPr="7D2A6C8C">
        <w:rPr>
          <w:b/>
          <w:bCs/>
        </w:rPr>
        <w:t xml:space="preserve">esign rainfall adjustment </w:t>
      </w:r>
      <w:r>
        <w:rPr>
          <w:b/>
          <w:bCs/>
        </w:rPr>
        <w:t>using a non-standard baseline</w:t>
      </w:r>
      <w:r w:rsidRPr="7D2A6C8C">
        <w:rPr>
          <w:b/>
          <w:bCs/>
        </w:rPr>
        <w:t>.</w:t>
      </w:r>
      <w:r>
        <w:t xml:space="preserve"> </w:t>
      </w:r>
    </w:p>
    <w:p w14:paraId="450BB2BC" w14:textId="7E60E12E" w:rsidR="0048317D" w:rsidRDefault="0048317D" w:rsidP="00485695">
      <w:r>
        <w:t>It is likely that IFD curves may be updated and hence a different baseline will be relevant. Further</w:t>
      </w:r>
      <w:r w:rsidR="005860F6">
        <w:t>more,</w:t>
      </w:r>
      <w:r>
        <w:t xml:space="preserve"> a </w:t>
      </w:r>
      <w:r w:rsidR="00146960">
        <w:t>practitioner</w:t>
      </w:r>
      <w:r>
        <w:t xml:space="preserve"> may have reason to believe that a different baseline applies to the data for a particular region or location. This example presents how temperature projections can be adjusted to a non-standard baseline</w:t>
      </w:r>
      <w:r>
        <w:rPr>
          <w:rStyle w:val="FootnoteReference"/>
        </w:rPr>
        <w:footnoteReference w:id="9"/>
      </w:r>
      <w:r>
        <w:t>.</w:t>
      </w:r>
    </w:p>
    <w:p w14:paraId="17A2C778" w14:textId="1E909DA2" w:rsidR="0048317D" w:rsidRDefault="00146960" w:rsidP="0048317D">
      <w:r>
        <w:t>Following the example above, a</w:t>
      </w:r>
      <w:r w:rsidR="0048317D" w:rsidRPr="00F17515">
        <w:t xml:space="preserve"> </w:t>
      </w:r>
      <w:r>
        <w:t>practitioner</w:t>
      </w:r>
      <w:r w:rsidR="0048317D" w:rsidRPr="00F17515">
        <w:t xml:space="preserve"> wish</w:t>
      </w:r>
      <w:r w:rsidR="0048317D">
        <w:t>es</w:t>
      </w:r>
      <w:r w:rsidR="0048317D" w:rsidRPr="00F17515">
        <w:t xml:space="preserve"> to</w:t>
      </w:r>
      <w:r w:rsidR="0048317D">
        <w:t xml:space="preserve"> estimate the design rainfall for use in the d</w:t>
      </w:r>
      <w:r w:rsidR="0048317D" w:rsidRPr="002C15C6">
        <w:t xml:space="preserve">esign of a </w:t>
      </w:r>
      <w:r w:rsidR="00C959F8" w:rsidRPr="002C15C6">
        <w:t>bridge</w:t>
      </w:r>
      <w:r w:rsidR="0048317D" w:rsidRPr="002C15C6">
        <w:t xml:space="preserve"> to withstand a 1% AEP flood event for the end of its service life which </w:t>
      </w:r>
      <w:r w:rsidR="00375E2D">
        <w:t>is taken to correspond</w:t>
      </w:r>
      <w:r w:rsidR="00375E2D" w:rsidRPr="002C15C6">
        <w:t xml:space="preserve"> to the end of t</w:t>
      </w:r>
      <w:r w:rsidR="00375E2D">
        <w:t>he century (</w:t>
      </w:r>
      <w:proofErr w:type="gramStart"/>
      <w:r w:rsidR="00375E2D">
        <w:t>2081 to 2100 time</w:t>
      </w:r>
      <w:proofErr w:type="gramEnd"/>
      <w:r w:rsidR="00375E2D">
        <w:t xml:space="preserve"> horizon). </w:t>
      </w:r>
      <w:r w:rsidR="0048317D">
        <w:t xml:space="preserve"> As part of testing critical durations for the catchment the </w:t>
      </w:r>
      <w:r>
        <w:t>practitioner</w:t>
      </w:r>
      <w:r w:rsidR="0048317D">
        <w:t xml:space="preserve"> wishes to test the </w:t>
      </w:r>
      <w:proofErr w:type="gramStart"/>
      <w:r w:rsidR="0048317D">
        <w:t>24</w:t>
      </w:r>
      <w:r w:rsidR="00541ED0">
        <w:t> </w:t>
      </w:r>
      <w:r w:rsidR="0048317D">
        <w:t>hour</w:t>
      </w:r>
      <w:proofErr w:type="gramEnd"/>
      <w:r w:rsidR="0048317D">
        <w:t xml:space="preserve"> rainfall. Here </w:t>
      </w:r>
      <w:r>
        <w:t xml:space="preserve">however, </w:t>
      </w:r>
      <w:r w:rsidR="0048317D">
        <w:t xml:space="preserve">the </w:t>
      </w:r>
      <w:r>
        <w:t>practitioner</w:t>
      </w:r>
      <w:r w:rsidR="0048317D">
        <w:t xml:space="preserve"> has estimated the </w:t>
      </w:r>
      <w:proofErr w:type="gramStart"/>
      <w:r w:rsidR="0048317D">
        <w:t>24</w:t>
      </w:r>
      <w:r w:rsidR="00541ED0">
        <w:t> </w:t>
      </w:r>
      <w:r w:rsidR="0048317D">
        <w:t>hour</w:t>
      </w:r>
      <w:proofErr w:type="gramEnd"/>
      <w:r w:rsidR="0048317D">
        <w:t xml:space="preserve"> 1% AEP design rainfall </w:t>
      </w:r>
      <w:r w:rsidR="00485695">
        <w:t>using a record length from 1951 to 2020</w:t>
      </w:r>
      <w:r w:rsidR="0048317D">
        <w:t>.</w:t>
      </w:r>
      <w:r w:rsidR="00485695">
        <w:t xml:space="preserve"> </w:t>
      </w:r>
    </w:p>
    <w:p w14:paraId="39F00035" w14:textId="29CC8880" w:rsidR="00485695" w:rsidRDefault="003C00CB" w:rsidP="0048317D">
      <w:r>
        <w:t>Table 1 provides an 8%/</w:t>
      </w:r>
      <w:r w:rsidRPr="00F17515">
        <w:rPr>
          <w:rFonts w:cstheme="minorHAnsi"/>
        </w:rPr>
        <w:t>°</w:t>
      </w:r>
      <w:r>
        <w:t xml:space="preserve">C rate of change for a duration of 24 hours. The </w:t>
      </w:r>
      <w:r w:rsidR="00146960">
        <w:t>practitioner</w:t>
      </w:r>
      <w:r>
        <w:t xml:space="preserve"> needs to choose an emissions scenario. SSP</w:t>
      </w:r>
      <w:r w:rsidR="0098071F">
        <w:t>2-</w:t>
      </w:r>
      <w:r>
        <w:t>4.5 which corresponds to a 2.7°C increase by the end of the century (Table 2) relative to the baseline adopted for the 2016 IFDs. But t</w:t>
      </w:r>
      <w:r w:rsidR="00485695">
        <w:t>he temperature projections in Table 2 are estimated relative to 1961-1990</w:t>
      </w:r>
      <w:r>
        <w:t>. Hence</w:t>
      </w:r>
      <w:r w:rsidR="00485695">
        <w:t xml:space="preserve"> </w:t>
      </w:r>
      <w:r w:rsidR="00A836AA">
        <w:t xml:space="preserve">the </w:t>
      </w:r>
      <w:r w:rsidR="00146960">
        <w:t>practitioner</w:t>
      </w:r>
      <w:r w:rsidR="00A836AA">
        <w:t xml:space="preserve"> needs to check</w:t>
      </w:r>
      <w:r w:rsidR="00485695">
        <w:t xml:space="preserve"> if there was additional warming between these </w:t>
      </w:r>
      <w:r w:rsidR="00CB6339">
        <w:t xml:space="preserve">2 </w:t>
      </w:r>
      <w:r w:rsidR="00485695">
        <w:t xml:space="preserve">baselines. </w:t>
      </w:r>
    </w:p>
    <w:p w14:paraId="4744C134" w14:textId="7070D543" w:rsidR="00485695" w:rsidRDefault="00485695" w:rsidP="00485695">
      <w:r>
        <w:lastRenderedPageBreak/>
        <w:t xml:space="preserve">There are several </w:t>
      </w:r>
      <w:r w:rsidR="005A6BCB">
        <w:t xml:space="preserve">reputable </w:t>
      </w:r>
      <w:r>
        <w:t>sources of global temperature anomalies</w:t>
      </w:r>
      <w:r>
        <w:rPr>
          <w:rStyle w:val="FootnoteReference"/>
        </w:rPr>
        <w:footnoteReference w:id="10"/>
      </w:r>
      <w:r>
        <w:t>. Examples include:</w:t>
      </w:r>
    </w:p>
    <w:p w14:paraId="33B4BA76" w14:textId="6EB9DB37" w:rsidR="00485695" w:rsidRDefault="00485695" w:rsidP="00485695">
      <w:pPr>
        <w:pStyle w:val="ListParagraph"/>
        <w:numPr>
          <w:ilvl w:val="0"/>
          <w:numId w:val="47"/>
        </w:numPr>
        <w:spacing w:after="160" w:line="259" w:lineRule="auto"/>
        <w:contextualSpacing/>
      </w:pPr>
      <w:r>
        <w:t>Met Office, in collaboration with the Climatic Research Unit (CRU) at the University of East Anglia (UK)</w:t>
      </w:r>
      <w:r w:rsidR="0067118A">
        <w:t>.</w:t>
      </w:r>
      <w:r w:rsidR="00744624">
        <w:rPr>
          <w:rStyle w:val="FootnoteReference"/>
        </w:rPr>
        <w:footnoteReference w:id="11"/>
      </w:r>
    </w:p>
    <w:p w14:paraId="37622127" w14:textId="7E824C38" w:rsidR="00485695" w:rsidRDefault="00485695" w:rsidP="00485695">
      <w:pPr>
        <w:pStyle w:val="ListParagraph"/>
        <w:numPr>
          <w:ilvl w:val="0"/>
          <w:numId w:val="47"/>
        </w:numPr>
        <w:spacing w:after="160" w:line="259" w:lineRule="auto"/>
        <w:contextualSpacing/>
      </w:pPr>
      <w:r>
        <w:t>Goddard Institute for Space Studies (GISS), which is part of the</w:t>
      </w:r>
      <w:r w:rsidRPr="003050AA">
        <w:t xml:space="preserve"> National Aeronautics and Space Administration </w:t>
      </w:r>
      <w:r>
        <w:t>(NASA) (USA)</w:t>
      </w:r>
      <w:r w:rsidR="0067118A">
        <w:t>.</w:t>
      </w:r>
      <w:r>
        <w:rPr>
          <w:rStyle w:val="FootnoteReference"/>
        </w:rPr>
        <w:footnoteReference w:id="12"/>
      </w:r>
    </w:p>
    <w:p w14:paraId="4A9E984E" w14:textId="7A83E76D" w:rsidR="00485695" w:rsidRDefault="00485695" w:rsidP="00485695">
      <w:pPr>
        <w:pStyle w:val="ListParagraph"/>
        <w:numPr>
          <w:ilvl w:val="0"/>
          <w:numId w:val="47"/>
        </w:numPr>
        <w:spacing w:after="160" w:line="259" w:lineRule="auto"/>
        <w:contextualSpacing/>
      </w:pPr>
      <w:r>
        <w:t xml:space="preserve">National Climatic Data </w:t>
      </w:r>
      <w:proofErr w:type="spellStart"/>
      <w:r>
        <w:t>Center</w:t>
      </w:r>
      <w:proofErr w:type="spellEnd"/>
      <w:r>
        <w:t xml:space="preserve"> (NCDC), which is part of the National Oceanic and Atmospheric Administration (NOAA) (USA)</w:t>
      </w:r>
      <w:r w:rsidR="006531E2">
        <w:t>.</w:t>
      </w:r>
      <w:r>
        <w:rPr>
          <w:rStyle w:val="FootnoteReference"/>
        </w:rPr>
        <w:footnoteReference w:id="13"/>
      </w:r>
    </w:p>
    <w:p w14:paraId="55D47416" w14:textId="18CF4E2F" w:rsidR="003C00CB" w:rsidRDefault="00485695" w:rsidP="003C00CB">
      <w:pPr>
        <w:rPr>
          <w:rStyle w:val="normaltextrun"/>
          <w:rFonts w:cs="Calibri"/>
        </w:rPr>
      </w:pPr>
      <w:r>
        <w:t xml:space="preserve">Using the data from NOAA, the difference between the mean global temperature for the 1951-2020 is approximately 0.2°C warmer than the 1961-1990 baseline. The </w:t>
      </w:r>
      <w:r w:rsidR="00146960">
        <w:t>practitioner</w:t>
      </w:r>
      <w:r>
        <w:t xml:space="preserve"> can proceed using the temperatures provided in Table 2 by adjusting for this increase. </w:t>
      </w:r>
      <w:r w:rsidRPr="2FFCD661">
        <w:rPr>
          <w:rStyle w:val="normaltextrun"/>
          <w:rFonts w:cs="Calibri"/>
        </w:rPr>
        <w:t xml:space="preserve">The long-term climate projected temperature increase is </w:t>
      </w:r>
      <w:r w:rsidR="003C00CB">
        <w:rPr>
          <w:rStyle w:val="normaltextrun"/>
          <w:rFonts w:cs="Calibri"/>
        </w:rPr>
        <w:t>2.7</w:t>
      </w:r>
      <w:r>
        <w:t xml:space="preserve">°C, or </w:t>
      </w:r>
      <w:r w:rsidR="003C00CB">
        <w:t>2.7</w:t>
      </w:r>
      <w:r>
        <w:t>°C-0.2°C = </w:t>
      </w:r>
      <w:r w:rsidR="003C00CB">
        <w:t>2.5</w:t>
      </w:r>
      <w:r>
        <w:t>°C above the new 1951-2020 baseline</w:t>
      </w:r>
      <w:r w:rsidRPr="2FFCD661">
        <w:rPr>
          <w:rStyle w:val="normaltextrun"/>
          <w:rFonts w:cs="Calibri"/>
        </w:rPr>
        <w:t xml:space="preserve">. </w:t>
      </w:r>
    </w:p>
    <w:p w14:paraId="6F08A027" w14:textId="2677C815" w:rsidR="003C00CB" w:rsidRDefault="003C00CB" w:rsidP="003C00CB">
      <w:pPr>
        <w:rPr>
          <w:rStyle w:val="normaltextrun"/>
          <w:rFonts w:cs="Calibri"/>
        </w:rPr>
      </w:pPr>
      <w:r>
        <w:t>Using Equation 1</w:t>
      </w:r>
      <w:r w:rsidR="00F2796A">
        <w:t>,</w:t>
      </w:r>
      <w:r>
        <w:t xml:space="preserve"> the factored design rainfall is</w:t>
      </w:r>
      <w:r w:rsidRPr="5623E5C0">
        <w:rPr>
          <w:rStyle w:val="normaltextrun"/>
          <w:rFonts w:cs="Calibri"/>
        </w:rPr>
        <w:t>:</w:t>
      </w:r>
    </w:p>
    <w:p w14:paraId="2AC71A93" w14:textId="06F7E1C0" w:rsidR="00485695" w:rsidRDefault="00485695" w:rsidP="002C15C6">
      <m:oMathPara>
        <m:oMath>
          <m:r>
            <w:rPr>
              <w:rStyle w:val="normaltextrun"/>
              <w:rFonts w:ascii="Cambria Math" w:hAnsi="Cambria Math" w:cs="Calibri"/>
            </w:rPr>
            <m:t>300×</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2.5</m:t>
              </m:r>
            </m:sup>
          </m:sSup>
          <m:r>
            <w:rPr>
              <w:rStyle w:val="normaltextrun"/>
              <w:rFonts w:ascii="Cambria Math" w:hAnsi="Cambria Math" w:cs="Calibri"/>
            </w:rPr>
            <m:t>=364mm</m:t>
          </m:r>
        </m:oMath>
      </m:oMathPara>
    </w:p>
    <w:p w14:paraId="20AC990A" w14:textId="269D58E3" w:rsidR="003C00CB" w:rsidRDefault="00485695" w:rsidP="00485695">
      <w:r w:rsidRPr="6D47D990">
        <w:rPr>
          <w:b/>
          <w:bCs/>
        </w:rPr>
        <w:t xml:space="preserve">Example </w:t>
      </w:r>
      <w:r w:rsidR="00FE3BDA">
        <w:rPr>
          <w:b/>
          <w:bCs/>
        </w:rPr>
        <w:t>2</w:t>
      </w:r>
      <w:r w:rsidR="00FC5BEC">
        <w:rPr>
          <w:b/>
          <w:bCs/>
        </w:rPr>
        <w:t>. A</w:t>
      </w:r>
      <w:r w:rsidRPr="6D47D990">
        <w:rPr>
          <w:b/>
          <w:bCs/>
        </w:rPr>
        <w:t>daptive management</w:t>
      </w:r>
      <w:r w:rsidR="00EF2983">
        <w:rPr>
          <w:b/>
          <w:bCs/>
        </w:rPr>
        <w:t xml:space="preserve"> under uncertainty around future climate</w:t>
      </w:r>
      <w:r>
        <w:t xml:space="preserve">. </w:t>
      </w:r>
    </w:p>
    <w:p w14:paraId="4877038A" w14:textId="098A945E" w:rsidR="008D267B" w:rsidRDefault="008D267B" w:rsidP="00485695">
      <w:r w:rsidRPr="008D267B">
        <w:t>A local council is considering construction of a levee to protect an adjacent community from flooding. A range of options were considered to find a solution that best balances the trade-offs between construction costs and ongoing savings in avoided damages and flood hazards. It was decided that the levee should provide protection from 1% AEP flooding impacts.</w:t>
      </w:r>
    </w:p>
    <w:p w14:paraId="5839986B" w14:textId="75332833" w:rsidR="00FC5642" w:rsidRDefault="00253D4F" w:rsidP="00485695">
      <w:r w:rsidRPr="00E87CDF">
        <w:t>In this example, SSP2-4.5 and SSP</w:t>
      </w:r>
      <w:r w:rsidR="00F84D07" w:rsidRPr="00E87CDF">
        <w:t>3-</w:t>
      </w:r>
      <w:r w:rsidRPr="00E87CDF">
        <w:t>7.0 are ado</w:t>
      </w:r>
      <w:r w:rsidR="00F84D07" w:rsidRPr="00E87CDF">
        <w:t>p</w:t>
      </w:r>
      <w:r w:rsidRPr="00E87CDF">
        <w:t>ted as the moderate and high-warming scenarios, respectively, and the SSP</w:t>
      </w:r>
      <w:r w:rsidR="00963B4C" w:rsidRPr="00E87CDF">
        <w:t>5</w:t>
      </w:r>
      <w:r w:rsidRPr="00E87CDF">
        <w:t>-8.5 scenario is adopted to aid the stress testing of decisions under a lower risk tolerance. Although SSP</w:t>
      </w:r>
      <w:r w:rsidR="00963B4C" w:rsidRPr="00E87CDF">
        <w:t>5-</w:t>
      </w:r>
      <w:r w:rsidRPr="00E87CDF">
        <w:t>8.5 is not consistent with expected emission trends (Schwalm et al., 2020), using this scenario in a suite is one method of considering the uncertainty in each of the relationships between emissions, temperatures and resulting climate impacts. That is, use of the SSP</w:t>
      </w:r>
      <w:r w:rsidR="00965B28">
        <w:t>5-</w:t>
      </w:r>
      <w:r w:rsidRPr="00E87CDF">
        <w:t>8.5 scenario is used here to notionally represent a plausible upper bound on the projected climate impacts.</w:t>
      </w:r>
      <w:r w:rsidRPr="00C343E9">
        <w:t xml:space="preserve"> </w:t>
      </w:r>
    </w:p>
    <w:p w14:paraId="33534934" w14:textId="13338468" w:rsidR="00485695" w:rsidRDefault="00253D4F" w:rsidP="00485695">
      <w:r>
        <w:t>In practice, given</w:t>
      </w:r>
      <w:r w:rsidRPr="008D267B">
        <w:t xml:space="preserve"> </w:t>
      </w:r>
      <w:r w:rsidR="008D267B" w:rsidRPr="008D267B">
        <w:t>the deep uncertainties involved, it was decided to take an adaptive approach whereby the levee was initially designed to provide protection from 1% AEP flooding out to the mid-term (2041-2060) under the mid-range emission scenario (SSP2-4.5). The design incorporated additional capacity in the levee foundations, and an extended riverbank corridor width</w:t>
      </w:r>
      <w:r w:rsidR="00E11092">
        <w:t xml:space="preserve"> </w:t>
      </w:r>
      <w:r w:rsidR="008D267B" w:rsidRPr="008D267B">
        <w:t>to allow for a wider and taller embankment</w:t>
      </w:r>
      <w:r w:rsidR="00067331">
        <w:t>. This feature could be</w:t>
      </w:r>
      <w:r w:rsidR="008D267B" w:rsidRPr="008D267B">
        <w:t xml:space="preserve"> added at a time in the future </w:t>
      </w:r>
      <w:r w:rsidR="00485695">
        <w:t xml:space="preserve">associated with a </w:t>
      </w:r>
      <w:r w:rsidR="00485695">
        <w:lastRenderedPageBreak/>
        <w:t>high-range emission scenario (SSP</w:t>
      </w:r>
      <w:r w:rsidR="00B66BE1">
        <w:t>3</w:t>
      </w:r>
      <w:r w:rsidR="00485695">
        <w:t>-</w:t>
      </w:r>
      <w:r w:rsidR="00B66BE1">
        <w:t>7.0</w:t>
      </w:r>
      <w:r w:rsidR="00485695">
        <w:t>)</w:t>
      </w:r>
      <w:r w:rsidR="00813377">
        <w:t xml:space="preserve"> with consideration given to the very-high (SSP5-8.5) emission scenari</w:t>
      </w:r>
      <w:r w:rsidR="006128C6">
        <w:t>o.</w:t>
      </w:r>
    </w:p>
    <w:p w14:paraId="3A924A23" w14:textId="3A6B55D6" w:rsidR="00B66BE1" w:rsidRDefault="00B66BE1" w:rsidP="00485695">
      <w:r w:rsidRPr="00B66BE1">
        <w:t xml:space="preserve">Accordingly, designs were prepared to provide for </w:t>
      </w:r>
      <w:r w:rsidR="00CB6339">
        <w:t>2</w:t>
      </w:r>
      <w:r w:rsidR="00CB6339" w:rsidRPr="00B66BE1">
        <w:t xml:space="preserve"> </w:t>
      </w:r>
      <w:r w:rsidRPr="00B66BE1">
        <w:t>combinations of emissions scenarios and time horizons (SSP2-4.5 in the mid-term, 2041-2060, and SSP</w:t>
      </w:r>
      <w:r>
        <w:t>3</w:t>
      </w:r>
      <w:r w:rsidRPr="00B66BE1">
        <w:t>-</w:t>
      </w:r>
      <w:r>
        <w:t>7</w:t>
      </w:r>
      <w:r w:rsidRPr="00B66BE1">
        <w:t>.</w:t>
      </w:r>
      <w:r>
        <w:t>0</w:t>
      </w:r>
      <w:r w:rsidRPr="00B66BE1">
        <w:t xml:space="preserve"> in the long-term, 2081-2100)</w:t>
      </w:r>
      <w:r w:rsidR="00D9505B">
        <w:t>, with consideration given to SSP5-8.5</w:t>
      </w:r>
      <w:r w:rsidR="00D9505B" w:rsidRPr="00B66BE1">
        <w:t>).</w:t>
      </w:r>
    </w:p>
    <w:p w14:paraId="7B009879" w14:textId="114DC066" w:rsidR="00E468E1" w:rsidRDefault="00485695" w:rsidP="00280513">
      <w:r>
        <w:t xml:space="preserve">A summary of the design inputs used to develop the adaptive approach </w:t>
      </w:r>
      <w:r w:rsidR="00CA4AF9">
        <w:t xml:space="preserve">is </w:t>
      </w:r>
      <w:r>
        <w:t>provided in Table 4 for an event with a critical duration of 24 hours and historical design rainfall from the 2016 IFD portal of 125 mm, with initial loss of 15 mm and continuing loss of 2.5 mm/hr.</w:t>
      </w:r>
    </w:p>
    <w:p w14:paraId="60E65ECE" w14:textId="77777777" w:rsidR="00E468E1" w:rsidRPr="007764E8" w:rsidRDefault="00E468E1" w:rsidP="00E468E1">
      <w:pPr>
        <w:pStyle w:val="TableHeading"/>
        <w:jc w:val="center"/>
        <w:rPr>
          <w:rStyle w:val="eop"/>
          <w:rFonts w:cs="Calibri"/>
          <w:szCs w:val="18"/>
        </w:rPr>
      </w:pPr>
      <w:r w:rsidRPr="007764E8">
        <w:rPr>
          <w:rStyle w:val="eop"/>
          <w:rFonts w:cs="Calibri"/>
          <w:szCs w:val="18"/>
        </w:rPr>
        <w:t>Table 5. Design inputs factor for climate change for Example 4. Design inputs assume an event critical duration of 24 hours duration and historical design rainfall of 125 mm, with initial loss of 15 mm and continuing loss of 2.5 mm/hr.</w:t>
      </w:r>
    </w:p>
    <w:tbl>
      <w:tblPr>
        <w:tblStyle w:val="TableGrid"/>
        <w:tblW w:w="9535" w:type="dxa"/>
        <w:tblLook w:val="04A0" w:firstRow="1" w:lastRow="0" w:firstColumn="1" w:lastColumn="0" w:noHBand="0" w:noVBand="1"/>
      </w:tblPr>
      <w:tblGrid>
        <w:gridCol w:w="2444"/>
        <w:gridCol w:w="2312"/>
        <w:gridCol w:w="2315"/>
        <w:gridCol w:w="2464"/>
      </w:tblGrid>
      <w:tr w:rsidR="00052918" w14:paraId="5255E10B" w14:textId="77777777" w:rsidTr="00052918">
        <w:trPr>
          <w:trHeight w:val="300"/>
        </w:trPr>
        <w:tc>
          <w:tcPr>
            <w:tcW w:w="2444" w:type="dxa"/>
          </w:tcPr>
          <w:p w14:paraId="0E8DB8CE" w14:textId="77777777" w:rsidR="00052918" w:rsidRDefault="00052918" w:rsidP="00280513">
            <w:pPr>
              <w:jc w:val="center"/>
            </w:pPr>
            <w:r w:rsidRPr="00232796">
              <w:rPr>
                <w:b/>
                <w:bCs/>
              </w:rPr>
              <w:t>Design consideration</w:t>
            </w:r>
          </w:p>
        </w:tc>
        <w:tc>
          <w:tcPr>
            <w:tcW w:w="2312" w:type="dxa"/>
          </w:tcPr>
          <w:p w14:paraId="6DF77CBE" w14:textId="77777777" w:rsidR="00052918" w:rsidRDefault="00052918" w:rsidP="00280513">
            <w:pPr>
              <w:jc w:val="center"/>
            </w:pPr>
            <w:r w:rsidRPr="00232796">
              <w:rPr>
                <w:b/>
                <w:bCs/>
              </w:rPr>
              <w:t>SSP2-4.5 (2041-2060)</w:t>
            </w:r>
          </w:p>
        </w:tc>
        <w:tc>
          <w:tcPr>
            <w:tcW w:w="2315" w:type="dxa"/>
          </w:tcPr>
          <w:p w14:paraId="4A7970EB" w14:textId="77777777" w:rsidR="00052918" w:rsidRDefault="00052918" w:rsidP="00280513">
            <w:pPr>
              <w:jc w:val="center"/>
            </w:pPr>
            <w:r w:rsidRPr="00232796">
              <w:rPr>
                <w:b/>
                <w:bCs/>
              </w:rPr>
              <w:t>SSP</w:t>
            </w:r>
            <w:r>
              <w:rPr>
                <w:b/>
                <w:bCs/>
              </w:rPr>
              <w:t>3</w:t>
            </w:r>
            <w:r w:rsidRPr="00232796">
              <w:rPr>
                <w:b/>
                <w:bCs/>
              </w:rPr>
              <w:t>-</w:t>
            </w:r>
            <w:r>
              <w:rPr>
                <w:b/>
                <w:bCs/>
              </w:rPr>
              <w:t>7</w:t>
            </w:r>
            <w:r w:rsidRPr="00232796">
              <w:rPr>
                <w:b/>
                <w:bCs/>
              </w:rPr>
              <w:t>.</w:t>
            </w:r>
            <w:r>
              <w:rPr>
                <w:b/>
                <w:bCs/>
              </w:rPr>
              <w:t>0</w:t>
            </w:r>
            <w:r w:rsidRPr="00232796">
              <w:rPr>
                <w:b/>
                <w:bCs/>
              </w:rPr>
              <w:t xml:space="preserve"> (2081-2100)</w:t>
            </w:r>
          </w:p>
        </w:tc>
        <w:tc>
          <w:tcPr>
            <w:tcW w:w="2464" w:type="dxa"/>
          </w:tcPr>
          <w:p w14:paraId="2FEDD6CA" w14:textId="77777777" w:rsidR="00052918" w:rsidRPr="00232796" w:rsidRDefault="00052918" w:rsidP="00280513">
            <w:pPr>
              <w:jc w:val="center"/>
              <w:rPr>
                <w:b/>
                <w:bCs/>
              </w:rPr>
            </w:pPr>
            <w:r w:rsidRPr="00232796">
              <w:rPr>
                <w:b/>
                <w:bCs/>
              </w:rPr>
              <w:t>SSP</w:t>
            </w:r>
            <w:r>
              <w:rPr>
                <w:b/>
                <w:bCs/>
              </w:rPr>
              <w:t>5</w:t>
            </w:r>
            <w:r w:rsidRPr="00232796">
              <w:rPr>
                <w:b/>
                <w:bCs/>
              </w:rPr>
              <w:t>-8.5 (2081-2100)</w:t>
            </w:r>
          </w:p>
        </w:tc>
      </w:tr>
      <w:tr w:rsidR="00052918" w14:paraId="676D0A01" w14:textId="77777777" w:rsidTr="00052918">
        <w:trPr>
          <w:trHeight w:val="300"/>
        </w:trPr>
        <w:tc>
          <w:tcPr>
            <w:tcW w:w="2444" w:type="dxa"/>
          </w:tcPr>
          <w:p w14:paraId="43A73EC9" w14:textId="77777777" w:rsidR="00052918" w:rsidRDefault="00052918" w:rsidP="00280513">
            <w:pPr>
              <w:jc w:val="center"/>
            </w:pPr>
            <w:r>
              <w:t>Temperature increase (</w:t>
            </w:r>
            <w:r>
              <w:rPr>
                <w:rFonts w:cstheme="minorHAnsi"/>
              </w:rPr>
              <w:t>°</w:t>
            </w:r>
            <w:r>
              <w:t>C)</w:t>
            </w:r>
          </w:p>
        </w:tc>
        <w:tc>
          <w:tcPr>
            <w:tcW w:w="2312" w:type="dxa"/>
          </w:tcPr>
          <w:p w14:paraId="02206C0E" w14:textId="77777777" w:rsidR="00052918" w:rsidRDefault="00052918" w:rsidP="00280513">
            <w:pPr>
              <w:jc w:val="center"/>
            </w:pPr>
            <w:r>
              <w:t>1.8</w:t>
            </w:r>
          </w:p>
        </w:tc>
        <w:tc>
          <w:tcPr>
            <w:tcW w:w="2315" w:type="dxa"/>
          </w:tcPr>
          <w:p w14:paraId="30DE100E" w14:textId="77777777" w:rsidR="00052918" w:rsidRDefault="00052918" w:rsidP="00280513">
            <w:pPr>
              <w:jc w:val="center"/>
            </w:pPr>
            <w:r>
              <w:t>3.6</w:t>
            </w:r>
          </w:p>
        </w:tc>
        <w:tc>
          <w:tcPr>
            <w:tcW w:w="2464" w:type="dxa"/>
          </w:tcPr>
          <w:p w14:paraId="521AC10E" w14:textId="77777777" w:rsidR="00052918" w:rsidRDefault="00052918" w:rsidP="00280513">
            <w:pPr>
              <w:jc w:val="center"/>
            </w:pPr>
            <w:r>
              <w:t>4.5</w:t>
            </w:r>
          </w:p>
        </w:tc>
      </w:tr>
      <w:tr w:rsidR="00052918" w14:paraId="5D8D19CE" w14:textId="77777777" w:rsidTr="00052918">
        <w:trPr>
          <w:trHeight w:val="300"/>
        </w:trPr>
        <w:tc>
          <w:tcPr>
            <w:tcW w:w="2444" w:type="dxa"/>
          </w:tcPr>
          <w:p w14:paraId="5D25B2FC" w14:textId="77777777" w:rsidR="00052918" w:rsidRDefault="00052918" w:rsidP="00280513">
            <w:pPr>
              <w:jc w:val="center"/>
            </w:pPr>
            <w:r>
              <w:t>24 hr rainfall (mm)</w:t>
            </w:r>
          </w:p>
        </w:tc>
        <w:tc>
          <w:tcPr>
            <w:tcW w:w="2312" w:type="dxa"/>
          </w:tcPr>
          <w:p w14:paraId="0A505999" w14:textId="77777777" w:rsidR="00052918" w:rsidRDefault="00052918" w:rsidP="00280513">
            <w:pPr>
              <w:tabs>
                <w:tab w:val="left" w:pos="1960"/>
              </w:tabs>
              <w:jc w:val="center"/>
            </w:pPr>
            <m:oMathPara>
              <m:oMath>
                <m:r>
                  <w:rPr>
                    <w:rStyle w:val="normaltextrun"/>
                    <w:rFonts w:ascii="Cambria Math" w:hAnsi="Cambria Math" w:cs="Calibri"/>
                  </w:rPr>
                  <m:t>125×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1.8</m:t>
                    </m:r>
                  </m:sup>
                </m:sSup>
                <m:r>
                  <w:rPr>
                    <w:rStyle w:val="normaltextrun"/>
                    <w:rFonts w:ascii="Cambria Math" w:hAnsi="Cambria Math" w:cs="Calibri"/>
                  </w:rPr>
                  <m:t>=144</m:t>
                </m:r>
              </m:oMath>
            </m:oMathPara>
          </w:p>
        </w:tc>
        <w:tc>
          <w:tcPr>
            <w:tcW w:w="2315" w:type="dxa"/>
          </w:tcPr>
          <w:p w14:paraId="4789F336" w14:textId="77777777" w:rsidR="00052918" w:rsidRDefault="00052918" w:rsidP="00280513">
            <w:pPr>
              <w:jc w:val="center"/>
            </w:pPr>
            <m:oMathPara>
              <m:oMath>
                <m:r>
                  <w:rPr>
                    <w:rStyle w:val="normaltextrun"/>
                    <w:rFonts w:ascii="Cambria Math" w:hAnsi="Cambria Math" w:cs="Calibri"/>
                  </w:rPr>
                  <m:t>125×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3.6</m:t>
                    </m:r>
                  </m:sup>
                </m:sSup>
                <m:r>
                  <w:rPr>
                    <w:rStyle w:val="normaltextrun"/>
                    <w:rFonts w:ascii="Cambria Math" w:hAnsi="Cambria Math" w:cs="Calibri"/>
                  </w:rPr>
                  <m:t>=165</m:t>
                </m:r>
              </m:oMath>
            </m:oMathPara>
          </w:p>
        </w:tc>
        <w:tc>
          <w:tcPr>
            <w:tcW w:w="2464" w:type="dxa"/>
          </w:tcPr>
          <w:p w14:paraId="1244340A" w14:textId="77777777" w:rsidR="00052918" w:rsidRDefault="00052918" w:rsidP="00280513">
            <w:pPr>
              <w:jc w:val="center"/>
              <w:rPr>
                <w:rStyle w:val="normaltextrun"/>
                <w:rFonts w:ascii="Calibri" w:eastAsia="Calibri" w:hAnsi="Calibri" w:cs="Arial"/>
              </w:rPr>
            </w:pPr>
            <m:oMathPara>
              <m:oMath>
                <m:r>
                  <w:rPr>
                    <w:rStyle w:val="normaltextrun"/>
                    <w:rFonts w:ascii="Cambria Math" w:hAnsi="Cambria Math" w:cs="Calibri"/>
                  </w:rPr>
                  <m:t>125×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4.5</m:t>
                    </m:r>
                  </m:sup>
                </m:sSup>
                <m:r>
                  <w:rPr>
                    <w:rStyle w:val="normaltextrun"/>
                    <w:rFonts w:ascii="Cambria Math" w:hAnsi="Cambria Math" w:cs="Calibri"/>
                  </w:rPr>
                  <m:t>=177</m:t>
                </m:r>
              </m:oMath>
            </m:oMathPara>
          </w:p>
        </w:tc>
      </w:tr>
      <w:tr w:rsidR="00052918" w14:paraId="155C5290" w14:textId="77777777" w:rsidTr="00052918">
        <w:trPr>
          <w:trHeight w:val="300"/>
        </w:trPr>
        <w:tc>
          <w:tcPr>
            <w:tcW w:w="2444" w:type="dxa"/>
          </w:tcPr>
          <w:p w14:paraId="0923DA31" w14:textId="77777777" w:rsidR="00052918" w:rsidRDefault="00052918" w:rsidP="00280513">
            <w:pPr>
              <w:jc w:val="center"/>
            </w:pPr>
            <w:r>
              <w:t>Initial loss (mm)</w:t>
            </w:r>
          </w:p>
        </w:tc>
        <w:tc>
          <w:tcPr>
            <w:tcW w:w="2312" w:type="dxa"/>
          </w:tcPr>
          <w:p w14:paraId="3F7641EC" w14:textId="77777777" w:rsidR="00052918" w:rsidRDefault="00052918" w:rsidP="00280513">
            <w:pPr>
              <w:jc w:val="center"/>
            </w:pPr>
            <m:oMathPara>
              <m:oMath>
                <m:r>
                  <w:rPr>
                    <w:rStyle w:val="normaltextrun"/>
                    <w:rFonts w:ascii="Cambria Math" w:hAnsi="Cambria Math" w:cs="Calibri"/>
                  </w:rPr>
                  <m:t>15×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3.9</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1.8</m:t>
                    </m:r>
                  </m:sup>
                </m:sSup>
                <m:r>
                  <w:rPr>
                    <w:rStyle w:val="normaltextrun"/>
                    <w:rFonts w:ascii="Cambria Math" w:hAnsi="Cambria Math" w:cs="Calibri"/>
                  </w:rPr>
                  <m:t>=16</m:t>
                </m:r>
              </m:oMath>
            </m:oMathPara>
          </w:p>
        </w:tc>
        <w:tc>
          <w:tcPr>
            <w:tcW w:w="2315" w:type="dxa"/>
          </w:tcPr>
          <w:p w14:paraId="36CBD673" w14:textId="77777777" w:rsidR="00052918" w:rsidRDefault="00052918" w:rsidP="00280513">
            <w:pPr>
              <w:jc w:val="center"/>
            </w:pPr>
            <m:oMathPara>
              <m:oMath>
                <m:r>
                  <w:rPr>
                    <w:rStyle w:val="normaltextrun"/>
                    <w:rFonts w:ascii="Cambria Math" w:hAnsi="Cambria Math" w:cs="Calibri"/>
                  </w:rPr>
                  <m:t>15×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3.9</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3.6</m:t>
                    </m:r>
                  </m:sup>
                </m:sSup>
                <m:r>
                  <w:rPr>
                    <w:rStyle w:val="normaltextrun"/>
                    <w:rFonts w:ascii="Cambria Math" w:hAnsi="Cambria Math" w:cs="Calibri"/>
                  </w:rPr>
                  <m:t>=17</m:t>
                </m:r>
              </m:oMath>
            </m:oMathPara>
          </w:p>
        </w:tc>
        <w:tc>
          <w:tcPr>
            <w:tcW w:w="2464" w:type="dxa"/>
          </w:tcPr>
          <w:p w14:paraId="44EEB9D7" w14:textId="77777777" w:rsidR="00052918" w:rsidRDefault="00052918" w:rsidP="00280513">
            <w:pPr>
              <w:jc w:val="center"/>
              <w:rPr>
                <w:rStyle w:val="normaltextrun"/>
                <w:rFonts w:ascii="Calibri" w:eastAsia="Calibri" w:hAnsi="Calibri" w:cs="Arial"/>
              </w:rPr>
            </w:pPr>
            <m:oMathPara>
              <m:oMath>
                <m:r>
                  <w:rPr>
                    <w:rStyle w:val="normaltextrun"/>
                    <w:rFonts w:ascii="Cambria Math" w:hAnsi="Cambria Math" w:cs="Calibri"/>
                  </w:rPr>
                  <m:t>15×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3.9</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4.5</m:t>
                    </m:r>
                  </m:sup>
                </m:sSup>
                <m:r>
                  <w:rPr>
                    <w:rStyle w:val="normaltextrun"/>
                    <w:rFonts w:ascii="Cambria Math" w:hAnsi="Cambria Math" w:cs="Calibri"/>
                  </w:rPr>
                  <m:t>=18</m:t>
                </m:r>
              </m:oMath>
            </m:oMathPara>
          </w:p>
        </w:tc>
      </w:tr>
      <w:tr w:rsidR="00052918" w14:paraId="6849DD8A" w14:textId="77777777" w:rsidTr="00052918">
        <w:trPr>
          <w:trHeight w:val="300"/>
        </w:trPr>
        <w:tc>
          <w:tcPr>
            <w:tcW w:w="2444" w:type="dxa"/>
          </w:tcPr>
          <w:p w14:paraId="11D80F8B" w14:textId="77777777" w:rsidR="00052918" w:rsidRDefault="00052918" w:rsidP="00280513">
            <w:pPr>
              <w:jc w:val="center"/>
            </w:pPr>
            <w:r>
              <w:t>Continuing loss (mm/hr)</w:t>
            </w:r>
          </w:p>
        </w:tc>
        <w:tc>
          <w:tcPr>
            <w:tcW w:w="2312" w:type="dxa"/>
          </w:tcPr>
          <w:p w14:paraId="28D907F0" w14:textId="77777777" w:rsidR="00052918" w:rsidRDefault="00052918" w:rsidP="00280513">
            <w:pPr>
              <w:jc w:val="center"/>
            </w:pPr>
            <m:oMathPara>
              <m:oMath>
                <m:r>
                  <w:rPr>
                    <w:rStyle w:val="normaltextrun"/>
                    <w:rFonts w:ascii="Cambria Math" w:hAnsi="Cambria Math" w:cs="Calibri"/>
                  </w:rPr>
                  <m:t>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8.5</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1.8</m:t>
                    </m:r>
                  </m:sup>
                </m:sSup>
                <m:r>
                  <w:rPr>
                    <w:rStyle w:val="normaltextrun"/>
                    <w:rFonts w:ascii="Cambria Math" w:hAnsi="Cambria Math" w:cs="Calibri"/>
                  </w:rPr>
                  <m:t>=2.9</m:t>
                </m:r>
              </m:oMath>
            </m:oMathPara>
          </w:p>
        </w:tc>
        <w:tc>
          <w:tcPr>
            <w:tcW w:w="2315" w:type="dxa"/>
          </w:tcPr>
          <w:p w14:paraId="29123DC2" w14:textId="77777777" w:rsidR="00052918" w:rsidRDefault="00052918" w:rsidP="00280513">
            <w:pPr>
              <w:jc w:val="center"/>
            </w:pPr>
            <m:oMathPara>
              <m:oMath>
                <m:r>
                  <w:rPr>
                    <w:rStyle w:val="normaltextrun"/>
                    <w:rFonts w:ascii="Cambria Math" w:hAnsi="Cambria Math" w:cs="Calibri"/>
                  </w:rPr>
                  <m:t>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8.5</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3.6</m:t>
                    </m:r>
                  </m:sup>
                </m:sSup>
                <m:r>
                  <w:rPr>
                    <w:rStyle w:val="normaltextrun"/>
                    <w:rFonts w:ascii="Cambria Math" w:hAnsi="Cambria Math" w:cs="Calibri"/>
                  </w:rPr>
                  <m:t>=3.4</m:t>
                </m:r>
              </m:oMath>
            </m:oMathPara>
          </w:p>
        </w:tc>
        <w:tc>
          <w:tcPr>
            <w:tcW w:w="2464" w:type="dxa"/>
          </w:tcPr>
          <w:p w14:paraId="3BD7FE77" w14:textId="77777777" w:rsidR="00052918" w:rsidRDefault="00052918" w:rsidP="00280513">
            <w:pPr>
              <w:jc w:val="center"/>
              <w:rPr>
                <w:rStyle w:val="normaltextrun"/>
                <w:rFonts w:ascii="Calibri" w:eastAsia="Calibri" w:hAnsi="Calibri" w:cs="Arial"/>
              </w:rPr>
            </w:pPr>
            <m:oMathPara>
              <m:oMath>
                <m:r>
                  <w:rPr>
                    <w:rStyle w:val="normaltextrun"/>
                    <w:rFonts w:ascii="Cambria Math" w:hAnsi="Cambria Math" w:cs="Calibri"/>
                  </w:rPr>
                  <m:t>2.5×</m:t>
                </m:r>
                <m:sSup>
                  <m:sSupPr>
                    <m:ctrlPr>
                      <w:rPr>
                        <w:rStyle w:val="normaltextrun"/>
                        <w:rFonts w:ascii="Cambria Math" w:hAnsi="Cambria Math" w:cs="Calibri"/>
                        <w:i/>
                      </w:rPr>
                    </m:ctrlPr>
                  </m:sSupPr>
                  <m:e>
                    <m:r>
                      <w:rPr>
                        <w:rStyle w:val="normaltextrun"/>
                        <w:rFonts w:ascii="Cambria Math" w:hAnsi="Cambria Math" w:cs="Calibri"/>
                      </w:rPr>
                      <m:t>(1+</m:t>
                    </m:r>
                    <m:f>
                      <m:fPr>
                        <m:ctrlPr>
                          <w:rPr>
                            <w:rStyle w:val="normaltextrun"/>
                            <w:rFonts w:ascii="Cambria Math" w:hAnsi="Cambria Math" w:cs="Calibri"/>
                            <w:i/>
                          </w:rPr>
                        </m:ctrlPr>
                      </m:fPr>
                      <m:num>
                        <m:r>
                          <w:rPr>
                            <w:rStyle w:val="normaltextrun"/>
                            <w:rFonts w:ascii="Cambria Math" w:hAnsi="Cambria Math" w:cs="Calibri"/>
                          </w:rPr>
                          <m:t>8.5</m:t>
                        </m:r>
                      </m:num>
                      <m:den>
                        <m:r>
                          <w:rPr>
                            <w:rStyle w:val="normaltextrun"/>
                            <w:rFonts w:ascii="Cambria Math" w:hAnsi="Cambria Math" w:cs="Calibri"/>
                          </w:rPr>
                          <m:t>100</m:t>
                        </m:r>
                      </m:den>
                    </m:f>
                    <m:r>
                      <w:rPr>
                        <w:rStyle w:val="normaltextrun"/>
                        <w:rFonts w:ascii="Cambria Math" w:hAnsi="Cambria Math" w:cs="Calibri"/>
                      </w:rPr>
                      <m:t>)</m:t>
                    </m:r>
                  </m:e>
                  <m:sup>
                    <m:r>
                      <w:rPr>
                        <w:rStyle w:val="normaltextrun"/>
                        <w:rFonts w:ascii="Cambria Math" w:hAnsi="Cambria Math" w:cs="Calibri"/>
                      </w:rPr>
                      <m:t>4.5</m:t>
                    </m:r>
                  </m:sup>
                </m:sSup>
                <m:r>
                  <w:rPr>
                    <w:rStyle w:val="normaltextrun"/>
                    <w:rFonts w:ascii="Cambria Math" w:hAnsi="Cambria Math" w:cs="Calibri"/>
                  </w:rPr>
                  <m:t>=3.6</m:t>
                </m:r>
              </m:oMath>
            </m:oMathPara>
          </w:p>
        </w:tc>
      </w:tr>
    </w:tbl>
    <w:p w14:paraId="5865B490" w14:textId="77777777" w:rsidR="00485695" w:rsidRDefault="00485695" w:rsidP="00485695"/>
    <w:p w14:paraId="1EF3EDB7" w14:textId="48AB89ED" w:rsidR="005F70EB" w:rsidRDefault="004353E1" w:rsidP="00766CFB">
      <w:pPr>
        <w:pStyle w:val="Heading2"/>
      </w:pPr>
      <w:bookmarkStart w:id="28" w:name="_Toc153543624"/>
      <w:r>
        <w:lastRenderedPageBreak/>
        <w:t>Appendix</w:t>
      </w:r>
      <w:bookmarkEnd w:id="28"/>
    </w:p>
    <w:p w14:paraId="397CEF64" w14:textId="0B9A8242" w:rsidR="00797D62" w:rsidRPr="007764E8" w:rsidRDefault="00797D62" w:rsidP="00797D62">
      <w:pPr>
        <w:pStyle w:val="TableHeading"/>
        <w:jc w:val="center"/>
        <w:rPr>
          <w:rStyle w:val="eop"/>
          <w:rFonts w:cs="Calibri"/>
          <w:szCs w:val="18"/>
        </w:rPr>
      </w:pPr>
      <w:r w:rsidRPr="007764E8">
        <w:rPr>
          <w:rStyle w:val="eop"/>
          <w:rFonts w:cs="Calibri"/>
          <w:szCs w:val="18"/>
        </w:rPr>
        <w:t>Table A1. Interpolated rate of change for rainfall depth with associated uncertainty range. Values have been interpolated from the values provided in Table 1 which was derived in Wasko et al (202</w:t>
      </w:r>
      <w:r w:rsidR="000A2F71">
        <w:rPr>
          <w:rStyle w:val="eop"/>
          <w:rFonts w:cs="Calibri"/>
          <w:szCs w:val="18"/>
        </w:rPr>
        <w:t>3</w:t>
      </w:r>
      <w:r w:rsidRPr="007764E8">
        <w:rPr>
          <w:rStyle w:val="eop"/>
          <w:rFonts w:cs="Calibri"/>
          <w:szCs w:val="18"/>
        </w:rPr>
        <w:t>). Rates of change are presented per degree global temperature change (%/°C). The factors in this table are applicable for exceedance probabilities from 1EY up to and including the PMP and are designed for application across mainland Australia and Tasmania. If applied to the 2016 IFD curves these rates of change should be applied relative to a 1961-1990 baseline global temperature date unless a reasonable alternative is justified. Less information is available for rates of change for storm bursts between 1 and 24 hours, and hence estimates for these durations are obtained by a simple non-linear interpolation that represents the pragmatic interpretation of results obtained from Visser et al. (2021).</w:t>
      </w:r>
    </w:p>
    <w:tbl>
      <w:tblPr>
        <w:tblStyle w:val="TableGrid"/>
        <w:tblW w:w="0" w:type="auto"/>
        <w:jc w:val="center"/>
        <w:tblLook w:val="04A0" w:firstRow="1" w:lastRow="0" w:firstColumn="1" w:lastColumn="0" w:noHBand="0" w:noVBand="1"/>
      </w:tblPr>
      <w:tblGrid>
        <w:gridCol w:w="1165"/>
        <w:gridCol w:w="4950"/>
      </w:tblGrid>
      <w:tr w:rsidR="00766CFB" w14:paraId="0E2A076D" w14:textId="77777777" w:rsidTr="00F5420B">
        <w:trPr>
          <w:jc w:val="center"/>
        </w:trPr>
        <w:tc>
          <w:tcPr>
            <w:tcW w:w="1165" w:type="dxa"/>
          </w:tcPr>
          <w:p w14:paraId="2EB3FA60" w14:textId="77777777" w:rsidR="00766CFB" w:rsidRDefault="00766CFB">
            <w:pPr>
              <w:jc w:val="center"/>
            </w:pPr>
            <w:r w:rsidRPr="00CD56EB">
              <w:rPr>
                <w:b/>
                <w:bCs/>
              </w:rPr>
              <w:t>Duration</w:t>
            </w:r>
          </w:p>
        </w:tc>
        <w:tc>
          <w:tcPr>
            <w:tcW w:w="4950" w:type="dxa"/>
          </w:tcPr>
          <w:p w14:paraId="4999038D" w14:textId="7DFBCEC0" w:rsidR="00766CFB" w:rsidRPr="00CD56EB" w:rsidRDefault="00766CFB">
            <w:pPr>
              <w:jc w:val="center"/>
              <w:rPr>
                <w:b/>
                <w:bCs/>
              </w:rPr>
            </w:pPr>
            <w:r w:rsidRPr="00CD56EB">
              <w:rPr>
                <w:b/>
                <w:bCs/>
              </w:rPr>
              <w:t xml:space="preserve">Rate of </w:t>
            </w:r>
            <w:r w:rsidR="00F5420B">
              <w:rPr>
                <w:b/>
                <w:bCs/>
              </w:rPr>
              <w:t>c</w:t>
            </w:r>
            <w:r w:rsidRPr="00CD56EB">
              <w:rPr>
                <w:b/>
                <w:bCs/>
              </w:rPr>
              <w:t>hange (%/°C)</w:t>
            </w:r>
            <w:r>
              <w:rPr>
                <w:b/>
                <w:bCs/>
              </w:rPr>
              <w:t xml:space="preserve"> and estimates of </w:t>
            </w:r>
            <w:r w:rsidR="00F5420B" w:rsidRPr="00F5420B">
              <w:rPr>
                <w:b/>
                <w:bCs/>
              </w:rPr>
              <w:t>‘</w:t>
            </w:r>
            <w:r w:rsidR="00F5420B">
              <w:rPr>
                <w:b/>
                <w:bCs/>
              </w:rPr>
              <w:t>l</w:t>
            </w:r>
            <w:r w:rsidR="00F5420B" w:rsidRPr="00F5420B">
              <w:rPr>
                <w:b/>
                <w:bCs/>
              </w:rPr>
              <w:t xml:space="preserve">ikely’ range (corresponding to ~66% range) </w:t>
            </w:r>
            <w:r>
              <w:rPr>
                <w:b/>
                <w:bCs/>
              </w:rPr>
              <w:t>in parentheses</w:t>
            </w:r>
            <w:r w:rsidR="00F5420B">
              <w:rPr>
                <w:b/>
                <w:bCs/>
              </w:rPr>
              <w:t>.</w:t>
            </w:r>
          </w:p>
        </w:tc>
      </w:tr>
      <w:tr w:rsidR="00766CFB" w14:paraId="49F79932" w14:textId="77777777" w:rsidTr="00F5420B">
        <w:trPr>
          <w:jc w:val="center"/>
        </w:trPr>
        <w:tc>
          <w:tcPr>
            <w:tcW w:w="1165" w:type="dxa"/>
          </w:tcPr>
          <w:p w14:paraId="7D6B93D8" w14:textId="77777777" w:rsidR="00766CFB" w:rsidRDefault="00766CFB">
            <w:pPr>
              <w:jc w:val="center"/>
            </w:pPr>
            <w:r>
              <w:t>1.5 hour</w:t>
            </w:r>
          </w:p>
        </w:tc>
        <w:tc>
          <w:tcPr>
            <w:tcW w:w="4950" w:type="dxa"/>
          </w:tcPr>
          <w:p w14:paraId="2313CEF7" w14:textId="051730FD" w:rsidR="00766CFB" w:rsidRDefault="00F5420B">
            <w:pPr>
              <w:jc w:val="center"/>
            </w:pPr>
            <w:r>
              <w:t>13.7</w:t>
            </w:r>
            <w:r w:rsidR="00766CFB">
              <w:t xml:space="preserve"> (</w:t>
            </w:r>
            <w:r>
              <w:t>12.6</w:t>
            </w:r>
            <w:r w:rsidR="00766CFB">
              <w:t>-2</w:t>
            </w:r>
            <w:r>
              <w:t>5</w:t>
            </w:r>
            <w:r w:rsidR="00766CFB">
              <w:t>.</w:t>
            </w:r>
            <w:r>
              <w:t>6</w:t>
            </w:r>
            <w:r w:rsidR="00766CFB">
              <w:t>)</w:t>
            </w:r>
          </w:p>
        </w:tc>
      </w:tr>
      <w:tr w:rsidR="00766CFB" w14:paraId="1CB58615" w14:textId="77777777" w:rsidTr="00F5420B">
        <w:trPr>
          <w:jc w:val="center"/>
        </w:trPr>
        <w:tc>
          <w:tcPr>
            <w:tcW w:w="1165" w:type="dxa"/>
          </w:tcPr>
          <w:p w14:paraId="3ABCE73C" w14:textId="77777777" w:rsidR="00766CFB" w:rsidRDefault="00766CFB">
            <w:pPr>
              <w:jc w:val="center"/>
            </w:pPr>
            <w:r>
              <w:t xml:space="preserve">2 </w:t>
            </w:r>
            <w:proofErr w:type="gramStart"/>
            <w:r>
              <w:t>hour</w:t>
            </w:r>
            <w:proofErr w:type="gramEnd"/>
          </w:p>
        </w:tc>
        <w:tc>
          <w:tcPr>
            <w:tcW w:w="4950" w:type="dxa"/>
          </w:tcPr>
          <w:p w14:paraId="7BFFBAFD" w14:textId="15A8F3AF" w:rsidR="00766CFB" w:rsidRDefault="00F5420B">
            <w:pPr>
              <w:jc w:val="center"/>
            </w:pPr>
            <w:r>
              <w:t>12.8</w:t>
            </w:r>
            <w:r w:rsidR="00766CFB">
              <w:t xml:space="preserve"> (</w:t>
            </w:r>
            <w:r>
              <w:t>11.0</w:t>
            </w:r>
            <w:r w:rsidR="00766CFB">
              <w:t>-2</w:t>
            </w:r>
            <w:r>
              <w:t>4.0</w:t>
            </w:r>
            <w:r w:rsidR="00766CFB">
              <w:t>)</w:t>
            </w:r>
          </w:p>
        </w:tc>
      </w:tr>
      <w:tr w:rsidR="00766CFB" w14:paraId="0D3BFB4A" w14:textId="77777777" w:rsidTr="00F5420B">
        <w:trPr>
          <w:jc w:val="center"/>
        </w:trPr>
        <w:tc>
          <w:tcPr>
            <w:tcW w:w="1165" w:type="dxa"/>
          </w:tcPr>
          <w:p w14:paraId="7AE58501" w14:textId="77777777" w:rsidR="00766CFB" w:rsidRDefault="00766CFB">
            <w:pPr>
              <w:jc w:val="center"/>
            </w:pPr>
            <w:r>
              <w:t xml:space="preserve">3 </w:t>
            </w:r>
            <w:proofErr w:type="gramStart"/>
            <w:r>
              <w:t>hour</w:t>
            </w:r>
            <w:proofErr w:type="gramEnd"/>
          </w:p>
        </w:tc>
        <w:tc>
          <w:tcPr>
            <w:tcW w:w="4950" w:type="dxa"/>
          </w:tcPr>
          <w:p w14:paraId="522C6C1A" w14:textId="61593BFB" w:rsidR="00766CFB" w:rsidRDefault="00F5420B">
            <w:pPr>
              <w:jc w:val="center"/>
            </w:pPr>
            <w:r>
              <w:t>11.8</w:t>
            </w:r>
            <w:r w:rsidR="00766CFB">
              <w:t xml:space="preserve"> (</w:t>
            </w:r>
            <w:r>
              <w:t>9.0</w:t>
            </w:r>
            <w:r w:rsidR="00766CFB">
              <w:t>-2</w:t>
            </w:r>
            <w:r>
              <w:t>2</w:t>
            </w:r>
            <w:r w:rsidR="00766CFB">
              <w:t>.</w:t>
            </w:r>
            <w:r>
              <w:t>0</w:t>
            </w:r>
            <w:r w:rsidR="00766CFB">
              <w:t>)</w:t>
            </w:r>
          </w:p>
        </w:tc>
      </w:tr>
      <w:tr w:rsidR="00766CFB" w14:paraId="7DD52C06" w14:textId="77777777" w:rsidTr="00F5420B">
        <w:trPr>
          <w:jc w:val="center"/>
        </w:trPr>
        <w:tc>
          <w:tcPr>
            <w:tcW w:w="1165" w:type="dxa"/>
          </w:tcPr>
          <w:p w14:paraId="5123F131" w14:textId="77777777" w:rsidR="00766CFB" w:rsidRDefault="00766CFB">
            <w:pPr>
              <w:jc w:val="center"/>
            </w:pPr>
            <w:r>
              <w:t>4.5 hour</w:t>
            </w:r>
          </w:p>
        </w:tc>
        <w:tc>
          <w:tcPr>
            <w:tcW w:w="4950" w:type="dxa"/>
          </w:tcPr>
          <w:p w14:paraId="6AE8BE30" w14:textId="30AF15BB" w:rsidR="00766CFB" w:rsidRDefault="00F5420B">
            <w:pPr>
              <w:jc w:val="center"/>
            </w:pPr>
            <w:r>
              <w:t>10.8</w:t>
            </w:r>
            <w:r w:rsidR="00766CFB">
              <w:t xml:space="preserve"> (</w:t>
            </w:r>
            <w:r>
              <w:t>7.3</w:t>
            </w:r>
            <w:r w:rsidR="00766CFB">
              <w:t>-2</w:t>
            </w:r>
            <w:r>
              <w:t>0.3</w:t>
            </w:r>
            <w:r w:rsidR="00766CFB">
              <w:t>)</w:t>
            </w:r>
          </w:p>
        </w:tc>
      </w:tr>
      <w:tr w:rsidR="00766CFB" w14:paraId="6BC9C251" w14:textId="77777777" w:rsidTr="00F5420B">
        <w:trPr>
          <w:jc w:val="center"/>
        </w:trPr>
        <w:tc>
          <w:tcPr>
            <w:tcW w:w="1165" w:type="dxa"/>
          </w:tcPr>
          <w:p w14:paraId="7606D44B" w14:textId="77777777" w:rsidR="00766CFB" w:rsidRDefault="00766CFB">
            <w:pPr>
              <w:jc w:val="center"/>
            </w:pPr>
            <w:r>
              <w:t xml:space="preserve">6 </w:t>
            </w:r>
            <w:proofErr w:type="gramStart"/>
            <w:r>
              <w:t>hour</w:t>
            </w:r>
            <w:proofErr w:type="gramEnd"/>
          </w:p>
        </w:tc>
        <w:tc>
          <w:tcPr>
            <w:tcW w:w="4950" w:type="dxa"/>
          </w:tcPr>
          <w:p w14:paraId="7F0B33A8" w14:textId="743EA5B4" w:rsidR="00766CFB" w:rsidRDefault="00F5420B">
            <w:pPr>
              <w:jc w:val="center"/>
            </w:pPr>
            <w:r>
              <w:t>10.2</w:t>
            </w:r>
            <w:r w:rsidR="00766CFB">
              <w:t xml:space="preserve"> (</w:t>
            </w:r>
            <w:r>
              <w:t>6.2</w:t>
            </w:r>
            <w:r w:rsidR="00766CFB">
              <w:t>-</w:t>
            </w:r>
            <w:r>
              <w:t>19.2</w:t>
            </w:r>
            <w:r w:rsidR="00766CFB">
              <w:t>)</w:t>
            </w:r>
          </w:p>
        </w:tc>
      </w:tr>
      <w:tr w:rsidR="00766CFB" w14:paraId="3DB4D0A7" w14:textId="77777777" w:rsidTr="00F5420B">
        <w:trPr>
          <w:jc w:val="center"/>
        </w:trPr>
        <w:tc>
          <w:tcPr>
            <w:tcW w:w="1165" w:type="dxa"/>
          </w:tcPr>
          <w:p w14:paraId="36309B3B" w14:textId="77777777" w:rsidR="00766CFB" w:rsidRDefault="00766CFB">
            <w:pPr>
              <w:jc w:val="center"/>
            </w:pPr>
            <w:r>
              <w:t xml:space="preserve">9 </w:t>
            </w:r>
            <w:proofErr w:type="gramStart"/>
            <w:r>
              <w:t>hour</w:t>
            </w:r>
            <w:proofErr w:type="gramEnd"/>
          </w:p>
        </w:tc>
        <w:tc>
          <w:tcPr>
            <w:tcW w:w="4950" w:type="dxa"/>
          </w:tcPr>
          <w:p w14:paraId="01BFFF61" w14:textId="139EC3DC" w:rsidR="00766CFB" w:rsidRDefault="00F5420B">
            <w:pPr>
              <w:jc w:val="center"/>
            </w:pPr>
            <w:r>
              <w:t>9.5</w:t>
            </w:r>
            <w:r w:rsidR="00766CFB">
              <w:t xml:space="preserve"> (</w:t>
            </w:r>
            <w:r>
              <w:t>4.8</w:t>
            </w:r>
            <w:r w:rsidR="00766CFB">
              <w:t>-</w:t>
            </w:r>
            <w:r>
              <w:t>17.8</w:t>
            </w:r>
            <w:r w:rsidR="00766CFB">
              <w:t>)</w:t>
            </w:r>
          </w:p>
        </w:tc>
      </w:tr>
      <w:tr w:rsidR="00766CFB" w14:paraId="3DD911B7" w14:textId="77777777" w:rsidTr="00F5420B">
        <w:trPr>
          <w:jc w:val="center"/>
        </w:trPr>
        <w:tc>
          <w:tcPr>
            <w:tcW w:w="1165" w:type="dxa"/>
          </w:tcPr>
          <w:p w14:paraId="5CB57B26" w14:textId="77777777" w:rsidR="00766CFB" w:rsidRDefault="00766CFB">
            <w:pPr>
              <w:jc w:val="center"/>
            </w:pPr>
            <w:r>
              <w:t xml:space="preserve">12 </w:t>
            </w:r>
            <w:proofErr w:type="gramStart"/>
            <w:r>
              <w:t>hour</w:t>
            </w:r>
            <w:proofErr w:type="gramEnd"/>
          </w:p>
        </w:tc>
        <w:tc>
          <w:tcPr>
            <w:tcW w:w="4950" w:type="dxa"/>
          </w:tcPr>
          <w:p w14:paraId="3942418A" w14:textId="3F4FFDE9" w:rsidR="00766CFB" w:rsidRDefault="00F5420B">
            <w:pPr>
              <w:jc w:val="center"/>
            </w:pPr>
            <w:r>
              <w:t>9.0</w:t>
            </w:r>
            <w:r w:rsidR="00766CFB">
              <w:t xml:space="preserve"> (</w:t>
            </w:r>
            <w:r>
              <w:t>3.9</w:t>
            </w:r>
            <w:r w:rsidR="00766CFB">
              <w:t>-</w:t>
            </w:r>
            <w:r>
              <w:t>16.9</w:t>
            </w:r>
            <w:r w:rsidR="00766CFB">
              <w:t>)</w:t>
            </w:r>
          </w:p>
        </w:tc>
      </w:tr>
      <w:tr w:rsidR="00766CFB" w14:paraId="05EBF85B" w14:textId="77777777" w:rsidTr="00F5420B">
        <w:trPr>
          <w:jc w:val="center"/>
        </w:trPr>
        <w:tc>
          <w:tcPr>
            <w:tcW w:w="1165" w:type="dxa"/>
          </w:tcPr>
          <w:p w14:paraId="4B89775E" w14:textId="77777777" w:rsidR="00766CFB" w:rsidRDefault="00766CFB">
            <w:pPr>
              <w:jc w:val="center"/>
            </w:pPr>
            <w:r>
              <w:t xml:space="preserve">18 </w:t>
            </w:r>
            <w:proofErr w:type="gramStart"/>
            <w:r>
              <w:t>hour</w:t>
            </w:r>
            <w:proofErr w:type="gramEnd"/>
          </w:p>
        </w:tc>
        <w:tc>
          <w:tcPr>
            <w:tcW w:w="4950" w:type="dxa"/>
          </w:tcPr>
          <w:p w14:paraId="73B51B79" w14:textId="473051CB" w:rsidR="00766CFB" w:rsidRDefault="00F5420B">
            <w:pPr>
              <w:jc w:val="center"/>
            </w:pPr>
            <w:r>
              <w:t>8.4</w:t>
            </w:r>
            <w:r w:rsidR="00766CFB">
              <w:t xml:space="preserve"> (</w:t>
            </w:r>
            <w:r>
              <w:t>2.7</w:t>
            </w:r>
            <w:r w:rsidR="00766CFB">
              <w:t>-</w:t>
            </w:r>
            <w:r>
              <w:t>15.7</w:t>
            </w:r>
            <w:r w:rsidR="00766CFB">
              <w:t>)</w:t>
            </w:r>
          </w:p>
        </w:tc>
      </w:tr>
    </w:tbl>
    <w:p w14:paraId="48A3773A" w14:textId="77777777" w:rsidR="00766CFB" w:rsidRDefault="00766CFB" w:rsidP="00766CFB"/>
    <w:p w14:paraId="208388DF" w14:textId="77777777" w:rsidR="008535BF" w:rsidRDefault="008535BF">
      <w:pPr>
        <w:spacing w:after="0" w:line="240" w:lineRule="auto"/>
      </w:pPr>
    </w:p>
    <w:p w14:paraId="184D9923" w14:textId="3B46C50F" w:rsidR="00B02964" w:rsidRDefault="00B02964">
      <w:pPr>
        <w:spacing w:after="0" w:line="240" w:lineRule="auto"/>
      </w:pPr>
      <w:r>
        <w:br w:type="page"/>
      </w:r>
    </w:p>
    <w:p w14:paraId="1381BB16" w14:textId="77777777" w:rsidR="004D0201" w:rsidRDefault="004D0201" w:rsidP="006C0CA2">
      <w:pPr>
        <w:pStyle w:val="Heading2"/>
      </w:pPr>
      <w:bookmarkStart w:id="29" w:name="_Toc430782162"/>
      <w:bookmarkStart w:id="30" w:name="_Toc108621808"/>
      <w:bookmarkStart w:id="31" w:name="_Toc153543625"/>
      <w:r>
        <w:lastRenderedPageBreak/>
        <w:t>References</w:t>
      </w:r>
      <w:bookmarkEnd w:id="29"/>
      <w:bookmarkEnd w:id="30"/>
      <w:bookmarkEnd w:id="31"/>
    </w:p>
    <w:p w14:paraId="1F04C21E" w14:textId="77777777" w:rsidR="00384B26" w:rsidRDefault="00384B26" w:rsidP="00384B26">
      <w:r w:rsidRPr="00FF3E2F">
        <w:t xml:space="preserve">CSIRO, Bureau of Meteorology </w:t>
      </w:r>
      <w:r>
        <w:t>(</w:t>
      </w:r>
      <w:r w:rsidRPr="00FF3E2F">
        <w:t>2015</w:t>
      </w:r>
      <w:r>
        <w:t>)</w:t>
      </w:r>
      <w:r w:rsidRPr="00FF3E2F">
        <w:t>. Climate Change in Australia Projections for Australia’s Natural Resource Management Regions: Technical Report.</w:t>
      </w:r>
    </w:p>
    <w:p w14:paraId="49F4494A" w14:textId="5DA9082D" w:rsidR="00CD301F" w:rsidRDefault="00CD301F" w:rsidP="00384B26">
      <w:r w:rsidRPr="00CD301F">
        <w:t>Fox-Kemper, B.</w:t>
      </w:r>
      <w:r>
        <w:t xml:space="preserve"> et al. (2021).</w:t>
      </w:r>
      <w:r w:rsidRPr="00CD301F">
        <w:t xml:space="preserve"> Ocean, Cryosphere and Sea Level Change. In Climate Change 2021: The Physical Science Basis. Contribution of Working Group I to the Sixth Assessment Report of the Intergovernmental Panel on Climate Change [</w:t>
      </w:r>
      <w:r w:rsidRPr="00376317">
        <w:t>eds. Masson-Delmotte, V. et al.</w:t>
      </w:r>
      <w:r w:rsidRPr="00CD301F">
        <w:t xml:space="preserve">]. Cambridge University Press, Cambridge, United Kingdom and New York, NY, USA, pp. 1211–1362, </w:t>
      </w:r>
      <w:proofErr w:type="spellStart"/>
      <w:r w:rsidRPr="00CD301F">
        <w:t>doi</w:t>
      </w:r>
      <w:proofErr w:type="spellEnd"/>
      <w:r w:rsidRPr="00CD301F">
        <w:t>: 10.1017/9781009157896.011.</w:t>
      </w:r>
      <w:r>
        <w:t xml:space="preserve"> </w:t>
      </w:r>
    </w:p>
    <w:p w14:paraId="1497A9FB" w14:textId="27BA7398" w:rsidR="00384B26" w:rsidRPr="000B5F1F" w:rsidRDefault="00384B26" w:rsidP="00384B26">
      <w:r w:rsidRPr="00821925">
        <w:t>Fyfe, J.</w:t>
      </w:r>
      <w:r>
        <w:t>,</w:t>
      </w:r>
      <w:r w:rsidRPr="00821925">
        <w:t xml:space="preserve"> Fox-Kemper, B.</w:t>
      </w:r>
      <w:r>
        <w:t>,</w:t>
      </w:r>
      <w:r w:rsidRPr="00821925">
        <w:t xml:space="preserve"> Kopp, R.</w:t>
      </w:r>
      <w:r>
        <w:t>,</w:t>
      </w:r>
      <w:r w:rsidRPr="00821925">
        <w:t xml:space="preserve"> Garner, G. (2021)</w:t>
      </w:r>
      <w:r w:rsidR="00CD301F">
        <w:t>.</w:t>
      </w:r>
      <w:r w:rsidRPr="00821925">
        <w:t xml:space="preserve"> Summary for Policymakers of the Working Group I Contribution to the IPCC Sixth Assessment Report - data for Figure SPM.8 (v20210809). NERC EDS Centre for Environmental Data Analysis, doi:10.5285/98af2184e13e4b91893ab72f301790db. https://dx.doi.org/10.5285/98af2184e13e4b91893ab72f301790db</w:t>
      </w:r>
    </w:p>
    <w:p w14:paraId="1960B4B0" w14:textId="77777777" w:rsidR="00384B26" w:rsidRDefault="00384B26" w:rsidP="00384B26">
      <w:r w:rsidRPr="00376317">
        <w:t xml:space="preserve">Gutiérrez, J. M. et al. </w:t>
      </w:r>
      <w:r>
        <w:t xml:space="preserve">(2021) </w:t>
      </w:r>
      <w:r w:rsidRPr="00376317">
        <w:t>Atlas. in Climate Change 2021: The Physical Science Basis. Contribution of Working Group I to the Sixth Assessment Report of the Intergovernmental Panel on Climate Change (eds. Masson-Delmotte, V. et al.) (Cambridge University Press, 2021).</w:t>
      </w:r>
      <w:r>
        <w:t xml:space="preserve"> [</w:t>
      </w:r>
      <w:r w:rsidRPr="00376317">
        <w:t>https://interactive-atlas.ipcc.ch/</w:t>
      </w:r>
      <w:r>
        <w:t>]</w:t>
      </w:r>
    </w:p>
    <w:p w14:paraId="2E0087C0" w14:textId="5E3018A6" w:rsidR="00384B26" w:rsidRDefault="00384B26" w:rsidP="00384B26">
      <w:r>
        <w:t xml:space="preserve">Harper, B. (2017) </w:t>
      </w:r>
      <w:hyperlink r:id="rId27" w:history="1">
        <w:r w:rsidRPr="00386380">
          <w:rPr>
            <w:rStyle w:val="Hyperlink"/>
          </w:rPr>
          <w:t>Guidelines for responding to the effects of climate change in coastal and ocean engineering. Engineers Australia, National Committee on Coastal and Ocean Engineering</w:t>
        </w:r>
      </w:hyperlink>
      <w:r>
        <w:t>.</w:t>
      </w:r>
      <w:r w:rsidR="259BEE93">
        <w:t xml:space="preserve"> </w:t>
      </w:r>
    </w:p>
    <w:p w14:paraId="656492FC" w14:textId="5B5090AC" w:rsidR="00384B26" w:rsidRDefault="00384B26" w:rsidP="00384B26">
      <w:r w:rsidRPr="00457D66">
        <w:t>Ho, M., Wasko, C., O’Shea, D., Nathan, R., Vogel, E., Sharma, A.</w:t>
      </w:r>
      <w:r>
        <w:t xml:space="preserve"> (</w:t>
      </w:r>
      <w:r w:rsidRPr="00457D66">
        <w:t>2023</w:t>
      </w:r>
      <w:r>
        <w:t>)</w:t>
      </w:r>
      <w:r w:rsidRPr="00457D66">
        <w:t xml:space="preserve">. </w:t>
      </w:r>
      <w:hyperlink r:id="rId28" w:history="1">
        <w:r w:rsidRPr="00FB3868">
          <w:rPr>
            <w:rStyle w:val="Hyperlink"/>
          </w:rPr>
          <w:t>Changes in flood-associated rainfall losses under climate change</w:t>
        </w:r>
      </w:hyperlink>
      <w:r w:rsidRPr="00457D66">
        <w:t xml:space="preserve">. J. </w:t>
      </w:r>
      <w:proofErr w:type="spellStart"/>
      <w:r w:rsidRPr="00457D66">
        <w:t>Hydrol</w:t>
      </w:r>
      <w:proofErr w:type="spellEnd"/>
      <w:r w:rsidRPr="00457D66">
        <w:t xml:space="preserve">. 625, 129950. </w:t>
      </w:r>
    </w:p>
    <w:p w14:paraId="5E67BD43" w14:textId="70EAD982" w:rsidR="00384B26" w:rsidRDefault="00384B26" w:rsidP="00384B26">
      <w:r w:rsidRPr="00821925">
        <w:t>IPCC</w:t>
      </w:r>
      <w:r>
        <w:t xml:space="preserve"> (</w:t>
      </w:r>
      <w:r w:rsidRPr="00821925">
        <w:t>2021</w:t>
      </w:r>
      <w:r>
        <w:t>).</w:t>
      </w:r>
      <w:r w:rsidRPr="00821925">
        <w:t xml:space="preserve"> Summary for Policymakers. In: Climate Change 2021: The Physical Science Basis.</w:t>
      </w:r>
      <w:r>
        <w:t xml:space="preserve"> </w:t>
      </w:r>
      <w:r w:rsidRPr="00821925">
        <w:t xml:space="preserve">Contribution of Working Group I to the Sixth Assessment Report of the Intergovernmental Panel on Climate Change [Masson-Delmotte, V., P. Zhai, A. Pirani, S.L. Connors, C. </w:t>
      </w:r>
      <w:proofErr w:type="spellStart"/>
      <w:r w:rsidRPr="00821925">
        <w:t>Péan</w:t>
      </w:r>
      <w:proofErr w:type="spellEnd"/>
      <w:r w:rsidRPr="00821925">
        <w:t xml:space="preserve">, S. Berger, N. </w:t>
      </w:r>
      <w:proofErr w:type="spellStart"/>
      <w:r w:rsidRPr="00821925">
        <w:t>Caud</w:t>
      </w:r>
      <w:proofErr w:type="spellEnd"/>
      <w:r w:rsidRPr="00821925">
        <w:t xml:space="preserve">, Y. Chen, L. Goldfarb, M.I. Gomis, M. Huang, K. Leitzell, E. </w:t>
      </w:r>
      <w:proofErr w:type="spellStart"/>
      <w:r w:rsidRPr="00821925">
        <w:t>Lonnoy</w:t>
      </w:r>
      <w:proofErr w:type="spellEnd"/>
      <w:r w:rsidRPr="00821925">
        <w:t xml:space="preserve">, J.B.R. Matthews, T.K. Maycock, T. Waterfield, O. </w:t>
      </w:r>
      <w:proofErr w:type="spellStart"/>
      <w:r w:rsidRPr="00821925">
        <w:t>Yelekçi</w:t>
      </w:r>
      <w:proofErr w:type="spellEnd"/>
      <w:r w:rsidRPr="00821925">
        <w:t>, R. Yu, and B. Zhou (eds.)]. Cambridge University Press, Cambridge, United Kingdom and New York, NY, USA, pp. 3−32, doi:10.1017/9781009157896.001.</w:t>
      </w:r>
    </w:p>
    <w:p w14:paraId="4A6308C0" w14:textId="77777777" w:rsidR="00A24395" w:rsidRDefault="00384B26" w:rsidP="00384B26">
      <w:r w:rsidRPr="00733BFF">
        <w:t>IPCC</w:t>
      </w:r>
      <w:r>
        <w:t xml:space="preserve"> (</w:t>
      </w:r>
      <w:r w:rsidRPr="00733BFF">
        <w:t>2023</w:t>
      </w:r>
      <w:r>
        <w:t>).</w:t>
      </w:r>
      <w:r w:rsidRPr="00733BFF">
        <w:t xml:space="preserve"> </w:t>
      </w:r>
      <w:hyperlink r:id="rId29" w:history="1">
        <w:r w:rsidRPr="00A24395">
          <w:rPr>
            <w:rStyle w:val="Hyperlink"/>
          </w:rPr>
          <w:t>Climate Change 2023: Synthesis Report. Contribution of Working Groups I, II and III to the Sixth Assessment Report of the Intergovernmental Panel on Climate Change</w:t>
        </w:r>
      </w:hyperlink>
      <w:r w:rsidRPr="00733BFF">
        <w:t xml:space="preserve"> [Core Writing Team, H. </w:t>
      </w:r>
      <w:proofErr w:type="gramStart"/>
      <w:r w:rsidRPr="00733BFF">
        <w:t>Lee</w:t>
      </w:r>
      <w:proofErr w:type="gramEnd"/>
      <w:r w:rsidRPr="00733BFF">
        <w:t xml:space="preserve"> and J. Romero (eds.)]. IPCC, Geneva, Switzerland. </w:t>
      </w:r>
    </w:p>
    <w:p w14:paraId="15F8D8AE" w14:textId="2EB80B50" w:rsidR="00384B26" w:rsidRDefault="00384B26" w:rsidP="00384B26">
      <w:r w:rsidRPr="00821925">
        <w:t xml:space="preserve">Iturbide, M., Fernández, J., Gutiérrez, J.M., Bedia, J., </w:t>
      </w:r>
      <w:proofErr w:type="spellStart"/>
      <w:r w:rsidRPr="00821925">
        <w:t>Cimadevilla</w:t>
      </w:r>
      <w:proofErr w:type="spellEnd"/>
      <w:r w:rsidRPr="00821925">
        <w:t xml:space="preserve">, E., </w:t>
      </w:r>
      <w:proofErr w:type="spellStart"/>
      <w:r w:rsidRPr="00821925">
        <w:t>Díez</w:t>
      </w:r>
      <w:proofErr w:type="spellEnd"/>
      <w:r w:rsidRPr="00821925">
        <w:t xml:space="preserve">-Sierra, J., Manzanas, R., Casanueva, A., Baño-Medina, J., </w:t>
      </w:r>
      <w:proofErr w:type="spellStart"/>
      <w:r w:rsidRPr="00821925">
        <w:t>Milovac</w:t>
      </w:r>
      <w:proofErr w:type="spellEnd"/>
      <w:r w:rsidRPr="00821925">
        <w:t xml:space="preserve">, J., Herrera, S., </w:t>
      </w:r>
      <w:proofErr w:type="spellStart"/>
      <w:r w:rsidRPr="00821925">
        <w:t>Cofiño</w:t>
      </w:r>
      <w:proofErr w:type="spellEnd"/>
      <w:r w:rsidRPr="00821925">
        <w:t>, A.S., San Martín, D., García-</w:t>
      </w:r>
      <w:proofErr w:type="spellStart"/>
      <w:r w:rsidRPr="00821925">
        <w:t>Díez</w:t>
      </w:r>
      <w:proofErr w:type="spellEnd"/>
      <w:r w:rsidRPr="00821925">
        <w:t xml:space="preserve">, M., Hauser, M., Huard, D., </w:t>
      </w:r>
      <w:proofErr w:type="spellStart"/>
      <w:r w:rsidRPr="00821925">
        <w:t>Yelekci</w:t>
      </w:r>
      <w:proofErr w:type="spellEnd"/>
      <w:r w:rsidRPr="00821925">
        <w:t>, Ö. (2021)</w:t>
      </w:r>
      <w:r>
        <w:t>.</w:t>
      </w:r>
      <w:r w:rsidRPr="00821925">
        <w:t xml:space="preserve"> </w:t>
      </w:r>
      <w:hyperlink r:id="rId30" w:history="1">
        <w:r w:rsidRPr="00104089">
          <w:rPr>
            <w:rStyle w:val="Hyperlink"/>
          </w:rPr>
          <w:t>Repository supporting the implementation of FAIR principles in the IPCC-WG1 Atlas</w:t>
        </w:r>
      </w:hyperlink>
      <w:r w:rsidRPr="00821925">
        <w:t xml:space="preserve">. </w:t>
      </w:r>
      <w:proofErr w:type="spellStart"/>
      <w:r w:rsidRPr="00821925">
        <w:t>Zenodo</w:t>
      </w:r>
      <w:proofErr w:type="spellEnd"/>
      <w:r w:rsidRPr="00821925">
        <w:t xml:space="preserve">, DOI: 10.5281/zenodo.3691645. </w:t>
      </w:r>
    </w:p>
    <w:p w14:paraId="069D53BF" w14:textId="77777777" w:rsidR="00384B26" w:rsidRDefault="00384B26" w:rsidP="00384B26">
      <w:r>
        <w:t xml:space="preserve">Lee, J.-Y., J. Marotzke, G. Bala, L. Cao, S. Corti, J.P. Dunne, F. Engelbrecht, E. Fischer, J.C. Fyfe, C. Jones, A. Maycock, J. Mutemi, O. Ndiaye, S. </w:t>
      </w:r>
      <w:proofErr w:type="spellStart"/>
      <w:r>
        <w:t>Panickal</w:t>
      </w:r>
      <w:proofErr w:type="spellEnd"/>
      <w:r>
        <w:t xml:space="preserve">, and T. Zhou, 2021: Future Global Climate: Scenario-Based Projections and Near-Term Information. In Climate Change 2021: The Physical Science Basis. Contribution of Working Group I to the Sixth Assessment Report of the Intergovernmental Panel on Climate Change [Masson-Delmotte, V., P. Zhai, A. Pirani, S.L. Connors, C. </w:t>
      </w:r>
      <w:proofErr w:type="spellStart"/>
      <w:r>
        <w:lastRenderedPageBreak/>
        <w:t>Péan</w:t>
      </w:r>
      <w:proofErr w:type="spellEnd"/>
      <w:r>
        <w:t xml:space="preserve">, S. Berger, N. </w:t>
      </w:r>
      <w:proofErr w:type="spellStart"/>
      <w:r>
        <w:t>Caud</w:t>
      </w:r>
      <w:proofErr w:type="spellEnd"/>
      <w:r>
        <w:t xml:space="preserve">, Y. Chen, L. Goldfarb, M.I. Gomis, M. Huang, K. Leitzell, E. </w:t>
      </w:r>
      <w:proofErr w:type="spellStart"/>
      <w:r>
        <w:t>Lonnoy</w:t>
      </w:r>
      <w:proofErr w:type="spellEnd"/>
      <w:r>
        <w:t xml:space="preserve">, J.B.R. Matthews, T.K. Maycock, T. Waterfield, O. </w:t>
      </w:r>
      <w:proofErr w:type="spellStart"/>
      <w:r>
        <w:t>Yelekçi</w:t>
      </w:r>
      <w:proofErr w:type="spellEnd"/>
      <w:r>
        <w:t>, R. Yu, and B. Zhou (eds.)]. Cambridge University Press, Cambridge, United Kingdom and New York, NY, USA, pp. 553–672, doi:10.1017/9781009157896.006.</w:t>
      </w:r>
    </w:p>
    <w:p w14:paraId="12D840A8" w14:textId="61884496" w:rsidR="00744624" w:rsidRDefault="00744624" w:rsidP="00384B26">
      <w:r w:rsidRPr="00744624">
        <w:t xml:space="preserve">Visser, J.B., Wasko, C., Sharma, A., Nathan, R. </w:t>
      </w:r>
      <w:r>
        <w:t>(</w:t>
      </w:r>
      <w:r w:rsidRPr="00744624">
        <w:t>2021</w:t>
      </w:r>
      <w:r>
        <w:t>)</w:t>
      </w:r>
      <w:r w:rsidRPr="00744624">
        <w:t>. Eliminating the “hook” in Precipitation-Temperature Scaling. J. Clim. 34, 9535–9549. https://doi.org/10.1175/JCLI-D-21-0292.1</w:t>
      </w:r>
    </w:p>
    <w:p w14:paraId="000E3F93" w14:textId="77777777" w:rsidR="00380271" w:rsidRDefault="00384B26" w:rsidP="00384B26">
      <w:r w:rsidRPr="00733BFF">
        <w:t>Visser, J.B., Wasko, C., Sharma, A., Nathan, R.</w:t>
      </w:r>
      <w:r>
        <w:t xml:space="preserve"> (</w:t>
      </w:r>
      <w:r w:rsidRPr="00733BFF">
        <w:t>2023</w:t>
      </w:r>
      <w:r>
        <w:t>)</w:t>
      </w:r>
      <w:r w:rsidRPr="00733BFF">
        <w:t xml:space="preserve">. </w:t>
      </w:r>
      <w:hyperlink r:id="rId31" w:history="1">
        <w:r w:rsidRPr="00380271">
          <w:rPr>
            <w:rStyle w:val="Hyperlink"/>
          </w:rPr>
          <w:t>Changing Storm Temporal Patterns with Increasing Temperatures across Australia</w:t>
        </w:r>
      </w:hyperlink>
      <w:r w:rsidRPr="00733BFF">
        <w:t xml:space="preserve">. J. Clim. 36, 6247–6259. </w:t>
      </w:r>
    </w:p>
    <w:p w14:paraId="5F2CF056" w14:textId="7B3A75B6" w:rsidR="00384B26" w:rsidRDefault="00384B26" w:rsidP="00384B26">
      <w:r w:rsidRPr="00F503B5">
        <w:t>Wasko, C., Westra, S., Nathan, R., Pepler, A., Raupach, T., Dowdy, A., Johnson, F., Ho, M., McInnes, K., Jakob, D., Evans, J., Villarini, G., and Fowler, H.</w:t>
      </w:r>
      <w:r>
        <w:t xml:space="preserve"> (2023)</w:t>
      </w:r>
      <w:r w:rsidRPr="00F503B5">
        <w:t xml:space="preserve"> </w:t>
      </w:r>
      <w:hyperlink r:id="rId32" w:history="1">
        <w:r w:rsidRPr="00380271">
          <w:rPr>
            <w:rStyle w:val="Hyperlink"/>
          </w:rPr>
          <w:t>A systematic review of climate change science relevant to Australian design flood estimation</w:t>
        </w:r>
      </w:hyperlink>
      <w:r w:rsidRPr="00F503B5">
        <w:t xml:space="preserve">, </w:t>
      </w:r>
      <w:proofErr w:type="spellStart"/>
      <w:r w:rsidRPr="00F503B5">
        <w:t>Hydrol</w:t>
      </w:r>
      <w:proofErr w:type="spellEnd"/>
      <w:r w:rsidRPr="00F503B5">
        <w:t>. Earth Syst. Sci. Discuss. [preprint], in review.</w:t>
      </w:r>
      <w:r w:rsidR="006451EF">
        <w:t xml:space="preserve"> </w:t>
      </w:r>
    </w:p>
    <w:p w14:paraId="4CA0640F" w14:textId="74954F01" w:rsidR="00D96D61" w:rsidRPr="005A062D" w:rsidRDefault="00D96D61" w:rsidP="00384B26">
      <w:pPr>
        <w:rPr>
          <w:rFonts w:eastAsia="Calibri" w:cstheme="minorHAnsi"/>
        </w:rPr>
      </w:pPr>
    </w:p>
    <w:sectPr w:rsidR="00D96D61" w:rsidRPr="005A062D" w:rsidSect="00826F23">
      <w:pgSz w:w="11906" w:h="16838"/>
      <w:pgMar w:top="0"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52F2" w14:textId="77777777" w:rsidR="00CC730F" w:rsidRDefault="00CC730F">
      <w:r>
        <w:separator/>
      </w:r>
    </w:p>
    <w:p w14:paraId="5905F949" w14:textId="77777777" w:rsidR="00CC730F" w:rsidRDefault="00CC730F"/>
    <w:p w14:paraId="55394A86" w14:textId="77777777" w:rsidR="00CC730F" w:rsidRDefault="00CC730F"/>
  </w:endnote>
  <w:endnote w:type="continuationSeparator" w:id="0">
    <w:p w14:paraId="442DD9D1" w14:textId="77777777" w:rsidR="00CC730F" w:rsidRDefault="00CC730F">
      <w:r>
        <w:continuationSeparator/>
      </w:r>
    </w:p>
    <w:p w14:paraId="2E0A069C" w14:textId="77777777" w:rsidR="00CC730F" w:rsidRDefault="00CC730F"/>
    <w:p w14:paraId="51AC66C9" w14:textId="77777777" w:rsidR="00CC730F" w:rsidRDefault="00CC730F"/>
  </w:endnote>
  <w:endnote w:type="continuationNotice" w:id="1">
    <w:p w14:paraId="5FC4CF3E" w14:textId="77777777" w:rsidR="00CC730F" w:rsidRDefault="00CC730F">
      <w:pPr>
        <w:pStyle w:val="Footer"/>
      </w:pPr>
    </w:p>
    <w:p w14:paraId="1C4F697F" w14:textId="77777777" w:rsidR="00CC730F" w:rsidRDefault="00CC730F"/>
    <w:p w14:paraId="2D8EFD29" w14:textId="77777777" w:rsidR="00CC730F" w:rsidRDefault="00CC7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1F8" w14:textId="77777777" w:rsidR="00B861B4" w:rsidRDefault="00D86640">
    <w:pPr>
      <w:pStyle w:val="Footer"/>
    </w:pPr>
    <w:r w:rsidRPr="00D86640">
      <w:t>Department of Climate Change, Energy, the Environment and Water</w:t>
    </w:r>
  </w:p>
  <w:p w14:paraId="3A3E885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EA1B" w14:textId="1E4A72A2" w:rsidR="006E2418" w:rsidRDefault="006E2418" w:rsidP="006E24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80AD" w14:textId="77777777" w:rsidR="00CC730F" w:rsidRDefault="00CC730F">
      <w:r>
        <w:separator/>
      </w:r>
    </w:p>
    <w:p w14:paraId="1899512E" w14:textId="77777777" w:rsidR="00CC730F" w:rsidRDefault="00CC730F"/>
    <w:p w14:paraId="4CCC0D81" w14:textId="77777777" w:rsidR="00CC730F" w:rsidRDefault="00CC730F"/>
  </w:footnote>
  <w:footnote w:type="continuationSeparator" w:id="0">
    <w:p w14:paraId="6130F96C" w14:textId="77777777" w:rsidR="00CC730F" w:rsidRDefault="00CC730F">
      <w:r>
        <w:continuationSeparator/>
      </w:r>
    </w:p>
    <w:p w14:paraId="2EDD9C0C" w14:textId="77777777" w:rsidR="00CC730F" w:rsidRDefault="00CC730F"/>
    <w:p w14:paraId="06B83CD9" w14:textId="77777777" w:rsidR="00CC730F" w:rsidRDefault="00CC730F"/>
  </w:footnote>
  <w:footnote w:type="continuationNotice" w:id="1">
    <w:p w14:paraId="3FE5DB14" w14:textId="77777777" w:rsidR="00CC730F" w:rsidRDefault="00CC730F">
      <w:pPr>
        <w:pStyle w:val="Footer"/>
      </w:pPr>
    </w:p>
    <w:p w14:paraId="701264CE" w14:textId="77777777" w:rsidR="00CC730F" w:rsidRDefault="00CC730F"/>
    <w:p w14:paraId="0CB22B2D" w14:textId="77777777" w:rsidR="00CC730F" w:rsidRDefault="00CC730F"/>
  </w:footnote>
  <w:footnote w:id="2">
    <w:p w14:paraId="13E189FB" w14:textId="77777777" w:rsidR="00DE22FA" w:rsidRDefault="00DE22FA" w:rsidP="00DE22FA">
      <w:pPr>
        <w:pStyle w:val="FootnoteText"/>
      </w:pPr>
      <w:r>
        <w:rPr>
          <w:rStyle w:val="FootnoteReference"/>
        </w:rPr>
        <w:footnoteRef/>
      </w:r>
      <w:r>
        <w:t xml:space="preserve"> </w:t>
      </w:r>
      <w:r w:rsidRPr="0047120F">
        <w:t>http://www.bom.gov.au/water/designRainfalls/ifd/</w:t>
      </w:r>
    </w:p>
  </w:footnote>
  <w:footnote w:id="3">
    <w:p w14:paraId="7244068A" w14:textId="296E2223" w:rsidR="00DE381C" w:rsidRDefault="00DE381C" w:rsidP="00DE381C">
      <w:pPr>
        <w:pStyle w:val="FootnoteText"/>
      </w:pPr>
      <w:r>
        <w:rPr>
          <w:rStyle w:val="FootnoteReference"/>
        </w:rPr>
        <w:footnoteRef/>
      </w:r>
      <w:r>
        <w:t xml:space="preserve"> Figure based on</w:t>
      </w:r>
      <w:r w:rsidRPr="006D1B92">
        <w:t xml:space="preserve"> Figure SPM.8 from the Summary for Policymakers (SPM) of the Working Group I (WGI) Contribution to the Intergovernmental Panel on Climate Change (IPCC) Sixth Assessment Report (AR6)</w:t>
      </w:r>
      <w:r>
        <w:t xml:space="preserve"> (IPCC, 2021; Fyfe et al. 2021)</w:t>
      </w:r>
      <w:r w:rsidR="00EF04E7">
        <w:t>.</w:t>
      </w:r>
    </w:p>
  </w:footnote>
  <w:footnote w:id="4">
    <w:p w14:paraId="335EB300" w14:textId="56D7FBF1" w:rsidR="00E66266" w:rsidRDefault="00E66266" w:rsidP="00E66266">
      <w:pPr>
        <w:pStyle w:val="FootnoteText"/>
      </w:pPr>
      <w:r>
        <w:rPr>
          <w:rStyle w:val="FootnoteReference"/>
        </w:rPr>
        <w:footnoteRef/>
      </w:r>
      <w:r>
        <w:t xml:space="preserve"> </w:t>
      </w:r>
      <w:hyperlink r:id="rId1" w:history="1">
        <w:r w:rsidRPr="001D7FC6">
          <w:rPr>
            <w:rStyle w:val="Hyperlink"/>
          </w:rPr>
          <w:t>https://interactive-atlas.ipcc.ch/</w:t>
        </w:r>
      </w:hyperlink>
      <w:r>
        <w:t xml:space="preserve"> (Iturbide et al. 2021; </w:t>
      </w:r>
      <w:r w:rsidRPr="00380EFD">
        <w:t>Gutiérrez</w:t>
      </w:r>
      <w:r>
        <w:t xml:space="preserve"> et al</w:t>
      </w:r>
      <w:r w:rsidR="00FD7806">
        <w:t>.</w:t>
      </w:r>
      <w:r>
        <w:t xml:space="preserve"> 2021)</w:t>
      </w:r>
    </w:p>
  </w:footnote>
  <w:footnote w:id="5">
    <w:p w14:paraId="6133483D" w14:textId="640A48E3" w:rsidR="00BD5515" w:rsidRDefault="00BD5515" w:rsidP="00BD5515">
      <w:pPr>
        <w:pStyle w:val="FootnoteText"/>
      </w:pPr>
      <w:r>
        <w:rPr>
          <w:rStyle w:val="FootnoteReference"/>
        </w:rPr>
        <w:footnoteRef/>
      </w:r>
      <w:r>
        <w:t xml:space="preserve"> </w:t>
      </w:r>
      <w:hyperlink r:id="rId2" w:history="1">
        <w:r w:rsidRPr="001D7FC6">
          <w:rPr>
            <w:rStyle w:val="Hyperlink"/>
          </w:rPr>
          <w:t>https://interactive-atlas.ipcc.ch/</w:t>
        </w:r>
      </w:hyperlink>
      <w:r>
        <w:t xml:space="preserve"> (Iturbide et al. 2021; </w:t>
      </w:r>
      <w:r w:rsidRPr="00380EFD">
        <w:t>Gutiérrez</w:t>
      </w:r>
      <w:r>
        <w:t xml:space="preserve"> et al</w:t>
      </w:r>
      <w:r w:rsidR="00FD7806">
        <w:t>.</w:t>
      </w:r>
      <w:r>
        <w:t xml:space="preserve"> 2021)</w:t>
      </w:r>
    </w:p>
  </w:footnote>
  <w:footnote w:id="6">
    <w:p w14:paraId="57F1D55D" w14:textId="799B1510" w:rsidR="00E66266" w:rsidRDefault="00E66266" w:rsidP="00E66266">
      <w:pPr>
        <w:pStyle w:val="FootnoteText"/>
      </w:pPr>
      <w:r>
        <w:rPr>
          <w:rStyle w:val="FootnoteReference"/>
        </w:rPr>
        <w:footnoteRef/>
      </w:r>
      <w:r>
        <w:t xml:space="preserve"> </w:t>
      </w:r>
      <w:hyperlink r:id="rId3" w:history="1">
        <w:r w:rsidRPr="001D7FC6">
          <w:rPr>
            <w:rStyle w:val="Hyperlink"/>
          </w:rPr>
          <w:t>https://www.ipcc.ch/report/ar6/wg1/</w:t>
        </w:r>
      </w:hyperlink>
      <w:r>
        <w:t xml:space="preserve"> </w:t>
      </w:r>
      <w:r w:rsidRPr="29DF7AB0">
        <w:rPr>
          <w:lang w:eastAsia="en-AU"/>
        </w:rPr>
        <w:t>(Lee et al. 2021)</w:t>
      </w:r>
    </w:p>
  </w:footnote>
  <w:footnote w:id="7">
    <w:p w14:paraId="67CE30C4" w14:textId="3727E2F1" w:rsidR="0026459B" w:rsidRDefault="0026459B">
      <w:pPr>
        <w:pStyle w:val="FootnoteText"/>
      </w:pPr>
      <w:r>
        <w:rPr>
          <w:rStyle w:val="FootnoteReference"/>
        </w:rPr>
        <w:footnoteRef/>
      </w:r>
      <w:r>
        <w:t xml:space="preserve"> </w:t>
      </w:r>
      <w:hyperlink r:id="rId4" w:history="1">
        <w:r w:rsidRPr="001D7FC6">
          <w:rPr>
            <w:rStyle w:val="Hyperlink"/>
          </w:rPr>
          <w:t>https://interactive-atlas.ipcc.ch/</w:t>
        </w:r>
      </w:hyperlink>
      <w:r>
        <w:t xml:space="preserve"> (Iturbide et al. 2021; </w:t>
      </w:r>
      <w:r w:rsidRPr="00380EFD">
        <w:t>Gutiérrez</w:t>
      </w:r>
      <w:r>
        <w:t xml:space="preserve"> et al</w:t>
      </w:r>
      <w:r w:rsidR="00FD7806">
        <w:t>.</w:t>
      </w:r>
      <w:r>
        <w:t xml:space="preserve"> 2021), see also </w:t>
      </w:r>
      <w:r w:rsidR="00CD301F" w:rsidRPr="00CD301F">
        <w:t>Fox-Kemper et al. (2021).</w:t>
      </w:r>
    </w:p>
  </w:footnote>
  <w:footnote w:id="8">
    <w:p w14:paraId="5687CD64" w14:textId="77777777" w:rsidR="00187175" w:rsidRDefault="00187175" w:rsidP="00187175">
      <w:pPr>
        <w:pStyle w:val="FootnoteText"/>
      </w:pPr>
      <w:r>
        <w:rPr>
          <w:rStyle w:val="FootnoteReference"/>
        </w:rPr>
        <w:footnoteRef/>
      </w:r>
      <w:r>
        <w:t xml:space="preserve"> This value corresponds closely to the projected warming for SSP4.5 by the end of the century.</w:t>
      </w:r>
    </w:p>
  </w:footnote>
  <w:footnote w:id="9">
    <w:p w14:paraId="1912A66E" w14:textId="5346752A" w:rsidR="0048317D" w:rsidRDefault="0048317D">
      <w:pPr>
        <w:pStyle w:val="FootnoteText"/>
      </w:pPr>
      <w:r>
        <w:rPr>
          <w:rStyle w:val="FootnoteReference"/>
        </w:rPr>
        <w:footnoteRef/>
      </w:r>
      <w:r>
        <w:t xml:space="preserve"> The IPCC interactive atlas </w:t>
      </w:r>
      <w:hyperlink r:id="rId5" w:history="1">
        <w:r w:rsidRPr="00B86DA6">
          <w:rPr>
            <w:rStyle w:val="Hyperlink"/>
          </w:rPr>
          <w:t>https://interactive-atlas.ipcc.ch/</w:t>
        </w:r>
      </w:hyperlink>
      <w:r>
        <w:t xml:space="preserve"> uses a set of standard baselines that may not be applicable to the data used in the derivation of future IFDs</w:t>
      </w:r>
      <w:r w:rsidR="00EF04E7">
        <w:t>.</w:t>
      </w:r>
    </w:p>
  </w:footnote>
  <w:footnote w:id="10">
    <w:p w14:paraId="50CCE927" w14:textId="5319C5FA" w:rsidR="00485695" w:rsidRDefault="00485695" w:rsidP="00485695">
      <w:pPr>
        <w:pStyle w:val="FootnoteText"/>
      </w:pPr>
      <w:r>
        <w:rPr>
          <w:rStyle w:val="FootnoteReference"/>
        </w:rPr>
        <w:footnoteRef/>
      </w:r>
      <w:r>
        <w:t xml:space="preserve"> A summary is provided at </w:t>
      </w:r>
      <w:hyperlink r:id="rId6" w:history="1">
        <w:r w:rsidRPr="001D7FC6">
          <w:rPr>
            <w:rStyle w:val="Hyperlink"/>
          </w:rPr>
          <w:t>https://www.metoffice.gov.uk/weather/climate/science/global-temperature-records</w:t>
        </w:r>
      </w:hyperlink>
      <w:r>
        <w:t xml:space="preserve">; with links provided at </w:t>
      </w:r>
      <w:hyperlink r:id="rId7" w:history="1">
        <w:r w:rsidRPr="001D7FC6">
          <w:rPr>
            <w:rStyle w:val="Hyperlink"/>
          </w:rPr>
          <w:t>https://climate.metoffice.cloud/temperature.html</w:t>
        </w:r>
      </w:hyperlink>
      <w:r w:rsidR="00EF04E7">
        <w:rPr>
          <w:rStyle w:val="Hyperlink"/>
        </w:rPr>
        <w:t>.</w:t>
      </w:r>
    </w:p>
  </w:footnote>
  <w:footnote w:id="11">
    <w:p w14:paraId="6A01FD34" w14:textId="70D5B1B0" w:rsidR="00744624" w:rsidRDefault="00744624">
      <w:pPr>
        <w:pStyle w:val="FootnoteText"/>
      </w:pPr>
      <w:r>
        <w:rPr>
          <w:rStyle w:val="FootnoteReference"/>
        </w:rPr>
        <w:footnoteRef/>
      </w:r>
      <w:r>
        <w:t xml:space="preserve"> See also </w:t>
      </w:r>
      <w:r w:rsidRPr="00744624">
        <w:t>https://crudata.uea.ac.uk/cru/data/temperature/</w:t>
      </w:r>
    </w:p>
  </w:footnote>
  <w:footnote w:id="12">
    <w:p w14:paraId="60196C23" w14:textId="77777777" w:rsidR="00485695" w:rsidRDefault="00485695" w:rsidP="00485695">
      <w:pPr>
        <w:pStyle w:val="FootnoteText"/>
      </w:pPr>
      <w:r>
        <w:rPr>
          <w:rStyle w:val="FootnoteReference"/>
        </w:rPr>
        <w:footnoteRef/>
      </w:r>
      <w:r>
        <w:t xml:space="preserve"> See also </w:t>
      </w:r>
      <w:r w:rsidRPr="00AD6607">
        <w:t>https://data.giss.nasa.gov/gistemp/</w:t>
      </w:r>
    </w:p>
  </w:footnote>
  <w:footnote w:id="13">
    <w:p w14:paraId="4A5654EE" w14:textId="77777777" w:rsidR="00485695" w:rsidRDefault="00485695" w:rsidP="00485695">
      <w:pPr>
        <w:pStyle w:val="FootnoteText"/>
      </w:pPr>
      <w:r>
        <w:rPr>
          <w:rStyle w:val="FootnoteReference"/>
        </w:rPr>
        <w:footnoteRef/>
      </w:r>
      <w:r>
        <w:t xml:space="preserve"> See also </w:t>
      </w:r>
      <w:r w:rsidRPr="00AD6607">
        <w:t>https://www.ncei.noaa.gov/access/monitoring/global-temperature-anomalies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73A8" w14:textId="772806AF" w:rsidR="00B861B4" w:rsidRDefault="004752D8">
    <w:pPr>
      <w:pStyle w:val="Header"/>
    </w:pPr>
    <w:r>
      <w:t xml:space="preserve">Update to the Climate Change </w:t>
    </w:r>
    <w:r w:rsidR="00272D2E">
      <w:t>Considerations chapter</w:t>
    </w:r>
    <w:r w:rsidR="00427E5D">
      <w:t xml:space="preserve"> in</w:t>
    </w:r>
    <w:r w:rsidR="00272D2E">
      <w:t xml:space="preserve"> </w:t>
    </w:r>
    <w:r w:rsidR="001B244F" w:rsidRPr="001B244F">
      <w:rPr>
        <w:i/>
        <w:iCs/>
      </w:rPr>
      <w:t>Australian Rainfall and Runoff</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2EB4" w14:textId="5C873714" w:rsidR="00B861B4" w:rsidRDefault="00D60B6F">
    <w:pPr>
      <w:pStyle w:val="Header"/>
      <w:jc w:val="left"/>
    </w:pPr>
    <w:r>
      <w:rPr>
        <w:noProof/>
        <w:lang w:val="en-US"/>
      </w:rPr>
      <w:drawing>
        <wp:inline distT="0" distB="0" distL="0" distR="0" wp14:anchorId="306A6167" wp14:editId="7C276C37">
          <wp:extent cx="3224791" cy="676657"/>
          <wp:effectExtent l="0" t="0" r="0" b="9525"/>
          <wp:docPr id="3" name="Picture 3"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6D05B0"/>
    <w:multiLevelType w:val="hybridMultilevel"/>
    <w:tmpl w:val="6B9254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A2D611E"/>
    <w:multiLevelType w:val="hybridMultilevel"/>
    <w:tmpl w:val="0C86B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950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635"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2B2553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656B92"/>
    <w:multiLevelType w:val="hybridMultilevel"/>
    <w:tmpl w:val="AACAAF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BB1452C"/>
    <w:multiLevelType w:val="hybridMultilevel"/>
    <w:tmpl w:val="F626C2F6"/>
    <w:lvl w:ilvl="0" w:tplc="F34C4E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2D3493"/>
    <w:multiLevelType w:val="hybridMultilevel"/>
    <w:tmpl w:val="7040EB4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F0902C0"/>
    <w:multiLevelType w:val="hybridMultilevel"/>
    <w:tmpl w:val="A976BF6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14F4729"/>
    <w:multiLevelType w:val="multilevel"/>
    <w:tmpl w:val="A0241B28"/>
    <w:numStyleLink w:val="List1"/>
  </w:abstractNum>
  <w:abstractNum w:abstractNumId="25" w15:restartNumberingAfterBreak="0">
    <w:nsid w:val="47530DAD"/>
    <w:multiLevelType w:val="hybridMultilevel"/>
    <w:tmpl w:val="D5828508"/>
    <w:lvl w:ilvl="0" w:tplc="03F64D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6800B4"/>
    <w:multiLevelType w:val="multilevel"/>
    <w:tmpl w:val="A0241B28"/>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AD74D63"/>
    <w:multiLevelType w:val="hybridMultilevel"/>
    <w:tmpl w:val="449A541A"/>
    <w:lvl w:ilvl="0" w:tplc="CE3EC8DC">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3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816FAF"/>
    <w:multiLevelType w:val="hybridMultilevel"/>
    <w:tmpl w:val="6638CA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4144A7"/>
    <w:multiLevelType w:val="hybridMultilevel"/>
    <w:tmpl w:val="ED102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7AA5451"/>
    <w:multiLevelType w:val="hybridMultilevel"/>
    <w:tmpl w:val="85BE7136"/>
    <w:lvl w:ilvl="0" w:tplc="0C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A511AE3"/>
    <w:multiLevelType w:val="hybridMultilevel"/>
    <w:tmpl w:val="7DFEF906"/>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9" w15:restartNumberingAfterBreak="0">
    <w:nsid w:val="65BF0F1A"/>
    <w:multiLevelType w:val="hybridMultilevel"/>
    <w:tmpl w:val="244E359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0" w15:restartNumberingAfterBreak="0">
    <w:nsid w:val="67236F87"/>
    <w:multiLevelType w:val="hybridMultilevel"/>
    <w:tmpl w:val="45BA76E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8C10A1"/>
    <w:multiLevelType w:val="multilevel"/>
    <w:tmpl w:val="BE78A4F8"/>
    <w:numStyleLink w:val="Numberlist"/>
  </w:abstractNum>
  <w:abstractNum w:abstractNumId="43" w15:restartNumberingAfterBreak="0">
    <w:nsid w:val="6D9C4EBA"/>
    <w:multiLevelType w:val="hybridMultilevel"/>
    <w:tmpl w:val="453EA73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09F4169"/>
    <w:multiLevelType w:val="hybridMultilevel"/>
    <w:tmpl w:val="53566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EC5466"/>
    <w:multiLevelType w:val="hybridMultilevel"/>
    <w:tmpl w:val="3776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97DD8"/>
    <w:multiLevelType w:val="hybridMultilevel"/>
    <w:tmpl w:val="2DAC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0C5FA0"/>
    <w:multiLevelType w:val="hybridMultilevel"/>
    <w:tmpl w:val="0CBA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3934B7"/>
    <w:multiLevelType w:val="multilevel"/>
    <w:tmpl w:val="A0241B28"/>
    <w:numStyleLink w:val="List1"/>
  </w:abstractNum>
  <w:abstractNum w:abstractNumId="49" w15:restartNumberingAfterBreak="0">
    <w:nsid w:val="7B3D2D24"/>
    <w:multiLevelType w:val="hybridMultilevel"/>
    <w:tmpl w:val="A854412E"/>
    <w:lvl w:ilvl="0" w:tplc="6FBE5DB6">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BC68CF"/>
    <w:multiLevelType w:val="hybridMultilevel"/>
    <w:tmpl w:val="F412E73C"/>
    <w:lvl w:ilvl="0" w:tplc="BDC238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801655"/>
    <w:multiLevelType w:val="hybridMultilevel"/>
    <w:tmpl w:val="481CDD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880264">
    <w:abstractNumId w:val="6"/>
  </w:num>
  <w:num w:numId="2" w16cid:durableId="1673799208">
    <w:abstractNumId w:val="26"/>
  </w:num>
  <w:num w:numId="3" w16cid:durableId="1404451164">
    <w:abstractNumId w:val="27"/>
  </w:num>
  <w:num w:numId="4" w16cid:durableId="1666787524">
    <w:abstractNumId w:val="11"/>
  </w:num>
  <w:num w:numId="5" w16cid:durableId="381057155">
    <w:abstractNumId w:val="37"/>
  </w:num>
  <w:num w:numId="6" w16cid:durableId="1639215797">
    <w:abstractNumId w:val="38"/>
  </w:num>
  <w:num w:numId="7" w16cid:durableId="8609022">
    <w:abstractNumId w:val="8"/>
  </w:num>
  <w:num w:numId="8" w16cid:durableId="1643265712">
    <w:abstractNumId w:val="16"/>
  </w:num>
  <w:num w:numId="9" w16cid:durableId="793717093">
    <w:abstractNumId w:val="20"/>
    <w:lvlOverride w:ilvl="0">
      <w:lvl w:ilvl="0">
        <w:start w:val="1"/>
        <w:numFmt w:val="decimal"/>
        <w:pStyle w:val="Heading2"/>
        <w:lvlText w:val="%1"/>
        <w:lvlJc w:val="left"/>
        <w:pPr>
          <w:ind w:left="720" w:hanging="720"/>
        </w:pPr>
      </w:lvl>
    </w:lvlOverride>
  </w:num>
  <w:num w:numId="10" w16cid:durableId="164254000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3"/>
  </w:num>
  <w:num w:numId="16" w16cid:durableId="1314063411">
    <w:abstractNumId w:val="33"/>
  </w:num>
  <w:num w:numId="17" w16cid:durableId="45929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41"/>
  </w:num>
  <w:num w:numId="19" w16cid:durableId="2052537745">
    <w:abstractNumId w:val="1"/>
  </w:num>
  <w:num w:numId="20" w16cid:durableId="1609198961">
    <w:abstractNumId w:val="0"/>
  </w:num>
  <w:num w:numId="21" w16cid:durableId="1217014302">
    <w:abstractNumId w:val="17"/>
  </w:num>
  <w:num w:numId="22" w16cid:durableId="1652558498">
    <w:abstractNumId w:val="28"/>
  </w:num>
  <w:num w:numId="23" w16cid:durableId="780877881">
    <w:abstractNumId w:val="42"/>
  </w:num>
  <w:num w:numId="24" w16cid:durableId="9570234">
    <w:abstractNumId w:val="15"/>
  </w:num>
  <w:num w:numId="25" w16cid:durableId="1084184664">
    <w:abstractNumId w:val="24"/>
  </w:num>
  <w:num w:numId="26" w16cid:durableId="1568950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48"/>
  </w:num>
  <w:num w:numId="28" w16cid:durableId="626202022">
    <w:abstractNumId w:val="30"/>
  </w:num>
  <w:num w:numId="29" w16cid:durableId="281765065">
    <w:abstractNumId w:val="36"/>
  </w:num>
  <w:num w:numId="30" w16cid:durableId="866915021">
    <w:abstractNumId w:val="10"/>
  </w:num>
  <w:num w:numId="31" w16cid:durableId="742336246">
    <w:abstractNumId w:val="9"/>
  </w:num>
  <w:num w:numId="32" w16cid:durableId="652638494">
    <w:abstractNumId w:val="9"/>
  </w:num>
  <w:num w:numId="33" w16cid:durableId="1435981516">
    <w:abstractNumId w:val="18"/>
  </w:num>
  <w:num w:numId="34" w16cid:durableId="872621639">
    <w:abstractNumId w:val="14"/>
  </w:num>
  <w:num w:numId="35" w16cid:durableId="1478260420">
    <w:abstractNumId w:val="25"/>
  </w:num>
  <w:num w:numId="36" w16cid:durableId="12075332">
    <w:abstractNumId w:val="37"/>
  </w:num>
  <w:num w:numId="37" w16cid:durableId="130175488">
    <w:abstractNumId w:val="7"/>
  </w:num>
  <w:num w:numId="38" w16cid:durableId="1194004169">
    <w:abstractNumId w:val="35"/>
  </w:num>
  <w:num w:numId="39" w16cid:durableId="603461895">
    <w:abstractNumId w:val="32"/>
  </w:num>
  <w:num w:numId="40" w16cid:durableId="617301365">
    <w:abstractNumId w:val="39"/>
  </w:num>
  <w:num w:numId="41" w16cid:durableId="1096055171">
    <w:abstractNumId w:val="29"/>
  </w:num>
  <w:num w:numId="42" w16cid:durableId="1132402834">
    <w:abstractNumId w:val="20"/>
    <w:lvlOverride w:ilvl="0">
      <w:lvl w:ilvl="0">
        <w:start w:val="1"/>
        <w:numFmt w:val="decimal"/>
        <w:pStyle w:val="Heading2"/>
        <w:lvlText w:val="%1"/>
        <w:lvlJc w:val="left"/>
        <w:pPr>
          <w:ind w:left="720" w:hanging="720"/>
        </w:pPr>
      </w:lvl>
    </w:lvlOverride>
  </w:num>
  <w:num w:numId="43" w16cid:durableId="1729263523">
    <w:abstractNumId w:val="20"/>
    <w:lvlOverride w:ilvl="0">
      <w:lvl w:ilvl="0">
        <w:start w:val="1"/>
        <w:numFmt w:val="decimal"/>
        <w:pStyle w:val="Heading2"/>
        <w:lvlText w:val="%1"/>
        <w:lvlJc w:val="left"/>
        <w:pPr>
          <w:ind w:left="720" w:hanging="720"/>
        </w:pPr>
      </w:lvl>
    </w:lvlOverride>
  </w:num>
  <w:num w:numId="44" w16cid:durableId="593393870">
    <w:abstractNumId w:val="20"/>
    <w:lvlOverride w:ilvl="0">
      <w:lvl w:ilvl="0">
        <w:start w:val="1"/>
        <w:numFmt w:val="decimal"/>
        <w:pStyle w:val="Heading2"/>
        <w:lvlText w:val="%1"/>
        <w:lvlJc w:val="left"/>
        <w:pPr>
          <w:ind w:left="720" w:hanging="720"/>
        </w:pPr>
      </w:lvl>
    </w:lvlOverride>
  </w:num>
  <w:num w:numId="45" w16cid:durableId="682973288">
    <w:abstractNumId w:val="47"/>
  </w:num>
  <w:num w:numId="46" w16cid:durableId="863127975">
    <w:abstractNumId w:val="40"/>
  </w:num>
  <w:num w:numId="47" w16cid:durableId="1150824160">
    <w:abstractNumId w:val="23"/>
  </w:num>
  <w:num w:numId="48" w16cid:durableId="202907051">
    <w:abstractNumId w:val="20"/>
    <w:lvlOverride w:ilvl="0">
      <w:lvl w:ilvl="0">
        <w:start w:val="1"/>
        <w:numFmt w:val="decimal"/>
        <w:pStyle w:val="Heading2"/>
        <w:lvlText w:val="%1"/>
        <w:lvlJc w:val="left"/>
        <w:pPr>
          <w:ind w:left="720" w:hanging="720"/>
        </w:pPr>
      </w:lvl>
    </w:lvlOverride>
  </w:num>
  <w:num w:numId="49" w16cid:durableId="601185558">
    <w:abstractNumId w:val="20"/>
    <w:lvlOverride w:ilvl="0">
      <w:lvl w:ilvl="0">
        <w:start w:val="1"/>
        <w:numFmt w:val="decimal"/>
        <w:pStyle w:val="Heading2"/>
        <w:lvlText w:val="%1"/>
        <w:lvlJc w:val="left"/>
        <w:pPr>
          <w:ind w:left="720" w:hanging="720"/>
        </w:pPr>
      </w:lvl>
    </w:lvlOverride>
  </w:num>
  <w:num w:numId="50" w16cid:durableId="784039871">
    <w:abstractNumId w:val="45"/>
  </w:num>
  <w:num w:numId="51" w16cid:durableId="254095295">
    <w:abstractNumId w:val="19"/>
  </w:num>
  <w:num w:numId="52" w16cid:durableId="1908418231">
    <w:abstractNumId w:val="46"/>
  </w:num>
  <w:num w:numId="53" w16cid:durableId="342900351">
    <w:abstractNumId w:val="50"/>
  </w:num>
  <w:num w:numId="54" w16cid:durableId="86122243">
    <w:abstractNumId w:val="21"/>
  </w:num>
  <w:num w:numId="55" w16cid:durableId="1620331220">
    <w:abstractNumId w:val="44"/>
  </w:num>
  <w:num w:numId="56" w16cid:durableId="730807037">
    <w:abstractNumId w:val="49"/>
  </w:num>
  <w:num w:numId="57" w16cid:durableId="1135028824">
    <w:abstractNumId w:val="12"/>
  </w:num>
  <w:num w:numId="58" w16cid:durableId="1166821945">
    <w:abstractNumId w:val="43"/>
  </w:num>
  <w:num w:numId="59" w16cid:durableId="1824464308">
    <w:abstractNumId w:val="34"/>
  </w:num>
  <w:num w:numId="60" w16cid:durableId="154499427">
    <w:abstractNumId w:val="51"/>
  </w:num>
  <w:num w:numId="61" w16cid:durableId="432552701">
    <w:abstractNumId w:val="31"/>
  </w:num>
  <w:num w:numId="62" w16cid:durableId="170478859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A1"/>
    <w:rsid w:val="00000883"/>
    <w:rsid w:val="000031F7"/>
    <w:rsid w:val="0000412C"/>
    <w:rsid w:val="00004205"/>
    <w:rsid w:val="000043B7"/>
    <w:rsid w:val="00004FC9"/>
    <w:rsid w:val="0000790C"/>
    <w:rsid w:val="000101A6"/>
    <w:rsid w:val="00010799"/>
    <w:rsid w:val="00011744"/>
    <w:rsid w:val="00011CAE"/>
    <w:rsid w:val="00011D33"/>
    <w:rsid w:val="00015159"/>
    <w:rsid w:val="00017624"/>
    <w:rsid w:val="000201CC"/>
    <w:rsid w:val="000202A8"/>
    <w:rsid w:val="000246F3"/>
    <w:rsid w:val="000264D5"/>
    <w:rsid w:val="00026834"/>
    <w:rsid w:val="00030CA1"/>
    <w:rsid w:val="00031FC3"/>
    <w:rsid w:val="000320D5"/>
    <w:rsid w:val="0003321B"/>
    <w:rsid w:val="000340F1"/>
    <w:rsid w:val="000367C0"/>
    <w:rsid w:val="000371CA"/>
    <w:rsid w:val="00040644"/>
    <w:rsid w:val="000419AD"/>
    <w:rsid w:val="00041E5F"/>
    <w:rsid w:val="00042778"/>
    <w:rsid w:val="00043FA2"/>
    <w:rsid w:val="00047B13"/>
    <w:rsid w:val="000518C6"/>
    <w:rsid w:val="00052750"/>
    <w:rsid w:val="00052918"/>
    <w:rsid w:val="00053E95"/>
    <w:rsid w:val="00055A2A"/>
    <w:rsid w:val="00055C58"/>
    <w:rsid w:val="00063920"/>
    <w:rsid w:val="000659A8"/>
    <w:rsid w:val="00066101"/>
    <w:rsid w:val="0006627D"/>
    <w:rsid w:val="00066B83"/>
    <w:rsid w:val="00067331"/>
    <w:rsid w:val="00067698"/>
    <w:rsid w:val="000703A6"/>
    <w:rsid w:val="000704D2"/>
    <w:rsid w:val="00070F00"/>
    <w:rsid w:val="000723ED"/>
    <w:rsid w:val="00072811"/>
    <w:rsid w:val="00072841"/>
    <w:rsid w:val="00072F0B"/>
    <w:rsid w:val="00074880"/>
    <w:rsid w:val="00075194"/>
    <w:rsid w:val="00075902"/>
    <w:rsid w:val="00075D23"/>
    <w:rsid w:val="00076F1A"/>
    <w:rsid w:val="00077552"/>
    <w:rsid w:val="00081B61"/>
    <w:rsid w:val="000842D1"/>
    <w:rsid w:val="000842FB"/>
    <w:rsid w:val="000853A2"/>
    <w:rsid w:val="00085DC5"/>
    <w:rsid w:val="000869AB"/>
    <w:rsid w:val="00086AA6"/>
    <w:rsid w:val="00086C06"/>
    <w:rsid w:val="00086F61"/>
    <w:rsid w:val="00086FD5"/>
    <w:rsid w:val="000874BD"/>
    <w:rsid w:val="00091A7F"/>
    <w:rsid w:val="00092842"/>
    <w:rsid w:val="00093987"/>
    <w:rsid w:val="00093B38"/>
    <w:rsid w:val="00096637"/>
    <w:rsid w:val="0009771A"/>
    <w:rsid w:val="00097FA8"/>
    <w:rsid w:val="000A2F71"/>
    <w:rsid w:val="000A3A00"/>
    <w:rsid w:val="000A4D57"/>
    <w:rsid w:val="000A5ACB"/>
    <w:rsid w:val="000A5F57"/>
    <w:rsid w:val="000A72FF"/>
    <w:rsid w:val="000A74B8"/>
    <w:rsid w:val="000A7AA7"/>
    <w:rsid w:val="000A7AAF"/>
    <w:rsid w:val="000B0779"/>
    <w:rsid w:val="000B09AD"/>
    <w:rsid w:val="000B0B5A"/>
    <w:rsid w:val="000B13E6"/>
    <w:rsid w:val="000B4D42"/>
    <w:rsid w:val="000B51C9"/>
    <w:rsid w:val="000B5271"/>
    <w:rsid w:val="000B5329"/>
    <w:rsid w:val="000B69B7"/>
    <w:rsid w:val="000B7369"/>
    <w:rsid w:val="000C0F21"/>
    <w:rsid w:val="000C2AFD"/>
    <w:rsid w:val="000C3B47"/>
    <w:rsid w:val="000C660D"/>
    <w:rsid w:val="000C7E3C"/>
    <w:rsid w:val="000D0B92"/>
    <w:rsid w:val="000D1606"/>
    <w:rsid w:val="000D1A26"/>
    <w:rsid w:val="000D1CA6"/>
    <w:rsid w:val="000D3BA4"/>
    <w:rsid w:val="000D5E84"/>
    <w:rsid w:val="000D6993"/>
    <w:rsid w:val="000D6F68"/>
    <w:rsid w:val="000D774B"/>
    <w:rsid w:val="000E071F"/>
    <w:rsid w:val="000E37EC"/>
    <w:rsid w:val="000E48ED"/>
    <w:rsid w:val="000E4BC8"/>
    <w:rsid w:val="000F0221"/>
    <w:rsid w:val="000F02FF"/>
    <w:rsid w:val="000F0D98"/>
    <w:rsid w:val="000F0E62"/>
    <w:rsid w:val="000F110A"/>
    <w:rsid w:val="000F1781"/>
    <w:rsid w:val="000F2194"/>
    <w:rsid w:val="000F29BA"/>
    <w:rsid w:val="000F45BE"/>
    <w:rsid w:val="000F7AE5"/>
    <w:rsid w:val="00101223"/>
    <w:rsid w:val="00101434"/>
    <w:rsid w:val="0010298C"/>
    <w:rsid w:val="00102AE1"/>
    <w:rsid w:val="001031B4"/>
    <w:rsid w:val="00103803"/>
    <w:rsid w:val="00104089"/>
    <w:rsid w:val="00104A58"/>
    <w:rsid w:val="00106120"/>
    <w:rsid w:val="00107522"/>
    <w:rsid w:val="001100A8"/>
    <w:rsid w:val="001102B7"/>
    <w:rsid w:val="00110A3E"/>
    <w:rsid w:val="00110D25"/>
    <w:rsid w:val="00111513"/>
    <w:rsid w:val="00111B23"/>
    <w:rsid w:val="00111EE2"/>
    <w:rsid w:val="00112065"/>
    <w:rsid w:val="00113EDE"/>
    <w:rsid w:val="00114290"/>
    <w:rsid w:val="0011476C"/>
    <w:rsid w:val="001151CF"/>
    <w:rsid w:val="00123033"/>
    <w:rsid w:val="00123CB0"/>
    <w:rsid w:val="001301EF"/>
    <w:rsid w:val="001326DB"/>
    <w:rsid w:val="00135BC2"/>
    <w:rsid w:val="001364FA"/>
    <w:rsid w:val="0013672E"/>
    <w:rsid w:val="001379C0"/>
    <w:rsid w:val="00137A4F"/>
    <w:rsid w:val="0014105B"/>
    <w:rsid w:val="001412B1"/>
    <w:rsid w:val="00142C78"/>
    <w:rsid w:val="001450B4"/>
    <w:rsid w:val="00145733"/>
    <w:rsid w:val="00146960"/>
    <w:rsid w:val="00147C86"/>
    <w:rsid w:val="00150CAA"/>
    <w:rsid w:val="00152BA6"/>
    <w:rsid w:val="00153548"/>
    <w:rsid w:val="001536AF"/>
    <w:rsid w:val="00157F64"/>
    <w:rsid w:val="0016070D"/>
    <w:rsid w:val="00160DA3"/>
    <w:rsid w:val="00162267"/>
    <w:rsid w:val="00163243"/>
    <w:rsid w:val="00163B99"/>
    <w:rsid w:val="00164BCB"/>
    <w:rsid w:val="0017046E"/>
    <w:rsid w:val="0017227B"/>
    <w:rsid w:val="001740E8"/>
    <w:rsid w:val="00174760"/>
    <w:rsid w:val="00174C56"/>
    <w:rsid w:val="00174DE2"/>
    <w:rsid w:val="00176217"/>
    <w:rsid w:val="00176594"/>
    <w:rsid w:val="0017670A"/>
    <w:rsid w:val="0017699C"/>
    <w:rsid w:val="00176AD0"/>
    <w:rsid w:val="00176E6D"/>
    <w:rsid w:val="001804A3"/>
    <w:rsid w:val="0018053C"/>
    <w:rsid w:val="00181245"/>
    <w:rsid w:val="00181420"/>
    <w:rsid w:val="0018214B"/>
    <w:rsid w:val="00182B15"/>
    <w:rsid w:val="00183818"/>
    <w:rsid w:val="00183A62"/>
    <w:rsid w:val="00183E3B"/>
    <w:rsid w:val="001850AB"/>
    <w:rsid w:val="001851EE"/>
    <w:rsid w:val="00187175"/>
    <w:rsid w:val="00187BA8"/>
    <w:rsid w:val="00190C88"/>
    <w:rsid w:val="001914A9"/>
    <w:rsid w:val="001923EF"/>
    <w:rsid w:val="001936B2"/>
    <w:rsid w:val="00196878"/>
    <w:rsid w:val="00197093"/>
    <w:rsid w:val="001A05DA"/>
    <w:rsid w:val="001A082E"/>
    <w:rsid w:val="001A1A90"/>
    <w:rsid w:val="001A2531"/>
    <w:rsid w:val="001A2D20"/>
    <w:rsid w:val="001A4592"/>
    <w:rsid w:val="001A69FD"/>
    <w:rsid w:val="001A6DF7"/>
    <w:rsid w:val="001A7031"/>
    <w:rsid w:val="001A70CE"/>
    <w:rsid w:val="001B244F"/>
    <w:rsid w:val="001B2E20"/>
    <w:rsid w:val="001B4794"/>
    <w:rsid w:val="001B64ED"/>
    <w:rsid w:val="001B7DA5"/>
    <w:rsid w:val="001C0AA0"/>
    <w:rsid w:val="001C0E20"/>
    <w:rsid w:val="001C11A6"/>
    <w:rsid w:val="001C4A3B"/>
    <w:rsid w:val="001C4DF5"/>
    <w:rsid w:val="001C5C7B"/>
    <w:rsid w:val="001C5F95"/>
    <w:rsid w:val="001D0FC3"/>
    <w:rsid w:val="001D1F24"/>
    <w:rsid w:val="001D4E20"/>
    <w:rsid w:val="001D5700"/>
    <w:rsid w:val="001D60E1"/>
    <w:rsid w:val="001D76E6"/>
    <w:rsid w:val="001E02BE"/>
    <w:rsid w:val="001E1631"/>
    <w:rsid w:val="001E2662"/>
    <w:rsid w:val="001E2822"/>
    <w:rsid w:val="001E317C"/>
    <w:rsid w:val="001E353D"/>
    <w:rsid w:val="001E368E"/>
    <w:rsid w:val="001E6E92"/>
    <w:rsid w:val="001F0130"/>
    <w:rsid w:val="001F0561"/>
    <w:rsid w:val="001F0964"/>
    <w:rsid w:val="001F0D07"/>
    <w:rsid w:val="001F0E21"/>
    <w:rsid w:val="001F16AF"/>
    <w:rsid w:val="001F1852"/>
    <w:rsid w:val="001F2942"/>
    <w:rsid w:val="001F37D8"/>
    <w:rsid w:val="001F3E51"/>
    <w:rsid w:val="001F4943"/>
    <w:rsid w:val="001F61F2"/>
    <w:rsid w:val="001F6269"/>
    <w:rsid w:val="001F6A91"/>
    <w:rsid w:val="001F6F39"/>
    <w:rsid w:val="001F7A11"/>
    <w:rsid w:val="00200148"/>
    <w:rsid w:val="0020039E"/>
    <w:rsid w:val="0020050B"/>
    <w:rsid w:val="00200EF1"/>
    <w:rsid w:val="00201F73"/>
    <w:rsid w:val="0020231A"/>
    <w:rsid w:val="00202A87"/>
    <w:rsid w:val="002030C3"/>
    <w:rsid w:val="002036E4"/>
    <w:rsid w:val="002041AE"/>
    <w:rsid w:val="00204E56"/>
    <w:rsid w:val="002055BB"/>
    <w:rsid w:val="00205E07"/>
    <w:rsid w:val="00211E4E"/>
    <w:rsid w:val="002133A2"/>
    <w:rsid w:val="00213574"/>
    <w:rsid w:val="00213F8B"/>
    <w:rsid w:val="00214E80"/>
    <w:rsid w:val="00216CDD"/>
    <w:rsid w:val="00217BC4"/>
    <w:rsid w:val="002207B4"/>
    <w:rsid w:val="00221544"/>
    <w:rsid w:val="002220B8"/>
    <w:rsid w:val="00222137"/>
    <w:rsid w:val="0022282F"/>
    <w:rsid w:val="002228DD"/>
    <w:rsid w:val="00222ADC"/>
    <w:rsid w:val="002248CF"/>
    <w:rsid w:val="002251B3"/>
    <w:rsid w:val="0022636F"/>
    <w:rsid w:val="0022733E"/>
    <w:rsid w:val="00233CF8"/>
    <w:rsid w:val="0023552B"/>
    <w:rsid w:val="00236B12"/>
    <w:rsid w:val="00237FDB"/>
    <w:rsid w:val="002419BD"/>
    <w:rsid w:val="00243421"/>
    <w:rsid w:val="00244A60"/>
    <w:rsid w:val="002461D3"/>
    <w:rsid w:val="00247A46"/>
    <w:rsid w:val="00250922"/>
    <w:rsid w:val="00250A1E"/>
    <w:rsid w:val="002521E3"/>
    <w:rsid w:val="002531EF"/>
    <w:rsid w:val="00253D4F"/>
    <w:rsid w:val="00253E01"/>
    <w:rsid w:val="002542AE"/>
    <w:rsid w:val="00255EB1"/>
    <w:rsid w:val="00256418"/>
    <w:rsid w:val="00256D5A"/>
    <w:rsid w:val="002575E4"/>
    <w:rsid w:val="00257E7E"/>
    <w:rsid w:val="00261FF0"/>
    <w:rsid w:val="0026298C"/>
    <w:rsid w:val="0026310A"/>
    <w:rsid w:val="0026375B"/>
    <w:rsid w:val="00264026"/>
    <w:rsid w:val="0026459B"/>
    <w:rsid w:val="0026480F"/>
    <w:rsid w:val="0026582F"/>
    <w:rsid w:val="00265C03"/>
    <w:rsid w:val="00266F49"/>
    <w:rsid w:val="00267CC6"/>
    <w:rsid w:val="002717B9"/>
    <w:rsid w:val="00272D2E"/>
    <w:rsid w:val="00273CCD"/>
    <w:rsid w:val="00274139"/>
    <w:rsid w:val="00274747"/>
    <w:rsid w:val="00274DF7"/>
    <w:rsid w:val="00275FEC"/>
    <w:rsid w:val="002809C4"/>
    <w:rsid w:val="002809C9"/>
    <w:rsid w:val="00281BB6"/>
    <w:rsid w:val="00283889"/>
    <w:rsid w:val="002839DD"/>
    <w:rsid w:val="0028465E"/>
    <w:rsid w:val="00284C5A"/>
    <w:rsid w:val="00284CBA"/>
    <w:rsid w:val="00284D14"/>
    <w:rsid w:val="00286307"/>
    <w:rsid w:val="00291B51"/>
    <w:rsid w:val="00291C07"/>
    <w:rsid w:val="00292F91"/>
    <w:rsid w:val="00293E00"/>
    <w:rsid w:val="00294558"/>
    <w:rsid w:val="00294F2E"/>
    <w:rsid w:val="002978AE"/>
    <w:rsid w:val="002A0679"/>
    <w:rsid w:val="002A1743"/>
    <w:rsid w:val="002A19DD"/>
    <w:rsid w:val="002A1F10"/>
    <w:rsid w:val="002A2E77"/>
    <w:rsid w:val="002A3681"/>
    <w:rsid w:val="002A7727"/>
    <w:rsid w:val="002A7EDF"/>
    <w:rsid w:val="002B051B"/>
    <w:rsid w:val="002B09EF"/>
    <w:rsid w:val="002B0D55"/>
    <w:rsid w:val="002B2414"/>
    <w:rsid w:val="002B2A96"/>
    <w:rsid w:val="002B580F"/>
    <w:rsid w:val="002B5EFF"/>
    <w:rsid w:val="002B7100"/>
    <w:rsid w:val="002C15C6"/>
    <w:rsid w:val="002C1DBA"/>
    <w:rsid w:val="002C379A"/>
    <w:rsid w:val="002C69EF"/>
    <w:rsid w:val="002D144D"/>
    <w:rsid w:val="002D1731"/>
    <w:rsid w:val="002D3AD8"/>
    <w:rsid w:val="002D496D"/>
    <w:rsid w:val="002D5B0A"/>
    <w:rsid w:val="002D6B8C"/>
    <w:rsid w:val="002D6D4A"/>
    <w:rsid w:val="002E0001"/>
    <w:rsid w:val="002E2255"/>
    <w:rsid w:val="002E23BD"/>
    <w:rsid w:val="002E24AE"/>
    <w:rsid w:val="002E28AD"/>
    <w:rsid w:val="002E2ED1"/>
    <w:rsid w:val="002E59A3"/>
    <w:rsid w:val="002E67A0"/>
    <w:rsid w:val="002E6C61"/>
    <w:rsid w:val="002E7DE8"/>
    <w:rsid w:val="002F33B0"/>
    <w:rsid w:val="002F33F2"/>
    <w:rsid w:val="002F3688"/>
    <w:rsid w:val="002F44A7"/>
    <w:rsid w:val="002F4C43"/>
    <w:rsid w:val="002F576A"/>
    <w:rsid w:val="002F5A52"/>
    <w:rsid w:val="002F6243"/>
    <w:rsid w:val="002F73A4"/>
    <w:rsid w:val="0030047B"/>
    <w:rsid w:val="0030084C"/>
    <w:rsid w:val="0030131A"/>
    <w:rsid w:val="00301D75"/>
    <w:rsid w:val="003024BD"/>
    <w:rsid w:val="00302579"/>
    <w:rsid w:val="00302F98"/>
    <w:rsid w:val="00304AD0"/>
    <w:rsid w:val="0030673C"/>
    <w:rsid w:val="00307A5F"/>
    <w:rsid w:val="003108BC"/>
    <w:rsid w:val="003125B2"/>
    <w:rsid w:val="003169F2"/>
    <w:rsid w:val="003214B3"/>
    <w:rsid w:val="0032246A"/>
    <w:rsid w:val="00322649"/>
    <w:rsid w:val="00322F15"/>
    <w:rsid w:val="00324252"/>
    <w:rsid w:val="00324BD0"/>
    <w:rsid w:val="0032604F"/>
    <w:rsid w:val="00326322"/>
    <w:rsid w:val="00326D26"/>
    <w:rsid w:val="003279B5"/>
    <w:rsid w:val="003337D8"/>
    <w:rsid w:val="00334024"/>
    <w:rsid w:val="003348E1"/>
    <w:rsid w:val="00334EB3"/>
    <w:rsid w:val="00337089"/>
    <w:rsid w:val="00340DF4"/>
    <w:rsid w:val="00341111"/>
    <w:rsid w:val="00342201"/>
    <w:rsid w:val="00342F14"/>
    <w:rsid w:val="0034528E"/>
    <w:rsid w:val="00345C29"/>
    <w:rsid w:val="00347AB2"/>
    <w:rsid w:val="00347B2A"/>
    <w:rsid w:val="00347F5E"/>
    <w:rsid w:val="003510EC"/>
    <w:rsid w:val="003530DE"/>
    <w:rsid w:val="003532D1"/>
    <w:rsid w:val="003537AD"/>
    <w:rsid w:val="00355354"/>
    <w:rsid w:val="00356979"/>
    <w:rsid w:val="00356A1A"/>
    <w:rsid w:val="00356C6D"/>
    <w:rsid w:val="00356D73"/>
    <w:rsid w:val="00360B28"/>
    <w:rsid w:val="00361B35"/>
    <w:rsid w:val="00361CBD"/>
    <w:rsid w:val="00362F6E"/>
    <w:rsid w:val="00363445"/>
    <w:rsid w:val="00364608"/>
    <w:rsid w:val="00364A4A"/>
    <w:rsid w:val="003653D5"/>
    <w:rsid w:val="003659C1"/>
    <w:rsid w:val="00366898"/>
    <w:rsid w:val="0036691F"/>
    <w:rsid w:val="00367B20"/>
    <w:rsid w:val="00367F0E"/>
    <w:rsid w:val="00371543"/>
    <w:rsid w:val="003733C2"/>
    <w:rsid w:val="00374235"/>
    <w:rsid w:val="00374440"/>
    <w:rsid w:val="0037450B"/>
    <w:rsid w:val="00374576"/>
    <w:rsid w:val="0037465D"/>
    <w:rsid w:val="003751E6"/>
    <w:rsid w:val="0037534B"/>
    <w:rsid w:val="003757CA"/>
    <w:rsid w:val="00375BB7"/>
    <w:rsid w:val="00375E2D"/>
    <w:rsid w:val="00375E7B"/>
    <w:rsid w:val="00380271"/>
    <w:rsid w:val="00380D2B"/>
    <w:rsid w:val="003811C2"/>
    <w:rsid w:val="003814CD"/>
    <w:rsid w:val="00381977"/>
    <w:rsid w:val="0038218A"/>
    <w:rsid w:val="0038222D"/>
    <w:rsid w:val="00383F14"/>
    <w:rsid w:val="0038423D"/>
    <w:rsid w:val="00384B26"/>
    <w:rsid w:val="00384FA2"/>
    <w:rsid w:val="00386380"/>
    <w:rsid w:val="003863E2"/>
    <w:rsid w:val="00386D2D"/>
    <w:rsid w:val="00391FDF"/>
    <w:rsid w:val="00392293"/>
    <w:rsid w:val="003929AA"/>
    <w:rsid w:val="0039349B"/>
    <w:rsid w:val="00393849"/>
    <w:rsid w:val="0039441A"/>
    <w:rsid w:val="00396A46"/>
    <w:rsid w:val="00396E1E"/>
    <w:rsid w:val="00397DAC"/>
    <w:rsid w:val="00397F52"/>
    <w:rsid w:val="003A1409"/>
    <w:rsid w:val="003A18B5"/>
    <w:rsid w:val="003A2284"/>
    <w:rsid w:val="003A4142"/>
    <w:rsid w:val="003A4A17"/>
    <w:rsid w:val="003A4C47"/>
    <w:rsid w:val="003A555B"/>
    <w:rsid w:val="003A5FAE"/>
    <w:rsid w:val="003A7189"/>
    <w:rsid w:val="003B182E"/>
    <w:rsid w:val="003B1D76"/>
    <w:rsid w:val="003B54AF"/>
    <w:rsid w:val="003B5F03"/>
    <w:rsid w:val="003B7824"/>
    <w:rsid w:val="003C00CB"/>
    <w:rsid w:val="003C0F9E"/>
    <w:rsid w:val="003C1110"/>
    <w:rsid w:val="003C41FF"/>
    <w:rsid w:val="003C42D5"/>
    <w:rsid w:val="003C4D43"/>
    <w:rsid w:val="003C5FFD"/>
    <w:rsid w:val="003D04D7"/>
    <w:rsid w:val="003D15EA"/>
    <w:rsid w:val="003D1ED5"/>
    <w:rsid w:val="003D2876"/>
    <w:rsid w:val="003D2DA1"/>
    <w:rsid w:val="003D4506"/>
    <w:rsid w:val="003D485F"/>
    <w:rsid w:val="003D49AD"/>
    <w:rsid w:val="003D4EEF"/>
    <w:rsid w:val="003D5C4D"/>
    <w:rsid w:val="003D6AEE"/>
    <w:rsid w:val="003D6CD2"/>
    <w:rsid w:val="003D79C4"/>
    <w:rsid w:val="003E1737"/>
    <w:rsid w:val="003E50A4"/>
    <w:rsid w:val="003E67BF"/>
    <w:rsid w:val="003F10BF"/>
    <w:rsid w:val="003F11FB"/>
    <w:rsid w:val="003F225C"/>
    <w:rsid w:val="003F25E9"/>
    <w:rsid w:val="003F327E"/>
    <w:rsid w:val="003F4E72"/>
    <w:rsid w:val="003F62DB"/>
    <w:rsid w:val="00401306"/>
    <w:rsid w:val="004017FF"/>
    <w:rsid w:val="00401BE3"/>
    <w:rsid w:val="0040336F"/>
    <w:rsid w:val="00403935"/>
    <w:rsid w:val="00405373"/>
    <w:rsid w:val="00405BD4"/>
    <w:rsid w:val="00405C12"/>
    <w:rsid w:val="00406173"/>
    <w:rsid w:val="00407285"/>
    <w:rsid w:val="0041021D"/>
    <w:rsid w:val="00410B27"/>
    <w:rsid w:val="004119A5"/>
    <w:rsid w:val="00412C0F"/>
    <w:rsid w:val="00412C61"/>
    <w:rsid w:val="0041340C"/>
    <w:rsid w:val="0041396B"/>
    <w:rsid w:val="00413BC2"/>
    <w:rsid w:val="00413DA6"/>
    <w:rsid w:val="00413DC2"/>
    <w:rsid w:val="00416385"/>
    <w:rsid w:val="004208CE"/>
    <w:rsid w:val="00420988"/>
    <w:rsid w:val="00422F1C"/>
    <w:rsid w:val="00425327"/>
    <w:rsid w:val="0042559E"/>
    <w:rsid w:val="00425EFF"/>
    <w:rsid w:val="00426CEC"/>
    <w:rsid w:val="004272B7"/>
    <w:rsid w:val="004276F8"/>
    <w:rsid w:val="00427E5D"/>
    <w:rsid w:val="00427FBB"/>
    <w:rsid w:val="0043246C"/>
    <w:rsid w:val="00433B5F"/>
    <w:rsid w:val="004340E0"/>
    <w:rsid w:val="00434E0D"/>
    <w:rsid w:val="004353E1"/>
    <w:rsid w:val="00436CFE"/>
    <w:rsid w:val="004379B0"/>
    <w:rsid w:val="00442724"/>
    <w:rsid w:val="00447442"/>
    <w:rsid w:val="0044762D"/>
    <w:rsid w:val="00447F69"/>
    <w:rsid w:val="00450310"/>
    <w:rsid w:val="004522C9"/>
    <w:rsid w:val="00452B76"/>
    <w:rsid w:val="00452EB1"/>
    <w:rsid w:val="00457670"/>
    <w:rsid w:val="004577CB"/>
    <w:rsid w:val="0046061F"/>
    <w:rsid w:val="00460D93"/>
    <w:rsid w:val="004611A3"/>
    <w:rsid w:val="00461957"/>
    <w:rsid w:val="00462C2F"/>
    <w:rsid w:val="0046391E"/>
    <w:rsid w:val="00463B30"/>
    <w:rsid w:val="004643E7"/>
    <w:rsid w:val="00466597"/>
    <w:rsid w:val="004665DF"/>
    <w:rsid w:val="00467950"/>
    <w:rsid w:val="00470709"/>
    <w:rsid w:val="00470FBB"/>
    <w:rsid w:val="00472D13"/>
    <w:rsid w:val="00472FE6"/>
    <w:rsid w:val="004752D8"/>
    <w:rsid w:val="00475608"/>
    <w:rsid w:val="004806F7"/>
    <w:rsid w:val="00480770"/>
    <w:rsid w:val="00480B93"/>
    <w:rsid w:val="00481062"/>
    <w:rsid w:val="0048271D"/>
    <w:rsid w:val="0048317D"/>
    <w:rsid w:val="00483716"/>
    <w:rsid w:val="0048482D"/>
    <w:rsid w:val="0048555C"/>
    <w:rsid w:val="00485695"/>
    <w:rsid w:val="00485CC8"/>
    <w:rsid w:val="00486D9E"/>
    <w:rsid w:val="00486E3A"/>
    <w:rsid w:val="004874AE"/>
    <w:rsid w:val="00487C86"/>
    <w:rsid w:val="00490746"/>
    <w:rsid w:val="00490E2F"/>
    <w:rsid w:val="004913D5"/>
    <w:rsid w:val="00491E5F"/>
    <w:rsid w:val="00492F15"/>
    <w:rsid w:val="004949D4"/>
    <w:rsid w:val="0049514D"/>
    <w:rsid w:val="00495B2D"/>
    <w:rsid w:val="004967AA"/>
    <w:rsid w:val="004A0F0F"/>
    <w:rsid w:val="004A2ED9"/>
    <w:rsid w:val="004A3D4F"/>
    <w:rsid w:val="004A4043"/>
    <w:rsid w:val="004A6048"/>
    <w:rsid w:val="004A6E9D"/>
    <w:rsid w:val="004A7EEA"/>
    <w:rsid w:val="004B0913"/>
    <w:rsid w:val="004B0EA5"/>
    <w:rsid w:val="004B1D54"/>
    <w:rsid w:val="004B5D99"/>
    <w:rsid w:val="004B6574"/>
    <w:rsid w:val="004B77A0"/>
    <w:rsid w:val="004B7B56"/>
    <w:rsid w:val="004C0144"/>
    <w:rsid w:val="004C0AA0"/>
    <w:rsid w:val="004C0C0E"/>
    <w:rsid w:val="004C2C16"/>
    <w:rsid w:val="004C3980"/>
    <w:rsid w:val="004C55BD"/>
    <w:rsid w:val="004C6C00"/>
    <w:rsid w:val="004C6C48"/>
    <w:rsid w:val="004D0201"/>
    <w:rsid w:val="004D2ED8"/>
    <w:rsid w:val="004D40E4"/>
    <w:rsid w:val="004D4A1D"/>
    <w:rsid w:val="004D5AF3"/>
    <w:rsid w:val="004D7124"/>
    <w:rsid w:val="004D73C6"/>
    <w:rsid w:val="004E09CB"/>
    <w:rsid w:val="004E1B18"/>
    <w:rsid w:val="004E3B47"/>
    <w:rsid w:val="004E6A23"/>
    <w:rsid w:val="004E6E07"/>
    <w:rsid w:val="004E6E86"/>
    <w:rsid w:val="004F09CD"/>
    <w:rsid w:val="004F3EE6"/>
    <w:rsid w:val="004F4FD1"/>
    <w:rsid w:val="004F5CC2"/>
    <w:rsid w:val="004F6BDA"/>
    <w:rsid w:val="004F6C0F"/>
    <w:rsid w:val="004F7E92"/>
    <w:rsid w:val="00500997"/>
    <w:rsid w:val="005009A8"/>
    <w:rsid w:val="005009E6"/>
    <w:rsid w:val="005023D7"/>
    <w:rsid w:val="00503297"/>
    <w:rsid w:val="00503FF0"/>
    <w:rsid w:val="005043EB"/>
    <w:rsid w:val="0050440D"/>
    <w:rsid w:val="00504498"/>
    <w:rsid w:val="00504FEB"/>
    <w:rsid w:val="005051BA"/>
    <w:rsid w:val="00506414"/>
    <w:rsid w:val="0050691A"/>
    <w:rsid w:val="00506D8F"/>
    <w:rsid w:val="005078E7"/>
    <w:rsid w:val="00507CE5"/>
    <w:rsid w:val="0051053D"/>
    <w:rsid w:val="00510C0F"/>
    <w:rsid w:val="005115F8"/>
    <w:rsid w:val="0051241A"/>
    <w:rsid w:val="0051245D"/>
    <w:rsid w:val="0051277B"/>
    <w:rsid w:val="00512B2F"/>
    <w:rsid w:val="00513B0A"/>
    <w:rsid w:val="00514CA2"/>
    <w:rsid w:val="00514E2E"/>
    <w:rsid w:val="00514FD8"/>
    <w:rsid w:val="00515772"/>
    <w:rsid w:val="00517A68"/>
    <w:rsid w:val="00517D18"/>
    <w:rsid w:val="00522143"/>
    <w:rsid w:val="00522DB4"/>
    <w:rsid w:val="00523412"/>
    <w:rsid w:val="0052461B"/>
    <w:rsid w:val="0052698A"/>
    <w:rsid w:val="00530027"/>
    <w:rsid w:val="005304FA"/>
    <w:rsid w:val="00530663"/>
    <w:rsid w:val="0053192A"/>
    <w:rsid w:val="00531B8D"/>
    <w:rsid w:val="00532FCD"/>
    <w:rsid w:val="005377F6"/>
    <w:rsid w:val="00537C76"/>
    <w:rsid w:val="00540792"/>
    <w:rsid w:val="00540F91"/>
    <w:rsid w:val="00541EC6"/>
    <w:rsid w:val="00541ED0"/>
    <w:rsid w:val="005436A3"/>
    <w:rsid w:val="005453D7"/>
    <w:rsid w:val="005471B1"/>
    <w:rsid w:val="00547477"/>
    <w:rsid w:val="0054748A"/>
    <w:rsid w:val="005511E0"/>
    <w:rsid w:val="00553316"/>
    <w:rsid w:val="005534C2"/>
    <w:rsid w:val="00554312"/>
    <w:rsid w:val="00554592"/>
    <w:rsid w:val="00554631"/>
    <w:rsid w:val="005554E2"/>
    <w:rsid w:val="005570DE"/>
    <w:rsid w:val="00560B3D"/>
    <w:rsid w:val="00561AD1"/>
    <w:rsid w:val="00564116"/>
    <w:rsid w:val="00565886"/>
    <w:rsid w:val="0056694B"/>
    <w:rsid w:val="0056793B"/>
    <w:rsid w:val="00570E8C"/>
    <w:rsid w:val="00570F63"/>
    <w:rsid w:val="00570F84"/>
    <w:rsid w:val="005718B8"/>
    <w:rsid w:val="00572AAF"/>
    <w:rsid w:val="00572C25"/>
    <w:rsid w:val="00573205"/>
    <w:rsid w:val="0057476A"/>
    <w:rsid w:val="00574854"/>
    <w:rsid w:val="00576149"/>
    <w:rsid w:val="005802BB"/>
    <w:rsid w:val="00581184"/>
    <w:rsid w:val="00581C9D"/>
    <w:rsid w:val="00581CBF"/>
    <w:rsid w:val="005823B6"/>
    <w:rsid w:val="005829B9"/>
    <w:rsid w:val="00584C41"/>
    <w:rsid w:val="005860F6"/>
    <w:rsid w:val="00587864"/>
    <w:rsid w:val="00587E0D"/>
    <w:rsid w:val="0059099E"/>
    <w:rsid w:val="00590C87"/>
    <w:rsid w:val="00592290"/>
    <w:rsid w:val="00592AC3"/>
    <w:rsid w:val="00593159"/>
    <w:rsid w:val="00593E56"/>
    <w:rsid w:val="00594781"/>
    <w:rsid w:val="005964B1"/>
    <w:rsid w:val="005964E9"/>
    <w:rsid w:val="00597D0E"/>
    <w:rsid w:val="005A00BC"/>
    <w:rsid w:val="005A04FC"/>
    <w:rsid w:val="005A062D"/>
    <w:rsid w:val="005A0AEB"/>
    <w:rsid w:val="005A198F"/>
    <w:rsid w:val="005A267E"/>
    <w:rsid w:val="005A3B7B"/>
    <w:rsid w:val="005A579B"/>
    <w:rsid w:val="005A6BCB"/>
    <w:rsid w:val="005A7193"/>
    <w:rsid w:val="005B1B03"/>
    <w:rsid w:val="005B22B5"/>
    <w:rsid w:val="005B2BB2"/>
    <w:rsid w:val="005B3206"/>
    <w:rsid w:val="005B3851"/>
    <w:rsid w:val="005B433D"/>
    <w:rsid w:val="005B5389"/>
    <w:rsid w:val="005B70BF"/>
    <w:rsid w:val="005B77C7"/>
    <w:rsid w:val="005B7C48"/>
    <w:rsid w:val="005C0B00"/>
    <w:rsid w:val="005C0E0C"/>
    <w:rsid w:val="005C1B1E"/>
    <w:rsid w:val="005C3135"/>
    <w:rsid w:val="005C31D1"/>
    <w:rsid w:val="005C367F"/>
    <w:rsid w:val="005C36DA"/>
    <w:rsid w:val="005C3949"/>
    <w:rsid w:val="005C429C"/>
    <w:rsid w:val="005C4559"/>
    <w:rsid w:val="005C6041"/>
    <w:rsid w:val="005C6687"/>
    <w:rsid w:val="005C68A1"/>
    <w:rsid w:val="005C6ECE"/>
    <w:rsid w:val="005C73FD"/>
    <w:rsid w:val="005C7A51"/>
    <w:rsid w:val="005D0606"/>
    <w:rsid w:val="005D0BDF"/>
    <w:rsid w:val="005D186F"/>
    <w:rsid w:val="005D22ED"/>
    <w:rsid w:val="005D2AE0"/>
    <w:rsid w:val="005D3790"/>
    <w:rsid w:val="005D3BDE"/>
    <w:rsid w:val="005D4557"/>
    <w:rsid w:val="005D6F1B"/>
    <w:rsid w:val="005E0EFC"/>
    <w:rsid w:val="005E25BD"/>
    <w:rsid w:val="005E4492"/>
    <w:rsid w:val="005E4AE2"/>
    <w:rsid w:val="005E4E6D"/>
    <w:rsid w:val="005E513D"/>
    <w:rsid w:val="005E5BEA"/>
    <w:rsid w:val="005E7188"/>
    <w:rsid w:val="005E77B5"/>
    <w:rsid w:val="005F042E"/>
    <w:rsid w:val="005F0E79"/>
    <w:rsid w:val="005F160C"/>
    <w:rsid w:val="005F2BC0"/>
    <w:rsid w:val="005F2C69"/>
    <w:rsid w:val="005F2D30"/>
    <w:rsid w:val="005F62A1"/>
    <w:rsid w:val="005F697C"/>
    <w:rsid w:val="005F70EB"/>
    <w:rsid w:val="005F7A40"/>
    <w:rsid w:val="005F7AD5"/>
    <w:rsid w:val="006009A3"/>
    <w:rsid w:val="00600F77"/>
    <w:rsid w:val="00603F7C"/>
    <w:rsid w:val="00605539"/>
    <w:rsid w:val="0060599B"/>
    <w:rsid w:val="00606E59"/>
    <w:rsid w:val="00607548"/>
    <w:rsid w:val="00611A5A"/>
    <w:rsid w:val="00611BCC"/>
    <w:rsid w:val="006122CE"/>
    <w:rsid w:val="006128C6"/>
    <w:rsid w:val="006138D1"/>
    <w:rsid w:val="00613AB3"/>
    <w:rsid w:val="00614EC2"/>
    <w:rsid w:val="00616C70"/>
    <w:rsid w:val="00616DF0"/>
    <w:rsid w:val="00617DBB"/>
    <w:rsid w:val="00620F7A"/>
    <w:rsid w:val="006241FA"/>
    <w:rsid w:val="00624721"/>
    <w:rsid w:val="00625F80"/>
    <w:rsid w:val="0062630F"/>
    <w:rsid w:val="00626CD6"/>
    <w:rsid w:val="00626FF1"/>
    <w:rsid w:val="00627704"/>
    <w:rsid w:val="0063037A"/>
    <w:rsid w:val="00631691"/>
    <w:rsid w:val="00631FB2"/>
    <w:rsid w:val="006355FF"/>
    <w:rsid w:val="00635626"/>
    <w:rsid w:val="006362D4"/>
    <w:rsid w:val="00636991"/>
    <w:rsid w:val="00637416"/>
    <w:rsid w:val="00640800"/>
    <w:rsid w:val="00641E04"/>
    <w:rsid w:val="00642C98"/>
    <w:rsid w:val="00643C78"/>
    <w:rsid w:val="00643DAF"/>
    <w:rsid w:val="00643F28"/>
    <w:rsid w:val="00643FEC"/>
    <w:rsid w:val="006440A9"/>
    <w:rsid w:val="006451EF"/>
    <w:rsid w:val="0064523D"/>
    <w:rsid w:val="00645D04"/>
    <w:rsid w:val="006531E2"/>
    <w:rsid w:val="00653DAA"/>
    <w:rsid w:val="00653DB4"/>
    <w:rsid w:val="006548FB"/>
    <w:rsid w:val="00655409"/>
    <w:rsid w:val="0065547F"/>
    <w:rsid w:val="0065725D"/>
    <w:rsid w:val="006578F5"/>
    <w:rsid w:val="00660E1A"/>
    <w:rsid w:val="00660FEC"/>
    <w:rsid w:val="00661071"/>
    <w:rsid w:val="006618FB"/>
    <w:rsid w:val="00661C34"/>
    <w:rsid w:val="00662F87"/>
    <w:rsid w:val="006633DC"/>
    <w:rsid w:val="0066368E"/>
    <w:rsid w:val="00663768"/>
    <w:rsid w:val="00664562"/>
    <w:rsid w:val="00666107"/>
    <w:rsid w:val="00667E4F"/>
    <w:rsid w:val="00670EA3"/>
    <w:rsid w:val="0067118A"/>
    <w:rsid w:val="0067156F"/>
    <w:rsid w:val="00671D18"/>
    <w:rsid w:val="00672ECB"/>
    <w:rsid w:val="0067441C"/>
    <w:rsid w:val="00675941"/>
    <w:rsid w:val="00675C93"/>
    <w:rsid w:val="00675CAF"/>
    <w:rsid w:val="00676E97"/>
    <w:rsid w:val="006771BD"/>
    <w:rsid w:val="006807B5"/>
    <w:rsid w:val="00680970"/>
    <w:rsid w:val="00680A4A"/>
    <w:rsid w:val="00681541"/>
    <w:rsid w:val="0068258C"/>
    <w:rsid w:val="00683264"/>
    <w:rsid w:val="00684017"/>
    <w:rsid w:val="0068464B"/>
    <w:rsid w:val="006854BC"/>
    <w:rsid w:val="006868AC"/>
    <w:rsid w:val="0069014C"/>
    <w:rsid w:val="00691BB9"/>
    <w:rsid w:val="006928C5"/>
    <w:rsid w:val="00693B18"/>
    <w:rsid w:val="00693DCC"/>
    <w:rsid w:val="0069522D"/>
    <w:rsid w:val="00695944"/>
    <w:rsid w:val="00695A31"/>
    <w:rsid w:val="00696088"/>
    <w:rsid w:val="00696EBA"/>
    <w:rsid w:val="006970A0"/>
    <w:rsid w:val="006A03F2"/>
    <w:rsid w:val="006A1AF0"/>
    <w:rsid w:val="006A3B0D"/>
    <w:rsid w:val="006A4065"/>
    <w:rsid w:val="006A40AE"/>
    <w:rsid w:val="006A45E4"/>
    <w:rsid w:val="006A654C"/>
    <w:rsid w:val="006A7596"/>
    <w:rsid w:val="006B0539"/>
    <w:rsid w:val="006B222A"/>
    <w:rsid w:val="006B283F"/>
    <w:rsid w:val="006B515D"/>
    <w:rsid w:val="006B6E65"/>
    <w:rsid w:val="006B7848"/>
    <w:rsid w:val="006C0623"/>
    <w:rsid w:val="006C08AE"/>
    <w:rsid w:val="006C0CA2"/>
    <w:rsid w:val="006C16FF"/>
    <w:rsid w:val="006C261F"/>
    <w:rsid w:val="006C2C59"/>
    <w:rsid w:val="006C3FE2"/>
    <w:rsid w:val="006C5145"/>
    <w:rsid w:val="006C6184"/>
    <w:rsid w:val="006C6ABE"/>
    <w:rsid w:val="006C764F"/>
    <w:rsid w:val="006C7EDE"/>
    <w:rsid w:val="006D00CB"/>
    <w:rsid w:val="006D1607"/>
    <w:rsid w:val="006D44F0"/>
    <w:rsid w:val="006D4672"/>
    <w:rsid w:val="006D7358"/>
    <w:rsid w:val="006E0791"/>
    <w:rsid w:val="006E0C82"/>
    <w:rsid w:val="006E2418"/>
    <w:rsid w:val="006E35FE"/>
    <w:rsid w:val="006E3CF8"/>
    <w:rsid w:val="006E49B9"/>
    <w:rsid w:val="006E5164"/>
    <w:rsid w:val="006E6252"/>
    <w:rsid w:val="006E6B22"/>
    <w:rsid w:val="006E70F1"/>
    <w:rsid w:val="006F065B"/>
    <w:rsid w:val="006F2AF5"/>
    <w:rsid w:val="006F3253"/>
    <w:rsid w:val="006F57AD"/>
    <w:rsid w:val="006F6056"/>
    <w:rsid w:val="006F6F6D"/>
    <w:rsid w:val="00702F2F"/>
    <w:rsid w:val="00704006"/>
    <w:rsid w:val="00706779"/>
    <w:rsid w:val="00706DFE"/>
    <w:rsid w:val="0070762B"/>
    <w:rsid w:val="00715167"/>
    <w:rsid w:val="00717655"/>
    <w:rsid w:val="007209EF"/>
    <w:rsid w:val="00723281"/>
    <w:rsid w:val="0072431F"/>
    <w:rsid w:val="00726C90"/>
    <w:rsid w:val="00726DDF"/>
    <w:rsid w:val="0073055A"/>
    <w:rsid w:val="00737E1B"/>
    <w:rsid w:val="0074296C"/>
    <w:rsid w:val="00742D98"/>
    <w:rsid w:val="00743207"/>
    <w:rsid w:val="00744590"/>
    <w:rsid w:val="00744624"/>
    <w:rsid w:val="00744AC6"/>
    <w:rsid w:val="00746223"/>
    <w:rsid w:val="0075009B"/>
    <w:rsid w:val="00751897"/>
    <w:rsid w:val="0075331C"/>
    <w:rsid w:val="00754058"/>
    <w:rsid w:val="00755FA6"/>
    <w:rsid w:val="00756A04"/>
    <w:rsid w:val="00756FA9"/>
    <w:rsid w:val="00757BF4"/>
    <w:rsid w:val="0076194B"/>
    <w:rsid w:val="00761FCF"/>
    <w:rsid w:val="00762AB5"/>
    <w:rsid w:val="00763C91"/>
    <w:rsid w:val="0076437E"/>
    <w:rsid w:val="00764D6A"/>
    <w:rsid w:val="00766CFB"/>
    <w:rsid w:val="007675CE"/>
    <w:rsid w:val="00767ACF"/>
    <w:rsid w:val="007705C7"/>
    <w:rsid w:val="00773056"/>
    <w:rsid w:val="007737BB"/>
    <w:rsid w:val="007751CF"/>
    <w:rsid w:val="0077546D"/>
    <w:rsid w:val="00780032"/>
    <w:rsid w:val="007801BA"/>
    <w:rsid w:val="00781B9E"/>
    <w:rsid w:val="00782714"/>
    <w:rsid w:val="00783F2D"/>
    <w:rsid w:val="007858AF"/>
    <w:rsid w:val="007861DD"/>
    <w:rsid w:val="00786CF4"/>
    <w:rsid w:val="00792573"/>
    <w:rsid w:val="007955AA"/>
    <w:rsid w:val="007960E8"/>
    <w:rsid w:val="00796BB0"/>
    <w:rsid w:val="007970EB"/>
    <w:rsid w:val="007972E6"/>
    <w:rsid w:val="00797D62"/>
    <w:rsid w:val="00797E43"/>
    <w:rsid w:val="007A08A1"/>
    <w:rsid w:val="007A22B8"/>
    <w:rsid w:val="007A2729"/>
    <w:rsid w:val="007A2A49"/>
    <w:rsid w:val="007A3FB8"/>
    <w:rsid w:val="007A4D56"/>
    <w:rsid w:val="007A5426"/>
    <w:rsid w:val="007A5D10"/>
    <w:rsid w:val="007A5EBA"/>
    <w:rsid w:val="007A6AE2"/>
    <w:rsid w:val="007A7030"/>
    <w:rsid w:val="007B124B"/>
    <w:rsid w:val="007B18A7"/>
    <w:rsid w:val="007B27EE"/>
    <w:rsid w:val="007B28DF"/>
    <w:rsid w:val="007B3756"/>
    <w:rsid w:val="007B3B72"/>
    <w:rsid w:val="007B6790"/>
    <w:rsid w:val="007C0F00"/>
    <w:rsid w:val="007C1A1D"/>
    <w:rsid w:val="007C326B"/>
    <w:rsid w:val="007C3589"/>
    <w:rsid w:val="007C358A"/>
    <w:rsid w:val="007C35FC"/>
    <w:rsid w:val="007C5545"/>
    <w:rsid w:val="007C5C6C"/>
    <w:rsid w:val="007D1AF2"/>
    <w:rsid w:val="007D25B2"/>
    <w:rsid w:val="007D57BE"/>
    <w:rsid w:val="007D7F3D"/>
    <w:rsid w:val="007E0510"/>
    <w:rsid w:val="007E38D7"/>
    <w:rsid w:val="007E49C5"/>
    <w:rsid w:val="007E5636"/>
    <w:rsid w:val="007E58EE"/>
    <w:rsid w:val="007E5CF9"/>
    <w:rsid w:val="007E5EA7"/>
    <w:rsid w:val="007E7A14"/>
    <w:rsid w:val="007F120D"/>
    <w:rsid w:val="007F228C"/>
    <w:rsid w:val="007F30DC"/>
    <w:rsid w:val="007F3B9A"/>
    <w:rsid w:val="007F63EF"/>
    <w:rsid w:val="007F73E3"/>
    <w:rsid w:val="00800161"/>
    <w:rsid w:val="00800368"/>
    <w:rsid w:val="00801475"/>
    <w:rsid w:val="0080157D"/>
    <w:rsid w:val="00801787"/>
    <w:rsid w:val="0080178C"/>
    <w:rsid w:val="008032A1"/>
    <w:rsid w:val="008039F9"/>
    <w:rsid w:val="00805CFF"/>
    <w:rsid w:val="00806F66"/>
    <w:rsid w:val="00807211"/>
    <w:rsid w:val="008104CE"/>
    <w:rsid w:val="00810A3E"/>
    <w:rsid w:val="00811355"/>
    <w:rsid w:val="008129F7"/>
    <w:rsid w:val="00813377"/>
    <w:rsid w:val="00813539"/>
    <w:rsid w:val="00813A77"/>
    <w:rsid w:val="00815309"/>
    <w:rsid w:val="00816920"/>
    <w:rsid w:val="00817658"/>
    <w:rsid w:val="00820F04"/>
    <w:rsid w:val="00820F57"/>
    <w:rsid w:val="0082413E"/>
    <w:rsid w:val="00824AB3"/>
    <w:rsid w:val="00824D7E"/>
    <w:rsid w:val="00825DBA"/>
    <w:rsid w:val="00826F23"/>
    <w:rsid w:val="00827E66"/>
    <w:rsid w:val="00831398"/>
    <w:rsid w:val="00831630"/>
    <w:rsid w:val="00832E21"/>
    <w:rsid w:val="00835529"/>
    <w:rsid w:val="0083579C"/>
    <w:rsid w:val="008369B7"/>
    <w:rsid w:val="00837855"/>
    <w:rsid w:val="008406F9"/>
    <w:rsid w:val="008421E0"/>
    <w:rsid w:val="0084307F"/>
    <w:rsid w:val="00843DF4"/>
    <w:rsid w:val="00844554"/>
    <w:rsid w:val="0085032B"/>
    <w:rsid w:val="00850671"/>
    <w:rsid w:val="00850F7D"/>
    <w:rsid w:val="00851112"/>
    <w:rsid w:val="008512BB"/>
    <w:rsid w:val="00851711"/>
    <w:rsid w:val="00852411"/>
    <w:rsid w:val="008525CD"/>
    <w:rsid w:val="00852A5C"/>
    <w:rsid w:val="008535BF"/>
    <w:rsid w:val="00853857"/>
    <w:rsid w:val="008547B8"/>
    <w:rsid w:val="00857A90"/>
    <w:rsid w:val="00857F5A"/>
    <w:rsid w:val="00860E67"/>
    <w:rsid w:val="00861434"/>
    <w:rsid w:val="008632E9"/>
    <w:rsid w:val="00863577"/>
    <w:rsid w:val="008640DC"/>
    <w:rsid w:val="00865A76"/>
    <w:rsid w:val="0086620F"/>
    <w:rsid w:val="00870EDC"/>
    <w:rsid w:val="0087135C"/>
    <w:rsid w:val="00875B89"/>
    <w:rsid w:val="00875F4E"/>
    <w:rsid w:val="0087612C"/>
    <w:rsid w:val="00877D8D"/>
    <w:rsid w:val="00882353"/>
    <w:rsid w:val="008844F5"/>
    <w:rsid w:val="00884E3A"/>
    <w:rsid w:val="00885209"/>
    <w:rsid w:val="00885740"/>
    <w:rsid w:val="00887C19"/>
    <w:rsid w:val="00892CC1"/>
    <w:rsid w:val="00892DFC"/>
    <w:rsid w:val="008946E8"/>
    <w:rsid w:val="00895263"/>
    <w:rsid w:val="008965D5"/>
    <w:rsid w:val="00897462"/>
    <w:rsid w:val="008A0EE3"/>
    <w:rsid w:val="008A27CE"/>
    <w:rsid w:val="008A3056"/>
    <w:rsid w:val="008A3101"/>
    <w:rsid w:val="008A43C7"/>
    <w:rsid w:val="008A5A59"/>
    <w:rsid w:val="008A6E73"/>
    <w:rsid w:val="008B0712"/>
    <w:rsid w:val="008B0AF8"/>
    <w:rsid w:val="008B0CBF"/>
    <w:rsid w:val="008B0E25"/>
    <w:rsid w:val="008B1A74"/>
    <w:rsid w:val="008B40CE"/>
    <w:rsid w:val="008B62D0"/>
    <w:rsid w:val="008C1098"/>
    <w:rsid w:val="008C1369"/>
    <w:rsid w:val="008C2300"/>
    <w:rsid w:val="008C25AF"/>
    <w:rsid w:val="008C36C2"/>
    <w:rsid w:val="008C3A23"/>
    <w:rsid w:val="008C4D99"/>
    <w:rsid w:val="008C59B8"/>
    <w:rsid w:val="008C6A26"/>
    <w:rsid w:val="008C6A5B"/>
    <w:rsid w:val="008D03FB"/>
    <w:rsid w:val="008D0974"/>
    <w:rsid w:val="008D0A34"/>
    <w:rsid w:val="008D267B"/>
    <w:rsid w:val="008D2732"/>
    <w:rsid w:val="008D350A"/>
    <w:rsid w:val="008D3796"/>
    <w:rsid w:val="008D3C8F"/>
    <w:rsid w:val="008D3EEA"/>
    <w:rsid w:val="008D619B"/>
    <w:rsid w:val="008E032F"/>
    <w:rsid w:val="008E0E06"/>
    <w:rsid w:val="008E1185"/>
    <w:rsid w:val="008E193D"/>
    <w:rsid w:val="008E2377"/>
    <w:rsid w:val="008E319E"/>
    <w:rsid w:val="008E587B"/>
    <w:rsid w:val="008F2590"/>
    <w:rsid w:val="008F7F86"/>
    <w:rsid w:val="009001D0"/>
    <w:rsid w:val="00900D54"/>
    <w:rsid w:val="009020E6"/>
    <w:rsid w:val="00902A3C"/>
    <w:rsid w:val="009051A4"/>
    <w:rsid w:val="00906287"/>
    <w:rsid w:val="009066FE"/>
    <w:rsid w:val="0090773D"/>
    <w:rsid w:val="0091170D"/>
    <w:rsid w:val="00911A13"/>
    <w:rsid w:val="0091258F"/>
    <w:rsid w:val="00914465"/>
    <w:rsid w:val="00914AED"/>
    <w:rsid w:val="00914D16"/>
    <w:rsid w:val="0091581A"/>
    <w:rsid w:val="0092015E"/>
    <w:rsid w:val="0092150A"/>
    <w:rsid w:val="009219CB"/>
    <w:rsid w:val="00921A0B"/>
    <w:rsid w:val="0092335C"/>
    <w:rsid w:val="0092373A"/>
    <w:rsid w:val="00923CC9"/>
    <w:rsid w:val="00924EAA"/>
    <w:rsid w:val="009253D7"/>
    <w:rsid w:val="00925AC0"/>
    <w:rsid w:val="00925CA8"/>
    <w:rsid w:val="009260D2"/>
    <w:rsid w:val="009262D8"/>
    <w:rsid w:val="009300ED"/>
    <w:rsid w:val="0093381C"/>
    <w:rsid w:val="00934086"/>
    <w:rsid w:val="009345BA"/>
    <w:rsid w:val="00934C0D"/>
    <w:rsid w:val="00934D81"/>
    <w:rsid w:val="009356F3"/>
    <w:rsid w:val="0093673C"/>
    <w:rsid w:val="00937C02"/>
    <w:rsid w:val="00940E43"/>
    <w:rsid w:val="00941D19"/>
    <w:rsid w:val="0094201A"/>
    <w:rsid w:val="009423EF"/>
    <w:rsid w:val="00942637"/>
    <w:rsid w:val="00942A3B"/>
    <w:rsid w:val="009447D9"/>
    <w:rsid w:val="00944A33"/>
    <w:rsid w:val="00945E67"/>
    <w:rsid w:val="00946A37"/>
    <w:rsid w:val="00947890"/>
    <w:rsid w:val="0094791F"/>
    <w:rsid w:val="00952322"/>
    <w:rsid w:val="00953F46"/>
    <w:rsid w:val="0095530E"/>
    <w:rsid w:val="0095702E"/>
    <w:rsid w:val="00957AB0"/>
    <w:rsid w:val="00960265"/>
    <w:rsid w:val="009602BC"/>
    <w:rsid w:val="00960D20"/>
    <w:rsid w:val="00961144"/>
    <w:rsid w:val="009611B2"/>
    <w:rsid w:val="0096314C"/>
    <w:rsid w:val="00963B4C"/>
    <w:rsid w:val="00963EAB"/>
    <w:rsid w:val="00963F5D"/>
    <w:rsid w:val="009659A4"/>
    <w:rsid w:val="00965B28"/>
    <w:rsid w:val="00965CEB"/>
    <w:rsid w:val="00965DBB"/>
    <w:rsid w:val="009662FA"/>
    <w:rsid w:val="009665CF"/>
    <w:rsid w:val="0097039B"/>
    <w:rsid w:val="009707F6"/>
    <w:rsid w:val="009726A9"/>
    <w:rsid w:val="009728DB"/>
    <w:rsid w:val="009729E4"/>
    <w:rsid w:val="00972B62"/>
    <w:rsid w:val="00972C2C"/>
    <w:rsid w:val="00973A21"/>
    <w:rsid w:val="009753F3"/>
    <w:rsid w:val="0097613F"/>
    <w:rsid w:val="00976888"/>
    <w:rsid w:val="009773E3"/>
    <w:rsid w:val="00977658"/>
    <w:rsid w:val="0098039D"/>
    <w:rsid w:val="0098071F"/>
    <w:rsid w:val="00981C0D"/>
    <w:rsid w:val="00981C83"/>
    <w:rsid w:val="00982065"/>
    <w:rsid w:val="009826A8"/>
    <w:rsid w:val="00983227"/>
    <w:rsid w:val="00983E18"/>
    <w:rsid w:val="00984045"/>
    <w:rsid w:val="0098461C"/>
    <w:rsid w:val="00987493"/>
    <w:rsid w:val="00991C2F"/>
    <w:rsid w:val="00992094"/>
    <w:rsid w:val="00992636"/>
    <w:rsid w:val="0099358B"/>
    <w:rsid w:val="0099418E"/>
    <w:rsid w:val="00994845"/>
    <w:rsid w:val="009960CB"/>
    <w:rsid w:val="00996405"/>
    <w:rsid w:val="009968DC"/>
    <w:rsid w:val="00997D0F"/>
    <w:rsid w:val="009A015C"/>
    <w:rsid w:val="009A0657"/>
    <w:rsid w:val="009A1785"/>
    <w:rsid w:val="009A2116"/>
    <w:rsid w:val="009A21D9"/>
    <w:rsid w:val="009A3581"/>
    <w:rsid w:val="009A3D0B"/>
    <w:rsid w:val="009A5A32"/>
    <w:rsid w:val="009A723F"/>
    <w:rsid w:val="009B260B"/>
    <w:rsid w:val="009B34C5"/>
    <w:rsid w:val="009B53AF"/>
    <w:rsid w:val="009B5E76"/>
    <w:rsid w:val="009B6429"/>
    <w:rsid w:val="009B6450"/>
    <w:rsid w:val="009B68FF"/>
    <w:rsid w:val="009B6E25"/>
    <w:rsid w:val="009C02E6"/>
    <w:rsid w:val="009C0663"/>
    <w:rsid w:val="009C1003"/>
    <w:rsid w:val="009C3711"/>
    <w:rsid w:val="009C50B4"/>
    <w:rsid w:val="009C54BA"/>
    <w:rsid w:val="009C6075"/>
    <w:rsid w:val="009C60A6"/>
    <w:rsid w:val="009D05BE"/>
    <w:rsid w:val="009D0BBE"/>
    <w:rsid w:val="009D0BD2"/>
    <w:rsid w:val="009D1007"/>
    <w:rsid w:val="009D1743"/>
    <w:rsid w:val="009D4687"/>
    <w:rsid w:val="009D5007"/>
    <w:rsid w:val="009D56B1"/>
    <w:rsid w:val="009D62BF"/>
    <w:rsid w:val="009D68A0"/>
    <w:rsid w:val="009E10BF"/>
    <w:rsid w:val="009E2823"/>
    <w:rsid w:val="009E2AE2"/>
    <w:rsid w:val="009E35E6"/>
    <w:rsid w:val="009E37D2"/>
    <w:rsid w:val="009E42E4"/>
    <w:rsid w:val="009E461C"/>
    <w:rsid w:val="009E4B87"/>
    <w:rsid w:val="009E62F2"/>
    <w:rsid w:val="009E644B"/>
    <w:rsid w:val="009E6E25"/>
    <w:rsid w:val="009F2D49"/>
    <w:rsid w:val="009F41D6"/>
    <w:rsid w:val="009F4676"/>
    <w:rsid w:val="009F4F71"/>
    <w:rsid w:val="009F513D"/>
    <w:rsid w:val="009F73B0"/>
    <w:rsid w:val="00A0044D"/>
    <w:rsid w:val="00A044D2"/>
    <w:rsid w:val="00A047C5"/>
    <w:rsid w:val="00A04BB3"/>
    <w:rsid w:val="00A05506"/>
    <w:rsid w:val="00A0661A"/>
    <w:rsid w:val="00A075F3"/>
    <w:rsid w:val="00A07664"/>
    <w:rsid w:val="00A101CC"/>
    <w:rsid w:val="00A120F9"/>
    <w:rsid w:val="00A12923"/>
    <w:rsid w:val="00A13843"/>
    <w:rsid w:val="00A169F6"/>
    <w:rsid w:val="00A178A3"/>
    <w:rsid w:val="00A2034E"/>
    <w:rsid w:val="00A2127F"/>
    <w:rsid w:val="00A227C3"/>
    <w:rsid w:val="00A23C92"/>
    <w:rsid w:val="00A23F1C"/>
    <w:rsid w:val="00A24395"/>
    <w:rsid w:val="00A243A8"/>
    <w:rsid w:val="00A2581A"/>
    <w:rsid w:val="00A30261"/>
    <w:rsid w:val="00A3145E"/>
    <w:rsid w:val="00A32CE8"/>
    <w:rsid w:val="00A33321"/>
    <w:rsid w:val="00A33FAB"/>
    <w:rsid w:val="00A34461"/>
    <w:rsid w:val="00A36607"/>
    <w:rsid w:val="00A36DF1"/>
    <w:rsid w:val="00A410D3"/>
    <w:rsid w:val="00A426A3"/>
    <w:rsid w:val="00A42DEB"/>
    <w:rsid w:val="00A42ECD"/>
    <w:rsid w:val="00A433A2"/>
    <w:rsid w:val="00A44BC6"/>
    <w:rsid w:val="00A463DF"/>
    <w:rsid w:val="00A515CB"/>
    <w:rsid w:val="00A52816"/>
    <w:rsid w:val="00A52947"/>
    <w:rsid w:val="00A52BAD"/>
    <w:rsid w:val="00A532E4"/>
    <w:rsid w:val="00A535BD"/>
    <w:rsid w:val="00A553B8"/>
    <w:rsid w:val="00A57D95"/>
    <w:rsid w:val="00A60569"/>
    <w:rsid w:val="00A612A5"/>
    <w:rsid w:val="00A6152E"/>
    <w:rsid w:val="00A61EA9"/>
    <w:rsid w:val="00A62149"/>
    <w:rsid w:val="00A6226A"/>
    <w:rsid w:val="00A6327F"/>
    <w:rsid w:val="00A64D37"/>
    <w:rsid w:val="00A6732C"/>
    <w:rsid w:val="00A67A36"/>
    <w:rsid w:val="00A70132"/>
    <w:rsid w:val="00A71C35"/>
    <w:rsid w:val="00A72DEB"/>
    <w:rsid w:val="00A730DB"/>
    <w:rsid w:val="00A75ACC"/>
    <w:rsid w:val="00A75E7A"/>
    <w:rsid w:val="00A76513"/>
    <w:rsid w:val="00A7671A"/>
    <w:rsid w:val="00A777D4"/>
    <w:rsid w:val="00A7799D"/>
    <w:rsid w:val="00A80648"/>
    <w:rsid w:val="00A807B9"/>
    <w:rsid w:val="00A80E63"/>
    <w:rsid w:val="00A81281"/>
    <w:rsid w:val="00A829C3"/>
    <w:rsid w:val="00A836AA"/>
    <w:rsid w:val="00A83B9D"/>
    <w:rsid w:val="00A83C2F"/>
    <w:rsid w:val="00A859CB"/>
    <w:rsid w:val="00A8632F"/>
    <w:rsid w:val="00A904C1"/>
    <w:rsid w:val="00A90D19"/>
    <w:rsid w:val="00A90E07"/>
    <w:rsid w:val="00A91307"/>
    <w:rsid w:val="00A92333"/>
    <w:rsid w:val="00A929E6"/>
    <w:rsid w:val="00A935FF"/>
    <w:rsid w:val="00A93967"/>
    <w:rsid w:val="00A9449C"/>
    <w:rsid w:val="00A956A6"/>
    <w:rsid w:val="00A963B6"/>
    <w:rsid w:val="00AA09C3"/>
    <w:rsid w:val="00AA0A97"/>
    <w:rsid w:val="00AA317C"/>
    <w:rsid w:val="00AA3E88"/>
    <w:rsid w:val="00AA5B69"/>
    <w:rsid w:val="00AA7DE2"/>
    <w:rsid w:val="00AB07AA"/>
    <w:rsid w:val="00AB16C0"/>
    <w:rsid w:val="00AB328D"/>
    <w:rsid w:val="00AB390A"/>
    <w:rsid w:val="00AB55DF"/>
    <w:rsid w:val="00AB59AD"/>
    <w:rsid w:val="00AB5B87"/>
    <w:rsid w:val="00AB751E"/>
    <w:rsid w:val="00AB7911"/>
    <w:rsid w:val="00AC176A"/>
    <w:rsid w:val="00AC2A3A"/>
    <w:rsid w:val="00AC2D04"/>
    <w:rsid w:val="00AC35F5"/>
    <w:rsid w:val="00AC3854"/>
    <w:rsid w:val="00AC4D7C"/>
    <w:rsid w:val="00AC7E1A"/>
    <w:rsid w:val="00AD0580"/>
    <w:rsid w:val="00AD178C"/>
    <w:rsid w:val="00AD42EB"/>
    <w:rsid w:val="00AD54C4"/>
    <w:rsid w:val="00AE0463"/>
    <w:rsid w:val="00AE214B"/>
    <w:rsid w:val="00AE2472"/>
    <w:rsid w:val="00AE266C"/>
    <w:rsid w:val="00AE2DDE"/>
    <w:rsid w:val="00AE2E96"/>
    <w:rsid w:val="00AE3F4D"/>
    <w:rsid w:val="00AE4237"/>
    <w:rsid w:val="00AE4989"/>
    <w:rsid w:val="00AE4A2E"/>
    <w:rsid w:val="00AE4AF3"/>
    <w:rsid w:val="00AE5750"/>
    <w:rsid w:val="00AE577E"/>
    <w:rsid w:val="00AF001A"/>
    <w:rsid w:val="00AF1510"/>
    <w:rsid w:val="00AF38E4"/>
    <w:rsid w:val="00AF4973"/>
    <w:rsid w:val="00AF49CE"/>
    <w:rsid w:val="00AF4BC8"/>
    <w:rsid w:val="00AF516A"/>
    <w:rsid w:val="00AF7DFD"/>
    <w:rsid w:val="00B02964"/>
    <w:rsid w:val="00B02B9B"/>
    <w:rsid w:val="00B0574A"/>
    <w:rsid w:val="00B059E3"/>
    <w:rsid w:val="00B064F9"/>
    <w:rsid w:val="00B06593"/>
    <w:rsid w:val="00B06F07"/>
    <w:rsid w:val="00B106AC"/>
    <w:rsid w:val="00B1228D"/>
    <w:rsid w:val="00B12320"/>
    <w:rsid w:val="00B12C39"/>
    <w:rsid w:val="00B130A5"/>
    <w:rsid w:val="00B13C9B"/>
    <w:rsid w:val="00B143BA"/>
    <w:rsid w:val="00B168EF"/>
    <w:rsid w:val="00B16D0C"/>
    <w:rsid w:val="00B17284"/>
    <w:rsid w:val="00B174EA"/>
    <w:rsid w:val="00B2113D"/>
    <w:rsid w:val="00B220BC"/>
    <w:rsid w:val="00B248BD"/>
    <w:rsid w:val="00B2493B"/>
    <w:rsid w:val="00B25327"/>
    <w:rsid w:val="00B2540E"/>
    <w:rsid w:val="00B25842"/>
    <w:rsid w:val="00B258B0"/>
    <w:rsid w:val="00B2599A"/>
    <w:rsid w:val="00B27580"/>
    <w:rsid w:val="00B27601"/>
    <w:rsid w:val="00B27DE3"/>
    <w:rsid w:val="00B317AC"/>
    <w:rsid w:val="00B33C3D"/>
    <w:rsid w:val="00B34175"/>
    <w:rsid w:val="00B341FC"/>
    <w:rsid w:val="00B35558"/>
    <w:rsid w:val="00B35747"/>
    <w:rsid w:val="00B36FD2"/>
    <w:rsid w:val="00B4164F"/>
    <w:rsid w:val="00B41A8C"/>
    <w:rsid w:val="00B420B7"/>
    <w:rsid w:val="00B42A52"/>
    <w:rsid w:val="00B4461E"/>
    <w:rsid w:val="00B460C8"/>
    <w:rsid w:val="00B4625C"/>
    <w:rsid w:val="00B47550"/>
    <w:rsid w:val="00B52E1A"/>
    <w:rsid w:val="00B530E5"/>
    <w:rsid w:val="00B5740E"/>
    <w:rsid w:val="00B57CD5"/>
    <w:rsid w:val="00B60EDD"/>
    <w:rsid w:val="00B611D1"/>
    <w:rsid w:val="00B61ACA"/>
    <w:rsid w:val="00B62029"/>
    <w:rsid w:val="00B62D92"/>
    <w:rsid w:val="00B64F39"/>
    <w:rsid w:val="00B65939"/>
    <w:rsid w:val="00B659C2"/>
    <w:rsid w:val="00B659EF"/>
    <w:rsid w:val="00B66994"/>
    <w:rsid w:val="00B66BE1"/>
    <w:rsid w:val="00B7058B"/>
    <w:rsid w:val="00B70FD6"/>
    <w:rsid w:val="00B7707F"/>
    <w:rsid w:val="00B77BCD"/>
    <w:rsid w:val="00B80046"/>
    <w:rsid w:val="00B80681"/>
    <w:rsid w:val="00B81928"/>
    <w:rsid w:val="00B8249D"/>
    <w:rsid w:val="00B82BBE"/>
    <w:rsid w:val="00B82FF3"/>
    <w:rsid w:val="00B84355"/>
    <w:rsid w:val="00B84485"/>
    <w:rsid w:val="00B849C3"/>
    <w:rsid w:val="00B84A2C"/>
    <w:rsid w:val="00B861B4"/>
    <w:rsid w:val="00B862F2"/>
    <w:rsid w:val="00B87D25"/>
    <w:rsid w:val="00B919B7"/>
    <w:rsid w:val="00B94094"/>
    <w:rsid w:val="00B945BC"/>
    <w:rsid w:val="00B94F84"/>
    <w:rsid w:val="00B974AE"/>
    <w:rsid w:val="00B978E4"/>
    <w:rsid w:val="00B97E10"/>
    <w:rsid w:val="00B97E61"/>
    <w:rsid w:val="00BA1240"/>
    <w:rsid w:val="00BA1263"/>
    <w:rsid w:val="00BA31A7"/>
    <w:rsid w:val="00BA4309"/>
    <w:rsid w:val="00BA5A93"/>
    <w:rsid w:val="00BA75A0"/>
    <w:rsid w:val="00BB1351"/>
    <w:rsid w:val="00BB273D"/>
    <w:rsid w:val="00BB3ADD"/>
    <w:rsid w:val="00BB417A"/>
    <w:rsid w:val="00BB4660"/>
    <w:rsid w:val="00BB63BD"/>
    <w:rsid w:val="00BB6534"/>
    <w:rsid w:val="00BB68F2"/>
    <w:rsid w:val="00BC03D7"/>
    <w:rsid w:val="00BC06F2"/>
    <w:rsid w:val="00BC0E70"/>
    <w:rsid w:val="00BC1134"/>
    <w:rsid w:val="00BC11B8"/>
    <w:rsid w:val="00BC1489"/>
    <w:rsid w:val="00BC1616"/>
    <w:rsid w:val="00BC2BEE"/>
    <w:rsid w:val="00BC2C75"/>
    <w:rsid w:val="00BC2EBF"/>
    <w:rsid w:val="00BC2F0A"/>
    <w:rsid w:val="00BC4952"/>
    <w:rsid w:val="00BC6810"/>
    <w:rsid w:val="00BC7670"/>
    <w:rsid w:val="00BC772B"/>
    <w:rsid w:val="00BD234E"/>
    <w:rsid w:val="00BD2E6F"/>
    <w:rsid w:val="00BD3E59"/>
    <w:rsid w:val="00BD49D5"/>
    <w:rsid w:val="00BD4AEC"/>
    <w:rsid w:val="00BD534F"/>
    <w:rsid w:val="00BD5515"/>
    <w:rsid w:val="00BD5EBE"/>
    <w:rsid w:val="00BD73BA"/>
    <w:rsid w:val="00BE047F"/>
    <w:rsid w:val="00BE1CB7"/>
    <w:rsid w:val="00BE356E"/>
    <w:rsid w:val="00BE4805"/>
    <w:rsid w:val="00BE561A"/>
    <w:rsid w:val="00BE5FB7"/>
    <w:rsid w:val="00BE620E"/>
    <w:rsid w:val="00BF00B2"/>
    <w:rsid w:val="00BF17E0"/>
    <w:rsid w:val="00BF1DFA"/>
    <w:rsid w:val="00BF2450"/>
    <w:rsid w:val="00BF4E55"/>
    <w:rsid w:val="00BF5D19"/>
    <w:rsid w:val="00BF68A6"/>
    <w:rsid w:val="00BF70C2"/>
    <w:rsid w:val="00C003C5"/>
    <w:rsid w:val="00C00641"/>
    <w:rsid w:val="00C01F5A"/>
    <w:rsid w:val="00C02519"/>
    <w:rsid w:val="00C042A5"/>
    <w:rsid w:val="00C06219"/>
    <w:rsid w:val="00C06B64"/>
    <w:rsid w:val="00C06CE1"/>
    <w:rsid w:val="00C06E12"/>
    <w:rsid w:val="00C07DDE"/>
    <w:rsid w:val="00C108CA"/>
    <w:rsid w:val="00C12ACE"/>
    <w:rsid w:val="00C12AE2"/>
    <w:rsid w:val="00C13AA0"/>
    <w:rsid w:val="00C143E2"/>
    <w:rsid w:val="00C154CB"/>
    <w:rsid w:val="00C155D9"/>
    <w:rsid w:val="00C15625"/>
    <w:rsid w:val="00C16984"/>
    <w:rsid w:val="00C20032"/>
    <w:rsid w:val="00C21C28"/>
    <w:rsid w:val="00C23B6A"/>
    <w:rsid w:val="00C23D20"/>
    <w:rsid w:val="00C242EF"/>
    <w:rsid w:val="00C24F31"/>
    <w:rsid w:val="00C2536B"/>
    <w:rsid w:val="00C25A67"/>
    <w:rsid w:val="00C273C4"/>
    <w:rsid w:val="00C309F0"/>
    <w:rsid w:val="00C30DF2"/>
    <w:rsid w:val="00C320D8"/>
    <w:rsid w:val="00C322FF"/>
    <w:rsid w:val="00C3230D"/>
    <w:rsid w:val="00C3297C"/>
    <w:rsid w:val="00C32BE0"/>
    <w:rsid w:val="00C32EC0"/>
    <w:rsid w:val="00C33358"/>
    <w:rsid w:val="00C333ED"/>
    <w:rsid w:val="00C3381E"/>
    <w:rsid w:val="00C347B6"/>
    <w:rsid w:val="00C34C05"/>
    <w:rsid w:val="00C34DD6"/>
    <w:rsid w:val="00C35817"/>
    <w:rsid w:val="00C361DD"/>
    <w:rsid w:val="00C3687E"/>
    <w:rsid w:val="00C36F4D"/>
    <w:rsid w:val="00C3775C"/>
    <w:rsid w:val="00C4135D"/>
    <w:rsid w:val="00C416EC"/>
    <w:rsid w:val="00C41820"/>
    <w:rsid w:val="00C41BBE"/>
    <w:rsid w:val="00C44EB2"/>
    <w:rsid w:val="00C465BE"/>
    <w:rsid w:val="00C50021"/>
    <w:rsid w:val="00C502B2"/>
    <w:rsid w:val="00C51D1B"/>
    <w:rsid w:val="00C53DF6"/>
    <w:rsid w:val="00C54364"/>
    <w:rsid w:val="00C54532"/>
    <w:rsid w:val="00C55E2A"/>
    <w:rsid w:val="00C55E4A"/>
    <w:rsid w:val="00C56711"/>
    <w:rsid w:val="00C574C9"/>
    <w:rsid w:val="00C60105"/>
    <w:rsid w:val="00C6178F"/>
    <w:rsid w:val="00C62994"/>
    <w:rsid w:val="00C62A5E"/>
    <w:rsid w:val="00C63490"/>
    <w:rsid w:val="00C634EF"/>
    <w:rsid w:val="00C6360F"/>
    <w:rsid w:val="00C645D8"/>
    <w:rsid w:val="00C65165"/>
    <w:rsid w:val="00C65643"/>
    <w:rsid w:val="00C6639A"/>
    <w:rsid w:val="00C67A12"/>
    <w:rsid w:val="00C71562"/>
    <w:rsid w:val="00C717EE"/>
    <w:rsid w:val="00C71FF2"/>
    <w:rsid w:val="00C72EDA"/>
    <w:rsid w:val="00C73574"/>
    <w:rsid w:val="00C745DE"/>
    <w:rsid w:val="00C74E2B"/>
    <w:rsid w:val="00C75BC3"/>
    <w:rsid w:val="00C80DCA"/>
    <w:rsid w:val="00C851F4"/>
    <w:rsid w:val="00C85C62"/>
    <w:rsid w:val="00C90F39"/>
    <w:rsid w:val="00C9150A"/>
    <w:rsid w:val="00C93EFA"/>
    <w:rsid w:val="00C9451C"/>
    <w:rsid w:val="00C94BC8"/>
    <w:rsid w:val="00C9511D"/>
    <w:rsid w:val="00C959F8"/>
    <w:rsid w:val="00C9773A"/>
    <w:rsid w:val="00C97792"/>
    <w:rsid w:val="00CA2212"/>
    <w:rsid w:val="00CA4710"/>
    <w:rsid w:val="00CA4AAE"/>
    <w:rsid w:val="00CA4AF9"/>
    <w:rsid w:val="00CA500C"/>
    <w:rsid w:val="00CA5765"/>
    <w:rsid w:val="00CA62CC"/>
    <w:rsid w:val="00CB16EA"/>
    <w:rsid w:val="00CB2439"/>
    <w:rsid w:val="00CB3945"/>
    <w:rsid w:val="00CB6339"/>
    <w:rsid w:val="00CB6857"/>
    <w:rsid w:val="00CB78C7"/>
    <w:rsid w:val="00CB7EEA"/>
    <w:rsid w:val="00CC06E7"/>
    <w:rsid w:val="00CC091C"/>
    <w:rsid w:val="00CC0AA4"/>
    <w:rsid w:val="00CC0FC7"/>
    <w:rsid w:val="00CC1057"/>
    <w:rsid w:val="00CC181D"/>
    <w:rsid w:val="00CC2977"/>
    <w:rsid w:val="00CC3E86"/>
    <w:rsid w:val="00CC4035"/>
    <w:rsid w:val="00CC46FE"/>
    <w:rsid w:val="00CC488A"/>
    <w:rsid w:val="00CC4E3B"/>
    <w:rsid w:val="00CC550F"/>
    <w:rsid w:val="00CC59D3"/>
    <w:rsid w:val="00CC5C85"/>
    <w:rsid w:val="00CC72B3"/>
    <w:rsid w:val="00CC730F"/>
    <w:rsid w:val="00CC7B41"/>
    <w:rsid w:val="00CD0852"/>
    <w:rsid w:val="00CD183D"/>
    <w:rsid w:val="00CD301F"/>
    <w:rsid w:val="00CD38EF"/>
    <w:rsid w:val="00CE1800"/>
    <w:rsid w:val="00CE23FD"/>
    <w:rsid w:val="00CE2EF1"/>
    <w:rsid w:val="00CE4A1F"/>
    <w:rsid w:val="00CE575D"/>
    <w:rsid w:val="00CE5AF5"/>
    <w:rsid w:val="00CE60DB"/>
    <w:rsid w:val="00CE65DC"/>
    <w:rsid w:val="00CF1FCB"/>
    <w:rsid w:val="00CF3452"/>
    <w:rsid w:val="00CF46B0"/>
    <w:rsid w:val="00CF4F5E"/>
    <w:rsid w:val="00D016D6"/>
    <w:rsid w:val="00D01F67"/>
    <w:rsid w:val="00D026C7"/>
    <w:rsid w:val="00D02D22"/>
    <w:rsid w:val="00D02E9C"/>
    <w:rsid w:val="00D037E8"/>
    <w:rsid w:val="00D04445"/>
    <w:rsid w:val="00D04726"/>
    <w:rsid w:val="00D0472E"/>
    <w:rsid w:val="00D04A94"/>
    <w:rsid w:val="00D06314"/>
    <w:rsid w:val="00D0634A"/>
    <w:rsid w:val="00D06D2B"/>
    <w:rsid w:val="00D07F7D"/>
    <w:rsid w:val="00D1032B"/>
    <w:rsid w:val="00D10A89"/>
    <w:rsid w:val="00D10AA9"/>
    <w:rsid w:val="00D12E1E"/>
    <w:rsid w:val="00D12F11"/>
    <w:rsid w:val="00D139B8"/>
    <w:rsid w:val="00D13EF1"/>
    <w:rsid w:val="00D15DAD"/>
    <w:rsid w:val="00D20012"/>
    <w:rsid w:val="00D200F3"/>
    <w:rsid w:val="00D20EA1"/>
    <w:rsid w:val="00D21544"/>
    <w:rsid w:val="00D225AB"/>
    <w:rsid w:val="00D229F7"/>
    <w:rsid w:val="00D2467C"/>
    <w:rsid w:val="00D256B6"/>
    <w:rsid w:val="00D266CE"/>
    <w:rsid w:val="00D27EA4"/>
    <w:rsid w:val="00D3614A"/>
    <w:rsid w:val="00D41063"/>
    <w:rsid w:val="00D4143E"/>
    <w:rsid w:val="00D42519"/>
    <w:rsid w:val="00D428F3"/>
    <w:rsid w:val="00D42F52"/>
    <w:rsid w:val="00D43009"/>
    <w:rsid w:val="00D440A3"/>
    <w:rsid w:val="00D44B95"/>
    <w:rsid w:val="00D45CB4"/>
    <w:rsid w:val="00D46A5F"/>
    <w:rsid w:val="00D47121"/>
    <w:rsid w:val="00D50043"/>
    <w:rsid w:val="00D50729"/>
    <w:rsid w:val="00D51411"/>
    <w:rsid w:val="00D51752"/>
    <w:rsid w:val="00D51791"/>
    <w:rsid w:val="00D520A4"/>
    <w:rsid w:val="00D55DEB"/>
    <w:rsid w:val="00D57E8D"/>
    <w:rsid w:val="00D60B6F"/>
    <w:rsid w:val="00D61FAA"/>
    <w:rsid w:val="00D623C0"/>
    <w:rsid w:val="00D623CE"/>
    <w:rsid w:val="00D62A46"/>
    <w:rsid w:val="00D62DB5"/>
    <w:rsid w:val="00D63354"/>
    <w:rsid w:val="00D63C09"/>
    <w:rsid w:val="00D6493A"/>
    <w:rsid w:val="00D64EC9"/>
    <w:rsid w:val="00D65CD1"/>
    <w:rsid w:val="00D6626A"/>
    <w:rsid w:val="00D700E9"/>
    <w:rsid w:val="00D70235"/>
    <w:rsid w:val="00D7076D"/>
    <w:rsid w:val="00D726B1"/>
    <w:rsid w:val="00D7423A"/>
    <w:rsid w:val="00D74901"/>
    <w:rsid w:val="00D749DF"/>
    <w:rsid w:val="00D752F9"/>
    <w:rsid w:val="00D7651C"/>
    <w:rsid w:val="00D811B7"/>
    <w:rsid w:val="00D83862"/>
    <w:rsid w:val="00D84472"/>
    <w:rsid w:val="00D845AA"/>
    <w:rsid w:val="00D85023"/>
    <w:rsid w:val="00D8511F"/>
    <w:rsid w:val="00D86640"/>
    <w:rsid w:val="00D86F1F"/>
    <w:rsid w:val="00D90703"/>
    <w:rsid w:val="00D90781"/>
    <w:rsid w:val="00D9107A"/>
    <w:rsid w:val="00D91F11"/>
    <w:rsid w:val="00D92044"/>
    <w:rsid w:val="00D94759"/>
    <w:rsid w:val="00D947DB"/>
    <w:rsid w:val="00D9505B"/>
    <w:rsid w:val="00D959E4"/>
    <w:rsid w:val="00D95F3D"/>
    <w:rsid w:val="00D967FD"/>
    <w:rsid w:val="00D96D61"/>
    <w:rsid w:val="00D96FA3"/>
    <w:rsid w:val="00DA0B96"/>
    <w:rsid w:val="00DA0D6D"/>
    <w:rsid w:val="00DA4364"/>
    <w:rsid w:val="00DA4BFF"/>
    <w:rsid w:val="00DA5C06"/>
    <w:rsid w:val="00DA6F6E"/>
    <w:rsid w:val="00DA71B8"/>
    <w:rsid w:val="00DA7BAB"/>
    <w:rsid w:val="00DB007F"/>
    <w:rsid w:val="00DB126A"/>
    <w:rsid w:val="00DB1B70"/>
    <w:rsid w:val="00DB1BD1"/>
    <w:rsid w:val="00DB2629"/>
    <w:rsid w:val="00DB3840"/>
    <w:rsid w:val="00DB3CDE"/>
    <w:rsid w:val="00DB462D"/>
    <w:rsid w:val="00DB4EDD"/>
    <w:rsid w:val="00DB58A9"/>
    <w:rsid w:val="00DB7956"/>
    <w:rsid w:val="00DB7997"/>
    <w:rsid w:val="00DB7C58"/>
    <w:rsid w:val="00DB7F29"/>
    <w:rsid w:val="00DC12E4"/>
    <w:rsid w:val="00DC14D4"/>
    <w:rsid w:val="00DC7846"/>
    <w:rsid w:val="00DD193B"/>
    <w:rsid w:val="00DD2554"/>
    <w:rsid w:val="00DD2969"/>
    <w:rsid w:val="00DD2BDE"/>
    <w:rsid w:val="00DD3603"/>
    <w:rsid w:val="00DD455B"/>
    <w:rsid w:val="00DD6EE9"/>
    <w:rsid w:val="00DD7D20"/>
    <w:rsid w:val="00DE0707"/>
    <w:rsid w:val="00DE0AAE"/>
    <w:rsid w:val="00DE1EB6"/>
    <w:rsid w:val="00DE22FA"/>
    <w:rsid w:val="00DE31B8"/>
    <w:rsid w:val="00DE381C"/>
    <w:rsid w:val="00DE3847"/>
    <w:rsid w:val="00DE51F4"/>
    <w:rsid w:val="00DE5DCC"/>
    <w:rsid w:val="00DE5F3A"/>
    <w:rsid w:val="00DE66E1"/>
    <w:rsid w:val="00DE7589"/>
    <w:rsid w:val="00DF01A1"/>
    <w:rsid w:val="00DF0A09"/>
    <w:rsid w:val="00DF0D8F"/>
    <w:rsid w:val="00DF2408"/>
    <w:rsid w:val="00DF5279"/>
    <w:rsid w:val="00DF5912"/>
    <w:rsid w:val="00DF6657"/>
    <w:rsid w:val="00DF7E52"/>
    <w:rsid w:val="00E01D0D"/>
    <w:rsid w:val="00E02291"/>
    <w:rsid w:val="00E05990"/>
    <w:rsid w:val="00E07064"/>
    <w:rsid w:val="00E072E4"/>
    <w:rsid w:val="00E07DC8"/>
    <w:rsid w:val="00E11092"/>
    <w:rsid w:val="00E12BFC"/>
    <w:rsid w:val="00E12D59"/>
    <w:rsid w:val="00E12E00"/>
    <w:rsid w:val="00E14639"/>
    <w:rsid w:val="00E164A5"/>
    <w:rsid w:val="00E164E4"/>
    <w:rsid w:val="00E20120"/>
    <w:rsid w:val="00E20810"/>
    <w:rsid w:val="00E235D4"/>
    <w:rsid w:val="00E23BC4"/>
    <w:rsid w:val="00E23ECE"/>
    <w:rsid w:val="00E263CF"/>
    <w:rsid w:val="00E26AAF"/>
    <w:rsid w:val="00E30C5E"/>
    <w:rsid w:val="00E3107F"/>
    <w:rsid w:val="00E32A50"/>
    <w:rsid w:val="00E33C28"/>
    <w:rsid w:val="00E33FA8"/>
    <w:rsid w:val="00E35C2D"/>
    <w:rsid w:val="00E42473"/>
    <w:rsid w:val="00E42FB7"/>
    <w:rsid w:val="00E4329E"/>
    <w:rsid w:val="00E441B5"/>
    <w:rsid w:val="00E44308"/>
    <w:rsid w:val="00E468E1"/>
    <w:rsid w:val="00E46FA8"/>
    <w:rsid w:val="00E477CD"/>
    <w:rsid w:val="00E50605"/>
    <w:rsid w:val="00E50A9E"/>
    <w:rsid w:val="00E520D4"/>
    <w:rsid w:val="00E52F21"/>
    <w:rsid w:val="00E52F32"/>
    <w:rsid w:val="00E54023"/>
    <w:rsid w:val="00E56D6F"/>
    <w:rsid w:val="00E577A2"/>
    <w:rsid w:val="00E608FC"/>
    <w:rsid w:val="00E64C2B"/>
    <w:rsid w:val="00E66266"/>
    <w:rsid w:val="00E668C1"/>
    <w:rsid w:val="00E66A71"/>
    <w:rsid w:val="00E66D10"/>
    <w:rsid w:val="00E70886"/>
    <w:rsid w:val="00E71150"/>
    <w:rsid w:val="00E7189F"/>
    <w:rsid w:val="00E737BE"/>
    <w:rsid w:val="00E748B5"/>
    <w:rsid w:val="00E752DD"/>
    <w:rsid w:val="00E77153"/>
    <w:rsid w:val="00E80E45"/>
    <w:rsid w:val="00E81F1C"/>
    <w:rsid w:val="00E82492"/>
    <w:rsid w:val="00E82641"/>
    <w:rsid w:val="00E86791"/>
    <w:rsid w:val="00E86E9C"/>
    <w:rsid w:val="00E86FAE"/>
    <w:rsid w:val="00E87436"/>
    <w:rsid w:val="00E87A1E"/>
    <w:rsid w:val="00E87CDF"/>
    <w:rsid w:val="00E904FE"/>
    <w:rsid w:val="00E908F5"/>
    <w:rsid w:val="00E90BFB"/>
    <w:rsid w:val="00E9147B"/>
    <w:rsid w:val="00E91D72"/>
    <w:rsid w:val="00E922AF"/>
    <w:rsid w:val="00E942CB"/>
    <w:rsid w:val="00E94ACC"/>
    <w:rsid w:val="00E96956"/>
    <w:rsid w:val="00E974B3"/>
    <w:rsid w:val="00EA3154"/>
    <w:rsid w:val="00EA4550"/>
    <w:rsid w:val="00EA693D"/>
    <w:rsid w:val="00EA6F99"/>
    <w:rsid w:val="00EB0D8F"/>
    <w:rsid w:val="00EB1E84"/>
    <w:rsid w:val="00EB1F18"/>
    <w:rsid w:val="00EB22CB"/>
    <w:rsid w:val="00EB2F92"/>
    <w:rsid w:val="00EB3FD0"/>
    <w:rsid w:val="00EB437F"/>
    <w:rsid w:val="00EB653D"/>
    <w:rsid w:val="00EB769B"/>
    <w:rsid w:val="00EB76EA"/>
    <w:rsid w:val="00EB7C9B"/>
    <w:rsid w:val="00EC01D8"/>
    <w:rsid w:val="00EC07A8"/>
    <w:rsid w:val="00EC25DB"/>
    <w:rsid w:val="00EC268D"/>
    <w:rsid w:val="00EC40D3"/>
    <w:rsid w:val="00EC4D08"/>
    <w:rsid w:val="00EC4E7A"/>
    <w:rsid w:val="00EC522E"/>
    <w:rsid w:val="00EC7AF0"/>
    <w:rsid w:val="00ED153A"/>
    <w:rsid w:val="00ED1704"/>
    <w:rsid w:val="00ED35DB"/>
    <w:rsid w:val="00ED3BA1"/>
    <w:rsid w:val="00ED5ED3"/>
    <w:rsid w:val="00ED6D97"/>
    <w:rsid w:val="00ED757E"/>
    <w:rsid w:val="00ED7A69"/>
    <w:rsid w:val="00EE0127"/>
    <w:rsid w:val="00EE37DE"/>
    <w:rsid w:val="00EE4833"/>
    <w:rsid w:val="00EE515B"/>
    <w:rsid w:val="00EE5CED"/>
    <w:rsid w:val="00EE76F3"/>
    <w:rsid w:val="00EE7C97"/>
    <w:rsid w:val="00EF047B"/>
    <w:rsid w:val="00EF04E7"/>
    <w:rsid w:val="00EF2983"/>
    <w:rsid w:val="00EF29C4"/>
    <w:rsid w:val="00EF2AC4"/>
    <w:rsid w:val="00EF4ED5"/>
    <w:rsid w:val="00EF5374"/>
    <w:rsid w:val="00EF55CC"/>
    <w:rsid w:val="00EF5D27"/>
    <w:rsid w:val="00EF680C"/>
    <w:rsid w:val="00EF7DB0"/>
    <w:rsid w:val="00F00E7F"/>
    <w:rsid w:val="00F0185B"/>
    <w:rsid w:val="00F02DDC"/>
    <w:rsid w:val="00F033FD"/>
    <w:rsid w:val="00F035A9"/>
    <w:rsid w:val="00F04729"/>
    <w:rsid w:val="00F04C84"/>
    <w:rsid w:val="00F04DD5"/>
    <w:rsid w:val="00F04E1F"/>
    <w:rsid w:val="00F04F07"/>
    <w:rsid w:val="00F0538D"/>
    <w:rsid w:val="00F05671"/>
    <w:rsid w:val="00F069B8"/>
    <w:rsid w:val="00F07437"/>
    <w:rsid w:val="00F079D9"/>
    <w:rsid w:val="00F10282"/>
    <w:rsid w:val="00F11799"/>
    <w:rsid w:val="00F121D7"/>
    <w:rsid w:val="00F12707"/>
    <w:rsid w:val="00F12EE7"/>
    <w:rsid w:val="00F1489B"/>
    <w:rsid w:val="00F152F1"/>
    <w:rsid w:val="00F15529"/>
    <w:rsid w:val="00F1561E"/>
    <w:rsid w:val="00F16BD4"/>
    <w:rsid w:val="00F16FF8"/>
    <w:rsid w:val="00F1701F"/>
    <w:rsid w:val="00F1740D"/>
    <w:rsid w:val="00F2166E"/>
    <w:rsid w:val="00F2186B"/>
    <w:rsid w:val="00F21874"/>
    <w:rsid w:val="00F21D5E"/>
    <w:rsid w:val="00F230DE"/>
    <w:rsid w:val="00F24B6E"/>
    <w:rsid w:val="00F25AC8"/>
    <w:rsid w:val="00F2796A"/>
    <w:rsid w:val="00F3003A"/>
    <w:rsid w:val="00F3060E"/>
    <w:rsid w:val="00F318E7"/>
    <w:rsid w:val="00F34EA9"/>
    <w:rsid w:val="00F35AC7"/>
    <w:rsid w:val="00F36617"/>
    <w:rsid w:val="00F41770"/>
    <w:rsid w:val="00F41AE4"/>
    <w:rsid w:val="00F4397B"/>
    <w:rsid w:val="00F43C9F"/>
    <w:rsid w:val="00F448C4"/>
    <w:rsid w:val="00F457E8"/>
    <w:rsid w:val="00F45AF0"/>
    <w:rsid w:val="00F468A2"/>
    <w:rsid w:val="00F46F3C"/>
    <w:rsid w:val="00F514B4"/>
    <w:rsid w:val="00F53CE1"/>
    <w:rsid w:val="00F5420B"/>
    <w:rsid w:val="00F5434E"/>
    <w:rsid w:val="00F571FE"/>
    <w:rsid w:val="00F604CE"/>
    <w:rsid w:val="00F61053"/>
    <w:rsid w:val="00F613FD"/>
    <w:rsid w:val="00F62170"/>
    <w:rsid w:val="00F62D27"/>
    <w:rsid w:val="00F6470B"/>
    <w:rsid w:val="00F65249"/>
    <w:rsid w:val="00F65A4F"/>
    <w:rsid w:val="00F67D24"/>
    <w:rsid w:val="00F72B3A"/>
    <w:rsid w:val="00F72EB4"/>
    <w:rsid w:val="00F736CA"/>
    <w:rsid w:val="00F738F2"/>
    <w:rsid w:val="00F752C9"/>
    <w:rsid w:val="00F7554F"/>
    <w:rsid w:val="00F75A1D"/>
    <w:rsid w:val="00F7647B"/>
    <w:rsid w:val="00F7745C"/>
    <w:rsid w:val="00F80E41"/>
    <w:rsid w:val="00F81F97"/>
    <w:rsid w:val="00F8221C"/>
    <w:rsid w:val="00F82F27"/>
    <w:rsid w:val="00F837C6"/>
    <w:rsid w:val="00F84D07"/>
    <w:rsid w:val="00F84FA6"/>
    <w:rsid w:val="00F8703A"/>
    <w:rsid w:val="00F87CAD"/>
    <w:rsid w:val="00F87FA5"/>
    <w:rsid w:val="00F93146"/>
    <w:rsid w:val="00F93596"/>
    <w:rsid w:val="00F935DA"/>
    <w:rsid w:val="00F93A7C"/>
    <w:rsid w:val="00F94F2D"/>
    <w:rsid w:val="00F95995"/>
    <w:rsid w:val="00F97D69"/>
    <w:rsid w:val="00FA0550"/>
    <w:rsid w:val="00FA1DCF"/>
    <w:rsid w:val="00FA1DE8"/>
    <w:rsid w:val="00FA1F41"/>
    <w:rsid w:val="00FA23A1"/>
    <w:rsid w:val="00FA2743"/>
    <w:rsid w:val="00FA2BF1"/>
    <w:rsid w:val="00FA3B6C"/>
    <w:rsid w:val="00FA4A92"/>
    <w:rsid w:val="00FA66D3"/>
    <w:rsid w:val="00FA6C8F"/>
    <w:rsid w:val="00FB0757"/>
    <w:rsid w:val="00FB0C67"/>
    <w:rsid w:val="00FB1EC6"/>
    <w:rsid w:val="00FB3249"/>
    <w:rsid w:val="00FB3868"/>
    <w:rsid w:val="00FB39DC"/>
    <w:rsid w:val="00FB4D52"/>
    <w:rsid w:val="00FB52F6"/>
    <w:rsid w:val="00FC0D99"/>
    <w:rsid w:val="00FC150B"/>
    <w:rsid w:val="00FC1759"/>
    <w:rsid w:val="00FC42D8"/>
    <w:rsid w:val="00FC4AE6"/>
    <w:rsid w:val="00FC5642"/>
    <w:rsid w:val="00FC5BEC"/>
    <w:rsid w:val="00FC777C"/>
    <w:rsid w:val="00FC7A83"/>
    <w:rsid w:val="00FD097B"/>
    <w:rsid w:val="00FD1E73"/>
    <w:rsid w:val="00FD2CBE"/>
    <w:rsid w:val="00FD33E6"/>
    <w:rsid w:val="00FD3FE9"/>
    <w:rsid w:val="00FD4617"/>
    <w:rsid w:val="00FD4FEA"/>
    <w:rsid w:val="00FD561C"/>
    <w:rsid w:val="00FD5890"/>
    <w:rsid w:val="00FD60A7"/>
    <w:rsid w:val="00FD7438"/>
    <w:rsid w:val="00FD7806"/>
    <w:rsid w:val="00FE274C"/>
    <w:rsid w:val="00FE3106"/>
    <w:rsid w:val="00FE3BDA"/>
    <w:rsid w:val="00FE4CA2"/>
    <w:rsid w:val="00FE51A6"/>
    <w:rsid w:val="00FE64BC"/>
    <w:rsid w:val="00FE72EF"/>
    <w:rsid w:val="00FE7A25"/>
    <w:rsid w:val="00FF47EC"/>
    <w:rsid w:val="00FF4FC8"/>
    <w:rsid w:val="00FF5FDB"/>
    <w:rsid w:val="00FF63A3"/>
    <w:rsid w:val="00FF7527"/>
    <w:rsid w:val="00FF754B"/>
    <w:rsid w:val="00FF7F36"/>
    <w:rsid w:val="01092235"/>
    <w:rsid w:val="026E715B"/>
    <w:rsid w:val="029218AE"/>
    <w:rsid w:val="04C3EAB3"/>
    <w:rsid w:val="04F70C60"/>
    <w:rsid w:val="05E5DD17"/>
    <w:rsid w:val="0682219B"/>
    <w:rsid w:val="09221065"/>
    <w:rsid w:val="0A2388A1"/>
    <w:rsid w:val="0D60BE01"/>
    <w:rsid w:val="0D8B202F"/>
    <w:rsid w:val="10699522"/>
    <w:rsid w:val="1100BC40"/>
    <w:rsid w:val="12723AA1"/>
    <w:rsid w:val="128A1EA7"/>
    <w:rsid w:val="13C539A1"/>
    <w:rsid w:val="146C4AF0"/>
    <w:rsid w:val="158BA494"/>
    <w:rsid w:val="160D03A2"/>
    <w:rsid w:val="18BAE1CD"/>
    <w:rsid w:val="1908A0EC"/>
    <w:rsid w:val="1C721020"/>
    <w:rsid w:val="1D2E4835"/>
    <w:rsid w:val="1D515AE3"/>
    <w:rsid w:val="1E1B7F63"/>
    <w:rsid w:val="20FB5695"/>
    <w:rsid w:val="21215E2C"/>
    <w:rsid w:val="24FB6020"/>
    <w:rsid w:val="259BEE93"/>
    <w:rsid w:val="25AAB9DE"/>
    <w:rsid w:val="25BF01FA"/>
    <w:rsid w:val="26698FF9"/>
    <w:rsid w:val="26CC3BB7"/>
    <w:rsid w:val="280770C4"/>
    <w:rsid w:val="28C1DFED"/>
    <w:rsid w:val="298471F1"/>
    <w:rsid w:val="2A6EB3C7"/>
    <w:rsid w:val="2C4EE927"/>
    <w:rsid w:val="2E090661"/>
    <w:rsid w:val="2EB2ACEE"/>
    <w:rsid w:val="2FC70281"/>
    <w:rsid w:val="2FFCD661"/>
    <w:rsid w:val="3207F344"/>
    <w:rsid w:val="327F6D1B"/>
    <w:rsid w:val="32FBBA71"/>
    <w:rsid w:val="3482C9AE"/>
    <w:rsid w:val="348991EE"/>
    <w:rsid w:val="3555A502"/>
    <w:rsid w:val="3556D876"/>
    <w:rsid w:val="3657E045"/>
    <w:rsid w:val="37632E80"/>
    <w:rsid w:val="376D55C2"/>
    <w:rsid w:val="38AD4DFB"/>
    <w:rsid w:val="3E9A0154"/>
    <w:rsid w:val="3EAF0889"/>
    <w:rsid w:val="4035D1B5"/>
    <w:rsid w:val="4056F054"/>
    <w:rsid w:val="41D1A216"/>
    <w:rsid w:val="4373454C"/>
    <w:rsid w:val="43AB8474"/>
    <w:rsid w:val="43AF1221"/>
    <w:rsid w:val="445CAE36"/>
    <w:rsid w:val="44C2FD9E"/>
    <w:rsid w:val="451035B5"/>
    <w:rsid w:val="45409AD3"/>
    <w:rsid w:val="465DFD71"/>
    <w:rsid w:val="46D46E9B"/>
    <w:rsid w:val="4A8334BF"/>
    <w:rsid w:val="4B9D696F"/>
    <w:rsid w:val="4D566B61"/>
    <w:rsid w:val="52364884"/>
    <w:rsid w:val="5249226C"/>
    <w:rsid w:val="53905F5E"/>
    <w:rsid w:val="53E4F2CD"/>
    <w:rsid w:val="556DE946"/>
    <w:rsid w:val="56A2DE31"/>
    <w:rsid w:val="5724BD83"/>
    <w:rsid w:val="57DCBF99"/>
    <w:rsid w:val="581AE329"/>
    <w:rsid w:val="58766336"/>
    <w:rsid w:val="589F3B93"/>
    <w:rsid w:val="59AC26E3"/>
    <w:rsid w:val="59F05E21"/>
    <w:rsid w:val="5B1C9FBF"/>
    <w:rsid w:val="5C68ADB5"/>
    <w:rsid w:val="5D8C2E40"/>
    <w:rsid w:val="5E77A1C0"/>
    <w:rsid w:val="5E9E7D34"/>
    <w:rsid w:val="5F38E1DA"/>
    <w:rsid w:val="60095504"/>
    <w:rsid w:val="616831DF"/>
    <w:rsid w:val="616AE2C2"/>
    <w:rsid w:val="63CB345D"/>
    <w:rsid w:val="63CC4733"/>
    <w:rsid w:val="64E3F21F"/>
    <w:rsid w:val="6692D3DF"/>
    <w:rsid w:val="69A92250"/>
    <w:rsid w:val="6B505B1D"/>
    <w:rsid w:val="6CCDE92A"/>
    <w:rsid w:val="6D7CA164"/>
    <w:rsid w:val="6ED517BD"/>
    <w:rsid w:val="70009478"/>
    <w:rsid w:val="71C8963A"/>
    <w:rsid w:val="73A5AA77"/>
    <w:rsid w:val="752A3718"/>
    <w:rsid w:val="78CF537F"/>
    <w:rsid w:val="7C02D84F"/>
    <w:rsid w:val="7E29E548"/>
    <w:rsid w:val="7FA5FB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C3C"/>
  <w15:docId w15:val="{4008FEAC-C00E-4ABC-8830-45D0E5BA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9"/>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9"/>
      </w:numPr>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contextualSpacing/>
    </w:pPr>
  </w:style>
  <w:style w:type="paragraph" w:styleId="ListNumber">
    <w:name w:val="List Number"/>
    <w:basedOn w:val="Normal"/>
    <w:uiPriority w:val="9"/>
    <w:qFormat/>
    <w:rsid w:val="00123033"/>
    <w:pPr>
      <w:tabs>
        <w:tab w:val="left" w:pos="142"/>
      </w:tabs>
      <w:spacing w:before="120" w:after="120"/>
    </w:pPr>
  </w:style>
  <w:style w:type="paragraph" w:styleId="ListNumber2">
    <w:name w:val="List Number 2"/>
    <w:uiPriority w:val="10"/>
    <w:qFormat/>
    <w:rsid w:val="00884E3A"/>
    <w:p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6C261F"/>
    <w:pPr>
      <w:spacing w:after="0" w:line="240" w:lineRule="auto"/>
      <w:ind w:left="720"/>
    </w:pPr>
    <w:rPr>
      <w:rFonts w:ascii="Calibri" w:hAnsi="Calibri" w:cs="Calibri"/>
    </w:rPr>
  </w:style>
  <w:style w:type="paragraph" w:styleId="Revision">
    <w:name w:val="Revision"/>
    <w:hidden/>
    <w:uiPriority w:val="99"/>
    <w:semiHidden/>
    <w:rsid w:val="000B5271"/>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216CDD"/>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locked/>
    <w:rsid w:val="00C9773A"/>
    <w:rPr>
      <w:rFonts w:ascii="Calibri" w:eastAsiaTheme="minorHAnsi" w:hAnsi="Calibri" w:cs="Calibri"/>
      <w:sz w:val="22"/>
      <w:szCs w:val="22"/>
      <w:lang w:eastAsia="en-US"/>
    </w:rPr>
  </w:style>
  <w:style w:type="paragraph" w:customStyle="1" w:styleId="pf0">
    <w:name w:val="pf0"/>
    <w:basedOn w:val="Normal"/>
    <w:rsid w:val="009260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3037A"/>
    <w:rPr>
      <w:rFonts w:ascii="Segoe UI" w:hAnsi="Segoe UI" w:cs="Segoe UI" w:hint="default"/>
      <w:sz w:val="18"/>
      <w:szCs w:val="18"/>
    </w:rPr>
  </w:style>
  <w:style w:type="paragraph" w:styleId="NoSpacing">
    <w:name w:val="No Spacing"/>
    <w:uiPriority w:val="1"/>
    <w:qFormat/>
    <w:rsid w:val="00CA4710"/>
    <w:rPr>
      <w:rFonts w:asciiTheme="minorHAnsi" w:eastAsiaTheme="minorHAnsi" w:hAnsiTheme="minorHAnsi" w:cstheme="minorBidi"/>
      <w:sz w:val="22"/>
      <w:szCs w:val="22"/>
      <w:lang w:eastAsia="en-US"/>
    </w:rPr>
  </w:style>
  <w:style w:type="paragraph" w:customStyle="1" w:styleId="paragraph">
    <w:name w:val="paragraph"/>
    <w:basedOn w:val="Normal"/>
    <w:rsid w:val="00E662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66266"/>
  </w:style>
  <w:style w:type="table" w:styleId="GridTable1Light">
    <w:name w:val="Grid Table 1 Light"/>
    <w:basedOn w:val="TableNormal"/>
    <w:uiPriority w:val="46"/>
    <w:rsid w:val="00E6626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17D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8310166">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35775466">
      <w:bodyDiv w:val="1"/>
      <w:marLeft w:val="0"/>
      <w:marRight w:val="0"/>
      <w:marTop w:val="0"/>
      <w:marBottom w:val="0"/>
      <w:divBdr>
        <w:top w:val="none" w:sz="0" w:space="0" w:color="auto"/>
        <w:left w:val="none" w:sz="0" w:space="0" w:color="auto"/>
        <w:bottom w:val="none" w:sz="0" w:space="0" w:color="auto"/>
        <w:right w:val="none" w:sz="0" w:space="0" w:color="auto"/>
      </w:divBdr>
    </w:div>
    <w:div w:id="53905094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9999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8168783">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7979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hyperlink" Target="https://interactive-atlas.ipcc.ch/"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cceew.gov.au"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cceew.gov.au/publications" TargetMode="External"/><Relationship Id="rId20" Type="http://schemas.openxmlformats.org/officeDocument/2006/relationships/header" Target="header2.xml"/><Relationship Id="rId29" Type="http://schemas.openxmlformats.org/officeDocument/2006/relationships/hyperlink" Target="https://doi.org/10.59327/IPCC/AR6-97892916916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yperlink" Target="https://doi.org/10.5194/hess-2023-232"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limate.science@dcceew.gov.au" TargetMode="External"/><Relationship Id="rId28" Type="http://schemas.openxmlformats.org/officeDocument/2006/relationships/hyperlink" Target="https://doi.org/10.1016/j.jhydrol.2023.129950"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doi.org/10.1175/JCLI-D-22-069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https://consult.dcceew.gov.au/draft-updates-to-the-climate-change-considerations-chapter-in-arrg" TargetMode="External"/><Relationship Id="rId27" Type="http://schemas.openxmlformats.org/officeDocument/2006/relationships/hyperlink" Target="https://www.engineersaustralia.org.au/publications/guidelines-responding-effects-climate-change-coastal-and-ocean-engineering" TargetMode="External"/><Relationship Id="rId30" Type="http://schemas.openxmlformats.org/officeDocument/2006/relationships/hyperlink" Target="https://github.com/IPCC-WG1/Atla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report/ar6/wg1/" TargetMode="External"/><Relationship Id="rId7" Type="http://schemas.openxmlformats.org/officeDocument/2006/relationships/hyperlink" Target="https://climate.metoffice.cloud/temperature.html" TargetMode="External"/><Relationship Id="rId2" Type="http://schemas.openxmlformats.org/officeDocument/2006/relationships/hyperlink" Target="https://interactive-atlas.ipcc.ch/" TargetMode="External"/><Relationship Id="rId1" Type="http://schemas.openxmlformats.org/officeDocument/2006/relationships/hyperlink" Target="https://interactive-atlas.ipcc.ch/" TargetMode="External"/><Relationship Id="rId6" Type="http://schemas.openxmlformats.org/officeDocument/2006/relationships/hyperlink" Target="https://www.metoffice.gov.uk/weather/climate/science/global-temperature-records" TargetMode="External"/><Relationship Id="rId5" Type="http://schemas.openxmlformats.org/officeDocument/2006/relationships/hyperlink" Target="https://interactive-atlas.ipcc.ch/" TargetMode="External"/><Relationship Id="rId4" Type="http://schemas.openxmlformats.org/officeDocument/2006/relationships/hyperlink" Target="https://interactive-atlas.ipcc.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015daa0-8aeb-4e42-ab85-05f27da8bf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59BBD15EB6747AF4E47F461D336FA" ma:contentTypeVersion="4" ma:contentTypeDescription="Create a new document." ma:contentTypeScope="" ma:versionID="a8815cc3d3988ad6b6b369d083f1b180">
  <xsd:schema xmlns:xsd="http://www.w3.org/2001/XMLSchema" xmlns:xs="http://www.w3.org/2001/XMLSchema" xmlns:p="http://schemas.microsoft.com/office/2006/metadata/properties" xmlns:ns2="6015daa0-8aeb-4e42-ab85-05f27da8bfe8" xmlns:ns3="81c01dc6-2c49-4730-b140-874c95cac377" xmlns:ns4="d2259523-a1da-4387-b361-00b2eef9e669" xmlns:ns5="3795364d-bbf9-4e57-a3bc-3cba4470183f" targetNamespace="http://schemas.microsoft.com/office/2006/metadata/properties" ma:root="true" ma:fieldsID="f53d9d223cfe87903942f7fc04490667" ns2:_="" ns3:_="" ns4:_="" ns5:_="">
    <xsd:import namespace="6015daa0-8aeb-4e42-ab85-05f27da8bfe8"/>
    <xsd:import namespace="81c01dc6-2c49-4730-b140-874c95cac377"/>
    <xsd:import namespace="d2259523-a1da-4387-b361-00b2eef9e669"/>
    <xsd:import namespace="3795364d-bbf9-4e57-a3bc-3cba4470183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daa0-8aeb-4e42-ab85-05f27da8bfe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ab6ee1-b36a-4f51-b0b7-c9ede2eca426}" ma:internalName="TaxCatchAll" ma:showField="CatchAllData" ma:web="b8f004c7-739e-4bf2-9f1b-6c799f2044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59523-a1da-4387-b361-00b2eef9e6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5364d-bbf9-4e57-a3bc-3cba447018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6015daa0-8aeb-4e42-ab85-05f27da8bfe8"/>
  </ds:schemaRefs>
</ds:datastoreItem>
</file>

<file path=customXml/itemProps2.xml><?xml version="1.0" encoding="utf-8"?>
<ds:datastoreItem xmlns:ds="http://schemas.openxmlformats.org/officeDocument/2006/customXml" ds:itemID="{DC80F03E-E8E4-4B49-9630-472A9C78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daa0-8aeb-4e42-ab85-05f27da8bfe8"/>
    <ds:schemaRef ds:uri="81c01dc6-2c49-4730-b140-874c95cac377"/>
    <ds:schemaRef ds:uri="d2259523-a1da-4387-b361-00b2eef9e669"/>
    <ds:schemaRef ds:uri="3795364d-bbf9-4e57-a3bc-3cba44701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8246</Words>
  <Characters>47007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55143</CharactersWithSpaces>
  <SharedDoc>false</SharedDoc>
  <HLinks>
    <vt:vector size="240" baseType="variant">
      <vt:variant>
        <vt:i4>1441880</vt:i4>
      </vt:variant>
      <vt:variant>
        <vt:i4>159</vt:i4>
      </vt:variant>
      <vt:variant>
        <vt:i4>0</vt:i4>
      </vt:variant>
      <vt:variant>
        <vt:i4>5</vt:i4>
      </vt:variant>
      <vt:variant>
        <vt:lpwstr>https://doi.org/10.5194/hess-2023-232</vt:lpwstr>
      </vt:variant>
      <vt:variant>
        <vt:lpwstr/>
      </vt:variant>
      <vt:variant>
        <vt:i4>5636173</vt:i4>
      </vt:variant>
      <vt:variant>
        <vt:i4>156</vt:i4>
      </vt:variant>
      <vt:variant>
        <vt:i4>0</vt:i4>
      </vt:variant>
      <vt:variant>
        <vt:i4>5</vt:i4>
      </vt:variant>
      <vt:variant>
        <vt:lpwstr>https://doi.org/10.1175/JCLI-D-22-0694.1</vt:lpwstr>
      </vt:variant>
      <vt:variant>
        <vt:lpwstr/>
      </vt:variant>
      <vt:variant>
        <vt:i4>393232</vt:i4>
      </vt:variant>
      <vt:variant>
        <vt:i4>153</vt:i4>
      </vt:variant>
      <vt:variant>
        <vt:i4>0</vt:i4>
      </vt:variant>
      <vt:variant>
        <vt:i4>5</vt:i4>
      </vt:variant>
      <vt:variant>
        <vt:lpwstr>https://github.com/IPCC-WG1/Atlas</vt:lpwstr>
      </vt:variant>
      <vt:variant>
        <vt:lpwstr/>
      </vt:variant>
      <vt:variant>
        <vt:i4>7471159</vt:i4>
      </vt:variant>
      <vt:variant>
        <vt:i4>150</vt:i4>
      </vt:variant>
      <vt:variant>
        <vt:i4>0</vt:i4>
      </vt:variant>
      <vt:variant>
        <vt:i4>5</vt:i4>
      </vt:variant>
      <vt:variant>
        <vt:lpwstr>https://doi.org/10.59327/IPCC/AR6-9789291691647</vt:lpwstr>
      </vt:variant>
      <vt:variant>
        <vt:lpwstr/>
      </vt:variant>
      <vt:variant>
        <vt:i4>5177374</vt:i4>
      </vt:variant>
      <vt:variant>
        <vt:i4>147</vt:i4>
      </vt:variant>
      <vt:variant>
        <vt:i4>0</vt:i4>
      </vt:variant>
      <vt:variant>
        <vt:i4>5</vt:i4>
      </vt:variant>
      <vt:variant>
        <vt:lpwstr>https://doi.org/10.1016/j.jhydrol.2023.129950</vt:lpwstr>
      </vt:variant>
      <vt:variant>
        <vt:lpwstr/>
      </vt:variant>
      <vt:variant>
        <vt:i4>4784213</vt:i4>
      </vt:variant>
      <vt:variant>
        <vt:i4>144</vt:i4>
      </vt:variant>
      <vt:variant>
        <vt:i4>0</vt:i4>
      </vt:variant>
      <vt:variant>
        <vt:i4>5</vt:i4>
      </vt:variant>
      <vt:variant>
        <vt:lpwstr>https://www.engineersaustralia.org.au/publications/guidelines-responding-effects-climate-change-coastal-and-ocean-engineering</vt:lpwstr>
      </vt:variant>
      <vt:variant>
        <vt:lpwstr/>
      </vt:variant>
      <vt:variant>
        <vt:i4>3145842</vt:i4>
      </vt:variant>
      <vt:variant>
        <vt:i4>141</vt:i4>
      </vt:variant>
      <vt:variant>
        <vt:i4>0</vt:i4>
      </vt:variant>
      <vt:variant>
        <vt:i4>5</vt:i4>
      </vt:variant>
      <vt:variant>
        <vt:lpwstr>https://interactive-atlas.ipcc.ch/</vt:lpwstr>
      </vt:variant>
      <vt:variant>
        <vt:lpwstr/>
      </vt:variant>
      <vt:variant>
        <vt:i4>327733</vt:i4>
      </vt:variant>
      <vt:variant>
        <vt:i4>138</vt:i4>
      </vt:variant>
      <vt:variant>
        <vt:i4>0</vt:i4>
      </vt:variant>
      <vt:variant>
        <vt:i4>5</vt:i4>
      </vt:variant>
      <vt:variant>
        <vt:lpwstr>mailto:climate.science@dcceew.gov.au</vt:lpwstr>
      </vt:variant>
      <vt:variant>
        <vt:lpwstr/>
      </vt:variant>
      <vt:variant>
        <vt:i4>4653076</vt:i4>
      </vt:variant>
      <vt:variant>
        <vt:i4>135</vt:i4>
      </vt:variant>
      <vt:variant>
        <vt:i4>0</vt:i4>
      </vt:variant>
      <vt:variant>
        <vt:i4>5</vt:i4>
      </vt:variant>
      <vt:variant>
        <vt:lpwstr>https://app.converlens.com/climate-au/draft-updates-to-the-climate-change-considerations-chapter-in-arrg/new-survey-223ebb51</vt:lpwstr>
      </vt:variant>
      <vt:variant>
        <vt:lpwstr/>
      </vt:variant>
      <vt:variant>
        <vt:i4>1900593</vt:i4>
      </vt:variant>
      <vt:variant>
        <vt:i4>128</vt:i4>
      </vt:variant>
      <vt:variant>
        <vt:i4>0</vt:i4>
      </vt:variant>
      <vt:variant>
        <vt:i4>5</vt:i4>
      </vt:variant>
      <vt:variant>
        <vt:lpwstr/>
      </vt:variant>
      <vt:variant>
        <vt:lpwstr>_Toc152329058</vt:lpwstr>
      </vt:variant>
      <vt:variant>
        <vt:i4>1900593</vt:i4>
      </vt:variant>
      <vt:variant>
        <vt:i4>122</vt:i4>
      </vt:variant>
      <vt:variant>
        <vt:i4>0</vt:i4>
      </vt:variant>
      <vt:variant>
        <vt:i4>5</vt:i4>
      </vt:variant>
      <vt:variant>
        <vt:lpwstr/>
      </vt:variant>
      <vt:variant>
        <vt:lpwstr>_Toc152329057</vt:lpwstr>
      </vt:variant>
      <vt:variant>
        <vt:i4>1900593</vt:i4>
      </vt:variant>
      <vt:variant>
        <vt:i4>116</vt:i4>
      </vt:variant>
      <vt:variant>
        <vt:i4>0</vt:i4>
      </vt:variant>
      <vt:variant>
        <vt:i4>5</vt:i4>
      </vt:variant>
      <vt:variant>
        <vt:lpwstr/>
      </vt:variant>
      <vt:variant>
        <vt:lpwstr>_Toc152329056</vt:lpwstr>
      </vt:variant>
      <vt:variant>
        <vt:i4>1900593</vt:i4>
      </vt:variant>
      <vt:variant>
        <vt:i4>110</vt:i4>
      </vt:variant>
      <vt:variant>
        <vt:i4>0</vt:i4>
      </vt:variant>
      <vt:variant>
        <vt:i4>5</vt:i4>
      </vt:variant>
      <vt:variant>
        <vt:lpwstr/>
      </vt:variant>
      <vt:variant>
        <vt:lpwstr>_Toc152329055</vt:lpwstr>
      </vt:variant>
      <vt:variant>
        <vt:i4>1900593</vt:i4>
      </vt:variant>
      <vt:variant>
        <vt:i4>104</vt:i4>
      </vt:variant>
      <vt:variant>
        <vt:i4>0</vt:i4>
      </vt:variant>
      <vt:variant>
        <vt:i4>5</vt:i4>
      </vt:variant>
      <vt:variant>
        <vt:lpwstr/>
      </vt:variant>
      <vt:variant>
        <vt:lpwstr>_Toc152329054</vt:lpwstr>
      </vt:variant>
      <vt:variant>
        <vt:i4>1900593</vt:i4>
      </vt:variant>
      <vt:variant>
        <vt:i4>98</vt:i4>
      </vt:variant>
      <vt:variant>
        <vt:i4>0</vt:i4>
      </vt:variant>
      <vt:variant>
        <vt:i4>5</vt:i4>
      </vt:variant>
      <vt:variant>
        <vt:lpwstr/>
      </vt:variant>
      <vt:variant>
        <vt:lpwstr>_Toc152329053</vt:lpwstr>
      </vt:variant>
      <vt:variant>
        <vt:i4>1900593</vt:i4>
      </vt:variant>
      <vt:variant>
        <vt:i4>92</vt:i4>
      </vt:variant>
      <vt:variant>
        <vt:i4>0</vt:i4>
      </vt:variant>
      <vt:variant>
        <vt:i4>5</vt:i4>
      </vt:variant>
      <vt:variant>
        <vt:lpwstr/>
      </vt:variant>
      <vt:variant>
        <vt:lpwstr>_Toc152329052</vt:lpwstr>
      </vt:variant>
      <vt:variant>
        <vt:i4>1900593</vt:i4>
      </vt:variant>
      <vt:variant>
        <vt:i4>86</vt:i4>
      </vt:variant>
      <vt:variant>
        <vt:i4>0</vt:i4>
      </vt:variant>
      <vt:variant>
        <vt:i4>5</vt:i4>
      </vt:variant>
      <vt:variant>
        <vt:lpwstr/>
      </vt:variant>
      <vt:variant>
        <vt:lpwstr>_Toc152329051</vt:lpwstr>
      </vt:variant>
      <vt:variant>
        <vt:i4>1900593</vt:i4>
      </vt:variant>
      <vt:variant>
        <vt:i4>80</vt:i4>
      </vt:variant>
      <vt:variant>
        <vt:i4>0</vt:i4>
      </vt:variant>
      <vt:variant>
        <vt:i4>5</vt:i4>
      </vt:variant>
      <vt:variant>
        <vt:lpwstr/>
      </vt:variant>
      <vt:variant>
        <vt:lpwstr>_Toc152329050</vt:lpwstr>
      </vt:variant>
      <vt:variant>
        <vt:i4>1835057</vt:i4>
      </vt:variant>
      <vt:variant>
        <vt:i4>74</vt:i4>
      </vt:variant>
      <vt:variant>
        <vt:i4>0</vt:i4>
      </vt:variant>
      <vt:variant>
        <vt:i4>5</vt:i4>
      </vt:variant>
      <vt:variant>
        <vt:lpwstr/>
      </vt:variant>
      <vt:variant>
        <vt:lpwstr>_Toc152329049</vt:lpwstr>
      </vt:variant>
      <vt:variant>
        <vt:i4>1835057</vt:i4>
      </vt:variant>
      <vt:variant>
        <vt:i4>68</vt:i4>
      </vt:variant>
      <vt:variant>
        <vt:i4>0</vt:i4>
      </vt:variant>
      <vt:variant>
        <vt:i4>5</vt:i4>
      </vt:variant>
      <vt:variant>
        <vt:lpwstr/>
      </vt:variant>
      <vt:variant>
        <vt:lpwstr>_Toc152329048</vt:lpwstr>
      </vt:variant>
      <vt:variant>
        <vt:i4>1835057</vt:i4>
      </vt:variant>
      <vt:variant>
        <vt:i4>62</vt:i4>
      </vt:variant>
      <vt:variant>
        <vt:i4>0</vt:i4>
      </vt:variant>
      <vt:variant>
        <vt:i4>5</vt:i4>
      </vt:variant>
      <vt:variant>
        <vt:lpwstr/>
      </vt:variant>
      <vt:variant>
        <vt:lpwstr>_Toc152329047</vt:lpwstr>
      </vt:variant>
      <vt:variant>
        <vt:i4>1835057</vt:i4>
      </vt:variant>
      <vt:variant>
        <vt:i4>56</vt:i4>
      </vt:variant>
      <vt:variant>
        <vt:i4>0</vt:i4>
      </vt:variant>
      <vt:variant>
        <vt:i4>5</vt:i4>
      </vt:variant>
      <vt:variant>
        <vt:lpwstr/>
      </vt:variant>
      <vt:variant>
        <vt:lpwstr>_Toc152329046</vt:lpwstr>
      </vt:variant>
      <vt:variant>
        <vt:i4>1835057</vt:i4>
      </vt:variant>
      <vt:variant>
        <vt:i4>50</vt:i4>
      </vt:variant>
      <vt:variant>
        <vt:i4>0</vt:i4>
      </vt:variant>
      <vt:variant>
        <vt:i4>5</vt:i4>
      </vt:variant>
      <vt:variant>
        <vt:lpwstr/>
      </vt:variant>
      <vt:variant>
        <vt:lpwstr>_Toc152329045</vt:lpwstr>
      </vt:variant>
      <vt:variant>
        <vt:i4>1835057</vt:i4>
      </vt:variant>
      <vt:variant>
        <vt:i4>44</vt:i4>
      </vt:variant>
      <vt:variant>
        <vt:i4>0</vt:i4>
      </vt:variant>
      <vt:variant>
        <vt:i4>5</vt:i4>
      </vt:variant>
      <vt:variant>
        <vt:lpwstr/>
      </vt:variant>
      <vt:variant>
        <vt:lpwstr>_Toc152329044</vt:lpwstr>
      </vt:variant>
      <vt:variant>
        <vt:i4>1835057</vt:i4>
      </vt:variant>
      <vt:variant>
        <vt:i4>38</vt:i4>
      </vt:variant>
      <vt:variant>
        <vt:i4>0</vt:i4>
      </vt:variant>
      <vt:variant>
        <vt:i4>5</vt:i4>
      </vt:variant>
      <vt:variant>
        <vt:lpwstr/>
      </vt:variant>
      <vt:variant>
        <vt:lpwstr>_Toc152329043</vt:lpwstr>
      </vt:variant>
      <vt:variant>
        <vt:i4>1835057</vt:i4>
      </vt:variant>
      <vt:variant>
        <vt:i4>32</vt:i4>
      </vt:variant>
      <vt:variant>
        <vt:i4>0</vt:i4>
      </vt:variant>
      <vt:variant>
        <vt:i4>5</vt:i4>
      </vt:variant>
      <vt:variant>
        <vt:lpwstr/>
      </vt:variant>
      <vt:variant>
        <vt:lpwstr>_Toc152329042</vt:lpwstr>
      </vt:variant>
      <vt:variant>
        <vt:i4>1835057</vt:i4>
      </vt:variant>
      <vt:variant>
        <vt:i4>26</vt:i4>
      </vt:variant>
      <vt:variant>
        <vt:i4>0</vt:i4>
      </vt:variant>
      <vt:variant>
        <vt:i4>5</vt:i4>
      </vt:variant>
      <vt:variant>
        <vt:lpwstr/>
      </vt:variant>
      <vt:variant>
        <vt:lpwstr>_Toc152329041</vt:lpwstr>
      </vt:variant>
      <vt:variant>
        <vt:i4>1835057</vt:i4>
      </vt:variant>
      <vt:variant>
        <vt:i4>20</vt:i4>
      </vt:variant>
      <vt:variant>
        <vt:i4>0</vt:i4>
      </vt:variant>
      <vt:variant>
        <vt:i4>5</vt:i4>
      </vt:variant>
      <vt:variant>
        <vt:lpwstr/>
      </vt:variant>
      <vt:variant>
        <vt:lpwstr>_Toc152329040</vt:lpwstr>
      </vt:variant>
      <vt:variant>
        <vt:i4>1769521</vt:i4>
      </vt:variant>
      <vt:variant>
        <vt:i4>14</vt:i4>
      </vt:variant>
      <vt:variant>
        <vt:i4>0</vt:i4>
      </vt:variant>
      <vt:variant>
        <vt:i4>5</vt:i4>
      </vt:variant>
      <vt:variant>
        <vt:lpwstr/>
      </vt:variant>
      <vt:variant>
        <vt:lpwstr>_Toc152329039</vt:lpwstr>
      </vt:variant>
      <vt:variant>
        <vt:i4>6684728</vt:i4>
      </vt:variant>
      <vt:variant>
        <vt:i4>9</vt:i4>
      </vt:variant>
      <vt:variant>
        <vt:i4>0</vt:i4>
      </vt:variant>
      <vt:variant>
        <vt:i4>5</vt:i4>
      </vt:variant>
      <vt:variant>
        <vt:lpwstr>https://www.dcceew.gov.au/</vt:lpwstr>
      </vt:variant>
      <vt:variant>
        <vt:lpwstr/>
      </vt:variant>
      <vt:variant>
        <vt:i4>7602213</vt:i4>
      </vt:variant>
      <vt:variant>
        <vt:i4>6</vt:i4>
      </vt:variant>
      <vt:variant>
        <vt:i4>0</vt:i4>
      </vt:variant>
      <vt:variant>
        <vt:i4>5</vt:i4>
      </vt:variant>
      <vt:variant>
        <vt:lpwstr>https://www.dcceew.gov.au/publications</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655453</vt:i4>
      </vt:variant>
      <vt:variant>
        <vt:i4>18</vt:i4>
      </vt:variant>
      <vt:variant>
        <vt:i4>0</vt:i4>
      </vt:variant>
      <vt:variant>
        <vt:i4>5</vt:i4>
      </vt:variant>
      <vt:variant>
        <vt:lpwstr>https://climate.metoffice.cloud/temperature.html</vt:lpwstr>
      </vt:variant>
      <vt:variant>
        <vt:lpwstr/>
      </vt:variant>
      <vt:variant>
        <vt:i4>3539007</vt:i4>
      </vt:variant>
      <vt:variant>
        <vt:i4>15</vt:i4>
      </vt:variant>
      <vt:variant>
        <vt:i4>0</vt:i4>
      </vt:variant>
      <vt:variant>
        <vt:i4>5</vt:i4>
      </vt:variant>
      <vt:variant>
        <vt:lpwstr>https://www.metoffice.gov.uk/weather/climate/science/global-temperature-records</vt:lpwstr>
      </vt:variant>
      <vt:variant>
        <vt:lpwstr/>
      </vt:variant>
      <vt:variant>
        <vt:i4>3145842</vt:i4>
      </vt:variant>
      <vt:variant>
        <vt:i4>12</vt:i4>
      </vt:variant>
      <vt:variant>
        <vt:i4>0</vt:i4>
      </vt:variant>
      <vt:variant>
        <vt:i4>5</vt:i4>
      </vt:variant>
      <vt:variant>
        <vt:lpwstr>https://interactive-atlas.ipcc.ch/</vt:lpwstr>
      </vt:variant>
      <vt:variant>
        <vt:lpwstr/>
      </vt:variant>
      <vt:variant>
        <vt:i4>3145842</vt:i4>
      </vt:variant>
      <vt:variant>
        <vt:i4>9</vt:i4>
      </vt:variant>
      <vt:variant>
        <vt:i4>0</vt:i4>
      </vt:variant>
      <vt:variant>
        <vt:i4>5</vt:i4>
      </vt:variant>
      <vt:variant>
        <vt:lpwstr>https://interactive-atlas.ipcc.ch/</vt:lpwstr>
      </vt:variant>
      <vt:variant>
        <vt:lpwstr/>
      </vt:variant>
      <vt:variant>
        <vt:i4>7864425</vt:i4>
      </vt:variant>
      <vt:variant>
        <vt:i4>6</vt:i4>
      </vt:variant>
      <vt:variant>
        <vt:i4>0</vt:i4>
      </vt:variant>
      <vt:variant>
        <vt:i4>5</vt:i4>
      </vt:variant>
      <vt:variant>
        <vt:lpwstr>https://www.ipcc.ch/report/ar6/wg1/</vt:lpwstr>
      </vt:variant>
      <vt:variant>
        <vt:lpwstr/>
      </vt:variant>
      <vt:variant>
        <vt:i4>3145842</vt:i4>
      </vt:variant>
      <vt:variant>
        <vt:i4>3</vt:i4>
      </vt:variant>
      <vt:variant>
        <vt:i4>0</vt:i4>
      </vt:variant>
      <vt:variant>
        <vt:i4>5</vt:i4>
      </vt:variant>
      <vt:variant>
        <vt:lpwstr>https://interactive-atlas.ipcc.ch/</vt:lpwstr>
      </vt:variant>
      <vt:variant>
        <vt:lpwstr/>
      </vt:variant>
      <vt:variant>
        <vt:i4>3145842</vt:i4>
      </vt:variant>
      <vt:variant>
        <vt:i4>0</vt:i4>
      </vt:variant>
      <vt:variant>
        <vt:i4>0</vt:i4>
      </vt:variant>
      <vt:variant>
        <vt:i4>5</vt:i4>
      </vt:variant>
      <vt:variant>
        <vt:lpwstr>https://interactive-atlas.ipcc.ch/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Hines, Cassie</dc:creator>
  <cp:keywords/>
  <cp:lastModifiedBy>Boettcher, Margaret</cp:lastModifiedBy>
  <cp:revision>20</cp:revision>
  <cp:lastPrinted>2023-12-18T05:43:00Z</cp:lastPrinted>
  <dcterms:created xsi:type="dcterms:W3CDTF">2023-12-15T06:52:00Z</dcterms:created>
  <dcterms:modified xsi:type="dcterms:W3CDTF">2023-12-18T05:44:00Z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0x010100AEF59BBD15EB6747AF4E47F461D336FA</vt:lpwstr>
  </property>
  <property fmtid="{D5CDD505-2E9C-101B-9397-08002B2CF9AE}" pid="3" name="MediaServiceImageTags">
    <vt:lpwstr/>
  </property>
  <property fmtid="{D5CDD505-2E9C-101B-9397-08002B2CF9AE}" pid="4" name="Mendeley Recent Style Id 0_1">
    <vt:lpwstr>http://www.zotero.org/styles/american-geophysical-union</vt:lpwstr>
  </property>
  <property fmtid="{D5CDD505-2E9C-101B-9397-08002B2CF9AE}" pid="5" name="Mendeley Recent Style Name 0_1">
    <vt:lpwstr>American Geophysical Union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http://www.zotero.org/styles/elsevier-without-titles</vt:lpwstr>
  </property>
  <property fmtid="{D5CDD505-2E9C-101B-9397-08002B2CF9AE}" pid="13" name="Mendeley Recent Style Name 4_1">
    <vt:lpwstr>Elsevier (numeric, without titles)</vt:lpwstr>
  </property>
  <property fmtid="{D5CDD505-2E9C-101B-9397-08002B2CF9AE}" pid="14" name="Mendeley Recent Style Id 5_1">
    <vt:lpwstr>http://www.zotero.org/styles/hydrology-and-earth-system-sciences</vt:lpwstr>
  </property>
  <property fmtid="{D5CDD505-2E9C-101B-9397-08002B2CF9AE}" pid="15" name="Mendeley Recent Style Name 5_1">
    <vt:lpwstr>Hydrology and Earth System Sciences</vt:lpwstr>
  </property>
  <property fmtid="{D5CDD505-2E9C-101B-9397-08002B2CF9AE}" pid="16" name="Mendeley Recent Style Id 6_1">
    <vt:lpwstr>http://www.zotero.org/styles/journal-of-hydrology</vt:lpwstr>
  </property>
  <property fmtid="{D5CDD505-2E9C-101B-9397-08002B2CF9AE}" pid="17" name="Mendeley Recent Style Name 6_1">
    <vt:lpwstr>Journal of Hydrology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