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C0AD" w14:textId="7D875CFC" w:rsidR="00100706" w:rsidRDefault="00100706" w:rsidP="00100706">
      <w:pPr>
        <w:pStyle w:val="Heading1"/>
        <w:spacing w:before="1300"/>
        <w:rPr>
          <w:color w:val="FFFFFF" w:themeColor="background1"/>
        </w:rPr>
      </w:pPr>
      <w:bookmarkStart w:id="0" w:name="_Hlk159599787"/>
      <w:r>
        <w:rPr>
          <w:noProof/>
          <w:lang w:val="en-US"/>
        </w:rPr>
        <w:drawing>
          <wp:anchor distT="0" distB="0" distL="114300" distR="114300" simplePos="0" relativeHeight="251658240" behindDoc="1" locked="0" layoutInCell="1" allowOverlap="1" wp14:anchorId="4B0335AB" wp14:editId="274C3448">
            <wp:simplePos x="0" y="0"/>
            <wp:positionH relativeFrom="page">
              <wp:align>right</wp:align>
            </wp:positionH>
            <wp:positionV relativeFrom="paragraph">
              <wp:posOffset>-899851</wp:posOffset>
            </wp:positionV>
            <wp:extent cx="7549816" cy="10678786"/>
            <wp:effectExtent l="0" t="0" r="0" b="8890"/>
            <wp:wrapNone/>
            <wp:docPr id="1322985357" name="Picture 1" descr="Cover Page.&#10;Australian Government&#10;Department of Climate Change, Energy, the Environment and Water.&#10;Draft Implementation Design Paper.&#10;Capacity Invest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5357" name="Picture 1" descr="Cover Page.&#10;Australian Government&#10;Department of Climate Change, Energy, the Environment and Water.&#10;Draft Implementation Design Paper.&#10;Capacity Investment Scheme."/>
                    <pic:cNvPicPr/>
                  </pic:nvPicPr>
                  <pic:blipFill>
                    <a:blip r:embed="rId11">
                      <a:extLst>
                        <a:ext uri="{28A0092B-C50C-407E-A947-70E740481C1C}">
                          <a14:useLocalDpi xmlns:a14="http://schemas.microsoft.com/office/drawing/2010/main" val="0"/>
                        </a:ext>
                      </a:extLst>
                    </a:blip>
                    <a:stretch>
                      <a:fillRect/>
                    </a:stretch>
                  </pic:blipFill>
                  <pic:spPr>
                    <a:xfrm>
                      <a:off x="0" y="0"/>
                      <a:ext cx="7549816" cy="10678786"/>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rPr>
        <w:t>Implementation</w:t>
      </w:r>
    </w:p>
    <w:p w14:paraId="16C78591" w14:textId="77777777" w:rsidR="00100706" w:rsidRPr="00562358" w:rsidRDefault="00100706" w:rsidP="00100706">
      <w:pPr>
        <w:pStyle w:val="Heading1"/>
        <w:spacing w:before="1300"/>
        <w:rPr>
          <w:color w:val="FFFFFF" w:themeColor="background1"/>
        </w:rPr>
      </w:pPr>
      <w:r>
        <w:rPr>
          <w:color w:val="FFFFFF" w:themeColor="background1"/>
        </w:rPr>
        <w:t>Design Paper</w:t>
      </w:r>
    </w:p>
    <w:p w14:paraId="7F5BC18C" w14:textId="77777777" w:rsidR="00764D6A" w:rsidRPr="00E06ACB" w:rsidRDefault="00A57FCA">
      <w:pPr>
        <w:pStyle w:val="Subtitle"/>
        <w:rPr>
          <w:color w:val="B7DD79"/>
        </w:rPr>
      </w:pPr>
      <w:r>
        <w:rPr>
          <w:color w:val="B7DD79"/>
        </w:rPr>
        <w:t>Capacity Investment Scheme</w:t>
      </w:r>
    </w:p>
    <w:p w14:paraId="7E1D08B3" w14:textId="77777777" w:rsidR="00100706" w:rsidRPr="00E06ACB" w:rsidRDefault="00100706" w:rsidP="00100706">
      <w:pPr>
        <w:pStyle w:val="Author"/>
        <w:rPr>
          <w:color w:val="FFFFFF" w:themeColor="background1"/>
          <w:lang w:val="es-ES"/>
        </w:rPr>
      </w:pPr>
    </w:p>
    <w:bookmarkEnd w:id="0"/>
    <w:p w14:paraId="3AE3AA26" w14:textId="097CAF9A" w:rsidR="00100706" w:rsidRPr="00E06ACB" w:rsidRDefault="00100706" w:rsidP="00100706">
      <w:pPr>
        <w:pStyle w:val="AuthorOrganisationAffiliation"/>
        <w:tabs>
          <w:tab w:val="left" w:pos="7995"/>
        </w:tabs>
        <w:spacing w:after="500"/>
        <w:rPr>
          <w:color w:val="FFFFFF" w:themeColor="background1"/>
        </w:rPr>
      </w:pPr>
    </w:p>
    <w:p w14:paraId="51FADD0E" w14:textId="5EC93637" w:rsidR="00764D6A" w:rsidRDefault="00764D6A">
      <w:pPr>
        <w:pStyle w:val="Author"/>
        <w:rPr>
          <w:lang w:val="es-ES"/>
        </w:rPr>
      </w:pPr>
    </w:p>
    <w:p w14:paraId="20B001FC" w14:textId="77777777" w:rsidR="00764D6A" w:rsidRPr="005D3790" w:rsidRDefault="00764D6A" w:rsidP="005D3790"/>
    <w:p w14:paraId="1B48D78C" w14:textId="77777777" w:rsidR="00764D6A" w:rsidRDefault="00E91D72">
      <w:pPr>
        <w:pStyle w:val="Normalsmall"/>
      </w:pPr>
      <w:r>
        <w:br w:type="page"/>
      </w:r>
      <w:r>
        <w:lastRenderedPageBreak/>
        <w:t xml:space="preserve">© Commonwealth of Australia </w:t>
      </w:r>
      <w:r w:rsidR="00B97E61">
        <w:t>202</w:t>
      </w:r>
      <w:r w:rsidR="00A32152">
        <w:t>4</w:t>
      </w:r>
    </w:p>
    <w:p w14:paraId="5481D5C6" w14:textId="77777777" w:rsidR="00764D6A" w:rsidRDefault="00E91D72">
      <w:pPr>
        <w:pStyle w:val="Normalsmall"/>
        <w:rPr>
          <w:rStyle w:val="Strong"/>
        </w:rPr>
      </w:pPr>
      <w:r>
        <w:rPr>
          <w:rStyle w:val="Strong"/>
        </w:rPr>
        <w:t>Ownership of intellectual property rights</w:t>
      </w:r>
    </w:p>
    <w:p w14:paraId="13F2E47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832C93F" w14:textId="77777777" w:rsidR="00764D6A" w:rsidRDefault="00E91D72">
      <w:pPr>
        <w:pStyle w:val="Normalsmall"/>
        <w:rPr>
          <w:rStyle w:val="Strong"/>
        </w:rPr>
      </w:pPr>
      <w:r>
        <w:rPr>
          <w:rStyle w:val="Strong"/>
        </w:rPr>
        <w:t>Creative Commons licence</w:t>
      </w:r>
    </w:p>
    <w:p w14:paraId="7F5F5BEF" w14:textId="77777777" w:rsidR="00764D6A" w:rsidRDefault="00E91D72">
      <w:pPr>
        <w:pStyle w:val="Normalsmall"/>
      </w:pPr>
      <w:r>
        <w:t xml:space="preserve">All material in this publication is licensed under a </w:t>
      </w:r>
      <w:hyperlink r:id="rId12">
        <w:r w:rsidRPr="49F8FCC5">
          <w:rPr>
            <w:rStyle w:val="Hyperlink"/>
          </w:rPr>
          <w:t>Creative Commons Attribution 4.0 International Licence</w:t>
        </w:r>
      </w:hyperlink>
      <w:r>
        <w:t xml:space="preserve"> except content supplied by third parties, </w:t>
      </w:r>
      <w:bookmarkStart w:id="1" w:name="_Int_z7wKMSWk"/>
      <w:r>
        <w:t>logos</w:t>
      </w:r>
      <w:bookmarkEnd w:id="1"/>
      <w:r>
        <w:t xml:space="preserve"> and the Commonwealth Coat of Arms.</w:t>
      </w:r>
    </w:p>
    <w:p w14:paraId="0856EF2A"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0A21E42B" w14:textId="77777777" w:rsidR="00764D6A" w:rsidRPr="00364A4A" w:rsidRDefault="00E91D72">
      <w:pPr>
        <w:pStyle w:val="Normalsmall"/>
      </w:pPr>
      <w:r w:rsidRPr="00364A4A">
        <w:rPr>
          <w:noProof/>
          <w:lang w:eastAsia="en-AU"/>
        </w:rPr>
        <w:drawing>
          <wp:inline distT="0" distB="0" distL="0" distR="0" wp14:anchorId="046672D3" wp14:editId="694FB4C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13B0B27" w14:textId="77777777" w:rsidR="00764D6A" w:rsidRPr="00364A4A" w:rsidRDefault="00E91D72">
      <w:pPr>
        <w:pStyle w:val="Normalsmall"/>
        <w:rPr>
          <w:rStyle w:val="Strong"/>
        </w:rPr>
      </w:pPr>
      <w:r w:rsidRPr="00364A4A">
        <w:rPr>
          <w:rStyle w:val="Strong"/>
        </w:rPr>
        <w:t>Cataloguing data</w:t>
      </w:r>
    </w:p>
    <w:p w14:paraId="6127C696" w14:textId="378C3DD4" w:rsidR="00764D6A" w:rsidRPr="009245DC" w:rsidRDefault="00E91D72">
      <w:pPr>
        <w:pStyle w:val="Normalsmall"/>
      </w:pPr>
      <w:r w:rsidRPr="00364A4A">
        <w:t>This publication (and any material sourced from it) should be attributed as</w:t>
      </w:r>
      <w:r w:rsidRPr="009245DC">
        <w:t xml:space="preserve">: </w:t>
      </w:r>
      <w:r w:rsidR="009D5007" w:rsidRPr="001852DC">
        <w:t>D</w:t>
      </w:r>
      <w:r w:rsidR="000F2194" w:rsidRPr="001852DC">
        <w:t>CCEEW</w:t>
      </w:r>
      <w:r w:rsidR="00B97E61" w:rsidRPr="001852DC">
        <w:t xml:space="preserve"> 202</w:t>
      </w:r>
      <w:r w:rsidR="00754FD3" w:rsidRPr="001852DC">
        <w:t>4</w:t>
      </w:r>
      <w:r w:rsidRPr="001852DC">
        <w:t xml:space="preserve">, </w:t>
      </w:r>
      <w:r w:rsidR="00754FD3" w:rsidRPr="009245DC">
        <w:rPr>
          <w:i/>
        </w:rPr>
        <w:t>Implementation Design Paper: Capacity Investment Scheme</w:t>
      </w:r>
      <w:r w:rsidRPr="009245DC">
        <w:t xml:space="preserve">, </w:t>
      </w:r>
      <w:r w:rsidR="006F065B" w:rsidRPr="009245DC">
        <w:t>Department of Climate Change, Energy, the Environment and Water</w:t>
      </w:r>
      <w:r w:rsidRPr="009245DC">
        <w:t xml:space="preserve">, Canberra, </w:t>
      </w:r>
      <w:r w:rsidR="00286307" w:rsidRPr="001852DC">
        <w:t>February</w:t>
      </w:r>
      <w:r w:rsidRPr="009245DC">
        <w:t>. CC BY 4.0.</w:t>
      </w:r>
    </w:p>
    <w:p w14:paraId="4DFA4627" w14:textId="77777777" w:rsidR="00764D6A" w:rsidRDefault="00E91D72">
      <w:pPr>
        <w:pStyle w:val="Normalsmall"/>
      </w:pPr>
      <w:r w:rsidRPr="009245DC">
        <w:t xml:space="preserve">This publication is available at </w:t>
      </w:r>
      <w:hyperlink r:id="rId15" w:history="1">
        <w:r w:rsidR="00D86640" w:rsidRPr="001852DC">
          <w:rPr>
            <w:rStyle w:val="Hyperlink"/>
          </w:rPr>
          <w:t>dcceew.gov.au/publications</w:t>
        </w:r>
      </w:hyperlink>
      <w:r w:rsidRPr="009245DC">
        <w:t>.</w:t>
      </w:r>
    </w:p>
    <w:p w14:paraId="156221F5" w14:textId="77777777" w:rsidR="00DE0AAE" w:rsidRDefault="00D86640">
      <w:pPr>
        <w:pStyle w:val="Normalsmall"/>
        <w:spacing w:after="0"/>
      </w:pPr>
      <w:r w:rsidRPr="00D86640">
        <w:t>Department of Climate Change, Energy, the Environment and Water</w:t>
      </w:r>
    </w:p>
    <w:p w14:paraId="70BD7B09"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3025E99A" w14:textId="77777777" w:rsidR="00764D6A" w:rsidRPr="00364A4A" w:rsidRDefault="00E91D72">
      <w:pPr>
        <w:pStyle w:val="Normalsmall"/>
        <w:spacing w:after="0"/>
      </w:pPr>
      <w:r w:rsidRPr="00364A4A">
        <w:t xml:space="preserve">Telephone </w:t>
      </w:r>
      <w:r w:rsidR="00D464F4" w:rsidRPr="00D464F4">
        <w:t>1800 920 528</w:t>
      </w:r>
    </w:p>
    <w:p w14:paraId="397F90FD" w14:textId="77777777" w:rsidR="00764D6A" w:rsidRPr="00364A4A" w:rsidRDefault="00E91D72">
      <w:pPr>
        <w:pStyle w:val="Normalsmall"/>
      </w:pPr>
      <w:bookmarkStart w:id="2" w:name="_Hlk108621036"/>
      <w:r w:rsidRPr="00364A4A">
        <w:t xml:space="preserve">Web </w:t>
      </w:r>
      <w:hyperlink r:id="rId16" w:history="1">
        <w:r w:rsidR="00D86640">
          <w:rPr>
            <w:rStyle w:val="Hyperlink"/>
          </w:rPr>
          <w:t>dcceew.gov.au</w:t>
        </w:r>
      </w:hyperlink>
    </w:p>
    <w:bookmarkEnd w:id="2"/>
    <w:p w14:paraId="6DE9FDCB" w14:textId="77777777" w:rsidR="007C358A" w:rsidRDefault="007C358A">
      <w:pPr>
        <w:pStyle w:val="Normalsmall"/>
      </w:pPr>
      <w:r w:rsidRPr="00364A4A">
        <w:rPr>
          <w:rStyle w:val="Strong"/>
        </w:rPr>
        <w:t>Disclaimer</w:t>
      </w:r>
    </w:p>
    <w:p w14:paraId="434C1F81" w14:textId="62B9DF43" w:rsidR="007D1809" w:rsidRDefault="007D1809" w:rsidP="007D1809">
      <w:pPr>
        <w:pStyle w:val="Normalsmall"/>
      </w:pPr>
      <w:r>
        <w:t>The Commonwealth of Australia, as represented by the Department of Climate Change, Energy, the Environment and Water, has produced this publication to provide high-level and initial guidance on the proposed national rollout of the Capacity Investment Scheme (CIS). The national rollout of CIS is presently under development and the information contained in this publication is subject to change. This publication does not indicate commitment by the Australian Government to a particular course of action in relation to the CIS or otherwise.</w:t>
      </w:r>
    </w:p>
    <w:p w14:paraId="6803302C" w14:textId="270BB8F9" w:rsidR="007D1809" w:rsidRDefault="007D1809" w:rsidP="007D1809">
      <w:pPr>
        <w:pStyle w:val="Normalsmall"/>
      </w:pPr>
      <w:r>
        <w:t xml:space="preserve">Any transaction implemented under the national rollout of the CIS will have its own terms set out in relevant disclosure and process documents. The reader should make their own inquiries of all relevant information and take necessary legal and other professional advice, before taking any action. </w:t>
      </w:r>
    </w:p>
    <w:p w14:paraId="58B7D94B" w14:textId="5D5BF288" w:rsidR="00AC3105" w:rsidRDefault="007D1809" w:rsidP="007D1809">
      <w:pPr>
        <w:pStyle w:val="Normalsmall"/>
      </w:pPr>
      <w:r>
        <w:t xml:space="preserve">The Commonwealth has exercised due care and skill in preparing and compiling the information and data in this publication. Notwithstanding, the Commonwealth, its employees and advisers </w:t>
      </w:r>
      <w:bookmarkStart w:id="3" w:name="_Int_8lewh5IY"/>
      <w:r>
        <w:t>disclaim</w:t>
      </w:r>
      <w:bookmarkEnd w:id="3"/>
      <w:r>
        <w:t xml:space="preserve"> all liability, including liability for negligence and for any loss, damage, injury, </w:t>
      </w:r>
      <w:bookmarkStart w:id="4" w:name="_Int_iacZA9Fb"/>
      <w:proofErr w:type="gramStart"/>
      <w:r>
        <w:t>expense</w:t>
      </w:r>
      <w:bookmarkEnd w:id="4"/>
      <w:proofErr w:type="gramEnd"/>
      <w:r>
        <w:t xml:space="preserve"> or cost incurred by any person </w:t>
      </w:r>
      <w:bookmarkStart w:id="5" w:name="_Int_r2hjXYVG"/>
      <w:r>
        <w:t>as a result of</w:t>
      </w:r>
      <w:bookmarkEnd w:id="5"/>
      <w:r>
        <w:t xml:space="preserve"> accessing, </w:t>
      </w:r>
      <w:bookmarkStart w:id="6" w:name="_Int_0RzDb2YL"/>
      <w:r>
        <w:t>using</w:t>
      </w:r>
      <w:bookmarkEnd w:id="6"/>
      <w:r>
        <w:t xml:space="preserve"> or relying on any of the information or data in this publication to the maximum extent permitted by law. No representation expressed or implied is made as to the currency, accuracy, </w:t>
      </w:r>
      <w:bookmarkStart w:id="7" w:name="_Int_L05Xobgc"/>
      <w:proofErr w:type="gramStart"/>
      <w:r>
        <w:t>reliability</w:t>
      </w:r>
      <w:bookmarkEnd w:id="7"/>
      <w:proofErr w:type="gramEnd"/>
      <w:r>
        <w:t xml:space="preserve"> or completeness of the information contained in this publication.</w:t>
      </w:r>
    </w:p>
    <w:p w14:paraId="3A909939" w14:textId="77777777" w:rsidR="00B02B9B" w:rsidRDefault="00B02B9B" w:rsidP="00B02B9B">
      <w:pPr>
        <w:pStyle w:val="Normalsmall"/>
      </w:pPr>
      <w:r>
        <w:rPr>
          <w:rStyle w:val="Strong"/>
        </w:rPr>
        <w:t>Acknowledgement of Country</w:t>
      </w:r>
    </w:p>
    <w:p w14:paraId="5852FA5E" w14:textId="77777777" w:rsidR="00FC0B39" w:rsidRDefault="00B8745D" w:rsidP="00F448C4">
      <w:pPr>
        <w:pStyle w:val="Normalsmall"/>
      </w:pPr>
      <w:r w:rsidRPr="00B8745D">
        <w:t xml:space="preserve">We acknowledge the Traditional Owners of Country throughout Australia and recognise their continuing connection to land, </w:t>
      </w:r>
      <w:bookmarkStart w:id="8" w:name="_Int_hjkG2ioG"/>
      <w:proofErr w:type="gramStart"/>
      <w:r w:rsidRPr="00B8745D">
        <w:t>waters</w:t>
      </w:r>
      <w:bookmarkEnd w:id="8"/>
      <w:proofErr w:type="gramEnd"/>
      <w:r w:rsidRPr="00B8745D">
        <w:t xml:space="preserve"> and culture. We pay our respects to their Elders past and present</w:t>
      </w:r>
      <w:r w:rsidR="00FC0B39" w:rsidRPr="00FC0B39">
        <w:t>.</w:t>
      </w:r>
    </w:p>
    <w:p w14:paraId="025BE01D" w14:textId="77777777" w:rsidR="00A32152" w:rsidRDefault="00A32152" w:rsidP="00CB2439">
      <w:pPr>
        <w:pStyle w:val="Heading2"/>
        <w:ind w:left="720" w:hanging="720"/>
      </w:pPr>
      <w:bookmarkStart w:id="9" w:name="_Toc430782148"/>
      <w:r>
        <w:br w:type="page"/>
      </w:r>
    </w:p>
    <w:bookmarkEnd w:id="9" w:displacedByCustomXml="next"/>
    <w:sdt>
      <w:sdtPr>
        <w:rPr>
          <w:rFonts w:ascii="Cambria" w:hAnsi="Cambria"/>
          <w:color w:val="auto"/>
          <w:sz w:val="22"/>
          <w:szCs w:val="22"/>
          <w:lang w:eastAsia="en-US"/>
        </w:rPr>
        <w:id w:val="-760297017"/>
        <w:docPartObj>
          <w:docPartGallery w:val="Table of Contents"/>
          <w:docPartUnique/>
        </w:docPartObj>
      </w:sdtPr>
      <w:sdtEndPr>
        <w:rPr>
          <w:rFonts w:asciiTheme="minorHAnsi" w:hAnsiTheme="minorHAnsi"/>
          <w:b/>
          <w:bCs w:val="0"/>
        </w:rPr>
      </w:sdtEndPr>
      <w:sdtContent>
        <w:p w14:paraId="7DEB1348" w14:textId="56C1D823" w:rsidR="00764D6A" w:rsidRDefault="00E91D72">
          <w:pPr>
            <w:pStyle w:val="TOCHeading"/>
          </w:pPr>
          <w:r>
            <w:t>Contents</w:t>
          </w:r>
        </w:p>
        <w:p w14:paraId="4754463E" w14:textId="27274692" w:rsidR="006A255F" w:rsidRDefault="00E91D72">
          <w:pPr>
            <w:pStyle w:val="TOC1"/>
            <w:rPr>
              <w:rFonts w:eastAsiaTheme="minorEastAsia"/>
              <w:b w:val="0"/>
              <w:kern w:val="2"/>
              <w:lang w:eastAsia="en-AU"/>
              <w14:ligatures w14:val="standardContextual"/>
            </w:rPr>
          </w:pPr>
          <w:r w:rsidRPr="35B60F92">
            <w:rPr>
              <w:b w:val="0"/>
            </w:rPr>
            <w:fldChar w:fldCharType="begin"/>
          </w:r>
          <w:r>
            <w:rPr>
              <w:b w:val="0"/>
            </w:rPr>
            <w:instrText xml:space="preserve"> TOC \h \z \u \t "Heading 2,1,Heading 3,2,Style1,2,TOA Heading,1" </w:instrText>
          </w:r>
          <w:r w:rsidRPr="35B60F92">
            <w:rPr>
              <w:b w:val="0"/>
            </w:rPr>
            <w:fldChar w:fldCharType="separate"/>
          </w:r>
          <w:hyperlink w:anchor="_Toc160117887" w:history="1">
            <w:r w:rsidR="006A255F" w:rsidRPr="00093F02">
              <w:rPr>
                <w:rStyle w:val="Hyperlink"/>
              </w:rPr>
              <w:t>Summary</w:t>
            </w:r>
            <w:r w:rsidR="006A255F">
              <w:rPr>
                <w:webHidden/>
              </w:rPr>
              <w:tab/>
            </w:r>
            <w:r w:rsidR="006A255F">
              <w:rPr>
                <w:webHidden/>
              </w:rPr>
              <w:fldChar w:fldCharType="begin"/>
            </w:r>
            <w:r w:rsidR="006A255F">
              <w:rPr>
                <w:webHidden/>
              </w:rPr>
              <w:instrText xml:space="preserve"> PAGEREF _Toc160117887 \h </w:instrText>
            </w:r>
            <w:r w:rsidR="006A255F">
              <w:rPr>
                <w:webHidden/>
              </w:rPr>
            </w:r>
            <w:r w:rsidR="006A255F">
              <w:rPr>
                <w:webHidden/>
              </w:rPr>
              <w:fldChar w:fldCharType="separate"/>
            </w:r>
            <w:r w:rsidR="006A255F">
              <w:rPr>
                <w:webHidden/>
              </w:rPr>
              <w:t>5</w:t>
            </w:r>
            <w:r w:rsidR="006A255F">
              <w:rPr>
                <w:webHidden/>
              </w:rPr>
              <w:fldChar w:fldCharType="end"/>
            </w:r>
          </w:hyperlink>
        </w:p>
        <w:p w14:paraId="071786C1" w14:textId="47DA1E8A" w:rsidR="006A255F" w:rsidRDefault="00397D44">
          <w:pPr>
            <w:pStyle w:val="TOC2"/>
            <w:tabs>
              <w:tab w:val="left" w:pos="1100"/>
            </w:tabs>
            <w:rPr>
              <w:rFonts w:eastAsiaTheme="minorEastAsia"/>
              <w:kern w:val="2"/>
              <w:lang w:eastAsia="en-AU"/>
              <w14:ligatures w14:val="standardContextual"/>
            </w:rPr>
          </w:pPr>
          <w:hyperlink w:anchor="_Toc160117888" w:history="1">
            <w:r w:rsidR="006A255F" w:rsidRPr="00093F02">
              <w:rPr>
                <w:rStyle w:val="Hyperlink"/>
              </w:rPr>
              <w:t>1.1</w:t>
            </w:r>
            <w:r w:rsidR="006A255F">
              <w:rPr>
                <w:rFonts w:eastAsiaTheme="minorEastAsia"/>
                <w:kern w:val="2"/>
                <w:lang w:eastAsia="en-AU"/>
                <w14:ligatures w14:val="standardContextual"/>
              </w:rPr>
              <w:tab/>
            </w:r>
            <w:r w:rsidR="006A255F" w:rsidRPr="00093F02">
              <w:rPr>
                <w:rStyle w:val="Hyperlink"/>
              </w:rPr>
              <w:t>Our progress in delivering the CIS</w:t>
            </w:r>
            <w:r w:rsidR="006A255F">
              <w:rPr>
                <w:webHidden/>
              </w:rPr>
              <w:tab/>
            </w:r>
            <w:r w:rsidR="006A255F">
              <w:rPr>
                <w:webHidden/>
              </w:rPr>
              <w:fldChar w:fldCharType="begin"/>
            </w:r>
            <w:r w:rsidR="006A255F">
              <w:rPr>
                <w:webHidden/>
              </w:rPr>
              <w:instrText xml:space="preserve"> PAGEREF _Toc160117888 \h </w:instrText>
            </w:r>
            <w:r w:rsidR="006A255F">
              <w:rPr>
                <w:webHidden/>
              </w:rPr>
            </w:r>
            <w:r w:rsidR="006A255F">
              <w:rPr>
                <w:webHidden/>
              </w:rPr>
              <w:fldChar w:fldCharType="separate"/>
            </w:r>
            <w:r w:rsidR="006A255F">
              <w:rPr>
                <w:webHidden/>
              </w:rPr>
              <w:t>6</w:t>
            </w:r>
            <w:r w:rsidR="006A255F">
              <w:rPr>
                <w:webHidden/>
              </w:rPr>
              <w:fldChar w:fldCharType="end"/>
            </w:r>
          </w:hyperlink>
        </w:p>
        <w:p w14:paraId="2C993F81" w14:textId="4928C167" w:rsidR="006A255F" w:rsidRDefault="00397D44">
          <w:pPr>
            <w:pStyle w:val="TOC1"/>
            <w:rPr>
              <w:rFonts w:eastAsiaTheme="minorEastAsia"/>
              <w:b w:val="0"/>
              <w:kern w:val="2"/>
              <w:lang w:eastAsia="en-AU"/>
              <w14:ligatures w14:val="standardContextual"/>
            </w:rPr>
          </w:pPr>
          <w:hyperlink w:anchor="_Toc160117889" w:history="1">
            <w:r w:rsidR="006A255F" w:rsidRPr="00093F02">
              <w:rPr>
                <w:rStyle w:val="Hyperlink"/>
              </w:rPr>
              <w:t>CIS implementation design</w:t>
            </w:r>
            <w:r w:rsidR="006A255F">
              <w:rPr>
                <w:webHidden/>
              </w:rPr>
              <w:tab/>
            </w:r>
            <w:r w:rsidR="006A255F">
              <w:rPr>
                <w:webHidden/>
              </w:rPr>
              <w:fldChar w:fldCharType="begin"/>
            </w:r>
            <w:r w:rsidR="006A255F">
              <w:rPr>
                <w:webHidden/>
              </w:rPr>
              <w:instrText xml:space="preserve"> PAGEREF _Toc160117889 \h </w:instrText>
            </w:r>
            <w:r w:rsidR="006A255F">
              <w:rPr>
                <w:webHidden/>
              </w:rPr>
            </w:r>
            <w:r w:rsidR="006A255F">
              <w:rPr>
                <w:webHidden/>
              </w:rPr>
              <w:fldChar w:fldCharType="separate"/>
            </w:r>
            <w:r w:rsidR="006A255F">
              <w:rPr>
                <w:webHidden/>
              </w:rPr>
              <w:t>10</w:t>
            </w:r>
            <w:r w:rsidR="006A255F">
              <w:rPr>
                <w:webHidden/>
              </w:rPr>
              <w:fldChar w:fldCharType="end"/>
            </w:r>
          </w:hyperlink>
        </w:p>
        <w:p w14:paraId="0E2603D8" w14:textId="5CAB26CD" w:rsidR="006A255F" w:rsidRDefault="00397D44">
          <w:pPr>
            <w:pStyle w:val="TOC2"/>
            <w:tabs>
              <w:tab w:val="left" w:pos="1100"/>
            </w:tabs>
            <w:rPr>
              <w:rFonts w:eastAsiaTheme="minorEastAsia"/>
              <w:kern w:val="2"/>
              <w:lang w:eastAsia="en-AU"/>
              <w14:ligatures w14:val="standardContextual"/>
            </w:rPr>
          </w:pPr>
          <w:hyperlink w:anchor="_Toc160117890" w:history="1">
            <w:r w:rsidR="006A255F" w:rsidRPr="00093F02">
              <w:rPr>
                <w:rStyle w:val="Hyperlink"/>
              </w:rPr>
              <w:t>2.1</w:t>
            </w:r>
            <w:r w:rsidR="006A255F">
              <w:rPr>
                <w:rFonts w:eastAsiaTheme="minorEastAsia"/>
                <w:kern w:val="2"/>
                <w:lang w:eastAsia="en-AU"/>
                <w14:ligatures w14:val="standardContextual"/>
              </w:rPr>
              <w:tab/>
            </w:r>
            <w:r w:rsidR="006A255F" w:rsidRPr="00093F02">
              <w:rPr>
                <w:rStyle w:val="Hyperlink"/>
              </w:rPr>
              <w:t>Design principles</w:t>
            </w:r>
            <w:r w:rsidR="006A255F">
              <w:rPr>
                <w:webHidden/>
              </w:rPr>
              <w:tab/>
            </w:r>
            <w:r w:rsidR="006A255F">
              <w:rPr>
                <w:webHidden/>
              </w:rPr>
              <w:fldChar w:fldCharType="begin"/>
            </w:r>
            <w:r w:rsidR="006A255F">
              <w:rPr>
                <w:webHidden/>
              </w:rPr>
              <w:instrText xml:space="preserve"> PAGEREF _Toc160117890 \h </w:instrText>
            </w:r>
            <w:r w:rsidR="006A255F">
              <w:rPr>
                <w:webHidden/>
              </w:rPr>
            </w:r>
            <w:r w:rsidR="006A255F">
              <w:rPr>
                <w:webHidden/>
              </w:rPr>
              <w:fldChar w:fldCharType="separate"/>
            </w:r>
            <w:r w:rsidR="006A255F">
              <w:rPr>
                <w:webHidden/>
              </w:rPr>
              <w:t>10</w:t>
            </w:r>
            <w:r w:rsidR="006A255F">
              <w:rPr>
                <w:webHidden/>
              </w:rPr>
              <w:fldChar w:fldCharType="end"/>
            </w:r>
          </w:hyperlink>
        </w:p>
        <w:p w14:paraId="636E2FFC" w14:textId="0798D534" w:rsidR="006A255F" w:rsidRDefault="00397D44">
          <w:pPr>
            <w:pStyle w:val="TOC2"/>
            <w:tabs>
              <w:tab w:val="left" w:pos="1100"/>
            </w:tabs>
            <w:rPr>
              <w:rFonts w:eastAsiaTheme="minorEastAsia"/>
              <w:kern w:val="2"/>
              <w:lang w:eastAsia="en-AU"/>
              <w14:ligatures w14:val="standardContextual"/>
            </w:rPr>
          </w:pPr>
          <w:hyperlink w:anchor="_Toc160117891" w:history="1">
            <w:r w:rsidR="006A255F" w:rsidRPr="00093F02">
              <w:rPr>
                <w:rStyle w:val="Hyperlink"/>
              </w:rPr>
              <w:t>2.2</w:t>
            </w:r>
            <w:r w:rsidR="006A255F">
              <w:rPr>
                <w:rFonts w:eastAsiaTheme="minorEastAsia"/>
                <w:kern w:val="2"/>
                <w:lang w:eastAsia="en-AU"/>
                <w14:ligatures w14:val="standardContextual"/>
              </w:rPr>
              <w:tab/>
            </w:r>
            <w:r w:rsidR="006A255F" w:rsidRPr="00093F02">
              <w:rPr>
                <w:rStyle w:val="Hyperlink"/>
              </w:rPr>
              <w:t>Proposed CIS tender schedule and allocation</w:t>
            </w:r>
            <w:r w:rsidR="006A255F">
              <w:rPr>
                <w:webHidden/>
              </w:rPr>
              <w:tab/>
            </w:r>
            <w:r w:rsidR="006A255F">
              <w:rPr>
                <w:webHidden/>
              </w:rPr>
              <w:fldChar w:fldCharType="begin"/>
            </w:r>
            <w:r w:rsidR="006A255F">
              <w:rPr>
                <w:webHidden/>
              </w:rPr>
              <w:instrText xml:space="preserve"> PAGEREF _Toc160117891 \h </w:instrText>
            </w:r>
            <w:r w:rsidR="006A255F">
              <w:rPr>
                <w:webHidden/>
              </w:rPr>
            </w:r>
            <w:r w:rsidR="006A255F">
              <w:rPr>
                <w:webHidden/>
              </w:rPr>
              <w:fldChar w:fldCharType="separate"/>
            </w:r>
            <w:r w:rsidR="006A255F">
              <w:rPr>
                <w:webHidden/>
              </w:rPr>
              <w:t>12</w:t>
            </w:r>
            <w:r w:rsidR="006A255F">
              <w:rPr>
                <w:webHidden/>
              </w:rPr>
              <w:fldChar w:fldCharType="end"/>
            </w:r>
          </w:hyperlink>
        </w:p>
        <w:p w14:paraId="1533D16F" w14:textId="1AFE4807" w:rsidR="006A255F" w:rsidRDefault="00397D44">
          <w:pPr>
            <w:pStyle w:val="TOC2"/>
            <w:tabs>
              <w:tab w:val="left" w:pos="1100"/>
            </w:tabs>
            <w:rPr>
              <w:rFonts w:eastAsiaTheme="minorEastAsia"/>
              <w:kern w:val="2"/>
              <w:lang w:eastAsia="en-AU"/>
              <w14:ligatures w14:val="standardContextual"/>
            </w:rPr>
          </w:pPr>
          <w:hyperlink w:anchor="_Toc160117892" w:history="1">
            <w:r w:rsidR="006A255F" w:rsidRPr="00093F02">
              <w:rPr>
                <w:rStyle w:val="Hyperlink"/>
                <w:lang w:val="en-GB" w:eastAsia="en-AU"/>
              </w:rPr>
              <w:t>2.3</w:t>
            </w:r>
            <w:r w:rsidR="006A255F">
              <w:rPr>
                <w:rFonts w:eastAsiaTheme="minorEastAsia"/>
                <w:kern w:val="2"/>
                <w:lang w:eastAsia="en-AU"/>
                <w14:ligatures w14:val="standardContextual"/>
              </w:rPr>
              <w:tab/>
            </w:r>
            <w:r w:rsidR="006A255F" w:rsidRPr="00093F02">
              <w:rPr>
                <w:rStyle w:val="Hyperlink"/>
                <w:lang w:val="en-GB" w:eastAsia="en-AU"/>
              </w:rPr>
              <w:t>Managing risks to contract market liquidity</w:t>
            </w:r>
            <w:r w:rsidR="006A255F">
              <w:rPr>
                <w:webHidden/>
              </w:rPr>
              <w:tab/>
            </w:r>
            <w:r w:rsidR="006A255F">
              <w:rPr>
                <w:webHidden/>
              </w:rPr>
              <w:fldChar w:fldCharType="begin"/>
            </w:r>
            <w:r w:rsidR="006A255F">
              <w:rPr>
                <w:webHidden/>
              </w:rPr>
              <w:instrText xml:space="preserve"> PAGEREF _Toc160117892 \h </w:instrText>
            </w:r>
            <w:r w:rsidR="006A255F">
              <w:rPr>
                <w:webHidden/>
              </w:rPr>
            </w:r>
            <w:r w:rsidR="006A255F">
              <w:rPr>
                <w:webHidden/>
              </w:rPr>
              <w:fldChar w:fldCharType="separate"/>
            </w:r>
            <w:r w:rsidR="006A255F">
              <w:rPr>
                <w:webHidden/>
              </w:rPr>
              <w:t>14</w:t>
            </w:r>
            <w:r w:rsidR="006A255F">
              <w:rPr>
                <w:webHidden/>
              </w:rPr>
              <w:fldChar w:fldCharType="end"/>
            </w:r>
          </w:hyperlink>
        </w:p>
        <w:p w14:paraId="7FF63E9A" w14:textId="1DF9127B" w:rsidR="006A255F" w:rsidRDefault="00397D44">
          <w:pPr>
            <w:pStyle w:val="TOC1"/>
            <w:rPr>
              <w:rFonts w:eastAsiaTheme="minorEastAsia"/>
              <w:b w:val="0"/>
              <w:kern w:val="2"/>
              <w:lang w:eastAsia="en-AU"/>
              <w14:ligatures w14:val="standardContextual"/>
            </w:rPr>
          </w:pPr>
          <w:hyperlink w:anchor="_Toc160117893" w:history="1">
            <w:r w:rsidR="006A255F" w:rsidRPr="00093F02">
              <w:rPr>
                <w:rStyle w:val="Hyperlink"/>
              </w:rPr>
              <w:t>CISA products</w:t>
            </w:r>
            <w:r w:rsidR="006A255F">
              <w:rPr>
                <w:webHidden/>
              </w:rPr>
              <w:tab/>
            </w:r>
            <w:r w:rsidR="006A255F">
              <w:rPr>
                <w:webHidden/>
              </w:rPr>
              <w:fldChar w:fldCharType="begin"/>
            </w:r>
            <w:r w:rsidR="006A255F">
              <w:rPr>
                <w:webHidden/>
              </w:rPr>
              <w:instrText xml:space="preserve"> PAGEREF _Toc160117893 \h </w:instrText>
            </w:r>
            <w:r w:rsidR="006A255F">
              <w:rPr>
                <w:webHidden/>
              </w:rPr>
            </w:r>
            <w:r w:rsidR="006A255F">
              <w:rPr>
                <w:webHidden/>
              </w:rPr>
              <w:fldChar w:fldCharType="separate"/>
            </w:r>
            <w:r w:rsidR="006A255F">
              <w:rPr>
                <w:webHidden/>
              </w:rPr>
              <w:t>16</w:t>
            </w:r>
            <w:r w:rsidR="006A255F">
              <w:rPr>
                <w:webHidden/>
              </w:rPr>
              <w:fldChar w:fldCharType="end"/>
            </w:r>
          </w:hyperlink>
        </w:p>
        <w:p w14:paraId="24CC8B64" w14:textId="15BA648B" w:rsidR="006A255F" w:rsidRDefault="00397D44">
          <w:pPr>
            <w:pStyle w:val="TOC2"/>
            <w:tabs>
              <w:tab w:val="left" w:pos="1100"/>
            </w:tabs>
            <w:rPr>
              <w:rFonts w:eastAsiaTheme="minorEastAsia"/>
              <w:kern w:val="2"/>
              <w:lang w:eastAsia="en-AU"/>
              <w14:ligatures w14:val="standardContextual"/>
            </w:rPr>
          </w:pPr>
          <w:hyperlink w:anchor="_Toc160117894" w:history="1">
            <w:r w:rsidR="006A255F" w:rsidRPr="00093F02">
              <w:rPr>
                <w:rStyle w:val="Hyperlink"/>
              </w:rPr>
              <w:t>3.1</w:t>
            </w:r>
            <w:r w:rsidR="006A255F">
              <w:rPr>
                <w:rFonts w:eastAsiaTheme="minorEastAsia"/>
                <w:kern w:val="2"/>
                <w:lang w:eastAsia="en-AU"/>
                <w14:ligatures w14:val="standardContextual"/>
              </w:rPr>
              <w:tab/>
            </w:r>
            <w:r w:rsidR="006A255F" w:rsidRPr="00093F02">
              <w:rPr>
                <w:rStyle w:val="Hyperlink"/>
              </w:rPr>
              <w:t>CISA product types</w:t>
            </w:r>
            <w:r w:rsidR="006A255F">
              <w:rPr>
                <w:webHidden/>
              </w:rPr>
              <w:tab/>
            </w:r>
            <w:r w:rsidR="006A255F">
              <w:rPr>
                <w:webHidden/>
              </w:rPr>
              <w:fldChar w:fldCharType="begin"/>
            </w:r>
            <w:r w:rsidR="006A255F">
              <w:rPr>
                <w:webHidden/>
              </w:rPr>
              <w:instrText xml:space="preserve"> PAGEREF _Toc160117894 \h </w:instrText>
            </w:r>
            <w:r w:rsidR="006A255F">
              <w:rPr>
                <w:webHidden/>
              </w:rPr>
            </w:r>
            <w:r w:rsidR="006A255F">
              <w:rPr>
                <w:webHidden/>
              </w:rPr>
              <w:fldChar w:fldCharType="separate"/>
            </w:r>
            <w:r w:rsidR="006A255F">
              <w:rPr>
                <w:webHidden/>
              </w:rPr>
              <w:t>16</w:t>
            </w:r>
            <w:r w:rsidR="006A255F">
              <w:rPr>
                <w:webHidden/>
              </w:rPr>
              <w:fldChar w:fldCharType="end"/>
            </w:r>
          </w:hyperlink>
        </w:p>
        <w:p w14:paraId="560C2F1A" w14:textId="2CFCFC71" w:rsidR="006A255F" w:rsidRDefault="00397D44">
          <w:pPr>
            <w:pStyle w:val="TOC2"/>
            <w:tabs>
              <w:tab w:val="left" w:pos="1100"/>
            </w:tabs>
            <w:rPr>
              <w:rFonts w:eastAsiaTheme="minorEastAsia"/>
              <w:kern w:val="2"/>
              <w:lang w:eastAsia="en-AU"/>
              <w14:ligatures w14:val="standardContextual"/>
            </w:rPr>
          </w:pPr>
          <w:hyperlink w:anchor="_Toc160117895" w:history="1">
            <w:r w:rsidR="006A255F" w:rsidRPr="00093F02">
              <w:rPr>
                <w:rStyle w:val="Hyperlink"/>
              </w:rPr>
              <w:t>3.2</w:t>
            </w:r>
            <w:r w:rsidR="006A255F">
              <w:rPr>
                <w:rFonts w:eastAsiaTheme="minorEastAsia"/>
                <w:kern w:val="2"/>
                <w:lang w:eastAsia="en-AU"/>
                <w14:ligatures w14:val="standardContextual"/>
              </w:rPr>
              <w:tab/>
            </w:r>
            <w:r w:rsidR="006A255F" w:rsidRPr="00093F02">
              <w:rPr>
                <w:rStyle w:val="Hyperlink"/>
              </w:rPr>
              <w:t>Payment mechanisms</w:t>
            </w:r>
            <w:r w:rsidR="006A255F">
              <w:rPr>
                <w:webHidden/>
              </w:rPr>
              <w:tab/>
            </w:r>
            <w:r w:rsidR="006A255F">
              <w:rPr>
                <w:webHidden/>
              </w:rPr>
              <w:fldChar w:fldCharType="begin"/>
            </w:r>
            <w:r w:rsidR="006A255F">
              <w:rPr>
                <w:webHidden/>
              </w:rPr>
              <w:instrText xml:space="preserve"> PAGEREF _Toc160117895 \h </w:instrText>
            </w:r>
            <w:r w:rsidR="006A255F">
              <w:rPr>
                <w:webHidden/>
              </w:rPr>
            </w:r>
            <w:r w:rsidR="006A255F">
              <w:rPr>
                <w:webHidden/>
              </w:rPr>
              <w:fldChar w:fldCharType="separate"/>
            </w:r>
            <w:r w:rsidR="006A255F">
              <w:rPr>
                <w:webHidden/>
              </w:rPr>
              <w:t>19</w:t>
            </w:r>
            <w:r w:rsidR="006A255F">
              <w:rPr>
                <w:webHidden/>
              </w:rPr>
              <w:fldChar w:fldCharType="end"/>
            </w:r>
          </w:hyperlink>
        </w:p>
        <w:p w14:paraId="2C77E5FE" w14:textId="7254DF28" w:rsidR="006A255F" w:rsidRDefault="00397D44">
          <w:pPr>
            <w:pStyle w:val="TOC2"/>
            <w:tabs>
              <w:tab w:val="left" w:pos="1100"/>
            </w:tabs>
            <w:rPr>
              <w:rFonts w:eastAsiaTheme="minorEastAsia"/>
              <w:kern w:val="2"/>
              <w:lang w:eastAsia="en-AU"/>
              <w14:ligatures w14:val="standardContextual"/>
            </w:rPr>
          </w:pPr>
          <w:hyperlink w:anchor="_Toc160117896" w:history="1">
            <w:r w:rsidR="006A255F" w:rsidRPr="00093F02">
              <w:rPr>
                <w:rStyle w:val="Hyperlink"/>
                <w:lang w:eastAsia="en-AU"/>
              </w:rPr>
              <w:t>3.3</w:t>
            </w:r>
            <w:r w:rsidR="006A255F">
              <w:rPr>
                <w:rFonts w:eastAsiaTheme="minorEastAsia"/>
                <w:kern w:val="2"/>
                <w:lang w:eastAsia="en-AU"/>
                <w14:ligatures w14:val="standardContextual"/>
              </w:rPr>
              <w:tab/>
            </w:r>
            <w:r w:rsidR="006A255F" w:rsidRPr="00093F02">
              <w:rPr>
                <w:rStyle w:val="Hyperlink"/>
                <w:lang w:eastAsia="en-AU"/>
              </w:rPr>
              <w:t>Ownership structure</w:t>
            </w:r>
            <w:r w:rsidR="006A255F">
              <w:rPr>
                <w:webHidden/>
              </w:rPr>
              <w:tab/>
            </w:r>
            <w:r w:rsidR="006A255F">
              <w:rPr>
                <w:webHidden/>
              </w:rPr>
              <w:fldChar w:fldCharType="begin"/>
            </w:r>
            <w:r w:rsidR="006A255F">
              <w:rPr>
                <w:webHidden/>
              </w:rPr>
              <w:instrText xml:space="preserve"> PAGEREF _Toc160117896 \h </w:instrText>
            </w:r>
            <w:r w:rsidR="006A255F">
              <w:rPr>
                <w:webHidden/>
              </w:rPr>
            </w:r>
            <w:r w:rsidR="006A255F">
              <w:rPr>
                <w:webHidden/>
              </w:rPr>
              <w:fldChar w:fldCharType="separate"/>
            </w:r>
            <w:r w:rsidR="006A255F">
              <w:rPr>
                <w:webHidden/>
              </w:rPr>
              <w:t>22</w:t>
            </w:r>
            <w:r w:rsidR="006A255F">
              <w:rPr>
                <w:webHidden/>
              </w:rPr>
              <w:fldChar w:fldCharType="end"/>
            </w:r>
          </w:hyperlink>
        </w:p>
        <w:p w14:paraId="0EBF0A2F" w14:textId="0C3E17C8" w:rsidR="006A255F" w:rsidRDefault="00397D44">
          <w:pPr>
            <w:pStyle w:val="TOC2"/>
            <w:tabs>
              <w:tab w:val="left" w:pos="1100"/>
            </w:tabs>
            <w:rPr>
              <w:rFonts w:eastAsiaTheme="minorEastAsia"/>
              <w:kern w:val="2"/>
              <w:lang w:eastAsia="en-AU"/>
              <w14:ligatures w14:val="standardContextual"/>
            </w:rPr>
          </w:pPr>
          <w:hyperlink w:anchor="_Toc160117897" w:history="1">
            <w:r w:rsidR="006A255F" w:rsidRPr="00093F02">
              <w:rPr>
                <w:rStyle w:val="Hyperlink"/>
                <w:lang w:eastAsia="en-AU"/>
              </w:rPr>
              <w:t>3.4</w:t>
            </w:r>
            <w:r w:rsidR="006A255F">
              <w:rPr>
                <w:rFonts w:eastAsiaTheme="minorEastAsia"/>
                <w:kern w:val="2"/>
                <w:lang w:eastAsia="en-AU"/>
                <w14:ligatures w14:val="standardContextual"/>
              </w:rPr>
              <w:tab/>
            </w:r>
            <w:r w:rsidR="006A255F" w:rsidRPr="00093F02">
              <w:rPr>
                <w:rStyle w:val="Hyperlink"/>
                <w:lang w:eastAsia="en-AU"/>
              </w:rPr>
              <w:t>Alternative options for Generation CISA design</w:t>
            </w:r>
            <w:r w:rsidR="006A255F">
              <w:rPr>
                <w:webHidden/>
              </w:rPr>
              <w:tab/>
            </w:r>
            <w:r w:rsidR="006A255F">
              <w:rPr>
                <w:webHidden/>
              </w:rPr>
              <w:fldChar w:fldCharType="begin"/>
            </w:r>
            <w:r w:rsidR="006A255F">
              <w:rPr>
                <w:webHidden/>
              </w:rPr>
              <w:instrText xml:space="preserve"> PAGEREF _Toc160117897 \h </w:instrText>
            </w:r>
            <w:r w:rsidR="006A255F">
              <w:rPr>
                <w:webHidden/>
              </w:rPr>
            </w:r>
            <w:r w:rsidR="006A255F">
              <w:rPr>
                <w:webHidden/>
              </w:rPr>
              <w:fldChar w:fldCharType="separate"/>
            </w:r>
            <w:r w:rsidR="006A255F">
              <w:rPr>
                <w:webHidden/>
              </w:rPr>
              <w:t>23</w:t>
            </w:r>
            <w:r w:rsidR="006A255F">
              <w:rPr>
                <w:webHidden/>
              </w:rPr>
              <w:fldChar w:fldCharType="end"/>
            </w:r>
          </w:hyperlink>
        </w:p>
        <w:p w14:paraId="51F6566F" w14:textId="06E90FBA" w:rsidR="006A255F" w:rsidRDefault="00397D44">
          <w:pPr>
            <w:pStyle w:val="TOC1"/>
            <w:rPr>
              <w:rFonts w:eastAsiaTheme="minorEastAsia"/>
              <w:b w:val="0"/>
              <w:kern w:val="2"/>
              <w:lang w:eastAsia="en-AU"/>
              <w14:ligatures w14:val="standardContextual"/>
            </w:rPr>
          </w:pPr>
          <w:hyperlink w:anchor="_Toc160117898" w:history="1">
            <w:r w:rsidR="006A255F" w:rsidRPr="00093F02">
              <w:rPr>
                <w:rStyle w:val="Hyperlink"/>
              </w:rPr>
              <w:t>CIS tender design and assessment process</w:t>
            </w:r>
            <w:r w:rsidR="006A255F">
              <w:rPr>
                <w:webHidden/>
              </w:rPr>
              <w:tab/>
            </w:r>
            <w:r w:rsidR="006A255F">
              <w:rPr>
                <w:webHidden/>
              </w:rPr>
              <w:fldChar w:fldCharType="begin"/>
            </w:r>
            <w:r w:rsidR="006A255F">
              <w:rPr>
                <w:webHidden/>
              </w:rPr>
              <w:instrText xml:space="preserve"> PAGEREF _Toc160117898 \h </w:instrText>
            </w:r>
            <w:r w:rsidR="006A255F">
              <w:rPr>
                <w:webHidden/>
              </w:rPr>
            </w:r>
            <w:r w:rsidR="006A255F">
              <w:rPr>
                <w:webHidden/>
              </w:rPr>
              <w:fldChar w:fldCharType="separate"/>
            </w:r>
            <w:r w:rsidR="006A255F">
              <w:rPr>
                <w:webHidden/>
              </w:rPr>
              <w:t>25</w:t>
            </w:r>
            <w:r w:rsidR="006A255F">
              <w:rPr>
                <w:webHidden/>
              </w:rPr>
              <w:fldChar w:fldCharType="end"/>
            </w:r>
          </w:hyperlink>
        </w:p>
        <w:p w14:paraId="725EC45A" w14:textId="3A63DF06" w:rsidR="006A255F" w:rsidRDefault="00397D44">
          <w:pPr>
            <w:pStyle w:val="TOC2"/>
            <w:tabs>
              <w:tab w:val="left" w:pos="1100"/>
            </w:tabs>
            <w:rPr>
              <w:rFonts w:eastAsiaTheme="minorEastAsia"/>
              <w:kern w:val="2"/>
              <w:lang w:eastAsia="en-AU"/>
              <w14:ligatures w14:val="standardContextual"/>
            </w:rPr>
          </w:pPr>
          <w:hyperlink w:anchor="_Toc160117899" w:history="1">
            <w:r w:rsidR="006A255F" w:rsidRPr="00093F02">
              <w:rPr>
                <w:rStyle w:val="Hyperlink"/>
              </w:rPr>
              <w:t>4.1</w:t>
            </w:r>
            <w:r w:rsidR="006A255F">
              <w:rPr>
                <w:rFonts w:eastAsiaTheme="minorEastAsia"/>
                <w:kern w:val="2"/>
                <w:lang w:eastAsia="en-AU"/>
                <w14:ligatures w14:val="standardContextual"/>
              </w:rPr>
              <w:tab/>
            </w:r>
            <w:r w:rsidR="006A255F" w:rsidRPr="00093F02">
              <w:rPr>
                <w:rStyle w:val="Hyperlink"/>
              </w:rPr>
              <w:t>Tender governance and decision-making</w:t>
            </w:r>
            <w:r w:rsidR="006A255F">
              <w:rPr>
                <w:webHidden/>
              </w:rPr>
              <w:tab/>
            </w:r>
            <w:r w:rsidR="006A255F">
              <w:rPr>
                <w:webHidden/>
              </w:rPr>
              <w:fldChar w:fldCharType="begin"/>
            </w:r>
            <w:r w:rsidR="006A255F">
              <w:rPr>
                <w:webHidden/>
              </w:rPr>
              <w:instrText xml:space="preserve"> PAGEREF _Toc160117899 \h </w:instrText>
            </w:r>
            <w:r w:rsidR="006A255F">
              <w:rPr>
                <w:webHidden/>
              </w:rPr>
            </w:r>
            <w:r w:rsidR="006A255F">
              <w:rPr>
                <w:webHidden/>
              </w:rPr>
              <w:fldChar w:fldCharType="separate"/>
            </w:r>
            <w:r w:rsidR="006A255F">
              <w:rPr>
                <w:webHidden/>
              </w:rPr>
              <w:t>25</w:t>
            </w:r>
            <w:r w:rsidR="006A255F">
              <w:rPr>
                <w:webHidden/>
              </w:rPr>
              <w:fldChar w:fldCharType="end"/>
            </w:r>
          </w:hyperlink>
        </w:p>
        <w:p w14:paraId="389F9D58" w14:textId="5AE5616D" w:rsidR="006A255F" w:rsidRDefault="00397D44">
          <w:pPr>
            <w:pStyle w:val="TOC2"/>
            <w:tabs>
              <w:tab w:val="left" w:pos="1100"/>
            </w:tabs>
            <w:rPr>
              <w:rFonts w:eastAsiaTheme="minorEastAsia"/>
              <w:kern w:val="2"/>
              <w:lang w:eastAsia="en-AU"/>
              <w14:ligatures w14:val="standardContextual"/>
            </w:rPr>
          </w:pPr>
          <w:hyperlink w:anchor="_Toc160117900" w:history="1">
            <w:r w:rsidR="006A255F" w:rsidRPr="00093F02">
              <w:rPr>
                <w:rStyle w:val="Hyperlink"/>
                <w:lang w:val="en-GB" w:eastAsia="en-AU"/>
              </w:rPr>
              <w:t>4.2</w:t>
            </w:r>
            <w:r w:rsidR="006A255F">
              <w:rPr>
                <w:rFonts w:eastAsiaTheme="minorEastAsia"/>
                <w:kern w:val="2"/>
                <w:lang w:eastAsia="en-AU"/>
                <w14:ligatures w14:val="standardContextual"/>
              </w:rPr>
              <w:tab/>
            </w:r>
            <w:r w:rsidR="006A255F" w:rsidRPr="00093F02">
              <w:rPr>
                <w:rStyle w:val="Hyperlink"/>
                <w:lang w:val="en-GB" w:eastAsia="en-AU"/>
              </w:rPr>
              <w:t>Tender process overview</w:t>
            </w:r>
            <w:r w:rsidR="006A255F">
              <w:rPr>
                <w:webHidden/>
              </w:rPr>
              <w:tab/>
            </w:r>
            <w:r w:rsidR="006A255F">
              <w:rPr>
                <w:webHidden/>
              </w:rPr>
              <w:fldChar w:fldCharType="begin"/>
            </w:r>
            <w:r w:rsidR="006A255F">
              <w:rPr>
                <w:webHidden/>
              </w:rPr>
              <w:instrText xml:space="preserve"> PAGEREF _Toc160117900 \h </w:instrText>
            </w:r>
            <w:r w:rsidR="006A255F">
              <w:rPr>
                <w:webHidden/>
              </w:rPr>
            </w:r>
            <w:r w:rsidR="006A255F">
              <w:rPr>
                <w:webHidden/>
              </w:rPr>
              <w:fldChar w:fldCharType="separate"/>
            </w:r>
            <w:r w:rsidR="006A255F">
              <w:rPr>
                <w:webHidden/>
              </w:rPr>
              <w:t>25</w:t>
            </w:r>
            <w:r w:rsidR="006A255F">
              <w:rPr>
                <w:webHidden/>
              </w:rPr>
              <w:fldChar w:fldCharType="end"/>
            </w:r>
          </w:hyperlink>
        </w:p>
        <w:p w14:paraId="5E63FB21" w14:textId="5642C4CB" w:rsidR="006A255F" w:rsidRDefault="00397D44">
          <w:pPr>
            <w:pStyle w:val="TOC2"/>
            <w:tabs>
              <w:tab w:val="left" w:pos="1100"/>
            </w:tabs>
            <w:rPr>
              <w:rFonts w:eastAsiaTheme="minorEastAsia"/>
              <w:kern w:val="2"/>
              <w:lang w:eastAsia="en-AU"/>
              <w14:ligatures w14:val="standardContextual"/>
            </w:rPr>
          </w:pPr>
          <w:hyperlink w:anchor="_Toc160117901" w:history="1">
            <w:r w:rsidR="006A255F" w:rsidRPr="00093F02">
              <w:rPr>
                <w:rStyle w:val="Hyperlink"/>
              </w:rPr>
              <w:t>4.3</w:t>
            </w:r>
            <w:r w:rsidR="006A255F">
              <w:rPr>
                <w:rFonts w:eastAsiaTheme="minorEastAsia"/>
                <w:kern w:val="2"/>
                <w:lang w:eastAsia="en-AU"/>
                <w14:ligatures w14:val="standardContextual"/>
              </w:rPr>
              <w:tab/>
            </w:r>
            <w:r w:rsidR="006A255F" w:rsidRPr="00093F02">
              <w:rPr>
                <w:rStyle w:val="Hyperlink"/>
              </w:rPr>
              <w:t>Stage A – Project bid: eligibility assessment</w:t>
            </w:r>
            <w:r w:rsidR="006A255F">
              <w:rPr>
                <w:webHidden/>
              </w:rPr>
              <w:tab/>
            </w:r>
            <w:r w:rsidR="006A255F">
              <w:rPr>
                <w:webHidden/>
              </w:rPr>
              <w:fldChar w:fldCharType="begin"/>
            </w:r>
            <w:r w:rsidR="006A255F">
              <w:rPr>
                <w:webHidden/>
              </w:rPr>
              <w:instrText xml:space="preserve"> PAGEREF _Toc160117901 \h </w:instrText>
            </w:r>
            <w:r w:rsidR="006A255F">
              <w:rPr>
                <w:webHidden/>
              </w:rPr>
            </w:r>
            <w:r w:rsidR="006A255F">
              <w:rPr>
                <w:webHidden/>
              </w:rPr>
              <w:fldChar w:fldCharType="separate"/>
            </w:r>
            <w:r w:rsidR="006A255F">
              <w:rPr>
                <w:webHidden/>
              </w:rPr>
              <w:t>26</w:t>
            </w:r>
            <w:r w:rsidR="006A255F">
              <w:rPr>
                <w:webHidden/>
              </w:rPr>
              <w:fldChar w:fldCharType="end"/>
            </w:r>
          </w:hyperlink>
        </w:p>
        <w:p w14:paraId="3CA609BD" w14:textId="3AC14073" w:rsidR="006A255F" w:rsidRDefault="00397D44">
          <w:pPr>
            <w:pStyle w:val="TOC2"/>
            <w:tabs>
              <w:tab w:val="left" w:pos="1100"/>
            </w:tabs>
            <w:rPr>
              <w:rFonts w:eastAsiaTheme="minorEastAsia"/>
              <w:kern w:val="2"/>
              <w:lang w:eastAsia="en-AU"/>
              <w14:ligatures w14:val="standardContextual"/>
            </w:rPr>
          </w:pPr>
          <w:hyperlink w:anchor="_Toc160117902" w:history="1">
            <w:r w:rsidR="006A255F" w:rsidRPr="00093F02">
              <w:rPr>
                <w:rStyle w:val="Hyperlink"/>
              </w:rPr>
              <w:t>4.4</w:t>
            </w:r>
            <w:r w:rsidR="006A255F">
              <w:rPr>
                <w:rFonts w:eastAsiaTheme="minorEastAsia"/>
                <w:kern w:val="2"/>
                <w:lang w:eastAsia="en-AU"/>
                <w14:ligatures w14:val="standardContextual"/>
              </w:rPr>
              <w:tab/>
            </w:r>
            <w:r w:rsidR="006A255F" w:rsidRPr="00093F02">
              <w:rPr>
                <w:rStyle w:val="Hyperlink"/>
              </w:rPr>
              <w:t>Merit assessment</w:t>
            </w:r>
            <w:r w:rsidR="006A255F">
              <w:rPr>
                <w:webHidden/>
              </w:rPr>
              <w:tab/>
            </w:r>
            <w:r w:rsidR="006A255F">
              <w:rPr>
                <w:webHidden/>
              </w:rPr>
              <w:fldChar w:fldCharType="begin"/>
            </w:r>
            <w:r w:rsidR="006A255F">
              <w:rPr>
                <w:webHidden/>
              </w:rPr>
              <w:instrText xml:space="preserve"> PAGEREF _Toc160117902 \h </w:instrText>
            </w:r>
            <w:r w:rsidR="006A255F">
              <w:rPr>
                <w:webHidden/>
              </w:rPr>
            </w:r>
            <w:r w:rsidR="006A255F">
              <w:rPr>
                <w:webHidden/>
              </w:rPr>
              <w:fldChar w:fldCharType="separate"/>
            </w:r>
            <w:r w:rsidR="006A255F">
              <w:rPr>
                <w:webHidden/>
              </w:rPr>
              <w:t>29</w:t>
            </w:r>
            <w:r w:rsidR="006A255F">
              <w:rPr>
                <w:webHidden/>
              </w:rPr>
              <w:fldChar w:fldCharType="end"/>
            </w:r>
          </w:hyperlink>
        </w:p>
        <w:p w14:paraId="48D06EF4" w14:textId="7CC500DD" w:rsidR="006A255F" w:rsidRDefault="00397D44">
          <w:pPr>
            <w:pStyle w:val="TOC2"/>
            <w:tabs>
              <w:tab w:val="left" w:pos="1100"/>
            </w:tabs>
            <w:rPr>
              <w:rFonts w:eastAsiaTheme="minorEastAsia"/>
              <w:kern w:val="2"/>
              <w:lang w:eastAsia="en-AU"/>
              <w14:ligatures w14:val="standardContextual"/>
            </w:rPr>
          </w:pPr>
          <w:hyperlink w:anchor="_Toc160117903" w:history="1">
            <w:r w:rsidR="006A255F" w:rsidRPr="00093F02">
              <w:rPr>
                <w:rStyle w:val="Hyperlink"/>
              </w:rPr>
              <w:t>4.5</w:t>
            </w:r>
            <w:r w:rsidR="006A255F">
              <w:rPr>
                <w:rFonts w:eastAsiaTheme="minorEastAsia"/>
                <w:kern w:val="2"/>
                <w:lang w:eastAsia="en-AU"/>
                <w14:ligatures w14:val="standardContextual"/>
              </w:rPr>
              <w:tab/>
            </w:r>
            <w:r w:rsidR="006A255F" w:rsidRPr="00093F02">
              <w:rPr>
                <w:rStyle w:val="Hyperlink"/>
              </w:rPr>
              <w:t>Approach to assessing hybrid projects</w:t>
            </w:r>
            <w:r w:rsidR="006A255F">
              <w:rPr>
                <w:webHidden/>
              </w:rPr>
              <w:tab/>
            </w:r>
            <w:r w:rsidR="006A255F">
              <w:rPr>
                <w:webHidden/>
              </w:rPr>
              <w:fldChar w:fldCharType="begin"/>
            </w:r>
            <w:r w:rsidR="006A255F">
              <w:rPr>
                <w:webHidden/>
              </w:rPr>
              <w:instrText xml:space="preserve"> PAGEREF _Toc160117903 \h </w:instrText>
            </w:r>
            <w:r w:rsidR="006A255F">
              <w:rPr>
                <w:webHidden/>
              </w:rPr>
            </w:r>
            <w:r w:rsidR="006A255F">
              <w:rPr>
                <w:webHidden/>
              </w:rPr>
              <w:fldChar w:fldCharType="separate"/>
            </w:r>
            <w:r w:rsidR="006A255F">
              <w:rPr>
                <w:webHidden/>
              </w:rPr>
              <w:t>33</w:t>
            </w:r>
            <w:r w:rsidR="006A255F">
              <w:rPr>
                <w:webHidden/>
              </w:rPr>
              <w:fldChar w:fldCharType="end"/>
            </w:r>
          </w:hyperlink>
        </w:p>
        <w:p w14:paraId="7F3D5191" w14:textId="39D1DB6C" w:rsidR="006A255F" w:rsidRDefault="00397D44">
          <w:pPr>
            <w:pStyle w:val="TOC2"/>
            <w:tabs>
              <w:tab w:val="left" w:pos="1100"/>
            </w:tabs>
            <w:rPr>
              <w:rFonts w:eastAsiaTheme="minorEastAsia"/>
              <w:kern w:val="2"/>
              <w:lang w:eastAsia="en-AU"/>
              <w14:ligatures w14:val="standardContextual"/>
            </w:rPr>
          </w:pPr>
          <w:hyperlink w:anchor="_Toc160117904" w:history="1">
            <w:r w:rsidR="006A255F" w:rsidRPr="00093F02">
              <w:rPr>
                <w:rStyle w:val="Hyperlink"/>
              </w:rPr>
              <w:t>4.6</w:t>
            </w:r>
            <w:r w:rsidR="006A255F">
              <w:rPr>
                <w:rFonts w:eastAsiaTheme="minorEastAsia"/>
                <w:kern w:val="2"/>
                <w:lang w:eastAsia="en-AU"/>
                <w14:ligatures w14:val="standardContextual"/>
              </w:rPr>
              <w:tab/>
            </w:r>
            <w:r w:rsidR="006A255F" w:rsidRPr="00093F02">
              <w:rPr>
                <w:rStyle w:val="Hyperlink"/>
              </w:rPr>
              <w:t>Approach to assessing dispatchable renewable generation projects</w:t>
            </w:r>
            <w:r w:rsidR="006A255F">
              <w:rPr>
                <w:webHidden/>
              </w:rPr>
              <w:tab/>
            </w:r>
            <w:r w:rsidR="006A255F">
              <w:rPr>
                <w:webHidden/>
              </w:rPr>
              <w:fldChar w:fldCharType="begin"/>
            </w:r>
            <w:r w:rsidR="006A255F">
              <w:rPr>
                <w:webHidden/>
              </w:rPr>
              <w:instrText xml:space="preserve"> PAGEREF _Toc160117904 \h </w:instrText>
            </w:r>
            <w:r w:rsidR="006A255F">
              <w:rPr>
                <w:webHidden/>
              </w:rPr>
            </w:r>
            <w:r w:rsidR="006A255F">
              <w:rPr>
                <w:webHidden/>
              </w:rPr>
              <w:fldChar w:fldCharType="separate"/>
            </w:r>
            <w:r w:rsidR="006A255F">
              <w:rPr>
                <w:webHidden/>
              </w:rPr>
              <w:t>34</w:t>
            </w:r>
            <w:r w:rsidR="006A255F">
              <w:rPr>
                <w:webHidden/>
              </w:rPr>
              <w:fldChar w:fldCharType="end"/>
            </w:r>
          </w:hyperlink>
        </w:p>
        <w:p w14:paraId="6E6F1A17" w14:textId="2BAE2968" w:rsidR="006A255F" w:rsidRDefault="00397D44">
          <w:pPr>
            <w:pStyle w:val="TOC1"/>
            <w:rPr>
              <w:rFonts w:eastAsiaTheme="minorEastAsia"/>
              <w:b w:val="0"/>
              <w:kern w:val="2"/>
              <w:lang w:eastAsia="en-AU"/>
              <w14:ligatures w14:val="standardContextual"/>
            </w:rPr>
          </w:pPr>
          <w:hyperlink w:anchor="_Toc160117905" w:history="1">
            <w:r w:rsidR="006A255F" w:rsidRPr="00093F02">
              <w:rPr>
                <w:rStyle w:val="Hyperlink"/>
              </w:rPr>
              <w:t>Appendix 1 – Key changes made in response to feedback on the August 2023 CIS public consultation</w:t>
            </w:r>
            <w:r w:rsidR="006A255F">
              <w:rPr>
                <w:webHidden/>
              </w:rPr>
              <w:tab/>
            </w:r>
            <w:r w:rsidR="006A255F">
              <w:rPr>
                <w:webHidden/>
              </w:rPr>
              <w:fldChar w:fldCharType="begin"/>
            </w:r>
            <w:r w:rsidR="006A255F">
              <w:rPr>
                <w:webHidden/>
              </w:rPr>
              <w:instrText xml:space="preserve"> PAGEREF _Toc160117905 \h </w:instrText>
            </w:r>
            <w:r w:rsidR="006A255F">
              <w:rPr>
                <w:webHidden/>
              </w:rPr>
            </w:r>
            <w:r w:rsidR="006A255F">
              <w:rPr>
                <w:webHidden/>
              </w:rPr>
              <w:fldChar w:fldCharType="separate"/>
            </w:r>
            <w:r w:rsidR="006A255F">
              <w:rPr>
                <w:webHidden/>
              </w:rPr>
              <w:t>35</w:t>
            </w:r>
            <w:r w:rsidR="006A255F">
              <w:rPr>
                <w:webHidden/>
              </w:rPr>
              <w:fldChar w:fldCharType="end"/>
            </w:r>
          </w:hyperlink>
        </w:p>
        <w:p w14:paraId="3748CC48" w14:textId="74ACEEAE" w:rsidR="006A255F" w:rsidRDefault="00397D44">
          <w:pPr>
            <w:pStyle w:val="TOC1"/>
            <w:rPr>
              <w:rFonts w:eastAsiaTheme="minorEastAsia"/>
              <w:b w:val="0"/>
              <w:kern w:val="2"/>
              <w:lang w:eastAsia="en-AU"/>
              <w14:ligatures w14:val="standardContextual"/>
            </w:rPr>
          </w:pPr>
          <w:hyperlink w:anchor="_Toc160117906" w:history="1">
            <w:r w:rsidR="006A255F" w:rsidRPr="00093F02">
              <w:rPr>
                <w:rStyle w:val="Hyperlink"/>
              </w:rPr>
              <w:t>References</w:t>
            </w:r>
            <w:r w:rsidR="006A255F">
              <w:rPr>
                <w:webHidden/>
              </w:rPr>
              <w:tab/>
            </w:r>
            <w:r w:rsidR="006A255F">
              <w:rPr>
                <w:webHidden/>
              </w:rPr>
              <w:fldChar w:fldCharType="begin"/>
            </w:r>
            <w:r w:rsidR="006A255F">
              <w:rPr>
                <w:webHidden/>
              </w:rPr>
              <w:instrText xml:space="preserve"> PAGEREF _Toc160117906 \h </w:instrText>
            </w:r>
            <w:r w:rsidR="006A255F">
              <w:rPr>
                <w:webHidden/>
              </w:rPr>
            </w:r>
            <w:r w:rsidR="006A255F">
              <w:rPr>
                <w:webHidden/>
              </w:rPr>
              <w:fldChar w:fldCharType="separate"/>
            </w:r>
            <w:r w:rsidR="006A255F">
              <w:rPr>
                <w:webHidden/>
              </w:rPr>
              <w:t>37</w:t>
            </w:r>
            <w:r w:rsidR="006A255F">
              <w:rPr>
                <w:webHidden/>
              </w:rPr>
              <w:fldChar w:fldCharType="end"/>
            </w:r>
          </w:hyperlink>
        </w:p>
        <w:p w14:paraId="500241AE" w14:textId="7ED1BD98" w:rsidR="00F775DF" w:rsidRDefault="00E91D72" w:rsidP="00F775DF">
          <w:pPr>
            <w:rPr>
              <w:b/>
            </w:rPr>
          </w:pPr>
          <w:r w:rsidRPr="35B60F92">
            <w:rPr>
              <w:b/>
              <w:bCs/>
              <w:noProof/>
            </w:rPr>
            <w:fldChar w:fldCharType="end"/>
          </w:r>
        </w:p>
      </w:sdtContent>
    </w:sdt>
    <w:p w14:paraId="6B73AAE5" w14:textId="77777777" w:rsidR="00DB021C" w:rsidRDefault="00DB021C" w:rsidP="00F775DF">
      <w:pPr>
        <w:rPr>
          <w:rStyle w:val="Hyperlink"/>
        </w:rPr>
      </w:pPr>
    </w:p>
    <w:p w14:paraId="6EB8ED30" w14:textId="21C71531" w:rsidR="00DB021C" w:rsidRDefault="00DB021C" w:rsidP="00F775DF">
      <w:pPr>
        <w:rPr>
          <w:rStyle w:val="Hyperlink"/>
        </w:rPr>
      </w:pPr>
    </w:p>
    <w:p w14:paraId="3D818618" w14:textId="77777777" w:rsidR="00DB021C" w:rsidRDefault="00DB021C" w:rsidP="00F775DF">
      <w:pPr>
        <w:rPr>
          <w:rStyle w:val="Hyperlink"/>
        </w:rPr>
      </w:pPr>
    </w:p>
    <w:p w14:paraId="52826F45" w14:textId="77777777" w:rsidR="00DB021C" w:rsidRDefault="00DB021C" w:rsidP="00F775DF">
      <w:pPr>
        <w:rPr>
          <w:rStyle w:val="Hyperlink"/>
        </w:rPr>
      </w:pPr>
    </w:p>
    <w:p w14:paraId="1174EA43" w14:textId="77777777" w:rsidR="00F26447" w:rsidRDefault="00F26447" w:rsidP="00F775DF">
      <w:pPr>
        <w:rPr>
          <w:rStyle w:val="Hyperlink"/>
        </w:rPr>
      </w:pPr>
    </w:p>
    <w:p w14:paraId="7B1013B7" w14:textId="77777777" w:rsidR="00DB021C" w:rsidRDefault="00DB021C" w:rsidP="00F775DF">
      <w:pPr>
        <w:rPr>
          <w:rStyle w:val="Hyperlink"/>
        </w:rPr>
      </w:pPr>
    </w:p>
    <w:p w14:paraId="525F443E" w14:textId="77777777" w:rsidR="00683412" w:rsidRDefault="00683412" w:rsidP="00F775DF">
      <w:pPr>
        <w:rPr>
          <w:rStyle w:val="Hyperlink"/>
        </w:rPr>
      </w:pPr>
    </w:p>
    <w:p w14:paraId="0C0E5BF0" w14:textId="77777777" w:rsidR="00DB021C" w:rsidRDefault="00DB021C" w:rsidP="00F775DF">
      <w:pPr>
        <w:rPr>
          <w:rStyle w:val="Hyperlink"/>
        </w:rPr>
      </w:pPr>
    </w:p>
    <w:p w14:paraId="78A2EB86" w14:textId="644A28DC" w:rsidR="00103888" w:rsidRDefault="00E91D72" w:rsidP="00F775DF">
      <w:pPr>
        <w:rPr>
          <w:rFonts w:eastAsiaTheme="minorEastAsia"/>
          <w:noProof/>
          <w:lang w:eastAsia="en-AU"/>
        </w:rPr>
      </w:pPr>
      <w:r>
        <w:rPr>
          <w:rStyle w:val="Hyperlink"/>
        </w:rPr>
        <w:fldChar w:fldCharType="begin"/>
      </w:r>
      <w:r w:rsidRPr="61E055E3">
        <w:rPr>
          <w:rStyle w:val="Hyperlink"/>
          <w:noProof/>
        </w:rPr>
        <w:instrText xml:space="preserve"> TOC \h \z \c "Table" </w:instrText>
      </w:r>
      <w:r>
        <w:rPr>
          <w:rStyle w:val="Hyperlink"/>
        </w:rPr>
        <w:fldChar w:fldCharType="separate"/>
      </w:r>
    </w:p>
    <w:p w14:paraId="4912FF19" w14:textId="319224C5" w:rsidR="006A255F" w:rsidRDefault="00E91D72" w:rsidP="006A255F">
      <w:pPr>
        <w:pStyle w:val="TOCHeading2"/>
        <w:rPr>
          <w:noProof/>
        </w:rPr>
      </w:pPr>
      <w:r w:rsidRPr="61E055E3">
        <w:rPr>
          <w:rStyle w:val="Strong"/>
        </w:rPr>
        <w:lastRenderedPageBreak/>
        <w:t>Tables</w:t>
      </w:r>
      <w:r>
        <w:rPr>
          <w:noProof/>
        </w:rPr>
        <w:fldChar w:fldCharType="end"/>
      </w:r>
      <w:r>
        <w:rPr>
          <w:rStyle w:val="Hyperlink"/>
          <w:rFonts w:asciiTheme="minorHAnsi" w:hAnsiTheme="minorHAnsi"/>
          <w:sz w:val="22"/>
        </w:rPr>
        <w:fldChar w:fldCharType="begin"/>
      </w:r>
      <w:r w:rsidR="2B0741FF" w:rsidRPr="2B0741FF">
        <w:rPr>
          <w:rStyle w:val="Hyperlink"/>
          <w:noProof/>
        </w:rPr>
        <w:instrText xml:space="preserve"> TOC \h \z \c "Table" </w:instrText>
      </w:r>
      <w:r>
        <w:rPr>
          <w:rStyle w:val="Hyperlink"/>
          <w:rFonts w:asciiTheme="minorHAnsi" w:hAnsiTheme="minorHAnsi"/>
          <w:sz w:val="22"/>
        </w:rPr>
        <w:fldChar w:fldCharType="separate"/>
      </w:r>
    </w:p>
    <w:p w14:paraId="78D14429" w14:textId="2FE6D771" w:rsidR="006A255F" w:rsidRDefault="00397D44">
      <w:pPr>
        <w:pStyle w:val="TableofFigures"/>
        <w:tabs>
          <w:tab w:val="right" w:leader="dot" w:pos="9060"/>
        </w:tabs>
        <w:rPr>
          <w:rFonts w:eastAsiaTheme="minorEastAsia"/>
          <w:noProof/>
          <w:kern w:val="2"/>
          <w:lang w:eastAsia="en-AU"/>
          <w14:ligatures w14:val="standardContextual"/>
        </w:rPr>
      </w:pPr>
      <w:hyperlink w:anchor="_Toc160117907" w:history="1">
        <w:r w:rsidR="006A255F" w:rsidRPr="00303C8A">
          <w:rPr>
            <w:rStyle w:val="Hyperlink"/>
            <w:noProof/>
          </w:rPr>
          <w:t>Table 1 Design Framework Principles</w:t>
        </w:r>
        <w:r w:rsidR="006A255F">
          <w:rPr>
            <w:noProof/>
            <w:webHidden/>
          </w:rPr>
          <w:tab/>
        </w:r>
        <w:r w:rsidR="006A255F">
          <w:rPr>
            <w:noProof/>
            <w:webHidden/>
          </w:rPr>
          <w:fldChar w:fldCharType="begin"/>
        </w:r>
        <w:r w:rsidR="006A255F">
          <w:rPr>
            <w:noProof/>
            <w:webHidden/>
          </w:rPr>
          <w:instrText xml:space="preserve"> PAGEREF _Toc160117907 \h </w:instrText>
        </w:r>
        <w:r w:rsidR="006A255F">
          <w:rPr>
            <w:noProof/>
            <w:webHidden/>
          </w:rPr>
        </w:r>
        <w:r w:rsidR="006A255F">
          <w:rPr>
            <w:noProof/>
            <w:webHidden/>
          </w:rPr>
          <w:fldChar w:fldCharType="separate"/>
        </w:r>
        <w:r w:rsidR="006A255F">
          <w:rPr>
            <w:noProof/>
            <w:webHidden/>
          </w:rPr>
          <w:t>10</w:t>
        </w:r>
        <w:r w:rsidR="006A255F">
          <w:rPr>
            <w:noProof/>
            <w:webHidden/>
          </w:rPr>
          <w:fldChar w:fldCharType="end"/>
        </w:r>
      </w:hyperlink>
    </w:p>
    <w:p w14:paraId="0F30D02F" w14:textId="3B4E63E2" w:rsidR="006A255F" w:rsidRDefault="00397D44">
      <w:pPr>
        <w:pStyle w:val="TableofFigures"/>
        <w:tabs>
          <w:tab w:val="right" w:leader="dot" w:pos="9060"/>
        </w:tabs>
        <w:rPr>
          <w:rFonts w:eastAsiaTheme="minorEastAsia"/>
          <w:noProof/>
          <w:kern w:val="2"/>
          <w:lang w:eastAsia="en-AU"/>
          <w14:ligatures w14:val="standardContextual"/>
        </w:rPr>
      </w:pPr>
      <w:hyperlink w:anchor="_Toc160117908" w:history="1">
        <w:r w:rsidR="006A255F" w:rsidRPr="00303C8A">
          <w:rPr>
            <w:rStyle w:val="Hyperlink"/>
            <w:noProof/>
          </w:rPr>
          <w:t>Table 2 Key commercial terms for both CISA products, including bid variables</w:t>
        </w:r>
        <w:r w:rsidR="006A255F">
          <w:rPr>
            <w:noProof/>
            <w:webHidden/>
          </w:rPr>
          <w:tab/>
        </w:r>
        <w:r w:rsidR="006A255F">
          <w:rPr>
            <w:noProof/>
            <w:webHidden/>
          </w:rPr>
          <w:fldChar w:fldCharType="begin"/>
        </w:r>
        <w:r w:rsidR="006A255F">
          <w:rPr>
            <w:noProof/>
            <w:webHidden/>
          </w:rPr>
          <w:instrText xml:space="preserve"> PAGEREF _Toc160117908 \h </w:instrText>
        </w:r>
        <w:r w:rsidR="006A255F">
          <w:rPr>
            <w:noProof/>
            <w:webHidden/>
          </w:rPr>
        </w:r>
        <w:r w:rsidR="006A255F">
          <w:rPr>
            <w:noProof/>
            <w:webHidden/>
          </w:rPr>
          <w:fldChar w:fldCharType="separate"/>
        </w:r>
        <w:r w:rsidR="006A255F">
          <w:rPr>
            <w:noProof/>
            <w:webHidden/>
          </w:rPr>
          <w:t>16</w:t>
        </w:r>
        <w:r w:rsidR="006A255F">
          <w:rPr>
            <w:noProof/>
            <w:webHidden/>
          </w:rPr>
          <w:fldChar w:fldCharType="end"/>
        </w:r>
      </w:hyperlink>
    </w:p>
    <w:p w14:paraId="5EAF5524" w14:textId="68F7310B" w:rsidR="006A255F" w:rsidRDefault="00397D44">
      <w:pPr>
        <w:pStyle w:val="TableofFigures"/>
        <w:tabs>
          <w:tab w:val="right" w:leader="dot" w:pos="9060"/>
        </w:tabs>
        <w:rPr>
          <w:rFonts w:eastAsiaTheme="minorEastAsia"/>
          <w:noProof/>
          <w:kern w:val="2"/>
          <w:lang w:eastAsia="en-AU"/>
          <w14:ligatures w14:val="standardContextual"/>
        </w:rPr>
      </w:pPr>
      <w:hyperlink w:anchor="_Toc160117909" w:history="1">
        <w:r w:rsidR="006A255F" w:rsidRPr="00303C8A">
          <w:rPr>
            <w:rStyle w:val="Hyperlink"/>
            <w:noProof/>
          </w:rPr>
          <w:t>Table 3 Tender governance framework</w:t>
        </w:r>
        <w:r w:rsidR="006A255F">
          <w:rPr>
            <w:noProof/>
            <w:webHidden/>
          </w:rPr>
          <w:tab/>
        </w:r>
        <w:r w:rsidR="006A255F">
          <w:rPr>
            <w:noProof/>
            <w:webHidden/>
          </w:rPr>
          <w:fldChar w:fldCharType="begin"/>
        </w:r>
        <w:r w:rsidR="006A255F">
          <w:rPr>
            <w:noProof/>
            <w:webHidden/>
          </w:rPr>
          <w:instrText xml:space="preserve"> PAGEREF _Toc160117909 \h </w:instrText>
        </w:r>
        <w:r w:rsidR="006A255F">
          <w:rPr>
            <w:noProof/>
            <w:webHidden/>
          </w:rPr>
        </w:r>
        <w:r w:rsidR="006A255F">
          <w:rPr>
            <w:noProof/>
            <w:webHidden/>
          </w:rPr>
          <w:fldChar w:fldCharType="separate"/>
        </w:r>
        <w:r w:rsidR="006A255F">
          <w:rPr>
            <w:noProof/>
            <w:webHidden/>
          </w:rPr>
          <w:t>25</w:t>
        </w:r>
        <w:r w:rsidR="006A255F">
          <w:rPr>
            <w:noProof/>
            <w:webHidden/>
          </w:rPr>
          <w:fldChar w:fldCharType="end"/>
        </w:r>
      </w:hyperlink>
    </w:p>
    <w:p w14:paraId="07623D85" w14:textId="3B3D1DA2" w:rsidR="006A255F" w:rsidRDefault="00397D44">
      <w:pPr>
        <w:pStyle w:val="TableofFigures"/>
        <w:tabs>
          <w:tab w:val="right" w:leader="dot" w:pos="9060"/>
        </w:tabs>
        <w:rPr>
          <w:rFonts w:eastAsiaTheme="minorEastAsia"/>
          <w:noProof/>
          <w:kern w:val="2"/>
          <w:lang w:eastAsia="en-AU"/>
          <w14:ligatures w14:val="standardContextual"/>
        </w:rPr>
      </w:pPr>
      <w:hyperlink w:anchor="_Toc160117910" w:history="1">
        <w:r w:rsidR="006A255F" w:rsidRPr="00303C8A">
          <w:rPr>
            <w:rStyle w:val="Hyperlink"/>
            <w:noProof/>
          </w:rPr>
          <w:t>Table 4 Eligibility requirements for technology contributing to zero emissions</w:t>
        </w:r>
        <w:r w:rsidR="006A255F">
          <w:rPr>
            <w:noProof/>
            <w:webHidden/>
          </w:rPr>
          <w:tab/>
        </w:r>
        <w:r w:rsidR="006A255F">
          <w:rPr>
            <w:noProof/>
            <w:webHidden/>
          </w:rPr>
          <w:fldChar w:fldCharType="begin"/>
        </w:r>
        <w:r w:rsidR="006A255F">
          <w:rPr>
            <w:noProof/>
            <w:webHidden/>
          </w:rPr>
          <w:instrText xml:space="preserve"> PAGEREF _Toc160117910 \h </w:instrText>
        </w:r>
        <w:r w:rsidR="006A255F">
          <w:rPr>
            <w:noProof/>
            <w:webHidden/>
          </w:rPr>
        </w:r>
        <w:r w:rsidR="006A255F">
          <w:rPr>
            <w:noProof/>
            <w:webHidden/>
          </w:rPr>
          <w:fldChar w:fldCharType="separate"/>
        </w:r>
        <w:r w:rsidR="006A255F">
          <w:rPr>
            <w:noProof/>
            <w:webHidden/>
          </w:rPr>
          <w:t>27</w:t>
        </w:r>
        <w:r w:rsidR="006A255F">
          <w:rPr>
            <w:noProof/>
            <w:webHidden/>
          </w:rPr>
          <w:fldChar w:fldCharType="end"/>
        </w:r>
      </w:hyperlink>
    </w:p>
    <w:p w14:paraId="503F41F1" w14:textId="5D557A08" w:rsidR="003465FA" w:rsidRDefault="00E91D72" w:rsidP="002500F1">
      <w:pPr>
        <w:pStyle w:val="TOCHeading2"/>
        <w:rPr>
          <w:noProof/>
        </w:rPr>
      </w:pPr>
      <w:r>
        <w:rPr>
          <w:noProof/>
        </w:rPr>
        <w:fldChar w:fldCharType="end"/>
      </w:r>
    </w:p>
    <w:p w14:paraId="66470B78" w14:textId="11FBB877" w:rsidR="003465FA" w:rsidRPr="003465FA" w:rsidRDefault="003465FA" w:rsidP="003465FA">
      <w:pPr>
        <w:pStyle w:val="TOCHeading2"/>
        <w:rPr>
          <w:b/>
          <w:bCs/>
        </w:rPr>
      </w:pPr>
      <w:r>
        <w:rPr>
          <w:rStyle w:val="Strong"/>
        </w:rPr>
        <w:t>Figures</w:t>
      </w:r>
    </w:p>
    <w:p w14:paraId="1347C64C" w14:textId="7E23CD56" w:rsidR="00E6463D" w:rsidRDefault="00E91D72">
      <w:pPr>
        <w:pStyle w:val="TableofFigures"/>
        <w:tabs>
          <w:tab w:val="right" w:leader="dot" w:pos="9060"/>
        </w:tabs>
        <w:rPr>
          <w:rFonts w:eastAsiaTheme="minorEastAsia"/>
          <w:noProof/>
          <w:kern w:val="2"/>
          <w:lang w:eastAsia="en-AU"/>
          <w14:ligatures w14:val="standardContextual"/>
        </w:rPr>
      </w:pPr>
      <w:r>
        <w:rPr>
          <w:rFonts w:ascii="Calibri Light" w:hAnsi="Calibri Light"/>
          <w:sz w:val="36"/>
        </w:rPr>
        <w:fldChar w:fldCharType="begin"/>
      </w:r>
      <w:r>
        <w:instrText xml:space="preserve"> TOC \h \z \c "Figure" </w:instrText>
      </w:r>
      <w:r>
        <w:rPr>
          <w:rFonts w:ascii="Calibri Light" w:hAnsi="Calibri Light"/>
          <w:sz w:val="36"/>
        </w:rPr>
        <w:fldChar w:fldCharType="separate"/>
      </w:r>
      <w:hyperlink w:anchor="_Toc160105892" w:history="1">
        <w:r w:rsidR="00E6463D" w:rsidRPr="006114C4">
          <w:rPr>
            <w:rStyle w:val="Hyperlink"/>
            <w:noProof/>
          </w:rPr>
          <w:t>Figure 1 Progress in delivering the CIS</w:t>
        </w:r>
        <w:r w:rsidR="00E6463D">
          <w:rPr>
            <w:noProof/>
            <w:webHidden/>
          </w:rPr>
          <w:tab/>
        </w:r>
        <w:r w:rsidR="00E6463D">
          <w:rPr>
            <w:noProof/>
            <w:webHidden/>
          </w:rPr>
          <w:fldChar w:fldCharType="begin"/>
        </w:r>
        <w:r w:rsidR="00E6463D">
          <w:rPr>
            <w:noProof/>
            <w:webHidden/>
          </w:rPr>
          <w:instrText xml:space="preserve"> PAGEREF _Toc160105892 \h </w:instrText>
        </w:r>
        <w:r w:rsidR="00E6463D">
          <w:rPr>
            <w:noProof/>
            <w:webHidden/>
          </w:rPr>
        </w:r>
        <w:r w:rsidR="00E6463D">
          <w:rPr>
            <w:noProof/>
            <w:webHidden/>
          </w:rPr>
          <w:fldChar w:fldCharType="separate"/>
        </w:r>
        <w:r w:rsidR="00590988">
          <w:rPr>
            <w:noProof/>
            <w:webHidden/>
          </w:rPr>
          <w:t>7</w:t>
        </w:r>
        <w:r w:rsidR="00E6463D">
          <w:rPr>
            <w:noProof/>
            <w:webHidden/>
          </w:rPr>
          <w:fldChar w:fldCharType="end"/>
        </w:r>
      </w:hyperlink>
    </w:p>
    <w:p w14:paraId="438F0E4D" w14:textId="38A63C66" w:rsidR="00E6463D" w:rsidRDefault="001C0DC8">
      <w:pPr>
        <w:pStyle w:val="TableofFigures"/>
        <w:tabs>
          <w:tab w:val="right" w:leader="dot" w:pos="9060"/>
        </w:tabs>
        <w:rPr>
          <w:rFonts w:eastAsiaTheme="minorEastAsia"/>
          <w:noProof/>
          <w:kern w:val="2"/>
          <w:lang w:eastAsia="en-AU"/>
          <w14:ligatures w14:val="standardContextual"/>
        </w:rPr>
      </w:pPr>
      <w:hyperlink w:anchor="_Toc160105893" w:history="1">
        <w:r w:rsidR="00E6463D" w:rsidRPr="006114C4">
          <w:rPr>
            <w:rStyle w:val="Hyperlink"/>
            <w:noProof/>
          </w:rPr>
          <w:t>Figure 2 Proposed schedule for NEM CIS tenders by date</w:t>
        </w:r>
        <w:r w:rsidR="00E6463D">
          <w:rPr>
            <w:noProof/>
            <w:webHidden/>
          </w:rPr>
          <w:tab/>
        </w:r>
        <w:r w:rsidR="00E6463D">
          <w:rPr>
            <w:noProof/>
            <w:webHidden/>
          </w:rPr>
          <w:fldChar w:fldCharType="begin"/>
        </w:r>
        <w:r w:rsidR="00E6463D">
          <w:rPr>
            <w:noProof/>
            <w:webHidden/>
          </w:rPr>
          <w:instrText xml:space="preserve"> PAGEREF _Toc160105893 \h </w:instrText>
        </w:r>
        <w:r w:rsidR="00E6463D">
          <w:rPr>
            <w:noProof/>
            <w:webHidden/>
          </w:rPr>
        </w:r>
        <w:r w:rsidR="00E6463D">
          <w:rPr>
            <w:noProof/>
            <w:webHidden/>
          </w:rPr>
          <w:fldChar w:fldCharType="separate"/>
        </w:r>
        <w:r w:rsidR="00590988">
          <w:rPr>
            <w:noProof/>
            <w:webHidden/>
          </w:rPr>
          <w:t>13</w:t>
        </w:r>
        <w:r w:rsidR="00E6463D">
          <w:rPr>
            <w:noProof/>
            <w:webHidden/>
          </w:rPr>
          <w:fldChar w:fldCharType="end"/>
        </w:r>
      </w:hyperlink>
    </w:p>
    <w:p w14:paraId="62247EC1" w14:textId="1BC8A768" w:rsidR="00E6463D" w:rsidRDefault="001C0DC8">
      <w:pPr>
        <w:pStyle w:val="TableofFigures"/>
        <w:tabs>
          <w:tab w:val="right" w:leader="dot" w:pos="9060"/>
        </w:tabs>
        <w:rPr>
          <w:rFonts w:eastAsiaTheme="minorEastAsia"/>
          <w:noProof/>
          <w:kern w:val="2"/>
          <w:lang w:eastAsia="en-AU"/>
          <w14:ligatures w14:val="standardContextual"/>
        </w:rPr>
      </w:pPr>
      <w:hyperlink w:anchor="_Toc160105894" w:history="1">
        <w:r w:rsidR="00E6463D" w:rsidRPr="006114C4">
          <w:rPr>
            <w:rStyle w:val="Hyperlink"/>
            <w:noProof/>
          </w:rPr>
          <w:t>Figure 3 Generation CISA</w:t>
        </w:r>
        <w:r w:rsidR="00E6463D">
          <w:rPr>
            <w:noProof/>
            <w:webHidden/>
          </w:rPr>
          <w:tab/>
        </w:r>
        <w:r w:rsidR="00E6463D">
          <w:rPr>
            <w:noProof/>
            <w:webHidden/>
          </w:rPr>
          <w:fldChar w:fldCharType="begin"/>
        </w:r>
        <w:r w:rsidR="00E6463D">
          <w:rPr>
            <w:noProof/>
            <w:webHidden/>
          </w:rPr>
          <w:instrText xml:space="preserve"> PAGEREF _Toc160105894 \h </w:instrText>
        </w:r>
        <w:r w:rsidR="00E6463D">
          <w:rPr>
            <w:noProof/>
            <w:webHidden/>
          </w:rPr>
        </w:r>
        <w:r w:rsidR="00E6463D">
          <w:rPr>
            <w:noProof/>
            <w:webHidden/>
          </w:rPr>
          <w:fldChar w:fldCharType="separate"/>
        </w:r>
        <w:r w:rsidR="00590988">
          <w:rPr>
            <w:noProof/>
            <w:webHidden/>
          </w:rPr>
          <w:t>19</w:t>
        </w:r>
        <w:r w:rsidR="00E6463D">
          <w:rPr>
            <w:noProof/>
            <w:webHidden/>
          </w:rPr>
          <w:fldChar w:fldCharType="end"/>
        </w:r>
      </w:hyperlink>
    </w:p>
    <w:p w14:paraId="2D1FA9B3" w14:textId="36D51972" w:rsidR="00E6463D" w:rsidRDefault="001C0DC8">
      <w:pPr>
        <w:pStyle w:val="TableofFigures"/>
        <w:tabs>
          <w:tab w:val="right" w:leader="dot" w:pos="9060"/>
        </w:tabs>
        <w:rPr>
          <w:rFonts w:eastAsiaTheme="minorEastAsia"/>
          <w:noProof/>
          <w:kern w:val="2"/>
          <w:lang w:eastAsia="en-AU"/>
          <w14:ligatures w14:val="standardContextual"/>
        </w:rPr>
      </w:pPr>
      <w:hyperlink w:anchor="_Toc160105895" w:history="1">
        <w:r w:rsidR="00E6463D" w:rsidRPr="006114C4">
          <w:rPr>
            <w:rStyle w:val="Hyperlink"/>
            <w:noProof/>
          </w:rPr>
          <w:t>Figure 4 Revenue underwriting design instrument</w:t>
        </w:r>
        <w:r w:rsidR="00E6463D">
          <w:rPr>
            <w:noProof/>
            <w:webHidden/>
          </w:rPr>
          <w:tab/>
        </w:r>
        <w:r w:rsidR="00E6463D">
          <w:rPr>
            <w:noProof/>
            <w:webHidden/>
          </w:rPr>
          <w:fldChar w:fldCharType="begin"/>
        </w:r>
        <w:r w:rsidR="00E6463D">
          <w:rPr>
            <w:noProof/>
            <w:webHidden/>
          </w:rPr>
          <w:instrText xml:space="preserve"> PAGEREF _Toc160105895 \h </w:instrText>
        </w:r>
        <w:r w:rsidR="00E6463D">
          <w:rPr>
            <w:noProof/>
            <w:webHidden/>
          </w:rPr>
        </w:r>
        <w:r w:rsidR="00E6463D">
          <w:rPr>
            <w:noProof/>
            <w:webHidden/>
          </w:rPr>
          <w:fldChar w:fldCharType="separate"/>
        </w:r>
        <w:r w:rsidR="00590988">
          <w:rPr>
            <w:noProof/>
            <w:webHidden/>
          </w:rPr>
          <w:t>21</w:t>
        </w:r>
        <w:r w:rsidR="00E6463D">
          <w:rPr>
            <w:noProof/>
            <w:webHidden/>
          </w:rPr>
          <w:fldChar w:fldCharType="end"/>
        </w:r>
      </w:hyperlink>
    </w:p>
    <w:p w14:paraId="32BE0DF9" w14:textId="6F9A733F" w:rsidR="00E6463D" w:rsidRDefault="001C0DC8">
      <w:pPr>
        <w:pStyle w:val="TableofFigures"/>
        <w:tabs>
          <w:tab w:val="right" w:leader="dot" w:pos="9060"/>
        </w:tabs>
        <w:rPr>
          <w:rFonts w:eastAsiaTheme="minorEastAsia"/>
          <w:noProof/>
          <w:kern w:val="2"/>
          <w:lang w:eastAsia="en-AU"/>
          <w14:ligatures w14:val="standardContextual"/>
        </w:rPr>
      </w:pPr>
      <w:hyperlink w:anchor="_Toc160105896" w:history="1">
        <w:r w:rsidR="00E6463D" w:rsidRPr="006114C4">
          <w:rPr>
            <w:rStyle w:val="Hyperlink"/>
            <w:noProof/>
          </w:rPr>
          <w:t>Figure 5 Tender process stages</w:t>
        </w:r>
        <w:r w:rsidR="00E6463D">
          <w:rPr>
            <w:noProof/>
            <w:webHidden/>
          </w:rPr>
          <w:tab/>
        </w:r>
        <w:r w:rsidR="00E6463D">
          <w:rPr>
            <w:noProof/>
            <w:webHidden/>
          </w:rPr>
          <w:fldChar w:fldCharType="begin"/>
        </w:r>
        <w:r w:rsidR="00E6463D">
          <w:rPr>
            <w:noProof/>
            <w:webHidden/>
          </w:rPr>
          <w:instrText xml:space="preserve"> PAGEREF _Toc160105896 \h </w:instrText>
        </w:r>
        <w:r w:rsidR="00E6463D">
          <w:rPr>
            <w:noProof/>
            <w:webHidden/>
          </w:rPr>
        </w:r>
        <w:r w:rsidR="00E6463D">
          <w:rPr>
            <w:noProof/>
            <w:webHidden/>
          </w:rPr>
          <w:fldChar w:fldCharType="separate"/>
        </w:r>
        <w:r w:rsidR="00590988">
          <w:rPr>
            <w:noProof/>
            <w:webHidden/>
          </w:rPr>
          <w:t>24</w:t>
        </w:r>
        <w:r w:rsidR="00E6463D">
          <w:rPr>
            <w:noProof/>
            <w:webHidden/>
          </w:rPr>
          <w:fldChar w:fldCharType="end"/>
        </w:r>
      </w:hyperlink>
    </w:p>
    <w:p w14:paraId="1B088A50" w14:textId="402ACA0C" w:rsidR="00A32152" w:rsidRPr="00860AAC" w:rsidRDefault="00E91D72" w:rsidP="00860AAC">
      <w:r>
        <w:fldChar w:fldCharType="end"/>
      </w:r>
      <w:bookmarkStart w:id="10" w:name="_Toc430782149"/>
      <w:r w:rsidR="00A32152">
        <w:br w:type="page"/>
      </w:r>
    </w:p>
    <w:p w14:paraId="31AED529" w14:textId="77777777" w:rsidR="00764D6A" w:rsidRDefault="00E91D72" w:rsidP="00CB2439">
      <w:pPr>
        <w:pStyle w:val="Heading2"/>
        <w:ind w:left="720" w:hanging="720"/>
      </w:pPr>
      <w:bookmarkStart w:id="11" w:name="_Toc160117887"/>
      <w:r>
        <w:lastRenderedPageBreak/>
        <w:t>Summary</w:t>
      </w:r>
      <w:bookmarkEnd w:id="10"/>
      <w:bookmarkEnd w:id="11"/>
    </w:p>
    <w:p w14:paraId="308B1E21" w14:textId="385F1DF9" w:rsidR="00774FE3" w:rsidRPr="00D32DFE" w:rsidRDefault="017E7035" w:rsidP="25EC7472">
      <w:pPr>
        <w:pStyle w:val="BoxTextBullet"/>
        <w:pBdr>
          <w:top w:val="none" w:sz="0" w:space="0" w:color="auto"/>
          <w:left w:val="none" w:sz="0" w:space="0" w:color="auto"/>
          <w:bottom w:val="none" w:sz="0" w:space="0" w:color="auto"/>
          <w:right w:val="none" w:sz="0" w:space="0" w:color="auto"/>
        </w:pBdr>
        <w:shd w:val="clear" w:color="auto" w:fill="D8F2EE" w:themeFill="accent2" w:themeFillTint="33"/>
        <w:rPr>
          <w:b/>
          <w:bCs/>
          <w:color w:val="083A42" w:themeColor="background2"/>
        </w:rPr>
      </w:pPr>
      <w:r w:rsidRPr="60A97827">
        <w:rPr>
          <w:b/>
          <w:bCs/>
          <w:color w:val="083A42" w:themeColor="background2"/>
        </w:rPr>
        <w:t>The</w:t>
      </w:r>
      <w:r w:rsidR="7236CED0" w:rsidRPr="25EC7472">
        <w:rPr>
          <w:b/>
          <w:bCs/>
          <w:color w:val="083A42" w:themeColor="background2"/>
        </w:rPr>
        <w:t xml:space="preserve"> Capacity Investment Scheme (</w:t>
      </w:r>
      <w:r w:rsidR="289F1105" w:rsidRPr="25EC7472">
        <w:rPr>
          <w:b/>
          <w:bCs/>
          <w:color w:val="083A42" w:themeColor="background2"/>
        </w:rPr>
        <w:t xml:space="preserve">CIS) will </w:t>
      </w:r>
      <w:r w:rsidR="2634A90E" w:rsidRPr="60A97827">
        <w:rPr>
          <w:b/>
          <w:bCs/>
          <w:color w:val="083A42" w:themeColor="background2"/>
        </w:rPr>
        <w:t>feature</w:t>
      </w:r>
      <w:r w:rsidR="289F1105" w:rsidRPr="25EC7472">
        <w:rPr>
          <w:b/>
          <w:bCs/>
          <w:color w:val="083A42" w:themeColor="background2"/>
        </w:rPr>
        <w:t xml:space="preserve"> a</w:t>
      </w:r>
      <w:r w:rsidR="4B11AD5F" w:rsidRPr="25EC7472">
        <w:rPr>
          <w:b/>
          <w:bCs/>
          <w:color w:val="083A42" w:themeColor="background2"/>
        </w:rPr>
        <w:t xml:space="preserve"> series of </w:t>
      </w:r>
      <w:r w:rsidR="0D836240" w:rsidRPr="25EC7472">
        <w:rPr>
          <w:b/>
          <w:bCs/>
          <w:color w:val="083A42" w:themeColor="background2"/>
        </w:rPr>
        <w:t>competitive tender</w:t>
      </w:r>
      <w:r w:rsidR="6CCA683D" w:rsidRPr="25EC7472">
        <w:rPr>
          <w:b/>
          <w:bCs/>
          <w:color w:val="083A42" w:themeColor="background2"/>
        </w:rPr>
        <w:t>s</w:t>
      </w:r>
      <w:r w:rsidR="0D836240" w:rsidRPr="25EC7472">
        <w:rPr>
          <w:b/>
          <w:bCs/>
          <w:color w:val="083A42" w:themeColor="background2"/>
        </w:rPr>
        <w:t xml:space="preserve"> for renewable capacity and clean dispatchable capacity projects to</w:t>
      </w:r>
      <w:r w:rsidR="5689701F" w:rsidRPr="25EC7472">
        <w:rPr>
          <w:b/>
          <w:bCs/>
          <w:color w:val="083A42" w:themeColor="background2"/>
        </w:rPr>
        <w:t xml:space="preserve"> deliver an additional 32 GW of capacity by 2030 with a view to:</w:t>
      </w:r>
    </w:p>
    <w:p w14:paraId="4679C278" w14:textId="2419EA54" w:rsidR="00774FE3" w:rsidRPr="00D32DFE" w:rsidRDefault="00774FE3" w:rsidP="00256EE2">
      <w:pPr>
        <w:pStyle w:val="BoxTextBullet"/>
        <w:numPr>
          <w:ilvl w:val="1"/>
          <w:numId w:val="1"/>
        </w:numPr>
        <w:pBdr>
          <w:top w:val="none" w:sz="0" w:space="0" w:color="auto"/>
          <w:left w:val="none" w:sz="0" w:space="0" w:color="auto"/>
          <w:bottom w:val="none" w:sz="0" w:space="0" w:color="auto"/>
          <w:right w:val="none" w:sz="0" w:space="0" w:color="auto"/>
        </w:pBdr>
        <w:shd w:val="clear" w:color="auto" w:fill="D8F2EE" w:themeFill="accent2" w:themeFillTint="33"/>
        <w:ind w:left="1134" w:hanging="425"/>
        <w:rPr>
          <w:b/>
          <w:bCs/>
          <w:color w:val="083A42" w:themeColor="background2"/>
        </w:rPr>
      </w:pPr>
      <w:r w:rsidRPr="00D32DFE">
        <w:rPr>
          <w:b/>
          <w:bCs/>
          <w:color w:val="083A42" w:themeColor="background2"/>
        </w:rPr>
        <w:t>fill</w:t>
      </w:r>
      <w:r w:rsidR="0094188C">
        <w:rPr>
          <w:b/>
          <w:bCs/>
          <w:color w:val="083A42" w:themeColor="background2"/>
        </w:rPr>
        <w:t>ing</w:t>
      </w:r>
      <w:r w:rsidRPr="00D32DFE">
        <w:rPr>
          <w:b/>
          <w:bCs/>
          <w:color w:val="083A42" w:themeColor="background2"/>
        </w:rPr>
        <w:t xml:space="preserve"> expected </w:t>
      </w:r>
      <w:r w:rsidR="00026AE8">
        <w:rPr>
          <w:b/>
          <w:bCs/>
          <w:color w:val="083A42" w:themeColor="background2"/>
        </w:rPr>
        <w:t xml:space="preserve">generation and </w:t>
      </w:r>
      <w:r w:rsidRPr="00D32DFE">
        <w:rPr>
          <w:b/>
          <w:bCs/>
          <w:color w:val="083A42" w:themeColor="background2"/>
        </w:rPr>
        <w:t xml:space="preserve">reliability gaps as </w:t>
      </w:r>
      <w:r w:rsidR="00026AE8">
        <w:rPr>
          <w:b/>
          <w:bCs/>
          <w:color w:val="083A42" w:themeColor="background2"/>
        </w:rPr>
        <w:t xml:space="preserve">electricity demand grows and </w:t>
      </w:r>
      <w:r w:rsidRPr="00D32DFE">
        <w:rPr>
          <w:b/>
          <w:bCs/>
          <w:color w:val="083A42" w:themeColor="background2"/>
        </w:rPr>
        <w:t xml:space="preserve">ageing coal power stations </w:t>
      </w:r>
      <w:proofErr w:type="gramStart"/>
      <w:r w:rsidR="005B4D5D" w:rsidRPr="00D32DFE">
        <w:rPr>
          <w:b/>
          <w:bCs/>
          <w:color w:val="083A42" w:themeColor="background2"/>
        </w:rPr>
        <w:t>exit</w:t>
      </w:r>
      <w:proofErr w:type="gramEnd"/>
    </w:p>
    <w:p w14:paraId="48263E59" w14:textId="6458E324" w:rsidR="00774FE3" w:rsidRPr="00D32DFE" w:rsidRDefault="00BE1AAF" w:rsidP="00256EE2">
      <w:pPr>
        <w:pStyle w:val="BoxTextBullet"/>
        <w:numPr>
          <w:ilvl w:val="1"/>
          <w:numId w:val="1"/>
        </w:numPr>
        <w:pBdr>
          <w:top w:val="none" w:sz="0" w:space="0" w:color="auto"/>
          <w:left w:val="none" w:sz="0" w:space="0" w:color="auto"/>
          <w:bottom w:val="none" w:sz="0" w:space="0" w:color="auto"/>
          <w:right w:val="none" w:sz="0" w:space="0" w:color="auto"/>
        </w:pBdr>
        <w:shd w:val="clear" w:color="auto" w:fill="D8F2EE" w:themeFill="accent2" w:themeFillTint="33"/>
        <w:ind w:left="1134" w:hanging="425"/>
        <w:rPr>
          <w:b/>
          <w:bCs/>
          <w:color w:val="083A42" w:themeColor="background2"/>
        </w:rPr>
      </w:pPr>
      <w:r>
        <w:rPr>
          <w:b/>
          <w:bCs/>
          <w:color w:val="083A42" w:themeColor="background2"/>
        </w:rPr>
        <w:t xml:space="preserve">supporting the </w:t>
      </w:r>
      <w:r w:rsidR="00774FE3" w:rsidRPr="00D32DFE">
        <w:rPr>
          <w:b/>
          <w:bCs/>
          <w:color w:val="083A42" w:themeColor="background2"/>
        </w:rPr>
        <w:t>deliver</w:t>
      </w:r>
      <w:r>
        <w:rPr>
          <w:b/>
          <w:bCs/>
          <w:color w:val="083A42" w:themeColor="background2"/>
        </w:rPr>
        <w:t>y of</w:t>
      </w:r>
      <w:r w:rsidR="00774FE3" w:rsidRPr="00D32DFE">
        <w:rPr>
          <w:b/>
          <w:bCs/>
          <w:color w:val="083A42" w:themeColor="background2"/>
        </w:rPr>
        <w:t xml:space="preserve"> the Australian Government’s 82% renewable electricity by 2030 target.</w:t>
      </w:r>
    </w:p>
    <w:p w14:paraId="47E1B2DC" w14:textId="03B493B2" w:rsidR="00760FAC" w:rsidRPr="005E5BC2" w:rsidRDefault="00B0557E" w:rsidP="00760FAC">
      <w:r>
        <w:t>T</w:t>
      </w:r>
      <w:r w:rsidR="000302AD">
        <w:t>his</w:t>
      </w:r>
      <w:r w:rsidR="00760FAC">
        <w:t xml:space="preserve"> design paper</w:t>
      </w:r>
      <w:r>
        <w:t xml:space="preserve"> focuses on the </w:t>
      </w:r>
      <w:r w:rsidR="00F04AF4">
        <w:t xml:space="preserve">following key elements for the purpose of </w:t>
      </w:r>
      <w:r w:rsidR="00F47CE4">
        <w:t xml:space="preserve">the </w:t>
      </w:r>
      <w:r w:rsidR="00E44FE0">
        <w:t>Australian Gove</w:t>
      </w:r>
      <w:r w:rsidR="009E5A60">
        <w:t xml:space="preserve">rnment </w:t>
      </w:r>
      <w:r w:rsidR="001536A8">
        <w:t>gathering</w:t>
      </w:r>
      <w:r w:rsidR="00580A7C" w:rsidRPr="00580A7C">
        <w:t xml:space="preserve"> targeted </w:t>
      </w:r>
      <w:r w:rsidR="00D54515">
        <w:t xml:space="preserve">stakeholder </w:t>
      </w:r>
      <w:r w:rsidR="00580A7C" w:rsidRPr="00580A7C">
        <w:t>feedback</w:t>
      </w:r>
      <w:r w:rsidR="006C2DCD">
        <w:t>:</w:t>
      </w:r>
    </w:p>
    <w:p w14:paraId="38978EB8" w14:textId="3756B3DE" w:rsidR="00760FAC" w:rsidRPr="008E6551" w:rsidRDefault="00A021B7" w:rsidP="00432BB9">
      <w:pPr>
        <w:pStyle w:val="ListBullet"/>
      </w:pPr>
      <w:r w:rsidRPr="007D7390">
        <w:rPr>
          <w:b/>
          <w:bCs w:val="0"/>
        </w:rPr>
        <w:t xml:space="preserve">Implementation </w:t>
      </w:r>
      <w:r w:rsidR="007D7390" w:rsidRPr="007D7390">
        <w:rPr>
          <w:b/>
          <w:bCs w:val="0"/>
        </w:rPr>
        <w:t>d</w:t>
      </w:r>
      <w:r w:rsidR="00513631" w:rsidRPr="007D7390">
        <w:rPr>
          <w:b/>
          <w:bCs w:val="0"/>
        </w:rPr>
        <w:t>esign:</w:t>
      </w:r>
      <w:r w:rsidR="00513631">
        <w:t xml:space="preserve"> </w:t>
      </w:r>
      <w:r w:rsidR="00502ADF">
        <w:t>D</w:t>
      </w:r>
      <w:r w:rsidR="00760FAC" w:rsidRPr="008E6551">
        <w:t xml:space="preserve">etail on the </w:t>
      </w:r>
      <w:r w:rsidR="00760FAC">
        <w:t xml:space="preserve">proposed implementation plan for </w:t>
      </w:r>
      <w:r w:rsidR="00760FAC" w:rsidRPr="008E6551">
        <w:t>the expanded CIS</w:t>
      </w:r>
      <w:r w:rsidR="00760FAC">
        <w:t xml:space="preserve">, including an indicative tender schedule and </w:t>
      </w:r>
      <w:r w:rsidR="00760FAC" w:rsidRPr="008E6551">
        <w:t>overview of the CIS tender assessment process.</w:t>
      </w:r>
    </w:p>
    <w:p w14:paraId="294AF8CB" w14:textId="26B3B7AA" w:rsidR="00760FAC" w:rsidRDefault="00513631" w:rsidP="00432BB9">
      <w:pPr>
        <w:pStyle w:val="ListBullet"/>
      </w:pPr>
      <w:r w:rsidRPr="007D7390">
        <w:rPr>
          <w:b/>
          <w:bCs w:val="0"/>
        </w:rPr>
        <w:t>Products</w:t>
      </w:r>
      <w:r w:rsidRPr="00FD189E">
        <w:rPr>
          <w:b/>
        </w:rPr>
        <w:t>:</w:t>
      </w:r>
      <w:r>
        <w:t xml:space="preserve"> </w:t>
      </w:r>
      <w:r w:rsidR="00746ACD">
        <w:t>T</w:t>
      </w:r>
      <w:r w:rsidR="00760FAC">
        <w:t xml:space="preserve">he </w:t>
      </w:r>
      <w:r w:rsidR="00760FAC" w:rsidRPr="008E6551">
        <w:t>proposed design of</w:t>
      </w:r>
      <w:r w:rsidR="00760FAC">
        <w:t xml:space="preserve"> the</w:t>
      </w:r>
      <w:r w:rsidR="00760FAC" w:rsidRPr="008E6551">
        <w:t xml:space="preserve"> </w:t>
      </w:r>
      <w:r w:rsidR="00760FAC">
        <w:t>two r</w:t>
      </w:r>
      <w:r w:rsidR="00760FAC" w:rsidRPr="008E6551">
        <w:t>evenue underwriting agreement</w:t>
      </w:r>
      <w:r w:rsidR="00760FAC">
        <w:t xml:space="preserve">s </w:t>
      </w:r>
      <w:r w:rsidR="00A26F7F">
        <w:t>(CISAs)</w:t>
      </w:r>
      <w:r w:rsidR="00760FAC">
        <w:t xml:space="preserve"> planned to be offered in the national CIS tenders, for </w:t>
      </w:r>
      <w:r w:rsidR="5EBA29E6">
        <w:t>renewable capacity and</w:t>
      </w:r>
      <w:r w:rsidR="00760FAC">
        <w:t xml:space="preserve"> clean dispatchable </w:t>
      </w:r>
      <w:r w:rsidR="55150E08">
        <w:t>capacity</w:t>
      </w:r>
      <w:r w:rsidR="745C1FCD">
        <w:t xml:space="preserve"> </w:t>
      </w:r>
      <w:r w:rsidR="00760FAC">
        <w:t>projects.</w:t>
      </w:r>
    </w:p>
    <w:p w14:paraId="3C375651" w14:textId="401E9084" w:rsidR="00760FAC" w:rsidRDefault="00E20DBF" w:rsidP="00C95C53">
      <w:r>
        <w:t xml:space="preserve">The paper also </w:t>
      </w:r>
      <w:r w:rsidR="00765A48">
        <w:t>s</w:t>
      </w:r>
      <w:r w:rsidR="00760FAC" w:rsidRPr="008E6551">
        <w:t>hare</w:t>
      </w:r>
      <w:r w:rsidR="00B869BD">
        <w:t>s</w:t>
      </w:r>
      <w:r w:rsidR="00760FAC" w:rsidRPr="008E6551">
        <w:t xml:space="preserve"> findings from the </w:t>
      </w:r>
      <w:r w:rsidR="00F169E8">
        <w:t>Au</w:t>
      </w:r>
      <w:r w:rsidR="00315B9B">
        <w:t xml:space="preserve">gust 2023 </w:t>
      </w:r>
      <w:r w:rsidR="00760FAC">
        <w:t>consultation process on the proposed CIS design and how these have influenced the design of the clean dispatchable tenders.</w:t>
      </w:r>
    </w:p>
    <w:p w14:paraId="3A47FB8D" w14:textId="77777777" w:rsidR="00456674" w:rsidRDefault="00601480" w:rsidP="00C95C53">
      <w:r>
        <w:t>Targeted q</w:t>
      </w:r>
      <w:r w:rsidR="00C95C53" w:rsidRPr="00C95C53">
        <w:t>uestions relating to the proposed implementation design and products are set out in this paper – we encourage stakeholders to provide their feedback.</w:t>
      </w:r>
    </w:p>
    <w:p w14:paraId="36717538" w14:textId="5799ADED" w:rsidR="00456674" w:rsidRPr="005E5BC2" w:rsidRDefault="00456674" w:rsidP="00897EC2">
      <w:pPr>
        <w:pStyle w:val="Caption"/>
      </w:pPr>
      <w:bookmarkStart w:id="12" w:name="_Toc158650989"/>
      <w:r>
        <w:t>Western Australia</w:t>
      </w:r>
      <w:bookmarkEnd w:id="12"/>
      <w:r w:rsidR="00B9707A">
        <w:t xml:space="preserve"> and </w:t>
      </w:r>
      <w:r w:rsidR="2B93285E">
        <w:t xml:space="preserve">the </w:t>
      </w:r>
      <w:r w:rsidR="31250CC5">
        <w:t>Northern Territory</w:t>
      </w:r>
    </w:p>
    <w:p w14:paraId="39AAA7BB" w14:textId="3B60526D" w:rsidR="00456674" w:rsidRDefault="00456674" w:rsidP="00456674">
      <w:bookmarkStart w:id="13" w:name="_Int_wuba8O2t"/>
      <w:proofErr w:type="gramStart"/>
      <w:r>
        <w:t>In light of</w:t>
      </w:r>
      <w:bookmarkEnd w:id="13"/>
      <w:proofErr w:type="gramEnd"/>
      <w:r w:rsidRPr="7AE46FF4">
        <w:t xml:space="preserve"> the different jurisdictional </w:t>
      </w:r>
      <w:r w:rsidR="47CE958C">
        <w:t xml:space="preserve">market settings, including the existence of </w:t>
      </w:r>
      <w:r w:rsidR="13EDDB85">
        <w:t>the Reserve Capacity Mechanism in the</w:t>
      </w:r>
      <w:r w:rsidR="47CE958C">
        <w:t xml:space="preserve"> </w:t>
      </w:r>
      <w:r w:rsidRPr="7AE46FF4">
        <w:t>Wholesale Electricity Market (WEM) in Western Australia (WA</w:t>
      </w:r>
      <w:r>
        <w:t>)</w:t>
      </w:r>
      <w:r w:rsidR="7E365DE9">
        <w:t>, the implementation of the CIS</w:t>
      </w:r>
      <w:r w:rsidR="001C619B">
        <w:t xml:space="preserve"> </w:t>
      </w:r>
      <w:r w:rsidRPr="7AE46FF4">
        <w:t>has been considered separately</w:t>
      </w:r>
      <w:r w:rsidR="00DB5CE1">
        <w:t xml:space="preserve">, </w:t>
      </w:r>
      <w:r w:rsidR="0C793695">
        <w:t>for WA</w:t>
      </w:r>
      <w:r w:rsidR="00DB5CE1">
        <w:t xml:space="preserve"> and a separate design </w:t>
      </w:r>
      <w:r w:rsidR="000D6FB3">
        <w:t>paper will be published for the implementation of the CIS in the WEM</w:t>
      </w:r>
      <w:r w:rsidRPr="7AE46FF4">
        <w:t xml:space="preserve">. </w:t>
      </w:r>
      <w:r w:rsidRPr="00877ACE">
        <w:t xml:space="preserve">Unless expressly specified, readers are advised to interpret all references in this paper as </w:t>
      </w:r>
      <w:r>
        <w:t>about</w:t>
      </w:r>
      <w:r w:rsidRPr="00877ACE">
        <w:t xml:space="preserve"> CIS National Electricity Market (NEM) tenders</w:t>
      </w:r>
      <w:r>
        <w:t>.</w:t>
      </w:r>
      <w:r w:rsidR="00B9707A">
        <w:t xml:space="preserve"> </w:t>
      </w:r>
    </w:p>
    <w:p w14:paraId="4567B00D" w14:textId="771CD47B" w:rsidR="00F36EF7" w:rsidRPr="005E5BC2" w:rsidRDefault="00F36EF7" w:rsidP="00F36EF7">
      <w:pPr>
        <w:rPr>
          <w:lang w:val="en-GB" w:eastAsia="en-AU"/>
        </w:rPr>
      </w:pPr>
      <w:r>
        <w:t xml:space="preserve">Options to support the delivery of </w:t>
      </w:r>
      <w:r w:rsidR="008D48C6">
        <w:t xml:space="preserve">renewable capacity and clean dispatchable capacity </w:t>
      </w:r>
      <w:r w:rsidR="004C3F6E">
        <w:t>in the Northern Territory</w:t>
      </w:r>
      <w:r>
        <w:t xml:space="preserve"> are also being considered separately.</w:t>
      </w:r>
    </w:p>
    <w:p w14:paraId="3D0E220C" w14:textId="372C51B9" w:rsidR="005F374E" w:rsidRDefault="005F374E" w:rsidP="00C95C53">
      <w:r>
        <w:br w:type="page"/>
      </w:r>
    </w:p>
    <w:p w14:paraId="5DB51C46" w14:textId="6C13B698" w:rsidR="004358F1" w:rsidRPr="006B6AD5" w:rsidRDefault="00F74084" w:rsidP="00F46775">
      <w:pPr>
        <w:pStyle w:val="Subtitle"/>
      </w:pPr>
      <w:r w:rsidRPr="00F74084">
        <w:lastRenderedPageBreak/>
        <w:t xml:space="preserve">Capacity Investment Scheme </w:t>
      </w:r>
      <w:r w:rsidR="00AF191A">
        <w:t>– a national framework</w:t>
      </w:r>
    </w:p>
    <w:p w14:paraId="6CA57256" w14:textId="28106ACC" w:rsidR="00B077DA" w:rsidRPr="00B077DA" w:rsidRDefault="00B077DA" w:rsidP="00B077DA">
      <w:pPr>
        <w:rPr>
          <w:lang w:eastAsia="ja-JP"/>
        </w:rPr>
      </w:pPr>
      <w:r w:rsidRPr="00B077DA">
        <w:rPr>
          <w:lang w:eastAsia="ja-JP"/>
        </w:rPr>
        <w:t xml:space="preserve">The </w:t>
      </w:r>
      <w:r w:rsidR="00990C22" w:rsidRPr="00990C22">
        <w:rPr>
          <w:lang w:eastAsia="ja-JP"/>
        </w:rPr>
        <w:t>Capacity Investment Scheme</w:t>
      </w:r>
      <w:r w:rsidR="00990C22">
        <w:rPr>
          <w:lang w:eastAsia="ja-JP"/>
        </w:rPr>
        <w:t xml:space="preserve"> (</w:t>
      </w:r>
      <w:r w:rsidRPr="00B077DA">
        <w:rPr>
          <w:lang w:eastAsia="ja-JP"/>
        </w:rPr>
        <w:t>CIS</w:t>
      </w:r>
      <w:r w:rsidR="00990C22">
        <w:rPr>
          <w:lang w:eastAsia="ja-JP"/>
        </w:rPr>
        <w:t>)</w:t>
      </w:r>
      <w:r w:rsidRPr="00B077DA">
        <w:rPr>
          <w:lang w:eastAsia="ja-JP"/>
        </w:rPr>
        <w:t xml:space="preserve"> is </w:t>
      </w:r>
      <w:r w:rsidR="00C53706">
        <w:rPr>
          <w:lang w:eastAsia="ja-JP"/>
        </w:rPr>
        <w:t xml:space="preserve">a </w:t>
      </w:r>
      <w:r w:rsidR="00F30AAB" w:rsidRPr="00F30AAB">
        <w:rPr>
          <w:lang w:eastAsia="ja-JP"/>
        </w:rPr>
        <w:t xml:space="preserve">national framework </w:t>
      </w:r>
      <w:r w:rsidR="00F30AAB">
        <w:rPr>
          <w:lang w:eastAsia="ja-JP"/>
        </w:rPr>
        <w:t xml:space="preserve">and </w:t>
      </w:r>
      <w:r w:rsidR="009E5387">
        <w:rPr>
          <w:lang w:eastAsia="ja-JP"/>
        </w:rPr>
        <w:t xml:space="preserve">an </w:t>
      </w:r>
      <w:r w:rsidRPr="00B077DA">
        <w:rPr>
          <w:lang w:eastAsia="ja-JP"/>
        </w:rPr>
        <w:t>Australian Government</w:t>
      </w:r>
      <w:r w:rsidR="009E5387">
        <w:rPr>
          <w:lang w:eastAsia="ja-JP"/>
        </w:rPr>
        <w:t xml:space="preserve"> </w:t>
      </w:r>
      <w:r w:rsidR="007D2475" w:rsidRPr="009E5387">
        <w:rPr>
          <w:lang w:eastAsia="ja-JP"/>
        </w:rPr>
        <w:t>initiative</w:t>
      </w:r>
      <w:r w:rsidR="007D2475">
        <w:rPr>
          <w:lang w:eastAsia="ja-JP"/>
        </w:rPr>
        <w:t xml:space="preserve"> </w:t>
      </w:r>
      <w:r w:rsidR="007D2475" w:rsidRPr="00B077DA">
        <w:rPr>
          <w:lang w:eastAsia="ja-JP"/>
        </w:rPr>
        <w:t>to</w:t>
      </w:r>
      <w:r w:rsidRPr="00B077DA">
        <w:rPr>
          <w:lang w:eastAsia="ja-JP"/>
        </w:rPr>
        <w:t xml:space="preserve"> encourage new investment in renewable capacity, such as wind and solar, </w:t>
      </w:r>
      <w:r w:rsidR="00AD0954">
        <w:rPr>
          <w:lang w:eastAsia="ja-JP"/>
        </w:rPr>
        <w:t>and</w:t>
      </w:r>
      <w:r w:rsidRPr="00B077DA">
        <w:rPr>
          <w:lang w:eastAsia="ja-JP"/>
        </w:rPr>
        <w:t xml:space="preserve"> clean dispatchable capacity, </w:t>
      </w:r>
      <w:r w:rsidR="009B0409">
        <w:rPr>
          <w:lang w:eastAsia="ja-JP"/>
        </w:rPr>
        <w:t>for example</w:t>
      </w:r>
      <w:r w:rsidR="00C828BE">
        <w:rPr>
          <w:lang w:eastAsia="ja-JP"/>
        </w:rPr>
        <w:t>,</w:t>
      </w:r>
      <w:r w:rsidR="009B0409" w:rsidRPr="00B077DA">
        <w:rPr>
          <w:lang w:eastAsia="ja-JP"/>
        </w:rPr>
        <w:t xml:space="preserve"> </w:t>
      </w:r>
      <w:r w:rsidRPr="00B077DA">
        <w:rPr>
          <w:lang w:eastAsia="ja-JP"/>
        </w:rPr>
        <w:t>battery storage. The scheme aims to support the delivery of a more reliable, affordable, low-emissions energy system for all Australians.</w:t>
      </w:r>
    </w:p>
    <w:p w14:paraId="22203253" w14:textId="0A2D0A9B" w:rsidR="00B077DA" w:rsidRPr="00B077DA" w:rsidRDefault="00B077DA" w:rsidP="00B077DA">
      <w:pPr>
        <w:rPr>
          <w:lang w:eastAsia="ja-JP"/>
        </w:rPr>
      </w:pPr>
      <w:r w:rsidRPr="00B077DA">
        <w:rPr>
          <w:lang w:eastAsia="ja-JP"/>
        </w:rPr>
        <w:t xml:space="preserve">The CIS </w:t>
      </w:r>
      <w:r w:rsidR="00A54466">
        <w:rPr>
          <w:lang w:eastAsia="ja-JP"/>
        </w:rPr>
        <w:t xml:space="preserve">will be implemented through </w:t>
      </w:r>
      <w:r w:rsidRPr="00B077DA">
        <w:rPr>
          <w:lang w:eastAsia="ja-JP"/>
        </w:rPr>
        <w:t>a series of competitive tenders</w:t>
      </w:r>
      <w:r w:rsidR="0058435E">
        <w:rPr>
          <w:lang w:eastAsia="ja-JP"/>
        </w:rPr>
        <w:t xml:space="preserve"> (CIS tender</w:t>
      </w:r>
      <w:r w:rsidR="00955DF9">
        <w:rPr>
          <w:lang w:eastAsia="ja-JP"/>
        </w:rPr>
        <w:t>s</w:t>
      </w:r>
      <w:r w:rsidR="0058435E">
        <w:rPr>
          <w:lang w:eastAsia="ja-JP"/>
        </w:rPr>
        <w:t>)</w:t>
      </w:r>
      <w:r w:rsidRPr="00B077DA">
        <w:rPr>
          <w:lang w:eastAsia="ja-JP"/>
        </w:rPr>
        <w:t xml:space="preserve"> with the objective </w:t>
      </w:r>
      <w:r w:rsidR="00877ACE">
        <w:rPr>
          <w:lang w:eastAsia="ja-JP"/>
        </w:rPr>
        <w:t>of</w:t>
      </w:r>
      <w:r w:rsidRPr="00B077DA">
        <w:rPr>
          <w:lang w:eastAsia="ja-JP"/>
        </w:rPr>
        <w:t>:</w:t>
      </w:r>
    </w:p>
    <w:p w14:paraId="48374EFA" w14:textId="77C69891" w:rsidR="00B077DA" w:rsidRPr="005E5BC2" w:rsidRDefault="00B077DA" w:rsidP="00F3367C">
      <w:pPr>
        <w:pStyle w:val="ListBullet"/>
        <w:rPr>
          <w:lang w:val="en-GB" w:eastAsia="en-AU"/>
        </w:rPr>
      </w:pPr>
      <w:r w:rsidRPr="005E5BC2">
        <w:rPr>
          <w:lang w:val="en-GB" w:eastAsia="en-AU"/>
        </w:rPr>
        <w:t>Deliver</w:t>
      </w:r>
      <w:r w:rsidR="00877ACE">
        <w:rPr>
          <w:lang w:val="en-GB" w:eastAsia="en-AU"/>
        </w:rPr>
        <w:t>ing</w:t>
      </w:r>
      <w:r w:rsidRPr="005E5BC2">
        <w:rPr>
          <w:lang w:val="en-GB" w:eastAsia="en-AU"/>
        </w:rPr>
        <w:t xml:space="preserve"> an additional 32 GW of </w:t>
      </w:r>
      <w:r w:rsidR="5BA593BB" w:rsidRPr="60A97827">
        <w:rPr>
          <w:lang w:val="en-GB" w:eastAsia="en-AU"/>
        </w:rPr>
        <w:t xml:space="preserve">new </w:t>
      </w:r>
      <w:r w:rsidRPr="005E5BC2">
        <w:rPr>
          <w:lang w:val="en-GB" w:eastAsia="en-AU"/>
        </w:rPr>
        <w:t>capacity by 2030</w:t>
      </w:r>
    </w:p>
    <w:p w14:paraId="0CDDA8D6" w14:textId="07CA7589" w:rsidR="00B077DA" w:rsidRPr="005E5BC2" w:rsidRDefault="00B077DA" w:rsidP="00F3367C">
      <w:pPr>
        <w:pStyle w:val="ListBullet"/>
        <w:rPr>
          <w:lang w:val="en-GB" w:eastAsia="en-AU"/>
        </w:rPr>
      </w:pPr>
      <w:r>
        <w:rPr>
          <w:lang w:val="en-GB" w:eastAsia="en-AU"/>
        </w:rPr>
        <w:t>Support</w:t>
      </w:r>
      <w:r w:rsidR="00877ACE">
        <w:rPr>
          <w:lang w:val="en-GB" w:eastAsia="en-AU"/>
        </w:rPr>
        <w:t>ing</w:t>
      </w:r>
      <w:r>
        <w:rPr>
          <w:lang w:val="en-GB" w:eastAsia="en-AU"/>
        </w:rPr>
        <w:t xml:space="preserve"> </w:t>
      </w:r>
      <w:r w:rsidR="001417B0">
        <w:rPr>
          <w:lang w:val="en-GB" w:eastAsia="en-AU"/>
        </w:rPr>
        <w:t xml:space="preserve">electricity generation growth and </w:t>
      </w:r>
      <w:r>
        <w:rPr>
          <w:lang w:val="en-GB" w:eastAsia="en-AU"/>
        </w:rPr>
        <w:t xml:space="preserve">reliability in Australia’s rapidly changing </w:t>
      </w:r>
      <w:r w:rsidR="004C3F6E">
        <w:rPr>
          <w:lang w:val="en-GB" w:eastAsia="en-AU"/>
        </w:rPr>
        <w:t>electricity</w:t>
      </w:r>
      <w:r>
        <w:rPr>
          <w:lang w:val="en-GB" w:eastAsia="en-AU"/>
        </w:rPr>
        <w:t xml:space="preserve"> market</w:t>
      </w:r>
      <w:r w:rsidR="004C3F6E">
        <w:rPr>
          <w:lang w:val="en-GB" w:eastAsia="en-AU"/>
        </w:rPr>
        <w:t>s</w:t>
      </w:r>
      <w:r>
        <w:rPr>
          <w:lang w:val="en-GB" w:eastAsia="en-AU"/>
        </w:rPr>
        <w:t xml:space="preserve"> </w:t>
      </w:r>
      <w:r w:rsidRPr="005E5BC2">
        <w:rPr>
          <w:lang w:val="en-GB" w:eastAsia="en-AU"/>
        </w:rPr>
        <w:t xml:space="preserve">as ageing </w:t>
      </w:r>
      <w:r w:rsidR="001417B0">
        <w:rPr>
          <w:lang w:val="en-GB" w:eastAsia="en-AU"/>
        </w:rPr>
        <w:t>thermal</w:t>
      </w:r>
      <w:r w:rsidR="001417B0" w:rsidRPr="005E5BC2">
        <w:rPr>
          <w:lang w:val="en-GB" w:eastAsia="en-AU"/>
        </w:rPr>
        <w:t xml:space="preserve"> </w:t>
      </w:r>
      <w:r w:rsidRPr="005E5BC2">
        <w:rPr>
          <w:lang w:val="en-GB" w:eastAsia="en-AU"/>
        </w:rPr>
        <w:t>power stations exit</w:t>
      </w:r>
    </w:p>
    <w:p w14:paraId="2EA2CF51" w14:textId="4D7B278E" w:rsidR="00B077DA" w:rsidRPr="005E5BC2" w:rsidRDefault="006C73E3" w:rsidP="00F3367C">
      <w:pPr>
        <w:pStyle w:val="ListBullet"/>
        <w:rPr>
          <w:lang w:val="en-GB" w:eastAsia="en-AU"/>
        </w:rPr>
      </w:pPr>
      <w:r>
        <w:rPr>
          <w:lang w:val="en-GB" w:eastAsia="en-AU"/>
        </w:rPr>
        <w:t>Supporting the delivery of</w:t>
      </w:r>
      <w:r w:rsidR="00B077DA" w:rsidRPr="005E5BC2">
        <w:rPr>
          <w:lang w:val="en-GB" w:eastAsia="en-AU"/>
        </w:rPr>
        <w:t xml:space="preserve"> the Australian Government’s 82% renewable electricity by 2030 target.</w:t>
      </w:r>
    </w:p>
    <w:p w14:paraId="69A59AC7" w14:textId="18DDCE2E" w:rsidR="00B077DA" w:rsidRDefault="00DF21C6" w:rsidP="00B077DA">
      <w:pPr>
        <w:rPr>
          <w:lang w:eastAsia="ja-JP"/>
        </w:rPr>
      </w:pPr>
      <w:r>
        <w:rPr>
          <w:lang w:eastAsia="ja-JP"/>
        </w:rPr>
        <w:t>Successful p</w:t>
      </w:r>
      <w:r w:rsidR="00B077DA" w:rsidRPr="00B077DA">
        <w:rPr>
          <w:lang w:eastAsia="ja-JP"/>
        </w:rPr>
        <w:t xml:space="preserve">rojects </w:t>
      </w:r>
      <w:r>
        <w:rPr>
          <w:lang w:eastAsia="ja-JP"/>
        </w:rPr>
        <w:t>of</w:t>
      </w:r>
      <w:r w:rsidR="00B077DA" w:rsidRPr="00B077DA">
        <w:rPr>
          <w:lang w:eastAsia="ja-JP"/>
        </w:rPr>
        <w:t xml:space="preserve"> a CIS tender will be</w:t>
      </w:r>
      <w:r w:rsidR="00F70B6D">
        <w:rPr>
          <w:lang w:eastAsia="ja-JP"/>
        </w:rPr>
        <w:t xml:space="preserve"> awarded</w:t>
      </w:r>
      <w:r w:rsidR="00B077DA" w:rsidRPr="00B077DA">
        <w:rPr>
          <w:lang w:eastAsia="ja-JP"/>
        </w:rPr>
        <w:t xml:space="preserve"> Capacity Investment Scheme Agreements (CISAs) – long-term </w:t>
      </w:r>
      <w:r w:rsidR="7251CADF" w:rsidRPr="3CFBE505">
        <w:rPr>
          <w:lang w:eastAsia="ja-JP"/>
        </w:rPr>
        <w:t>Australian Government</w:t>
      </w:r>
      <w:r w:rsidR="00B077DA" w:rsidRPr="3CFBE505">
        <w:rPr>
          <w:lang w:eastAsia="ja-JP"/>
        </w:rPr>
        <w:t xml:space="preserve"> </w:t>
      </w:r>
      <w:r w:rsidR="00B077DA" w:rsidRPr="00B077DA">
        <w:rPr>
          <w:lang w:eastAsia="ja-JP"/>
        </w:rPr>
        <w:t>underwriting agreements with an agreed revenue ‘floor’ and ‘ceiling</w:t>
      </w:r>
      <w:r w:rsidR="6EBF0FAF" w:rsidRPr="22F785DF">
        <w:rPr>
          <w:lang w:eastAsia="ja-JP"/>
        </w:rPr>
        <w:t>.’</w:t>
      </w:r>
      <w:r w:rsidR="00B077DA" w:rsidRPr="00B077DA">
        <w:rPr>
          <w:lang w:eastAsia="ja-JP"/>
        </w:rPr>
        <w:t xml:space="preserve"> This design provides long-term revenue certainty to mitigate financial risks for investors, and in turn, encourages more investment when, and where, it is needed.</w:t>
      </w:r>
    </w:p>
    <w:p w14:paraId="2E51DB63" w14:textId="77777777" w:rsidR="00A87652" w:rsidRDefault="0095088E" w:rsidP="0095088E">
      <w:pPr>
        <w:rPr>
          <w:lang w:eastAsia="ja-JP"/>
        </w:rPr>
      </w:pPr>
      <w:r>
        <w:rPr>
          <w:lang w:eastAsia="ja-JP"/>
        </w:rPr>
        <w:t xml:space="preserve">The Australian Government will also negotiate new bilateral Renewable Energy Transformation Agreements (RETAs) with state and territory governments under the National Energy Transformation Partnership. </w:t>
      </w:r>
      <w:r w:rsidR="0009338C" w:rsidRPr="0009338C">
        <w:rPr>
          <w:lang w:eastAsia="ja-JP"/>
        </w:rPr>
        <w:t xml:space="preserve">RETAs will reflect the unique needs of each state and </w:t>
      </w:r>
      <w:bookmarkStart w:id="14" w:name="_Int_MD46Kksc"/>
      <w:proofErr w:type="gramStart"/>
      <w:r w:rsidR="0009338C" w:rsidRPr="0009338C">
        <w:rPr>
          <w:lang w:eastAsia="ja-JP"/>
        </w:rPr>
        <w:t>territory</w:t>
      </w:r>
      <w:bookmarkEnd w:id="14"/>
      <w:proofErr w:type="gramEnd"/>
      <w:r w:rsidR="0009338C" w:rsidRPr="0009338C">
        <w:rPr>
          <w:lang w:eastAsia="ja-JP"/>
        </w:rPr>
        <w:t xml:space="preserve"> and</w:t>
      </w:r>
      <w:r w:rsidR="004C3F6E">
        <w:rPr>
          <w:lang w:eastAsia="ja-JP"/>
        </w:rPr>
        <w:t>,</w:t>
      </w:r>
      <w:r w:rsidR="0009338C" w:rsidRPr="0009338C">
        <w:rPr>
          <w:lang w:eastAsia="ja-JP"/>
        </w:rPr>
        <w:t xml:space="preserve"> through these agreements</w:t>
      </w:r>
      <w:r w:rsidR="004C3F6E">
        <w:rPr>
          <w:lang w:eastAsia="ja-JP"/>
        </w:rPr>
        <w:t>,</w:t>
      </w:r>
      <w:r w:rsidR="0009338C" w:rsidRPr="0009338C">
        <w:rPr>
          <w:lang w:eastAsia="ja-JP"/>
        </w:rPr>
        <w:t xml:space="preserve"> </w:t>
      </w:r>
      <w:bookmarkStart w:id="15" w:name="_Int_PChPutYz"/>
      <w:r w:rsidR="0009338C" w:rsidRPr="0009338C">
        <w:rPr>
          <w:lang w:eastAsia="ja-JP"/>
        </w:rPr>
        <w:t>jurisdictions</w:t>
      </w:r>
      <w:bookmarkEnd w:id="15"/>
      <w:r w:rsidR="0009338C" w:rsidRPr="0009338C">
        <w:rPr>
          <w:lang w:eastAsia="ja-JP"/>
        </w:rPr>
        <w:t xml:space="preserve"> will work alongside the Australian Government to support Australia’s renewable energy transformation. </w:t>
      </w:r>
    </w:p>
    <w:p w14:paraId="11F02A0C" w14:textId="26BB709A" w:rsidR="003550EF" w:rsidRDefault="003F3511" w:rsidP="003550EF">
      <w:pPr>
        <w:pStyle w:val="Heading3"/>
      </w:pPr>
      <w:bookmarkStart w:id="16" w:name="_Toc160117888"/>
      <w:r>
        <w:t xml:space="preserve">Our progress </w:t>
      </w:r>
      <w:r w:rsidR="001C79FF">
        <w:t xml:space="preserve">in </w:t>
      </w:r>
      <w:r>
        <w:t xml:space="preserve">delivering the </w:t>
      </w:r>
      <w:proofErr w:type="gramStart"/>
      <w:r>
        <w:t>CIS</w:t>
      </w:r>
      <w:bookmarkEnd w:id="16"/>
      <w:proofErr w:type="gramEnd"/>
    </w:p>
    <w:p w14:paraId="38F48D27" w14:textId="70BD8C26" w:rsidR="001F0311" w:rsidRPr="001852DC" w:rsidRDefault="049E0B93" w:rsidP="001852DC">
      <w:pPr>
        <w:rPr>
          <w:lang w:eastAsia="ja-JP"/>
        </w:rPr>
      </w:pPr>
      <w:r w:rsidRPr="001852DC">
        <w:rPr>
          <w:rFonts w:eastAsiaTheme="minorEastAsia"/>
          <w:lang w:eastAsia="ja-JP"/>
        </w:rPr>
        <w:t xml:space="preserve">A pilot CIS </w:t>
      </w:r>
      <w:r w:rsidRPr="105405E2">
        <w:rPr>
          <w:rFonts w:eastAsiaTheme="minorEastAsia"/>
          <w:lang w:eastAsia="ja-JP"/>
        </w:rPr>
        <w:t>te</w:t>
      </w:r>
      <w:r w:rsidR="25CB50E3" w:rsidRPr="105405E2">
        <w:rPr>
          <w:rFonts w:eastAsiaTheme="minorEastAsia"/>
          <w:lang w:eastAsia="ja-JP"/>
        </w:rPr>
        <w:t>n</w:t>
      </w:r>
      <w:r w:rsidRPr="105405E2">
        <w:rPr>
          <w:rFonts w:eastAsiaTheme="minorEastAsia"/>
          <w:lang w:eastAsia="ja-JP"/>
        </w:rPr>
        <w:t>der</w:t>
      </w:r>
      <w:r w:rsidRPr="001852DC">
        <w:rPr>
          <w:rFonts w:eastAsiaTheme="minorEastAsia"/>
          <w:lang w:eastAsia="ja-JP"/>
        </w:rPr>
        <w:t xml:space="preserve"> for dispatchable capacity in South Australia-Victoria is presently underway and </w:t>
      </w:r>
      <w:r w:rsidR="2F79B538" w:rsidRPr="699B257F">
        <w:rPr>
          <w:rFonts w:eastAsiaTheme="minorEastAsia"/>
          <w:lang w:eastAsia="ja-JP"/>
        </w:rPr>
        <w:t>the CIS contributed to a joint</w:t>
      </w:r>
      <w:r w:rsidR="2F79B538" w:rsidRPr="2D2DFCA0">
        <w:rPr>
          <w:rFonts w:eastAsiaTheme="minorEastAsia"/>
          <w:lang w:eastAsia="ja-JP"/>
        </w:rPr>
        <w:t xml:space="preserve"> </w:t>
      </w:r>
      <w:r w:rsidR="2F79B538" w:rsidRPr="001852DC">
        <w:rPr>
          <w:rFonts w:eastAsiaTheme="minorEastAsia"/>
          <w:lang w:eastAsia="ja-JP"/>
        </w:rPr>
        <w:t>Commonwealth/NSW tender in partnership with the NSW Electricity Infrastructure Roadmap</w:t>
      </w:r>
      <w:r w:rsidR="60C94E29" w:rsidRPr="675CC4AE">
        <w:rPr>
          <w:rFonts w:eastAsiaTheme="minorEastAsia"/>
          <w:lang w:eastAsia="ja-JP"/>
        </w:rPr>
        <w:t>.</w:t>
      </w:r>
      <w:r w:rsidR="2F79B538" w:rsidRPr="2D2DFCA0">
        <w:rPr>
          <w:rFonts w:eastAsiaTheme="minorEastAsia"/>
          <w:lang w:eastAsia="ja-JP"/>
        </w:rPr>
        <w:t xml:space="preserve"> </w:t>
      </w:r>
    </w:p>
    <w:p w14:paraId="3E920956" w14:textId="7FA0DB23" w:rsidR="006F097D" w:rsidRDefault="00F90F5E" w:rsidP="001852DC">
      <w:pPr>
        <w:pStyle w:val="Caption"/>
      </w:pPr>
      <w:bookmarkStart w:id="17" w:name="_Ref160106631"/>
      <w:bookmarkStart w:id="18" w:name="_Toc160105892"/>
      <w:r>
        <w:lastRenderedPageBreak/>
        <w:t xml:space="preserve">Figure </w:t>
      </w:r>
      <w:fldSimple w:instr=" SEQ Figure \* ARABIC ">
        <w:r w:rsidR="00590988">
          <w:rPr>
            <w:noProof/>
          </w:rPr>
          <w:t>1</w:t>
        </w:r>
      </w:fldSimple>
      <w:bookmarkEnd w:id="17"/>
      <w:r>
        <w:t xml:space="preserve"> Progress in delivering the </w:t>
      </w:r>
      <w:proofErr w:type="gramStart"/>
      <w:r>
        <w:t>CIS</w:t>
      </w:r>
      <w:bookmarkEnd w:id="18"/>
      <w:proofErr w:type="gramEnd"/>
    </w:p>
    <w:p w14:paraId="4817B824" w14:textId="47B3286D" w:rsidR="007860D6" w:rsidRPr="007B43FD" w:rsidRDefault="11965B0D" w:rsidP="008D00E3">
      <w:pPr>
        <w:spacing w:before="240"/>
      </w:pPr>
      <w:r>
        <w:rPr>
          <w:noProof/>
        </w:rPr>
        <w:drawing>
          <wp:inline distT="0" distB="0" distL="0" distR="0" wp14:anchorId="0FD8D234" wp14:editId="77513549">
            <wp:extent cx="6086246" cy="2306332"/>
            <wp:effectExtent l="0" t="0" r="0" b="0"/>
            <wp:docPr id="715534626" name="Picture 1" descr="June 2023 - Partnership with NSW Electricity Infrastructure Roadmap firming tender announced.&#10;August 2023 - VIC-SA Tender, Consultation on design and delivery of CIS.&#10;September 2023 - SA-VIC draft term sheet consultation.&#10;22 November 2023 - NSW Firming Tender outcomes announced.&#10;23 November 2023 - Announcement of Expanded CIS.&#10;December 2023 - CIS SA-VIC tender opens.&#10;23 Februrary 2024 - Stage A bids for SA-VIC tender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34626" name="Picture 1" descr="June 2023 - Partnership with NSW Electricity Infrastructure Roadmap firming tender announced.&#10;August 2023 - VIC-SA Tender, Consultation on design and delivery of CIS.&#10;September 2023 - SA-VIC draft term sheet consultation.&#10;22 November 2023 - NSW Firming Tender outcomes announced.&#10;23 November 2023 - Announcement of Expanded CIS.&#10;December 2023 - CIS SA-VIC tender opens.&#10;23 Februrary 2024 - Stage A bids for SA-VIC tender close."/>
                    <pic:cNvPicPr/>
                  </pic:nvPicPr>
                  <pic:blipFill>
                    <a:blip r:embed="rId17">
                      <a:extLst>
                        <a:ext uri="{28A0092B-C50C-407E-A947-70E740481C1C}">
                          <a14:useLocalDpi xmlns:a14="http://schemas.microsoft.com/office/drawing/2010/main" val="0"/>
                        </a:ext>
                      </a:extLst>
                    </a:blip>
                    <a:stretch>
                      <a:fillRect/>
                    </a:stretch>
                  </pic:blipFill>
                  <pic:spPr>
                    <a:xfrm>
                      <a:off x="0" y="0"/>
                      <a:ext cx="6086246" cy="2306332"/>
                    </a:xfrm>
                    <a:prstGeom prst="rect">
                      <a:avLst/>
                    </a:prstGeom>
                  </pic:spPr>
                </pic:pic>
              </a:graphicData>
            </a:graphic>
          </wp:inline>
        </w:drawing>
      </w:r>
    </w:p>
    <w:p w14:paraId="33B29F41" w14:textId="0792F42F" w:rsidR="00DA71AF" w:rsidRPr="00AC7604" w:rsidRDefault="001276BB" w:rsidP="00DA71AF">
      <w:pPr>
        <w:pStyle w:val="Heading4"/>
      </w:pPr>
      <w:bookmarkStart w:id="19" w:name="_Toc158650992"/>
      <w:r>
        <w:t>P</w:t>
      </w:r>
      <w:r w:rsidR="00DA71AF" w:rsidRPr="00AC7604">
        <w:t xml:space="preserve">ublic consultation </w:t>
      </w:r>
      <w:bookmarkEnd w:id="19"/>
    </w:p>
    <w:p w14:paraId="29CCF075" w14:textId="17D39286" w:rsidR="00DA4A43" w:rsidRDefault="00DA4A43" w:rsidP="00DA4A43">
      <w:pPr>
        <w:pStyle w:val="BoxText"/>
        <w:pBdr>
          <w:top w:val="none" w:sz="0" w:space="0" w:color="auto"/>
          <w:left w:val="none" w:sz="0" w:space="0" w:color="auto"/>
          <w:bottom w:val="none" w:sz="0" w:space="0" w:color="auto"/>
          <w:right w:val="none" w:sz="0" w:space="0" w:color="auto"/>
        </w:pBdr>
        <w:shd w:val="clear" w:color="auto" w:fill="D8F2EE" w:themeFill="accent2" w:themeFillTint="33"/>
        <w:spacing w:before="0" w:after="0" w:line="240" w:lineRule="auto"/>
        <w:rPr>
          <w:lang w:val="en-GB" w:eastAsia="en-AU"/>
        </w:rPr>
      </w:pPr>
    </w:p>
    <w:p w14:paraId="64A65C1E" w14:textId="2300476E" w:rsidR="00CE6A90" w:rsidRDefault="000C0AFE" w:rsidP="007265BE">
      <w:pPr>
        <w:pStyle w:val="BoxText"/>
        <w:pBdr>
          <w:top w:val="none" w:sz="0" w:space="0" w:color="auto"/>
          <w:left w:val="none" w:sz="0" w:space="0" w:color="auto"/>
          <w:bottom w:val="none" w:sz="0" w:space="0" w:color="auto"/>
          <w:right w:val="none" w:sz="0" w:space="0" w:color="auto"/>
        </w:pBdr>
        <w:shd w:val="clear" w:color="auto" w:fill="D8F2EE" w:themeFill="accent2" w:themeFillTint="33"/>
        <w:spacing w:before="0" w:after="0" w:line="240" w:lineRule="auto"/>
        <w:jc w:val="center"/>
        <w:rPr>
          <w:lang w:val="en-GB" w:eastAsia="en-AU"/>
        </w:rPr>
      </w:pPr>
      <w:r w:rsidRPr="000C0AFE">
        <w:rPr>
          <w:lang w:val="en-GB" w:eastAsia="en-AU"/>
        </w:rPr>
        <w:t>Stakeholders</w:t>
      </w:r>
      <w:r w:rsidR="001C79FF">
        <w:rPr>
          <w:lang w:val="en-GB" w:eastAsia="en-AU"/>
        </w:rPr>
        <w:t xml:space="preserve"> are</w:t>
      </w:r>
      <w:r w:rsidRPr="000C0AFE">
        <w:rPr>
          <w:lang w:val="en-GB" w:eastAsia="en-AU"/>
        </w:rPr>
        <w:t xml:space="preserve"> supportive of the CIS and key design principles.</w:t>
      </w:r>
    </w:p>
    <w:p w14:paraId="0B0700AF" w14:textId="15738C9B" w:rsidR="00DA4A43" w:rsidRDefault="00DA4A43" w:rsidP="00DA4A43">
      <w:pPr>
        <w:pStyle w:val="BoxText"/>
        <w:pBdr>
          <w:top w:val="none" w:sz="0" w:space="0" w:color="auto"/>
          <w:left w:val="none" w:sz="0" w:space="0" w:color="auto"/>
          <w:bottom w:val="none" w:sz="0" w:space="0" w:color="auto"/>
          <w:right w:val="none" w:sz="0" w:space="0" w:color="auto"/>
        </w:pBdr>
        <w:shd w:val="clear" w:color="auto" w:fill="D8F2EE" w:themeFill="accent2" w:themeFillTint="33"/>
        <w:spacing w:before="0" w:after="0" w:line="240" w:lineRule="auto"/>
        <w:rPr>
          <w:lang w:val="en-GB" w:eastAsia="en-AU"/>
        </w:rPr>
      </w:pPr>
    </w:p>
    <w:p w14:paraId="5A5A4299" w14:textId="6D99CA75" w:rsidR="00811D19" w:rsidRDefault="00DA71AF" w:rsidP="00DA71AF">
      <w:pPr>
        <w:spacing w:before="240"/>
        <w:rPr>
          <w:lang w:val="en-GB" w:eastAsia="en-AU"/>
        </w:rPr>
      </w:pPr>
      <w:r w:rsidRPr="5C26C637">
        <w:rPr>
          <w:lang w:val="en-GB" w:eastAsia="en-AU"/>
        </w:rPr>
        <w:t xml:space="preserve">In August </w:t>
      </w:r>
      <w:r w:rsidR="00847F0C" w:rsidRPr="5C26C637">
        <w:rPr>
          <w:lang w:val="en-GB" w:eastAsia="en-AU"/>
        </w:rPr>
        <w:t>and September</w:t>
      </w:r>
      <w:r w:rsidRPr="5C26C637">
        <w:rPr>
          <w:lang w:val="en-GB" w:eastAsia="en-AU"/>
        </w:rPr>
        <w:t xml:space="preserve"> 2023, the</w:t>
      </w:r>
      <w:r w:rsidR="33D449BE" w:rsidRPr="5C26C637">
        <w:rPr>
          <w:lang w:val="en-GB" w:eastAsia="en-AU"/>
        </w:rPr>
        <w:t xml:space="preserve"> </w:t>
      </w:r>
      <w:r w:rsidR="35F07EAD" w:rsidRPr="5C26C637">
        <w:rPr>
          <w:lang w:val="en-GB" w:eastAsia="en-AU"/>
        </w:rPr>
        <w:t>Department of Climate Change, Energy, the Environment and Water (DCCEEW)</w:t>
      </w:r>
      <w:r w:rsidR="00811D19" w:rsidRPr="5C26C637">
        <w:rPr>
          <w:lang w:val="en-GB" w:eastAsia="en-AU"/>
        </w:rPr>
        <w:t>:</w:t>
      </w:r>
    </w:p>
    <w:p w14:paraId="5D99B864" w14:textId="14DCE945" w:rsidR="004E5248" w:rsidRPr="00361223" w:rsidRDefault="00B952ED" w:rsidP="00361223">
      <w:pPr>
        <w:pStyle w:val="ListBullet"/>
        <w:rPr>
          <w:lang w:val="en-GB" w:eastAsia="en-AU"/>
        </w:rPr>
      </w:pPr>
      <w:r w:rsidRPr="00361223">
        <w:rPr>
          <w:lang w:val="en-GB" w:eastAsia="en-AU"/>
        </w:rPr>
        <w:t>R</w:t>
      </w:r>
      <w:r w:rsidR="00DA71AF" w:rsidRPr="00361223">
        <w:rPr>
          <w:lang w:val="en-GB" w:eastAsia="en-AU"/>
        </w:rPr>
        <w:t>eleased</w:t>
      </w:r>
      <w:r w:rsidR="00DA71AF" w:rsidRPr="00AC7604">
        <w:rPr>
          <w:lang w:val="en-GB" w:eastAsia="en-AU"/>
        </w:rPr>
        <w:t xml:space="preserve"> a </w:t>
      </w:r>
      <w:r w:rsidR="00295ED7" w:rsidRPr="00361223">
        <w:rPr>
          <w:lang w:val="en-GB" w:eastAsia="en-AU"/>
        </w:rPr>
        <w:t xml:space="preserve">CIS design </w:t>
      </w:r>
      <w:r w:rsidR="00DA71AF" w:rsidRPr="00AC7604">
        <w:rPr>
          <w:lang w:val="en-GB" w:eastAsia="en-AU"/>
        </w:rPr>
        <w:t xml:space="preserve">paper </w:t>
      </w:r>
      <w:r w:rsidR="00164F95">
        <w:rPr>
          <w:lang w:val="en-GB" w:eastAsia="en-AU"/>
        </w:rPr>
        <w:t>for public consultation</w:t>
      </w:r>
      <w:r w:rsidRPr="00361223">
        <w:rPr>
          <w:lang w:val="en-GB" w:eastAsia="en-AU"/>
        </w:rPr>
        <w:t>.</w:t>
      </w:r>
    </w:p>
    <w:p w14:paraId="7D02B436" w14:textId="37B59DCC" w:rsidR="00B952ED" w:rsidRPr="00361223" w:rsidRDefault="00B952ED" w:rsidP="00361223">
      <w:pPr>
        <w:pStyle w:val="ListBullet"/>
        <w:rPr>
          <w:lang w:val="en-GB" w:eastAsia="en-AU"/>
        </w:rPr>
      </w:pPr>
      <w:r w:rsidRPr="00361223">
        <w:rPr>
          <w:lang w:val="en-GB" w:eastAsia="en-AU"/>
        </w:rPr>
        <w:t xml:space="preserve">Published </w:t>
      </w:r>
      <w:r w:rsidR="00847F0C" w:rsidRPr="00361223">
        <w:rPr>
          <w:lang w:val="en-GB" w:eastAsia="en-AU"/>
        </w:rPr>
        <w:t xml:space="preserve">the SA-VIC tender </w:t>
      </w:r>
      <w:hyperlink r:id="rId18" w:history="1">
        <w:r w:rsidR="00847F0C" w:rsidRPr="00BB6028">
          <w:rPr>
            <w:rStyle w:val="Hyperlink"/>
            <w:lang w:val="en-GB" w:eastAsia="en-AU"/>
          </w:rPr>
          <w:t>Draft Term Sheet</w:t>
        </w:r>
      </w:hyperlink>
      <w:r w:rsidR="00C34392">
        <w:rPr>
          <w:lang w:val="en-GB" w:eastAsia="en-AU"/>
        </w:rPr>
        <w:t>.</w:t>
      </w:r>
      <w:r w:rsidR="00847F0C" w:rsidRPr="00361223">
        <w:rPr>
          <w:lang w:val="en-GB" w:eastAsia="en-AU"/>
        </w:rPr>
        <w:t xml:space="preserve"> </w:t>
      </w:r>
    </w:p>
    <w:p w14:paraId="66945F19" w14:textId="2FCB782D" w:rsidR="00DA71AF" w:rsidRPr="004A7FC4" w:rsidRDefault="00B952ED" w:rsidP="00361223">
      <w:pPr>
        <w:pStyle w:val="ListBullet"/>
        <w:rPr>
          <w:lang w:val="en-GB" w:eastAsia="en-AU"/>
        </w:rPr>
      </w:pPr>
      <w:r w:rsidRPr="00361223">
        <w:rPr>
          <w:lang w:val="en-GB" w:eastAsia="en-AU"/>
        </w:rPr>
        <w:t>H</w:t>
      </w:r>
      <w:r w:rsidR="00DA71AF" w:rsidRPr="00361223">
        <w:rPr>
          <w:lang w:val="en-GB" w:eastAsia="en-AU"/>
        </w:rPr>
        <w:t>eld</w:t>
      </w:r>
      <w:r w:rsidR="00DA71AF" w:rsidRPr="004A7FC4">
        <w:rPr>
          <w:lang w:val="en-GB" w:eastAsia="en-AU"/>
        </w:rPr>
        <w:t xml:space="preserve"> a series of consultation forums</w:t>
      </w:r>
      <w:r w:rsidR="001D44DA">
        <w:rPr>
          <w:lang w:val="en-GB" w:eastAsia="en-AU"/>
        </w:rPr>
        <w:t>,</w:t>
      </w:r>
      <w:r w:rsidR="00DA71AF" w:rsidRPr="004A7FC4">
        <w:rPr>
          <w:lang w:val="en-GB" w:eastAsia="en-AU"/>
        </w:rPr>
        <w:t xml:space="preserve"> </w:t>
      </w:r>
      <w:r w:rsidRPr="00361223">
        <w:rPr>
          <w:lang w:val="en-GB" w:eastAsia="en-AU"/>
        </w:rPr>
        <w:t>including</w:t>
      </w:r>
      <w:r w:rsidR="001D44DA">
        <w:rPr>
          <w:lang w:val="en-GB" w:eastAsia="en-AU"/>
        </w:rPr>
        <w:t xml:space="preserve"> </w:t>
      </w:r>
      <w:r w:rsidR="0096463D">
        <w:rPr>
          <w:lang w:val="en-GB" w:eastAsia="en-AU"/>
        </w:rPr>
        <w:t>engagement</w:t>
      </w:r>
      <w:r w:rsidR="00032EC3">
        <w:rPr>
          <w:lang w:val="en-GB" w:eastAsia="en-AU"/>
        </w:rPr>
        <w:t xml:space="preserve">s with </w:t>
      </w:r>
      <w:r w:rsidR="00D76151">
        <w:rPr>
          <w:lang w:val="en-GB" w:eastAsia="en-AU"/>
        </w:rPr>
        <w:t>p</w:t>
      </w:r>
      <w:r w:rsidR="00D76151" w:rsidRPr="00361223">
        <w:rPr>
          <w:lang w:val="en-GB" w:eastAsia="en-AU"/>
        </w:rPr>
        <w:t xml:space="preserve">eak </w:t>
      </w:r>
      <w:r w:rsidR="00D76151">
        <w:rPr>
          <w:lang w:val="en-GB" w:eastAsia="en-AU"/>
        </w:rPr>
        <w:t>b</w:t>
      </w:r>
      <w:r w:rsidR="00D76151" w:rsidRPr="00361223">
        <w:rPr>
          <w:lang w:val="en-GB" w:eastAsia="en-AU"/>
        </w:rPr>
        <w:t>od</w:t>
      </w:r>
      <w:r w:rsidR="00D76151">
        <w:rPr>
          <w:lang w:val="en-GB" w:eastAsia="en-AU"/>
        </w:rPr>
        <w:t>ies</w:t>
      </w:r>
      <w:r w:rsidRPr="00361223">
        <w:rPr>
          <w:lang w:val="en-GB" w:eastAsia="en-AU"/>
        </w:rPr>
        <w:t>, webinars, and responding to email queries.</w:t>
      </w:r>
    </w:p>
    <w:p w14:paraId="07989FC7" w14:textId="1F2E0096" w:rsidR="00A043A2" w:rsidRDefault="00DA71AF" w:rsidP="00DA71AF">
      <w:pPr>
        <w:rPr>
          <w:lang w:val="en-GB" w:eastAsia="en-AU"/>
        </w:rPr>
      </w:pPr>
      <w:r>
        <w:rPr>
          <w:lang w:val="en-GB" w:eastAsia="en-AU"/>
        </w:rPr>
        <w:t>F</w:t>
      </w:r>
      <w:r w:rsidRPr="004A7FC4">
        <w:rPr>
          <w:lang w:val="en-GB" w:eastAsia="en-AU"/>
        </w:rPr>
        <w:t xml:space="preserve">eedback received </w:t>
      </w:r>
      <w:r w:rsidR="00AC2478">
        <w:rPr>
          <w:lang w:val="en-GB" w:eastAsia="en-AU"/>
        </w:rPr>
        <w:t>thus far</w:t>
      </w:r>
      <w:r w:rsidRPr="004A7FC4">
        <w:rPr>
          <w:lang w:val="en-GB" w:eastAsia="en-AU"/>
        </w:rPr>
        <w:t xml:space="preserve"> has been </w:t>
      </w:r>
      <w:r>
        <w:rPr>
          <w:lang w:val="en-GB" w:eastAsia="en-AU"/>
        </w:rPr>
        <w:t>considered</w:t>
      </w:r>
      <w:r w:rsidRPr="004A7FC4">
        <w:rPr>
          <w:lang w:val="en-GB" w:eastAsia="en-AU"/>
        </w:rPr>
        <w:t xml:space="preserve"> for the </w:t>
      </w:r>
      <w:r>
        <w:rPr>
          <w:lang w:val="en-GB" w:eastAsia="en-AU"/>
        </w:rPr>
        <w:t xml:space="preserve">current </w:t>
      </w:r>
      <w:r w:rsidRPr="004A7FC4">
        <w:rPr>
          <w:lang w:val="en-GB" w:eastAsia="en-AU"/>
        </w:rPr>
        <w:t xml:space="preserve">SA-VIC </w:t>
      </w:r>
      <w:r w:rsidR="00D76151">
        <w:rPr>
          <w:lang w:val="en-GB" w:eastAsia="en-AU"/>
        </w:rPr>
        <w:t xml:space="preserve">pilot </w:t>
      </w:r>
      <w:r w:rsidRPr="004A7FC4">
        <w:rPr>
          <w:lang w:val="en-GB" w:eastAsia="en-AU"/>
        </w:rPr>
        <w:t xml:space="preserve">tender, </w:t>
      </w:r>
      <w:r>
        <w:rPr>
          <w:lang w:val="en-GB" w:eastAsia="en-AU"/>
        </w:rPr>
        <w:t>which</w:t>
      </w:r>
      <w:r w:rsidR="002B1CE6">
        <w:rPr>
          <w:lang w:val="en-GB" w:eastAsia="en-AU"/>
        </w:rPr>
        <w:t xml:space="preserve"> </w:t>
      </w:r>
      <w:r w:rsidR="002039A2">
        <w:rPr>
          <w:lang w:val="en-GB" w:eastAsia="en-AU"/>
        </w:rPr>
        <w:t>serves as a</w:t>
      </w:r>
      <w:r w:rsidR="002B1CE6">
        <w:rPr>
          <w:lang w:val="en-GB" w:eastAsia="en-AU"/>
        </w:rPr>
        <w:t xml:space="preserve"> test case </w:t>
      </w:r>
      <w:r w:rsidRPr="004A7FC4">
        <w:rPr>
          <w:lang w:val="en-GB" w:eastAsia="en-AU"/>
        </w:rPr>
        <w:t xml:space="preserve">for </w:t>
      </w:r>
      <w:r w:rsidR="00F66349">
        <w:rPr>
          <w:lang w:val="en-GB" w:eastAsia="en-AU"/>
        </w:rPr>
        <w:t>the</w:t>
      </w:r>
      <w:r w:rsidRPr="004A7FC4">
        <w:rPr>
          <w:lang w:val="en-GB" w:eastAsia="en-AU"/>
        </w:rPr>
        <w:t xml:space="preserve"> future</w:t>
      </w:r>
      <w:r w:rsidR="000C03FF">
        <w:rPr>
          <w:lang w:val="en-GB" w:eastAsia="en-AU"/>
        </w:rPr>
        <w:t xml:space="preserve"> dispatchable</w:t>
      </w:r>
      <w:r w:rsidRPr="004A7FC4">
        <w:rPr>
          <w:lang w:val="en-GB" w:eastAsia="en-AU"/>
        </w:rPr>
        <w:t xml:space="preserve"> CIS design</w:t>
      </w:r>
      <w:r w:rsidR="000C03FF">
        <w:rPr>
          <w:lang w:val="en-GB" w:eastAsia="en-AU"/>
        </w:rPr>
        <w:t xml:space="preserve"> and helps inform the CIS </w:t>
      </w:r>
      <w:r w:rsidR="009325F9">
        <w:rPr>
          <w:lang w:val="en-GB" w:eastAsia="en-AU"/>
        </w:rPr>
        <w:t>renewable capacity</w:t>
      </w:r>
      <w:r w:rsidR="000C03FF">
        <w:rPr>
          <w:lang w:val="en-GB" w:eastAsia="en-AU"/>
        </w:rPr>
        <w:t xml:space="preserve"> tender design</w:t>
      </w:r>
      <w:r w:rsidRPr="004A7FC4">
        <w:rPr>
          <w:lang w:val="en-GB" w:eastAsia="en-AU"/>
        </w:rPr>
        <w:t>.</w:t>
      </w:r>
    </w:p>
    <w:p w14:paraId="3B69D2C0" w14:textId="623C65D7" w:rsidR="00E02A48" w:rsidRPr="004A7FC4" w:rsidRDefault="00E02A48" w:rsidP="00DA71AF">
      <w:pPr>
        <w:rPr>
          <w:lang w:val="en-GB" w:eastAsia="en-AU"/>
        </w:rPr>
      </w:pPr>
      <w:r>
        <w:rPr>
          <w:lang w:val="en-GB" w:eastAsia="en-AU"/>
        </w:rPr>
        <w:t xml:space="preserve">Appendix 1 outlines the key issues raised </w:t>
      </w:r>
      <w:r w:rsidR="00EA7CF9">
        <w:rPr>
          <w:lang w:val="en-GB" w:eastAsia="en-AU"/>
        </w:rPr>
        <w:t xml:space="preserve">during </w:t>
      </w:r>
      <w:r w:rsidR="00A94795">
        <w:rPr>
          <w:lang w:val="en-GB" w:eastAsia="en-AU"/>
        </w:rPr>
        <w:t xml:space="preserve">the consultation process and how they have been </w:t>
      </w:r>
      <w:r w:rsidR="009E383C">
        <w:rPr>
          <w:lang w:val="en-GB" w:eastAsia="en-AU"/>
        </w:rPr>
        <w:t xml:space="preserve">addressed in the SA-VIC </w:t>
      </w:r>
      <w:r w:rsidR="00D76151">
        <w:rPr>
          <w:lang w:val="en-GB" w:eastAsia="en-AU"/>
        </w:rPr>
        <w:t xml:space="preserve">pilot </w:t>
      </w:r>
      <w:r w:rsidR="009E383C">
        <w:rPr>
          <w:lang w:val="en-GB" w:eastAsia="en-AU"/>
        </w:rPr>
        <w:t xml:space="preserve">tender, as well as </w:t>
      </w:r>
      <w:r w:rsidR="003E06DA">
        <w:rPr>
          <w:lang w:val="en-GB" w:eastAsia="en-AU"/>
        </w:rPr>
        <w:t>future tenders.</w:t>
      </w:r>
    </w:p>
    <w:p w14:paraId="20C27570" w14:textId="59236F24" w:rsidR="00ED6BBE" w:rsidRPr="00AC7604" w:rsidRDefault="00ED6BBE" w:rsidP="00ED6BBE">
      <w:pPr>
        <w:pStyle w:val="Heading4"/>
        <w:rPr>
          <w:lang w:val="en-GB" w:eastAsia="en-AU"/>
        </w:rPr>
      </w:pPr>
      <w:r>
        <w:rPr>
          <w:lang w:val="en-GB" w:eastAsia="en-AU"/>
        </w:rPr>
        <w:t>Stage 1</w:t>
      </w:r>
      <w:r w:rsidR="00DB431E">
        <w:rPr>
          <w:lang w:val="en-GB" w:eastAsia="en-AU"/>
        </w:rPr>
        <w:t xml:space="preserve"> delivery </w:t>
      </w:r>
    </w:p>
    <w:p w14:paraId="3F4DF3A7" w14:textId="6BC5A89B" w:rsidR="00873B48" w:rsidRDefault="00E73DE1" w:rsidP="00005556">
      <w:pPr>
        <w:spacing w:before="240"/>
        <w:rPr>
          <w:lang w:val="en-GB" w:eastAsia="en-AU"/>
        </w:rPr>
      </w:pPr>
      <w:r w:rsidRPr="00E73DE1">
        <w:rPr>
          <w:lang w:val="en-GB" w:eastAsia="en-AU"/>
        </w:rPr>
        <w:t xml:space="preserve">Stage 1 of the CIS </w:t>
      </w:r>
      <w:r w:rsidR="00D12810">
        <w:rPr>
          <w:lang w:val="en-GB" w:eastAsia="en-AU"/>
        </w:rPr>
        <w:t>includes:</w:t>
      </w:r>
    </w:p>
    <w:p w14:paraId="70BA5184" w14:textId="1002EB14" w:rsidR="00873B48" w:rsidRPr="00873B48" w:rsidRDefault="464F686C" w:rsidP="00361223">
      <w:pPr>
        <w:pStyle w:val="ListBullet"/>
        <w:rPr>
          <w:lang w:eastAsia="en-AU"/>
        </w:rPr>
      </w:pPr>
      <w:r w:rsidRPr="3C3038C1">
        <w:rPr>
          <w:lang w:eastAsia="en-AU"/>
        </w:rPr>
        <w:t>Commonwealth</w:t>
      </w:r>
      <w:r w:rsidR="00873B48" w:rsidRPr="00873B48">
        <w:rPr>
          <w:lang w:eastAsia="en-AU"/>
        </w:rPr>
        <w:t>/NSW</w:t>
      </w:r>
      <w:r w:rsidR="006C2586">
        <w:rPr>
          <w:lang w:eastAsia="en-AU"/>
        </w:rPr>
        <w:t xml:space="preserve"> pilot</w:t>
      </w:r>
      <w:r w:rsidR="00873B48" w:rsidRPr="00873B48">
        <w:rPr>
          <w:lang w:eastAsia="en-AU"/>
        </w:rPr>
        <w:t xml:space="preserve"> tender in partnership with the NSW Electricity Infrastructure Roadmap</w:t>
      </w:r>
      <w:r w:rsidR="00972E59">
        <w:rPr>
          <w:lang w:eastAsia="en-AU"/>
        </w:rPr>
        <w:t xml:space="preserve"> (NSW Firming Tender)</w:t>
      </w:r>
      <w:r w:rsidR="00B41CE5">
        <w:rPr>
          <w:lang w:eastAsia="en-AU"/>
        </w:rPr>
        <w:t>.</w:t>
      </w:r>
    </w:p>
    <w:p w14:paraId="36D62233" w14:textId="6B4E2575" w:rsidR="00873B48" w:rsidRPr="00873B48" w:rsidRDefault="008C14E9" w:rsidP="00361223">
      <w:pPr>
        <w:pStyle w:val="ListBullet"/>
        <w:rPr>
          <w:lang w:eastAsia="en-AU"/>
        </w:rPr>
      </w:pPr>
      <w:r>
        <w:rPr>
          <w:lang w:eastAsia="en-AU"/>
        </w:rPr>
        <w:t xml:space="preserve">The </w:t>
      </w:r>
      <w:r w:rsidR="006C2586">
        <w:rPr>
          <w:lang w:eastAsia="en-AU"/>
        </w:rPr>
        <w:t xml:space="preserve">pilot </w:t>
      </w:r>
      <w:r w:rsidR="00873B48" w:rsidRPr="00873B48">
        <w:rPr>
          <w:lang w:eastAsia="en-AU"/>
        </w:rPr>
        <w:t xml:space="preserve">tender for </w:t>
      </w:r>
      <w:r w:rsidR="00935F69">
        <w:rPr>
          <w:lang w:eastAsia="en-AU"/>
        </w:rPr>
        <w:t xml:space="preserve">clean </w:t>
      </w:r>
      <w:r w:rsidR="00873B48" w:rsidRPr="00873B48">
        <w:rPr>
          <w:lang w:eastAsia="en-AU"/>
        </w:rPr>
        <w:t>dispatchable capacity in South Australia and Victoria</w:t>
      </w:r>
      <w:r w:rsidR="00935F69">
        <w:rPr>
          <w:lang w:eastAsia="en-AU"/>
        </w:rPr>
        <w:t xml:space="preserve"> (SA-VIC)</w:t>
      </w:r>
      <w:r w:rsidR="00873B48" w:rsidRPr="00873B48">
        <w:rPr>
          <w:lang w:eastAsia="en-AU"/>
        </w:rPr>
        <w:t>.</w:t>
      </w:r>
    </w:p>
    <w:p w14:paraId="50BB81F7" w14:textId="1CA0CB52" w:rsidR="003550EF" w:rsidRPr="0015606E" w:rsidRDefault="003550EF" w:rsidP="00994BBE">
      <w:pPr>
        <w:pStyle w:val="Caption"/>
      </w:pPr>
      <w:bookmarkStart w:id="20" w:name="_Toc158650991"/>
      <w:r w:rsidRPr="7AE46FF4">
        <w:lastRenderedPageBreak/>
        <w:t xml:space="preserve">NSW </w:t>
      </w:r>
      <w:r w:rsidR="00E0274F">
        <w:t>F</w:t>
      </w:r>
      <w:r w:rsidRPr="7AE46FF4">
        <w:t xml:space="preserve">irming </w:t>
      </w:r>
      <w:r w:rsidR="00E0274F">
        <w:t>T</w:t>
      </w:r>
      <w:r w:rsidRPr="7AE46FF4">
        <w:t>ender</w:t>
      </w:r>
      <w:bookmarkEnd w:id="20"/>
    </w:p>
    <w:p w14:paraId="290B2655" w14:textId="1CB47A4C" w:rsidR="00B75190" w:rsidRDefault="003550EF" w:rsidP="00B75190">
      <w:r>
        <w:t xml:space="preserve">Following the commencement of </w:t>
      </w:r>
      <w:r w:rsidRPr="00877ACE">
        <w:t>NSW</w:t>
      </w:r>
      <w:r>
        <w:rPr>
          <w:rStyle w:val="FootnoteReference"/>
        </w:rPr>
        <w:footnoteReference w:id="2"/>
      </w:r>
      <w:r w:rsidRPr="00877ACE">
        <w:t xml:space="preserve"> </w:t>
      </w:r>
      <w:r w:rsidRPr="34D75B8A">
        <w:t xml:space="preserve">Tender Round 2 </w:t>
      </w:r>
      <w:r>
        <w:t>–</w:t>
      </w:r>
      <w:r w:rsidRPr="34D75B8A">
        <w:t xml:space="preserve"> Firming Infrastructure</w:t>
      </w:r>
      <w:r>
        <w:t>, the Australian Government announced funding support for up to 550MW of additional firming capacity</w:t>
      </w:r>
      <w:r w:rsidR="00D74B42">
        <w:t xml:space="preserve"> </w:t>
      </w:r>
      <w:r w:rsidR="00493A16">
        <w:t>(</w:t>
      </w:r>
      <w:r w:rsidR="00206AD7">
        <w:t xml:space="preserve">excluding demand response and gas </w:t>
      </w:r>
      <w:r w:rsidR="00D74B42">
        <w:t>projects)</w:t>
      </w:r>
      <w:r w:rsidR="00C05897">
        <w:t xml:space="preserve"> </w:t>
      </w:r>
      <w:r>
        <w:t xml:space="preserve">in the same tender. </w:t>
      </w:r>
      <w:r w:rsidR="00CB5993">
        <w:t>On 22</w:t>
      </w:r>
      <w:r>
        <w:t xml:space="preserve"> November 2023, </w:t>
      </w:r>
      <w:bookmarkStart w:id="21" w:name="_Int_37RhGkQE"/>
      <w:r w:rsidRPr="34D75B8A">
        <w:t>AEMO</w:t>
      </w:r>
      <w:bookmarkEnd w:id="21"/>
      <w:r w:rsidRPr="34D75B8A">
        <w:t xml:space="preserve"> Services Limited (ASL) announced the award of </w:t>
      </w:r>
      <w:r w:rsidR="00C40D6C">
        <w:t xml:space="preserve">a </w:t>
      </w:r>
      <w:r w:rsidR="00FC375C">
        <w:t>total of</w:t>
      </w:r>
      <w:r w:rsidR="00812550">
        <w:t xml:space="preserve"> </w:t>
      </w:r>
      <w:r w:rsidRPr="34D75B8A">
        <w:t>six Long</w:t>
      </w:r>
      <w:r>
        <w:t>-t</w:t>
      </w:r>
      <w:r w:rsidRPr="34D75B8A">
        <w:t>erm Energy Service Agreements (LTESAs)</w:t>
      </w:r>
      <w:r w:rsidR="00F51B1C">
        <w:t xml:space="preserve">. </w:t>
      </w:r>
      <w:r w:rsidR="00561E13">
        <w:t xml:space="preserve">Two </w:t>
      </w:r>
      <w:r w:rsidR="00561E13" w:rsidRPr="00561E13">
        <w:t>storage capacity battery project</w:t>
      </w:r>
      <w:r w:rsidR="00561E13">
        <w:t xml:space="preserve">s </w:t>
      </w:r>
      <w:r w:rsidRPr="34D75B8A">
        <w:t xml:space="preserve">representing </w:t>
      </w:r>
      <w:r w:rsidR="00994EBE">
        <w:t>4</w:t>
      </w:r>
      <w:r w:rsidR="00902B3A">
        <w:t>80</w:t>
      </w:r>
      <w:r w:rsidRPr="34D75B8A">
        <w:t xml:space="preserve"> MW </w:t>
      </w:r>
      <w:r w:rsidR="007D2C9E">
        <w:t>(</w:t>
      </w:r>
      <w:r w:rsidRPr="34D75B8A">
        <w:t xml:space="preserve">almost </w:t>
      </w:r>
      <w:r w:rsidR="00F91C06">
        <w:t>1</w:t>
      </w:r>
      <w:r w:rsidR="00FB5B99">
        <w:t>,800</w:t>
      </w:r>
      <w:r w:rsidRPr="34D75B8A">
        <w:t xml:space="preserve"> MWh</w:t>
      </w:r>
      <w:r w:rsidR="007D2C9E">
        <w:t>)</w:t>
      </w:r>
      <w:r w:rsidRPr="34D75B8A">
        <w:t xml:space="preserve"> of</w:t>
      </w:r>
      <w:r w:rsidR="00C20B5B">
        <w:t xml:space="preserve"> </w:t>
      </w:r>
      <w:r w:rsidRPr="34D75B8A">
        <w:t xml:space="preserve">reliable, </w:t>
      </w:r>
      <w:r w:rsidR="00C20B5B">
        <w:t>d</w:t>
      </w:r>
      <w:r w:rsidRPr="34D75B8A">
        <w:t xml:space="preserve">ispatchable </w:t>
      </w:r>
      <w:r w:rsidR="00232BDD">
        <w:t>capacity</w:t>
      </w:r>
      <w:r w:rsidR="00665650">
        <w:t xml:space="preserve"> </w:t>
      </w:r>
      <w:r w:rsidR="0025444B">
        <w:t xml:space="preserve">were </w:t>
      </w:r>
      <w:r w:rsidR="00F07911">
        <w:t xml:space="preserve">funded </w:t>
      </w:r>
      <w:r w:rsidR="005C353E">
        <w:t xml:space="preserve">through </w:t>
      </w:r>
      <w:r w:rsidR="00F07911">
        <w:t>the CIS</w:t>
      </w:r>
      <w:r w:rsidR="00B30B46">
        <w:t xml:space="preserve">. </w:t>
      </w:r>
      <w:bookmarkStart w:id="22" w:name="_Toc158650993"/>
    </w:p>
    <w:p w14:paraId="5F407283" w14:textId="761F479C" w:rsidR="003550EF" w:rsidRPr="00AC7604" w:rsidRDefault="00EF3582" w:rsidP="00994BBE">
      <w:pPr>
        <w:pStyle w:val="Caption"/>
      </w:pPr>
      <w:r>
        <w:t xml:space="preserve">CIS </w:t>
      </w:r>
      <w:r w:rsidR="003550EF">
        <w:t>SA-VIC Tender</w:t>
      </w:r>
      <w:bookmarkEnd w:id="22"/>
      <w:r w:rsidR="003550EF">
        <w:t xml:space="preserve"> </w:t>
      </w:r>
    </w:p>
    <w:p w14:paraId="4676014D" w14:textId="1EC54843" w:rsidR="003550EF" w:rsidRDefault="003550EF" w:rsidP="001852DC">
      <w:r>
        <w:t>Registrations for t</w:t>
      </w:r>
      <w:r w:rsidRPr="2A443B5E">
        <w:t xml:space="preserve">he SA-VIC tender </w:t>
      </w:r>
      <w:r>
        <w:t>commenced</w:t>
      </w:r>
      <w:r w:rsidRPr="2A443B5E">
        <w:t xml:space="preserve"> </w:t>
      </w:r>
      <w:r w:rsidR="002356CA">
        <w:t>on 15</w:t>
      </w:r>
      <w:r w:rsidRPr="2A443B5E">
        <w:t xml:space="preserve"> December 2023</w:t>
      </w:r>
      <w:r w:rsidR="00F71EF2">
        <w:t xml:space="preserve"> and bids closed on 23</w:t>
      </w:r>
      <w:r w:rsidR="00E24F00">
        <w:t> </w:t>
      </w:r>
      <w:r w:rsidR="00F71EF2">
        <w:t>February 2024</w:t>
      </w:r>
      <w:r>
        <w:t>.</w:t>
      </w:r>
      <w:r w:rsidR="00594DEF">
        <w:rPr>
          <w:rStyle w:val="FootnoteReference"/>
        </w:rPr>
        <w:footnoteReference w:id="3"/>
      </w:r>
      <w:r>
        <w:t xml:space="preserve"> </w:t>
      </w:r>
      <w:r w:rsidRPr="2A443B5E">
        <w:t xml:space="preserve"> </w:t>
      </w:r>
      <w:r w:rsidRPr="00877ACE">
        <w:t xml:space="preserve">The </w:t>
      </w:r>
      <w:r>
        <w:t>t</w:t>
      </w:r>
      <w:r w:rsidRPr="00877ACE">
        <w:t xml:space="preserve">ender </w:t>
      </w:r>
      <w:r>
        <w:t>is seeking to secure</w:t>
      </w:r>
      <w:r w:rsidRPr="00877ACE">
        <w:t xml:space="preserve"> an indicative volume of </w:t>
      </w:r>
      <w:r w:rsidR="00610BC0">
        <w:t>600</w:t>
      </w:r>
      <w:r w:rsidRPr="00877ACE">
        <w:t xml:space="preserve"> MW of </w:t>
      </w:r>
      <w:r w:rsidR="00610BC0">
        <w:t xml:space="preserve">four-hour equivalent </w:t>
      </w:r>
      <w:r w:rsidRPr="00877ACE">
        <w:t>dispatchable capacity</w:t>
      </w:r>
      <w:r w:rsidRPr="2A443B5E">
        <w:t xml:space="preserve">. </w:t>
      </w:r>
      <w:r>
        <w:t>T</w:t>
      </w:r>
      <w:r w:rsidRPr="2A443B5E">
        <w:t>he</w:t>
      </w:r>
      <w:r w:rsidR="30531415" w:rsidRPr="2A443B5E">
        <w:t xml:space="preserve"> </w:t>
      </w:r>
      <w:r w:rsidR="30531415" w:rsidRPr="26969880">
        <w:rPr>
          <w:lang w:eastAsia="en-AU"/>
        </w:rPr>
        <w:t>Australian Government</w:t>
      </w:r>
      <w:r w:rsidRPr="2A443B5E">
        <w:t xml:space="preserve"> intends to allocate </w:t>
      </w:r>
      <w:r w:rsidR="00610BC0">
        <w:t>2</w:t>
      </w:r>
      <w:r w:rsidRPr="2A443B5E">
        <w:t xml:space="preserve">00 MW </w:t>
      </w:r>
      <w:r w:rsidR="004C437D">
        <w:t xml:space="preserve">to </w:t>
      </w:r>
      <w:r>
        <w:t xml:space="preserve">each of </w:t>
      </w:r>
      <w:r w:rsidRPr="2A443B5E">
        <w:t xml:space="preserve">South Australia, </w:t>
      </w:r>
      <w:r>
        <w:t xml:space="preserve">and </w:t>
      </w:r>
      <w:r w:rsidRPr="2A443B5E">
        <w:t xml:space="preserve">Victoria, </w:t>
      </w:r>
      <w:r w:rsidR="0026657A">
        <w:t>with</w:t>
      </w:r>
      <w:r>
        <w:t xml:space="preserve"> an</w:t>
      </w:r>
      <w:r w:rsidRPr="2A443B5E">
        <w:t xml:space="preserve"> additional </w:t>
      </w:r>
      <w:r w:rsidR="00610BC0">
        <w:t>2</w:t>
      </w:r>
      <w:r w:rsidRPr="2A443B5E">
        <w:t>00 MW</w:t>
      </w:r>
      <w:r w:rsidR="00741FB0">
        <w:t xml:space="preserve"> </w:t>
      </w:r>
      <w:r w:rsidRPr="2A443B5E">
        <w:t xml:space="preserve">to either South Australia or Victoria </w:t>
      </w:r>
      <w:r w:rsidRPr="00877ACE">
        <w:t xml:space="preserve">based on the assessed merit of </w:t>
      </w:r>
      <w:r>
        <w:t>p</w:t>
      </w:r>
      <w:r w:rsidRPr="00877ACE">
        <w:t>rojects</w:t>
      </w:r>
      <w:r w:rsidRPr="2A443B5E">
        <w:t>.</w:t>
      </w:r>
      <w:r>
        <w:rPr>
          <w:rStyle w:val="FootnoteReference"/>
        </w:rPr>
        <w:footnoteReference w:id="4"/>
      </w:r>
      <w:r w:rsidRPr="2A443B5E">
        <w:t xml:space="preserve"> </w:t>
      </w:r>
    </w:p>
    <w:p w14:paraId="05CCA6A6" w14:textId="10DDB5E0" w:rsidR="008D48C6" w:rsidRPr="0015606E" w:rsidRDefault="00071D81" w:rsidP="003550EF">
      <w:r>
        <w:t xml:space="preserve">The </w:t>
      </w:r>
      <w:hyperlink r:id="rId19">
        <w:r w:rsidRPr="4A564CDA">
          <w:rPr>
            <w:rStyle w:val="Hyperlink"/>
          </w:rPr>
          <w:t>Draft Capacity Investment Scheme Agreement</w:t>
        </w:r>
      </w:hyperlink>
      <w:r w:rsidR="004C58C2">
        <w:t xml:space="preserve">, including the draft </w:t>
      </w:r>
      <w:hyperlink r:id="rId20">
        <w:r w:rsidR="004C58C2" w:rsidRPr="4A564CDA">
          <w:rPr>
            <w:rStyle w:val="Hyperlink"/>
          </w:rPr>
          <w:t xml:space="preserve">Tripartite Deed </w:t>
        </w:r>
      </w:hyperlink>
      <w:r w:rsidR="003D3518">
        <w:t xml:space="preserve">were published </w:t>
      </w:r>
      <w:r w:rsidR="0091519F">
        <w:t>with the tender</w:t>
      </w:r>
      <w:r w:rsidR="00202AA4">
        <w:t xml:space="preserve"> opening</w:t>
      </w:r>
      <w:r w:rsidR="00AC647C">
        <w:t xml:space="preserve">. The final </w:t>
      </w:r>
      <w:r w:rsidR="009E6B31">
        <w:t>project documents</w:t>
      </w:r>
      <w:r w:rsidR="00202AA4">
        <w:t xml:space="preserve"> will</w:t>
      </w:r>
      <w:r w:rsidR="00F62BDA">
        <w:t xml:space="preserve"> be published prior to the </w:t>
      </w:r>
      <w:r w:rsidR="00771707">
        <w:t xml:space="preserve">tender </w:t>
      </w:r>
      <w:r w:rsidR="00F62BDA">
        <w:t>stage</w:t>
      </w:r>
      <w:r w:rsidR="009E47EA">
        <w:t xml:space="preserve"> B opening</w:t>
      </w:r>
      <w:r w:rsidR="00C82E78">
        <w:t>.</w:t>
      </w:r>
    </w:p>
    <w:p w14:paraId="381CCE86" w14:textId="777EC96B" w:rsidR="003550EF" w:rsidRPr="0015606E" w:rsidRDefault="003550EF" w:rsidP="001852DC">
      <w:pPr>
        <w:rPr>
          <w:lang w:val="en-GB" w:eastAsia="en-AU"/>
        </w:rPr>
      </w:pPr>
      <w:r w:rsidRPr="2A443B5E">
        <w:t xml:space="preserve">AEMO Limited and its subsidiary </w:t>
      </w:r>
      <w:r w:rsidR="57471738">
        <w:t>AEMO Services Limited (</w:t>
      </w:r>
      <w:r>
        <w:t>ASL</w:t>
      </w:r>
      <w:r w:rsidR="21CC8609">
        <w:t xml:space="preserve">) </w:t>
      </w:r>
      <w:r w:rsidRPr="2A443B5E">
        <w:t>are currently administering the tender on behalf of the</w:t>
      </w:r>
      <w:r w:rsidR="163A8EDA">
        <w:t xml:space="preserve"> </w:t>
      </w:r>
      <w:r w:rsidR="163A8EDA" w:rsidRPr="26969880">
        <w:rPr>
          <w:lang w:eastAsia="en-AU"/>
        </w:rPr>
        <w:t>Australian Government</w:t>
      </w:r>
      <w:r>
        <w:t>.</w:t>
      </w:r>
      <w:r w:rsidR="001C5CD8">
        <w:t xml:space="preserve"> </w:t>
      </w:r>
    </w:p>
    <w:p w14:paraId="442BC591" w14:textId="77777777" w:rsidR="003550EF" w:rsidRPr="005E3DE2" w:rsidRDefault="003550EF" w:rsidP="003550EF">
      <w:pPr>
        <w:pStyle w:val="Heading4"/>
      </w:pPr>
      <w:bookmarkStart w:id="27" w:name="_Toc158650994"/>
      <w:bookmarkStart w:id="28" w:name="_Ref159485380"/>
      <w:r w:rsidRPr="2A443B5E">
        <w:t xml:space="preserve">Expanded CIS </w:t>
      </w:r>
      <w:proofErr w:type="gramStart"/>
      <w:r w:rsidRPr="2A443B5E">
        <w:t>program</w:t>
      </w:r>
      <w:bookmarkEnd w:id="27"/>
      <w:bookmarkEnd w:id="28"/>
      <w:proofErr w:type="gramEnd"/>
      <w:r w:rsidRPr="2A443B5E">
        <w:t xml:space="preserve"> </w:t>
      </w:r>
    </w:p>
    <w:p w14:paraId="5E47322D" w14:textId="0867E599" w:rsidR="003550EF" w:rsidRDefault="003550EF" w:rsidP="001852DC">
      <w:r>
        <w:t>On 23</w:t>
      </w:r>
      <w:r w:rsidRPr="003274A2">
        <w:t xml:space="preserve"> November 2023, the </w:t>
      </w:r>
      <w:r>
        <w:t>Australian Government</w:t>
      </w:r>
      <w:r w:rsidRPr="003274A2">
        <w:t xml:space="preserve"> announced the expansion of the CIS target from the previously committed 6 GW of clean dispatchable capacity</w:t>
      </w:r>
      <w:r w:rsidR="006A46BD">
        <w:rPr>
          <w:rStyle w:val="FootnoteReference"/>
        </w:rPr>
        <w:footnoteReference w:id="5"/>
      </w:r>
      <w:r w:rsidRPr="003274A2">
        <w:t xml:space="preserve"> to a total of 32 GW of both </w:t>
      </w:r>
      <w:r w:rsidR="00F80D29">
        <w:t>clean</w:t>
      </w:r>
      <w:r w:rsidR="00D01396">
        <w:t xml:space="preserve"> </w:t>
      </w:r>
      <w:r w:rsidRPr="003274A2">
        <w:t>dispatchable and renewable</w:t>
      </w:r>
      <w:r w:rsidR="0071219F">
        <w:t xml:space="preserve"> capacity</w:t>
      </w:r>
      <w:r w:rsidRPr="003274A2">
        <w:t xml:space="preserve"> to be delivered nationally by 2030. This expansion will also support the </w:t>
      </w:r>
      <w:r w:rsidR="7D324A6E" w:rsidRPr="36848425">
        <w:rPr>
          <w:lang w:eastAsia="en-AU"/>
        </w:rPr>
        <w:t>Australian Government’s</w:t>
      </w:r>
      <w:r w:rsidRPr="003274A2">
        <w:t xml:space="preserve"> target of 82% renewable electricity by 2030.</w:t>
      </w:r>
    </w:p>
    <w:p w14:paraId="405B5D09" w14:textId="71602351" w:rsidR="003550EF" w:rsidRPr="003274A2" w:rsidRDefault="003550EF" w:rsidP="003550EF">
      <w:pPr>
        <w:rPr>
          <w:rFonts w:cstheme="majorHAnsi"/>
        </w:rPr>
      </w:pPr>
      <w:r w:rsidRPr="003274A2">
        <w:rPr>
          <w:rFonts w:cstheme="majorHAnsi"/>
        </w:rPr>
        <w:t>The expanded total of 32 GW capacity is expected to comprise:</w:t>
      </w:r>
    </w:p>
    <w:p w14:paraId="0C0D0999" w14:textId="68CCA3A8" w:rsidR="003550EF" w:rsidRPr="003274A2" w:rsidRDefault="003550EF" w:rsidP="003550EF">
      <w:pPr>
        <w:pStyle w:val="ListBullet"/>
      </w:pPr>
      <w:r w:rsidRPr="003274A2">
        <w:t xml:space="preserve">23 GW of </w:t>
      </w:r>
      <w:r>
        <w:t>renewable</w:t>
      </w:r>
      <w:r w:rsidR="00002936">
        <w:t xml:space="preserve"> capacity</w:t>
      </w:r>
      <w:r>
        <w:t xml:space="preserve"> </w:t>
      </w:r>
      <w:r w:rsidRPr="003274A2">
        <w:t>representing $52 billion in investment.</w:t>
      </w:r>
    </w:p>
    <w:p w14:paraId="6B35F890" w14:textId="29C0BD09" w:rsidR="003550EF" w:rsidRPr="003274A2" w:rsidRDefault="003550EF" w:rsidP="003550EF">
      <w:pPr>
        <w:pStyle w:val="ListBullet"/>
        <w:rPr>
          <w:rFonts w:cstheme="majorBidi"/>
        </w:rPr>
      </w:pPr>
      <w:r w:rsidRPr="003274A2">
        <w:rPr>
          <w:rFonts w:cstheme="majorBidi"/>
        </w:rPr>
        <w:t xml:space="preserve">9 GW of clean dispatchable capacity (3 GW in addition to the 6 GW previously </w:t>
      </w:r>
      <w:r w:rsidR="000C03FF">
        <w:rPr>
          <w:rFonts w:cstheme="majorBidi"/>
        </w:rPr>
        <w:t>announced</w:t>
      </w:r>
      <w:r w:rsidRPr="003274A2">
        <w:rPr>
          <w:rFonts w:cstheme="majorBidi"/>
        </w:rPr>
        <w:t xml:space="preserve">) representing $15 billion in investment. </w:t>
      </w:r>
    </w:p>
    <w:p w14:paraId="108D9F2E" w14:textId="17586083" w:rsidR="003550EF" w:rsidRDefault="003550EF" w:rsidP="003550EF">
      <w:pPr>
        <w:rPr>
          <w:lang w:val="en-GB" w:eastAsia="en-AU"/>
        </w:rPr>
      </w:pPr>
      <w:r>
        <w:rPr>
          <w:lang w:val="en-GB" w:eastAsia="en-AU"/>
        </w:rPr>
        <w:lastRenderedPageBreak/>
        <w:t xml:space="preserve">Combined, the NSW </w:t>
      </w:r>
      <w:r w:rsidR="00C915EF">
        <w:rPr>
          <w:lang w:val="en-GB" w:eastAsia="en-AU"/>
        </w:rPr>
        <w:t xml:space="preserve">Tender Round 2 – </w:t>
      </w:r>
      <w:r w:rsidR="00E71FA7">
        <w:rPr>
          <w:lang w:val="en-GB" w:eastAsia="en-AU"/>
        </w:rPr>
        <w:t>Firming</w:t>
      </w:r>
      <w:r w:rsidR="00C915EF">
        <w:rPr>
          <w:lang w:val="en-GB" w:eastAsia="en-AU"/>
        </w:rPr>
        <w:t xml:space="preserve"> Infrastructure</w:t>
      </w:r>
      <w:r>
        <w:rPr>
          <w:lang w:val="en-GB" w:eastAsia="en-AU"/>
        </w:rPr>
        <w:t xml:space="preserve"> and CIS SA-VIC tenders are expected to account for 1.1 GW of the total 9</w:t>
      </w:r>
      <w:r w:rsidR="00360581">
        <w:rPr>
          <w:lang w:val="en-GB" w:eastAsia="en-AU"/>
        </w:rPr>
        <w:t xml:space="preserve"> </w:t>
      </w:r>
      <w:r>
        <w:rPr>
          <w:lang w:val="en-GB" w:eastAsia="en-AU"/>
        </w:rPr>
        <w:t xml:space="preserve">GW target for clean dispatchable capacity. The remaining 7.9 GW is planned to be tendered in </w:t>
      </w:r>
      <w:r w:rsidR="00B2495D">
        <w:rPr>
          <w:lang w:val="en-GB" w:eastAsia="en-AU"/>
        </w:rPr>
        <w:t>the expanded</w:t>
      </w:r>
      <w:r>
        <w:rPr>
          <w:lang w:val="en-GB" w:eastAsia="en-AU"/>
        </w:rPr>
        <w:t xml:space="preserve"> CIS </w:t>
      </w:r>
      <w:r w:rsidR="00B2495D">
        <w:rPr>
          <w:lang w:val="en-GB" w:eastAsia="en-AU"/>
        </w:rPr>
        <w:t>program</w:t>
      </w:r>
      <w:r>
        <w:rPr>
          <w:lang w:val="en-GB" w:eastAsia="en-AU"/>
        </w:rPr>
        <w:t>, along with 23 GW for renewable</w:t>
      </w:r>
      <w:r w:rsidR="00D5340F">
        <w:rPr>
          <w:lang w:val="en-GB" w:eastAsia="en-AU"/>
        </w:rPr>
        <w:t xml:space="preserve"> capacity</w:t>
      </w:r>
      <w:r>
        <w:rPr>
          <w:lang w:val="en-GB" w:eastAsia="en-AU"/>
        </w:rPr>
        <w:t>.</w:t>
      </w:r>
    </w:p>
    <w:p w14:paraId="6218872A" w14:textId="64A6D192" w:rsidR="00A44C7B" w:rsidRPr="00CC40BA" w:rsidRDefault="00A44C7B" w:rsidP="00E31955">
      <w:pPr>
        <w:pStyle w:val="ListBullet"/>
        <w:numPr>
          <w:ilvl w:val="0"/>
          <w:numId w:val="0"/>
        </w:numPr>
        <w:ind w:firstLine="1"/>
      </w:pPr>
      <w:r w:rsidRPr="00A44C7B">
        <w:rPr>
          <w:bCs w:val="0"/>
        </w:rPr>
        <w:t xml:space="preserve">For Clean Dispatchable CISA tenders, </w:t>
      </w:r>
      <w:r w:rsidR="0058359E">
        <w:rPr>
          <w:bCs w:val="0"/>
        </w:rPr>
        <w:t>all</w:t>
      </w:r>
      <w:r w:rsidRPr="00A44C7B">
        <w:rPr>
          <w:bCs w:val="0"/>
        </w:rPr>
        <w:t xml:space="preserve"> projects </w:t>
      </w:r>
      <w:r w:rsidR="0058359E">
        <w:rPr>
          <w:bCs w:val="0"/>
        </w:rPr>
        <w:t xml:space="preserve">that </w:t>
      </w:r>
      <w:r w:rsidR="00234A6F">
        <w:rPr>
          <w:bCs w:val="0"/>
        </w:rPr>
        <w:t xml:space="preserve">did </w:t>
      </w:r>
      <w:r w:rsidRPr="00A44C7B">
        <w:rPr>
          <w:bCs w:val="0"/>
        </w:rPr>
        <w:t>not reach committed status before the scheme’s dispatchable announcement on 8 December 2022</w:t>
      </w:r>
      <w:r w:rsidR="0058359E">
        <w:rPr>
          <w:bCs w:val="0"/>
        </w:rPr>
        <w:t xml:space="preserve"> will be eligible</w:t>
      </w:r>
      <w:r w:rsidR="00352A8E">
        <w:rPr>
          <w:bCs w:val="0"/>
        </w:rPr>
        <w:t xml:space="preserve"> for consideration</w:t>
      </w:r>
      <w:r w:rsidR="0058359E">
        <w:rPr>
          <w:bCs w:val="0"/>
        </w:rPr>
        <w:t>.</w:t>
      </w:r>
      <w:r w:rsidR="00CC40BA">
        <w:rPr>
          <w:bCs w:val="0"/>
        </w:rPr>
        <w:t xml:space="preserve"> </w:t>
      </w:r>
      <w:r w:rsidRPr="00D02C68">
        <w:t xml:space="preserve">For </w:t>
      </w:r>
      <w:r>
        <w:t>Generation CISA</w:t>
      </w:r>
      <w:r w:rsidRPr="00D02C68">
        <w:t xml:space="preserve"> tenders, </w:t>
      </w:r>
      <w:r w:rsidR="0058359E">
        <w:t>all</w:t>
      </w:r>
      <w:r w:rsidRPr="00D02C68">
        <w:t xml:space="preserve"> projects </w:t>
      </w:r>
      <w:r w:rsidR="0058359E">
        <w:t xml:space="preserve">that </w:t>
      </w:r>
      <w:r w:rsidR="004329B0">
        <w:t xml:space="preserve">did </w:t>
      </w:r>
      <w:r w:rsidRPr="00D02C68">
        <w:t xml:space="preserve">not reach committed status </w:t>
      </w:r>
      <w:r>
        <w:t>before</w:t>
      </w:r>
      <w:r w:rsidRPr="00D02C68">
        <w:t xml:space="preserve"> the CIS expansion announcement on 23 November 2023</w:t>
      </w:r>
      <w:r w:rsidR="0058359E">
        <w:t xml:space="preserve"> will be eligible</w:t>
      </w:r>
      <w:r w:rsidR="00352A8E">
        <w:t xml:space="preserve"> for consideration</w:t>
      </w:r>
      <w:r w:rsidRPr="00D02C68">
        <w:t>.</w:t>
      </w:r>
      <w:r w:rsidR="00CC40BA">
        <w:t xml:space="preserve"> Further detail on eligibility is in section</w:t>
      </w:r>
      <w:r w:rsidR="00FF4A4B">
        <w:t xml:space="preserve"> </w:t>
      </w:r>
      <w:r w:rsidR="00FF4A4B">
        <w:fldChar w:fldCharType="begin"/>
      </w:r>
      <w:r w:rsidR="00FF4A4B">
        <w:instrText xml:space="preserve"> REF _Ref160115174 \r \h </w:instrText>
      </w:r>
      <w:r w:rsidR="00FF4A4B">
        <w:fldChar w:fldCharType="separate"/>
      </w:r>
      <w:r w:rsidR="00590988">
        <w:t>4.3</w:t>
      </w:r>
      <w:r w:rsidR="00FF4A4B">
        <w:fldChar w:fldCharType="end"/>
      </w:r>
      <w:r w:rsidR="00CC40BA">
        <w:t>.</w:t>
      </w:r>
    </w:p>
    <w:p w14:paraId="42288F15" w14:textId="6CD0DD51" w:rsidR="00732A5B" w:rsidRDefault="0034703D" w:rsidP="00F46775">
      <w:pPr>
        <w:pStyle w:val="Subtitle"/>
      </w:pPr>
      <w:r>
        <w:t xml:space="preserve">Have your </w:t>
      </w:r>
      <w:proofErr w:type="gramStart"/>
      <w:r>
        <w:t>say</w:t>
      </w:r>
      <w:proofErr w:type="gramEnd"/>
    </w:p>
    <w:p w14:paraId="3D6819B1" w14:textId="6E5CEE46" w:rsidR="007A284C" w:rsidRPr="001D7899" w:rsidRDefault="5D028FBD" w:rsidP="00945F14">
      <w:pPr>
        <w:rPr>
          <w:lang w:val="en-GB" w:eastAsia="en-AU"/>
        </w:rPr>
      </w:pPr>
      <w:bookmarkStart w:id="29" w:name="_Hlk159226322"/>
      <w:r>
        <w:t>DCCEEW</w:t>
      </w:r>
      <w:r w:rsidR="007A284C" w:rsidRPr="005E5BC2">
        <w:t xml:space="preserve"> seeks targeted feedback from stakeholders on </w:t>
      </w:r>
      <w:r w:rsidR="007A284C">
        <w:t xml:space="preserve">key elements </w:t>
      </w:r>
      <w:r w:rsidR="007A284C" w:rsidRPr="005E5BC2">
        <w:t xml:space="preserve">in </w:t>
      </w:r>
      <w:r w:rsidR="007A284C">
        <w:t>this</w:t>
      </w:r>
      <w:r w:rsidR="007A284C" w:rsidRPr="005E5BC2">
        <w:t xml:space="preserve"> </w:t>
      </w:r>
      <w:r w:rsidR="007A284C" w:rsidRPr="001D7899">
        <w:t xml:space="preserve">paper. </w:t>
      </w:r>
      <w:bookmarkEnd w:id="29"/>
      <w:r w:rsidR="007A284C" w:rsidRPr="001852DC">
        <w:t xml:space="preserve">Please submit your feedback </w:t>
      </w:r>
      <w:r w:rsidR="007A284C" w:rsidRPr="001852DC">
        <w:rPr>
          <w:lang w:val="en-GB" w:eastAsia="en-AU"/>
        </w:rPr>
        <w:t xml:space="preserve">through the Consultation </w:t>
      </w:r>
      <w:r w:rsidR="6E286AFB" w:rsidRPr="001852DC">
        <w:rPr>
          <w:lang w:val="en-GB" w:eastAsia="en-AU"/>
        </w:rPr>
        <w:t>H</w:t>
      </w:r>
      <w:r w:rsidR="007A284C" w:rsidRPr="001852DC">
        <w:rPr>
          <w:lang w:val="en-GB" w:eastAsia="en-AU"/>
        </w:rPr>
        <w:t>ub (</w:t>
      </w:r>
      <w:hyperlink r:id="rId21">
        <w:r w:rsidR="007A284C" w:rsidRPr="001852DC">
          <w:rPr>
            <w:rStyle w:val="Hyperlink"/>
          </w:rPr>
          <w:t>Have Your Say</w:t>
        </w:r>
      </w:hyperlink>
      <w:r w:rsidR="007A284C" w:rsidRPr="001852DC">
        <w:rPr>
          <w:lang w:val="en-GB" w:eastAsia="en-AU"/>
        </w:rPr>
        <w:t xml:space="preserve">) by 5:00pm AEST </w:t>
      </w:r>
      <w:r w:rsidR="004C3F6E" w:rsidRPr="001852DC">
        <w:rPr>
          <w:lang w:val="en-GB" w:eastAsia="en-AU"/>
        </w:rPr>
        <w:t>2</w:t>
      </w:r>
      <w:r w:rsidR="007D42E3" w:rsidRPr="001852DC">
        <w:rPr>
          <w:lang w:val="en-GB" w:eastAsia="en-AU"/>
        </w:rPr>
        <w:t>5</w:t>
      </w:r>
      <w:r w:rsidR="004C3F6E" w:rsidRPr="001852DC">
        <w:rPr>
          <w:lang w:val="en-GB" w:eastAsia="en-AU"/>
        </w:rPr>
        <w:t> </w:t>
      </w:r>
      <w:r w:rsidR="007A284C" w:rsidRPr="001852DC">
        <w:rPr>
          <w:lang w:val="en-GB" w:eastAsia="en-AU"/>
        </w:rPr>
        <w:t>March 2024.</w:t>
      </w:r>
      <w:r w:rsidR="007A284C" w:rsidRPr="001D7899">
        <w:rPr>
          <w:lang w:val="en-GB" w:eastAsia="en-AU"/>
        </w:rPr>
        <w:t xml:space="preserve"> </w:t>
      </w:r>
    </w:p>
    <w:p w14:paraId="5DAE6EB2" w14:textId="73675829" w:rsidR="007A284C" w:rsidRDefault="007A284C" w:rsidP="00945F14">
      <w:pPr>
        <w:rPr>
          <w:rFonts w:cstheme="majorBidi"/>
          <w:lang w:val="en-GB" w:eastAsia="en-AU"/>
        </w:rPr>
      </w:pPr>
      <w:r w:rsidRPr="001D7899">
        <w:rPr>
          <w:rFonts w:cstheme="majorBidi"/>
          <w:lang w:val="en-GB" w:eastAsia="en-AU"/>
        </w:rPr>
        <w:t xml:space="preserve">The </w:t>
      </w:r>
      <w:r w:rsidR="3C9160D2" w:rsidRPr="001D7899">
        <w:rPr>
          <w:rFonts w:cstheme="majorBidi"/>
          <w:lang w:val="en-GB" w:eastAsia="en-AU"/>
        </w:rPr>
        <w:t>d</w:t>
      </w:r>
      <w:r w:rsidRPr="001D7899">
        <w:rPr>
          <w:rFonts w:cstheme="majorBidi"/>
          <w:lang w:val="en-GB" w:eastAsia="en-AU"/>
        </w:rPr>
        <w:t xml:space="preserve">epartment will also conduct a series of on-line stakeholder forums </w:t>
      </w:r>
      <w:r w:rsidRPr="001852DC">
        <w:rPr>
          <w:rFonts w:cstheme="majorBidi"/>
          <w:lang w:val="en-GB" w:eastAsia="en-AU"/>
        </w:rPr>
        <w:t>in March</w:t>
      </w:r>
      <w:r w:rsidR="004329B0" w:rsidRPr="001D7899">
        <w:rPr>
          <w:rFonts w:cstheme="majorBidi"/>
          <w:lang w:val="en-GB" w:eastAsia="en-AU"/>
        </w:rPr>
        <w:t xml:space="preserve"> 2024</w:t>
      </w:r>
      <w:r w:rsidRPr="61F14824">
        <w:rPr>
          <w:rFonts w:cstheme="majorBidi"/>
          <w:lang w:val="en-GB" w:eastAsia="en-AU"/>
        </w:rPr>
        <w:t xml:space="preserve">. Details of these forums and consultation materials, including this paper, future papers, and any public responses to stakeholder questions, will be posted on the </w:t>
      </w:r>
      <w:r w:rsidR="13FE338D" w:rsidRPr="16B82BE2">
        <w:rPr>
          <w:rFonts w:cstheme="majorBidi"/>
          <w:lang w:val="en-GB" w:eastAsia="en-AU"/>
        </w:rPr>
        <w:t>d</w:t>
      </w:r>
      <w:r w:rsidRPr="61F14824">
        <w:rPr>
          <w:rFonts w:cstheme="majorBidi"/>
          <w:lang w:val="en-GB" w:eastAsia="en-AU"/>
        </w:rPr>
        <w:t xml:space="preserve">epartment’s Consultation </w:t>
      </w:r>
      <w:r w:rsidR="3D0C43BC" w:rsidRPr="1191E2F8">
        <w:rPr>
          <w:rFonts w:cstheme="majorBidi"/>
          <w:lang w:val="en-GB" w:eastAsia="en-AU"/>
        </w:rPr>
        <w:t>H</w:t>
      </w:r>
      <w:r w:rsidRPr="61F14824">
        <w:rPr>
          <w:rFonts w:cstheme="majorBidi"/>
          <w:lang w:val="en-GB" w:eastAsia="en-AU"/>
        </w:rPr>
        <w:t>ub (</w:t>
      </w:r>
      <w:hyperlink r:id="rId22">
        <w:r w:rsidRPr="5A0793BD">
          <w:rPr>
            <w:rStyle w:val="Hyperlink"/>
          </w:rPr>
          <w:t>Have Your Say</w:t>
        </w:r>
      </w:hyperlink>
      <w:r w:rsidRPr="61F14824">
        <w:rPr>
          <w:rFonts w:cstheme="majorBidi"/>
          <w:lang w:val="en-GB" w:eastAsia="en-AU"/>
        </w:rPr>
        <w:t>) and Capacity Investment Scheme webpage (</w:t>
      </w:r>
      <w:hyperlink r:id="rId23" w:anchor=":~:text=The%20CIS%20involves%20the%20Australian,ageing%20coal%20power%20stations%20exit">
        <w:r w:rsidRPr="5A0793BD">
          <w:rPr>
            <w:rStyle w:val="Hyperlink"/>
          </w:rPr>
          <w:t>Capacity Investment Scheme | energy.gov.au</w:t>
        </w:r>
      </w:hyperlink>
      <w:r w:rsidRPr="5A0793BD">
        <w:rPr>
          <w:rFonts w:cstheme="majorBidi"/>
          <w:lang w:val="en-GB" w:eastAsia="en-AU"/>
        </w:rPr>
        <w:t>).</w:t>
      </w:r>
      <w:r>
        <w:rPr>
          <w:rFonts w:cstheme="majorBidi"/>
          <w:lang w:val="en-GB" w:eastAsia="en-AU"/>
        </w:rPr>
        <w:t xml:space="preserve"> Stakeholders can also subscribe to receive updates and news related to the CIS directly from </w:t>
      </w:r>
      <w:r w:rsidR="00877ACE">
        <w:rPr>
          <w:rFonts w:cstheme="majorBidi"/>
          <w:lang w:val="en-GB" w:eastAsia="en-AU"/>
        </w:rPr>
        <w:t xml:space="preserve">the </w:t>
      </w:r>
      <w:r>
        <w:rPr>
          <w:rFonts w:cstheme="majorBidi"/>
          <w:lang w:val="en-GB" w:eastAsia="en-AU"/>
        </w:rPr>
        <w:t>CIS webpage (</w:t>
      </w:r>
      <w:hyperlink r:id="rId24">
        <w:r w:rsidRPr="5A0793BD">
          <w:rPr>
            <w:rStyle w:val="Hyperlink"/>
          </w:rPr>
          <w:t>Subscribe to Capacity Investment Scheme updates</w:t>
        </w:r>
      </w:hyperlink>
      <w:r w:rsidRPr="5A0793BD">
        <w:rPr>
          <w:rFonts w:cstheme="majorBidi"/>
          <w:lang w:val="en-GB" w:eastAsia="en-AU"/>
        </w:rPr>
        <w:t>).</w:t>
      </w:r>
    </w:p>
    <w:p w14:paraId="5AD580C1" w14:textId="77777777" w:rsidR="00AD0B33" w:rsidRDefault="00AD0B33" w:rsidP="00994BBE">
      <w:bookmarkStart w:id="30" w:name="_Toc158650995"/>
      <w:r>
        <w:br w:type="page"/>
      </w:r>
    </w:p>
    <w:p w14:paraId="24A7BC6F" w14:textId="3C7E3165" w:rsidR="00924444" w:rsidRDefault="0052019A" w:rsidP="00877ACE">
      <w:pPr>
        <w:pStyle w:val="Heading2"/>
      </w:pPr>
      <w:bookmarkStart w:id="31" w:name="_Toc160117889"/>
      <w:bookmarkEnd w:id="30"/>
      <w:r>
        <w:lastRenderedPageBreak/>
        <w:t>CIS i</w:t>
      </w:r>
      <w:r w:rsidR="00924444">
        <w:t>mplementation</w:t>
      </w:r>
      <w:r w:rsidR="00072949">
        <w:t xml:space="preserve"> design</w:t>
      </w:r>
      <w:bookmarkEnd w:id="31"/>
    </w:p>
    <w:p w14:paraId="71188EA5" w14:textId="70C346A4" w:rsidR="00714AD4" w:rsidRPr="00E131E9" w:rsidRDefault="00924444" w:rsidP="6F934402">
      <w:pPr>
        <w:keepNext/>
        <w:keepLines/>
      </w:pPr>
      <w:r w:rsidRPr="00945DAD">
        <w:t xml:space="preserve">This section provides information on the planned approach </w:t>
      </w:r>
      <w:r>
        <w:t>for</w:t>
      </w:r>
      <w:r w:rsidRPr="00945DAD">
        <w:t xml:space="preserve"> implementing the CIS across all </w:t>
      </w:r>
      <w:bookmarkStart w:id="32" w:name="_Int_ewT7uISS"/>
      <w:r w:rsidRPr="00945DAD">
        <w:t>jurisdictions</w:t>
      </w:r>
      <w:bookmarkEnd w:id="32"/>
      <w:r>
        <w:t xml:space="preserve"> and </w:t>
      </w:r>
      <w:r w:rsidRPr="00945DAD">
        <w:t>a</w:t>
      </w:r>
      <w:r>
        <w:t xml:space="preserve"> provisional</w:t>
      </w:r>
      <w:r w:rsidRPr="00945DAD">
        <w:t xml:space="preserve"> schedule for</w:t>
      </w:r>
      <w:r>
        <w:t xml:space="preserve"> upcoming </w:t>
      </w:r>
      <w:r w:rsidRPr="00945DAD">
        <w:t xml:space="preserve">national CIS tenders, </w:t>
      </w:r>
      <w:r>
        <w:t xml:space="preserve">with indicative </w:t>
      </w:r>
      <w:r w:rsidRPr="00945DAD">
        <w:t xml:space="preserve">volumes. </w:t>
      </w:r>
      <w:bookmarkStart w:id="33" w:name="_Toc158650996"/>
    </w:p>
    <w:bookmarkEnd w:id="33"/>
    <w:p w14:paraId="69D375CD" w14:textId="77777777" w:rsidR="00F46775" w:rsidRPr="00F46775" w:rsidRDefault="00F46775" w:rsidP="00F46775">
      <w:pPr>
        <w:pStyle w:val="ListParagraph"/>
        <w:keepNext/>
        <w:keepLines/>
        <w:numPr>
          <w:ilvl w:val="0"/>
          <w:numId w:val="13"/>
        </w:numPr>
        <w:outlineLvl w:val="2"/>
        <w:rPr>
          <w:rFonts w:eastAsia="Times New Roman" w:cs="Times New Roman"/>
          <w:b/>
          <w:bCs/>
          <w:vanish/>
          <w:sz w:val="36"/>
          <w:szCs w:val="24"/>
        </w:rPr>
      </w:pPr>
    </w:p>
    <w:p w14:paraId="769B1533" w14:textId="77777777" w:rsidR="00F46775" w:rsidRPr="00F46775" w:rsidRDefault="00F46775" w:rsidP="00F46775">
      <w:pPr>
        <w:pStyle w:val="ListParagraph"/>
        <w:keepNext/>
        <w:keepLines/>
        <w:numPr>
          <w:ilvl w:val="0"/>
          <w:numId w:val="13"/>
        </w:numPr>
        <w:outlineLvl w:val="2"/>
        <w:rPr>
          <w:rFonts w:eastAsia="Times New Roman" w:cs="Times New Roman"/>
          <w:b/>
          <w:bCs/>
          <w:vanish/>
          <w:sz w:val="36"/>
          <w:szCs w:val="24"/>
        </w:rPr>
      </w:pPr>
    </w:p>
    <w:p w14:paraId="0B2845A3" w14:textId="705B38B3" w:rsidR="00D15068" w:rsidRDefault="000E3584" w:rsidP="00F46775">
      <w:pPr>
        <w:pStyle w:val="Heading3"/>
        <w:numPr>
          <w:ilvl w:val="1"/>
          <w:numId w:val="13"/>
        </w:numPr>
      </w:pPr>
      <w:bookmarkStart w:id="34" w:name="_Toc160117890"/>
      <w:r>
        <w:t>D</w:t>
      </w:r>
      <w:r w:rsidR="00D15068">
        <w:t>esign principles</w:t>
      </w:r>
      <w:bookmarkEnd w:id="34"/>
      <w:r w:rsidR="00D15068">
        <w:t xml:space="preserve"> </w:t>
      </w:r>
    </w:p>
    <w:p w14:paraId="58595C86" w14:textId="03868111" w:rsidR="00877ACE" w:rsidRDefault="00924444" w:rsidP="00005556">
      <w:pPr>
        <w:spacing w:before="240"/>
        <w:rPr>
          <w:lang w:val="en-GB" w:eastAsia="en-AU"/>
        </w:rPr>
      </w:pPr>
      <w:r w:rsidRPr="7AE46FF4">
        <w:rPr>
          <w:lang w:val="en-GB" w:eastAsia="en-AU"/>
        </w:rPr>
        <w:t xml:space="preserve">The CIS </w:t>
      </w:r>
      <w:r w:rsidR="00877ACE">
        <w:rPr>
          <w:lang w:val="en-GB" w:eastAsia="en-AU"/>
        </w:rPr>
        <w:t xml:space="preserve">provides a national framework </w:t>
      </w:r>
      <w:r w:rsidR="00237DFD">
        <w:rPr>
          <w:lang w:val="en-GB" w:eastAsia="en-AU"/>
        </w:rPr>
        <w:t xml:space="preserve">to </w:t>
      </w:r>
      <w:r w:rsidR="0017026D">
        <w:rPr>
          <w:lang w:val="en-GB" w:eastAsia="en-AU"/>
        </w:rPr>
        <w:t xml:space="preserve">support </w:t>
      </w:r>
      <w:r w:rsidR="00D50FC4">
        <w:rPr>
          <w:lang w:val="en-GB" w:eastAsia="en-AU"/>
        </w:rPr>
        <w:t xml:space="preserve">the </w:t>
      </w:r>
      <w:r w:rsidR="001966FC">
        <w:rPr>
          <w:lang w:val="en-GB" w:eastAsia="en-AU"/>
        </w:rPr>
        <w:t xml:space="preserve">rollout of </w:t>
      </w:r>
      <w:r w:rsidR="000A6208">
        <w:rPr>
          <w:lang w:val="en-GB" w:eastAsia="en-AU"/>
        </w:rPr>
        <w:t>renewable</w:t>
      </w:r>
      <w:r w:rsidR="00397D93">
        <w:rPr>
          <w:lang w:val="en-GB" w:eastAsia="en-AU"/>
        </w:rPr>
        <w:t xml:space="preserve"> capacity</w:t>
      </w:r>
      <w:r w:rsidR="000A6208">
        <w:rPr>
          <w:lang w:val="en-GB" w:eastAsia="en-AU"/>
        </w:rPr>
        <w:t xml:space="preserve"> </w:t>
      </w:r>
      <w:r w:rsidR="00877ACE" w:rsidRPr="00877ACE">
        <w:rPr>
          <w:lang w:val="en-GB" w:eastAsia="en-AU"/>
        </w:rPr>
        <w:t xml:space="preserve">and clean dispatchable capacity across </w:t>
      </w:r>
      <w:bookmarkStart w:id="35" w:name="_Int_b3YbgX0n"/>
      <w:r w:rsidR="00877ACE" w:rsidRPr="00877ACE">
        <w:rPr>
          <w:lang w:val="en-GB" w:eastAsia="en-AU"/>
        </w:rPr>
        <w:t>jurisdictions</w:t>
      </w:r>
      <w:bookmarkEnd w:id="35"/>
      <w:r w:rsidR="009A6B09">
        <w:rPr>
          <w:lang w:val="en-GB" w:eastAsia="en-AU"/>
        </w:rPr>
        <w:t xml:space="preserve">. To support the achievement of the CIS policy objectives, </w:t>
      </w:r>
      <w:r w:rsidR="00005556">
        <w:rPr>
          <w:lang w:val="en-GB" w:eastAsia="en-AU"/>
        </w:rPr>
        <w:fldChar w:fldCharType="begin"/>
      </w:r>
      <w:r w:rsidR="00005556">
        <w:rPr>
          <w:lang w:val="en-GB" w:eastAsia="en-AU"/>
        </w:rPr>
        <w:instrText xml:space="preserve"> REF _Ref159408416 \h </w:instrText>
      </w:r>
      <w:r w:rsidR="00005556">
        <w:rPr>
          <w:lang w:val="en-GB" w:eastAsia="en-AU"/>
        </w:rPr>
      </w:r>
      <w:r w:rsidR="00005556">
        <w:rPr>
          <w:lang w:val="en-GB" w:eastAsia="en-AU"/>
        </w:rPr>
        <w:fldChar w:fldCharType="separate"/>
      </w:r>
      <w:r w:rsidR="00590988">
        <w:t xml:space="preserve">Table </w:t>
      </w:r>
      <w:r w:rsidR="00590988">
        <w:rPr>
          <w:noProof/>
        </w:rPr>
        <w:t>1</w:t>
      </w:r>
      <w:r w:rsidR="00005556">
        <w:rPr>
          <w:lang w:val="en-GB" w:eastAsia="en-AU"/>
        </w:rPr>
        <w:fldChar w:fldCharType="end"/>
      </w:r>
      <w:r w:rsidR="00005556">
        <w:rPr>
          <w:lang w:val="en-GB" w:eastAsia="en-AU"/>
        </w:rPr>
        <w:t xml:space="preserve"> displays </w:t>
      </w:r>
      <w:r w:rsidR="009A6B09">
        <w:rPr>
          <w:lang w:val="en-GB" w:eastAsia="en-AU"/>
        </w:rPr>
        <w:t xml:space="preserve">the </w:t>
      </w:r>
      <w:r w:rsidR="00A57E12">
        <w:rPr>
          <w:lang w:val="en-GB" w:eastAsia="en-AU"/>
        </w:rPr>
        <w:t xml:space="preserve">framework </w:t>
      </w:r>
      <w:r w:rsidR="00005556">
        <w:rPr>
          <w:lang w:val="en-GB" w:eastAsia="en-AU"/>
        </w:rPr>
        <w:t>design principles.</w:t>
      </w:r>
    </w:p>
    <w:p w14:paraId="637A5E17" w14:textId="05741AF6" w:rsidR="00005556" w:rsidRDefault="00005556" w:rsidP="00005556">
      <w:pPr>
        <w:pStyle w:val="Caption"/>
      </w:pPr>
      <w:bookmarkStart w:id="36" w:name="_Ref159408416"/>
      <w:bookmarkStart w:id="37" w:name="_Toc159530368"/>
      <w:bookmarkStart w:id="38" w:name="_Toc160117907"/>
      <w:r>
        <w:t xml:space="preserve">Table </w:t>
      </w:r>
      <w:r>
        <w:fldChar w:fldCharType="begin"/>
      </w:r>
      <w:r>
        <w:instrText>SEQ Table \* ARABIC</w:instrText>
      </w:r>
      <w:r>
        <w:fldChar w:fldCharType="separate"/>
      </w:r>
      <w:r w:rsidR="00590988">
        <w:rPr>
          <w:noProof/>
        </w:rPr>
        <w:t>1</w:t>
      </w:r>
      <w:r>
        <w:fldChar w:fldCharType="end"/>
      </w:r>
      <w:bookmarkEnd w:id="36"/>
      <w:r>
        <w:t xml:space="preserve"> Design Framework Principles</w:t>
      </w:r>
      <w:bookmarkEnd w:id="37"/>
      <w:bookmarkEnd w:id="38"/>
    </w:p>
    <w:tbl>
      <w:tblPr>
        <w:tblW w:w="87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00" w:firstRow="0" w:lastRow="0" w:firstColumn="0" w:lastColumn="0" w:noHBand="0" w:noVBand="1"/>
      </w:tblPr>
      <w:tblGrid>
        <w:gridCol w:w="3297"/>
        <w:gridCol w:w="5476"/>
      </w:tblGrid>
      <w:tr w:rsidR="00C45C50" w:rsidRPr="00D04EAD" w14:paraId="0C43A613" w14:textId="77777777" w:rsidTr="00403A31">
        <w:trPr>
          <w:tblHeader/>
        </w:trPr>
        <w:tc>
          <w:tcPr>
            <w:tcW w:w="3297" w:type="dxa"/>
            <w:shd w:val="clear" w:color="auto" w:fill="197C7D" w:themeFill="accent1"/>
            <w:noWrap/>
            <w:vAlign w:val="center"/>
          </w:tcPr>
          <w:p w14:paraId="7D96EE73" w14:textId="354FA565" w:rsidR="00C45C50" w:rsidRPr="00A548EC" w:rsidRDefault="00C45C50" w:rsidP="00812DBD">
            <w:pPr>
              <w:pStyle w:val="TableHeading"/>
              <w:rPr>
                <w:color w:val="FFFFFF" w:themeColor="background1"/>
                <w:sz w:val="20"/>
                <w:szCs w:val="24"/>
              </w:rPr>
            </w:pPr>
            <w:r>
              <w:rPr>
                <w:color w:val="FFFFFF" w:themeColor="background1"/>
                <w:sz w:val="20"/>
                <w:szCs w:val="24"/>
              </w:rPr>
              <w:t>Maintain</w:t>
            </w:r>
            <w:r w:rsidR="002E2C34">
              <w:rPr>
                <w:color w:val="FFFFFF" w:themeColor="background1"/>
                <w:sz w:val="20"/>
                <w:szCs w:val="24"/>
              </w:rPr>
              <w:t>ing</w:t>
            </w:r>
            <w:r>
              <w:rPr>
                <w:color w:val="FFFFFF" w:themeColor="background1"/>
                <w:sz w:val="20"/>
                <w:szCs w:val="24"/>
              </w:rPr>
              <w:t xml:space="preserve"> momentum </w:t>
            </w:r>
          </w:p>
        </w:tc>
        <w:tc>
          <w:tcPr>
            <w:tcW w:w="5476" w:type="dxa"/>
            <w:shd w:val="clear" w:color="auto" w:fill="auto"/>
            <w:vAlign w:val="center"/>
          </w:tcPr>
          <w:p w14:paraId="202FBDB3" w14:textId="77777777" w:rsidR="00C45C50" w:rsidRDefault="00C45C50" w:rsidP="00914A9D">
            <w:pPr>
              <w:pStyle w:val="TableText"/>
              <w:rPr>
                <w:rFonts w:cstheme="minorHAnsi"/>
                <w:b/>
                <w:bCs/>
              </w:rPr>
            </w:pPr>
            <w:r w:rsidRPr="009F40CC">
              <w:t xml:space="preserve">Support the continued progress and bring forward investment in projects in </w:t>
            </w:r>
            <w:r w:rsidRPr="009F40CC">
              <w:rPr>
                <w:rFonts w:cstheme="minorHAnsi"/>
                <w:b/>
              </w:rPr>
              <w:t>various stages of development to enable the capacity and generation targets to be achieved by 2030</w:t>
            </w:r>
            <w:r w:rsidR="00DD1CC5">
              <w:rPr>
                <w:rStyle w:val="FootnoteReference"/>
                <w:rFonts w:cstheme="minorHAnsi"/>
                <w:b/>
                <w:bCs/>
              </w:rPr>
              <w:footnoteReference w:id="6"/>
            </w:r>
            <w:r w:rsidRPr="009F40CC">
              <w:rPr>
                <w:rFonts w:cstheme="minorHAnsi"/>
                <w:b/>
                <w:bCs/>
              </w:rPr>
              <w:t xml:space="preserve">. </w:t>
            </w:r>
          </w:p>
          <w:p w14:paraId="2246AC10" w14:textId="5544EBEA" w:rsidR="00C45C50" w:rsidRPr="009F40CC" w:rsidRDefault="00650228" w:rsidP="00914A9D">
            <w:pPr>
              <w:pStyle w:val="TableText"/>
              <w:rPr>
                <w:b/>
              </w:rPr>
            </w:pPr>
            <w:r>
              <w:t xml:space="preserve">Further details on the </w:t>
            </w:r>
            <w:r w:rsidR="00FB28BC">
              <w:t xml:space="preserve">development status </w:t>
            </w:r>
            <w:r>
              <w:t>eligibility requirement</w:t>
            </w:r>
            <w:r w:rsidR="00FB28BC">
              <w:t xml:space="preserve">s are provided in </w:t>
            </w:r>
            <w:r w:rsidR="008F6081">
              <w:t>section 3</w:t>
            </w:r>
            <w:r w:rsidR="00306CBE">
              <w:t>.</w:t>
            </w:r>
            <w:r>
              <w:t xml:space="preserve"> </w:t>
            </w:r>
          </w:p>
        </w:tc>
      </w:tr>
      <w:tr w:rsidR="00575B53" w:rsidRPr="00D04EAD" w14:paraId="76211359" w14:textId="77777777" w:rsidTr="00403A31">
        <w:trPr>
          <w:tblHeader/>
        </w:trPr>
        <w:tc>
          <w:tcPr>
            <w:tcW w:w="3297" w:type="dxa"/>
            <w:shd w:val="clear" w:color="auto" w:fill="197C7D" w:themeFill="accent1"/>
            <w:noWrap/>
            <w:vAlign w:val="center"/>
          </w:tcPr>
          <w:p w14:paraId="646389A8" w14:textId="64D80ACD" w:rsidR="00575B53" w:rsidRPr="00A548EC" w:rsidRDefault="00575B53" w:rsidP="00812DBD">
            <w:pPr>
              <w:pStyle w:val="TableHeading"/>
              <w:rPr>
                <w:color w:val="FFFFFF" w:themeColor="background1"/>
                <w:sz w:val="20"/>
                <w:szCs w:val="24"/>
              </w:rPr>
            </w:pPr>
            <w:r w:rsidRPr="00A548EC">
              <w:rPr>
                <w:color w:val="FFFFFF" w:themeColor="background1"/>
                <w:sz w:val="20"/>
                <w:szCs w:val="24"/>
              </w:rPr>
              <w:t>Stimulating investment</w:t>
            </w:r>
          </w:p>
        </w:tc>
        <w:tc>
          <w:tcPr>
            <w:tcW w:w="5476" w:type="dxa"/>
            <w:shd w:val="clear" w:color="auto" w:fill="auto"/>
            <w:vAlign w:val="center"/>
          </w:tcPr>
          <w:p w14:paraId="2D05FA1E" w14:textId="77777777" w:rsidR="00A548EC" w:rsidRDefault="00A548EC" w:rsidP="00914A9D">
            <w:pPr>
              <w:pStyle w:val="TableText"/>
              <w:rPr>
                <w:rFonts w:cstheme="minorHAnsi"/>
                <w:b/>
                <w:bCs/>
              </w:rPr>
            </w:pPr>
            <w:r w:rsidRPr="009F40CC">
              <w:t xml:space="preserve">Provide long-term </w:t>
            </w:r>
            <w:r w:rsidRPr="009F40CC">
              <w:rPr>
                <w:rFonts w:cstheme="minorHAnsi"/>
                <w:b/>
              </w:rPr>
              <w:t>certainty for financiers through a combination of the long-term financial underwriting offered to Projects, and a clear and transparent tender process used to set key commercial terms in the CIS agreement</w:t>
            </w:r>
            <w:r w:rsidR="009729A8" w:rsidRPr="009F40CC">
              <w:rPr>
                <w:rFonts w:cstheme="minorHAnsi"/>
                <w:b/>
              </w:rPr>
              <w:t xml:space="preserve"> (CISA)</w:t>
            </w:r>
            <w:r w:rsidRPr="009F40CC">
              <w:rPr>
                <w:rFonts w:cstheme="minorHAnsi"/>
                <w:b/>
              </w:rPr>
              <w:t>.</w:t>
            </w:r>
          </w:p>
          <w:p w14:paraId="35B6B2DE" w14:textId="195BB737" w:rsidR="00052BF4" w:rsidRPr="009F40CC" w:rsidRDefault="00894FEA" w:rsidP="00914A9D">
            <w:pPr>
              <w:pStyle w:val="TableText"/>
              <w:rPr>
                <w:b/>
              </w:rPr>
            </w:pPr>
            <w:r>
              <w:t xml:space="preserve">This is further described in sections </w:t>
            </w:r>
            <w:r w:rsidR="008D45B3">
              <w:t xml:space="preserve">2 and </w:t>
            </w:r>
            <w:r w:rsidR="009F133C">
              <w:t>3.</w:t>
            </w:r>
          </w:p>
        </w:tc>
      </w:tr>
      <w:tr w:rsidR="00CE6CDD" w:rsidRPr="00D04EAD" w14:paraId="1E02B8AC" w14:textId="77777777" w:rsidTr="00403A31">
        <w:tc>
          <w:tcPr>
            <w:tcW w:w="3297" w:type="dxa"/>
            <w:shd w:val="clear" w:color="auto" w:fill="197C7D" w:themeFill="accent1"/>
            <w:noWrap/>
            <w:vAlign w:val="center"/>
          </w:tcPr>
          <w:p w14:paraId="63880341" w14:textId="716197FE" w:rsidR="00CE6CDD" w:rsidRDefault="00CE6CDD" w:rsidP="00CE6CDD">
            <w:pPr>
              <w:pStyle w:val="TableHeading"/>
              <w:rPr>
                <w:color w:val="FFFFFF" w:themeColor="background1"/>
                <w:sz w:val="20"/>
                <w:szCs w:val="24"/>
                <w:lang w:val="en-GB" w:eastAsia="en-GB"/>
              </w:rPr>
            </w:pPr>
            <w:r>
              <w:rPr>
                <w:color w:val="FFFFFF" w:themeColor="background1"/>
                <w:sz w:val="20"/>
                <w:szCs w:val="24"/>
                <w:lang w:val="en-GB" w:eastAsia="en-GB"/>
              </w:rPr>
              <w:t>Complement</w:t>
            </w:r>
            <w:r w:rsidR="00A56BF0">
              <w:rPr>
                <w:color w:val="FFFFFF" w:themeColor="background1"/>
                <w:sz w:val="20"/>
                <w:szCs w:val="24"/>
                <w:lang w:val="en-GB" w:eastAsia="en-GB"/>
              </w:rPr>
              <w:t>ing</w:t>
            </w:r>
            <w:r>
              <w:rPr>
                <w:color w:val="FFFFFF" w:themeColor="background1"/>
                <w:sz w:val="20"/>
                <w:szCs w:val="24"/>
                <w:lang w:val="en-GB" w:eastAsia="en-GB"/>
              </w:rPr>
              <w:t xml:space="preserve"> existing </w:t>
            </w:r>
            <w:r w:rsidRPr="00131DD1">
              <w:rPr>
                <w:color w:val="FFFFFF" w:themeColor="background1"/>
                <w:sz w:val="20"/>
                <w:szCs w:val="24"/>
                <w:lang w:val="en-GB" w:eastAsia="en-GB"/>
              </w:rPr>
              <w:t xml:space="preserve">market </w:t>
            </w:r>
            <w:r>
              <w:rPr>
                <w:color w:val="FFFFFF" w:themeColor="background1"/>
                <w:sz w:val="20"/>
                <w:szCs w:val="24"/>
                <w:lang w:val="en-GB" w:eastAsia="en-GB"/>
              </w:rPr>
              <w:t>operations</w:t>
            </w:r>
          </w:p>
        </w:tc>
        <w:tc>
          <w:tcPr>
            <w:tcW w:w="5476" w:type="dxa"/>
            <w:shd w:val="clear" w:color="auto" w:fill="auto"/>
            <w:vAlign w:val="center"/>
          </w:tcPr>
          <w:p w14:paraId="3B907DB0" w14:textId="372375BC" w:rsidR="00CE6CDD" w:rsidRPr="001E7AB4" w:rsidRDefault="00CE6CDD" w:rsidP="00914A9D">
            <w:pPr>
              <w:pStyle w:val="TableText"/>
              <w:rPr>
                <w:rFonts w:cstheme="minorHAnsi"/>
                <w:b/>
                <w:bCs/>
                <w:szCs w:val="18"/>
              </w:rPr>
            </w:pPr>
            <w:r w:rsidRPr="00B253EB">
              <w:rPr>
                <w:szCs w:val="18"/>
              </w:rPr>
              <w:t xml:space="preserve">Minimise impact on wholesale electricity market functions and associated rules. Apart from a limited set of performance requirements specific to each CISA, the CIS does not seek to impose operational requirements on projects. </w:t>
            </w:r>
            <w:r w:rsidR="001E7AB4">
              <w:rPr>
                <w:rFonts w:cstheme="minorHAnsi"/>
                <w:b/>
                <w:bCs/>
                <w:szCs w:val="18"/>
              </w:rPr>
              <w:t xml:space="preserve">The CISA will include </w:t>
            </w:r>
            <w:r w:rsidR="001E7AB4" w:rsidRPr="001E7AB4">
              <w:rPr>
                <w:rFonts w:cstheme="minorHAnsi"/>
                <w:b/>
                <w:bCs/>
                <w:szCs w:val="18"/>
                <w:lang w:val="en-GB" w:eastAsia="en-GB"/>
              </w:rPr>
              <w:t>sufficient</w:t>
            </w:r>
            <w:r w:rsidR="001E7AB4" w:rsidRPr="00B75190">
              <w:rPr>
                <w:rFonts w:cstheme="minorHAnsi"/>
                <w:b/>
                <w:bCs/>
                <w:szCs w:val="18"/>
                <w:lang w:val="en-GB" w:eastAsia="en-GB"/>
              </w:rPr>
              <w:t xml:space="preserve"> incentives to ensure performance requirements are met</w:t>
            </w:r>
            <w:r w:rsidR="001E7AB4">
              <w:rPr>
                <w:rFonts w:cstheme="minorHAnsi"/>
                <w:b/>
                <w:bCs/>
                <w:szCs w:val="18"/>
                <w:lang w:val="en-GB" w:eastAsia="en-GB"/>
              </w:rPr>
              <w:t>.</w:t>
            </w:r>
          </w:p>
          <w:p w14:paraId="73F1CAEC" w14:textId="6DD3F894" w:rsidR="00CE6CDD" w:rsidRPr="009F40CC" w:rsidRDefault="00CE6CDD" w:rsidP="00914A9D">
            <w:pPr>
              <w:pStyle w:val="TableText"/>
              <w:rPr>
                <w:szCs w:val="18"/>
              </w:rPr>
            </w:pPr>
            <w:r w:rsidRPr="00B75190">
              <w:rPr>
                <w:szCs w:val="14"/>
              </w:rPr>
              <w:t>Project Operators will be able to sign a CISA and other wholesale contracts, such as swap contracts and tolling agreements. The CIS is intending to support further development of these contracts markets.</w:t>
            </w:r>
          </w:p>
        </w:tc>
      </w:tr>
      <w:tr w:rsidR="00575B53" w:rsidRPr="00D04EAD" w14:paraId="410FA455" w14:textId="77777777" w:rsidTr="00403A31">
        <w:tc>
          <w:tcPr>
            <w:tcW w:w="3297" w:type="dxa"/>
            <w:shd w:val="clear" w:color="auto" w:fill="197C7D" w:themeFill="accent1"/>
            <w:noWrap/>
            <w:vAlign w:val="center"/>
          </w:tcPr>
          <w:p w14:paraId="6DF027BA" w14:textId="78060979" w:rsidR="00575B53" w:rsidRPr="00A548EC" w:rsidRDefault="00D107D7" w:rsidP="00812DBD">
            <w:pPr>
              <w:pStyle w:val="TableHeading"/>
              <w:rPr>
                <w:color w:val="FFFFFF" w:themeColor="background1"/>
                <w:sz w:val="20"/>
                <w:szCs w:val="24"/>
                <w:lang w:val="en-GB" w:eastAsia="en-GB"/>
              </w:rPr>
            </w:pPr>
            <w:r>
              <w:rPr>
                <w:color w:val="FFFFFF" w:themeColor="background1"/>
                <w:sz w:val="20"/>
                <w:szCs w:val="24"/>
                <w:lang w:val="en-GB" w:eastAsia="en-GB"/>
              </w:rPr>
              <w:t>CIS process and tender product adaptability</w:t>
            </w:r>
          </w:p>
        </w:tc>
        <w:tc>
          <w:tcPr>
            <w:tcW w:w="5476" w:type="dxa"/>
            <w:shd w:val="clear" w:color="auto" w:fill="auto"/>
            <w:vAlign w:val="center"/>
          </w:tcPr>
          <w:p w14:paraId="42B4A012" w14:textId="4B9B504A" w:rsidR="00691BA0" w:rsidRPr="009F40CC" w:rsidRDefault="00A8322A" w:rsidP="00914A9D">
            <w:pPr>
              <w:pStyle w:val="TableText"/>
              <w:rPr>
                <w:sz w:val="20"/>
                <w:szCs w:val="20"/>
                <w:lang w:val="en-GB" w:eastAsia="en-GB"/>
              </w:rPr>
            </w:pPr>
            <w:r>
              <w:t>M</w:t>
            </w:r>
            <w:r w:rsidR="00CE6CDD" w:rsidRPr="60295F3D">
              <w:t>itigate</w:t>
            </w:r>
            <w:r w:rsidR="00890AA5" w:rsidRPr="60295F3D">
              <w:t xml:space="preserve"> risks of a disorderly transition by selecting projects that support energy system reliability and lower electricity prices</w:t>
            </w:r>
            <w:r w:rsidR="00493178" w:rsidRPr="60295F3D">
              <w:rPr>
                <w:lang w:val="en-GB" w:eastAsia="en-GB"/>
              </w:rPr>
              <w:t>.</w:t>
            </w:r>
          </w:p>
          <w:p w14:paraId="2BC8F9BB" w14:textId="195920ED" w:rsidR="00052BF4" w:rsidRPr="00B75190" w:rsidRDefault="006655D1" w:rsidP="00914A9D">
            <w:pPr>
              <w:pStyle w:val="TableText"/>
              <w:rPr>
                <w:b/>
                <w:szCs w:val="18"/>
              </w:rPr>
            </w:pPr>
            <w:r>
              <w:rPr>
                <w:szCs w:val="18"/>
              </w:rPr>
              <w:t xml:space="preserve">The </w:t>
            </w:r>
            <w:r w:rsidR="004B71B2" w:rsidRPr="00B75190">
              <w:rPr>
                <w:szCs w:val="18"/>
                <w:lang w:val="en-GB" w:eastAsia="en-GB"/>
              </w:rPr>
              <w:t>process</w:t>
            </w:r>
            <w:r w:rsidR="006A20D2">
              <w:rPr>
                <w:szCs w:val="18"/>
                <w:lang w:val="en-GB" w:eastAsia="en-GB"/>
              </w:rPr>
              <w:t xml:space="preserve"> </w:t>
            </w:r>
            <w:r w:rsidR="003C61BA">
              <w:rPr>
                <w:szCs w:val="18"/>
                <w:lang w:val="en-GB" w:eastAsia="en-GB"/>
              </w:rPr>
              <w:t xml:space="preserve">and CISA products will </w:t>
            </w:r>
            <w:r w:rsidR="006A20D2">
              <w:rPr>
                <w:szCs w:val="18"/>
                <w:lang w:val="en-GB" w:eastAsia="en-GB"/>
              </w:rPr>
              <w:t>be adaptable</w:t>
            </w:r>
            <w:r w:rsidR="009E27D1">
              <w:rPr>
                <w:szCs w:val="18"/>
                <w:lang w:val="en-GB" w:eastAsia="en-GB"/>
              </w:rPr>
              <w:t xml:space="preserve"> </w:t>
            </w:r>
            <w:r w:rsidR="00C43C0A">
              <w:rPr>
                <w:szCs w:val="18"/>
                <w:lang w:val="en-GB" w:eastAsia="en-GB"/>
              </w:rPr>
              <w:t xml:space="preserve">with the ability </w:t>
            </w:r>
            <w:r w:rsidR="009E27D1">
              <w:rPr>
                <w:szCs w:val="18"/>
                <w:lang w:val="en-GB" w:eastAsia="en-GB"/>
              </w:rPr>
              <w:t>to</w:t>
            </w:r>
            <w:r w:rsidR="00AD5B2C">
              <w:rPr>
                <w:szCs w:val="18"/>
                <w:lang w:val="en-GB" w:eastAsia="en-GB"/>
              </w:rPr>
              <w:t xml:space="preserve"> </w:t>
            </w:r>
            <w:r w:rsidR="00C730BD" w:rsidRPr="00B75190">
              <w:rPr>
                <w:szCs w:val="18"/>
                <w:lang w:val="en-GB" w:eastAsia="en-GB"/>
              </w:rPr>
              <w:t xml:space="preserve">respond to </w:t>
            </w:r>
            <w:r w:rsidR="00AD5B2C" w:rsidRPr="00B75190">
              <w:rPr>
                <w:szCs w:val="18"/>
                <w:lang w:val="en-GB" w:eastAsia="en-GB"/>
              </w:rPr>
              <w:t>changing</w:t>
            </w:r>
            <w:r w:rsidR="00952D62" w:rsidRPr="00B75190">
              <w:rPr>
                <w:szCs w:val="18"/>
                <w:lang w:val="en-GB" w:eastAsia="en-GB"/>
              </w:rPr>
              <w:t xml:space="preserve"> market </w:t>
            </w:r>
            <w:r w:rsidR="00E92F41">
              <w:rPr>
                <w:szCs w:val="18"/>
                <w:lang w:val="en-GB" w:eastAsia="en-GB"/>
              </w:rPr>
              <w:t xml:space="preserve">conditions as the scheme </w:t>
            </w:r>
            <w:r w:rsidR="000B7B1E">
              <w:rPr>
                <w:szCs w:val="18"/>
                <w:lang w:val="en-GB" w:eastAsia="en-GB"/>
              </w:rPr>
              <w:t>progresses.</w:t>
            </w:r>
            <w:r w:rsidR="00925D39">
              <w:rPr>
                <w:szCs w:val="18"/>
                <w:lang w:val="en-GB" w:eastAsia="en-GB"/>
              </w:rPr>
              <w:t xml:space="preserve"> </w:t>
            </w:r>
          </w:p>
        </w:tc>
      </w:tr>
      <w:tr w:rsidR="00793DCC" w:rsidRPr="00D04EAD" w14:paraId="53B4D3A4" w14:textId="77777777" w:rsidTr="00403A31">
        <w:tc>
          <w:tcPr>
            <w:tcW w:w="3297" w:type="dxa"/>
            <w:shd w:val="clear" w:color="auto" w:fill="197C7D" w:themeFill="accent1"/>
            <w:noWrap/>
            <w:vAlign w:val="center"/>
          </w:tcPr>
          <w:p w14:paraId="5EA60E1C" w14:textId="0C3F02C3" w:rsidR="00793DCC" w:rsidRDefault="009A6133" w:rsidP="00812DBD">
            <w:pPr>
              <w:pStyle w:val="TableHeading"/>
              <w:rPr>
                <w:color w:val="FFFFFF" w:themeColor="background1"/>
                <w:sz w:val="20"/>
                <w:szCs w:val="24"/>
                <w:lang w:val="en-GB" w:eastAsia="en-GB"/>
              </w:rPr>
            </w:pPr>
            <w:r>
              <w:rPr>
                <w:color w:val="FFFFFF" w:themeColor="background1"/>
                <w:sz w:val="20"/>
                <w:szCs w:val="24"/>
                <w:lang w:val="en-GB" w:eastAsia="en-GB"/>
              </w:rPr>
              <w:t>Supp</w:t>
            </w:r>
            <w:r w:rsidR="008B4948">
              <w:rPr>
                <w:color w:val="FFFFFF" w:themeColor="background1"/>
                <w:sz w:val="20"/>
                <w:szCs w:val="24"/>
                <w:lang w:val="en-GB" w:eastAsia="en-GB"/>
              </w:rPr>
              <w:t xml:space="preserve">orting </w:t>
            </w:r>
            <w:r w:rsidR="009D7B9B">
              <w:rPr>
                <w:color w:val="FFFFFF" w:themeColor="background1"/>
                <w:sz w:val="20"/>
                <w:szCs w:val="24"/>
                <w:lang w:val="en-GB" w:eastAsia="en-GB"/>
              </w:rPr>
              <w:t>our local communities and first nations people</w:t>
            </w:r>
          </w:p>
        </w:tc>
        <w:tc>
          <w:tcPr>
            <w:tcW w:w="5476" w:type="dxa"/>
            <w:shd w:val="clear" w:color="auto" w:fill="auto"/>
            <w:vAlign w:val="center"/>
          </w:tcPr>
          <w:p w14:paraId="23782875" w14:textId="0D4056A8" w:rsidR="00793DCC" w:rsidRDefault="003F2694" w:rsidP="00914A9D">
            <w:pPr>
              <w:pStyle w:val="TableText"/>
              <w:rPr>
                <w:szCs w:val="18"/>
              </w:rPr>
            </w:pPr>
            <w:r>
              <w:rPr>
                <w:szCs w:val="18"/>
              </w:rPr>
              <w:t>Facilitate</w:t>
            </w:r>
            <w:r w:rsidR="00790588">
              <w:rPr>
                <w:szCs w:val="18"/>
              </w:rPr>
              <w:t xml:space="preserve"> </w:t>
            </w:r>
            <w:r w:rsidR="00D11CB8">
              <w:rPr>
                <w:szCs w:val="18"/>
              </w:rPr>
              <w:t>shared</w:t>
            </w:r>
            <w:r w:rsidR="00790588">
              <w:rPr>
                <w:szCs w:val="18"/>
              </w:rPr>
              <w:t xml:space="preserve"> </w:t>
            </w:r>
            <w:r w:rsidR="00FD049A">
              <w:rPr>
                <w:szCs w:val="18"/>
              </w:rPr>
              <w:t>benefits</w:t>
            </w:r>
            <w:r w:rsidR="00790588">
              <w:rPr>
                <w:szCs w:val="18"/>
              </w:rPr>
              <w:t xml:space="preserve"> to </w:t>
            </w:r>
            <w:r w:rsidR="002B20F6">
              <w:rPr>
                <w:szCs w:val="18"/>
              </w:rPr>
              <w:t xml:space="preserve">regional communities, </w:t>
            </w:r>
            <w:r w:rsidR="009162BF">
              <w:rPr>
                <w:szCs w:val="18"/>
              </w:rPr>
              <w:t xml:space="preserve">support </w:t>
            </w:r>
            <w:r w:rsidR="00E5537F">
              <w:rPr>
                <w:szCs w:val="18"/>
              </w:rPr>
              <w:t>th</w:t>
            </w:r>
            <w:r w:rsidR="00EC41BB">
              <w:rPr>
                <w:szCs w:val="18"/>
              </w:rPr>
              <w:t>e</w:t>
            </w:r>
            <w:r w:rsidR="009162BF">
              <w:rPr>
                <w:szCs w:val="18"/>
              </w:rPr>
              <w:t xml:space="preserve"> industries that will drive our future economy and </w:t>
            </w:r>
            <w:r w:rsidR="00E5537F">
              <w:rPr>
                <w:szCs w:val="18"/>
              </w:rPr>
              <w:t>help First Nation</w:t>
            </w:r>
            <w:r w:rsidR="00C77A3B">
              <w:rPr>
                <w:szCs w:val="18"/>
              </w:rPr>
              <w:t>s</w:t>
            </w:r>
            <w:r w:rsidR="00E5537F">
              <w:rPr>
                <w:szCs w:val="18"/>
              </w:rPr>
              <w:t xml:space="preserve"> people preserve their unique culture and heritage and remain on Country.</w:t>
            </w:r>
          </w:p>
        </w:tc>
      </w:tr>
    </w:tbl>
    <w:p w14:paraId="2C654E3F" w14:textId="780501A9" w:rsidR="00575B53" w:rsidRDefault="00575B53" w:rsidP="00E131E9">
      <w:pPr>
        <w:rPr>
          <w:lang w:val="en-GB" w:eastAsia="en-AU"/>
        </w:rPr>
      </w:pPr>
    </w:p>
    <w:p w14:paraId="5D650B7D" w14:textId="58F9D193" w:rsidR="00E6226A" w:rsidRPr="00E6226A" w:rsidRDefault="00E6226A" w:rsidP="00E6226A">
      <w:pPr>
        <w:pStyle w:val="Heading4"/>
      </w:pPr>
      <w:r w:rsidRPr="00E6226A">
        <w:lastRenderedPageBreak/>
        <w:t>Complement</w:t>
      </w:r>
      <w:r w:rsidR="00987E8E">
        <w:t>ing</w:t>
      </w:r>
      <w:r w:rsidRPr="00E6226A">
        <w:t xml:space="preserve"> the operation of Australia’s electricity systems or markets</w:t>
      </w:r>
    </w:p>
    <w:p w14:paraId="772D1528" w14:textId="2351DC6B" w:rsidR="00BC4524" w:rsidRPr="005A1939" w:rsidRDefault="00BC4524" w:rsidP="00005556">
      <w:pPr>
        <w:spacing w:before="240"/>
        <w:rPr>
          <w:lang w:val="en-GB" w:eastAsia="en-AU"/>
        </w:rPr>
      </w:pPr>
      <w:r w:rsidRPr="005A1939">
        <w:rPr>
          <w:lang w:val="en-GB" w:eastAsia="en-AU"/>
        </w:rPr>
        <w:t xml:space="preserve">The expanded CIS seeks to ensure that new renewable capacity and clean dispatchable capacity enters Australian energy markets with limited to no impact on electricity market functions and associated rules while supporting reliability and affordability. The CIS is intended to support and facilitate Australia’s existing suite of </w:t>
      </w:r>
      <w:r w:rsidR="63EABE8E">
        <w:t>Australian Government</w:t>
      </w:r>
      <w:r w:rsidRPr="1A21B7BC">
        <w:rPr>
          <w:lang w:val="en-GB" w:eastAsia="en-AU"/>
        </w:rPr>
        <w:t xml:space="preserve"> </w:t>
      </w:r>
      <w:r w:rsidRPr="005A1939">
        <w:rPr>
          <w:lang w:val="en-GB" w:eastAsia="en-AU"/>
        </w:rPr>
        <w:t>and jurisdictional energy policies and markets.</w:t>
      </w:r>
    </w:p>
    <w:p w14:paraId="44A4C645" w14:textId="77777777" w:rsidR="00BC4524" w:rsidRDefault="00BC4524" w:rsidP="00BC4524">
      <w:pPr>
        <w:rPr>
          <w:lang w:val="en-GB" w:eastAsia="en-AU"/>
        </w:rPr>
      </w:pPr>
      <w:r w:rsidRPr="005A1939">
        <w:rPr>
          <w:lang w:val="en-GB" w:eastAsia="en-AU"/>
        </w:rPr>
        <w:t>Changes to the National Electricity Rules (NER) that happen over time will apply to CIS projects. For example, changes to the market price cap or access reform initiatives being contemplated by the Australian Energy Market Commission (AEMC) will apply to projects supported by the CIS. Like all generators, CIS projects will remain subject to AEMO directions under the NER.</w:t>
      </w:r>
    </w:p>
    <w:p w14:paraId="005726ED" w14:textId="42428D49" w:rsidR="00BC4524" w:rsidRPr="005A1939" w:rsidRDefault="006A4472" w:rsidP="00BC4524">
      <w:pPr>
        <w:rPr>
          <w:lang w:val="en-GB" w:eastAsia="en-AU"/>
        </w:rPr>
      </w:pPr>
      <w:r w:rsidRPr="006A4472">
        <w:rPr>
          <w:lang w:val="en-GB" w:eastAsia="en-AU"/>
        </w:rPr>
        <w:t>The CIS is a time-limited scheme which will run tenders through</w:t>
      </w:r>
      <w:r w:rsidR="00A87652">
        <w:rPr>
          <w:lang w:val="en-GB" w:eastAsia="en-AU"/>
        </w:rPr>
        <w:t xml:space="preserve"> to</w:t>
      </w:r>
      <w:r w:rsidRPr="006A4472">
        <w:rPr>
          <w:lang w:val="en-GB" w:eastAsia="en-AU"/>
        </w:rPr>
        <w:t xml:space="preserve"> 2026-27</w:t>
      </w:r>
      <w:r w:rsidR="6EF230C2" w:rsidRPr="60A97827">
        <w:rPr>
          <w:lang w:val="en-GB" w:eastAsia="en-AU"/>
        </w:rPr>
        <w:t xml:space="preserve"> to deliver projects that start operating by 2030</w:t>
      </w:r>
      <w:r w:rsidRPr="60A97827">
        <w:rPr>
          <w:lang w:val="en-GB" w:eastAsia="en-AU"/>
        </w:rPr>
        <w:t>.</w:t>
      </w:r>
      <w:r w:rsidRPr="006A4472">
        <w:rPr>
          <w:lang w:val="en-GB" w:eastAsia="en-AU"/>
        </w:rPr>
        <w:t xml:space="preserve"> In parallel, the </w:t>
      </w:r>
      <w:r w:rsidR="5BA562F0" w:rsidRPr="1A21B7BC">
        <w:rPr>
          <w:lang w:val="en-GB" w:eastAsia="en-AU"/>
        </w:rPr>
        <w:t>Australian Government</w:t>
      </w:r>
      <w:r w:rsidRPr="1A21B7BC">
        <w:rPr>
          <w:lang w:val="en-GB" w:eastAsia="en-AU"/>
        </w:rPr>
        <w:t xml:space="preserve"> </w:t>
      </w:r>
      <w:r w:rsidRPr="006A4472">
        <w:rPr>
          <w:lang w:val="en-GB" w:eastAsia="en-AU"/>
        </w:rPr>
        <w:t xml:space="preserve">will progress work on the future design of the market beyond 2030. That process will include close engagement with NEM </w:t>
      </w:r>
      <w:bookmarkStart w:id="39" w:name="_Int_KSGfq198"/>
      <w:r w:rsidRPr="006A4472">
        <w:rPr>
          <w:lang w:val="en-GB" w:eastAsia="en-AU"/>
        </w:rPr>
        <w:t>jurisdictions</w:t>
      </w:r>
      <w:bookmarkEnd w:id="39"/>
      <w:r w:rsidRPr="006A4472">
        <w:rPr>
          <w:lang w:val="en-GB" w:eastAsia="en-AU"/>
        </w:rPr>
        <w:t xml:space="preserve"> and public consultation. </w:t>
      </w:r>
    </w:p>
    <w:p w14:paraId="2A7D0E1E" w14:textId="1B89DB17" w:rsidR="00BC4524" w:rsidRPr="005A1939" w:rsidRDefault="00BC4524" w:rsidP="00BC4524">
      <w:pPr>
        <w:rPr>
          <w:lang w:val="en-GB" w:eastAsia="en-AU"/>
        </w:rPr>
      </w:pPr>
      <w:r w:rsidRPr="005A1939">
        <w:rPr>
          <w:lang w:val="en-GB" w:eastAsia="en-AU"/>
        </w:rPr>
        <w:t xml:space="preserve">The CIS will </w:t>
      </w:r>
      <w:r w:rsidR="00C11826">
        <w:rPr>
          <w:lang w:val="en-GB" w:eastAsia="en-AU"/>
        </w:rPr>
        <w:t xml:space="preserve">complement </w:t>
      </w:r>
      <w:r w:rsidRPr="005A1939">
        <w:rPr>
          <w:lang w:val="en-GB" w:eastAsia="en-AU"/>
        </w:rPr>
        <w:t>other</w:t>
      </w:r>
      <w:r w:rsidR="68986B9E" w:rsidRPr="783CAE2B">
        <w:rPr>
          <w:lang w:val="en-GB" w:eastAsia="en-AU"/>
        </w:rPr>
        <w:t xml:space="preserve"> Australian Government</w:t>
      </w:r>
      <w:r w:rsidRPr="783CAE2B">
        <w:rPr>
          <w:lang w:val="en-GB" w:eastAsia="en-AU"/>
        </w:rPr>
        <w:t>,</w:t>
      </w:r>
      <w:r w:rsidR="7655BB02" w:rsidRPr="783CAE2B">
        <w:rPr>
          <w:lang w:val="en-GB" w:eastAsia="en-AU"/>
        </w:rPr>
        <w:t xml:space="preserve"> </w:t>
      </w:r>
      <w:r w:rsidRPr="005A1939">
        <w:rPr>
          <w:lang w:val="en-GB" w:eastAsia="en-AU"/>
        </w:rPr>
        <w:t xml:space="preserve">state and territory government policies and actions by </w:t>
      </w:r>
      <w:r w:rsidR="00877ACE">
        <w:rPr>
          <w:lang w:val="en-GB" w:eastAsia="en-AU"/>
        </w:rPr>
        <w:t>businesses</w:t>
      </w:r>
      <w:r w:rsidR="00877ACE" w:rsidRPr="005A1939">
        <w:rPr>
          <w:lang w:val="en-GB" w:eastAsia="en-AU"/>
        </w:rPr>
        <w:t xml:space="preserve"> </w:t>
      </w:r>
      <w:r w:rsidRPr="005A1939">
        <w:rPr>
          <w:lang w:val="en-GB" w:eastAsia="en-AU"/>
        </w:rPr>
        <w:t xml:space="preserve">and communities to underpin Australia’s transformation to net zero emissions by 2050 and 82 per cent renewable energy in the on-grid electricity sector by 2030. </w:t>
      </w:r>
    </w:p>
    <w:p w14:paraId="1A935B56" w14:textId="2E410F08" w:rsidR="00BC4524" w:rsidRDefault="00BC4524" w:rsidP="00BC4524">
      <w:pPr>
        <w:rPr>
          <w:lang w:val="en-GB" w:eastAsia="en-AU"/>
        </w:rPr>
      </w:pPr>
      <w:r w:rsidRPr="005A1939">
        <w:rPr>
          <w:lang w:val="en-GB" w:eastAsia="en-AU"/>
        </w:rPr>
        <w:t xml:space="preserve">This includes integration with </w:t>
      </w:r>
      <w:r w:rsidR="00877ACE">
        <w:rPr>
          <w:lang w:val="en-GB" w:eastAsia="en-AU"/>
        </w:rPr>
        <w:t xml:space="preserve">the </w:t>
      </w:r>
      <w:r w:rsidRPr="005A1939">
        <w:rPr>
          <w:lang w:val="en-GB" w:eastAsia="en-AU"/>
        </w:rPr>
        <w:t xml:space="preserve">delivery of new transmission infrastructure, including through the </w:t>
      </w:r>
      <w:r w:rsidR="280ACCA0" w:rsidRPr="6F957772">
        <w:rPr>
          <w:lang w:val="en-GB" w:eastAsia="en-AU"/>
        </w:rPr>
        <w:t xml:space="preserve">Australian </w:t>
      </w:r>
      <w:r w:rsidR="280ACCA0" w:rsidRPr="66ED6CD3">
        <w:rPr>
          <w:lang w:val="en-GB" w:eastAsia="en-AU"/>
        </w:rPr>
        <w:t>Government’s</w:t>
      </w:r>
      <w:r w:rsidRPr="7BBC12FB">
        <w:rPr>
          <w:lang w:val="en-GB" w:eastAsia="en-AU"/>
        </w:rPr>
        <w:t xml:space="preserve"> </w:t>
      </w:r>
      <w:r w:rsidRPr="005A1939">
        <w:rPr>
          <w:lang w:val="en-GB" w:eastAsia="en-AU"/>
        </w:rPr>
        <w:t xml:space="preserve">$20 billion Rewiring the Nation program. This new transmission infrastructure will connect Australia’s electricity grids to regions with rich renewable resource potential and reinforce and interconnect the existing network to deliver </w:t>
      </w:r>
      <w:r w:rsidR="008017DA">
        <w:rPr>
          <w:lang w:val="en-GB" w:eastAsia="en-AU"/>
        </w:rPr>
        <w:t xml:space="preserve">reliable </w:t>
      </w:r>
      <w:r w:rsidRPr="005A1939">
        <w:rPr>
          <w:lang w:val="en-GB" w:eastAsia="en-AU"/>
        </w:rPr>
        <w:t xml:space="preserve">renewable energy to consumers in cities, </w:t>
      </w:r>
      <w:bookmarkStart w:id="40" w:name="_Int_bjqwG54z"/>
      <w:proofErr w:type="gramStart"/>
      <w:r w:rsidRPr="005A1939">
        <w:rPr>
          <w:lang w:val="en-GB" w:eastAsia="en-AU"/>
        </w:rPr>
        <w:t>towns</w:t>
      </w:r>
      <w:bookmarkEnd w:id="40"/>
      <w:proofErr w:type="gramEnd"/>
      <w:r w:rsidRPr="005A1939">
        <w:rPr>
          <w:lang w:val="en-GB" w:eastAsia="en-AU"/>
        </w:rPr>
        <w:t xml:space="preserve"> and regional communities.</w:t>
      </w:r>
    </w:p>
    <w:p w14:paraId="17C50D7B" w14:textId="2D58C1C0" w:rsidR="0091016E" w:rsidRDefault="0E3024D9" w:rsidP="00C35716">
      <w:pPr>
        <w:rPr>
          <w:lang w:val="en-GB" w:eastAsia="en-AU"/>
        </w:rPr>
      </w:pPr>
      <w:r w:rsidRPr="60A97827">
        <w:rPr>
          <w:lang w:val="en-GB" w:eastAsia="en-AU"/>
        </w:rPr>
        <w:t xml:space="preserve">The allocation of capacity to be tendered in each jurisdiction through the CIS </w:t>
      </w:r>
      <w:r w:rsidR="003D7CF5">
        <w:rPr>
          <w:lang w:val="en-GB" w:eastAsia="en-AU"/>
        </w:rPr>
        <w:t xml:space="preserve">will also be part of the Australian Government’s negotiation </w:t>
      </w:r>
      <w:r w:rsidR="00355C3A">
        <w:rPr>
          <w:lang w:val="en-GB" w:eastAsia="en-AU"/>
        </w:rPr>
        <w:t>over</w:t>
      </w:r>
      <w:r w:rsidR="00FE22DC" w:rsidRPr="00FE22DC">
        <w:rPr>
          <w:lang w:val="en-GB" w:eastAsia="en-AU"/>
        </w:rPr>
        <w:t xml:space="preserve"> Renewable Energy Transformation Agreements (RETAs) with state and territory governments to </w:t>
      </w:r>
      <w:r w:rsidR="004F2FE2">
        <w:rPr>
          <w:lang w:val="en-GB" w:eastAsia="en-AU"/>
        </w:rPr>
        <w:t xml:space="preserve">provide a favourable enabling environment for </w:t>
      </w:r>
      <w:r w:rsidR="00C45320">
        <w:rPr>
          <w:lang w:val="en-GB" w:eastAsia="en-AU"/>
        </w:rPr>
        <w:t xml:space="preserve">the investment in </w:t>
      </w:r>
      <w:r w:rsidR="004F2FE2">
        <w:rPr>
          <w:lang w:val="en-GB" w:eastAsia="en-AU"/>
        </w:rPr>
        <w:t>new renewables projects</w:t>
      </w:r>
      <w:r w:rsidR="00C45320">
        <w:rPr>
          <w:lang w:val="en-GB" w:eastAsia="en-AU"/>
        </w:rPr>
        <w:t xml:space="preserve"> supported by the CIS</w:t>
      </w:r>
      <w:r w:rsidR="004F2FE2">
        <w:rPr>
          <w:lang w:val="en-GB" w:eastAsia="en-AU"/>
        </w:rPr>
        <w:t xml:space="preserve"> and </w:t>
      </w:r>
      <w:r w:rsidR="00FE22DC" w:rsidRPr="00FE22DC">
        <w:rPr>
          <w:lang w:val="en-GB" w:eastAsia="en-AU"/>
        </w:rPr>
        <w:t>achieve shared objectives in the renewable energy transformation.</w:t>
      </w:r>
    </w:p>
    <w:p w14:paraId="4E51F442" w14:textId="77E18E5C" w:rsidR="00740670" w:rsidRDefault="00906127" w:rsidP="00740670">
      <w:r w:rsidRPr="00906127">
        <w:rPr>
          <w:lang w:val="en-GB" w:eastAsia="en-AU"/>
        </w:rPr>
        <w:t>In November 2023</w:t>
      </w:r>
      <w:r w:rsidR="00D76D53">
        <w:rPr>
          <w:lang w:val="en-GB" w:eastAsia="en-AU"/>
        </w:rPr>
        <w:t xml:space="preserve"> the Energy and Climate Change Ministerial Council (</w:t>
      </w:r>
      <w:r w:rsidRPr="00906127">
        <w:rPr>
          <w:lang w:val="en-GB" w:eastAsia="en-AU"/>
        </w:rPr>
        <w:t>ECMC</w:t>
      </w:r>
      <w:r w:rsidR="00D76D53">
        <w:rPr>
          <w:lang w:val="en-GB" w:eastAsia="en-AU"/>
        </w:rPr>
        <w:t>)</w:t>
      </w:r>
      <w:r w:rsidRPr="00906127">
        <w:rPr>
          <w:lang w:val="en-GB" w:eastAsia="en-AU"/>
        </w:rPr>
        <w:t xml:space="preserve"> agreed that </w:t>
      </w:r>
      <w:r w:rsidR="00D133AA" w:rsidRPr="00D133AA">
        <w:rPr>
          <w:lang w:val="en-GB" w:eastAsia="en-AU"/>
        </w:rPr>
        <w:t>CIS investment will continue to be delivered working with state systems, including the NSW Electricity Infrastructure Roadmap (Long Term Energy Service Agreements), the Victorian Renewable Energy Target and the Western Australian Reserve Capacity Mechanism.</w:t>
      </w:r>
      <w:r>
        <w:rPr>
          <w:lang w:val="en-GB" w:eastAsia="en-AU"/>
        </w:rPr>
        <w:t xml:space="preserve"> </w:t>
      </w:r>
    </w:p>
    <w:p w14:paraId="16BB020B" w14:textId="0175A636" w:rsidR="00D133AA" w:rsidRPr="0091016E" w:rsidRDefault="00740670" w:rsidP="00C35716">
      <w:pPr>
        <w:rPr>
          <w:lang w:val="en-GB" w:eastAsia="en-AU"/>
        </w:rPr>
      </w:pPr>
      <w:r>
        <w:t>I</w:t>
      </w:r>
      <w:r w:rsidRPr="001C5CD8">
        <w:t xml:space="preserve">n line with the process adopted for the VIC/ SA tender, the </w:t>
      </w:r>
      <w:r w:rsidR="5747615F">
        <w:t>d</w:t>
      </w:r>
      <w:r w:rsidRPr="001C5CD8">
        <w:t xml:space="preserve">epartment is considering options </w:t>
      </w:r>
      <w:r w:rsidR="00306520">
        <w:t>for the national roll</w:t>
      </w:r>
      <w:r w:rsidR="00B9256F">
        <w:t xml:space="preserve">-out </w:t>
      </w:r>
      <w:r w:rsidRPr="001C5CD8">
        <w:t xml:space="preserve">with engagement </w:t>
      </w:r>
      <w:r>
        <w:t>of</w:t>
      </w:r>
      <w:r w:rsidRPr="001C5CD8">
        <w:t xml:space="preserve"> </w:t>
      </w:r>
      <w:r>
        <w:t>AEMO</w:t>
      </w:r>
      <w:r w:rsidRPr="001C5CD8">
        <w:t xml:space="preserve"> </w:t>
      </w:r>
      <w:r w:rsidR="0001303A">
        <w:t xml:space="preserve">Services Limited </w:t>
      </w:r>
      <w:r w:rsidR="00055F36">
        <w:t xml:space="preserve">(the delivery partner for the NSW </w:t>
      </w:r>
      <w:r w:rsidR="00D81617">
        <w:t>Electricity Infrastructure roadmap)</w:t>
      </w:r>
      <w:r>
        <w:t>, but tender delivery partner arrangements have not been finalised.</w:t>
      </w:r>
    </w:p>
    <w:p w14:paraId="479AE635" w14:textId="69D859BC" w:rsidR="00B64BFE" w:rsidRDefault="00B64BFE" w:rsidP="001600AD">
      <w:pPr>
        <w:pStyle w:val="Heading4"/>
        <w:rPr>
          <w:lang w:val="en-GB" w:eastAsia="en-AU"/>
        </w:rPr>
      </w:pPr>
      <w:r w:rsidRPr="005A1939">
        <w:rPr>
          <w:lang w:val="en-GB" w:eastAsia="en-AU"/>
        </w:rPr>
        <w:lastRenderedPageBreak/>
        <w:t>CIS product and tender process</w:t>
      </w:r>
      <w:r w:rsidR="009F2E45">
        <w:rPr>
          <w:lang w:val="en-GB" w:eastAsia="en-AU"/>
        </w:rPr>
        <w:t xml:space="preserve"> adaptability</w:t>
      </w:r>
    </w:p>
    <w:p w14:paraId="2223AA37" w14:textId="0695B020" w:rsidR="00BC4524" w:rsidRPr="005A1939" w:rsidRDefault="00BC4524" w:rsidP="00005556">
      <w:pPr>
        <w:spacing w:before="240"/>
        <w:rPr>
          <w:lang w:val="en-GB" w:eastAsia="en-AU"/>
        </w:rPr>
      </w:pPr>
      <w:r w:rsidRPr="005A1939">
        <w:rPr>
          <w:lang w:val="en-GB" w:eastAsia="en-AU"/>
        </w:rPr>
        <w:t xml:space="preserve">Certain states and territories have existing schemes in place, and </w:t>
      </w:r>
      <w:bookmarkStart w:id="41" w:name="_Hlk159238552"/>
      <w:r w:rsidR="00210E0E" w:rsidRPr="00210E0E">
        <w:rPr>
          <w:lang w:val="en-GB" w:eastAsia="en-AU"/>
        </w:rPr>
        <w:t xml:space="preserve">CIS underwriting contracts </w:t>
      </w:r>
      <w:r w:rsidR="00210E0E">
        <w:rPr>
          <w:lang w:val="en-GB" w:eastAsia="en-AU"/>
        </w:rPr>
        <w:t>(</w:t>
      </w:r>
      <w:r w:rsidRPr="005A1939">
        <w:rPr>
          <w:lang w:val="en-GB" w:eastAsia="en-AU"/>
        </w:rPr>
        <w:t>CIS</w:t>
      </w:r>
      <w:r w:rsidR="005D7DEF">
        <w:rPr>
          <w:lang w:val="en-GB" w:eastAsia="en-AU"/>
        </w:rPr>
        <w:t>A</w:t>
      </w:r>
      <w:r w:rsidRPr="005A1939">
        <w:rPr>
          <w:lang w:val="en-GB" w:eastAsia="en-AU"/>
        </w:rPr>
        <w:t xml:space="preserve"> product</w:t>
      </w:r>
      <w:r w:rsidR="00F9043F">
        <w:rPr>
          <w:lang w:val="en-GB" w:eastAsia="en-AU"/>
        </w:rPr>
        <w:t>s</w:t>
      </w:r>
      <w:r w:rsidR="00450873">
        <w:rPr>
          <w:lang w:val="en-GB" w:eastAsia="en-AU"/>
        </w:rPr>
        <w:t>)</w:t>
      </w:r>
      <w:r w:rsidRPr="005A1939">
        <w:rPr>
          <w:lang w:val="en-GB" w:eastAsia="en-AU"/>
        </w:rPr>
        <w:t xml:space="preserve"> </w:t>
      </w:r>
      <w:r w:rsidR="00A41B58">
        <w:rPr>
          <w:lang w:val="en-GB" w:eastAsia="en-AU"/>
        </w:rPr>
        <w:t>along with the</w:t>
      </w:r>
      <w:r w:rsidRPr="005A1939">
        <w:rPr>
          <w:lang w:val="en-GB" w:eastAsia="en-AU"/>
        </w:rPr>
        <w:t xml:space="preserve"> tender process </w:t>
      </w:r>
      <w:bookmarkEnd w:id="41"/>
      <w:r w:rsidR="70343943" w:rsidRPr="60A97827">
        <w:rPr>
          <w:lang w:val="en-GB" w:eastAsia="en-AU"/>
        </w:rPr>
        <w:t>will</w:t>
      </w:r>
      <w:r w:rsidRPr="005A1939">
        <w:rPr>
          <w:lang w:val="en-GB" w:eastAsia="en-AU"/>
        </w:rPr>
        <w:t xml:space="preserve"> be </w:t>
      </w:r>
      <w:r w:rsidR="7F7D65B7" w:rsidRPr="60A97827">
        <w:rPr>
          <w:lang w:val="en-GB" w:eastAsia="en-AU"/>
        </w:rPr>
        <w:t>designed</w:t>
      </w:r>
      <w:r w:rsidRPr="005A1939">
        <w:rPr>
          <w:lang w:val="en-GB" w:eastAsia="en-AU"/>
        </w:rPr>
        <w:t xml:space="preserve"> to ensure that the CIS </w:t>
      </w:r>
      <w:r w:rsidR="006736D0">
        <w:rPr>
          <w:lang w:val="en-GB" w:eastAsia="en-AU"/>
        </w:rPr>
        <w:t>complements</w:t>
      </w:r>
      <w:r w:rsidRPr="005A1939">
        <w:rPr>
          <w:lang w:val="en-GB" w:eastAsia="en-AU"/>
        </w:rPr>
        <w:t xml:space="preserve"> those schemes</w:t>
      </w:r>
      <w:r w:rsidR="006736D0">
        <w:rPr>
          <w:lang w:val="en-GB" w:eastAsia="en-AU"/>
        </w:rPr>
        <w:t xml:space="preserve"> and supports </w:t>
      </w:r>
      <w:r w:rsidR="001D7393">
        <w:rPr>
          <w:lang w:val="en-GB" w:eastAsia="en-AU"/>
        </w:rPr>
        <w:t xml:space="preserve">state </w:t>
      </w:r>
      <w:r w:rsidR="006736D0">
        <w:rPr>
          <w:lang w:val="en-GB" w:eastAsia="en-AU"/>
        </w:rPr>
        <w:t xml:space="preserve">and </w:t>
      </w:r>
      <w:r w:rsidR="001D7393">
        <w:rPr>
          <w:lang w:val="en-GB" w:eastAsia="en-AU"/>
        </w:rPr>
        <w:t xml:space="preserve">territory governments </w:t>
      </w:r>
      <w:r w:rsidR="002C162A">
        <w:rPr>
          <w:lang w:val="en-GB" w:eastAsia="en-AU"/>
        </w:rPr>
        <w:t xml:space="preserve">to </w:t>
      </w:r>
      <w:r w:rsidR="006736D0">
        <w:rPr>
          <w:lang w:val="en-GB" w:eastAsia="en-AU"/>
        </w:rPr>
        <w:t>achieve their renewable energy targets</w:t>
      </w:r>
      <w:r w:rsidRPr="005A1939">
        <w:rPr>
          <w:lang w:val="en-GB" w:eastAsia="en-AU"/>
        </w:rPr>
        <w:t xml:space="preserve">. </w:t>
      </w:r>
    </w:p>
    <w:p w14:paraId="4F9C2041" w14:textId="634EEDDB" w:rsidR="00DC09C4" w:rsidRPr="003742B1" w:rsidRDefault="0093581B" w:rsidP="003742B1">
      <w:pPr>
        <w:rPr>
          <w:rFonts w:ascii="Calibri" w:hAnsi="Calibri" w:cs="Calibri"/>
          <w:lang w:eastAsia="en-AU"/>
        </w:rPr>
      </w:pPr>
      <w:r>
        <w:rPr>
          <w:lang w:val="en-GB" w:eastAsia="en-AU"/>
        </w:rPr>
        <w:t>For projects i</w:t>
      </w:r>
      <w:r w:rsidR="00DC09C4" w:rsidRPr="00DC09C4">
        <w:rPr>
          <w:lang w:val="en-GB" w:eastAsia="en-AU"/>
        </w:rPr>
        <w:t xml:space="preserve">n NSW, </w:t>
      </w:r>
      <w:r w:rsidR="00CB6C3A">
        <w:rPr>
          <w:lang w:val="en-GB" w:eastAsia="en-AU"/>
        </w:rPr>
        <w:t>t</w:t>
      </w:r>
      <w:r w:rsidR="001022F9">
        <w:rPr>
          <w:lang w:val="en-GB" w:eastAsia="en-AU"/>
        </w:rPr>
        <w:t xml:space="preserve">he </w:t>
      </w:r>
      <w:r w:rsidR="681F1759" w:rsidRPr="74A5789F">
        <w:rPr>
          <w:lang w:val="en-GB" w:eastAsia="en-AU"/>
        </w:rPr>
        <w:t>d</w:t>
      </w:r>
      <w:r w:rsidR="001022F9">
        <w:rPr>
          <w:lang w:val="en-GB" w:eastAsia="en-AU"/>
        </w:rPr>
        <w:t>epartment’s</w:t>
      </w:r>
      <w:r w:rsidR="00546FC7">
        <w:rPr>
          <w:lang w:val="en-GB" w:eastAsia="en-AU"/>
        </w:rPr>
        <w:t xml:space="preserve"> intention</w:t>
      </w:r>
      <w:r w:rsidR="00CB680B">
        <w:rPr>
          <w:lang w:val="en-GB" w:eastAsia="en-AU"/>
        </w:rPr>
        <w:t xml:space="preserve"> is</w:t>
      </w:r>
      <w:r w:rsidR="00546FC7">
        <w:rPr>
          <w:lang w:val="en-GB" w:eastAsia="en-AU"/>
        </w:rPr>
        <w:t xml:space="preserve"> that </w:t>
      </w:r>
      <w:r w:rsidR="00DC09C4" w:rsidRPr="00DC09C4">
        <w:rPr>
          <w:lang w:val="en-GB" w:eastAsia="en-AU"/>
        </w:rPr>
        <w:t xml:space="preserve">CISA products and tenders will </w:t>
      </w:r>
      <w:r w:rsidR="600F22C5" w:rsidRPr="54BCB974">
        <w:rPr>
          <w:lang w:val="en-GB" w:eastAsia="en-AU"/>
        </w:rPr>
        <w:t xml:space="preserve">be designed to </w:t>
      </w:r>
      <w:r w:rsidR="00DC09C4" w:rsidRPr="00DC09C4">
        <w:rPr>
          <w:lang w:val="en-GB" w:eastAsia="en-AU"/>
        </w:rPr>
        <w:t>meet the requirements of Long</w:t>
      </w:r>
      <w:r w:rsidR="76F4BB5D" w:rsidRPr="7C8F3D15">
        <w:rPr>
          <w:lang w:val="en-GB" w:eastAsia="en-AU"/>
        </w:rPr>
        <w:t>-</w:t>
      </w:r>
      <w:r w:rsidR="00DC09C4" w:rsidRPr="00DC09C4">
        <w:rPr>
          <w:lang w:val="en-GB" w:eastAsia="en-AU"/>
        </w:rPr>
        <w:t>Term Energy Service Agreements and associated tenders under the Electricity Infrastructure Investment Act 2020 (NSW). This w</w:t>
      </w:r>
      <w:r w:rsidR="00546FC7">
        <w:rPr>
          <w:lang w:val="en-GB" w:eastAsia="en-AU"/>
        </w:rPr>
        <w:t>ould</w:t>
      </w:r>
      <w:r w:rsidR="00DC09C4" w:rsidRPr="00DC09C4">
        <w:rPr>
          <w:lang w:val="en-GB" w:eastAsia="en-AU"/>
        </w:rPr>
        <w:t xml:space="preserve"> enable generation project proponents to engage in a single tender for the CIS and the NSW Electricity Infrastructure Roadmap, including those projects seeking access rights in NSW Renewable Energy Zones.</w:t>
      </w:r>
      <w:r w:rsidR="003742B1">
        <w:rPr>
          <w:lang w:val="en-GB" w:eastAsia="en-AU"/>
        </w:rPr>
        <w:t xml:space="preserve"> </w:t>
      </w:r>
      <w:r w:rsidR="003742B1">
        <w:t>Alternatively, if this cannot be agreed in time, to avoid duplication, the first national auction could be conducted in all states except NSW.</w:t>
      </w:r>
    </w:p>
    <w:p w14:paraId="56E2045C" w14:textId="09E80538" w:rsidR="00BC4524" w:rsidRPr="005A1939" w:rsidRDefault="00BC4524" w:rsidP="00BC4524">
      <w:pPr>
        <w:rPr>
          <w:lang w:val="en-GB" w:eastAsia="en-AU"/>
        </w:rPr>
      </w:pPr>
      <w:r w:rsidRPr="005A1939">
        <w:rPr>
          <w:lang w:val="en-GB" w:eastAsia="en-AU"/>
        </w:rPr>
        <w:t xml:space="preserve">Australia’s energy markets are in </w:t>
      </w:r>
      <w:r w:rsidR="00877ACE">
        <w:rPr>
          <w:lang w:val="en-GB" w:eastAsia="en-AU"/>
        </w:rPr>
        <w:t xml:space="preserve">a </w:t>
      </w:r>
      <w:r w:rsidRPr="005A1939">
        <w:rPr>
          <w:lang w:val="en-GB" w:eastAsia="en-AU"/>
        </w:rPr>
        <w:t xml:space="preserve">period of substantial </w:t>
      </w:r>
      <w:r w:rsidR="00DA54D3">
        <w:rPr>
          <w:lang w:val="en-GB" w:eastAsia="en-AU"/>
        </w:rPr>
        <w:t>change</w:t>
      </w:r>
      <w:r w:rsidRPr="005A1939">
        <w:rPr>
          <w:lang w:val="en-GB" w:eastAsia="en-AU"/>
        </w:rPr>
        <w:t>. The CIS is designed to accommodate new and changing business models and to provide investors with the confidence to continue to develop projects in this environment of change</w:t>
      </w:r>
      <w:r w:rsidRPr="00991CDB">
        <w:rPr>
          <w:lang w:val="en-GB" w:eastAsia="en-AU"/>
        </w:rPr>
        <w:t xml:space="preserve">. </w:t>
      </w:r>
      <w:r w:rsidRPr="00E31955">
        <w:rPr>
          <w:lang w:val="en-GB" w:eastAsia="en-AU"/>
        </w:rPr>
        <w:t>The CIS aims to complement the current reliability framework and support the entry of new investments during a period of rapid transformation</w:t>
      </w:r>
      <w:r w:rsidRPr="00991CDB">
        <w:rPr>
          <w:lang w:val="en-GB" w:eastAsia="en-AU"/>
        </w:rPr>
        <w:t>.</w:t>
      </w:r>
    </w:p>
    <w:p w14:paraId="496E31AF" w14:textId="58CC936B" w:rsidR="00AB0088" w:rsidRPr="004429F4" w:rsidRDefault="004429F4" w:rsidP="004429F4">
      <w:pPr>
        <w:rPr>
          <w:lang w:val="en-GB" w:eastAsia="en-AU"/>
        </w:rPr>
      </w:pPr>
      <w:r w:rsidRPr="004429F4">
        <w:rPr>
          <w:lang w:val="en-GB" w:eastAsia="en-AU"/>
        </w:rPr>
        <w:t xml:space="preserve">The </w:t>
      </w:r>
      <w:r w:rsidR="007B5C18" w:rsidRPr="00DA54D3">
        <w:t>CISA products</w:t>
      </w:r>
      <w:r w:rsidRPr="004429F4">
        <w:rPr>
          <w:lang w:val="en-GB" w:eastAsia="en-AU"/>
        </w:rPr>
        <w:t xml:space="preserve"> will require successful projects to participate in Australia’s electricity markets, ensuring that they add new renewable</w:t>
      </w:r>
      <w:r w:rsidR="00BD455B">
        <w:rPr>
          <w:lang w:val="en-GB" w:eastAsia="en-AU"/>
        </w:rPr>
        <w:t xml:space="preserve"> capacity</w:t>
      </w:r>
      <w:r w:rsidRPr="004429F4">
        <w:rPr>
          <w:lang w:val="en-GB" w:eastAsia="en-AU"/>
        </w:rPr>
        <w:t xml:space="preserve"> and clean dispatchable capacity. There are minimal additional requirements imposed on CIS projects and these would be limited to emergencies such as Lack of Reserve (LOR) level 3 events in the case of clean dispatchable capacity.</w:t>
      </w:r>
    </w:p>
    <w:p w14:paraId="562E291A" w14:textId="1C17FA7A" w:rsidR="00B52BA3" w:rsidRDefault="00936633" w:rsidP="273E437E">
      <w:pPr>
        <w:pStyle w:val="Heading3"/>
        <w:spacing w:line="259" w:lineRule="auto"/>
        <w:ind w:left="964" w:hanging="964"/>
      </w:pPr>
      <w:bookmarkStart w:id="42" w:name="_Toc159336323"/>
      <w:bookmarkStart w:id="43" w:name="_Toc160117891"/>
      <w:bookmarkEnd w:id="42"/>
      <w:r>
        <w:t>Proposed CIS tender schedule and allocation</w:t>
      </w:r>
      <w:bookmarkEnd w:id="43"/>
    </w:p>
    <w:p w14:paraId="47C83BAC" w14:textId="1221A3C4" w:rsidR="00EB7EDD" w:rsidRPr="00EB7EDD" w:rsidRDefault="007623ED" w:rsidP="00135093">
      <w:pPr>
        <w:pStyle w:val="Heading4"/>
      </w:pPr>
      <w:r>
        <w:t>Proposed</w:t>
      </w:r>
      <w:r w:rsidRPr="00E820A8">
        <w:t xml:space="preserve"> </w:t>
      </w:r>
      <w:r w:rsidR="00E820A8" w:rsidRPr="00E820A8">
        <w:t>schedule</w:t>
      </w:r>
      <w:r w:rsidR="002D6CA8">
        <w:t xml:space="preserve"> for </w:t>
      </w:r>
      <w:r w:rsidR="00A847EF">
        <w:t>NEM CIS tenders</w:t>
      </w:r>
    </w:p>
    <w:p w14:paraId="195EB09A" w14:textId="257383B4" w:rsidR="001A3E75" w:rsidRDefault="00B52BA3" w:rsidP="005A5A18">
      <w:pPr>
        <w:spacing w:before="240"/>
      </w:pPr>
      <w:r w:rsidRPr="0065139B">
        <w:rPr>
          <w:lang w:val="en-GB" w:eastAsia="en-AU"/>
        </w:rPr>
        <w:t>Future CIS tenders are planned to commence from Q2 2024 with regular, competitive tenders held</w:t>
      </w:r>
      <w:r>
        <w:rPr>
          <w:lang w:val="en-GB" w:eastAsia="en-AU"/>
        </w:rPr>
        <w:t xml:space="preserve">, </w:t>
      </w:r>
      <w:r w:rsidRPr="0065139B">
        <w:rPr>
          <w:lang w:val="en-GB" w:eastAsia="en-AU"/>
        </w:rPr>
        <w:t>until 20</w:t>
      </w:r>
      <w:r>
        <w:rPr>
          <w:lang w:val="en-GB" w:eastAsia="en-AU"/>
        </w:rPr>
        <w:t>27</w:t>
      </w:r>
      <w:r w:rsidRPr="0065139B">
        <w:rPr>
          <w:lang w:val="en-GB" w:eastAsia="en-AU"/>
        </w:rPr>
        <w:t xml:space="preserve">. </w:t>
      </w:r>
      <w:r w:rsidRPr="00226599">
        <w:t xml:space="preserve">CIS tenders in NEM </w:t>
      </w:r>
      <w:bookmarkStart w:id="44" w:name="_Int_Xea0dGJd"/>
      <w:r w:rsidRPr="00226599">
        <w:t>jurisdictions</w:t>
      </w:r>
      <w:bookmarkEnd w:id="44"/>
      <w:r w:rsidRPr="00226599">
        <w:t xml:space="preserve"> are expected to </w:t>
      </w:r>
      <w:r w:rsidR="004F4EA7">
        <w:t xml:space="preserve">commence </w:t>
      </w:r>
      <w:bookmarkStart w:id="45" w:name="_Int_S05twNYW"/>
      <w:r w:rsidR="004A305D">
        <w:t xml:space="preserve">approximately </w:t>
      </w:r>
      <w:r w:rsidRPr="00226599">
        <w:t>every</w:t>
      </w:r>
      <w:bookmarkEnd w:id="45"/>
      <w:r w:rsidRPr="00226599">
        <w:t xml:space="preserve"> 6</w:t>
      </w:r>
      <w:r w:rsidR="00337937">
        <w:t> </w:t>
      </w:r>
      <w:r w:rsidRPr="00226599">
        <w:t xml:space="preserve">months. </w:t>
      </w:r>
      <w:r w:rsidR="006C61D9">
        <w:t>T</w:t>
      </w:r>
      <w:r w:rsidRPr="00074280">
        <w:t xml:space="preserve">he </w:t>
      </w:r>
      <w:r w:rsidR="006C61D9">
        <w:t xml:space="preserve">planned </w:t>
      </w:r>
      <w:r w:rsidRPr="00074280">
        <w:t xml:space="preserve">Q2 2024 CIS tender </w:t>
      </w:r>
      <w:r w:rsidR="001A3E75">
        <w:t>will include:</w:t>
      </w:r>
    </w:p>
    <w:p w14:paraId="06C37788" w14:textId="75534386" w:rsidR="249BA61D" w:rsidRDefault="249BA61D" w:rsidP="7B34228F">
      <w:pPr>
        <w:pStyle w:val="ListParagraph"/>
        <w:numPr>
          <w:ilvl w:val="0"/>
          <w:numId w:val="27"/>
        </w:numPr>
        <w:spacing w:before="240"/>
        <w:rPr>
          <w:rFonts w:eastAsia="Calibri"/>
          <w:color w:val="000000" w:themeColor="text1"/>
        </w:rPr>
      </w:pPr>
      <w:r w:rsidRPr="7B34228F">
        <w:rPr>
          <w:rFonts w:eastAsia="Calibri"/>
          <w:color w:val="000000" w:themeColor="text1"/>
        </w:rPr>
        <w:t xml:space="preserve">In Q2 2024, invitation for NEM-wide bids from projects seeking a Generation CISA, with an indicative target of 6 GW renewable </w:t>
      </w:r>
      <w:proofErr w:type="gramStart"/>
      <w:r w:rsidRPr="7B34228F">
        <w:rPr>
          <w:rFonts w:eastAsia="Calibri"/>
          <w:color w:val="000000" w:themeColor="text1"/>
        </w:rPr>
        <w:t>capacity</w:t>
      </w:r>
      <w:proofErr w:type="gramEnd"/>
    </w:p>
    <w:p w14:paraId="11C201C1" w14:textId="0C7E2652" w:rsidR="249BA61D" w:rsidRDefault="249BA61D" w:rsidP="7B34228F">
      <w:pPr>
        <w:pStyle w:val="ListParagraph"/>
        <w:numPr>
          <w:ilvl w:val="0"/>
          <w:numId w:val="27"/>
        </w:numPr>
        <w:spacing w:before="240"/>
        <w:rPr>
          <w:rFonts w:eastAsia="Calibri"/>
          <w:color w:val="000000" w:themeColor="text1"/>
        </w:rPr>
      </w:pPr>
      <w:r w:rsidRPr="7B34228F">
        <w:rPr>
          <w:rFonts w:eastAsia="Calibri"/>
          <w:color w:val="000000" w:themeColor="text1"/>
        </w:rPr>
        <w:t xml:space="preserve">In Q4 2024, </w:t>
      </w:r>
      <w:r w:rsidRPr="7B34228F">
        <w:rPr>
          <w:rFonts w:eastAsia="Calibri"/>
          <w:color w:val="000000" w:themeColor="text1"/>
          <w:lang w:val="en-GB"/>
        </w:rPr>
        <w:t>invitation for NEM-wide bids for 4 GW of renewable capacity and 3 GW of dispatchable capacity.</w:t>
      </w:r>
    </w:p>
    <w:p w14:paraId="0DB30A1F" w14:textId="23C0CC3A" w:rsidR="00B52BA3" w:rsidRDefault="00804EBC" w:rsidP="005A5A18">
      <w:pPr>
        <w:spacing w:before="240"/>
      </w:pPr>
      <w:r w:rsidRPr="0065139B">
        <w:t xml:space="preserve">A </w:t>
      </w:r>
      <w:r>
        <w:t>proposed</w:t>
      </w:r>
      <w:r w:rsidRPr="0065139B">
        <w:t xml:space="preserve"> schedule</w:t>
      </w:r>
      <w:r w:rsidR="00986D1E">
        <w:t xml:space="preserve"> </w:t>
      </w:r>
      <w:r w:rsidR="007C2C58">
        <w:t xml:space="preserve">with </w:t>
      </w:r>
      <w:r w:rsidR="000077BE">
        <w:t>indicative date</w:t>
      </w:r>
      <w:r w:rsidR="007C2C58">
        <w:t>s</w:t>
      </w:r>
      <w:r w:rsidR="00633A44">
        <w:t xml:space="preserve"> </w:t>
      </w:r>
      <w:r w:rsidR="00633A44" w:rsidRPr="0065139B">
        <w:t>is</w:t>
      </w:r>
      <w:r w:rsidRPr="0065139B">
        <w:t xml:space="preserve"> shown in</w:t>
      </w:r>
      <w:r w:rsidR="003F45B4">
        <w:t xml:space="preserve"> </w:t>
      </w:r>
      <w:r w:rsidR="003F45B4">
        <w:fldChar w:fldCharType="begin"/>
      </w:r>
      <w:r w:rsidR="003F45B4">
        <w:instrText xml:space="preserve"> REF _Ref160106656 \h </w:instrText>
      </w:r>
      <w:r w:rsidR="003F45B4">
        <w:fldChar w:fldCharType="separate"/>
      </w:r>
      <w:r w:rsidR="00590988">
        <w:t xml:space="preserve">Figure </w:t>
      </w:r>
      <w:r w:rsidR="00590988">
        <w:rPr>
          <w:noProof/>
        </w:rPr>
        <w:t>2</w:t>
      </w:r>
      <w:r w:rsidR="003F45B4">
        <w:fldChar w:fldCharType="end"/>
      </w:r>
      <w:r>
        <w:t>.</w:t>
      </w:r>
    </w:p>
    <w:p w14:paraId="05A1EAA7" w14:textId="104CC732" w:rsidR="009B5E84" w:rsidRPr="00B10184" w:rsidRDefault="00F2713D" w:rsidP="00A17668">
      <w:pPr>
        <w:pStyle w:val="Caption"/>
      </w:pPr>
      <w:bookmarkStart w:id="46" w:name="_Ref160106656"/>
      <w:bookmarkStart w:id="47" w:name="_Toc160105893"/>
      <w:r>
        <w:lastRenderedPageBreak/>
        <w:t xml:space="preserve">Figure </w:t>
      </w:r>
      <w:fldSimple w:instr=" SEQ Figure \* ARABIC ">
        <w:r w:rsidR="00590988">
          <w:rPr>
            <w:noProof/>
          </w:rPr>
          <w:t>2</w:t>
        </w:r>
      </w:fldSimple>
      <w:bookmarkEnd w:id="46"/>
      <w:r>
        <w:t xml:space="preserve"> </w:t>
      </w:r>
      <w:r w:rsidR="00423BE8">
        <w:t>Indicative tender</w:t>
      </w:r>
      <w:r w:rsidRPr="005705FF">
        <w:t xml:space="preserve"> schedule for NEM CIS tenders by date</w:t>
      </w:r>
      <w:r w:rsidR="00423BE8">
        <w:t>, subject to RETA</w:t>
      </w:r>
      <w:r w:rsidR="00525085">
        <w:t xml:space="preserve"> negotiations</w:t>
      </w:r>
      <w:r>
        <w:rPr>
          <w:rStyle w:val="FootnoteReference"/>
          <w:sz w:val="22"/>
          <w:szCs w:val="16"/>
        </w:rPr>
        <w:footnoteReference w:id="7"/>
      </w:r>
      <w:bookmarkEnd w:id="47"/>
      <w:r w:rsidR="001F0916" w:rsidRPr="001F0916">
        <w:rPr>
          <w:noProof/>
        </w:rPr>
        <w:t xml:space="preserve"> </w:t>
      </w:r>
      <w:r w:rsidR="001F0916" w:rsidRPr="001F0916">
        <w:rPr>
          <w:noProof/>
        </w:rPr>
        <w:drawing>
          <wp:inline distT="0" distB="0" distL="0" distR="0" wp14:anchorId="02122FB7" wp14:editId="1D5E36C8">
            <wp:extent cx="5759450" cy="2598420"/>
            <wp:effectExtent l="0" t="0" r="0" b="0"/>
            <wp:docPr id="54" name="Picture 53" descr="Generation tenders starts 1st half 2024 followed by 5 more every 6 months from 1st half of 2025 for a total of 6. Clean dispatchable tenders start in 2nd half of 2024 every 6 months for a total of 6.">
              <a:extLst xmlns:a="http://schemas.openxmlformats.org/drawingml/2006/main">
                <a:ext uri="{FF2B5EF4-FFF2-40B4-BE49-F238E27FC236}">
                  <a16:creationId xmlns:a16="http://schemas.microsoft.com/office/drawing/2014/main" id="{D5CD1E4A-8855-FA80-6929-900CB0F85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Generation tenders starts 1st half 2024 followed by 5 more every 6 months from 1st half of 2025 for a total of 6. Clean dispatchable tenders start in 2nd half of 2024 every 6 months for a total of 6.">
                      <a:extLst>
                        <a:ext uri="{FF2B5EF4-FFF2-40B4-BE49-F238E27FC236}">
                          <a16:creationId xmlns:a16="http://schemas.microsoft.com/office/drawing/2014/main" id="{D5CD1E4A-8855-FA80-6929-900CB0F85067}"/>
                        </a:ext>
                      </a:extLst>
                    </pic:cNvPr>
                    <pic:cNvPicPr>
                      <a:picLocks noChangeAspect="1"/>
                    </pic:cNvPicPr>
                  </pic:nvPicPr>
                  <pic:blipFill>
                    <a:blip r:embed="rId25"/>
                    <a:stretch>
                      <a:fillRect/>
                    </a:stretch>
                  </pic:blipFill>
                  <pic:spPr>
                    <a:xfrm>
                      <a:off x="0" y="0"/>
                      <a:ext cx="5759450" cy="2598420"/>
                    </a:xfrm>
                    <a:prstGeom prst="rect">
                      <a:avLst/>
                    </a:prstGeom>
                  </pic:spPr>
                </pic:pic>
              </a:graphicData>
            </a:graphic>
          </wp:inline>
        </w:drawing>
      </w:r>
    </w:p>
    <w:p w14:paraId="5E703D6C" w14:textId="1AD54403" w:rsidR="0018383C" w:rsidRDefault="0018383C" w:rsidP="0018383C">
      <w:pPr>
        <w:spacing w:before="240"/>
        <w:rPr>
          <w:lang w:val="en-GB" w:eastAsia="en-AU"/>
        </w:rPr>
      </w:pPr>
      <w:r>
        <w:rPr>
          <w:lang w:val="en-GB" w:eastAsia="en-AU"/>
        </w:rPr>
        <w:t xml:space="preserve">The </w:t>
      </w:r>
      <w:r w:rsidR="504211C7" w:rsidRPr="2EF97A5A">
        <w:rPr>
          <w:lang w:val="en-GB" w:eastAsia="en-AU"/>
        </w:rPr>
        <w:t xml:space="preserve">Australian </w:t>
      </w:r>
      <w:r w:rsidR="504211C7" w:rsidRPr="03A471CA">
        <w:rPr>
          <w:lang w:val="en-GB" w:eastAsia="en-AU"/>
        </w:rPr>
        <w:t>Government’s</w:t>
      </w:r>
      <w:r w:rsidRPr="2EF97A5A">
        <w:rPr>
          <w:lang w:val="en-GB" w:eastAsia="en-AU"/>
        </w:rPr>
        <w:t xml:space="preserve"> </w:t>
      </w:r>
      <w:r w:rsidRPr="00D63365">
        <w:rPr>
          <w:lang w:val="en-GB" w:eastAsia="en-AU"/>
        </w:rPr>
        <w:t xml:space="preserve">preferred position is 6-monthly tenders for both </w:t>
      </w:r>
      <w:r w:rsidR="001F0CB2">
        <w:rPr>
          <w:lang w:val="en-GB" w:eastAsia="en-AU"/>
        </w:rPr>
        <w:t>r</w:t>
      </w:r>
      <w:r w:rsidR="00C82562">
        <w:rPr>
          <w:lang w:val="en-GB" w:eastAsia="en-AU"/>
        </w:rPr>
        <w:t xml:space="preserve">enewable </w:t>
      </w:r>
      <w:r w:rsidR="001F0CB2">
        <w:rPr>
          <w:lang w:val="en-GB" w:eastAsia="en-AU"/>
        </w:rPr>
        <w:t>c</w:t>
      </w:r>
      <w:r w:rsidR="00C82562">
        <w:rPr>
          <w:lang w:val="en-GB" w:eastAsia="en-AU"/>
        </w:rPr>
        <w:t>apacity</w:t>
      </w:r>
      <w:r w:rsidRPr="00D63365">
        <w:rPr>
          <w:lang w:val="en-GB" w:eastAsia="en-AU"/>
        </w:rPr>
        <w:t xml:space="preserve"> and</w:t>
      </w:r>
      <w:r w:rsidR="00C82562">
        <w:rPr>
          <w:lang w:val="en-GB" w:eastAsia="en-AU"/>
        </w:rPr>
        <w:t xml:space="preserve"> </w:t>
      </w:r>
      <w:r w:rsidR="001F0CB2">
        <w:rPr>
          <w:lang w:val="en-GB" w:eastAsia="en-AU"/>
        </w:rPr>
        <w:t>c</w:t>
      </w:r>
      <w:r w:rsidR="00C82562">
        <w:rPr>
          <w:lang w:val="en-GB" w:eastAsia="en-AU"/>
        </w:rPr>
        <w:t xml:space="preserve">lean </w:t>
      </w:r>
      <w:r w:rsidR="001F0CB2">
        <w:rPr>
          <w:lang w:val="en-GB" w:eastAsia="en-AU"/>
        </w:rPr>
        <w:t>d</w:t>
      </w:r>
      <w:r w:rsidR="00C82562">
        <w:rPr>
          <w:lang w:val="en-GB" w:eastAsia="en-AU"/>
        </w:rPr>
        <w:t xml:space="preserve">ispatchable </w:t>
      </w:r>
      <w:r w:rsidR="001F0CB2">
        <w:rPr>
          <w:lang w:val="en-GB" w:eastAsia="en-AU"/>
        </w:rPr>
        <w:t>c</w:t>
      </w:r>
      <w:r w:rsidR="00C82562">
        <w:rPr>
          <w:lang w:val="en-GB" w:eastAsia="en-AU"/>
        </w:rPr>
        <w:t>apacity</w:t>
      </w:r>
      <w:r w:rsidRPr="00D63365">
        <w:rPr>
          <w:lang w:val="en-GB" w:eastAsia="en-AU"/>
        </w:rPr>
        <w:t xml:space="preserve"> starting with the </w:t>
      </w:r>
      <w:r>
        <w:rPr>
          <w:lang w:val="en-GB" w:eastAsia="en-AU"/>
        </w:rPr>
        <w:t>fourth tender</w:t>
      </w:r>
      <w:r w:rsidR="009A5B8E">
        <w:rPr>
          <w:lang w:val="en-GB" w:eastAsia="en-AU"/>
        </w:rPr>
        <w:t xml:space="preserve"> in Q4 2024</w:t>
      </w:r>
      <w:r w:rsidRPr="00D63365">
        <w:rPr>
          <w:lang w:val="en-GB" w:eastAsia="en-AU"/>
        </w:rPr>
        <w:t>,</w:t>
      </w:r>
      <w:r>
        <w:rPr>
          <w:lang w:val="en-GB" w:eastAsia="en-AU"/>
        </w:rPr>
        <w:t xml:space="preserve"> to:</w:t>
      </w:r>
    </w:p>
    <w:p w14:paraId="12F1524C" w14:textId="77777777" w:rsidR="0018383C" w:rsidRDefault="0018383C" w:rsidP="00994BBE">
      <w:pPr>
        <w:pStyle w:val="ListBullet"/>
        <w:rPr>
          <w:lang w:val="en-GB" w:eastAsia="en-AU"/>
        </w:rPr>
      </w:pPr>
      <w:r>
        <w:rPr>
          <w:lang w:val="en-GB" w:eastAsia="en-AU"/>
        </w:rPr>
        <w:t>Enable proponents to tender at a time that best aligns with their project development and financing schedule.</w:t>
      </w:r>
    </w:p>
    <w:p w14:paraId="4EEEDCF7" w14:textId="77777777" w:rsidR="0018383C" w:rsidRDefault="0018383C" w:rsidP="00994BBE">
      <w:pPr>
        <w:pStyle w:val="ListBullet"/>
        <w:rPr>
          <w:lang w:val="en-GB" w:eastAsia="en-AU"/>
        </w:rPr>
      </w:pPr>
      <w:r>
        <w:rPr>
          <w:lang w:val="en-GB" w:eastAsia="en-AU"/>
        </w:rPr>
        <w:t>A</w:t>
      </w:r>
      <w:r w:rsidRPr="00613EBD">
        <w:rPr>
          <w:lang w:val="en-GB" w:eastAsia="en-AU"/>
        </w:rPr>
        <w:t xml:space="preserve">void </w:t>
      </w:r>
      <w:r>
        <w:rPr>
          <w:lang w:val="en-GB" w:eastAsia="en-AU"/>
        </w:rPr>
        <w:t xml:space="preserve">excessive </w:t>
      </w:r>
      <w:r w:rsidRPr="00613EBD">
        <w:rPr>
          <w:lang w:val="en-GB" w:eastAsia="en-AU"/>
        </w:rPr>
        <w:t>bunching of projects</w:t>
      </w:r>
      <w:r>
        <w:rPr>
          <w:lang w:val="en-GB" w:eastAsia="en-AU"/>
        </w:rPr>
        <w:t xml:space="preserve"> and associated stress on supply chains, market processes, and enabling industries.</w:t>
      </w:r>
    </w:p>
    <w:p w14:paraId="26EE035B" w14:textId="00731C30" w:rsidR="0018383C" w:rsidRPr="00E60F7A" w:rsidRDefault="0018383C" w:rsidP="00E60F7A">
      <w:pPr>
        <w:pStyle w:val="ListBullet"/>
        <w:rPr>
          <w:rFonts w:ascii="Calibri" w:hAnsi="Calibri" w:cs="Calibri"/>
          <w:lang w:val="en-GB" w:eastAsia="en-AU"/>
        </w:rPr>
      </w:pPr>
      <w:r>
        <w:rPr>
          <w:lang w:val="en-GB" w:eastAsia="en-AU"/>
        </w:rPr>
        <w:t>Enable easier participation of hybrid dispatchable and variable projects.</w:t>
      </w:r>
    </w:p>
    <w:p w14:paraId="221BF099" w14:textId="0CCFA7F4" w:rsidR="0072532F" w:rsidRDefault="007C2C58" w:rsidP="00407220">
      <w:pPr>
        <w:rPr>
          <w:lang w:val="en-GB"/>
        </w:rPr>
      </w:pPr>
      <w:r>
        <w:rPr>
          <w:lang w:val="en-GB"/>
        </w:rPr>
        <w:t xml:space="preserve">It is </w:t>
      </w:r>
      <w:r w:rsidR="001339BC">
        <w:rPr>
          <w:lang w:val="en-GB"/>
        </w:rPr>
        <w:t xml:space="preserve">expected that </w:t>
      </w:r>
      <w:r w:rsidR="00BD14E1">
        <w:rPr>
          <w:lang w:val="en-GB"/>
        </w:rPr>
        <w:t xml:space="preserve">the process between </w:t>
      </w:r>
      <w:r w:rsidR="007E118E">
        <w:rPr>
          <w:lang w:val="en-GB"/>
        </w:rPr>
        <w:t xml:space="preserve">a tender opening and the announcement of successful projects will take </w:t>
      </w:r>
      <w:bookmarkStart w:id="48" w:name="_Int_pwQPjXBJ"/>
      <w:r w:rsidR="007E118E">
        <w:rPr>
          <w:lang w:val="en-GB"/>
        </w:rPr>
        <w:t>approximately 6-8</w:t>
      </w:r>
      <w:bookmarkEnd w:id="48"/>
      <w:r w:rsidR="007E118E">
        <w:rPr>
          <w:lang w:val="en-GB"/>
        </w:rPr>
        <w:t xml:space="preserve"> months. </w:t>
      </w:r>
      <w:r w:rsidR="00C377D3">
        <w:rPr>
          <w:lang w:val="en-GB"/>
        </w:rPr>
        <w:t>I</w:t>
      </w:r>
      <w:r>
        <w:rPr>
          <w:lang w:val="en-GB"/>
        </w:rPr>
        <w:t xml:space="preserve">t is </w:t>
      </w:r>
      <w:r w:rsidRPr="00D51EA2">
        <w:rPr>
          <w:lang w:val="en-GB"/>
        </w:rPr>
        <w:t>recognise</w:t>
      </w:r>
      <w:r>
        <w:rPr>
          <w:lang w:val="en-GB"/>
        </w:rPr>
        <w:t>d</w:t>
      </w:r>
      <w:r w:rsidRPr="00D51EA2">
        <w:rPr>
          <w:lang w:val="en-GB"/>
        </w:rPr>
        <w:t xml:space="preserve"> that the proposed </w:t>
      </w:r>
      <w:r>
        <w:rPr>
          <w:lang w:val="en-GB"/>
        </w:rPr>
        <w:t>schedule</w:t>
      </w:r>
      <w:r w:rsidRPr="00D51EA2">
        <w:rPr>
          <w:lang w:val="en-GB"/>
        </w:rPr>
        <w:t xml:space="preserve"> of tenders may </w:t>
      </w:r>
      <w:r w:rsidR="006E215F">
        <w:rPr>
          <w:lang w:val="en-GB"/>
        </w:rPr>
        <w:t>result in</w:t>
      </w:r>
      <w:r w:rsidR="00DD3CCD">
        <w:rPr>
          <w:lang w:val="en-GB"/>
        </w:rPr>
        <w:t xml:space="preserve"> a new </w:t>
      </w:r>
      <w:r w:rsidR="00A72BE9">
        <w:rPr>
          <w:lang w:val="en-GB"/>
        </w:rPr>
        <w:t xml:space="preserve">tender opening before proponents receive </w:t>
      </w:r>
      <w:r w:rsidR="007E118E">
        <w:rPr>
          <w:lang w:val="en-GB"/>
        </w:rPr>
        <w:t xml:space="preserve">confirmation of whether </w:t>
      </w:r>
      <w:r w:rsidR="00500DE6">
        <w:rPr>
          <w:lang w:val="en-GB"/>
        </w:rPr>
        <w:t>their bid to the previous tender was successful.</w:t>
      </w:r>
      <w:r w:rsidR="00C377D3">
        <w:rPr>
          <w:lang w:val="en-GB"/>
        </w:rPr>
        <w:t xml:space="preserve"> Given the magnitude of the scheme, it is considered that a larger number of auctions are needed to help ensure an even spread of projects over the life of the scheme and help proponents manage supply chain and labour force issues.</w:t>
      </w:r>
      <w:r w:rsidRPr="00D51EA2">
        <w:rPr>
          <w:lang w:val="en-GB"/>
        </w:rPr>
        <w:t xml:space="preserve"> </w:t>
      </w:r>
    </w:p>
    <w:p w14:paraId="68BD2481" w14:textId="7DE011E8" w:rsidR="00A6200C" w:rsidRDefault="0072532F" w:rsidP="00407220">
      <w:pPr>
        <w:rPr>
          <w:lang w:val="en-GB"/>
        </w:rPr>
      </w:pPr>
      <w:r>
        <w:rPr>
          <w:lang w:val="en-GB"/>
        </w:rPr>
        <w:t>Th</w:t>
      </w:r>
      <w:r w:rsidR="00C377D3">
        <w:rPr>
          <w:lang w:val="en-GB"/>
        </w:rPr>
        <w:t>e</w:t>
      </w:r>
      <w:r>
        <w:rPr>
          <w:lang w:val="en-GB"/>
        </w:rPr>
        <w:t xml:space="preserve"> risk</w:t>
      </w:r>
      <w:r w:rsidR="00C377D3">
        <w:rPr>
          <w:lang w:val="en-GB"/>
        </w:rPr>
        <w:t xml:space="preserve"> of additional costs arising from this overlap in bidding periods</w:t>
      </w:r>
      <w:r>
        <w:rPr>
          <w:lang w:val="en-GB"/>
        </w:rPr>
        <w:t xml:space="preserve"> </w:t>
      </w:r>
      <w:r w:rsidR="00C377D3">
        <w:rPr>
          <w:lang w:val="en-GB"/>
        </w:rPr>
        <w:t xml:space="preserve">will </w:t>
      </w:r>
      <w:r>
        <w:rPr>
          <w:lang w:val="en-GB"/>
        </w:rPr>
        <w:t xml:space="preserve">be mitigated by limiting </w:t>
      </w:r>
      <w:r w:rsidR="00C90D82">
        <w:rPr>
          <w:lang w:val="en-GB"/>
        </w:rPr>
        <w:t xml:space="preserve">the </w:t>
      </w:r>
      <w:r w:rsidR="00E1547E">
        <w:rPr>
          <w:lang w:val="en-GB"/>
        </w:rPr>
        <w:t>detail required for a Stage A bid</w:t>
      </w:r>
      <w:r w:rsidR="00935E8B">
        <w:rPr>
          <w:lang w:val="en-GB"/>
        </w:rPr>
        <w:t xml:space="preserve">. Proponents would have received </w:t>
      </w:r>
      <w:r w:rsidR="00946579">
        <w:rPr>
          <w:lang w:val="en-GB"/>
        </w:rPr>
        <w:t xml:space="preserve">confirmation of the success of their previous bid before needing to develop their Stage B bid, including the financial bid. (Further details on the assessment process are </w:t>
      </w:r>
      <w:r w:rsidR="007D5B4A">
        <w:rPr>
          <w:lang w:val="en-GB"/>
        </w:rPr>
        <w:t>in</w:t>
      </w:r>
      <w:r w:rsidR="00946579">
        <w:rPr>
          <w:lang w:val="en-GB"/>
        </w:rPr>
        <w:t xml:space="preserve"> </w:t>
      </w:r>
      <w:r w:rsidR="007D5B4A">
        <w:rPr>
          <w:lang w:val="en-GB"/>
        </w:rPr>
        <w:t>s</w:t>
      </w:r>
      <w:r w:rsidR="00946579">
        <w:rPr>
          <w:lang w:val="en-GB"/>
        </w:rPr>
        <w:t>ection</w:t>
      </w:r>
      <w:r w:rsidR="007D5B4A">
        <w:rPr>
          <w:lang w:val="en-GB"/>
        </w:rPr>
        <w:t>s</w:t>
      </w:r>
      <w:r w:rsidR="00946579">
        <w:rPr>
          <w:lang w:val="en-GB"/>
        </w:rPr>
        <w:t xml:space="preserve"> </w:t>
      </w:r>
      <w:r w:rsidR="007D5B4A">
        <w:rPr>
          <w:lang w:val="en-GB"/>
        </w:rPr>
        <w:fldChar w:fldCharType="begin"/>
      </w:r>
      <w:r w:rsidR="007D5B4A">
        <w:rPr>
          <w:lang w:val="en-GB"/>
        </w:rPr>
        <w:instrText xml:space="preserve"> REF _Ref160107127 \r \h </w:instrText>
      </w:r>
      <w:r w:rsidR="007D5B4A">
        <w:rPr>
          <w:lang w:val="en-GB"/>
        </w:rPr>
      </w:r>
      <w:r w:rsidR="007D5B4A">
        <w:rPr>
          <w:lang w:val="en-GB"/>
        </w:rPr>
        <w:fldChar w:fldCharType="separate"/>
      </w:r>
      <w:r w:rsidR="00590988">
        <w:rPr>
          <w:lang w:val="en-GB"/>
        </w:rPr>
        <w:t>4.4.2</w:t>
      </w:r>
      <w:r w:rsidR="007D5B4A">
        <w:rPr>
          <w:lang w:val="en-GB"/>
        </w:rPr>
        <w:fldChar w:fldCharType="end"/>
      </w:r>
      <w:r w:rsidR="00946579">
        <w:rPr>
          <w:lang w:val="en-GB"/>
        </w:rPr>
        <w:t xml:space="preserve"> and </w:t>
      </w:r>
      <w:r w:rsidR="007D5B4A">
        <w:rPr>
          <w:lang w:val="en-GB"/>
        </w:rPr>
        <w:fldChar w:fldCharType="begin"/>
      </w:r>
      <w:r w:rsidR="007D5B4A">
        <w:rPr>
          <w:lang w:val="en-GB"/>
        </w:rPr>
        <w:instrText xml:space="preserve"> REF _Ref160107141 \r \h </w:instrText>
      </w:r>
      <w:r w:rsidR="007D5B4A">
        <w:rPr>
          <w:lang w:val="en-GB"/>
        </w:rPr>
      </w:r>
      <w:r w:rsidR="007D5B4A">
        <w:rPr>
          <w:lang w:val="en-GB"/>
        </w:rPr>
        <w:fldChar w:fldCharType="separate"/>
      </w:r>
      <w:r w:rsidR="00590988">
        <w:rPr>
          <w:lang w:val="en-GB"/>
        </w:rPr>
        <w:t>4.4.3</w:t>
      </w:r>
      <w:r w:rsidR="007D5B4A">
        <w:rPr>
          <w:lang w:val="en-GB"/>
        </w:rPr>
        <w:fldChar w:fldCharType="end"/>
      </w:r>
      <w:r w:rsidR="00946579">
        <w:rPr>
          <w:lang w:val="en-GB"/>
        </w:rPr>
        <w:t xml:space="preserve">.) </w:t>
      </w:r>
    </w:p>
    <w:p w14:paraId="5583C53C" w14:textId="4B7A528D" w:rsidR="00E806DE" w:rsidRDefault="00E806DE" w:rsidP="00407220">
      <w:pPr>
        <w:rPr>
          <w:lang w:val="en-GB"/>
        </w:rPr>
      </w:pPr>
      <w:r w:rsidRPr="00E806DE">
        <w:rPr>
          <w:lang w:val="en-GB"/>
        </w:rPr>
        <w:t>It is intended that the timing of generation tenders in 2024 and 2025 will align with those already scheduled by ASL under the NSW Electricity Infrastructure Roadmap.</w:t>
      </w:r>
    </w:p>
    <w:p w14:paraId="7AB0C613" w14:textId="77777777" w:rsidR="00864B4B" w:rsidRDefault="00864B4B" w:rsidP="00760884">
      <w:pPr>
        <w:pStyle w:val="BoxHeading"/>
        <w:keepNext/>
        <w:keepLines/>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lastRenderedPageBreak/>
        <w:t>HAVE YOUR SAY</w:t>
      </w:r>
    </w:p>
    <w:p w14:paraId="6AABB352" w14:textId="77777777" w:rsidR="00864B4B" w:rsidRDefault="00864B4B" w:rsidP="00864B4B">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Cadence of tender schedule and products</w:t>
      </w:r>
      <w:r w:rsidRPr="00877ACE">
        <w:rPr>
          <w:lang w:val="en-GB" w:eastAsia="en-AU"/>
        </w:rPr>
        <w:t xml:space="preserve">: </w:t>
      </w:r>
    </w:p>
    <w:p w14:paraId="580B4AB2" w14:textId="39F4781A" w:rsidR="00864B4B" w:rsidRDefault="00864B4B" w:rsidP="00864B4B">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 xml:space="preserve">We welcome feedback on the proposed </w:t>
      </w:r>
      <w:r w:rsidR="00E4659E">
        <w:rPr>
          <w:lang w:val="en-GB" w:eastAsia="en-AU"/>
        </w:rPr>
        <w:t xml:space="preserve">scheduling approach, </w:t>
      </w:r>
      <w:r w:rsidR="00724384">
        <w:rPr>
          <w:lang w:val="en-GB" w:eastAsia="en-AU"/>
        </w:rPr>
        <w:t xml:space="preserve">including </w:t>
      </w:r>
      <w:r w:rsidR="00AE309E">
        <w:rPr>
          <w:lang w:val="en-GB" w:eastAsia="en-AU"/>
        </w:rPr>
        <w:t>views on alternative options:</w:t>
      </w:r>
    </w:p>
    <w:p w14:paraId="1EA2360B" w14:textId="5608DE31" w:rsidR="001C5EF7" w:rsidRDefault="00782C0B" w:rsidP="00864B4B">
      <w:pPr>
        <w:pStyle w:val="BoxTextBulle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Would</w:t>
      </w:r>
      <w:r w:rsidR="001C5EF7">
        <w:rPr>
          <w:lang w:val="en-GB" w:eastAsia="en-AU"/>
        </w:rPr>
        <w:t xml:space="preserve"> you</w:t>
      </w:r>
      <w:r w:rsidR="004311F2">
        <w:rPr>
          <w:lang w:val="en-GB" w:eastAsia="en-AU"/>
        </w:rPr>
        <w:t>r organisation benefit</w:t>
      </w:r>
      <w:r>
        <w:rPr>
          <w:lang w:val="en-GB" w:eastAsia="en-AU"/>
        </w:rPr>
        <w:t xml:space="preserve"> more</w:t>
      </w:r>
      <w:r w:rsidR="004311F2">
        <w:rPr>
          <w:lang w:val="en-GB" w:eastAsia="en-AU"/>
        </w:rPr>
        <w:t xml:space="preserve"> from</w:t>
      </w:r>
      <w:r w:rsidR="001C5EF7">
        <w:rPr>
          <w:lang w:val="en-GB" w:eastAsia="en-AU"/>
        </w:rPr>
        <w:t xml:space="preserve"> </w:t>
      </w:r>
      <w:r w:rsidR="008C726A">
        <w:rPr>
          <w:lang w:val="en-GB" w:eastAsia="en-AU"/>
        </w:rPr>
        <w:t xml:space="preserve">a 6-monthly cycle </w:t>
      </w:r>
      <w:r w:rsidR="00537CCA">
        <w:rPr>
          <w:lang w:val="en-GB" w:eastAsia="en-AU"/>
        </w:rPr>
        <w:t xml:space="preserve">of </w:t>
      </w:r>
      <w:r w:rsidR="0065411B">
        <w:rPr>
          <w:lang w:val="en-GB" w:eastAsia="en-AU"/>
        </w:rPr>
        <w:t xml:space="preserve">simultaneous </w:t>
      </w:r>
      <w:r w:rsidR="00537CCA">
        <w:rPr>
          <w:lang w:val="en-GB" w:eastAsia="en-AU"/>
        </w:rPr>
        <w:t xml:space="preserve">tenders </w:t>
      </w:r>
      <w:r w:rsidR="008C726A">
        <w:rPr>
          <w:lang w:val="en-GB" w:eastAsia="en-AU"/>
        </w:rPr>
        <w:t xml:space="preserve">for both </w:t>
      </w:r>
      <w:r w:rsidR="00433D9C">
        <w:rPr>
          <w:lang w:val="en-GB" w:eastAsia="en-AU"/>
        </w:rPr>
        <w:t xml:space="preserve">generation and clean dispatchable products, or </w:t>
      </w:r>
      <w:r>
        <w:rPr>
          <w:lang w:val="en-GB" w:eastAsia="en-AU"/>
        </w:rPr>
        <w:t xml:space="preserve">would </w:t>
      </w:r>
      <w:r w:rsidR="00433D9C">
        <w:rPr>
          <w:lang w:val="en-GB" w:eastAsia="en-AU"/>
        </w:rPr>
        <w:t>an alternati</w:t>
      </w:r>
      <w:r w:rsidR="00365E3D">
        <w:rPr>
          <w:lang w:val="en-GB" w:eastAsia="en-AU"/>
        </w:rPr>
        <w:t xml:space="preserve">ng </w:t>
      </w:r>
      <w:r w:rsidR="005A5A97">
        <w:rPr>
          <w:lang w:val="en-GB" w:eastAsia="en-AU"/>
        </w:rPr>
        <w:t>12-monthly cycle</w:t>
      </w:r>
      <w:r w:rsidR="000F25D4">
        <w:rPr>
          <w:lang w:val="en-GB" w:eastAsia="en-AU"/>
        </w:rPr>
        <w:t xml:space="preserve"> </w:t>
      </w:r>
      <w:r w:rsidR="00426E19">
        <w:rPr>
          <w:lang w:val="en-GB" w:eastAsia="en-AU"/>
        </w:rPr>
        <w:t xml:space="preserve">(consisting of </w:t>
      </w:r>
      <w:r w:rsidR="002672BD">
        <w:rPr>
          <w:lang w:val="en-GB" w:eastAsia="en-AU"/>
        </w:rPr>
        <w:t xml:space="preserve">one tender every six months, alternating </w:t>
      </w:r>
      <w:r w:rsidR="00CF1AF4">
        <w:rPr>
          <w:lang w:val="en-GB" w:eastAsia="en-AU"/>
        </w:rPr>
        <w:t>between generation and clean dispatchable products</w:t>
      </w:r>
      <w:r w:rsidR="00426E19">
        <w:rPr>
          <w:lang w:val="en-GB" w:eastAsia="en-AU"/>
        </w:rPr>
        <w:t xml:space="preserve">) </w:t>
      </w:r>
      <w:r w:rsidR="000F25D4">
        <w:rPr>
          <w:lang w:val="en-GB" w:eastAsia="en-AU"/>
        </w:rPr>
        <w:t>for each</w:t>
      </w:r>
      <w:r>
        <w:rPr>
          <w:lang w:val="en-GB" w:eastAsia="en-AU"/>
        </w:rPr>
        <w:t xml:space="preserve"> be more desirable</w:t>
      </w:r>
      <w:r w:rsidR="005A5A97">
        <w:rPr>
          <w:lang w:val="en-GB" w:eastAsia="en-AU"/>
        </w:rPr>
        <w:t>?</w:t>
      </w:r>
      <w:r>
        <w:rPr>
          <w:lang w:val="en-GB" w:eastAsia="en-AU"/>
        </w:rPr>
        <w:t xml:space="preserve"> </w:t>
      </w:r>
    </w:p>
    <w:p w14:paraId="00FA4A71" w14:textId="4608CE44" w:rsidR="00391C9A" w:rsidRDefault="00391C9A" w:rsidP="00391C9A">
      <w:pPr>
        <w:pStyle w:val="Heading4"/>
        <w:rPr>
          <w:lang w:val="en-GB" w:eastAsia="en-AU"/>
        </w:rPr>
      </w:pPr>
      <w:r>
        <w:rPr>
          <w:lang w:val="en-GB" w:eastAsia="en-AU"/>
        </w:rPr>
        <w:t>Indicative tender size allocation</w:t>
      </w:r>
    </w:p>
    <w:p w14:paraId="1537DEE4" w14:textId="3E83E241" w:rsidR="00534171" w:rsidRDefault="00534171" w:rsidP="00534171">
      <w:pPr>
        <w:spacing w:before="240"/>
        <w:rPr>
          <w:lang w:val="en-GB" w:eastAsia="en-AU"/>
        </w:rPr>
      </w:pPr>
      <w:r>
        <w:rPr>
          <w:lang w:val="en-GB" w:eastAsia="en-AU"/>
        </w:rPr>
        <w:t xml:space="preserve">The third </w:t>
      </w:r>
      <w:r w:rsidRPr="00281565">
        <w:rPr>
          <w:lang w:val="en-GB" w:eastAsia="en-AU"/>
        </w:rPr>
        <w:t>CIS tender</w:t>
      </w:r>
      <w:r w:rsidR="00DA54D3">
        <w:rPr>
          <w:lang w:val="en-GB" w:eastAsia="en-AU"/>
        </w:rPr>
        <w:t xml:space="preserve"> (being the first expanded CIS tender)</w:t>
      </w:r>
      <w:r>
        <w:rPr>
          <w:lang w:val="en-GB" w:eastAsia="en-AU"/>
        </w:rPr>
        <w:t xml:space="preserve">, opening </w:t>
      </w:r>
      <w:r w:rsidRPr="00281565">
        <w:rPr>
          <w:lang w:val="en-GB" w:eastAsia="en-AU"/>
        </w:rPr>
        <w:t>in Q</w:t>
      </w:r>
      <w:r w:rsidR="00D25504">
        <w:rPr>
          <w:lang w:val="en-GB" w:eastAsia="en-AU"/>
        </w:rPr>
        <w:t>2</w:t>
      </w:r>
      <w:r w:rsidRPr="00281565">
        <w:rPr>
          <w:lang w:val="en-GB" w:eastAsia="en-AU"/>
        </w:rPr>
        <w:t xml:space="preserve"> 2024</w:t>
      </w:r>
      <w:r>
        <w:rPr>
          <w:lang w:val="en-GB" w:eastAsia="en-AU"/>
        </w:rPr>
        <w:t>,</w:t>
      </w:r>
      <w:r w:rsidRPr="00281565">
        <w:rPr>
          <w:lang w:val="en-GB" w:eastAsia="en-AU"/>
        </w:rPr>
        <w:t xml:space="preserve"> is expected to seek bids </w:t>
      </w:r>
      <w:r w:rsidR="00782C0B">
        <w:rPr>
          <w:lang w:val="en-GB" w:eastAsia="en-AU"/>
        </w:rPr>
        <w:t>for</w:t>
      </w:r>
      <w:r w:rsidR="00782C0B" w:rsidRPr="00281565">
        <w:rPr>
          <w:lang w:val="en-GB" w:eastAsia="en-AU"/>
        </w:rPr>
        <w:t xml:space="preserve"> </w:t>
      </w:r>
      <w:r w:rsidRPr="00281565">
        <w:rPr>
          <w:lang w:val="en-GB" w:eastAsia="en-AU"/>
        </w:rPr>
        <w:t>6 GW of renewable</w:t>
      </w:r>
      <w:r w:rsidR="009F4104">
        <w:rPr>
          <w:lang w:val="en-GB" w:eastAsia="en-AU"/>
        </w:rPr>
        <w:t xml:space="preserve"> capacity</w:t>
      </w:r>
      <w:r w:rsidRPr="00281565">
        <w:rPr>
          <w:lang w:val="en-GB" w:eastAsia="en-AU"/>
        </w:rPr>
        <w:t xml:space="preserve"> across the NE</w:t>
      </w:r>
      <w:r w:rsidR="00A17668">
        <w:rPr>
          <w:lang w:val="en-GB" w:eastAsia="en-AU"/>
        </w:rPr>
        <w:t>M</w:t>
      </w:r>
      <w:r w:rsidR="009479E6">
        <w:rPr>
          <w:lang w:val="en-GB" w:eastAsia="en-AU"/>
        </w:rPr>
        <w:t>.</w:t>
      </w:r>
    </w:p>
    <w:p w14:paraId="71AC0391" w14:textId="7D706701" w:rsidR="00947057" w:rsidRDefault="00947057" w:rsidP="00534171">
      <w:pPr>
        <w:spacing w:before="240"/>
        <w:rPr>
          <w:lang w:val="en-GB" w:eastAsia="en-AU"/>
        </w:rPr>
      </w:pPr>
      <w:r>
        <w:rPr>
          <w:lang w:val="en-GB" w:eastAsia="en-AU"/>
        </w:rPr>
        <w:t xml:space="preserve">The fourth </w:t>
      </w:r>
      <w:r w:rsidRPr="00EB437D">
        <w:rPr>
          <w:lang w:val="en-GB" w:eastAsia="en-AU"/>
        </w:rPr>
        <w:t>CIS tender</w:t>
      </w:r>
      <w:r>
        <w:rPr>
          <w:lang w:val="en-GB" w:eastAsia="en-AU"/>
        </w:rPr>
        <w:t>, opening</w:t>
      </w:r>
      <w:r w:rsidRPr="00EB437D">
        <w:rPr>
          <w:lang w:val="en-GB" w:eastAsia="en-AU"/>
        </w:rPr>
        <w:t xml:space="preserve"> in Q</w:t>
      </w:r>
      <w:r w:rsidR="00D25504">
        <w:rPr>
          <w:lang w:val="en-GB" w:eastAsia="en-AU"/>
        </w:rPr>
        <w:t>4</w:t>
      </w:r>
      <w:r w:rsidRPr="00EB437D">
        <w:rPr>
          <w:lang w:val="en-GB" w:eastAsia="en-AU"/>
        </w:rPr>
        <w:t xml:space="preserve"> 202</w:t>
      </w:r>
      <w:r>
        <w:rPr>
          <w:lang w:val="en-GB" w:eastAsia="en-AU"/>
        </w:rPr>
        <w:t>4,</w:t>
      </w:r>
      <w:r w:rsidRPr="00EB437D">
        <w:rPr>
          <w:lang w:val="en-GB" w:eastAsia="en-AU"/>
        </w:rPr>
        <w:t xml:space="preserve"> is expected to seek </w:t>
      </w:r>
      <w:r w:rsidR="006E0C78">
        <w:rPr>
          <w:lang w:val="en-GB" w:eastAsia="en-AU"/>
        </w:rPr>
        <w:t xml:space="preserve">nation-wide </w:t>
      </w:r>
      <w:r w:rsidRPr="00EB437D">
        <w:rPr>
          <w:lang w:val="en-GB" w:eastAsia="en-AU"/>
        </w:rPr>
        <w:t xml:space="preserve">bids </w:t>
      </w:r>
      <w:r w:rsidR="00782C0B">
        <w:rPr>
          <w:lang w:val="en-GB" w:eastAsia="en-AU"/>
        </w:rPr>
        <w:t>for</w:t>
      </w:r>
      <w:r w:rsidR="00782C0B" w:rsidRPr="00EB437D">
        <w:rPr>
          <w:lang w:val="en-GB" w:eastAsia="en-AU"/>
        </w:rPr>
        <w:t xml:space="preserve"> </w:t>
      </w:r>
      <w:r w:rsidRPr="00EB437D">
        <w:rPr>
          <w:lang w:val="en-GB" w:eastAsia="en-AU"/>
        </w:rPr>
        <w:t xml:space="preserve">4 GW of renewable </w:t>
      </w:r>
      <w:r w:rsidR="0083350A">
        <w:rPr>
          <w:lang w:val="en-GB" w:eastAsia="en-AU"/>
        </w:rPr>
        <w:t>capacity</w:t>
      </w:r>
      <w:r w:rsidR="00010712" w:rsidRPr="00010712">
        <w:rPr>
          <w:rFonts w:ascii="Calibri" w:eastAsia="Calibri" w:hAnsi="Calibri" w:cs="Calibri"/>
          <w:color w:val="000000" w:themeColor="text1"/>
          <w:lang w:val="en-GB"/>
        </w:rPr>
        <w:t xml:space="preserve"> </w:t>
      </w:r>
      <w:r w:rsidR="00010712" w:rsidRPr="7B34228F">
        <w:rPr>
          <w:rFonts w:ascii="Calibri" w:eastAsia="Calibri" w:hAnsi="Calibri" w:cs="Calibri"/>
          <w:color w:val="000000" w:themeColor="text1"/>
          <w:lang w:val="en-GB"/>
        </w:rPr>
        <w:t>and 3 GW of dispatchable capacity</w:t>
      </w:r>
      <w:r w:rsidRPr="00EB437D">
        <w:rPr>
          <w:lang w:val="en-GB" w:eastAsia="en-AU"/>
        </w:rPr>
        <w:t>.</w:t>
      </w:r>
    </w:p>
    <w:p w14:paraId="5D268C31" w14:textId="23C0F7D9" w:rsidR="00A17668" w:rsidRDefault="00A17668" w:rsidP="00534171">
      <w:pPr>
        <w:spacing w:before="240"/>
        <w:rPr>
          <w:lang w:val="en-GB" w:eastAsia="en-AU"/>
        </w:rPr>
      </w:pPr>
      <w:r>
        <w:rPr>
          <w:lang w:val="en-GB" w:eastAsia="en-AU"/>
        </w:rPr>
        <w:t>Th</w:t>
      </w:r>
      <w:r w:rsidR="002D0BD5">
        <w:rPr>
          <w:lang w:val="en-GB" w:eastAsia="en-AU"/>
        </w:rPr>
        <w:t>ese allocations are subject to the finalisation of RETA negotiations.</w:t>
      </w:r>
    </w:p>
    <w:p w14:paraId="3D921577" w14:textId="7497F664" w:rsidR="00F463B9" w:rsidRDefault="000A491C" w:rsidP="00534171">
      <w:pPr>
        <w:spacing w:before="240"/>
        <w:rPr>
          <w:lang w:val="en-GB" w:eastAsia="en-AU"/>
        </w:rPr>
      </w:pPr>
      <w:r>
        <w:rPr>
          <w:lang w:val="en-GB" w:eastAsia="en-AU"/>
        </w:rPr>
        <w:t>Tenders</w:t>
      </w:r>
      <w:r w:rsidR="003A2E99">
        <w:rPr>
          <w:lang w:val="en-GB" w:eastAsia="en-AU"/>
        </w:rPr>
        <w:t xml:space="preserve"> 5</w:t>
      </w:r>
      <w:r w:rsidR="00BD1FA7">
        <w:rPr>
          <w:lang w:val="en-GB" w:eastAsia="en-AU"/>
        </w:rPr>
        <w:t>-</w:t>
      </w:r>
      <w:r w:rsidR="002433CC">
        <w:rPr>
          <w:lang w:val="en-GB" w:eastAsia="en-AU"/>
        </w:rPr>
        <w:t>8</w:t>
      </w:r>
      <w:r w:rsidR="00D04FE3">
        <w:rPr>
          <w:lang w:val="en-GB" w:eastAsia="en-AU"/>
        </w:rPr>
        <w:t xml:space="preserve">, opening in </w:t>
      </w:r>
      <w:r w:rsidR="00736F16">
        <w:rPr>
          <w:lang w:val="en-GB" w:eastAsia="en-AU"/>
        </w:rPr>
        <w:t xml:space="preserve">2025 and 2026 will </w:t>
      </w:r>
      <w:r w:rsidR="004F6DFC">
        <w:rPr>
          <w:lang w:val="en-GB" w:eastAsia="en-AU"/>
        </w:rPr>
        <w:t xml:space="preserve">seek bids for </w:t>
      </w:r>
      <w:r w:rsidR="00DA54D3">
        <w:rPr>
          <w:lang w:val="en-GB" w:eastAsia="en-AU"/>
        </w:rPr>
        <w:t>the remainder of the total</w:t>
      </w:r>
      <w:r w:rsidR="00010513">
        <w:rPr>
          <w:lang w:val="en-GB" w:eastAsia="en-AU"/>
        </w:rPr>
        <w:t xml:space="preserve"> renewable</w:t>
      </w:r>
      <w:r w:rsidR="00C66E07">
        <w:rPr>
          <w:lang w:val="en-GB" w:eastAsia="en-AU"/>
        </w:rPr>
        <w:t xml:space="preserve"> capacity</w:t>
      </w:r>
      <w:r w:rsidR="00010513">
        <w:rPr>
          <w:lang w:val="en-GB" w:eastAsia="en-AU"/>
        </w:rPr>
        <w:t xml:space="preserve"> and </w:t>
      </w:r>
      <w:r w:rsidR="008D0943">
        <w:rPr>
          <w:lang w:val="en-GB" w:eastAsia="en-AU"/>
        </w:rPr>
        <w:t>dispatchable capacity</w:t>
      </w:r>
      <w:r w:rsidR="00DA54D3">
        <w:rPr>
          <w:lang w:val="en-GB" w:eastAsia="en-AU"/>
        </w:rPr>
        <w:t xml:space="preserve"> available as well as any capacity that is re-tendered should projects that were successful at earlier tenders fail to </w:t>
      </w:r>
      <w:r w:rsidR="00965D15">
        <w:rPr>
          <w:lang w:val="en-GB" w:eastAsia="en-AU"/>
        </w:rPr>
        <w:t>fulfil their milestones</w:t>
      </w:r>
      <w:r w:rsidR="00611EB3">
        <w:rPr>
          <w:lang w:val="en-GB" w:eastAsia="en-AU"/>
        </w:rPr>
        <w:t>.</w:t>
      </w:r>
    </w:p>
    <w:p w14:paraId="22A37FA6" w14:textId="5D85D47C" w:rsidR="00782C0B" w:rsidRDefault="00782C0B" w:rsidP="00782C0B">
      <w:pPr>
        <w:rPr>
          <w:rFonts w:cstheme="majorBidi"/>
          <w:lang w:val="en-GB" w:eastAsia="en-AU"/>
        </w:rPr>
      </w:pPr>
      <w:r w:rsidRPr="2F50B7C5">
        <w:rPr>
          <w:rFonts w:cstheme="majorBidi"/>
          <w:lang w:val="en-GB" w:eastAsia="en-AU"/>
        </w:rPr>
        <w:t xml:space="preserve">The Tender Guidelines for future CIS tenders will provide further details on the indicative tender size and jurisdictional allocation, based on the outcomes of RETA negotiations with </w:t>
      </w:r>
      <w:bookmarkStart w:id="49" w:name="_Int_FrzL3JcZ"/>
      <w:r w:rsidRPr="2F50B7C5">
        <w:rPr>
          <w:rFonts w:cstheme="majorBidi"/>
          <w:lang w:val="en-GB" w:eastAsia="en-AU"/>
        </w:rPr>
        <w:t>jurisdictions</w:t>
      </w:r>
      <w:bookmarkEnd w:id="49"/>
      <w:r w:rsidRPr="2F50B7C5">
        <w:rPr>
          <w:rFonts w:cstheme="majorBidi"/>
          <w:lang w:val="en-GB" w:eastAsia="en-AU"/>
        </w:rPr>
        <w:t>.</w:t>
      </w:r>
    </w:p>
    <w:p w14:paraId="78F0BD0A" w14:textId="502EB1C2" w:rsidR="0059288A" w:rsidRDefault="002F1FE8" w:rsidP="00782C0B">
      <w:pPr>
        <w:rPr>
          <w:rFonts w:cstheme="majorBidi"/>
          <w:lang w:val="en-GB" w:eastAsia="en-AU"/>
        </w:rPr>
      </w:pPr>
      <w:r>
        <w:rPr>
          <w:rFonts w:cstheme="majorBidi"/>
          <w:lang w:val="en-GB" w:eastAsia="en-AU"/>
        </w:rPr>
        <w:t>As described in the August 2023 Capacity Investment Scheme consultation paper, d</w:t>
      </w:r>
      <w:r w:rsidR="0059288A">
        <w:rPr>
          <w:rFonts w:cstheme="majorBidi"/>
          <w:lang w:val="en-GB" w:eastAsia="en-AU"/>
        </w:rPr>
        <w:t xml:space="preserve">ispatchable capacity </w:t>
      </w:r>
      <w:r w:rsidR="0019451D">
        <w:rPr>
          <w:rFonts w:cstheme="majorBidi"/>
          <w:lang w:val="en-GB" w:eastAsia="en-AU"/>
        </w:rPr>
        <w:t>quantities for tenders are</w:t>
      </w:r>
      <w:r w:rsidR="0059288A">
        <w:rPr>
          <w:rFonts w:cstheme="majorBidi"/>
          <w:lang w:val="en-GB" w:eastAsia="en-AU"/>
        </w:rPr>
        <w:t xml:space="preserve"> expressed in </w:t>
      </w:r>
      <w:r w:rsidR="0019451D">
        <w:rPr>
          <w:rFonts w:cstheme="majorBidi"/>
          <w:lang w:val="en-GB" w:eastAsia="en-AU"/>
        </w:rPr>
        <w:t xml:space="preserve">terms of </w:t>
      </w:r>
      <w:r w:rsidR="00E04F4B">
        <w:rPr>
          <w:rFonts w:cstheme="majorBidi"/>
          <w:lang w:val="en-GB" w:eastAsia="en-AU"/>
        </w:rPr>
        <w:t>MW</w:t>
      </w:r>
      <w:r w:rsidR="0059288A">
        <w:rPr>
          <w:rFonts w:cstheme="majorBidi"/>
          <w:lang w:val="en-GB" w:eastAsia="en-AU"/>
        </w:rPr>
        <w:t xml:space="preserve"> of </w:t>
      </w:r>
      <w:r w:rsidR="00E04F4B">
        <w:rPr>
          <w:rFonts w:cstheme="majorBidi"/>
          <w:lang w:val="en-GB" w:eastAsia="en-AU"/>
        </w:rPr>
        <w:t>medium storage equivalent capacity.</w:t>
      </w:r>
      <w:r w:rsidR="00F91FAC">
        <w:rPr>
          <w:rFonts w:cstheme="majorBidi"/>
          <w:lang w:val="en-GB" w:eastAsia="en-AU"/>
        </w:rPr>
        <w:t xml:space="preserve"> </w:t>
      </w:r>
      <w:r w:rsidR="00F91FAC">
        <w:rPr>
          <w:lang w:val="en-GB" w:eastAsia="en-AU"/>
        </w:rPr>
        <w:t>Some technology types will have a reduced contribution to reliability on a per MW basis when compared to medium storage batteries (</w:t>
      </w:r>
      <w:proofErr w:type="spellStart"/>
      <w:r w:rsidR="00F91FAC">
        <w:rPr>
          <w:lang w:val="en-GB" w:eastAsia="en-AU"/>
        </w:rPr>
        <w:t>e.g</w:t>
      </w:r>
      <w:proofErr w:type="spellEnd"/>
      <w:r w:rsidR="00F91FAC">
        <w:rPr>
          <w:lang w:val="en-GB" w:eastAsia="en-AU"/>
        </w:rPr>
        <w:t xml:space="preserve"> short duration batteries) and some technologies will have a higher contribution (</w:t>
      </w:r>
      <w:proofErr w:type="spellStart"/>
      <w:r w:rsidR="00F91FAC">
        <w:rPr>
          <w:lang w:val="en-GB" w:eastAsia="en-AU"/>
        </w:rPr>
        <w:t>e.g</w:t>
      </w:r>
      <w:proofErr w:type="spellEnd"/>
      <w:r w:rsidR="00F91FAC">
        <w:rPr>
          <w:lang w:val="en-GB" w:eastAsia="en-AU"/>
        </w:rPr>
        <w:t xml:space="preserve"> long duration storage).</w:t>
      </w:r>
    </w:p>
    <w:p w14:paraId="47FF7ED5" w14:textId="77777777" w:rsidR="00C71AF1" w:rsidRDefault="00C71AF1" w:rsidP="00C71AF1">
      <w:pPr>
        <w:pStyle w:val="Heading3"/>
        <w:rPr>
          <w:lang w:val="en-GB" w:eastAsia="en-AU"/>
        </w:rPr>
      </w:pPr>
      <w:bookmarkStart w:id="50" w:name="_Ref160107363"/>
      <w:bookmarkStart w:id="51" w:name="_Toc160117892"/>
      <w:r w:rsidRPr="0091016E">
        <w:rPr>
          <w:lang w:val="en-GB" w:eastAsia="en-AU"/>
        </w:rPr>
        <w:t xml:space="preserve">Managing risks to contract market </w:t>
      </w:r>
      <w:proofErr w:type="gramStart"/>
      <w:r w:rsidRPr="0091016E">
        <w:rPr>
          <w:lang w:val="en-GB" w:eastAsia="en-AU"/>
        </w:rPr>
        <w:t>liquidity</w:t>
      </w:r>
      <w:bookmarkEnd w:id="50"/>
      <w:bookmarkEnd w:id="51"/>
      <w:proofErr w:type="gramEnd"/>
    </w:p>
    <w:p w14:paraId="4C24F343" w14:textId="7235858A" w:rsidR="00C71AF1" w:rsidRDefault="00C71AF1" w:rsidP="00C71AF1">
      <w:pPr>
        <w:rPr>
          <w:bCs/>
          <w:lang w:eastAsia="en-AU"/>
        </w:rPr>
      </w:pPr>
      <w:r>
        <w:rPr>
          <w:bCs/>
          <w:lang w:eastAsia="en-AU"/>
        </w:rPr>
        <w:t>The CIS</w:t>
      </w:r>
      <w:r w:rsidR="00F622A6">
        <w:rPr>
          <w:bCs/>
          <w:lang w:eastAsia="en-AU"/>
        </w:rPr>
        <w:t xml:space="preserve"> design aims</w:t>
      </w:r>
      <w:r>
        <w:rPr>
          <w:bCs/>
          <w:lang w:eastAsia="en-AU"/>
        </w:rPr>
        <w:t xml:space="preserve"> to reduce risks for proponents of renewable energy and clean dispatchable </w:t>
      </w:r>
      <w:r w:rsidR="00BB6F37">
        <w:rPr>
          <w:bCs/>
          <w:lang w:eastAsia="en-AU"/>
        </w:rPr>
        <w:t xml:space="preserve">projects </w:t>
      </w:r>
      <w:r>
        <w:rPr>
          <w:bCs/>
          <w:lang w:eastAsia="en-AU"/>
        </w:rPr>
        <w:t xml:space="preserve">while preserving existing </w:t>
      </w:r>
      <w:r w:rsidR="578C932C" w:rsidRPr="435459F9">
        <w:rPr>
          <w:lang w:eastAsia="en-AU"/>
        </w:rPr>
        <w:t xml:space="preserve">electricity </w:t>
      </w:r>
      <w:r>
        <w:rPr>
          <w:bCs/>
          <w:lang w:eastAsia="en-AU"/>
        </w:rPr>
        <w:t xml:space="preserve">market signals. </w:t>
      </w:r>
      <w:r w:rsidR="002F648B">
        <w:rPr>
          <w:bCs/>
          <w:lang w:eastAsia="en-AU"/>
        </w:rPr>
        <w:t>Stakeholders have identified concerns that the CIS could</w:t>
      </w:r>
      <w:r w:rsidR="0001306B">
        <w:rPr>
          <w:bCs/>
          <w:lang w:eastAsia="en-AU"/>
        </w:rPr>
        <w:t xml:space="preserve"> therefore</w:t>
      </w:r>
      <w:r w:rsidR="002F648B">
        <w:rPr>
          <w:bCs/>
          <w:lang w:eastAsia="en-AU"/>
        </w:rPr>
        <w:t xml:space="preserve"> dilute </w:t>
      </w:r>
      <w:r w:rsidR="0001306B">
        <w:rPr>
          <w:bCs/>
          <w:lang w:eastAsia="en-AU"/>
        </w:rPr>
        <w:t xml:space="preserve">incentives for supported projects to participate in contract markets. </w:t>
      </w:r>
    </w:p>
    <w:p w14:paraId="4095294E" w14:textId="607756F4" w:rsidR="00C71AF1" w:rsidRDefault="00C71AF1" w:rsidP="00C71AF1">
      <w:pPr>
        <w:rPr>
          <w:bCs/>
          <w:lang w:eastAsia="en-AU"/>
        </w:rPr>
      </w:pPr>
      <w:r>
        <w:rPr>
          <w:bCs/>
          <w:lang w:eastAsia="en-AU"/>
        </w:rPr>
        <w:t>Both the Generation CISA and Clean Dispatchable CISA</w:t>
      </w:r>
      <w:r w:rsidDel="00333D60">
        <w:rPr>
          <w:bCs/>
          <w:lang w:eastAsia="en-AU"/>
        </w:rPr>
        <w:t xml:space="preserve"> </w:t>
      </w:r>
      <w:r w:rsidDel="00462C66">
        <w:rPr>
          <w:bCs/>
          <w:lang w:eastAsia="en-AU"/>
        </w:rPr>
        <w:t xml:space="preserve">have been </w:t>
      </w:r>
      <w:r>
        <w:rPr>
          <w:bCs/>
          <w:lang w:eastAsia="en-AU"/>
        </w:rPr>
        <w:t>designed to preserv</w:t>
      </w:r>
      <w:r w:rsidR="0CE5D377" w:rsidRPr="435459F9">
        <w:rPr>
          <w:lang w:eastAsia="en-AU"/>
        </w:rPr>
        <w:t>e</w:t>
      </w:r>
      <w:r w:rsidR="0001306B">
        <w:rPr>
          <w:bCs/>
          <w:lang w:eastAsia="en-AU"/>
        </w:rPr>
        <w:t xml:space="preserve"> </w:t>
      </w:r>
      <w:r>
        <w:rPr>
          <w:bCs/>
          <w:lang w:eastAsia="en-AU"/>
        </w:rPr>
        <w:t>incentives for proponents to participate in contract markets. These design considerations include:</w:t>
      </w:r>
    </w:p>
    <w:p w14:paraId="355E789E" w14:textId="5D4FB464" w:rsidR="00C71AF1" w:rsidRPr="000A5227" w:rsidRDefault="00C71AF1" w:rsidP="00C71AF1">
      <w:pPr>
        <w:pStyle w:val="ListParagraph"/>
        <w:numPr>
          <w:ilvl w:val="0"/>
          <w:numId w:val="20"/>
        </w:numPr>
        <w:rPr>
          <w:lang w:eastAsia="en-AU"/>
        </w:rPr>
      </w:pPr>
      <w:r>
        <w:rPr>
          <w:bCs/>
          <w:lang w:eastAsia="en-AU"/>
        </w:rPr>
        <w:t xml:space="preserve">Removing the risk of “double liability” where a proponent may need to make a payment to its contractual counterparty </w:t>
      </w:r>
      <w:bookmarkStart w:id="52" w:name="_Int_GdPZ5hLn"/>
      <w:proofErr w:type="gramStart"/>
      <w:r>
        <w:rPr>
          <w:bCs/>
          <w:lang w:eastAsia="en-AU"/>
        </w:rPr>
        <w:t>and also</w:t>
      </w:r>
      <w:bookmarkEnd w:id="52"/>
      <w:proofErr w:type="gramEnd"/>
      <w:r>
        <w:rPr>
          <w:bCs/>
          <w:lang w:eastAsia="en-AU"/>
        </w:rPr>
        <w:t xml:space="preserve"> face revenue sharing above the ceiling with the </w:t>
      </w:r>
      <w:r w:rsidR="3E383697" w:rsidRPr="6AC5C4F5">
        <w:rPr>
          <w:lang w:eastAsia="en-AU"/>
        </w:rPr>
        <w:t>Australian Government</w:t>
      </w:r>
      <w:r w:rsidRPr="6AC5C4F5">
        <w:rPr>
          <w:lang w:eastAsia="en-AU"/>
        </w:rPr>
        <w:t xml:space="preserve"> </w:t>
      </w:r>
      <w:r>
        <w:rPr>
          <w:bCs/>
          <w:lang w:eastAsia="en-AU"/>
        </w:rPr>
        <w:t>if electricity prices are high. This</w:t>
      </w:r>
      <w:r w:rsidR="00B3005A">
        <w:rPr>
          <w:bCs/>
          <w:lang w:eastAsia="en-AU"/>
        </w:rPr>
        <w:t xml:space="preserve"> would be</w:t>
      </w:r>
      <w:r>
        <w:rPr>
          <w:bCs/>
          <w:lang w:eastAsia="en-AU"/>
        </w:rPr>
        <w:t xml:space="preserve"> done by including the net impact of Eligible Wholesale Contracts in the revenue calculation for projects.</w:t>
      </w:r>
    </w:p>
    <w:p w14:paraId="044612BA" w14:textId="55C853CB" w:rsidR="00C71AF1" w:rsidRPr="00103A03" w:rsidRDefault="00721F02" w:rsidP="00C71AF1">
      <w:pPr>
        <w:pStyle w:val="ListParagraph"/>
        <w:numPr>
          <w:ilvl w:val="0"/>
          <w:numId w:val="20"/>
        </w:numPr>
        <w:rPr>
          <w:lang w:eastAsia="en-AU"/>
        </w:rPr>
      </w:pPr>
      <w:r>
        <w:rPr>
          <w:bCs/>
          <w:lang w:eastAsia="en-AU"/>
        </w:rPr>
        <w:t>A</w:t>
      </w:r>
      <w:r w:rsidR="00C71AF1">
        <w:rPr>
          <w:bCs/>
          <w:lang w:eastAsia="en-AU"/>
        </w:rPr>
        <w:t xml:space="preserve"> [90%] revenue sharing below the floor </w:t>
      </w:r>
      <w:r w:rsidR="00C71AF1" w:rsidRPr="5D10B5D3">
        <w:rPr>
          <w:lang w:eastAsia="en-AU"/>
        </w:rPr>
        <w:t xml:space="preserve">and the annual </w:t>
      </w:r>
      <w:r w:rsidR="00B820C6">
        <w:rPr>
          <w:lang w:eastAsia="en-AU"/>
        </w:rPr>
        <w:t>payment</w:t>
      </w:r>
      <w:r w:rsidR="00C71AF1" w:rsidRPr="5D10B5D3">
        <w:rPr>
          <w:lang w:eastAsia="en-AU"/>
        </w:rPr>
        <w:t xml:space="preserve"> cap </w:t>
      </w:r>
      <w:r w:rsidR="00C71AF1">
        <w:rPr>
          <w:bCs/>
          <w:lang w:eastAsia="en-AU"/>
        </w:rPr>
        <w:t>would maintain some incentive to sign contracts even below the floor price.</w:t>
      </w:r>
    </w:p>
    <w:p w14:paraId="0F492E6F" w14:textId="77777777" w:rsidR="00C71AF1" w:rsidRPr="00431401" w:rsidRDefault="00C71AF1" w:rsidP="00C71AF1">
      <w:pPr>
        <w:pStyle w:val="ListParagraph"/>
        <w:numPr>
          <w:ilvl w:val="0"/>
          <w:numId w:val="20"/>
        </w:numPr>
        <w:rPr>
          <w:lang w:eastAsia="en-AU"/>
        </w:rPr>
      </w:pPr>
      <w:r>
        <w:rPr>
          <w:bCs/>
          <w:lang w:eastAsia="en-AU"/>
        </w:rPr>
        <w:t>Projects would have the full incentive to sign contracts between the floor and the ceiling.</w:t>
      </w:r>
    </w:p>
    <w:p w14:paraId="05870908" w14:textId="01436911" w:rsidR="00C71AF1" w:rsidRPr="00FD2B9E" w:rsidRDefault="00C71AF1" w:rsidP="00C71AF1">
      <w:pPr>
        <w:pStyle w:val="ListParagraph"/>
        <w:numPr>
          <w:ilvl w:val="0"/>
          <w:numId w:val="20"/>
        </w:numPr>
        <w:rPr>
          <w:lang w:eastAsia="en-AU"/>
        </w:rPr>
      </w:pPr>
      <w:r>
        <w:rPr>
          <w:bCs/>
          <w:lang w:eastAsia="en-AU"/>
        </w:rPr>
        <w:lastRenderedPageBreak/>
        <w:t>Projects would retain some incentive to sign contracts above the ceiling, although this would be subject to [50%] revenue sharing up to</w:t>
      </w:r>
      <w:r w:rsidR="004800FE">
        <w:rPr>
          <w:bCs/>
          <w:lang w:eastAsia="en-AU"/>
        </w:rPr>
        <w:t xml:space="preserve"> an</w:t>
      </w:r>
      <w:r>
        <w:rPr>
          <w:bCs/>
          <w:lang w:eastAsia="en-AU"/>
        </w:rPr>
        <w:t xml:space="preserve"> annual </w:t>
      </w:r>
      <w:r w:rsidR="00B820C6">
        <w:rPr>
          <w:bCs/>
          <w:lang w:eastAsia="en-AU"/>
        </w:rPr>
        <w:t xml:space="preserve">payment </w:t>
      </w:r>
      <w:r>
        <w:rPr>
          <w:bCs/>
          <w:lang w:eastAsia="en-AU"/>
        </w:rPr>
        <w:t>cap.</w:t>
      </w:r>
    </w:p>
    <w:p w14:paraId="6F8E23D1" w14:textId="015FA724" w:rsidR="00FD2B9E" w:rsidRPr="007520DB" w:rsidRDefault="00FD2B9E" w:rsidP="00C71AF1">
      <w:pPr>
        <w:pStyle w:val="ListParagraph"/>
        <w:numPr>
          <w:ilvl w:val="0"/>
          <w:numId w:val="20"/>
        </w:numPr>
        <w:rPr>
          <w:lang w:eastAsia="en-AU"/>
        </w:rPr>
      </w:pPr>
      <w:r w:rsidRPr="2D2DFCA0">
        <w:rPr>
          <w:lang w:eastAsia="en-AU"/>
        </w:rPr>
        <w:t xml:space="preserve">There are other design features which can be considered including the use of an option structure. </w:t>
      </w:r>
      <w:r w:rsidR="00D206CC" w:rsidRPr="2D2DFCA0">
        <w:rPr>
          <w:lang w:eastAsia="en-AU"/>
        </w:rPr>
        <w:t xml:space="preserve">This </w:t>
      </w:r>
      <w:r w:rsidR="00271FF2" w:rsidRPr="2D2DFCA0">
        <w:rPr>
          <w:lang w:eastAsia="en-AU"/>
        </w:rPr>
        <w:t xml:space="preserve">option structure could take various forms, which is </w:t>
      </w:r>
      <w:r w:rsidR="00D206CC" w:rsidRPr="2D2DFCA0">
        <w:rPr>
          <w:lang w:eastAsia="en-AU"/>
        </w:rPr>
        <w:t xml:space="preserve">further discussed in </w:t>
      </w:r>
      <w:r w:rsidR="007D5B4A">
        <w:rPr>
          <w:lang w:eastAsia="en-AU"/>
        </w:rPr>
        <w:t>s</w:t>
      </w:r>
      <w:r w:rsidR="00351291" w:rsidRPr="2D2DFCA0">
        <w:rPr>
          <w:lang w:eastAsia="en-AU"/>
        </w:rPr>
        <w:t xml:space="preserve">ection </w:t>
      </w:r>
      <w:r w:rsidR="007D5B4A">
        <w:rPr>
          <w:lang w:eastAsia="en-AU"/>
        </w:rPr>
        <w:fldChar w:fldCharType="begin"/>
      </w:r>
      <w:r w:rsidR="007D5B4A">
        <w:rPr>
          <w:lang w:eastAsia="en-AU"/>
        </w:rPr>
        <w:instrText xml:space="preserve"> REF _Ref160025690 \r \h </w:instrText>
      </w:r>
      <w:r w:rsidR="007D5B4A">
        <w:rPr>
          <w:lang w:eastAsia="en-AU"/>
        </w:rPr>
      </w:r>
      <w:r w:rsidR="007D5B4A">
        <w:rPr>
          <w:lang w:eastAsia="en-AU"/>
        </w:rPr>
        <w:fldChar w:fldCharType="separate"/>
      </w:r>
      <w:r w:rsidR="00590988">
        <w:rPr>
          <w:lang w:eastAsia="en-AU"/>
        </w:rPr>
        <w:t>3.4</w:t>
      </w:r>
      <w:r w:rsidR="007D5B4A">
        <w:rPr>
          <w:lang w:eastAsia="en-AU"/>
        </w:rPr>
        <w:fldChar w:fldCharType="end"/>
      </w:r>
      <w:r w:rsidR="007D5B4A">
        <w:rPr>
          <w:lang w:eastAsia="en-AU"/>
        </w:rPr>
        <w:t>.</w:t>
      </w:r>
    </w:p>
    <w:p w14:paraId="3F58DBE0" w14:textId="5A0C5DDE" w:rsidR="00C71AF1" w:rsidRDefault="00C71AF1" w:rsidP="00C71AF1">
      <w:pPr>
        <w:rPr>
          <w:bCs/>
          <w:lang w:eastAsia="en-AU"/>
        </w:rPr>
      </w:pPr>
    </w:p>
    <w:p w14:paraId="4529F8DD" w14:textId="77777777" w:rsidR="00DE10AD" w:rsidRDefault="00DE10AD" w:rsidP="00C71AF1">
      <w:pPr>
        <w:rPr>
          <w:bCs/>
          <w:lang w:eastAsia="en-AU"/>
        </w:rPr>
      </w:pPr>
      <w:r>
        <w:rPr>
          <w:bCs/>
          <w:lang w:eastAsia="en-AU"/>
        </w:rPr>
        <w:t xml:space="preserve">These design features are further discussed in Section 3. </w:t>
      </w:r>
    </w:p>
    <w:p w14:paraId="4EF8071A" w14:textId="6DB7F897" w:rsidR="00C71AF1" w:rsidRPr="007520DB" w:rsidRDefault="00C71AF1" w:rsidP="00C71AF1">
      <w:pPr>
        <w:rPr>
          <w:bCs/>
          <w:lang w:eastAsia="en-AU"/>
        </w:rPr>
      </w:pPr>
      <w:r>
        <w:rPr>
          <w:bCs/>
          <w:lang w:eastAsia="en-AU"/>
        </w:rPr>
        <w:t xml:space="preserve">As discussed in </w:t>
      </w:r>
      <w:r w:rsidR="007D5B4A">
        <w:rPr>
          <w:bCs/>
          <w:lang w:eastAsia="en-AU"/>
        </w:rPr>
        <w:t>s</w:t>
      </w:r>
      <w:r>
        <w:rPr>
          <w:bCs/>
          <w:lang w:eastAsia="en-AU"/>
        </w:rPr>
        <w:t xml:space="preserve">ection </w:t>
      </w:r>
      <w:r w:rsidR="007D5B4A">
        <w:rPr>
          <w:bCs/>
          <w:lang w:eastAsia="en-AU"/>
        </w:rPr>
        <w:fldChar w:fldCharType="begin"/>
      </w:r>
      <w:r w:rsidR="007D5B4A">
        <w:rPr>
          <w:bCs/>
          <w:lang w:eastAsia="en-AU"/>
        </w:rPr>
        <w:instrText xml:space="preserve"> REF _Ref160107183 \r \h </w:instrText>
      </w:r>
      <w:r w:rsidR="007D5B4A">
        <w:rPr>
          <w:bCs/>
          <w:lang w:eastAsia="en-AU"/>
        </w:rPr>
      </w:r>
      <w:r w:rsidR="007D5B4A">
        <w:rPr>
          <w:bCs/>
          <w:lang w:eastAsia="en-AU"/>
        </w:rPr>
        <w:fldChar w:fldCharType="separate"/>
      </w:r>
      <w:r w:rsidR="00590988">
        <w:rPr>
          <w:bCs/>
          <w:lang w:eastAsia="en-AU"/>
        </w:rPr>
        <w:t>3.3</w:t>
      </w:r>
      <w:r w:rsidR="007D5B4A">
        <w:rPr>
          <w:bCs/>
          <w:lang w:eastAsia="en-AU"/>
        </w:rPr>
        <w:fldChar w:fldCharType="end"/>
      </w:r>
      <w:r>
        <w:rPr>
          <w:bCs/>
          <w:lang w:eastAsia="en-AU"/>
        </w:rPr>
        <w:t xml:space="preserve">, these design considerations necessitate the requirement that projects be owned by a SPV to enable </w:t>
      </w:r>
      <w:r w:rsidRPr="00554198">
        <w:rPr>
          <w:lang w:eastAsia="en-AU"/>
        </w:rPr>
        <w:t>clear accounting separation of the Project</w:t>
      </w:r>
      <w:r>
        <w:rPr>
          <w:lang w:eastAsia="en-AU"/>
        </w:rPr>
        <w:t>. This may create limitations on the types of contracts that Projects are able to sign or their use for broader Portfolio optimisation.</w:t>
      </w:r>
    </w:p>
    <w:p w14:paraId="1C354B69" w14:textId="77777777" w:rsidR="00C71AF1" w:rsidRDefault="00C71AF1" w:rsidP="00C71AF1">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439AC240" w14:textId="77777777" w:rsidR="00C71AF1" w:rsidRDefault="00C71AF1" w:rsidP="00C71AF1">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Incentives for participation in the contracts market</w:t>
      </w:r>
      <w:r w:rsidRPr="00877ACE">
        <w:rPr>
          <w:lang w:val="en-GB" w:eastAsia="en-AU"/>
        </w:rPr>
        <w:t xml:space="preserve">: </w:t>
      </w:r>
    </w:p>
    <w:p w14:paraId="231AF98D" w14:textId="0C1F87A9" w:rsidR="00C71AF1" w:rsidRPr="001974E7" w:rsidRDefault="00C71AF1" w:rsidP="00C71AF1">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 xml:space="preserve">We welcome feedback on </w:t>
      </w:r>
      <w:r w:rsidR="00A66FDE">
        <w:rPr>
          <w:lang w:val="en-GB" w:eastAsia="en-AU"/>
        </w:rPr>
        <w:t xml:space="preserve">risks to contract market liquidity and </w:t>
      </w:r>
      <w:r>
        <w:rPr>
          <w:lang w:val="en-GB" w:eastAsia="en-AU"/>
        </w:rPr>
        <w:t xml:space="preserve">whether the design elements outlined in this section are sufficient to </w:t>
      </w:r>
      <w:r w:rsidR="00661499">
        <w:rPr>
          <w:lang w:val="en-GB" w:eastAsia="en-AU"/>
        </w:rPr>
        <w:t>preserve incentives to participate</w:t>
      </w:r>
      <w:r>
        <w:rPr>
          <w:lang w:val="en-GB" w:eastAsia="en-AU"/>
        </w:rPr>
        <w:t xml:space="preserve"> in the contracts market.</w:t>
      </w:r>
    </w:p>
    <w:p w14:paraId="109A9C60" w14:textId="77777777" w:rsidR="00C71AF1" w:rsidRDefault="00C71AF1" w:rsidP="00782C0B">
      <w:pPr>
        <w:rPr>
          <w:rFonts w:cstheme="majorHAnsi"/>
          <w:lang w:val="en-GB" w:eastAsia="en-AU"/>
        </w:rPr>
      </w:pPr>
    </w:p>
    <w:p w14:paraId="259F1D91" w14:textId="77777777" w:rsidR="00455651" w:rsidRDefault="00455651" w:rsidP="00782C0B">
      <w:pPr>
        <w:rPr>
          <w:highlight w:val="yellow"/>
        </w:rPr>
      </w:pPr>
    </w:p>
    <w:p w14:paraId="5902FDFB" w14:textId="77777777" w:rsidR="00854BF5" w:rsidRDefault="00854BF5" w:rsidP="00B53016">
      <w:pPr>
        <w:spacing w:after="0" w:line="240" w:lineRule="auto"/>
        <w:rPr>
          <w:highlight w:val="yellow"/>
        </w:rPr>
      </w:pPr>
    </w:p>
    <w:p w14:paraId="5623CD5A" w14:textId="77777777" w:rsidR="00C377D3" w:rsidRDefault="00C377D3">
      <w:pPr>
        <w:spacing w:after="0" w:line="240" w:lineRule="auto"/>
        <w:rPr>
          <w:rFonts w:ascii="Calibri" w:eastAsiaTheme="minorEastAsia" w:hAnsi="Calibri"/>
          <w:bCs/>
          <w:color w:val="197C7D"/>
          <w:sz w:val="56"/>
          <w:szCs w:val="28"/>
          <w:lang w:eastAsia="ja-JP"/>
        </w:rPr>
      </w:pPr>
      <w:bookmarkStart w:id="53" w:name="_CISA_products"/>
      <w:bookmarkStart w:id="54" w:name="_Toc1364473114"/>
      <w:bookmarkStart w:id="55" w:name="_Toc158650999"/>
      <w:bookmarkEnd w:id="53"/>
      <w:r>
        <w:br w:type="page"/>
      </w:r>
    </w:p>
    <w:p w14:paraId="777B0AE9" w14:textId="00BFB8DE" w:rsidR="00662012" w:rsidRPr="00E95C3E" w:rsidRDefault="00662012" w:rsidP="00C2583B">
      <w:pPr>
        <w:pStyle w:val="Heading2"/>
      </w:pPr>
      <w:bookmarkStart w:id="56" w:name="_Toc160117893"/>
      <w:r w:rsidRPr="7AE46FF4">
        <w:lastRenderedPageBreak/>
        <w:t xml:space="preserve">CISA </w:t>
      </w:r>
      <w:r>
        <w:t>products</w:t>
      </w:r>
      <w:bookmarkEnd w:id="54"/>
      <w:bookmarkEnd w:id="55"/>
      <w:bookmarkEnd w:id="56"/>
    </w:p>
    <w:p w14:paraId="3BE9EDBD" w14:textId="227F04A5" w:rsidR="005740CE" w:rsidRDefault="005740CE" w:rsidP="005740CE">
      <w:pPr>
        <w:rPr>
          <w:lang w:val="en-GB" w:eastAsia="en-AU"/>
        </w:rPr>
      </w:pPr>
      <w:bookmarkStart w:id="57" w:name="_Toc159336326"/>
      <w:bookmarkStart w:id="58" w:name="_Toc159336327"/>
      <w:bookmarkStart w:id="59" w:name="_Toc159336328"/>
      <w:bookmarkStart w:id="60" w:name="_Toc159336329"/>
      <w:bookmarkStart w:id="61" w:name="_Toc159336330"/>
      <w:bookmarkStart w:id="62" w:name="_Toc159336331"/>
      <w:bookmarkEnd w:id="57"/>
      <w:bookmarkEnd w:id="58"/>
      <w:bookmarkEnd w:id="59"/>
      <w:bookmarkEnd w:id="60"/>
      <w:bookmarkEnd w:id="61"/>
      <w:bookmarkEnd w:id="62"/>
      <w:r w:rsidRPr="005A15E4">
        <w:rPr>
          <w:lang w:val="en-GB" w:eastAsia="en-AU"/>
        </w:rPr>
        <w:t xml:space="preserve">This section provides a summary of the </w:t>
      </w:r>
      <w:r>
        <w:rPr>
          <w:lang w:val="en-GB" w:eastAsia="en-AU"/>
        </w:rPr>
        <w:t>types</w:t>
      </w:r>
      <w:r w:rsidRPr="005A15E4">
        <w:rPr>
          <w:lang w:val="en-GB" w:eastAsia="en-AU"/>
        </w:rPr>
        <w:t xml:space="preserve"> of revenue underwriting contracts</w:t>
      </w:r>
      <w:r>
        <w:rPr>
          <w:lang w:val="en-GB" w:eastAsia="en-AU"/>
        </w:rPr>
        <w:t xml:space="preserve"> – Generation CISA and Clean Dispatchable CISA </w:t>
      </w:r>
      <w:r w:rsidRPr="005A15E4">
        <w:rPr>
          <w:lang w:val="en-GB" w:eastAsia="en-AU"/>
        </w:rPr>
        <w:t>(</w:t>
      </w:r>
      <w:r>
        <w:rPr>
          <w:lang w:val="en-GB" w:eastAsia="en-AU"/>
        </w:rPr>
        <w:t xml:space="preserve">together </w:t>
      </w:r>
      <w:r w:rsidRPr="005A15E4">
        <w:rPr>
          <w:lang w:val="en-GB" w:eastAsia="en-AU"/>
        </w:rPr>
        <w:t xml:space="preserve">CISA </w:t>
      </w:r>
      <w:r>
        <w:rPr>
          <w:lang w:val="en-GB" w:eastAsia="en-AU"/>
        </w:rPr>
        <w:t>product</w:t>
      </w:r>
      <w:r w:rsidRPr="005A15E4">
        <w:rPr>
          <w:lang w:val="en-GB" w:eastAsia="en-AU"/>
        </w:rPr>
        <w:t>s)</w:t>
      </w:r>
      <w:r w:rsidR="001336C6">
        <w:rPr>
          <w:lang w:val="en-GB" w:eastAsia="en-AU"/>
        </w:rPr>
        <w:t xml:space="preserve"> </w:t>
      </w:r>
      <w:r w:rsidR="00067FC1">
        <w:rPr>
          <w:lang w:val="en-GB" w:eastAsia="en-AU"/>
        </w:rPr>
        <w:t>–</w:t>
      </w:r>
      <w:r>
        <w:rPr>
          <w:lang w:val="en-GB" w:eastAsia="en-AU"/>
        </w:rPr>
        <w:t xml:space="preserve"> </w:t>
      </w:r>
      <w:r w:rsidRPr="005A15E4">
        <w:rPr>
          <w:lang w:val="en-GB" w:eastAsia="en-AU"/>
        </w:rPr>
        <w:t>that are expected to be offered in the national CIS tenders, including mechanisms and key performance requirements.</w:t>
      </w:r>
    </w:p>
    <w:p w14:paraId="0A826F9F" w14:textId="77777777" w:rsidR="00241261" w:rsidRPr="00241261" w:rsidRDefault="00241261" w:rsidP="00241261">
      <w:pPr>
        <w:pStyle w:val="ListParagraph"/>
        <w:keepNext/>
        <w:keepLines/>
        <w:numPr>
          <w:ilvl w:val="0"/>
          <w:numId w:val="6"/>
        </w:numPr>
        <w:outlineLvl w:val="2"/>
        <w:rPr>
          <w:rFonts w:eastAsia="Times New Roman" w:cs="Times New Roman"/>
          <w:b/>
          <w:bCs/>
          <w:vanish/>
          <w:sz w:val="36"/>
          <w:szCs w:val="24"/>
        </w:rPr>
      </w:pPr>
      <w:bookmarkStart w:id="63" w:name="_Toc159336332"/>
    </w:p>
    <w:p w14:paraId="03907CA5" w14:textId="251AA6EC" w:rsidR="00DE4781" w:rsidRPr="00E95C3E" w:rsidRDefault="00DE4781" w:rsidP="00241261">
      <w:pPr>
        <w:pStyle w:val="Heading3"/>
      </w:pPr>
      <w:bookmarkStart w:id="64" w:name="_Toc160117894"/>
      <w:r>
        <w:t>CISA product types</w:t>
      </w:r>
      <w:bookmarkEnd w:id="63"/>
      <w:bookmarkEnd w:id="64"/>
    </w:p>
    <w:p w14:paraId="590A7E70" w14:textId="77777777" w:rsidR="00DE4781" w:rsidRDefault="00DE4781" w:rsidP="00DE4781">
      <w:pPr>
        <w:rPr>
          <w:lang w:val="en-GB" w:eastAsia="en-AU"/>
        </w:rPr>
      </w:pPr>
      <w:r w:rsidRPr="00E95C3E">
        <w:rPr>
          <w:lang w:val="en-GB" w:eastAsia="en-AU"/>
        </w:rPr>
        <w:t xml:space="preserve">CIS </w:t>
      </w:r>
      <w:r>
        <w:rPr>
          <w:lang w:val="en-GB" w:eastAsia="en-AU"/>
        </w:rPr>
        <w:t>tenders are expected to include</w:t>
      </w:r>
      <w:r w:rsidRPr="00E95C3E">
        <w:rPr>
          <w:lang w:val="en-GB" w:eastAsia="en-AU"/>
        </w:rPr>
        <w:t xml:space="preserve"> two long-term underwriting </w:t>
      </w:r>
      <w:r>
        <w:rPr>
          <w:lang w:val="en-GB" w:eastAsia="en-AU"/>
        </w:rPr>
        <w:t>CISA products</w:t>
      </w:r>
      <w:r w:rsidRPr="00E95C3E">
        <w:rPr>
          <w:lang w:val="en-GB" w:eastAsia="en-AU"/>
        </w:rPr>
        <w:t>:</w:t>
      </w:r>
    </w:p>
    <w:p w14:paraId="02A166E2" w14:textId="2CF963DE" w:rsidR="00DE4781" w:rsidRPr="00877ACE" w:rsidRDefault="00DE4781" w:rsidP="00965D15">
      <w:pPr>
        <w:rPr>
          <w:lang w:val="en-GB" w:eastAsia="en-AU"/>
        </w:rPr>
      </w:pPr>
      <w:r w:rsidRPr="00965D15">
        <w:rPr>
          <w:b/>
          <w:bCs/>
          <w:lang w:val="en-GB" w:eastAsia="en-AU"/>
        </w:rPr>
        <w:t xml:space="preserve">Clean Dispatchable CISA: </w:t>
      </w:r>
      <w:r w:rsidRPr="00877ACE">
        <w:rPr>
          <w:lang w:val="en-GB" w:eastAsia="en-AU"/>
        </w:rPr>
        <w:t xml:space="preserve">to support projects that are registered or intend to be registered with AEMO for the central dispatch process and capable of dispatching as a clean </w:t>
      </w:r>
      <w:r w:rsidR="0026620E" w:rsidRPr="00877ACE">
        <w:rPr>
          <w:lang w:val="en-GB" w:eastAsia="en-AU"/>
        </w:rPr>
        <w:t xml:space="preserve">dispatchable </w:t>
      </w:r>
      <w:r w:rsidRPr="00877ACE">
        <w:rPr>
          <w:lang w:val="en-GB" w:eastAsia="en-AU"/>
        </w:rPr>
        <w:t xml:space="preserve">generator at </w:t>
      </w:r>
      <w:r w:rsidR="0026620E" w:rsidRPr="00877ACE">
        <w:rPr>
          <w:lang w:val="en-GB" w:eastAsia="en-AU"/>
        </w:rPr>
        <w:t xml:space="preserve">a </w:t>
      </w:r>
      <w:r w:rsidRPr="00877ACE">
        <w:rPr>
          <w:lang w:val="en-GB" w:eastAsia="en-AU"/>
        </w:rPr>
        <w:t xml:space="preserve">registered capacity </w:t>
      </w:r>
      <w:r w:rsidR="0026620E" w:rsidRPr="00877ACE">
        <w:rPr>
          <w:lang w:val="en-GB" w:eastAsia="en-AU"/>
        </w:rPr>
        <w:t>of</w:t>
      </w:r>
      <w:r w:rsidRPr="0BB04C12">
        <w:rPr>
          <w:lang w:val="en-GB" w:eastAsia="en-AU"/>
        </w:rPr>
        <w:t xml:space="preserve"> two</w:t>
      </w:r>
      <w:r w:rsidRPr="00877ACE">
        <w:rPr>
          <w:lang w:val="en-GB" w:eastAsia="en-AU"/>
        </w:rPr>
        <w:t xml:space="preserve"> hours or more</w:t>
      </w:r>
      <w:r w:rsidR="0026620E" w:rsidRPr="00877ACE">
        <w:rPr>
          <w:lang w:val="en-GB" w:eastAsia="en-AU"/>
        </w:rPr>
        <w:t>.</w:t>
      </w:r>
      <w:r w:rsidRPr="00877ACE">
        <w:rPr>
          <w:lang w:val="en-GB" w:eastAsia="en-AU"/>
        </w:rPr>
        <w:t xml:space="preserve"> This CISA can have a contract term of up to 15 years. </w:t>
      </w:r>
    </w:p>
    <w:p w14:paraId="36673047" w14:textId="409A60B0" w:rsidR="00DE4781" w:rsidRPr="0099707A" w:rsidRDefault="0026620E" w:rsidP="00DE4781">
      <w:pPr>
        <w:rPr>
          <w:lang w:val="en-GB" w:eastAsia="en-AU"/>
        </w:rPr>
      </w:pPr>
      <w:r w:rsidRPr="64816580">
        <w:rPr>
          <w:b/>
          <w:bCs/>
          <w:lang w:val="en-GB" w:eastAsia="en-AU"/>
        </w:rPr>
        <w:t>Generation CISA:</w:t>
      </w:r>
      <w:r w:rsidRPr="64816580">
        <w:rPr>
          <w:lang w:val="en-GB" w:eastAsia="en-AU"/>
        </w:rPr>
        <w:t xml:space="preserve"> to support clean renewable projects that are registered or intend to be registered with AEMO for the central dispatch process as a generator. This </w:t>
      </w:r>
      <w:r w:rsidR="005955AC">
        <w:rPr>
          <w:lang w:val="en-GB" w:eastAsia="en-AU"/>
        </w:rPr>
        <w:t>CISA</w:t>
      </w:r>
      <w:r w:rsidRPr="64816580">
        <w:rPr>
          <w:lang w:val="en-GB" w:eastAsia="en-AU"/>
        </w:rPr>
        <w:t xml:space="preserve"> can have a contract term of up to </w:t>
      </w:r>
      <w:r w:rsidRPr="00E31955">
        <w:rPr>
          <w:lang w:val="en-GB" w:eastAsia="en-AU"/>
        </w:rPr>
        <w:t xml:space="preserve">15 </w:t>
      </w:r>
      <w:r w:rsidRPr="64816580">
        <w:rPr>
          <w:lang w:val="en-GB" w:eastAsia="en-AU"/>
        </w:rPr>
        <w:t xml:space="preserve">years. </w:t>
      </w:r>
    </w:p>
    <w:p w14:paraId="2FB3F0C5" w14:textId="77777777" w:rsidR="00DE4781" w:rsidRDefault="00DE4781" w:rsidP="0026620E">
      <w:pPr>
        <w:pStyle w:val="Heading4"/>
        <w:rPr>
          <w:lang w:val="en-GB" w:eastAsia="en-AU"/>
        </w:rPr>
      </w:pPr>
      <w:r>
        <w:rPr>
          <w:lang w:val="en-GB" w:eastAsia="en-AU"/>
        </w:rPr>
        <w:t xml:space="preserve">Shared commercial </w:t>
      </w:r>
      <w:proofErr w:type="gramStart"/>
      <w:r>
        <w:rPr>
          <w:lang w:val="en-GB" w:eastAsia="en-AU"/>
        </w:rPr>
        <w:t>characteristics</w:t>
      </w:r>
      <w:proofErr w:type="gramEnd"/>
    </w:p>
    <w:p w14:paraId="25289015" w14:textId="77777777" w:rsidR="00DE4781" w:rsidRPr="00E95C3E" w:rsidRDefault="00DE4781" w:rsidP="00DE4781">
      <w:pPr>
        <w:rPr>
          <w:lang w:val="en-GB" w:eastAsia="en-AU"/>
        </w:rPr>
      </w:pPr>
      <w:r>
        <w:rPr>
          <w:lang w:val="en-GB" w:eastAsia="en-AU"/>
        </w:rPr>
        <w:t>The</w:t>
      </w:r>
      <w:r w:rsidRPr="00E95C3E">
        <w:rPr>
          <w:lang w:val="en-GB" w:eastAsia="en-AU"/>
        </w:rPr>
        <w:t xml:space="preserve"> </w:t>
      </w:r>
      <w:r>
        <w:rPr>
          <w:lang w:val="en-GB" w:eastAsia="en-AU"/>
        </w:rPr>
        <w:t>CISA products will share the following</w:t>
      </w:r>
      <w:r w:rsidRPr="00E95C3E">
        <w:rPr>
          <w:lang w:val="en-GB" w:eastAsia="en-AU"/>
        </w:rPr>
        <w:t xml:space="preserve"> commercial characteristics:</w:t>
      </w:r>
    </w:p>
    <w:p w14:paraId="202C394B" w14:textId="3AAC7442" w:rsidR="00DE4781" w:rsidRPr="00E95C3E" w:rsidRDefault="00DE4781" w:rsidP="00DE4781">
      <w:pPr>
        <w:pStyle w:val="ListBullet"/>
        <w:rPr>
          <w:lang w:val="en-GB" w:eastAsia="en-AU"/>
        </w:rPr>
      </w:pPr>
      <w:r w:rsidRPr="7CA00775">
        <w:rPr>
          <w:lang w:val="en-GB" w:eastAsia="en-AU"/>
        </w:rPr>
        <w:t xml:space="preserve">A revenue floor and ceiling, which </w:t>
      </w:r>
      <w:r w:rsidRPr="67D5C108">
        <w:rPr>
          <w:lang w:val="en-GB" w:eastAsia="en-AU"/>
        </w:rPr>
        <w:t>are bidding</w:t>
      </w:r>
      <w:r w:rsidRPr="7CA00775">
        <w:rPr>
          <w:lang w:val="en-GB" w:eastAsia="en-AU"/>
        </w:rPr>
        <w:t xml:space="preserve"> parameters in the tender process. The payment mechanisms for the floor and ceiling vary slightly between the </w:t>
      </w:r>
      <w:r w:rsidR="47B7FAF2" w:rsidRPr="7CA00775">
        <w:rPr>
          <w:lang w:val="en-GB" w:eastAsia="en-AU"/>
        </w:rPr>
        <w:t>G</w:t>
      </w:r>
      <w:r w:rsidR="00DB588A" w:rsidRPr="7CA00775">
        <w:rPr>
          <w:lang w:val="en-GB" w:eastAsia="en-AU"/>
        </w:rPr>
        <w:t xml:space="preserve">eneration CISA </w:t>
      </w:r>
      <w:r w:rsidR="00DB588A">
        <w:rPr>
          <w:lang w:val="en-GB" w:eastAsia="en-AU"/>
        </w:rPr>
        <w:t xml:space="preserve">and </w:t>
      </w:r>
      <w:r w:rsidR="740474F7">
        <w:rPr>
          <w:lang w:val="en-GB" w:eastAsia="en-AU"/>
        </w:rPr>
        <w:t>the</w:t>
      </w:r>
      <w:r w:rsidR="00DB588A">
        <w:rPr>
          <w:lang w:val="en-GB" w:eastAsia="en-AU"/>
        </w:rPr>
        <w:t xml:space="preserve"> </w:t>
      </w:r>
      <w:r w:rsidR="3CF028A0">
        <w:rPr>
          <w:lang w:val="en-GB" w:eastAsia="en-AU"/>
        </w:rPr>
        <w:t>C</w:t>
      </w:r>
      <w:r w:rsidR="0026620E" w:rsidRPr="7CA00775">
        <w:rPr>
          <w:lang w:val="en-GB" w:eastAsia="en-AU"/>
        </w:rPr>
        <w:t>lean</w:t>
      </w:r>
      <w:r w:rsidR="002D3B12">
        <w:rPr>
          <w:lang w:val="en-GB" w:eastAsia="en-AU"/>
        </w:rPr>
        <w:t> </w:t>
      </w:r>
      <w:r w:rsidR="29F754BB" w:rsidRPr="7CA00775">
        <w:rPr>
          <w:lang w:val="en-GB" w:eastAsia="en-AU"/>
        </w:rPr>
        <w:t>D</w:t>
      </w:r>
      <w:r w:rsidR="0026620E" w:rsidRPr="7CA00775">
        <w:rPr>
          <w:lang w:val="en-GB" w:eastAsia="en-AU"/>
        </w:rPr>
        <w:t>ispatchable</w:t>
      </w:r>
      <w:r w:rsidRPr="7CA00775">
        <w:rPr>
          <w:lang w:val="en-GB" w:eastAsia="en-AU"/>
        </w:rPr>
        <w:t xml:space="preserve"> CISA as described in </w:t>
      </w:r>
      <w:r w:rsidR="007D5B4A">
        <w:rPr>
          <w:lang w:val="en-GB" w:eastAsia="en-AU"/>
        </w:rPr>
        <w:t>s</w:t>
      </w:r>
      <w:r w:rsidR="0026620E" w:rsidRPr="7CA00775">
        <w:rPr>
          <w:lang w:val="en-GB" w:eastAsia="en-AU"/>
        </w:rPr>
        <w:t>ection</w:t>
      </w:r>
      <w:r w:rsidRPr="7CA00775">
        <w:rPr>
          <w:lang w:val="en-GB" w:eastAsia="en-AU"/>
        </w:rPr>
        <w:t xml:space="preserve"> </w:t>
      </w:r>
      <w:r w:rsidR="00DB588A">
        <w:rPr>
          <w:lang w:val="en-GB" w:eastAsia="en-AU"/>
        </w:rPr>
        <w:fldChar w:fldCharType="begin"/>
      </w:r>
      <w:r w:rsidR="00DB588A">
        <w:rPr>
          <w:lang w:val="en-GB" w:eastAsia="en-AU"/>
        </w:rPr>
        <w:instrText xml:space="preserve"> REF _Ref159594163 \r \h </w:instrText>
      </w:r>
      <w:r w:rsidR="00DB588A">
        <w:rPr>
          <w:lang w:val="en-GB" w:eastAsia="en-AU"/>
        </w:rPr>
      </w:r>
      <w:r w:rsidR="00DB588A">
        <w:rPr>
          <w:lang w:val="en-GB" w:eastAsia="en-AU"/>
        </w:rPr>
        <w:fldChar w:fldCharType="separate"/>
      </w:r>
      <w:r w:rsidR="00590988">
        <w:rPr>
          <w:lang w:val="en-GB" w:eastAsia="en-AU"/>
        </w:rPr>
        <w:t>3.2.1</w:t>
      </w:r>
      <w:r w:rsidR="00DB588A">
        <w:rPr>
          <w:lang w:val="en-GB" w:eastAsia="en-AU"/>
        </w:rPr>
        <w:fldChar w:fldCharType="end"/>
      </w:r>
      <w:r w:rsidRPr="7CA00775">
        <w:rPr>
          <w:lang w:val="en-GB" w:eastAsia="en-AU"/>
        </w:rPr>
        <w:t xml:space="preserve"> and </w:t>
      </w:r>
      <w:r w:rsidR="007D5B4A">
        <w:rPr>
          <w:lang w:val="en-GB" w:eastAsia="en-AU"/>
        </w:rPr>
        <w:t>s</w:t>
      </w:r>
      <w:r w:rsidR="0026620E" w:rsidRPr="7CA00775">
        <w:rPr>
          <w:lang w:val="en-GB" w:eastAsia="en-AU"/>
        </w:rPr>
        <w:t xml:space="preserve">ection </w:t>
      </w:r>
      <w:r w:rsidR="00DB588A">
        <w:rPr>
          <w:lang w:val="en-GB" w:eastAsia="en-AU"/>
        </w:rPr>
        <w:fldChar w:fldCharType="begin"/>
      </w:r>
      <w:r w:rsidR="00DB588A">
        <w:rPr>
          <w:lang w:val="en-GB" w:eastAsia="en-AU"/>
        </w:rPr>
        <w:instrText xml:space="preserve"> REF _Ref159594177 \r \h </w:instrText>
      </w:r>
      <w:r w:rsidR="00DB588A">
        <w:rPr>
          <w:lang w:val="en-GB" w:eastAsia="en-AU"/>
        </w:rPr>
      </w:r>
      <w:r w:rsidR="00DB588A">
        <w:rPr>
          <w:lang w:val="en-GB" w:eastAsia="en-AU"/>
        </w:rPr>
        <w:fldChar w:fldCharType="separate"/>
      </w:r>
      <w:bookmarkStart w:id="65" w:name="_Int_nOd2Pod8"/>
      <w:r w:rsidR="00590988">
        <w:rPr>
          <w:lang w:val="en-GB" w:eastAsia="en-AU"/>
        </w:rPr>
        <w:t>3.2.2</w:t>
      </w:r>
      <w:r w:rsidR="00DB588A">
        <w:rPr>
          <w:lang w:val="en-GB" w:eastAsia="en-AU"/>
        </w:rPr>
        <w:fldChar w:fldCharType="end"/>
      </w:r>
      <w:bookmarkEnd w:id="65"/>
      <w:r w:rsidR="0026620E" w:rsidRPr="7CA00775">
        <w:rPr>
          <w:lang w:val="en-GB" w:eastAsia="en-AU"/>
        </w:rPr>
        <w:t xml:space="preserve"> respectively.</w:t>
      </w:r>
      <w:r w:rsidRPr="7CA00775">
        <w:rPr>
          <w:lang w:val="en-GB" w:eastAsia="en-AU"/>
        </w:rPr>
        <w:t xml:space="preserve"> </w:t>
      </w:r>
      <w:r w:rsidR="0026620E" w:rsidRPr="7CA00775">
        <w:rPr>
          <w:lang w:val="en-GB" w:eastAsia="en-AU"/>
        </w:rPr>
        <w:t xml:space="preserve">For the </w:t>
      </w:r>
      <w:r w:rsidR="016DCCC5" w:rsidRPr="7CA00775">
        <w:rPr>
          <w:lang w:val="en-GB" w:eastAsia="en-AU"/>
        </w:rPr>
        <w:t>C</w:t>
      </w:r>
      <w:r w:rsidR="0026620E" w:rsidRPr="7CA00775">
        <w:rPr>
          <w:lang w:val="en-GB" w:eastAsia="en-AU"/>
        </w:rPr>
        <w:t xml:space="preserve">lean </w:t>
      </w:r>
      <w:r w:rsidR="3ABF8AA9" w:rsidRPr="7CA00775">
        <w:rPr>
          <w:lang w:val="en-GB" w:eastAsia="en-AU"/>
        </w:rPr>
        <w:t>D</w:t>
      </w:r>
      <w:r w:rsidR="0026620E" w:rsidRPr="7CA00775">
        <w:rPr>
          <w:lang w:val="en-GB" w:eastAsia="en-AU"/>
        </w:rPr>
        <w:t xml:space="preserve">ispatchable CISA, the bid variables will be expressed </w:t>
      </w:r>
      <w:r w:rsidR="0026620E">
        <w:rPr>
          <w:lang w:val="en-GB" w:eastAsia="en-AU"/>
        </w:rPr>
        <w:t>based on</w:t>
      </w:r>
      <w:r w:rsidR="0026620E" w:rsidRPr="7CA00775">
        <w:rPr>
          <w:lang w:val="en-GB" w:eastAsia="en-AU"/>
        </w:rPr>
        <w:t xml:space="preserve"> total project net revenue in dollars ($). For the generation CISA, the bid variables will be expressed </w:t>
      </w:r>
      <w:r w:rsidR="0026620E">
        <w:rPr>
          <w:lang w:val="en-GB" w:eastAsia="en-AU"/>
        </w:rPr>
        <w:t>based on</w:t>
      </w:r>
      <w:r w:rsidR="0026620E" w:rsidRPr="7CA00775">
        <w:rPr>
          <w:lang w:val="en-GB" w:eastAsia="en-AU"/>
        </w:rPr>
        <w:t xml:space="preserve"> </w:t>
      </w:r>
      <w:r w:rsidR="00F806AD">
        <w:rPr>
          <w:lang w:val="en-GB" w:eastAsia="en-AU"/>
        </w:rPr>
        <w:t xml:space="preserve">net </w:t>
      </w:r>
      <w:r w:rsidR="0026620E" w:rsidRPr="7CA00775">
        <w:rPr>
          <w:lang w:val="en-GB" w:eastAsia="en-AU"/>
        </w:rPr>
        <w:t>revenue per MWh ($/MWh)</w:t>
      </w:r>
      <w:r w:rsidR="0026620E">
        <w:rPr>
          <w:lang w:val="en-GB" w:eastAsia="en-AU"/>
        </w:rPr>
        <w:t xml:space="preserve"> of generation</w:t>
      </w:r>
      <w:r w:rsidR="0026620E" w:rsidRPr="7CA00775">
        <w:rPr>
          <w:lang w:val="en-GB" w:eastAsia="en-AU"/>
        </w:rPr>
        <w:t xml:space="preserve">. </w:t>
      </w:r>
      <w:r w:rsidR="0026620E" w:rsidRPr="7CA00775">
        <w:t xml:space="preserve"> </w:t>
      </w:r>
    </w:p>
    <w:p w14:paraId="70681A74" w14:textId="4A94924B" w:rsidR="00DE4781" w:rsidRPr="00E95C3E" w:rsidRDefault="0026620E" w:rsidP="00DE4781">
      <w:pPr>
        <w:pStyle w:val="ListBullet"/>
        <w:rPr>
          <w:rFonts w:cstheme="majorHAnsi"/>
          <w:lang w:val="en-GB" w:eastAsia="en-AU"/>
        </w:rPr>
      </w:pPr>
      <w:r w:rsidRPr="00E95C3E">
        <w:rPr>
          <w:rFonts w:cstheme="majorHAnsi"/>
          <w:lang w:val="en-GB" w:eastAsia="en-AU"/>
        </w:rPr>
        <w:t>The contract will contain milestone</w:t>
      </w:r>
      <w:r w:rsidR="00DE4781" w:rsidRPr="00E95C3E">
        <w:rPr>
          <w:rFonts w:cstheme="majorHAnsi"/>
          <w:lang w:val="en-GB" w:eastAsia="en-AU"/>
        </w:rPr>
        <w:t xml:space="preserve"> provisions requiring progress of project development to achieve commercial operations, as payments will only commence upon energisation and commercial operation.</w:t>
      </w:r>
    </w:p>
    <w:p w14:paraId="64CBCCEC" w14:textId="60821838" w:rsidR="00DE4781" w:rsidRPr="00E95C3E" w:rsidRDefault="00DE4781" w:rsidP="00DE4781">
      <w:pPr>
        <w:pStyle w:val="ListBullet"/>
        <w:rPr>
          <w:rFonts w:cstheme="majorHAnsi"/>
        </w:rPr>
      </w:pPr>
      <w:r w:rsidRPr="00E95C3E">
        <w:rPr>
          <w:rFonts w:cstheme="majorHAnsi"/>
        </w:rPr>
        <w:t xml:space="preserve">Payments will be calculated and paid </w:t>
      </w:r>
      <w:r>
        <w:rPr>
          <w:rFonts w:cstheme="majorHAnsi"/>
        </w:rPr>
        <w:t>every quarter</w:t>
      </w:r>
      <w:r w:rsidRPr="00E95C3E">
        <w:rPr>
          <w:rFonts w:cstheme="majorHAnsi"/>
        </w:rPr>
        <w:t xml:space="preserve"> during the </w:t>
      </w:r>
      <w:r w:rsidR="00F34CCB">
        <w:rPr>
          <w:rFonts w:cstheme="majorHAnsi"/>
        </w:rPr>
        <w:t xml:space="preserve">CISA </w:t>
      </w:r>
      <w:r w:rsidRPr="00E95C3E">
        <w:rPr>
          <w:rFonts w:cstheme="majorHAnsi"/>
        </w:rPr>
        <w:t xml:space="preserve">support term. The support term will also be a bidding parameter in the tender process and </w:t>
      </w:r>
      <w:r>
        <w:rPr>
          <w:rFonts w:cstheme="majorHAnsi"/>
        </w:rPr>
        <w:t>Project Operators</w:t>
      </w:r>
      <w:r w:rsidRPr="00E95C3E">
        <w:rPr>
          <w:rFonts w:cstheme="majorHAnsi"/>
        </w:rPr>
        <w:t xml:space="preserve"> may put forward alternate contract terms where improved value for money can be demonstrated.</w:t>
      </w:r>
    </w:p>
    <w:p w14:paraId="5028BDBF" w14:textId="76759EF5" w:rsidR="0026620E" w:rsidRDefault="0026620E" w:rsidP="0026620E">
      <w:pPr>
        <w:pStyle w:val="ListBullet"/>
        <w:rPr>
          <w:rFonts w:cstheme="majorBidi"/>
          <w:lang w:val="en-GB" w:eastAsia="en-AU"/>
        </w:rPr>
      </w:pPr>
      <w:r w:rsidRPr="719DBB77">
        <w:rPr>
          <w:rFonts w:cstheme="majorBidi"/>
          <w:lang w:val="en-GB" w:eastAsia="en-AU"/>
        </w:rPr>
        <w:t xml:space="preserve">To allow transparency in calculating the quarterly revenues, there will be a requirement that the project be owned by a Project Operator that is a </w:t>
      </w:r>
      <w:r w:rsidR="34F411E4" w:rsidRPr="719DBB77">
        <w:rPr>
          <w:rFonts w:cstheme="majorBidi"/>
          <w:lang w:val="en-GB" w:eastAsia="en-AU"/>
        </w:rPr>
        <w:t>S</w:t>
      </w:r>
      <w:r w:rsidRPr="719DBB77">
        <w:rPr>
          <w:rFonts w:cstheme="majorBidi"/>
          <w:lang w:val="en-GB" w:eastAsia="en-AU"/>
        </w:rPr>
        <w:t xml:space="preserve">pecial </w:t>
      </w:r>
      <w:r w:rsidR="367F70BC" w:rsidRPr="719DBB77">
        <w:rPr>
          <w:rFonts w:cstheme="majorBidi"/>
          <w:lang w:val="en-GB" w:eastAsia="en-AU"/>
        </w:rPr>
        <w:t>P</w:t>
      </w:r>
      <w:r w:rsidRPr="719DBB77">
        <w:rPr>
          <w:rFonts w:cstheme="majorBidi"/>
          <w:lang w:val="en-GB" w:eastAsia="en-AU"/>
        </w:rPr>
        <w:t xml:space="preserve">urpose </w:t>
      </w:r>
      <w:r w:rsidR="6AE27866" w:rsidRPr="719DBB77">
        <w:rPr>
          <w:rFonts w:cstheme="majorBidi"/>
          <w:lang w:val="en-GB" w:eastAsia="en-AU"/>
        </w:rPr>
        <w:t>V</w:t>
      </w:r>
      <w:r w:rsidRPr="719DBB77">
        <w:rPr>
          <w:rFonts w:cstheme="majorBidi"/>
          <w:lang w:val="en-GB" w:eastAsia="en-AU"/>
        </w:rPr>
        <w:t xml:space="preserve">ehicle (SPV) (see the discussion on ownership structure </w:t>
      </w:r>
      <w:r w:rsidR="000D51C5" w:rsidRPr="719DBB77">
        <w:rPr>
          <w:rFonts w:cstheme="majorBidi"/>
          <w:lang w:val="en-GB" w:eastAsia="en-AU"/>
        </w:rPr>
        <w:t xml:space="preserve">in </w:t>
      </w:r>
      <w:r w:rsidR="00FF079E">
        <w:rPr>
          <w:rFonts w:cstheme="majorBidi"/>
          <w:lang w:val="en-GB" w:eastAsia="en-AU"/>
        </w:rPr>
        <w:t>s</w:t>
      </w:r>
      <w:r w:rsidR="000D51C5" w:rsidRPr="719DBB77">
        <w:rPr>
          <w:rFonts w:cstheme="majorBidi"/>
          <w:lang w:val="en-GB" w:eastAsia="en-AU"/>
        </w:rPr>
        <w:t xml:space="preserve">ection </w:t>
      </w:r>
      <w:r w:rsidR="00FF079E">
        <w:rPr>
          <w:rFonts w:cstheme="majorBidi"/>
          <w:lang w:val="en-GB" w:eastAsia="en-AU"/>
        </w:rPr>
        <w:fldChar w:fldCharType="begin"/>
      </w:r>
      <w:r w:rsidR="00FF079E">
        <w:rPr>
          <w:rFonts w:cstheme="majorBidi"/>
          <w:lang w:val="en-GB" w:eastAsia="en-AU"/>
        </w:rPr>
        <w:instrText xml:space="preserve"> REF _Ref160107303 \r \h </w:instrText>
      </w:r>
      <w:r w:rsidR="00FF079E">
        <w:rPr>
          <w:rFonts w:cstheme="majorBidi"/>
          <w:lang w:val="en-GB" w:eastAsia="en-AU"/>
        </w:rPr>
      </w:r>
      <w:r w:rsidR="00FF079E">
        <w:rPr>
          <w:rFonts w:cstheme="majorBidi"/>
          <w:lang w:val="en-GB" w:eastAsia="en-AU"/>
        </w:rPr>
        <w:fldChar w:fldCharType="separate"/>
      </w:r>
      <w:r w:rsidR="00590988">
        <w:rPr>
          <w:rFonts w:cstheme="majorBidi"/>
          <w:lang w:val="en-GB" w:eastAsia="en-AU"/>
        </w:rPr>
        <w:t>3.3</w:t>
      </w:r>
      <w:r w:rsidR="00FF079E">
        <w:rPr>
          <w:rFonts w:cstheme="majorBidi"/>
          <w:lang w:val="en-GB" w:eastAsia="en-AU"/>
        </w:rPr>
        <w:fldChar w:fldCharType="end"/>
      </w:r>
      <w:r w:rsidRPr="719DBB77">
        <w:rPr>
          <w:rFonts w:cstheme="majorBidi"/>
          <w:lang w:val="en-GB" w:eastAsia="en-AU"/>
        </w:rPr>
        <w:t xml:space="preserve"> below).</w:t>
      </w:r>
    </w:p>
    <w:p w14:paraId="79817271" w14:textId="7426BE3F" w:rsidR="00DE4781" w:rsidRDefault="00DE4781" w:rsidP="00DE4781">
      <w:pPr>
        <w:rPr>
          <w:lang w:val="en-GB" w:eastAsia="en-AU"/>
        </w:rPr>
      </w:pPr>
      <w:r>
        <w:rPr>
          <w:lang w:val="en-GB" w:eastAsia="en-AU"/>
        </w:rPr>
        <w:t>D</w:t>
      </w:r>
      <w:r w:rsidRPr="3ABF7279">
        <w:rPr>
          <w:lang w:val="en-GB" w:eastAsia="en-AU"/>
        </w:rPr>
        <w:t xml:space="preserve">etailed commercial terms </w:t>
      </w:r>
      <w:r>
        <w:rPr>
          <w:lang w:val="en-GB" w:eastAsia="en-AU"/>
        </w:rPr>
        <w:t>for the</w:t>
      </w:r>
      <w:r w:rsidRPr="20A8D60C">
        <w:rPr>
          <w:lang w:val="en-GB" w:eastAsia="en-AU"/>
        </w:rPr>
        <w:t xml:space="preserve"> CISA products are </w:t>
      </w:r>
      <w:r w:rsidRPr="56AFE5CA">
        <w:rPr>
          <w:lang w:val="en-GB" w:eastAsia="en-AU"/>
        </w:rPr>
        <w:t xml:space="preserve">outlined in </w:t>
      </w:r>
      <w:r w:rsidR="00CD4D66">
        <w:rPr>
          <w:lang w:val="en-GB" w:eastAsia="en-AU"/>
        </w:rPr>
        <w:t xml:space="preserve">the table </w:t>
      </w:r>
      <w:r w:rsidRPr="49FF5C63">
        <w:rPr>
          <w:lang w:val="en-GB" w:eastAsia="en-AU"/>
        </w:rPr>
        <w:t xml:space="preserve">below. </w:t>
      </w:r>
    </w:p>
    <w:p w14:paraId="0DEBADDD" w14:textId="281ECB4A" w:rsidR="008A7380" w:rsidRDefault="008A7380" w:rsidP="00384043">
      <w:pPr>
        <w:pStyle w:val="Caption"/>
        <w:spacing w:after="0"/>
      </w:pPr>
      <w:bookmarkStart w:id="66" w:name="_Toc160117908"/>
      <w:r>
        <w:t xml:space="preserve">Table </w:t>
      </w:r>
      <w:fldSimple w:instr=" SEQ Table \* ARABIC ">
        <w:r w:rsidR="00590988">
          <w:rPr>
            <w:noProof/>
          </w:rPr>
          <w:t>2</w:t>
        </w:r>
      </w:fldSimple>
      <w:r>
        <w:t xml:space="preserve"> </w:t>
      </w:r>
      <w:r w:rsidRPr="00475536">
        <w:t xml:space="preserve">Key commercial terms for both CISA products, including bid </w:t>
      </w:r>
      <w:proofErr w:type="gramStart"/>
      <w:r w:rsidRPr="00475536">
        <w:t>variables</w:t>
      </w:r>
      <w:bookmarkEnd w:id="66"/>
      <w:proofErr w:type="gramEnd"/>
    </w:p>
    <w:tbl>
      <w:tblPr>
        <w:tblStyle w:val="TableGrid"/>
        <w:tblW w:w="0" w:type="auto"/>
        <w:tblLook w:val="04A0" w:firstRow="1" w:lastRow="0" w:firstColumn="1" w:lastColumn="0" w:noHBand="0" w:noVBand="1"/>
      </w:tblPr>
      <w:tblGrid>
        <w:gridCol w:w="1374"/>
        <w:gridCol w:w="7686"/>
      </w:tblGrid>
      <w:tr w:rsidR="000457F4" w14:paraId="6B214DB6" w14:textId="77777777" w:rsidTr="00384043">
        <w:trPr>
          <w:tblHeader/>
        </w:trPr>
        <w:tc>
          <w:tcPr>
            <w:tcW w:w="1129" w:type="dxa"/>
            <w:shd w:val="clear" w:color="auto" w:fill="197C7D"/>
          </w:tcPr>
          <w:p w14:paraId="518E91B7" w14:textId="1456968A" w:rsidR="000457F4" w:rsidRDefault="000457F4" w:rsidP="00384043">
            <w:pPr>
              <w:spacing w:before="0" w:after="0"/>
            </w:pPr>
            <w:r w:rsidRPr="004E7432">
              <w:rPr>
                <w:rFonts w:ascii="Calibri" w:eastAsia="Times New Roman" w:hAnsi="Calibri" w:cs="Calibri"/>
                <w:b/>
                <w:bCs/>
                <w:color w:val="FFFFFF"/>
                <w:sz w:val="18"/>
                <w:szCs w:val="18"/>
                <w:lang w:val="en-GB" w:eastAsia="en-AU"/>
              </w:rPr>
              <w:t>Term</w:t>
            </w:r>
          </w:p>
        </w:tc>
        <w:tc>
          <w:tcPr>
            <w:tcW w:w="7887" w:type="dxa"/>
            <w:shd w:val="clear" w:color="auto" w:fill="197C7D"/>
          </w:tcPr>
          <w:p w14:paraId="6578ECCC" w14:textId="7C9FAA56" w:rsidR="000457F4" w:rsidRDefault="000457F4" w:rsidP="00384043">
            <w:pPr>
              <w:spacing w:before="0" w:after="0"/>
            </w:pPr>
            <w:r w:rsidRPr="004E7432">
              <w:rPr>
                <w:rFonts w:ascii="Calibri" w:eastAsia="Times New Roman" w:hAnsi="Calibri" w:cs="Calibri"/>
                <w:b/>
                <w:bCs/>
                <w:color w:val="FFFFFF"/>
                <w:sz w:val="18"/>
                <w:szCs w:val="18"/>
                <w:lang w:val="en-GB" w:eastAsia="en-AU"/>
              </w:rPr>
              <w:t>Generation CISA</w:t>
            </w:r>
          </w:p>
        </w:tc>
      </w:tr>
      <w:tr w:rsidR="000457F4" w14:paraId="3CC1281D" w14:textId="77777777" w:rsidTr="00384043">
        <w:trPr>
          <w:trHeight w:val="601"/>
        </w:trPr>
        <w:tc>
          <w:tcPr>
            <w:tcW w:w="1129" w:type="dxa"/>
            <w:shd w:val="clear" w:color="auto" w:fill="197C7D"/>
          </w:tcPr>
          <w:p w14:paraId="77AF25C4" w14:textId="77777777" w:rsidR="000457F4" w:rsidRDefault="000457F4">
            <w:r w:rsidRPr="004E7432">
              <w:rPr>
                <w:rFonts w:ascii="Calibri" w:eastAsia="Times New Roman" w:hAnsi="Calibri" w:cs="Calibri"/>
                <w:b/>
                <w:bCs/>
                <w:color w:val="FFFFFF"/>
                <w:sz w:val="18"/>
                <w:szCs w:val="18"/>
                <w:lang w:val="en-GB" w:eastAsia="en-AU"/>
              </w:rPr>
              <w:t>Project characteristics </w:t>
            </w:r>
            <w:r w:rsidRPr="004E7432">
              <w:rPr>
                <w:rFonts w:ascii="Calibri" w:eastAsia="Times New Roman" w:hAnsi="Calibri" w:cs="Calibri"/>
                <w:b/>
                <w:bCs/>
                <w:color w:val="FFFFFF"/>
                <w:sz w:val="18"/>
                <w:szCs w:val="18"/>
                <w:lang w:eastAsia="en-AU"/>
              </w:rPr>
              <w:t> </w:t>
            </w:r>
          </w:p>
        </w:tc>
        <w:tc>
          <w:tcPr>
            <w:tcW w:w="7887" w:type="dxa"/>
          </w:tcPr>
          <w:p w14:paraId="2495815C" w14:textId="7DCAF2BD" w:rsidR="000457F4" w:rsidRPr="000457F4" w:rsidRDefault="000457F4" w:rsidP="000457F4">
            <w:pPr>
              <w:spacing w:before="0"/>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The CISA will include a description of the project characteristics (e.g., nameplate capacity, technology). The Project Operator will be required to preserve the agreed project characteristics over the life of the agreement.</w:t>
            </w:r>
            <w:r w:rsidRPr="004E7432">
              <w:rPr>
                <w:rFonts w:ascii="Calibri" w:eastAsia="Times New Roman" w:hAnsi="Calibri" w:cs="Calibri"/>
                <w:sz w:val="18"/>
                <w:szCs w:val="18"/>
                <w:lang w:eastAsia="en-AU"/>
              </w:rPr>
              <w:t> </w:t>
            </w:r>
          </w:p>
          <w:p w14:paraId="169066B7" w14:textId="77777777" w:rsidR="000457F4" w:rsidRDefault="000457F4" w:rsidP="000457F4">
            <w:pPr>
              <w:spacing w:before="0"/>
            </w:pPr>
            <w:r w:rsidRPr="004E7432">
              <w:rPr>
                <w:rFonts w:ascii="Calibri" w:eastAsia="Times New Roman" w:hAnsi="Calibri" w:cs="Calibri"/>
                <w:sz w:val="18"/>
                <w:szCs w:val="18"/>
                <w:lang w:val="en-GB" w:eastAsia="en-AU"/>
              </w:rPr>
              <w:t>For a Project assessed as a hybrid project, this will include both generation and storage elements of the Project. </w:t>
            </w:r>
            <w:r w:rsidRPr="004E7432">
              <w:rPr>
                <w:rFonts w:ascii="Calibri" w:eastAsia="Times New Roman" w:hAnsi="Calibri" w:cs="Calibri"/>
                <w:sz w:val="18"/>
                <w:szCs w:val="18"/>
                <w:lang w:eastAsia="en-AU"/>
              </w:rPr>
              <w:t> </w:t>
            </w:r>
          </w:p>
        </w:tc>
      </w:tr>
      <w:tr w:rsidR="000457F4" w14:paraId="1FA6C7F0" w14:textId="77777777" w:rsidTr="00384043">
        <w:trPr>
          <w:trHeight w:val="739"/>
        </w:trPr>
        <w:tc>
          <w:tcPr>
            <w:tcW w:w="1129" w:type="dxa"/>
            <w:shd w:val="clear" w:color="auto" w:fill="197C7D"/>
          </w:tcPr>
          <w:p w14:paraId="592CABC3"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lastRenderedPageBreak/>
              <w:t>Support Term</w:t>
            </w:r>
            <w:r w:rsidRPr="004E7432">
              <w:rPr>
                <w:rFonts w:ascii="Calibri" w:eastAsia="Times New Roman" w:hAnsi="Calibri" w:cs="Calibri"/>
                <w:b/>
                <w:bCs/>
                <w:color w:val="FFFFFF"/>
                <w:sz w:val="18"/>
                <w:szCs w:val="18"/>
                <w:lang w:eastAsia="en-AU"/>
              </w:rPr>
              <w:t> </w:t>
            </w:r>
          </w:p>
          <w:p w14:paraId="21C63FC4" w14:textId="77777777" w:rsidR="000457F4" w:rsidRDefault="000457F4">
            <w:r w:rsidRPr="004E7432">
              <w:rPr>
                <w:rFonts w:ascii="Calibri" w:eastAsia="Times New Roman" w:hAnsi="Calibri" w:cs="Calibri"/>
                <w:b/>
                <w:bCs/>
                <w:color w:val="FFFFFF"/>
                <w:sz w:val="18"/>
                <w:szCs w:val="18"/>
                <w:lang w:val="en-GB" w:eastAsia="en-AU"/>
              </w:rPr>
              <w:t>(Bid Variable)</w:t>
            </w:r>
            <w:r w:rsidRPr="004E7432">
              <w:rPr>
                <w:rFonts w:ascii="Calibri" w:eastAsia="Times New Roman" w:hAnsi="Calibri" w:cs="Calibri"/>
                <w:b/>
                <w:bCs/>
                <w:color w:val="FFFFFF"/>
                <w:sz w:val="18"/>
                <w:szCs w:val="18"/>
                <w:lang w:eastAsia="en-AU"/>
              </w:rPr>
              <w:t> </w:t>
            </w:r>
          </w:p>
        </w:tc>
        <w:tc>
          <w:tcPr>
            <w:tcW w:w="7887" w:type="dxa"/>
          </w:tcPr>
          <w:p w14:paraId="4D891992" w14:textId="77777777" w:rsidR="000457F4" w:rsidRDefault="000457F4" w:rsidP="000457F4">
            <w:pPr>
              <w:spacing w:before="0"/>
            </w:pPr>
            <w:r w:rsidRPr="004E7432">
              <w:rPr>
                <w:rFonts w:ascii="Calibri" w:eastAsia="Times New Roman" w:hAnsi="Calibri" w:cs="Calibri"/>
                <w:sz w:val="18"/>
                <w:szCs w:val="18"/>
                <w:lang w:val="en-GB" w:eastAsia="en-AU"/>
              </w:rPr>
              <w:t>Up to a maximum of 15 years.</w:t>
            </w:r>
            <w:r w:rsidRPr="004E7432">
              <w:rPr>
                <w:rFonts w:ascii="Calibri" w:eastAsia="Times New Roman" w:hAnsi="Calibri" w:cs="Calibri"/>
                <w:sz w:val="18"/>
                <w:szCs w:val="18"/>
                <w:lang w:eastAsia="en-AU"/>
              </w:rPr>
              <w:t> </w:t>
            </w:r>
          </w:p>
        </w:tc>
      </w:tr>
      <w:tr w:rsidR="000457F4" w14:paraId="4BB0DD80" w14:textId="77777777" w:rsidTr="00384043">
        <w:trPr>
          <w:trHeight w:val="610"/>
        </w:trPr>
        <w:tc>
          <w:tcPr>
            <w:tcW w:w="1129" w:type="dxa"/>
            <w:shd w:val="clear" w:color="auto" w:fill="197C7D"/>
          </w:tcPr>
          <w:p w14:paraId="5C510A1E" w14:textId="77777777" w:rsidR="000457F4" w:rsidRDefault="000457F4">
            <w:r w:rsidRPr="004E7432">
              <w:rPr>
                <w:rFonts w:ascii="Calibri" w:eastAsia="Times New Roman" w:hAnsi="Calibri" w:cs="Calibri"/>
                <w:b/>
                <w:bCs/>
                <w:color w:val="FFFFFF"/>
                <w:sz w:val="18"/>
                <w:szCs w:val="18"/>
                <w:lang w:val="en-GB" w:eastAsia="en-AU"/>
              </w:rPr>
              <w:t>Potential Option structure</w:t>
            </w:r>
            <w:r w:rsidRPr="004E7432">
              <w:rPr>
                <w:rFonts w:ascii="Calibri" w:eastAsia="Times New Roman" w:hAnsi="Calibri" w:cs="Calibri"/>
                <w:b/>
                <w:bCs/>
                <w:color w:val="FFFFFF"/>
                <w:sz w:val="18"/>
                <w:szCs w:val="18"/>
                <w:lang w:eastAsia="en-AU"/>
              </w:rPr>
              <w:t> </w:t>
            </w:r>
          </w:p>
        </w:tc>
        <w:tc>
          <w:tcPr>
            <w:tcW w:w="7887" w:type="dxa"/>
          </w:tcPr>
          <w:p w14:paraId="2BFE0920" w14:textId="77777777" w:rsidR="000457F4" w:rsidRDefault="000457F4" w:rsidP="000457F4">
            <w:pPr>
              <w:spacing w:before="0"/>
            </w:pPr>
            <w:r w:rsidRPr="004E7432">
              <w:rPr>
                <w:rFonts w:ascii="Calibri" w:eastAsia="Times New Roman" w:hAnsi="Calibri" w:cs="Calibri"/>
                <w:sz w:val="18"/>
                <w:szCs w:val="18"/>
                <w:lang w:val="en-GB" w:eastAsia="en-AU"/>
              </w:rPr>
              <w:t xml:space="preserve">Potential option structures are being considered for the CIS. This is discussed further in Section </w:t>
            </w:r>
            <w:r w:rsidRPr="004E7432">
              <w:rPr>
                <w:rFonts w:ascii="Calibri" w:eastAsia="Times New Roman" w:hAnsi="Calibri" w:cs="Calibri"/>
                <w:color w:val="000000"/>
                <w:sz w:val="18"/>
                <w:szCs w:val="18"/>
                <w:shd w:val="clear" w:color="auto" w:fill="E1E3E6"/>
                <w:lang w:val="en-GB" w:eastAsia="en-AU"/>
              </w:rPr>
              <w:t>3.4</w:t>
            </w:r>
            <w:r w:rsidRPr="004E7432">
              <w:rPr>
                <w:rFonts w:ascii="Calibri" w:eastAsia="Times New Roman" w:hAnsi="Calibri" w:cs="Calibri"/>
                <w:sz w:val="18"/>
                <w:szCs w:val="18"/>
                <w:lang w:eastAsia="en-AU"/>
              </w:rPr>
              <w:t> </w:t>
            </w:r>
          </w:p>
        </w:tc>
      </w:tr>
      <w:tr w:rsidR="000457F4" w14:paraId="7DB1E199" w14:textId="77777777" w:rsidTr="00384043">
        <w:trPr>
          <w:trHeight w:val="4519"/>
        </w:trPr>
        <w:tc>
          <w:tcPr>
            <w:tcW w:w="1129" w:type="dxa"/>
            <w:shd w:val="clear" w:color="auto" w:fill="197C7D"/>
          </w:tcPr>
          <w:p w14:paraId="5B2E5F46"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t>Payment mechanism</w:t>
            </w:r>
            <w:r w:rsidRPr="004E7432">
              <w:rPr>
                <w:rFonts w:ascii="Calibri" w:eastAsia="Times New Roman" w:hAnsi="Calibri" w:cs="Calibri"/>
                <w:b/>
                <w:bCs/>
                <w:color w:val="FFFFFF"/>
                <w:sz w:val="18"/>
                <w:szCs w:val="18"/>
                <w:lang w:eastAsia="en-AU"/>
              </w:rPr>
              <w:t> </w:t>
            </w:r>
          </w:p>
          <w:p w14:paraId="1D09F03A" w14:textId="77777777" w:rsidR="000457F4" w:rsidRDefault="000457F4">
            <w:r w:rsidRPr="004E7432">
              <w:rPr>
                <w:rFonts w:ascii="Calibri" w:eastAsia="Times New Roman" w:hAnsi="Calibri" w:cs="Calibri"/>
                <w:b/>
                <w:bCs/>
                <w:color w:val="FFFFFF"/>
                <w:sz w:val="18"/>
                <w:szCs w:val="18"/>
                <w:lang w:val="en-GB" w:eastAsia="en-AU"/>
              </w:rPr>
              <w:t>(Multiple Bid Variables)</w:t>
            </w:r>
            <w:r w:rsidRPr="004E7432">
              <w:rPr>
                <w:rFonts w:ascii="Calibri" w:eastAsia="Times New Roman" w:hAnsi="Calibri" w:cs="Calibri"/>
                <w:b/>
                <w:bCs/>
                <w:color w:val="FFFFFF"/>
                <w:sz w:val="18"/>
                <w:szCs w:val="18"/>
                <w:lang w:eastAsia="en-AU"/>
              </w:rPr>
              <w:t> </w:t>
            </w:r>
          </w:p>
        </w:tc>
        <w:tc>
          <w:tcPr>
            <w:tcW w:w="7887" w:type="dxa"/>
          </w:tcPr>
          <w:p w14:paraId="031B325D" w14:textId="494E6721" w:rsidR="000457F4" w:rsidRDefault="000457F4" w:rsidP="000457F4">
            <w:pPr>
              <w:spacing w:before="0"/>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Quarterly payments will be made in the first three quarters. At the end of the financial year, an annual reconciliation payment (Annual Adjustment Payment) will be made, subject to an annual payment cap.</w:t>
            </w:r>
            <w:r w:rsidRPr="004E7432">
              <w:rPr>
                <w:rFonts w:ascii="Calibri" w:eastAsia="Times New Roman" w:hAnsi="Calibri" w:cs="Calibri"/>
                <w:sz w:val="18"/>
                <w:szCs w:val="18"/>
                <w:lang w:eastAsia="en-AU"/>
              </w:rPr>
              <w:t> </w:t>
            </w:r>
          </w:p>
          <w:p w14:paraId="38B64679" w14:textId="7D874426" w:rsidR="000457F4" w:rsidRDefault="000457F4" w:rsidP="000457F4">
            <w:pPr>
              <w:spacing w:before="0"/>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All payments will be made according to the Project’s revenue for that period compared to its revenue floor and ceiling, as bid during the tender.</w:t>
            </w:r>
            <w:r w:rsidRPr="004E7432">
              <w:rPr>
                <w:rFonts w:ascii="Calibri" w:eastAsia="Times New Roman" w:hAnsi="Calibri" w:cs="Calibri"/>
                <w:sz w:val="18"/>
                <w:szCs w:val="18"/>
                <w:lang w:eastAsia="en-AU"/>
              </w:rPr>
              <w:t> </w:t>
            </w:r>
          </w:p>
          <w:p w14:paraId="43BA6D3E" w14:textId="77777777" w:rsidR="000457F4" w:rsidRPr="004E7432" w:rsidRDefault="000457F4" w:rsidP="000457F4">
            <w:pPr>
              <w:spacing w:before="0"/>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The underwriting mechanism will be based on a project’s net revenue, which is the sum of all revenue for the project minus costs from:</w:t>
            </w:r>
            <w:r w:rsidRPr="004E7432">
              <w:rPr>
                <w:rFonts w:ascii="Calibri" w:eastAsia="Times New Roman" w:hAnsi="Calibri" w:cs="Calibri"/>
                <w:sz w:val="18"/>
                <w:szCs w:val="18"/>
                <w:lang w:eastAsia="en-AU"/>
              </w:rPr>
              <w:t> </w:t>
            </w:r>
          </w:p>
          <w:p w14:paraId="61FDC2D5" w14:textId="77777777" w:rsidR="000457F4" w:rsidRPr="00602600" w:rsidRDefault="000457F4" w:rsidP="000457F4">
            <w:pPr>
              <w:pStyle w:val="ListParagraph"/>
              <w:numPr>
                <w:ilvl w:val="0"/>
                <w:numId w:val="32"/>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for storage projects, costs in relation to the import of electricity from the network</w:t>
            </w:r>
            <w:r w:rsidRPr="00602600">
              <w:rPr>
                <w:rFonts w:eastAsia="Times New Roman"/>
                <w:sz w:val="18"/>
                <w:szCs w:val="18"/>
                <w:lang w:eastAsia="en-AU"/>
              </w:rPr>
              <w:t> </w:t>
            </w:r>
          </w:p>
          <w:p w14:paraId="5F284104" w14:textId="77777777" w:rsidR="000457F4" w:rsidRPr="00602600" w:rsidRDefault="000457F4" w:rsidP="000457F4">
            <w:pPr>
              <w:pStyle w:val="ListParagraph"/>
              <w:numPr>
                <w:ilvl w:val="0"/>
                <w:numId w:val="32"/>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costs for Ancillary Services Network Support Services, or System Support Services</w:t>
            </w:r>
            <w:r w:rsidRPr="00602600">
              <w:rPr>
                <w:rFonts w:eastAsia="Times New Roman"/>
                <w:sz w:val="18"/>
                <w:szCs w:val="18"/>
                <w:lang w:eastAsia="en-AU"/>
              </w:rPr>
              <w:t> </w:t>
            </w:r>
          </w:p>
          <w:p w14:paraId="265315EA" w14:textId="77777777" w:rsidR="000457F4" w:rsidRPr="00602600" w:rsidRDefault="000457F4" w:rsidP="000457F4">
            <w:pPr>
              <w:pStyle w:val="ListParagraph"/>
              <w:numPr>
                <w:ilvl w:val="0"/>
                <w:numId w:val="32"/>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any other costs incurred under the National Electricity Rules (excluding any fines or penalties)</w:t>
            </w:r>
            <w:r w:rsidRPr="00602600">
              <w:rPr>
                <w:rFonts w:eastAsia="Times New Roman"/>
                <w:sz w:val="18"/>
                <w:szCs w:val="18"/>
                <w:lang w:eastAsia="en-AU"/>
              </w:rPr>
              <w:t> </w:t>
            </w:r>
          </w:p>
          <w:p w14:paraId="5C7C7538" w14:textId="77777777" w:rsidR="000457F4" w:rsidRPr="00602600" w:rsidRDefault="000457F4" w:rsidP="000457F4">
            <w:pPr>
              <w:pStyle w:val="ListParagraph"/>
              <w:numPr>
                <w:ilvl w:val="0"/>
                <w:numId w:val="32"/>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any payments under an Eligible Wholesale Contract (excluding liquidated damages, warranty payments, or non-performance payments).</w:t>
            </w:r>
            <w:r w:rsidRPr="00602600">
              <w:rPr>
                <w:rFonts w:eastAsia="Times New Roman"/>
                <w:sz w:val="18"/>
                <w:szCs w:val="18"/>
                <w:lang w:eastAsia="en-AU"/>
              </w:rPr>
              <w:t> </w:t>
            </w:r>
          </w:p>
          <w:p w14:paraId="63B3A445" w14:textId="558F8251" w:rsidR="000457F4" w:rsidRPr="000457F4" w:rsidRDefault="000457F4" w:rsidP="000457F4">
            <w:pPr>
              <w:spacing w:before="0"/>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All other operating costs, taxes, fines and penalties, payments to the NEM pool due to negative wholesale energy prices, and debt financing interest and other costs are excluded from the calculation of net revenue.</w:t>
            </w:r>
          </w:p>
        </w:tc>
      </w:tr>
      <w:tr w:rsidR="000457F4" w14:paraId="59840927" w14:textId="77777777" w:rsidTr="00384043">
        <w:trPr>
          <w:trHeight w:val="1229"/>
        </w:trPr>
        <w:tc>
          <w:tcPr>
            <w:tcW w:w="1129" w:type="dxa"/>
            <w:shd w:val="clear" w:color="auto" w:fill="197C7D"/>
          </w:tcPr>
          <w:p w14:paraId="2C28B86C"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t>Contracted Percentage</w:t>
            </w:r>
            <w:r w:rsidRPr="004E7432">
              <w:rPr>
                <w:rFonts w:ascii="Calibri" w:eastAsia="Times New Roman" w:hAnsi="Calibri" w:cs="Calibri"/>
                <w:b/>
                <w:bCs/>
                <w:color w:val="FFFFFF"/>
                <w:sz w:val="18"/>
                <w:szCs w:val="18"/>
                <w:lang w:eastAsia="en-AU"/>
              </w:rPr>
              <w:t> </w:t>
            </w:r>
          </w:p>
          <w:p w14:paraId="3137DB3B" w14:textId="77777777" w:rsidR="000457F4" w:rsidRDefault="000457F4">
            <w:r w:rsidRPr="004E7432">
              <w:rPr>
                <w:rFonts w:ascii="Calibri" w:eastAsia="Times New Roman" w:hAnsi="Calibri" w:cs="Calibri"/>
                <w:b/>
                <w:bCs/>
                <w:color w:val="FFFFFF"/>
                <w:sz w:val="18"/>
                <w:szCs w:val="18"/>
                <w:lang w:val="en-GB" w:eastAsia="en-AU"/>
              </w:rPr>
              <w:t>(Bid Variable)</w:t>
            </w:r>
            <w:r w:rsidRPr="004E7432">
              <w:rPr>
                <w:rFonts w:ascii="Calibri" w:eastAsia="Times New Roman" w:hAnsi="Calibri" w:cs="Calibri"/>
                <w:b/>
                <w:bCs/>
                <w:color w:val="FFFFFF"/>
                <w:sz w:val="18"/>
                <w:szCs w:val="18"/>
                <w:lang w:eastAsia="en-AU"/>
              </w:rPr>
              <w:t> </w:t>
            </w:r>
          </w:p>
        </w:tc>
        <w:tc>
          <w:tcPr>
            <w:tcW w:w="7887" w:type="dxa"/>
          </w:tcPr>
          <w:p w14:paraId="46E231A9" w14:textId="77777777" w:rsidR="000457F4" w:rsidRPr="004E7432" w:rsidRDefault="000457F4" w:rsidP="000457F4">
            <w:pPr>
              <w:spacing w:before="0"/>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 xml:space="preserve">The CISA may relate to some or </w:t>
            </w:r>
            <w:proofErr w:type="gramStart"/>
            <w:r w:rsidRPr="004E7432">
              <w:rPr>
                <w:rFonts w:ascii="Calibri" w:eastAsia="Times New Roman" w:hAnsi="Calibri" w:cs="Calibri"/>
                <w:sz w:val="18"/>
                <w:szCs w:val="18"/>
                <w:lang w:val="en-GB" w:eastAsia="en-AU"/>
              </w:rPr>
              <w:t>all of</w:t>
            </w:r>
            <w:proofErr w:type="gramEnd"/>
            <w:r w:rsidRPr="004E7432">
              <w:rPr>
                <w:rFonts w:ascii="Calibri" w:eastAsia="Times New Roman" w:hAnsi="Calibri" w:cs="Calibri"/>
                <w:sz w:val="18"/>
                <w:szCs w:val="18"/>
                <w:lang w:val="en-GB" w:eastAsia="en-AU"/>
              </w:rPr>
              <w:t xml:space="preserve"> the Project’s capacity. Where a Project bids and receives a CISA for less than 100% of its capacity, the Contracted Percentage is less than 100%. </w:t>
            </w:r>
            <w:r w:rsidRPr="004E7432">
              <w:rPr>
                <w:rFonts w:ascii="Calibri" w:eastAsia="Times New Roman" w:hAnsi="Calibri" w:cs="Calibri"/>
                <w:sz w:val="18"/>
                <w:szCs w:val="18"/>
                <w:lang w:eastAsia="en-AU"/>
              </w:rPr>
              <w:t> </w:t>
            </w:r>
          </w:p>
          <w:p w14:paraId="6E980851" w14:textId="77777777" w:rsidR="000457F4" w:rsidRPr="00565374" w:rsidRDefault="000457F4" w:rsidP="000457F4">
            <w:pPr>
              <w:spacing w:before="0"/>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Where a Project bids and receives a CISA for less than 100% of its capacity, the Quarterly Payment and the Annual Adjustment Payment will be reduced to the percentage of the Project’s capacity covered by the CISA. </w:t>
            </w:r>
            <w:r w:rsidRPr="004E7432">
              <w:rPr>
                <w:rFonts w:ascii="Calibri" w:eastAsia="Times New Roman" w:hAnsi="Calibri" w:cs="Calibri"/>
                <w:sz w:val="18"/>
                <w:szCs w:val="18"/>
                <w:lang w:eastAsia="en-AU"/>
              </w:rPr>
              <w:t> </w:t>
            </w:r>
          </w:p>
        </w:tc>
      </w:tr>
      <w:tr w:rsidR="000457F4" w14:paraId="5040BAD6" w14:textId="77777777" w:rsidTr="00384043">
        <w:trPr>
          <w:trHeight w:val="552"/>
        </w:trPr>
        <w:tc>
          <w:tcPr>
            <w:tcW w:w="1129" w:type="dxa"/>
            <w:shd w:val="clear" w:color="auto" w:fill="197C7D"/>
          </w:tcPr>
          <w:p w14:paraId="39601594" w14:textId="77777777" w:rsidR="000457F4" w:rsidRDefault="000457F4">
            <w:r w:rsidRPr="004E7432">
              <w:rPr>
                <w:rFonts w:ascii="Calibri" w:eastAsia="Times New Roman" w:hAnsi="Calibri" w:cs="Calibri"/>
                <w:b/>
                <w:bCs/>
                <w:color w:val="FFFFFF"/>
                <w:sz w:val="18"/>
                <w:szCs w:val="18"/>
                <w:lang w:val="en-GB" w:eastAsia="en-AU"/>
              </w:rPr>
              <w:t>Escalation</w:t>
            </w:r>
            <w:r w:rsidRPr="004E7432">
              <w:rPr>
                <w:rFonts w:ascii="Calibri" w:eastAsia="Times New Roman" w:hAnsi="Calibri" w:cs="Calibri"/>
                <w:b/>
                <w:bCs/>
                <w:color w:val="FFFFFF"/>
                <w:sz w:val="18"/>
                <w:szCs w:val="18"/>
                <w:lang w:eastAsia="en-AU"/>
              </w:rPr>
              <w:t> </w:t>
            </w:r>
          </w:p>
        </w:tc>
        <w:tc>
          <w:tcPr>
            <w:tcW w:w="7887" w:type="dxa"/>
          </w:tcPr>
          <w:p w14:paraId="3628A4A2" w14:textId="77777777" w:rsidR="000457F4" w:rsidRDefault="000457F4" w:rsidP="000457F4">
            <w:pPr>
              <w:spacing w:before="0"/>
            </w:pPr>
            <w:r w:rsidRPr="004E7432">
              <w:rPr>
                <w:rFonts w:ascii="Calibri" w:eastAsia="Times New Roman" w:hAnsi="Calibri" w:cs="Calibri"/>
                <w:sz w:val="18"/>
                <w:szCs w:val="18"/>
                <w:lang w:val="en-GB" w:eastAsia="en-AU"/>
              </w:rPr>
              <w:t>The Floor Price and Sharing/Ceiling Price will be bid ($/MWh) for each supported year. Proponents can incorporate escalation into their bid. </w:t>
            </w:r>
            <w:r w:rsidRPr="004E7432">
              <w:rPr>
                <w:rFonts w:ascii="Calibri" w:eastAsia="Times New Roman" w:hAnsi="Calibri" w:cs="Calibri"/>
                <w:sz w:val="18"/>
                <w:szCs w:val="18"/>
                <w:lang w:eastAsia="en-AU"/>
              </w:rPr>
              <w:t> </w:t>
            </w:r>
          </w:p>
        </w:tc>
      </w:tr>
      <w:tr w:rsidR="000457F4" w14:paraId="0D7C5B51" w14:textId="77777777" w:rsidTr="00384043">
        <w:tc>
          <w:tcPr>
            <w:tcW w:w="1129" w:type="dxa"/>
            <w:shd w:val="clear" w:color="auto" w:fill="197C7D"/>
          </w:tcPr>
          <w:p w14:paraId="5E4C715E" w14:textId="77777777" w:rsidR="000457F4" w:rsidRDefault="000457F4">
            <w:r w:rsidRPr="004E7432">
              <w:rPr>
                <w:rFonts w:ascii="Calibri" w:eastAsia="Times New Roman" w:hAnsi="Calibri" w:cs="Calibri"/>
                <w:b/>
                <w:bCs/>
                <w:color w:val="FFFFFF"/>
                <w:sz w:val="18"/>
                <w:szCs w:val="18"/>
                <w:lang w:val="en-GB" w:eastAsia="en-AU"/>
              </w:rPr>
              <w:t>Performance</w:t>
            </w:r>
            <w:r>
              <w:rPr>
                <w:rFonts w:ascii="Calibri" w:eastAsia="Times New Roman" w:hAnsi="Calibri" w:cs="Calibri"/>
                <w:b/>
                <w:bCs/>
                <w:color w:val="FFFFFF"/>
                <w:sz w:val="18"/>
                <w:szCs w:val="18"/>
                <w:lang w:val="en-GB" w:eastAsia="en-AU"/>
              </w:rPr>
              <w:t xml:space="preserve"> </w:t>
            </w:r>
            <w:proofErr w:type="gramStart"/>
            <w:r w:rsidRPr="004E7432">
              <w:rPr>
                <w:rFonts w:ascii="Calibri" w:eastAsia="Times New Roman" w:hAnsi="Calibri" w:cs="Calibri"/>
                <w:b/>
                <w:bCs/>
                <w:color w:val="FFFFFF"/>
                <w:sz w:val="18"/>
                <w:szCs w:val="18"/>
                <w:lang w:val="en-GB" w:eastAsia="en-AU"/>
              </w:rPr>
              <w:t>pay</w:t>
            </w:r>
            <w:proofErr w:type="gramEnd"/>
            <w:r w:rsidRPr="004E7432">
              <w:rPr>
                <w:rFonts w:ascii="Calibri" w:eastAsia="Times New Roman" w:hAnsi="Calibri" w:cs="Calibri"/>
                <w:b/>
                <w:bCs/>
                <w:color w:val="FFFFFF"/>
                <w:sz w:val="18"/>
                <w:szCs w:val="18"/>
                <w:lang w:val="en-GB" w:eastAsia="en-AU"/>
              </w:rPr>
              <w:t xml:space="preserve"> requirements</w:t>
            </w:r>
            <w:r w:rsidRPr="004E7432">
              <w:rPr>
                <w:rFonts w:ascii="Calibri" w:eastAsia="Times New Roman" w:hAnsi="Calibri" w:cs="Calibri"/>
                <w:b/>
                <w:bCs/>
                <w:color w:val="FFFFFF"/>
                <w:sz w:val="18"/>
                <w:szCs w:val="18"/>
                <w:lang w:eastAsia="en-AU"/>
              </w:rPr>
              <w:t> </w:t>
            </w:r>
          </w:p>
        </w:tc>
        <w:tc>
          <w:tcPr>
            <w:tcW w:w="7887" w:type="dxa"/>
          </w:tcPr>
          <w:p w14:paraId="35A603E2" w14:textId="77777777" w:rsidR="000457F4" w:rsidRPr="004E7432" w:rsidRDefault="000457F4" w:rsidP="000457F4">
            <w:pPr>
              <w:spacing w:before="0"/>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The CISA will involve a limited set of performance requirements requiring the Project Operator to:</w:t>
            </w:r>
            <w:r w:rsidRPr="004E7432">
              <w:rPr>
                <w:rFonts w:ascii="Calibri" w:eastAsia="Times New Roman" w:hAnsi="Calibri" w:cs="Calibri"/>
                <w:sz w:val="18"/>
                <w:szCs w:val="18"/>
                <w:lang w:eastAsia="en-AU"/>
              </w:rPr>
              <w:t> </w:t>
            </w:r>
          </w:p>
          <w:p w14:paraId="3CEFBBAF" w14:textId="77777777" w:rsidR="000457F4" w:rsidRPr="00602600" w:rsidRDefault="000457F4" w:rsidP="000457F4">
            <w:pPr>
              <w:pStyle w:val="ListParagraph"/>
              <w:numPr>
                <w:ilvl w:val="0"/>
                <w:numId w:val="33"/>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operate the project following best industry practice, including maximising availability of the Project and revenues for the Project; and</w:t>
            </w:r>
            <w:r w:rsidRPr="00602600">
              <w:rPr>
                <w:rFonts w:eastAsia="Times New Roman"/>
                <w:sz w:val="18"/>
                <w:szCs w:val="18"/>
                <w:lang w:eastAsia="en-AU"/>
              </w:rPr>
              <w:t> </w:t>
            </w:r>
          </w:p>
          <w:p w14:paraId="54000675" w14:textId="77777777" w:rsidR="000457F4" w:rsidRPr="00602600" w:rsidRDefault="000457F4" w:rsidP="000457F4">
            <w:pPr>
              <w:pStyle w:val="ListParagraph"/>
              <w:numPr>
                <w:ilvl w:val="0"/>
                <w:numId w:val="33"/>
              </w:numPr>
              <w:spacing w:before="0"/>
              <w:contextualSpacing/>
              <w:textAlignment w:val="baseline"/>
              <w:rPr>
                <w:rFonts w:eastAsia="Times New Roman"/>
                <w:sz w:val="18"/>
                <w:szCs w:val="18"/>
                <w:lang w:eastAsia="en-AU"/>
              </w:rPr>
            </w:pPr>
            <w:r w:rsidRPr="00602600">
              <w:rPr>
                <w:rFonts w:eastAsia="Times New Roman"/>
                <w:sz w:val="18"/>
                <w:szCs w:val="18"/>
                <w:lang w:val="en-GB" w:eastAsia="en-AU"/>
              </w:rPr>
              <w:t>respond to price signals in the electricity markets.</w:t>
            </w:r>
            <w:r w:rsidRPr="00602600">
              <w:rPr>
                <w:rFonts w:eastAsia="Times New Roman"/>
                <w:sz w:val="18"/>
                <w:szCs w:val="18"/>
                <w:lang w:eastAsia="en-AU"/>
              </w:rPr>
              <w:t> </w:t>
            </w:r>
          </w:p>
          <w:p w14:paraId="2004A733" w14:textId="77777777" w:rsidR="000457F4" w:rsidRDefault="000457F4" w:rsidP="000457F4">
            <w:pPr>
              <w:spacing w:before="0"/>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Key performance requirements for each CISA product are outlined below. Where these performance requirements are not regularly met, payment rebates and termination rights will apply.</w:t>
            </w:r>
            <w:r w:rsidRPr="004E7432">
              <w:rPr>
                <w:rFonts w:ascii="Calibri" w:eastAsia="Times New Roman" w:hAnsi="Calibri" w:cs="Calibri"/>
                <w:sz w:val="18"/>
                <w:szCs w:val="18"/>
                <w:lang w:eastAsia="en-AU"/>
              </w:rPr>
              <w:t> </w:t>
            </w:r>
          </w:p>
          <w:p w14:paraId="6D8F0A32" w14:textId="77777777" w:rsidR="000457F4" w:rsidRPr="00602600" w:rsidRDefault="000457F4" w:rsidP="000457F4">
            <w:pPr>
              <w:pStyle w:val="ListParagraph"/>
              <w:numPr>
                <w:ilvl w:val="0"/>
                <w:numId w:val="34"/>
              </w:numPr>
              <w:spacing w:before="0"/>
              <w:ind w:left="714" w:hanging="357"/>
              <w:contextualSpacing/>
              <w:rPr>
                <w:rFonts w:eastAsia="Times New Roman"/>
                <w:sz w:val="18"/>
                <w:szCs w:val="18"/>
                <w:lang w:eastAsia="en-AU"/>
              </w:rPr>
            </w:pPr>
            <w:r w:rsidRPr="00602600">
              <w:rPr>
                <w:rFonts w:eastAsia="Times New Roman"/>
                <w:sz w:val="18"/>
                <w:szCs w:val="18"/>
                <w:lang w:val="en-GB" w:eastAsia="en-AU"/>
              </w:rPr>
              <w:t>Achieve a minimum level of generation (e.g. &gt;75% of P90 each year). </w:t>
            </w:r>
            <w:r w:rsidRPr="00602600">
              <w:rPr>
                <w:rFonts w:eastAsia="Times New Roman"/>
                <w:sz w:val="18"/>
                <w:szCs w:val="18"/>
                <w:lang w:eastAsia="en-AU"/>
              </w:rPr>
              <w:t> </w:t>
            </w:r>
          </w:p>
          <w:p w14:paraId="2387029F" w14:textId="77777777" w:rsidR="000457F4" w:rsidRDefault="000457F4" w:rsidP="000457F4">
            <w:pPr>
              <w:spacing w:before="0"/>
            </w:pPr>
            <w:r w:rsidRPr="004E7432">
              <w:rPr>
                <w:rFonts w:ascii="Cambria" w:eastAsia="Times New Roman" w:hAnsi="Cambria" w:cs="Times New Roman"/>
                <w:sz w:val="16"/>
                <w:szCs w:val="16"/>
                <w:lang w:eastAsia="en-AU"/>
              </w:rPr>
              <w:t> </w:t>
            </w:r>
          </w:p>
        </w:tc>
      </w:tr>
      <w:tr w:rsidR="000457F4" w14:paraId="4996306E" w14:textId="77777777" w:rsidTr="00384043">
        <w:trPr>
          <w:trHeight w:val="1471"/>
        </w:trPr>
        <w:tc>
          <w:tcPr>
            <w:tcW w:w="1129" w:type="dxa"/>
            <w:shd w:val="clear" w:color="auto" w:fill="197C7D"/>
          </w:tcPr>
          <w:p w14:paraId="76C7E5D3" w14:textId="77777777" w:rsidR="000457F4" w:rsidRDefault="000457F4">
            <w:r w:rsidRPr="004E7432">
              <w:rPr>
                <w:rFonts w:ascii="Calibri" w:eastAsia="Times New Roman" w:hAnsi="Calibri" w:cs="Calibri"/>
                <w:b/>
                <w:bCs/>
                <w:color w:val="FFFFFF"/>
                <w:sz w:val="18"/>
                <w:szCs w:val="18"/>
                <w:lang w:val="en-GB" w:eastAsia="en-AU"/>
              </w:rPr>
              <w:t>Ownership Structure</w:t>
            </w:r>
            <w:r w:rsidRPr="004E7432">
              <w:rPr>
                <w:rFonts w:ascii="Calibri" w:eastAsia="Times New Roman" w:hAnsi="Calibri" w:cs="Calibri"/>
                <w:b/>
                <w:bCs/>
                <w:color w:val="FFFFFF"/>
                <w:sz w:val="18"/>
                <w:szCs w:val="18"/>
                <w:lang w:eastAsia="en-AU"/>
              </w:rPr>
              <w:t> </w:t>
            </w:r>
          </w:p>
        </w:tc>
        <w:tc>
          <w:tcPr>
            <w:tcW w:w="7887" w:type="dxa"/>
          </w:tcPr>
          <w:p w14:paraId="6DC8C0B7" w14:textId="77777777" w:rsidR="000457F4" w:rsidRPr="00602600" w:rsidRDefault="000457F4">
            <w:pPr>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For both CISA products, a project must be owned by an SPV that has all the assets required to undertake the project. This SPV must be the Project Operator for the CISA. The Project Operator must be a registered NEM participant and receive all financial value associated with the Project. The Project Operator must be the counterparty to all revenue contracts (e.g. power purchase agreements) associated with the Project. The Project Operator must not carry on any other business other than the Project. </w:t>
            </w:r>
            <w:r w:rsidRPr="004E7432">
              <w:rPr>
                <w:rFonts w:ascii="Calibri" w:eastAsia="Times New Roman" w:hAnsi="Calibri" w:cs="Calibri"/>
                <w:sz w:val="18"/>
                <w:szCs w:val="18"/>
                <w:lang w:eastAsia="en-AU"/>
              </w:rPr>
              <w:t> </w:t>
            </w:r>
          </w:p>
        </w:tc>
      </w:tr>
    </w:tbl>
    <w:p w14:paraId="470F63AE" w14:textId="77777777" w:rsidR="000457F4" w:rsidRDefault="000457F4" w:rsidP="000457F4"/>
    <w:tbl>
      <w:tblPr>
        <w:tblStyle w:val="TableGrid"/>
        <w:tblW w:w="0" w:type="auto"/>
        <w:tblLook w:val="04A0" w:firstRow="1" w:lastRow="0" w:firstColumn="1" w:lastColumn="0" w:noHBand="0" w:noVBand="1"/>
      </w:tblPr>
      <w:tblGrid>
        <w:gridCol w:w="1374"/>
        <w:gridCol w:w="7686"/>
      </w:tblGrid>
      <w:tr w:rsidR="000457F4" w14:paraId="3EBFBFB5" w14:textId="77777777" w:rsidTr="00384043">
        <w:trPr>
          <w:tblHeader/>
        </w:trPr>
        <w:tc>
          <w:tcPr>
            <w:tcW w:w="1129" w:type="dxa"/>
            <w:shd w:val="clear" w:color="auto" w:fill="197C7D"/>
          </w:tcPr>
          <w:p w14:paraId="346FE70C" w14:textId="77777777" w:rsidR="000457F4" w:rsidRDefault="000457F4" w:rsidP="00384043">
            <w:pPr>
              <w:spacing w:before="0" w:after="0"/>
            </w:pPr>
            <w:r w:rsidRPr="004E7432">
              <w:rPr>
                <w:rFonts w:ascii="Calibri" w:eastAsia="Times New Roman" w:hAnsi="Calibri" w:cs="Calibri"/>
                <w:b/>
                <w:bCs/>
                <w:color w:val="FFFFFF"/>
                <w:sz w:val="18"/>
                <w:szCs w:val="18"/>
                <w:lang w:val="en-GB" w:eastAsia="en-AU"/>
              </w:rPr>
              <w:lastRenderedPageBreak/>
              <w:t>Term</w:t>
            </w:r>
            <w:r w:rsidRPr="004E7432">
              <w:rPr>
                <w:rFonts w:ascii="Calibri" w:eastAsia="Times New Roman" w:hAnsi="Calibri" w:cs="Calibri"/>
                <w:b/>
                <w:bCs/>
                <w:color w:val="FFFFFF"/>
                <w:sz w:val="18"/>
                <w:szCs w:val="18"/>
                <w:lang w:eastAsia="en-AU"/>
              </w:rPr>
              <w:t> </w:t>
            </w:r>
          </w:p>
        </w:tc>
        <w:tc>
          <w:tcPr>
            <w:tcW w:w="7887" w:type="dxa"/>
            <w:shd w:val="clear" w:color="auto" w:fill="197C7D"/>
          </w:tcPr>
          <w:p w14:paraId="43FF9339" w14:textId="77777777" w:rsidR="000457F4" w:rsidRDefault="000457F4" w:rsidP="00384043">
            <w:pPr>
              <w:spacing w:before="0" w:after="0"/>
            </w:pPr>
            <w:r w:rsidRPr="004E7432">
              <w:rPr>
                <w:rFonts w:ascii="Calibri" w:eastAsia="Times New Roman" w:hAnsi="Calibri" w:cs="Calibri"/>
                <w:b/>
                <w:bCs/>
                <w:color w:val="FFFFFF"/>
                <w:sz w:val="18"/>
                <w:szCs w:val="18"/>
                <w:lang w:val="en-GB" w:eastAsia="en-AU"/>
              </w:rPr>
              <w:t>Clean Dispatchable CISA</w:t>
            </w:r>
            <w:r w:rsidRPr="004E7432">
              <w:rPr>
                <w:rFonts w:ascii="Calibri" w:eastAsia="Times New Roman" w:hAnsi="Calibri" w:cs="Calibri"/>
                <w:b/>
                <w:bCs/>
                <w:color w:val="FFFFFF"/>
                <w:sz w:val="18"/>
                <w:szCs w:val="18"/>
                <w:lang w:eastAsia="en-AU"/>
              </w:rPr>
              <w:t> </w:t>
            </w:r>
          </w:p>
        </w:tc>
      </w:tr>
      <w:tr w:rsidR="000457F4" w14:paraId="323C154C" w14:textId="77777777" w:rsidTr="00384043">
        <w:tc>
          <w:tcPr>
            <w:tcW w:w="1129" w:type="dxa"/>
            <w:shd w:val="clear" w:color="auto" w:fill="197C7D"/>
          </w:tcPr>
          <w:p w14:paraId="5D2A5FF7" w14:textId="77777777" w:rsidR="000457F4" w:rsidRDefault="000457F4">
            <w:r w:rsidRPr="004E7432">
              <w:rPr>
                <w:rFonts w:ascii="Calibri" w:eastAsia="Times New Roman" w:hAnsi="Calibri" w:cs="Calibri"/>
                <w:b/>
                <w:bCs/>
                <w:color w:val="FFFFFF"/>
                <w:sz w:val="18"/>
                <w:szCs w:val="18"/>
                <w:lang w:val="en-GB" w:eastAsia="en-AU"/>
              </w:rPr>
              <w:t>Project characteristics </w:t>
            </w:r>
            <w:r w:rsidRPr="004E7432">
              <w:rPr>
                <w:rFonts w:ascii="Calibri" w:eastAsia="Times New Roman" w:hAnsi="Calibri" w:cs="Calibri"/>
                <w:b/>
                <w:bCs/>
                <w:color w:val="FFFFFF"/>
                <w:sz w:val="18"/>
                <w:szCs w:val="18"/>
                <w:lang w:eastAsia="en-AU"/>
              </w:rPr>
              <w:t> </w:t>
            </w:r>
          </w:p>
        </w:tc>
        <w:tc>
          <w:tcPr>
            <w:tcW w:w="7887" w:type="dxa"/>
          </w:tcPr>
          <w:p w14:paraId="3DB05F12" w14:textId="77777777" w:rsidR="000457F4" w:rsidRPr="00602600" w:rsidRDefault="000457F4">
            <w:pPr>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The CISA will include a description of the project characteristics (e.g., nameplate capacity, technology). The Project Operator will be required to preserve the agreed project characteristics over the life of the agreement.</w:t>
            </w:r>
            <w:r w:rsidRPr="004E7432">
              <w:rPr>
                <w:rFonts w:ascii="Calibri" w:eastAsia="Times New Roman" w:hAnsi="Calibri" w:cs="Calibri"/>
                <w:sz w:val="18"/>
                <w:szCs w:val="18"/>
                <w:lang w:eastAsia="en-AU"/>
              </w:rPr>
              <w:t> </w:t>
            </w:r>
          </w:p>
        </w:tc>
      </w:tr>
      <w:tr w:rsidR="000457F4" w14:paraId="0DCF5A0B" w14:textId="77777777" w:rsidTr="00384043">
        <w:trPr>
          <w:trHeight w:val="558"/>
        </w:trPr>
        <w:tc>
          <w:tcPr>
            <w:tcW w:w="1129" w:type="dxa"/>
            <w:shd w:val="clear" w:color="auto" w:fill="197C7D"/>
          </w:tcPr>
          <w:p w14:paraId="4609E3B1"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t>Support Term</w:t>
            </w:r>
            <w:r w:rsidRPr="004E7432">
              <w:rPr>
                <w:rFonts w:ascii="Calibri" w:eastAsia="Times New Roman" w:hAnsi="Calibri" w:cs="Calibri"/>
                <w:b/>
                <w:bCs/>
                <w:color w:val="FFFFFF"/>
                <w:sz w:val="18"/>
                <w:szCs w:val="18"/>
                <w:lang w:eastAsia="en-AU"/>
              </w:rPr>
              <w:t> </w:t>
            </w:r>
          </w:p>
          <w:p w14:paraId="0470EA66" w14:textId="77777777" w:rsidR="000457F4" w:rsidRPr="004E7432" w:rsidRDefault="000457F4">
            <w:pPr>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(Bid Variable)</w:t>
            </w:r>
            <w:r w:rsidRPr="004E7432">
              <w:rPr>
                <w:rFonts w:ascii="Calibri" w:eastAsia="Times New Roman" w:hAnsi="Calibri" w:cs="Calibri"/>
                <w:b/>
                <w:bCs/>
                <w:color w:val="FFFFFF"/>
                <w:sz w:val="18"/>
                <w:szCs w:val="18"/>
                <w:lang w:eastAsia="en-AU"/>
              </w:rPr>
              <w:t> </w:t>
            </w:r>
          </w:p>
        </w:tc>
        <w:tc>
          <w:tcPr>
            <w:tcW w:w="7887" w:type="dxa"/>
          </w:tcPr>
          <w:p w14:paraId="7ADD1083" w14:textId="77777777" w:rsidR="000457F4" w:rsidRPr="004E7432" w:rsidRDefault="000457F4">
            <w:pPr>
              <w:rPr>
                <w:rFonts w:ascii="Calibri" w:eastAsia="Times New Roman" w:hAnsi="Calibri" w:cs="Calibri"/>
                <w:sz w:val="18"/>
                <w:szCs w:val="18"/>
                <w:lang w:val="en-GB" w:eastAsia="en-AU"/>
              </w:rPr>
            </w:pPr>
            <w:r w:rsidRPr="004E7432">
              <w:rPr>
                <w:rFonts w:ascii="Calibri" w:eastAsia="Times New Roman" w:hAnsi="Calibri" w:cs="Calibri"/>
                <w:sz w:val="18"/>
                <w:szCs w:val="18"/>
                <w:lang w:val="en-GB" w:eastAsia="en-AU"/>
              </w:rPr>
              <w:t>Up to a maximum of 15 years.</w:t>
            </w:r>
            <w:r w:rsidRPr="004E7432">
              <w:rPr>
                <w:rFonts w:ascii="Calibri" w:eastAsia="Times New Roman" w:hAnsi="Calibri" w:cs="Calibri"/>
                <w:sz w:val="18"/>
                <w:szCs w:val="18"/>
                <w:lang w:eastAsia="en-AU"/>
              </w:rPr>
              <w:t> </w:t>
            </w:r>
          </w:p>
        </w:tc>
      </w:tr>
      <w:tr w:rsidR="000457F4" w14:paraId="417F9012" w14:textId="77777777" w:rsidTr="00384043">
        <w:trPr>
          <w:trHeight w:val="507"/>
        </w:trPr>
        <w:tc>
          <w:tcPr>
            <w:tcW w:w="1129" w:type="dxa"/>
            <w:shd w:val="clear" w:color="auto" w:fill="197C7D"/>
          </w:tcPr>
          <w:p w14:paraId="66BE1390"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Potential Option structure</w:t>
            </w:r>
            <w:r w:rsidRPr="004E7432">
              <w:rPr>
                <w:rFonts w:ascii="Calibri" w:eastAsia="Times New Roman" w:hAnsi="Calibri" w:cs="Calibri"/>
                <w:b/>
                <w:bCs/>
                <w:color w:val="FFFFFF"/>
                <w:sz w:val="18"/>
                <w:szCs w:val="18"/>
                <w:lang w:eastAsia="en-AU"/>
              </w:rPr>
              <w:t> </w:t>
            </w:r>
          </w:p>
        </w:tc>
        <w:tc>
          <w:tcPr>
            <w:tcW w:w="7887" w:type="dxa"/>
          </w:tcPr>
          <w:p w14:paraId="250164AA" w14:textId="77777777" w:rsidR="000457F4" w:rsidRPr="004E7432" w:rsidRDefault="000457F4">
            <w:pPr>
              <w:rPr>
                <w:rFonts w:ascii="Calibri" w:eastAsia="Times New Roman" w:hAnsi="Calibri" w:cs="Calibri"/>
                <w:sz w:val="18"/>
                <w:szCs w:val="18"/>
                <w:lang w:val="en-GB" w:eastAsia="en-AU"/>
              </w:rPr>
            </w:pPr>
            <w:r w:rsidRPr="004E7432">
              <w:rPr>
                <w:rFonts w:ascii="Calibri" w:eastAsia="Times New Roman" w:hAnsi="Calibri" w:cs="Calibri"/>
                <w:sz w:val="18"/>
                <w:szCs w:val="18"/>
                <w:lang w:val="en-GB" w:eastAsia="en-AU"/>
              </w:rPr>
              <w:t xml:space="preserve">Potential option structures are being considered for the CIS. This is discussed further in Section </w:t>
            </w:r>
            <w:r w:rsidRPr="004E7432">
              <w:rPr>
                <w:rFonts w:ascii="Calibri" w:eastAsia="Times New Roman" w:hAnsi="Calibri" w:cs="Calibri"/>
                <w:color w:val="000000"/>
                <w:sz w:val="18"/>
                <w:szCs w:val="18"/>
                <w:shd w:val="clear" w:color="auto" w:fill="E1E3E6"/>
                <w:lang w:val="en-GB" w:eastAsia="en-AU"/>
              </w:rPr>
              <w:t>3.4</w:t>
            </w:r>
            <w:r w:rsidRPr="004E7432">
              <w:rPr>
                <w:rFonts w:ascii="Calibri" w:eastAsia="Times New Roman" w:hAnsi="Calibri" w:cs="Calibri"/>
                <w:sz w:val="18"/>
                <w:szCs w:val="18"/>
                <w:lang w:eastAsia="en-AU"/>
              </w:rPr>
              <w:t> </w:t>
            </w:r>
          </w:p>
        </w:tc>
      </w:tr>
      <w:tr w:rsidR="000457F4" w14:paraId="3D7C36C4" w14:textId="77777777" w:rsidTr="00384043">
        <w:tc>
          <w:tcPr>
            <w:tcW w:w="1129" w:type="dxa"/>
            <w:shd w:val="clear" w:color="auto" w:fill="197C7D"/>
          </w:tcPr>
          <w:p w14:paraId="55C6D2DC"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t>Payment mechanism</w:t>
            </w:r>
            <w:r w:rsidRPr="004E7432">
              <w:rPr>
                <w:rFonts w:ascii="Calibri" w:eastAsia="Times New Roman" w:hAnsi="Calibri" w:cs="Calibri"/>
                <w:b/>
                <w:bCs/>
                <w:color w:val="FFFFFF"/>
                <w:sz w:val="18"/>
                <w:szCs w:val="18"/>
                <w:lang w:eastAsia="en-AU"/>
              </w:rPr>
              <w:t> </w:t>
            </w:r>
          </w:p>
          <w:p w14:paraId="47943756"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(Multiple Bid Variables)</w:t>
            </w:r>
            <w:r w:rsidRPr="004E7432">
              <w:rPr>
                <w:rFonts w:ascii="Calibri" w:eastAsia="Times New Roman" w:hAnsi="Calibri" w:cs="Calibri"/>
                <w:b/>
                <w:bCs/>
                <w:color w:val="FFFFFF"/>
                <w:sz w:val="18"/>
                <w:szCs w:val="18"/>
                <w:lang w:eastAsia="en-AU"/>
              </w:rPr>
              <w:t> </w:t>
            </w:r>
          </w:p>
        </w:tc>
        <w:tc>
          <w:tcPr>
            <w:tcW w:w="7887" w:type="dxa"/>
          </w:tcPr>
          <w:p w14:paraId="352E6907" w14:textId="3E7A94CD" w:rsidR="000457F4" w:rsidRDefault="000457F4">
            <w:pPr>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eastAsia="en-AU"/>
              </w:rPr>
              <w:t> </w:t>
            </w:r>
            <w:r w:rsidRPr="004E7432">
              <w:rPr>
                <w:rFonts w:ascii="Calibri" w:eastAsia="Times New Roman" w:hAnsi="Calibri" w:cs="Calibri"/>
                <w:sz w:val="18"/>
                <w:szCs w:val="18"/>
                <w:lang w:val="en-GB" w:eastAsia="en-AU"/>
              </w:rPr>
              <w:t>Quarterly payments will be made in the first three quarters. At the end of the financial year, an annual reconciliation payment (Annual Adjustment Payment) will be made, subject to an annual payment cap.</w:t>
            </w:r>
            <w:r w:rsidRPr="004E7432">
              <w:rPr>
                <w:rFonts w:ascii="Calibri" w:eastAsia="Times New Roman" w:hAnsi="Calibri" w:cs="Calibri"/>
                <w:sz w:val="18"/>
                <w:szCs w:val="18"/>
                <w:lang w:eastAsia="en-AU"/>
              </w:rPr>
              <w:t> </w:t>
            </w:r>
          </w:p>
          <w:p w14:paraId="5A670A1A" w14:textId="58D9E8E6" w:rsidR="000457F4" w:rsidRDefault="000457F4">
            <w:pPr>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All payments will be made according to the Project’s revenue for that period compared to its revenue floor and ceiling, as bid during the tender.</w:t>
            </w:r>
            <w:r w:rsidRPr="004E7432">
              <w:rPr>
                <w:rFonts w:ascii="Calibri" w:eastAsia="Times New Roman" w:hAnsi="Calibri" w:cs="Calibri"/>
                <w:sz w:val="18"/>
                <w:szCs w:val="18"/>
                <w:lang w:eastAsia="en-AU"/>
              </w:rPr>
              <w:t> </w:t>
            </w:r>
          </w:p>
          <w:p w14:paraId="3DFB6721" w14:textId="77777777" w:rsidR="000457F4" w:rsidRPr="004E7432" w:rsidRDefault="000457F4">
            <w:pPr>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The underwriting mechanism will be based on a project’s net revenue, which is the sum of all revenue for the project minus costs from:</w:t>
            </w:r>
            <w:r w:rsidRPr="004E7432">
              <w:rPr>
                <w:rFonts w:ascii="Calibri" w:eastAsia="Times New Roman" w:hAnsi="Calibri" w:cs="Calibri"/>
                <w:sz w:val="18"/>
                <w:szCs w:val="18"/>
                <w:lang w:eastAsia="en-AU"/>
              </w:rPr>
              <w:t> </w:t>
            </w:r>
          </w:p>
          <w:p w14:paraId="70B0351A" w14:textId="77777777" w:rsidR="000457F4" w:rsidRPr="00602600" w:rsidRDefault="000457F4" w:rsidP="000457F4">
            <w:pPr>
              <w:pStyle w:val="ListParagraph"/>
              <w:numPr>
                <w:ilvl w:val="0"/>
                <w:numId w:val="31"/>
              </w:numPr>
              <w:contextualSpacing/>
              <w:textAlignment w:val="baseline"/>
              <w:rPr>
                <w:rFonts w:eastAsia="Times New Roman"/>
                <w:sz w:val="18"/>
                <w:szCs w:val="18"/>
                <w:lang w:eastAsia="en-AU"/>
              </w:rPr>
            </w:pPr>
            <w:r w:rsidRPr="00602600">
              <w:rPr>
                <w:rFonts w:eastAsia="Times New Roman"/>
                <w:sz w:val="18"/>
                <w:szCs w:val="18"/>
                <w:lang w:val="en-GB" w:eastAsia="en-AU"/>
              </w:rPr>
              <w:t>for storage projects, costs in relation to the import of electricity from the network</w:t>
            </w:r>
            <w:r w:rsidRPr="00602600">
              <w:rPr>
                <w:rFonts w:eastAsia="Times New Roman"/>
                <w:sz w:val="18"/>
                <w:szCs w:val="18"/>
                <w:lang w:eastAsia="en-AU"/>
              </w:rPr>
              <w:t> </w:t>
            </w:r>
          </w:p>
          <w:p w14:paraId="32F217AA" w14:textId="77777777" w:rsidR="000457F4" w:rsidRPr="000C79E6" w:rsidRDefault="000457F4" w:rsidP="000457F4">
            <w:pPr>
              <w:pStyle w:val="ListParagraph"/>
              <w:numPr>
                <w:ilvl w:val="0"/>
                <w:numId w:val="31"/>
              </w:numPr>
              <w:contextualSpacing/>
              <w:textAlignment w:val="baseline"/>
              <w:rPr>
                <w:rFonts w:eastAsia="Times New Roman"/>
                <w:sz w:val="18"/>
                <w:szCs w:val="18"/>
                <w:lang w:eastAsia="en-AU"/>
              </w:rPr>
            </w:pPr>
            <w:r w:rsidRPr="000C79E6">
              <w:rPr>
                <w:rFonts w:eastAsia="Times New Roman"/>
                <w:sz w:val="18"/>
                <w:szCs w:val="18"/>
                <w:lang w:val="en-GB" w:eastAsia="en-AU"/>
              </w:rPr>
              <w:t>costs for Ancillary Services Network Support Services, or System Support Services</w:t>
            </w:r>
            <w:r w:rsidRPr="000C79E6">
              <w:rPr>
                <w:rFonts w:eastAsia="Times New Roman"/>
                <w:sz w:val="18"/>
                <w:szCs w:val="18"/>
                <w:lang w:eastAsia="en-AU"/>
              </w:rPr>
              <w:t> </w:t>
            </w:r>
          </w:p>
          <w:p w14:paraId="0C8299EC" w14:textId="77777777" w:rsidR="000457F4" w:rsidRPr="000C79E6" w:rsidRDefault="000457F4" w:rsidP="000457F4">
            <w:pPr>
              <w:pStyle w:val="ListParagraph"/>
              <w:numPr>
                <w:ilvl w:val="0"/>
                <w:numId w:val="31"/>
              </w:numPr>
              <w:contextualSpacing/>
              <w:textAlignment w:val="baseline"/>
              <w:rPr>
                <w:rFonts w:eastAsia="Times New Roman"/>
                <w:sz w:val="18"/>
                <w:szCs w:val="18"/>
                <w:lang w:eastAsia="en-AU"/>
              </w:rPr>
            </w:pPr>
            <w:r w:rsidRPr="000C79E6">
              <w:rPr>
                <w:rFonts w:eastAsia="Times New Roman"/>
                <w:sz w:val="18"/>
                <w:szCs w:val="18"/>
                <w:lang w:val="en-GB" w:eastAsia="en-AU"/>
              </w:rPr>
              <w:t>any other costs incurred under the National Electricity Rules (excluding any fines or penalties)</w:t>
            </w:r>
            <w:r w:rsidRPr="000C79E6">
              <w:rPr>
                <w:rFonts w:eastAsia="Times New Roman"/>
                <w:sz w:val="18"/>
                <w:szCs w:val="18"/>
                <w:lang w:eastAsia="en-AU"/>
              </w:rPr>
              <w:t> </w:t>
            </w:r>
          </w:p>
          <w:p w14:paraId="095798F4" w14:textId="77777777" w:rsidR="000457F4" w:rsidRPr="000C79E6" w:rsidRDefault="000457F4" w:rsidP="000457F4">
            <w:pPr>
              <w:pStyle w:val="ListParagraph"/>
              <w:numPr>
                <w:ilvl w:val="0"/>
                <w:numId w:val="31"/>
              </w:numPr>
              <w:contextualSpacing/>
              <w:textAlignment w:val="baseline"/>
              <w:rPr>
                <w:rFonts w:eastAsia="Times New Roman"/>
                <w:sz w:val="18"/>
                <w:szCs w:val="18"/>
                <w:lang w:eastAsia="en-AU"/>
              </w:rPr>
            </w:pPr>
            <w:r w:rsidRPr="000C79E6">
              <w:rPr>
                <w:rFonts w:eastAsia="Times New Roman"/>
                <w:sz w:val="18"/>
                <w:szCs w:val="18"/>
                <w:lang w:val="en-GB" w:eastAsia="en-AU"/>
              </w:rPr>
              <w:t>any payments under an Eligible Wholesale Contract (excluding liquidated damages, warranty payments, or non-performance payments).</w:t>
            </w:r>
            <w:r w:rsidRPr="000C79E6">
              <w:rPr>
                <w:rFonts w:eastAsia="Times New Roman"/>
                <w:sz w:val="18"/>
                <w:szCs w:val="18"/>
                <w:lang w:eastAsia="en-AU"/>
              </w:rPr>
              <w:t> </w:t>
            </w:r>
          </w:p>
          <w:p w14:paraId="32F6B4A0" w14:textId="6A93F2CF" w:rsidR="000457F4" w:rsidRPr="000457F4" w:rsidRDefault="000457F4" w:rsidP="000457F4">
            <w:pPr>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All other operating costs, taxes, fines and penalties, payments to the NEM pool due to negative wholesale energy prices, and debt financing interest and other costs are excluded from the calculation of net revenue.</w:t>
            </w:r>
            <w:r w:rsidRPr="004E7432">
              <w:rPr>
                <w:rFonts w:ascii="Calibri" w:eastAsia="Times New Roman" w:hAnsi="Calibri" w:cs="Calibri"/>
                <w:sz w:val="18"/>
                <w:szCs w:val="18"/>
                <w:lang w:eastAsia="en-AU"/>
              </w:rPr>
              <w:t> </w:t>
            </w:r>
          </w:p>
        </w:tc>
      </w:tr>
      <w:tr w:rsidR="000457F4" w14:paraId="74BE0C36" w14:textId="77777777" w:rsidTr="00384043">
        <w:trPr>
          <w:trHeight w:val="1227"/>
        </w:trPr>
        <w:tc>
          <w:tcPr>
            <w:tcW w:w="1129" w:type="dxa"/>
            <w:shd w:val="clear" w:color="auto" w:fill="197C7D"/>
          </w:tcPr>
          <w:p w14:paraId="614DDDF9" w14:textId="77777777" w:rsidR="000457F4" w:rsidRPr="004E7432" w:rsidRDefault="000457F4">
            <w:pPr>
              <w:textAlignment w:val="baseline"/>
              <w:rPr>
                <w:rFonts w:ascii="Times New Roman" w:eastAsia="Times New Roman" w:hAnsi="Times New Roman" w:cs="Times New Roman"/>
                <w:b/>
                <w:bCs/>
                <w:sz w:val="24"/>
                <w:szCs w:val="24"/>
                <w:lang w:eastAsia="en-AU"/>
              </w:rPr>
            </w:pPr>
            <w:r w:rsidRPr="004E7432">
              <w:rPr>
                <w:rFonts w:ascii="Calibri" w:eastAsia="Times New Roman" w:hAnsi="Calibri" w:cs="Calibri"/>
                <w:b/>
                <w:bCs/>
                <w:color w:val="FFFFFF"/>
                <w:sz w:val="18"/>
                <w:szCs w:val="18"/>
                <w:lang w:val="en-GB" w:eastAsia="en-AU"/>
              </w:rPr>
              <w:t>Contracted Percentage</w:t>
            </w:r>
            <w:r w:rsidRPr="004E7432">
              <w:rPr>
                <w:rFonts w:ascii="Calibri" w:eastAsia="Times New Roman" w:hAnsi="Calibri" w:cs="Calibri"/>
                <w:b/>
                <w:bCs/>
                <w:color w:val="FFFFFF"/>
                <w:sz w:val="18"/>
                <w:szCs w:val="18"/>
                <w:lang w:eastAsia="en-AU"/>
              </w:rPr>
              <w:t> </w:t>
            </w:r>
          </w:p>
          <w:p w14:paraId="034976AC"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(Bid Variable)</w:t>
            </w:r>
            <w:r w:rsidRPr="004E7432">
              <w:rPr>
                <w:rFonts w:ascii="Calibri" w:eastAsia="Times New Roman" w:hAnsi="Calibri" w:cs="Calibri"/>
                <w:b/>
                <w:bCs/>
                <w:color w:val="FFFFFF"/>
                <w:sz w:val="18"/>
                <w:szCs w:val="18"/>
                <w:lang w:eastAsia="en-AU"/>
              </w:rPr>
              <w:t> </w:t>
            </w:r>
          </w:p>
        </w:tc>
        <w:tc>
          <w:tcPr>
            <w:tcW w:w="7887" w:type="dxa"/>
          </w:tcPr>
          <w:p w14:paraId="345A5676" w14:textId="77777777" w:rsidR="000457F4" w:rsidRPr="004E7432" w:rsidRDefault="000457F4">
            <w:pPr>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 xml:space="preserve">The CISA may relate to some or </w:t>
            </w:r>
            <w:proofErr w:type="gramStart"/>
            <w:r w:rsidRPr="004E7432">
              <w:rPr>
                <w:rFonts w:ascii="Calibri" w:eastAsia="Times New Roman" w:hAnsi="Calibri" w:cs="Calibri"/>
                <w:sz w:val="18"/>
                <w:szCs w:val="18"/>
                <w:lang w:val="en-GB" w:eastAsia="en-AU"/>
              </w:rPr>
              <w:t>all of</w:t>
            </w:r>
            <w:proofErr w:type="gramEnd"/>
            <w:r w:rsidRPr="004E7432">
              <w:rPr>
                <w:rFonts w:ascii="Calibri" w:eastAsia="Times New Roman" w:hAnsi="Calibri" w:cs="Calibri"/>
                <w:sz w:val="18"/>
                <w:szCs w:val="18"/>
                <w:lang w:val="en-GB" w:eastAsia="en-AU"/>
              </w:rPr>
              <w:t xml:space="preserve"> the Project’s capacity. Where a Project bids and receives a CISA for less than 100% of its capacity, the Contracted Percentage is less than 100%. </w:t>
            </w:r>
            <w:r w:rsidRPr="004E7432">
              <w:rPr>
                <w:rFonts w:ascii="Calibri" w:eastAsia="Times New Roman" w:hAnsi="Calibri" w:cs="Calibri"/>
                <w:sz w:val="18"/>
                <w:szCs w:val="18"/>
                <w:lang w:eastAsia="en-AU"/>
              </w:rPr>
              <w:t> </w:t>
            </w:r>
          </w:p>
          <w:p w14:paraId="08B3CCA2" w14:textId="77777777" w:rsidR="000457F4" w:rsidRPr="004E7432" w:rsidRDefault="000457F4">
            <w:pPr>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Where a Project bids and receives a CISA for less than 100% of its capacity, the Quarterly Payment and the Annual Adjustment Payment will be reduced to the percentage of the Project’s capacity covered by the CISA. </w:t>
            </w:r>
            <w:r w:rsidRPr="004E7432">
              <w:rPr>
                <w:rFonts w:ascii="Calibri" w:eastAsia="Times New Roman" w:hAnsi="Calibri" w:cs="Calibri"/>
                <w:sz w:val="18"/>
                <w:szCs w:val="18"/>
                <w:lang w:eastAsia="en-AU"/>
              </w:rPr>
              <w:t> </w:t>
            </w:r>
          </w:p>
        </w:tc>
      </w:tr>
      <w:tr w:rsidR="000457F4" w14:paraId="3955DFBD" w14:textId="77777777" w:rsidTr="00384043">
        <w:trPr>
          <w:trHeight w:val="548"/>
        </w:trPr>
        <w:tc>
          <w:tcPr>
            <w:tcW w:w="1129" w:type="dxa"/>
            <w:shd w:val="clear" w:color="auto" w:fill="197C7D"/>
          </w:tcPr>
          <w:p w14:paraId="39E757A6"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Escalation</w:t>
            </w:r>
            <w:r w:rsidRPr="004E7432">
              <w:rPr>
                <w:rFonts w:ascii="Calibri" w:eastAsia="Times New Roman" w:hAnsi="Calibri" w:cs="Calibri"/>
                <w:b/>
                <w:bCs/>
                <w:color w:val="FFFFFF"/>
                <w:sz w:val="18"/>
                <w:szCs w:val="18"/>
                <w:lang w:eastAsia="en-AU"/>
              </w:rPr>
              <w:t> </w:t>
            </w:r>
          </w:p>
        </w:tc>
        <w:tc>
          <w:tcPr>
            <w:tcW w:w="7887" w:type="dxa"/>
          </w:tcPr>
          <w:p w14:paraId="7B1A41A9" w14:textId="77777777" w:rsidR="000457F4" w:rsidRPr="004E7432" w:rsidRDefault="000457F4">
            <w:pPr>
              <w:textAlignment w:val="baseline"/>
              <w:rPr>
                <w:rFonts w:ascii="Calibri" w:eastAsia="Times New Roman" w:hAnsi="Calibri" w:cs="Calibri"/>
                <w:sz w:val="18"/>
                <w:szCs w:val="18"/>
                <w:lang w:val="en-GB" w:eastAsia="en-AU"/>
              </w:rPr>
            </w:pPr>
            <w:r w:rsidRPr="004E7432">
              <w:rPr>
                <w:rFonts w:ascii="Calibri" w:eastAsia="Times New Roman" w:hAnsi="Calibri" w:cs="Calibri"/>
                <w:sz w:val="18"/>
                <w:szCs w:val="18"/>
                <w:lang w:val="en-GB" w:eastAsia="en-AU"/>
              </w:rPr>
              <w:t>The Floor Price and Sharing/Ceiling Price will be bid for each supported year. Proponents can incorporate escalation into their bid</w:t>
            </w:r>
          </w:p>
        </w:tc>
      </w:tr>
      <w:tr w:rsidR="000457F4" w14:paraId="3E1A0C37" w14:textId="77777777" w:rsidTr="00384043">
        <w:trPr>
          <w:trHeight w:val="3953"/>
        </w:trPr>
        <w:tc>
          <w:tcPr>
            <w:tcW w:w="1129" w:type="dxa"/>
            <w:shd w:val="clear" w:color="auto" w:fill="197C7D"/>
          </w:tcPr>
          <w:p w14:paraId="2E752C81"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lastRenderedPageBreak/>
              <w:t>Performance</w:t>
            </w:r>
            <w:r>
              <w:rPr>
                <w:rFonts w:ascii="Calibri" w:eastAsia="Times New Roman" w:hAnsi="Calibri" w:cs="Calibri"/>
                <w:b/>
                <w:bCs/>
                <w:color w:val="FFFFFF"/>
                <w:sz w:val="18"/>
                <w:szCs w:val="18"/>
                <w:lang w:val="en-GB" w:eastAsia="en-AU"/>
              </w:rPr>
              <w:t xml:space="preserve"> </w:t>
            </w:r>
            <w:proofErr w:type="gramStart"/>
            <w:r w:rsidRPr="004E7432">
              <w:rPr>
                <w:rFonts w:ascii="Calibri" w:eastAsia="Times New Roman" w:hAnsi="Calibri" w:cs="Calibri"/>
                <w:b/>
                <w:bCs/>
                <w:color w:val="FFFFFF"/>
                <w:sz w:val="18"/>
                <w:szCs w:val="18"/>
                <w:lang w:val="en-GB" w:eastAsia="en-AU"/>
              </w:rPr>
              <w:t>pay</w:t>
            </w:r>
            <w:proofErr w:type="gramEnd"/>
            <w:r w:rsidRPr="004E7432">
              <w:rPr>
                <w:rFonts w:ascii="Calibri" w:eastAsia="Times New Roman" w:hAnsi="Calibri" w:cs="Calibri"/>
                <w:b/>
                <w:bCs/>
                <w:color w:val="FFFFFF"/>
                <w:sz w:val="18"/>
                <w:szCs w:val="18"/>
                <w:lang w:val="en-GB" w:eastAsia="en-AU"/>
              </w:rPr>
              <w:t xml:space="preserve"> requirements</w:t>
            </w:r>
            <w:r w:rsidRPr="004E7432">
              <w:rPr>
                <w:rFonts w:ascii="Calibri" w:eastAsia="Times New Roman" w:hAnsi="Calibri" w:cs="Calibri"/>
                <w:b/>
                <w:bCs/>
                <w:color w:val="FFFFFF"/>
                <w:sz w:val="18"/>
                <w:szCs w:val="18"/>
                <w:lang w:eastAsia="en-AU"/>
              </w:rPr>
              <w:t> </w:t>
            </w:r>
          </w:p>
        </w:tc>
        <w:tc>
          <w:tcPr>
            <w:tcW w:w="7887" w:type="dxa"/>
          </w:tcPr>
          <w:p w14:paraId="60391858" w14:textId="77777777" w:rsidR="000457F4" w:rsidRPr="004E7432" w:rsidRDefault="000457F4">
            <w:pPr>
              <w:textAlignment w:val="baseline"/>
              <w:rPr>
                <w:rFonts w:ascii="Times New Roman" w:eastAsia="Times New Roman" w:hAnsi="Times New Roman" w:cs="Times New Roman"/>
                <w:sz w:val="24"/>
                <w:szCs w:val="24"/>
                <w:lang w:eastAsia="en-AU"/>
              </w:rPr>
            </w:pPr>
            <w:r w:rsidRPr="004E7432">
              <w:rPr>
                <w:rFonts w:ascii="Calibri" w:eastAsia="Times New Roman" w:hAnsi="Calibri" w:cs="Calibri"/>
                <w:sz w:val="18"/>
                <w:szCs w:val="18"/>
                <w:lang w:val="en-GB" w:eastAsia="en-AU"/>
              </w:rPr>
              <w:t>The CISA will involve a limited set of performance requirements requiring the Project Operator to:</w:t>
            </w:r>
            <w:r w:rsidRPr="004E7432">
              <w:rPr>
                <w:rFonts w:ascii="Calibri" w:eastAsia="Times New Roman" w:hAnsi="Calibri" w:cs="Calibri"/>
                <w:sz w:val="18"/>
                <w:szCs w:val="18"/>
                <w:lang w:eastAsia="en-AU"/>
              </w:rPr>
              <w:t> </w:t>
            </w:r>
          </w:p>
          <w:p w14:paraId="0967CCC0" w14:textId="77777777" w:rsidR="000457F4" w:rsidRPr="00602600" w:rsidRDefault="000457F4" w:rsidP="000457F4">
            <w:pPr>
              <w:pStyle w:val="ListParagraph"/>
              <w:numPr>
                <w:ilvl w:val="0"/>
                <w:numId w:val="30"/>
              </w:numPr>
              <w:contextualSpacing/>
              <w:textAlignment w:val="baseline"/>
              <w:rPr>
                <w:rFonts w:eastAsia="Times New Roman"/>
                <w:sz w:val="18"/>
                <w:szCs w:val="18"/>
                <w:lang w:eastAsia="en-AU"/>
              </w:rPr>
            </w:pPr>
            <w:r w:rsidRPr="00602600">
              <w:rPr>
                <w:rFonts w:eastAsia="Times New Roman"/>
                <w:sz w:val="18"/>
                <w:szCs w:val="18"/>
                <w:lang w:val="en-GB" w:eastAsia="en-AU"/>
              </w:rPr>
              <w:t>operate the project following best industry practice, including maximising availability of the Project and revenues for the Project; and</w:t>
            </w:r>
            <w:r w:rsidRPr="00602600">
              <w:rPr>
                <w:rFonts w:eastAsia="Times New Roman"/>
                <w:sz w:val="18"/>
                <w:szCs w:val="18"/>
                <w:lang w:eastAsia="en-AU"/>
              </w:rPr>
              <w:t> </w:t>
            </w:r>
          </w:p>
          <w:p w14:paraId="6E26A0FD" w14:textId="77777777" w:rsidR="000457F4" w:rsidRPr="004E7432" w:rsidRDefault="000457F4" w:rsidP="000457F4">
            <w:pPr>
              <w:numPr>
                <w:ilvl w:val="0"/>
                <w:numId w:val="29"/>
              </w:numPr>
              <w:spacing w:after="0" w:line="240" w:lineRule="auto"/>
              <w:textAlignment w:val="baseline"/>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respond to price signals in the electricity markets.</w:t>
            </w:r>
            <w:r w:rsidRPr="004E7432">
              <w:rPr>
                <w:rFonts w:ascii="Calibri" w:eastAsia="Times New Roman" w:hAnsi="Calibri" w:cs="Calibri"/>
                <w:sz w:val="18"/>
                <w:szCs w:val="18"/>
                <w:lang w:eastAsia="en-AU"/>
              </w:rPr>
              <w:t> </w:t>
            </w:r>
          </w:p>
          <w:p w14:paraId="5AFAEF70" w14:textId="77777777" w:rsidR="000457F4" w:rsidRPr="00602600" w:rsidRDefault="000457F4">
            <w:pPr>
              <w:rPr>
                <w:rFonts w:ascii="Calibri" w:eastAsia="Times New Roman" w:hAnsi="Calibri" w:cs="Calibri"/>
                <w:sz w:val="18"/>
                <w:szCs w:val="18"/>
                <w:lang w:eastAsia="en-AU"/>
              </w:rPr>
            </w:pPr>
            <w:r w:rsidRPr="004E7432">
              <w:rPr>
                <w:rFonts w:ascii="Calibri" w:eastAsia="Times New Roman" w:hAnsi="Calibri" w:cs="Calibri"/>
                <w:sz w:val="18"/>
                <w:szCs w:val="18"/>
                <w:lang w:val="en-GB" w:eastAsia="en-AU"/>
              </w:rPr>
              <w:t>Key performance requirements for each CISA product are outlined below. Where these performance requirements are not regularly met, payment rebates and termination rights will apply.</w:t>
            </w:r>
            <w:r w:rsidRPr="004E7432">
              <w:rPr>
                <w:rFonts w:ascii="Calibri" w:eastAsia="Times New Roman" w:hAnsi="Calibri" w:cs="Calibri"/>
                <w:sz w:val="18"/>
                <w:szCs w:val="18"/>
                <w:lang w:eastAsia="en-AU"/>
              </w:rPr>
              <w:t> </w:t>
            </w:r>
          </w:p>
          <w:p w14:paraId="67C07A52" w14:textId="77777777" w:rsidR="000457F4" w:rsidRPr="00602600" w:rsidRDefault="000457F4" w:rsidP="000457F4">
            <w:pPr>
              <w:pStyle w:val="ListParagraph"/>
              <w:numPr>
                <w:ilvl w:val="0"/>
                <w:numId w:val="30"/>
              </w:numPr>
              <w:contextualSpacing/>
              <w:textAlignment w:val="baseline"/>
              <w:rPr>
                <w:rFonts w:eastAsia="Times New Roman"/>
                <w:sz w:val="18"/>
                <w:szCs w:val="18"/>
                <w:lang w:eastAsia="en-AU"/>
              </w:rPr>
            </w:pPr>
            <w:r w:rsidRPr="00602600">
              <w:rPr>
                <w:rFonts w:eastAsia="Times New Roman"/>
                <w:sz w:val="18"/>
                <w:szCs w:val="18"/>
                <w:lang w:val="en-GB" w:eastAsia="en-AU"/>
              </w:rPr>
              <w:t>Performance event: the project must bid at least 50% of its contracted capacity during an actual Lack of Reserve (</w:t>
            </w:r>
            <w:proofErr w:type="spellStart"/>
            <w:r w:rsidRPr="00602600">
              <w:rPr>
                <w:rFonts w:eastAsia="Times New Roman"/>
                <w:sz w:val="18"/>
                <w:szCs w:val="18"/>
                <w:lang w:val="en-GB" w:eastAsia="en-AU"/>
              </w:rPr>
              <w:t>LoR</w:t>
            </w:r>
            <w:proofErr w:type="spellEnd"/>
            <w:r w:rsidRPr="00602600">
              <w:rPr>
                <w:rFonts w:eastAsia="Times New Roman"/>
                <w:sz w:val="18"/>
                <w:szCs w:val="18"/>
                <w:lang w:val="en-GB" w:eastAsia="en-AU"/>
              </w:rPr>
              <w:t>) 3 event.</w:t>
            </w:r>
            <w:r w:rsidRPr="00602600">
              <w:rPr>
                <w:rFonts w:ascii="Cambria" w:eastAsia="Times New Roman" w:hAnsi="Cambria"/>
                <w:color w:val="000000"/>
                <w:sz w:val="16"/>
                <w:szCs w:val="16"/>
                <w:vertAlign w:val="superscript"/>
                <w:lang w:val="en-GB" w:eastAsia="en-AU"/>
              </w:rPr>
              <w:t>7</w:t>
            </w:r>
            <w:r w:rsidRPr="00602600">
              <w:rPr>
                <w:rFonts w:eastAsia="Times New Roman"/>
                <w:sz w:val="18"/>
                <w:szCs w:val="18"/>
                <w:lang w:val="en-GB" w:eastAsia="en-AU"/>
              </w:rPr>
              <w:t> </w:t>
            </w:r>
            <w:r w:rsidRPr="00602600">
              <w:rPr>
                <w:rFonts w:eastAsia="Times New Roman"/>
                <w:sz w:val="18"/>
                <w:szCs w:val="18"/>
                <w:lang w:eastAsia="en-AU"/>
              </w:rPr>
              <w:t> </w:t>
            </w:r>
          </w:p>
          <w:p w14:paraId="5E218570" w14:textId="77777777" w:rsidR="000457F4" w:rsidRPr="00602600" w:rsidRDefault="000457F4" w:rsidP="000457F4">
            <w:pPr>
              <w:pStyle w:val="ListParagraph"/>
              <w:numPr>
                <w:ilvl w:val="0"/>
                <w:numId w:val="30"/>
              </w:numPr>
              <w:contextualSpacing/>
              <w:textAlignment w:val="baseline"/>
              <w:rPr>
                <w:rFonts w:eastAsia="Times New Roman"/>
                <w:sz w:val="18"/>
                <w:szCs w:val="18"/>
                <w:lang w:eastAsia="en-AU"/>
              </w:rPr>
            </w:pPr>
            <w:r w:rsidRPr="00602600">
              <w:rPr>
                <w:rFonts w:eastAsia="Times New Roman"/>
                <w:sz w:val="18"/>
                <w:szCs w:val="18"/>
                <w:lang w:eastAsia="en-AU"/>
              </w:rPr>
              <w:t>Storage capacity: the project must have a tested storage capacity of at least that which it has stated that it would in the CISA schedule for the support year. This allows the project to bid a degradation profile but not to have less storage capacity than agreed.</w:t>
            </w:r>
          </w:p>
          <w:p w14:paraId="4708F7DF" w14:textId="77777777" w:rsidR="000457F4" w:rsidRPr="00602600" w:rsidRDefault="000457F4" w:rsidP="000457F4">
            <w:pPr>
              <w:pStyle w:val="ListParagraph"/>
              <w:numPr>
                <w:ilvl w:val="0"/>
                <w:numId w:val="30"/>
              </w:numPr>
              <w:contextualSpacing/>
              <w:textAlignment w:val="baseline"/>
              <w:rPr>
                <w:rFonts w:eastAsia="Times New Roman"/>
                <w:sz w:val="18"/>
                <w:szCs w:val="18"/>
                <w:lang w:eastAsia="en-AU"/>
              </w:rPr>
            </w:pPr>
            <w:r w:rsidRPr="00602600">
              <w:rPr>
                <w:rFonts w:eastAsia="Times New Roman"/>
                <w:sz w:val="18"/>
                <w:szCs w:val="18"/>
                <w:lang w:eastAsia="en-AU"/>
              </w:rPr>
              <w:t>Availability: the project must be available at least 90% during the support year. </w:t>
            </w:r>
            <w:r w:rsidRPr="00602600">
              <w:rPr>
                <w:rFonts w:ascii="Cambria" w:eastAsia="Times New Roman" w:hAnsi="Cambria" w:cs="Times New Roman"/>
                <w:sz w:val="16"/>
                <w:szCs w:val="16"/>
                <w:lang w:eastAsia="en-AU"/>
              </w:rPr>
              <w:t> </w:t>
            </w:r>
          </w:p>
        </w:tc>
      </w:tr>
      <w:tr w:rsidR="000457F4" w14:paraId="156F3C51" w14:textId="77777777" w:rsidTr="00384043">
        <w:trPr>
          <w:trHeight w:val="1479"/>
        </w:trPr>
        <w:tc>
          <w:tcPr>
            <w:tcW w:w="1129" w:type="dxa"/>
            <w:shd w:val="clear" w:color="auto" w:fill="197C7D"/>
          </w:tcPr>
          <w:p w14:paraId="08536A88" w14:textId="77777777" w:rsidR="000457F4" w:rsidRPr="004E7432" w:rsidRDefault="000457F4">
            <w:pPr>
              <w:textAlignment w:val="baseline"/>
              <w:rPr>
                <w:rFonts w:ascii="Calibri" w:eastAsia="Times New Roman" w:hAnsi="Calibri" w:cs="Calibri"/>
                <w:b/>
                <w:bCs/>
                <w:color w:val="FFFFFF"/>
                <w:sz w:val="18"/>
                <w:szCs w:val="18"/>
                <w:lang w:val="en-GB" w:eastAsia="en-AU"/>
              </w:rPr>
            </w:pPr>
            <w:r w:rsidRPr="004E7432">
              <w:rPr>
                <w:rFonts w:ascii="Calibri" w:eastAsia="Times New Roman" w:hAnsi="Calibri" w:cs="Calibri"/>
                <w:b/>
                <w:bCs/>
                <w:color w:val="FFFFFF"/>
                <w:sz w:val="18"/>
                <w:szCs w:val="18"/>
                <w:lang w:val="en-GB" w:eastAsia="en-AU"/>
              </w:rPr>
              <w:t>Ownership Structure</w:t>
            </w:r>
            <w:r w:rsidRPr="004E7432">
              <w:rPr>
                <w:rFonts w:ascii="Calibri" w:eastAsia="Times New Roman" w:hAnsi="Calibri" w:cs="Calibri"/>
                <w:b/>
                <w:bCs/>
                <w:color w:val="FFFFFF"/>
                <w:sz w:val="18"/>
                <w:szCs w:val="18"/>
                <w:lang w:eastAsia="en-AU"/>
              </w:rPr>
              <w:t> </w:t>
            </w:r>
          </w:p>
        </w:tc>
        <w:tc>
          <w:tcPr>
            <w:tcW w:w="7887" w:type="dxa"/>
          </w:tcPr>
          <w:p w14:paraId="032AA100" w14:textId="77777777" w:rsidR="000457F4" w:rsidRPr="004E7432" w:rsidRDefault="000457F4">
            <w:pPr>
              <w:textAlignment w:val="baseline"/>
              <w:rPr>
                <w:rFonts w:ascii="Calibri" w:eastAsia="Times New Roman" w:hAnsi="Calibri" w:cs="Calibri"/>
                <w:sz w:val="18"/>
                <w:szCs w:val="18"/>
                <w:lang w:val="en-GB" w:eastAsia="en-AU"/>
              </w:rPr>
            </w:pPr>
            <w:r w:rsidRPr="004E7432">
              <w:rPr>
                <w:rFonts w:ascii="Calibri" w:eastAsia="Times New Roman" w:hAnsi="Calibri" w:cs="Calibri"/>
                <w:sz w:val="18"/>
                <w:szCs w:val="18"/>
                <w:lang w:val="en-GB" w:eastAsia="en-AU"/>
              </w:rPr>
              <w:t>For both CISA products, a project must be owned by an SPV that has all the assets required to undertake the project. This SPV must be the Project Operator for the CISA. The Project Operator must be a registered NEM participant and receive all financial value associated with the Project. The Project Operator must be the counterparty to all revenue contracts (e.g. power purchase agreements) associated with the Project. The Project Operator must not carry on any other business other than the Project. </w:t>
            </w:r>
            <w:r w:rsidRPr="004E7432">
              <w:rPr>
                <w:rFonts w:ascii="Calibri" w:eastAsia="Times New Roman" w:hAnsi="Calibri" w:cs="Calibri"/>
                <w:sz w:val="18"/>
                <w:szCs w:val="18"/>
                <w:lang w:eastAsia="en-AU"/>
              </w:rPr>
              <w:t> </w:t>
            </w:r>
          </w:p>
        </w:tc>
      </w:tr>
    </w:tbl>
    <w:p w14:paraId="59D6542E" w14:textId="77777777" w:rsidR="00DE4781" w:rsidRDefault="00DE4781" w:rsidP="00DE4781">
      <w:pPr>
        <w:pStyle w:val="ListBullet"/>
        <w:numPr>
          <w:ilvl w:val="0"/>
          <w:numId w:val="0"/>
        </w:numPr>
        <w:ind w:left="425"/>
        <w:rPr>
          <w:lang w:val="en-GB" w:eastAsia="en-AU"/>
        </w:rPr>
      </w:pPr>
    </w:p>
    <w:p w14:paraId="0E6840C1" w14:textId="61AB0F50" w:rsidR="00DE4781" w:rsidRPr="005868C0" w:rsidRDefault="00DE4781" w:rsidP="00DE4781">
      <w:pPr>
        <w:pStyle w:val="Heading3"/>
      </w:pPr>
      <w:bookmarkStart w:id="67" w:name="_Toc159336333"/>
      <w:bookmarkStart w:id="68" w:name="_Toc160117895"/>
      <w:r>
        <w:t>P</w:t>
      </w:r>
      <w:r w:rsidRPr="005868C0">
        <w:t>ayment mechanisms</w:t>
      </w:r>
      <w:bookmarkEnd w:id="67"/>
      <w:bookmarkEnd w:id="68"/>
    </w:p>
    <w:p w14:paraId="5088EFFF" w14:textId="77777777" w:rsidR="00DE4781" w:rsidRPr="00E95C3E" w:rsidRDefault="00DE4781" w:rsidP="00DE4781">
      <w:pPr>
        <w:rPr>
          <w:lang w:val="en-GB" w:eastAsia="en-AU"/>
        </w:rPr>
      </w:pPr>
      <w:r>
        <w:rPr>
          <w:lang w:val="en-GB" w:eastAsia="en-AU"/>
        </w:rPr>
        <w:t>The payment mechanisms that would apply to each CISA product are described below</w:t>
      </w:r>
      <w:r w:rsidRPr="00E95C3E">
        <w:rPr>
          <w:lang w:val="en-GB" w:eastAsia="en-AU"/>
        </w:rPr>
        <w:t>.</w:t>
      </w:r>
    </w:p>
    <w:p w14:paraId="306BF935" w14:textId="77777777" w:rsidR="00DE4781" w:rsidRPr="006464E5" w:rsidRDefault="00DE4781" w:rsidP="0026620E">
      <w:pPr>
        <w:pStyle w:val="Heading4"/>
      </w:pPr>
      <w:bookmarkStart w:id="69" w:name="_Ref159594163"/>
      <w:r w:rsidRPr="006464E5">
        <w:t>Generation CISA</w:t>
      </w:r>
      <w:bookmarkEnd w:id="69"/>
      <w:r w:rsidRPr="006464E5">
        <w:t xml:space="preserve"> </w:t>
      </w:r>
    </w:p>
    <w:p w14:paraId="670448CC" w14:textId="19636197" w:rsidR="00254930" w:rsidRPr="00E95C3E" w:rsidRDefault="00254930" w:rsidP="00254930">
      <w:r w:rsidRPr="1AB1D755">
        <w:t xml:space="preserve">The </w:t>
      </w:r>
      <w:r>
        <w:t>G</w:t>
      </w:r>
      <w:r w:rsidRPr="1AB1D755">
        <w:t>eneration CISA will provide revenue underwriting for net revenue</w:t>
      </w:r>
      <w:r>
        <w:t xml:space="preserve"> </w:t>
      </w:r>
      <w:r w:rsidRPr="1AB1D755">
        <w:t xml:space="preserve">per MWh of generation sent out by a project. The payment mechanism for the Generation CISA will be </w:t>
      </w:r>
      <w:bookmarkStart w:id="70" w:name="_Int_3yzftOSC"/>
      <w:proofErr w:type="gramStart"/>
      <w:r w:rsidRPr="1AB1D755">
        <w:t>similar to</w:t>
      </w:r>
      <w:bookmarkEnd w:id="70"/>
      <w:proofErr w:type="gramEnd"/>
      <w:r w:rsidRPr="1AB1D755">
        <w:t xml:space="preserve"> the </w:t>
      </w:r>
      <w:r w:rsidR="266593D4">
        <w:t>C</w:t>
      </w:r>
      <w:r>
        <w:t>lean</w:t>
      </w:r>
      <w:r w:rsidR="00D66F76">
        <w:t> </w:t>
      </w:r>
      <w:r w:rsidR="1FFE71AC">
        <w:t>D</w:t>
      </w:r>
      <w:r w:rsidRPr="1AB1D755">
        <w:t>ispatchable CISA but calculated based on net revenue per MWh (Volumetric Net Revenue) – a bid parameter. This contract structure is depicted schematically in</w:t>
      </w:r>
      <w:r w:rsidR="003F45B4">
        <w:t xml:space="preserve"> </w:t>
      </w:r>
      <w:r w:rsidR="003F45B4">
        <w:fldChar w:fldCharType="begin"/>
      </w:r>
      <w:r w:rsidR="003F45B4">
        <w:instrText xml:space="preserve"> REF _Ref160106686 \h </w:instrText>
      </w:r>
      <w:r w:rsidR="003F45B4">
        <w:fldChar w:fldCharType="separate"/>
      </w:r>
      <w:r w:rsidR="00590988">
        <w:t xml:space="preserve">Figure </w:t>
      </w:r>
      <w:r w:rsidR="00590988">
        <w:rPr>
          <w:noProof/>
        </w:rPr>
        <w:t>3</w:t>
      </w:r>
      <w:r w:rsidR="003F45B4">
        <w:fldChar w:fldCharType="end"/>
      </w:r>
      <w:r w:rsidRPr="1AB1D755">
        <w:t>.</w:t>
      </w:r>
    </w:p>
    <w:p w14:paraId="2A69A70F" w14:textId="77777777" w:rsidR="00254930" w:rsidRPr="00B360B0" w:rsidRDefault="00254930" w:rsidP="00254930">
      <w:pPr>
        <w:rPr>
          <w:rFonts w:cstheme="majorHAnsi"/>
        </w:rPr>
      </w:pPr>
      <w:r w:rsidRPr="00B360B0">
        <w:rPr>
          <w:rFonts w:cstheme="majorHAnsi"/>
        </w:rPr>
        <w:t xml:space="preserve">Net revenues are </w:t>
      </w:r>
      <w:r>
        <w:rPr>
          <w:rFonts w:cstheme="majorHAnsi"/>
        </w:rPr>
        <w:t xml:space="preserve">divided </w:t>
      </w:r>
      <w:r w:rsidRPr="00B360B0">
        <w:rPr>
          <w:rFonts w:cstheme="majorHAnsi"/>
        </w:rPr>
        <w:t xml:space="preserve">by the generation </w:t>
      </w:r>
      <w:r>
        <w:rPr>
          <w:rFonts w:cstheme="majorHAnsi"/>
        </w:rPr>
        <w:t xml:space="preserve">(adjusted for Marginal Loss Factors and Distribution Loss Factors) </w:t>
      </w:r>
      <w:r w:rsidRPr="00B360B0">
        <w:rPr>
          <w:rFonts w:cstheme="majorHAnsi"/>
        </w:rPr>
        <w:t xml:space="preserve">sent out by the project in that quarter (in MWh). This incentivises the project to maximise the generation it produces and places any volume risk with the </w:t>
      </w:r>
      <w:r>
        <w:rPr>
          <w:rFonts w:cstheme="majorHAnsi"/>
        </w:rPr>
        <w:t>Project Operator</w:t>
      </w:r>
      <w:r w:rsidRPr="00B360B0">
        <w:rPr>
          <w:rFonts w:cstheme="majorHAnsi"/>
        </w:rPr>
        <w:t xml:space="preserve"> who </w:t>
      </w:r>
      <w:r>
        <w:rPr>
          <w:rFonts w:cstheme="majorHAnsi"/>
        </w:rPr>
        <w:t>is</w:t>
      </w:r>
      <w:r w:rsidRPr="00B360B0">
        <w:rPr>
          <w:rFonts w:cstheme="majorHAnsi"/>
        </w:rPr>
        <w:t xml:space="preserve"> best placed to manage that risk. </w:t>
      </w:r>
    </w:p>
    <w:p w14:paraId="323AA1F9" w14:textId="77777777" w:rsidR="00254930" w:rsidRPr="00E95C3E" w:rsidRDefault="00254930" w:rsidP="00254930">
      <w:pPr>
        <w:rPr>
          <w:rFonts w:cstheme="majorHAnsi"/>
        </w:rPr>
      </w:pPr>
      <w:r w:rsidRPr="00B360B0">
        <w:rPr>
          <w:rFonts w:cstheme="majorHAnsi"/>
        </w:rPr>
        <w:t xml:space="preserve">The net revenue </w:t>
      </w:r>
      <w:r>
        <w:rPr>
          <w:rFonts w:cstheme="majorHAnsi"/>
        </w:rPr>
        <w:t xml:space="preserve">per MWh </w:t>
      </w:r>
      <w:r w:rsidRPr="00B360B0">
        <w:rPr>
          <w:rFonts w:cstheme="majorHAnsi"/>
        </w:rPr>
        <w:t>is compared to the floor and ceiling to determine what payments, if any, are required.</w:t>
      </w:r>
    </w:p>
    <w:p w14:paraId="058909D5" w14:textId="1920D433" w:rsidR="007B5C24" w:rsidRDefault="007B5C24" w:rsidP="007B5C24">
      <w:pPr>
        <w:pStyle w:val="Caption"/>
      </w:pPr>
      <w:bookmarkStart w:id="71" w:name="_Ref160106686"/>
      <w:bookmarkStart w:id="72" w:name="_Toc160105894"/>
      <w:r>
        <w:lastRenderedPageBreak/>
        <w:t xml:space="preserve">Figure </w:t>
      </w:r>
      <w:fldSimple w:instr=" SEQ Figure \* ARABIC ">
        <w:r w:rsidR="00590988">
          <w:rPr>
            <w:noProof/>
          </w:rPr>
          <w:t>3</w:t>
        </w:r>
      </w:fldSimple>
      <w:bookmarkEnd w:id="71"/>
      <w:r>
        <w:t xml:space="preserve"> Generation CISA</w:t>
      </w:r>
      <w:bookmarkEnd w:id="72"/>
    </w:p>
    <w:p w14:paraId="5455D2A9" w14:textId="3BA03F42" w:rsidR="000312C9" w:rsidRDefault="00EC63D1" w:rsidP="0026620E">
      <w:pPr>
        <w:pStyle w:val="ListBullet"/>
        <w:numPr>
          <w:ilvl w:val="0"/>
          <w:numId w:val="0"/>
        </w:numPr>
        <w:ind w:left="425"/>
        <w:rPr>
          <w:lang w:val="en-GB" w:eastAsia="en-AU"/>
        </w:rPr>
      </w:pPr>
      <w:r w:rsidRPr="00EC63D1">
        <w:rPr>
          <w:noProof/>
          <w:lang w:val="en-GB" w:eastAsia="en-AU"/>
        </w:rPr>
        <w:drawing>
          <wp:inline distT="0" distB="0" distL="0" distR="0" wp14:anchorId="0DA79102" wp14:editId="77828A9B">
            <wp:extent cx="4023709" cy="1729890"/>
            <wp:effectExtent l="0" t="0" r="0" b="3810"/>
            <wp:docPr id="783976360" name="Picture 1" descr="Figure 3 shows the Generation CISA.  The owner pays commonwealth X% of revenue per MWh above ceiling.  Commonwealth pays owner Y% of MWh shortfall below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76360" name="Picture 1" descr="Figure 3 shows the Generation CISA.  The owner pays commonwealth X% of revenue per MWh above ceiling.  Commonwealth pays owner Y% of MWh shortfall below floor"/>
                    <pic:cNvPicPr/>
                  </pic:nvPicPr>
                  <pic:blipFill>
                    <a:blip r:embed="rId26"/>
                    <a:stretch>
                      <a:fillRect/>
                    </a:stretch>
                  </pic:blipFill>
                  <pic:spPr>
                    <a:xfrm>
                      <a:off x="0" y="0"/>
                      <a:ext cx="4023709" cy="1729890"/>
                    </a:xfrm>
                    <a:prstGeom prst="rect">
                      <a:avLst/>
                    </a:prstGeom>
                  </pic:spPr>
                </pic:pic>
              </a:graphicData>
            </a:graphic>
          </wp:inline>
        </w:drawing>
      </w:r>
    </w:p>
    <w:p w14:paraId="3C23B55C" w14:textId="2549CCDA" w:rsidR="00254930" w:rsidRPr="00B76D4D" w:rsidRDefault="00254930" w:rsidP="00B76D4D">
      <w:r w:rsidRPr="00CA1B61">
        <w:t>Generation CISAs will have a net revenue per MWh floor and ceiling agreed between the Proponent and the</w:t>
      </w:r>
      <w:r w:rsidR="4F220AB7">
        <w:t xml:space="preserve"> Australian Government</w:t>
      </w:r>
      <w:r>
        <w:t>.</w:t>
      </w:r>
      <w:r w:rsidRPr="00CA1B61">
        <w:t xml:space="preserve"> If revenue earned by a project exceeds the net revenue per MWh equivalent to the ceiling, the Project Operator pays the </w:t>
      </w:r>
      <w:r w:rsidR="0BC9016E">
        <w:t>Australian Government</w:t>
      </w:r>
      <w:r>
        <w:t xml:space="preserve"> </w:t>
      </w:r>
      <w:r w:rsidRPr="00CA1B61">
        <w:t xml:space="preserve">an agreed percentage of revenue above the ceiling. The </w:t>
      </w:r>
      <w:r w:rsidR="321517D7">
        <w:t>Australian Government</w:t>
      </w:r>
      <w:r>
        <w:t xml:space="preserve"> </w:t>
      </w:r>
      <w:r w:rsidRPr="00CA1B61">
        <w:t>would pay the Project Operator when revenue is below the equivalent floor, but not</w:t>
      </w:r>
      <w:r w:rsidR="00B76D4D">
        <w:t xml:space="preserve"> </w:t>
      </w:r>
      <w:r w:rsidRPr="00CA1B61">
        <w:t>below zero.</w:t>
      </w:r>
    </w:p>
    <w:p w14:paraId="40F15DB2" w14:textId="77777777" w:rsidR="00254930" w:rsidRPr="00E95C3E" w:rsidRDefault="00254930" w:rsidP="00254930">
      <w:r w:rsidRPr="00E95C3E">
        <w:t xml:space="preserve">A </w:t>
      </w:r>
      <w:r>
        <w:t>Project Operator’s</w:t>
      </w:r>
      <w:r w:rsidRPr="00E95C3E">
        <w:t xml:space="preserve"> revenue includes all revenues from the following sources:</w:t>
      </w:r>
    </w:p>
    <w:p w14:paraId="06A44F5B" w14:textId="1ED54835" w:rsidR="00254930" w:rsidRPr="00E95C3E" w:rsidRDefault="00254930" w:rsidP="00254930">
      <w:pPr>
        <w:pStyle w:val="ListBullet"/>
      </w:pPr>
      <w:r w:rsidRPr="00E95C3E">
        <w:t xml:space="preserve">Sales of electricity in the NEM wholesale market, plus </w:t>
      </w:r>
      <w:r>
        <w:t xml:space="preserve">payments and receipts </w:t>
      </w:r>
      <w:r w:rsidRPr="00E95C3E">
        <w:t>under Eligible</w:t>
      </w:r>
      <w:r w:rsidR="00B75957">
        <w:t> </w:t>
      </w:r>
      <w:r w:rsidRPr="00E95C3E">
        <w:t>Wholesale Contracts.</w:t>
      </w:r>
    </w:p>
    <w:p w14:paraId="688519CB" w14:textId="393BFD33" w:rsidR="00254930" w:rsidRPr="00E95C3E" w:rsidRDefault="00254930" w:rsidP="00254930">
      <w:pPr>
        <w:pStyle w:val="ListBullet"/>
      </w:pPr>
      <w:r w:rsidRPr="00E95C3E">
        <w:t xml:space="preserve">Other sources of off-market revenue generated by the </w:t>
      </w:r>
      <w:r>
        <w:t>Project Operator</w:t>
      </w:r>
      <w:r w:rsidRPr="00E95C3E">
        <w:t>, including payments for Green Products such as Large</w:t>
      </w:r>
      <w:r>
        <w:t>-</w:t>
      </w:r>
      <w:r w:rsidRPr="00E95C3E">
        <w:t>Scale Generation Certificates and payments for Capacity Products, as applicable.</w:t>
      </w:r>
      <w:r w:rsidR="00A055A2">
        <w:t xml:space="preserve"> </w:t>
      </w:r>
      <w:r w:rsidR="0044234A">
        <w:rPr>
          <w:lang w:val="en-GB"/>
        </w:rPr>
        <w:t>Under the SA-</w:t>
      </w:r>
      <w:r w:rsidR="00407E06">
        <w:rPr>
          <w:lang w:val="en-GB"/>
        </w:rPr>
        <w:t>Vic</w:t>
      </w:r>
      <w:r w:rsidR="0044234A">
        <w:rPr>
          <w:lang w:val="en-GB"/>
        </w:rPr>
        <w:t xml:space="preserve"> CISA g</w:t>
      </w:r>
      <w:r w:rsidR="00A055A2">
        <w:rPr>
          <w:lang w:val="en-GB"/>
        </w:rPr>
        <w:t>reen and capacity product revenue are proposed to be deemed at the market price for each product that is created or referred to the project over the support year.</w:t>
      </w:r>
    </w:p>
    <w:p w14:paraId="553B6260" w14:textId="49EFF9FF" w:rsidR="00254930" w:rsidRPr="00E95C3E" w:rsidRDefault="00254930" w:rsidP="00254930">
      <w:pPr>
        <w:pStyle w:val="ListBullet"/>
      </w:pPr>
      <w:r w:rsidRPr="00E95C3E">
        <w:t xml:space="preserve">All other revenue accrued by the </w:t>
      </w:r>
      <w:r>
        <w:t>Project Operator</w:t>
      </w:r>
      <w:r w:rsidRPr="00E95C3E">
        <w:t>.</w:t>
      </w:r>
    </w:p>
    <w:p w14:paraId="6239F0B6" w14:textId="4AA56609" w:rsidR="00254930" w:rsidRPr="00E95C3E" w:rsidRDefault="00254930" w:rsidP="00254930">
      <w:pPr>
        <w:pStyle w:val="ListBullet"/>
      </w:pPr>
      <w:r w:rsidRPr="13FB4CEF">
        <w:rPr>
          <w:lang w:val="en-GB"/>
        </w:rPr>
        <w:t>Detailed definitions will be included for net revenue earned by generators from wholesale revenues and Eligible Wholesale Contracts. For the avoidance of doubt, a Project Operator’s revenues are also expected to include revenue from participation in NEM contracts markets and all other sources of revenue generated by the Project Operator.</w:t>
      </w:r>
    </w:p>
    <w:p w14:paraId="24941E84" w14:textId="77777777" w:rsidR="00C377D3" w:rsidRDefault="00C377D3" w:rsidP="00254930">
      <w:pPr>
        <w:pStyle w:val="ListBullet"/>
        <w:numPr>
          <w:ilvl w:val="0"/>
          <w:numId w:val="0"/>
        </w:numPr>
      </w:pPr>
    </w:p>
    <w:p w14:paraId="63D46F46" w14:textId="51C8EF60" w:rsidR="00254930" w:rsidRPr="008D18DB" w:rsidRDefault="00254930" w:rsidP="00254930">
      <w:pPr>
        <w:pStyle w:val="ListBullet"/>
        <w:numPr>
          <w:ilvl w:val="0"/>
          <w:numId w:val="0"/>
        </w:numPr>
        <w:rPr>
          <w:lang w:val="en-GB"/>
        </w:rPr>
      </w:pPr>
      <w:r>
        <w:t xml:space="preserve">Revenue received by the SPV does not include payments to the NEM pool arising </w:t>
      </w:r>
      <w:bookmarkStart w:id="73" w:name="_Int_HGvsdhDx"/>
      <w:proofErr w:type="gramStart"/>
      <w:r>
        <w:t>as a result of</w:t>
      </w:r>
      <w:bookmarkEnd w:id="73"/>
      <w:proofErr w:type="gramEnd"/>
      <w:r>
        <w:t xml:space="preserve"> pool prices below $0/MWh. This is intended </w:t>
      </w:r>
      <w:r w:rsidRPr="00E95C3E">
        <w:t>to disincentiv</w:t>
      </w:r>
      <w:r>
        <w:t>is</w:t>
      </w:r>
      <w:r w:rsidRPr="00E95C3E">
        <w:t xml:space="preserve">e this behaviour and reduce costs to </w:t>
      </w:r>
      <w:r w:rsidRPr="00680610">
        <w:t xml:space="preserve">taxpayers. </w:t>
      </w:r>
    </w:p>
    <w:p w14:paraId="67BDC59E" w14:textId="77777777" w:rsidR="00254930" w:rsidRPr="00E95C3E" w:rsidRDefault="00254930" w:rsidP="00254930">
      <w:r w:rsidRPr="00E95C3E">
        <w:rPr>
          <w:lang w:val="en-GB"/>
        </w:rPr>
        <w:t>A key feature of the proposed mechanism is that, unlike traditional contracts for difference (</w:t>
      </w:r>
      <w:proofErr w:type="spellStart"/>
      <w:r w:rsidRPr="00E95C3E">
        <w:rPr>
          <w:lang w:val="en-GB"/>
        </w:rPr>
        <w:t>CfDs</w:t>
      </w:r>
      <w:proofErr w:type="spellEnd"/>
      <w:r w:rsidRPr="00E95C3E">
        <w:rPr>
          <w:lang w:val="en-GB"/>
        </w:rPr>
        <w:t xml:space="preserve">), </w:t>
      </w:r>
      <w:r>
        <w:rPr>
          <w:lang w:val="en-GB"/>
        </w:rPr>
        <w:t>Project Operators</w:t>
      </w:r>
      <w:r w:rsidRPr="00E95C3E">
        <w:rPr>
          <w:lang w:val="en-GB"/>
        </w:rPr>
        <w:t xml:space="preserve"> remain able to participate in the wholesale contracts markets via Eligible Wholesale Contracts.</w:t>
      </w:r>
    </w:p>
    <w:p w14:paraId="6FDD23E6" w14:textId="77777777" w:rsidR="0026620E" w:rsidRDefault="0026620E" w:rsidP="0026620E">
      <w:pPr>
        <w:pStyle w:val="Heading5"/>
        <w:rPr>
          <w:lang w:val="en-GB" w:eastAsia="en-AU"/>
        </w:rPr>
      </w:pPr>
      <w:r>
        <w:rPr>
          <w:lang w:val="en-GB" w:eastAsia="en-AU"/>
        </w:rPr>
        <w:t xml:space="preserve">Eligible Wholesale Markets Contract </w:t>
      </w:r>
    </w:p>
    <w:p w14:paraId="11B71390" w14:textId="77777777" w:rsidR="0026620E" w:rsidRPr="003C3076" w:rsidRDefault="0026620E" w:rsidP="0026620E">
      <w:pPr>
        <w:rPr>
          <w:lang w:val="en-GB" w:eastAsia="en-AU"/>
        </w:rPr>
      </w:pPr>
      <w:r w:rsidRPr="003C3076">
        <w:rPr>
          <w:lang w:val="en-GB" w:eastAsia="en-AU"/>
        </w:rPr>
        <w:t xml:space="preserve">As outlined in the payment mechanism, Eligible Wholesale Contracts are included in the calculation of $/MWh earned by the Project Operator. </w:t>
      </w:r>
    </w:p>
    <w:p w14:paraId="0C89DFC2" w14:textId="77777777" w:rsidR="00DE4781" w:rsidRPr="003C3076" w:rsidRDefault="00DE4781" w:rsidP="0026620E">
      <w:pPr>
        <w:rPr>
          <w:lang w:val="en-GB" w:eastAsia="en-AU"/>
        </w:rPr>
      </w:pPr>
      <w:r w:rsidRPr="003C3076">
        <w:rPr>
          <w:lang w:val="en-GB" w:eastAsia="en-AU"/>
        </w:rPr>
        <w:t xml:space="preserve">Eligible Wholesale Contracts must: </w:t>
      </w:r>
    </w:p>
    <w:p w14:paraId="4B1356E2" w14:textId="2959A6CE" w:rsidR="0026620E" w:rsidRPr="003C3076" w:rsidRDefault="0026620E" w:rsidP="0026620E">
      <w:pPr>
        <w:pStyle w:val="ListBullet"/>
        <w:rPr>
          <w:lang w:val="en-GB" w:eastAsia="en-AU"/>
        </w:rPr>
      </w:pPr>
      <w:r>
        <w:rPr>
          <w:lang w:val="en-GB" w:eastAsia="en-AU"/>
        </w:rPr>
        <w:t>b</w:t>
      </w:r>
      <w:r w:rsidRPr="003C3076">
        <w:rPr>
          <w:lang w:val="en-GB" w:eastAsia="en-AU"/>
        </w:rPr>
        <w:t xml:space="preserve">e agreed on an </w:t>
      </w:r>
      <w:r>
        <w:rPr>
          <w:lang w:val="en-GB" w:eastAsia="en-AU"/>
        </w:rPr>
        <w:t>arm</w:t>
      </w:r>
      <w:r w:rsidR="00CE457C">
        <w:rPr>
          <w:lang w:val="en-GB" w:eastAsia="en-AU"/>
        </w:rPr>
        <w:t>’</w:t>
      </w:r>
      <w:r>
        <w:rPr>
          <w:lang w:val="en-GB" w:eastAsia="en-AU"/>
        </w:rPr>
        <w:t>s-length</w:t>
      </w:r>
      <w:r w:rsidRPr="003C3076">
        <w:rPr>
          <w:lang w:val="en-GB" w:eastAsia="en-AU"/>
        </w:rPr>
        <w:t xml:space="preserve"> </w:t>
      </w:r>
      <w:proofErr w:type="gramStart"/>
      <w:r w:rsidRPr="003C3076">
        <w:rPr>
          <w:lang w:val="en-GB" w:eastAsia="en-AU"/>
        </w:rPr>
        <w:t>basis;</w:t>
      </w:r>
      <w:proofErr w:type="gramEnd"/>
    </w:p>
    <w:p w14:paraId="5CD74E85" w14:textId="0BCCFD33" w:rsidR="00DE4781" w:rsidRPr="00F418EF" w:rsidRDefault="00DE4781" w:rsidP="00DE4781">
      <w:pPr>
        <w:pStyle w:val="ListBullet"/>
        <w:rPr>
          <w:lang w:val="en-GB" w:eastAsia="en-AU"/>
        </w:rPr>
      </w:pPr>
      <w:r>
        <w:rPr>
          <w:lang w:val="en-GB" w:eastAsia="en-AU"/>
        </w:rPr>
        <w:lastRenderedPageBreak/>
        <w:t>w</w:t>
      </w:r>
      <w:r w:rsidRPr="00F418EF">
        <w:rPr>
          <w:lang w:val="en-GB" w:eastAsia="en-AU"/>
        </w:rPr>
        <w:t>here the Eligible Wholesale Contract is between related parties, the Project Operator must establish and maintain reasonable evidence that the Eligible Wholesale Contract was agreed on an arm</w:t>
      </w:r>
      <w:r w:rsidR="00CE457C">
        <w:rPr>
          <w:lang w:val="en-GB" w:eastAsia="en-AU"/>
        </w:rPr>
        <w:t>’</w:t>
      </w:r>
      <w:r w:rsidRPr="00F418EF">
        <w:rPr>
          <w:lang w:val="en-GB" w:eastAsia="en-AU"/>
        </w:rPr>
        <w:t xml:space="preserve">s-length </w:t>
      </w:r>
      <w:proofErr w:type="gramStart"/>
      <w:r w:rsidRPr="00F418EF">
        <w:rPr>
          <w:lang w:val="en-GB" w:eastAsia="en-AU"/>
        </w:rPr>
        <w:t>basis;</w:t>
      </w:r>
      <w:proofErr w:type="gramEnd"/>
      <w:r w:rsidRPr="00F418EF">
        <w:rPr>
          <w:lang w:val="en-GB" w:eastAsia="en-AU"/>
        </w:rPr>
        <w:t xml:space="preserve">  </w:t>
      </w:r>
    </w:p>
    <w:p w14:paraId="4DE02622" w14:textId="77777777" w:rsidR="0026620E" w:rsidRDefault="0026620E" w:rsidP="0026620E">
      <w:pPr>
        <w:pStyle w:val="ListBullet"/>
        <w:rPr>
          <w:lang w:val="en-GB" w:eastAsia="en-AU"/>
        </w:rPr>
      </w:pPr>
      <w:r w:rsidRPr="003C3076">
        <w:rPr>
          <w:lang w:val="en-GB" w:eastAsia="en-AU"/>
        </w:rPr>
        <w:t xml:space="preserve">not expose the Project Operator to make net swap payments where negative prices </w:t>
      </w:r>
      <w:proofErr w:type="gramStart"/>
      <w:r w:rsidRPr="003C3076">
        <w:rPr>
          <w:lang w:val="en-GB" w:eastAsia="en-AU"/>
        </w:rPr>
        <w:t>occur;</w:t>
      </w:r>
      <w:proofErr w:type="gramEnd"/>
    </w:p>
    <w:p w14:paraId="2B23D792" w14:textId="7FC35F35" w:rsidR="0026620E" w:rsidRPr="003C3076" w:rsidRDefault="00CB4501" w:rsidP="0026620E">
      <w:pPr>
        <w:pStyle w:val="ListBullet"/>
        <w:rPr>
          <w:lang w:val="en-GB" w:eastAsia="en-AU"/>
        </w:rPr>
      </w:pPr>
      <w:r>
        <w:rPr>
          <w:lang w:val="en-GB" w:eastAsia="en-AU"/>
        </w:rPr>
        <w:t xml:space="preserve">be </w:t>
      </w:r>
      <w:r w:rsidR="0026620E" w:rsidRPr="003C3076">
        <w:rPr>
          <w:lang w:val="en-GB" w:eastAsia="en-AU"/>
        </w:rPr>
        <w:t xml:space="preserve">for 1 year or more; and </w:t>
      </w:r>
    </w:p>
    <w:p w14:paraId="1911C120" w14:textId="338CE277" w:rsidR="0026620E" w:rsidRPr="003C3076" w:rsidRDefault="0026620E" w:rsidP="0026620E">
      <w:pPr>
        <w:pStyle w:val="ListBullet"/>
        <w:rPr>
          <w:lang w:val="en-GB" w:eastAsia="en-AU"/>
        </w:rPr>
      </w:pPr>
      <w:r w:rsidRPr="003C3076">
        <w:rPr>
          <w:lang w:val="en-GB" w:eastAsia="en-AU"/>
        </w:rPr>
        <w:t>not be for the primary purpose of changing payments under a CISA.</w:t>
      </w:r>
    </w:p>
    <w:p w14:paraId="2B690B8E" w14:textId="01BEB3D5" w:rsidR="00DE4781" w:rsidRPr="003C3076" w:rsidRDefault="00DE4781" w:rsidP="00DE4781">
      <w:pPr>
        <w:rPr>
          <w:lang w:val="en-GB" w:eastAsia="en-AU"/>
        </w:rPr>
      </w:pPr>
      <w:r w:rsidRPr="003C3076">
        <w:rPr>
          <w:lang w:val="en-GB" w:eastAsia="en-AU"/>
        </w:rPr>
        <w:t>The inclusion of Eligible Wholesale Contracts is intended to allow projects to participate in the wholesale contracts market and continue to receive support where project revenues are below the floor revenue. Some limitations have been included to ensure the objectives of the CISA are preserved.</w:t>
      </w:r>
    </w:p>
    <w:p w14:paraId="556B03D2" w14:textId="77777777" w:rsidR="0026620E" w:rsidRPr="003C3076" w:rsidRDefault="0026620E" w:rsidP="0026620E">
      <w:pPr>
        <w:rPr>
          <w:rFonts w:cstheme="majorBidi"/>
          <w:lang w:val="en-GB" w:eastAsia="en-AU"/>
        </w:rPr>
      </w:pPr>
      <w:r w:rsidRPr="1AB1D755">
        <w:rPr>
          <w:rFonts w:cstheme="majorBidi"/>
          <w:lang w:val="en-GB" w:eastAsia="en-AU"/>
        </w:rPr>
        <w:t xml:space="preserve">Where an Eligible Wholesale Contract is disallowed for any reason, the Quarterly Total Revenue will be assumed to be the greater of: </w:t>
      </w:r>
    </w:p>
    <w:p w14:paraId="057E68D5" w14:textId="77777777" w:rsidR="0026620E" w:rsidRPr="00D0559C" w:rsidRDefault="0026620E" w:rsidP="0026620E">
      <w:pPr>
        <w:pStyle w:val="ListNumber"/>
        <w:numPr>
          <w:ilvl w:val="0"/>
          <w:numId w:val="15"/>
        </w:numPr>
        <w:rPr>
          <w:lang w:val="en-GB" w:eastAsia="en-AU"/>
        </w:rPr>
      </w:pPr>
      <w:r w:rsidRPr="00D0559C">
        <w:rPr>
          <w:lang w:val="en-GB" w:eastAsia="en-AU"/>
        </w:rPr>
        <w:t xml:space="preserve">revenue received under the Eligible Wholesale Contract; and </w:t>
      </w:r>
    </w:p>
    <w:p w14:paraId="5D88692D" w14:textId="77777777" w:rsidR="0026620E" w:rsidRPr="003C3076" w:rsidRDefault="0026620E" w:rsidP="0026620E">
      <w:pPr>
        <w:pStyle w:val="ListNumber"/>
        <w:rPr>
          <w:lang w:val="en-GB" w:eastAsia="en-AU"/>
        </w:rPr>
      </w:pPr>
      <w:r w:rsidRPr="1AB1D755">
        <w:rPr>
          <w:lang w:val="en-GB" w:eastAsia="en-AU"/>
        </w:rPr>
        <w:t>revenue received had the electricity in each trading interval been sold at the wholesale price (excluding any trading intervals with a price below zero).</w:t>
      </w:r>
    </w:p>
    <w:p w14:paraId="5537CD38" w14:textId="77777777" w:rsidR="0026620E" w:rsidRDefault="0026620E" w:rsidP="009C6082">
      <w:pPr>
        <w:pStyle w:val="ListNumber"/>
        <w:numPr>
          <w:ilvl w:val="0"/>
          <w:numId w:val="0"/>
        </w:numPr>
        <w:rPr>
          <w:lang w:val="en-GB" w:eastAsia="en-AU"/>
        </w:rPr>
      </w:pPr>
    </w:p>
    <w:p w14:paraId="58C8D06F" w14:textId="77777777" w:rsidR="00DE4781" w:rsidRDefault="00DE4781" w:rsidP="00DE4781">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6F9151C8" w14:textId="32074209" w:rsidR="00DE4781" w:rsidRDefault="0026620E" w:rsidP="00DE4781">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Generation support mechanism</w:t>
      </w:r>
      <w:r w:rsidRPr="00877ACE">
        <w:rPr>
          <w:lang w:val="en-GB" w:eastAsia="en-AU"/>
        </w:rPr>
        <w:t xml:space="preserve">: </w:t>
      </w:r>
    </w:p>
    <w:p w14:paraId="34FB57EC" w14:textId="5B7D3161" w:rsidR="00DE4781" w:rsidRDefault="0026620E" w:rsidP="00DE4781">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We welcome feedback on the proposed generation support mechanism on the following:</w:t>
      </w:r>
    </w:p>
    <w:p w14:paraId="68681BD9" w14:textId="77777777"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Would the proposed Eligible Wholesale Contract requirements present a significant barrier to your organisation participating in the wholesale contracts market with a generation project with a CISA?</w:t>
      </w:r>
    </w:p>
    <w:p w14:paraId="7D01487E" w14:textId="16568C13"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 xml:space="preserve">Would the proposed negative price provisions present a significant barrier to any renewable </w:t>
      </w:r>
      <w:r w:rsidR="00B1115A" w:rsidRPr="2D2DFCA0">
        <w:rPr>
          <w:lang w:val="en-GB" w:eastAsia="en-AU"/>
        </w:rPr>
        <w:t>capacity</w:t>
      </w:r>
      <w:r w:rsidR="009A5C00" w:rsidRPr="2D2DFCA0">
        <w:rPr>
          <w:lang w:val="en-GB" w:eastAsia="en-AU"/>
        </w:rPr>
        <w:t xml:space="preserve"> </w:t>
      </w:r>
      <w:r w:rsidRPr="2D2DFCA0">
        <w:rPr>
          <w:lang w:val="en-GB" w:eastAsia="en-AU"/>
        </w:rPr>
        <w:t>business model considered by your organisation? Could these provision</w:t>
      </w:r>
      <w:r w:rsidR="00D457D1" w:rsidRPr="2D2DFCA0">
        <w:rPr>
          <w:lang w:val="en-GB" w:eastAsia="en-AU"/>
        </w:rPr>
        <w:t>s</w:t>
      </w:r>
      <w:r w:rsidRPr="2D2DFCA0">
        <w:rPr>
          <w:lang w:val="en-GB" w:eastAsia="en-AU"/>
        </w:rPr>
        <w:t xml:space="preserve"> have any negative impact on project NEM bidding behaviour?</w:t>
      </w:r>
    </w:p>
    <w:p w14:paraId="037DD0E1" w14:textId="77777777" w:rsidR="00DE4781" w:rsidRPr="003C3076" w:rsidRDefault="00DE4781" w:rsidP="0026620E">
      <w:pPr>
        <w:pStyle w:val="ListNumber"/>
        <w:numPr>
          <w:ilvl w:val="0"/>
          <w:numId w:val="0"/>
        </w:numPr>
        <w:ind w:left="425" w:hanging="425"/>
        <w:rPr>
          <w:lang w:val="en-GB" w:eastAsia="en-AU"/>
        </w:rPr>
      </w:pPr>
    </w:p>
    <w:p w14:paraId="0CC30C73" w14:textId="77777777" w:rsidR="00DE4781" w:rsidRDefault="00DE4781" w:rsidP="0026620E">
      <w:pPr>
        <w:pStyle w:val="Heading4"/>
      </w:pPr>
      <w:bookmarkStart w:id="74" w:name="_Ref159594177"/>
      <w:r>
        <w:t>Clean Dispatchable</w:t>
      </w:r>
      <w:r w:rsidRPr="7AE46FF4">
        <w:t xml:space="preserve"> </w:t>
      </w:r>
      <w:r>
        <w:t>CISA</w:t>
      </w:r>
      <w:bookmarkEnd w:id="74"/>
    </w:p>
    <w:p w14:paraId="045DA88E" w14:textId="58D99139" w:rsidR="0026620E" w:rsidRPr="00E95C3E" w:rsidRDefault="0026620E" w:rsidP="0026620E">
      <w:pPr>
        <w:rPr>
          <w:lang w:val="en-GB" w:eastAsia="en-AU"/>
        </w:rPr>
      </w:pPr>
      <w:r>
        <w:rPr>
          <w:lang w:val="en-GB" w:eastAsia="en-AU"/>
        </w:rPr>
        <w:t>As outlined in the d</w:t>
      </w:r>
      <w:r w:rsidRPr="00E95C3E">
        <w:rPr>
          <w:lang w:val="en-GB" w:eastAsia="en-AU"/>
        </w:rPr>
        <w:t xml:space="preserve">raft </w:t>
      </w:r>
      <w:r>
        <w:rPr>
          <w:lang w:val="en-GB" w:eastAsia="en-AU"/>
        </w:rPr>
        <w:t xml:space="preserve">CISA </w:t>
      </w:r>
      <w:r w:rsidRPr="00E95C3E">
        <w:rPr>
          <w:lang w:val="en-GB" w:eastAsia="en-AU"/>
        </w:rPr>
        <w:t xml:space="preserve">published as part of the CIS SA-Vic </w:t>
      </w:r>
      <w:r>
        <w:rPr>
          <w:lang w:val="en-GB" w:eastAsia="en-AU"/>
        </w:rPr>
        <w:t>t</w:t>
      </w:r>
      <w:r w:rsidRPr="00E95C3E">
        <w:rPr>
          <w:lang w:val="en-GB" w:eastAsia="en-AU"/>
        </w:rPr>
        <w:t xml:space="preserve">ender, </w:t>
      </w:r>
      <w:r>
        <w:rPr>
          <w:lang w:val="en-GB" w:eastAsia="en-AU"/>
        </w:rPr>
        <w:t xml:space="preserve">the payment mechanism for the Clean Dispatchable product is based on </w:t>
      </w:r>
      <w:r w:rsidRPr="00E95C3E">
        <w:rPr>
          <w:lang w:val="en-GB" w:eastAsia="en-AU"/>
        </w:rPr>
        <w:t xml:space="preserve">a </w:t>
      </w:r>
      <w:r>
        <w:rPr>
          <w:lang w:val="en-GB" w:eastAsia="en-AU"/>
        </w:rPr>
        <w:t>comparison between the Project Operator’s</w:t>
      </w:r>
      <w:r w:rsidRPr="00E95C3E">
        <w:rPr>
          <w:lang w:val="en-GB" w:eastAsia="en-AU"/>
        </w:rPr>
        <w:t xml:space="preserve"> net revenue</w:t>
      </w:r>
      <w:r>
        <w:rPr>
          <w:lang w:val="en-GB" w:eastAsia="en-AU"/>
        </w:rPr>
        <w:t xml:space="preserve"> and </w:t>
      </w:r>
      <w:r w:rsidRPr="00E95C3E">
        <w:rPr>
          <w:lang w:val="en-GB" w:eastAsia="en-AU"/>
        </w:rPr>
        <w:t>an Annual Revenue Floor and Annual Revenue Ceiling, both being bid variables</w:t>
      </w:r>
      <w:r>
        <w:rPr>
          <w:lang w:val="en-GB" w:eastAsia="en-AU"/>
        </w:rPr>
        <w:t>,</w:t>
      </w:r>
      <w:r w:rsidRPr="00E95C3E">
        <w:rPr>
          <w:lang w:val="en-GB" w:eastAsia="en-AU"/>
        </w:rPr>
        <w:t xml:space="preserve"> and three performance requirement rebates. </w:t>
      </w:r>
    </w:p>
    <w:p w14:paraId="27208272" w14:textId="3072E5FD" w:rsidR="007B5C24" w:rsidRDefault="007B5C24" w:rsidP="007B5C24">
      <w:pPr>
        <w:pStyle w:val="Caption"/>
      </w:pPr>
      <w:bookmarkStart w:id="75" w:name="_Toc160105895"/>
      <w:r>
        <w:lastRenderedPageBreak/>
        <w:t xml:space="preserve">Figure </w:t>
      </w:r>
      <w:fldSimple w:instr=" SEQ Figure \* ARABIC ">
        <w:r w:rsidR="00590988">
          <w:rPr>
            <w:noProof/>
          </w:rPr>
          <w:t>4</w:t>
        </w:r>
      </w:fldSimple>
      <w:r>
        <w:t xml:space="preserve"> Revenue underwriting design instrument</w:t>
      </w:r>
      <w:bookmarkEnd w:id="75"/>
    </w:p>
    <w:p w14:paraId="58112651" w14:textId="29F40496" w:rsidR="007C396D" w:rsidRPr="00E95C3E" w:rsidRDefault="00AE167B" w:rsidP="0026620E">
      <w:pPr>
        <w:rPr>
          <w:rFonts w:asciiTheme="majorHAnsi" w:hAnsiTheme="majorHAnsi" w:cstheme="majorBidi"/>
          <w:lang w:val="en-GB" w:eastAsia="en-AU"/>
        </w:rPr>
      </w:pPr>
      <w:r w:rsidRPr="00AE167B">
        <w:rPr>
          <w:rFonts w:asciiTheme="majorHAnsi" w:hAnsiTheme="majorHAnsi" w:cstheme="majorBidi"/>
          <w:noProof/>
          <w:lang w:val="en-GB" w:eastAsia="en-AU"/>
        </w:rPr>
        <w:drawing>
          <wp:inline distT="0" distB="0" distL="0" distR="0" wp14:anchorId="1160C809" wp14:editId="687014AD">
            <wp:extent cx="3977985" cy="1775614"/>
            <wp:effectExtent l="0" t="0" r="3810" b="0"/>
            <wp:docPr id="178151759" name="Picture 1" descr="Figure 4 shows the Revenue underwriting design instrument.  The owner pays commonwealth X% of revenue above revenue ceiling.  Commonwealth pays owner Y% of shortfall below revenu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1759" name="Picture 1" descr="Figure 4 shows the Revenue underwriting design instrument.  The owner pays commonwealth X% of revenue above revenue ceiling.  Commonwealth pays owner Y% of shortfall below revenue floor"/>
                    <pic:cNvPicPr/>
                  </pic:nvPicPr>
                  <pic:blipFill>
                    <a:blip r:embed="rId27"/>
                    <a:stretch>
                      <a:fillRect/>
                    </a:stretch>
                  </pic:blipFill>
                  <pic:spPr>
                    <a:xfrm>
                      <a:off x="0" y="0"/>
                      <a:ext cx="3977985" cy="1775614"/>
                    </a:xfrm>
                    <a:prstGeom prst="rect">
                      <a:avLst/>
                    </a:prstGeom>
                  </pic:spPr>
                </pic:pic>
              </a:graphicData>
            </a:graphic>
          </wp:inline>
        </w:drawing>
      </w:r>
    </w:p>
    <w:p w14:paraId="1D780679" w14:textId="0604C6EE" w:rsidR="00DE4781" w:rsidRPr="00E95C3E" w:rsidRDefault="00DE4781" w:rsidP="00DE4781">
      <w:pPr>
        <w:rPr>
          <w:lang w:val="en-GB" w:eastAsia="en-AU"/>
        </w:rPr>
      </w:pPr>
      <w:r w:rsidRPr="0049145D">
        <w:rPr>
          <w:lang w:val="en-GB" w:eastAsia="en-AU"/>
        </w:rPr>
        <w:t xml:space="preserve">Project Operators under </w:t>
      </w:r>
      <w:r w:rsidR="2178A690" w:rsidRPr="08A21934">
        <w:rPr>
          <w:lang w:val="en-GB" w:eastAsia="en-AU"/>
        </w:rPr>
        <w:t>C</w:t>
      </w:r>
      <w:r w:rsidR="0026620E" w:rsidRPr="08A21934">
        <w:rPr>
          <w:lang w:val="en-GB" w:eastAsia="en-AU"/>
        </w:rPr>
        <w:t xml:space="preserve">lean </w:t>
      </w:r>
      <w:r w:rsidR="004A02BF" w:rsidRPr="08A21934">
        <w:rPr>
          <w:lang w:val="en-GB" w:eastAsia="en-AU"/>
        </w:rPr>
        <w:t>D</w:t>
      </w:r>
      <w:r w:rsidR="0026620E" w:rsidRPr="08A21934">
        <w:rPr>
          <w:lang w:val="en-GB" w:eastAsia="en-AU"/>
        </w:rPr>
        <w:t>ispatchable</w:t>
      </w:r>
      <w:r w:rsidRPr="0049145D">
        <w:rPr>
          <w:lang w:val="en-GB" w:eastAsia="en-AU"/>
        </w:rPr>
        <w:t xml:space="preserve"> CISAs will have a net revenue floor and ceiling agreed </w:t>
      </w:r>
      <w:r>
        <w:rPr>
          <w:lang w:val="en-GB" w:eastAsia="en-AU"/>
        </w:rPr>
        <w:t xml:space="preserve">upon </w:t>
      </w:r>
      <w:r w:rsidRPr="0049145D">
        <w:rPr>
          <w:lang w:val="en-GB" w:eastAsia="en-AU"/>
        </w:rPr>
        <w:t>between the Proponent and the</w:t>
      </w:r>
      <w:r w:rsidR="2C2F360A" w:rsidRPr="59E025E1">
        <w:rPr>
          <w:lang w:val="en-GB" w:eastAsia="en-AU"/>
        </w:rPr>
        <w:t xml:space="preserve"> Australian Government</w:t>
      </w:r>
      <w:r w:rsidRPr="59E025E1">
        <w:rPr>
          <w:lang w:val="en-GB" w:eastAsia="en-AU"/>
        </w:rPr>
        <w:t>.</w:t>
      </w:r>
      <w:r w:rsidRPr="0049145D">
        <w:rPr>
          <w:lang w:val="en-GB" w:eastAsia="en-AU"/>
        </w:rPr>
        <w:t xml:space="preserve"> If revenue earned by a Project Operator exceeds the revenue equivalent to the ceiling, the Project Operator pays the </w:t>
      </w:r>
      <w:r w:rsidR="05D86AE5" w:rsidRPr="59E025E1">
        <w:rPr>
          <w:lang w:val="en-GB" w:eastAsia="en-AU"/>
        </w:rPr>
        <w:t>Australian Government</w:t>
      </w:r>
      <w:r w:rsidRPr="59E025E1">
        <w:rPr>
          <w:lang w:val="en-GB" w:eastAsia="en-AU"/>
        </w:rPr>
        <w:t xml:space="preserve"> </w:t>
      </w:r>
      <w:r w:rsidRPr="0049145D">
        <w:rPr>
          <w:lang w:val="en-GB" w:eastAsia="en-AU"/>
        </w:rPr>
        <w:t>an agreed percentage of revenue above the ceiling. The</w:t>
      </w:r>
      <w:r w:rsidR="46942C67" w:rsidRPr="123EE894">
        <w:rPr>
          <w:lang w:val="en-GB" w:eastAsia="en-AU"/>
        </w:rPr>
        <w:t xml:space="preserve"> Australian Government</w:t>
      </w:r>
      <w:r w:rsidRPr="0049145D">
        <w:rPr>
          <w:lang w:val="en-GB" w:eastAsia="en-AU"/>
        </w:rPr>
        <w:t xml:space="preserve"> would pay the Project Operator when revenue is below the equivalent floor, but not below zero.</w:t>
      </w:r>
    </w:p>
    <w:p w14:paraId="788B928C" w14:textId="300F2523" w:rsidR="00DE4781" w:rsidRPr="00E95C3E" w:rsidRDefault="0026620E" w:rsidP="00DE4781">
      <w:pPr>
        <w:rPr>
          <w:lang w:val="en-GB" w:eastAsia="en-AU"/>
        </w:rPr>
      </w:pPr>
      <w:r w:rsidRPr="00E95C3E">
        <w:rPr>
          <w:lang w:val="en-GB" w:eastAsia="en-AU"/>
        </w:rPr>
        <w:t>A</w:t>
      </w:r>
      <w:r w:rsidR="00DE4781" w:rsidRPr="00E95C3E">
        <w:rPr>
          <w:lang w:val="en-GB" w:eastAsia="en-AU"/>
        </w:rPr>
        <w:t xml:space="preserve"> </w:t>
      </w:r>
      <w:r w:rsidR="00DE4781">
        <w:rPr>
          <w:lang w:val="en-GB" w:eastAsia="en-AU"/>
        </w:rPr>
        <w:t>Project Operator’s</w:t>
      </w:r>
      <w:r w:rsidR="00DE4781" w:rsidRPr="00E95C3E">
        <w:rPr>
          <w:lang w:val="en-GB" w:eastAsia="en-AU"/>
        </w:rPr>
        <w:t xml:space="preserve"> net revenue includes all revenue from:</w:t>
      </w:r>
    </w:p>
    <w:p w14:paraId="1D81F2DB" w14:textId="77777777" w:rsidR="00DE4781" w:rsidRPr="00E95C3E" w:rsidRDefault="00DE4781" w:rsidP="00DE4781">
      <w:pPr>
        <w:pStyle w:val="ListBullet"/>
        <w:rPr>
          <w:lang w:val="en-GB" w:eastAsia="en-AU"/>
        </w:rPr>
      </w:pPr>
      <w:r w:rsidRPr="00E95C3E">
        <w:rPr>
          <w:lang w:val="en-GB" w:eastAsia="en-AU"/>
        </w:rPr>
        <w:t>NEM spot and ancillary market participation.</w:t>
      </w:r>
    </w:p>
    <w:p w14:paraId="2AE7A7FE" w14:textId="67E0BA8E" w:rsidR="009B6084" w:rsidRDefault="00DE4781" w:rsidP="00DE4781">
      <w:pPr>
        <w:pStyle w:val="ListBullet"/>
        <w:rPr>
          <w:lang w:val="en-GB" w:eastAsia="en-AU"/>
        </w:rPr>
      </w:pPr>
      <w:r w:rsidRPr="00E95C3E">
        <w:rPr>
          <w:lang w:val="en-GB" w:eastAsia="en-AU"/>
        </w:rPr>
        <w:t xml:space="preserve">Any offtake contracts and other sources of off-market revenue generated by the project, such as green </w:t>
      </w:r>
      <w:r>
        <w:rPr>
          <w:lang w:val="en-GB" w:eastAsia="en-AU"/>
        </w:rPr>
        <w:t xml:space="preserve">products </w:t>
      </w:r>
      <w:r w:rsidRPr="00E95C3E">
        <w:rPr>
          <w:lang w:val="en-GB" w:eastAsia="en-AU"/>
        </w:rPr>
        <w:t>and capacity products, as applicable, net of the permitted costs under the contract, such as costs of importing electricity from the market.</w:t>
      </w:r>
      <w:r w:rsidR="00A055A2">
        <w:rPr>
          <w:lang w:val="en-GB" w:eastAsia="en-AU"/>
        </w:rPr>
        <w:t xml:space="preserve"> </w:t>
      </w:r>
      <w:r w:rsidR="00A055A2">
        <w:rPr>
          <w:lang w:val="en-GB"/>
        </w:rPr>
        <w:t>Green and capacity product revenue are proposed to be deemed at the market price for each product that is created or referred to the project over the support year.</w:t>
      </w:r>
    </w:p>
    <w:p w14:paraId="1D4E87EA" w14:textId="13E48292" w:rsidR="00DE4781" w:rsidRPr="009B6084" w:rsidRDefault="009B6084" w:rsidP="009B6084">
      <w:pPr>
        <w:pStyle w:val="ListBullet"/>
      </w:pPr>
      <w:r w:rsidRPr="00E95C3E">
        <w:t xml:space="preserve">All other revenue accrued by the </w:t>
      </w:r>
      <w:r>
        <w:t>Project Operator</w:t>
      </w:r>
      <w:r w:rsidRPr="00E95C3E">
        <w:t xml:space="preserve"> because of the </w:t>
      </w:r>
      <w:r>
        <w:t>p</w:t>
      </w:r>
      <w:r w:rsidRPr="00E95C3E">
        <w:t>roject.</w:t>
      </w:r>
      <w:r w:rsidR="00DE4781" w:rsidRPr="009B6084">
        <w:rPr>
          <w:lang w:val="en-GB" w:eastAsia="en-AU"/>
        </w:rPr>
        <w:t xml:space="preserve"> </w:t>
      </w:r>
    </w:p>
    <w:p w14:paraId="5DC3F1C2" w14:textId="77777777" w:rsidR="0026620E" w:rsidRPr="00554198" w:rsidRDefault="0026620E" w:rsidP="0026620E">
      <w:pPr>
        <w:pStyle w:val="Heading3"/>
        <w:rPr>
          <w:lang w:eastAsia="en-AU"/>
        </w:rPr>
      </w:pPr>
      <w:bookmarkStart w:id="76" w:name="_Toc159336334"/>
      <w:bookmarkStart w:id="77" w:name="_Ref159594439"/>
      <w:bookmarkStart w:id="78" w:name="_Ref159594443"/>
      <w:bookmarkStart w:id="79" w:name="_Ref160107183"/>
      <w:bookmarkStart w:id="80" w:name="_Ref160107303"/>
      <w:bookmarkStart w:id="81" w:name="_Ref160107382"/>
      <w:bookmarkStart w:id="82" w:name="_Toc160117896"/>
      <w:r w:rsidRPr="00554198">
        <w:rPr>
          <w:lang w:eastAsia="en-AU"/>
        </w:rPr>
        <w:t>Ownership structure</w:t>
      </w:r>
      <w:bookmarkEnd w:id="76"/>
      <w:bookmarkEnd w:id="77"/>
      <w:bookmarkEnd w:id="78"/>
      <w:bookmarkEnd w:id="79"/>
      <w:bookmarkEnd w:id="80"/>
      <w:bookmarkEnd w:id="81"/>
      <w:bookmarkEnd w:id="82"/>
    </w:p>
    <w:p w14:paraId="411E82E8" w14:textId="77777777" w:rsidR="0026620E" w:rsidRPr="00554198" w:rsidRDefault="0026620E" w:rsidP="0026620E">
      <w:pPr>
        <w:pStyle w:val="ListBullet"/>
        <w:numPr>
          <w:ilvl w:val="0"/>
          <w:numId w:val="0"/>
        </w:numPr>
        <w:rPr>
          <w:lang w:eastAsia="en-AU"/>
        </w:rPr>
      </w:pPr>
      <w:r w:rsidRPr="00554198">
        <w:rPr>
          <w:lang w:eastAsia="en-AU"/>
        </w:rPr>
        <w:t xml:space="preserve">For both CISA products, a project must be owned by </w:t>
      </w:r>
      <w:r>
        <w:rPr>
          <w:lang w:eastAsia="en-AU"/>
        </w:rPr>
        <w:t>a</w:t>
      </w:r>
      <w:r w:rsidRPr="00554198">
        <w:rPr>
          <w:lang w:eastAsia="en-AU"/>
        </w:rPr>
        <w:t xml:space="preserve"> Special Purpose Vehicle (SPV) that has all the assets required to undertake the project. The SPV must be the Project Operator for the CISA. The Project Operator must be a registered NEM participant and receive all financial value associated with the Project. The Project Operator must be the counterparty to all revenue contracts (e.g. power purchase agreements) associated with the Project. The Project Operator must not carry on any other business other than the Project. The rationale for this requirement includes the following considerations:</w:t>
      </w:r>
    </w:p>
    <w:p w14:paraId="4A90D98B" w14:textId="77777777" w:rsidR="0026620E" w:rsidRPr="00554198" w:rsidRDefault="0026620E" w:rsidP="0026620E">
      <w:pPr>
        <w:pStyle w:val="ListBullet"/>
        <w:rPr>
          <w:lang w:eastAsia="en-AU"/>
        </w:rPr>
      </w:pPr>
      <w:r w:rsidRPr="00554198">
        <w:rPr>
          <w:lang w:eastAsia="en-AU"/>
        </w:rPr>
        <w:t>To establish a clear and transparent structure for managing finances, while effectively segregating the risks and liabilities associated with a particular project. This approach ensures clarity and safeguards the interests of all parties involved.</w:t>
      </w:r>
    </w:p>
    <w:p w14:paraId="31F68C7A" w14:textId="474DB443" w:rsidR="0026620E" w:rsidRPr="00554198" w:rsidRDefault="0026620E" w:rsidP="0026620E">
      <w:pPr>
        <w:pStyle w:val="ListBullet"/>
        <w:rPr>
          <w:lang w:eastAsia="en-AU"/>
        </w:rPr>
      </w:pPr>
      <w:r w:rsidRPr="00554198">
        <w:rPr>
          <w:lang w:eastAsia="en-AU"/>
        </w:rPr>
        <w:t>The Project Operator assists in the calculation of the project’s net revenue at the end of each year, which is summarised in a report to the</w:t>
      </w:r>
      <w:r w:rsidRPr="76224209">
        <w:rPr>
          <w:lang w:val="en-GB" w:eastAsia="en-AU"/>
        </w:rPr>
        <w:t xml:space="preserve"> </w:t>
      </w:r>
      <w:r w:rsidR="40CDFEBC" w:rsidRPr="76224209">
        <w:rPr>
          <w:lang w:val="en-GB" w:eastAsia="en-AU"/>
        </w:rPr>
        <w:t>Australian Government</w:t>
      </w:r>
      <w:r w:rsidRPr="76224209">
        <w:rPr>
          <w:lang w:eastAsia="en-AU"/>
        </w:rPr>
        <w:t xml:space="preserve"> </w:t>
      </w:r>
      <w:r w:rsidRPr="00554198">
        <w:rPr>
          <w:lang w:eastAsia="en-AU"/>
        </w:rPr>
        <w:t xml:space="preserve">for assessment before true-up payment. </w:t>
      </w:r>
    </w:p>
    <w:p w14:paraId="5A77FC23" w14:textId="1A62248F" w:rsidR="0026620E" w:rsidRPr="00554198" w:rsidRDefault="0026620E" w:rsidP="0026620E">
      <w:pPr>
        <w:pStyle w:val="ListBullet"/>
        <w:rPr>
          <w:lang w:eastAsia="en-AU"/>
        </w:rPr>
      </w:pPr>
      <w:r w:rsidRPr="00554198">
        <w:rPr>
          <w:lang w:eastAsia="en-AU"/>
        </w:rPr>
        <w:t xml:space="preserve">To manage wholesale spot price volatility risks, participants in the NEM and the WEM can enter financial contracts. Accordingly, traditional Power Purchase Agreements (PPAs) and financial contracts interact with the wholesale spot market and NEM and WEM settlements and can cover an entity’s portfolio of assets, rather than being exclusive to an individual asset. As such, </w:t>
      </w:r>
      <w:r w:rsidRPr="00554198">
        <w:rPr>
          <w:lang w:eastAsia="en-AU"/>
        </w:rPr>
        <w:lastRenderedPageBreak/>
        <w:t xml:space="preserve">to achieve the policy objectives of encouraging new investment in clean dispatchable </w:t>
      </w:r>
      <w:r w:rsidR="00492FC9">
        <w:rPr>
          <w:lang w:eastAsia="en-AU"/>
        </w:rPr>
        <w:t>capacity</w:t>
      </w:r>
      <w:r w:rsidRPr="00554198">
        <w:rPr>
          <w:lang w:eastAsia="en-AU"/>
        </w:rPr>
        <w:t xml:space="preserve"> and renewable capacity, there is a need to ensure accounting of all revenues for Eligible</w:t>
      </w:r>
      <w:r w:rsidR="00B54B88">
        <w:rPr>
          <w:lang w:eastAsia="en-AU"/>
        </w:rPr>
        <w:t> </w:t>
      </w:r>
      <w:r w:rsidRPr="00554198">
        <w:rPr>
          <w:lang w:eastAsia="en-AU"/>
        </w:rPr>
        <w:t>Wholesale Contracts is quarantined to the project awarded the CISA. Eligible Wholesale Contracts are contracted and agreed on an arms-length basis. Including such contracts is intended to allow projects to participate in the wholesale contracts market and continue to receive support for projects below the Net Revenue Floor / Volumetric Net Revenue Floor.</w:t>
      </w:r>
    </w:p>
    <w:p w14:paraId="4810A00F" w14:textId="77777777" w:rsidR="0026620E" w:rsidRPr="00554198" w:rsidRDefault="0026620E" w:rsidP="0026620E">
      <w:pPr>
        <w:pStyle w:val="ListBullet"/>
        <w:rPr>
          <w:lang w:eastAsia="en-AU"/>
        </w:rPr>
      </w:pPr>
      <w:r w:rsidRPr="00554198">
        <w:rPr>
          <w:lang w:eastAsia="en-AU"/>
        </w:rPr>
        <w:t>This has created the need for an SPV ownership structure. Requiring a project to be owned by an SPV allows for clear accounting separation of the Project from broader portfolio optimisation because all contracts accounted for are entered into by the project only.</w:t>
      </w:r>
    </w:p>
    <w:p w14:paraId="40D93505" w14:textId="77777777" w:rsidR="0026620E" w:rsidRPr="00554198" w:rsidRDefault="0026620E" w:rsidP="0026620E">
      <w:pPr>
        <w:pStyle w:val="ListBullet"/>
        <w:rPr>
          <w:lang w:eastAsia="en-AU"/>
        </w:rPr>
      </w:pPr>
      <w:r w:rsidRPr="00554198">
        <w:rPr>
          <w:lang w:eastAsia="en-AU"/>
        </w:rPr>
        <w:t xml:space="preserve">To facilitate clear accounting and ensure the separation of the project from broader portfolio optimisation, unequivocally ensuring that all contracts </w:t>
      </w:r>
      <w:bookmarkStart w:id="83" w:name="_Int_TrcEs7eN"/>
      <w:proofErr w:type="gramStart"/>
      <w:r w:rsidRPr="00554198">
        <w:rPr>
          <w:lang w:eastAsia="en-AU"/>
        </w:rPr>
        <w:t>entered into</w:t>
      </w:r>
      <w:bookmarkEnd w:id="83"/>
      <w:proofErr w:type="gramEnd"/>
      <w:r w:rsidRPr="00554198">
        <w:rPr>
          <w:lang w:eastAsia="en-AU"/>
        </w:rPr>
        <w:t xml:space="preserve"> are exclusively for the designated project and are accurately accounted for.</w:t>
      </w:r>
    </w:p>
    <w:p w14:paraId="67D3C4ED" w14:textId="77777777" w:rsidR="0026620E" w:rsidRDefault="0026620E" w:rsidP="0026620E">
      <w:pPr>
        <w:rPr>
          <w:bCs/>
          <w:lang w:eastAsia="en-AU"/>
        </w:rPr>
      </w:pPr>
      <w:r w:rsidRPr="00554198">
        <w:rPr>
          <w:bCs/>
          <w:lang w:eastAsia="en-AU"/>
        </w:rPr>
        <w:t>Inflation risk is expected to remain with the Project Operator. This may be managed through the tender structure by seeking flat nominal bids or fixed escalation bids</w:t>
      </w:r>
      <w:r>
        <w:rPr>
          <w:bCs/>
          <w:lang w:eastAsia="en-AU"/>
        </w:rPr>
        <w:t>.</w:t>
      </w:r>
    </w:p>
    <w:p w14:paraId="42369635" w14:textId="77F63928" w:rsidR="0026620E" w:rsidRPr="00E31955" w:rsidRDefault="0026620E" w:rsidP="0026620E">
      <w:r>
        <w:t>For renewable</w:t>
      </w:r>
      <w:r w:rsidR="00646431">
        <w:t xml:space="preserve"> capacity</w:t>
      </w:r>
      <w:r>
        <w:t xml:space="preserve"> proponents where this SPV requirement is a poor fit for their business model, alternative bids with commercial departures excluding contract market revenue and potentially other revenue sources </w:t>
      </w:r>
      <w:r w:rsidR="005372EC">
        <w:t>may be able to</w:t>
      </w:r>
      <w:r>
        <w:t xml:space="preserve"> be considered.</w:t>
      </w:r>
    </w:p>
    <w:p w14:paraId="3C28E614" w14:textId="77777777" w:rsidR="0026620E" w:rsidRDefault="0026620E" w:rsidP="0026620E">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080F70D9" w14:textId="77777777" w:rsidR="0026620E" w:rsidRDefault="0026620E" w:rsidP="0026620E">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Special Purpose Vehicle requirement</w:t>
      </w:r>
      <w:r w:rsidRPr="00877ACE">
        <w:rPr>
          <w:lang w:val="en-GB" w:eastAsia="en-AU"/>
        </w:rPr>
        <w:t xml:space="preserve">: </w:t>
      </w:r>
    </w:p>
    <w:p w14:paraId="5368F7AB" w14:textId="225D1BD4" w:rsidR="0026620E" w:rsidRDefault="0026620E" w:rsidP="0026620E">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 xml:space="preserve">We welcome feedback on the proposed Special Purpose Vehicle </w:t>
      </w:r>
      <w:r w:rsidR="00386E2A">
        <w:rPr>
          <w:lang w:val="en-GB" w:eastAsia="en-AU"/>
        </w:rPr>
        <w:t>r</w:t>
      </w:r>
      <w:r>
        <w:rPr>
          <w:lang w:val="en-GB" w:eastAsia="en-AU"/>
        </w:rPr>
        <w:t>equirement on the following:</w:t>
      </w:r>
    </w:p>
    <w:p w14:paraId="7CF235DB" w14:textId="3BFBA965"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 xml:space="preserve">Would the proposed Special Purpose Vehicle requirement present a major barrier to your organisation’s business model for renewable </w:t>
      </w:r>
      <w:r w:rsidR="00646431" w:rsidRPr="2D2DFCA0">
        <w:rPr>
          <w:lang w:val="en-GB" w:eastAsia="en-AU"/>
        </w:rPr>
        <w:t>capacity</w:t>
      </w:r>
      <w:r w:rsidRPr="2D2DFCA0">
        <w:rPr>
          <w:lang w:val="en-GB" w:eastAsia="en-AU"/>
        </w:rPr>
        <w:t xml:space="preserve"> and clean dispatchable capacity projects?</w:t>
      </w:r>
    </w:p>
    <w:p w14:paraId="7B7A0EDE" w14:textId="10B163D1" w:rsidR="00A723C3" w:rsidRPr="00140A1E" w:rsidRDefault="007520DB" w:rsidP="001852DC">
      <w:pPr>
        <w:pStyle w:val="Heading3"/>
        <w:rPr>
          <w:lang w:eastAsia="en-AU"/>
        </w:rPr>
      </w:pPr>
      <w:bookmarkStart w:id="84" w:name="_Ref160025690"/>
      <w:bookmarkStart w:id="85" w:name="_Toc160117897"/>
      <w:r>
        <w:rPr>
          <w:lang w:eastAsia="en-AU"/>
        </w:rPr>
        <w:t>A</w:t>
      </w:r>
      <w:r w:rsidR="0026620E">
        <w:rPr>
          <w:lang w:eastAsia="en-AU"/>
        </w:rPr>
        <w:t>lternative options for Generation CISA design</w:t>
      </w:r>
      <w:bookmarkEnd w:id="84"/>
      <w:bookmarkEnd w:id="85"/>
    </w:p>
    <w:p w14:paraId="3F04EE5E" w14:textId="7229A4A7" w:rsidR="0026620E" w:rsidRDefault="00144976" w:rsidP="00434A7E">
      <w:pPr>
        <w:spacing w:before="120" w:after="120"/>
        <w:rPr>
          <w:bCs/>
          <w:lang w:eastAsia="en-AU"/>
        </w:rPr>
      </w:pPr>
      <w:r>
        <w:rPr>
          <w:bCs/>
          <w:lang w:eastAsia="en-AU"/>
        </w:rPr>
        <w:t xml:space="preserve">As discussed in </w:t>
      </w:r>
      <w:r w:rsidR="00FF5B8D">
        <w:rPr>
          <w:bCs/>
          <w:lang w:eastAsia="en-AU"/>
        </w:rPr>
        <w:t>s</w:t>
      </w:r>
      <w:r>
        <w:rPr>
          <w:bCs/>
          <w:lang w:eastAsia="en-AU"/>
        </w:rPr>
        <w:t xml:space="preserve">ection </w:t>
      </w:r>
      <w:r w:rsidR="00FF5B8D">
        <w:rPr>
          <w:bCs/>
          <w:lang w:eastAsia="en-AU"/>
        </w:rPr>
        <w:fldChar w:fldCharType="begin"/>
      </w:r>
      <w:r w:rsidR="00FF5B8D">
        <w:rPr>
          <w:bCs/>
          <w:lang w:eastAsia="en-AU"/>
        </w:rPr>
        <w:instrText xml:space="preserve"> REF _Ref160107363 \r \h </w:instrText>
      </w:r>
      <w:r w:rsidR="00FF5B8D">
        <w:rPr>
          <w:bCs/>
          <w:lang w:eastAsia="en-AU"/>
        </w:rPr>
      </w:r>
      <w:r w:rsidR="00FF5B8D">
        <w:rPr>
          <w:bCs/>
          <w:lang w:eastAsia="en-AU"/>
        </w:rPr>
        <w:fldChar w:fldCharType="separate"/>
      </w:r>
      <w:r w:rsidR="00590988">
        <w:rPr>
          <w:bCs/>
          <w:lang w:eastAsia="en-AU"/>
        </w:rPr>
        <w:t>2.3</w:t>
      </w:r>
      <w:r w:rsidR="00FF5B8D">
        <w:rPr>
          <w:bCs/>
          <w:lang w:eastAsia="en-AU"/>
        </w:rPr>
        <w:fldChar w:fldCharType="end"/>
      </w:r>
      <w:r>
        <w:rPr>
          <w:bCs/>
          <w:lang w:eastAsia="en-AU"/>
        </w:rPr>
        <w:t xml:space="preserve">, </w:t>
      </w:r>
      <w:r w:rsidR="00477E1A">
        <w:rPr>
          <w:bCs/>
          <w:lang w:eastAsia="en-AU"/>
        </w:rPr>
        <w:t>key design features of the Generation CISA and the Clean Dispatchab</w:t>
      </w:r>
      <w:r w:rsidR="00885F8C">
        <w:rPr>
          <w:bCs/>
          <w:lang w:eastAsia="en-AU"/>
        </w:rPr>
        <w:t xml:space="preserve">le CISA have been driven by the importance of </w:t>
      </w:r>
      <w:r w:rsidR="008000FD">
        <w:rPr>
          <w:bCs/>
          <w:lang w:eastAsia="en-AU"/>
        </w:rPr>
        <w:t xml:space="preserve">preserving incentives to participate in contract markets. </w:t>
      </w:r>
      <w:r w:rsidR="00C47C48">
        <w:rPr>
          <w:bCs/>
          <w:lang w:eastAsia="en-AU"/>
        </w:rPr>
        <w:t>However, t</w:t>
      </w:r>
      <w:r w:rsidR="0026620E">
        <w:rPr>
          <w:bCs/>
          <w:lang w:eastAsia="en-AU"/>
        </w:rPr>
        <w:t xml:space="preserve">here are other </w:t>
      </w:r>
      <w:bookmarkStart w:id="86" w:name="_Int_kXnfNPjT"/>
      <w:r w:rsidR="0026620E">
        <w:rPr>
          <w:bCs/>
          <w:lang w:eastAsia="en-AU"/>
        </w:rPr>
        <w:t>possible design</w:t>
      </w:r>
      <w:bookmarkEnd w:id="86"/>
      <w:r w:rsidR="0026620E">
        <w:rPr>
          <w:bCs/>
          <w:lang w:eastAsia="en-AU"/>
        </w:rPr>
        <w:t xml:space="preserve"> features for the Generation CISA that would also preserve incentives for participants to participate in contract markets. </w:t>
      </w:r>
      <w:r w:rsidR="33514FAC" w:rsidRPr="7CB961A3">
        <w:rPr>
          <w:lang w:eastAsia="en-AU"/>
        </w:rPr>
        <w:t>It does not appear</w:t>
      </w:r>
      <w:r w:rsidR="0026620E">
        <w:rPr>
          <w:bCs/>
          <w:lang w:eastAsia="en-AU"/>
        </w:rPr>
        <w:t xml:space="preserve"> feasible for these design features to apply to the Clean Dispatchable CISA</w:t>
      </w:r>
      <w:r w:rsidR="77D1F74E" w:rsidRPr="5D10B5D3">
        <w:rPr>
          <w:lang w:eastAsia="en-AU"/>
        </w:rPr>
        <w:t>, however,</w:t>
      </w:r>
      <w:r w:rsidR="0026620E">
        <w:rPr>
          <w:bCs/>
          <w:lang w:eastAsia="en-AU"/>
        </w:rPr>
        <w:t xml:space="preserve"> alternative design features for the Generation CISA </w:t>
      </w:r>
      <w:r w:rsidR="747FECC3" w:rsidRPr="5D10B5D3">
        <w:rPr>
          <w:lang w:eastAsia="en-AU"/>
        </w:rPr>
        <w:t>may</w:t>
      </w:r>
      <w:r w:rsidR="0026620E" w:rsidRPr="5D10B5D3">
        <w:rPr>
          <w:lang w:eastAsia="en-AU"/>
        </w:rPr>
        <w:t xml:space="preserve"> </w:t>
      </w:r>
      <w:r w:rsidR="0026620E">
        <w:rPr>
          <w:bCs/>
          <w:lang w:eastAsia="en-AU"/>
        </w:rPr>
        <w:t>include:</w:t>
      </w:r>
    </w:p>
    <w:p w14:paraId="3B396AC9" w14:textId="486D887B" w:rsidR="0026620E" w:rsidRPr="00C41663" w:rsidRDefault="0026620E" w:rsidP="0026620E">
      <w:pPr>
        <w:pStyle w:val="ListParagraph"/>
        <w:numPr>
          <w:ilvl w:val="0"/>
          <w:numId w:val="21"/>
        </w:numPr>
        <w:rPr>
          <w:lang w:eastAsia="en-AU"/>
        </w:rPr>
      </w:pPr>
      <w:r w:rsidRPr="008A7E61">
        <w:rPr>
          <w:bCs/>
          <w:lang w:eastAsia="en-AU"/>
        </w:rPr>
        <w:t xml:space="preserve">the use of an </w:t>
      </w:r>
      <w:r w:rsidR="00744E49">
        <w:rPr>
          <w:bCs/>
          <w:lang w:eastAsia="en-AU"/>
        </w:rPr>
        <w:t xml:space="preserve">ongoing </w:t>
      </w:r>
      <w:r w:rsidRPr="008A7E61">
        <w:rPr>
          <w:bCs/>
          <w:lang w:eastAsia="en-AU"/>
        </w:rPr>
        <w:t xml:space="preserve">option structure, </w:t>
      </w:r>
      <w:bookmarkStart w:id="87" w:name="_Int_qUlicEBd"/>
      <w:proofErr w:type="gramStart"/>
      <w:r w:rsidRPr="008A7E61">
        <w:rPr>
          <w:bCs/>
          <w:lang w:eastAsia="en-AU"/>
        </w:rPr>
        <w:t>similar to</w:t>
      </w:r>
      <w:bookmarkEnd w:id="87"/>
      <w:proofErr w:type="gramEnd"/>
      <w:r w:rsidRPr="008A7E61">
        <w:rPr>
          <w:bCs/>
          <w:lang w:eastAsia="en-AU"/>
        </w:rPr>
        <w:t xml:space="preserve"> what is used in NSW Long-Term Energy Service Agreements</w:t>
      </w:r>
      <w:r>
        <w:rPr>
          <w:bCs/>
          <w:lang w:eastAsia="en-AU"/>
        </w:rPr>
        <w:t xml:space="preserve">. </w:t>
      </w:r>
    </w:p>
    <w:p w14:paraId="24C2644F" w14:textId="7E00269E" w:rsidR="0026620E" w:rsidRPr="00952797" w:rsidRDefault="0026620E" w:rsidP="0026620E">
      <w:pPr>
        <w:pStyle w:val="ListParagraph"/>
        <w:numPr>
          <w:ilvl w:val="0"/>
          <w:numId w:val="21"/>
        </w:numPr>
        <w:rPr>
          <w:lang w:eastAsia="en-AU"/>
        </w:rPr>
      </w:pPr>
      <w:r>
        <w:rPr>
          <w:bCs/>
          <w:lang w:eastAsia="en-AU"/>
        </w:rPr>
        <w:t>Volumetric exclusion of generation sent out (in MWh) that falls under an Eligible Wholesale Contract</w:t>
      </w:r>
      <w:r w:rsidR="002F1E38">
        <w:rPr>
          <w:bCs/>
          <w:lang w:eastAsia="en-AU"/>
        </w:rPr>
        <w:t xml:space="preserve"> (rather than including the contracted capacity in the net revenue calculation)</w:t>
      </w:r>
    </w:p>
    <w:p w14:paraId="1494EE86" w14:textId="64FB3717" w:rsidR="0026620E" w:rsidRDefault="0026620E" w:rsidP="0026620E">
      <w:pPr>
        <w:rPr>
          <w:lang w:eastAsia="en-AU"/>
        </w:rPr>
      </w:pPr>
      <w:r>
        <w:rPr>
          <w:lang w:eastAsia="en-AU"/>
        </w:rPr>
        <w:t>These design features would remove the requirement that generation projects be owned by an SPV, although there would still be a need for contracts to be on an arm’s length basis if the option is exercised</w:t>
      </w:r>
      <w:r w:rsidR="009A3B5A">
        <w:rPr>
          <w:lang w:eastAsia="en-AU"/>
        </w:rPr>
        <w:t xml:space="preserve"> and for acceptable </w:t>
      </w:r>
      <w:r w:rsidR="006E6ADA">
        <w:rPr>
          <w:lang w:eastAsia="en-AU"/>
        </w:rPr>
        <w:t>and transparent accounting which distinguishes the Project from other activities of the relevant entity</w:t>
      </w:r>
      <w:r>
        <w:rPr>
          <w:lang w:eastAsia="en-AU"/>
        </w:rPr>
        <w:t>.</w:t>
      </w:r>
    </w:p>
    <w:p w14:paraId="308F34DE" w14:textId="77777777" w:rsidR="0026620E" w:rsidRPr="00E31955" w:rsidRDefault="0026620E" w:rsidP="0026620E">
      <w:pPr>
        <w:rPr>
          <w:b/>
          <w:bCs/>
          <w:lang w:eastAsia="en-AU"/>
        </w:rPr>
      </w:pPr>
      <w:r w:rsidRPr="00E31955">
        <w:rPr>
          <w:b/>
          <w:bCs/>
          <w:lang w:eastAsia="en-AU"/>
        </w:rPr>
        <w:t>Potential Option Structure</w:t>
      </w:r>
    </w:p>
    <w:p w14:paraId="00EBE63E" w14:textId="6AA7D8B5" w:rsidR="0026620E" w:rsidRPr="00A34205" w:rsidRDefault="0026620E" w:rsidP="0026620E">
      <w:pPr>
        <w:rPr>
          <w:bCs/>
          <w:lang w:eastAsia="en-AU"/>
        </w:rPr>
      </w:pPr>
      <w:r w:rsidRPr="007100B9">
        <w:rPr>
          <w:bCs/>
          <w:lang w:eastAsia="en-AU"/>
        </w:rPr>
        <w:t xml:space="preserve">Under this approach, during the Contract Term, the Project Operator would have the option (i.e. the right but not the obligation) to </w:t>
      </w:r>
      <w:bookmarkStart w:id="88" w:name="_Int_f8Yy4kqJ"/>
      <w:proofErr w:type="gramStart"/>
      <w:r w:rsidRPr="007100B9">
        <w:rPr>
          <w:bCs/>
          <w:lang w:eastAsia="en-AU"/>
        </w:rPr>
        <w:t>enter into</w:t>
      </w:r>
      <w:bookmarkEnd w:id="88"/>
      <w:proofErr w:type="gramEnd"/>
      <w:r w:rsidRPr="007100B9">
        <w:rPr>
          <w:bCs/>
          <w:lang w:eastAsia="en-AU"/>
        </w:rPr>
        <w:t xml:space="preserve"> a floor for the period of one Financial Year (Option Period)</w:t>
      </w:r>
      <w:r>
        <w:rPr>
          <w:bCs/>
          <w:lang w:eastAsia="en-AU"/>
        </w:rPr>
        <w:t xml:space="preserve">. </w:t>
      </w:r>
      <w:r w:rsidRPr="00A34205">
        <w:rPr>
          <w:bCs/>
          <w:lang w:eastAsia="en-AU"/>
        </w:rPr>
        <w:lastRenderedPageBreak/>
        <w:t xml:space="preserve">By exercising an option, the </w:t>
      </w:r>
      <w:r w:rsidR="001E7907">
        <w:rPr>
          <w:bCs/>
          <w:lang w:eastAsia="en-AU"/>
        </w:rPr>
        <w:t xml:space="preserve">Generation </w:t>
      </w:r>
      <w:r w:rsidRPr="00A34205">
        <w:rPr>
          <w:bCs/>
          <w:lang w:eastAsia="en-AU"/>
        </w:rPr>
        <w:t xml:space="preserve">Project Operator </w:t>
      </w:r>
      <w:r>
        <w:rPr>
          <w:bCs/>
          <w:lang w:eastAsia="en-AU"/>
        </w:rPr>
        <w:t>would be</w:t>
      </w:r>
      <w:r w:rsidRPr="00A34205">
        <w:rPr>
          <w:bCs/>
          <w:lang w:eastAsia="en-AU"/>
        </w:rPr>
        <w:t xml:space="preserve"> guaranteed an annual fixed price ($/MWh) for the volume of electricity that does not fall under an Eligible Contract.</w:t>
      </w:r>
      <w:r w:rsidR="001E7907">
        <w:rPr>
          <w:bCs/>
          <w:lang w:eastAsia="en-AU"/>
        </w:rPr>
        <w:t xml:space="preserve"> Or in the case of a Clean Dispatchable Project Operator, they are guaranteed a minimum revenue amount.</w:t>
      </w:r>
    </w:p>
    <w:p w14:paraId="74EC97D6" w14:textId="504F8BCF" w:rsidR="0026620E" w:rsidRDefault="0026620E" w:rsidP="0026620E">
      <w:pPr>
        <w:rPr>
          <w:bCs/>
          <w:lang w:eastAsia="en-AU"/>
        </w:rPr>
      </w:pPr>
      <w:r w:rsidRPr="00A34205">
        <w:rPr>
          <w:bCs/>
          <w:lang w:eastAsia="en-AU"/>
        </w:rPr>
        <w:t xml:space="preserve">By exercising an option for the first time, the Project Operator </w:t>
      </w:r>
      <w:r>
        <w:rPr>
          <w:bCs/>
          <w:lang w:eastAsia="en-AU"/>
        </w:rPr>
        <w:t xml:space="preserve">would </w:t>
      </w:r>
      <w:bookmarkStart w:id="89" w:name="_Int_n6ODOG83"/>
      <w:proofErr w:type="gramStart"/>
      <w:r w:rsidRPr="00A34205">
        <w:rPr>
          <w:bCs/>
          <w:lang w:eastAsia="en-AU"/>
        </w:rPr>
        <w:t>enter into</w:t>
      </w:r>
      <w:bookmarkEnd w:id="89"/>
      <w:proofErr w:type="gramEnd"/>
      <w:r w:rsidRPr="00A34205">
        <w:rPr>
          <w:bCs/>
          <w:lang w:eastAsia="en-AU"/>
        </w:rPr>
        <w:t xml:space="preserve"> an obligation to share revenues above an annual ceiling price with the</w:t>
      </w:r>
      <w:r w:rsidRPr="07ABFE10">
        <w:rPr>
          <w:lang w:val="en-GB" w:eastAsia="en-AU"/>
        </w:rPr>
        <w:t xml:space="preserve"> </w:t>
      </w:r>
      <w:r w:rsidR="1DCB5CFC" w:rsidRPr="07ABFE10">
        <w:rPr>
          <w:lang w:val="en-GB" w:eastAsia="en-AU"/>
        </w:rPr>
        <w:t>Australian Government</w:t>
      </w:r>
      <w:r w:rsidRPr="07ABFE10">
        <w:rPr>
          <w:lang w:eastAsia="en-AU"/>
        </w:rPr>
        <w:t xml:space="preserve"> </w:t>
      </w:r>
      <w:r w:rsidRPr="00A34205">
        <w:rPr>
          <w:bCs/>
          <w:lang w:eastAsia="en-AU"/>
        </w:rPr>
        <w:t>for the remainder of the Contract Term for the volume of electricity that does not fall under an Eligible Contract</w:t>
      </w:r>
      <w:r>
        <w:rPr>
          <w:bCs/>
          <w:lang w:eastAsia="en-AU"/>
        </w:rPr>
        <w:t>.</w:t>
      </w:r>
    </w:p>
    <w:p w14:paraId="3389D93E" w14:textId="004F0865" w:rsidR="0026620E" w:rsidRDefault="0026620E" w:rsidP="0026620E">
      <w:pPr>
        <w:rPr>
          <w:bCs/>
          <w:lang w:eastAsia="en-AU"/>
        </w:rPr>
      </w:pPr>
      <w:r>
        <w:rPr>
          <w:bCs/>
          <w:lang w:eastAsia="en-AU"/>
        </w:rPr>
        <w:t xml:space="preserve">During exercise periods, the Project Operator would be required to physically deliver any </w:t>
      </w:r>
      <w:r w:rsidR="3F1E64A0" w:rsidRPr="2823FB29">
        <w:rPr>
          <w:lang w:eastAsia="en-AU"/>
        </w:rPr>
        <w:t>g</w:t>
      </w:r>
      <w:r>
        <w:rPr>
          <w:bCs/>
          <w:lang w:eastAsia="en-AU"/>
        </w:rPr>
        <w:t xml:space="preserve">reen </w:t>
      </w:r>
      <w:r w:rsidR="46C81C87" w:rsidRPr="123EE894">
        <w:rPr>
          <w:lang w:eastAsia="en-AU"/>
        </w:rPr>
        <w:t>certificates</w:t>
      </w:r>
      <w:r>
        <w:rPr>
          <w:bCs/>
          <w:lang w:eastAsia="en-AU"/>
        </w:rPr>
        <w:t xml:space="preserve"> </w:t>
      </w:r>
      <w:r w:rsidR="1EBC38EE" w:rsidRPr="2823FB29">
        <w:rPr>
          <w:lang w:eastAsia="en-AU"/>
        </w:rPr>
        <w:t xml:space="preserve">(such as </w:t>
      </w:r>
      <w:r w:rsidR="1EBC38EE" w:rsidRPr="19D7A161">
        <w:rPr>
          <w:lang w:eastAsia="en-AU"/>
        </w:rPr>
        <w:t>Large</w:t>
      </w:r>
      <w:r w:rsidR="5B2854E8" w:rsidRPr="00E4273C">
        <w:rPr>
          <w:lang w:eastAsia="en-AU"/>
        </w:rPr>
        <w:t>-</w:t>
      </w:r>
      <w:r w:rsidR="1EBC38EE" w:rsidRPr="19D7A161">
        <w:rPr>
          <w:lang w:eastAsia="en-AU"/>
        </w:rPr>
        <w:t xml:space="preserve">Scale </w:t>
      </w:r>
      <w:r w:rsidR="1EBC38EE" w:rsidRPr="417B8CDA">
        <w:rPr>
          <w:lang w:eastAsia="en-AU"/>
        </w:rPr>
        <w:t xml:space="preserve">Generation </w:t>
      </w:r>
      <w:r w:rsidR="1EBC38EE" w:rsidRPr="20A865CD">
        <w:rPr>
          <w:lang w:eastAsia="en-AU"/>
        </w:rPr>
        <w:t xml:space="preserve">Certificates) </w:t>
      </w:r>
      <w:r w:rsidRPr="20A865CD">
        <w:rPr>
          <w:lang w:eastAsia="en-AU"/>
        </w:rPr>
        <w:t>to</w:t>
      </w:r>
      <w:r>
        <w:rPr>
          <w:bCs/>
          <w:lang w:eastAsia="en-AU"/>
        </w:rPr>
        <w:t xml:space="preserve"> the</w:t>
      </w:r>
      <w:r w:rsidR="2710F78D" w:rsidRPr="733D790E">
        <w:rPr>
          <w:lang w:eastAsia="en-AU"/>
        </w:rPr>
        <w:t xml:space="preserve"> </w:t>
      </w:r>
      <w:r w:rsidR="66AC5BE8" w:rsidRPr="733D790E">
        <w:rPr>
          <w:lang w:eastAsia="en-AU"/>
        </w:rPr>
        <w:t xml:space="preserve">Australian </w:t>
      </w:r>
      <w:r w:rsidR="66AC5BE8" w:rsidRPr="2200A100">
        <w:rPr>
          <w:lang w:eastAsia="en-AU"/>
        </w:rPr>
        <w:t>Government</w:t>
      </w:r>
      <w:r>
        <w:rPr>
          <w:bCs/>
          <w:lang w:eastAsia="en-AU"/>
        </w:rPr>
        <w:t xml:space="preserve">, </w:t>
      </w:r>
      <w:bookmarkStart w:id="90" w:name="_Int_mUP9MPMB"/>
      <w:proofErr w:type="gramStart"/>
      <w:r>
        <w:rPr>
          <w:bCs/>
          <w:lang w:eastAsia="en-AU"/>
        </w:rPr>
        <w:t>in order to</w:t>
      </w:r>
      <w:bookmarkEnd w:id="90"/>
      <w:proofErr w:type="gramEnd"/>
      <w:r>
        <w:rPr>
          <w:bCs/>
          <w:lang w:eastAsia="en-AU"/>
        </w:rPr>
        <w:t xml:space="preserve"> reduce ambiguity about the cash equivalent payments for green certificates.</w:t>
      </w:r>
    </w:p>
    <w:p w14:paraId="226ACFCF" w14:textId="2AF6D280" w:rsidR="00082714" w:rsidRDefault="00082714" w:rsidP="00082714">
      <w:pPr>
        <w:rPr>
          <w:bCs/>
          <w:lang w:eastAsia="en-AU"/>
        </w:rPr>
      </w:pPr>
      <w:r>
        <w:rPr>
          <w:bCs/>
          <w:lang w:eastAsia="en-AU"/>
        </w:rPr>
        <w:t xml:space="preserve">This contract structure deals with the impacts on contract market liquidity outlined in section 2.3 by providing Project Operators with a choice not to exercise the option if they can achieve a better price in the electricity contract market. The generation contract structure uses a swap </w:t>
      </w:r>
      <w:proofErr w:type="gramStart"/>
      <w:r>
        <w:rPr>
          <w:bCs/>
          <w:lang w:eastAsia="en-AU"/>
        </w:rPr>
        <w:t>similar to</w:t>
      </w:r>
      <w:proofErr w:type="gramEnd"/>
      <w:r>
        <w:rPr>
          <w:bCs/>
          <w:lang w:eastAsia="en-AU"/>
        </w:rPr>
        <w:t xml:space="preserve"> corporate Power Purchase Agreements. So even if a Project Operator does exercise the option, the Australian</w:t>
      </w:r>
      <w:r w:rsidR="008801B1">
        <w:rPr>
          <w:bCs/>
          <w:lang w:eastAsia="en-AU"/>
        </w:rPr>
        <w:t> </w:t>
      </w:r>
      <w:r>
        <w:rPr>
          <w:bCs/>
          <w:lang w:eastAsia="en-AU"/>
        </w:rPr>
        <w:t xml:space="preserve">Government has an opportunity to “on sell” the swap into the electricity contract market. </w:t>
      </w:r>
    </w:p>
    <w:p w14:paraId="37AFE30E" w14:textId="7D6BCCB8" w:rsidR="00082714" w:rsidRDefault="00082714" w:rsidP="0026620E">
      <w:pPr>
        <w:rPr>
          <w:bCs/>
          <w:lang w:eastAsia="en-AU"/>
        </w:rPr>
      </w:pPr>
      <w:r>
        <w:rPr>
          <w:bCs/>
          <w:lang w:eastAsia="en-AU"/>
        </w:rPr>
        <w:t xml:space="preserve">The option structure has been used in three tenders under the NSW Electricity Infrastructure Roadmap to support </w:t>
      </w:r>
      <w:r w:rsidR="37E60596" w:rsidRPr="38404046">
        <w:rPr>
          <w:lang w:eastAsia="en-AU"/>
        </w:rPr>
        <w:t>five</w:t>
      </w:r>
      <w:r>
        <w:rPr>
          <w:bCs/>
          <w:lang w:eastAsia="en-AU"/>
        </w:rPr>
        <w:t xml:space="preserve"> renewable energy generation projects with a combined 2.1GW of capacity and </w:t>
      </w:r>
      <w:r w:rsidR="6E346365" w:rsidRPr="38404046">
        <w:rPr>
          <w:lang w:eastAsia="en-AU"/>
        </w:rPr>
        <w:t>eight</w:t>
      </w:r>
      <w:r>
        <w:rPr>
          <w:bCs/>
          <w:lang w:eastAsia="en-AU"/>
        </w:rPr>
        <w:t xml:space="preserve"> clean dispatchable projects with a combined 1.5GW of capacity. </w:t>
      </w:r>
      <w:r w:rsidRPr="4015065D">
        <w:rPr>
          <w:lang w:eastAsia="en-AU"/>
        </w:rPr>
        <w:t xml:space="preserve">For more information see </w:t>
      </w:r>
      <w:hyperlink r:id="rId28">
        <w:r w:rsidRPr="4015065D">
          <w:rPr>
            <w:rStyle w:val="Hyperlink"/>
            <w:lang w:eastAsia="en-AU"/>
          </w:rPr>
          <w:t>https://aemoservices.com.au/products/ltesa</w:t>
        </w:r>
      </w:hyperlink>
      <w:r w:rsidRPr="4015065D">
        <w:rPr>
          <w:lang w:eastAsia="en-AU"/>
        </w:rPr>
        <w:t xml:space="preserve"> </w:t>
      </w:r>
    </w:p>
    <w:p w14:paraId="4A5FDF23" w14:textId="77777777" w:rsidR="0026620E" w:rsidRDefault="0026620E" w:rsidP="0026620E">
      <w:pPr>
        <w:rPr>
          <w:b/>
          <w:lang w:eastAsia="en-AU"/>
        </w:rPr>
      </w:pPr>
      <w:r w:rsidRPr="00E31955">
        <w:rPr>
          <w:b/>
          <w:lang w:eastAsia="en-AU"/>
        </w:rPr>
        <w:t>Potential Volumetric Exclusion of Contracted Generation</w:t>
      </w:r>
    </w:p>
    <w:p w14:paraId="5B0023B8" w14:textId="3DC3B172" w:rsidR="0026620E" w:rsidRPr="00E31955" w:rsidRDefault="0026620E" w:rsidP="0026620E">
      <w:pPr>
        <w:rPr>
          <w:bCs/>
          <w:lang w:eastAsia="en-AU"/>
        </w:rPr>
      </w:pPr>
      <w:r w:rsidRPr="00E31955">
        <w:rPr>
          <w:bCs/>
          <w:lang w:eastAsia="en-AU"/>
        </w:rPr>
        <w:t xml:space="preserve">Under this approach, Quarterly payments </w:t>
      </w:r>
      <w:r>
        <w:rPr>
          <w:bCs/>
          <w:lang w:eastAsia="en-AU"/>
        </w:rPr>
        <w:t>would be</w:t>
      </w:r>
      <w:r w:rsidRPr="00E31955">
        <w:rPr>
          <w:bCs/>
          <w:lang w:eastAsia="en-AU"/>
        </w:rPr>
        <w:t xml:space="preserve"> based on the revenue earned </w:t>
      </w:r>
      <w:r w:rsidR="0527AE67" w:rsidRPr="5D10B5D3">
        <w:rPr>
          <w:lang w:eastAsia="en-AU"/>
        </w:rPr>
        <w:t>from</w:t>
      </w:r>
      <w:r w:rsidRPr="00E31955">
        <w:rPr>
          <w:bCs/>
          <w:lang w:eastAsia="en-AU"/>
        </w:rPr>
        <w:t xml:space="preserve"> generation sent out (in MWh) during that period</w:t>
      </w:r>
      <w:r w:rsidR="2CFE9273" w:rsidRPr="5D10B5D3">
        <w:rPr>
          <w:lang w:eastAsia="en-AU"/>
        </w:rPr>
        <w:t>, but only for generation volumes</w:t>
      </w:r>
      <w:r w:rsidRPr="00E31955">
        <w:rPr>
          <w:bCs/>
          <w:lang w:eastAsia="en-AU"/>
        </w:rPr>
        <w:t xml:space="preserve"> that </w:t>
      </w:r>
      <w:r w:rsidR="0A0AFD9D" w:rsidRPr="5D10B5D3">
        <w:rPr>
          <w:lang w:eastAsia="en-AU"/>
        </w:rPr>
        <w:t>do</w:t>
      </w:r>
      <w:r w:rsidRPr="00E31955">
        <w:rPr>
          <w:bCs/>
          <w:lang w:eastAsia="en-AU"/>
        </w:rPr>
        <w:t xml:space="preserve"> not fall under an Eligible Contract. At the end of the </w:t>
      </w:r>
      <w:bookmarkStart w:id="91" w:name="_Int_n7DPnuYX"/>
      <w:r w:rsidRPr="00E31955">
        <w:rPr>
          <w:bCs/>
          <w:lang w:eastAsia="en-AU"/>
        </w:rPr>
        <w:t>financial year</w:t>
      </w:r>
      <w:bookmarkEnd w:id="91"/>
      <w:r w:rsidRPr="00E31955">
        <w:rPr>
          <w:bCs/>
          <w:lang w:eastAsia="en-AU"/>
        </w:rPr>
        <w:t>, an annual reconciliation payment will be made (Annual Adjustment Payment), subject to an annual payment cap.</w:t>
      </w:r>
    </w:p>
    <w:p w14:paraId="2F673A2A" w14:textId="3931FDE4" w:rsidR="0026620E" w:rsidRDefault="0026620E" w:rsidP="0026620E">
      <w:pPr>
        <w:rPr>
          <w:b/>
          <w:lang w:eastAsia="en-AU"/>
        </w:rPr>
      </w:pPr>
      <w:r w:rsidRPr="00E31955">
        <w:rPr>
          <w:bCs/>
          <w:lang w:eastAsia="en-AU"/>
        </w:rPr>
        <w:t xml:space="preserve">The application of the Contracted Percentage to the Quarterly Payment will be applied in the MWh Generated calculation. This means that generation volume will be allocated to the CISA on a proportional, </w:t>
      </w:r>
      <w:proofErr w:type="spellStart"/>
      <w:r w:rsidRPr="00E31955">
        <w:rPr>
          <w:bCs/>
          <w:lang w:eastAsia="en-AU"/>
        </w:rPr>
        <w:t>pari</w:t>
      </w:r>
      <w:proofErr w:type="spellEnd"/>
      <w:r w:rsidRPr="00E31955">
        <w:rPr>
          <w:bCs/>
          <w:lang w:eastAsia="en-AU"/>
        </w:rPr>
        <w:t xml:space="preserve"> passu </w:t>
      </w:r>
      <w:r w:rsidR="00353EB1">
        <w:rPr>
          <w:bCs/>
          <w:lang w:eastAsia="en-AU"/>
        </w:rPr>
        <w:t xml:space="preserve">(equal footing) </w:t>
      </w:r>
      <w:r w:rsidRPr="00E31955">
        <w:rPr>
          <w:bCs/>
          <w:lang w:eastAsia="en-AU"/>
        </w:rPr>
        <w:t>basis. The MWh Generated definition will exclude volumes that fall under an Eligible Contract.</w:t>
      </w:r>
      <w:r w:rsidRPr="00ED6CB5">
        <w:rPr>
          <w:b/>
          <w:lang w:eastAsia="en-AU"/>
        </w:rPr>
        <w:t xml:space="preserve"> </w:t>
      </w:r>
    </w:p>
    <w:p w14:paraId="262F1B73" w14:textId="77777777" w:rsidR="0026620E" w:rsidRDefault="0026620E" w:rsidP="0026620E">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783CDB79" w14:textId="77777777" w:rsidR="0026620E" w:rsidRDefault="0026620E" w:rsidP="0026620E">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 xml:space="preserve">Alternative options to preserve incentives for generators to participate in wholesale contracts </w:t>
      </w:r>
      <w:proofErr w:type="gramStart"/>
      <w:r>
        <w:rPr>
          <w:lang w:val="en-GB" w:eastAsia="en-AU"/>
        </w:rPr>
        <w:t>markets</w:t>
      </w:r>
      <w:proofErr w:type="gramEnd"/>
    </w:p>
    <w:p w14:paraId="51BCA2D9" w14:textId="77777777" w:rsidR="0026620E" w:rsidRDefault="0026620E" w:rsidP="0026620E">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We welcome feedback on the alternative options to preserve incentives to participate in wholesale contracts markets, including:</w:t>
      </w:r>
    </w:p>
    <w:p w14:paraId="4CC03C44" w14:textId="77777777"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Whether an option structure would be of value for the generation CISA</w:t>
      </w:r>
    </w:p>
    <w:p w14:paraId="05D4E9F4" w14:textId="177B25C7"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Views on the inclusion of Eligible Wholesale Contract revenue into the net revenue calculation vis-à-vis the volumetric exclusion of Eligible Wholesale Contract revenue</w:t>
      </w:r>
    </w:p>
    <w:p w14:paraId="541FE2AC" w14:textId="514F6FCA" w:rsidR="0026620E" w:rsidRDefault="0026620E" w:rsidP="0026620E">
      <w:pPr>
        <w:pStyle w:val="BoxText"/>
        <w:numPr>
          <w:ilvl w:val="0"/>
          <w:numId w:val="20"/>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sidRPr="2D2DFCA0">
        <w:rPr>
          <w:lang w:val="en-GB" w:eastAsia="en-AU"/>
        </w:rPr>
        <w:t>Views on the potential requirement for the Project Operator to physically deliver any Green Products to the</w:t>
      </w:r>
      <w:r w:rsidR="14547873" w:rsidRPr="2D2DFCA0">
        <w:rPr>
          <w:lang w:val="en-GB" w:eastAsia="en-AU"/>
        </w:rPr>
        <w:t xml:space="preserve"> Australian Government</w:t>
      </w:r>
    </w:p>
    <w:p w14:paraId="18524427" w14:textId="380A1153" w:rsidR="005740CE" w:rsidRPr="00EE2614" w:rsidRDefault="0026620E" w:rsidP="000B0C35">
      <w:pPr>
        <w:pStyle w:val="ListParagraph"/>
        <w:keepNext/>
        <w:keepLines/>
        <w:numPr>
          <w:ilvl w:val="0"/>
          <w:numId w:val="14"/>
        </w:numPr>
        <w:outlineLvl w:val="2"/>
        <w:rPr>
          <w:rFonts w:eastAsia="Times New Roman" w:cs="Times New Roman"/>
          <w:b/>
          <w:sz w:val="36"/>
          <w:szCs w:val="36"/>
        </w:rPr>
      </w:pPr>
      <w:r w:rsidRPr="00E31955">
        <w:rPr>
          <w:b/>
          <w:lang w:eastAsia="en-AU"/>
        </w:rPr>
        <w:br w:type="page"/>
      </w:r>
    </w:p>
    <w:p w14:paraId="1AC8749E" w14:textId="02242863" w:rsidR="00621F86" w:rsidRPr="00D02C68" w:rsidRDefault="00621F86" w:rsidP="00621F86">
      <w:pPr>
        <w:pStyle w:val="Heading2"/>
      </w:pPr>
      <w:bookmarkStart w:id="92" w:name="_Toc1491674809"/>
      <w:bookmarkStart w:id="93" w:name="_Toc158651005"/>
      <w:bookmarkStart w:id="94" w:name="_Toc160117898"/>
      <w:r w:rsidRPr="00D02C68">
        <w:lastRenderedPageBreak/>
        <w:t>CIS</w:t>
      </w:r>
      <w:r w:rsidRPr="00DE2D4A">
        <w:t xml:space="preserve"> tender </w:t>
      </w:r>
      <w:r w:rsidR="00877ACE">
        <w:t>design</w:t>
      </w:r>
      <w:r w:rsidR="00877ACE" w:rsidRPr="00DE2D4A">
        <w:t xml:space="preserve"> </w:t>
      </w:r>
      <w:r w:rsidRPr="00DE2D4A">
        <w:t xml:space="preserve">and </w:t>
      </w:r>
      <w:r>
        <w:t>assessment</w:t>
      </w:r>
      <w:bookmarkEnd w:id="92"/>
      <w:bookmarkEnd w:id="93"/>
      <w:r w:rsidR="00877ACE">
        <w:t xml:space="preserve"> process</w:t>
      </w:r>
      <w:bookmarkEnd w:id="94"/>
    </w:p>
    <w:p w14:paraId="0813ED94" w14:textId="7A5D650D" w:rsidR="002A44AD" w:rsidRDefault="002A44AD" w:rsidP="002A44AD">
      <w:pPr>
        <w:rPr>
          <w:lang w:val="en-GB" w:eastAsia="en-AU"/>
        </w:rPr>
      </w:pPr>
      <w:r w:rsidRPr="00877ACE">
        <w:rPr>
          <w:lang w:val="en-GB" w:eastAsia="en-AU"/>
        </w:rPr>
        <w:t xml:space="preserve">This section </w:t>
      </w:r>
      <w:r>
        <w:rPr>
          <w:lang w:val="en-GB" w:eastAsia="en-AU"/>
        </w:rPr>
        <w:t xml:space="preserve">outlines the tender governance and decision-making, </w:t>
      </w:r>
      <w:r w:rsidRPr="00877ACE">
        <w:rPr>
          <w:lang w:val="en-GB" w:eastAsia="en-AU"/>
        </w:rPr>
        <w:t>high-level eligibility and merit criteria, and assessment process</w:t>
      </w:r>
      <w:r>
        <w:rPr>
          <w:lang w:val="en-GB" w:eastAsia="en-AU"/>
        </w:rPr>
        <w:t>,</w:t>
      </w:r>
      <w:r w:rsidRPr="00877ACE">
        <w:rPr>
          <w:lang w:val="en-GB" w:eastAsia="en-AU"/>
        </w:rPr>
        <w:t xml:space="preserve"> including guidance for generation and clean dispatchable capacity projects.</w:t>
      </w:r>
      <w:r w:rsidR="00D93756">
        <w:rPr>
          <w:lang w:val="en-GB" w:eastAsia="en-AU"/>
        </w:rPr>
        <w:t xml:space="preserve"> This is only an indication and is subject to confirmation for each </w:t>
      </w:r>
      <w:bookmarkStart w:id="95" w:name="_Int_xBnRP4nm"/>
      <w:proofErr w:type="gramStart"/>
      <w:r w:rsidR="00D93756">
        <w:rPr>
          <w:lang w:val="en-GB" w:eastAsia="en-AU"/>
        </w:rPr>
        <w:t xml:space="preserve">particular </w:t>
      </w:r>
      <w:r w:rsidR="006D31A9">
        <w:rPr>
          <w:lang w:val="en-GB" w:eastAsia="en-AU"/>
        </w:rPr>
        <w:t>tender</w:t>
      </w:r>
      <w:bookmarkEnd w:id="95"/>
      <w:proofErr w:type="gramEnd"/>
      <w:r w:rsidR="006D31A9">
        <w:rPr>
          <w:lang w:val="en-GB" w:eastAsia="en-AU"/>
        </w:rPr>
        <w:t xml:space="preserve"> round in the corresponding tender guidelines, which sho</w:t>
      </w:r>
      <w:r w:rsidR="009F519B">
        <w:rPr>
          <w:lang w:val="en-GB" w:eastAsia="en-AU"/>
        </w:rPr>
        <w:t>uld be referred to in formulating proposals.</w:t>
      </w:r>
    </w:p>
    <w:p w14:paraId="07C56BAB" w14:textId="77777777" w:rsidR="002A44AD" w:rsidRPr="00877ACE" w:rsidRDefault="002A44AD" w:rsidP="00F737DD">
      <w:pPr>
        <w:pStyle w:val="Heading3"/>
      </w:pPr>
      <w:bookmarkStart w:id="96" w:name="_Toc160117899"/>
      <w:r w:rsidRPr="00877ACE">
        <w:t>Tender governance and decision-making</w:t>
      </w:r>
      <w:bookmarkEnd w:id="96"/>
    </w:p>
    <w:p w14:paraId="592814D2" w14:textId="797FD083" w:rsidR="002A44AD" w:rsidRPr="008342F0" w:rsidRDefault="002A44AD" w:rsidP="001852DC">
      <w:r w:rsidRPr="00D02C68">
        <w:t xml:space="preserve">The CIS will be implemented through an open, transparent tender process. The tender governance and decision-making framework </w:t>
      </w:r>
      <w:bookmarkStart w:id="97" w:name="_Int_nc7SpfCz"/>
      <w:r>
        <w:t>is</w:t>
      </w:r>
      <w:bookmarkEnd w:id="97"/>
      <w:r>
        <w:t xml:space="preserve"> summarised below. </w:t>
      </w:r>
    </w:p>
    <w:p w14:paraId="5D3E7527" w14:textId="295DCA29" w:rsidR="0040127E" w:rsidRDefault="0040127E" w:rsidP="00C35716">
      <w:pPr>
        <w:pStyle w:val="Caption"/>
      </w:pPr>
      <w:bookmarkStart w:id="98" w:name="_Toc160117909"/>
      <w:r>
        <w:t xml:space="preserve">Table </w:t>
      </w:r>
      <w:fldSimple w:instr=" SEQ Table \* ARABIC ">
        <w:r w:rsidR="00590988">
          <w:rPr>
            <w:noProof/>
          </w:rPr>
          <w:t>3</w:t>
        </w:r>
      </w:fldSimple>
      <w:r>
        <w:t xml:space="preserve"> Tender governance framework</w:t>
      </w:r>
      <w:bookmarkEnd w:id="98"/>
    </w:p>
    <w:tbl>
      <w:tblPr>
        <w:tblStyle w:val="ListTable3-Accent1"/>
        <w:tblW w:w="5000" w:type="pct"/>
        <w:tblLook w:val="04A0" w:firstRow="1" w:lastRow="0" w:firstColumn="1" w:lastColumn="0" w:noHBand="0" w:noVBand="1"/>
      </w:tblPr>
      <w:tblGrid>
        <w:gridCol w:w="4463"/>
        <w:gridCol w:w="4597"/>
      </w:tblGrid>
      <w:tr w:rsidR="002A44AD" w:rsidRPr="00D02C68" w14:paraId="4B7E190F" w14:textId="77777777" w:rsidTr="008F301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63" w:type="pct"/>
          </w:tcPr>
          <w:p w14:paraId="71B396BA" w14:textId="0BAA6374" w:rsidR="002A44AD" w:rsidRPr="003061DC" w:rsidRDefault="6208AA3E">
            <w:pPr>
              <w:pStyle w:val="TableHeading"/>
              <w:rPr>
                <w:b/>
              </w:rPr>
            </w:pPr>
            <w:r w:rsidRPr="52CEFD12">
              <w:rPr>
                <w:b/>
              </w:rPr>
              <w:t>Australian</w:t>
            </w:r>
            <w:r w:rsidRPr="62B68FC3">
              <w:rPr>
                <w:b/>
              </w:rPr>
              <w:t xml:space="preserve"> Government</w:t>
            </w:r>
          </w:p>
        </w:tc>
        <w:tc>
          <w:tcPr>
            <w:tcW w:w="2537" w:type="pct"/>
          </w:tcPr>
          <w:p w14:paraId="11AA40A1" w14:textId="77777777" w:rsidR="002A44AD" w:rsidRPr="003061DC" w:rsidRDefault="002A44AD">
            <w:pPr>
              <w:pStyle w:val="TableHeading"/>
              <w:cnfStyle w:val="100000000000" w:firstRow="1" w:lastRow="0" w:firstColumn="0" w:lastColumn="0" w:oddVBand="0" w:evenVBand="0" w:oddHBand="0" w:evenHBand="0" w:firstRowFirstColumn="0" w:firstRowLastColumn="0" w:lastRowFirstColumn="0" w:lastRowLastColumn="0"/>
              <w:rPr>
                <w:b/>
              </w:rPr>
            </w:pPr>
            <w:r w:rsidRPr="003061DC">
              <w:rPr>
                <w:b/>
              </w:rPr>
              <w:t>Tender Delivery Partner</w:t>
            </w:r>
          </w:p>
        </w:tc>
      </w:tr>
      <w:tr w:rsidR="002A44AD" w:rsidRPr="00D02C68" w14:paraId="3816E5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pct"/>
          </w:tcPr>
          <w:p w14:paraId="3F94339C" w14:textId="77777777" w:rsidR="002A44AD" w:rsidRPr="00B75190" w:rsidRDefault="002A44AD">
            <w:pPr>
              <w:pStyle w:val="TableText"/>
              <w:rPr>
                <w:b w:val="0"/>
                <w:bCs w:val="0"/>
              </w:rPr>
            </w:pPr>
            <w:r w:rsidRPr="00A728D0">
              <w:rPr>
                <w:b w:val="0"/>
                <w:bCs w:val="0"/>
              </w:rPr>
              <w:t xml:space="preserve">Sets the Policy Objectives, the objective of the tender, commercial in-confidence financial budget, the tender </w:t>
            </w:r>
            <w:bookmarkStart w:id="99" w:name="_Int_MJSPZI06"/>
            <w:proofErr w:type="gramStart"/>
            <w:r w:rsidRPr="00A728D0">
              <w:rPr>
                <w:b w:val="0"/>
                <w:bCs w:val="0"/>
              </w:rPr>
              <w:t>size</w:t>
            </w:r>
            <w:bookmarkEnd w:id="99"/>
            <w:proofErr w:type="gramEnd"/>
            <w:r w:rsidRPr="00A728D0">
              <w:rPr>
                <w:b w:val="0"/>
                <w:bCs w:val="0"/>
              </w:rPr>
              <w:t xml:space="preserve"> and the terms of the CISA products.</w:t>
            </w:r>
          </w:p>
        </w:tc>
        <w:tc>
          <w:tcPr>
            <w:tcW w:w="2537" w:type="pct"/>
          </w:tcPr>
          <w:p w14:paraId="338CB560" w14:textId="77777777" w:rsidR="002A44AD" w:rsidRPr="000E3083" w:rsidRDefault="002A44AD">
            <w:pPr>
              <w:pStyle w:val="TableText"/>
              <w:cnfStyle w:val="000000100000" w:firstRow="0" w:lastRow="0" w:firstColumn="0" w:lastColumn="0" w:oddVBand="0" w:evenVBand="0" w:oddHBand="1" w:evenHBand="0" w:firstRowFirstColumn="0" w:firstRowLastColumn="0" w:lastRowFirstColumn="0" w:lastRowLastColumn="0"/>
            </w:pPr>
            <w:r w:rsidRPr="003061DC">
              <w:t>Administers this competitive tender process (including communicating with Proponents)</w:t>
            </w:r>
          </w:p>
        </w:tc>
      </w:tr>
      <w:tr w:rsidR="002A44AD" w:rsidRPr="00D02C68" w14:paraId="6031B5DE" w14:textId="77777777">
        <w:tc>
          <w:tcPr>
            <w:cnfStyle w:val="001000000000" w:firstRow="0" w:lastRow="0" w:firstColumn="1" w:lastColumn="0" w:oddVBand="0" w:evenVBand="0" w:oddHBand="0" w:evenHBand="0" w:firstRowFirstColumn="0" w:firstRowLastColumn="0" w:lastRowFirstColumn="0" w:lastRowLastColumn="0"/>
            <w:tcW w:w="2463" w:type="pct"/>
          </w:tcPr>
          <w:p w14:paraId="61643171" w14:textId="77777777" w:rsidR="002A44AD" w:rsidRPr="00B75190" w:rsidRDefault="002A44AD">
            <w:pPr>
              <w:pStyle w:val="TableText"/>
              <w:rPr>
                <w:b w:val="0"/>
                <w:bCs w:val="0"/>
              </w:rPr>
            </w:pPr>
            <w:r w:rsidRPr="00A728D0">
              <w:rPr>
                <w:b w:val="0"/>
                <w:bCs w:val="0"/>
              </w:rPr>
              <w:t>The Minister for Climate Change and Energy (the Minister), on behalf of the Australian Government, will select the Proponents and projects to receive revenue support under the CIS, based on the recommendation of the Tender delivery partner.</w:t>
            </w:r>
          </w:p>
        </w:tc>
        <w:tc>
          <w:tcPr>
            <w:tcW w:w="2537" w:type="pct"/>
          </w:tcPr>
          <w:p w14:paraId="5BC99A4F" w14:textId="77777777" w:rsidR="002A44AD" w:rsidRPr="000E3083" w:rsidRDefault="002A44AD">
            <w:pPr>
              <w:pStyle w:val="TableText"/>
              <w:cnfStyle w:val="000000000000" w:firstRow="0" w:lastRow="0" w:firstColumn="0" w:lastColumn="0" w:oddVBand="0" w:evenVBand="0" w:oddHBand="0" w:evenHBand="0" w:firstRowFirstColumn="0" w:firstRowLastColumn="0" w:lastRowFirstColumn="0" w:lastRowLastColumn="0"/>
            </w:pPr>
            <w:r w:rsidRPr="000E3083">
              <w:t xml:space="preserve">Make recommendations consistent with the Tender Guidelines to the Australian Government. </w:t>
            </w:r>
          </w:p>
        </w:tc>
      </w:tr>
    </w:tbl>
    <w:p w14:paraId="4B1B334A" w14:textId="317047E1" w:rsidR="00B74C68" w:rsidRDefault="00B74C68" w:rsidP="00C35716">
      <w:pPr>
        <w:rPr>
          <w:lang w:val="en-GB" w:eastAsia="en-AU"/>
        </w:rPr>
      </w:pPr>
    </w:p>
    <w:p w14:paraId="6E1AF870" w14:textId="357E58A3" w:rsidR="002A44AD" w:rsidRDefault="002A44AD" w:rsidP="002A44AD">
      <w:pPr>
        <w:pStyle w:val="Heading3"/>
        <w:rPr>
          <w:lang w:val="en-GB" w:eastAsia="en-AU"/>
        </w:rPr>
      </w:pPr>
      <w:bookmarkStart w:id="100" w:name="_Toc160117900"/>
      <w:r>
        <w:rPr>
          <w:lang w:val="en-GB" w:eastAsia="en-AU"/>
        </w:rPr>
        <w:t>T</w:t>
      </w:r>
      <w:r w:rsidRPr="00877ACE">
        <w:rPr>
          <w:lang w:val="en-GB" w:eastAsia="en-AU"/>
        </w:rPr>
        <w:t xml:space="preserve">ender process </w:t>
      </w:r>
      <w:r>
        <w:rPr>
          <w:lang w:val="en-GB" w:eastAsia="en-AU"/>
        </w:rPr>
        <w:t>overview</w:t>
      </w:r>
      <w:bookmarkEnd w:id="100"/>
    </w:p>
    <w:p w14:paraId="1BB9C505" w14:textId="1DB2499B" w:rsidR="002A44AD" w:rsidRDefault="002A44AD" w:rsidP="002A44AD">
      <w:pPr>
        <w:rPr>
          <w:lang w:val="en-GB" w:eastAsia="en-AU"/>
        </w:rPr>
      </w:pPr>
      <w:r w:rsidRPr="00450830">
        <w:rPr>
          <w:lang w:val="en-GB" w:eastAsia="en-AU"/>
        </w:rPr>
        <w:t>The</w:t>
      </w:r>
      <w:r>
        <w:rPr>
          <w:lang w:val="en-GB" w:eastAsia="en-AU"/>
        </w:rPr>
        <w:t xml:space="preserve"> </w:t>
      </w:r>
      <w:bookmarkStart w:id="101" w:name="_Hlk158982143"/>
      <w:r>
        <w:rPr>
          <w:lang w:val="en-GB" w:eastAsia="en-AU"/>
        </w:rPr>
        <w:t>design of the</w:t>
      </w:r>
      <w:r w:rsidRPr="00450830">
        <w:rPr>
          <w:lang w:val="en-GB" w:eastAsia="en-AU"/>
        </w:rPr>
        <w:t xml:space="preserve"> tender </w:t>
      </w:r>
      <w:r>
        <w:rPr>
          <w:lang w:val="en-GB" w:eastAsia="en-AU"/>
        </w:rPr>
        <w:t>process</w:t>
      </w:r>
      <w:r w:rsidRPr="00450830">
        <w:rPr>
          <w:lang w:val="en-GB" w:eastAsia="en-AU"/>
        </w:rPr>
        <w:t xml:space="preserve"> </w:t>
      </w:r>
      <w:bookmarkEnd w:id="101"/>
      <w:r>
        <w:rPr>
          <w:lang w:val="en-GB" w:eastAsia="en-AU"/>
        </w:rPr>
        <w:t>for</w:t>
      </w:r>
      <w:r w:rsidRPr="00450830">
        <w:rPr>
          <w:lang w:val="en-GB" w:eastAsia="en-AU"/>
        </w:rPr>
        <w:t xml:space="preserve"> the national CIS tenders </w:t>
      </w:r>
      <w:r w:rsidR="005F5D5D">
        <w:rPr>
          <w:lang w:val="en-GB" w:eastAsia="en-AU"/>
        </w:rPr>
        <w:t>is expected to</w:t>
      </w:r>
      <w:r w:rsidR="008E2EEB">
        <w:rPr>
          <w:lang w:val="en-GB" w:eastAsia="en-AU"/>
        </w:rPr>
        <w:t xml:space="preserve"> broadly align</w:t>
      </w:r>
      <w:r w:rsidRPr="00450830">
        <w:rPr>
          <w:lang w:val="en-GB" w:eastAsia="en-AU"/>
        </w:rPr>
        <w:t xml:space="preserve"> </w:t>
      </w:r>
      <w:r>
        <w:rPr>
          <w:lang w:val="en-GB" w:eastAsia="en-AU"/>
        </w:rPr>
        <w:t>with</w:t>
      </w:r>
      <w:r w:rsidRPr="00450830">
        <w:rPr>
          <w:lang w:val="en-GB" w:eastAsia="en-AU"/>
        </w:rPr>
        <w:t xml:space="preserve"> the </w:t>
      </w:r>
      <w:r>
        <w:rPr>
          <w:lang w:val="en-GB" w:eastAsia="en-AU"/>
        </w:rPr>
        <w:t xml:space="preserve">tender design and assessment </w:t>
      </w:r>
      <w:r w:rsidRPr="00450830">
        <w:rPr>
          <w:lang w:val="en-GB" w:eastAsia="en-AU"/>
        </w:rPr>
        <w:t>process</w:t>
      </w:r>
      <w:r>
        <w:rPr>
          <w:lang w:val="en-GB" w:eastAsia="en-AU"/>
        </w:rPr>
        <w:t>es</w:t>
      </w:r>
      <w:r w:rsidRPr="00450830">
        <w:rPr>
          <w:lang w:val="en-GB" w:eastAsia="en-AU"/>
        </w:rPr>
        <w:t xml:space="preserve"> outlined in the </w:t>
      </w:r>
      <w:hyperlink r:id="rId29" w:anchor="page=27&amp;zoom=100,90,545" w:history="1">
        <w:r w:rsidRPr="00551C86">
          <w:rPr>
            <w:rStyle w:val="Hyperlink"/>
            <w:lang w:val="en-GB" w:eastAsia="en-AU"/>
          </w:rPr>
          <w:t>CIS SA-VIC Tender Guidelines</w:t>
        </w:r>
      </w:hyperlink>
      <w:r>
        <w:rPr>
          <w:lang w:val="en-GB" w:eastAsia="en-AU"/>
        </w:rPr>
        <w:t xml:space="preserve"> and illustrated in </w:t>
      </w:r>
      <w:r w:rsidR="000F579F">
        <w:rPr>
          <w:lang w:val="en-GB" w:eastAsia="en-AU"/>
        </w:rPr>
        <w:fldChar w:fldCharType="begin"/>
      </w:r>
      <w:r w:rsidR="000F579F">
        <w:rPr>
          <w:lang w:val="en-GB" w:eastAsia="en-AU"/>
        </w:rPr>
        <w:instrText xml:space="preserve"> REF _Ref160106787 \h </w:instrText>
      </w:r>
      <w:r w:rsidR="000F579F">
        <w:rPr>
          <w:lang w:val="en-GB" w:eastAsia="en-AU"/>
        </w:rPr>
      </w:r>
      <w:r w:rsidR="000F579F">
        <w:rPr>
          <w:lang w:val="en-GB" w:eastAsia="en-AU"/>
        </w:rPr>
        <w:fldChar w:fldCharType="separate"/>
      </w:r>
      <w:r w:rsidR="00590988">
        <w:t xml:space="preserve">Figure </w:t>
      </w:r>
      <w:r w:rsidR="00590988">
        <w:rPr>
          <w:noProof/>
        </w:rPr>
        <w:t>5</w:t>
      </w:r>
      <w:r w:rsidR="000F579F">
        <w:rPr>
          <w:lang w:val="en-GB" w:eastAsia="en-AU"/>
        </w:rPr>
        <w:fldChar w:fldCharType="end"/>
      </w:r>
      <w:r>
        <w:rPr>
          <w:lang w:val="en-GB" w:eastAsia="en-AU"/>
        </w:rPr>
        <w:t xml:space="preserve">. </w:t>
      </w:r>
      <w:r w:rsidRPr="00877ACE">
        <w:rPr>
          <w:lang w:val="en-GB" w:eastAsia="en-AU"/>
        </w:rPr>
        <w:t xml:space="preserve">CIS </w:t>
      </w:r>
      <w:r>
        <w:rPr>
          <w:lang w:val="en-GB" w:eastAsia="en-AU"/>
        </w:rPr>
        <w:t>Tender G</w:t>
      </w:r>
      <w:r w:rsidRPr="00877ACE">
        <w:rPr>
          <w:lang w:val="en-GB" w:eastAsia="en-AU"/>
        </w:rPr>
        <w:t xml:space="preserve">uidelines </w:t>
      </w:r>
      <w:r>
        <w:rPr>
          <w:lang w:val="en-GB" w:eastAsia="en-AU"/>
        </w:rPr>
        <w:t xml:space="preserve">will be published </w:t>
      </w:r>
      <w:r w:rsidRPr="00877ACE">
        <w:rPr>
          <w:lang w:val="en-GB" w:eastAsia="en-AU"/>
        </w:rPr>
        <w:t>for each tender to accommodate different tender specifications</w:t>
      </w:r>
      <w:r>
        <w:rPr>
          <w:lang w:val="en-GB" w:eastAsia="en-AU"/>
        </w:rPr>
        <w:t>,</w:t>
      </w:r>
      <w:r w:rsidRPr="00877ACE">
        <w:rPr>
          <w:lang w:val="en-GB" w:eastAsia="en-AU"/>
        </w:rPr>
        <w:t xml:space="preserve"> account for the relevant </w:t>
      </w:r>
      <w:bookmarkStart w:id="102" w:name="_Int_U6IpEADs"/>
      <w:r w:rsidRPr="00877ACE">
        <w:rPr>
          <w:lang w:val="en-GB" w:eastAsia="en-AU"/>
        </w:rPr>
        <w:t>jurisdictions</w:t>
      </w:r>
      <w:bookmarkEnd w:id="102"/>
      <w:r w:rsidRPr="00877ACE">
        <w:rPr>
          <w:lang w:val="en-GB" w:eastAsia="en-AU"/>
        </w:rPr>
        <w:t xml:space="preserve"> </w:t>
      </w:r>
      <w:r>
        <w:rPr>
          <w:lang w:val="en-GB" w:eastAsia="en-AU"/>
        </w:rPr>
        <w:t>and/</w:t>
      </w:r>
      <w:r w:rsidRPr="00877ACE">
        <w:rPr>
          <w:lang w:val="en-GB" w:eastAsia="en-AU"/>
        </w:rPr>
        <w:t>or product characteristics</w:t>
      </w:r>
      <w:r>
        <w:rPr>
          <w:lang w:val="en-GB" w:eastAsia="en-AU"/>
        </w:rPr>
        <w:t>.</w:t>
      </w:r>
    </w:p>
    <w:p w14:paraId="2A2AE195" w14:textId="43F7E136" w:rsidR="007B5C24" w:rsidRDefault="007B5C24" w:rsidP="001852DC">
      <w:pPr>
        <w:pStyle w:val="Caption"/>
      </w:pPr>
      <w:bookmarkStart w:id="103" w:name="_Ref160106787"/>
      <w:bookmarkStart w:id="104" w:name="_Toc160105896"/>
      <w:r>
        <w:t xml:space="preserve">Figure </w:t>
      </w:r>
      <w:fldSimple w:instr=" SEQ Figure \* ARABIC ">
        <w:r w:rsidR="00590988">
          <w:rPr>
            <w:noProof/>
          </w:rPr>
          <w:t>5</w:t>
        </w:r>
      </w:fldSimple>
      <w:bookmarkEnd w:id="103"/>
      <w:r>
        <w:t xml:space="preserve"> Tender process stages</w:t>
      </w:r>
      <w:bookmarkEnd w:id="104"/>
    </w:p>
    <w:tbl>
      <w:tblPr>
        <w:tblStyle w:val="GridTable4-Accent11"/>
        <w:tblW w:w="9493" w:type="dxa"/>
        <w:tblInd w:w="0" w:type="dxa"/>
        <w:tblLook w:val="04A0" w:firstRow="1" w:lastRow="0" w:firstColumn="1" w:lastColumn="0" w:noHBand="0" w:noVBand="1"/>
      </w:tblPr>
      <w:tblGrid>
        <w:gridCol w:w="2405"/>
        <w:gridCol w:w="7088"/>
      </w:tblGrid>
      <w:tr w:rsidR="002A44AD" w:rsidRPr="00EA28F9" w14:paraId="5CA3FFC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559B746F" w14:textId="77777777" w:rsidR="002A44AD" w:rsidRPr="00EA28F9" w:rsidRDefault="002A44AD">
            <w:pPr>
              <w:spacing w:before="60" w:after="60" w:line="240" w:lineRule="auto"/>
              <w:rPr>
                <w:rFonts w:ascii="Calibri" w:eastAsia="Calibri" w:hAnsi="Calibri" w:cs="Arial"/>
                <w:sz w:val="18"/>
              </w:rPr>
            </w:pPr>
            <w:r w:rsidRPr="00EA28F9">
              <w:rPr>
                <w:rFonts w:ascii="Calibri" w:eastAsia="Calibri" w:hAnsi="Calibri" w:cs="Arial"/>
                <w:sz w:val="18"/>
              </w:rPr>
              <w:t>Key stages in Tender process</w:t>
            </w:r>
          </w:p>
        </w:tc>
        <w:tc>
          <w:tcPr>
            <w:tcW w:w="7088" w:type="dxa"/>
          </w:tcPr>
          <w:p w14:paraId="47CE9E84" w14:textId="77777777" w:rsidR="002A44AD" w:rsidRPr="00EA28F9" w:rsidRDefault="002A44AD">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18"/>
              </w:rPr>
            </w:pPr>
          </w:p>
        </w:tc>
      </w:tr>
      <w:tr w:rsidR="002A44AD" w:rsidRPr="00EA28F9" w14:paraId="5CF76A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vAlign w:val="center"/>
            <w:hideMark/>
          </w:tcPr>
          <w:p w14:paraId="1A983642" w14:textId="77777777" w:rsidR="002A44AD" w:rsidRPr="00EA28F9" w:rsidRDefault="002A44AD">
            <w:pPr>
              <w:spacing w:before="60" w:after="60" w:line="240" w:lineRule="auto"/>
              <w:jc w:val="center"/>
              <w:rPr>
                <w:rFonts w:ascii="Calibri" w:eastAsia="Calibri" w:hAnsi="Calibri" w:cs="Arial"/>
                <w:sz w:val="18"/>
                <w:lang w:val="en-GB" w:eastAsia="ja-JP"/>
              </w:rPr>
            </w:pPr>
            <w:r w:rsidRPr="00EA28F9">
              <w:rPr>
                <w:rFonts w:ascii="Calibri" w:eastAsia="Calibri" w:hAnsi="Calibri" w:cs="Arial"/>
                <w:noProof/>
                <w:sz w:val="18"/>
                <w:lang w:val="en-GB" w:eastAsia="ja-JP"/>
              </w:rPr>
              <w:drawing>
                <wp:inline distT="0" distB="0" distL="0" distR="0" wp14:anchorId="140E1E3B" wp14:editId="7CAA7ACC">
                  <wp:extent cx="412943" cy="540000"/>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26637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943" cy="540000"/>
                          </a:xfrm>
                          <a:prstGeom prst="rect">
                            <a:avLst/>
                          </a:prstGeom>
                          <a:noFill/>
                          <a:ln>
                            <a:noFill/>
                          </a:ln>
                        </pic:spPr>
                      </pic:pic>
                    </a:graphicData>
                  </a:graphic>
                </wp:inline>
              </w:drawing>
            </w:r>
          </w:p>
          <w:p w14:paraId="5C6647F5" w14:textId="77777777" w:rsidR="002A44AD" w:rsidRPr="00EA28F9" w:rsidRDefault="002A44AD">
            <w:pPr>
              <w:spacing w:before="60" w:after="60" w:line="240" w:lineRule="auto"/>
              <w:jc w:val="center"/>
              <w:rPr>
                <w:rFonts w:ascii="Calibri" w:eastAsia="Calibri" w:hAnsi="Calibri" w:cs="Arial"/>
                <w:sz w:val="18"/>
              </w:rPr>
            </w:pPr>
            <w:r w:rsidRPr="00EA28F9">
              <w:rPr>
                <w:rFonts w:ascii="Calibri" w:eastAsia="Calibri" w:hAnsi="Calibri" w:cs="Arial"/>
                <w:color w:val="0C3D3E" w:themeColor="accent1" w:themeShade="80"/>
                <w:sz w:val="18"/>
                <w:lang w:val="en-GB" w:eastAsia="ja-JP"/>
              </w:rPr>
              <w:t xml:space="preserve">Stage A </w:t>
            </w:r>
            <w:r w:rsidRPr="00EA28F9">
              <w:rPr>
                <w:rFonts w:ascii="Calibri" w:eastAsia="Calibri" w:hAnsi="Calibri" w:cs="Arial"/>
                <w:color w:val="0C3D3E" w:themeColor="accent1" w:themeShade="80"/>
                <w:sz w:val="18"/>
                <w:lang w:val="en-GB" w:eastAsia="ja-JP"/>
              </w:rPr>
              <w:br/>
              <w:t>– Project Bid</w:t>
            </w:r>
            <w:r>
              <w:rPr>
                <w:rFonts w:ascii="Calibri" w:eastAsia="Calibri" w:hAnsi="Calibri" w:cs="Arial"/>
                <w:color w:val="0C3D3E" w:themeColor="accent1" w:themeShade="80"/>
                <w:sz w:val="18"/>
                <w:lang w:val="en-GB" w:eastAsia="ja-JP"/>
              </w:rPr>
              <w:t xml:space="preserve"> assessment</w:t>
            </w:r>
          </w:p>
        </w:tc>
        <w:tc>
          <w:tcPr>
            <w:tcW w:w="7088"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hideMark/>
          </w:tcPr>
          <w:p w14:paraId="5AE374DE" w14:textId="686D154D" w:rsidR="002A44AD" w:rsidRPr="00EA28F9" w:rsidRDefault="002A44AD">
            <w:pPr>
              <w:pStyle w:val="TableText"/>
              <w:cnfStyle w:val="000000100000" w:firstRow="0" w:lastRow="0" w:firstColumn="0" w:lastColumn="0" w:oddVBand="0" w:evenVBand="0" w:oddHBand="1" w:evenHBand="0" w:firstRowFirstColumn="0" w:firstRowLastColumn="0" w:lastRowFirstColumn="0" w:lastRowLastColumn="0"/>
              <w:rPr>
                <w:lang w:val="en-GB" w:eastAsia="ja-JP"/>
              </w:rPr>
            </w:pPr>
            <w:r w:rsidRPr="00EA28F9">
              <w:rPr>
                <w:b/>
                <w:bCs/>
                <w:lang w:val="en-GB" w:eastAsia="ja-JP"/>
              </w:rPr>
              <w:t>Project Bids</w:t>
            </w:r>
            <w:r w:rsidRPr="00EA28F9">
              <w:rPr>
                <w:lang w:val="en-GB" w:eastAsia="ja-JP"/>
              </w:rPr>
              <w:t xml:space="preserve"> are assessed against the </w:t>
            </w:r>
            <w:r w:rsidRPr="000173ED">
              <w:rPr>
                <w:lang w:val="en-GB" w:eastAsia="ja-JP"/>
              </w:rPr>
              <w:t xml:space="preserve">Proponent and Project </w:t>
            </w:r>
            <w:r w:rsidRPr="000173ED">
              <w:rPr>
                <w:lang w:val="en-GB"/>
              </w:rPr>
              <w:t>eligibility criteria</w:t>
            </w:r>
            <w:r w:rsidRPr="00EA28F9">
              <w:rPr>
                <w:lang w:val="en-GB" w:eastAsia="ja-JP"/>
              </w:rPr>
              <w:t xml:space="preserve">. Proponents and Projects for the Tender must </w:t>
            </w:r>
            <w:r>
              <w:rPr>
                <w:lang w:val="en-GB" w:eastAsia="ja-JP"/>
              </w:rPr>
              <w:t>satisfy</w:t>
            </w:r>
            <w:r w:rsidRPr="00EA28F9">
              <w:rPr>
                <w:lang w:val="en-GB" w:eastAsia="ja-JP"/>
              </w:rPr>
              <w:t xml:space="preserve"> the </w:t>
            </w:r>
            <w:r>
              <w:rPr>
                <w:lang w:val="en-GB" w:eastAsia="ja-JP"/>
              </w:rPr>
              <w:t>e</w:t>
            </w:r>
            <w:r w:rsidRPr="00EA28F9">
              <w:rPr>
                <w:lang w:val="en-GB" w:eastAsia="ja-JP"/>
              </w:rPr>
              <w:t xml:space="preserve">ligibility </w:t>
            </w:r>
            <w:r>
              <w:rPr>
                <w:lang w:val="en-GB" w:eastAsia="ja-JP"/>
              </w:rPr>
              <w:t>c</w:t>
            </w:r>
            <w:r w:rsidRPr="00EA28F9">
              <w:rPr>
                <w:lang w:val="en-GB" w:eastAsia="ja-JP"/>
              </w:rPr>
              <w:t>riteria before being competitively assessed agains</w:t>
            </w:r>
            <w:r>
              <w:rPr>
                <w:lang w:val="en-GB" w:eastAsia="ja-JP"/>
              </w:rPr>
              <w:t>t the merit criteria</w:t>
            </w:r>
            <w:r w:rsidRPr="00EA28F9">
              <w:rPr>
                <w:lang w:val="en-GB" w:eastAsia="ja-JP"/>
              </w:rPr>
              <w:t xml:space="preserve">. </w:t>
            </w:r>
          </w:p>
          <w:p w14:paraId="2B2C48F3" w14:textId="038D15F2" w:rsidR="002A44AD" w:rsidRPr="00EA28F9" w:rsidRDefault="002A44AD" w:rsidP="00733504">
            <w:pPr>
              <w:spacing w:before="60" w:after="12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rPr>
            </w:pPr>
            <w:r w:rsidRPr="00EA28F9">
              <w:rPr>
                <w:rFonts w:ascii="Calibri" w:eastAsia="Calibri" w:hAnsi="Calibri" w:cs="Calibri"/>
                <w:sz w:val="18"/>
                <w:lang w:val="en-GB" w:eastAsia="ja-JP"/>
              </w:rPr>
              <w:t>The purpose of the Project Bid assessment is to select a shortlist of Project Bids to progress to Stage B – Financial Value Bid</w:t>
            </w:r>
            <w:r w:rsidR="003F7FC5">
              <w:rPr>
                <w:rFonts w:ascii="Calibri" w:eastAsia="Calibri" w:hAnsi="Calibri" w:cs="Calibri"/>
                <w:sz w:val="18"/>
                <w:lang w:val="en-GB" w:eastAsia="ja-JP"/>
              </w:rPr>
              <w:t>.</w:t>
            </w:r>
            <w:r w:rsidRPr="00EA28F9">
              <w:rPr>
                <w:rFonts w:ascii="Calibri" w:eastAsia="Calibri" w:hAnsi="Calibri" w:cs="Calibri"/>
                <w:sz w:val="18"/>
                <w:lang w:val="en-GB" w:eastAsia="ja-JP"/>
              </w:rPr>
              <w:t xml:space="preserve"> </w:t>
            </w:r>
          </w:p>
        </w:tc>
      </w:tr>
      <w:tr w:rsidR="002A44AD" w:rsidRPr="00EA28F9" w14:paraId="4BD197BE" w14:textId="7777777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vAlign w:val="center"/>
            <w:hideMark/>
          </w:tcPr>
          <w:p w14:paraId="1ABF2F4A" w14:textId="77777777" w:rsidR="002A44AD" w:rsidRPr="00EA28F9" w:rsidRDefault="002A44AD">
            <w:pPr>
              <w:spacing w:before="60" w:after="60" w:line="240" w:lineRule="auto"/>
              <w:jc w:val="center"/>
              <w:rPr>
                <w:rFonts w:ascii="Calibri" w:eastAsia="Calibri" w:hAnsi="Calibri" w:cs="Arial"/>
                <w:sz w:val="18"/>
                <w:lang w:val="en-GB" w:eastAsia="ja-JP"/>
              </w:rPr>
            </w:pPr>
            <w:r w:rsidRPr="00EA28F9">
              <w:rPr>
                <w:rFonts w:ascii="Calibri" w:eastAsia="Calibri" w:hAnsi="Calibri" w:cs="Arial"/>
                <w:noProof/>
                <w:sz w:val="18"/>
                <w:lang w:val="en-GB" w:eastAsia="ja-JP"/>
              </w:rPr>
              <w:drawing>
                <wp:inline distT="0" distB="0" distL="0" distR="0" wp14:anchorId="3335DB3F" wp14:editId="3428D289">
                  <wp:extent cx="412941" cy="54000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2241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941" cy="540000"/>
                          </a:xfrm>
                          <a:prstGeom prst="rect">
                            <a:avLst/>
                          </a:prstGeom>
                          <a:noFill/>
                          <a:ln>
                            <a:noFill/>
                          </a:ln>
                        </pic:spPr>
                      </pic:pic>
                    </a:graphicData>
                  </a:graphic>
                </wp:inline>
              </w:drawing>
            </w:r>
          </w:p>
          <w:p w14:paraId="3385E6BA" w14:textId="77777777" w:rsidR="002A44AD" w:rsidRPr="00EA28F9" w:rsidRDefault="002A44AD">
            <w:pPr>
              <w:spacing w:before="60" w:after="60" w:line="240" w:lineRule="auto"/>
              <w:jc w:val="center"/>
              <w:rPr>
                <w:rFonts w:ascii="Calibri" w:eastAsia="Calibri" w:hAnsi="Calibri" w:cs="Arial"/>
                <w:sz w:val="18"/>
              </w:rPr>
            </w:pPr>
            <w:r w:rsidRPr="00EA28F9">
              <w:rPr>
                <w:rFonts w:ascii="Calibri" w:eastAsia="Calibri" w:hAnsi="Calibri" w:cs="Arial"/>
                <w:color w:val="0C3D3E" w:themeColor="accent1" w:themeShade="80"/>
                <w:sz w:val="18"/>
                <w:lang w:val="en-GB" w:eastAsia="ja-JP"/>
              </w:rPr>
              <w:t xml:space="preserve">Stage B </w:t>
            </w:r>
            <w:r w:rsidRPr="00EA28F9">
              <w:rPr>
                <w:rFonts w:ascii="Calibri" w:eastAsia="Calibri" w:hAnsi="Calibri" w:cs="Arial"/>
                <w:color w:val="0C3D3E" w:themeColor="accent1" w:themeShade="80"/>
                <w:sz w:val="18"/>
                <w:lang w:val="en-GB" w:eastAsia="ja-JP"/>
              </w:rPr>
              <w:br/>
              <w:t>– Financial Value Bid</w:t>
            </w:r>
          </w:p>
        </w:tc>
        <w:tc>
          <w:tcPr>
            <w:tcW w:w="7088"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hideMark/>
          </w:tcPr>
          <w:p w14:paraId="32F133EE" w14:textId="568F9996" w:rsidR="002A44AD" w:rsidRPr="00EA28F9" w:rsidRDefault="002A44AD">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i/>
                <w:iCs/>
                <w:sz w:val="18"/>
              </w:rPr>
            </w:pPr>
            <w:r w:rsidRPr="00EA28F9">
              <w:rPr>
                <w:rFonts w:ascii="Calibri" w:eastAsia="Calibri" w:hAnsi="Calibri" w:cs="Arial"/>
                <w:b/>
                <w:bCs/>
                <w:sz w:val="18"/>
              </w:rPr>
              <w:t>Financial Value Bids</w:t>
            </w:r>
            <w:r w:rsidRPr="00EA28F9">
              <w:rPr>
                <w:rFonts w:ascii="Calibri" w:eastAsia="Calibri" w:hAnsi="Calibri" w:cs="Arial"/>
                <w:sz w:val="18"/>
              </w:rPr>
              <w:t xml:space="preserve"> </w:t>
            </w:r>
            <w:r w:rsidRPr="00486A85">
              <w:rPr>
                <w:rFonts w:ascii="Calibri" w:eastAsia="Calibri" w:hAnsi="Calibri" w:cs="Arial"/>
                <w:sz w:val="18"/>
              </w:rPr>
              <w:t>will be assessed against the Financial Value Bid merit criteria to determine a Financial Value Shortlist</w:t>
            </w:r>
            <w:r>
              <w:rPr>
                <w:rFonts w:ascii="Calibri" w:eastAsia="Calibri" w:hAnsi="Calibri" w:cs="Arial"/>
                <w:sz w:val="18"/>
              </w:rPr>
              <w:t xml:space="preserve"> </w:t>
            </w:r>
            <w:r w:rsidRPr="00EA28F9">
              <w:rPr>
                <w:rFonts w:ascii="Calibri" w:eastAsia="Calibri" w:hAnsi="Calibri" w:cs="Arial"/>
                <w:i/>
                <w:iCs/>
                <w:sz w:val="18"/>
              </w:rPr>
              <w:t xml:space="preserve">to </w:t>
            </w:r>
            <w:r w:rsidRPr="00EA28F9">
              <w:rPr>
                <w:rFonts w:ascii="Calibri" w:eastAsia="Calibri" w:hAnsi="Calibri" w:cs="Arial"/>
                <w:sz w:val="18"/>
              </w:rPr>
              <w:t>progress to Stage C – Recommendations</w:t>
            </w:r>
            <w:r w:rsidR="003F7FC5">
              <w:rPr>
                <w:rFonts w:ascii="Calibri" w:eastAsia="Calibri" w:hAnsi="Calibri" w:cs="Arial"/>
                <w:sz w:val="18"/>
              </w:rPr>
              <w:t>.</w:t>
            </w:r>
          </w:p>
          <w:p w14:paraId="6A61FA70" w14:textId="77777777" w:rsidR="002A44AD" w:rsidRPr="00EA28F9" w:rsidRDefault="002A44AD">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rPr>
            </w:pPr>
          </w:p>
        </w:tc>
      </w:tr>
      <w:tr w:rsidR="002A44AD" w:rsidRPr="00EA28F9" w14:paraId="4658D0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vAlign w:val="center"/>
            <w:hideMark/>
          </w:tcPr>
          <w:p w14:paraId="42B733EF" w14:textId="77777777" w:rsidR="002A44AD" w:rsidRPr="00EA28F9" w:rsidRDefault="002A44AD">
            <w:pPr>
              <w:spacing w:before="60" w:after="60" w:line="240" w:lineRule="auto"/>
              <w:jc w:val="center"/>
              <w:rPr>
                <w:rFonts w:ascii="Calibri" w:eastAsia="Calibri" w:hAnsi="Calibri" w:cs="Arial"/>
                <w:sz w:val="18"/>
                <w:lang w:val="en-GB" w:eastAsia="ja-JP"/>
              </w:rPr>
            </w:pPr>
            <w:r w:rsidRPr="00EA28F9">
              <w:rPr>
                <w:rFonts w:ascii="Calibri" w:eastAsia="Calibri" w:hAnsi="Calibri" w:cs="Arial"/>
                <w:noProof/>
                <w:sz w:val="18"/>
                <w:lang w:val="en-GB" w:eastAsia="ja-JP"/>
              </w:rPr>
              <w:lastRenderedPageBreak/>
              <w:drawing>
                <wp:inline distT="0" distB="0" distL="0" distR="0" wp14:anchorId="1D2192A9" wp14:editId="2C041C69">
                  <wp:extent cx="412941" cy="540000"/>
                  <wp:effectExtent l="0" t="0" r="635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16678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941" cy="540000"/>
                          </a:xfrm>
                          <a:prstGeom prst="rect">
                            <a:avLst/>
                          </a:prstGeom>
                          <a:noFill/>
                          <a:ln>
                            <a:noFill/>
                          </a:ln>
                        </pic:spPr>
                      </pic:pic>
                    </a:graphicData>
                  </a:graphic>
                </wp:inline>
              </w:drawing>
            </w:r>
          </w:p>
          <w:p w14:paraId="09501E7C" w14:textId="77777777" w:rsidR="002A44AD" w:rsidRPr="00EA28F9" w:rsidRDefault="002A44AD">
            <w:pPr>
              <w:spacing w:before="60" w:after="60" w:line="240" w:lineRule="auto"/>
              <w:jc w:val="center"/>
              <w:rPr>
                <w:rFonts w:ascii="Calibri" w:eastAsia="Calibri" w:hAnsi="Calibri" w:cs="Arial"/>
                <w:sz w:val="18"/>
              </w:rPr>
            </w:pPr>
            <w:r w:rsidRPr="00EA28F9">
              <w:rPr>
                <w:rFonts w:ascii="Calibri" w:eastAsia="Calibri" w:hAnsi="Calibri" w:cs="Arial"/>
                <w:color w:val="0C3D3E" w:themeColor="accent1" w:themeShade="80"/>
                <w:sz w:val="18"/>
                <w:lang w:val="en-GB" w:eastAsia="ja-JP"/>
              </w:rPr>
              <w:t xml:space="preserve">Stage C </w:t>
            </w:r>
            <w:r w:rsidRPr="00EA28F9">
              <w:rPr>
                <w:rFonts w:ascii="Calibri" w:eastAsia="Calibri" w:hAnsi="Calibri" w:cs="Arial"/>
                <w:color w:val="0C3D3E" w:themeColor="accent1" w:themeShade="80"/>
                <w:sz w:val="18"/>
                <w:lang w:val="en-GB" w:eastAsia="ja-JP"/>
              </w:rPr>
              <w:br/>
              <w:t xml:space="preserve">– </w:t>
            </w:r>
            <w:r>
              <w:rPr>
                <w:rFonts w:ascii="Calibri" w:eastAsia="Calibri" w:hAnsi="Calibri" w:cs="Arial"/>
                <w:color w:val="0C3D3E" w:themeColor="accent1" w:themeShade="80"/>
                <w:sz w:val="18"/>
                <w:lang w:val="en-GB" w:eastAsia="ja-JP"/>
              </w:rPr>
              <w:t xml:space="preserve">Due diligence &amp; </w:t>
            </w:r>
            <w:r w:rsidRPr="00EA28F9">
              <w:rPr>
                <w:rFonts w:ascii="Calibri" w:eastAsia="Calibri" w:hAnsi="Calibri" w:cs="Arial"/>
                <w:color w:val="0C3D3E" w:themeColor="accent1" w:themeShade="80"/>
                <w:sz w:val="18"/>
                <w:lang w:val="en-GB" w:eastAsia="ja-JP"/>
              </w:rPr>
              <w:t>Recommendations</w:t>
            </w:r>
          </w:p>
        </w:tc>
        <w:tc>
          <w:tcPr>
            <w:tcW w:w="7088" w:type="dxa"/>
            <w:tc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tcBorders>
            <w:vAlign w:val="center"/>
            <w:hideMark/>
          </w:tcPr>
          <w:p w14:paraId="61AE3989" w14:textId="77777777" w:rsidR="002A44AD" w:rsidRPr="00EA28F9" w:rsidRDefault="002A44AD">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3BF1FE93">
              <w:rPr>
                <w:rFonts w:ascii="Calibri" w:eastAsia="Calibri" w:hAnsi="Calibri" w:cs="Arial"/>
                <w:sz w:val="18"/>
                <w:szCs w:val="18"/>
              </w:rPr>
              <w:t>Due diligence may be undertaken.</w:t>
            </w:r>
            <w:r w:rsidRPr="3BF1FE93">
              <w:rPr>
                <w:rStyle w:val="FootnoteReference"/>
                <w:rFonts w:ascii="Calibri" w:eastAsia="Calibri" w:hAnsi="Calibri" w:cs="Arial"/>
                <w:sz w:val="18"/>
                <w:szCs w:val="18"/>
              </w:rPr>
              <w:footnoteReference w:id="8"/>
            </w:r>
          </w:p>
          <w:p w14:paraId="73E22956" w14:textId="5DE86395" w:rsidR="002A44AD" w:rsidRPr="00EA28F9" w:rsidRDefault="002A44AD">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69A79FC9">
              <w:rPr>
                <w:rFonts w:ascii="Calibri" w:eastAsia="Calibri" w:hAnsi="Calibri" w:cs="Arial"/>
                <w:sz w:val="18"/>
                <w:szCs w:val="18"/>
              </w:rPr>
              <w:t xml:space="preserve">A recommended list of Bids will be provided to the </w:t>
            </w:r>
            <w:r w:rsidR="384C89F0" w:rsidRPr="0F98F065">
              <w:rPr>
                <w:rFonts w:ascii="Calibri" w:eastAsia="Calibri" w:hAnsi="Calibri" w:cs="Arial"/>
                <w:sz w:val="18"/>
                <w:szCs w:val="18"/>
              </w:rPr>
              <w:t xml:space="preserve">Australian </w:t>
            </w:r>
            <w:r w:rsidR="384C89F0" w:rsidRPr="12A8BDA9">
              <w:rPr>
                <w:rFonts w:ascii="Calibri" w:eastAsia="Calibri" w:hAnsi="Calibri" w:cs="Arial"/>
                <w:sz w:val="18"/>
                <w:szCs w:val="18"/>
              </w:rPr>
              <w:t>Government</w:t>
            </w:r>
            <w:r w:rsidRPr="0F98F065">
              <w:rPr>
                <w:rFonts w:ascii="Calibri" w:eastAsia="Calibri" w:hAnsi="Calibri" w:cs="Arial"/>
                <w:sz w:val="18"/>
                <w:szCs w:val="18"/>
              </w:rPr>
              <w:t xml:space="preserve"> </w:t>
            </w:r>
            <w:r w:rsidRPr="69A79FC9">
              <w:rPr>
                <w:rFonts w:ascii="Calibri" w:eastAsia="Calibri" w:hAnsi="Calibri" w:cs="Arial"/>
                <w:sz w:val="18"/>
                <w:szCs w:val="18"/>
              </w:rPr>
              <w:t>based on the outcomes of the merit assessment, due diligence and CISA contract finalisation.</w:t>
            </w:r>
          </w:p>
        </w:tc>
      </w:tr>
    </w:tbl>
    <w:p w14:paraId="72E1E25F" w14:textId="61F93B99" w:rsidR="00306724" w:rsidRDefault="00306724" w:rsidP="00870EA4">
      <w:pPr>
        <w:rPr>
          <w:lang w:val="en-GB" w:eastAsia="en-AU"/>
        </w:rPr>
      </w:pPr>
    </w:p>
    <w:p w14:paraId="5830E206" w14:textId="3DE88585" w:rsidR="002A44AD" w:rsidRPr="00D02C68" w:rsidRDefault="002A44AD" w:rsidP="002A44AD">
      <w:pPr>
        <w:pStyle w:val="Heading3"/>
      </w:pPr>
      <w:bookmarkStart w:id="105" w:name="_Ref160115174"/>
      <w:bookmarkStart w:id="106" w:name="_Toc160117901"/>
      <w:r>
        <w:t>Stage A – Project bid: e</w:t>
      </w:r>
      <w:r w:rsidRPr="00D02C68">
        <w:t xml:space="preserve">ligibility </w:t>
      </w:r>
      <w:r>
        <w:t>assessment</w:t>
      </w:r>
      <w:bookmarkEnd w:id="105"/>
      <w:bookmarkEnd w:id="106"/>
    </w:p>
    <w:p w14:paraId="665BDF56" w14:textId="77777777" w:rsidR="002A44AD" w:rsidRPr="00D02C68" w:rsidRDefault="002A44AD" w:rsidP="002A44AD">
      <w:r>
        <w:t>Eligibility criteria will be used to assess</w:t>
      </w:r>
      <w:r w:rsidRPr="00D02C68">
        <w:t xml:space="preserve"> minimum standards for participating in a CIS tender. </w:t>
      </w:r>
      <w:r>
        <w:t xml:space="preserve">This supports </w:t>
      </w:r>
      <w:r w:rsidRPr="00D02C68">
        <w:t xml:space="preserve">consistency and transparency of decision-making and </w:t>
      </w:r>
      <w:r>
        <w:t xml:space="preserve">cost savings for </w:t>
      </w:r>
      <w:r w:rsidRPr="00D02C68">
        <w:t xml:space="preserve">Proponents by clearly indicating </w:t>
      </w:r>
      <w:r>
        <w:t xml:space="preserve">the requirements for being eligible </w:t>
      </w:r>
      <w:r w:rsidRPr="00D02C68">
        <w:t>to participate in a CIS tender.</w:t>
      </w:r>
      <w:r>
        <w:t xml:space="preserve"> </w:t>
      </w:r>
    </w:p>
    <w:p w14:paraId="6D93DA4E" w14:textId="77777777" w:rsidR="002A44AD" w:rsidRDefault="002A44AD" w:rsidP="002A44AD">
      <w:pPr>
        <w:pStyle w:val="Heading4"/>
      </w:pPr>
      <w:r>
        <w:t>E</w:t>
      </w:r>
      <w:r w:rsidRPr="000A003B">
        <w:t>ligibility</w:t>
      </w:r>
      <w:r>
        <w:t xml:space="preserve"> criteria</w:t>
      </w:r>
    </w:p>
    <w:p w14:paraId="5C2ACA09" w14:textId="22A3A50A" w:rsidR="002A44AD" w:rsidRDefault="002A44AD" w:rsidP="002A44AD">
      <w:pPr>
        <w:rPr>
          <w:strike/>
        </w:rPr>
      </w:pPr>
      <w:r>
        <w:t xml:space="preserve">While </w:t>
      </w:r>
      <w:bookmarkStart w:id="107" w:name="_Int_bmIl7LL7"/>
      <w:proofErr w:type="gramStart"/>
      <w:r>
        <w:t>the majority of</w:t>
      </w:r>
      <w:bookmarkEnd w:id="107"/>
      <w:proofErr w:type="gramEnd"/>
      <w:r>
        <w:t xml:space="preserve"> eligibility criteria are expected to be the same across CIS tenders, t</w:t>
      </w:r>
      <w:r w:rsidRPr="00D51293">
        <w:t xml:space="preserve">he final set of </w:t>
      </w:r>
      <w:r>
        <w:t>e</w:t>
      </w:r>
      <w:r w:rsidRPr="00D51293">
        <w:t xml:space="preserve">ligibility </w:t>
      </w:r>
      <w:r>
        <w:t>c</w:t>
      </w:r>
      <w:r w:rsidRPr="00D51293">
        <w:t>riteria may vary to accommodate different tender specifications and will be outlined in the relevant CIS Tender Guidelines.</w:t>
      </w:r>
      <w:r w:rsidR="00156F3D">
        <w:t xml:space="preserve"> Potential proponents should rely upon the relevant CIS Tender Guidelines for the eligibility criteria for each tender round.</w:t>
      </w:r>
    </w:p>
    <w:p w14:paraId="7095A417" w14:textId="77777777" w:rsidR="002A44AD" w:rsidRPr="00D02C68" w:rsidRDefault="002A44AD" w:rsidP="002A44AD">
      <w:pPr>
        <w:pStyle w:val="Caption"/>
      </w:pPr>
      <w:bookmarkStart w:id="108" w:name="_Toc158651009"/>
      <w:r w:rsidRPr="00D02C68">
        <w:t>Location and ownership</w:t>
      </w:r>
      <w:bookmarkEnd w:id="108"/>
    </w:p>
    <w:p w14:paraId="37C50AFB" w14:textId="77777777" w:rsidR="002A44AD" w:rsidRPr="00D02C68" w:rsidRDefault="002A44AD" w:rsidP="002A44AD">
      <w:r w:rsidRPr="00D02C68">
        <w:t xml:space="preserve">CIS tenders are expected to be </w:t>
      </w:r>
      <w:r w:rsidRPr="00D02C68">
        <w:rPr>
          <w:lang w:val="en-GB" w:eastAsia="en-AU"/>
        </w:rPr>
        <w:t xml:space="preserve">conducted across multiple </w:t>
      </w:r>
      <w:bookmarkStart w:id="109" w:name="_Int_UItvR8Pe"/>
      <w:r w:rsidRPr="00D02C68">
        <w:rPr>
          <w:lang w:val="en-GB" w:eastAsia="en-AU"/>
        </w:rPr>
        <w:t>jurisdictions</w:t>
      </w:r>
      <w:bookmarkEnd w:id="109"/>
      <w:r w:rsidRPr="00D02C68">
        <w:rPr>
          <w:lang w:val="en-GB" w:eastAsia="en-AU"/>
        </w:rPr>
        <w:t>.</w:t>
      </w:r>
      <w:r w:rsidRPr="00D02C68">
        <w:t xml:space="preserve"> The project must be located and registered in the relevant </w:t>
      </w:r>
      <w:bookmarkStart w:id="110" w:name="_Int_ZzkeuOIo"/>
      <w:r w:rsidRPr="00D02C68">
        <w:t>jurisdiction</w:t>
      </w:r>
      <w:bookmarkEnd w:id="110"/>
      <w:r>
        <w:t>(s) specified for each tender</w:t>
      </w:r>
      <w:r w:rsidRPr="00D02C68">
        <w:t xml:space="preserve">. </w:t>
      </w:r>
    </w:p>
    <w:p w14:paraId="1D430625" w14:textId="0AF5C6BD" w:rsidR="002A44AD" w:rsidRPr="00D02C68" w:rsidRDefault="002A44AD" w:rsidP="002A44AD">
      <w:r w:rsidRPr="00D02C68">
        <w:t>Both publicly and privately owned projects will be eligible for CIS tenders.</w:t>
      </w:r>
      <w:r w:rsidR="00146A40">
        <w:t xml:space="preserve"> </w:t>
      </w:r>
      <w:r w:rsidRPr="00D02C68">
        <w:t xml:space="preserve">However, the project must be owned by a </w:t>
      </w:r>
      <w:r w:rsidR="7366877F">
        <w:t>Special Purpose Vehicle (SPV)</w:t>
      </w:r>
      <w:r w:rsidRPr="00D02C68">
        <w:t xml:space="preserve"> that has all the assets required to undertake the project. </w:t>
      </w:r>
      <w:bookmarkStart w:id="111" w:name="_Int_3Omzu9mc"/>
      <w:r w:rsidR="528F328D">
        <w:t>The</w:t>
      </w:r>
      <w:bookmarkEnd w:id="111"/>
      <w:r w:rsidR="528F328D">
        <w:t xml:space="preserve"> SPV must be</w:t>
      </w:r>
      <w:r>
        <w:t xml:space="preserve"> </w:t>
      </w:r>
      <w:r w:rsidR="528F328D">
        <w:t>the Project Operator of the CISA.</w:t>
      </w:r>
      <w:r>
        <w:t xml:space="preserve"> </w:t>
      </w:r>
      <w:r w:rsidRPr="00D02C68">
        <w:t xml:space="preserve">The </w:t>
      </w:r>
      <w:r>
        <w:t>Project Operator</w:t>
      </w:r>
      <w:r w:rsidRPr="00D02C68">
        <w:t xml:space="preserve"> must be the registered NEM participant</w:t>
      </w:r>
      <w:r w:rsidR="7DFB9D12">
        <w:t xml:space="preserve">. See section </w:t>
      </w:r>
      <w:r w:rsidR="00FF5B8D">
        <w:fldChar w:fldCharType="begin"/>
      </w:r>
      <w:r w:rsidR="00FF5B8D">
        <w:instrText xml:space="preserve"> REF _Ref160107382 \r \h </w:instrText>
      </w:r>
      <w:r w:rsidR="00FF5B8D">
        <w:fldChar w:fldCharType="separate"/>
      </w:r>
      <w:r w:rsidR="00590988">
        <w:t>3.3</w:t>
      </w:r>
      <w:r w:rsidR="00FF5B8D">
        <w:fldChar w:fldCharType="end"/>
      </w:r>
      <w:r w:rsidR="7DFB9D12">
        <w:t xml:space="preserve"> </w:t>
      </w:r>
      <w:r w:rsidR="70512A95">
        <w:t xml:space="preserve">for ownership structure. Potential proponents should rely upon the relevant CIS Tender Guidelines </w:t>
      </w:r>
      <w:r w:rsidR="0463EE2B">
        <w:t xml:space="preserve">for </w:t>
      </w:r>
      <w:r w:rsidR="6310F1D4">
        <w:t>the relevant merit criteria for</w:t>
      </w:r>
      <w:r w:rsidR="0463EE2B">
        <w:t xml:space="preserve"> each tender round.</w:t>
      </w:r>
    </w:p>
    <w:p w14:paraId="2F4F6D71" w14:textId="77777777" w:rsidR="002A44AD" w:rsidRPr="00306891" w:rsidRDefault="002A44AD" w:rsidP="002A44AD">
      <w:pPr>
        <w:pStyle w:val="Caption"/>
      </w:pPr>
      <w:bookmarkStart w:id="112" w:name="_Ref158218807"/>
      <w:bookmarkStart w:id="113" w:name="_Toc158651010"/>
      <w:r w:rsidRPr="00D02C68">
        <w:t>Progress beyond ‘early development’</w:t>
      </w:r>
      <w:bookmarkEnd w:id="112"/>
      <w:bookmarkEnd w:id="113"/>
    </w:p>
    <w:p w14:paraId="15266424" w14:textId="77777777" w:rsidR="002A44AD" w:rsidRDefault="002A44AD" w:rsidP="002A44AD">
      <w:r>
        <w:t xml:space="preserve">To avoid perverse incentives, and enable proponents to continue development of projects, projects that have progressed beyond early development will remain eligible if they had not been </w:t>
      </w:r>
      <w:r w:rsidRPr="00466451">
        <w:t xml:space="preserve">identified as committed or existing in </w:t>
      </w:r>
      <w:r>
        <w:t xml:space="preserve">the </w:t>
      </w:r>
      <w:r w:rsidRPr="00466451">
        <w:t>AEMO Generation Information page</w:t>
      </w:r>
      <w:r>
        <w:t xml:space="preserve"> before the relevant CIS announcement.</w:t>
      </w:r>
    </w:p>
    <w:p w14:paraId="7CDC759E" w14:textId="77777777" w:rsidR="002A44AD" w:rsidRPr="00306891" w:rsidRDefault="002A44AD" w:rsidP="002A44AD">
      <w:r w:rsidRPr="00306891">
        <w:t>Projects will be eligible for the scheme if they have both:</w:t>
      </w:r>
    </w:p>
    <w:p w14:paraId="3099259C" w14:textId="3EE89E7A" w:rsidR="002A44AD" w:rsidRPr="00306891" w:rsidRDefault="002A44AD" w:rsidP="002A44AD">
      <w:pPr>
        <w:pStyle w:val="ListBullet"/>
        <w:rPr>
          <w:rFonts w:cstheme="majorBidi"/>
        </w:rPr>
      </w:pPr>
      <w:r w:rsidRPr="1E799D1F">
        <w:t>P</w:t>
      </w:r>
      <w:r w:rsidRPr="00306891">
        <w:t>rogressed beyond ‘early development</w:t>
      </w:r>
      <w:r w:rsidR="1FCC3C8E">
        <w:t>.’</w:t>
      </w:r>
    </w:p>
    <w:p w14:paraId="7E44AB35" w14:textId="58FA925A" w:rsidR="002A44AD" w:rsidRPr="00811A09" w:rsidRDefault="002A44AD" w:rsidP="002A44AD">
      <w:pPr>
        <w:pStyle w:val="ListBullet"/>
      </w:pPr>
      <w:r w:rsidRPr="1E799D1F">
        <w:t>N</w:t>
      </w:r>
      <w:r w:rsidRPr="00306891">
        <w:t xml:space="preserve">ot reached ‘committed’ status </w:t>
      </w:r>
      <w:r>
        <w:t>before</w:t>
      </w:r>
      <w:r w:rsidRPr="00306891">
        <w:t xml:space="preserve"> certain</w:t>
      </w:r>
      <w:r w:rsidRPr="3FFE41AB">
        <w:rPr>
          <w:lang w:val="en-GB" w:eastAsia="en-AU"/>
        </w:rPr>
        <w:t xml:space="preserve"> </w:t>
      </w:r>
      <w:r w:rsidR="3CB65BC0" w:rsidRPr="3FFE41AB">
        <w:rPr>
          <w:lang w:val="en-GB" w:eastAsia="en-AU"/>
        </w:rPr>
        <w:t>Australian</w:t>
      </w:r>
      <w:r w:rsidR="3CB65BC0">
        <w:t xml:space="preserve"> </w:t>
      </w:r>
      <w:r w:rsidRPr="00306891">
        <w:t>Government announcements.</w:t>
      </w:r>
    </w:p>
    <w:p w14:paraId="2B6912C8" w14:textId="77777777" w:rsidR="002A44AD" w:rsidRPr="00D02C68" w:rsidRDefault="002A44AD" w:rsidP="002A44AD">
      <w:r w:rsidRPr="00306891">
        <w:lastRenderedPageBreak/>
        <w:t xml:space="preserve">This also includes projects that have already reached </w:t>
      </w:r>
      <w:r w:rsidRPr="00D02C68">
        <w:t>financial close</w:t>
      </w:r>
      <w:r w:rsidRPr="00306891">
        <w:t>.</w:t>
      </w:r>
    </w:p>
    <w:p w14:paraId="79024650" w14:textId="77777777" w:rsidR="002A44AD" w:rsidRPr="00D02C68" w:rsidRDefault="002A44AD" w:rsidP="002A44AD">
      <w:pPr>
        <w:pStyle w:val="ListBullet"/>
      </w:pPr>
      <w:r w:rsidRPr="00D02C68">
        <w:t xml:space="preserve">For </w:t>
      </w:r>
      <w:r>
        <w:t>Clean D</w:t>
      </w:r>
      <w:r w:rsidRPr="00D02C68">
        <w:t xml:space="preserve">ispatchable </w:t>
      </w:r>
      <w:r>
        <w:t>CISA</w:t>
      </w:r>
      <w:r w:rsidRPr="00D02C68">
        <w:t xml:space="preserve"> tenders, this means eligible projects will not have reached committed status </w:t>
      </w:r>
      <w:r>
        <w:t>before</w:t>
      </w:r>
      <w:r w:rsidRPr="00D02C68">
        <w:t xml:space="preserve"> the scheme’s dispatchable announcement on 8 December 2022.</w:t>
      </w:r>
      <w:r>
        <w:rPr>
          <w:rStyle w:val="FootnoteReference"/>
        </w:rPr>
        <w:footnoteReference w:id="9"/>
      </w:r>
    </w:p>
    <w:p w14:paraId="67506C16" w14:textId="77777777" w:rsidR="002A44AD" w:rsidRDefault="002A44AD" w:rsidP="002A44AD">
      <w:pPr>
        <w:pStyle w:val="ListBullet"/>
      </w:pPr>
      <w:r w:rsidRPr="00D02C68">
        <w:t xml:space="preserve">For </w:t>
      </w:r>
      <w:r>
        <w:t>Generation CISA</w:t>
      </w:r>
      <w:r w:rsidRPr="00D02C68">
        <w:t xml:space="preserve"> tenders, this means eligible projects will not have reached committed status </w:t>
      </w:r>
      <w:r>
        <w:t>before</w:t>
      </w:r>
      <w:r w:rsidRPr="00D02C68">
        <w:t xml:space="preserve"> the CIS expansion announcement on 23 November 2023.</w:t>
      </w:r>
      <w:r>
        <w:rPr>
          <w:rStyle w:val="FootnoteReference"/>
        </w:rPr>
        <w:footnoteReference w:id="10"/>
      </w:r>
    </w:p>
    <w:p w14:paraId="134F801B" w14:textId="77777777" w:rsidR="002A44AD" w:rsidRPr="00D02C68" w:rsidRDefault="002A44AD" w:rsidP="002A44AD">
      <w:pPr>
        <w:pStyle w:val="Caption"/>
      </w:pPr>
      <w:bookmarkStart w:id="114" w:name="_Toc158651011"/>
      <w:r w:rsidRPr="00D02C68">
        <w:t xml:space="preserve">Technology contributing to zero </w:t>
      </w:r>
      <w:proofErr w:type="gramStart"/>
      <w:r w:rsidRPr="00D02C68">
        <w:t>emissions</w:t>
      </w:r>
      <w:bookmarkEnd w:id="114"/>
      <w:proofErr w:type="gramEnd"/>
      <w:r w:rsidRPr="00D02C68">
        <w:t xml:space="preserve"> </w:t>
      </w:r>
    </w:p>
    <w:p w14:paraId="6BF245CD" w14:textId="6EB44DA4" w:rsidR="002A44AD" w:rsidRDefault="002A44AD" w:rsidP="002A44AD">
      <w:r w:rsidRPr="21ED6DF0">
        <w:t xml:space="preserve">CIS tenders will </w:t>
      </w:r>
      <w:r w:rsidR="002D1BC6">
        <w:t xml:space="preserve">support renewable </w:t>
      </w:r>
      <w:r w:rsidR="009750C9">
        <w:t>capacity</w:t>
      </w:r>
      <w:r w:rsidR="002D1BC6">
        <w:t xml:space="preserve"> and clean dispatchable </w:t>
      </w:r>
      <w:r w:rsidR="009750C9">
        <w:t xml:space="preserve">capacity </w:t>
      </w:r>
      <w:r w:rsidR="00477F20">
        <w:t xml:space="preserve">projects but will otherwise </w:t>
      </w:r>
      <w:r w:rsidRPr="21ED6DF0">
        <w:t xml:space="preserve">be </w:t>
      </w:r>
      <w:r w:rsidR="00953AA3" w:rsidRPr="21ED6DF0">
        <w:t>technology neutral</w:t>
      </w:r>
      <w:r>
        <w:t>. Projects</w:t>
      </w:r>
      <w:r w:rsidRPr="21ED6DF0">
        <w:t xml:space="preserve"> must be eligible to be registered with AEMO as either a clean dispatchable or generation resource, and eligible projects must be consistent with the broader emissions reduction objectives of the </w:t>
      </w:r>
      <w:r w:rsidR="76FFFEFD" w:rsidRPr="21ED6DF0">
        <w:t>Australian</w:t>
      </w:r>
      <w:r w:rsidRPr="21ED6DF0">
        <w:t xml:space="preserve"> Government</w:t>
      </w:r>
      <w:r w:rsidRPr="21ED6DF0">
        <w:rPr>
          <w:rStyle w:val="FootnoteReference"/>
          <w:rFonts w:asciiTheme="majorHAnsi" w:hAnsiTheme="majorHAnsi" w:cstheme="majorBidi"/>
        </w:rPr>
        <w:footnoteReference w:id="11"/>
      </w:r>
      <w:r w:rsidRPr="21ED6DF0">
        <w:rPr>
          <w:rStyle w:val="FootnoteReference"/>
          <w:rFonts w:asciiTheme="majorHAnsi" w:hAnsiTheme="majorHAnsi" w:cstheme="majorBidi"/>
        </w:rPr>
        <w:t>.</w:t>
      </w:r>
      <w:r w:rsidRPr="21ED6DF0">
        <w:t xml:space="preserve"> </w:t>
      </w:r>
    </w:p>
    <w:p w14:paraId="486CB9F1" w14:textId="372E9C55" w:rsidR="002A44AD" w:rsidRPr="00D02C68" w:rsidRDefault="002A44AD" w:rsidP="002A44AD">
      <w:pPr>
        <w:rPr>
          <w:lang w:val="en-GB" w:eastAsia="en-AU"/>
        </w:rPr>
      </w:pPr>
      <w:r w:rsidRPr="00D02C68">
        <w:rPr>
          <w:lang w:val="en-GB" w:eastAsia="en-AU"/>
        </w:rPr>
        <w:t xml:space="preserve">When registering </w:t>
      </w:r>
      <w:r>
        <w:rPr>
          <w:lang w:val="en-GB" w:eastAsia="en-AU"/>
        </w:rPr>
        <w:t>a project to participate in a tender</w:t>
      </w:r>
      <w:r w:rsidRPr="00D02C68">
        <w:rPr>
          <w:lang w:val="en-GB" w:eastAsia="en-AU"/>
        </w:rPr>
        <w:t xml:space="preserve">, the fuel source and technology of all registered generating units must be submitted. </w:t>
      </w:r>
      <w:r>
        <w:rPr>
          <w:lang w:val="en-GB" w:eastAsia="en-AU"/>
        </w:rPr>
        <w:t xml:space="preserve">This </w:t>
      </w:r>
      <w:r w:rsidRPr="00D02C68">
        <w:rPr>
          <w:lang w:val="en-GB" w:eastAsia="en-AU"/>
        </w:rPr>
        <w:t>can include renewable</w:t>
      </w:r>
      <w:r>
        <w:rPr>
          <w:lang w:val="en-GB" w:eastAsia="en-AU"/>
        </w:rPr>
        <w:t xml:space="preserve"> sources, </w:t>
      </w:r>
      <w:r w:rsidR="00260B22">
        <w:rPr>
          <w:lang w:val="en-GB" w:eastAsia="en-AU"/>
        </w:rPr>
        <w:t xml:space="preserve">hydro, and </w:t>
      </w:r>
      <w:r w:rsidR="00C4343E">
        <w:rPr>
          <w:lang w:val="en-GB" w:eastAsia="en-AU"/>
        </w:rPr>
        <w:t xml:space="preserve">ecologically sustainable </w:t>
      </w:r>
      <w:r>
        <w:rPr>
          <w:lang w:val="en-GB" w:eastAsia="en-AU"/>
        </w:rPr>
        <w:t>b</w:t>
      </w:r>
      <w:r w:rsidRPr="00D02C68">
        <w:rPr>
          <w:lang w:val="en-GB" w:eastAsia="en-AU"/>
        </w:rPr>
        <w:t>iomass</w:t>
      </w:r>
      <w:r w:rsidR="00C4343E">
        <w:rPr>
          <w:lang w:val="en-GB" w:eastAsia="en-AU"/>
        </w:rPr>
        <w:t xml:space="preserve"> and</w:t>
      </w:r>
      <w:r>
        <w:rPr>
          <w:lang w:val="en-GB" w:eastAsia="en-AU"/>
        </w:rPr>
        <w:t xml:space="preserve"> </w:t>
      </w:r>
      <w:bookmarkStart w:id="115" w:name="_Int_XdqTVHTZ"/>
      <w:r w:rsidRPr="00D02C68">
        <w:rPr>
          <w:lang w:val="en-GB" w:eastAsia="en-AU"/>
        </w:rPr>
        <w:t>waste</w:t>
      </w:r>
      <w:bookmarkEnd w:id="115"/>
      <w:r w:rsidRPr="00D02C68">
        <w:rPr>
          <w:lang w:val="en-GB" w:eastAsia="en-AU"/>
        </w:rPr>
        <w:t xml:space="preserve">. </w:t>
      </w:r>
    </w:p>
    <w:p w14:paraId="0E261EC2" w14:textId="77777777" w:rsidR="002A44AD" w:rsidRPr="00D02C68" w:rsidRDefault="002A44AD" w:rsidP="002A44AD">
      <w:pPr>
        <w:rPr>
          <w:rFonts w:cstheme="majorHAnsi"/>
        </w:rPr>
      </w:pPr>
      <w:r w:rsidRPr="21ED6DF0">
        <w:t xml:space="preserve">Tender Guidelines will set out specific eligibility criteria related to emissions for each tender round; however, it is expected that eligible projects will need to demonstrate </w:t>
      </w:r>
      <w:r>
        <w:t>the requirements set out in the table below.</w:t>
      </w:r>
    </w:p>
    <w:p w14:paraId="6776A189" w14:textId="062E9DEE" w:rsidR="002A44AD" w:rsidRPr="001852DC" w:rsidRDefault="002A44AD" w:rsidP="002A44AD">
      <w:pPr>
        <w:pStyle w:val="Caption"/>
      </w:pPr>
      <w:bookmarkStart w:id="116" w:name="_Toc159530370"/>
      <w:bookmarkStart w:id="117" w:name="_Toc160117910"/>
      <w:r>
        <w:t xml:space="preserve">Table </w:t>
      </w:r>
      <w:fldSimple w:instr=" SEQ Table \* ARABIC ">
        <w:r w:rsidR="00590988">
          <w:rPr>
            <w:noProof/>
          </w:rPr>
          <w:t>4</w:t>
        </w:r>
      </w:fldSimple>
      <w:r>
        <w:t xml:space="preserve"> Eligibility requirements for technology contributing to zero </w:t>
      </w:r>
      <w:proofErr w:type="gramStart"/>
      <w:r>
        <w:t>emissions</w:t>
      </w:r>
      <w:bookmarkEnd w:id="116"/>
      <w:bookmarkEnd w:id="117"/>
      <w:proofErr w:type="gramEnd"/>
    </w:p>
    <w:tbl>
      <w:tblPr>
        <w:tblStyle w:val="GridTable4-Accent1"/>
        <w:tblW w:w="5000" w:type="pct"/>
        <w:tblLayout w:type="fixed"/>
        <w:tblLook w:val="06A0" w:firstRow="1" w:lastRow="0" w:firstColumn="1" w:lastColumn="0" w:noHBand="1" w:noVBand="1"/>
      </w:tblPr>
      <w:tblGrid>
        <w:gridCol w:w="4530"/>
        <w:gridCol w:w="4530"/>
      </w:tblGrid>
      <w:tr w:rsidR="002A44AD" w:rsidRPr="00D02C68" w14:paraId="7181AB2E" w14:textId="77777777" w:rsidTr="008F30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00" w:type="pct"/>
          </w:tcPr>
          <w:p w14:paraId="4D1FF34A" w14:textId="77777777" w:rsidR="002A44AD" w:rsidRPr="00057E63" w:rsidRDefault="002A44AD">
            <w:pPr>
              <w:pStyle w:val="TableHeading"/>
              <w:rPr>
                <w:b/>
              </w:rPr>
            </w:pPr>
            <w:r w:rsidRPr="00057E63">
              <w:rPr>
                <w:b/>
              </w:rPr>
              <w:t>Clean Dispatchable CISA</w:t>
            </w:r>
          </w:p>
        </w:tc>
        <w:tc>
          <w:tcPr>
            <w:tcW w:w="2500" w:type="pct"/>
          </w:tcPr>
          <w:p w14:paraId="5DC534A6" w14:textId="77777777" w:rsidR="002A44AD" w:rsidRPr="00057E63" w:rsidRDefault="002A44AD">
            <w:pPr>
              <w:pStyle w:val="TableHeading"/>
              <w:cnfStyle w:val="100000000000" w:firstRow="1" w:lastRow="0" w:firstColumn="0" w:lastColumn="0" w:oddVBand="0" w:evenVBand="0" w:oddHBand="0" w:evenHBand="0" w:firstRowFirstColumn="0" w:firstRowLastColumn="0" w:lastRowFirstColumn="0" w:lastRowLastColumn="0"/>
              <w:rPr>
                <w:b/>
              </w:rPr>
            </w:pPr>
            <w:r w:rsidRPr="00057E63">
              <w:rPr>
                <w:b/>
              </w:rPr>
              <w:t>Generation CISA</w:t>
            </w:r>
          </w:p>
        </w:tc>
      </w:tr>
      <w:tr w:rsidR="002A44AD" w:rsidRPr="00D02C68" w14:paraId="3E63E2E7" w14:textId="77777777" w:rsidTr="2D2DFCA0">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690EC9D" w14:textId="77777777" w:rsidR="002A44AD" w:rsidRPr="00B75190" w:rsidRDefault="002A44AD">
            <w:pPr>
              <w:pStyle w:val="TableText"/>
              <w:rPr>
                <w:b w:val="0"/>
                <w:bCs w:val="0"/>
              </w:rPr>
            </w:pPr>
            <w:r w:rsidRPr="00DF696D">
              <w:rPr>
                <w:b w:val="0"/>
                <w:bCs w:val="0"/>
              </w:rPr>
              <w:t xml:space="preserve">The project’s fuel source must either: </w:t>
            </w:r>
          </w:p>
          <w:p w14:paraId="50D201E6" w14:textId="77777777" w:rsidR="002A44AD" w:rsidRPr="00B75190" w:rsidRDefault="002A44AD">
            <w:pPr>
              <w:pStyle w:val="TableBullet1"/>
              <w:rPr>
                <w:b w:val="0"/>
                <w:bCs w:val="0"/>
              </w:rPr>
            </w:pPr>
            <w:r w:rsidRPr="00DF696D">
              <w:rPr>
                <w:b w:val="0"/>
                <w:bCs w:val="0"/>
              </w:rPr>
              <w:t xml:space="preserve">be an eligible renewable energy source, as described in Section 17 </w:t>
            </w:r>
            <w:r w:rsidRPr="00FC7B1B">
              <w:rPr>
                <w:b w:val="0"/>
              </w:rPr>
              <w:t>of the</w:t>
            </w:r>
            <w:r w:rsidRPr="00B75190">
              <w:rPr>
                <w:i/>
              </w:rPr>
              <w:t xml:space="preserve"> Renewable Energy (Electricity) Act 2000</w:t>
            </w:r>
            <w:r w:rsidRPr="00DF696D">
              <w:rPr>
                <w:b w:val="0"/>
                <w:bCs w:val="0"/>
              </w:rPr>
              <w:t xml:space="preserve"> (Commonwealth) and eligible to create large-scale generation certificates under that Act; or </w:t>
            </w:r>
          </w:p>
          <w:p w14:paraId="239FBD9B" w14:textId="77777777" w:rsidR="002A44AD" w:rsidRPr="00B75190" w:rsidRDefault="002A44AD">
            <w:pPr>
              <w:pStyle w:val="TableBullet1"/>
              <w:rPr>
                <w:b w:val="0"/>
                <w:bCs w:val="0"/>
              </w:rPr>
            </w:pPr>
            <w:r w:rsidRPr="00DF696D">
              <w:rPr>
                <w:b w:val="0"/>
                <w:bCs w:val="0"/>
              </w:rPr>
              <w:t xml:space="preserve">charge from the NEM; or </w:t>
            </w:r>
          </w:p>
          <w:p w14:paraId="4239B01C" w14:textId="77777777" w:rsidR="002A44AD" w:rsidRPr="00B75190" w:rsidRDefault="002A44AD">
            <w:pPr>
              <w:pStyle w:val="TableBullet1"/>
              <w:rPr>
                <w:b w:val="0"/>
                <w:bCs w:val="0"/>
              </w:rPr>
            </w:pPr>
            <w:r w:rsidRPr="00DF696D">
              <w:rPr>
                <w:b w:val="0"/>
                <w:bCs w:val="0"/>
              </w:rPr>
              <w:t xml:space="preserve">a combination of the above. </w:t>
            </w:r>
          </w:p>
          <w:p w14:paraId="3A2602FB" w14:textId="77777777" w:rsidR="002A44AD" w:rsidRPr="00B75190" w:rsidRDefault="002A44AD">
            <w:pPr>
              <w:pStyle w:val="TableText"/>
              <w:rPr>
                <w:b w:val="0"/>
                <w:bCs w:val="0"/>
              </w:rPr>
            </w:pPr>
            <w:r w:rsidRPr="00DF696D">
              <w:rPr>
                <w:b w:val="0"/>
                <w:bCs w:val="0"/>
              </w:rPr>
              <w:t xml:space="preserve">Projects that: </w:t>
            </w:r>
          </w:p>
          <w:p w14:paraId="5F4D24BC" w14:textId="77777777" w:rsidR="002A44AD" w:rsidRPr="00B75190" w:rsidRDefault="002A44AD">
            <w:pPr>
              <w:pStyle w:val="TableBullet1"/>
              <w:rPr>
                <w:b w:val="0"/>
                <w:bCs w:val="0"/>
              </w:rPr>
            </w:pPr>
            <w:r w:rsidRPr="00713DD5">
              <w:rPr>
                <w:b w:val="0"/>
                <w:bCs w:val="0"/>
              </w:rPr>
              <w:t>are virtual power plants, demand response or other virtual aggregation and flexible loads may be eligible in future CIS tenders (see below)</w:t>
            </w:r>
            <w:r>
              <w:rPr>
                <w:b w:val="0"/>
                <w:bCs w:val="0"/>
              </w:rPr>
              <w:t xml:space="preserve"> </w:t>
            </w:r>
            <w:r w:rsidRPr="00DF696D">
              <w:rPr>
                <w:b w:val="0"/>
                <w:bCs w:val="0"/>
              </w:rPr>
              <w:t xml:space="preserve">or </w:t>
            </w:r>
          </w:p>
          <w:p w14:paraId="2D871A10" w14:textId="77777777" w:rsidR="002A44AD" w:rsidRPr="00FF2082" w:rsidRDefault="002A44AD">
            <w:pPr>
              <w:pStyle w:val="TableBullet1"/>
            </w:pPr>
            <w:r w:rsidRPr="00DF696D">
              <w:rPr>
                <w:b w:val="0"/>
                <w:bCs w:val="0"/>
              </w:rPr>
              <w:t>use native forest wood waste are not eligible.</w:t>
            </w:r>
          </w:p>
        </w:tc>
        <w:tc>
          <w:tcPr>
            <w:tcW w:w="2500" w:type="pct"/>
          </w:tcPr>
          <w:p w14:paraId="32FFA284" w14:textId="77777777" w:rsidR="002A44AD" w:rsidRPr="00FF2082" w:rsidRDefault="002A44AD">
            <w:pPr>
              <w:pStyle w:val="TableText"/>
              <w:cnfStyle w:val="000000000000" w:firstRow="0" w:lastRow="0" w:firstColumn="0" w:lastColumn="0" w:oddVBand="0" w:evenVBand="0" w:oddHBand="0" w:evenHBand="0" w:firstRowFirstColumn="0" w:firstRowLastColumn="0" w:lastRowFirstColumn="0" w:lastRowLastColumn="0"/>
            </w:pPr>
            <w:r w:rsidRPr="00FF2082">
              <w:t>The project must</w:t>
            </w:r>
            <w:r w:rsidRPr="00FF2082" w:rsidDel="001B71B3">
              <w:t xml:space="preserve"> </w:t>
            </w:r>
            <w:r w:rsidRPr="00FF2082">
              <w:t>be:</w:t>
            </w:r>
          </w:p>
          <w:p w14:paraId="140A7F77" w14:textId="77777777" w:rsidR="002A44AD" w:rsidRPr="00FF2082" w:rsidRDefault="002A44AD">
            <w:pPr>
              <w:pStyle w:val="TableBullet1"/>
              <w:cnfStyle w:val="000000000000" w:firstRow="0" w:lastRow="0" w:firstColumn="0" w:lastColumn="0" w:oddVBand="0" w:evenVBand="0" w:oddHBand="0" w:evenHBand="0" w:firstRowFirstColumn="0" w:firstRowLastColumn="0" w:lastRowFirstColumn="0" w:lastRowLastColumn="0"/>
            </w:pPr>
            <w:r w:rsidRPr="00FF2082">
              <w:t xml:space="preserve">be an eligible renewable energy source, as described in Section 17 of the </w:t>
            </w:r>
            <w:r w:rsidRPr="002B1194">
              <w:rPr>
                <w:b/>
                <w:i/>
              </w:rPr>
              <w:t>Renewable Energy (Electricity) Act 2000</w:t>
            </w:r>
            <w:r w:rsidRPr="00FF2082">
              <w:t xml:space="preserve"> (Commonwealth) and eligible to create large-scale generation certificates under that Act; and</w:t>
            </w:r>
          </w:p>
          <w:p w14:paraId="3A96BAC6" w14:textId="77777777" w:rsidR="002A44AD" w:rsidRPr="00DB58EF" w:rsidRDefault="002A44AD">
            <w:pPr>
              <w:pStyle w:val="TableBullet1"/>
              <w:cnfStyle w:val="000000000000" w:firstRow="0" w:lastRow="0" w:firstColumn="0" w:lastColumn="0" w:oddVBand="0" w:evenVBand="0" w:oddHBand="0" w:evenHBand="0" w:firstRowFirstColumn="0" w:firstRowLastColumn="0" w:lastRowFirstColumn="0" w:lastRowLastColumn="0"/>
            </w:pPr>
            <w:r w:rsidRPr="00FF2082">
              <w:rPr>
                <w:rFonts w:cstheme="majorBidi"/>
              </w:rPr>
              <w:t>be eligible to be registered as a generation resource with AEMO.</w:t>
            </w:r>
          </w:p>
          <w:p w14:paraId="5EB389F6" w14:textId="77777777" w:rsidR="00DB58EF" w:rsidRPr="001852DC" w:rsidRDefault="00DB58EF" w:rsidP="00DB58EF">
            <w:pPr>
              <w:pStyle w:val="TableText"/>
              <w:cnfStyle w:val="000000000000" w:firstRow="0" w:lastRow="0" w:firstColumn="0" w:lastColumn="0" w:oddVBand="0" w:evenVBand="0" w:oddHBand="0" w:evenHBand="0" w:firstRowFirstColumn="0" w:firstRowLastColumn="0" w:lastRowFirstColumn="0" w:lastRowLastColumn="0"/>
            </w:pPr>
            <w:r w:rsidRPr="001852DC">
              <w:t xml:space="preserve">Projects that: </w:t>
            </w:r>
          </w:p>
          <w:p w14:paraId="71C8C614" w14:textId="78CB07C1" w:rsidR="002A44AD" w:rsidRPr="001852DC" w:rsidRDefault="1D3BD94A">
            <w:pPr>
              <w:pStyle w:val="TableBullet1"/>
              <w:cnfStyle w:val="000000000000" w:firstRow="0" w:lastRow="0" w:firstColumn="0" w:lastColumn="0" w:oddVBand="0" w:evenVBand="0" w:oddHBand="0" w:evenHBand="0" w:firstRowFirstColumn="0" w:firstRowLastColumn="0" w:lastRowFirstColumn="0" w:lastRowLastColumn="0"/>
              <w:rPr>
                <w:b/>
              </w:rPr>
            </w:pPr>
            <w:r w:rsidRPr="001852DC">
              <w:t>use native forest wood waste are not eligible.</w:t>
            </w:r>
          </w:p>
        </w:tc>
      </w:tr>
    </w:tbl>
    <w:p w14:paraId="190498A7" w14:textId="77777777" w:rsidR="002A44AD" w:rsidRDefault="002A44AD" w:rsidP="002A44AD"/>
    <w:p w14:paraId="60610540" w14:textId="1A6C6845" w:rsidR="002A44AD" w:rsidRPr="00D02C68" w:rsidRDefault="002A44AD" w:rsidP="002A44AD">
      <w:r>
        <w:lastRenderedPageBreak/>
        <w:t xml:space="preserve">Virtual power plants, demand response, and other virtual aggregation and flexible load technologies will not be eligible for the upcoming April/May generation CIS tender. However, </w:t>
      </w:r>
      <w:r w:rsidR="388FB2AD">
        <w:t>the intention is to</w:t>
      </w:r>
      <w:r>
        <w:t xml:space="preserve"> include these technologies in future clean dispatchable tenders. </w:t>
      </w:r>
    </w:p>
    <w:p w14:paraId="4F76770B" w14:textId="77777777" w:rsidR="002A44AD" w:rsidRPr="000219E1" w:rsidRDefault="002A44AD" w:rsidP="002A44AD">
      <w:pPr>
        <w:pStyle w:val="Caption"/>
      </w:pPr>
      <w:bookmarkStart w:id="118" w:name="_Toc158651012"/>
      <w:r w:rsidRPr="008A3F18">
        <w:t>Registration with AEMO and minimum project capacity</w:t>
      </w:r>
      <w:bookmarkEnd w:id="118"/>
    </w:p>
    <w:p w14:paraId="0EC1C208" w14:textId="77777777" w:rsidR="002A44AD" w:rsidRPr="00637EE9" w:rsidRDefault="002A44AD" w:rsidP="002A44AD">
      <w:pPr>
        <w:rPr>
          <w:lang w:val="en-GB" w:eastAsia="en-AU"/>
        </w:rPr>
      </w:pPr>
      <w:r w:rsidRPr="00637EE9">
        <w:rPr>
          <w:lang w:val="en-GB" w:eastAsia="en-AU"/>
        </w:rPr>
        <w:t xml:space="preserve">Projects will be required to be registered, or intend to register, with AEMO and participate in the central dispatch mechanism used in the relevant Australian electricity grid. The requirement to participate in central dispatch ensures that projects supported by the CIS support reliability and affordability for consumers. Further requirements on the form of AEMO registration required will be detailed in the relevant </w:t>
      </w:r>
      <w:r>
        <w:rPr>
          <w:lang w:val="en-GB" w:eastAsia="en-AU"/>
        </w:rPr>
        <w:t>T</w:t>
      </w:r>
      <w:r w:rsidRPr="00637EE9">
        <w:rPr>
          <w:lang w:val="en-GB" w:eastAsia="en-AU"/>
        </w:rPr>
        <w:t xml:space="preserve">ender </w:t>
      </w:r>
      <w:r>
        <w:rPr>
          <w:lang w:val="en-GB" w:eastAsia="en-AU"/>
        </w:rPr>
        <w:t>G</w:t>
      </w:r>
      <w:r w:rsidRPr="00637EE9">
        <w:rPr>
          <w:lang w:val="en-GB" w:eastAsia="en-AU"/>
        </w:rPr>
        <w:t xml:space="preserve">uidelines. </w:t>
      </w:r>
    </w:p>
    <w:p w14:paraId="3A3D6900" w14:textId="77777777" w:rsidR="002A44AD" w:rsidRPr="00637EE9" w:rsidRDefault="002A44AD" w:rsidP="002A44AD">
      <w:pPr>
        <w:rPr>
          <w:lang w:val="en-GB" w:eastAsia="en-AU"/>
        </w:rPr>
      </w:pPr>
      <w:r w:rsidRPr="00637EE9">
        <w:rPr>
          <w:lang w:val="en-GB" w:eastAsia="en-AU"/>
        </w:rPr>
        <w:t xml:space="preserve">It is expected that all projects will be required to have an AEMO registered capacity equal to or greater than 30MW. This will balance the costs of participating in the tender, the costs and complexity of evaluating projects, and ensure that projects supported through the CIS contribute to reliability that can be evidenced through market modelling. </w:t>
      </w:r>
    </w:p>
    <w:p w14:paraId="60F1F266" w14:textId="77777777" w:rsidR="002A44AD" w:rsidRPr="000219E1" w:rsidRDefault="002A44AD" w:rsidP="002A44AD">
      <w:pPr>
        <w:pStyle w:val="Caption"/>
      </w:pPr>
      <w:bookmarkStart w:id="119" w:name="_Toc158651013"/>
      <w:r w:rsidRPr="000219E1">
        <w:t xml:space="preserve">Expected development status of land tenure and connection </w:t>
      </w:r>
      <w:proofErr w:type="gramStart"/>
      <w:r w:rsidRPr="000219E1">
        <w:t>approvals</w:t>
      </w:r>
      <w:bookmarkEnd w:id="119"/>
      <w:proofErr w:type="gramEnd"/>
    </w:p>
    <w:p w14:paraId="3CED253F" w14:textId="77777777" w:rsidR="002A44AD" w:rsidRPr="00637EE9" w:rsidRDefault="002A44AD" w:rsidP="002A44AD">
      <w:r w:rsidRPr="00637EE9">
        <w:t xml:space="preserve">It is expected that the eligibility requirements in each </w:t>
      </w:r>
      <w:bookmarkStart w:id="120" w:name="_Int_SJ5IH8KF"/>
      <w:r w:rsidRPr="00637EE9">
        <w:t>jurisdiction</w:t>
      </w:r>
      <w:bookmarkEnd w:id="120"/>
      <w:r w:rsidRPr="00637EE9">
        <w:t xml:space="preserve"> will include specific baseline </w:t>
      </w:r>
      <w:r>
        <w:t>eligibility criteria</w:t>
      </w:r>
      <w:r w:rsidRPr="00637EE9">
        <w:t xml:space="preserve"> related to the progress of the projects including: </w:t>
      </w:r>
    </w:p>
    <w:p w14:paraId="70BAB4D4" w14:textId="77777777" w:rsidR="002A44AD" w:rsidRPr="00637EE9" w:rsidRDefault="002A44AD" w:rsidP="002A44AD">
      <w:pPr>
        <w:pStyle w:val="ListBullet"/>
      </w:pPr>
      <w:r w:rsidRPr="00637EE9">
        <w:t xml:space="preserve">Land tenure – projects would need to demonstrate secure access to land to be eligible in a CIS tender. This could include a combination of land ownership, </w:t>
      </w:r>
      <w:bookmarkStart w:id="121" w:name="_Int_yjrljXdS"/>
      <w:proofErr w:type="gramStart"/>
      <w:r w:rsidRPr="00637EE9">
        <w:t>leases</w:t>
      </w:r>
      <w:bookmarkEnd w:id="121"/>
      <w:proofErr w:type="gramEnd"/>
      <w:r w:rsidRPr="00637EE9">
        <w:t xml:space="preserve"> and options to lease</w:t>
      </w:r>
      <w:bookmarkStart w:id="122" w:name="_Int_3LVxHTxb"/>
      <w:r w:rsidRPr="00637EE9">
        <w:t xml:space="preserve">.  </w:t>
      </w:r>
      <w:bookmarkEnd w:id="122"/>
      <w:r w:rsidRPr="00637EE9">
        <w:t xml:space="preserve"> </w:t>
      </w:r>
    </w:p>
    <w:p w14:paraId="45B82C24" w14:textId="77777777" w:rsidR="002A44AD" w:rsidRPr="00637EE9" w:rsidRDefault="002A44AD" w:rsidP="002A44AD">
      <w:pPr>
        <w:pStyle w:val="ListBullet"/>
      </w:pPr>
      <w:r w:rsidRPr="00637EE9">
        <w:t>Grid connection</w:t>
      </w:r>
      <w:r w:rsidRPr="00637EE9">
        <w:rPr>
          <w:i/>
          <w:iCs/>
        </w:rPr>
        <w:t xml:space="preserve"> </w:t>
      </w:r>
      <w:r w:rsidRPr="00637EE9">
        <w:t xml:space="preserve">– projects would need to demonstrate that they are in the process of seeking grid </w:t>
      </w:r>
      <w:r>
        <w:t>connection</w:t>
      </w:r>
      <w:r w:rsidRPr="00637EE9">
        <w:t xml:space="preserve"> agreements. Projects may be expected to have submitted a Grid Connection Enquiry form to AEMO. </w:t>
      </w:r>
    </w:p>
    <w:p w14:paraId="4582361F" w14:textId="77777777" w:rsidR="002A44AD" w:rsidRPr="00333AB1" w:rsidRDefault="002A44AD" w:rsidP="002A44AD">
      <w:pPr>
        <w:pStyle w:val="Caption"/>
      </w:pPr>
      <w:r w:rsidRPr="00333AB1">
        <w:t xml:space="preserve">Technology, </w:t>
      </w:r>
      <w:bookmarkStart w:id="123" w:name="_Int_dIxgA0OC"/>
      <w:proofErr w:type="gramStart"/>
      <w:r w:rsidRPr="00333AB1">
        <w:t>timing</w:t>
      </w:r>
      <w:bookmarkEnd w:id="123"/>
      <w:proofErr w:type="gramEnd"/>
      <w:r w:rsidRPr="00333AB1">
        <w:t xml:space="preserve"> and delivery risk</w:t>
      </w:r>
    </w:p>
    <w:p w14:paraId="2F632352" w14:textId="67D42FF7" w:rsidR="002A44AD" w:rsidRPr="00637EE9" w:rsidRDefault="002A44AD" w:rsidP="002A44AD">
      <w:r w:rsidRPr="00637EE9">
        <w:t xml:space="preserve">The CIS is a program to improve reliability in Australia’s electricity grids. CIS tender </w:t>
      </w:r>
      <w:r>
        <w:t>E</w:t>
      </w:r>
      <w:r w:rsidRPr="00637EE9">
        <w:t xml:space="preserve">ligibility and </w:t>
      </w:r>
      <w:r>
        <w:t>M</w:t>
      </w:r>
      <w:r w:rsidRPr="00637EE9">
        <w:t xml:space="preserve">erit </w:t>
      </w:r>
      <w:r>
        <w:t>C</w:t>
      </w:r>
      <w:r w:rsidRPr="00637EE9">
        <w:t xml:space="preserve">riteria will focus on projects that adopt established, proven technologies where the delivery risks associated with the project, and the project’s commissioning date, are </w:t>
      </w:r>
      <w:bookmarkStart w:id="124" w:name="_Int_kUYGrKkH"/>
      <w:r w:rsidRPr="00637EE9">
        <w:t>reasonably assessable</w:t>
      </w:r>
      <w:bookmarkEnd w:id="124"/>
      <w:r w:rsidRPr="00637EE9">
        <w:t xml:space="preserve">. The CIS complements other </w:t>
      </w:r>
      <w:r w:rsidR="7ACA20BF">
        <w:t>Australian</w:t>
      </w:r>
      <w:r>
        <w:t xml:space="preserve"> </w:t>
      </w:r>
      <w:r w:rsidR="635CC64E">
        <w:t>G</w:t>
      </w:r>
      <w:r w:rsidRPr="00637EE9">
        <w:t>overnment programs, such as those run by ARENA, which aim to support the demonstration of emerging technologies.</w:t>
      </w:r>
    </w:p>
    <w:p w14:paraId="094ED563" w14:textId="108DD5DE" w:rsidR="002A44AD" w:rsidRDefault="002A44AD" w:rsidP="002A44AD">
      <w:r w:rsidRPr="00637EE9">
        <w:t>Tenders may</w:t>
      </w:r>
      <w:r w:rsidR="007077BD">
        <w:t xml:space="preserve"> require</w:t>
      </w:r>
      <w:r w:rsidRPr="00637EE9">
        <w:t xml:space="preserve"> targeted commissioning dates, and this could constrain eligibility in some circumstances. For </w:t>
      </w:r>
      <w:r>
        <w:t xml:space="preserve">example, </w:t>
      </w:r>
      <w:r w:rsidRPr="00637EE9">
        <w:t>the targeted commissioning date</w:t>
      </w:r>
      <w:r>
        <w:t xml:space="preserve"> of 2027 adopted for </w:t>
      </w:r>
      <w:r w:rsidRPr="00637EE9">
        <w:t xml:space="preserve">the SA-VIC tender reflects the timing of reliability requirements in those </w:t>
      </w:r>
      <w:bookmarkStart w:id="125" w:name="_Int_DgmWzvD6"/>
      <w:r w:rsidRPr="00637EE9">
        <w:t>jurisdictions</w:t>
      </w:r>
      <w:bookmarkEnd w:id="125"/>
      <w:r w:rsidRPr="00637EE9">
        <w:t xml:space="preserve">. Projects unable to meet these requirements </w:t>
      </w:r>
      <w:r w:rsidR="00B15493">
        <w:t>will</w:t>
      </w:r>
      <w:r w:rsidRPr="00637EE9">
        <w:t xml:space="preserve"> be ineligible. </w:t>
      </w:r>
    </w:p>
    <w:p w14:paraId="78051DEF" w14:textId="77777777" w:rsidR="002A44AD" w:rsidRPr="00D2614B" w:rsidRDefault="002A44AD" w:rsidP="002A44AD">
      <w:pPr>
        <w:pStyle w:val="Caption"/>
      </w:pPr>
      <w:bookmarkStart w:id="126" w:name="_Toc158651014"/>
      <w:r w:rsidRPr="00D2614B">
        <w:t>Participation in other schemes</w:t>
      </w:r>
      <w:bookmarkEnd w:id="126"/>
      <w:r w:rsidRPr="00D2614B">
        <w:t xml:space="preserve"> </w:t>
      </w:r>
    </w:p>
    <w:p w14:paraId="775A5A8C" w14:textId="1EFA01A2" w:rsidR="002A44AD" w:rsidRPr="00637EE9" w:rsidRDefault="002A44AD" w:rsidP="002A44AD">
      <w:pPr>
        <w:rPr>
          <w:lang w:val="en-GB" w:eastAsia="en-AU"/>
        </w:rPr>
      </w:pPr>
      <w:r w:rsidRPr="00637EE9">
        <w:rPr>
          <w:lang w:val="en-GB" w:eastAsia="en-AU"/>
        </w:rPr>
        <w:t xml:space="preserve">Projects that are already, or will be, in receipt of revenue support from a government </w:t>
      </w:r>
      <w:r>
        <w:rPr>
          <w:lang w:val="en-GB" w:eastAsia="en-AU"/>
        </w:rPr>
        <w:t>may</w:t>
      </w:r>
      <w:r w:rsidRPr="00637EE9">
        <w:rPr>
          <w:lang w:val="en-GB" w:eastAsia="en-AU"/>
        </w:rPr>
        <w:t xml:space="preserve"> not be eligible for the CIS tenders. Revenue support refers to periodic and/or ongoing payments from a CISA or </w:t>
      </w:r>
      <w:r w:rsidR="00D450C8">
        <w:rPr>
          <w:lang w:val="en-GB" w:eastAsia="en-AU"/>
        </w:rPr>
        <w:t>mechanisms</w:t>
      </w:r>
      <w:r w:rsidRPr="00637EE9">
        <w:rPr>
          <w:lang w:val="en-GB" w:eastAsia="en-AU"/>
        </w:rPr>
        <w:t xml:space="preserve"> that are </w:t>
      </w:r>
      <w:bookmarkStart w:id="127" w:name="_Int_uXl2ddj0"/>
      <w:proofErr w:type="gramStart"/>
      <w:r>
        <w:rPr>
          <w:lang w:val="en-GB" w:eastAsia="en-AU"/>
        </w:rPr>
        <w:t>similar</w:t>
      </w:r>
      <w:r w:rsidRPr="00637EE9">
        <w:rPr>
          <w:lang w:val="en-GB" w:eastAsia="en-AU"/>
        </w:rPr>
        <w:t xml:space="preserve"> to</w:t>
      </w:r>
      <w:bookmarkEnd w:id="127"/>
      <w:proofErr w:type="gramEnd"/>
      <w:r w:rsidRPr="00637EE9">
        <w:rPr>
          <w:lang w:val="en-GB" w:eastAsia="en-AU"/>
        </w:rPr>
        <w:t xml:space="preserve"> the CIS product. </w:t>
      </w:r>
    </w:p>
    <w:p w14:paraId="6050AF75" w14:textId="77777777" w:rsidR="002A44AD" w:rsidRPr="00637EE9" w:rsidRDefault="002A44AD" w:rsidP="002A44AD">
      <w:pPr>
        <w:rPr>
          <w:lang w:val="en-GB" w:eastAsia="en-AU"/>
        </w:rPr>
      </w:pPr>
      <w:r w:rsidRPr="00637EE9">
        <w:rPr>
          <w:lang w:val="en-GB" w:eastAsia="en-AU"/>
        </w:rPr>
        <w:t xml:space="preserve">The purpose of this eligibility requirement is to ensure that projects do not access duplicate sources of government support. </w:t>
      </w:r>
    </w:p>
    <w:p w14:paraId="12680C6D" w14:textId="77777777" w:rsidR="002A44AD" w:rsidRPr="00637EE9" w:rsidRDefault="002A44AD" w:rsidP="002A44AD">
      <w:pPr>
        <w:rPr>
          <w:lang w:val="en-GB" w:eastAsia="en-AU"/>
        </w:rPr>
      </w:pPr>
      <w:r w:rsidRPr="00637EE9">
        <w:rPr>
          <w:lang w:val="en-GB" w:eastAsia="en-AU"/>
        </w:rPr>
        <w:lastRenderedPageBreak/>
        <w:t xml:space="preserve">The following forms of government support are not expected to be considered revenue support, and projects will remain eligible for CIS tenders: </w:t>
      </w:r>
    </w:p>
    <w:p w14:paraId="3CB15ACF" w14:textId="71794C88" w:rsidR="002A44AD" w:rsidRPr="00637EE9" w:rsidRDefault="002A44AD" w:rsidP="002A44AD">
      <w:pPr>
        <w:pStyle w:val="ListBullet"/>
        <w:rPr>
          <w:lang w:val="en-GB" w:eastAsia="en-AU"/>
        </w:rPr>
      </w:pPr>
      <w:r w:rsidRPr="00637EE9">
        <w:rPr>
          <w:lang w:val="en-GB" w:eastAsia="en-AU"/>
        </w:rPr>
        <w:t xml:space="preserve">Certificates created under </w:t>
      </w:r>
      <w:r w:rsidRPr="3999285B">
        <w:rPr>
          <w:lang w:val="en-GB" w:eastAsia="en-AU"/>
        </w:rPr>
        <w:t>a</w:t>
      </w:r>
      <w:r w:rsidR="7EA3B425" w:rsidRPr="3999285B">
        <w:rPr>
          <w:lang w:val="en-GB" w:eastAsia="en-AU"/>
        </w:rPr>
        <w:t>n</w:t>
      </w:r>
      <w:r w:rsidRPr="00637EE9">
        <w:rPr>
          <w:lang w:val="en-GB" w:eastAsia="en-AU"/>
        </w:rPr>
        <w:t xml:space="preserve"> </w:t>
      </w:r>
      <w:r w:rsidR="098CFC38" w:rsidRPr="7E95629B">
        <w:rPr>
          <w:lang w:val="en-GB" w:eastAsia="en-AU"/>
        </w:rPr>
        <w:t>Australian Government</w:t>
      </w:r>
      <w:r w:rsidRPr="7E95629B">
        <w:rPr>
          <w:lang w:val="en-GB" w:eastAsia="en-AU"/>
        </w:rPr>
        <w:t xml:space="preserve"> </w:t>
      </w:r>
      <w:r w:rsidRPr="00637EE9">
        <w:rPr>
          <w:lang w:val="en-GB" w:eastAsia="en-AU"/>
        </w:rPr>
        <w:t>certificate scheme, including large-scale generation certificates (LGCs) received through participation in the Renewable Energy Certificate Market</w:t>
      </w:r>
      <w:r w:rsidR="002A0399">
        <w:rPr>
          <w:lang w:val="en-GB" w:eastAsia="en-AU"/>
        </w:rPr>
        <w:t xml:space="preserve"> and the </w:t>
      </w:r>
      <w:r w:rsidR="0098516F">
        <w:rPr>
          <w:lang w:val="en-GB" w:eastAsia="en-AU"/>
        </w:rPr>
        <w:t>Renewable Energy Guarantee of Origin</w:t>
      </w:r>
      <w:r w:rsidR="002A1F6F">
        <w:rPr>
          <w:lang w:val="en-GB" w:eastAsia="en-AU"/>
        </w:rPr>
        <w:t xml:space="preserve"> (REGO) scheme</w:t>
      </w:r>
      <w:r w:rsidRPr="00637EE9">
        <w:rPr>
          <w:lang w:val="en-GB" w:eastAsia="en-AU"/>
        </w:rPr>
        <w:t>.</w:t>
      </w:r>
    </w:p>
    <w:p w14:paraId="7AF58D4A" w14:textId="6806627A" w:rsidR="002A44AD" w:rsidRPr="00637EE9" w:rsidRDefault="002A44AD" w:rsidP="002A44AD">
      <w:pPr>
        <w:pStyle w:val="ListBullet"/>
        <w:rPr>
          <w:lang w:val="en-GB" w:eastAsia="en-AU"/>
        </w:rPr>
      </w:pPr>
      <w:r w:rsidRPr="00637EE9">
        <w:rPr>
          <w:lang w:val="en-GB" w:eastAsia="en-AU"/>
        </w:rPr>
        <w:t xml:space="preserve">Certificates received from complementary jurisdictional schemes such as the WA Reserve Capacity Mechanism. It is noted that not all jurisdictional certificate schemes will be complementary (e.g. </w:t>
      </w:r>
      <w:r w:rsidR="00537D4D">
        <w:rPr>
          <w:lang w:val="en-GB" w:eastAsia="en-AU"/>
        </w:rPr>
        <w:t xml:space="preserve">the </w:t>
      </w:r>
      <w:r w:rsidRPr="00637EE9">
        <w:rPr>
          <w:lang w:val="en-GB" w:eastAsia="en-AU"/>
        </w:rPr>
        <w:t>NSW peak demand reduction scheme</w:t>
      </w:r>
      <w:r w:rsidR="008E7603">
        <w:rPr>
          <w:lang w:val="en-GB" w:eastAsia="en-AU"/>
        </w:rPr>
        <w:t xml:space="preserve"> may not be complementary</w:t>
      </w:r>
      <w:r w:rsidRPr="00637EE9">
        <w:rPr>
          <w:lang w:val="en-GB" w:eastAsia="en-AU"/>
        </w:rPr>
        <w:t>)</w:t>
      </w:r>
      <w:r>
        <w:rPr>
          <w:lang w:val="en-GB" w:eastAsia="en-AU"/>
        </w:rPr>
        <w:t>. The Tender Guidelines will provide further guidance on state schemes that would be eligible</w:t>
      </w:r>
      <w:r w:rsidRPr="00637EE9">
        <w:rPr>
          <w:lang w:val="en-GB" w:eastAsia="en-AU"/>
        </w:rPr>
        <w:t>.</w:t>
      </w:r>
    </w:p>
    <w:p w14:paraId="393A44C6" w14:textId="1772F604" w:rsidR="002A44AD" w:rsidRPr="00637EE9" w:rsidRDefault="002A44AD" w:rsidP="002A44AD">
      <w:pPr>
        <w:pStyle w:val="ListBullet"/>
        <w:rPr>
          <w:lang w:val="en-GB" w:eastAsia="en-AU"/>
        </w:rPr>
      </w:pPr>
      <w:r w:rsidRPr="00637EE9">
        <w:rPr>
          <w:lang w:val="en-GB" w:eastAsia="en-AU"/>
        </w:rPr>
        <w:t xml:space="preserve">Investment received from </w:t>
      </w:r>
      <w:r w:rsidRPr="29E2250A">
        <w:rPr>
          <w:lang w:val="en-GB" w:eastAsia="en-AU"/>
        </w:rPr>
        <w:t>a</w:t>
      </w:r>
      <w:r w:rsidR="215EC5C0" w:rsidRPr="29E2250A">
        <w:rPr>
          <w:lang w:val="en-GB" w:eastAsia="en-AU"/>
        </w:rPr>
        <w:t>n</w:t>
      </w:r>
      <w:r w:rsidRPr="00637EE9">
        <w:rPr>
          <w:lang w:val="en-GB" w:eastAsia="en-AU"/>
        </w:rPr>
        <w:t xml:space="preserve"> </w:t>
      </w:r>
      <w:r w:rsidR="2D39AC00" w:rsidRPr="1FC44B15">
        <w:rPr>
          <w:lang w:val="en-GB" w:eastAsia="en-AU"/>
        </w:rPr>
        <w:t xml:space="preserve">Australian </w:t>
      </w:r>
      <w:r w:rsidR="2D39AC00" w:rsidRPr="795FD718">
        <w:rPr>
          <w:lang w:val="en-GB" w:eastAsia="en-AU"/>
        </w:rPr>
        <w:t>Government</w:t>
      </w:r>
      <w:r w:rsidRPr="1FC44B15">
        <w:rPr>
          <w:lang w:val="en-GB" w:eastAsia="en-AU"/>
        </w:rPr>
        <w:t xml:space="preserve"> </w:t>
      </w:r>
      <w:r w:rsidRPr="00637EE9">
        <w:rPr>
          <w:lang w:val="en-GB" w:eastAsia="en-AU"/>
        </w:rPr>
        <w:t xml:space="preserve">or </w:t>
      </w:r>
      <w:r w:rsidR="09D74E80" w:rsidRPr="61C3C9EA">
        <w:rPr>
          <w:lang w:val="en-GB" w:eastAsia="en-AU"/>
        </w:rPr>
        <w:t>s</w:t>
      </w:r>
      <w:r w:rsidRPr="00637EE9">
        <w:rPr>
          <w:lang w:val="en-GB" w:eastAsia="en-AU"/>
        </w:rPr>
        <w:t xml:space="preserve">tate or </w:t>
      </w:r>
      <w:r w:rsidR="167CD69F" w:rsidRPr="0C0DE064">
        <w:rPr>
          <w:lang w:val="en-GB" w:eastAsia="en-AU"/>
        </w:rPr>
        <w:t>t</w:t>
      </w:r>
      <w:r w:rsidRPr="00637EE9">
        <w:rPr>
          <w:lang w:val="en-GB" w:eastAsia="en-AU"/>
        </w:rPr>
        <w:t xml:space="preserve">erritory government body (e.g. the CEFC). </w:t>
      </w:r>
    </w:p>
    <w:p w14:paraId="0B6D2132" w14:textId="36F330E1" w:rsidR="002A44AD" w:rsidRPr="00637EE9" w:rsidRDefault="002A44AD" w:rsidP="002A44AD">
      <w:pPr>
        <w:pStyle w:val="ListBullet"/>
        <w:rPr>
          <w:lang w:val="en-GB" w:eastAsia="en-AU"/>
        </w:rPr>
      </w:pPr>
      <w:r w:rsidRPr="00637EE9">
        <w:rPr>
          <w:lang w:val="en-GB" w:eastAsia="en-AU"/>
        </w:rPr>
        <w:t xml:space="preserve">Grants from </w:t>
      </w:r>
      <w:r w:rsidRPr="29E2250A">
        <w:rPr>
          <w:lang w:val="en-GB" w:eastAsia="en-AU"/>
        </w:rPr>
        <w:t>a</w:t>
      </w:r>
      <w:r w:rsidR="501F5D00" w:rsidRPr="29E2250A">
        <w:rPr>
          <w:lang w:val="en-GB" w:eastAsia="en-AU"/>
        </w:rPr>
        <w:t>n</w:t>
      </w:r>
      <w:r w:rsidRPr="00637EE9">
        <w:rPr>
          <w:lang w:val="en-GB" w:eastAsia="en-AU"/>
        </w:rPr>
        <w:t xml:space="preserve"> </w:t>
      </w:r>
      <w:r w:rsidR="4DE848D4" w:rsidRPr="70A75AF0">
        <w:rPr>
          <w:lang w:val="en-GB" w:eastAsia="en-AU"/>
        </w:rPr>
        <w:t xml:space="preserve">Australian </w:t>
      </w:r>
      <w:r w:rsidR="4DE848D4" w:rsidRPr="51CBC5B0">
        <w:rPr>
          <w:lang w:val="en-GB" w:eastAsia="en-AU"/>
        </w:rPr>
        <w:t>Government</w:t>
      </w:r>
      <w:r w:rsidRPr="70A75AF0">
        <w:rPr>
          <w:lang w:val="en-GB" w:eastAsia="en-AU"/>
        </w:rPr>
        <w:t xml:space="preserve"> (e.g.</w:t>
      </w:r>
      <w:r w:rsidRPr="00637EE9">
        <w:rPr>
          <w:lang w:val="en-GB" w:eastAsia="en-AU"/>
        </w:rPr>
        <w:t xml:space="preserve"> ARENA) or </w:t>
      </w:r>
      <w:r w:rsidR="32B6ECE7" w:rsidRPr="40768F10">
        <w:rPr>
          <w:lang w:val="en-GB" w:eastAsia="en-AU"/>
        </w:rPr>
        <w:t>s</w:t>
      </w:r>
      <w:r w:rsidRPr="00637EE9">
        <w:rPr>
          <w:lang w:val="en-GB" w:eastAsia="en-AU"/>
        </w:rPr>
        <w:t xml:space="preserve">tate or </w:t>
      </w:r>
      <w:r w:rsidR="55054ACC" w:rsidRPr="40768F10">
        <w:rPr>
          <w:lang w:val="en-GB" w:eastAsia="en-AU"/>
        </w:rPr>
        <w:t>t</w:t>
      </w:r>
      <w:r w:rsidRPr="00637EE9">
        <w:rPr>
          <w:lang w:val="en-GB" w:eastAsia="en-AU"/>
        </w:rPr>
        <w:t>erritory government body, whether repayable or not.</w:t>
      </w:r>
    </w:p>
    <w:p w14:paraId="749F36A7" w14:textId="6CAE59B1" w:rsidR="002A44AD" w:rsidRPr="00637EE9" w:rsidRDefault="002A44AD" w:rsidP="002A44AD">
      <w:pPr>
        <w:pStyle w:val="ListBullet"/>
        <w:rPr>
          <w:lang w:val="en-GB" w:eastAsia="en-AU"/>
        </w:rPr>
      </w:pPr>
      <w:r w:rsidRPr="00637EE9">
        <w:rPr>
          <w:lang w:val="en-GB" w:eastAsia="en-AU"/>
        </w:rPr>
        <w:t xml:space="preserve">Other forms of financial support from </w:t>
      </w:r>
      <w:r w:rsidR="3D213365" w:rsidRPr="66B0365D">
        <w:rPr>
          <w:lang w:val="en-GB" w:eastAsia="en-AU"/>
        </w:rPr>
        <w:t>s</w:t>
      </w:r>
      <w:r w:rsidRPr="00637EE9">
        <w:rPr>
          <w:lang w:val="en-GB" w:eastAsia="en-AU"/>
        </w:rPr>
        <w:t xml:space="preserve">tate or </w:t>
      </w:r>
      <w:r w:rsidR="56ACDF8A" w:rsidRPr="35B60F92">
        <w:rPr>
          <w:lang w:val="en-GB" w:eastAsia="en-AU"/>
        </w:rPr>
        <w:t>t</w:t>
      </w:r>
      <w:r w:rsidRPr="00637EE9">
        <w:rPr>
          <w:lang w:val="en-GB" w:eastAsia="en-AU"/>
        </w:rPr>
        <w:t xml:space="preserve">erritory or </w:t>
      </w:r>
      <w:r w:rsidR="3E7DD445" w:rsidRPr="750F6367">
        <w:rPr>
          <w:lang w:val="en-GB" w:eastAsia="en-AU"/>
        </w:rPr>
        <w:t>Australian</w:t>
      </w:r>
      <w:r w:rsidRPr="428B444E">
        <w:rPr>
          <w:lang w:val="en-GB" w:eastAsia="en-AU"/>
        </w:rPr>
        <w:t xml:space="preserve"> </w:t>
      </w:r>
      <w:r w:rsidR="3E7DD445" w:rsidRPr="7CFAF3FB">
        <w:rPr>
          <w:lang w:val="en-GB" w:eastAsia="en-AU"/>
        </w:rPr>
        <w:t>G</w:t>
      </w:r>
      <w:r w:rsidRPr="00637EE9">
        <w:rPr>
          <w:lang w:val="en-GB" w:eastAsia="en-AU"/>
        </w:rPr>
        <w:t xml:space="preserve">overnment where the financial support </w:t>
      </w:r>
      <w:r>
        <w:rPr>
          <w:lang w:val="en-GB" w:eastAsia="en-AU"/>
        </w:rPr>
        <w:t xml:space="preserve">is stipulated </w:t>
      </w:r>
      <w:r w:rsidRPr="00637EE9">
        <w:rPr>
          <w:lang w:val="en-GB" w:eastAsia="en-AU"/>
        </w:rPr>
        <w:t>to be complementary to the CIS</w:t>
      </w:r>
      <w:r>
        <w:rPr>
          <w:lang w:val="en-GB" w:eastAsia="en-AU"/>
        </w:rPr>
        <w:t xml:space="preserve"> in the relevant Tender Guidelines</w:t>
      </w:r>
      <w:r w:rsidRPr="00637EE9">
        <w:rPr>
          <w:lang w:val="en-GB" w:eastAsia="en-AU"/>
        </w:rPr>
        <w:t xml:space="preserve">. </w:t>
      </w:r>
    </w:p>
    <w:p w14:paraId="1B00AD6A" w14:textId="77777777" w:rsidR="002A44AD" w:rsidRPr="00636B86" w:rsidRDefault="002A44AD" w:rsidP="002A44AD">
      <w:pPr>
        <w:pStyle w:val="Caption"/>
      </w:pPr>
      <w:bookmarkStart w:id="128" w:name="_Toc158651016"/>
      <w:r w:rsidRPr="00636B86">
        <w:t>Compliance with law</w:t>
      </w:r>
      <w:bookmarkEnd w:id="128"/>
      <w:r w:rsidRPr="00636B86">
        <w:t xml:space="preserve"> </w:t>
      </w:r>
    </w:p>
    <w:p w14:paraId="04098205" w14:textId="46977C9D" w:rsidR="002A44AD" w:rsidRPr="00637EE9" w:rsidRDefault="002A44AD" w:rsidP="002A44AD">
      <w:r w:rsidRPr="00637EE9">
        <w:t xml:space="preserve">To be eligible to participate in a CIS tender a Proponent and project will need to be compliant with applicable </w:t>
      </w:r>
      <w:r w:rsidR="3223ADDB">
        <w:t>s</w:t>
      </w:r>
      <w:r w:rsidRPr="00637EE9">
        <w:t xml:space="preserve">tate, </w:t>
      </w:r>
      <w:bookmarkStart w:id="129" w:name="_Int_bMkSIKRb"/>
      <w:proofErr w:type="gramStart"/>
      <w:r w:rsidR="3FDD916A">
        <w:t>t</w:t>
      </w:r>
      <w:r w:rsidRPr="00637EE9">
        <w:t>erritory</w:t>
      </w:r>
      <w:bookmarkEnd w:id="129"/>
      <w:proofErr w:type="gramEnd"/>
      <w:r w:rsidRPr="00637EE9">
        <w:t xml:space="preserve"> and Commonwealth law</w:t>
      </w:r>
      <w:r w:rsidR="00040466">
        <w:t>, including any requirements around social license and local economic benefits,</w:t>
      </w:r>
      <w:r w:rsidRPr="00637EE9">
        <w:t xml:space="preserve"> and may be asked to produce evidence of compliance. This may include providing valid Foreign Investment Review Board (FIRB) approvals (or </w:t>
      </w:r>
      <w:r>
        <w:t xml:space="preserve">a </w:t>
      </w:r>
      <w:r w:rsidRPr="00637EE9">
        <w:t xml:space="preserve">clear pathway to obtaining approvals), compliance with FIRB conditions, compliance with modern slavery legislation, and Australian tax law. </w:t>
      </w:r>
    </w:p>
    <w:p w14:paraId="7BCDAA5E" w14:textId="77777777" w:rsidR="002A44AD" w:rsidRPr="00B519C3" w:rsidRDefault="002A44AD" w:rsidP="002A44AD">
      <w:pPr>
        <w:pStyle w:val="Heading3"/>
      </w:pPr>
      <w:bookmarkStart w:id="130" w:name="_Toc1150153667"/>
      <w:bookmarkStart w:id="131" w:name="_Toc158651017"/>
      <w:bookmarkStart w:id="132" w:name="_Toc160117902"/>
      <w:r w:rsidRPr="00B519C3">
        <w:t>Merit assessment</w:t>
      </w:r>
      <w:bookmarkEnd w:id="130"/>
      <w:bookmarkEnd w:id="131"/>
      <w:bookmarkEnd w:id="132"/>
      <w:r w:rsidRPr="00B519C3">
        <w:t xml:space="preserve"> </w:t>
      </w:r>
    </w:p>
    <w:p w14:paraId="1C0DCCF7" w14:textId="2355B3BE" w:rsidR="002A44AD" w:rsidRPr="00637EE9" w:rsidRDefault="002A44AD" w:rsidP="002A44AD">
      <w:r w:rsidRPr="00637EE9">
        <w:t xml:space="preserve">This </w:t>
      </w:r>
      <w:r>
        <w:t>s</w:t>
      </w:r>
      <w:r w:rsidRPr="00637EE9">
        <w:t xml:space="preserve">ection provides an overview of how projects could be merit assessed during the CIS tenders. The purpose of </w:t>
      </w:r>
      <w:r>
        <w:t>merit assessment</w:t>
      </w:r>
      <w:r w:rsidRPr="00637EE9">
        <w:t xml:space="preserve"> is to select projects that </w:t>
      </w:r>
      <w:r>
        <w:t>can</w:t>
      </w:r>
      <w:r w:rsidRPr="00637EE9">
        <w:t xml:space="preserve"> demonstrate the highest levels of merit compared to other projects in the tender. Successful projects will be </w:t>
      </w:r>
      <w:r w:rsidR="00901D10">
        <w:t>required</w:t>
      </w:r>
      <w:r w:rsidRPr="00637EE9">
        <w:t xml:space="preserve"> to </w:t>
      </w:r>
      <w:r w:rsidR="00901D10">
        <w:t xml:space="preserve">demonstrate </w:t>
      </w:r>
      <w:bookmarkStart w:id="133" w:name="_Int_gGCFrqFb"/>
      <w:r w:rsidR="00901D10">
        <w:t xml:space="preserve">strong </w:t>
      </w:r>
      <w:r w:rsidRPr="00637EE9">
        <w:t>perform</w:t>
      </w:r>
      <w:r w:rsidR="00901D10">
        <w:t>ance</w:t>
      </w:r>
      <w:bookmarkEnd w:id="133"/>
      <w:r w:rsidRPr="00637EE9">
        <w:t xml:space="preserve"> against all the </w:t>
      </w:r>
      <w:r>
        <w:t>m</w:t>
      </w:r>
      <w:r w:rsidRPr="00637EE9">
        <w:t xml:space="preserve">erit </w:t>
      </w:r>
      <w:r>
        <w:t>c</w:t>
      </w:r>
      <w:r w:rsidRPr="00637EE9">
        <w:t>riteria</w:t>
      </w:r>
      <w:r w:rsidRPr="00877ACE">
        <w:t xml:space="preserve"> outlined in the relevant CIS Tender Guidelines</w:t>
      </w:r>
      <w:r w:rsidRPr="00637EE9">
        <w:t xml:space="preserve">. </w:t>
      </w:r>
    </w:p>
    <w:p w14:paraId="587CDA19" w14:textId="7C791373" w:rsidR="002A44AD" w:rsidRDefault="002A44AD" w:rsidP="002A44AD">
      <w:r>
        <w:t>The approach to the merit assessment, including the merit criteria, may be amended</w:t>
      </w:r>
      <w:r w:rsidR="0048769F">
        <w:t xml:space="preserve"> </w:t>
      </w:r>
      <w:r>
        <w:t xml:space="preserve">to reflect the evolving objectives of tenders as the CIS is delivered over time, or account for changes in requirements for specific tenders (including different product characteristics). </w:t>
      </w:r>
      <w:r w:rsidRPr="00637EE9">
        <w:t xml:space="preserve">Weighting may be assigned to the </w:t>
      </w:r>
      <w:r>
        <w:t>m</w:t>
      </w:r>
      <w:r w:rsidRPr="00637EE9">
        <w:t xml:space="preserve">erit </w:t>
      </w:r>
      <w:r>
        <w:t>c</w:t>
      </w:r>
      <w:r w:rsidRPr="00637EE9">
        <w:t xml:space="preserve">riteria at either Stage A or Stage B. Baseline requirements for each </w:t>
      </w:r>
      <w:r>
        <w:t>m</w:t>
      </w:r>
      <w:r w:rsidRPr="00637EE9">
        <w:t xml:space="preserve">erit </w:t>
      </w:r>
      <w:r>
        <w:t>c</w:t>
      </w:r>
      <w:r w:rsidRPr="00637EE9">
        <w:t xml:space="preserve">riteria may also be adopted to ensure all projects supported by the CIS demonstrate minimum standards across all criteria. </w:t>
      </w:r>
    </w:p>
    <w:p w14:paraId="48C7DE07" w14:textId="77777777" w:rsidR="002A44AD" w:rsidRDefault="002A44AD" w:rsidP="002A44AD">
      <w:pPr>
        <w:pStyle w:val="Heading4"/>
        <w:rPr>
          <w:rStyle w:val="ui-provider"/>
          <w:rFonts w:eastAsiaTheme="minorEastAsia"/>
        </w:rPr>
      </w:pPr>
      <w:r w:rsidRPr="74030646">
        <w:rPr>
          <w:rStyle w:val="ui-provider"/>
          <w:rFonts w:eastAsiaTheme="minorEastAsia"/>
        </w:rPr>
        <w:t xml:space="preserve">Approach to system benefits </w:t>
      </w:r>
      <w:r w:rsidRPr="74030646" w:rsidDel="00776C48">
        <w:rPr>
          <w:rStyle w:val="ui-provider"/>
          <w:rFonts w:eastAsiaTheme="minorEastAsia"/>
        </w:rPr>
        <w:t>assessment</w:t>
      </w:r>
    </w:p>
    <w:p w14:paraId="369D906E" w14:textId="77777777" w:rsidR="002A44AD" w:rsidRDefault="002A44AD" w:rsidP="002A44AD">
      <w:r>
        <w:t>To deliver on the CIS objectives, the CIS tender assessment process will have a strong focus on a project’s contribution to system reliability and other system impacts. For this purpose, the framework for assessing system benefits is expected to consider three elements:</w:t>
      </w:r>
    </w:p>
    <w:p w14:paraId="55BA964A" w14:textId="77777777" w:rsidR="002A44AD" w:rsidRPr="006E77A4" w:rsidRDefault="002A44AD" w:rsidP="000B0C35">
      <w:pPr>
        <w:pStyle w:val="ListNumber"/>
        <w:numPr>
          <w:ilvl w:val="0"/>
          <w:numId w:val="15"/>
        </w:numPr>
      </w:pPr>
      <w:r w:rsidRPr="006E77A4">
        <w:t xml:space="preserve">System </w:t>
      </w:r>
      <w:r>
        <w:t>r</w:t>
      </w:r>
      <w:r w:rsidRPr="006E77A4">
        <w:t xml:space="preserve">eliability: This focuses on the </w:t>
      </w:r>
      <w:r>
        <w:t xml:space="preserve">project’s contribution to increasing system reliability. This is expected to focus on the </w:t>
      </w:r>
      <w:r w:rsidRPr="006E77A4">
        <w:t xml:space="preserve">projected reduction in unserved energy (USE), </w:t>
      </w:r>
      <w:r>
        <w:t xml:space="preserve">based on a similar </w:t>
      </w:r>
      <w:r>
        <w:lastRenderedPageBreak/>
        <w:t xml:space="preserve">principle to the modelling conducted for AEMO’s ESOO </w:t>
      </w:r>
      <w:r w:rsidRPr="006E77A4">
        <w:t>report</w:t>
      </w:r>
      <w:r>
        <w:t>, although the approach may be varied</w:t>
      </w:r>
      <w:r w:rsidRPr="006E77A4">
        <w:t xml:space="preserve">. Projects considered to significantly avoid USE will score higher. </w:t>
      </w:r>
    </w:p>
    <w:p w14:paraId="722475EA" w14:textId="77777777" w:rsidR="002A44AD" w:rsidRDefault="002A44AD" w:rsidP="002A44AD">
      <w:pPr>
        <w:pStyle w:val="ListNumber"/>
      </w:pPr>
      <w:r>
        <w:t>Delivery of renewable energy: This focuses on s</w:t>
      </w:r>
      <w:r w:rsidRPr="006E77A4">
        <w:t xml:space="preserve">upporting the system’s ability to maximise delivery of </w:t>
      </w:r>
      <w:r>
        <w:t xml:space="preserve">energy to support the achievement of the 82% renewable energy target. This may include consideration of a project’s direct impact through addition of renewable generation or a project’s indirect impact through reducing congestion/curtailment such that other projects can dispatch additional MWh. A project’s location, technology type and capacity factor will be relevant. </w:t>
      </w:r>
    </w:p>
    <w:p w14:paraId="7BCC7476" w14:textId="6658A254" w:rsidR="002A44AD" w:rsidRPr="006E77A4" w:rsidRDefault="002A44AD" w:rsidP="002A44AD">
      <w:pPr>
        <w:pStyle w:val="ListNumber"/>
      </w:pPr>
      <w:r w:rsidRPr="006E77A4">
        <w:t xml:space="preserve">Additional </w:t>
      </w:r>
      <w:r>
        <w:t>s</w:t>
      </w:r>
      <w:r w:rsidRPr="006E77A4">
        <w:t xml:space="preserve">ystem </w:t>
      </w:r>
      <w:r>
        <w:t>b</w:t>
      </w:r>
      <w:r w:rsidRPr="006E77A4">
        <w:t xml:space="preserve">enefits: </w:t>
      </w:r>
      <w:r>
        <w:t xml:space="preserve">This focuses on </w:t>
      </w:r>
      <w:r w:rsidRPr="006E77A4">
        <w:t xml:space="preserve">any supplementary advantages to the system </w:t>
      </w:r>
      <w:r>
        <w:t>that a project can offer will be considered favourably</w:t>
      </w:r>
      <w:r w:rsidRPr="006E77A4">
        <w:t>.</w:t>
      </w:r>
      <w:r>
        <w:t xml:space="preserve"> This may include, but is not limited to, provision of system strength services and system restart ancillary service capabilities. </w:t>
      </w:r>
    </w:p>
    <w:p w14:paraId="5D1F99E2" w14:textId="3AB46B34" w:rsidR="002A44AD" w:rsidRDefault="002A44AD" w:rsidP="001C3ED3">
      <w:r>
        <w:t xml:space="preserve">The system benefits framework may be adapted for each tender to account for changes in system requirements over time, as well as product type. </w:t>
      </w:r>
      <w:r w:rsidR="00830D0F">
        <w:t xml:space="preserve">All three elements </w:t>
      </w:r>
      <w:r w:rsidR="00722E87">
        <w:t xml:space="preserve">will be assessed for </w:t>
      </w:r>
      <w:bookmarkStart w:id="134" w:name="_Int_VmFtFNul"/>
      <w:r w:rsidR="00637901">
        <w:t>both CISA</w:t>
      </w:r>
      <w:bookmarkEnd w:id="134"/>
      <w:r w:rsidR="00637901">
        <w:t xml:space="preserve"> product types</w:t>
      </w:r>
      <w:r w:rsidR="00E504D1">
        <w:t xml:space="preserve">. </w:t>
      </w:r>
    </w:p>
    <w:p w14:paraId="205F5376" w14:textId="49AFFDCF" w:rsidR="002A44AD" w:rsidRDefault="002A44AD" w:rsidP="002A44AD">
      <w:r>
        <w:t>For example, the Tender Guidelines for the SA</w:t>
      </w:r>
      <w:r w:rsidR="00DE2E3F">
        <w:t>-</w:t>
      </w:r>
      <w:r>
        <w:t xml:space="preserve">VIC tender describes the approach that will be adopted for the first Clean Dispatchable CISA tender, although this may be refined based on learnings for future Clean Dispatchable CISA tenders. For Generation CISA tenders, the application of the framework will be tailored to account for the different product characteristics. Further details will be provided in the May 2024 Tender Guidelines. </w:t>
      </w:r>
    </w:p>
    <w:p w14:paraId="04119FFA" w14:textId="77777777" w:rsidR="002A44AD" w:rsidRDefault="002A44AD" w:rsidP="002A44AD">
      <w:r>
        <w:t>A project’s contribution to system benefits will be assessed throughout the tender process. This is expected to include (but not limited to):</w:t>
      </w:r>
    </w:p>
    <w:p w14:paraId="3332DF96" w14:textId="77777777" w:rsidR="002A44AD" w:rsidRDefault="002A44AD" w:rsidP="002A44AD">
      <w:pPr>
        <w:pStyle w:val="ListBullet"/>
      </w:pPr>
      <w:r w:rsidRPr="00004012">
        <w:rPr>
          <w:b/>
          <w:bCs w:val="0"/>
        </w:rPr>
        <w:t>Stage A</w:t>
      </w:r>
      <w:r>
        <w:t xml:space="preserve">: the framework will be applied to distinguish between projects that are most beneficial to the energy system and those that represent a notably poor or net negative system impact and therefore are not aligned with the objectives of the CIS. </w:t>
      </w:r>
    </w:p>
    <w:p w14:paraId="41B845F3" w14:textId="5579EF12" w:rsidR="002A44AD" w:rsidRPr="00C37950" w:rsidRDefault="002A44AD" w:rsidP="002A44AD">
      <w:pPr>
        <w:pStyle w:val="ListBullet"/>
      </w:pPr>
      <w:r w:rsidRPr="00004012">
        <w:rPr>
          <w:b/>
          <w:bCs w:val="0"/>
        </w:rPr>
        <w:t>Stage B</w:t>
      </w:r>
      <w:r>
        <w:t xml:space="preserve">: elements of the framework will be accounted for in the assessment of financial </w:t>
      </w:r>
      <w:r w:rsidR="3380F211">
        <w:t>value and</w:t>
      </w:r>
      <w:r>
        <w:t xml:space="preserve"> may also be further considered in the shortlisting process to maximise benefits, including financial and reliability benefits, and minimise overall costs to consumers, in line with the CIS objectives.</w:t>
      </w:r>
    </w:p>
    <w:p w14:paraId="5560478E" w14:textId="77777777" w:rsidR="002A44AD" w:rsidRPr="004A0DB2" w:rsidRDefault="002A44AD" w:rsidP="002A44AD">
      <w:pPr>
        <w:pStyle w:val="Heading4"/>
      </w:pPr>
      <w:bookmarkStart w:id="135" w:name="_Toc1197879104"/>
      <w:bookmarkStart w:id="136" w:name="_Toc158651019"/>
      <w:bookmarkStart w:id="137" w:name="_Ref160107127"/>
      <w:r>
        <w:t xml:space="preserve">Stage A - </w:t>
      </w:r>
      <w:r w:rsidRPr="004A0DB2">
        <w:t xml:space="preserve">Project </w:t>
      </w:r>
      <w:r>
        <w:t>b</w:t>
      </w:r>
      <w:r w:rsidRPr="004A0DB2">
        <w:t xml:space="preserve">id </w:t>
      </w:r>
      <w:r>
        <w:t>assessment</w:t>
      </w:r>
      <w:bookmarkEnd w:id="135"/>
      <w:bookmarkEnd w:id="136"/>
      <w:bookmarkEnd w:id="137"/>
    </w:p>
    <w:p w14:paraId="69A5E8FA" w14:textId="77777777" w:rsidR="002A44AD" w:rsidRPr="00637EE9" w:rsidRDefault="002A44AD" w:rsidP="002A44AD">
      <w:r>
        <w:t>Stage A</w:t>
      </w:r>
      <w:r w:rsidRPr="00637EE9">
        <w:t xml:space="preserve"> </w:t>
      </w:r>
      <w:r>
        <w:t xml:space="preserve">– Project Bid assessment </w:t>
      </w:r>
      <w:r w:rsidRPr="00637EE9">
        <w:t xml:space="preserve">will assess a project’s technical, commercial and community engagement merit. This assessment stage is expected to be the same for </w:t>
      </w:r>
      <w:bookmarkStart w:id="138" w:name="_Int_ezhC1Ec2"/>
      <w:r w:rsidRPr="00637EE9">
        <w:t xml:space="preserve">both </w:t>
      </w:r>
      <w:r>
        <w:t>CISA</w:t>
      </w:r>
      <w:bookmarkEnd w:id="138"/>
      <w:r>
        <w:t xml:space="preserve"> products</w:t>
      </w:r>
      <w:r w:rsidRPr="00637EE9">
        <w:t xml:space="preserve">. </w:t>
      </w:r>
    </w:p>
    <w:p w14:paraId="1CE7A939" w14:textId="77777777" w:rsidR="002A44AD" w:rsidRPr="00637EE9" w:rsidRDefault="002A44AD" w:rsidP="002A44AD">
      <w:pPr>
        <w:pStyle w:val="Caption"/>
      </w:pPr>
      <w:r w:rsidRPr="00637EE9">
        <w:t>Project technical and commercial viability</w:t>
      </w:r>
    </w:p>
    <w:p w14:paraId="7E53A07B" w14:textId="77777777" w:rsidR="002A44AD" w:rsidRPr="00637EE9" w:rsidRDefault="002A44AD" w:rsidP="002A44AD">
      <w:r w:rsidRPr="00637EE9">
        <w:t>Proponents will be required to demonstrate the project’s technical and commercial credibility by providing evidence of its progress against key development milestones. This may include:</w:t>
      </w:r>
    </w:p>
    <w:p w14:paraId="69409866" w14:textId="77777777" w:rsidR="002A44AD" w:rsidRPr="00637EE9" w:rsidRDefault="002A44AD" w:rsidP="002A44AD">
      <w:pPr>
        <w:pStyle w:val="ListBullet"/>
      </w:pPr>
      <w:r w:rsidRPr="00637EE9">
        <w:t>Technical information about the project’s connection point, connection type, project size and technology type.</w:t>
      </w:r>
    </w:p>
    <w:p w14:paraId="6E237BDC" w14:textId="77777777" w:rsidR="002A44AD" w:rsidRPr="00637EE9" w:rsidRDefault="002A44AD" w:rsidP="002A44AD">
      <w:pPr>
        <w:pStyle w:val="ListBullet"/>
      </w:pPr>
      <w:r w:rsidRPr="00637EE9">
        <w:t>Additional information about the project’s impact on the electricity system and/or system benefits, such as technical reports and/or independent studies.</w:t>
      </w:r>
    </w:p>
    <w:p w14:paraId="62539BF5" w14:textId="2E9A432B" w:rsidR="002A44AD" w:rsidRPr="00637EE9" w:rsidRDefault="002A44AD" w:rsidP="002A44AD">
      <w:pPr>
        <w:pStyle w:val="ListBullet"/>
      </w:pPr>
      <w:r w:rsidRPr="00637EE9">
        <w:t xml:space="preserve">Progress to securing all relevant land, </w:t>
      </w:r>
      <w:r w:rsidR="007B7C84">
        <w:t xml:space="preserve">environmental, </w:t>
      </w:r>
      <w:r w:rsidRPr="00637EE9">
        <w:t>planning and connections approvals.</w:t>
      </w:r>
    </w:p>
    <w:p w14:paraId="3C92FBB7" w14:textId="77777777" w:rsidR="002A44AD" w:rsidRPr="00637EE9" w:rsidRDefault="002A44AD" w:rsidP="002A44AD">
      <w:pPr>
        <w:pStyle w:val="ListBullet"/>
      </w:pPr>
      <w:r w:rsidRPr="00637EE9">
        <w:t>Progress to securing all relevant construction procurement and financing documents.</w:t>
      </w:r>
    </w:p>
    <w:p w14:paraId="6DCF8307" w14:textId="77777777" w:rsidR="002A44AD" w:rsidRPr="00637EE9" w:rsidRDefault="002A44AD" w:rsidP="002A44AD">
      <w:pPr>
        <w:pStyle w:val="ListBullet"/>
      </w:pPr>
      <w:r w:rsidRPr="00637EE9">
        <w:lastRenderedPageBreak/>
        <w:t>Demonstrated understanding of the key project risks to timely project completion and appropriate mitigation measures.</w:t>
      </w:r>
    </w:p>
    <w:p w14:paraId="4CE2A4CB" w14:textId="77777777" w:rsidR="002A44AD" w:rsidRPr="00637EE9" w:rsidRDefault="002A44AD" w:rsidP="002A44AD">
      <w:r w:rsidRPr="00637EE9">
        <w:t>Successful projects will be required to commit to delivering on their target final investment decision (FID) or financial close and commercial operation date (COD) dates as contracted milestones</w:t>
      </w:r>
      <w:r>
        <w:t>, which may be subject to additional requirements set out in the relevant Tender Guidelines.</w:t>
      </w:r>
    </w:p>
    <w:p w14:paraId="2DD8E653" w14:textId="77777777" w:rsidR="002A44AD" w:rsidRPr="00877ACE" w:rsidRDefault="002A44AD" w:rsidP="002A44AD">
      <w:r w:rsidRPr="00877ACE">
        <w:t xml:space="preserve">Under </w:t>
      </w:r>
      <w:r>
        <w:t>this</w:t>
      </w:r>
      <w:r w:rsidRPr="00877ACE">
        <w:t xml:space="preserve"> merit criteria, projects will be assessed on their ability to be operational by the</w:t>
      </w:r>
      <w:r>
        <w:t>ir</w:t>
      </w:r>
      <w:r w:rsidRPr="00877ACE">
        <w:t xml:space="preserve"> target COD. </w:t>
      </w:r>
      <w:r>
        <w:t xml:space="preserve">Projects that </w:t>
      </w:r>
      <w:bookmarkStart w:id="139" w:name="_Int_luSwy1Xn"/>
      <w:r>
        <w:t>are able to</w:t>
      </w:r>
      <w:bookmarkEnd w:id="139"/>
      <w:r>
        <w:t xml:space="preserve"> provide detailed evidence to demonstrate the Proponent’s ability to deliver to each milestone, with clear articulation of its strategies for mitigating </w:t>
      </w:r>
      <w:r w:rsidRPr="00877ACE">
        <w:t>delivery risk</w:t>
      </w:r>
      <w:r>
        <w:t>, are likely to be assessed more favourably under</w:t>
      </w:r>
      <w:r w:rsidRPr="00877ACE">
        <w:t xml:space="preserve"> </w:t>
      </w:r>
      <w:bookmarkStart w:id="140" w:name="_Int_QNH9ucgs"/>
      <w:proofErr w:type="gramStart"/>
      <w:r w:rsidRPr="00877ACE">
        <w:t>this criteria</w:t>
      </w:r>
      <w:bookmarkEnd w:id="140"/>
      <w:proofErr w:type="gramEnd"/>
      <w:r w:rsidRPr="00877ACE">
        <w:t>.</w:t>
      </w:r>
    </w:p>
    <w:p w14:paraId="7508CB2D" w14:textId="77777777" w:rsidR="002A44AD" w:rsidRPr="00637EE9" w:rsidRDefault="002A44AD" w:rsidP="002A44AD">
      <w:pPr>
        <w:pStyle w:val="Caption"/>
      </w:pPr>
      <w:r w:rsidRPr="00637EE9">
        <w:t>Proponent capability</w:t>
      </w:r>
    </w:p>
    <w:p w14:paraId="6D67730F" w14:textId="77777777" w:rsidR="002A44AD" w:rsidRPr="00637EE9" w:rsidRDefault="002A44AD" w:rsidP="002A44AD">
      <w:r w:rsidRPr="00637EE9">
        <w:t xml:space="preserve">A Proponent’s capability, </w:t>
      </w:r>
      <w:proofErr w:type="gramStart"/>
      <w:r w:rsidRPr="00637EE9">
        <w:t>capacity</w:t>
      </w:r>
      <w:proofErr w:type="gramEnd"/>
      <w:r w:rsidRPr="00637EE9">
        <w:t xml:space="preserve"> and </w:t>
      </w:r>
      <w:bookmarkStart w:id="141" w:name="_Int_A93QtCY6"/>
      <w:r w:rsidRPr="00637EE9">
        <w:t>track record</w:t>
      </w:r>
      <w:bookmarkEnd w:id="141"/>
      <w:r w:rsidRPr="00637EE9">
        <w:t xml:space="preserve"> to deliver projects of </w:t>
      </w:r>
      <w:bookmarkStart w:id="142" w:name="_Int_3UHiiDSQ"/>
      <w:r w:rsidRPr="00637EE9">
        <w:t>a similar size</w:t>
      </w:r>
      <w:bookmarkEnd w:id="142"/>
      <w:r w:rsidRPr="00637EE9">
        <w:t xml:space="preserve"> and type will be assessed alongside other key delivery partners involved in the project delivery. This is to ensure that projects that are successful in gaining government support are delivered by reliable organisations with relevant experience in delivering similar projects. This may include: </w:t>
      </w:r>
    </w:p>
    <w:p w14:paraId="34B5EE13" w14:textId="77777777" w:rsidR="002A44AD" w:rsidRPr="00637EE9" w:rsidRDefault="002A44AD" w:rsidP="002A44AD">
      <w:pPr>
        <w:pStyle w:val="ListBullet"/>
      </w:pPr>
      <w:r w:rsidRPr="00637EE9">
        <w:t>Proposed contracting structure, contract terms, or quality of role and scope descriptions.</w:t>
      </w:r>
    </w:p>
    <w:p w14:paraId="427B30D5" w14:textId="77777777" w:rsidR="002A44AD" w:rsidRPr="00637EE9" w:rsidRDefault="002A44AD" w:rsidP="002A44AD">
      <w:pPr>
        <w:pStyle w:val="ListBullet"/>
      </w:pPr>
      <w:r w:rsidRPr="00637EE9">
        <w:t>Procurement strategy, identification of long lead items and key suppliers.</w:t>
      </w:r>
    </w:p>
    <w:p w14:paraId="0B0D44BB" w14:textId="77777777" w:rsidR="002A44AD" w:rsidRPr="00637EE9" w:rsidRDefault="002A44AD" w:rsidP="002A44AD">
      <w:pPr>
        <w:pStyle w:val="ListBullet"/>
      </w:pPr>
      <w:bookmarkStart w:id="143" w:name="_Int_Zacu1EEw"/>
      <w:r w:rsidRPr="00637EE9">
        <w:t>Track record</w:t>
      </w:r>
      <w:bookmarkEnd w:id="143"/>
      <w:r w:rsidRPr="00637EE9">
        <w:t xml:space="preserve"> in securing finance.</w:t>
      </w:r>
    </w:p>
    <w:p w14:paraId="17127C3F" w14:textId="02A86E04" w:rsidR="002A44AD" w:rsidRDefault="0002797C" w:rsidP="002A44AD">
      <w:pPr>
        <w:pStyle w:val="Caption"/>
      </w:pPr>
      <w:r>
        <w:t xml:space="preserve">Australian Supply Chain, </w:t>
      </w:r>
      <w:r w:rsidR="002A44AD" w:rsidRPr="00637EE9">
        <w:t>Community and First Nations engagement</w:t>
      </w:r>
    </w:p>
    <w:p w14:paraId="3B354D36" w14:textId="27103B89" w:rsidR="002A44AD" w:rsidRPr="00637EE9" w:rsidRDefault="002A44AD" w:rsidP="002A44AD">
      <w:pPr>
        <w:rPr>
          <w:lang w:val="en-GB" w:eastAsia="en-AU"/>
        </w:rPr>
      </w:pPr>
      <w:r w:rsidRPr="00637EE9">
        <w:rPr>
          <w:lang w:val="en-GB" w:eastAsia="en-AU"/>
        </w:rPr>
        <w:t xml:space="preserve">Proponents and projects will be assessed on their approach and quality of engagement with </w:t>
      </w:r>
      <w:r w:rsidR="0002797C">
        <w:rPr>
          <w:lang w:val="en-GB" w:eastAsia="en-AU"/>
        </w:rPr>
        <w:t>Austr</w:t>
      </w:r>
      <w:r w:rsidR="001806FE">
        <w:rPr>
          <w:lang w:val="en-GB" w:eastAsia="en-AU"/>
        </w:rPr>
        <w:t>al</w:t>
      </w:r>
      <w:r w:rsidR="0002797C">
        <w:rPr>
          <w:lang w:val="en-GB" w:eastAsia="en-AU"/>
        </w:rPr>
        <w:t xml:space="preserve">ian supply chains, local </w:t>
      </w:r>
      <w:bookmarkStart w:id="144" w:name="_Int_ZbqthTm5"/>
      <w:proofErr w:type="gramStart"/>
      <w:r w:rsidRPr="00637EE9">
        <w:rPr>
          <w:lang w:val="en-GB" w:eastAsia="en-AU"/>
        </w:rPr>
        <w:t>communities</w:t>
      </w:r>
      <w:bookmarkEnd w:id="144"/>
      <w:proofErr w:type="gramEnd"/>
      <w:r w:rsidRPr="00637EE9">
        <w:rPr>
          <w:lang w:val="en-GB" w:eastAsia="en-AU"/>
        </w:rPr>
        <w:t xml:space="preserve"> and First Nations people. This may include:</w:t>
      </w:r>
    </w:p>
    <w:p w14:paraId="3D189D24" w14:textId="40118A89" w:rsidR="0002797C" w:rsidRDefault="0002797C" w:rsidP="002A44AD">
      <w:pPr>
        <w:pStyle w:val="ListBullet"/>
        <w:rPr>
          <w:lang w:val="en-GB" w:eastAsia="en-AU"/>
        </w:rPr>
      </w:pPr>
      <w:r>
        <w:rPr>
          <w:lang w:val="en-GB" w:eastAsia="en-AU"/>
        </w:rPr>
        <w:t>Demonstrated efforts to understand Australian supply chain capabilities and to support the development and use of local supply chains in both CAPEX and OPEX project plans.</w:t>
      </w:r>
    </w:p>
    <w:p w14:paraId="6028338F" w14:textId="5F4E7862" w:rsidR="0002797C" w:rsidRDefault="0002797C" w:rsidP="002A44AD">
      <w:pPr>
        <w:pStyle w:val="ListBullet"/>
        <w:rPr>
          <w:lang w:val="en-GB" w:eastAsia="en-AU"/>
        </w:rPr>
      </w:pPr>
      <w:r>
        <w:rPr>
          <w:lang w:val="en-GB" w:eastAsia="en-AU"/>
        </w:rPr>
        <w:t xml:space="preserve">Demonstrated understanding of and commitment to worker outcomes, including </w:t>
      </w:r>
      <w:bookmarkStart w:id="145" w:name="_Int_TPvKXqwZ"/>
      <w:r>
        <w:rPr>
          <w:lang w:val="en-GB" w:eastAsia="en-AU"/>
        </w:rPr>
        <w:t>pay and conditions</w:t>
      </w:r>
      <w:bookmarkEnd w:id="145"/>
      <w:r>
        <w:rPr>
          <w:lang w:val="en-GB" w:eastAsia="en-AU"/>
        </w:rPr>
        <w:t xml:space="preserve"> and training including apprenticeships.</w:t>
      </w:r>
    </w:p>
    <w:p w14:paraId="06DFDFAC" w14:textId="60B6CECB" w:rsidR="002A44AD" w:rsidRPr="00637EE9" w:rsidRDefault="002A44AD" w:rsidP="002A44AD">
      <w:pPr>
        <w:pStyle w:val="ListBullet"/>
        <w:rPr>
          <w:lang w:val="en-GB" w:eastAsia="en-AU"/>
        </w:rPr>
      </w:pPr>
      <w:r w:rsidRPr="00637EE9">
        <w:rPr>
          <w:lang w:val="en-GB" w:eastAsia="en-AU"/>
        </w:rPr>
        <w:t>Demonstrated understanding of local community and stakeholders, including stakeholder mapping.</w:t>
      </w:r>
    </w:p>
    <w:p w14:paraId="55946ECC" w14:textId="77777777" w:rsidR="002A44AD" w:rsidRPr="00637EE9" w:rsidRDefault="002A44AD" w:rsidP="002A44AD">
      <w:pPr>
        <w:pStyle w:val="ListBullet"/>
        <w:rPr>
          <w:lang w:val="en-GB" w:eastAsia="en-AU"/>
        </w:rPr>
      </w:pPr>
      <w:r w:rsidRPr="00637EE9">
        <w:rPr>
          <w:lang w:val="en-GB" w:eastAsia="en-AU"/>
        </w:rPr>
        <w:t>Summary of community and First Nations consultations that have occurred to date.</w:t>
      </w:r>
    </w:p>
    <w:p w14:paraId="3A6B737B" w14:textId="77777777" w:rsidR="002A44AD" w:rsidRPr="00637EE9" w:rsidRDefault="002A44AD" w:rsidP="002A44AD">
      <w:pPr>
        <w:pStyle w:val="ListBullet"/>
        <w:rPr>
          <w:lang w:val="en-GB" w:eastAsia="en-AU"/>
        </w:rPr>
      </w:pPr>
      <w:r w:rsidRPr="00637EE9">
        <w:rPr>
          <w:lang w:val="en-GB" w:eastAsia="en-AU"/>
        </w:rPr>
        <w:t>Evidence of having considered or incorporated community and First Nations groups</w:t>
      </w:r>
      <w:r>
        <w:rPr>
          <w:lang w:val="en-GB" w:eastAsia="en-AU"/>
        </w:rPr>
        <w:t>’</w:t>
      </w:r>
      <w:r w:rsidRPr="00637EE9">
        <w:rPr>
          <w:lang w:val="en-GB" w:eastAsia="en-AU"/>
        </w:rPr>
        <w:t xml:space="preserve"> feedback during project design, </w:t>
      </w:r>
      <w:bookmarkStart w:id="146" w:name="_Int_TnpX7bSy"/>
      <w:proofErr w:type="gramStart"/>
      <w:r w:rsidRPr="00637EE9">
        <w:rPr>
          <w:lang w:val="en-GB" w:eastAsia="en-AU"/>
        </w:rPr>
        <w:t>development</w:t>
      </w:r>
      <w:bookmarkEnd w:id="146"/>
      <w:proofErr w:type="gramEnd"/>
      <w:r w:rsidRPr="00637EE9">
        <w:rPr>
          <w:lang w:val="en-GB" w:eastAsia="en-AU"/>
        </w:rPr>
        <w:t xml:space="preserve"> and future implementation.</w:t>
      </w:r>
    </w:p>
    <w:p w14:paraId="473A1AB0" w14:textId="77777777" w:rsidR="002A44AD" w:rsidRPr="00637EE9" w:rsidRDefault="002A44AD" w:rsidP="002A44AD">
      <w:pPr>
        <w:pStyle w:val="ListBullet"/>
        <w:rPr>
          <w:lang w:val="en-GB" w:eastAsia="en-AU"/>
        </w:rPr>
      </w:pPr>
      <w:r w:rsidRPr="00637EE9">
        <w:rPr>
          <w:lang w:val="en-GB" w:eastAsia="en-AU"/>
        </w:rPr>
        <w:t xml:space="preserve">Summary of planned </w:t>
      </w:r>
      <w:r>
        <w:rPr>
          <w:lang w:val="en-GB" w:eastAsia="en-AU"/>
        </w:rPr>
        <w:t>engagement</w:t>
      </w:r>
      <w:r w:rsidRPr="00637EE9">
        <w:rPr>
          <w:lang w:val="en-GB" w:eastAsia="en-AU"/>
        </w:rPr>
        <w:t xml:space="preserve"> activities in the future.</w:t>
      </w:r>
    </w:p>
    <w:p w14:paraId="1B1EA616" w14:textId="73BEAA69" w:rsidR="002A44AD" w:rsidRDefault="002A44AD" w:rsidP="002A44AD">
      <w:pPr>
        <w:pStyle w:val="ListBullet"/>
        <w:rPr>
          <w:lang w:val="en-GB" w:eastAsia="en-AU"/>
        </w:rPr>
      </w:pPr>
      <w:r w:rsidRPr="00637EE9">
        <w:rPr>
          <w:lang w:val="en-GB" w:eastAsia="en-AU"/>
        </w:rPr>
        <w:t xml:space="preserve">Approach to local community engagement activities </w:t>
      </w:r>
      <w:r w:rsidR="007B203E">
        <w:rPr>
          <w:lang w:val="en-GB" w:eastAsia="en-AU"/>
        </w:rPr>
        <w:t xml:space="preserve">and benefit sharing </w:t>
      </w:r>
      <w:r w:rsidRPr="00637EE9">
        <w:rPr>
          <w:lang w:val="en-GB" w:eastAsia="en-AU"/>
        </w:rPr>
        <w:t>that reflect the potential future impacts on the community.</w:t>
      </w:r>
    </w:p>
    <w:p w14:paraId="66D35A8C" w14:textId="34C8B689" w:rsidR="00A424EC" w:rsidRDefault="00A424EC" w:rsidP="002A44AD">
      <w:pPr>
        <w:pStyle w:val="ListBullet"/>
        <w:rPr>
          <w:lang w:val="en-GB" w:eastAsia="en-AU"/>
        </w:rPr>
      </w:pPr>
      <w:r>
        <w:rPr>
          <w:lang w:val="en-GB" w:eastAsia="en-AU"/>
        </w:rPr>
        <w:t xml:space="preserve">Adherence to </w:t>
      </w:r>
      <w:r w:rsidR="000B4CF9">
        <w:rPr>
          <w:lang w:val="en-GB" w:eastAsia="en-AU"/>
        </w:rPr>
        <w:t xml:space="preserve">any future </w:t>
      </w:r>
      <w:r w:rsidR="000631D2">
        <w:rPr>
          <w:lang w:val="en-GB" w:eastAsia="en-AU"/>
        </w:rPr>
        <w:t xml:space="preserve">community engagement </w:t>
      </w:r>
      <w:r w:rsidR="00D658C8">
        <w:rPr>
          <w:lang w:val="en-GB" w:eastAsia="en-AU"/>
        </w:rPr>
        <w:t xml:space="preserve">guidelines or </w:t>
      </w:r>
      <w:r w:rsidR="000631D2">
        <w:rPr>
          <w:lang w:val="en-GB" w:eastAsia="en-AU"/>
        </w:rPr>
        <w:t xml:space="preserve">standards </w:t>
      </w:r>
      <w:r w:rsidR="00AC5D79">
        <w:rPr>
          <w:lang w:val="en-GB" w:eastAsia="en-AU"/>
        </w:rPr>
        <w:t xml:space="preserve">for renewable energy </w:t>
      </w:r>
      <w:r w:rsidR="000B4CF9">
        <w:rPr>
          <w:lang w:val="en-GB" w:eastAsia="en-AU"/>
        </w:rPr>
        <w:t xml:space="preserve">proponents as defined by the </w:t>
      </w:r>
      <w:r w:rsidR="569D3E95" w:rsidRPr="6542C918">
        <w:rPr>
          <w:lang w:val="en-GB" w:eastAsia="en-AU"/>
        </w:rPr>
        <w:t xml:space="preserve">Australian </w:t>
      </w:r>
      <w:r w:rsidR="569D3E95" w:rsidRPr="58B28B4B">
        <w:rPr>
          <w:lang w:val="en-GB" w:eastAsia="en-AU"/>
        </w:rPr>
        <w:t>Government</w:t>
      </w:r>
      <w:r w:rsidR="000B4CF9" w:rsidRPr="6542C918">
        <w:rPr>
          <w:lang w:val="en-GB" w:eastAsia="en-AU"/>
        </w:rPr>
        <w:t xml:space="preserve"> </w:t>
      </w:r>
      <w:r w:rsidR="000B4CF9">
        <w:rPr>
          <w:lang w:val="en-GB" w:eastAsia="en-AU"/>
        </w:rPr>
        <w:t xml:space="preserve">and/or state and territory </w:t>
      </w:r>
      <w:r w:rsidR="00D658C8">
        <w:rPr>
          <w:lang w:val="en-GB" w:eastAsia="en-AU"/>
        </w:rPr>
        <w:t>governments.</w:t>
      </w:r>
    </w:p>
    <w:p w14:paraId="06AAD932" w14:textId="2F71E0C4" w:rsidR="00C448DE" w:rsidRPr="00637EE9" w:rsidRDefault="00C448DE" w:rsidP="002A44AD">
      <w:pPr>
        <w:pStyle w:val="ListBullet"/>
        <w:rPr>
          <w:lang w:val="en-GB" w:eastAsia="en-AU"/>
        </w:rPr>
      </w:pPr>
      <w:r>
        <w:rPr>
          <w:lang w:val="en-GB" w:eastAsia="en-AU"/>
        </w:rPr>
        <w:t>Summary of planned approach to decommissioning and remediation.</w:t>
      </w:r>
    </w:p>
    <w:p w14:paraId="01D64CCC" w14:textId="41D57482" w:rsidR="002A44AD" w:rsidRDefault="002A44AD" w:rsidP="002A44AD">
      <w:pPr>
        <w:rPr>
          <w:lang w:val="en-GB" w:eastAsia="en-AU"/>
        </w:rPr>
      </w:pPr>
      <w:r w:rsidRPr="00637EE9">
        <w:rPr>
          <w:lang w:val="en-GB" w:eastAsia="en-AU"/>
        </w:rPr>
        <w:t>It is important to note that State</w:t>
      </w:r>
      <w:r>
        <w:rPr>
          <w:lang w:val="en-GB" w:eastAsia="en-AU"/>
        </w:rPr>
        <w:t xml:space="preserve"> and Territory g</w:t>
      </w:r>
      <w:r w:rsidRPr="00637EE9">
        <w:rPr>
          <w:lang w:val="en-GB" w:eastAsia="en-AU"/>
        </w:rPr>
        <w:t xml:space="preserve">overnments have the flexibility to create local requirements for community and First Nations engagement through regulation or legislation. These requirements could vary across </w:t>
      </w:r>
      <w:bookmarkStart w:id="147" w:name="_Int_xY3ze8rI"/>
      <w:r w:rsidRPr="00637EE9">
        <w:rPr>
          <w:lang w:val="en-GB" w:eastAsia="en-AU"/>
        </w:rPr>
        <w:t>jurisdictions</w:t>
      </w:r>
      <w:bookmarkEnd w:id="147"/>
      <w:r w:rsidRPr="00637EE9">
        <w:rPr>
          <w:lang w:val="en-GB" w:eastAsia="en-AU"/>
        </w:rPr>
        <w:t xml:space="preserve"> and could include geographic restrictions based on renewable energy zones, or targets for categories of workers. The CIS</w:t>
      </w:r>
      <w:r>
        <w:rPr>
          <w:lang w:val="en-GB" w:eastAsia="en-AU"/>
        </w:rPr>
        <w:t>A</w:t>
      </w:r>
      <w:r w:rsidR="00722B47">
        <w:rPr>
          <w:lang w:val="en-GB" w:eastAsia="en-AU"/>
        </w:rPr>
        <w:t xml:space="preserve"> is expected to</w:t>
      </w:r>
      <w:r w:rsidRPr="00637EE9">
        <w:rPr>
          <w:lang w:val="en-GB" w:eastAsia="en-AU"/>
        </w:rPr>
        <w:t xml:space="preserve"> support this by requiring compliance with any jurisdictional-based requirements.</w:t>
      </w:r>
    </w:p>
    <w:p w14:paraId="659CAC08" w14:textId="77777777" w:rsidR="00A61711" w:rsidRDefault="00A61711" w:rsidP="00A61711">
      <w:r>
        <w:lastRenderedPageBreak/>
        <w:t xml:space="preserve">The national consultation on the First Nations Clean Energy Strategy has identified clear themes regarding First Nations participation and benefit sharing, including examples from international </w:t>
      </w:r>
      <w:bookmarkStart w:id="148" w:name="_Int_beX0nuGP"/>
      <w:r>
        <w:t>jurisdictions</w:t>
      </w:r>
      <w:bookmarkEnd w:id="148"/>
      <w:r>
        <w:t>, such as Canada, and domestically in the resource sector. Understanding options to support greater participation is encouraged.</w:t>
      </w:r>
    </w:p>
    <w:p w14:paraId="6694482D" w14:textId="70E2F911" w:rsidR="00F033C5" w:rsidRPr="004D26A1" w:rsidRDefault="00F033C5" w:rsidP="00A61711">
      <w:pPr>
        <w:rPr>
          <w:rFonts w:ascii="Calibri" w:hAnsi="Calibri" w:cs="Calibri"/>
        </w:rPr>
      </w:pPr>
      <w:r>
        <w:t xml:space="preserve">The recently concluded Community Engagement Review conducted by the Australian Energy Infrastructure Commissioner recommends </w:t>
      </w:r>
      <w:r w:rsidR="00F513C8">
        <w:t>that</w:t>
      </w:r>
      <w:r>
        <w:t xml:space="preserve"> a voluntary renewable energy developer community engagement ratings scheme</w:t>
      </w:r>
      <w:r w:rsidR="00F513C8">
        <w:t xml:space="preserve"> be established</w:t>
      </w:r>
      <w:r w:rsidR="000C7E96">
        <w:t xml:space="preserve"> and that a </w:t>
      </w:r>
      <w:r w:rsidR="00277CE6">
        <w:t>positive rating be a requirement for</w:t>
      </w:r>
      <w:r w:rsidR="007E7B7D">
        <w:t xml:space="preserve"> a project to</w:t>
      </w:r>
      <w:r w:rsidR="00277CE6">
        <w:t xml:space="preserve"> </w:t>
      </w:r>
      <w:r w:rsidR="007E7B7D">
        <w:t>receive</w:t>
      </w:r>
      <w:r w:rsidR="00277CE6">
        <w:t xml:space="preserve"> government support</w:t>
      </w:r>
      <w:r w:rsidR="00E42519">
        <w:t>, including through the CIS</w:t>
      </w:r>
      <w:r>
        <w:t xml:space="preserve">. </w:t>
      </w:r>
      <w:r w:rsidR="00F513C8">
        <w:t xml:space="preserve">This is currently under consideration by </w:t>
      </w:r>
      <w:r w:rsidR="00E42519">
        <w:t>the Energy and Climate Ministerial Council.</w:t>
      </w:r>
    </w:p>
    <w:p w14:paraId="154CE76F" w14:textId="77777777" w:rsidR="002A44AD" w:rsidRPr="00516A1C" w:rsidRDefault="002A44AD" w:rsidP="002A44AD">
      <w:pPr>
        <w:pStyle w:val="Heading4"/>
      </w:pPr>
      <w:bookmarkStart w:id="149" w:name="_Toc1829292632"/>
      <w:bookmarkStart w:id="150" w:name="_Toc158651020"/>
      <w:r>
        <w:t xml:space="preserve"> </w:t>
      </w:r>
      <w:bookmarkStart w:id="151" w:name="_Ref160107141"/>
      <w:r>
        <w:t xml:space="preserve">Stage B - </w:t>
      </w:r>
      <w:r w:rsidRPr="00516A1C">
        <w:t xml:space="preserve">Financial Value </w:t>
      </w:r>
      <w:bookmarkEnd w:id="149"/>
      <w:bookmarkEnd w:id="150"/>
      <w:r>
        <w:t>Bid</w:t>
      </w:r>
      <w:bookmarkEnd w:id="151"/>
    </w:p>
    <w:p w14:paraId="42573F14" w14:textId="5BD6749D" w:rsidR="002A44AD" w:rsidRPr="00637EE9" w:rsidRDefault="002A44AD" w:rsidP="002A44AD">
      <w:pPr>
        <w:rPr>
          <w:b/>
          <w:bCs/>
        </w:rPr>
      </w:pPr>
      <w:r w:rsidRPr="00637EE9">
        <w:t xml:space="preserve">Stage B of the </w:t>
      </w:r>
      <w:r>
        <w:t>merit assessment</w:t>
      </w:r>
      <w:r w:rsidRPr="00637EE9">
        <w:t xml:space="preserve"> will require shortlisted </w:t>
      </w:r>
      <w:r>
        <w:t>p</w:t>
      </w:r>
      <w:r w:rsidRPr="00637EE9">
        <w:t xml:space="preserve">rojects to submit pricing bid variables, commercial </w:t>
      </w:r>
      <w:bookmarkStart w:id="152" w:name="_Int_hQC8O3W2"/>
      <w:proofErr w:type="gramStart"/>
      <w:r w:rsidRPr="00637EE9">
        <w:t>departures</w:t>
      </w:r>
      <w:bookmarkEnd w:id="152"/>
      <w:proofErr w:type="gramEnd"/>
      <w:r w:rsidRPr="00637EE9">
        <w:t xml:space="preserve"> and social licence commitments. </w:t>
      </w:r>
      <w:r>
        <w:t xml:space="preserve">This includes assessment </w:t>
      </w:r>
      <w:r w:rsidRPr="00637EE9">
        <w:t>against the CIS policy objectives to support system reliability at a minimal cost to taxpayers</w:t>
      </w:r>
      <w:r w:rsidR="004D26A1">
        <w:t xml:space="preserve"> and to the benefit of electricity consumers</w:t>
      </w:r>
      <w:r w:rsidRPr="00637EE9">
        <w:t>.</w:t>
      </w:r>
      <w:r w:rsidR="002A60F5">
        <w:t xml:space="preserve"> </w:t>
      </w:r>
      <w:r w:rsidR="009567EA">
        <w:t>This assessment will take a broad perspective on</w:t>
      </w:r>
      <w:r w:rsidR="00F443E3">
        <w:t xml:space="preserve"> value</w:t>
      </w:r>
      <w:r w:rsidR="0088392F">
        <w:t xml:space="preserve"> </w:t>
      </w:r>
      <w:r w:rsidR="00BA5044">
        <w:t xml:space="preserve">to energy consumers and taxpayers, </w:t>
      </w:r>
      <w:r w:rsidR="00387991">
        <w:t xml:space="preserve">including </w:t>
      </w:r>
      <w:r w:rsidR="000B5B2A">
        <w:t xml:space="preserve">system costs and infrastructure cost implications, </w:t>
      </w:r>
      <w:r w:rsidR="00BA5044">
        <w:t xml:space="preserve">not simply </w:t>
      </w:r>
      <w:r w:rsidR="00C410EA">
        <w:t>the lowest cost per unit of energy.</w:t>
      </w:r>
    </w:p>
    <w:p w14:paraId="281BC420" w14:textId="77777777" w:rsidR="002A44AD" w:rsidRPr="00637EE9" w:rsidRDefault="002A44AD" w:rsidP="002A44AD">
      <w:pPr>
        <w:pStyle w:val="Caption"/>
      </w:pPr>
      <w:r w:rsidRPr="00C01156">
        <w:t>Financi</w:t>
      </w:r>
      <w:r w:rsidRPr="00637EE9">
        <w:t>al value</w:t>
      </w:r>
    </w:p>
    <w:p w14:paraId="4C3FBBA4" w14:textId="77777777" w:rsidR="002A44AD" w:rsidRPr="00BA29BF" w:rsidRDefault="002A44AD" w:rsidP="002A44AD">
      <w:pPr>
        <w:rPr>
          <w:i/>
          <w:iCs/>
        </w:rPr>
      </w:pPr>
      <w:r w:rsidRPr="00BA29BF">
        <w:rPr>
          <w:i/>
          <w:iCs/>
        </w:rPr>
        <w:t>Generation Projects:</w:t>
      </w:r>
    </w:p>
    <w:p w14:paraId="440E6F60" w14:textId="559E2785" w:rsidR="002A44AD" w:rsidRDefault="00F62340" w:rsidP="002A44AD">
      <w:r>
        <w:t>Projects will be assessed on their</w:t>
      </w:r>
      <w:r w:rsidR="002A44AD" w:rsidRPr="00637EE9">
        <w:t xml:space="preserve"> value</w:t>
      </w:r>
      <w:r w:rsidR="002A44AD">
        <w:t xml:space="preserve"> to taxpayers</w:t>
      </w:r>
      <w:r w:rsidR="002A44AD" w:rsidRPr="00637EE9">
        <w:t xml:space="preserve"> </w:t>
      </w:r>
      <w:r w:rsidR="004A512E">
        <w:t>and electricity consumers against</w:t>
      </w:r>
      <w:r w:rsidR="002A44AD" w:rsidRPr="00637EE9">
        <w:t xml:space="preserve"> forecast cost to the </w:t>
      </w:r>
      <w:r w:rsidR="1C2A8086">
        <w:t>Australian Government</w:t>
      </w:r>
      <w:r w:rsidR="002A44AD">
        <w:t xml:space="preserve"> </w:t>
      </w:r>
      <w:r w:rsidR="002A44AD" w:rsidRPr="00637EE9">
        <w:t>across a range of future market scenarios</w:t>
      </w:r>
      <w:r w:rsidR="00765D25">
        <w:t xml:space="preserve">, </w:t>
      </w:r>
      <w:bookmarkStart w:id="153" w:name="_Int_XdDhb1yI"/>
      <w:proofErr w:type="gramStart"/>
      <w:r w:rsidR="00765D25">
        <w:t>taking into account</w:t>
      </w:r>
      <w:bookmarkEnd w:id="153"/>
      <w:proofErr w:type="gramEnd"/>
      <w:r w:rsidR="00765D25">
        <w:t xml:space="preserve"> </w:t>
      </w:r>
      <w:r w:rsidR="00C6416B">
        <w:t>the dispatch-weighted prices</w:t>
      </w:r>
      <w:r w:rsidR="00694D53">
        <w:t xml:space="preserve"> (</w:t>
      </w:r>
      <w:r w:rsidR="66A3279A">
        <w:t>i.e.</w:t>
      </w:r>
      <w:r w:rsidR="00694D53">
        <w:t xml:space="preserve"> the value of energy)</w:t>
      </w:r>
      <w:r w:rsidR="00C6416B">
        <w:t xml:space="preserve"> likely to be received by projects</w:t>
      </w:r>
      <w:r w:rsidR="004D26A1">
        <w:t xml:space="preserve">. </w:t>
      </w:r>
      <w:r w:rsidR="002A44AD" w:rsidRPr="00637EE9">
        <w:t xml:space="preserve">The assessment may consider modelling of several future wholesale electricity market scenarios based on technical information provided by projects and will include consideration of reliability benefits. </w:t>
      </w:r>
    </w:p>
    <w:p w14:paraId="78D385D2" w14:textId="77777777" w:rsidR="002A44AD" w:rsidRDefault="002A44AD" w:rsidP="002A44AD">
      <w:pPr>
        <w:rPr>
          <w:i/>
          <w:iCs/>
        </w:rPr>
      </w:pPr>
      <w:r w:rsidRPr="00BA29BF">
        <w:rPr>
          <w:i/>
          <w:iCs/>
        </w:rPr>
        <w:t>Clean Dispatchable Projects</w:t>
      </w:r>
    </w:p>
    <w:p w14:paraId="65C1C239" w14:textId="4C8EF544" w:rsidR="002A44AD" w:rsidRPr="00BA29BF" w:rsidRDefault="002A44AD" w:rsidP="002A44AD">
      <w:r>
        <w:t xml:space="preserve">A similar approach as outlined above will be applied for Clean Dispatchable Projects. However, the Project’s impact on reliability (measured </w:t>
      </w:r>
      <w:bookmarkStart w:id="154" w:name="_Int_WD4PItVo"/>
      <w:r>
        <w:t>predominantly through</w:t>
      </w:r>
      <w:bookmarkEnd w:id="154"/>
      <w:r>
        <w:t xml:space="preserve"> a reduction of expected Unserved Energy) and on broader system benefits will be </w:t>
      </w:r>
      <w:r w:rsidR="004A512E">
        <w:t>weighted more heavily</w:t>
      </w:r>
      <w:r>
        <w:t>. Furthermore, the Project’s ability to reduce market price volatility</w:t>
      </w:r>
      <w:r w:rsidR="004A512E">
        <w:t xml:space="preserve"> will be considered</w:t>
      </w:r>
      <w:r w:rsidR="002E1E92">
        <w:t>.</w:t>
      </w:r>
      <w:r>
        <w:t xml:space="preserve"> </w:t>
      </w:r>
    </w:p>
    <w:p w14:paraId="5544E524" w14:textId="77777777" w:rsidR="002A44AD" w:rsidRPr="00637EE9" w:rsidRDefault="002A44AD" w:rsidP="002A44AD">
      <w:pPr>
        <w:pStyle w:val="Caption"/>
      </w:pPr>
      <w:r w:rsidRPr="00C01156">
        <w:t>C</w:t>
      </w:r>
      <w:r w:rsidRPr="00637EE9">
        <w:t>ommercial departures</w:t>
      </w:r>
    </w:p>
    <w:p w14:paraId="4F176726" w14:textId="77777777" w:rsidR="002A44AD" w:rsidRPr="00637EE9" w:rsidRDefault="002A44AD" w:rsidP="002A44AD">
      <w:r w:rsidRPr="00637EE9">
        <w:t>Stage B will also assess the competitiveness of a project’s key bid variables, proposed commercial risk allocation and additional administrative burden from the proforma Project Documents.</w:t>
      </w:r>
    </w:p>
    <w:p w14:paraId="4FDD0B2C" w14:textId="77777777" w:rsidR="002A44AD" w:rsidRPr="00637EE9" w:rsidRDefault="002A44AD" w:rsidP="002A44AD">
      <w:pPr>
        <w:pStyle w:val="Caption"/>
      </w:pPr>
      <w:r w:rsidRPr="00C01156">
        <w:t>S</w:t>
      </w:r>
      <w:r w:rsidRPr="00637EE9">
        <w:t>ocial licence commitments</w:t>
      </w:r>
    </w:p>
    <w:p w14:paraId="6E02862D" w14:textId="77777777" w:rsidR="002A44AD" w:rsidRPr="00637EE9" w:rsidRDefault="002A44AD" w:rsidP="002A44AD">
      <w:r w:rsidRPr="00637EE9">
        <w:t xml:space="preserve">Proponents and projects will be assessed on their social licence commitments and shared benefits established, or to be established within the project’s community. These assessments may consider if the project has: </w:t>
      </w:r>
    </w:p>
    <w:p w14:paraId="71E25B77" w14:textId="77777777" w:rsidR="002A44AD" w:rsidRPr="00637EE9" w:rsidRDefault="002A44AD" w:rsidP="002A44AD">
      <w:pPr>
        <w:pStyle w:val="ListBullet"/>
      </w:pPr>
      <w:r w:rsidRPr="00637EE9">
        <w:t>Incorporated local community interests in the design process.</w:t>
      </w:r>
    </w:p>
    <w:p w14:paraId="13DBCC75" w14:textId="77777777" w:rsidR="002A44AD" w:rsidRPr="00637EE9" w:rsidRDefault="002A44AD" w:rsidP="002A44AD">
      <w:pPr>
        <w:pStyle w:val="ListBullet"/>
      </w:pPr>
      <w:r w:rsidRPr="00637EE9">
        <w:t>Committed to include local employment and training of apprentices.</w:t>
      </w:r>
    </w:p>
    <w:p w14:paraId="723F7174" w14:textId="77777777" w:rsidR="002A44AD" w:rsidRPr="00637EE9" w:rsidRDefault="002A44AD" w:rsidP="002A44AD">
      <w:pPr>
        <w:pStyle w:val="ListBullet"/>
      </w:pPr>
      <w:r w:rsidRPr="00637EE9">
        <w:t>Demonstrated benefits to the Australian supply chain market.</w:t>
      </w:r>
    </w:p>
    <w:p w14:paraId="06F05DE3" w14:textId="3DB90160" w:rsidR="002A44AD" w:rsidRDefault="002A44AD" w:rsidP="002A44AD">
      <w:r w:rsidRPr="00637EE9">
        <w:lastRenderedPageBreak/>
        <w:t>This</w:t>
      </w:r>
      <w:r w:rsidRPr="00637EE9" w:rsidDel="00877ACE">
        <w:t xml:space="preserve"> </w:t>
      </w:r>
      <w:r>
        <w:t>merit</w:t>
      </w:r>
      <w:r w:rsidRPr="00637EE9">
        <w:t xml:space="preserve"> criterion may also consider the degree to which a project demonstrates substantial development of strategies and activities to ensure </w:t>
      </w:r>
      <w:r>
        <w:t xml:space="preserve">the </w:t>
      </w:r>
      <w:r w:rsidRPr="00637EE9">
        <w:t xml:space="preserve">successful implementation of their social licence commitments. </w:t>
      </w:r>
    </w:p>
    <w:p w14:paraId="6C434AEC" w14:textId="77777777" w:rsidR="00805116" w:rsidRDefault="00805116" w:rsidP="00805116">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6C9E396A" w14:textId="3C619DB8" w:rsidR="00805116" w:rsidRDefault="00805116" w:rsidP="00805116">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Merit and eligibility criteria</w:t>
      </w:r>
      <w:r w:rsidRPr="00877ACE">
        <w:rPr>
          <w:lang w:val="en-GB" w:eastAsia="en-AU"/>
        </w:rPr>
        <w:t xml:space="preserve">: </w:t>
      </w:r>
    </w:p>
    <w:p w14:paraId="0D0D971D" w14:textId="038F82C2" w:rsidR="00805116" w:rsidRDefault="00805116" w:rsidP="00805116">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We welcome feedback on the proposed eligibility and merit criteria</w:t>
      </w:r>
      <w:r w:rsidR="004A16D3">
        <w:rPr>
          <w:lang w:val="en-GB" w:eastAsia="en-AU"/>
        </w:rPr>
        <w:t>.</w:t>
      </w:r>
    </w:p>
    <w:p w14:paraId="4E4E92EC" w14:textId="77777777" w:rsidR="002A44AD" w:rsidRPr="002C2345" w:rsidRDefault="002A44AD" w:rsidP="002A44AD">
      <w:pPr>
        <w:pStyle w:val="Heading3"/>
      </w:pPr>
      <w:bookmarkStart w:id="155" w:name="_Toc462712790"/>
      <w:bookmarkStart w:id="156" w:name="_Toc158651021"/>
      <w:bookmarkStart w:id="157" w:name="_Toc160117903"/>
      <w:r w:rsidRPr="002C2345">
        <w:t xml:space="preserve">Approach to assessing hybrid </w:t>
      </w:r>
      <w:proofErr w:type="gramStart"/>
      <w:r w:rsidRPr="002C2345">
        <w:t>projects</w:t>
      </w:r>
      <w:bookmarkEnd w:id="155"/>
      <w:bookmarkEnd w:id="156"/>
      <w:bookmarkEnd w:id="157"/>
      <w:proofErr w:type="gramEnd"/>
      <w:r w:rsidRPr="002C2345">
        <w:t xml:space="preserve"> </w:t>
      </w:r>
    </w:p>
    <w:p w14:paraId="3767502F" w14:textId="51173207" w:rsidR="002A44AD" w:rsidRPr="00637EE9" w:rsidRDefault="002A44AD" w:rsidP="002A44AD">
      <w:pPr>
        <w:rPr>
          <w:lang w:val="en-GB" w:eastAsia="en-AU"/>
        </w:rPr>
      </w:pPr>
      <w:r w:rsidRPr="00637EE9">
        <w:rPr>
          <w:lang w:val="en-GB" w:eastAsia="en-AU"/>
        </w:rPr>
        <w:t xml:space="preserve">Under the CIS, hybrid projects are only intended to be eligible for the </w:t>
      </w:r>
      <w:r>
        <w:rPr>
          <w:lang w:val="en-GB" w:eastAsia="en-AU"/>
        </w:rPr>
        <w:t>generation</w:t>
      </w:r>
      <w:r w:rsidRPr="00637EE9">
        <w:rPr>
          <w:lang w:val="en-GB" w:eastAsia="en-AU"/>
        </w:rPr>
        <w:t xml:space="preserve"> </w:t>
      </w:r>
      <w:r>
        <w:rPr>
          <w:lang w:val="en-GB" w:eastAsia="en-AU"/>
        </w:rPr>
        <w:t>CISA</w:t>
      </w:r>
      <w:r w:rsidRPr="00637EE9">
        <w:rPr>
          <w:lang w:val="en-GB" w:eastAsia="en-AU"/>
        </w:rPr>
        <w:t xml:space="preserve"> and are expected to be defined</w:t>
      </w:r>
      <w:r w:rsidR="00C448DE">
        <w:rPr>
          <w:lang w:val="en-GB" w:eastAsia="en-AU"/>
        </w:rPr>
        <w:t xml:space="preserve"> </w:t>
      </w:r>
      <w:r w:rsidRPr="00637EE9">
        <w:rPr>
          <w:lang w:val="en-GB" w:eastAsia="en-AU"/>
        </w:rPr>
        <w:t>as co-located generation and energy storage assets where both assets:</w:t>
      </w:r>
    </w:p>
    <w:p w14:paraId="117BFCDC" w14:textId="77777777" w:rsidR="002A44AD" w:rsidRPr="00637EE9" w:rsidRDefault="002A44AD" w:rsidP="002A44AD">
      <w:pPr>
        <w:pStyle w:val="ListBullet"/>
        <w:rPr>
          <w:lang w:val="en-GB" w:eastAsia="en-AU"/>
        </w:rPr>
      </w:pPr>
      <w:r>
        <w:rPr>
          <w:lang w:val="en-GB" w:eastAsia="en-AU"/>
        </w:rPr>
        <w:t>S</w:t>
      </w:r>
      <w:r w:rsidRPr="00637EE9">
        <w:rPr>
          <w:lang w:val="en-GB" w:eastAsia="en-AU"/>
        </w:rPr>
        <w:t>hare a common connection point</w:t>
      </w:r>
      <w:r>
        <w:rPr>
          <w:lang w:val="en-GB" w:eastAsia="en-AU"/>
        </w:rPr>
        <w:t>.</w:t>
      </w:r>
    </w:p>
    <w:p w14:paraId="5CA038F8" w14:textId="77777777" w:rsidR="002A44AD" w:rsidRPr="00637EE9" w:rsidRDefault="002A44AD" w:rsidP="002A44AD">
      <w:pPr>
        <w:pStyle w:val="ListBullet"/>
        <w:rPr>
          <w:lang w:val="en-GB" w:eastAsia="en-AU"/>
        </w:rPr>
      </w:pPr>
      <w:r>
        <w:rPr>
          <w:lang w:val="en-GB" w:eastAsia="en-AU"/>
        </w:rPr>
        <w:t>A</w:t>
      </w:r>
      <w:r w:rsidRPr="00637EE9">
        <w:rPr>
          <w:lang w:val="en-GB" w:eastAsia="en-AU"/>
        </w:rPr>
        <w:t>re registered (or intend to register) with AEMO as an Integrated Resource Provider.</w:t>
      </w:r>
    </w:p>
    <w:p w14:paraId="09B67304" w14:textId="7AD3A336" w:rsidR="002A44AD" w:rsidRPr="00637EE9" w:rsidRDefault="002A44AD" w:rsidP="002A44AD">
      <w:pPr>
        <w:rPr>
          <w:lang w:val="en-GB" w:eastAsia="en-AU"/>
        </w:rPr>
      </w:pPr>
      <w:r w:rsidRPr="00637EE9">
        <w:rPr>
          <w:lang w:val="en-GB" w:eastAsia="en-AU"/>
        </w:rPr>
        <w:t xml:space="preserve">For clarity, projects that combine multiple generation assets (e.g., wind and solar), or multiple energy storage assets (e.g., </w:t>
      </w:r>
      <w:bookmarkStart w:id="158" w:name="_Int_nMR17z5i"/>
      <w:r w:rsidRPr="00637EE9">
        <w:rPr>
          <w:lang w:val="en-GB" w:eastAsia="en-AU"/>
        </w:rPr>
        <w:t>BESS</w:t>
      </w:r>
      <w:bookmarkEnd w:id="158"/>
      <w:r w:rsidRPr="00637EE9">
        <w:rPr>
          <w:lang w:val="en-GB" w:eastAsia="en-AU"/>
        </w:rPr>
        <w:t xml:space="preserve"> and pumped</w:t>
      </w:r>
      <w:r w:rsidR="403C39BF" w:rsidRPr="4E145398">
        <w:rPr>
          <w:lang w:val="en-GB" w:eastAsia="en-AU"/>
        </w:rPr>
        <w:t xml:space="preserve"> hydro</w:t>
      </w:r>
      <w:r w:rsidRPr="00637EE9">
        <w:rPr>
          <w:lang w:val="en-GB" w:eastAsia="en-AU"/>
        </w:rPr>
        <w:t xml:space="preserve">), that share a common connection point are not expected to be considered a hybrid project. Instead, these projects will be treated as either a single </w:t>
      </w:r>
      <w:r>
        <w:rPr>
          <w:lang w:val="en-GB" w:eastAsia="en-AU"/>
        </w:rPr>
        <w:t>generation</w:t>
      </w:r>
      <w:r w:rsidRPr="00637EE9">
        <w:rPr>
          <w:lang w:val="en-GB" w:eastAsia="en-AU"/>
        </w:rPr>
        <w:t xml:space="preserve"> or </w:t>
      </w:r>
      <w:r>
        <w:rPr>
          <w:lang w:val="en-GB" w:eastAsia="en-AU"/>
        </w:rPr>
        <w:t>clean dispatchable</w:t>
      </w:r>
      <w:r w:rsidRPr="00637EE9">
        <w:rPr>
          <w:lang w:val="en-GB" w:eastAsia="en-AU"/>
        </w:rPr>
        <w:t xml:space="preserve"> project for assessment and contracting.</w:t>
      </w:r>
    </w:p>
    <w:p w14:paraId="376709AA" w14:textId="77777777" w:rsidR="002A44AD" w:rsidRPr="008F5E91" w:rsidRDefault="002A44AD" w:rsidP="002A44AD">
      <w:r w:rsidRPr="008F5E91">
        <w:t xml:space="preserve">The generation CISA </w:t>
      </w:r>
      <w:r>
        <w:t xml:space="preserve">will accommodate multiple hybrid contract configurations and </w:t>
      </w:r>
      <w:r w:rsidRPr="008F5E91">
        <w:t xml:space="preserve">may require amendments and additional obligations to enable </w:t>
      </w:r>
      <w:r>
        <w:t xml:space="preserve">novel </w:t>
      </w:r>
      <w:r w:rsidRPr="008F5E91">
        <w:t>hybrid project configurations.</w:t>
      </w:r>
    </w:p>
    <w:p w14:paraId="06EA94DB" w14:textId="77777777" w:rsidR="002A44AD" w:rsidRPr="00551ACC" w:rsidRDefault="002A44AD" w:rsidP="002A44AD">
      <w:pPr>
        <w:pStyle w:val="Heading4"/>
      </w:pPr>
      <w:bookmarkStart w:id="159" w:name="_Toc158651022"/>
      <w:r w:rsidRPr="00551ACC">
        <w:t>Associated assets</w:t>
      </w:r>
      <w:bookmarkEnd w:id="159"/>
    </w:p>
    <w:p w14:paraId="705D3DB8" w14:textId="7D37127E" w:rsidR="002A44AD" w:rsidRPr="00637EE9" w:rsidRDefault="002A44AD" w:rsidP="002A44AD">
      <w:pPr>
        <w:rPr>
          <w:lang w:val="en-GB" w:eastAsia="en-AU"/>
        </w:rPr>
      </w:pPr>
      <w:r w:rsidRPr="00637EE9">
        <w:rPr>
          <w:lang w:val="en-GB" w:eastAsia="en-AU"/>
        </w:rPr>
        <w:t xml:space="preserve">If a project elects to bid as a hybrid project, the project’s energy storage asset would automatically be defined as an Associated Asset and the generation asset (subject to the generation asset meeting the required eligibility criteria) would be eligible for a </w:t>
      </w:r>
      <w:r>
        <w:rPr>
          <w:lang w:val="en-GB" w:eastAsia="en-AU"/>
        </w:rPr>
        <w:t>generation</w:t>
      </w:r>
      <w:r w:rsidRPr="00637EE9">
        <w:rPr>
          <w:lang w:val="en-GB" w:eastAsia="en-AU"/>
        </w:rPr>
        <w:t xml:space="preserve"> </w:t>
      </w:r>
      <w:r>
        <w:rPr>
          <w:lang w:val="en-GB" w:eastAsia="en-AU"/>
        </w:rPr>
        <w:t>CISA</w:t>
      </w:r>
      <w:r w:rsidRPr="00637EE9">
        <w:rPr>
          <w:lang w:val="en-GB" w:eastAsia="en-AU"/>
        </w:rPr>
        <w:t xml:space="preserve">. The Associated Asset would not be eligible for a </w:t>
      </w:r>
      <w:r w:rsidR="31F6418F" w:rsidRPr="1050DDF0">
        <w:rPr>
          <w:lang w:val="en-GB" w:eastAsia="en-AU"/>
        </w:rPr>
        <w:t>C</w:t>
      </w:r>
      <w:r w:rsidRPr="1050DDF0">
        <w:rPr>
          <w:lang w:val="en-GB" w:eastAsia="en-AU"/>
        </w:rPr>
        <w:t>lean</w:t>
      </w:r>
      <w:r>
        <w:rPr>
          <w:lang w:val="en-GB" w:eastAsia="en-AU"/>
        </w:rPr>
        <w:t xml:space="preserve"> </w:t>
      </w:r>
      <w:r w:rsidR="417431FC" w:rsidRPr="7C347E9C">
        <w:rPr>
          <w:lang w:val="en-GB" w:eastAsia="en-AU"/>
        </w:rPr>
        <w:t>D</w:t>
      </w:r>
      <w:r w:rsidRPr="7C347E9C">
        <w:rPr>
          <w:lang w:val="en-GB" w:eastAsia="en-AU"/>
        </w:rPr>
        <w:t>ispatchable</w:t>
      </w:r>
      <w:r w:rsidRPr="00637EE9">
        <w:rPr>
          <w:lang w:val="en-GB" w:eastAsia="en-AU"/>
        </w:rPr>
        <w:t xml:space="preserve"> </w:t>
      </w:r>
      <w:r>
        <w:rPr>
          <w:lang w:val="en-GB" w:eastAsia="en-AU"/>
        </w:rPr>
        <w:t>CISA</w:t>
      </w:r>
      <w:r w:rsidRPr="00637EE9">
        <w:rPr>
          <w:lang w:val="en-GB" w:eastAsia="en-AU"/>
        </w:rPr>
        <w:t>.</w:t>
      </w:r>
    </w:p>
    <w:p w14:paraId="4415A378" w14:textId="1A125D8D" w:rsidR="002A44AD" w:rsidRPr="00637EE9" w:rsidRDefault="002A44AD" w:rsidP="002A44AD">
      <w:pPr>
        <w:rPr>
          <w:lang w:val="en-GB" w:eastAsia="en-AU"/>
        </w:rPr>
      </w:pPr>
      <w:r w:rsidRPr="00637EE9">
        <w:rPr>
          <w:lang w:val="en-GB" w:eastAsia="en-AU"/>
        </w:rPr>
        <w:t xml:space="preserve">The benefits of bidding as a hybrid project, despite only the generation asset receiving underwriting support, will be that the Associated Asset will be able to provide system reliability and other system benefit services which will contribute toward a more competitive merit assessment compared with non-hybrid projects. The disadvantage to bidding as a hybrid project </w:t>
      </w:r>
      <w:r w:rsidR="007502CD">
        <w:rPr>
          <w:lang w:val="en-GB" w:eastAsia="en-AU"/>
        </w:rPr>
        <w:t>include</w:t>
      </w:r>
      <w:r w:rsidRPr="00637EE9">
        <w:rPr>
          <w:lang w:val="en-GB" w:eastAsia="en-AU"/>
        </w:rPr>
        <w:t xml:space="preserve"> the expected increased price bid variables </w:t>
      </w:r>
      <w:r w:rsidR="00CE4C06">
        <w:rPr>
          <w:lang w:val="en-GB" w:eastAsia="en-AU"/>
        </w:rPr>
        <w:t xml:space="preserve">that may be </w:t>
      </w:r>
      <w:r w:rsidRPr="00637EE9">
        <w:rPr>
          <w:lang w:val="en-GB" w:eastAsia="en-AU"/>
        </w:rPr>
        <w:t>required by project Proponents to meet their required return on investment in both the generation and Associated Asset. The interplay between these criteria will determine how a hybrid project performs compared to non-hybrid projects.</w:t>
      </w:r>
    </w:p>
    <w:p w14:paraId="0D2D1487" w14:textId="19187350" w:rsidR="002A44AD" w:rsidRPr="00637EE9" w:rsidRDefault="002A44AD" w:rsidP="002A44AD">
      <w:pPr>
        <w:rPr>
          <w:lang w:val="en-GB" w:eastAsia="en-AU"/>
        </w:rPr>
      </w:pPr>
      <w:r w:rsidRPr="00637EE9">
        <w:rPr>
          <w:lang w:val="en-GB" w:eastAsia="en-AU"/>
        </w:rPr>
        <w:t xml:space="preserve">The CIS intends to incentivise hybrid projects given the materially higher benefits to the market and consumers. This approach is considered to deliver more firm renewable energy into the Australian energy markets at lower cost to taxpayers and the assessment approach would be designed to recognise the value of this benefit. Additional information on the assessment of reliability benefits will be provided in the relevant </w:t>
      </w:r>
      <w:r>
        <w:rPr>
          <w:lang w:val="en-GB" w:eastAsia="en-AU"/>
        </w:rPr>
        <w:t>T</w:t>
      </w:r>
      <w:r w:rsidRPr="00637EE9">
        <w:rPr>
          <w:lang w:val="en-GB" w:eastAsia="en-AU"/>
        </w:rPr>
        <w:t xml:space="preserve">ender </w:t>
      </w:r>
      <w:r>
        <w:rPr>
          <w:lang w:val="en-GB" w:eastAsia="en-AU"/>
        </w:rPr>
        <w:t>G</w:t>
      </w:r>
      <w:r w:rsidRPr="00637EE9">
        <w:rPr>
          <w:lang w:val="en-GB" w:eastAsia="en-AU"/>
        </w:rPr>
        <w:t xml:space="preserve">uidelines. </w:t>
      </w:r>
    </w:p>
    <w:p w14:paraId="15794208" w14:textId="77777777" w:rsidR="002A44AD" w:rsidRPr="00D54514" w:rsidRDefault="002A44AD" w:rsidP="002A44AD">
      <w:pPr>
        <w:pStyle w:val="Heading4"/>
      </w:pPr>
      <w:bookmarkStart w:id="160" w:name="_Toc158051295"/>
      <w:bookmarkStart w:id="161" w:name="_Toc158051452"/>
      <w:bookmarkStart w:id="162" w:name="_Toc158651023"/>
      <w:bookmarkEnd w:id="160"/>
      <w:bookmarkEnd w:id="161"/>
      <w:r w:rsidRPr="00D54514">
        <w:t>Hybrid project bidding options</w:t>
      </w:r>
      <w:bookmarkEnd w:id="162"/>
    </w:p>
    <w:p w14:paraId="67E6EF37" w14:textId="20FF7A4A" w:rsidR="002A44AD" w:rsidRPr="00A1006E" w:rsidRDefault="002A44AD" w:rsidP="002A44AD">
      <w:pPr>
        <w:rPr>
          <w:lang w:val="en-GB" w:eastAsia="en-AU"/>
        </w:rPr>
      </w:pPr>
      <w:r w:rsidRPr="00A1006E">
        <w:rPr>
          <w:lang w:val="en-GB" w:eastAsia="en-AU"/>
        </w:rPr>
        <w:t xml:space="preserve">If a project bids as a hybrid </w:t>
      </w:r>
      <w:bookmarkStart w:id="163" w:name="_Int_l8FBy5ke"/>
      <w:proofErr w:type="gramStart"/>
      <w:r w:rsidRPr="00A1006E">
        <w:rPr>
          <w:lang w:val="en-GB" w:eastAsia="en-AU"/>
        </w:rPr>
        <w:t>project</w:t>
      </w:r>
      <w:bookmarkEnd w:id="163"/>
      <w:proofErr w:type="gramEnd"/>
      <w:r w:rsidRPr="00A1006E">
        <w:rPr>
          <w:lang w:val="en-GB" w:eastAsia="en-AU"/>
        </w:rPr>
        <w:t xml:space="preserve"> it will be contractually obliged to deliver both the generation and the energy storage assets</w:t>
      </w:r>
      <w:r>
        <w:rPr>
          <w:lang w:val="en-GB" w:eastAsia="en-AU"/>
        </w:rPr>
        <w:t xml:space="preserve">. </w:t>
      </w:r>
      <w:r w:rsidRPr="00A1006E">
        <w:rPr>
          <w:lang w:val="en-GB" w:eastAsia="en-AU"/>
        </w:rPr>
        <w:t xml:space="preserve">If a Proponent is unsure of its intention or ability to deliver the associated asset, and therefore does not wish to contractually commit to its delivery, then the benefits of the </w:t>
      </w:r>
      <w:r w:rsidRPr="00A1006E">
        <w:rPr>
          <w:lang w:val="en-GB" w:eastAsia="en-AU"/>
        </w:rPr>
        <w:lastRenderedPageBreak/>
        <w:t xml:space="preserve">associated asset will not be included in the merit assessment. Such a project would be assessed as a standalone generation project. </w:t>
      </w:r>
    </w:p>
    <w:p w14:paraId="7B56FA2B" w14:textId="77777777" w:rsidR="002A44AD" w:rsidRDefault="002A44AD" w:rsidP="002A44AD">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HAVE YOUR SAY</w:t>
      </w:r>
    </w:p>
    <w:p w14:paraId="52C835A9" w14:textId="77777777" w:rsidR="002A44AD" w:rsidRDefault="002A44AD" w:rsidP="002A44AD">
      <w:pPr>
        <w:pStyle w:val="BoxHeading"/>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Participation of hybrid projects:</w:t>
      </w:r>
    </w:p>
    <w:p w14:paraId="65BF7FEA" w14:textId="77777777" w:rsidR="002A44AD" w:rsidRPr="00A1006E" w:rsidRDefault="002A44AD" w:rsidP="002A44AD">
      <w:pPr>
        <w:pStyle w:val="BoxText"/>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We welcome feedback on the approach to the inclusion of hybrid projects:</w:t>
      </w:r>
    </w:p>
    <w:p w14:paraId="7E9B26F2" w14:textId="77777777" w:rsidR="002A44AD" w:rsidRPr="00A1006E" w:rsidRDefault="002A44AD" w:rsidP="000B0C35">
      <w:pPr>
        <w:pStyle w:val="BoxText"/>
        <w:numPr>
          <w:ilvl w:val="0"/>
          <w:numId w:val="17"/>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Would the proposed approach enable the better participation of hybrid projects in CIS tenders?</w:t>
      </w:r>
    </w:p>
    <w:p w14:paraId="2132042F" w14:textId="0540FD2C" w:rsidR="002A44AD" w:rsidRPr="00A1006E" w:rsidRDefault="002A44AD" w:rsidP="000B0C35">
      <w:pPr>
        <w:pStyle w:val="BoxText"/>
        <w:numPr>
          <w:ilvl w:val="0"/>
          <w:numId w:val="17"/>
        </w:numPr>
        <w:pBdr>
          <w:top w:val="none" w:sz="0" w:space="0" w:color="auto"/>
          <w:left w:val="none" w:sz="0" w:space="0" w:color="auto"/>
          <w:bottom w:val="none" w:sz="0" w:space="0" w:color="auto"/>
          <w:right w:val="none" w:sz="0" w:space="0" w:color="auto"/>
        </w:pBdr>
        <w:shd w:val="clear" w:color="auto" w:fill="D8F2EE" w:themeFill="accent2" w:themeFillTint="33"/>
        <w:rPr>
          <w:lang w:val="en-GB" w:eastAsia="en-AU"/>
        </w:rPr>
      </w:pPr>
      <w:r>
        <w:rPr>
          <w:lang w:val="en-GB" w:eastAsia="en-AU"/>
        </w:rPr>
        <w:t xml:space="preserve">Would your organisation consider bidding for separate clean dispatchable capacity and generation CISA for the components of a hybrid? Would the proposed schedule that includes simultaneous clean dispatchable capacity and generation tenders (detailed in section </w:t>
      </w:r>
      <w:r>
        <w:rPr>
          <w:lang w:val="en-GB" w:eastAsia="en-AU"/>
        </w:rPr>
        <w:fldChar w:fldCharType="begin"/>
      </w:r>
      <w:r>
        <w:rPr>
          <w:lang w:val="en-GB" w:eastAsia="en-AU"/>
        </w:rPr>
        <w:instrText xml:space="preserve"> REF _Ref159485380 \r \h </w:instrText>
      </w:r>
      <w:r>
        <w:rPr>
          <w:lang w:val="en-GB" w:eastAsia="en-AU"/>
        </w:rPr>
      </w:r>
      <w:r>
        <w:rPr>
          <w:lang w:val="en-GB" w:eastAsia="en-AU"/>
        </w:rPr>
        <w:fldChar w:fldCharType="separate"/>
      </w:r>
      <w:r w:rsidR="00590988">
        <w:rPr>
          <w:lang w:val="en-GB" w:eastAsia="en-AU"/>
        </w:rPr>
        <w:t>1.1.3</w:t>
      </w:r>
      <w:r>
        <w:rPr>
          <w:lang w:val="en-GB" w:eastAsia="en-AU"/>
        </w:rPr>
        <w:fldChar w:fldCharType="end"/>
      </w:r>
      <w:r>
        <w:rPr>
          <w:lang w:val="en-GB" w:eastAsia="en-AU"/>
        </w:rPr>
        <w:t>) support this option?</w:t>
      </w:r>
    </w:p>
    <w:p w14:paraId="16D732B4" w14:textId="77777777" w:rsidR="002A44AD" w:rsidRPr="00660EA5" w:rsidRDefault="002A44AD" w:rsidP="002A44AD">
      <w:pPr>
        <w:pStyle w:val="Heading3"/>
      </w:pPr>
      <w:bookmarkStart w:id="164" w:name="_Toc158651024"/>
      <w:bookmarkStart w:id="165" w:name="_Toc160117904"/>
      <w:r w:rsidRPr="00660EA5">
        <w:t xml:space="preserve">Approach to assessing dispatchable renewable generation </w:t>
      </w:r>
      <w:proofErr w:type="gramStart"/>
      <w:r w:rsidRPr="00660EA5">
        <w:t>projects</w:t>
      </w:r>
      <w:bookmarkEnd w:id="164"/>
      <w:bookmarkEnd w:id="165"/>
      <w:proofErr w:type="gramEnd"/>
      <w:r w:rsidRPr="00660EA5">
        <w:t xml:space="preserve"> </w:t>
      </w:r>
    </w:p>
    <w:p w14:paraId="58C0DCA2" w14:textId="77777777" w:rsidR="002A44AD" w:rsidRPr="00D02C68" w:rsidRDefault="002A44AD" w:rsidP="002A44AD">
      <w:pPr>
        <w:rPr>
          <w:lang w:val="en-GB" w:eastAsia="en-AU"/>
        </w:rPr>
      </w:pPr>
      <w:r w:rsidRPr="00D02C68">
        <w:rPr>
          <w:lang w:val="en-GB" w:eastAsia="en-AU"/>
        </w:rPr>
        <w:t xml:space="preserve">Project Proponents should carefully consider whether the fuel source and technology type of their project would compete well against batteries and </w:t>
      </w:r>
      <w:r>
        <w:rPr>
          <w:lang w:val="en-GB" w:eastAsia="en-AU"/>
        </w:rPr>
        <w:t xml:space="preserve">other </w:t>
      </w:r>
      <w:r w:rsidRPr="00D02C68">
        <w:rPr>
          <w:lang w:val="en-GB" w:eastAsia="en-AU"/>
        </w:rPr>
        <w:t xml:space="preserve">generation assets </w:t>
      </w:r>
      <w:r>
        <w:rPr>
          <w:lang w:val="en-GB" w:eastAsia="en-AU"/>
        </w:rPr>
        <w:t>(</w:t>
      </w:r>
      <w:r w:rsidRPr="00D02C68">
        <w:rPr>
          <w:lang w:val="en-GB" w:eastAsia="en-AU"/>
        </w:rPr>
        <w:t>such as wind and solar</w:t>
      </w:r>
      <w:r>
        <w:rPr>
          <w:lang w:val="en-GB" w:eastAsia="en-AU"/>
        </w:rPr>
        <w:t>)</w:t>
      </w:r>
      <w:r w:rsidRPr="00D02C68">
        <w:rPr>
          <w:lang w:val="en-GB" w:eastAsia="en-AU"/>
        </w:rPr>
        <w:t xml:space="preserve"> against the </w:t>
      </w:r>
      <w:r>
        <w:rPr>
          <w:lang w:val="en-GB" w:eastAsia="en-AU"/>
        </w:rPr>
        <w:t>M</w:t>
      </w:r>
      <w:r w:rsidRPr="00D02C68">
        <w:rPr>
          <w:lang w:val="en-GB" w:eastAsia="en-AU"/>
        </w:rPr>
        <w:t xml:space="preserve">erit </w:t>
      </w:r>
      <w:r>
        <w:rPr>
          <w:lang w:val="en-GB" w:eastAsia="en-AU"/>
        </w:rPr>
        <w:t>C</w:t>
      </w:r>
      <w:r w:rsidRPr="00D02C68">
        <w:rPr>
          <w:lang w:val="en-GB" w:eastAsia="en-AU"/>
        </w:rPr>
        <w:t>riteria discussed in Section 4.2.</w:t>
      </w:r>
    </w:p>
    <w:p w14:paraId="79DD2A5C" w14:textId="0ABDC4C4" w:rsidR="002A44AD" w:rsidRPr="0034509F" w:rsidRDefault="002A44AD" w:rsidP="002A44AD">
      <w:pPr>
        <w:rPr>
          <w:lang w:val="en-GB" w:eastAsia="en-AU"/>
        </w:rPr>
      </w:pPr>
      <w:r w:rsidRPr="0034509F">
        <w:rPr>
          <w:lang w:val="en-GB" w:eastAsia="en-AU"/>
        </w:rPr>
        <w:t xml:space="preserve">The assessment of reliability benefits for dispatchable projects bidding for a </w:t>
      </w:r>
      <w:r w:rsidR="6878EA76" w:rsidRPr="513488A7">
        <w:rPr>
          <w:lang w:val="en-GB" w:eastAsia="en-AU"/>
        </w:rPr>
        <w:t>C</w:t>
      </w:r>
      <w:r w:rsidRPr="513488A7">
        <w:rPr>
          <w:lang w:val="en-GB" w:eastAsia="en-AU"/>
        </w:rPr>
        <w:t xml:space="preserve">lean </w:t>
      </w:r>
      <w:r w:rsidR="3FC7235B" w:rsidRPr="513488A7">
        <w:rPr>
          <w:lang w:val="en-GB" w:eastAsia="en-AU"/>
        </w:rPr>
        <w:t>D</w:t>
      </w:r>
      <w:r w:rsidRPr="513488A7">
        <w:rPr>
          <w:lang w:val="en-GB" w:eastAsia="en-AU"/>
        </w:rPr>
        <w:t>ispatchable</w:t>
      </w:r>
      <w:r w:rsidRPr="0034509F">
        <w:rPr>
          <w:lang w:val="en-GB" w:eastAsia="en-AU"/>
        </w:rPr>
        <w:t xml:space="preserve"> CISA will vary depending on the technology type of the generating unit. It is acknowledged that the dispatch profiles of e.g., Energy from Waste (EfW) and biomass projects will differ from conventional battery energy storage systems (BESS) given exposure to higher price events.</w:t>
      </w:r>
    </w:p>
    <w:p w14:paraId="34AF00C3" w14:textId="4D9BA3C4" w:rsidR="002A44AD" w:rsidRDefault="002A44AD" w:rsidP="002A44AD">
      <w:pPr>
        <w:rPr>
          <w:lang w:val="en-GB" w:eastAsia="en-AU"/>
        </w:rPr>
      </w:pPr>
      <w:r w:rsidRPr="00637EE9">
        <w:rPr>
          <w:lang w:val="en-GB" w:eastAsia="en-AU"/>
        </w:rPr>
        <w:t xml:space="preserve">Additional information on the assessment of reliability benefits of differing dispatchable technologies will be provided in the relevant </w:t>
      </w:r>
      <w:r>
        <w:rPr>
          <w:lang w:val="en-GB" w:eastAsia="en-AU"/>
        </w:rPr>
        <w:t>T</w:t>
      </w:r>
      <w:r w:rsidRPr="00637EE9">
        <w:rPr>
          <w:lang w:val="en-GB" w:eastAsia="en-AU"/>
        </w:rPr>
        <w:t xml:space="preserve">ender </w:t>
      </w:r>
      <w:r>
        <w:rPr>
          <w:lang w:val="en-GB" w:eastAsia="en-AU"/>
        </w:rPr>
        <w:t>G</w:t>
      </w:r>
      <w:r w:rsidRPr="00637EE9">
        <w:rPr>
          <w:lang w:val="en-GB" w:eastAsia="en-AU"/>
        </w:rPr>
        <w:t>uidelines.</w:t>
      </w:r>
    </w:p>
    <w:p w14:paraId="38BCFDB3" w14:textId="77777777" w:rsidR="002A44AD" w:rsidRDefault="002A44AD" w:rsidP="002A44AD">
      <w:pPr>
        <w:pStyle w:val="Heading2"/>
      </w:pPr>
      <w:bookmarkStart w:id="166" w:name="_Toc430782160"/>
      <w:r>
        <w:br w:type="page"/>
      </w:r>
    </w:p>
    <w:p w14:paraId="455D9318" w14:textId="0AA730C7" w:rsidR="002A44AD" w:rsidRPr="00B00138" w:rsidRDefault="002A44AD" w:rsidP="002A44AD">
      <w:pPr>
        <w:pStyle w:val="Heading2"/>
      </w:pPr>
      <w:bookmarkStart w:id="167" w:name="_Toc160117905"/>
      <w:r>
        <w:lastRenderedPageBreak/>
        <w:t xml:space="preserve">Appendix 1 – </w:t>
      </w:r>
      <w:r w:rsidRPr="00B00138">
        <w:t xml:space="preserve">Key changes made in response to feedback </w:t>
      </w:r>
      <w:r>
        <w:t>on</w:t>
      </w:r>
      <w:r w:rsidRPr="00B00138">
        <w:t xml:space="preserve"> the August</w:t>
      </w:r>
      <w:r w:rsidR="00A92AD7">
        <w:t> </w:t>
      </w:r>
      <w:r w:rsidRPr="00B00138">
        <w:t>2023</w:t>
      </w:r>
      <w:r>
        <w:t xml:space="preserve"> </w:t>
      </w:r>
      <w:r w:rsidRPr="00B00138">
        <w:t xml:space="preserve">CIS public </w:t>
      </w:r>
      <w:proofErr w:type="gramStart"/>
      <w:r w:rsidRPr="00B00138">
        <w:t>consultation</w:t>
      </w:r>
      <w:bookmarkEnd w:id="167"/>
      <w:proofErr w:type="gramEnd"/>
    </w:p>
    <w:p w14:paraId="31E0DC1B" w14:textId="57198885" w:rsidR="002A44AD" w:rsidRDefault="002A44AD" w:rsidP="002A44AD">
      <w:pPr>
        <w:rPr>
          <w:highlight w:val="yellow"/>
        </w:rPr>
      </w:pPr>
      <w:r>
        <w:t xml:space="preserve">The key issues raised in the consultations to date and how these have been addressed in the latest tender (SA-VIC tender) are outlined below. Public submissions to the August 2023 consultation are available </w:t>
      </w:r>
      <w:r w:rsidR="00035593">
        <w:t xml:space="preserve">on the </w:t>
      </w:r>
      <w:hyperlink r:id="rId33">
        <w:r w:rsidR="3942439D" w:rsidRPr="547E6EDC">
          <w:rPr>
            <w:rStyle w:val="Hyperlink"/>
          </w:rPr>
          <w:t>d</w:t>
        </w:r>
        <w:r w:rsidR="00035593" w:rsidRPr="547E6EDC">
          <w:rPr>
            <w:rStyle w:val="Hyperlink"/>
          </w:rPr>
          <w:t>epartment’s website</w:t>
        </w:r>
      </w:hyperlink>
      <w:r w:rsidR="00035593">
        <w:t>.</w:t>
      </w:r>
    </w:p>
    <w:p w14:paraId="17AE07FD" w14:textId="12FAE4B0" w:rsidR="00CF79C4" w:rsidRPr="004D26A1" w:rsidRDefault="00CF79C4" w:rsidP="002A44AD">
      <w:r w:rsidRPr="004D26A1">
        <w:t xml:space="preserve">Overall, there were </w:t>
      </w:r>
      <w:r>
        <w:t xml:space="preserve">68 </w:t>
      </w:r>
      <w:r w:rsidR="008C5AAC">
        <w:t>submissions from respondents.</w:t>
      </w:r>
    </w:p>
    <w:p w14:paraId="1A68D03A" w14:textId="77777777" w:rsidR="002A44AD" w:rsidRDefault="002A44AD" w:rsidP="002A44AD">
      <w:pPr>
        <w:pStyle w:val="Heading4"/>
        <w:numPr>
          <w:ilvl w:val="0"/>
          <w:numId w:val="0"/>
        </w:numPr>
      </w:pPr>
      <w:r>
        <w:t>Minimum duration</w:t>
      </w:r>
    </w:p>
    <w:p w14:paraId="4209016F" w14:textId="77777777" w:rsidR="002A44AD" w:rsidRDefault="002A44AD" w:rsidP="002A44AD">
      <w:r>
        <w:t>The August 2023 Consultation Paper asked for views on whether there should be a minimum duration for dispatchable capacity, what this duration should be, and how it would be evaluated.</w:t>
      </w:r>
    </w:p>
    <w:p w14:paraId="6E88DA49" w14:textId="0CA81871" w:rsidR="002A44AD" w:rsidRDefault="002A44AD" w:rsidP="002A44AD">
      <w:r>
        <w:t xml:space="preserve">Submissions </w:t>
      </w:r>
      <w:bookmarkStart w:id="168" w:name="_Int_k6DVclsI"/>
      <w:r>
        <w:t>largely supported</w:t>
      </w:r>
      <w:bookmarkEnd w:id="168"/>
      <w:r>
        <w:t xml:space="preserve"> a minimum duration requirement, with a range of views on the specifics. Implementing a 2-hour duration eligibility requirement, </w:t>
      </w:r>
      <w:bookmarkStart w:id="169" w:name="_Int_0aPEiljd"/>
      <w:proofErr w:type="gramStart"/>
      <w:r>
        <w:t>similar to</w:t>
      </w:r>
      <w:bookmarkEnd w:id="169"/>
      <w:proofErr w:type="gramEnd"/>
      <w:r>
        <w:t xml:space="preserve"> the NSW </w:t>
      </w:r>
      <w:bookmarkStart w:id="170" w:name="_Int_DMRVOQw5"/>
      <w:r>
        <w:t>LTESA</w:t>
      </w:r>
      <w:bookmarkEnd w:id="170"/>
      <w:r>
        <w:t xml:space="preserve"> firming tenders, was most supported. In response, the SA-VIC tender has eligibility criteri</w:t>
      </w:r>
      <w:r w:rsidR="00520751">
        <w:t>on</w:t>
      </w:r>
      <w:r>
        <w:t xml:space="preserve"> of minimum duration of 2 hours continuous dispatch at a project’s registered capacity (EC9).</w:t>
      </w:r>
    </w:p>
    <w:p w14:paraId="132B0FFE" w14:textId="77777777" w:rsidR="002A44AD" w:rsidRDefault="002A44AD" w:rsidP="002A44AD">
      <w:pPr>
        <w:pStyle w:val="Heading4"/>
        <w:numPr>
          <w:ilvl w:val="0"/>
          <w:numId w:val="0"/>
        </w:numPr>
      </w:pPr>
      <w:r>
        <w:t>Renewable Energy Zone requirement or preference</w:t>
      </w:r>
    </w:p>
    <w:p w14:paraId="76114548" w14:textId="77777777" w:rsidR="002A44AD" w:rsidRDefault="002A44AD" w:rsidP="002A44AD">
      <w:r>
        <w:t>The August consultation paper noted that one aspect of incorporating state based social license policies as part of the consideration during the merit assessment could include requiring projects to locate within a state-declared renewable energy zone.</w:t>
      </w:r>
    </w:p>
    <w:p w14:paraId="0F9BDC56" w14:textId="099737BA" w:rsidR="002A44AD" w:rsidRPr="00A71414" w:rsidRDefault="002A44AD" w:rsidP="002A44AD">
      <w:r>
        <w:t xml:space="preserve">Feedback was </w:t>
      </w:r>
      <w:bookmarkStart w:id="171" w:name="_Int_APofpIJd"/>
      <w:r>
        <w:t>generally opposed</w:t>
      </w:r>
      <w:bookmarkEnd w:id="171"/>
      <w:r>
        <w:t xml:space="preserve"> to any requirement to locate within a renewable energy zone (REZ). </w:t>
      </w:r>
      <w:bookmarkStart w:id="172" w:name="_Int_C0icTWWR"/>
      <w:proofErr w:type="gramStart"/>
      <w:r>
        <w:t>Consequently</w:t>
      </w:r>
      <w:bookmarkEnd w:id="172"/>
      <w:proofErr w:type="gramEnd"/>
      <w:r>
        <w:t xml:space="preserve"> the SA-VIC tender does not include any REZ requirement over and above requirements in individual </w:t>
      </w:r>
      <w:bookmarkStart w:id="173" w:name="_Int_t7IhC09M"/>
      <w:r>
        <w:t>jurisdictions</w:t>
      </w:r>
      <w:bookmarkEnd w:id="173"/>
      <w:r>
        <w:t>, although project location and social license will form part of the merit assessment.</w:t>
      </w:r>
    </w:p>
    <w:p w14:paraId="69608869" w14:textId="77777777" w:rsidR="002A44AD" w:rsidRDefault="002A44AD" w:rsidP="002A44AD">
      <w:pPr>
        <w:pStyle w:val="Heading4"/>
        <w:numPr>
          <w:ilvl w:val="0"/>
          <w:numId w:val="0"/>
        </w:numPr>
        <w:rPr>
          <w:lang w:val="en-GB" w:eastAsia="en-AU"/>
        </w:rPr>
      </w:pPr>
      <w:r>
        <w:rPr>
          <w:lang w:val="en-GB" w:eastAsia="en-AU"/>
        </w:rPr>
        <w:t>Floor price escalation</w:t>
      </w:r>
    </w:p>
    <w:p w14:paraId="375E14B0" w14:textId="49970679" w:rsidR="002A44AD" w:rsidRDefault="002A44AD" w:rsidP="002A44AD">
      <w:pPr>
        <w:rPr>
          <w:lang w:val="en-GB" w:eastAsia="en-AU"/>
        </w:rPr>
      </w:pPr>
      <w:bookmarkStart w:id="174" w:name="_Int_O6k1X6gZ"/>
      <w:proofErr w:type="gramStart"/>
      <w:r>
        <w:rPr>
          <w:lang w:val="en-GB" w:eastAsia="en-AU"/>
        </w:rPr>
        <w:t>A number of</w:t>
      </w:r>
      <w:bookmarkEnd w:id="174"/>
      <w:proofErr w:type="gramEnd"/>
      <w:r>
        <w:rPr>
          <w:lang w:val="en-GB" w:eastAsia="en-AU"/>
        </w:rPr>
        <w:t xml:space="preserve"> submissions to the August consultation paper expressed that there should be a mechanism for escalation of the floor price. In response to this feedback, the draft CISA for the SA</w:t>
      </w:r>
      <w:r w:rsidR="002E5CCA">
        <w:rPr>
          <w:lang w:val="en-GB" w:eastAsia="en-AU"/>
        </w:rPr>
        <w:noBreakHyphen/>
      </w:r>
      <w:r>
        <w:rPr>
          <w:lang w:val="en-GB" w:eastAsia="en-AU"/>
        </w:rPr>
        <w:t>VIC tender enables bids to include values of key financial bid parameters for each year.</w:t>
      </w:r>
    </w:p>
    <w:p w14:paraId="2F4C7709" w14:textId="77777777" w:rsidR="002A44AD" w:rsidRPr="00307C71" w:rsidRDefault="002A44AD" w:rsidP="002A44AD">
      <w:pPr>
        <w:pStyle w:val="Heading4"/>
        <w:numPr>
          <w:ilvl w:val="0"/>
          <w:numId w:val="0"/>
        </w:numPr>
        <w:rPr>
          <w:lang w:val="en-GB" w:eastAsia="en-AU"/>
        </w:rPr>
      </w:pPr>
      <w:r>
        <w:rPr>
          <w:lang w:val="en-GB" w:eastAsia="en-AU"/>
        </w:rPr>
        <w:t>Payment caps</w:t>
      </w:r>
    </w:p>
    <w:p w14:paraId="237F589B" w14:textId="0902F520" w:rsidR="002A44AD" w:rsidRDefault="002A44AD" w:rsidP="002A44AD">
      <w:pPr>
        <w:rPr>
          <w:lang w:val="en-GB" w:eastAsia="en-AU"/>
        </w:rPr>
      </w:pPr>
      <w:r>
        <w:rPr>
          <w:lang w:val="en-GB" w:eastAsia="en-AU"/>
        </w:rPr>
        <w:t xml:space="preserve">Several submissions to the August consultation paper expressed concern on potentially uncapped payments to the </w:t>
      </w:r>
      <w:r w:rsidR="46C8C5F3" w:rsidRPr="4512539F">
        <w:rPr>
          <w:lang w:val="en-GB" w:eastAsia="en-AU"/>
        </w:rPr>
        <w:t xml:space="preserve">Australian </w:t>
      </w:r>
      <w:r w:rsidR="46C8C5F3" w:rsidRPr="683D2DA0">
        <w:rPr>
          <w:lang w:val="en-GB" w:eastAsia="en-AU"/>
        </w:rPr>
        <w:t>Government</w:t>
      </w:r>
      <w:r w:rsidRPr="4512539F">
        <w:rPr>
          <w:lang w:val="en-GB" w:eastAsia="en-AU"/>
        </w:rPr>
        <w:t xml:space="preserve"> </w:t>
      </w:r>
      <w:r>
        <w:rPr>
          <w:lang w:val="en-GB" w:eastAsia="en-AU"/>
        </w:rPr>
        <w:t>from the collar design. The draft CISA for the SA-VIC dispatchable tender introduced an “annual payment cap” that limits both the support and revenue sharing that an operator incurs in a single year; this cap is bid by operators as single value for both support and revenue sharing.</w:t>
      </w:r>
    </w:p>
    <w:p w14:paraId="6776FEF5" w14:textId="77777777" w:rsidR="002A44AD" w:rsidRPr="00D374B7" w:rsidRDefault="002A44AD" w:rsidP="002A44AD">
      <w:pPr>
        <w:pStyle w:val="Heading4"/>
        <w:numPr>
          <w:ilvl w:val="0"/>
          <w:numId w:val="0"/>
        </w:numPr>
        <w:rPr>
          <w:lang w:val="en-GB" w:eastAsia="en-AU"/>
        </w:rPr>
      </w:pPr>
      <w:r w:rsidRPr="00D374B7">
        <w:rPr>
          <w:lang w:val="en-GB" w:eastAsia="en-AU"/>
        </w:rPr>
        <w:lastRenderedPageBreak/>
        <w:t>Revenue clawback percentage</w:t>
      </w:r>
    </w:p>
    <w:p w14:paraId="5B1FF63D" w14:textId="09419325" w:rsidR="002A44AD" w:rsidRPr="00107B16" w:rsidRDefault="002A44AD" w:rsidP="002A44AD">
      <w:pPr>
        <w:rPr>
          <w:lang w:val="en-GB" w:eastAsia="en-AU"/>
        </w:rPr>
      </w:pPr>
      <w:r w:rsidRPr="00107B16">
        <w:rPr>
          <w:lang w:val="en-GB" w:eastAsia="en-AU"/>
        </w:rPr>
        <w:t>There was a range of feedback in the consultation on the revenue clawback percentage</w:t>
      </w:r>
      <w:r>
        <w:rPr>
          <w:lang w:val="en-GB" w:eastAsia="en-AU"/>
        </w:rPr>
        <w:t>, with support for reducing the percentage. In response to this feedback the SA-VIC tender has reduced the clawback percentage from 75% to 50%.</w:t>
      </w:r>
    </w:p>
    <w:p w14:paraId="743657F3" w14:textId="77777777" w:rsidR="002A44AD" w:rsidRPr="0021571A" w:rsidRDefault="002A44AD" w:rsidP="002A44AD">
      <w:pPr>
        <w:pStyle w:val="Heading4"/>
        <w:numPr>
          <w:ilvl w:val="0"/>
          <w:numId w:val="0"/>
        </w:numPr>
        <w:rPr>
          <w:lang w:val="en-GB" w:eastAsia="en-AU"/>
        </w:rPr>
      </w:pPr>
      <w:r w:rsidRPr="0021571A">
        <w:rPr>
          <w:lang w:val="en-GB" w:eastAsia="en-AU"/>
        </w:rPr>
        <w:t>Option structure</w:t>
      </w:r>
    </w:p>
    <w:p w14:paraId="14766959" w14:textId="02125AB0" w:rsidR="002D40BD" w:rsidRDefault="002A44AD" w:rsidP="009733FD">
      <w:pPr>
        <w:rPr>
          <w:lang w:val="en-GB" w:eastAsia="en-AU"/>
        </w:rPr>
      </w:pPr>
      <w:bookmarkStart w:id="175" w:name="Title_A1"/>
      <w:bookmarkEnd w:id="166"/>
      <w:bookmarkEnd w:id="175"/>
      <w:r w:rsidRPr="0021571A">
        <w:rPr>
          <w:lang w:val="en-GB" w:eastAsia="en-AU"/>
        </w:rPr>
        <w:t xml:space="preserve">Several stakeholders suggested the introduction of an option structure for floor payments. </w:t>
      </w:r>
      <w:r w:rsidR="006C79C7">
        <w:rPr>
          <w:lang w:val="en-GB" w:eastAsia="en-AU"/>
        </w:rPr>
        <w:t>The</w:t>
      </w:r>
      <w:r w:rsidRPr="0021571A">
        <w:rPr>
          <w:lang w:val="en-GB" w:eastAsia="en-AU"/>
        </w:rPr>
        <w:t xml:space="preserve"> current Design Paper </w:t>
      </w:r>
      <w:r w:rsidR="007A5308">
        <w:rPr>
          <w:lang w:val="en-GB" w:eastAsia="en-AU"/>
        </w:rPr>
        <w:t xml:space="preserve">includes a discussion of </w:t>
      </w:r>
      <w:bookmarkStart w:id="176" w:name="_Int_FLHBMz2c"/>
      <w:r w:rsidR="00E17D64">
        <w:rPr>
          <w:lang w:val="en-GB" w:eastAsia="en-AU"/>
        </w:rPr>
        <w:t>possible option</w:t>
      </w:r>
      <w:bookmarkEnd w:id="176"/>
      <w:r w:rsidR="00E17D64">
        <w:rPr>
          <w:lang w:val="en-GB" w:eastAsia="en-AU"/>
        </w:rPr>
        <w:t xml:space="preserve"> structures and seeks further targ</w:t>
      </w:r>
      <w:r w:rsidR="006C79C7">
        <w:rPr>
          <w:lang w:val="en-GB" w:eastAsia="en-AU"/>
        </w:rPr>
        <w:t>eted feedback</w:t>
      </w:r>
      <w:r w:rsidR="00256EE2">
        <w:rPr>
          <w:lang w:val="en-GB" w:eastAsia="en-AU"/>
        </w:rPr>
        <w:t>.</w:t>
      </w:r>
    </w:p>
    <w:p w14:paraId="152DC6C4" w14:textId="77777777" w:rsidR="002D40BD" w:rsidRDefault="002D40BD">
      <w:pPr>
        <w:spacing w:after="0" w:line="240" w:lineRule="auto"/>
        <w:rPr>
          <w:lang w:val="en-GB" w:eastAsia="en-AU"/>
        </w:rPr>
      </w:pPr>
      <w:r>
        <w:rPr>
          <w:lang w:val="en-GB" w:eastAsia="en-AU"/>
        </w:rPr>
        <w:br w:type="page"/>
      </w:r>
    </w:p>
    <w:p w14:paraId="182F02DB" w14:textId="77777777" w:rsidR="002D40BD" w:rsidRPr="00B00138" w:rsidRDefault="002D40BD" w:rsidP="002D40BD">
      <w:pPr>
        <w:pStyle w:val="Heading2"/>
      </w:pPr>
      <w:bookmarkStart w:id="177" w:name="_Toc160117906"/>
      <w:r>
        <w:lastRenderedPageBreak/>
        <w:t>References</w:t>
      </w:r>
      <w:bookmarkEnd w:id="177"/>
    </w:p>
    <w:p w14:paraId="05167ACD" w14:textId="77777777" w:rsidR="002D40BD" w:rsidRDefault="002D40BD" w:rsidP="002D40BD">
      <w:pPr>
        <w:pStyle w:val="FootnoteText"/>
      </w:pPr>
      <w:r>
        <w:rPr>
          <w:rStyle w:val="FootnoteReference"/>
        </w:rPr>
        <w:footnoteRef/>
      </w:r>
      <w:r>
        <w:t xml:space="preserve"> Under the NSW </w:t>
      </w:r>
      <w:r w:rsidRPr="00877ACE">
        <w:t>Electricity Infrastructure Roadmap</w:t>
      </w:r>
      <w:r>
        <w:t>.</w:t>
      </w:r>
    </w:p>
    <w:p w14:paraId="4A71C331" w14:textId="43688455" w:rsidR="002D40BD" w:rsidRDefault="002D40BD" w:rsidP="002D40BD">
      <w:pPr>
        <w:pStyle w:val="FootnoteText"/>
      </w:pPr>
      <w:r>
        <w:rPr>
          <w:rStyle w:val="FootnoteReference"/>
        </w:rPr>
        <w:t>2</w:t>
      </w:r>
      <w:r>
        <w:t xml:space="preserve"> See </w:t>
      </w:r>
      <w:hyperlink r:id="rId34" w:history="1">
        <w:r w:rsidRPr="00AA4B1D">
          <w:rPr>
            <w:rStyle w:val="Hyperlink"/>
          </w:rPr>
          <w:t>CIS South Australia-Victoria Tender</w:t>
        </w:r>
      </w:hyperlink>
      <w:r>
        <w:t xml:space="preserve"> for further information. </w:t>
      </w:r>
    </w:p>
    <w:p w14:paraId="095A1BE6" w14:textId="53245C0A" w:rsidR="002D40BD" w:rsidRDefault="002D40BD" w:rsidP="002D40BD">
      <w:pPr>
        <w:pStyle w:val="FootnoteText"/>
      </w:pPr>
      <w:r>
        <w:rPr>
          <w:rStyle w:val="FootnoteReference"/>
        </w:rPr>
        <w:t>3</w:t>
      </w:r>
      <w:r>
        <w:t xml:space="preserve"> </w:t>
      </w:r>
      <w:hyperlink r:id="rId35" w:history="1">
        <w:r w:rsidRPr="00877ACE">
          <w:rPr>
            <w:rStyle w:val="Hyperlink"/>
          </w:rPr>
          <w:t>Capacity Investment Scheme South Australia and Victoria Tender Guidelines December 2023</w:t>
        </w:r>
      </w:hyperlink>
      <w:r>
        <w:rPr>
          <w:rStyle w:val="Hyperlink"/>
        </w:rPr>
        <w:t>.</w:t>
      </w:r>
    </w:p>
    <w:p w14:paraId="6CFB5C57" w14:textId="55AA119E" w:rsidR="003519E2" w:rsidRDefault="002D40BD" w:rsidP="002D40BD">
      <w:pPr>
        <w:spacing w:after="60" w:line="264" w:lineRule="auto"/>
        <w:rPr>
          <w:sz w:val="20"/>
          <w:szCs w:val="20"/>
        </w:rPr>
      </w:pPr>
      <w:r>
        <w:rPr>
          <w:rStyle w:val="FootnoteReference"/>
        </w:rPr>
        <w:t>4</w:t>
      </w:r>
      <w:r>
        <w:t xml:space="preserve"> </w:t>
      </w:r>
      <w:r w:rsidRPr="002D40BD">
        <w:rPr>
          <w:sz w:val="20"/>
          <w:szCs w:val="20"/>
        </w:rPr>
        <w:t xml:space="preserve">Refer to the August 2023 Capacity Investment Scheme Public Consultation Paper for details of the first stage of the CIS available </w:t>
      </w:r>
      <w:hyperlink r:id="rId36" w:history="1">
        <w:r w:rsidRPr="002D40BD">
          <w:rPr>
            <w:rStyle w:val="Hyperlink"/>
            <w:sz w:val="20"/>
            <w:szCs w:val="20"/>
          </w:rPr>
          <w:t>here</w:t>
        </w:r>
      </w:hyperlink>
      <w:r w:rsidRPr="002D40BD">
        <w:rPr>
          <w:sz w:val="20"/>
          <w:szCs w:val="20"/>
        </w:rPr>
        <w:t>.</w:t>
      </w:r>
    </w:p>
    <w:p w14:paraId="049FED25" w14:textId="5B78D19D" w:rsidR="002D40BD" w:rsidRDefault="002D40BD" w:rsidP="002D40BD">
      <w:pPr>
        <w:spacing w:after="60" w:line="264" w:lineRule="auto"/>
        <w:rPr>
          <w:rFonts w:cstheme="minorHAnsi"/>
          <w:sz w:val="20"/>
          <w:szCs w:val="20"/>
        </w:rPr>
      </w:pPr>
      <w:r>
        <w:rPr>
          <w:rStyle w:val="FootnoteReference"/>
          <w:sz w:val="20"/>
          <w:szCs w:val="20"/>
        </w:rPr>
        <w:t>5</w:t>
      </w:r>
      <w:r w:rsidRPr="002D40BD">
        <w:rPr>
          <w:sz w:val="20"/>
          <w:szCs w:val="20"/>
        </w:rPr>
        <w:t xml:space="preserve"> </w:t>
      </w:r>
      <w:r w:rsidRPr="002D40BD">
        <w:rPr>
          <w:rFonts w:cstheme="minorHAnsi"/>
          <w:sz w:val="20"/>
          <w:szCs w:val="20"/>
        </w:rPr>
        <w:t>This includes uncommitted and committed projects that reached committed status after the 23 November 2023 expanded CIS announcement.</w:t>
      </w:r>
    </w:p>
    <w:p w14:paraId="5191D340" w14:textId="1857B70B" w:rsidR="002D40BD" w:rsidRPr="002D40BD" w:rsidRDefault="002D40BD" w:rsidP="002D40BD">
      <w:pPr>
        <w:spacing w:after="60" w:line="264" w:lineRule="auto"/>
        <w:rPr>
          <w:sz w:val="20"/>
          <w:szCs w:val="20"/>
        </w:rPr>
      </w:pPr>
      <w:r w:rsidRPr="002D40BD">
        <w:rPr>
          <w:rStyle w:val="FootnoteReference"/>
          <w:sz w:val="20"/>
          <w:szCs w:val="20"/>
        </w:rPr>
        <w:t>6</w:t>
      </w:r>
      <w:r w:rsidRPr="002D40BD">
        <w:rPr>
          <w:sz w:val="20"/>
          <w:szCs w:val="20"/>
        </w:rPr>
        <w:t xml:space="preserve"> Depending on the final tender round outcomes, tenders may expand into 2027.</w:t>
      </w:r>
    </w:p>
    <w:p w14:paraId="7884F7A0" w14:textId="15E4BB8D" w:rsidR="002D40BD" w:rsidRPr="002D40BD" w:rsidRDefault="002D40BD" w:rsidP="002D40BD">
      <w:pPr>
        <w:spacing w:after="60" w:line="264" w:lineRule="auto"/>
        <w:rPr>
          <w:rFonts w:asciiTheme="majorHAnsi" w:hAnsiTheme="majorHAnsi" w:cstheme="majorHAnsi"/>
          <w:sz w:val="20"/>
          <w:szCs w:val="20"/>
        </w:rPr>
      </w:pPr>
      <w:r w:rsidRPr="002D40BD">
        <w:rPr>
          <w:rStyle w:val="FootnoteReference"/>
          <w:rFonts w:asciiTheme="majorHAnsi" w:hAnsiTheme="majorHAnsi" w:cstheme="majorHAnsi"/>
          <w:sz w:val="20"/>
          <w:szCs w:val="20"/>
        </w:rPr>
        <w:t>7</w:t>
      </w:r>
      <w:r w:rsidRPr="002D40BD">
        <w:rPr>
          <w:rFonts w:asciiTheme="majorHAnsi" w:hAnsiTheme="majorHAnsi" w:cstheme="majorHAnsi"/>
          <w:sz w:val="20"/>
          <w:szCs w:val="20"/>
        </w:rPr>
        <w:t xml:space="preserve"> </w:t>
      </w:r>
      <w:r w:rsidRPr="002D40BD">
        <w:rPr>
          <w:rFonts w:cstheme="minorHAnsi"/>
          <w:sz w:val="20"/>
          <w:szCs w:val="20"/>
        </w:rPr>
        <w:t>The LOR3 performance requirement has been developed with AEMO and reflects the requirements placed on capacity market mechanisms in international markets. It is acknowledged and understood that the LOR3 performance requirement is distortionary and overrides market price signals. However, it is important that projects receiving financial support prioritise making a system reliability contribution during low probability periods of system stress.</w:t>
      </w:r>
      <w:r w:rsidRPr="002D40BD">
        <w:rPr>
          <w:rFonts w:asciiTheme="majorHAnsi" w:hAnsiTheme="majorHAnsi" w:cstheme="majorHAnsi"/>
          <w:sz w:val="20"/>
          <w:szCs w:val="20"/>
        </w:rPr>
        <w:t xml:space="preserve">   </w:t>
      </w:r>
    </w:p>
    <w:p w14:paraId="0F617DC6" w14:textId="18A1C082" w:rsidR="002D40BD" w:rsidRPr="002D40BD" w:rsidRDefault="002D40BD" w:rsidP="002D40BD">
      <w:pPr>
        <w:spacing w:after="60" w:line="264" w:lineRule="auto"/>
        <w:rPr>
          <w:sz w:val="20"/>
          <w:szCs w:val="20"/>
        </w:rPr>
      </w:pPr>
      <w:r w:rsidRPr="002D40BD">
        <w:rPr>
          <w:rStyle w:val="FootnoteReference"/>
          <w:sz w:val="20"/>
          <w:szCs w:val="20"/>
        </w:rPr>
        <w:t>8</w:t>
      </w:r>
      <w:r w:rsidRPr="002D40BD">
        <w:rPr>
          <w:sz w:val="20"/>
          <w:szCs w:val="20"/>
        </w:rPr>
        <w:t xml:space="preserve"> Note: During the assessment process due diligence may be undertaken on Bids at any time.</w:t>
      </w:r>
    </w:p>
    <w:p w14:paraId="5FEB99AD" w14:textId="3B171A9C" w:rsidR="002D40BD" w:rsidRPr="002D40BD" w:rsidRDefault="002D40BD" w:rsidP="002D40BD">
      <w:pPr>
        <w:pStyle w:val="FootnoteText"/>
      </w:pPr>
      <w:r w:rsidRPr="002D40BD">
        <w:rPr>
          <w:rStyle w:val="FootnoteReference"/>
        </w:rPr>
        <w:t>9</w:t>
      </w:r>
      <w:r w:rsidRPr="002D40BD">
        <w:t xml:space="preserve"> Australian Government </w:t>
      </w:r>
      <w:hyperlink r:id="rId37" w:history="1">
        <w:r w:rsidRPr="002D40BD">
          <w:rPr>
            <w:rStyle w:val="Hyperlink"/>
          </w:rPr>
          <w:t>Ministerial Announcement of the CIS</w:t>
        </w:r>
      </w:hyperlink>
      <w:r w:rsidRPr="002D40BD">
        <w:t>, 8 December 2022.</w:t>
      </w:r>
    </w:p>
    <w:p w14:paraId="6C73693F" w14:textId="6EBF2D65" w:rsidR="002D40BD" w:rsidRPr="002D40BD" w:rsidRDefault="002D40BD" w:rsidP="002D40BD">
      <w:pPr>
        <w:pStyle w:val="FootnoteText"/>
      </w:pPr>
      <w:r w:rsidRPr="002D40BD">
        <w:rPr>
          <w:rStyle w:val="FootnoteReference"/>
        </w:rPr>
        <w:t>10</w:t>
      </w:r>
      <w:r w:rsidRPr="002D40BD">
        <w:t xml:space="preserve"> Australian Government </w:t>
      </w:r>
      <w:hyperlink r:id="rId38" w:history="1">
        <w:r w:rsidRPr="002D40BD">
          <w:rPr>
            <w:rStyle w:val="Hyperlink"/>
          </w:rPr>
          <w:t>Ministerial Announcement of expanding the CIS</w:t>
        </w:r>
      </w:hyperlink>
      <w:r w:rsidRPr="002D40BD">
        <w:t>, 23 November 2023.</w:t>
      </w:r>
    </w:p>
    <w:p w14:paraId="3E8EBF83" w14:textId="146BC83B" w:rsidR="002D40BD" w:rsidRPr="002D40BD" w:rsidRDefault="002D40BD" w:rsidP="002D40BD">
      <w:pPr>
        <w:spacing w:after="60" w:line="264" w:lineRule="auto"/>
        <w:rPr>
          <w:sz w:val="20"/>
          <w:szCs w:val="20"/>
          <w:lang w:val="en-GB" w:eastAsia="en-AU"/>
        </w:rPr>
      </w:pPr>
      <w:r w:rsidRPr="002D40BD">
        <w:rPr>
          <w:rStyle w:val="FootnoteReference"/>
          <w:rFonts w:asciiTheme="majorHAnsi" w:hAnsiTheme="majorHAnsi" w:cstheme="majorHAnsi"/>
          <w:sz w:val="20"/>
          <w:szCs w:val="20"/>
        </w:rPr>
        <w:t>11</w:t>
      </w:r>
      <w:r w:rsidRPr="002D40BD">
        <w:rPr>
          <w:rFonts w:asciiTheme="majorHAnsi" w:hAnsiTheme="majorHAnsi" w:cstheme="majorHAnsi"/>
          <w:sz w:val="20"/>
          <w:szCs w:val="20"/>
        </w:rPr>
        <w:t xml:space="preserve"> Incorporation of an emissions reduction objective into the National Electricity Objective is currently underway. See </w:t>
      </w:r>
      <w:hyperlink r:id="rId39" w:history="1">
        <w:r w:rsidRPr="002D40BD">
          <w:rPr>
            <w:rStyle w:val="Hyperlink"/>
            <w:rFonts w:asciiTheme="majorHAnsi" w:hAnsiTheme="majorHAnsi" w:cstheme="majorHAnsi"/>
            <w:sz w:val="20"/>
            <w:szCs w:val="20"/>
          </w:rPr>
          <w:t>here for further information</w:t>
        </w:r>
      </w:hyperlink>
      <w:r w:rsidRPr="002D40BD">
        <w:rPr>
          <w:rFonts w:asciiTheme="majorHAnsi" w:hAnsiTheme="majorHAnsi" w:cstheme="majorHAnsi"/>
          <w:sz w:val="20"/>
          <w:szCs w:val="20"/>
        </w:rPr>
        <w:t>.</w:t>
      </w:r>
    </w:p>
    <w:sectPr w:rsidR="002D40BD" w:rsidRPr="002D40BD" w:rsidSect="00D275DB">
      <w:headerReference w:type="default" r:id="rId40"/>
      <w:footerReference w:type="default" r:id="rId41"/>
      <w:headerReference w:type="first" r:id="rId4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2CA2" w14:textId="77777777" w:rsidR="00D275DB" w:rsidRDefault="00D275DB">
      <w:r>
        <w:separator/>
      </w:r>
    </w:p>
    <w:p w14:paraId="565A3112" w14:textId="77777777" w:rsidR="00D275DB" w:rsidRDefault="00D275DB"/>
    <w:p w14:paraId="5D1960CB" w14:textId="77777777" w:rsidR="00D275DB" w:rsidRDefault="00D275DB"/>
  </w:endnote>
  <w:endnote w:type="continuationSeparator" w:id="0">
    <w:p w14:paraId="5F524A35" w14:textId="77777777" w:rsidR="00D275DB" w:rsidRDefault="00D275DB">
      <w:r>
        <w:continuationSeparator/>
      </w:r>
    </w:p>
    <w:p w14:paraId="72F5C691" w14:textId="77777777" w:rsidR="00D275DB" w:rsidRDefault="00D275DB"/>
    <w:p w14:paraId="59CF976B" w14:textId="77777777" w:rsidR="00D275DB" w:rsidRDefault="00D275DB"/>
  </w:endnote>
  <w:endnote w:type="continuationNotice" w:id="1">
    <w:p w14:paraId="305CA1C1" w14:textId="77777777" w:rsidR="00D275DB" w:rsidRDefault="00D275DB">
      <w:pPr>
        <w:pStyle w:val="Footer"/>
      </w:pPr>
    </w:p>
    <w:p w14:paraId="6CB62487" w14:textId="77777777" w:rsidR="00D275DB" w:rsidRDefault="00D275DB"/>
    <w:p w14:paraId="22A450D2" w14:textId="77777777" w:rsidR="00D275DB" w:rsidRDefault="00D27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Neue LT 45 Lt">
    <w:altName w:val="Segoe Script"/>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C8C5" w14:textId="77777777" w:rsidR="00B861B4" w:rsidRDefault="00D86640">
    <w:pPr>
      <w:pStyle w:val="Footer"/>
    </w:pPr>
    <w:r w:rsidRPr="00D86640">
      <w:t>Department of Climate Change, Energy, the Environment and Water</w:t>
    </w:r>
  </w:p>
  <w:p w14:paraId="1CD96E43" w14:textId="37759C3D" w:rsidR="00B861B4" w:rsidRDefault="002A3A43">
    <w:pPr>
      <w:pStyle w:val="Footer"/>
    </w:pPr>
    <w:r>
      <w:fldChar w:fldCharType="begin"/>
    </w:r>
    <w:r>
      <w:instrText>PAGE</w:instrText>
    </w:r>
    <w:r>
      <w:fldChar w:fldCharType="separate"/>
    </w:r>
    <w:r w:rsidR="00B644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B7DD" w14:textId="77777777" w:rsidR="00D275DB" w:rsidRDefault="00D275DB">
      <w:r>
        <w:separator/>
      </w:r>
    </w:p>
    <w:p w14:paraId="525C56F4" w14:textId="77777777" w:rsidR="00D275DB" w:rsidRDefault="00D275DB"/>
    <w:p w14:paraId="3B80ABEB" w14:textId="77777777" w:rsidR="00D275DB" w:rsidRDefault="00D275DB"/>
  </w:footnote>
  <w:footnote w:type="continuationSeparator" w:id="0">
    <w:p w14:paraId="67DDCA3B" w14:textId="77777777" w:rsidR="00D275DB" w:rsidRDefault="00D275DB">
      <w:r>
        <w:continuationSeparator/>
      </w:r>
    </w:p>
    <w:p w14:paraId="42A41598" w14:textId="77777777" w:rsidR="00D275DB" w:rsidRDefault="00D275DB"/>
    <w:p w14:paraId="2BDD5218" w14:textId="77777777" w:rsidR="00D275DB" w:rsidRDefault="00D275DB"/>
  </w:footnote>
  <w:footnote w:type="continuationNotice" w:id="1">
    <w:p w14:paraId="63600240" w14:textId="77777777" w:rsidR="00D275DB" w:rsidRDefault="00D275DB">
      <w:pPr>
        <w:pStyle w:val="Footer"/>
      </w:pPr>
    </w:p>
    <w:p w14:paraId="75434948" w14:textId="77777777" w:rsidR="00D275DB" w:rsidRDefault="00D275DB"/>
    <w:p w14:paraId="315F4EE9" w14:textId="77777777" w:rsidR="00D275DB" w:rsidRDefault="00D275DB"/>
  </w:footnote>
  <w:footnote w:id="2">
    <w:p w14:paraId="1B92651A" w14:textId="77777777" w:rsidR="003550EF" w:rsidRDefault="003550EF" w:rsidP="003550EF">
      <w:pPr>
        <w:pStyle w:val="FootnoteText"/>
      </w:pPr>
      <w:r>
        <w:rPr>
          <w:rStyle w:val="FootnoteReference"/>
        </w:rPr>
        <w:footnoteRef/>
      </w:r>
      <w:r>
        <w:t xml:space="preserve"> Under the NSW </w:t>
      </w:r>
      <w:r w:rsidRPr="00877ACE">
        <w:t>Electricity Infrastructure Roadmap</w:t>
      </w:r>
      <w:r>
        <w:t>.</w:t>
      </w:r>
    </w:p>
  </w:footnote>
  <w:footnote w:id="3">
    <w:p w14:paraId="155565F9" w14:textId="34B1023E" w:rsidR="00594DEF" w:rsidRDefault="00594DEF" w:rsidP="00AA4B1D">
      <w:pPr>
        <w:pStyle w:val="FootnoteText"/>
      </w:pPr>
      <w:r>
        <w:rPr>
          <w:rStyle w:val="FootnoteReference"/>
        </w:rPr>
        <w:footnoteRef/>
      </w:r>
      <w:r>
        <w:t xml:space="preserve"> </w:t>
      </w:r>
      <w:r w:rsidR="00635560">
        <w:t>See</w:t>
      </w:r>
      <w:r>
        <w:t xml:space="preserve"> </w:t>
      </w:r>
      <w:hyperlink r:id="rId1" w:history="1">
        <w:r w:rsidR="00AA4B1D" w:rsidRPr="00AA4B1D">
          <w:rPr>
            <w:rStyle w:val="Hyperlink"/>
          </w:rPr>
          <w:t>CIS South Aus</w:t>
        </w:r>
        <w:bookmarkStart w:id="23" w:name="_Hlt160115944"/>
        <w:bookmarkStart w:id="24" w:name="_Hlt160115945"/>
        <w:r w:rsidR="00AA4B1D" w:rsidRPr="00AA4B1D">
          <w:rPr>
            <w:rStyle w:val="Hyperlink"/>
          </w:rPr>
          <w:t>t</w:t>
        </w:r>
        <w:bookmarkEnd w:id="23"/>
        <w:bookmarkEnd w:id="24"/>
        <w:r w:rsidR="00AA4B1D" w:rsidRPr="00AA4B1D">
          <w:rPr>
            <w:rStyle w:val="Hyperlink"/>
          </w:rPr>
          <w:t>ralia-Victoria Tender</w:t>
        </w:r>
      </w:hyperlink>
      <w:r w:rsidR="00AA4B1D">
        <w:t xml:space="preserve"> for further information</w:t>
      </w:r>
      <w:r w:rsidR="00383C36">
        <w:t>.</w:t>
      </w:r>
      <w:r w:rsidR="0026429F">
        <w:t xml:space="preserve"> </w:t>
      </w:r>
    </w:p>
  </w:footnote>
  <w:footnote w:id="4">
    <w:p w14:paraId="5A3D60EA" w14:textId="34B4A539" w:rsidR="003550EF" w:rsidRDefault="003550EF" w:rsidP="003550EF">
      <w:pPr>
        <w:pStyle w:val="FootnoteText"/>
      </w:pPr>
      <w:r>
        <w:rPr>
          <w:rStyle w:val="FootnoteReference"/>
        </w:rPr>
        <w:footnoteRef/>
      </w:r>
      <w:r>
        <w:t xml:space="preserve"> </w:t>
      </w:r>
      <w:hyperlink r:id="rId2" w:history="1">
        <w:r w:rsidRPr="00877ACE">
          <w:rPr>
            <w:rStyle w:val="Hyperlink"/>
          </w:rPr>
          <w:t>Capacity Investment Scheme South Australia and Victoria Tender Guideli</w:t>
        </w:r>
        <w:bookmarkStart w:id="25" w:name="_Hlt158979792"/>
        <w:bookmarkStart w:id="26" w:name="_Hlt158979793"/>
        <w:r w:rsidRPr="00877ACE">
          <w:rPr>
            <w:rStyle w:val="Hyperlink"/>
          </w:rPr>
          <w:t>n</w:t>
        </w:r>
        <w:bookmarkEnd w:id="25"/>
        <w:bookmarkEnd w:id="26"/>
        <w:r w:rsidRPr="00877ACE">
          <w:rPr>
            <w:rStyle w:val="Hyperlink"/>
          </w:rPr>
          <w:t>es December 2023</w:t>
        </w:r>
      </w:hyperlink>
      <w:r w:rsidR="007C3D4A">
        <w:rPr>
          <w:rStyle w:val="Hyperlink"/>
        </w:rPr>
        <w:t>.</w:t>
      </w:r>
    </w:p>
  </w:footnote>
  <w:footnote w:id="5">
    <w:p w14:paraId="27DEFA89" w14:textId="55AD78D0" w:rsidR="006A46BD" w:rsidRDefault="006A46BD">
      <w:pPr>
        <w:pStyle w:val="FootnoteText"/>
      </w:pPr>
      <w:r>
        <w:rPr>
          <w:rStyle w:val="FootnoteReference"/>
        </w:rPr>
        <w:footnoteRef/>
      </w:r>
      <w:r>
        <w:t xml:space="preserve"> </w:t>
      </w:r>
      <w:r w:rsidRPr="006A46BD">
        <w:t xml:space="preserve">Refer to the August 2023 Capacity Investment Scheme Public Consultation Paper for details of the first stage of the CIS available </w:t>
      </w:r>
      <w:hyperlink r:id="rId3" w:history="1">
        <w:r w:rsidRPr="006A46BD">
          <w:rPr>
            <w:rStyle w:val="Hyperlink"/>
          </w:rPr>
          <w:t>here</w:t>
        </w:r>
      </w:hyperlink>
      <w:r w:rsidRPr="006A46BD">
        <w:t>.</w:t>
      </w:r>
    </w:p>
  </w:footnote>
  <w:footnote w:id="6">
    <w:p w14:paraId="545B5F4B" w14:textId="41F7070E" w:rsidR="00DD1CC5" w:rsidRPr="00DD1CC5" w:rsidRDefault="00DD1CC5">
      <w:pPr>
        <w:pStyle w:val="FootnoteText"/>
      </w:pPr>
      <w:r>
        <w:rPr>
          <w:rStyle w:val="FootnoteReference"/>
        </w:rPr>
        <w:footnoteRef/>
      </w:r>
      <w:r>
        <w:t xml:space="preserve"> </w:t>
      </w:r>
      <w:r w:rsidRPr="00B75190">
        <w:rPr>
          <w:rFonts w:cstheme="minorHAnsi"/>
        </w:rPr>
        <w:t>This includes uncommitted and committed projects that reached committed status after the 23</w:t>
      </w:r>
      <w:r w:rsidR="00E24D7C">
        <w:rPr>
          <w:rFonts w:cstheme="minorHAnsi"/>
        </w:rPr>
        <w:t> </w:t>
      </w:r>
      <w:r w:rsidRPr="00B75190">
        <w:rPr>
          <w:rFonts w:cstheme="minorHAnsi"/>
        </w:rPr>
        <w:t>November</w:t>
      </w:r>
      <w:r w:rsidR="00E24D7C">
        <w:rPr>
          <w:rFonts w:cstheme="minorHAnsi"/>
        </w:rPr>
        <w:t> </w:t>
      </w:r>
      <w:r w:rsidRPr="00B75190">
        <w:rPr>
          <w:rFonts w:cstheme="minorHAnsi"/>
        </w:rPr>
        <w:t>2023 expanded CIS announcement.</w:t>
      </w:r>
    </w:p>
  </w:footnote>
  <w:footnote w:id="7">
    <w:p w14:paraId="18982E18" w14:textId="77777777" w:rsidR="00F2713D" w:rsidRDefault="00F2713D" w:rsidP="00F2713D">
      <w:pPr>
        <w:pStyle w:val="FootnoteText"/>
      </w:pPr>
      <w:r>
        <w:rPr>
          <w:rStyle w:val="FootnoteReference"/>
        </w:rPr>
        <w:footnoteRef/>
      </w:r>
      <w:r>
        <w:t xml:space="preserve"> D</w:t>
      </w:r>
      <w:r w:rsidRPr="0041522B">
        <w:t xml:space="preserve">epending on the </w:t>
      </w:r>
      <w:r>
        <w:t xml:space="preserve">final tender round </w:t>
      </w:r>
      <w:r w:rsidRPr="0041522B">
        <w:t>outcomes</w:t>
      </w:r>
      <w:r>
        <w:t xml:space="preserve">, </w:t>
      </w:r>
      <w:r w:rsidRPr="0041522B">
        <w:t>tenders may expand into 2027</w:t>
      </w:r>
      <w:r>
        <w:t>.</w:t>
      </w:r>
    </w:p>
  </w:footnote>
  <w:footnote w:id="8">
    <w:p w14:paraId="3D99970C" w14:textId="77777777" w:rsidR="002A44AD" w:rsidRDefault="002A44AD" w:rsidP="002A44AD">
      <w:pPr>
        <w:pStyle w:val="FootnoteText"/>
      </w:pPr>
      <w:r>
        <w:rPr>
          <w:rStyle w:val="FootnoteReference"/>
        </w:rPr>
        <w:footnoteRef/>
      </w:r>
      <w:r>
        <w:t xml:space="preserve"> Note: During</w:t>
      </w:r>
      <w:r w:rsidRPr="00120689">
        <w:t xml:space="preserve"> the assessment process due diligence may be undertaken on Bids</w:t>
      </w:r>
      <w:r>
        <w:t xml:space="preserve"> at any time.</w:t>
      </w:r>
    </w:p>
  </w:footnote>
  <w:footnote w:id="9">
    <w:p w14:paraId="484475CF" w14:textId="50DC7711" w:rsidR="002A44AD" w:rsidRDefault="002A44AD" w:rsidP="002A44AD">
      <w:pPr>
        <w:pStyle w:val="FootnoteText"/>
      </w:pPr>
      <w:r>
        <w:rPr>
          <w:rStyle w:val="FootnoteReference"/>
        </w:rPr>
        <w:footnoteRef/>
      </w:r>
      <w:r>
        <w:t xml:space="preserve"> </w:t>
      </w:r>
      <w:r w:rsidR="006D73DC" w:rsidRPr="006E6959">
        <w:t xml:space="preserve">Australian Government </w:t>
      </w:r>
      <w:hyperlink r:id="rId4" w:history="1">
        <w:r w:rsidR="006D73DC" w:rsidRPr="0025251F">
          <w:rPr>
            <w:rStyle w:val="Hyperlink"/>
          </w:rPr>
          <w:t>Ministerial Announcement</w:t>
        </w:r>
        <w:r w:rsidRPr="0025251F">
          <w:rPr>
            <w:rStyle w:val="Hyperlink"/>
          </w:rPr>
          <w:t xml:space="preserve"> </w:t>
        </w:r>
        <w:r w:rsidR="00CF7189" w:rsidRPr="0025251F">
          <w:rPr>
            <w:rStyle w:val="Hyperlink"/>
          </w:rPr>
          <w:t>of the CIS</w:t>
        </w:r>
      </w:hyperlink>
      <w:r w:rsidR="00CF7189">
        <w:t>, 8 December 2022.</w:t>
      </w:r>
    </w:p>
  </w:footnote>
  <w:footnote w:id="10">
    <w:p w14:paraId="056866DC" w14:textId="02CBCBA1" w:rsidR="002A44AD" w:rsidRDefault="002A44AD" w:rsidP="002A44AD">
      <w:pPr>
        <w:pStyle w:val="FootnoteText"/>
      </w:pPr>
      <w:r>
        <w:rPr>
          <w:rStyle w:val="FootnoteReference"/>
        </w:rPr>
        <w:footnoteRef/>
      </w:r>
      <w:r>
        <w:t xml:space="preserve"> </w:t>
      </w:r>
      <w:r w:rsidR="00734B6D">
        <w:t xml:space="preserve">Australian Government </w:t>
      </w:r>
      <w:hyperlink r:id="rId5" w:history="1">
        <w:r w:rsidR="00734B6D" w:rsidRPr="006E6959">
          <w:rPr>
            <w:rStyle w:val="Hyperlink"/>
          </w:rPr>
          <w:t>Ministerial A</w:t>
        </w:r>
        <w:r w:rsidR="0018725B" w:rsidRPr="006E6959">
          <w:rPr>
            <w:rStyle w:val="Hyperlink"/>
          </w:rPr>
          <w:t>nnouncement of expanding the CIS</w:t>
        </w:r>
      </w:hyperlink>
      <w:r w:rsidR="0018725B">
        <w:t>, 23 November 2023.</w:t>
      </w:r>
    </w:p>
  </w:footnote>
  <w:footnote w:id="11">
    <w:p w14:paraId="113EC58A" w14:textId="77777777" w:rsidR="002A44AD" w:rsidRPr="0094093D" w:rsidRDefault="002A44AD" w:rsidP="002A44AD">
      <w:pPr>
        <w:pStyle w:val="FootnoteText"/>
        <w:rPr>
          <w:rFonts w:asciiTheme="majorHAnsi" w:hAnsiTheme="majorHAnsi" w:cstheme="majorHAnsi"/>
        </w:rPr>
      </w:pPr>
      <w:r w:rsidRPr="0094093D">
        <w:rPr>
          <w:rStyle w:val="FootnoteReference"/>
          <w:rFonts w:asciiTheme="majorHAnsi" w:hAnsiTheme="majorHAnsi" w:cstheme="majorHAnsi"/>
        </w:rPr>
        <w:footnoteRef/>
      </w:r>
      <w:r w:rsidRPr="0094093D">
        <w:rPr>
          <w:rFonts w:asciiTheme="majorHAnsi" w:hAnsiTheme="majorHAnsi" w:cstheme="majorHAnsi"/>
        </w:rPr>
        <w:t xml:space="preserve"> </w:t>
      </w:r>
      <w:r w:rsidRPr="00D02C68">
        <w:rPr>
          <w:rFonts w:asciiTheme="majorHAnsi" w:hAnsiTheme="majorHAnsi" w:cstheme="majorHAnsi"/>
        </w:rPr>
        <w:t xml:space="preserve">Incorporation of an emissions reduction objective into the National Electricity Objective is currently underway. See </w:t>
      </w:r>
      <w:hyperlink r:id="rId6" w:history="1">
        <w:r w:rsidRPr="00D02C68">
          <w:rPr>
            <w:rStyle w:val="Hyperlink"/>
            <w:rFonts w:asciiTheme="majorHAnsi" w:hAnsiTheme="majorHAnsi" w:cstheme="majorHAnsi"/>
          </w:rPr>
          <w:t>here for further information</w:t>
        </w:r>
      </w:hyperlink>
      <w:r w:rsidRPr="00D02C68">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F2C1" w14:textId="23B36785" w:rsidR="00B861B4" w:rsidRDefault="00FC5E91">
    <w:pPr>
      <w:pStyle w:val="Header"/>
    </w:pPr>
    <w:r>
      <w:t>Implementation Design Paper – Capacity Investment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BBB2" w14:textId="519FA22E"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969"/>
    <w:multiLevelType w:val="hybridMultilevel"/>
    <w:tmpl w:val="F7F0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F1E35"/>
    <w:multiLevelType w:val="hybridMultilevel"/>
    <w:tmpl w:val="2FAAD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B3028"/>
    <w:multiLevelType w:val="hybridMultilevel"/>
    <w:tmpl w:val="50CC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0035D"/>
    <w:multiLevelType w:val="hybridMultilevel"/>
    <w:tmpl w:val="F7AC2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BE27548"/>
    <w:multiLevelType w:val="hybridMultilevel"/>
    <w:tmpl w:val="4836A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26C56"/>
    <w:multiLevelType w:val="hybridMultilevel"/>
    <w:tmpl w:val="E20E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0B2E16"/>
    <w:multiLevelType w:val="hybridMultilevel"/>
    <w:tmpl w:val="CDA01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3B0327DE"/>
    <w:multiLevelType w:val="hybridMultilevel"/>
    <w:tmpl w:val="75D02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EB3FDD"/>
    <w:multiLevelType w:val="hybridMultilevel"/>
    <w:tmpl w:val="470A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800B4"/>
    <w:multiLevelType w:val="multilevel"/>
    <w:tmpl w:val="F36C17E8"/>
    <w:numStyleLink w:val="List1"/>
  </w:abstractNum>
  <w:abstractNum w:abstractNumId="15" w15:restartNumberingAfterBreak="0">
    <w:nsid w:val="48DE2E4A"/>
    <w:multiLevelType w:val="hybridMultilevel"/>
    <w:tmpl w:val="B7086130"/>
    <w:lvl w:ilvl="0" w:tplc="FFFFFFFF">
      <w:start w:val="1"/>
      <w:numFmt w:val="bullet"/>
      <w:pStyle w:val="BoxTextBullet"/>
      <w:lvlText w:val=""/>
      <w:lvlJc w:val="left"/>
      <w:pPr>
        <w:ind w:left="720" w:hanging="360"/>
      </w:pPr>
      <w:rPr>
        <w:rFonts w:ascii="Symbol" w:hAnsi="Symbol" w:hint="default"/>
      </w:rPr>
    </w:lvl>
    <w:lvl w:ilvl="1" w:tplc="3EACDEA8">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B45D5"/>
    <w:multiLevelType w:val="hybridMultilevel"/>
    <w:tmpl w:val="84D8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8AE420E"/>
    <w:multiLevelType w:val="hybridMultilevel"/>
    <w:tmpl w:val="53704FF6"/>
    <w:lvl w:ilvl="0" w:tplc="103C3634">
      <w:start w:val="1"/>
      <w:numFmt w:val="bullet"/>
      <w:lvlText w:val=""/>
      <w:lvlJc w:val="left"/>
      <w:pPr>
        <w:ind w:left="720" w:hanging="360"/>
      </w:pPr>
      <w:rPr>
        <w:rFonts w:ascii="Symbol" w:hAnsi="Symbol" w:hint="default"/>
      </w:rPr>
    </w:lvl>
    <w:lvl w:ilvl="1" w:tplc="BC664928">
      <w:start w:val="1"/>
      <w:numFmt w:val="bullet"/>
      <w:lvlText w:val="o"/>
      <w:lvlJc w:val="left"/>
      <w:pPr>
        <w:ind w:left="1440" w:hanging="360"/>
      </w:pPr>
      <w:rPr>
        <w:rFonts w:ascii="Courier New" w:hAnsi="Courier New" w:hint="default"/>
      </w:rPr>
    </w:lvl>
    <w:lvl w:ilvl="2" w:tplc="EA1CF3F6">
      <w:start w:val="1"/>
      <w:numFmt w:val="bullet"/>
      <w:lvlText w:val=""/>
      <w:lvlJc w:val="left"/>
      <w:pPr>
        <w:ind w:left="2160" w:hanging="360"/>
      </w:pPr>
      <w:rPr>
        <w:rFonts w:ascii="Wingdings" w:hAnsi="Wingdings" w:hint="default"/>
      </w:rPr>
    </w:lvl>
    <w:lvl w:ilvl="3" w:tplc="A476BC9E">
      <w:start w:val="1"/>
      <w:numFmt w:val="bullet"/>
      <w:lvlText w:val=""/>
      <w:lvlJc w:val="left"/>
      <w:pPr>
        <w:ind w:left="2880" w:hanging="360"/>
      </w:pPr>
      <w:rPr>
        <w:rFonts w:ascii="Symbol" w:hAnsi="Symbol" w:hint="default"/>
      </w:rPr>
    </w:lvl>
    <w:lvl w:ilvl="4" w:tplc="8AC4EA6A">
      <w:start w:val="1"/>
      <w:numFmt w:val="bullet"/>
      <w:lvlText w:val="o"/>
      <w:lvlJc w:val="left"/>
      <w:pPr>
        <w:ind w:left="3600" w:hanging="360"/>
      </w:pPr>
      <w:rPr>
        <w:rFonts w:ascii="Courier New" w:hAnsi="Courier New" w:hint="default"/>
      </w:rPr>
    </w:lvl>
    <w:lvl w:ilvl="5" w:tplc="8E828442">
      <w:start w:val="1"/>
      <w:numFmt w:val="bullet"/>
      <w:lvlText w:val=""/>
      <w:lvlJc w:val="left"/>
      <w:pPr>
        <w:ind w:left="4320" w:hanging="360"/>
      </w:pPr>
      <w:rPr>
        <w:rFonts w:ascii="Wingdings" w:hAnsi="Wingdings" w:hint="default"/>
      </w:rPr>
    </w:lvl>
    <w:lvl w:ilvl="6" w:tplc="5900CF5E">
      <w:start w:val="1"/>
      <w:numFmt w:val="bullet"/>
      <w:lvlText w:val=""/>
      <w:lvlJc w:val="left"/>
      <w:pPr>
        <w:ind w:left="5040" w:hanging="360"/>
      </w:pPr>
      <w:rPr>
        <w:rFonts w:ascii="Symbol" w:hAnsi="Symbol" w:hint="default"/>
      </w:rPr>
    </w:lvl>
    <w:lvl w:ilvl="7" w:tplc="EB3021A6">
      <w:start w:val="1"/>
      <w:numFmt w:val="bullet"/>
      <w:lvlText w:val="o"/>
      <w:lvlJc w:val="left"/>
      <w:pPr>
        <w:ind w:left="5760" w:hanging="360"/>
      </w:pPr>
      <w:rPr>
        <w:rFonts w:ascii="Courier New" w:hAnsi="Courier New" w:hint="default"/>
      </w:rPr>
    </w:lvl>
    <w:lvl w:ilvl="8" w:tplc="4070686C">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E897D73"/>
    <w:multiLevelType w:val="hybridMultilevel"/>
    <w:tmpl w:val="CAE2C110"/>
    <w:lvl w:ilvl="0" w:tplc="FFFFFFFF">
      <w:start w:val="1"/>
      <w:numFmt w:val="bullet"/>
      <w:pStyle w:val="MACtablebulletL1"/>
      <w:lvlText w:val="—"/>
      <w:lvlJc w:val="left"/>
      <w:rPr>
        <w:rFonts w:ascii="HelveticaNeue LT 45 Lt" w:hAnsi="HelveticaNeue LT 45 Lt" w:hint="default"/>
        <w:color w:val="000000" w:themeColor="text1"/>
        <w:sz w:val="2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A945F5"/>
    <w:multiLevelType w:val="hybridMultilevel"/>
    <w:tmpl w:val="FBFEF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AF2E04"/>
    <w:multiLevelType w:val="multilevel"/>
    <w:tmpl w:val="02AA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5C0A9C"/>
    <w:multiLevelType w:val="hybridMultilevel"/>
    <w:tmpl w:val="8E36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7FE93"/>
    <w:multiLevelType w:val="hybridMultilevel"/>
    <w:tmpl w:val="C0CAB874"/>
    <w:lvl w:ilvl="0" w:tplc="AE2EB656">
      <w:start w:val="1"/>
      <w:numFmt w:val="bullet"/>
      <w:lvlText w:val=""/>
      <w:lvlJc w:val="left"/>
      <w:pPr>
        <w:ind w:left="720" w:hanging="360"/>
      </w:pPr>
      <w:rPr>
        <w:rFonts w:ascii="Symbol" w:hAnsi="Symbol" w:hint="default"/>
      </w:rPr>
    </w:lvl>
    <w:lvl w:ilvl="1" w:tplc="7B7A5EFA">
      <w:start w:val="1"/>
      <w:numFmt w:val="bullet"/>
      <w:lvlText w:val="o"/>
      <w:lvlJc w:val="left"/>
      <w:pPr>
        <w:ind w:left="1440" w:hanging="360"/>
      </w:pPr>
      <w:rPr>
        <w:rFonts w:ascii="Courier New" w:hAnsi="Courier New" w:hint="default"/>
      </w:rPr>
    </w:lvl>
    <w:lvl w:ilvl="2" w:tplc="26C47F2E">
      <w:start w:val="1"/>
      <w:numFmt w:val="bullet"/>
      <w:lvlText w:val=""/>
      <w:lvlJc w:val="left"/>
      <w:pPr>
        <w:ind w:left="2160" w:hanging="360"/>
      </w:pPr>
      <w:rPr>
        <w:rFonts w:ascii="Wingdings" w:hAnsi="Wingdings" w:hint="default"/>
      </w:rPr>
    </w:lvl>
    <w:lvl w:ilvl="3" w:tplc="A5AE9E0A">
      <w:start w:val="1"/>
      <w:numFmt w:val="bullet"/>
      <w:lvlText w:val=""/>
      <w:lvlJc w:val="left"/>
      <w:pPr>
        <w:ind w:left="2880" w:hanging="360"/>
      </w:pPr>
      <w:rPr>
        <w:rFonts w:ascii="Symbol" w:hAnsi="Symbol" w:hint="default"/>
      </w:rPr>
    </w:lvl>
    <w:lvl w:ilvl="4" w:tplc="562A133A">
      <w:start w:val="1"/>
      <w:numFmt w:val="bullet"/>
      <w:lvlText w:val="o"/>
      <w:lvlJc w:val="left"/>
      <w:pPr>
        <w:ind w:left="3600" w:hanging="360"/>
      </w:pPr>
      <w:rPr>
        <w:rFonts w:ascii="Courier New" w:hAnsi="Courier New" w:hint="default"/>
      </w:rPr>
    </w:lvl>
    <w:lvl w:ilvl="5" w:tplc="E1E6DC86">
      <w:start w:val="1"/>
      <w:numFmt w:val="bullet"/>
      <w:lvlText w:val=""/>
      <w:lvlJc w:val="left"/>
      <w:pPr>
        <w:ind w:left="4320" w:hanging="360"/>
      </w:pPr>
      <w:rPr>
        <w:rFonts w:ascii="Wingdings" w:hAnsi="Wingdings" w:hint="default"/>
      </w:rPr>
    </w:lvl>
    <w:lvl w:ilvl="6" w:tplc="7CD46962">
      <w:start w:val="1"/>
      <w:numFmt w:val="bullet"/>
      <w:lvlText w:val=""/>
      <w:lvlJc w:val="left"/>
      <w:pPr>
        <w:ind w:left="5040" w:hanging="360"/>
      </w:pPr>
      <w:rPr>
        <w:rFonts w:ascii="Symbol" w:hAnsi="Symbol" w:hint="default"/>
      </w:rPr>
    </w:lvl>
    <w:lvl w:ilvl="7" w:tplc="3AECEF66">
      <w:start w:val="1"/>
      <w:numFmt w:val="bullet"/>
      <w:lvlText w:val="o"/>
      <w:lvlJc w:val="left"/>
      <w:pPr>
        <w:ind w:left="5760" w:hanging="360"/>
      </w:pPr>
      <w:rPr>
        <w:rFonts w:ascii="Courier New" w:hAnsi="Courier New" w:hint="default"/>
      </w:rPr>
    </w:lvl>
    <w:lvl w:ilvl="8" w:tplc="D7A0B5BC">
      <w:start w:val="1"/>
      <w:numFmt w:val="bullet"/>
      <w:lvlText w:val=""/>
      <w:lvlJc w:val="left"/>
      <w:pPr>
        <w:ind w:left="6480" w:hanging="360"/>
      </w:pPr>
      <w:rPr>
        <w:rFonts w:ascii="Wingdings" w:hAnsi="Wingdings" w:hint="default"/>
      </w:rPr>
    </w:lvl>
  </w:abstractNum>
  <w:abstractNum w:abstractNumId="27" w15:restartNumberingAfterBreak="0">
    <w:nsid w:val="73991551"/>
    <w:multiLevelType w:val="hybridMultilevel"/>
    <w:tmpl w:val="CBF8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307633"/>
    <w:multiLevelType w:val="hybridMultilevel"/>
    <w:tmpl w:val="CE26095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404451164">
    <w:abstractNumId w:val="15"/>
  </w:num>
  <w:num w:numId="2" w16cid:durableId="1666787524">
    <w:abstractNumId w:val="5"/>
  </w:num>
  <w:num w:numId="3" w16cid:durableId="381057155">
    <w:abstractNumId w:val="20"/>
  </w:num>
  <w:num w:numId="4" w16cid:durableId="1639215797">
    <w:abstractNumId w:val="21"/>
  </w:num>
  <w:num w:numId="5" w16cid:durableId="1643265712">
    <w:abstractNumId w:val="9"/>
  </w:num>
  <w:num w:numId="6" w16cid:durableId="294606878">
    <w:abstractNumId w:val="11"/>
    <w:lvlOverride w:ilvl="0">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3"/>
        <w:lvlText w:val="%1.%2"/>
        <w:lvlJc w:val="left"/>
        <w:pPr>
          <w:ind w:left="1815" w:hanging="1389"/>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18"/>
  </w:num>
  <w:num w:numId="8" w16cid:durableId="9570234">
    <w:abstractNumId w:val="8"/>
  </w:num>
  <w:num w:numId="9" w16cid:durableId="1568950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6202022">
    <w:abstractNumId w:val="16"/>
  </w:num>
  <w:num w:numId="11" w16cid:durableId="866915021">
    <w:abstractNumId w:val="4"/>
  </w:num>
  <w:num w:numId="12" w16cid:durableId="631444696">
    <w:abstractNumId w:val="22"/>
    <w:lvlOverride w:ilvl="0">
      <w:startOverride w:val="1"/>
    </w:lvlOverride>
  </w:num>
  <w:num w:numId="13" w16cid:durableId="1269509990">
    <w:abstractNumId w:val="11"/>
    <w:lvlOverride w:ilvl="0">
      <w:startOverride w:val="1"/>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4" w16cid:durableId="136997016">
    <w:abstractNumId w:val="1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17104909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2821349">
    <w:abstractNumId w:val="13"/>
  </w:num>
  <w:num w:numId="17" w16cid:durableId="1179848837">
    <w:abstractNumId w:val="23"/>
  </w:num>
  <w:num w:numId="18" w16cid:durableId="1677028428">
    <w:abstractNumId w:val="1"/>
  </w:num>
  <w:num w:numId="19" w16cid:durableId="614943133">
    <w:abstractNumId w:val="11"/>
    <w:lvlOverride w:ilvl="0">
      <w:startOverride w:val="2"/>
      <w:lvl w:ilvl="0">
        <w:start w:val="2"/>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0" w16cid:durableId="1374040061">
    <w:abstractNumId w:val="10"/>
  </w:num>
  <w:num w:numId="21" w16cid:durableId="29571993">
    <w:abstractNumId w:val="28"/>
  </w:num>
  <w:num w:numId="22" w16cid:durableId="4983997">
    <w:abstractNumId w:val="25"/>
  </w:num>
  <w:num w:numId="23" w16cid:durableId="544175126">
    <w:abstractNumId w:val="0"/>
  </w:num>
  <w:num w:numId="24" w16cid:durableId="1089233373">
    <w:abstractNumId w:val="15"/>
  </w:num>
  <w:num w:numId="25" w16cid:durableId="842671686">
    <w:abstractNumId w:val="15"/>
  </w:num>
  <w:num w:numId="26" w16cid:durableId="1531725350">
    <w:abstractNumId w:val="27"/>
  </w:num>
  <w:num w:numId="27" w16cid:durableId="759837267">
    <w:abstractNumId w:val="17"/>
  </w:num>
  <w:num w:numId="28" w16cid:durableId="7557817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7607738">
    <w:abstractNumId w:val="24"/>
  </w:num>
  <w:num w:numId="30" w16cid:durableId="2129619525">
    <w:abstractNumId w:val="7"/>
  </w:num>
  <w:num w:numId="31" w16cid:durableId="1692490715">
    <w:abstractNumId w:val="12"/>
  </w:num>
  <w:num w:numId="32" w16cid:durableId="240145623">
    <w:abstractNumId w:val="2"/>
  </w:num>
  <w:num w:numId="33" w16cid:durableId="342051514">
    <w:abstractNumId w:val="3"/>
  </w:num>
  <w:num w:numId="34" w16cid:durableId="199099989">
    <w:abstractNumId w:val="6"/>
  </w:num>
  <w:num w:numId="35" w16cid:durableId="2090694448">
    <w:abstractNumId w:val="19"/>
  </w:num>
  <w:num w:numId="36" w16cid:durableId="472869665">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BC9"/>
    <w:rsid w:val="000001D1"/>
    <w:rsid w:val="00000576"/>
    <w:rsid w:val="00001A7A"/>
    <w:rsid w:val="00001D87"/>
    <w:rsid w:val="00002568"/>
    <w:rsid w:val="00002936"/>
    <w:rsid w:val="00002AAF"/>
    <w:rsid w:val="00002AE4"/>
    <w:rsid w:val="00002CBC"/>
    <w:rsid w:val="00002EF9"/>
    <w:rsid w:val="000031E5"/>
    <w:rsid w:val="0000399E"/>
    <w:rsid w:val="00004012"/>
    <w:rsid w:val="000049F6"/>
    <w:rsid w:val="00004A6C"/>
    <w:rsid w:val="00005128"/>
    <w:rsid w:val="000052C6"/>
    <w:rsid w:val="000052FB"/>
    <w:rsid w:val="00005419"/>
    <w:rsid w:val="00005556"/>
    <w:rsid w:val="00005C22"/>
    <w:rsid w:val="00005E2C"/>
    <w:rsid w:val="00005F58"/>
    <w:rsid w:val="00006222"/>
    <w:rsid w:val="000063E8"/>
    <w:rsid w:val="000069E0"/>
    <w:rsid w:val="00007154"/>
    <w:rsid w:val="000077BE"/>
    <w:rsid w:val="00007C31"/>
    <w:rsid w:val="0001038D"/>
    <w:rsid w:val="00010513"/>
    <w:rsid w:val="00010712"/>
    <w:rsid w:val="00010B6B"/>
    <w:rsid w:val="00010CAB"/>
    <w:rsid w:val="00010D03"/>
    <w:rsid w:val="00010EE5"/>
    <w:rsid w:val="00011083"/>
    <w:rsid w:val="0001166C"/>
    <w:rsid w:val="000118E6"/>
    <w:rsid w:val="0001191F"/>
    <w:rsid w:val="00011B51"/>
    <w:rsid w:val="000122C9"/>
    <w:rsid w:val="000126E6"/>
    <w:rsid w:val="00012C1F"/>
    <w:rsid w:val="0001303A"/>
    <w:rsid w:val="0001306B"/>
    <w:rsid w:val="00013646"/>
    <w:rsid w:val="00013926"/>
    <w:rsid w:val="000139A7"/>
    <w:rsid w:val="00013EC3"/>
    <w:rsid w:val="00014525"/>
    <w:rsid w:val="00014764"/>
    <w:rsid w:val="00014AD6"/>
    <w:rsid w:val="00014CA2"/>
    <w:rsid w:val="00014F35"/>
    <w:rsid w:val="00015B85"/>
    <w:rsid w:val="00015ECE"/>
    <w:rsid w:val="00016382"/>
    <w:rsid w:val="000163C7"/>
    <w:rsid w:val="0001654C"/>
    <w:rsid w:val="00016881"/>
    <w:rsid w:val="00016974"/>
    <w:rsid w:val="00016A0F"/>
    <w:rsid w:val="00017393"/>
    <w:rsid w:val="000173DF"/>
    <w:rsid w:val="000173ED"/>
    <w:rsid w:val="00017618"/>
    <w:rsid w:val="00017B2A"/>
    <w:rsid w:val="00017DDE"/>
    <w:rsid w:val="00020D88"/>
    <w:rsid w:val="0002172E"/>
    <w:rsid w:val="00021DCA"/>
    <w:rsid w:val="0002200F"/>
    <w:rsid w:val="00022A00"/>
    <w:rsid w:val="00022A91"/>
    <w:rsid w:val="00022B08"/>
    <w:rsid w:val="00022E1A"/>
    <w:rsid w:val="00023122"/>
    <w:rsid w:val="00023518"/>
    <w:rsid w:val="000237D9"/>
    <w:rsid w:val="00023C4C"/>
    <w:rsid w:val="000246C7"/>
    <w:rsid w:val="00025348"/>
    <w:rsid w:val="00025472"/>
    <w:rsid w:val="00025522"/>
    <w:rsid w:val="0002554A"/>
    <w:rsid w:val="00025601"/>
    <w:rsid w:val="00025B55"/>
    <w:rsid w:val="0002636A"/>
    <w:rsid w:val="000264C7"/>
    <w:rsid w:val="00026507"/>
    <w:rsid w:val="00026885"/>
    <w:rsid w:val="000268B6"/>
    <w:rsid w:val="000269F7"/>
    <w:rsid w:val="00026A4D"/>
    <w:rsid w:val="00026AE8"/>
    <w:rsid w:val="000274DD"/>
    <w:rsid w:val="0002782F"/>
    <w:rsid w:val="00027969"/>
    <w:rsid w:val="0002797C"/>
    <w:rsid w:val="000302AD"/>
    <w:rsid w:val="000302C1"/>
    <w:rsid w:val="000312C9"/>
    <w:rsid w:val="0003133D"/>
    <w:rsid w:val="00031F06"/>
    <w:rsid w:val="00032580"/>
    <w:rsid w:val="00032EC3"/>
    <w:rsid w:val="00032F16"/>
    <w:rsid w:val="00033614"/>
    <w:rsid w:val="0003392E"/>
    <w:rsid w:val="00033988"/>
    <w:rsid w:val="00033DDE"/>
    <w:rsid w:val="00033E6B"/>
    <w:rsid w:val="00033EA0"/>
    <w:rsid w:val="00033EB6"/>
    <w:rsid w:val="000341BD"/>
    <w:rsid w:val="000342D1"/>
    <w:rsid w:val="000347D3"/>
    <w:rsid w:val="00034A69"/>
    <w:rsid w:val="00035258"/>
    <w:rsid w:val="00035332"/>
    <w:rsid w:val="00035538"/>
    <w:rsid w:val="00035593"/>
    <w:rsid w:val="00035E6F"/>
    <w:rsid w:val="000360B7"/>
    <w:rsid w:val="000363D0"/>
    <w:rsid w:val="00036A1C"/>
    <w:rsid w:val="00036BC4"/>
    <w:rsid w:val="00037318"/>
    <w:rsid w:val="0003765F"/>
    <w:rsid w:val="00040466"/>
    <w:rsid w:val="00040A19"/>
    <w:rsid w:val="00040B4C"/>
    <w:rsid w:val="00040D37"/>
    <w:rsid w:val="00040D90"/>
    <w:rsid w:val="00041399"/>
    <w:rsid w:val="0004142A"/>
    <w:rsid w:val="000417E9"/>
    <w:rsid w:val="0004184B"/>
    <w:rsid w:val="000418E5"/>
    <w:rsid w:val="00041916"/>
    <w:rsid w:val="00041DF1"/>
    <w:rsid w:val="000426F6"/>
    <w:rsid w:val="0004301D"/>
    <w:rsid w:val="000432E2"/>
    <w:rsid w:val="00043524"/>
    <w:rsid w:val="00043759"/>
    <w:rsid w:val="00043935"/>
    <w:rsid w:val="00043AAC"/>
    <w:rsid w:val="00043C25"/>
    <w:rsid w:val="00043C69"/>
    <w:rsid w:val="00044539"/>
    <w:rsid w:val="00044638"/>
    <w:rsid w:val="0004489D"/>
    <w:rsid w:val="00044968"/>
    <w:rsid w:val="0004546F"/>
    <w:rsid w:val="00045578"/>
    <w:rsid w:val="00045600"/>
    <w:rsid w:val="000457F4"/>
    <w:rsid w:val="00045E61"/>
    <w:rsid w:val="00046605"/>
    <w:rsid w:val="000466E6"/>
    <w:rsid w:val="0004722C"/>
    <w:rsid w:val="00047396"/>
    <w:rsid w:val="00047590"/>
    <w:rsid w:val="00047943"/>
    <w:rsid w:val="00047B7F"/>
    <w:rsid w:val="00047E0D"/>
    <w:rsid w:val="00050253"/>
    <w:rsid w:val="00050563"/>
    <w:rsid w:val="00050585"/>
    <w:rsid w:val="00050E52"/>
    <w:rsid w:val="00051A2D"/>
    <w:rsid w:val="00051B55"/>
    <w:rsid w:val="00051E00"/>
    <w:rsid w:val="00051F21"/>
    <w:rsid w:val="000523F1"/>
    <w:rsid w:val="00052B03"/>
    <w:rsid w:val="00052BF4"/>
    <w:rsid w:val="000531D4"/>
    <w:rsid w:val="0005344C"/>
    <w:rsid w:val="0005358F"/>
    <w:rsid w:val="00053AFC"/>
    <w:rsid w:val="00053C20"/>
    <w:rsid w:val="00053F48"/>
    <w:rsid w:val="00053FA5"/>
    <w:rsid w:val="000548DB"/>
    <w:rsid w:val="000555A4"/>
    <w:rsid w:val="00055631"/>
    <w:rsid w:val="000557B9"/>
    <w:rsid w:val="00055E48"/>
    <w:rsid w:val="00055F36"/>
    <w:rsid w:val="00056F01"/>
    <w:rsid w:val="00057579"/>
    <w:rsid w:val="0005757D"/>
    <w:rsid w:val="000577D7"/>
    <w:rsid w:val="00057954"/>
    <w:rsid w:val="00057B71"/>
    <w:rsid w:val="00057CB7"/>
    <w:rsid w:val="00057E63"/>
    <w:rsid w:val="00057EC9"/>
    <w:rsid w:val="0006031F"/>
    <w:rsid w:val="00060741"/>
    <w:rsid w:val="0006086C"/>
    <w:rsid w:val="00060D44"/>
    <w:rsid w:val="00060E81"/>
    <w:rsid w:val="00060F22"/>
    <w:rsid w:val="0006126B"/>
    <w:rsid w:val="00061917"/>
    <w:rsid w:val="00062460"/>
    <w:rsid w:val="0006268B"/>
    <w:rsid w:val="00062780"/>
    <w:rsid w:val="00062B8B"/>
    <w:rsid w:val="0006309D"/>
    <w:rsid w:val="000631D2"/>
    <w:rsid w:val="00063463"/>
    <w:rsid w:val="000635FF"/>
    <w:rsid w:val="00063DBF"/>
    <w:rsid w:val="0006445A"/>
    <w:rsid w:val="000644F5"/>
    <w:rsid w:val="0006451A"/>
    <w:rsid w:val="00064672"/>
    <w:rsid w:val="00064825"/>
    <w:rsid w:val="00064ADB"/>
    <w:rsid w:val="00064BD1"/>
    <w:rsid w:val="00064E6E"/>
    <w:rsid w:val="00065059"/>
    <w:rsid w:val="000656D6"/>
    <w:rsid w:val="000656FA"/>
    <w:rsid w:val="00065744"/>
    <w:rsid w:val="000657C6"/>
    <w:rsid w:val="00065FDB"/>
    <w:rsid w:val="00066616"/>
    <w:rsid w:val="000669B6"/>
    <w:rsid w:val="0006736C"/>
    <w:rsid w:val="00067402"/>
    <w:rsid w:val="000674DB"/>
    <w:rsid w:val="000675EA"/>
    <w:rsid w:val="000677F4"/>
    <w:rsid w:val="00067B27"/>
    <w:rsid w:val="00067CDB"/>
    <w:rsid w:val="00067FC1"/>
    <w:rsid w:val="000707C6"/>
    <w:rsid w:val="00070B2F"/>
    <w:rsid w:val="0007120B"/>
    <w:rsid w:val="000712BC"/>
    <w:rsid w:val="00071941"/>
    <w:rsid w:val="00071BA8"/>
    <w:rsid w:val="00071D81"/>
    <w:rsid w:val="00071EE8"/>
    <w:rsid w:val="00072949"/>
    <w:rsid w:val="00072E60"/>
    <w:rsid w:val="0007323A"/>
    <w:rsid w:val="0007330F"/>
    <w:rsid w:val="0007352A"/>
    <w:rsid w:val="0007398B"/>
    <w:rsid w:val="00073B6B"/>
    <w:rsid w:val="000743E2"/>
    <w:rsid w:val="000746B7"/>
    <w:rsid w:val="00074998"/>
    <w:rsid w:val="000749B5"/>
    <w:rsid w:val="000759E6"/>
    <w:rsid w:val="00075A15"/>
    <w:rsid w:val="00075A9B"/>
    <w:rsid w:val="000767A4"/>
    <w:rsid w:val="00076B32"/>
    <w:rsid w:val="00077006"/>
    <w:rsid w:val="000771A3"/>
    <w:rsid w:val="00077808"/>
    <w:rsid w:val="0008034B"/>
    <w:rsid w:val="00080355"/>
    <w:rsid w:val="0008082F"/>
    <w:rsid w:val="00080C6B"/>
    <w:rsid w:val="00080CFA"/>
    <w:rsid w:val="00080DBE"/>
    <w:rsid w:val="00080ED3"/>
    <w:rsid w:val="00081147"/>
    <w:rsid w:val="00081266"/>
    <w:rsid w:val="000812A7"/>
    <w:rsid w:val="0008143C"/>
    <w:rsid w:val="000814C3"/>
    <w:rsid w:val="0008151C"/>
    <w:rsid w:val="000818CC"/>
    <w:rsid w:val="0008231E"/>
    <w:rsid w:val="00082714"/>
    <w:rsid w:val="0008275D"/>
    <w:rsid w:val="00082840"/>
    <w:rsid w:val="00082880"/>
    <w:rsid w:val="00082B74"/>
    <w:rsid w:val="00082B77"/>
    <w:rsid w:val="0008305D"/>
    <w:rsid w:val="00083681"/>
    <w:rsid w:val="00083995"/>
    <w:rsid w:val="00083EAD"/>
    <w:rsid w:val="0008412A"/>
    <w:rsid w:val="0008438C"/>
    <w:rsid w:val="000848C8"/>
    <w:rsid w:val="00084A38"/>
    <w:rsid w:val="00085832"/>
    <w:rsid w:val="00085A42"/>
    <w:rsid w:val="00085BC8"/>
    <w:rsid w:val="000860B1"/>
    <w:rsid w:val="00086400"/>
    <w:rsid w:val="00086697"/>
    <w:rsid w:val="000868F7"/>
    <w:rsid w:val="000869AB"/>
    <w:rsid w:val="00086E41"/>
    <w:rsid w:val="000872B9"/>
    <w:rsid w:val="000876B5"/>
    <w:rsid w:val="000877EE"/>
    <w:rsid w:val="00090BF7"/>
    <w:rsid w:val="00091100"/>
    <w:rsid w:val="00091394"/>
    <w:rsid w:val="00091687"/>
    <w:rsid w:val="00091C58"/>
    <w:rsid w:val="00091CC2"/>
    <w:rsid w:val="00092718"/>
    <w:rsid w:val="00092F81"/>
    <w:rsid w:val="0009303B"/>
    <w:rsid w:val="0009338C"/>
    <w:rsid w:val="00093819"/>
    <w:rsid w:val="00093A3A"/>
    <w:rsid w:val="00094053"/>
    <w:rsid w:val="0009449D"/>
    <w:rsid w:val="000945B0"/>
    <w:rsid w:val="000949C1"/>
    <w:rsid w:val="00094F59"/>
    <w:rsid w:val="00095394"/>
    <w:rsid w:val="00095686"/>
    <w:rsid w:val="0009570D"/>
    <w:rsid w:val="0009597F"/>
    <w:rsid w:val="00095B3B"/>
    <w:rsid w:val="000960BD"/>
    <w:rsid w:val="00096491"/>
    <w:rsid w:val="00096542"/>
    <w:rsid w:val="0009674F"/>
    <w:rsid w:val="00096EF3"/>
    <w:rsid w:val="000973EE"/>
    <w:rsid w:val="00097E56"/>
    <w:rsid w:val="00097FA8"/>
    <w:rsid w:val="000A003B"/>
    <w:rsid w:val="000A00F7"/>
    <w:rsid w:val="000A01BC"/>
    <w:rsid w:val="000A09E5"/>
    <w:rsid w:val="000A0B4B"/>
    <w:rsid w:val="000A0B59"/>
    <w:rsid w:val="000A0FB0"/>
    <w:rsid w:val="000A1060"/>
    <w:rsid w:val="000A11C0"/>
    <w:rsid w:val="000A15C5"/>
    <w:rsid w:val="000A19A3"/>
    <w:rsid w:val="000A1BB6"/>
    <w:rsid w:val="000A200A"/>
    <w:rsid w:val="000A24E5"/>
    <w:rsid w:val="000A27C1"/>
    <w:rsid w:val="000A2EDC"/>
    <w:rsid w:val="000A3494"/>
    <w:rsid w:val="000A3551"/>
    <w:rsid w:val="000A36DF"/>
    <w:rsid w:val="000A3BD1"/>
    <w:rsid w:val="000A43A2"/>
    <w:rsid w:val="000A4466"/>
    <w:rsid w:val="000A468A"/>
    <w:rsid w:val="000A491C"/>
    <w:rsid w:val="000A4B2C"/>
    <w:rsid w:val="000A4C57"/>
    <w:rsid w:val="000A4DD2"/>
    <w:rsid w:val="000A4E89"/>
    <w:rsid w:val="000A518E"/>
    <w:rsid w:val="000A5227"/>
    <w:rsid w:val="000A53F7"/>
    <w:rsid w:val="000A5681"/>
    <w:rsid w:val="000A5741"/>
    <w:rsid w:val="000A585B"/>
    <w:rsid w:val="000A58D8"/>
    <w:rsid w:val="000A58D9"/>
    <w:rsid w:val="000A5B3A"/>
    <w:rsid w:val="000A5BF2"/>
    <w:rsid w:val="000A6060"/>
    <w:rsid w:val="000A6208"/>
    <w:rsid w:val="000A69A6"/>
    <w:rsid w:val="000A7AAF"/>
    <w:rsid w:val="000A7B28"/>
    <w:rsid w:val="000A7E0F"/>
    <w:rsid w:val="000B0227"/>
    <w:rsid w:val="000B0445"/>
    <w:rsid w:val="000B067D"/>
    <w:rsid w:val="000B0C35"/>
    <w:rsid w:val="000B1035"/>
    <w:rsid w:val="000B137F"/>
    <w:rsid w:val="000B18F7"/>
    <w:rsid w:val="000B1C6F"/>
    <w:rsid w:val="000B344A"/>
    <w:rsid w:val="000B40A1"/>
    <w:rsid w:val="000B44F0"/>
    <w:rsid w:val="000B46A3"/>
    <w:rsid w:val="000B46AF"/>
    <w:rsid w:val="000B498B"/>
    <w:rsid w:val="000B4CF9"/>
    <w:rsid w:val="000B4FF9"/>
    <w:rsid w:val="000B518A"/>
    <w:rsid w:val="000B51F8"/>
    <w:rsid w:val="000B5566"/>
    <w:rsid w:val="000B5B2A"/>
    <w:rsid w:val="000B5BF8"/>
    <w:rsid w:val="000B5F2D"/>
    <w:rsid w:val="000B6842"/>
    <w:rsid w:val="000B6D89"/>
    <w:rsid w:val="000B6DC4"/>
    <w:rsid w:val="000B76B0"/>
    <w:rsid w:val="000B7741"/>
    <w:rsid w:val="000B7B1E"/>
    <w:rsid w:val="000B7BFC"/>
    <w:rsid w:val="000B7D86"/>
    <w:rsid w:val="000C03FF"/>
    <w:rsid w:val="000C0484"/>
    <w:rsid w:val="000C07E0"/>
    <w:rsid w:val="000C09EB"/>
    <w:rsid w:val="000C0AFE"/>
    <w:rsid w:val="000C0CB2"/>
    <w:rsid w:val="000C0E87"/>
    <w:rsid w:val="000C1723"/>
    <w:rsid w:val="000C24D9"/>
    <w:rsid w:val="000C2945"/>
    <w:rsid w:val="000C347A"/>
    <w:rsid w:val="000C34BA"/>
    <w:rsid w:val="000C3D45"/>
    <w:rsid w:val="000C3EB9"/>
    <w:rsid w:val="000C43D3"/>
    <w:rsid w:val="000C442B"/>
    <w:rsid w:val="000C4A56"/>
    <w:rsid w:val="000C4B56"/>
    <w:rsid w:val="000C4B9F"/>
    <w:rsid w:val="000C543F"/>
    <w:rsid w:val="000C56AA"/>
    <w:rsid w:val="000C57E6"/>
    <w:rsid w:val="000C59FC"/>
    <w:rsid w:val="000C5A6E"/>
    <w:rsid w:val="000C6391"/>
    <w:rsid w:val="000C6513"/>
    <w:rsid w:val="000C66F3"/>
    <w:rsid w:val="000C6F66"/>
    <w:rsid w:val="000C6FE9"/>
    <w:rsid w:val="000C722B"/>
    <w:rsid w:val="000C7333"/>
    <w:rsid w:val="000C790D"/>
    <w:rsid w:val="000C7E96"/>
    <w:rsid w:val="000D01C1"/>
    <w:rsid w:val="000D0925"/>
    <w:rsid w:val="000D0A07"/>
    <w:rsid w:val="000D0A21"/>
    <w:rsid w:val="000D0EA4"/>
    <w:rsid w:val="000D1009"/>
    <w:rsid w:val="000D1300"/>
    <w:rsid w:val="000D143D"/>
    <w:rsid w:val="000D1C8D"/>
    <w:rsid w:val="000D2258"/>
    <w:rsid w:val="000D246C"/>
    <w:rsid w:val="000D292B"/>
    <w:rsid w:val="000D2A8F"/>
    <w:rsid w:val="000D2E5A"/>
    <w:rsid w:val="000D3230"/>
    <w:rsid w:val="000D3249"/>
    <w:rsid w:val="000D3A0E"/>
    <w:rsid w:val="000D3B6C"/>
    <w:rsid w:val="000D3EF3"/>
    <w:rsid w:val="000D421D"/>
    <w:rsid w:val="000D4B20"/>
    <w:rsid w:val="000D517A"/>
    <w:rsid w:val="000D51C5"/>
    <w:rsid w:val="000D53AF"/>
    <w:rsid w:val="000D53C5"/>
    <w:rsid w:val="000D5758"/>
    <w:rsid w:val="000D5895"/>
    <w:rsid w:val="000D5C14"/>
    <w:rsid w:val="000D65BD"/>
    <w:rsid w:val="000D6622"/>
    <w:rsid w:val="000D6D98"/>
    <w:rsid w:val="000D6EB7"/>
    <w:rsid w:val="000D6FB3"/>
    <w:rsid w:val="000D7060"/>
    <w:rsid w:val="000D7303"/>
    <w:rsid w:val="000D768E"/>
    <w:rsid w:val="000D7C59"/>
    <w:rsid w:val="000E0054"/>
    <w:rsid w:val="000E0124"/>
    <w:rsid w:val="000E0397"/>
    <w:rsid w:val="000E0681"/>
    <w:rsid w:val="000E07C6"/>
    <w:rsid w:val="000E0C80"/>
    <w:rsid w:val="000E129A"/>
    <w:rsid w:val="000E17D0"/>
    <w:rsid w:val="000E1905"/>
    <w:rsid w:val="000E1B3C"/>
    <w:rsid w:val="000E1B3D"/>
    <w:rsid w:val="000E29E4"/>
    <w:rsid w:val="000E2BC4"/>
    <w:rsid w:val="000E2C48"/>
    <w:rsid w:val="000E3051"/>
    <w:rsid w:val="000E3584"/>
    <w:rsid w:val="000E3A07"/>
    <w:rsid w:val="000E4451"/>
    <w:rsid w:val="000E47E0"/>
    <w:rsid w:val="000E4D43"/>
    <w:rsid w:val="000E5227"/>
    <w:rsid w:val="000E5437"/>
    <w:rsid w:val="000E66D8"/>
    <w:rsid w:val="000E6FC7"/>
    <w:rsid w:val="000E732B"/>
    <w:rsid w:val="000E7371"/>
    <w:rsid w:val="000E7669"/>
    <w:rsid w:val="000E78D3"/>
    <w:rsid w:val="000E7F72"/>
    <w:rsid w:val="000F047A"/>
    <w:rsid w:val="000F054F"/>
    <w:rsid w:val="000F0F49"/>
    <w:rsid w:val="000F139F"/>
    <w:rsid w:val="000F1536"/>
    <w:rsid w:val="000F1C64"/>
    <w:rsid w:val="000F2194"/>
    <w:rsid w:val="000F25D4"/>
    <w:rsid w:val="000F2B24"/>
    <w:rsid w:val="000F2E6E"/>
    <w:rsid w:val="000F3B3A"/>
    <w:rsid w:val="000F3B60"/>
    <w:rsid w:val="000F3C22"/>
    <w:rsid w:val="000F3E1B"/>
    <w:rsid w:val="000F4088"/>
    <w:rsid w:val="000F41B3"/>
    <w:rsid w:val="000F4655"/>
    <w:rsid w:val="000F5076"/>
    <w:rsid w:val="000F5192"/>
    <w:rsid w:val="000F537E"/>
    <w:rsid w:val="000F5673"/>
    <w:rsid w:val="000F568D"/>
    <w:rsid w:val="000F579F"/>
    <w:rsid w:val="000F5FF6"/>
    <w:rsid w:val="000F60EE"/>
    <w:rsid w:val="000F62B3"/>
    <w:rsid w:val="000F63F7"/>
    <w:rsid w:val="000F663E"/>
    <w:rsid w:val="000F6641"/>
    <w:rsid w:val="000F6A5C"/>
    <w:rsid w:val="000F6CC2"/>
    <w:rsid w:val="000F6EA0"/>
    <w:rsid w:val="000F7379"/>
    <w:rsid w:val="000F7DE6"/>
    <w:rsid w:val="001001FB"/>
    <w:rsid w:val="001005AA"/>
    <w:rsid w:val="00100706"/>
    <w:rsid w:val="00100836"/>
    <w:rsid w:val="00100FEA"/>
    <w:rsid w:val="0010104F"/>
    <w:rsid w:val="00101699"/>
    <w:rsid w:val="00101755"/>
    <w:rsid w:val="0010180A"/>
    <w:rsid w:val="0010180B"/>
    <w:rsid w:val="00101ECF"/>
    <w:rsid w:val="0010204D"/>
    <w:rsid w:val="001022F9"/>
    <w:rsid w:val="00102422"/>
    <w:rsid w:val="00102687"/>
    <w:rsid w:val="0010299A"/>
    <w:rsid w:val="00102B18"/>
    <w:rsid w:val="00102E40"/>
    <w:rsid w:val="00103715"/>
    <w:rsid w:val="00103803"/>
    <w:rsid w:val="00103888"/>
    <w:rsid w:val="00103A03"/>
    <w:rsid w:val="00104010"/>
    <w:rsid w:val="001043B5"/>
    <w:rsid w:val="001044F7"/>
    <w:rsid w:val="00104849"/>
    <w:rsid w:val="0010484E"/>
    <w:rsid w:val="001048AE"/>
    <w:rsid w:val="00104E68"/>
    <w:rsid w:val="0010510D"/>
    <w:rsid w:val="001051F3"/>
    <w:rsid w:val="00105B02"/>
    <w:rsid w:val="00105DA4"/>
    <w:rsid w:val="0010608B"/>
    <w:rsid w:val="001062B2"/>
    <w:rsid w:val="001062DD"/>
    <w:rsid w:val="001067E5"/>
    <w:rsid w:val="00106D16"/>
    <w:rsid w:val="00106D74"/>
    <w:rsid w:val="00106FBE"/>
    <w:rsid w:val="001070F0"/>
    <w:rsid w:val="00107522"/>
    <w:rsid w:val="00107939"/>
    <w:rsid w:val="00107B16"/>
    <w:rsid w:val="00107BD4"/>
    <w:rsid w:val="00107F7A"/>
    <w:rsid w:val="00110081"/>
    <w:rsid w:val="00110328"/>
    <w:rsid w:val="001105DD"/>
    <w:rsid w:val="00110867"/>
    <w:rsid w:val="00110B73"/>
    <w:rsid w:val="00110C48"/>
    <w:rsid w:val="0011137F"/>
    <w:rsid w:val="00111537"/>
    <w:rsid w:val="001116F3"/>
    <w:rsid w:val="00111903"/>
    <w:rsid w:val="00111AFD"/>
    <w:rsid w:val="00111BE7"/>
    <w:rsid w:val="00111D02"/>
    <w:rsid w:val="001120F8"/>
    <w:rsid w:val="0011256A"/>
    <w:rsid w:val="00112826"/>
    <w:rsid w:val="0011298F"/>
    <w:rsid w:val="00112E7C"/>
    <w:rsid w:val="001133E8"/>
    <w:rsid w:val="00113677"/>
    <w:rsid w:val="0011389C"/>
    <w:rsid w:val="001139B3"/>
    <w:rsid w:val="00113B0C"/>
    <w:rsid w:val="00113F4D"/>
    <w:rsid w:val="00114002"/>
    <w:rsid w:val="0011413C"/>
    <w:rsid w:val="001144C5"/>
    <w:rsid w:val="00114D43"/>
    <w:rsid w:val="0011511C"/>
    <w:rsid w:val="001153BC"/>
    <w:rsid w:val="00115657"/>
    <w:rsid w:val="00115665"/>
    <w:rsid w:val="00115DFD"/>
    <w:rsid w:val="001162BE"/>
    <w:rsid w:val="0011630C"/>
    <w:rsid w:val="00116310"/>
    <w:rsid w:val="00116434"/>
    <w:rsid w:val="001166EE"/>
    <w:rsid w:val="0011697A"/>
    <w:rsid w:val="00116F41"/>
    <w:rsid w:val="0011766D"/>
    <w:rsid w:val="001176D3"/>
    <w:rsid w:val="00117A32"/>
    <w:rsid w:val="00117D4A"/>
    <w:rsid w:val="00117DA3"/>
    <w:rsid w:val="00120047"/>
    <w:rsid w:val="001205E4"/>
    <w:rsid w:val="00120689"/>
    <w:rsid w:val="00120729"/>
    <w:rsid w:val="0012093F"/>
    <w:rsid w:val="00120B34"/>
    <w:rsid w:val="00120BED"/>
    <w:rsid w:val="0012136B"/>
    <w:rsid w:val="00121483"/>
    <w:rsid w:val="00121651"/>
    <w:rsid w:val="00121688"/>
    <w:rsid w:val="0012183B"/>
    <w:rsid w:val="00121954"/>
    <w:rsid w:val="00121D9C"/>
    <w:rsid w:val="00121FA9"/>
    <w:rsid w:val="00121FEE"/>
    <w:rsid w:val="00122098"/>
    <w:rsid w:val="0012244C"/>
    <w:rsid w:val="00122572"/>
    <w:rsid w:val="00122648"/>
    <w:rsid w:val="00122BD3"/>
    <w:rsid w:val="00122E2E"/>
    <w:rsid w:val="00123033"/>
    <w:rsid w:val="0012386E"/>
    <w:rsid w:val="001240D6"/>
    <w:rsid w:val="001246EB"/>
    <w:rsid w:val="0012507E"/>
    <w:rsid w:val="001251AB"/>
    <w:rsid w:val="00125AF0"/>
    <w:rsid w:val="0012610C"/>
    <w:rsid w:val="001264A3"/>
    <w:rsid w:val="001265A8"/>
    <w:rsid w:val="001268C3"/>
    <w:rsid w:val="00126C6A"/>
    <w:rsid w:val="00126C8D"/>
    <w:rsid w:val="00127166"/>
    <w:rsid w:val="001275C9"/>
    <w:rsid w:val="001276BB"/>
    <w:rsid w:val="001277EE"/>
    <w:rsid w:val="00127B43"/>
    <w:rsid w:val="00127D2A"/>
    <w:rsid w:val="001303BE"/>
    <w:rsid w:val="0013189A"/>
    <w:rsid w:val="00131A00"/>
    <w:rsid w:val="00131A5C"/>
    <w:rsid w:val="00131B41"/>
    <w:rsid w:val="00131C4D"/>
    <w:rsid w:val="00131DD1"/>
    <w:rsid w:val="00131DD3"/>
    <w:rsid w:val="00132582"/>
    <w:rsid w:val="00132A4D"/>
    <w:rsid w:val="00132B10"/>
    <w:rsid w:val="00132CA6"/>
    <w:rsid w:val="00133466"/>
    <w:rsid w:val="001335C1"/>
    <w:rsid w:val="001336C6"/>
    <w:rsid w:val="0013385A"/>
    <w:rsid w:val="001339AD"/>
    <w:rsid w:val="001339BC"/>
    <w:rsid w:val="00133A5F"/>
    <w:rsid w:val="00133CFF"/>
    <w:rsid w:val="00133D06"/>
    <w:rsid w:val="00133D19"/>
    <w:rsid w:val="00133E0F"/>
    <w:rsid w:val="0013486F"/>
    <w:rsid w:val="00134AE0"/>
    <w:rsid w:val="00134F0C"/>
    <w:rsid w:val="00134F3D"/>
    <w:rsid w:val="00135021"/>
    <w:rsid w:val="00135093"/>
    <w:rsid w:val="0013566F"/>
    <w:rsid w:val="00135920"/>
    <w:rsid w:val="00135B94"/>
    <w:rsid w:val="0013631F"/>
    <w:rsid w:val="0013643D"/>
    <w:rsid w:val="0013646F"/>
    <w:rsid w:val="00136ACD"/>
    <w:rsid w:val="00136D05"/>
    <w:rsid w:val="0013727E"/>
    <w:rsid w:val="00137593"/>
    <w:rsid w:val="00137AA9"/>
    <w:rsid w:val="00137E6D"/>
    <w:rsid w:val="00137FF9"/>
    <w:rsid w:val="00140A1E"/>
    <w:rsid w:val="00140D21"/>
    <w:rsid w:val="00140DA2"/>
    <w:rsid w:val="00140EDF"/>
    <w:rsid w:val="00141154"/>
    <w:rsid w:val="001411B7"/>
    <w:rsid w:val="001415F8"/>
    <w:rsid w:val="001417B0"/>
    <w:rsid w:val="00141B12"/>
    <w:rsid w:val="00142272"/>
    <w:rsid w:val="001422F4"/>
    <w:rsid w:val="00142448"/>
    <w:rsid w:val="00142482"/>
    <w:rsid w:val="00142705"/>
    <w:rsid w:val="0014276E"/>
    <w:rsid w:val="001429F8"/>
    <w:rsid w:val="00142C00"/>
    <w:rsid w:val="00142D6A"/>
    <w:rsid w:val="00142FC9"/>
    <w:rsid w:val="00143298"/>
    <w:rsid w:val="00143B85"/>
    <w:rsid w:val="00143EB9"/>
    <w:rsid w:val="00143F9E"/>
    <w:rsid w:val="00144054"/>
    <w:rsid w:val="00144126"/>
    <w:rsid w:val="00144976"/>
    <w:rsid w:val="00144D05"/>
    <w:rsid w:val="001454E0"/>
    <w:rsid w:val="00145839"/>
    <w:rsid w:val="00145E44"/>
    <w:rsid w:val="00145F88"/>
    <w:rsid w:val="0014607C"/>
    <w:rsid w:val="001460A5"/>
    <w:rsid w:val="001466F0"/>
    <w:rsid w:val="0014676B"/>
    <w:rsid w:val="00146A40"/>
    <w:rsid w:val="00146C77"/>
    <w:rsid w:val="00146C99"/>
    <w:rsid w:val="00146E5E"/>
    <w:rsid w:val="0014721B"/>
    <w:rsid w:val="00147402"/>
    <w:rsid w:val="00147626"/>
    <w:rsid w:val="001478E1"/>
    <w:rsid w:val="00147B2E"/>
    <w:rsid w:val="00147E5F"/>
    <w:rsid w:val="00150109"/>
    <w:rsid w:val="00150388"/>
    <w:rsid w:val="00150488"/>
    <w:rsid w:val="00150CFB"/>
    <w:rsid w:val="0015124A"/>
    <w:rsid w:val="0015172E"/>
    <w:rsid w:val="001519A4"/>
    <w:rsid w:val="00151AD6"/>
    <w:rsid w:val="00152693"/>
    <w:rsid w:val="00152893"/>
    <w:rsid w:val="00152D75"/>
    <w:rsid w:val="00152ECF"/>
    <w:rsid w:val="00153044"/>
    <w:rsid w:val="001536A8"/>
    <w:rsid w:val="00153BF9"/>
    <w:rsid w:val="0015415C"/>
    <w:rsid w:val="0015421D"/>
    <w:rsid w:val="00154805"/>
    <w:rsid w:val="00154CC6"/>
    <w:rsid w:val="00155085"/>
    <w:rsid w:val="00155205"/>
    <w:rsid w:val="00155743"/>
    <w:rsid w:val="001558B3"/>
    <w:rsid w:val="00155980"/>
    <w:rsid w:val="00155EEF"/>
    <w:rsid w:val="00155FBE"/>
    <w:rsid w:val="001561DC"/>
    <w:rsid w:val="001563E1"/>
    <w:rsid w:val="0015682F"/>
    <w:rsid w:val="00156877"/>
    <w:rsid w:val="00156910"/>
    <w:rsid w:val="001569CB"/>
    <w:rsid w:val="00156D0A"/>
    <w:rsid w:val="00156DD0"/>
    <w:rsid w:val="00156F3D"/>
    <w:rsid w:val="0015762B"/>
    <w:rsid w:val="0015779B"/>
    <w:rsid w:val="00157C6B"/>
    <w:rsid w:val="00157E2E"/>
    <w:rsid w:val="001600AD"/>
    <w:rsid w:val="00160456"/>
    <w:rsid w:val="00161619"/>
    <w:rsid w:val="00161627"/>
    <w:rsid w:val="00161839"/>
    <w:rsid w:val="001618AD"/>
    <w:rsid w:val="001618F3"/>
    <w:rsid w:val="00161CC6"/>
    <w:rsid w:val="001621B9"/>
    <w:rsid w:val="001624B8"/>
    <w:rsid w:val="00162707"/>
    <w:rsid w:val="00163D2C"/>
    <w:rsid w:val="00164086"/>
    <w:rsid w:val="00164F95"/>
    <w:rsid w:val="00164FDC"/>
    <w:rsid w:val="00165054"/>
    <w:rsid w:val="00165812"/>
    <w:rsid w:val="00165814"/>
    <w:rsid w:val="00165A37"/>
    <w:rsid w:val="00165C99"/>
    <w:rsid w:val="00165DF0"/>
    <w:rsid w:val="00166091"/>
    <w:rsid w:val="00166212"/>
    <w:rsid w:val="00166ABB"/>
    <w:rsid w:val="00166E83"/>
    <w:rsid w:val="001679BD"/>
    <w:rsid w:val="00167BAA"/>
    <w:rsid w:val="00170067"/>
    <w:rsid w:val="0017026D"/>
    <w:rsid w:val="00170781"/>
    <w:rsid w:val="00170AF6"/>
    <w:rsid w:val="00170B77"/>
    <w:rsid w:val="0017160C"/>
    <w:rsid w:val="00171639"/>
    <w:rsid w:val="00171B41"/>
    <w:rsid w:val="00171B82"/>
    <w:rsid w:val="00171C9D"/>
    <w:rsid w:val="00171F15"/>
    <w:rsid w:val="00171FC0"/>
    <w:rsid w:val="001720F4"/>
    <w:rsid w:val="0017242E"/>
    <w:rsid w:val="00172E03"/>
    <w:rsid w:val="0017363C"/>
    <w:rsid w:val="0017397A"/>
    <w:rsid w:val="00173BB7"/>
    <w:rsid w:val="0017420D"/>
    <w:rsid w:val="0017429B"/>
    <w:rsid w:val="00174343"/>
    <w:rsid w:val="0017458D"/>
    <w:rsid w:val="001745BA"/>
    <w:rsid w:val="00174B92"/>
    <w:rsid w:val="00176594"/>
    <w:rsid w:val="0017699C"/>
    <w:rsid w:val="00176B12"/>
    <w:rsid w:val="00176D95"/>
    <w:rsid w:val="00177226"/>
    <w:rsid w:val="001772AD"/>
    <w:rsid w:val="001773DC"/>
    <w:rsid w:val="001773F4"/>
    <w:rsid w:val="0017750D"/>
    <w:rsid w:val="00177521"/>
    <w:rsid w:val="00177A3F"/>
    <w:rsid w:val="00177A6A"/>
    <w:rsid w:val="00177D4D"/>
    <w:rsid w:val="00177FCB"/>
    <w:rsid w:val="00180035"/>
    <w:rsid w:val="00180106"/>
    <w:rsid w:val="001806FE"/>
    <w:rsid w:val="00180F83"/>
    <w:rsid w:val="00181566"/>
    <w:rsid w:val="00181576"/>
    <w:rsid w:val="001822F9"/>
    <w:rsid w:val="00182310"/>
    <w:rsid w:val="00182672"/>
    <w:rsid w:val="0018279F"/>
    <w:rsid w:val="0018297B"/>
    <w:rsid w:val="00182CA7"/>
    <w:rsid w:val="00182F46"/>
    <w:rsid w:val="00182F49"/>
    <w:rsid w:val="00183169"/>
    <w:rsid w:val="001831C5"/>
    <w:rsid w:val="0018349F"/>
    <w:rsid w:val="001834B0"/>
    <w:rsid w:val="001834EB"/>
    <w:rsid w:val="001836D8"/>
    <w:rsid w:val="0018383C"/>
    <w:rsid w:val="0018388A"/>
    <w:rsid w:val="00183D4A"/>
    <w:rsid w:val="00184360"/>
    <w:rsid w:val="001847E0"/>
    <w:rsid w:val="00184D43"/>
    <w:rsid w:val="00184F78"/>
    <w:rsid w:val="00184FAA"/>
    <w:rsid w:val="001852DC"/>
    <w:rsid w:val="001852FD"/>
    <w:rsid w:val="001861D3"/>
    <w:rsid w:val="00186360"/>
    <w:rsid w:val="001864B5"/>
    <w:rsid w:val="001866C7"/>
    <w:rsid w:val="00186BB2"/>
    <w:rsid w:val="00186F8E"/>
    <w:rsid w:val="0018725B"/>
    <w:rsid w:val="0018729B"/>
    <w:rsid w:val="00187D8D"/>
    <w:rsid w:val="001908C3"/>
    <w:rsid w:val="00190DE0"/>
    <w:rsid w:val="0019135F"/>
    <w:rsid w:val="00191631"/>
    <w:rsid w:val="001919AA"/>
    <w:rsid w:val="00191BA8"/>
    <w:rsid w:val="00191C58"/>
    <w:rsid w:val="00191D9A"/>
    <w:rsid w:val="001920A7"/>
    <w:rsid w:val="0019264C"/>
    <w:rsid w:val="00192D16"/>
    <w:rsid w:val="00193679"/>
    <w:rsid w:val="00193B4F"/>
    <w:rsid w:val="0019412E"/>
    <w:rsid w:val="00194425"/>
    <w:rsid w:val="001944D5"/>
    <w:rsid w:val="0019451D"/>
    <w:rsid w:val="00194DFB"/>
    <w:rsid w:val="00194E82"/>
    <w:rsid w:val="001951B0"/>
    <w:rsid w:val="00195371"/>
    <w:rsid w:val="001953DE"/>
    <w:rsid w:val="0019540E"/>
    <w:rsid w:val="0019569C"/>
    <w:rsid w:val="00195A5F"/>
    <w:rsid w:val="00195B76"/>
    <w:rsid w:val="00196024"/>
    <w:rsid w:val="00196098"/>
    <w:rsid w:val="00196316"/>
    <w:rsid w:val="001966FC"/>
    <w:rsid w:val="00197358"/>
    <w:rsid w:val="001977C6"/>
    <w:rsid w:val="001A0169"/>
    <w:rsid w:val="001A03B4"/>
    <w:rsid w:val="001A07AC"/>
    <w:rsid w:val="001A07BF"/>
    <w:rsid w:val="001A088E"/>
    <w:rsid w:val="001A08D3"/>
    <w:rsid w:val="001A1144"/>
    <w:rsid w:val="001A14E6"/>
    <w:rsid w:val="001A1666"/>
    <w:rsid w:val="001A16AA"/>
    <w:rsid w:val="001A1B4D"/>
    <w:rsid w:val="001A2097"/>
    <w:rsid w:val="001A2343"/>
    <w:rsid w:val="001A24E6"/>
    <w:rsid w:val="001A253D"/>
    <w:rsid w:val="001A264E"/>
    <w:rsid w:val="001A2AB8"/>
    <w:rsid w:val="001A315F"/>
    <w:rsid w:val="001A331C"/>
    <w:rsid w:val="001A39EC"/>
    <w:rsid w:val="001A3E75"/>
    <w:rsid w:val="001A3F7E"/>
    <w:rsid w:val="001A40CC"/>
    <w:rsid w:val="001A445B"/>
    <w:rsid w:val="001A4B48"/>
    <w:rsid w:val="001A4B8C"/>
    <w:rsid w:val="001A4DD9"/>
    <w:rsid w:val="001A4F04"/>
    <w:rsid w:val="001A4F43"/>
    <w:rsid w:val="001A5017"/>
    <w:rsid w:val="001A5403"/>
    <w:rsid w:val="001A5579"/>
    <w:rsid w:val="001A5ED1"/>
    <w:rsid w:val="001A6014"/>
    <w:rsid w:val="001A6214"/>
    <w:rsid w:val="001A62FA"/>
    <w:rsid w:val="001A639A"/>
    <w:rsid w:val="001A64CE"/>
    <w:rsid w:val="001A678F"/>
    <w:rsid w:val="001A6C93"/>
    <w:rsid w:val="001A6F3B"/>
    <w:rsid w:val="001A72A9"/>
    <w:rsid w:val="001A7514"/>
    <w:rsid w:val="001A7749"/>
    <w:rsid w:val="001B042A"/>
    <w:rsid w:val="001B0864"/>
    <w:rsid w:val="001B0ABF"/>
    <w:rsid w:val="001B0AC9"/>
    <w:rsid w:val="001B0E13"/>
    <w:rsid w:val="001B0FC1"/>
    <w:rsid w:val="001B1485"/>
    <w:rsid w:val="001B1A45"/>
    <w:rsid w:val="001B1D51"/>
    <w:rsid w:val="001B21BC"/>
    <w:rsid w:val="001B251F"/>
    <w:rsid w:val="001B27BD"/>
    <w:rsid w:val="001B28D4"/>
    <w:rsid w:val="001B2A1F"/>
    <w:rsid w:val="001B3552"/>
    <w:rsid w:val="001B3874"/>
    <w:rsid w:val="001B3F2A"/>
    <w:rsid w:val="001B427A"/>
    <w:rsid w:val="001B4564"/>
    <w:rsid w:val="001B4A9A"/>
    <w:rsid w:val="001B4B4B"/>
    <w:rsid w:val="001B55BA"/>
    <w:rsid w:val="001B594E"/>
    <w:rsid w:val="001B5994"/>
    <w:rsid w:val="001B5E27"/>
    <w:rsid w:val="001B5E53"/>
    <w:rsid w:val="001B6946"/>
    <w:rsid w:val="001B6DA1"/>
    <w:rsid w:val="001B73F6"/>
    <w:rsid w:val="001B75B1"/>
    <w:rsid w:val="001B79A8"/>
    <w:rsid w:val="001B7B63"/>
    <w:rsid w:val="001C01A1"/>
    <w:rsid w:val="001C0266"/>
    <w:rsid w:val="001C0518"/>
    <w:rsid w:val="001C0794"/>
    <w:rsid w:val="001C0847"/>
    <w:rsid w:val="001C0AB3"/>
    <w:rsid w:val="001C0CF9"/>
    <w:rsid w:val="001C0DC8"/>
    <w:rsid w:val="001C0FC1"/>
    <w:rsid w:val="001C0FC6"/>
    <w:rsid w:val="001C1228"/>
    <w:rsid w:val="001C122E"/>
    <w:rsid w:val="001C12D1"/>
    <w:rsid w:val="001C17B0"/>
    <w:rsid w:val="001C1E37"/>
    <w:rsid w:val="001C1FC1"/>
    <w:rsid w:val="001C24E7"/>
    <w:rsid w:val="001C2AA1"/>
    <w:rsid w:val="001C2D82"/>
    <w:rsid w:val="001C327B"/>
    <w:rsid w:val="001C3675"/>
    <w:rsid w:val="001C374F"/>
    <w:rsid w:val="001C3C7E"/>
    <w:rsid w:val="001C3ED3"/>
    <w:rsid w:val="001C40AB"/>
    <w:rsid w:val="001C44FC"/>
    <w:rsid w:val="001C46A3"/>
    <w:rsid w:val="001C4EF8"/>
    <w:rsid w:val="001C55F8"/>
    <w:rsid w:val="001C5CD8"/>
    <w:rsid w:val="001C5EF7"/>
    <w:rsid w:val="001C619B"/>
    <w:rsid w:val="001C64A5"/>
    <w:rsid w:val="001C6C58"/>
    <w:rsid w:val="001C6E89"/>
    <w:rsid w:val="001C6EAE"/>
    <w:rsid w:val="001C6EC3"/>
    <w:rsid w:val="001C7025"/>
    <w:rsid w:val="001C71A8"/>
    <w:rsid w:val="001C726F"/>
    <w:rsid w:val="001C7547"/>
    <w:rsid w:val="001C75AF"/>
    <w:rsid w:val="001C79FF"/>
    <w:rsid w:val="001C7AC4"/>
    <w:rsid w:val="001D0121"/>
    <w:rsid w:val="001D023D"/>
    <w:rsid w:val="001D026A"/>
    <w:rsid w:val="001D0C26"/>
    <w:rsid w:val="001D12D7"/>
    <w:rsid w:val="001D13CF"/>
    <w:rsid w:val="001D151E"/>
    <w:rsid w:val="001D1561"/>
    <w:rsid w:val="001D1D5A"/>
    <w:rsid w:val="001D1F1C"/>
    <w:rsid w:val="001D24F9"/>
    <w:rsid w:val="001D2512"/>
    <w:rsid w:val="001D25E5"/>
    <w:rsid w:val="001D334D"/>
    <w:rsid w:val="001D3E5B"/>
    <w:rsid w:val="001D4008"/>
    <w:rsid w:val="001D44DA"/>
    <w:rsid w:val="001D4E19"/>
    <w:rsid w:val="001D4E2F"/>
    <w:rsid w:val="001D55AB"/>
    <w:rsid w:val="001D5CAE"/>
    <w:rsid w:val="001D625A"/>
    <w:rsid w:val="001D63E3"/>
    <w:rsid w:val="001D6465"/>
    <w:rsid w:val="001D66C8"/>
    <w:rsid w:val="001D6DE3"/>
    <w:rsid w:val="001D7393"/>
    <w:rsid w:val="001D76C4"/>
    <w:rsid w:val="001D7899"/>
    <w:rsid w:val="001D7AEF"/>
    <w:rsid w:val="001E0227"/>
    <w:rsid w:val="001E026B"/>
    <w:rsid w:val="001E09C1"/>
    <w:rsid w:val="001E0FD8"/>
    <w:rsid w:val="001E1A93"/>
    <w:rsid w:val="001E1DFE"/>
    <w:rsid w:val="001E2103"/>
    <w:rsid w:val="001E2C6A"/>
    <w:rsid w:val="001E2E24"/>
    <w:rsid w:val="001E2EA5"/>
    <w:rsid w:val="001E303E"/>
    <w:rsid w:val="001E3300"/>
    <w:rsid w:val="001E337C"/>
    <w:rsid w:val="001E3566"/>
    <w:rsid w:val="001E404D"/>
    <w:rsid w:val="001E41E5"/>
    <w:rsid w:val="001E471E"/>
    <w:rsid w:val="001E5362"/>
    <w:rsid w:val="001E544B"/>
    <w:rsid w:val="001E5718"/>
    <w:rsid w:val="001E5A15"/>
    <w:rsid w:val="001E6466"/>
    <w:rsid w:val="001E6D83"/>
    <w:rsid w:val="001E72CA"/>
    <w:rsid w:val="001E750F"/>
    <w:rsid w:val="001E7907"/>
    <w:rsid w:val="001E7AB4"/>
    <w:rsid w:val="001E7E25"/>
    <w:rsid w:val="001F001F"/>
    <w:rsid w:val="001F02E8"/>
    <w:rsid w:val="001F0311"/>
    <w:rsid w:val="001F0916"/>
    <w:rsid w:val="001F0CB2"/>
    <w:rsid w:val="001F1950"/>
    <w:rsid w:val="001F1B58"/>
    <w:rsid w:val="001F1C50"/>
    <w:rsid w:val="001F1E80"/>
    <w:rsid w:val="001F1EBD"/>
    <w:rsid w:val="001F1F64"/>
    <w:rsid w:val="001F205B"/>
    <w:rsid w:val="001F2C07"/>
    <w:rsid w:val="001F346D"/>
    <w:rsid w:val="001F3736"/>
    <w:rsid w:val="001F4403"/>
    <w:rsid w:val="001F4FEB"/>
    <w:rsid w:val="001F4FF4"/>
    <w:rsid w:val="001F51B2"/>
    <w:rsid w:val="001F5483"/>
    <w:rsid w:val="001F5644"/>
    <w:rsid w:val="001F5CA9"/>
    <w:rsid w:val="001F61E9"/>
    <w:rsid w:val="001F6340"/>
    <w:rsid w:val="001F63DE"/>
    <w:rsid w:val="001F6634"/>
    <w:rsid w:val="001F68DA"/>
    <w:rsid w:val="001F6972"/>
    <w:rsid w:val="001F69BF"/>
    <w:rsid w:val="001F6D89"/>
    <w:rsid w:val="001F710A"/>
    <w:rsid w:val="001F7D4D"/>
    <w:rsid w:val="001F7E81"/>
    <w:rsid w:val="001F7EA5"/>
    <w:rsid w:val="00200157"/>
    <w:rsid w:val="002003B7"/>
    <w:rsid w:val="00200CD6"/>
    <w:rsid w:val="00201266"/>
    <w:rsid w:val="002014C0"/>
    <w:rsid w:val="002015C3"/>
    <w:rsid w:val="00201844"/>
    <w:rsid w:val="00201F73"/>
    <w:rsid w:val="002021C1"/>
    <w:rsid w:val="0020228E"/>
    <w:rsid w:val="0020256A"/>
    <w:rsid w:val="002026B9"/>
    <w:rsid w:val="0020280D"/>
    <w:rsid w:val="00202AA4"/>
    <w:rsid w:val="0020301D"/>
    <w:rsid w:val="002034D2"/>
    <w:rsid w:val="0020369D"/>
    <w:rsid w:val="0020385C"/>
    <w:rsid w:val="002039A2"/>
    <w:rsid w:val="00203C45"/>
    <w:rsid w:val="00203D0F"/>
    <w:rsid w:val="00204329"/>
    <w:rsid w:val="00204D35"/>
    <w:rsid w:val="00204E03"/>
    <w:rsid w:val="00205352"/>
    <w:rsid w:val="00205F82"/>
    <w:rsid w:val="002066CF"/>
    <w:rsid w:val="002066E0"/>
    <w:rsid w:val="0020674F"/>
    <w:rsid w:val="002069AB"/>
    <w:rsid w:val="00206AD7"/>
    <w:rsid w:val="00206CEF"/>
    <w:rsid w:val="002076A8"/>
    <w:rsid w:val="00207B0D"/>
    <w:rsid w:val="00207D5C"/>
    <w:rsid w:val="00207EC2"/>
    <w:rsid w:val="0021015E"/>
    <w:rsid w:val="00210AE7"/>
    <w:rsid w:val="00210E0E"/>
    <w:rsid w:val="00211095"/>
    <w:rsid w:val="00211BA4"/>
    <w:rsid w:val="00212819"/>
    <w:rsid w:val="00213073"/>
    <w:rsid w:val="00213725"/>
    <w:rsid w:val="00213A27"/>
    <w:rsid w:val="00213ACD"/>
    <w:rsid w:val="00213D86"/>
    <w:rsid w:val="00214019"/>
    <w:rsid w:val="00214109"/>
    <w:rsid w:val="002142FD"/>
    <w:rsid w:val="00214B52"/>
    <w:rsid w:val="0021528A"/>
    <w:rsid w:val="002153EF"/>
    <w:rsid w:val="0021571A"/>
    <w:rsid w:val="00215743"/>
    <w:rsid w:val="00215C21"/>
    <w:rsid w:val="00215EC3"/>
    <w:rsid w:val="00215FBB"/>
    <w:rsid w:val="00216255"/>
    <w:rsid w:val="002162FB"/>
    <w:rsid w:val="00216479"/>
    <w:rsid w:val="002164F3"/>
    <w:rsid w:val="0021665A"/>
    <w:rsid w:val="00216C45"/>
    <w:rsid w:val="00216D15"/>
    <w:rsid w:val="002175CB"/>
    <w:rsid w:val="002176C9"/>
    <w:rsid w:val="00217A29"/>
    <w:rsid w:val="002202F0"/>
    <w:rsid w:val="00220878"/>
    <w:rsid w:val="00220B33"/>
    <w:rsid w:val="00220CC1"/>
    <w:rsid w:val="0022140F"/>
    <w:rsid w:val="00221796"/>
    <w:rsid w:val="00221FD7"/>
    <w:rsid w:val="00222137"/>
    <w:rsid w:val="00222353"/>
    <w:rsid w:val="00222534"/>
    <w:rsid w:val="002225DF"/>
    <w:rsid w:val="002225FF"/>
    <w:rsid w:val="00222958"/>
    <w:rsid w:val="00222D07"/>
    <w:rsid w:val="00222D1F"/>
    <w:rsid w:val="002237CE"/>
    <w:rsid w:val="0022389C"/>
    <w:rsid w:val="00223FEC"/>
    <w:rsid w:val="00224299"/>
    <w:rsid w:val="002243F4"/>
    <w:rsid w:val="002245E5"/>
    <w:rsid w:val="00224741"/>
    <w:rsid w:val="00224C81"/>
    <w:rsid w:val="00225142"/>
    <w:rsid w:val="002254AF"/>
    <w:rsid w:val="002254CF"/>
    <w:rsid w:val="00225760"/>
    <w:rsid w:val="002257D2"/>
    <w:rsid w:val="002259AE"/>
    <w:rsid w:val="00225DCA"/>
    <w:rsid w:val="00225E77"/>
    <w:rsid w:val="00226167"/>
    <w:rsid w:val="002263C0"/>
    <w:rsid w:val="002263F8"/>
    <w:rsid w:val="0022684A"/>
    <w:rsid w:val="00226BA8"/>
    <w:rsid w:val="00226C4E"/>
    <w:rsid w:val="0022788F"/>
    <w:rsid w:val="00227F3B"/>
    <w:rsid w:val="002301BE"/>
    <w:rsid w:val="00230413"/>
    <w:rsid w:val="00230DDF"/>
    <w:rsid w:val="00230DF0"/>
    <w:rsid w:val="00230E65"/>
    <w:rsid w:val="00231782"/>
    <w:rsid w:val="002319AD"/>
    <w:rsid w:val="00231EA9"/>
    <w:rsid w:val="002321B1"/>
    <w:rsid w:val="00232BDD"/>
    <w:rsid w:val="00232DBF"/>
    <w:rsid w:val="00233765"/>
    <w:rsid w:val="00233900"/>
    <w:rsid w:val="00233FCE"/>
    <w:rsid w:val="002345D5"/>
    <w:rsid w:val="00234623"/>
    <w:rsid w:val="002346EB"/>
    <w:rsid w:val="002348E5"/>
    <w:rsid w:val="00234A6F"/>
    <w:rsid w:val="00235569"/>
    <w:rsid w:val="002356CA"/>
    <w:rsid w:val="00235A01"/>
    <w:rsid w:val="00236433"/>
    <w:rsid w:val="00236FAB"/>
    <w:rsid w:val="0023708E"/>
    <w:rsid w:val="002372D0"/>
    <w:rsid w:val="00237514"/>
    <w:rsid w:val="00237C9B"/>
    <w:rsid w:val="00237DFD"/>
    <w:rsid w:val="0024053A"/>
    <w:rsid w:val="00240E4F"/>
    <w:rsid w:val="00240E5E"/>
    <w:rsid w:val="00241261"/>
    <w:rsid w:val="00241937"/>
    <w:rsid w:val="00241FA4"/>
    <w:rsid w:val="002424E4"/>
    <w:rsid w:val="00242575"/>
    <w:rsid w:val="00242A60"/>
    <w:rsid w:val="00242C2B"/>
    <w:rsid w:val="00242C90"/>
    <w:rsid w:val="00242E23"/>
    <w:rsid w:val="002433CC"/>
    <w:rsid w:val="0024343C"/>
    <w:rsid w:val="002434C2"/>
    <w:rsid w:val="00243595"/>
    <w:rsid w:val="002435A2"/>
    <w:rsid w:val="00243A0C"/>
    <w:rsid w:val="0024402B"/>
    <w:rsid w:val="002443A4"/>
    <w:rsid w:val="002444EB"/>
    <w:rsid w:val="00244957"/>
    <w:rsid w:val="00244A36"/>
    <w:rsid w:val="00245189"/>
    <w:rsid w:val="00245227"/>
    <w:rsid w:val="002454CC"/>
    <w:rsid w:val="00245667"/>
    <w:rsid w:val="00245692"/>
    <w:rsid w:val="00245D36"/>
    <w:rsid w:val="00245F6B"/>
    <w:rsid w:val="002464AE"/>
    <w:rsid w:val="002466FF"/>
    <w:rsid w:val="00246B8E"/>
    <w:rsid w:val="00246DBE"/>
    <w:rsid w:val="00247074"/>
    <w:rsid w:val="0024757B"/>
    <w:rsid w:val="002477B0"/>
    <w:rsid w:val="00247A77"/>
    <w:rsid w:val="00247DDB"/>
    <w:rsid w:val="00247F2C"/>
    <w:rsid w:val="00250092"/>
    <w:rsid w:val="002500F1"/>
    <w:rsid w:val="0025021E"/>
    <w:rsid w:val="002503C0"/>
    <w:rsid w:val="002507CD"/>
    <w:rsid w:val="00250853"/>
    <w:rsid w:val="0025165C"/>
    <w:rsid w:val="00251AFB"/>
    <w:rsid w:val="00251CA8"/>
    <w:rsid w:val="002521CA"/>
    <w:rsid w:val="00252267"/>
    <w:rsid w:val="0025251F"/>
    <w:rsid w:val="00252695"/>
    <w:rsid w:val="00252C8C"/>
    <w:rsid w:val="002537B2"/>
    <w:rsid w:val="00253DB7"/>
    <w:rsid w:val="0025431A"/>
    <w:rsid w:val="0025444B"/>
    <w:rsid w:val="002547A8"/>
    <w:rsid w:val="00254930"/>
    <w:rsid w:val="002555C5"/>
    <w:rsid w:val="002559A4"/>
    <w:rsid w:val="00255C80"/>
    <w:rsid w:val="00255CC0"/>
    <w:rsid w:val="00255DB7"/>
    <w:rsid w:val="00255FFC"/>
    <w:rsid w:val="002560ED"/>
    <w:rsid w:val="002564EC"/>
    <w:rsid w:val="00256896"/>
    <w:rsid w:val="00256A8D"/>
    <w:rsid w:val="00256B64"/>
    <w:rsid w:val="00256EE2"/>
    <w:rsid w:val="00257313"/>
    <w:rsid w:val="002574A7"/>
    <w:rsid w:val="002576C4"/>
    <w:rsid w:val="00257FFA"/>
    <w:rsid w:val="00260006"/>
    <w:rsid w:val="002601D8"/>
    <w:rsid w:val="0026043A"/>
    <w:rsid w:val="0026096F"/>
    <w:rsid w:val="00260B22"/>
    <w:rsid w:val="00260DC9"/>
    <w:rsid w:val="00260FDF"/>
    <w:rsid w:val="00261929"/>
    <w:rsid w:val="0026192B"/>
    <w:rsid w:val="00262113"/>
    <w:rsid w:val="00262343"/>
    <w:rsid w:val="00262352"/>
    <w:rsid w:val="002624BC"/>
    <w:rsid w:val="00262645"/>
    <w:rsid w:val="00262C85"/>
    <w:rsid w:val="00262D42"/>
    <w:rsid w:val="002639B7"/>
    <w:rsid w:val="00263B15"/>
    <w:rsid w:val="00263CAF"/>
    <w:rsid w:val="00263F07"/>
    <w:rsid w:val="0026429F"/>
    <w:rsid w:val="00264307"/>
    <w:rsid w:val="002643B6"/>
    <w:rsid w:val="00264DF3"/>
    <w:rsid w:val="00264EEB"/>
    <w:rsid w:val="00264FC5"/>
    <w:rsid w:val="00265563"/>
    <w:rsid w:val="00265983"/>
    <w:rsid w:val="00265B8A"/>
    <w:rsid w:val="00265CA1"/>
    <w:rsid w:val="00266119"/>
    <w:rsid w:val="0026620E"/>
    <w:rsid w:val="0026627F"/>
    <w:rsid w:val="0026657A"/>
    <w:rsid w:val="00266660"/>
    <w:rsid w:val="00266A15"/>
    <w:rsid w:val="00266B77"/>
    <w:rsid w:val="00266B8A"/>
    <w:rsid w:val="00266F83"/>
    <w:rsid w:val="00267232"/>
    <w:rsid w:val="002672BD"/>
    <w:rsid w:val="00267694"/>
    <w:rsid w:val="0026797F"/>
    <w:rsid w:val="0027000D"/>
    <w:rsid w:val="0027004A"/>
    <w:rsid w:val="0027013A"/>
    <w:rsid w:val="00270645"/>
    <w:rsid w:val="00270D46"/>
    <w:rsid w:val="00271C39"/>
    <w:rsid w:val="00271D50"/>
    <w:rsid w:val="00271FF2"/>
    <w:rsid w:val="0027210E"/>
    <w:rsid w:val="002724ED"/>
    <w:rsid w:val="0027285D"/>
    <w:rsid w:val="00272A86"/>
    <w:rsid w:val="002730AA"/>
    <w:rsid w:val="002730ED"/>
    <w:rsid w:val="002737CE"/>
    <w:rsid w:val="00273CFC"/>
    <w:rsid w:val="0027469B"/>
    <w:rsid w:val="00275388"/>
    <w:rsid w:val="00275983"/>
    <w:rsid w:val="00275B24"/>
    <w:rsid w:val="00275B95"/>
    <w:rsid w:val="00275D9D"/>
    <w:rsid w:val="00275F69"/>
    <w:rsid w:val="0027759E"/>
    <w:rsid w:val="0027778E"/>
    <w:rsid w:val="00277BA4"/>
    <w:rsid w:val="00277CE6"/>
    <w:rsid w:val="002802BA"/>
    <w:rsid w:val="00280B6C"/>
    <w:rsid w:val="00280E0B"/>
    <w:rsid w:val="00281052"/>
    <w:rsid w:val="002815DD"/>
    <w:rsid w:val="00281737"/>
    <w:rsid w:val="00281A05"/>
    <w:rsid w:val="00281BB6"/>
    <w:rsid w:val="00282258"/>
    <w:rsid w:val="0028266A"/>
    <w:rsid w:val="00283237"/>
    <w:rsid w:val="00283AB2"/>
    <w:rsid w:val="002841F8"/>
    <w:rsid w:val="0028495A"/>
    <w:rsid w:val="00284B75"/>
    <w:rsid w:val="00284C5A"/>
    <w:rsid w:val="00284D14"/>
    <w:rsid w:val="00284F26"/>
    <w:rsid w:val="0028517E"/>
    <w:rsid w:val="002851E3"/>
    <w:rsid w:val="00285203"/>
    <w:rsid w:val="00285B54"/>
    <w:rsid w:val="00286307"/>
    <w:rsid w:val="0028638F"/>
    <w:rsid w:val="00286748"/>
    <w:rsid w:val="002869C9"/>
    <w:rsid w:val="00286AFB"/>
    <w:rsid w:val="00286BEE"/>
    <w:rsid w:val="00286CA1"/>
    <w:rsid w:val="00287CE1"/>
    <w:rsid w:val="00290051"/>
    <w:rsid w:val="00290552"/>
    <w:rsid w:val="00290C58"/>
    <w:rsid w:val="002912FA"/>
    <w:rsid w:val="002913A4"/>
    <w:rsid w:val="00291FD5"/>
    <w:rsid w:val="00292421"/>
    <w:rsid w:val="002929C9"/>
    <w:rsid w:val="00292A95"/>
    <w:rsid w:val="00292B94"/>
    <w:rsid w:val="00292CEF"/>
    <w:rsid w:val="00292FA4"/>
    <w:rsid w:val="002935FD"/>
    <w:rsid w:val="0029385B"/>
    <w:rsid w:val="00293BF7"/>
    <w:rsid w:val="00293D10"/>
    <w:rsid w:val="00293D92"/>
    <w:rsid w:val="002942F1"/>
    <w:rsid w:val="00294405"/>
    <w:rsid w:val="00294B80"/>
    <w:rsid w:val="00294DEE"/>
    <w:rsid w:val="0029519B"/>
    <w:rsid w:val="002955FA"/>
    <w:rsid w:val="00295ED7"/>
    <w:rsid w:val="00296209"/>
    <w:rsid w:val="00296A63"/>
    <w:rsid w:val="00296CE3"/>
    <w:rsid w:val="00296EA5"/>
    <w:rsid w:val="00297138"/>
    <w:rsid w:val="00297BEC"/>
    <w:rsid w:val="00297CB2"/>
    <w:rsid w:val="002A016B"/>
    <w:rsid w:val="002A0173"/>
    <w:rsid w:val="002A01B0"/>
    <w:rsid w:val="002A0315"/>
    <w:rsid w:val="002A0399"/>
    <w:rsid w:val="002A0716"/>
    <w:rsid w:val="002A0802"/>
    <w:rsid w:val="002A0E5B"/>
    <w:rsid w:val="002A0E5C"/>
    <w:rsid w:val="002A1146"/>
    <w:rsid w:val="002A18B1"/>
    <w:rsid w:val="002A1BCB"/>
    <w:rsid w:val="002A1F6F"/>
    <w:rsid w:val="002A2D05"/>
    <w:rsid w:val="002A2F1A"/>
    <w:rsid w:val="002A31A8"/>
    <w:rsid w:val="002A35EC"/>
    <w:rsid w:val="002A364C"/>
    <w:rsid w:val="002A3913"/>
    <w:rsid w:val="002A3A43"/>
    <w:rsid w:val="002A3CC4"/>
    <w:rsid w:val="002A3D50"/>
    <w:rsid w:val="002A3DF7"/>
    <w:rsid w:val="002A3FF9"/>
    <w:rsid w:val="002A42BF"/>
    <w:rsid w:val="002A44AD"/>
    <w:rsid w:val="002A48EE"/>
    <w:rsid w:val="002A493F"/>
    <w:rsid w:val="002A4A92"/>
    <w:rsid w:val="002A50EE"/>
    <w:rsid w:val="002A5417"/>
    <w:rsid w:val="002A5781"/>
    <w:rsid w:val="002A588A"/>
    <w:rsid w:val="002A595D"/>
    <w:rsid w:val="002A5E7C"/>
    <w:rsid w:val="002A6067"/>
    <w:rsid w:val="002A60F5"/>
    <w:rsid w:val="002A690D"/>
    <w:rsid w:val="002A6D09"/>
    <w:rsid w:val="002A704A"/>
    <w:rsid w:val="002B00C0"/>
    <w:rsid w:val="002B0940"/>
    <w:rsid w:val="002B0AD2"/>
    <w:rsid w:val="002B0BC3"/>
    <w:rsid w:val="002B0DFE"/>
    <w:rsid w:val="002B0F83"/>
    <w:rsid w:val="002B0FD1"/>
    <w:rsid w:val="002B1194"/>
    <w:rsid w:val="002B14FB"/>
    <w:rsid w:val="002B161B"/>
    <w:rsid w:val="002B1773"/>
    <w:rsid w:val="002B190D"/>
    <w:rsid w:val="002B1CE6"/>
    <w:rsid w:val="002B204D"/>
    <w:rsid w:val="002B20F6"/>
    <w:rsid w:val="002B2102"/>
    <w:rsid w:val="002B25AC"/>
    <w:rsid w:val="002B2934"/>
    <w:rsid w:val="002B2A48"/>
    <w:rsid w:val="002B2E93"/>
    <w:rsid w:val="002B36EC"/>
    <w:rsid w:val="002B39EB"/>
    <w:rsid w:val="002B3B68"/>
    <w:rsid w:val="002B3F63"/>
    <w:rsid w:val="002B43EF"/>
    <w:rsid w:val="002B4A01"/>
    <w:rsid w:val="002B4D26"/>
    <w:rsid w:val="002B4E4F"/>
    <w:rsid w:val="002B58FB"/>
    <w:rsid w:val="002B5B3A"/>
    <w:rsid w:val="002B5D19"/>
    <w:rsid w:val="002B609F"/>
    <w:rsid w:val="002B622D"/>
    <w:rsid w:val="002B6343"/>
    <w:rsid w:val="002B6697"/>
    <w:rsid w:val="002B670A"/>
    <w:rsid w:val="002B6A3B"/>
    <w:rsid w:val="002B727E"/>
    <w:rsid w:val="002B7761"/>
    <w:rsid w:val="002B79AE"/>
    <w:rsid w:val="002B7A2D"/>
    <w:rsid w:val="002B7AED"/>
    <w:rsid w:val="002B7C90"/>
    <w:rsid w:val="002C020A"/>
    <w:rsid w:val="002C022F"/>
    <w:rsid w:val="002C0BED"/>
    <w:rsid w:val="002C0E7B"/>
    <w:rsid w:val="002C162A"/>
    <w:rsid w:val="002C19DB"/>
    <w:rsid w:val="002C1DFC"/>
    <w:rsid w:val="002C22AB"/>
    <w:rsid w:val="002C2314"/>
    <w:rsid w:val="002C2375"/>
    <w:rsid w:val="002C247D"/>
    <w:rsid w:val="002C29E8"/>
    <w:rsid w:val="002C2AEC"/>
    <w:rsid w:val="002C2CEA"/>
    <w:rsid w:val="002C350C"/>
    <w:rsid w:val="002C3831"/>
    <w:rsid w:val="002C3E2C"/>
    <w:rsid w:val="002C3EF7"/>
    <w:rsid w:val="002C40FA"/>
    <w:rsid w:val="002C4103"/>
    <w:rsid w:val="002C42F3"/>
    <w:rsid w:val="002C4385"/>
    <w:rsid w:val="002C47A2"/>
    <w:rsid w:val="002C47D4"/>
    <w:rsid w:val="002C4DD8"/>
    <w:rsid w:val="002C573E"/>
    <w:rsid w:val="002C5748"/>
    <w:rsid w:val="002C5956"/>
    <w:rsid w:val="002C5F1B"/>
    <w:rsid w:val="002C5FEB"/>
    <w:rsid w:val="002C60C1"/>
    <w:rsid w:val="002C6348"/>
    <w:rsid w:val="002C6C47"/>
    <w:rsid w:val="002C6E13"/>
    <w:rsid w:val="002C719E"/>
    <w:rsid w:val="002C77E8"/>
    <w:rsid w:val="002C7AA1"/>
    <w:rsid w:val="002C7F62"/>
    <w:rsid w:val="002D00E0"/>
    <w:rsid w:val="002D045C"/>
    <w:rsid w:val="002D0620"/>
    <w:rsid w:val="002D0BD5"/>
    <w:rsid w:val="002D0F60"/>
    <w:rsid w:val="002D1368"/>
    <w:rsid w:val="002D152E"/>
    <w:rsid w:val="002D1530"/>
    <w:rsid w:val="002D15DB"/>
    <w:rsid w:val="002D1BC6"/>
    <w:rsid w:val="002D273F"/>
    <w:rsid w:val="002D2882"/>
    <w:rsid w:val="002D2885"/>
    <w:rsid w:val="002D2923"/>
    <w:rsid w:val="002D2BF1"/>
    <w:rsid w:val="002D2CE9"/>
    <w:rsid w:val="002D2EA5"/>
    <w:rsid w:val="002D39BC"/>
    <w:rsid w:val="002D3B12"/>
    <w:rsid w:val="002D3B65"/>
    <w:rsid w:val="002D3E66"/>
    <w:rsid w:val="002D40BD"/>
    <w:rsid w:val="002D417E"/>
    <w:rsid w:val="002D434D"/>
    <w:rsid w:val="002D48CC"/>
    <w:rsid w:val="002D49C0"/>
    <w:rsid w:val="002D4AF3"/>
    <w:rsid w:val="002D4D1E"/>
    <w:rsid w:val="002D4D32"/>
    <w:rsid w:val="002D5198"/>
    <w:rsid w:val="002D5296"/>
    <w:rsid w:val="002D53F6"/>
    <w:rsid w:val="002D571C"/>
    <w:rsid w:val="002D5B0A"/>
    <w:rsid w:val="002D62B3"/>
    <w:rsid w:val="002D67E7"/>
    <w:rsid w:val="002D6BCB"/>
    <w:rsid w:val="002D6CA8"/>
    <w:rsid w:val="002D6D4A"/>
    <w:rsid w:val="002D6D83"/>
    <w:rsid w:val="002D6DC6"/>
    <w:rsid w:val="002D74A1"/>
    <w:rsid w:val="002D7C11"/>
    <w:rsid w:val="002D7D89"/>
    <w:rsid w:val="002D7E1E"/>
    <w:rsid w:val="002D7E7B"/>
    <w:rsid w:val="002E0068"/>
    <w:rsid w:val="002E03F9"/>
    <w:rsid w:val="002E087F"/>
    <w:rsid w:val="002E0F77"/>
    <w:rsid w:val="002E1161"/>
    <w:rsid w:val="002E12FB"/>
    <w:rsid w:val="002E1402"/>
    <w:rsid w:val="002E1637"/>
    <w:rsid w:val="002E1ADD"/>
    <w:rsid w:val="002E1BC8"/>
    <w:rsid w:val="002E1E92"/>
    <w:rsid w:val="002E1F95"/>
    <w:rsid w:val="002E1FBA"/>
    <w:rsid w:val="002E264D"/>
    <w:rsid w:val="002E2681"/>
    <w:rsid w:val="002E26AD"/>
    <w:rsid w:val="002E2C34"/>
    <w:rsid w:val="002E2DF7"/>
    <w:rsid w:val="002E2F68"/>
    <w:rsid w:val="002E32D5"/>
    <w:rsid w:val="002E340E"/>
    <w:rsid w:val="002E3F50"/>
    <w:rsid w:val="002E4083"/>
    <w:rsid w:val="002E4470"/>
    <w:rsid w:val="002E46A0"/>
    <w:rsid w:val="002E49A8"/>
    <w:rsid w:val="002E4A5C"/>
    <w:rsid w:val="002E50FA"/>
    <w:rsid w:val="002E51BA"/>
    <w:rsid w:val="002E5522"/>
    <w:rsid w:val="002E56A8"/>
    <w:rsid w:val="002E5721"/>
    <w:rsid w:val="002E5CC5"/>
    <w:rsid w:val="002E5CCA"/>
    <w:rsid w:val="002E5F8F"/>
    <w:rsid w:val="002E61A3"/>
    <w:rsid w:val="002E6209"/>
    <w:rsid w:val="002E6353"/>
    <w:rsid w:val="002E6AC0"/>
    <w:rsid w:val="002E6BF5"/>
    <w:rsid w:val="002E6E03"/>
    <w:rsid w:val="002E6FF0"/>
    <w:rsid w:val="002E73D2"/>
    <w:rsid w:val="002E755B"/>
    <w:rsid w:val="002E75F1"/>
    <w:rsid w:val="002E7BAC"/>
    <w:rsid w:val="002E7D37"/>
    <w:rsid w:val="002E7D92"/>
    <w:rsid w:val="002E7DB3"/>
    <w:rsid w:val="002F008A"/>
    <w:rsid w:val="002F0133"/>
    <w:rsid w:val="002F0869"/>
    <w:rsid w:val="002F09B8"/>
    <w:rsid w:val="002F0E2B"/>
    <w:rsid w:val="002F1156"/>
    <w:rsid w:val="002F1396"/>
    <w:rsid w:val="002F1699"/>
    <w:rsid w:val="002F16B5"/>
    <w:rsid w:val="002F1985"/>
    <w:rsid w:val="002F1C41"/>
    <w:rsid w:val="002F1E38"/>
    <w:rsid w:val="002F1FE8"/>
    <w:rsid w:val="002F2098"/>
    <w:rsid w:val="002F21CC"/>
    <w:rsid w:val="002F2509"/>
    <w:rsid w:val="002F2EE2"/>
    <w:rsid w:val="002F3687"/>
    <w:rsid w:val="002F36D0"/>
    <w:rsid w:val="002F4002"/>
    <w:rsid w:val="002F4552"/>
    <w:rsid w:val="002F51BF"/>
    <w:rsid w:val="002F547D"/>
    <w:rsid w:val="002F5507"/>
    <w:rsid w:val="002F5A61"/>
    <w:rsid w:val="002F648B"/>
    <w:rsid w:val="002F6600"/>
    <w:rsid w:val="002F6822"/>
    <w:rsid w:val="002F73D4"/>
    <w:rsid w:val="002F78B8"/>
    <w:rsid w:val="002F7B73"/>
    <w:rsid w:val="00300482"/>
    <w:rsid w:val="00300501"/>
    <w:rsid w:val="00300533"/>
    <w:rsid w:val="00300A6F"/>
    <w:rsid w:val="00300B05"/>
    <w:rsid w:val="00300D76"/>
    <w:rsid w:val="003010B8"/>
    <w:rsid w:val="003012E6"/>
    <w:rsid w:val="00301905"/>
    <w:rsid w:val="00301B67"/>
    <w:rsid w:val="00301E5C"/>
    <w:rsid w:val="003021FA"/>
    <w:rsid w:val="003024BD"/>
    <w:rsid w:val="003029A2"/>
    <w:rsid w:val="00302CD4"/>
    <w:rsid w:val="00302E97"/>
    <w:rsid w:val="003030E7"/>
    <w:rsid w:val="00303C98"/>
    <w:rsid w:val="00303D5C"/>
    <w:rsid w:val="00303D6E"/>
    <w:rsid w:val="003041D4"/>
    <w:rsid w:val="0030423A"/>
    <w:rsid w:val="00304338"/>
    <w:rsid w:val="003044B5"/>
    <w:rsid w:val="003047E4"/>
    <w:rsid w:val="00304B2E"/>
    <w:rsid w:val="00304F4E"/>
    <w:rsid w:val="003054F8"/>
    <w:rsid w:val="00305794"/>
    <w:rsid w:val="00305A3B"/>
    <w:rsid w:val="00305A9F"/>
    <w:rsid w:val="00305C74"/>
    <w:rsid w:val="00305E05"/>
    <w:rsid w:val="003061DC"/>
    <w:rsid w:val="003061F9"/>
    <w:rsid w:val="00306520"/>
    <w:rsid w:val="00306724"/>
    <w:rsid w:val="003068B3"/>
    <w:rsid w:val="00306A09"/>
    <w:rsid w:val="00306CBE"/>
    <w:rsid w:val="003071D9"/>
    <w:rsid w:val="003072E8"/>
    <w:rsid w:val="00307646"/>
    <w:rsid w:val="003079C8"/>
    <w:rsid w:val="00307A01"/>
    <w:rsid w:val="00307B16"/>
    <w:rsid w:val="0031074A"/>
    <w:rsid w:val="00310E24"/>
    <w:rsid w:val="00311049"/>
    <w:rsid w:val="00311B78"/>
    <w:rsid w:val="00311C6E"/>
    <w:rsid w:val="00311C8A"/>
    <w:rsid w:val="00311EFB"/>
    <w:rsid w:val="00311F2F"/>
    <w:rsid w:val="003123AB"/>
    <w:rsid w:val="00312A54"/>
    <w:rsid w:val="00312C2A"/>
    <w:rsid w:val="0031314C"/>
    <w:rsid w:val="003133E4"/>
    <w:rsid w:val="00313989"/>
    <w:rsid w:val="00313CC5"/>
    <w:rsid w:val="00313DE7"/>
    <w:rsid w:val="00314251"/>
    <w:rsid w:val="00314412"/>
    <w:rsid w:val="003146CA"/>
    <w:rsid w:val="003148FC"/>
    <w:rsid w:val="003154B7"/>
    <w:rsid w:val="003156C2"/>
    <w:rsid w:val="00315B7A"/>
    <w:rsid w:val="00315B9B"/>
    <w:rsid w:val="00315E43"/>
    <w:rsid w:val="003160DC"/>
    <w:rsid w:val="003163DE"/>
    <w:rsid w:val="0031649A"/>
    <w:rsid w:val="003164F7"/>
    <w:rsid w:val="00316644"/>
    <w:rsid w:val="00316BA5"/>
    <w:rsid w:val="00316C60"/>
    <w:rsid w:val="00316D6A"/>
    <w:rsid w:val="00316DC2"/>
    <w:rsid w:val="003171A5"/>
    <w:rsid w:val="00317408"/>
    <w:rsid w:val="00317748"/>
    <w:rsid w:val="003178D0"/>
    <w:rsid w:val="0031790E"/>
    <w:rsid w:val="00320036"/>
    <w:rsid w:val="00320062"/>
    <w:rsid w:val="003201EB"/>
    <w:rsid w:val="003202D4"/>
    <w:rsid w:val="0032030A"/>
    <w:rsid w:val="00320994"/>
    <w:rsid w:val="00320B40"/>
    <w:rsid w:val="00320C58"/>
    <w:rsid w:val="00320E6A"/>
    <w:rsid w:val="003214B3"/>
    <w:rsid w:val="003215FF"/>
    <w:rsid w:val="003218D7"/>
    <w:rsid w:val="00321BA5"/>
    <w:rsid w:val="00321CFC"/>
    <w:rsid w:val="00321D38"/>
    <w:rsid w:val="00322327"/>
    <w:rsid w:val="00322575"/>
    <w:rsid w:val="003226A4"/>
    <w:rsid w:val="00322C85"/>
    <w:rsid w:val="00322CA0"/>
    <w:rsid w:val="003230F1"/>
    <w:rsid w:val="00323224"/>
    <w:rsid w:val="003232E2"/>
    <w:rsid w:val="0032345A"/>
    <w:rsid w:val="00323CD9"/>
    <w:rsid w:val="00323CED"/>
    <w:rsid w:val="00323E1C"/>
    <w:rsid w:val="003245EC"/>
    <w:rsid w:val="003245FF"/>
    <w:rsid w:val="00324BD0"/>
    <w:rsid w:val="00324D67"/>
    <w:rsid w:val="00325471"/>
    <w:rsid w:val="00325F0E"/>
    <w:rsid w:val="00326269"/>
    <w:rsid w:val="00326E07"/>
    <w:rsid w:val="003270B0"/>
    <w:rsid w:val="0032716D"/>
    <w:rsid w:val="003273FA"/>
    <w:rsid w:val="00327A88"/>
    <w:rsid w:val="00330362"/>
    <w:rsid w:val="003304CB"/>
    <w:rsid w:val="003305DB"/>
    <w:rsid w:val="0033269F"/>
    <w:rsid w:val="00332870"/>
    <w:rsid w:val="00332DA4"/>
    <w:rsid w:val="00333508"/>
    <w:rsid w:val="0033353D"/>
    <w:rsid w:val="003339D1"/>
    <w:rsid w:val="00333C34"/>
    <w:rsid w:val="00333D60"/>
    <w:rsid w:val="00333DA0"/>
    <w:rsid w:val="00333DF7"/>
    <w:rsid w:val="00333E0C"/>
    <w:rsid w:val="00334260"/>
    <w:rsid w:val="0033441B"/>
    <w:rsid w:val="003349D9"/>
    <w:rsid w:val="003351FD"/>
    <w:rsid w:val="0033522D"/>
    <w:rsid w:val="003358E0"/>
    <w:rsid w:val="00335A15"/>
    <w:rsid w:val="00335C40"/>
    <w:rsid w:val="00335D74"/>
    <w:rsid w:val="00335DEA"/>
    <w:rsid w:val="00336F5D"/>
    <w:rsid w:val="00337037"/>
    <w:rsid w:val="0033718A"/>
    <w:rsid w:val="00337937"/>
    <w:rsid w:val="00337D71"/>
    <w:rsid w:val="00340008"/>
    <w:rsid w:val="003404A9"/>
    <w:rsid w:val="00340ACF"/>
    <w:rsid w:val="00340ADF"/>
    <w:rsid w:val="00340FE3"/>
    <w:rsid w:val="00341111"/>
    <w:rsid w:val="0034116F"/>
    <w:rsid w:val="003416EC"/>
    <w:rsid w:val="00341A88"/>
    <w:rsid w:val="00341C90"/>
    <w:rsid w:val="00341F61"/>
    <w:rsid w:val="003420DF"/>
    <w:rsid w:val="00342420"/>
    <w:rsid w:val="003424F7"/>
    <w:rsid w:val="003424F9"/>
    <w:rsid w:val="00342A0E"/>
    <w:rsid w:val="00343E86"/>
    <w:rsid w:val="00343F12"/>
    <w:rsid w:val="003440CE"/>
    <w:rsid w:val="003442DA"/>
    <w:rsid w:val="00344430"/>
    <w:rsid w:val="00344B35"/>
    <w:rsid w:val="00344C1B"/>
    <w:rsid w:val="00344DFD"/>
    <w:rsid w:val="00345078"/>
    <w:rsid w:val="0034509F"/>
    <w:rsid w:val="003452BF"/>
    <w:rsid w:val="00345C17"/>
    <w:rsid w:val="00345ED5"/>
    <w:rsid w:val="00346243"/>
    <w:rsid w:val="003463E6"/>
    <w:rsid w:val="003465FA"/>
    <w:rsid w:val="00346BF1"/>
    <w:rsid w:val="00346CB9"/>
    <w:rsid w:val="0034703D"/>
    <w:rsid w:val="003471A2"/>
    <w:rsid w:val="00347792"/>
    <w:rsid w:val="00350039"/>
    <w:rsid w:val="00350265"/>
    <w:rsid w:val="00350466"/>
    <w:rsid w:val="003507CC"/>
    <w:rsid w:val="00350B96"/>
    <w:rsid w:val="00351291"/>
    <w:rsid w:val="003519E2"/>
    <w:rsid w:val="00351FE1"/>
    <w:rsid w:val="00352844"/>
    <w:rsid w:val="00352A8E"/>
    <w:rsid w:val="00352CB3"/>
    <w:rsid w:val="00352E75"/>
    <w:rsid w:val="0035310A"/>
    <w:rsid w:val="003537AD"/>
    <w:rsid w:val="0035380B"/>
    <w:rsid w:val="00353EB1"/>
    <w:rsid w:val="003545CD"/>
    <w:rsid w:val="0035470E"/>
    <w:rsid w:val="00354868"/>
    <w:rsid w:val="00354994"/>
    <w:rsid w:val="003550EF"/>
    <w:rsid w:val="0035517A"/>
    <w:rsid w:val="003551A8"/>
    <w:rsid w:val="00355374"/>
    <w:rsid w:val="0035595D"/>
    <w:rsid w:val="00355A17"/>
    <w:rsid w:val="00355C3A"/>
    <w:rsid w:val="00356106"/>
    <w:rsid w:val="003566BB"/>
    <w:rsid w:val="00356822"/>
    <w:rsid w:val="003573AD"/>
    <w:rsid w:val="003604D3"/>
    <w:rsid w:val="00360581"/>
    <w:rsid w:val="00360830"/>
    <w:rsid w:val="003608A6"/>
    <w:rsid w:val="00360A14"/>
    <w:rsid w:val="00360CA9"/>
    <w:rsid w:val="00361223"/>
    <w:rsid w:val="00361588"/>
    <w:rsid w:val="00361669"/>
    <w:rsid w:val="00361867"/>
    <w:rsid w:val="00361874"/>
    <w:rsid w:val="00361E4A"/>
    <w:rsid w:val="00362B02"/>
    <w:rsid w:val="00362FA0"/>
    <w:rsid w:val="0036330B"/>
    <w:rsid w:val="00363AFF"/>
    <w:rsid w:val="00363D86"/>
    <w:rsid w:val="0036404A"/>
    <w:rsid w:val="0036487E"/>
    <w:rsid w:val="003648C6"/>
    <w:rsid w:val="00364A4A"/>
    <w:rsid w:val="00364E9E"/>
    <w:rsid w:val="00365619"/>
    <w:rsid w:val="003656E5"/>
    <w:rsid w:val="003658E1"/>
    <w:rsid w:val="00365E3D"/>
    <w:rsid w:val="00365E57"/>
    <w:rsid w:val="00365FF0"/>
    <w:rsid w:val="00366073"/>
    <w:rsid w:val="0036608C"/>
    <w:rsid w:val="00366470"/>
    <w:rsid w:val="0036737E"/>
    <w:rsid w:val="00367794"/>
    <w:rsid w:val="003677F9"/>
    <w:rsid w:val="00367B8F"/>
    <w:rsid w:val="00367C77"/>
    <w:rsid w:val="00367CA7"/>
    <w:rsid w:val="00367DE8"/>
    <w:rsid w:val="00367E63"/>
    <w:rsid w:val="0037043D"/>
    <w:rsid w:val="003707DF"/>
    <w:rsid w:val="00370D1F"/>
    <w:rsid w:val="00370FE4"/>
    <w:rsid w:val="0037119E"/>
    <w:rsid w:val="003717D9"/>
    <w:rsid w:val="0037188C"/>
    <w:rsid w:val="00372169"/>
    <w:rsid w:val="0037259D"/>
    <w:rsid w:val="003729C1"/>
    <w:rsid w:val="00372D18"/>
    <w:rsid w:val="00373106"/>
    <w:rsid w:val="00373338"/>
    <w:rsid w:val="0037333A"/>
    <w:rsid w:val="0037351A"/>
    <w:rsid w:val="003735B4"/>
    <w:rsid w:val="003736A6"/>
    <w:rsid w:val="003736D5"/>
    <w:rsid w:val="003739EF"/>
    <w:rsid w:val="00373A3C"/>
    <w:rsid w:val="00373A7C"/>
    <w:rsid w:val="00373EF1"/>
    <w:rsid w:val="003741A0"/>
    <w:rsid w:val="003742B1"/>
    <w:rsid w:val="003745A7"/>
    <w:rsid w:val="003747BC"/>
    <w:rsid w:val="00374982"/>
    <w:rsid w:val="003749FA"/>
    <w:rsid w:val="00374FAD"/>
    <w:rsid w:val="003754AD"/>
    <w:rsid w:val="00376102"/>
    <w:rsid w:val="00376225"/>
    <w:rsid w:val="00376303"/>
    <w:rsid w:val="0037632D"/>
    <w:rsid w:val="00376371"/>
    <w:rsid w:val="00376421"/>
    <w:rsid w:val="00376614"/>
    <w:rsid w:val="00376827"/>
    <w:rsid w:val="0037691A"/>
    <w:rsid w:val="00376EFC"/>
    <w:rsid w:val="00377166"/>
    <w:rsid w:val="003775EA"/>
    <w:rsid w:val="0037769F"/>
    <w:rsid w:val="00377713"/>
    <w:rsid w:val="00377B5C"/>
    <w:rsid w:val="00377B99"/>
    <w:rsid w:val="00377C96"/>
    <w:rsid w:val="003800D1"/>
    <w:rsid w:val="003806B2"/>
    <w:rsid w:val="0038070D"/>
    <w:rsid w:val="00380EE6"/>
    <w:rsid w:val="003810F8"/>
    <w:rsid w:val="0038153A"/>
    <w:rsid w:val="00381609"/>
    <w:rsid w:val="0038192C"/>
    <w:rsid w:val="00381C4C"/>
    <w:rsid w:val="00381E22"/>
    <w:rsid w:val="003821C1"/>
    <w:rsid w:val="003822A5"/>
    <w:rsid w:val="0038260D"/>
    <w:rsid w:val="00382BB8"/>
    <w:rsid w:val="00382E55"/>
    <w:rsid w:val="003830B0"/>
    <w:rsid w:val="0038340E"/>
    <w:rsid w:val="00383A14"/>
    <w:rsid w:val="00383A78"/>
    <w:rsid w:val="00383C36"/>
    <w:rsid w:val="00384043"/>
    <w:rsid w:val="003841AF"/>
    <w:rsid w:val="003841D1"/>
    <w:rsid w:val="0038455A"/>
    <w:rsid w:val="003846E3"/>
    <w:rsid w:val="0038471F"/>
    <w:rsid w:val="00384785"/>
    <w:rsid w:val="003849E4"/>
    <w:rsid w:val="00384DF4"/>
    <w:rsid w:val="00385391"/>
    <w:rsid w:val="00385463"/>
    <w:rsid w:val="00385565"/>
    <w:rsid w:val="00385830"/>
    <w:rsid w:val="00385AE6"/>
    <w:rsid w:val="00385B99"/>
    <w:rsid w:val="0038603F"/>
    <w:rsid w:val="00386284"/>
    <w:rsid w:val="0038663F"/>
    <w:rsid w:val="00386E2A"/>
    <w:rsid w:val="003877FD"/>
    <w:rsid w:val="00387932"/>
    <w:rsid w:val="00387949"/>
    <w:rsid w:val="00387989"/>
    <w:rsid w:val="00387991"/>
    <w:rsid w:val="0039017D"/>
    <w:rsid w:val="00390523"/>
    <w:rsid w:val="00390938"/>
    <w:rsid w:val="00390CED"/>
    <w:rsid w:val="00390DE2"/>
    <w:rsid w:val="0039109C"/>
    <w:rsid w:val="0039110C"/>
    <w:rsid w:val="00391C87"/>
    <w:rsid w:val="00391C9A"/>
    <w:rsid w:val="00391D39"/>
    <w:rsid w:val="0039233D"/>
    <w:rsid w:val="003924A9"/>
    <w:rsid w:val="003929B2"/>
    <w:rsid w:val="00392A4F"/>
    <w:rsid w:val="00392B45"/>
    <w:rsid w:val="00392E72"/>
    <w:rsid w:val="003931E5"/>
    <w:rsid w:val="00393BCF"/>
    <w:rsid w:val="00394416"/>
    <w:rsid w:val="0039462E"/>
    <w:rsid w:val="00394663"/>
    <w:rsid w:val="00394C94"/>
    <w:rsid w:val="003956B1"/>
    <w:rsid w:val="00395CAC"/>
    <w:rsid w:val="003966B3"/>
    <w:rsid w:val="00396F57"/>
    <w:rsid w:val="00396F7E"/>
    <w:rsid w:val="003971D0"/>
    <w:rsid w:val="003975F9"/>
    <w:rsid w:val="003976B3"/>
    <w:rsid w:val="00397754"/>
    <w:rsid w:val="0039778F"/>
    <w:rsid w:val="0039784D"/>
    <w:rsid w:val="00397D93"/>
    <w:rsid w:val="003A0236"/>
    <w:rsid w:val="003A0534"/>
    <w:rsid w:val="003A10E8"/>
    <w:rsid w:val="003A127F"/>
    <w:rsid w:val="003A171D"/>
    <w:rsid w:val="003A1E78"/>
    <w:rsid w:val="003A20EC"/>
    <w:rsid w:val="003A217E"/>
    <w:rsid w:val="003A25B4"/>
    <w:rsid w:val="003A2A46"/>
    <w:rsid w:val="003A2D42"/>
    <w:rsid w:val="003A2E99"/>
    <w:rsid w:val="003A3167"/>
    <w:rsid w:val="003A3635"/>
    <w:rsid w:val="003A3645"/>
    <w:rsid w:val="003A3781"/>
    <w:rsid w:val="003A3A1D"/>
    <w:rsid w:val="003A3B62"/>
    <w:rsid w:val="003A3CA6"/>
    <w:rsid w:val="003A4411"/>
    <w:rsid w:val="003A445D"/>
    <w:rsid w:val="003A459B"/>
    <w:rsid w:val="003A471E"/>
    <w:rsid w:val="003A4889"/>
    <w:rsid w:val="003A4B1F"/>
    <w:rsid w:val="003A54B0"/>
    <w:rsid w:val="003A54DF"/>
    <w:rsid w:val="003A55B9"/>
    <w:rsid w:val="003A5A5C"/>
    <w:rsid w:val="003A5BEE"/>
    <w:rsid w:val="003A5C4A"/>
    <w:rsid w:val="003A6240"/>
    <w:rsid w:val="003A62B6"/>
    <w:rsid w:val="003A6655"/>
    <w:rsid w:val="003A6740"/>
    <w:rsid w:val="003A676D"/>
    <w:rsid w:val="003A69CF"/>
    <w:rsid w:val="003A6BDA"/>
    <w:rsid w:val="003A6EFC"/>
    <w:rsid w:val="003A7CCA"/>
    <w:rsid w:val="003B085C"/>
    <w:rsid w:val="003B0AF2"/>
    <w:rsid w:val="003B13D9"/>
    <w:rsid w:val="003B145A"/>
    <w:rsid w:val="003B14CC"/>
    <w:rsid w:val="003B15F4"/>
    <w:rsid w:val="003B1A9F"/>
    <w:rsid w:val="003B1F22"/>
    <w:rsid w:val="003B1F71"/>
    <w:rsid w:val="003B1FA4"/>
    <w:rsid w:val="003B1FB5"/>
    <w:rsid w:val="003B25FC"/>
    <w:rsid w:val="003B2A79"/>
    <w:rsid w:val="003B3EA1"/>
    <w:rsid w:val="003B3F9B"/>
    <w:rsid w:val="003B4313"/>
    <w:rsid w:val="003B44FA"/>
    <w:rsid w:val="003B471B"/>
    <w:rsid w:val="003B47BB"/>
    <w:rsid w:val="003B4941"/>
    <w:rsid w:val="003B4B14"/>
    <w:rsid w:val="003B4FB3"/>
    <w:rsid w:val="003B5025"/>
    <w:rsid w:val="003B50AC"/>
    <w:rsid w:val="003B5630"/>
    <w:rsid w:val="003B5A0A"/>
    <w:rsid w:val="003B5E6A"/>
    <w:rsid w:val="003B62AD"/>
    <w:rsid w:val="003B6E7B"/>
    <w:rsid w:val="003B7122"/>
    <w:rsid w:val="003B7ECB"/>
    <w:rsid w:val="003B7FBB"/>
    <w:rsid w:val="003C028B"/>
    <w:rsid w:val="003C09A8"/>
    <w:rsid w:val="003C1847"/>
    <w:rsid w:val="003C1C95"/>
    <w:rsid w:val="003C2107"/>
    <w:rsid w:val="003C21EC"/>
    <w:rsid w:val="003C35F1"/>
    <w:rsid w:val="003C3963"/>
    <w:rsid w:val="003C39D0"/>
    <w:rsid w:val="003C3CD8"/>
    <w:rsid w:val="003C3D49"/>
    <w:rsid w:val="003C4161"/>
    <w:rsid w:val="003C41BD"/>
    <w:rsid w:val="003C41DE"/>
    <w:rsid w:val="003C4851"/>
    <w:rsid w:val="003C5136"/>
    <w:rsid w:val="003C5682"/>
    <w:rsid w:val="003C568A"/>
    <w:rsid w:val="003C598D"/>
    <w:rsid w:val="003C5FCC"/>
    <w:rsid w:val="003C609B"/>
    <w:rsid w:val="003C61BA"/>
    <w:rsid w:val="003C6872"/>
    <w:rsid w:val="003C6AD8"/>
    <w:rsid w:val="003C6BF8"/>
    <w:rsid w:val="003C6E1F"/>
    <w:rsid w:val="003C6F1F"/>
    <w:rsid w:val="003C6F39"/>
    <w:rsid w:val="003C7275"/>
    <w:rsid w:val="003C738E"/>
    <w:rsid w:val="003C7472"/>
    <w:rsid w:val="003C7526"/>
    <w:rsid w:val="003D0D1F"/>
    <w:rsid w:val="003D0E66"/>
    <w:rsid w:val="003D11A7"/>
    <w:rsid w:val="003D11AD"/>
    <w:rsid w:val="003D11F1"/>
    <w:rsid w:val="003D15E4"/>
    <w:rsid w:val="003D162B"/>
    <w:rsid w:val="003D1F42"/>
    <w:rsid w:val="003D22FA"/>
    <w:rsid w:val="003D267D"/>
    <w:rsid w:val="003D2988"/>
    <w:rsid w:val="003D2B28"/>
    <w:rsid w:val="003D2DA1"/>
    <w:rsid w:val="003D350C"/>
    <w:rsid w:val="003D3518"/>
    <w:rsid w:val="003D380F"/>
    <w:rsid w:val="003D3A03"/>
    <w:rsid w:val="003D4C8F"/>
    <w:rsid w:val="003D4FF2"/>
    <w:rsid w:val="003D5580"/>
    <w:rsid w:val="003D5752"/>
    <w:rsid w:val="003D596A"/>
    <w:rsid w:val="003D5BA5"/>
    <w:rsid w:val="003D5E32"/>
    <w:rsid w:val="003D6322"/>
    <w:rsid w:val="003D6476"/>
    <w:rsid w:val="003D675F"/>
    <w:rsid w:val="003D6895"/>
    <w:rsid w:val="003D6A9A"/>
    <w:rsid w:val="003D6BA2"/>
    <w:rsid w:val="003D6D9A"/>
    <w:rsid w:val="003D6EBE"/>
    <w:rsid w:val="003D6FAB"/>
    <w:rsid w:val="003D6FD4"/>
    <w:rsid w:val="003D74BD"/>
    <w:rsid w:val="003D777F"/>
    <w:rsid w:val="003D7827"/>
    <w:rsid w:val="003D7CF5"/>
    <w:rsid w:val="003D7EE3"/>
    <w:rsid w:val="003E000F"/>
    <w:rsid w:val="003E0095"/>
    <w:rsid w:val="003E0613"/>
    <w:rsid w:val="003E06DA"/>
    <w:rsid w:val="003E0707"/>
    <w:rsid w:val="003E0878"/>
    <w:rsid w:val="003E0A83"/>
    <w:rsid w:val="003E0BBB"/>
    <w:rsid w:val="003E1102"/>
    <w:rsid w:val="003E13BF"/>
    <w:rsid w:val="003E1CFE"/>
    <w:rsid w:val="003E1D7B"/>
    <w:rsid w:val="003E31D9"/>
    <w:rsid w:val="003E34BA"/>
    <w:rsid w:val="003E3BB7"/>
    <w:rsid w:val="003E3D3C"/>
    <w:rsid w:val="003E3E8C"/>
    <w:rsid w:val="003E4582"/>
    <w:rsid w:val="003E4CA3"/>
    <w:rsid w:val="003E4DEA"/>
    <w:rsid w:val="003E5209"/>
    <w:rsid w:val="003E54C2"/>
    <w:rsid w:val="003E56B0"/>
    <w:rsid w:val="003E5875"/>
    <w:rsid w:val="003E5DC9"/>
    <w:rsid w:val="003E606A"/>
    <w:rsid w:val="003E60FD"/>
    <w:rsid w:val="003E62E5"/>
    <w:rsid w:val="003E6955"/>
    <w:rsid w:val="003E6C63"/>
    <w:rsid w:val="003E6D30"/>
    <w:rsid w:val="003E6EF9"/>
    <w:rsid w:val="003E7634"/>
    <w:rsid w:val="003E76B8"/>
    <w:rsid w:val="003E7D7A"/>
    <w:rsid w:val="003F0EF9"/>
    <w:rsid w:val="003F1077"/>
    <w:rsid w:val="003F120A"/>
    <w:rsid w:val="003F1239"/>
    <w:rsid w:val="003F12D5"/>
    <w:rsid w:val="003F1447"/>
    <w:rsid w:val="003F1C2C"/>
    <w:rsid w:val="003F1D97"/>
    <w:rsid w:val="003F22A6"/>
    <w:rsid w:val="003F2694"/>
    <w:rsid w:val="003F2730"/>
    <w:rsid w:val="003F3336"/>
    <w:rsid w:val="003F3477"/>
    <w:rsid w:val="003F3511"/>
    <w:rsid w:val="003F3C01"/>
    <w:rsid w:val="003F4498"/>
    <w:rsid w:val="003F45B4"/>
    <w:rsid w:val="003F48B3"/>
    <w:rsid w:val="003F498F"/>
    <w:rsid w:val="003F4B08"/>
    <w:rsid w:val="003F523D"/>
    <w:rsid w:val="003F5561"/>
    <w:rsid w:val="003F5570"/>
    <w:rsid w:val="003F5650"/>
    <w:rsid w:val="003F5928"/>
    <w:rsid w:val="003F5C9A"/>
    <w:rsid w:val="003F6329"/>
    <w:rsid w:val="003F64F4"/>
    <w:rsid w:val="003F652F"/>
    <w:rsid w:val="003F6865"/>
    <w:rsid w:val="003F6A72"/>
    <w:rsid w:val="003F6D27"/>
    <w:rsid w:val="003F6D9B"/>
    <w:rsid w:val="003F6FD0"/>
    <w:rsid w:val="003F72E8"/>
    <w:rsid w:val="003F7647"/>
    <w:rsid w:val="003F771A"/>
    <w:rsid w:val="003F78D3"/>
    <w:rsid w:val="003F7991"/>
    <w:rsid w:val="003F7997"/>
    <w:rsid w:val="003F7FA8"/>
    <w:rsid w:val="003F7FC5"/>
    <w:rsid w:val="004004D8"/>
    <w:rsid w:val="00400FC4"/>
    <w:rsid w:val="0040127E"/>
    <w:rsid w:val="004012D0"/>
    <w:rsid w:val="00401598"/>
    <w:rsid w:val="004016BC"/>
    <w:rsid w:val="004021D5"/>
    <w:rsid w:val="004024B1"/>
    <w:rsid w:val="00402F98"/>
    <w:rsid w:val="004034CC"/>
    <w:rsid w:val="004035B7"/>
    <w:rsid w:val="004039DD"/>
    <w:rsid w:val="00403A31"/>
    <w:rsid w:val="00404584"/>
    <w:rsid w:val="00404657"/>
    <w:rsid w:val="00404A36"/>
    <w:rsid w:val="004050FB"/>
    <w:rsid w:val="004051A5"/>
    <w:rsid w:val="00405CBE"/>
    <w:rsid w:val="0040608C"/>
    <w:rsid w:val="00406878"/>
    <w:rsid w:val="00407220"/>
    <w:rsid w:val="004073ED"/>
    <w:rsid w:val="00407954"/>
    <w:rsid w:val="00407E06"/>
    <w:rsid w:val="0041067B"/>
    <w:rsid w:val="004107C2"/>
    <w:rsid w:val="00410877"/>
    <w:rsid w:val="00410B27"/>
    <w:rsid w:val="00410BF9"/>
    <w:rsid w:val="00411007"/>
    <w:rsid w:val="00411010"/>
    <w:rsid w:val="00411064"/>
    <w:rsid w:val="00411584"/>
    <w:rsid w:val="00411776"/>
    <w:rsid w:val="004117CE"/>
    <w:rsid w:val="004119A5"/>
    <w:rsid w:val="00411D3B"/>
    <w:rsid w:val="00412429"/>
    <w:rsid w:val="004124D4"/>
    <w:rsid w:val="004125BD"/>
    <w:rsid w:val="00412CA0"/>
    <w:rsid w:val="00413009"/>
    <w:rsid w:val="004130D5"/>
    <w:rsid w:val="0041342F"/>
    <w:rsid w:val="00413635"/>
    <w:rsid w:val="004139BA"/>
    <w:rsid w:val="00413D3C"/>
    <w:rsid w:val="00414639"/>
    <w:rsid w:val="004149BA"/>
    <w:rsid w:val="00414AB8"/>
    <w:rsid w:val="00414B58"/>
    <w:rsid w:val="00414EC1"/>
    <w:rsid w:val="0041522B"/>
    <w:rsid w:val="0041585D"/>
    <w:rsid w:val="004158C3"/>
    <w:rsid w:val="004158D7"/>
    <w:rsid w:val="00415AA1"/>
    <w:rsid w:val="0041618E"/>
    <w:rsid w:val="00416730"/>
    <w:rsid w:val="00416D11"/>
    <w:rsid w:val="004173A7"/>
    <w:rsid w:val="004177C0"/>
    <w:rsid w:val="00417B2D"/>
    <w:rsid w:val="00417BAC"/>
    <w:rsid w:val="004204BC"/>
    <w:rsid w:val="00420A26"/>
    <w:rsid w:val="00420DE2"/>
    <w:rsid w:val="004210E0"/>
    <w:rsid w:val="0042145F"/>
    <w:rsid w:val="004215DD"/>
    <w:rsid w:val="00421667"/>
    <w:rsid w:val="00421ABF"/>
    <w:rsid w:val="00421FE3"/>
    <w:rsid w:val="00422105"/>
    <w:rsid w:val="004221B5"/>
    <w:rsid w:val="004221C4"/>
    <w:rsid w:val="00422476"/>
    <w:rsid w:val="00422C39"/>
    <w:rsid w:val="00422C3C"/>
    <w:rsid w:val="004231C5"/>
    <w:rsid w:val="004237F1"/>
    <w:rsid w:val="00423AD0"/>
    <w:rsid w:val="00423BE8"/>
    <w:rsid w:val="00423E1B"/>
    <w:rsid w:val="004245A4"/>
    <w:rsid w:val="00424671"/>
    <w:rsid w:val="00424847"/>
    <w:rsid w:val="00424C10"/>
    <w:rsid w:val="00425093"/>
    <w:rsid w:val="004258D0"/>
    <w:rsid w:val="00425AAB"/>
    <w:rsid w:val="004268E0"/>
    <w:rsid w:val="00426E19"/>
    <w:rsid w:val="0042736A"/>
    <w:rsid w:val="00427395"/>
    <w:rsid w:val="004274BF"/>
    <w:rsid w:val="00427A79"/>
    <w:rsid w:val="00427F23"/>
    <w:rsid w:val="004300FB"/>
    <w:rsid w:val="0043040E"/>
    <w:rsid w:val="004308FE"/>
    <w:rsid w:val="00430D31"/>
    <w:rsid w:val="004311F2"/>
    <w:rsid w:val="0043123A"/>
    <w:rsid w:val="004312CE"/>
    <w:rsid w:val="004312D1"/>
    <w:rsid w:val="00431401"/>
    <w:rsid w:val="00431AC4"/>
    <w:rsid w:val="004322C6"/>
    <w:rsid w:val="004328A6"/>
    <w:rsid w:val="00432970"/>
    <w:rsid w:val="004329B0"/>
    <w:rsid w:val="004329D6"/>
    <w:rsid w:val="00432BA2"/>
    <w:rsid w:val="00432BB9"/>
    <w:rsid w:val="00432E37"/>
    <w:rsid w:val="00432FC6"/>
    <w:rsid w:val="004332C9"/>
    <w:rsid w:val="00433423"/>
    <w:rsid w:val="00433D9C"/>
    <w:rsid w:val="0043412A"/>
    <w:rsid w:val="0043426C"/>
    <w:rsid w:val="0043445A"/>
    <w:rsid w:val="00434A7E"/>
    <w:rsid w:val="00434B2E"/>
    <w:rsid w:val="00434C94"/>
    <w:rsid w:val="004353FC"/>
    <w:rsid w:val="004358F1"/>
    <w:rsid w:val="00435919"/>
    <w:rsid w:val="00436505"/>
    <w:rsid w:val="0043651D"/>
    <w:rsid w:val="004365D5"/>
    <w:rsid w:val="004366B9"/>
    <w:rsid w:val="0043681E"/>
    <w:rsid w:val="00436A89"/>
    <w:rsid w:val="00437302"/>
    <w:rsid w:val="00437476"/>
    <w:rsid w:val="004378AD"/>
    <w:rsid w:val="00437B52"/>
    <w:rsid w:val="00437F2B"/>
    <w:rsid w:val="00440089"/>
    <w:rsid w:val="004400BC"/>
    <w:rsid w:val="00440203"/>
    <w:rsid w:val="00440D16"/>
    <w:rsid w:val="00440D80"/>
    <w:rsid w:val="00441802"/>
    <w:rsid w:val="00441BCE"/>
    <w:rsid w:val="00442151"/>
    <w:rsid w:val="0044234A"/>
    <w:rsid w:val="00442770"/>
    <w:rsid w:val="0044291F"/>
    <w:rsid w:val="004429AC"/>
    <w:rsid w:val="004429F4"/>
    <w:rsid w:val="00442A2A"/>
    <w:rsid w:val="00442FB6"/>
    <w:rsid w:val="00443058"/>
    <w:rsid w:val="00443267"/>
    <w:rsid w:val="004432AC"/>
    <w:rsid w:val="0044376A"/>
    <w:rsid w:val="00444197"/>
    <w:rsid w:val="004441BF"/>
    <w:rsid w:val="00445BB1"/>
    <w:rsid w:val="00446385"/>
    <w:rsid w:val="004463DB"/>
    <w:rsid w:val="0044651A"/>
    <w:rsid w:val="004470F1"/>
    <w:rsid w:val="00447A90"/>
    <w:rsid w:val="00447B7C"/>
    <w:rsid w:val="00447C35"/>
    <w:rsid w:val="00447CFE"/>
    <w:rsid w:val="00447FE2"/>
    <w:rsid w:val="00450851"/>
    <w:rsid w:val="00450873"/>
    <w:rsid w:val="004508CE"/>
    <w:rsid w:val="00450971"/>
    <w:rsid w:val="00451050"/>
    <w:rsid w:val="004511B0"/>
    <w:rsid w:val="00451E31"/>
    <w:rsid w:val="0045206A"/>
    <w:rsid w:val="00452673"/>
    <w:rsid w:val="0045274A"/>
    <w:rsid w:val="004529A7"/>
    <w:rsid w:val="00452A6A"/>
    <w:rsid w:val="00452B74"/>
    <w:rsid w:val="00452DA6"/>
    <w:rsid w:val="004535E5"/>
    <w:rsid w:val="00453C48"/>
    <w:rsid w:val="00454276"/>
    <w:rsid w:val="004543EE"/>
    <w:rsid w:val="00454640"/>
    <w:rsid w:val="0045485E"/>
    <w:rsid w:val="004548EE"/>
    <w:rsid w:val="004549CD"/>
    <w:rsid w:val="004551A4"/>
    <w:rsid w:val="00455352"/>
    <w:rsid w:val="00455390"/>
    <w:rsid w:val="00455651"/>
    <w:rsid w:val="004556A9"/>
    <w:rsid w:val="00455E5C"/>
    <w:rsid w:val="00456112"/>
    <w:rsid w:val="004561AC"/>
    <w:rsid w:val="00456252"/>
    <w:rsid w:val="00456335"/>
    <w:rsid w:val="0045661E"/>
    <w:rsid w:val="00456674"/>
    <w:rsid w:val="00456892"/>
    <w:rsid w:val="00456CA8"/>
    <w:rsid w:val="0045722A"/>
    <w:rsid w:val="00457274"/>
    <w:rsid w:val="00457860"/>
    <w:rsid w:val="0046007D"/>
    <w:rsid w:val="0046048B"/>
    <w:rsid w:val="0046053C"/>
    <w:rsid w:val="00460542"/>
    <w:rsid w:val="00460D23"/>
    <w:rsid w:val="004614BB"/>
    <w:rsid w:val="00461957"/>
    <w:rsid w:val="00462871"/>
    <w:rsid w:val="004629BD"/>
    <w:rsid w:val="004629DD"/>
    <w:rsid w:val="00462C66"/>
    <w:rsid w:val="004633C2"/>
    <w:rsid w:val="0046367A"/>
    <w:rsid w:val="0046379F"/>
    <w:rsid w:val="00463BF9"/>
    <w:rsid w:val="00463C7A"/>
    <w:rsid w:val="00463DB2"/>
    <w:rsid w:val="00463E5C"/>
    <w:rsid w:val="00463EB7"/>
    <w:rsid w:val="00463F7A"/>
    <w:rsid w:val="004640A7"/>
    <w:rsid w:val="0046447F"/>
    <w:rsid w:val="00464ABB"/>
    <w:rsid w:val="00464D00"/>
    <w:rsid w:val="00465010"/>
    <w:rsid w:val="00465381"/>
    <w:rsid w:val="00465512"/>
    <w:rsid w:val="00465E52"/>
    <w:rsid w:val="00465F9E"/>
    <w:rsid w:val="00466451"/>
    <w:rsid w:val="00466731"/>
    <w:rsid w:val="00466D1B"/>
    <w:rsid w:val="0046705E"/>
    <w:rsid w:val="00467075"/>
    <w:rsid w:val="004673EF"/>
    <w:rsid w:val="00467826"/>
    <w:rsid w:val="00467DC2"/>
    <w:rsid w:val="00467F84"/>
    <w:rsid w:val="004704BC"/>
    <w:rsid w:val="00470C70"/>
    <w:rsid w:val="00471357"/>
    <w:rsid w:val="0047143D"/>
    <w:rsid w:val="0047224E"/>
    <w:rsid w:val="00472560"/>
    <w:rsid w:val="00472FD9"/>
    <w:rsid w:val="004736B0"/>
    <w:rsid w:val="00474A11"/>
    <w:rsid w:val="00475688"/>
    <w:rsid w:val="00475A9F"/>
    <w:rsid w:val="00475BCF"/>
    <w:rsid w:val="00476064"/>
    <w:rsid w:val="00476761"/>
    <w:rsid w:val="0047719B"/>
    <w:rsid w:val="00477847"/>
    <w:rsid w:val="0047792D"/>
    <w:rsid w:val="00477C77"/>
    <w:rsid w:val="00477E1A"/>
    <w:rsid w:val="00477F20"/>
    <w:rsid w:val="004800FE"/>
    <w:rsid w:val="004801DD"/>
    <w:rsid w:val="00480254"/>
    <w:rsid w:val="00480421"/>
    <w:rsid w:val="00481083"/>
    <w:rsid w:val="00481701"/>
    <w:rsid w:val="00481AFC"/>
    <w:rsid w:val="00481AFF"/>
    <w:rsid w:val="0048201A"/>
    <w:rsid w:val="00482020"/>
    <w:rsid w:val="0048240E"/>
    <w:rsid w:val="004828BA"/>
    <w:rsid w:val="00482F5D"/>
    <w:rsid w:val="00483320"/>
    <w:rsid w:val="00483433"/>
    <w:rsid w:val="00483E98"/>
    <w:rsid w:val="0048425C"/>
    <w:rsid w:val="004843AB"/>
    <w:rsid w:val="0048450D"/>
    <w:rsid w:val="00484772"/>
    <w:rsid w:val="00484AA5"/>
    <w:rsid w:val="00485217"/>
    <w:rsid w:val="0048571C"/>
    <w:rsid w:val="00485923"/>
    <w:rsid w:val="00486184"/>
    <w:rsid w:val="0048651A"/>
    <w:rsid w:val="004867E4"/>
    <w:rsid w:val="004867FC"/>
    <w:rsid w:val="00486A85"/>
    <w:rsid w:val="00486C6F"/>
    <w:rsid w:val="00486C76"/>
    <w:rsid w:val="004875DC"/>
    <w:rsid w:val="0048769F"/>
    <w:rsid w:val="004878FA"/>
    <w:rsid w:val="00487A28"/>
    <w:rsid w:val="00487F40"/>
    <w:rsid w:val="0049070F"/>
    <w:rsid w:val="004908F7"/>
    <w:rsid w:val="00490C10"/>
    <w:rsid w:val="00490F29"/>
    <w:rsid w:val="004913DC"/>
    <w:rsid w:val="0049145D"/>
    <w:rsid w:val="00491879"/>
    <w:rsid w:val="00491A4F"/>
    <w:rsid w:val="00491E5F"/>
    <w:rsid w:val="004923AE"/>
    <w:rsid w:val="00492430"/>
    <w:rsid w:val="004927DF"/>
    <w:rsid w:val="004928F1"/>
    <w:rsid w:val="00492FC9"/>
    <w:rsid w:val="00493178"/>
    <w:rsid w:val="00493A16"/>
    <w:rsid w:val="00493C16"/>
    <w:rsid w:val="00493E38"/>
    <w:rsid w:val="00493E49"/>
    <w:rsid w:val="00493E7D"/>
    <w:rsid w:val="00493E81"/>
    <w:rsid w:val="004945AB"/>
    <w:rsid w:val="00494994"/>
    <w:rsid w:val="00495583"/>
    <w:rsid w:val="00495DF3"/>
    <w:rsid w:val="00495DFA"/>
    <w:rsid w:val="00496000"/>
    <w:rsid w:val="00496018"/>
    <w:rsid w:val="00496299"/>
    <w:rsid w:val="00496A90"/>
    <w:rsid w:val="00496F22"/>
    <w:rsid w:val="00497361"/>
    <w:rsid w:val="0049749D"/>
    <w:rsid w:val="00497634"/>
    <w:rsid w:val="00497939"/>
    <w:rsid w:val="00497A84"/>
    <w:rsid w:val="00497EBA"/>
    <w:rsid w:val="004A00C2"/>
    <w:rsid w:val="004A026B"/>
    <w:rsid w:val="004A02BF"/>
    <w:rsid w:val="004A0AB6"/>
    <w:rsid w:val="004A0EF7"/>
    <w:rsid w:val="004A1223"/>
    <w:rsid w:val="004A1450"/>
    <w:rsid w:val="004A1503"/>
    <w:rsid w:val="004A16D3"/>
    <w:rsid w:val="004A1DE8"/>
    <w:rsid w:val="004A211F"/>
    <w:rsid w:val="004A22BC"/>
    <w:rsid w:val="004A22F4"/>
    <w:rsid w:val="004A2488"/>
    <w:rsid w:val="004A24FE"/>
    <w:rsid w:val="004A2BB1"/>
    <w:rsid w:val="004A305D"/>
    <w:rsid w:val="004A32B4"/>
    <w:rsid w:val="004A38A9"/>
    <w:rsid w:val="004A3EFF"/>
    <w:rsid w:val="004A47D2"/>
    <w:rsid w:val="004A4EDC"/>
    <w:rsid w:val="004A512E"/>
    <w:rsid w:val="004A5219"/>
    <w:rsid w:val="004A5479"/>
    <w:rsid w:val="004A550C"/>
    <w:rsid w:val="004A5CCE"/>
    <w:rsid w:val="004A631D"/>
    <w:rsid w:val="004A6878"/>
    <w:rsid w:val="004A695A"/>
    <w:rsid w:val="004A6B6E"/>
    <w:rsid w:val="004A6B8D"/>
    <w:rsid w:val="004A6E3A"/>
    <w:rsid w:val="004A710D"/>
    <w:rsid w:val="004A7596"/>
    <w:rsid w:val="004B0349"/>
    <w:rsid w:val="004B0872"/>
    <w:rsid w:val="004B0B70"/>
    <w:rsid w:val="004B0D40"/>
    <w:rsid w:val="004B0F06"/>
    <w:rsid w:val="004B0F57"/>
    <w:rsid w:val="004B1238"/>
    <w:rsid w:val="004B147C"/>
    <w:rsid w:val="004B1B02"/>
    <w:rsid w:val="004B1D54"/>
    <w:rsid w:val="004B1ECA"/>
    <w:rsid w:val="004B25FC"/>
    <w:rsid w:val="004B2B6A"/>
    <w:rsid w:val="004B31A3"/>
    <w:rsid w:val="004B34AC"/>
    <w:rsid w:val="004B3706"/>
    <w:rsid w:val="004B3CAB"/>
    <w:rsid w:val="004B3F99"/>
    <w:rsid w:val="004B3FCD"/>
    <w:rsid w:val="004B4136"/>
    <w:rsid w:val="004B4529"/>
    <w:rsid w:val="004B474B"/>
    <w:rsid w:val="004B4BAF"/>
    <w:rsid w:val="004B51EF"/>
    <w:rsid w:val="004B5E2A"/>
    <w:rsid w:val="004B634F"/>
    <w:rsid w:val="004B654E"/>
    <w:rsid w:val="004B7104"/>
    <w:rsid w:val="004B71B2"/>
    <w:rsid w:val="004B71FA"/>
    <w:rsid w:val="004B7792"/>
    <w:rsid w:val="004B7AE7"/>
    <w:rsid w:val="004B7C65"/>
    <w:rsid w:val="004C0094"/>
    <w:rsid w:val="004C02AF"/>
    <w:rsid w:val="004C10C0"/>
    <w:rsid w:val="004C158F"/>
    <w:rsid w:val="004C18E4"/>
    <w:rsid w:val="004C1B3F"/>
    <w:rsid w:val="004C1FA0"/>
    <w:rsid w:val="004C2489"/>
    <w:rsid w:val="004C2E27"/>
    <w:rsid w:val="004C3343"/>
    <w:rsid w:val="004C3F6E"/>
    <w:rsid w:val="004C4357"/>
    <w:rsid w:val="004C437D"/>
    <w:rsid w:val="004C43C2"/>
    <w:rsid w:val="004C44F5"/>
    <w:rsid w:val="004C4531"/>
    <w:rsid w:val="004C4809"/>
    <w:rsid w:val="004C4843"/>
    <w:rsid w:val="004C4C31"/>
    <w:rsid w:val="004C50A5"/>
    <w:rsid w:val="004C51CB"/>
    <w:rsid w:val="004C52BA"/>
    <w:rsid w:val="004C5413"/>
    <w:rsid w:val="004C58C2"/>
    <w:rsid w:val="004C5A97"/>
    <w:rsid w:val="004C5E44"/>
    <w:rsid w:val="004C5EE4"/>
    <w:rsid w:val="004C6364"/>
    <w:rsid w:val="004C6B77"/>
    <w:rsid w:val="004C6E42"/>
    <w:rsid w:val="004C6F8A"/>
    <w:rsid w:val="004C7132"/>
    <w:rsid w:val="004C7502"/>
    <w:rsid w:val="004C751B"/>
    <w:rsid w:val="004C7549"/>
    <w:rsid w:val="004C7B3A"/>
    <w:rsid w:val="004D0DA6"/>
    <w:rsid w:val="004D1192"/>
    <w:rsid w:val="004D13CE"/>
    <w:rsid w:val="004D13EE"/>
    <w:rsid w:val="004D1BEE"/>
    <w:rsid w:val="004D2053"/>
    <w:rsid w:val="004D25F7"/>
    <w:rsid w:val="004D25FB"/>
    <w:rsid w:val="004D26A1"/>
    <w:rsid w:val="004D2AA2"/>
    <w:rsid w:val="004D2D07"/>
    <w:rsid w:val="004D2FD0"/>
    <w:rsid w:val="004D30A1"/>
    <w:rsid w:val="004D3669"/>
    <w:rsid w:val="004D3751"/>
    <w:rsid w:val="004D39D8"/>
    <w:rsid w:val="004D3E91"/>
    <w:rsid w:val="004D44B7"/>
    <w:rsid w:val="004D45B9"/>
    <w:rsid w:val="004D4839"/>
    <w:rsid w:val="004D487F"/>
    <w:rsid w:val="004D4B34"/>
    <w:rsid w:val="004D50A9"/>
    <w:rsid w:val="004D5455"/>
    <w:rsid w:val="004D5C33"/>
    <w:rsid w:val="004D60EB"/>
    <w:rsid w:val="004D679E"/>
    <w:rsid w:val="004D68DA"/>
    <w:rsid w:val="004D73A4"/>
    <w:rsid w:val="004D77CB"/>
    <w:rsid w:val="004D7E0E"/>
    <w:rsid w:val="004D7E22"/>
    <w:rsid w:val="004E0128"/>
    <w:rsid w:val="004E0400"/>
    <w:rsid w:val="004E0561"/>
    <w:rsid w:val="004E0718"/>
    <w:rsid w:val="004E0F44"/>
    <w:rsid w:val="004E1351"/>
    <w:rsid w:val="004E14D2"/>
    <w:rsid w:val="004E189A"/>
    <w:rsid w:val="004E1C2B"/>
    <w:rsid w:val="004E1CFE"/>
    <w:rsid w:val="004E1D3B"/>
    <w:rsid w:val="004E1E90"/>
    <w:rsid w:val="004E22EB"/>
    <w:rsid w:val="004E2857"/>
    <w:rsid w:val="004E28A5"/>
    <w:rsid w:val="004E2A58"/>
    <w:rsid w:val="004E4222"/>
    <w:rsid w:val="004E4256"/>
    <w:rsid w:val="004E5248"/>
    <w:rsid w:val="004E5285"/>
    <w:rsid w:val="004E535E"/>
    <w:rsid w:val="004E537F"/>
    <w:rsid w:val="004E5BFE"/>
    <w:rsid w:val="004E5C5F"/>
    <w:rsid w:val="004E5EBB"/>
    <w:rsid w:val="004E6195"/>
    <w:rsid w:val="004E619E"/>
    <w:rsid w:val="004E683A"/>
    <w:rsid w:val="004E690F"/>
    <w:rsid w:val="004E693D"/>
    <w:rsid w:val="004E6F39"/>
    <w:rsid w:val="004E6F96"/>
    <w:rsid w:val="004E70A0"/>
    <w:rsid w:val="004E70BC"/>
    <w:rsid w:val="004E74EA"/>
    <w:rsid w:val="004E75DC"/>
    <w:rsid w:val="004E7B20"/>
    <w:rsid w:val="004E7F85"/>
    <w:rsid w:val="004F011D"/>
    <w:rsid w:val="004F0B80"/>
    <w:rsid w:val="004F0C44"/>
    <w:rsid w:val="004F0D7B"/>
    <w:rsid w:val="004F0E5B"/>
    <w:rsid w:val="004F18E0"/>
    <w:rsid w:val="004F1AB2"/>
    <w:rsid w:val="004F2397"/>
    <w:rsid w:val="004F2426"/>
    <w:rsid w:val="004F259D"/>
    <w:rsid w:val="004F25AC"/>
    <w:rsid w:val="004F2759"/>
    <w:rsid w:val="004F292B"/>
    <w:rsid w:val="004F2A36"/>
    <w:rsid w:val="004F2A8D"/>
    <w:rsid w:val="004F2E38"/>
    <w:rsid w:val="004F2FA6"/>
    <w:rsid w:val="004F2FE2"/>
    <w:rsid w:val="004F314B"/>
    <w:rsid w:val="004F31EF"/>
    <w:rsid w:val="004F3563"/>
    <w:rsid w:val="004F4EA7"/>
    <w:rsid w:val="004F55D0"/>
    <w:rsid w:val="004F5F01"/>
    <w:rsid w:val="004F5F6F"/>
    <w:rsid w:val="004F5FC8"/>
    <w:rsid w:val="004F60C1"/>
    <w:rsid w:val="004F60E7"/>
    <w:rsid w:val="004F6793"/>
    <w:rsid w:val="004F6858"/>
    <w:rsid w:val="004F6DFC"/>
    <w:rsid w:val="004F73CC"/>
    <w:rsid w:val="004F770B"/>
    <w:rsid w:val="004F7738"/>
    <w:rsid w:val="004F78BC"/>
    <w:rsid w:val="00500201"/>
    <w:rsid w:val="00500348"/>
    <w:rsid w:val="00500D91"/>
    <w:rsid w:val="00500DE6"/>
    <w:rsid w:val="00500FF8"/>
    <w:rsid w:val="005014CF"/>
    <w:rsid w:val="00501A04"/>
    <w:rsid w:val="00501BE6"/>
    <w:rsid w:val="00501D65"/>
    <w:rsid w:val="00502169"/>
    <w:rsid w:val="005021AA"/>
    <w:rsid w:val="005024DD"/>
    <w:rsid w:val="00502A3E"/>
    <w:rsid w:val="00502ABF"/>
    <w:rsid w:val="00502ADF"/>
    <w:rsid w:val="00502C21"/>
    <w:rsid w:val="00502EE5"/>
    <w:rsid w:val="00503B10"/>
    <w:rsid w:val="005043EB"/>
    <w:rsid w:val="0050452F"/>
    <w:rsid w:val="005046E4"/>
    <w:rsid w:val="00504913"/>
    <w:rsid w:val="00504955"/>
    <w:rsid w:val="00504B86"/>
    <w:rsid w:val="00504C74"/>
    <w:rsid w:val="00505023"/>
    <w:rsid w:val="005052A0"/>
    <w:rsid w:val="0050578D"/>
    <w:rsid w:val="00505860"/>
    <w:rsid w:val="005059DD"/>
    <w:rsid w:val="00505A08"/>
    <w:rsid w:val="00505B55"/>
    <w:rsid w:val="0050605D"/>
    <w:rsid w:val="005069D6"/>
    <w:rsid w:val="00506D15"/>
    <w:rsid w:val="00506E61"/>
    <w:rsid w:val="00506EB7"/>
    <w:rsid w:val="005077AF"/>
    <w:rsid w:val="00507A53"/>
    <w:rsid w:val="00507A80"/>
    <w:rsid w:val="00507BAD"/>
    <w:rsid w:val="00507C95"/>
    <w:rsid w:val="00507CDE"/>
    <w:rsid w:val="00507D13"/>
    <w:rsid w:val="00507F21"/>
    <w:rsid w:val="00510A37"/>
    <w:rsid w:val="00511C4A"/>
    <w:rsid w:val="0051212C"/>
    <w:rsid w:val="00512BA0"/>
    <w:rsid w:val="00512EF7"/>
    <w:rsid w:val="00512FFF"/>
    <w:rsid w:val="00513088"/>
    <w:rsid w:val="00513347"/>
    <w:rsid w:val="00513631"/>
    <w:rsid w:val="0051387F"/>
    <w:rsid w:val="005139F8"/>
    <w:rsid w:val="00513A4A"/>
    <w:rsid w:val="00513A66"/>
    <w:rsid w:val="00513B82"/>
    <w:rsid w:val="00513B8A"/>
    <w:rsid w:val="00513CD6"/>
    <w:rsid w:val="00513D95"/>
    <w:rsid w:val="00513E80"/>
    <w:rsid w:val="0051419B"/>
    <w:rsid w:val="00514310"/>
    <w:rsid w:val="005145CA"/>
    <w:rsid w:val="005145ED"/>
    <w:rsid w:val="00514F3E"/>
    <w:rsid w:val="005151EF"/>
    <w:rsid w:val="00515382"/>
    <w:rsid w:val="0051566C"/>
    <w:rsid w:val="00515922"/>
    <w:rsid w:val="00516851"/>
    <w:rsid w:val="005168D7"/>
    <w:rsid w:val="00516EE6"/>
    <w:rsid w:val="00517A68"/>
    <w:rsid w:val="00517B52"/>
    <w:rsid w:val="00517E39"/>
    <w:rsid w:val="00517F5A"/>
    <w:rsid w:val="0052019A"/>
    <w:rsid w:val="0052020E"/>
    <w:rsid w:val="005204EF"/>
    <w:rsid w:val="00520751"/>
    <w:rsid w:val="00520AB9"/>
    <w:rsid w:val="00520B01"/>
    <w:rsid w:val="00520BEB"/>
    <w:rsid w:val="00520D3A"/>
    <w:rsid w:val="00521094"/>
    <w:rsid w:val="005212F1"/>
    <w:rsid w:val="00521532"/>
    <w:rsid w:val="00521A88"/>
    <w:rsid w:val="00521CAE"/>
    <w:rsid w:val="00521F29"/>
    <w:rsid w:val="005222FC"/>
    <w:rsid w:val="00522E64"/>
    <w:rsid w:val="00522ECB"/>
    <w:rsid w:val="00523366"/>
    <w:rsid w:val="00523DAC"/>
    <w:rsid w:val="00523EED"/>
    <w:rsid w:val="0052432B"/>
    <w:rsid w:val="0052455F"/>
    <w:rsid w:val="005246C0"/>
    <w:rsid w:val="00525018"/>
    <w:rsid w:val="00525085"/>
    <w:rsid w:val="00525792"/>
    <w:rsid w:val="0052588B"/>
    <w:rsid w:val="005258FD"/>
    <w:rsid w:val="00525940"/>
    <w:rsid w:val="00525A7E"/>
    <w:rsid w:val="00525BEE"/>
    <w:rsid w:val="00525D70"/>
    <w:rsid w:val="0052608C"/>
    <w:rsid w:val="005267B6"/>
    <w:rsid w:val="005268DA"/>
    <w:rsid w:val="00526B4E"/>
    <w:rsid w:val="00527004"/>
    <w:rsid w:val="0052759F"/>
    <w:rsid w:val="00527985"/>
    <w:rsid w:val="00527A5B"/>
    <w:rsid w:val="00527CA8"/>
    <w:rsid w:val="00527E11"/>
    <w:rsid w:val="00527E2D"/>
    <w:rsid w:val="0053071D"/>
    <w:rsid w:val="00530B04"/>
    <w:rsid w:val="00530DF6"/>
    <w:rsid w:val="00530F6E"/>
    <w:rsid w:val="00530FFA"/>
    <w:rsid w:val="0053129C"/>
    <w:rsid w:val="005314BD"/>
    <w:rsid w:val="00531678"/>
    <w:rsid w:val="0053186C"/>
    <w:rsid w:val="00531D45"/>
    <w:rsid w:val="0053268D"/>
    <w:rsid w:val="0053289B"/>
    <w:rsid w:val="00532C05"/>
    <w:rsid w:val="00532FE2"/>
    <w:rsid w:val="00533171"/>
    <w:rsid w:val="00533566"/>
    <w:rsid w:val="005336C6"/>
    <w:rsid w:val="005336ED"/>
    <w:rsid w:val="00534171"/>
    <w:rsid w:val="00534252"/>
    <w:rsid w:val="00534275"/>
    <w:rsid w:val="00534610"/>
    <w:rsid w:val="0053483C"/>
    <w:rsid w:val="00534B1D"/>
    <w:rsid w:val="00535205"/>
    <w:rsid w:val="00535637"/>
    <w:rsid w:val="00535698"/>
    <w:rsid w:val="0053579D"/>
    <w:rsid w:val="00535CAE"/>
    <w:rsid w:val="005365C6"/>
    <w:rsid w:val="00536980"/>
    <w:rsid w:val="00536AB7"/>
    <w:rsid w:val="00536E0C"/>
    <w:rsid w:val="005372EC"/>
    <w:rsid w:val="0053788D"/>
    <w:rsid w:val="00537BD3"/>
    <w:rsid w:val="00537CCA"/>
    <w:rsid w:val="00537D4D"/>
    <w:rsid w:val="00537E6B"/>
    <w:rsid w:val="005400DA"/>
    <w:rsid w:val="005408B5"/>
    <w:rsid w:val="00542395"/>
    <w:rsid w:val="00542975"/>
    <w:rsid w:val="00542C60"/>
    <w:rsid w:val="00542EA9"/>
    <w:rsid w:val="00542F43"/>
    <w:rsid w:val="00542F91"/>
    <w:rsid w:val="00543135"/>
    <w:rsid w:val="00543363"/>
    <w:rsid w:val="005442D0"/>
    <w:rsid w:val="00544881"/>
    <w:rsid w:val="00544B72"/>
    <w:rsid w:val="00544EAA"/>
    <w:rsid w:val="005451BD"/>
    <w:rsid w:val="00545238"/>
    <w:rsid w:val="00545267"/>
    <w:rsid w:val="00545275"/>
    <w:rsid w:val="005454BC"/>
    <w:rsid w:val="00546586"/>
    <w:rsid w:val="00546850"/>
    <w:rsid w:val="005469CC"/>
    <w:rsid w:val="00546BA4"/>
    <w:rsid w:val="00546C35"/>
    <w:rsid w:val="00546FC7"/>
    <w:rsid w:val="00547C1C"/>
    <w:rsid w:val="00547FAD"/>
    <w:rsid w:val="00550152"/>
    <w:rsid w:val="00550A89"/>
    <w:rsid w:val="00550AF4"/>
    <w:rsid w:val="00551142"/>
    <w:rsid w:val="00551461"/>
    <w:rsid w:val="005518DB"/>
    <w:rsid w:val="00551C86"/>
    <w:rsid w:val="005527DB"/>
    <w:rsid w:val="00554198"/>
    <w:rsid w:val="0055474D"/>
    <w:rsid w:val="00554A30"/>
    <w:rsid w:val="00554B18"/>
    <w:rsid w:val="00554F24"/>
    <w:rsid w:val="005550D1"/>
    <w:rsid w:val="00555634"/>
    <w:rsid w:val="00555675"/>
    <w:rsid w:val="00555A5D"/>
    <w:rsid w:val="00555D62"/>
    <w:rsid w:val="0055620C"/>
    <w:rsid w:val="00556721"/>
    <w:rsid w:val="00556AB3"/>
    <w:rsid w:val="0055707E"/>
    <w:rsid w:val="005578BB"/>
    <w:rsid w:val="00557911"/>
    <w:rsid w:val="0055797C"/>
    <w:rsid w:val="00557AD7"/>
    <w:rsid w:val="00557E33"/>
    <w:rsid w:val="00557ECA"/>
    <w:rsid w:val="00560002"/>
    <w:rsid w:val="00560172"/>
    <w:rsid w:val="0056052B"/>
    <w:rsid w:val="00560DE1"/>
    <w:rsid w:val="00561038"/>
    <w:rsid w:val="0056122B"/>
    <w:rsid w:val="005613BE"/>
    <w:rsid w:val="00561BF3"/>
    <w:rsid w:val="00561E13"/>
    <w:rsid w:val="005620A1"/>
    <w:rsid w:val="0056288B"/>
    <w:rsid w:val="00562C24"/>
    <w:rsid w:val="00563000"/>
    <w:rsid w:val="00563647"/>
    <w:rsid w:val="00563672"/>
    <w:rsid w:val="00563BF1"/>
    <w:rsid w:val="00563FA1"/>
    <w:rsid w:val="00564104"/>
    <w:rsid w:val="0056415F"/>
    <w:rsid w:val="0056483B"/>
    <w:rsid w:val="00564A4A"/>
    <w:rsid w:val="00564E82"/>
    <w:rsid w:val="00564F70"/>
    <w:rsid w:val="005650A1"/>
    <w:rsid w:val="00565220"/>
    <w:rsid w:val="005654EF"/>
    <w:rsid w:val="00565728"/>
    <w:rsid w:val="005657F0"/>
    <w:rsid w:val="00565BA0"/>
    <w:rsid w:val="00565D5A"/>
    <w:rsid w:val="00566143"/>
    <w:rsid w:val="005663D8"/>
    <w:rsid w:val="00566447"/>
    <w:rsid w:val="00566AF2"/>
    <w:rsid w:val="00566B81"/>
    <w:rsid w:val="00566C80"/>
    <w:rsid w:val="005670F2"/>
    <w:rsid w:val="00567BBD"/>
    <w:rsid w:val="00567C13"/>
    <w:rsid w:val="00570399"/>
    <w:rsid w:val="00570549"/>
    <w:rsid w:val="005707A0"/>
    <w:rsid w:val="0057099C"/>
    <w:rsid w:val="005709CE"/>
    <w:rsid w:val="00570A10"/>
    <w:rsid w:val="00570B36"/>
    <w:rsid w:val="00570D26"/>
    <w:rsid w:val="00570D67"/>
    <w:rsid w:val="00570F64"/>
    <w:rsid w:val="0057168F"/>
    <w:rsid w:val="0057169E"/>
    <w:rsid w:val="00571A23"/>
    <w:rsid w:val="00571A85"/>
    <w:rsid w:val="00571A89"/>
    <w:rsid w:val="00571AEC"/>
    <w:rsid w:val="0057247C"/>
    <w:rsid w:val="00572496"/>
    <w:rsid w:val="005726B8"/>
    <w:rsid w:val="00572AAD"/>
    <w:rsid w:val="0057300B"/>
    <w:rsid w:val="00573384"/>
    <w:rsid w:val="00573663"/>
    <w:rsid w:val="0057396C"/>
    <w:rsid w:val="00573983"/>
    <w:rsid w:val="005740BD"/>
    <w:rsid w:val="005740CE"/>
    <w:rsid w:val="005744D8"/>
    <w:rsid w:val="0057459C"/>
    <w:rsid w:val="0057476A"/>
    <w:rsid w:val="00574D26"/>
    <w:rsid w:val="005750B6"/>
    <w:rsid w:val="00575165"/>
    <w:rsid w:val="005756A7"/>
    <w:rsid w:val="00575B53"/>
    <w:rsid w:val="00576423"/>
    <w:rsid w:val="00576424"/>
    <w:rsid w:val="00576909"/>
    <w:rsid w:val="00576B77"/>
    <w:rsid w:val="00576C0B"/>
    <w:rsid w:val="00576E5F"/>
    <w:rsid w:val="00576F95"/>
    <w:rsid w:val="00577293"/>
    <w:rsid w:val="0057762C"/>
    <w:rsid w:val="00577E71"/>
    <w:rsid w:val="00580457"/>
    <w:rsid w:val="00580729"/>
    <w:rsid w:val="005808F1"/>
    <w:rsid w:val="00580A7C"/>
    <w:rsid w:val="00580B00"/>
    <w:rsid w:val="00580C74"/>
    <w:rsid w:val="00580D80"/>
    <w:rsid w:val="005810E9"/>
    <w:rsid w:val="0058156A"/>
    <w:rsid w:val="0058163C"/>
    <w:rsid w:val="005816C9"/>
    <w:rsid w:val="0058197D"/>
    <w:rsid w:val="00582673"/>
    <w:rsid w:val="00582E82"/>
    <w:rsid w:val="0058359E"/>
    <w:rsid w:val="00583669"/>
    <w:rsid w:val="00583777"/>
    <w:rsid w:val="005839A7"/>
    <w:rsid w:val="0058407E"/>
    <w:rsid w:val="0058435E"/>
    <w:rsid w:val="00584476"/>
    <w:rsid w:val="00584630"/>
    <w:rsid w:val="005849A6"/>
    <w:rsid w:val="00584A14"/>
    <w:rsid w:val="00585308"/>
    <w:rsid w:val="00585CB8"/>
    <w:rsid w:val="005861F0"/>
    <w:rsid w:val="005863A2"/>
    <w:rsid w:val="00586548"/>
    <w:rsid w:val="005869AE"/>
    <w:rsid w:val="00587287"/>
    <w:rsid w:val="0058756B"/>
    <w:rsid w:val="005878FF"/>
    <w:rsid w:val="00590190"/>
    <w:rsid w:val="005901C2"/>
    <w:rsid w:val="00590377"/>
    <w:rsid w:val="0059067B"/>
    <w:rsid w:val="005907E2"/>
    <w:rsid w:val="00590988"/>
    <w:rsid w:val="00591300"/>
    <w:rsid w:val="005914A1"/>
    <w:rsid w:val="00591A42"/>
    <w:rsid w:val="00591AAD"/>
    <w:rsid w:val="00591D81"/>
    <w:rsid w:val="00591DA1"/>
    <w:rsid w:val="00592034"/>
    <w:rsid w:val="00592333"/>
    <w:rsid w:val="00592766"/>
    <w:rsid w:val="0059288A"/>
    <w:rsid w:val="00592B58"/>
    <w:rsid w:val="00592E56"/>
    <w:rsid w:val="00592F8F"/>
    <w:rsid w:val="00592FD2"/>
    <w:rsid w:val="00593043"/>
    <w:rsid w:val="0059314C"/>
    <w:rsid w:val="005932C8"/>
    <w:rsid w:val="0059371D"/>
    <w:rsid w:val="00593D86"/>
    <w:rsid w:val="0059436E"/>
    <w:rsid w:val="005945EA"/>
    <w:rsid w:val="005948D3"/>
    <w:rsid w:val="005948DF"/>
    <w:rsid w:val="00594DEF"/>
    <w:rsid w:val="005955AC"/>
    <w:rsid w:val="005956A6"/>
    <w:rsid w:val="00595DB8"/>
    <w:rsid w:val="0059610B"/>
    <w:rsid w:val="005964D1"/>
    <w:rsid w:val="0059660A"/>
    <w:rsid w:val="005967DE"/>
    <w:rsid w:val="00596EF6"/>
    <w:rsid w:val="00597E7E"/>
    <w:rsid w:val="005A046B"/>
    <w:rsid w:val="005A0637"/>
    <w:rsid w:val="005A066C"/>
    <w:rsid w:val="005A0755"/>
    <w:rsid w:val="005A0A1D"/>
    <w:rsid w:val="005A0AE9"/>
    <w:rsid w:val="005A0C12"/>
    <w:rsid w:val="005A12E2"/>
    <w:rsid w:val="005A13C1"/>
    <w:rsid w:val="005A14B3"/>
    <w:rsid w:val="005A1518"/>
    <w:rsid w:val="005A15E4"/>
    <w:rsid w:val="005A1669"/>
    <w:rsid w:val="005A19EB"/>
    <w:rsid w:val="005A1EE8"/>
    <w:rsid w:val="005A2CAD"/>
    <w:rsid w:val="005A322C"/>
    <w:rsid w:val="005A3B8A"/>
    <w:rsid w:val="005A3F74"/>
    <w:rsid w:val="005A455D"/>
    <w:rsid w:val="005A4588"/>
    <w:rsid w:val="005A4E5D"/>
    <w:rsid w:val="005A4F3C"/>
    <w:rsid w:val="005A534F"/>
    <w:rsid w:val="005A553E"/>
    <w:rsid w:val="005A5929"/>
    <w:rsid w:val="005A5A18"/>
    <w:rsid w:val="005A5A97"/>
    <w:rsid w:val="005A6346"/>
    <w:rsid w:val="005A6971"/>
    <w:rsid w:val="005A7193"/>
    <w:rsid w:val="005A71B9"/>
    <w:rsid w:val="005A74C6"/>
    <w:rsid w:val="005A7DED"/>
    <w:rsid w:val="005A7E49"/>
    <w:rsid w:val="005B07A3"/>
    <w:rsid w:val="005B0D5A"/>
    <w:rsid w:val="005B0D8C"/>
    <w:rsid w:val="005B129E"/>
    <w:rsid w:val="005B15E7"/>
    <w:rsid w:val="005B16A6"/>
    <w:rsid w:val="005B1869"/>
    <w:rsid w:val="005B2222"/>
    <w:rsid w:val="005B2242"/>
    <w:rsid w:val="005B2D3E"/>
    <w:rsid w:val="005B2DDB"/>
    <w:rsid w:val="005B3525"/>
    <w:rsid w:val="005B37D0"/>
    <w:rsid w:val="005B3A5B"/>
    <w:rsid w:val="005B3D08"/>
    <w:rsid w:val="005B3F39"/>
    <w:rsid w:val="005B40AB"/>
    <w:rsid w:val="005B44EC"/>
    <w:rsid w:val="005B4746"/>
    <w:rsid w:val="005B4841"/>
    <w:rsid w:val="005B4AC9"/>
    <w:rsid w:val="005B4AE0"/>
    <w:rsid w:val="005B4B97"/>
    <w:rsid w:val="005B4C1E"/>
    <w:rsid w:val="005B4C7B"/>
    <w:rsid w:val="005B4D5D"/>
    <w:rsid w:val="005B4DB5"/>
    <w:rsid w:val="005B5212"/>
    <w:rsid w:val="005B5363"/>
    <w:rsid w:val="005B5991"/>
    <w:rsid w:val="005B5C87"/>
    <w:rsid w:val="005B5D7E"/>
    <w:rsid w:val="005B60DA"/>
    <w:rsid w:val="005B610F"/>
    <w:rsid w:val="005B6232"/>
    <w:rsid w:val="005B6670"/>
    <w:rsid w:val="005B6AFF"/>
    <w:rsid w:val="005B7185"/>
    <w:rsid w:val="005B7655"/>
    <w:rsid w:val="005B766A"/>
    <w:rsid w:val="005B87C9"/>
    <w:rsid w:val="005C057F"/>
    <w:rsid w:val="005C11D1"/>
    <w:rsid w:val="005C152A"/>
    <w:rsid w:val="005C1573"/>
    <w:rsid w:val="005C15E9"/>
    <w:rsid w:val="005C210F"/>
    <w:rsid w:val="005C23DA"/>
    <w:rsid w:val="005C25F2"/>
    <w:rsid w:val="005C274D"/>
    <w:rsid w:val="005C2B80"/>
    <w:rsid w:val="005C2DD2"/>
    <w:rsid w:val="005C353E"/>
    <w:rsid w:val="005C3753"/>
    <w:rsid w:val="005C384C"/>
    <w:rsid w:val="005C399A"/>
    <w:rsid w:val="005C3AFF"/>
    <w:rsid w:val="005C3B15"/>
    <w:rsid w:val="005C3BE9"/>
    <w:rsid w:val="005C4494"/>
    <w:rsid w:val="005C4724"/>
    <w:rsid w:val="005C4A0D"/>
    <w:rsid w:val="005C4A74"/>
    <w:rsid w:val="005C4B82"/>
    <w:rsid w:val="005C4EEA"/>
    <w:rsid w:val="005C4FEA"/>
    <w:rsid w:val="005C5A1E"/>
    <w:rsid w:val="005C5E56"/>
    <w:rsid w:val="005C5EAD"/>
    <w:rsid w:val="005C5F39"/>
    <w:rsid w:val="005C66D0"/>
    <w:rsid w:val="005C682B"/>
    <w:rsid w:val="005C6DE4"/>
    <w:rsid w:val="005C6EE1"/>
    <w:rsid w:val="005C74C5"/>
    <w:rsid w:val="005C7891"/>
    <w:rsid w:val="005C7A03"/>
    <w:rsid w:val="005D0384"/>
    <w:rsid w:val="005D04BD"/>
    <w:rsid w:val="005D04E0"/>
    <w:rsid w:val="005D059E"/>
    <w:rsid w:val="005D0B33"/>
    <w:rsid w:val="005D14EB"/>
    <w:rsid w:val="005D15B0"/>
    <w:rsid w:val="005D1629"/>
    <w:rsid w:val="005D19F7"/>
    <w:rsid w:val="005D1B65"/>
    <w:rsid w:val="005D254E"/>
    <w:rsid w:val="005D273D"/>
    <w:rsid w:val="005D28A7"/>
    <w:rsid w:val="005D28F9"/>
    <w:rsid w:val="005D29EB"/>
    <w:rsid w:val="005D2C80"/>
    <w:rsid w:val="005D3579"/>
    <w:rsid w:val="005D3697"/>
    <w:rsid w:val="005D3790"/>
    <w:rsid w:val="005D380F"/>
    <w:rsid w:val="005D3B11"/>
    <w:rsid w:val="005D3E72"/>
    <w:rsid w:val="005D4390"/>
    <w:rsid w:val="005D472B"/>
    <w:rsid w:val="005D476F"/>
    <w:rsid w:val="005D4AAF"/>
    <w:rsid w:val="005D4F12"/>
    <w:rsid w:val="005D5690"/>
    <w:rsid w:val="005D5CEF"/>
    <w:rsid w:val="005D6C91"/>
    <w:rsid w:val="005D6DE6"/>
    <w:rsid w:val="005D7A9A"/>
    <w:rsid w:val="005D7DEF"/>
    <w:rsid w:val="005E00FC"/>
    <w:rsid w:val="005E058C"/>
    <w:rsid w:val="005E069B"/>
    <w:rsid w:val="005E0B6A"/>
    <w:rsid w:val="005E0BE9"/>
    <w:rsid w:val="005E0BF8"/>
    <w:rsid w:val="005E129E"/>
    <w:rsid w:val="005E192D"/>
    <w:rsid w:val="005E1B23"/>
    <w:rsid w:val="005E1D5D"/>
    <w:rsid w:val="005E227F"/>
    <w:rsid w:val="005E25BD"/>
    <w:rsid w:val="005E2AE7"/>
    <w:rsid w:val="005E3000"/>
    <w:rsid w:val="005E3C38"/>
    <w:rsid w:val="005E5045"/>
    <w:rsid w:val="005E50AC"/>
    <w:rsid w:val="005E513C"/>
    <w:rsid w:val="005E5843"/>
    <w:rsid w:val="005E5D92"/>
    <w:rsid w:val="005E5F01"/>
    <w:rsid w:val="005E6452"/>
    <w:rsid w:val="005E6AD3"/>
    <w:rsid w:val="005E6B43"/>
    <w:rsid w:val="005E6B64"/>
    <w:rsid w:val="005E6CFA"/>
    <w:rsid w:val="005E6F62"/>
    <w:rsid w:val="005E7021"/>
    <w:rsid w:val="005E712C"/>
    <w:rsid w:val="005E7A3A"/>
    <w:rsid w:val="005E7C29"/>
    <w:rsid w:val="005F0666"/>
    <w:rsid w:val="005F0998"/>
    <w:rsid w:val="005F0C92"/>
    <w:rsid w:val="005F0D66"/>
    <w:rsid w:val="005F1189"/>
    <w:rsid w:val="005F129B"/>
    <w:rsid w:val="005F1740"/>
    <w:rsid w:val="005F1ADA"/>
    <w:rsid w:val="005F22C8"/>
    <w:rsid w:val="005F22E5"/>
    <w:rsid w:val="005F27EA"/>
    <w:rsid w:val="005F28E0"/>
    <w:rsid w:val="005F2DA6"/>
    <w:rsid w:val="005F351D"/>
    <w:rsid w:val="005F36FE"/>
    <w:rsid w:val="005F374E"/>
    <w:rsid w:val="005F3B85"/>
    <w:rsid w:val="005F3D3E"/>
    <w:rsid w:val="005F41B3"/>
    <w:rsid w:val="005F4577"/>
    <w:rsid w:val="005F468A"/>
    <w:rsid w:val="005F47BF"/>
    <w:rsid w:val="005F4AC8"/>
    <w:rsid w:val="005F4C59"/>
    <w:rsid w:val="005F573B"/>
    <w:rsid w:val="005F588B"/>
    <w:rsid w:val="005F5A4E"/>
    <w:rsid w:val="005F5B52"/>
    <w:rsid w:val="005F5D5D"/>
    <w:rsid w:val="005F63B1"/>
    <w:rsid w:val="005F6720"/>
    <w:rsid w:val="005F6CF2"/>
    <w:rsid w:val="005F6FDB"/>
    <w:rsid w:val="005F7264"/>
    <w:rsid w:val="005F77A4"/>
    <w:rsid w:val="005F7A56"/>
    <w:rsid w:val="005F7B9E"/>
    <w:rsid w:val="005F7F89"/>
    <w:rsid w:val="00600100"/>
    <w:rsid w:val="006002B6"/>
    <w:rsid w:val="006004D9"/>
    <w:rsid w:val="0060050D"/>
    <w:rsid w:val="00600A0A"/>
    <w:rsid w:val="00600B68"/>
    <w:rsid w:val="00600BCF"/>
    <w:rsid w:val="00600CFE"/>
    <w:rsid w:val="00600D4D"/>
    <w:rsid w:val="00601321"/>
    <w:rsid w:val="00601480"/>
    <w:rsid w:val="006017A2"/>
    <w:rsid w:val="00601D54"/>
    <w:rsid w:val="00601F43"/>
    <w:rsid w:val="00602086"/>
    <w:rsid w:val="00602F89"/>
    <w:rsid w:val="006030E9"/>
    <w:rsid w:val="006036B8"/>
    <w:rsid w:val="006038A7"/>
    <w:rsid w:val="00603E13"/>
    <w:rsid w:val="00604073"/>
    <w:rsid w:val="0060481E"/>
    <w:rsid w:val="00604AF1"/>
    <w:rsid w:val="00604C27"/>
    <w:rsid w:val="00604DB2"/>
    <w:rsid w:val="00604E18"/>
    <w:rsid w:val="00604E8C"/>
    <w:rsid w:val="006053D0"/>
    <w:rsid w:val="0060556B"/>
    <w:rsid w:val="00605C83"/>
    <w:rsid w:val="00605DBC"/>
    <w:rsid w:val="006063E5"/>
    <w:rsid w:val="006064E8"/>
    <w:rsid w:val="00606525"/>
    <w:rsid w:val="00606CCC"/>
    <w:rsid w:val="00607E60"/>
    <w:rsid w:val="0061002B"/>
    <w:rsid w:val="00610530"/>
    <w:rsid w:val="00610555"/>
    <w:rsid w:val="006105B5"/>
    <w:rsid w:val="0061090C"/>
    <w:rsid w:val="0061095E"/>
    <w:rsid w:val="006109BE"/>
    <w:rsid w:val="00610BB9"/>
    <w:rsid w:val="00610BC0"/>
    <w:rsid w:val="00610CA9"/>
    <w:rsid w:val="0061159D"/>
    <w:rsid w:val="006116D4"/>
    <w:rsid w:val="00611798"/>
    <w:rsid w:val="0061188C"/>
    <w:rsid w:val="00611EB3"/>
    <w:rsid w:val="00612651"/>
    <w:rsid w:val="00612F30"/>
    <w:rsid w:val="00612F3C"/>
    <w:rsid w:val="00613886"/>
    <w:rsid w:val="006138D1"/>
    <w:rsid w:val="00613AD5"/>
    <w:rsid w:val="00613E80"/>
    <w:rsid w:val="00614DFE"/>
    <w:rsid w:val="00615961"/>
    <w:rsid w:val="00615D54"/>
    <w:rsid w:val="00616957"/>
    <w:rsid w:val="0061698A"/>
    <w:rsid w:val="00616D12"/>
    <w:rsid w:val="006176D9"/>
    <w:rsid w:val="00617D69"/>
    <w:rsid w:val="00617E11"/>
    <w:rsid w:val="00617FDB"/>
    <w:rsid w:val="00620708"/>
    <w:rsid w:val="00620802"/>
    <w:rsid w:val="0062099F"/>
    <w:rsid w:val="006209D7"/>
    <w:rsid w:val="00620B0F"/>
    <w:rsid w:val="0062126C"/>
    <w:rsid w:val="006215F8"/>
    <w:rsid w:val="00621705"/>
    <w:rsid w:val="00621CC5"/>
    <w:rsid w:val="00621F86"/>
    <w:rsid w:val="0062215F"/>
    <w:rsid w:val="00622216"/>
    <w:rsid w:val="00622CC0"/>
    <w:rsid w:val="00622D10"/>
    <w:rsid w:val="00623323"/>
    <w:rsid w:val="0062332C"/>
    <w:rsid w:val="00623595"/>
    <w:rsid w:val="00623F61"/>
    <w:rsid w:val="00624458"/>
    <w:rsid w:val="00624D9F"/>
    <w:rsid w:val="00625387"/>
    <w:rsid w:val="0062548E"/>
    <w:rsid w:val="00625575"/>
    <w:rsid w:val="00626DBD"/>
    <w:rsid w:val="006274C5"/>
    <w:rsid w:val="00627D2E"/>
    <w:rsid w:val="0063008A"/>
    <w:rsid w:val="006303D3"/>
    <w:rsid w:val="00630C5E"/>
    <w:rsid w:val="00631264"/>
    <w:rsid w:val="006315F0"/>
    <w:rsid w:val="00631643"/>
    <w:rsid w:val="00631DAB"/>
    <w:rsid w:val="00631E6A"/>
    <w:rsid w:val="00632217"/>
    <w:rsid w:val="0063248F"/>
    <w:rsid w:val="0063280C"/>
    <w:rsid w:val="00632EC2"/>
    <w:rsid w:val="006335E5"/>
    <w:rsid w:val="006336CD"/>
    <w:rsid w:val="006339EC"/>
    <w:rsid w:val="00633A44"/>
    <w:rsid w:val="00633B76"/>
    <w:rsid w:val="00633DF7"/>
    <w:rsid w:val="006344F6"/>
    <w:rsid w:val="0063450C"/>
    <w:rsid w:val="0063481E"/>
    <w:rsid w:val="00634A08"/>
    <w:rsid w:val="00634A0B"/>
    <w:rsid w:val="00634FC3"/>
    <w:rsid w:val="00635560"/>
    <w:rsid w:val="00635649"/>
    <w:rsid w:val="00635698"/>
    <w:rsid w:val="00635B74"/>
    <w:rsid w:val="00635F62"/>
    <w:rsid w:val="00636123"/>
    <w:rsid w:val="006363AC"/>
    <w:rsid w:val="00636D87"/>
    <w:rsid w:val="00636E3C"/>
    <w:rsid w:val="00637896"/>
    <w:rsid w:val="00637901"/>
    <w:rsid w:val="006379BA"/>
    <w:rsid w:val="00637CDD"/>
    <w:rsid w:val="00637DA7"/>
    <w:rsid w:val="00637EE9"/>
    <w:rsid w:val="00640163"/>
    <w:rsid w:val="006402B1"/>
    <w:rsid w:val="0064040C"/>
    <w:rsid w:val="00640412"/>
    <w:rsid w:val="00640BFA"/>
    <w:rsid w:val="00640CBC"/>
    <w:rsid w:val="00640DBA"/>
    <w:rsid w:val="006411E6"/>
    <w:rsid w:val="00641264"/>
    <w:rsid w:val="00641388"/>
    <w:rsid w:val="00641928"/>
    <w:rsid w:val="00641A34"/>
    <w:rsid w:val="0064248B"/>
    <w:rsid w:val="00642AD3"/>
    <w:rsid w:val="00642BC5"/>
    <w:rsid w:val="00642C18"/>
    <w:rsid w:val="00642C1F"/>
    <w:rsid w:val="00642E47"/>
    <w:rsid w:val="00642F43"/>
    <w:rsid w:val="006430BE"/>
    <w:rsid w:val="00643218"/>
    <w:rsid w:val="00643224"/>
    <w:rsid w:val="006433D8"/>
    <w:rsid w:val="00643417"/>
    <w:rsid w:val="006434DA"/>
    <w:rsid w:val="0064354C"/>
    <w:rsid w:val="00643586"/>
    <w:rsid w:val="00643A18"/>
    <w:rsid w:val="00643C78"/>
    <w:rsid w:val="00643E50"/>
    <w:rsid w:val="00643EB0"/>
    <w:rsid w:val="006440A9"/>
    <w:rsid w:val="006441F7"/>
    <w:rsid w:val="00644442"/>
    <w:rsid w:val="00644520"/>
    <w:rsid w:val="00644667"/>
    <w:rsid w:val="006447F4"/>
    <w:rsid w:val="00644989"/>
    <w:rsid w:val="00644E9A"/>
    <w:rsid w:val="00645316"/>
    <w:rsid w:val="0064573B"/>
    <w:rsid w:val="00645B2E"/>
    <w:rsid w:val="00645C31"/>
    <w:rsid w:val="00645C83"/>
    <w:rsid w:val="00646431"/>
    <w:rsid w:val="00646471"/>
    <w:rsid w:val="006464E5"/>
    <w:rsid w:val="00646974"/>
    <w:rsid w:val="006469F6"/>
    <w:rsid w:val="0064733B"/>
    <w:rsid w:val="00647AB5"/>
    <w:rsid w:val="0065019F"/>
    <w:rsid w:val="006501D1"/>
    <w:rsid w:val="00650228"/>
    <w:rsid w:val="006506B4"/>
    <w:rsid w:val="0065084E"/>
    <w:rsid w:val="00650939"/>
    <w:rsid w:val="00650FBC"/>
    <w:rsid w:val="00650FE5"/>
    <w:rsid w:val="006511D4"/>
    <w:rsid w:val="0065125E"/>
    <w:rsid w:val="0065180C"/>
    <w:rsid w:val="00651D07"/>
    <w:rsid w:val="0065295A"/>
    <w:rsid w:val="00652CD4"/>
    <w:rsid w:val="00653738"/>
    <w:rsid w:val="00653D23"/>
    <w:rsid w:val="0065411B"/>
    <w:rsid w:val="0065419B"/>
    <w:rsid w:val="00654416"/>
    <w:rsid w:val="00654520"/>
    <w:rsid w:val="00654A64"/>
    <w:rsid w:val="006551F9"/>
    <w:rsid w:val="00655483"/>
    <w:rsid w:val="0065556F"/>
    <w:rsid w:val="00655AC6"/>
    <w:rsid w:val="00655C34"/>
    <w:rsid w:val="00655F5B"/>
    <w:rsid w:val="006562C6"/>
    <w:rsid w:val="00656379"/>
    <w:rsid w:val="00656A31"/>
    <w:rsid w:val="00656D12"/>
    <w:rsid w:val="006574B2"/>
    <w:rsid w:val="00660263"/>
    <w:rsid w:val="0066060C"/>
    <w:rsid w:val="00660924"/>
    <w:rsid w:val="00660A4D"/>
    <w:rsid w:val="00660A54"/>
    <w:rsid w:val="00660C0F"/>
    <w:rsid w:val="0066113E"/>
    <w:rsid w:val="00661499"/>
    <w:rsid w:val="00661569"/>
    <w:rsid w:val="00661711"/>
    <w:rsid w:val="006619DC"/>
    <w:rsid w:val="00662012"/>
    <w:rsid w:val="006622EB"/>
    <w:rsid w:val="0066249D"/>
    <w:rsid w:val="00662588"/>
    <w:rsid w:val="006629CF"/>
    <w:rsid w:val="00662E75"/>
    <w:rsid w:val="00662F59"/>
    <w:rsid w:val="00663204"/>
    <w:rsid w:val="006635AA"/>
    <w:rsid w:val="00663733"/>
    <w:rsid w:val="00663C2C"/>
    <w:rsid w:val="00663F7E"/>
    <w:rsid w:val="00663FE1"/>
    <w:rsid w:val="00664DDE"/>
    <w:rsid w:val="006650E8"/>
    <w:rsid w:val="0066517F"/>
    <w:rsid w:val="00665274"/>
    <w:rsid w:val="006655D1"/>
    <w:rsid w:val="00665650"/>
    <w:rsid w:val="00665AC8"/>
    <w:rsid w:val="00665C83"/>
    <w:rsid w:val="0066674C"/>
    <w:rsid w:val="006669FC"/>
    <w:rsid w:val="00666CF8"/>
    <w:rsid w:val="00666ECF"/>
    <w:rsid w:val="00667098"/>
    <w:rsid w:val="0066727F"/>
    <w:rsid w:val="0066736B"/>
    <w:rsid w:val="00667496"/>
    <w:rsid w:val="0067084A"/>
    <w:rsid w:val="00670919"/>
    <w:rsid w:val="00670ABC"/>
    <w:rsid w:val="00670BB9"/>
    <w:rsid w:val="006714F2"/>
    <w:rsid w:val="00671A55"/>
    <w:rsid w:val="00671E01"/>
    <w:rsid w:val="006725C8"/>
    <w:rsid w:val="00672B32"/>
    <w:rsid w:val="006731C4"/>
    <w:rsid w:val="00673249"/>
    <w:rsid w:val="006736D0"/>
    <w:rsid w:val="00673C7A"/>
    <w:rsid w:val="00673FA2"/>
    <w:rsid w:val="00673FC0"/>
    <w:rsid w:val="00674C61"/>
    <w:rsid w:val="00674C92"/>
    <w:rsid w:val="00675002"/>
    <w:rsid w:val="00675038"/>
    <w:rsid w:val="006751CF"/>
    <w:rsid w:val="0067523F"/>
    <w:rsid w:val="00675287"/>
    <w:rsid w:val="00675398"/>
    <w:rsid w:val="00675EA1"/>
    <w:rsid w:val="0067603F"/>
    <w:rsid w:val="0067655B"/>
    <w:rsid w:val="00676754"/>
    <w:rsid w:val="006767F6"/>
    <w:rsid w:val="006769A3"/>
    <w:rsid w:val="006771CE"/>
    <w:rsid w:val="006771E2"/>
    <w:rsid w:val="006771F1"/>
    <w:rsid w:val="00677B64"/>
    <w:rsid w:val="006800A9"/>
    <w:rsid w:val="00680610"/>
    <w:rsid w:val="00680970"/>
    <w:rsid w:val="00680AB3"/>
    <w:rsid w:val="00680D7F"/>
    <w:rsid w:val="00680F7C"/>
    <w:rsid w:val="006811BA"/>
    <w:rsid w:val="006815B2"/>
    <w:rsid w:val="00682016"/>
    <w:rsid w:val="00682186"/>
    <w:rsid w:val="00682464"/>
    <w:rsid w:val="0068287A"/>
    <w:rsid w:val="00682A30"/>
    <w:rsid w:val="00682B3C"/>
    <w:rsid w:val="0068302E"/>
    <w:rsid w:val="00683412"/>
    <w:rsid w:val="006835A6"/>
    <w:rsid w:val="006835B8"/>
    <w:rsid w:val="0068369C"/>
    <w:rsid w:val="00683992"/>
    <w:rsid w:val="00683F05"/>
    <w:rsid w:val="00683F99"/>
    <w:rsid w:val="006846F5"/>
    <w:rsid w:val="00684A49"/>
    <w:rsid w:val="00684AF2"/>
    <w:rsid w:val="00684DBE"/>
    <w:rsid w:val="00685016"/>
    <w:rsid w:val="0068524F"/>
    <w:rsid w:val="00685687"/>
    <w:rsid w:val="006858C8"/>
    <w:rsid w:val="00685B58"/>
    <w:rsid w:val="00685ED0"/>
    <w:rsid w:val="00686391"/>
    <w:rsid w:val="0068682A"/>
    <w:rsid w:val="006870B2"/>
    <w:rsid w:val="006874A5"/>
    <w:rsid w:val="0068791C"/>
    <w:rsid w:val="006901DD"/>
    <w:rsid w:val="00690438"/>
    <w:rsid w:val="0069064A"/>
    <w:rsid w:val="00690B05"/>
    <w:rsid w:val="00690B12"/>
    <w:rsid w:val="00690E41"/>
    <w:rsid w:val="00691338"/>
    <w:rsid w:val="00691518"/>
    <w:rsid w:val="00691525"/>
    <w:rsid w:val="00691BA0"/>
    <w:rsid w:val="00691D9C"/>
    <w:rsid w:val="00691F8B"/>
    <w:rsid w:val="006924DD"/>
    <w:rsid w:val="006925C3"/>
    <w:rsid w:val="0069265D"/>
    <w:rsid w:val="00692F0F"/>
    <w:rsid w:val="00692FCB"/>
    <w:rsid w:val="0069335D"/>
    <w:rsid w:val="006933C0"/>
    <w:rsid w:val="006939B1"/>
    <w:rsid w:val="00693CF5"/>
    <w:rsid w:val="00693EBB"/>
    <w:rsid w:val="00693F53"/>
    <w:rsid w:val="00694170"/>
    <w:rsid w:val="0069468A"/>
    <w:rsid w:val="00694D53"/>
    <w:rsid w:val="0069500A"/>
    <w:rsid w:val="00695196"/>
    <w:rsid w:val="006956A6"/>
    <w:rsid w:val="00695DF5"/>
    <w:rsid w:val="0069684A"/>
    <w:rsid w:val="00696DE2"/>
    <w:rsid w:val="006972DF"/>
    <w:rsid w:val="00697590"/>
    <w:rsid w:val="006977AE"/>
    <w:rsid w:val="006978A4"/>
    <w:rsid w:val="00697B2F"/>
    <w:rsid w:val="00697F7A"/>
    <w:rsid w:val="006A0053"/>
    <w:rsid w:val="006A02C9"/>
    <w:rsid w:val="006A05E2"/>
    <w:rsid w:val="006A085F"/>
    <w:rsid w:val="006A099C"/>
    <w:rsid w:val="006A09B8"/>
    <w:rsid w:val="006A09EF"/>
    <w:rsid w:val="006A0C44"/>
    <w:rsid w:val="006A0F94"/>
    <w:rsid w:val="006A10B0"/>
    <w:rsid w:val="006A1144"/>
    <w:rsid w:val="006A131D"/>
    <w:rsid w:val="006A15CA"/>
    <w:rsid w:val="006A1900"/>
    <w:rsid w:val="006A198B"/>
    <w:rsid w:val="006A204F"/>
    <w:rsid w:val="006A20D2"/>
    <w:rsid w:val="006A255F"/>
    <w:rsid w:val="006A3182"/>
    <w:rsid w:val="006A318F"/>
    <w:rsid w:val="006A33E0"/>
    <w:rsid w:val="006A349D"/>
    <w:rsid w:val="006A36B1"/>
    <w:rsid w:val="006A3B3B"/>
    <w:rsid w:val="006A3FA5"/>
    <w:rsid w:val="006A4472"/>
    <w:rsid w:val="006A4668"/>
    <w:rsid w:val="006A46BD"/>
    <w:rsid w:val="006A4734"/>
    <w:rsid w:val="006A515F"/>
    <w:rsid w:val="006A5468"/>
    <w:rsid w:val="006A57CD"/>
    <w:rsid w:val="006A5B18"/>
    <w:rsid w:val="006A5CCF"/>
    <w:rsid w:val="006A6356"/>
    <w:rsid w:val="006A6594"/>
    <w:rsid w:val="006A69BE"/>
    <w:rsid w:val="006A6A76"/>
    <w:rsid w:val="006B0241"/>
    <w:rsid w:val="006B071D"/>
    <w:rsid w:val="006B0D31"/>
    <w:rsid w:val="006B109A"/>
    <w:rsid w:val="006B1680"/>
    <w:rsid w:val="006B1884"/>
    <w:rsid w:val="006B18BC"/>
    <w:rsid w:val="006B1E48"/>
    <w:rsid w:val="006B2223"/>
    <w:rsid w:val="006B222A"/>
    <w:rsid w:val="006B2586"/>
    <w:rsid w:val="006B2595"/>
    <w:rsid w:val="006B2596"/>
    <w:rsid w:val="006B2825"/>
    <w:rsid w:val="006B2BE3"/>
    <w:rsid w:val="006B32DD"/>
    <w:rsid w:val="006B34F6"/>
    <w:rsid w:val="006B3F76"/>
    <w:rsid w:val="006B4283"/>
    <w:rsid w:val="006B48C1"/>
    <w:rsid w:val="006B4B4E"/>
    <w:rsid w:val="006B4FC1"/>
    <w:rsid w:val="006B505C"/>
    <w:rsid w:val="006B5095"/>
    <w:rsid w:val="006B57C0"/>
    <w:rsid w:val="006B5BC8"/>
    <w:rsid w:val="006B5CA2"/>
    <w:rsid w:val="006B5D56"/>
    <w:rsid w:val="006B6319"/>
    <w:rsid w:val="006B6629"/>
    <w:rsid w:val="006B6A27"/>
    <w:rsid w:val="006B7514"/>
    <w:rsid w:val="006B77A1"/>
    <w:rsid w:val="006B7947"/>
    <w:rsid w:val="006B7CB9"/>
    <w:rsid w:val="006C0254"/>
    <w:rsid w:val="006C05C2"/>
    <w:rsid w:val="006C07A1"/>
    <w:rsid w:val="006C07E6"/>
    <w:rsid w:val="006C14E5"/>
    <w:rsid w:val="006C16FF"/>
    <w:rsid w:val="006C1B45"/>
    <w:rsid w:val="006C1B4A"/>
    <w:rsid w:val="006C1F87"/>
    <w:rsid w:val="006C24C4"/>
    <w:rsid w:val="006C2586"/>
    <w:rsid w:val="006C261F"/>
    <w:rsid w:val="006C2B7D"/>
    <w:rsid w:val="006C2C20"/>
    <w:rsid w:val="006C2DCD"/>
    <w:rsid w:val="006C35E9"/>
    <w:rsid w:val="006C3BCF"/>
    <w:rsid w:val="006C3D69"/>
    <w:rsid w:val="006C4127"/>
    <w:rsid w:val="006C460E"/>
    <w:rsid w:val="006C46F9"/>
    <w:rsid w:val="006C4915"/>
    <w:rsid w:val="006C498C"/>
    <w:rsid w:val="006C4C1B"/>
    <w:rsid w:val="006C4C2A"/>
    <w:rsid w:val="006C4DB9"/>
    <w:rsid w:val="006C513F"/>
    <w:rsid w:val="006C5145"/>
    <w:rsid w:val="006C549B"/>
    <w:rsid w:val="006C5603"/>
    <w:rsid w:val="006C564E"/>
    <w:rsid w:val="006C5721"/>
    <w:rsid w:val="006C5890"/>
    <w:rsid w:val="006C5DA8"/>
    <w:rsid w:val="006C6021"/>
    <w:rsid w:val="006C61D9"/>
    <w:rsid w:val="006C6326"/>
    <w:rsid w:val="006C6346"/>
    <w:rsid w:val="006C67F1"/>
    <w:rsid w:val="006C69A7"/>
    <w:rsid w:val="006C6FC7"/>
    <w:rsid w:val="006C72AC"/>
    <w:rsid w:val="006C73E3"/>
    <w:rsid w:val="006C7709"/>
    <w:rsid w:val="006C79C7"/>
    <w:rsid w:val="006C7A70"/>
    <w:rsid w:val="006C7B77"/>
    <w:rsid w:val="006C7BDD"/>
    <w:rsid w:val="006C7C19"/>
    <w:rsid w:val="006D074D"/>
    <w:rsid w:val="006D077B"/>
    <w:rsid w:val="006D0AEB"/>
    <w:rsid w:val="006D0B03"/>
    <w:rsid w:val="006D0BCD"/>
    <w:rsid w:val="006D0CCA"/>
    <w:rsid w:val="006D1847"/>
    <w:rsid w:val="006D1A50"/>
    <w:rsid w:val="006D1BA3"/>
    <w:rsid w:val="006D1DB6"/>
    <w:rsid w:val="006D203E"/>
    <w:rsid w:val="006D20B3"/>
    <w:rsid w:val="006D26A1"/>
    <w:rsid w:val="006D26B8"/>
    <w:rsid w:val="006D2957"/>
    <w:rsid w:val="006D2A43"/>
    <w:rsid w:val="006D31A9"/>
    <w:rsid w:val="006D3944"/>
    <w:rsid w:val="006D3A26"/>
    <w:rsid w:val="006D3DAB"/>
    <w:rsid w:val="006D4750"/>
    <w:rsid w:val="006D4DAE"/>
    <w:rsid w:val="006D4EC2"/>
    <w:rsid w:val="006D4F3E"/>
    <w:rsid w:val="006D527F"/>
    <w:rsid w:val="006D5434"/>
    <w:rsid w:val="006D5F2F"/>
    <w:rsid w:val="006D61AC"/>
    <w:rsid w:val="006D6919"/>
    <w:rsid w:val="006D6983"/>
    <w:rsid w:val="006D6AE4"/>
    <w:rsid w:val="006D6DC7"/>
    <w:rsid w:val="006D726D"/>
    <w:rsid w:val="006D73DC"/>
    <w:rsid w:val="006D75C1"/>
    <w:rsid w:val="006D77EE"/>
    <w:rsid w:val="006D78EC"/>
    <w:rsid w:val="006D7A32"/>
    <w:rsid w:val="006D7D12"/>
    <w:rsid w:val="006D7D55"/>
    <w:rsid w:val="006D7E85"/>
    <w:rsid w:val="006D7EEE"/>
    <w:rsid w:val="006E04E1"/>
    <w:rsid w:val="006E0583"/>
    <w:rsid w:val="006E05B3"/>
    <w:rsid w:val="006E0794"/>
    <w:rsid w:val="006E0A86"/>
    <w:rsid w:val="006E0B85"/>
    <w:rsid w:val="006E0BFC"/>
    <w:rsid w:val="006E0C78"/>
    <w:rsid w:val="006E0D65"/>
    <w:rsid w:val="006E1568"/>
    <w:rsid w:val="006E16DA"/>
    <w:rsid w:val="006E16DD"/>
    <w:rsid w:val="006E1B62"/>
    <w:rsid w:val="006E1EC3"/>
    <w:rsid w:val="006E1F43"/>
    <w:rsid w:val="006E206E"/>
    <w:rsid w:val="006E215F"/>
    <w:rsid w:val="006E22BE"/>
    <w:rsid w:val="006E241D"/>
    <w:rsid w:val="006E2469"/>
    <w:rsid w:val="006E26BD"/>
    <w:rsid w:val="006E2FD0"/>
    <w:rsid w:val="006E3887"/>
    <w:rsid w:val="006E39C0"/>
    <w:rsid w:val="006E3FB5"/>
    <w:rsid w:val="006E4346"/>
    <w:rsid w:val="006E4386"/>
    <w:rsid w:val="006E47F6"/>
    <w:rsid w:val="006E4ABB"/>
    <w:rsid w:val="006E50AC"/>
    <w:rsid w:val="006E5184"/>
    <w:rsid w:val="006E56A7"/>
    <w:rsid w:val="006E5B75"/>
    <w:rsid w:val="006E60D6"/>
    <w:rsid w:val="006E6521"/>
    <w:rsid w:val="006E6959"/>
    <w:rsid w:val="006E6ADA"/>
    <w:rsid w:val="006E6B1B"/>
    <w:rsid w:val="006E6D0D"/>
    <w:rsid w:val="006E77A4"/>
    <w:rsid w:val="006E793D"/>
    <w:rsid w:val="006E7AC0"/>
    <w:rsid w:val="006E7BDC"/>
    <w:rsid w:val="006E7D9E"/>
    <w:rsid w:val="006F0610"/>
    <w:rsid w:val="006F065B"/>
    <w:rsid w:val="006F097D"/>
    <w:rsid w:val="006F0C56"/>
    <w:rsid w:val="006F0CBF"/>
    <w:rsid w:val="006F0CC0"/>
    <w:rsid w:val="006F0F5D"/>
    <w:rsid w:val="006F143B"/>
    <w:rsid w:val="006F1F35"/>
    <w:rsid w:val="006F24FE"/>
    <w:rsid w:val="006F2D1D"/>
    <w:rsid w:val="006F404E"/>
    <w:rsid w:val="006F42AF"/>
    <w:rsid w:val="006F47A7"/>
    <w:rsid w:val="006F49A3"/>
    <w:rsid w:val="006F4A2B"/>
    <w:rsid w:val="006F58EA"/>
    <w:rsid w:val="006F5DCA"/>
    <w:rsid w:val="006F5E35"/>
    <w:rsid w:val="006F630F"/>
    <w:rsid w:val="006F644F"/>
    <w:rsid w:val="006F657A"/>
    <w:rsid w:val="006F6798"/>
    <w:rsid w:val="006F6EC2"/>
    <w:rsid w:val="006F713C"/>
    <w:rsid w:val="006F72B5"/>
    <w:rsid w:val="006F72CB"/>
    <w:rsid w:val="006F733C"/>
    <w:rsid w:val="006F747A"/>
    <w:rsid w:val="006F74D2"/>
    <w:rsid w:val="006F7A78"/>
    <w:rsid w:val="006F7DD5"/>
    <w:rsid w:val="007001AD"/>
    <w:rsid w:val="00700239"/>
    <w:rsid w:val="007002A2"/>
    <w:rsid w:val="007002F2"/>
    <w:rsid w:val="00700451"/>
    <w:rsid w:val="00700AC2"/>
    <w:rsid w:val="00700BBC"/>
    <w:rsid w:val="00700EFB"/>
    <w:rsid w:val="0070166A"/>
    <w:rsid w:val="00701C36"/>
    <w:rsid w:val="007023BA"/>
    <w:rsid w:val="007024C0"/>
    <w:rsid w:val="007032C1"/>
    <w:rsid w:val="007038F2"/>
    <w:rsid w:val="00703E0B"/>
    <w:rsid w:val="00703E97"/>
    <w:rsid w:val="00703F12"/>
    <w:rsid w:val="0070408B"/>
    <w:rsid w:val="00704393"/>
    <w:rsid w:val="007048C0"/>
    <w:rsid w:val="00704AA5"/>
    <w:rsid w:val="00704B3D"/>
    <w:rsid w:val="0070523E"/>
    <w:rsid w:val="007059C9"/>
    <w:rsid w:val="00705ECC"/>
    <w:rsid w:val="00706071"/>
    <w:rsid w:val="0070638E"/>
    <w:rsid w:val="00706844"/>
    <w:rsid w:val="007069E3"/>
    <w:rsid w:val="00706A5F"/>
    <w:rsid w:val="00706CE3"/>
    <w:rsid w:val="00706F91"/>
    <w:rsid w:val="00707106"/>
    <w:rsid w:val="007071F3"/>
    <w:rsid w:val="007077BD"/>
    <w:rsid w:val="00707FC3"/>
    <w:rsid w:val="007100B9"/>
    <w:rsid w:val="0071075C"/>
    <w:rsid w:val="007107A9"/>
    <w:rsid w:val="00710915"/>
    <w:rsid w:val="00710C55"/>
    <w:rsid w:val="00711875"/>
    <w:rsid w:val="00712003"/>
    <w:rsid w:val="0071219F"/>
    <w:rsid w:val="00712C8F"/>
    <w:rsid w:val="00713394"/>
    <w:rsid w:val="0071340D"/>
    <w:rsid w:val="0071391F"/>
    <w:rsid w:val="00713A6A"/>
    <w:rsid w:val="00713DD5"/>
    <w:rsid w:val="00714AD4"/>
    <w:rsid w:val="00715135"/>
    <w:rsid w:val="00715553"/>
    <w:rsid w:val="007155A6"/>
    <w:rsid w:val="0071621A"/>
    <w:rsid w:val="0071624E"/>
    <w:rsid w:val="007162B6"/>
    <w:rsid w:val="00716507"/>
    <w:rsid w:val="0071695F"/>
    <w:rsid w:val="007171D6"/>
    <w:rsid w:val="00717BC5"/>
    <w:rsid w:val="00717E41"/>
    <w:rsid w:val="0072019A"/>
    <w:rsid w:val="00720BEB"/>
    <w:rsid w:val="00720C77"/>
    <w:rsid w:val="00721495"/>
    <w:rsid w:val="007215EA"/>
    <w:rsid w:val="00721810"/>
    <w:rsid w:val="00721F02"/>
    <w:rsid w:val="007220B4"/>
    <w:rsid w:val="007220BC"/>
    <w:rsid w:val="0072246A"/>
    <w:rsid w:val="00722B47"/>
    <w:rsid w:val="00722E87"/>
    <w:rsid w:val="00722FD7"/>
    <w:rsid w:val="00723126"/>
    <w:rsid w:val="00723478"/>
    <w:rsid w:val="00724384"/>
    <w:rsid w:val="00724E5D"/>
    <w:rsid w:val="0072532F"/>
    <w:rsid w:val="0072544A"/>
    <w:rsid w:val="0072571B"/>
    <w:rsid w:val="00725B56"/>
    <w:rsid w:val="00725BC7"/>
    <w:rsid w:val="00725CD1"/>
    <w:rsid w:val="00725DD7"/>
    <w:rsid w:val="00725F49"/>
    <w:rsid w:val="0072629C"/>
    <w:rsid w:val="00726385"/>
    <w:rsid w:val="007265BE"/>
    <w:rsid w:val="00726DEE"/>
    <w:rsid w:val="007277C7"/>
    <w:rsid w:val="00727AED"/>
    <w:rsid w:val="00727C49"/>
    <w:rsid w:val="00727DE3"/>
    <w:rsid w:val="00727FC3"/>
    <w:rsid w:val="0073101A"/>
    <w:rsid w:val="007314C0"/>
    <w:rsid w:val="00731545"/>
    <w:rsid w:val="007317C1"/>
    <w:rsid w:val="00731941"/>
    <w:rsid w:val="00731A7C"/>
    <w:rsid w:val="00732008"/>
    <w:rsid w:val="00732030"/>
    <w:rsid w:val="007323FD"/>
    <w:rsid w:val="007325C4"/>
    <w:rsid w:val="00732684"/>
    <w:rsid w:val="00732A23"/>
    <w:rsid w:val="00732A5B"/>
    <w:rsid w:val="00732D08"/>
    <w:rsid w:val="00733220"/>
    <w:rsid w:val="007332DF"/>
    <w:rsid w:val="00733504"/>
    <w:rsid w:val="007335E1"/>
    <w:rsid w:val="00733712"/>
    <w:rsid w:val="00733A28"/>
    <w:rsid w:val="00733A8A"/>
    <w:rsid w:val="00733AC4"/>
    <w:rsid w:val="00733D82"/>
    <w:rsid w:val="007341EC"/>
    <w:rsid w:val="007342C1"/>
    <w:rsid w:val="00734529"/>
    <w:rsid w:val="007348E6"/>
    <w:rsid w:val="00734B6D"/>
    <w:rsid w:val="00734C6E"/>
    <w:rsid w:val="00734D2E"/>
    <w:rsid w:val="0073568B"/>
    <w:rsid w:val="00735ACA"/>
    <w:rsid w:val="00735D2B"/>
    <w:rsid w:val="00735F51"/>
    <w:rsid w:val="007362EF"/>
    <w:rsid w:val="00736ED5"/>
    <w:rsid w:val="00736F16"/>
    <w:rsid w:val="007370FA"/>
    <w:rsid w:val="007402EB"/>
    <w:rsid w:val="00740670"/>
    <w:rsid w:val="00740A67"/>
    <w:rsid w:val="00740AB9"/>
    <w:rsid w:val="007410C1"/>
    <w:rsid w:val="007412F5"/>
    <w:rsid w:val="00741FB0"/>
    <w:rsid w:val="007420E0"/>
    <w:rsid w:val="00742385"/>
    <w:rsid w:val="007424DF"/>
    <w:rsid w:val="007424F4"/>
    <w:rsid w:val="0074296C"/>
    <w:rsid w:val="00742A79"/>
    <w:rsid w:val="00742BAB"/>
    <w:rsid w:val="00742C62"/>
    <w:rsid w:val="00743307"/>
    <w:rsid w:val="00743D63"/>
    <w:rsid w:val="00743D81"/>
    <w:rsid w:val="00744206"/>
    <w:rsid w:val="0074435B"/>
    <w:rsid w:val="00744912"/>
    <w:rsid w:val="0074496B"/>
    <w:rsid w:val="00744CAB"/>
    <w:rsid w:val="00744E49"/>
    <w:rsid w:val="00745442"/>
    <w:rsid w:val="007457EA"/>
    <w:rsid w:val="00745AA2"/>
    <w:rsid w:val="00746ACD"/>
    <w:rsid w:val="00746B83"/>
    <w:rsid w:val="00746E0C"/>
    <w:rsid w:val="00746EC3"/>
    <w:rsid w:val="007474D6"/>
    <w:rsid w:val="00747794"/>
    <w:rsid w:val="00747D34"/>
    <w:rsid w:val="00747D36"/>
    <w:rsid w:val="0075024F"/>
    <w:rsid w:val="007502CD"/>
    <w:rsid w:val="007503CD"/>
    <w:rsid w:val="00750572"/>
    <w:rsid w:val="00750758"/>
    <w:rsid w:val="00750987"/>
    <w:rsid w:val="0075098F"/>
    <w:rsid w:val="00750BE2"/>
    <w:rsid w:val="0075107A"/>
    <w:rsid w:val="007510A1"/>
    <w:rsid w:val="00751D7E"/>
    <w:rsid w:val="00751EEB"/>
    <w:rsid w:val="007520CA"/>
    <w:rsid w:val="007520DB"/>
    <w:rsid w:val="007523B9"/>
    <w:rsid w:val="007529A9"/>
    <w:rsid w:val="00753353"/>
    <w:rsid w:val="007537A4"/>
    <w:rsid w:val="00753C23"/>
    <w:rsid w:val="00753CD6"/>
    <w:rsid w:val="00753F9A"/>
    <w:rsid w:val="00754180"/>
    <w:rsid w:val="0075430E"/>
    <w:rsid w:val="007543FC"/>
    <w:rsid w:val="0075470B"/>
    <w:rsid w:val="007547AF"/>
    <w:rsid w:val="00754ABB"/>
    <w:rsid w:val="00754AF4"/>
    <w:rsid w:val="00754FD3"/>
    <w:rsid w:val="007557BB"/>
    <w:rsid w:val="007559D4"/>
    <w:rsid w:val="00755A55"/>
    <w:rsid w:val="00755C2D"/>
    <w:rsid w:val="00755C9A"/>
    <w:rsid w:val="007560B3"/>
    <w:rsid w:val="007567B0"/>
    <w:rsid w:val="00756927"/>
    <w:rsid w:val="007573F0"/>
    <w:rsid w:val="00757973"/>
    <w:rsid w:val="007579C1"/>
    <w:rsid w:val="00757C1F"/>
    <w:rsid w:val="00757F2A"/>
    <w:rsid w:val="00760884"/>
    <w:rsid w:val="00760C73"/>
    <w:rsid w:val="00760FAC"/>
    <w:rsid w:val="00761576"/>
    <w:rsid w:val="007615D5"/>
    <w:rsid w:val="00761A15"/>
    <w:rsid w:val="00761FCF"/>
    <w:rsid w:val="0076228D"/>
    <w:rsid w:val="007623ED"/>
    <w:rsid w:val="007624CC"/>
    <w:rsid w:val="0076303E"/>
    <w:rsid w:val="007638B2"/>
    <w:rsid w:val="00763928"/>
    <w:rsid w:val="00763EB4"/>
    <w:rsid w:val="00764187"/>
    <w:rsid w:val="007645E8"/>
    <w:rsid w:val="0076470A"/>
    <w:rsid w:val="007647B9"/>
    <w:rsid w:val="00764B6E"/>
    <w:rsid w:val="00764D6A"/>
    <w:rsid w:val="00765060"/>
    <w:rsid w:val="00765470"/>
    <w:rsid w:val="00765A48"/>
    <w:rsid w:val="00765D25"/>
    <w:rsid w:val="00766104"/>
    <w:rsid w:val="007664C3"/>
    <w:rsid w:val="007665EF"/>
    <w:rsid w:val="00766847"/>
    <w:rsid w:val="00766E35"/>
    <w:rsid w:val="00767F22"/>
    <w:rsid w:val="00767F8F"/>
    <w:rsid w:val="0077007E"/>
    <w:rsid w:val="007701A8"/>
    <w:rsid w:val="007709AE"/>
    <w:rsid w:val="00770EA4"/>
    <w:rsid w:val="0077104D"/>
    <w:rsid w:val="00771707"/>
    <w:rsid w:val="00771724"/>
    <w:rsid w:val="007717EB"/>
    <w:rsid w:val="00771ADC"/>
    <w:rsid w:val="00771F89"/>
    <w:rsid w:val="00772084"/>
    <w:rsid w:val="00772240"/>
    <w:rsid w:val="007726A4"/>
    <w:rsid w:val="00773056"/>
    <w:rsid w:val="00773BB1"/>
    <w:rsid w:val="00773C92"/>
    <w:rsid w:val="0077432A"/>
    <w:rsid w:val="007747E4"/>
    <w:rsid w:val="00774AD1"/>
    <w:rsid w:val="00774CD2"/>
    <w:rsid w:val="00774FE3"/>
    <w:rsid w:val="007759C0"/>
    <w:rsid w:val="00775B3F"/>
    <w:rsid w:val="00775B77"/>
    <w:rsid w:val="0077650E"/>
    <w:rsid w:val="00776885"/>
    <w:rsid w:val="00776C48"/>
    <w:rsid w:val="007771F9"/>
    <w:rsid w:val="00777394"/>
    <w:rsid w:val="007779BA"/>
    <w:rsid w:val="00777C2F"/>
    <w:rsid w:val="00777FB5"/>
    <w:rsid w:val="0078069F"/>
    <w:rsid w:val="00780864"/>
    <w:rsid w:val="0078086C"/>
    <w:rsid w:val="00780924"/>
    <w:rsid w:val="007809EB"/>
    <w:rsid w:val="00780B24"/>
    <w:rsid w:val="00780CFD"/>
    <w:rsid w:val="00780E5B"/>
    <w:rsid w:val="0078104D"/>
    <w:rsid w:val="00781CA2"/>
    <w:rsid w:val="00781CE5"/>
    <w:rsid w:val="007822A5"/>
    <w:rsid w:val="007829F3"/>
    <w:rsid w:val="00782B77"/>
    <w:rsid w:val="00782B97"/>
    <w:rsid w:val="00782BFF"/>
    <w:rsid w:val="00782C0B"/>
    <w:rsid w:val="007830FE"/>
    <w:rsid w:val="0078370D"/>
    <w:rsid w:val="007838EF"/>
    <w:rsid w:val="00783B00"/>
    <w:rsid w:val="007842E2"/>
    <w:rsid w:val="00784D29"/>
    <w:rsid w:val="0078548E"/>
    <w:rsid w:val="00785974"/>
    <w:rsid w:val="00785FE7"/>
    <w:rsid w:val="007860D6"/>
    <w:rsid w:val="00786807"/>
    <w:rsid w:val="007868F5"/>
    <w:rsid w:val="00786C84"/>
    <w:rsid w:val="00786CE2"/>
    <w:rsid w:val="00786E84"/>
    <w:rsid w:val="00786E87"/>
    <w:rsid w:val="00787739"/>
    <w:rsid w:val="00787D4E"/>
    <w:rsid w:val="0079012B"/>
    <w:rsid w:val="00790213"/>
    <w:rsid w:val="007902D4"/>
    <w:rsid w:val="00790588"/>
    <w:rsid w:val="00790CA3"/>
    <w:rsid w:val="00790E01"/>
    <w:rsid w:val="00791459"/>
    <w:rsid w:val="0079157A"/>
    <w:rsid w:val="00791595"/>
    <w:rsid w:val="00791707"/>
    <w:rsid w:val="00791A9A"/>
    <w:rsid w:val="00791FFD"/>
    <w:rsid w:val="00792E5C"/>
    <w:rsid w:val="00792EA8"/>
    <w:rsid w:val="007930EF"/>
    <w:rsid w:val="00793704"/>
    <w:rsid w:val="00793DCC"/>
    <w:rsid w:val="00794260"/>
    <w:rsid w:val="00794B3F"/>
    <w:rsid w:val="00794C13"/>
    <w:rsid w:val="007950CA"/>
    <w:rsid w:val="0079512A"/>
    <w:rsid w:val="00795232"/>
    <w:rsid w:val="00796B9C"/>
    <w:rsid w:val="00796C0C"/>
    <w:rsid w:val="0079761B"/>
    <w:rsid w:val="007976B6"/>
    <w:rsid w:val="00797735"/>
    <w:rsid w:val="00797786"/>
    <w:rsid w:val="007A04A5"/>
    <w:rsid w:val="007A0AB2"/>
    <w:rsid w:val="007A0C1D"/>
    <w:rsid w:val="007A0D37"/>
    <w:rsid w:val="007A10DA"/>
    <w:rsid w:val="007A2074"/>
    <w:rsid w:val="007A284C"/>
    <w:rsid w:val="007A2868"/>
    <w:rsid w:val="007A2AE7"/>
    <w:rsid w:val="007A36F7"/>
    <w:rsid w:val="007A3788"/>
    <w:rsid w:val="007A4365"/>
    <w:rsid w:val="007A44BF"/>
    <w:rsid w:val="007A4ACF"/>
    <w:rsid w:val="007A5308"/>
    <w:rsid w:val="007A5D10"/>
    <w:rsid w:val="007A5F4C"/>
    <w:rsid w:val="007A5F85"/>
    <w:rsid w:val="007A6310"/>
    <w:rsid w:val="007A65FE"/>
    <w:rsid w:val="007A6D21"/>
    <w:rsid w:val="007A71C3"/>
    <w:rsid w:val="007A75EE"/>
    <w:rsid w:val="007A775A"/>
    <w:rsid w:val="007A77BD"/>
    <w:rsid w:val="007A7857"/>
    <w:rsid w:val="007A7B04"/>
    <w:rsid w:val="007A7CFC"/>
    <w:rsid w:val="007A7EC7"/>
    <w:rsid w:val="007B0386"/>
    <w:rsid w:val="007B08E7"/>
    <w:rsid w:val="007B0964"/>
    <w:rsid w:val="007B09BC"/>
    <w:rsid w:val="007B13A1"/>
    <w:rsid w:val="007B146F"/>
    <w:rsid w:val="007B203E"/>
    <w:rsid w:val="007B265A"/>
    <w:rsid w:val="007B27AA"/>
    <w:rsid w:val="007B2BB4"/>
    <w:rsid w:val="007B306D"/>
    <w:rsid w:val="007B3180"/>
    <w:rsid w:val="007B3232"/>
    <w:rsid w:val="007B34D5"/>
    <w:rsid w:val="007B3A7D"/>
    <w:rsid w:val="007B3D13"/>
    <w:rsid w:val="007B40A1"/>
    <w:rsid w:val="007B4200"/>
    <w:rsid w:val="007B4347"/>
    <w:rsid w:val="007B43FD"/>
    <w:rsid w:val="007B4699"/>
    <w:rsid w:val="007B4DFC"/>
    <w:rsid w:val="007B5249"/>
    <w:rsid w:val="007B5387"/>
    <w:rsid w:val="007B577A"/>
    <w:rsid w:val="007B5C18"/>
    <w:rsid w:val="007B5C24"/>
    <w:rsid w:val="007B622E"/>
    <w:rsid w:val="007B6474"/>
    <w:rsid w:val="007B6CF9"/>
    <w:rsid w:val="007B73CE"/>
    <w:rsid w:val="007B7534"/>
    <w:rsid w:val="007B7981"/>
    <w:rsid w:val="007B7BCA"/>
    <w:rsid w:val="007B7C84"/>
    <w:rsid w:val="007B7CB9"/>
    <w:rsid w:val="007B7E7A"/>
    <w:rsid w:val="007B7EAB"/>
    <w:rsid w:val="007B7FB4"/>
    <w:rsid w:val="007C058A"/>
    <w:rsid w:val="007C05F6"/>
    <w:rsid w:val="007C0C5C"/>
    <w:rsid w:val="007C0E8C"/>
    <w:rsid w:val="007C152A"/>
    <w:rsid w:val="007C2444"/>
    <w:rsid w:val="007C251B"/>
    <w:rsid w:val="007C286A"/>
    <w:rsid w:val="007C2C58"/>
    <w:rsid w:val="007C324E"/>
    <w:rsid w:val="007C32D7"/>
    <w:rsid w:val="007C358A"/>
    <w:rsid w:val="007C386C"/>
    <w:rsid w:val="007C396D"/>
    <w:rsid w:val="007C39A5"/>
    <w:rsid w:val="007C3A0C"/>
    <w:rsid w:val="007C3D4A"/>
    <w:rsid w:val="007C4453"/>
    <w:rsid w:val="007C445A"/>
    <w:rsid w:val="007C459A"/>
    <w:rsid w:val="007C4A96"/>
    <w:rsid w:val="007C4B35"/>
    <w:rsid w:val="007C4F81"/>
    <w:rsid w:val="007C5A64"/>
    <w:rsid w:val="007C5F08"/>
    <w:rsid w:val="007C660A"/>
    <w:rsid w:val="007C6A61"/>
    <w:rsid w:val="007C7510"/>
    <w:rsid w:val="007C77A8"/>
    <w:rsid w:val="007D01FE"/>
    <w:rsid w:val="007D0316"/>
    <w:rsid w:val="007D04E6"/>
    <w:rsid w:val="007D059A"/>
    <w:rsid w:val="007D05B2"/>
    <w:rsid w:val="007D0EE2"/>
    <w:rsid w:val="007D10E6"/>
    <w:rsid w:val="007D1428"/>
    <w:rsid w:val="007D1586"/>
    <w:rsid w:val="007D15C4"/>
    <w:rsid w:val="007D15CA"/>
    <w:rsid w:val="007D15E0"/>
    <w:rsid w:val="007D16BF"/>
    <w:rsid w:val="007D176B"/>
    <w:rsid w:val="007D1775"/>
    <w:rsid w:val="007D1809"/>
    <w:rsid w:val="007D184E"/>
    <w:rsid w:val="007D1952"/>
    <w:rsid w:val="007D1C46"/>
    <w:rsid w:val="007D1C5F"/>
    <w:rsid w:val="007D1E61"/>
    <w:rsid w:val="007D23AA"/>
    <w:rsid w:val="007D2456"/>
    <w:rsid w:val="007D2475"/>
    <w:rsid w:val="007D2C98"/>
    <w:rsid w:val="007D2C9E"/>
    <w:rsid w:val="007D34FD"/>
    <w:rsid w:val="007D35AE"/>
    <w:rsid w:val="007D3694"/>
    <w:rsid w:val="007D37B1"/>
    <w:rsid w:val="007D3B3E"/>
    <w:rsid w:val="007D3B4E"/>
    <w:rsid w:val="007D3CA2"/>
    <w:rsid w:val="007D3DDE"/>
    <w:rsid w:val="007D4161"/>
    <w:rsid w:val="007D42E3"/>
    <w:rsid w:val="007D46B5"/>
    <w:rsid w:val="007D480C"/>
    <w:rsid w:val="007D49BC"/>
    <w:rsid w:val="007D4C00"/>
    <w:rsid w:val="007D4C3F"/>
    <w:rsid w:val="007D4DE5"/>
    <w:rsid w:val="007D4F02"/>
    <w:rsid w:val="007D57F6"/>
    <w:rsid w:val="007D591E"/>
    <w:rsid w:val="007D5B4A"/>
    <w:rsid w:val="007D7390"/>
    <w:rsid w:val="007D73AE"/>
    <w:rsid w:val="007D7A72"/>
    <w:rsid w:val="007D7C8F"/>
    <w:rsid w:val="007E054D"/>
    <w:rsid w:val="007E0899"/>
    <w:rsid w:val="007E0C2B"/>
    <w:rsid w:val="007E0E69"/>
    <w:rsid w:val="007E10B2"/>
    <w:rsid w:val="007E115D"/>
    <w:rsid w:val="007E118E"/>
    <w:rsid w:val="007E11BA"/>
    <w:rsid w:val="007E14DC"/>
    <w:rsid w:val="007E1869"/>
    <w:rsid w:val="007E1979"/>
    <w:rsid w:val="007E24E0"/>
    <w:rsid w:val="007E26A2"/>
    <w:rsid w:val="007E2724"/>
    <w:rsid w:val="007E2ABE"/>
    <w:rsid w:val="007E2C21"/>
    <w:rsid w:val="007E3098"/>
    <w:rsid w:val="007E31A4"/>
    <w:rsid w:val="007E3207"/>
    <w:rsid w:val="007E3248"/>
    <w:rsid w:val="007E3538"/>
    <w:rsid w:val="007E3778"/>
    <w:rsid w:val="007E3A30"/>
    <w:rsid w:val="007E4060"/>
    <w:rsid w:val="007E412D"/>
    <w:rsid w:val="007E4A9D"/>
    <w:rsid w:val="007E4FE7"/>
    <w:rsid w:val="007E5212"/>
    <w:rsid w:val="007E5D98"/>
    <w:rsid w:val="007E5E6D"/>
    <w:rsid w:val="007E657F"/>
    <w:rsid w:val="007E6806"/>
    <w:rsid w:val="007E6B85"/>
    <w:rsid w:val="007E77B9"/>
    <w:rsid w:val="007E7B7D"/>
    <w:rsid w:val="007E7F7A"/>
    <w:rsid w:val="007F069A"/>
    <w:rsid w:val="007F0C1E"/>
    <w:rsid w:val="007F0F9E"/>
    <w:rsid w:val="007F0FCC"/>
    <w:rsid w:val="007F13F4"/>
    <w:rsid w:val="007F1643"/>
    <w:rsid w:val="007F189A"/>
    <w:rsid w:val="007F197D"/>
    <w:rsid w:val="007F1D41"/>
    <w:rsid w:val="007F21B0"/>
    <w:rsid w:val="007F251F"/>
    <w:rsid w:val="007F253B"/>
    <w:rsid w:val="007F275C"/>
    <w:rsid w:val="007F281E"/>
    <w:rsid w:val="007F2C4C"/>
    <w:rsid w:val="007F2D70"/>
    <w:rsid w:val="007F2EC7"/>
    <w:rsid w:val="007F37C4"/>
    <w:rsid w:val="007F397B"/>
    <w:rsid w:val="007F3C9E"/>
    <w:rsid w:val="007F43C0"/>
    <w:rsid w:val="007F45CB"/>
    <w:rsid w:val="007F46BC"/>
    <w:rsid w:val="007F4B43"/>
    <w:rsid w:val="007F4DDE"/>
    <w:rsid w:val="007F510F"/>
    <w:rsid w:val="007F5160"/>
    <w:rsid w:val="007F5568"/>
    <w:rsid w:val="007F55D6"/>
    <w:rsid w:val="007F5701"/>
    <w:rsid w:val="007F58F0"/>
    <w:rsid w:val="007F5B59"/>
    <w:rsid w:val="007F5CA6"/>
    <w:rsid w:val="007F6859"/>
    <w:rsid w:val="007F6A98"/>
    <w:rsid w:val="007F6E3B"/>
    <w:rsid w:val="007F7077"/>
    <w:rsid w:val="007F714C"/>
    <w:rsid w:val="007F74E6"/>
    <w:rsid w:val="007F7CD7"/>
    <w:rsid w:val="007F7F92"/>
    <w:rsid w:val="008000CC"/>
    <w:rsid w:val="008000FD"/>
    <w:rsid w:val="008002E7"/>
    <w:rsid w:val="008004E7"/>
    <w:rsid w:val="008005FE"/>
    <w:rsid w:val="0080063A"/>
    <w:rsid w:val="00800DF3"/>
    <w:rsid w:val="00800F13"/>
    <w:rsid w:val="008017DA"/>
    <w:rsid w:val="008020FC"/>
    <w:rsid w:val="008023B0"/>
    <w:rsid w:val="0080282D"/>
    <w:rsid w:val="008028E9"/>
    <w:rsid w:val="00802A58"/>
    <w:rsid w:val="00802A5E"/>
    <w:rsid w:val="00802B5E"/>
    <w:rsid w:val="00802E97"/>
    <w:rsid w:val="008038AB"/>
    <w:rsid w:val="00803F6F"/>
    <w:rsid w:val="008041A5"/>
    <w:rsid w:val="00804E36"/>
    <w:rsid w:val="00804EBC"/>
    <w:rsid w:val="00804EDA"/>
    <w:rsid w:val="00805116"/>
    <w:rsid w:val="008051BA"/>
    <w:rsid w:val="00805367"/>
    <w:rsid w:val="008061AD"/>
    <w:rsid w:val="00806B90"/>
    <w:rsid w:val="00806E34"/>
    <w:rsid w:val="0080799B"/>
    <w:rsid w:val="00807A23"/>
    <w:rsid w:val="00807D35"/>
    <w:rsid w:val="00807F59"/>
    <w:rsid w:val="00810292"/>
    <w:rsid w:val="0081058A"/>
    <w:rsid w:val="00810DC8"/>
    <w:rsid w:val="00810EA8"/>
    <w:rsid w:val="0081159B"/>
    <w:rsid w:val="008115D9"/>
    <w:rsid w:val="00811D19"/>
    <w:rsid w:val="00811F68"/>
    <w:rsid w:val="00811FB0"/>
    <w:rsid w:val="008120FD"/>
    <w:rsid w:val="00812291"/>
    <w:rsid w:val="00812550"/>
    <w:rsid w:val="008127BD"/>
    <w:rsid w:val="00812A92"/>
    <w:rsid w:val="00812BCE"/>
    <w:rsid w:val="00812DBD"/>
    <w:rsid w:val="008130D3"/>
    <w:rsid w:val="00813BF7"/>
    <w:rsid w:val="00814343"/>
    <w:rsid w:val="00814411"/>
    <w:rsid w:val="00814772"/>
    <w:rsid w:val="00814D37"/>
    <w:rsid w:val="00814FF3"/>
    <w:rsid w:val="0081522B"/>
    <w:rsid w:val="008153BF"/>
    <w:rsid w:val="008157C3"/>
    <w:rsid w:val="00816256"/>
    <w:rsid w:val="0081628A"/>
    <w:rsid w:val="008169EA"/>
    <w:rsid w:val="00816B88"/>
    <w:rsid w:val="0081793A"/>
    <w:rsid w:val="00817E71"/>
    <w:rsid w:val="008201C6"/>
    <w:rsid w:val="008202AD"/>
    <w:rsid w:val="0082038D"/>
    <w:rsid w:val="008203D9"/>
    <w:rsid w:val="0082067D"/>
    <w:rsid w:val="00820A09"/>
    <w:rsid w:val="00820F04"/>
    <w:rsid w:val="00821A8A"/>
    <w:rsid w:val="00821BD1"/>
    <w:rsid w:val="00822097"/>
    <w:rsid w:val="008221C1"/>
    <w:rsid w:val="00822477"/>
    <w:rsid w:val="008226A9"/>
    <w:rsid w:val="00822D79"/>
    <w:rsid w:val="00822FB6"/>
    <w:rsid w:val="008230EA"/>
    <w:rsid w:val="008231EF"/>
    <w:rsid w:val="00823454"/>
    <w:rsid w:val="00823587"/>
    <w:rsid w:val="008236D0"/>
    <w:rsid w:val="0082373B"/>
    <w:rsid w:val="00823947"/>
    <w:rsid w:val="00823F49"/>
    <w:rsid w:val="008245E0"/>
    <w:rsid w:val="008247E6"/>
    <w:rsid w:val="00824FC8"/>
    <w:rsid w:val="0082570B"/>
    <w:rsid w:val="00825E00"/>
    <w:rsid w:val="008261F9"/>
    <w:rsid w:val="00826F0D"/>
    <w:rsid w:val="0082700A"/>
    <w:rsid w:val="00830777"/>
    <w:rsid w:val="00830813"/>
    <w:rsid w:val="00830C66"/>
    <w:rsid w:val="00830D0F"/>
    <w:rsid w:val="00830E82"/>
    <w:rsid w:val="008310C1"/>
    <w:rsid w:val="008312FD"/>
    <w:rsid w:val="008313E0"/>
    <w:rsid w:val="008318CE"/>
    <w:rsid w:val="008327BC"/>
    <w:rsid w:val="008328D9"/>
    <w:rsid w:val="008329AA"/>
    <w:rsid w:val="00833207"/>
    <w:rsid w:val="0083350A"/>
    <w:rsid w:val="00833A25"/>
    <w:rsid w:val="00833AC9"/>
    <w:rsid w:val="008342F0"/>
    <w:rsid w:val="0083431E"/>
    <w:rsid w:val="00834647"/>
    <w:rsid w:val="0083466C"/>
    <w:rsid w:val="0083484E"/>
    <w:rsid w:val="00834AE5"/>
    <w:rsid w:val="00834AF8"/>
    <w:rsid w:val="00834C9E"/>
    <w:rsid w:val="00835176"/>
    <w:rsid w:val="0083526A"/>
    <w:rsid w:val="00835304"/>
    <w:rsid w:val="0083538D"/>
    <w:rsid w:val="00835568"/>
    <w:rsid w:val="0083562C"/>
    <w:rsid w:val="00836764"/>
    <w:rsid w:val="00836B1A"/>
    <w:rsid w:val="00836D2E"/>
    <w:rsid w:val="00837060"/>
    <w:rsid w:val="0083715A"/>
    <w:rsid w:val="008372D2"/>
    <w:rsid w:val="00837496"/>
    <w:rsid w:val="0083756F"/>
    <w:rsid w:val="00837838"/>
    <w:rsid w:val="008379A9"/>
    <w:rsid w:val="00837B39"/>
    <w:rsid w:val="00840326"/>
    <w:rsid w:val="0084037A"/>
    <w:rsid w:val="00840A51"/>
    <w:rsid w:val="00840CEE"/>
    <w:rsid w:val="00841264"/>
    <w:rsid w:val="008412DD"/>
    <w:rsid w:val="008414DC"/>
    <w:rsid w:val="0084169C"/>
    <w:rsid w:val="008417F3"/>
    <w:rsid w:val="008420C9"/>
    <w:rsid w:val="00842D20"/>
    <w:rsid w:val="008434BF"/>
    <w:rsid w:val="008435A4"/>
    <w:rsid w:val="0084464D"/>
    <w:rsid w:val="0084495D"/>
    <w:rsid w:val="00844A83"/>
    <w:rsid w:val="00844F7B"/>
    <w:rsid w:val="00844FD8"/>
    <w:rsid w:val="008463FF"/>
    <w:rsid w:val="008471D6"/>
    <w:rsid w:val="00847327"/>
    <w:rsid w:val="00847336"/>
    <w:rsid w:val="00847574"/>
    <w:rsid w:val="0084762F"/>
    <w:rsid w:val="00847768"/>
    <w:rsid w:val="00847AD6"/>
    <w:rsid w:val="00847F0C"/>
    <w:rsid w:val="00850706"/>
    <w:rsid w:val="00850778"/>
    <w:rsid w:val="0085090E"/>
    <w:rsid w:val="00850A10"/>
    <w:rsid w:val="00850D17"/>
    <w:rsid w:val="00850D28"/>
    <w:rsid w:val="00850D78"/>
    <w:rsid w:val="00851065"/>
    <w:rsid w:val="00851C23"/>
    <w:rsid w:val="00851C3D"/>
    <w:rsid w:val="00851DB5"/>
    <w:rsid w:val="00851E3D"/>
    <w:rsid w:val="00851EF0"/>
    <w:rsid w:val="00851FA8"/>
    <w:rsid w:val="0085317B"/>
    <w:rsid w:val="008531AB"/>
    <w:rsid w:val="00853A8C"/>
    <w:rsid w:val="00853D7C"/>
    <w:rsid w:val="00854238"/>
    <w:rsid w:val="00854282"/>
    <w:rsid w:val="00854580"/>
    <w:rsid w:val="00854837"/>
    <w:rsid w:val="008549D8"/>
    <w:rsid w:val="00854AEF"/>
    <w:rsid w:val="00854BF5"/>
    <w:rsid w:val="0085513D"/>
    <w:rsid w:val="00855ABD"/>
    <w:rsid w:val="00855C31"/>
    <w:rsid w:val="00855FF7"/>
    <w:rsid w:val="008566B9"/>
    <w:rsid w:val="0085679F"/>
    <w:rsid w:val="008577C0"/>
    <w:rsid w:val="00857ABE"/>
    <w:rsid w:val="00857D0A"/>
    <w:rsid w:val="008602D0"/>
    <w:rsid w:val="0086063D"/>
    <w:rsid w:val="00860996"/>
    <w:rsid w:val="008609D8"/>
    <w:rsid w:val="00860AAC"/>
    <w:rsid w:val="00860AF7"/>
    <w:rsid w:val="00860ED0"/>
    <w:rsid w:val="0086125D"/>
    <w:rsid w:val="00861E28"/>
    <w:rsid w:val="00862228"/>
    <w:rsid w:val="00862289"/>
    <w:rsid w:val="0086280D"/>
    <w:rsid w:val="00862DA2"/>
    <w:rsid w:val="00863398"/>
    <w:rsid w:val="00863589"/>
    <w:rsid w:val="00863CD8"/>
    <w:rsid w:val="00863D3F"/>
    <w:rsid w:val="00863DE2"/>
    <w:rsid w:val="00864068"/>
    <w:rsid w:val="0086422C"/>
    <w:rsid w:val="00864610"/>
    <w:rsid w:val="0086473D"/>
    <w:rsid w:val="008647A8"/>
    <w:rsid w:val="008647F0"/>
    <w:rsid w:val="0086488D"/>
    <w:rsid w:val="00864A13"/>
    <w:rsid w:val="00864B4B"/>
    <w:rsid w:val="00864B4F"/>
    <w:rsid w:val="00864CE5"/>
    <w:rsid w:val="008654F2"/>
    <w:rsid w:val="00865732"/>
    <w:rsid w:val="008657EA"/>
    <w:rsid w:val="00865AA2"/>
    <w:rsid w:val="00866137"/>
    <w:rsid w:val="008661D7"/>
    <w:rsid w:val="00866572"/>
    <w:rsid w:val="008665EF"/>
    <w:rsid w:val="00866A29"/>
    <w:rsid w:val="00866F7C"/>
    <w:rsid w:val="008670EF"/>
    <w:rsid w:val="008674B0"/>
    <w:rsid w:val="0086759E"/>
    <w:rsid w:val="00867E8C"/>
    <w:rsid w:val="008703AF"/>
    <w:rsid w:val="008707F0"/>
    <w:rsid w:val="00870A48"/>
    <w:rsid w:val="00870EA4"/>
    <w:rsid w:val="00871B55"/>
    <w:rsid w:val="00871D3B"/>
    <w:rsid w:val="0087202B"/>
    <w:rsid w:val="00872CC7"/>
    <w:rsid w:val="00872D10"/>
    <w:rsid w:val="00873723"/>
    <w:rsid w:val="00873B48"/>
    <w:rsid w:val="00873B7B"/>
    <w:rsid w:val="00873E2E"/>
    <w:rsid w:val="00874283"/>
    <w:rsid w:val="008744E6"/>
    <w:rsid w:val="008747D6"/>
    <w:rsid w:val="0087489C"/>
    <w:rsid w:val="008748AB"/>
    <w:rsid w:val="0087499A"/>
    <w:rsid w:val="00874B6C"/>
    <w:rsid w:val="008754F2"/>
    <w:rsid w:val="00875524"/>
    <w:rsid w:val="0087561B"/>
    <w:rsid w:val="00875A87"/>
    <w:rsid w:val="00875BAB"/>
    <w:rsid w:val="00875D97"/>
    <w:rsid w:val="0087629A"/>
    <w:rsid w:val="008763E1"/>
    <w:rsid w:val="0087746A"/>
    <w:rsid w:val="00877811"/>
    <w:rsid w:val="00877ACE"/>
    <w:rsid w:val="00877CD8"/>
    <w:rsid w:val="00877F87"/>
    <w:rsid w:val="008801B1"/>
    <w:rsid w:val="00880459"/>
    <w:rsid w:val="00880BB9"/>
    <w:rsid w:val="00880C38"/>
    <w:rsid w:val="00880CD0"/>
    <w:rsid w:val="00880DAA"/>
    <w:rsid w:val="00880EC0"/>
    <w:rsid w:val="00881071"/>
    <w:rsid w:val="008822EB"/>
    <w:rsid w:val="008827F2"/>
    <w:rsid w:val="00882E31"/>
    <w:rsid w:val="008834CF"/>
    <w:rsid w:val="008836C4"/>
    <w:rsid w:val="008837FF"/>
    <w:rsid w:val="0088392F"/>
    <w:rsid w:val="008839FE"/>
    <w:rsid w:val="008843D5"/>
    <w:rsid w:val="0088451B"/>
    <w:rsid w:val="00884551"/>
    <w:rsid w:val="008846BA"/>
    <w:rsid w:val="008846C0"/>
    <w:rsid w:val="008848AB"/>
    <w:rsid w:val="00884921"/>
    <w:rsid w:val="00884953"/>
    <w:rsid w:val="00884D08"/>
    <w:rsid w:val="00884E3A"/>
    <w:rsid w:val="0088514D"/>
    <w:rsid w:val="008853E8"/>
    <w:rsid w:val="00885679"/>
    <w:rsid w:val="00885B49"/>
    <w:rsid w:val="00885DB0"/>
    <w:rsid w:val="00885F8C"/>
    <w:rsid w:val="00886C98"/>
    <w:rsid w:val="0088727D"/>
    <w:rsid w:val="00887664"/>
    <w:rsid w:val="008876C4"/>
    <w:rsid w:val="00887883"/>
    <w:rsid w:val="00887BF0"/>
    <w:rsid w:val="00890195"/>
    <w:rsid w:val="008901E7"/>
    <w:rsid w:val="00890AA5"/>
    <w:rsid w:val="00890D03"/>
    <w:rsid w:val="00890D86"/>
    <w:rsid w:val="00890E8E"/>
    <w:rsid w:val="00891482"/>
    <w:rsid w:val="00891CB3"/>
    <w:rsid w:val="008922F5"/>
    <w:rsid w:val="008927F9"/>
    <w:rsid w:val="00892848"/>
    <w:rsid w:val="00892AE6"/>
    <w:rsid w:val="00892CC1"/>
    <w:rsid w:val="00893899"/>
    <w:rsid w:val="00893D66"/>
    <w:rsid w:val="00893F47"/>
    <w:rsid w:val="00893FD5"/>
    <w:rsid w:val="008943B2"/>
    <w:rsid w:val="008943E2"/>
    <w:rsid w:val="008946D4"/>
    <w:rsid w:val="00894A60"/>
    <w:rsid w:val="00894C28"/>
    <w:rsid w:val="00894FEA"/>
    <w:rsid w:val="008950CA"/>
    <w:rsid w:val="008953D6"/>
    <w:rsid w:val="00895F12"/>
    <w:rsid w:val="00896108"/>
    <w:rsid w:val="00896277"/>
    <w:rsid w:val="00896AF2"/>
    <w:rsid w:val="00896FAB"/>
    <w:rsid w:val="008970BB"/>
    <w:rsid w:val="008973A6"/>
    <w:rsid w:val="008974C1"/>
    <w:rsid w:val="008978DF"/>
    <w:rsid w:val="00897EC2"/>
    <w:rsid w:val="00897EDF"/>
    <w:rsid w:val="008A01E6"/>
    <w:rsid w:val="008A05B3"/>
    <w:rsid w:val="008A0991"/>
    <w:rsid w:val="008A0B9B"/>
    <w:rsid w:val="008A0D3F"/>
    <w:rsid w:val="008A0EE3"/>
    <w:rsid w:val="008A1545"/>
    <w:rsid w:val="008A15AB"/>
    <w:rsid w:val="008A2283"/>
    <w:rsid w:val="008A252E"/>
    <w:rsid w:val="008A2546"/>
    <w:rsid w:val="008A2B81"/>
    <w:rsid w:val="008A3209"/>
    <w:rsid w:val="008A32BA"/>
    <w:rsid w:val="008A391B"/>
    <w:rsid w:val="008A3F18"/>
    <w:rsid w:val="008A44A3"/>
    <w:rsid w:val="008A4BA0"/>
    <w:rsid w:val="008A4F04"/>
    <w:rsid w:val="008A5579"/>
    <w:rsid w:val="008A56FA"/>
    <w:rsid w:val="008A573B"/>
    <w:rsid w:val="008A585E"/>
    <w:rsid w:val="008A6C8A"/>
    <w:rsid w:val="008A706A"/>
    <w:rsid w:val="008A70F8"/>
    <w:rsid w:val="008A7380"/>
    <w:rsid w:val="008A7734"/>
    <w:rsid w:val="008A785D"/>
    <w:rsid w:val="008A7C76"/>
    <w:rsid w:val="008A7D45"/>
    <w:rsid w:val="008A7E61"/>
    <w:rsid w:val="008B007C"/>
    <w:rsid w:val="008B04AD"/>
    <w:rsid w:val="008B05AB"/>
    <w:rsid w:val="008B05CD"/>
    <w:rsid w:val="008B0658"/>
    <w:rsid w:val="008B0894"/>
    <w:rsid w:val="008B08C8"/>
    <w:rsid w:val="008B0BFB"/>
    <w:rsid w:val="008B108F"/>
    <w:rsid w:val="008B1241"/>
    <w:rsid w:val="008B12D1"/>
    <w:rsid w:val="008B1385"/>
    <w:rsid w:val="008B168E"/>
    <w:rsid w:val="008B1A1F"/>
    <w:rsid w:val="008B1EFA"/>
    <w:rsid w:val="008B21DE"/>
    <w:rsid w:val="008B2310"/>
    <w:rsid w:val="008B2435"/>
    <w:rsid w:val="008B28C4"/>
    <w:rsid w:val="008B2B69"/>
    <w:rsid w:val="008B2EF6"/>
    <w:rsid w:val="008B2F20"/>
    <w:rsid w:val="008B3276"/>
    <w:rsid w:val="008B36FF"/>
    <w:rsid w:val="008B38D2"/>
    <w:rsid w:val="008B39B4"/>
    <w:rsid w:val="008B4017"/>
    <w:rsid w:val="008B47F2"/>
    <w:rsid w:val="008B4948"/>
    <w:rsid w:val="008B4A8A"/>
    <w:rsid w:val="008B53CA"/>
    <w:rsid w:val="008B5528"/>
    <w:rsid w:val="008B595E"/>
    <w:rsid w:val="008B5ECF"/>
    <w:rsid w:val="008B60E7"/>
    <w:rsid w:val="008B6355"/>
    <w:rsid w:val="008B647A"/>
    <w:rsid w:val="008B6543"/>
    <w:rsid w:val="008B67EF"/>
    <w:rsid w:val="008B6A04"/>
    <w:rsid w:val="008B6A8A"/>
    <w:rsid w:val="008B749D"/>
    <w:rsid w:val="008B75F0"/>
    <w:rsid w:val="008B7A54"/>
    <w:rsid w:val="008C0727"/>
    <w:rsid w:val="008C0BB7"/>
    <w:rsid w:val="008C11C0"/>
    <w:rsid w:val="008C14E9"/>
    <w:rsid w:val="008C1656"/>
    <w:rsid w:val="008C22D0"/>
    <w:rsid w:val="008C2416"/>
    <w:rsid w:val="008C2CF7"/>
    <w:rsid w:val="008C32DB"/>
    <w:rsid w:val="008C36B0"/>
    <w:rsid w:val="008C37D8"/>
    <w:rsid w:val="008C392D"/>
    <w:rsid w:val="008C3F2E"/>
    <w:rsid w:val="008C3FE0"/>
    <w:rsid w:val="008C40C3"/>
    <w:rsid w:val="008C449F"/>
    <w:rsid w:val="008C520F"/>
    <w:rsid w:val="008C53C7"/>
    <w:rsid w:val="008C54C0"/>
    <w:rsid w:val="008C582F"/>
    <w:rsid w:val="008C5A09"/>
    <w:rsid w:val="008C5A81"/>
    <w:rsid w:val="008C5AAC"/>
    <w:rsid w:val="008C5E41"/>
    <w:rsid w:val="008C63EE"/>
    <w:rsid w:val="008C6A21"/>
    <w:rsid w:val="008C6B0F"/>
    <w:rsid w:val="008C6BEB"/>
    <w:rsid w:val="008C6C24"/>
    <w:rsid w:val="008C6FFA"/>
    <w:rsid w:val="008C726A"/>
    <w:rsid w:val="008C742E"/>
    <w:rsid w:val="008C7A3D"/>
    <w:rsid w:val="008C7CD5"/>
    <w:rsid w:val="008D00E3"/>
    <w:rsid w:val="008D061F"/>
    <w:rsid w:val="008D0943"/>
    <w:rsid w:val="008D0B11"/>
    <w:rsid w:val="008D0BA2"/>
    <w:rsid w:val="008D1120"/>
    <w:rsid w:val="008D18DB"/>
    <w:rsid w:val="008D1D04"/>
    <w:rsid w:val="008D3B44"/>
    <w:rsid w:val="008D3DFD"/>
    <w:rsid w:val="008D3EA4"/>
    <w:rsid w:val="008D3F04"/>
    <w:rsid w:val="008D4457"/>
    <w:rsid w:val="008D45B3"/>
    <w:rsid w:val="008D4729"/>
    <w:rsid w:val="008D48A9"/>
    <w:rsid w:val="008D48C6"/>
    <w:rsid w:val="008D50A8"/>
    <w:rsid w:val="008D520B"/>
    <w:rsid w:val="008D54DD"/>
    <w:rsid w:val="008D5853"/>
    <w:rsid w:val="008D5E87"/>
    <w:rsid w:val="008D5F9A"/>
    <w:rsid w:val="008D619B"/>
    <w:rsid w:val="008D67A2"/>
    <w:rsid w:val="008D7358"/>
    <w:rsid w:val="008D7FDB"/>
    <w:rsid w:val="008E031F"/>
    <w:rsid w:val="008E04F0"/>
    <w:rsid w:val="008E0543"/>
    <w:rsid w:val="008E08A8"/>
    <w:rsid w:val="008E0FF0"/>
    <w:rsid w:val="008E0FFB"/>
    <w:rsid w:val="008E104F"/>
    <w:rsid w:val="008E10E4"/>
    <w:rsid w:val="008E18BD"/>
    <w:rsid w:val="008E20A1"/>
    <w:rsid w:val="008E2272"/>
    <w:rsid w:val="008E2377"/>
    <w:rsid w:val="008E2A82"/>
    <w:rsid w:val="008E2A98"/>
    <w:rsid w:val="008E2B05"/>
    <w:rsid w:val="008E2EEB"/>
    <w:rsid w:val="008E33B1"/>
    <w:rsid w:val="008E3417"/>
    <w:rsid w:val="008E366C"/>
    <w:rsid w:val="008E36EF"/>
    <w:rsid w:val="008E378F"/>
    <w:rsid w:val="008E3AA6"/>
    <w:rsid w:val="008E3DCC"/>
    <w:rsid w:val="008E3E43"/>
    <w:rsid w:val="008E3E54"/>
    <w:rsid w:val="008E3F17"/>
    <w:rsid w:val="008E4340"/>
    <w:rsid w:val="008E4550"/>
    <w:rsid w:val="008E456F"/>
    <w:rsid w:val="008E47F3"/>
    <w:rsid w:val="008E4A14"/>
    <w:rsid w:val="008E5343"/>
    <w:rsid w:val="008E562A"/>
    <w:rsid w:val="008E57EB"/>
    <w:rsid w:val="008E645A"/>
    <w:rsid w:val="008E6744"/>
    <w:rsid w:val="008E6856"/>
    <w:rsid w:val="008E69A0"/>
    <w:rsid w:val="008E6A87"/>
    <w:rsid w:val="008E6BE7"/>
    <w:rsid w:val="008E6CF7"/>
    <w:rsid w:val="008E6DD1"/>
    <w:rsid w:val="008E6DED"/>
    <w:rsid w:val="008E7603"/>
    <w:rsid w:val="008E7AB4"/>
    <w:rsid w:val="008F01DE"/>
    <w:rsid w:val="008F032C"/>
    <w:rsid w:val="008F0C4D"/>
    <w:rsid w:val="008F12A4"/>
    <w:rsid w:val="008F13E9"/>
    <w:rsid w:val="008F148F"/>
    <w:rsid w:val="008F1688"/>
    <w:rsid w:val="008F1A70"/>
    <w:rsid w:val="008F1A8F"/>
    <w:rsid w:val="008F2228"/>
    <w:rsid w:val="008F2285"/>
    <w:rsid w:val="008F258E"/>
    <w:rsid w:val="008F28DD"/>
    <w:rsid w:val="008F2A7D"/>
    <w:rsid w:val="008F2B1C"/>
    <w:rsid w:val="008F2E24"/>
    <w:rsid w:val="008F3010"/>
    <w:rsid w:val="008F3579"/>
    <w:rsid w:val="008F3CB5"/>
    <w:rsid w:val="008F3E93"/>
    <w:rsid w:val="008F44C9"/>
    <w:rsid w:val="008F4759"/>
    <w:rsid w:val="008F4C7A"/>
    <w:rsid w:val="008F4FBF"/>
    <w:rsid w:val="008F509B"/>
    <w:rsid w:val="008F5585"/>
    <w:rsid w:val="008F6081"/>
    <w:rsid w:val="008F61DD"/>
    <w:rsid w:val="008F65A5"/>
    <w:rsid w:val="008F6682"/>
    <w:rsid w:val="008F7096"/>
    <w:rsid w:val="008F7607"/>
    <w:rsid w:val="008F79DF"/>
    <w:rsid w:val="008F7C1D"/>
    <w:rsid w:val="008F7D08"/>
    <w:rsid w:val="008F7F7C"/>
    <w:rsid w:val="008F7F92"/>
    <w:rsid w:val="00900632"/>
    <w:rsid w:val="00900BA3"/>
    <w:rsid w:val="00900E76"/>
    <w:rsid w:val="009011C2"/>
    <w:rsid w:val="009013DE"/>
    <w:rsid w:val="00901424"/>
    <w:rsid w:val="00901444"/>
    <w:rsid w:val="0090184E"/>
    <w:rsid w:val="00901D10"/>
    <w:rsid w:val="00901F4B"/>
    <w:rsid w:val="00902AE9"/>
    <w:rsid w:val="00902B3A"/>
    <w:rsid w:val="00902C68"/>
    <w:rsid w:val="00902D4C"/>
    <w:rsid w:val="00902DF1"/>
    <w:rsid w:val="00902E7B"/>
    <w:rsid w:val="0090337F"/>
    <w:rsid w:val="00903A91"/>
    <w:rsid w:val="00903EA3"/>
    <w:rsid w:val="00903F48"/>
    <w:rsid w:val="00904412"/>
    <w:rsid w:val="00904547"/>
    <w:rsid w:val="00904B46"/>
    <w:rsid w:val="00904BF2"/>
    <w:rsid w:val="00905248"/>
    <w:rsid w:val="00905488"/>
    <w:rsid w:val="00905527"/>
    <w:rsid w:val="00905577"/>
    <w:rsid w:val="009055EE"/>
    <w:rsid w:val="009056C1"/>
    <w:rsid w:val="0090591B"/>
    <w:rsid w:val="00905F9E"/>
    <w:rsid w:val="00906127"/>
    <w:rsid w:val="00906794"/>
    <w:rsid w:val="00906B51"/>
    <w:rsid w:val="00906FD6"/>
    <w:rsid w:val="009071F8"/>
    <w:rsid w:val="009073A0"/>
    <w:rsid w:val="009073B6"/>
    <w:rsid w:val="0090773B"/>
    <w:rsid w:val="00907C0B"/>
    <w:rsid w:val="00907C88"/>
    <w:rsid w:val="0091016E"/>
    <w:rsid w:val="009101F1"/>
    <w:rsid w:val="00910BB6"/>
    <w:rsid w:val="00910CE5"/>
    <w:rsid w:val="00910D38"/>
    <w:rsid w:val="0091153B"/>
    <w:rsid w:val="009117C7"/>
    <w:rsid w:val="00911D4F"/>
    <w:rsid w:val="00911E1F"/>
    <w:rsid w:val="00911F61"/>
    <w:rsid w:val="00911F75"/>
    <w:rsid w:val="00911FEB"/>
    <w:rsid w:val="00912364"/>
    <w:rsid w:val="00912FA4"/>
    <w:rsid w:val="0091357E"/>
    <w:rsid w:val="0091436F"/>
    <w:rsid w:val="00914561"/>
    <w:rsid w:val="00914A9D"/>
    <w:rsid w:val="00914B20"/>
    <w:rsid w:val="00915022"/>
    <w:rsid w:val="0091519F"/>
    <w:rsid w:val="0091588B"/>
    <w:rsid w:val="009159E7"/>
    <w:rsid w:val="00915C07"/>
    <w:rsid w:val="00916044"/>
    <w:rsid w:val="009162BF"/>
    <w:rsid w:val="00917004"/>
    <w:rsid w:val="0091736F"/>
    <w:rsid w:val="00917577"/>
    <w:rsid w:val="00917979"/>
    <w:rsid w:val="00917DAD"/>
    <w:rsid w:val="00920065"/>
    <w:rsid w:val="009200F4"/>
    <w:rsid w:val="009213DB"/>
    <w:rsid w:val="009218C1"/>
    <w:rsid w:val="00921A1B"/>
    <w:rsid w:val="00921B50"/>
    <w:rsid w:val="00921DB0"/>
    <w:rsid w:val="00922469"/>
    <w:rsid w:val="0092252E"/>
    <w:rsid w:val="00922A0F"/>
    <w:rsid w:val="00922BCF"/>
    <w:rsid w:val="00922C43"/>
    <w:rsid w:val="00922DB8"/>
    <w:rsid w:val="00923189"/>
    <w:rsid w:val="009232C4"/>
    <w:rsid w:val="00923AD6"/>
    <w:rsid w:val="00923CC9"/>
    <w:rsid w:val="00924444"/>
    <w:rsid w:val="0092445B"/>
    <w:rsid w:val="009245DC"/>
    <w:rsid w:val="00924B0A"/>
    <w:rsid w:val="00924BE7"/>
    <w:rsid w:val="00924CDB"/>
    <w:rsid w:val="00925198"/>
    <w:rsid w:val="009254E3"/>
    <w:rsid w:val="009258D7"/>
    <w:rsid w:val="00925D39"/>
    <w:rsid w:val="0092615B"/>
    <w:rsid w:val="00926E82"/>
    <w:rsid w:val="00927495"/>
    <w:rsid w:val="009274FF"/>
    <w:rsid w:val="00927744"/>
    <w:rsid w:val="00927E46"/>
    <w:rsid w:val="00927EAF"/>
    <w:rsid w:val="00927F91"/>
    <w:rsid w:val="00930D8C"/>
    <w:rsid w:val="00930F8F"/>
    <w:rsid w:val="009310A8"/>
    <w:rsid w:val="009311A9"/>
    <w:rsid w:val="0093153D"/>
    <w:rsid w:val="00931804"/>
    <w:rsid w:val="0093182C"/>
    <w:rsid w:val="009318E9"/>
    <w:rsid w:val="00931D0D"/>
    <w:rsid w:val="00931E59"/>
    <w:rsid w:val="00931FE0"/>
    <w:rsid w:val="009325F9"/>
    <w:rsid w:val="0093290E"/>
    <w:rsid w:val="00932DEE"/>
    <w:rsid w:val="00933061"/>
    <w:rsid w:val="009336B2"/>
    <w:rsid w:val="00933DBB"/>
    <w:rsid w:val="009340A2"/>
    <w:rsid w:val="00934165"/>
    <w:rsid w:val="009341A3"/>
    <w:rsid w:val="00934705"/>
    <w:rsid w:val="0093471C"/>
    <w:rsid w:val="00935135"/>
    <w:rsid w:val="0093581B"/>
    <w:rsid w:val="00935970"/>
    <w:rsid w:val="009359B5"/>
    <w:rsid w:val="00935E8B"/>
    <w:rsid w:val="00935EF6"/>
    <w:rsid w:val="00935F69"/>
    <w:rsid w:val="009360D8"/>
    <w:rsid w:val="00936365"/>
    <w:rsid w:val="00936633"/>
    <w:rsid w:val="0093673C"/>
    <w:rsid w:val="009379D5"/>
    <w:rsid w:val="00937D53"/>
    <w:rsid w:val="00937D69"/>
    <w:rsid w:val="00937EAC"/>
    <w:rsid w:val="00940207"/>
    <w:rsid w:val="0094099B"/>
    <w:rsid w:val="00941261"/>
    <w:rsid w:val="00941466"/>
    <w:rsid w:val="0094188C"/>
    <w:rsid w:val="0094197F"/>
    <w:rsid w:val="00941E41"/>
    <w:rsid w:val="00941EA5"/>
    <w:rsid w:val="00941EB1"/>
    <w:rsid w:val="00942469"/>
    <w:rsid w:val="00942824"/>
    <w:rsid w:val="00942EF9"/>
    <w:rsid w:val="0094359C"/>
    <w:rsid w:val="0094384A"/>
    <w:rsid w:val="009438F6"/>
    <w:rsid w:val="00943FF3"/>
    <w:rsid w:val="0094466F"/>
    <w:rsid w:val="00944E41"/>
    <w:rsid w:val="00944EA6"/>
    <w:rsid w:val="0094556E"/>
    <w:rsid w:val="009456C0"/>
    <w:rsid w:val="009457AA"/>
    <w:rsid w:val="00945A30"/>
    <w:rsid w:val="00945C32"/>
    <w:rsid w:val="00945F14"/>
    <w:rsid w:val="009463A0"/>
    <w:rsid w:val="0094645D"/>
    <w:rsid w:val="00946467"/>
    <w:rsid w:val="00946579"/>
    <w:rsid w:val="0094687F"/>
    <w:rsid w:val="00946A37"/>
    <w:rsid w:val="00946CBA"/>
    <w:rsid w:val="00947057"/>
    <w:rsid w:val="009479E6"/>
    <w:rsid w:val="00947EF0"/>
    <w:rsid w:val="00950062"/>
    <w:rsid w:val="0095088E"/>
    <w:rsid w:val="00950CC2"/>
    <w:rsid w:val="00950D61"/>
    <w:rsid w:val="00950FA7"/>
    <w:rsid w:val="009510E3"/>
    <w:rsid w:val="009517D0"/>
    <w:rsid w:val="00951BE1"/>
    <w:rsid w:val="0095223C"/>
    <w:rsid w:val="00952397"/>
    <w:rsid w:val="00952694"/>
    <w:rsid w:val="00952797"/>
    <w:rsid w:val="00952970"/>
    <w:rsid w:val="00952D62"/>
    <w:rsid w:val="00952EFF"/>
    <w:rsid w:val="00953373"/>
    <w:rsid w:val="00953468"/>
    <w:rsid w:val="00953481"/>
    <w:rsid w:val="00953561"/>
    <w:rsid w:val="00953852"/>
    <w:rsid w:val="00953A19"/>
    <w:rsid w:val="00953AA3"/>
    <w:rsid w:val="0095423F"/>
    <w:rsid w:val="00954865"/>
    <w:rsid w:val="0095491A"/>
    <w:rsid w:val="00954DA0"/>
    <w:rsid w:val="00954FE8"/>
    <w:rsid w:val="00955276"/>
    <w:rsid w:val="00955286"/>
    <w:rsid w:val="0095560B"/>
    <w:rsid w:val="009556C5"/>
    <w:rsid w:val="00955A7A"/>
    <w:rsid w:val="00955DF9"/>
    <w:rsid w:val="00955EE8"/>
    <w:rsid w:val="00955FBC"/>
    <w:rsid w:val="00956488"/>
    <w:rsid w:val="009567EA"/>
    <w:rsid w:val="00956B82"/>
    <w:rsid w:val="00956BEA"/>
    <w:rsid w:val="00956D1A"/>
    <w:rsid w:val="00957303"/>
    <w:rsid w:val="0095765E"/>
    <w:rsid w:val="00957693"/>
    <w:rsid w:val="00957B82"/>
    <w:rsid w:val="0096020A"/>
    <w:rsid w:val="009602A6"/>
    <w:rsid w:val="0096081B"/>
    <w:rsid w:val="00960A48"/>
    <w:rsid w:val="00960B81"/>
    <w:rsid w:val="00960B90"/>
    <w:rsid w:val="00960C1E"/>
    <w:rsid w:val="0096161B"/>
    <w:rsid w:val="00961831"/>
    <w:rsid w:val="00961BA0"/>
    <w:rsid w:val="00961F0F"/>
    <w:rsid w:val="00962010"/>
    <w:rsid w:val="0096219C"/>
    <w:rsid w:val="00962992"/>
    <w:rsid w:val="00962C08"/>
    <w:rsid w:val="009631DB"/>
    <w:rsid w:val="00963479"/>
    <w:rsid w:val="00963A6A"/>
    <w:rsid w:val="0096423B"/>
    <w:rsid w:val="0096463D"/>
    <w:rsid w:val="009648EE"/>
    <w:rsid w:val="00964D12"/>
    <w:rsid w:val="00964E59"/>
    <w:rsid w:val="00964E90"/>
    <w:rsid w:val="0096526D"/>
    <w:rsid w:val="009653C4"/>
    <w:rsid w:val="00965592"/>
    <w:rsid w:val="00965D15"/>
    <w:rsid w:val="00965D6C"/>
    <w:rsid w:val="00966103"/>
    <w:rsid w:val="00966641"/>
    <w:rsid w:val="00967038"/>
    <w:rsid w:val="009672D8"/>
    <w:rsid w:val="009673A9"/>
    <w:rsid w:val="0096777B"/>
    <w:rsid w:val="009678BF"/>
    <w:rsid w:val="00967B3C"/>
    <w:rsid w:val="00967C08"/>
    <w:rsid w:val="009701BD"/>
    <w:rsid w:val="009706A5"/>
    <w:rsid w:val="009709E6"/>
    <w:rsid w:val="00970DF7"/>
    <w:rsid w:val="00970FAD"/>
    <w:rsid w:val="0097195C"/>
    <w:rsid w:val="00971E6C"/>
    <w:rsid w:val="00972127"/>
    <w:rsid w:val="00972216"/>
    <w:rsid w:val="009729A8"/>
    <w:rsid w:val="00972A8A"/>
    <w:rsid w:val="00972E59"/>
    <w:rsid w:val="00972FA5"/>
    <w:rsid w:val="009733FD"/>
    <w:rsid w:val="00973562"/>
    <w:rsid w:val="00973EDC"/>
    <w:rsid w:val="00974202"/>
    <w:rsid w:val="0097423C"/>
    <w:rsid w:val="009743F4"/>
    <w:rsid w:val="009743F6"/>
    <w:rsid w:val="0097460B"/>
    <w:rsid w:val="00974636"/>
    <w:rsid w:val="00974A91"/>
    <w:rsid w:val="009750C9"/>
    <w:rsid w:val="009755D2"/>
    <w:rsid w:val="0097567E"/>
    <w:rsid w:val="009757CB"/>
    <w:rsid w:val="0097591D"/>
    <w:rsid w:val="00975B57"/>
    <w:rsid w:val="00975D3E"/>
    <w:rsid w:val="00975DCB"/>
    <w:rsid w:val="00975E34"/>
    <w:rsid w:val="00975F8A"/>
    <w:rsid w:val="0097616B"/>
    <w:rsid w:val="009761E2"/>
    <w:rsid w:val="009768CA"/>
    <w:rsid w:val="00976B1A"/>
    <w:rsid w:val="00976B9F"/>
    <w:rsid w:val="00977187"/>
    <w:rsid w:val="009772F2"/>
    <w:rsid w:val="00977597"/>
    <w:rsid w:val="00977A82"/>
    <w:rsid w:val="00977AAE"/>
    <w:rsid w:val="00977B9B"/>
    <w:rsid w:val="00977E50"/>
    <w:rsid w:val="009801C3"/>
    <w:rsid w:val="0098044F"/>
    <w:rsid w:val="0098058C"/>
    <w:rsid w:val="00980BBC"/>
    <w:rsid w:val="00981603"/>
    <w:rsid w:val="009818A2"/>
    <w:rsid w:val="0098191F"/>
    <w:rsid w:val="009819B5"/>
    <w:rsid w:val="00981D1D"/>
    <w:rsid w:val="00981E55"/>
    <w:rsid w:val="0098253E"/>
    <w:rsid w:val="0098261C"/>
    <w:rsid w:val="009827D7"/>
    <w:rsid w:val="00982996"/>
    <w:rsid w:val="0098309F"/>
    <w:rsid w:val="009830CD"/>
    <w:rsid w:val="0098320C"/>
    <w:rsid w:val="00983395"/>
    <w:rsid w:val="0098348E"/>
    <w:rsid w:val="009834E8"/>
    <w:rsid w:val="00983B5D"/>
    <w:rsid w:val="00983E73"/>
    <w:rsid w:val="009841F7"/>
    <w:rsid w:val="0098420E"/>
    <w:rsid w:val="0098516F"/>
    <w:rsid w:val="00985687"/>
    <w:rsid w:val="00985912"/>
    <w:rsid w:val="009859A0"/>
    <w:rsid w:val="00985C1E"/>
    <w:rsid w:val="00986D1E"/>
    <w:rsid w:val="00986F91"/>
    <w:rsid w:val="00987A0E"/>
    <w:rsid w:val="00987B8A"/>
    <w:rsid w:val="00987E8E"/>
    <w:rsid w:val="009906D2"/>
    <w:rsid w:val="00990B12"/>
    <w:rsid w:val="00990BE5"/>
    <w:rsid w:val="00990C22"/>
    <w:rsid w:val="0099109D"/>
    <w:rsid w:val="00991932"/>
    <w:rsid w:val="00991CDB"/>
    <w:rsid w:val="00992113"/>
    <w:rsid w:val="00992167"/>
    <w:rsid w:val="00992172"/>
    <w:rsid w:val="00992428"/>
    <w:rsid w:val="00992A2F"/>
    <w:rsid w:val="009930B6"/>
    <w:rsid w:val="009931A9"/>
    <w:rsid w:val="00993308"/>
    <w:rsid w:val="009936E5"/>
    <w:rsid w:val="009937B6"/>
    <w:rsid w:val="00993A1E"/>
    <w:rsid w:val="00993B36"/>
    <w:rsid w:val="00993B7A"/>
    <w:rsid w:val="00993E30"/>
    <w:rsid w:val="00993F4C"/>
    <w:rsid w:val="00993FC5"/>
    <w:rsid w:val="0099490F"/>
    <w:rsid w:val="00994BBE"/>
    <w:rsid w:val="00994C73"/>
    <w:rsid w:val="00994DEF"/>
    <w:rsid w:val="00994EBE"/>
    <w:rsid w:val="00995656"/>
    <w:rsid w:val="00995BDD"/>
    <w:rsid w:val="00995C71"/>
    <w:rsid w:val="00995CA7"/>
    <w:rsid w:val="00995EFB"/>
    <w:rsid w:val="009961E3"/>
    <w:rsid w:val="009963D0"/>
    <w:rsid w:val="0099647C"/>
    <w:rsid w:val="009965AE"/>
    <w:rsid w:val="00996E47"/>
    <w:rsid w:val="00997329"/>
    <w:rsid w:val="00997455"/>
    <w:rsid w:val="0099745F"/>
    <w:rsid w:val="00997A97"/>
    <w:rsid w:val="00997EF5"/>
    <w:rsid w:val="009A107B"/>
    <w:rsid w:val="009A1122"/>
    <w:rsid w:val="009A13BC"/>
    <w:rsid w:val="009A1F7C"/>
    <w:rsid w:val="009A21C4"/>
    <w:rsid w:val="009A2AC2"/>
    <w:rsid w:val="009A2BE9"/>
    <w:rsid w:val="009A30B4"/>
    <w:rsid w:val="009A329F"/>
    <w:rsid w:val="009A3920"/>
    <w:rsid w:val="009A3A82"/>
    <w:rsid w:val="009A3B5A"/>
    <w:rsid w:val="009A3DFE"/>
    <w:rsid w:val="009A43C6"/>
    <w:rsid w:val="009A4F30"/>
    <w:rsid w:val="009A5013"/>
    <w:rsid w:val="009A54F3"/>
    <w:rsid w:val="009A56E2"/>
    <w:rsid w:val="009A57EA"/>
    <w:rsid w:val="009A580C"/>
    <w:rsid w:val="009A5B8E"/>
    <w:rsid w:val="009A5C00"/>
    <w:rsid w:val="009A5CC3"/>
    <w:rsid w:val="009A5E97"/>
    <w:rsid w:val="009A6133"/>
    <w:rsid w:val="009A6158"/>
    <w:rsid w:val="009A65DB"/>
    <w:rsid w:val="009A6630"/>
    <w:rsid w:val="009A6950"/>
    <w:rsid w:val="009A6985"/>
    <w:rsid w:val="009A6B09"/>
    <w:rsid w:val="009A6B84"/>
    <w:rsid w:val="009A6CCE"/>
    <w:rsid w:val="009A6FED"/>
    <w:rsid w:val="009A702D"/>
    <w:rsid w:val="009A765B"/>
    <w:rsid w:val="009A77C9"/>
    <w:rsid w:val="009A7CFC"/>
    <w:rsid w:val="009A7E7C"/>
    <w:rsid w:val="009B0409"/>
    <w:rsid w:val="009B0908"/>
    <w:rsid w:val="009B16D5"/>
    <w:rsid w:val="009B19E2"/>
    <w:rsid w:val="009B1A98"/>
    <w:rsid w:val="009B1AA2"/>
    <w:rsid w:val="009B1D3A"/>
    <w:rsid w:val="009B1DD4"/>
    <w:rsid w:val="009B2001"/>
    <w:rsid w:val="009B24C1"/>
    <w:rsid w:val="009B2A58"/>
    <w:rsid w:val="009B2DDA"/>
    <w:rsid w:val="009B2FD6"/>
    <w:rsid w:val="009B35EB"/>
    <w:rsid w:val="009B3600"/>
    <w:rsid w:val="009B3B99"/>
    <w:rsid w:val="009B3C5D"/>
    <w:rsid w:val="009B42E6"/>
    <w:rsid w:val="009B43A0"/>
    <w:rsid w:val="009B43AE"/>
    <w:rsid w:val="009B44F8"/>
    <w:rsid w:val="009B4B30"/>
    <w:rsid w:val="009B4B6F"/>
    <w:rsid w:val="009B4ED7"/>
    <w:rsid w:val="009B5394"/>
    <w:rsid w:val="009B53FA"/>
    <w:rsid w:val="009B5551"/>
    <w:rsid w:val="009B5910"/>
    <w:rsid w:val="009B5B1B"/>
    <w:rsid w:val="009B5E84"/>
    <w:rsid w:val="009B5FBD"/>
    <w:rsid w:val="009B6084"/>
    <w:rsid w:val="009B60C1"/>
    <w:rsid w:val="009B62AB"/>
    <w:rsid w:val="009B64E7"/>
    <w:rsid w:val="009B6D7F"/>
    <w:rsid w:val="009B700B"/>
    <w:rsid w:val="009B71E0"/>
    <w:rsid w:val="009B7244"/>
    <w:rsid w:val="009B73F2"/>
    <w:rsid w:val="009B7537"/>
    <w:rsid w:val="009B75D2"/>
    <w:rsid w:val="009B7749"/>
    <w:rsid w:val="009B7AB0"/>
    <w:rsid w:val="009B7BDB"/>
    <w:rsid w:val="009B7C76"/>
    <w:rsid w:val="009C05B6"/>
    <w:rsid w:val="009C088F"/>
    <w:rsid w:val="009C1175"/>
    <w:rsid w:val="009C1367"/>
    <w:rsid w:val="009C15FB"/>
    <w:rsid w:val="009C1806"/>
    <w:rsid w:val="009C2182"/>
    <w:rsid w:val="009C2427"/>
    <w:rsid w:val="009C26C4"/>
    <w:rsid w:val="009C2CA8"/>
    <w:rsid w:val="009C3148"/>
    <w:rsid w:val="009C31F8"/>
    <w:rsid w:val="009C3616"/>
    <w:rsid w:val="009C39DE"/>
    <w:rsid w:val="009C3DA4"/>
    <w:rsid w:val="009C43C3"/>
    <w:rsid w:val="009C440E"/>
    <w:rsid w:val="009C486D"/>
    <w:rsid w:val="009C5ABD"/>
    <w:rsid w:val="009C6082"/>
    <w:rsid w:val="009C6755"/>
    <w:rsid w:val="009C69E2"/>
    <w:rsid w:val="009C6F37"/>
    <w:rsid w:val="009C776E"/>
    <w:rsid w:val="009C7DC8"/>
    <w:rsid w:val="009C7E7C"/>
    <w:rsid w:val="009D02A8"/>
    <w:rsid w:val="009D0577"/>
    <w:rsid w:val="009D08CC"/>
    <w:rsid w:val="009D09B2"/>
    <w:rsid w:val="009D0B1F"/>
    <w:rsid w:val="009D0C2D"/>
    <w:rsid w:val="009D0FA5"/>
    <w:rsid w:val="009D11F4"/>
    <w:rsid w:val="009D1773"/>
    <w:rsid w:val="009D1A17"/>
    <w:rsid w:val="009D1A5E"/>
    <w:rsid w:val="009D1B51"/>
    <w:rsid w:val="009D1F13"/>
    <w:rsid w:val="009D2082"/>
    <w:rsid w:val="009D218D"/>
    <w:rsid w:val="009D2697"/>
    <w:rsid w:val="009D26EF"/>
    <w:rsid w:val="009D2CDC"/>
    <w:rsid w:val="009D2D84"/>
    <w:rsid w:val="009D30FB"/>
    <w:rsid w:val="009D31CF"/>
    <w:rsid w:val="009D36CD"/>
    <w:rsid w:val="009D37F5"/>
    <w:rsid w:val="009D3FEF"/>
    <w:rsid w:val="009D426D"/>
    <w:rsid w:val="009D48C8"/>
    <w:rsid w:val="009D49CD"/>
    <w:rsid w:val="009D4AC1"/>
    <w:rsid w:val="009D4CAD"/>
    <w:rsid w:val="009D4CD2"/>
    <w:rsid w:val="009D5007"/>
    <w:rsid w:val="009D52B6"/>
    <w:rsid w:val="009D5A33"/>
    <w:rsid w:val="009D6348"/>
    <w:rsid w:val="009D65D0"/>
    <w:rsid w:val="009D65D7"/>
    <w:rsid w:val="009D65EF"/>
    <w:rsid w:val="009D6B4F"/>
    <w:rsid w:val="009D6E39"/>
    <w:rsid w:val="009D75EE"/>
    <w:rsid w:val="009D7A60"/>
    <w:rsid w:val="009D7B9B"/>
    <w:rsid w:val="009D7CB5"/>
    <w:rsid w:val="009E0B0E"/>
    <w:rsid w:val="009E0D7E"/>
    <w:rsid w:val="009E0F8E"/>
    <w:rsid w:val="009E1134"/>
    <w:rsid w:val="009E1236"/>
    <w:rsid w:val="009E1861"/>
    <w:rsid w:val="009E198F"/>
    <w:rsid w:val="009E2756"/>
    <w:rsid w:val="009E277A"/>
    <w:rsid w:val="009E27D1"/>
    <w:rsid w:val="009E2823"/>
    <w:rsid w:val="009E3108"/>
    <w:rsid w:val="009E3485"/>
    <w:rsid w:val="009E357B"/>
    <w:rsid w:val="009E3690"/>
    <w:rsid w:val="009E383C"/>
    <w:rsid w:val="009E4169"/>
    <w:rsid w:val="009E44AB"/>
    <w:rsid w:val="009E45D5"/>
    <w:rsid w:val="009E47EA"/>
    <w:rsid w:val="009E5387"/>
    <w:rsid w:val="009E5762"/>
    <w:rsid w:val="009E57FA"/>
    <w:rsid w:val="009E5A60"/>
    <w:rsid w:val="009E5B99"/>
    <w:rsid w:val="009E5ED1"/>
    <w:rsid w:val="009E67DA"/>
    <w:rsid w:val="009E6A03"/>
    <w:rsid w:val="009E6A29"/>
    <w:rsid w:val="009E6B31"/>
    <w:rsid w:val="009E6F97"/>
    <w:rsid w:val="009E752C"/>
    <w:rsid w:val="009E7832"/>
    <w:rsid w:val="009E7A9E"/>
    <w:rsid w:val="009E7EEB"/>
    <w:rsid w:val="009F01B3"/>
    <w:rsid w:val="009F0464"/>
    <w:rsid w:val="009F068F"/>
    <w:rsid w:val="009F0745"/>
    <w:rsid w:val="009F0D09"/>
    <w:rsid w:val="009F133C"/>
    <w:rsid w:val="009F190B"/>
    <w:rsid w:val="009F1CE9"/>
    <w:rsid w:val="009F2635"/>
    <w:rsid w:val="009F283C"/>
    <w:rsid w:val="009F2E45"/>
    <w:rsid w:val="009F3AB0"/>
    <w:rsid w:val="009F3D49"/>
    <w:rsid w:val="009F3DB0"/>
    <w:rsid w:val="009F40CC"/>
    <w:rsid w:val="009F4104"/>
    <w:rsid w:val="009F4512"/>
    <w:rsid w:val="009F455E"/>
    <w:rsid w:val="009F519B"/>
    <w:rsid w:val="009F5A91"/>
    <w:rsid w:val="009F5D9A"/>
    <w:rsid w:val="009F63E6"/>
    <w:rsid w:val="009F64FB"/>
    <w:rsid w:val="009F6D2F"/>
    <w:rsid w:val="009F7033"/>
    <w:rsid w:val="009F73D0"/>
    <w:rsid w:val="009F7A5B"/>
    <w:rsid w:val="009F7B18"/>
    <w:rsid w:val="009F7C31"/>
    <w:rsid w:val="009F7E56"/>
    <w:rsid w:val="009F7EAF"/>
    <w:rsid w:val="00A002A8"/>
    <w:rsid w:val="00A002BE"/>
    <w:rsid w:val="00A007A9"/>
    <w:rsid w:val="00A00BB1"/>
    <w:rsid w:val="00A00C36"/>
    <w:rsid w:val="00A00E0A"/>
    <w:rsid w:val="00A0101B"/>
    <w:rsid w:val="00A01731"/>
    <w:rsid w:val="00A01826"/>
    <w:rsid w:val="00A018A6"/>
    <w:rsid w:val="00A0198B"/>
    <w:rsid w:val="00A021B7"/>
    <w:rsid w:val="00A02B00"/>
    <w:rsid w:val="00A02C8F"/>
    <w:rsid w:val="00A02EFB"/>
    <w:rsid w:val="00A032F9"/>
    <w:rsid w:val="00A03F06"/>
    <w:rsid w:val="00A042EF"/>
    <w:rsid w:val="00A043A2"/>
    <w:rsid w:val="00A045C0"/>
    <w:rsid w:val="00A053E8"/>
    <w:rsid w:val="00A055A2"/>
    <w:rsid w:val="00A05940"/>
    <w:rsid w:val="00A05AA6"/>
    <w:rsid w:val="00A0612B"/>
    <w:rsid w:val="00A062DE"/>
    <w:rsid w:val="00A069FB"/>
    <w:rsid w:val="00A06E31"/>
    <w:rsid w:val="00A072E9"/>
    <w:rsid w:val="00A07374"/>
    <w:rsid w:val="00A07B4F"/>
    <w:rsid w:val="00A1004B"/>
    <w:rsid w:val="00A10386"/>
    <w:rsid w:val="00A103EA"/>
    <w:rsid w:val="00A106B7"/>
    <w:rsid w:val="00A10798"/>
    <w:rsid w:val="00A10AA7"/>
    <w:rsid w:val="00A117AB"/>
    <w:rsid w:val="00A11E50"/>
    <w:rsid w:val="00A1226B"/>
    <w:rsid w:val="00A125E3"/>
    <w:rsid w:val="00A12A35"/>
    <w:rsid w:val="00A12DB7"/>
    <w:rsid w:val="00A12E09"/>
    <w:rsid w:val="00A12FD2"/>
    <w:rsid w:val="00A13260"/>
    <w:rsid w:val="00A13ACB"/>
    <w:rsid w:val="00A14002"/>
    <w:rsid w:val="00A14B6E"/>
    <w:rsid w:val="00A15308"/>
    <w:rsid w:val="00A153C1"/>
    <w:rsid w:val="00A15942"/>
    <w:rsid w:val="00A160D7"/>
    <w:rsid w:val="00A16823"/>
    <w:rsid w:val="00A169A4"/>
    <w:rsid w:val="00A17668"/>
    <w:rsid w:val="00A178DA"/>
    <w:rsid w:val="00A17D1C"/>
    <w:rsid w:val="00A17EB5"/>
    <w:rsid w:val="00A2017E"/>
    <w:rsid w:val="00A20239"/>
    <w:rsid w:val="00A20FDB"/>
    <w:rsid w:val="00A214F3"/>
    <w:rsid w:val="00A21C4F"/>
    <w:rsid w:val="00A21E71"/>
    <w:rsid w:val="00A224AE"/>
    <w:rsid w:val="00A22656"/>
    <w:rsid w:val="00A22688"/>
    <w:rsid w:val="00A22CD2"/>
    <w:rsid w:val="00A22E0C"/>
    <w:rsid w:val="00A22E18"/>
    <w:rsid w:val="00A230AC"/>
    <w:rsid w:val="00A23104"/>
    <w:rsid w:val="00A23189"/>
    <w:rsid w:val="00A232DA"/>
    <w:rsid w:val="00A233D1"/>
    <w:rsid w:val="00A234BA"/>
    <w:rsid w:val="00A23658"/>
    <w:rsid w:val="00A23908"/>
    <w:rsid w:val="00A2392B"/>
    <w:rsid w:val="00A23FF3"/>
    <w:rsid w:val="00A24A16"/>
    <w:rsid w:val="00A24EC2"/>
    <w:rsid w:val="00A252E5"/>
    <w:rsid w:val="00A2547C"/>
    <w:rsid w:val="00A25D0D"/>
    <w:rsid w:val="00A25EC3"/>
    <w:rsid w:val="00A25FCB"/>
    <w:rsid w:val="00A2675C"/>
    <w:rsid w:val="00A26987"/>
    <w:rsid w:val="00A26F7F"/>
    <w:rsid w:val="00A270FC"/>
    <w:rsid w:val="00A27198"/>
    <w:rsid w:val="00A2787B"/>
    <w:rsid w:val="00A27901"/>
    <w:rsid w:val="00A27EC0"/>
    <w:rsid w:val="00A301CE"/>
    <w:rsid w:val="00A31544"/>
    <w:rsid w:val="00A316C7"/>
    <w:rsid w:val="00A3198A"/>
    <w:rsid w:val="00A31A6A"/>
    <w:rsid w:val="00A3201A"/>
    <w:rsid w:val="00A32152"/>
    <w:rsid w:val="00A3253B"/>
    <w:rsid w:val="00A32844"/>
    <w:rsid w:val="00A32CE8"/>
    <w:rsid w:val="00A33C0D"/>
    <w:rsid w:val="00A33CE0"/>
    <w:rsid w:val="00A3413B"/>
    <w:rsid w:val="00A34205"/>
    <w:rsid w:val="00A342B0"/>
    <w:rsid w:val="00A3444B"/>
    <w:rsid w:val="00A3449F"/>
    <w:rsid w:val="00A347BE"/>
    <w:rsid w:val="00A3481A"/>
    <w:rsid w:val="00A34901"/>
    <w:rsid w:val="00A34D85"/>
    <w:rsid w:val="00A34DBF"/>
    <w:rsid w:val="00A35042"/>
    <w:rsid w:val="00A35804"/>
    <w:rsid w:val="00A35B1F"/>
    <w:rsid w:val="00A35E41"/>
    <w:rsid w:val="00A35F13"/>
    <w:rsid w:val="00A360ED"/>
    <w:rsid w:val="00A36211"/>
    <w:rsid w:val="00A36735"/>
    <w:rsid w:val="00A368E6"/>
    <w:rsid w:val="00A3708E"/>
    <w:rsid w:val="00A37217"/>
    <w:rsid w:val="00A372F3"/>
    <w:rsid w:val="00A375A0"/>
    <w:rsid w:val="00A3769F"/>
    <w:rsid w:val="00A377A3"/>
    <w:rsid w:val="00A377A4"/>
    <w:rsid w:val="00A4002A"/>
    <w:rsid w:val="00A40395"/>
    <w:rsid w:val="00A40A78"/>
    <w:rsid w:val="00A40BCA"/>
    <w:rsid w:val="00A41449"/>
    <w:rsid w:val="00A41928"/>
    <w:rsid w:val="00A41B58"/>
    <w:rsid w:val="00A41B8F"/>
    <w:rsid w:val="00A41C20"/>
    <w:rsid w:val="00A41D22"/>
    <w:rsid w:val="00A420CC"/>
    <w:rsid w:val="00A42119"/>
    <w:rsid w:val="00A4226D"/>
    <w:rsid w:val="00A424EC"/>
    <w:rsid w:val="00A4253F"/>
    <w:rsid w:val="00A427C4"/>
    <w:rsid w:val="00A42EB1"/>
    <w:rsid w:val="00A42FCA"/>
    <w:rsid w:val="00A4349B"/>
    <w:rsid w:val="00A4349F"/>
    <w:rsid w:val="00A438BE"/>
    <w:rsid w:val="00A43B0E"/>
    <w:rsid w:val="00A43E2D"/>
    <w:rsid w:val="00A44C7B"/>
    <w:rsid w:val="00A455F4"/>
    <w:rsid w:val="00A4587D"/>
    <w:rsid w:val="00A465E9"/>
    <w:rsid w:val="00A467B5"/>
    <w:rsid w:val="00A4687C"/>
    <w:rsid w:val="00A46BE4"/>
    <w:rsid w:val="00A47925"/>
    <w:rsid w:val="00A47DCE"/>
    <w:rsid w:val="00A507C1"/>
    <w:rsid w:val="00A508F7"/>
    <w:rsid w:val="00A50DFE"/>
    <w:rsid w:val="00A50E61"/>
    <w:rsid w:val="00A50E9D"/>
    <w:rsid w:val="00A512A1"/>
    <w:rsid w:val="00A514B1"/>
    <w:rsid w:val="00A51641"/>
    <w:rsid w:val="00A51AE3"/>
    <w:rsid w:val="00A51BE2"/>
    <w:rsid w:val="00A520D4"/>
    <w:rsid w:val="00A524DC"/>
    <w:rsid w:val="00A52927"/>
    <w:rsid w:val="00A52A77"/>
    <w:rsid w:val="00A52B34"/>
    <w:rsid w:val="00A52D25"/>
    <w:rsid w:val="00A53060"/>
    <w:rsid w:val="00A532E4"/>
    <w:rsid w:val="00A5336C"/>
    <w:rsid w:val="00A53708"/>
    <w:rsid w:val="00A538C2"/>
    <w:rsid w:val="00A53CDD"/>
    <w:rsid w:val="00A53DAB"/>
    <w:rsid w:val="00A540E6"/>
    <w:rsid w:val="00A54466"/>
    <w:rsid w:val="00A548EC"/>
    <w:rsid w:val="00A549A4"/>
    <w:rsid w:val="00A54A25"/>
    <w:rsid w:val="00A5531F"/>
    <w:rsid w:val="00A55F54"/>
    <w:rsid w:val="00A5698F"/>
    <w:rsid w:val="00A56BF0"/>
    <w:rsid w:val="00A57135"/>
    <w:rsid w:val="00A57194"/>
    <w:rsid w:val="00A573E7"/>
    <w:rsid w:val="00A57563"/>
    <w:rsid w:val="00A57601"/>
    <w:rsid w:val="00A57E12"/>
    <w:rsid w:val="00A57F24"/>
    <w:rsid w:val="00A57FCA"/>
    <w:rsid w:val="00A6002A"/>
    <w:rsid w:val="00A6045A"/>
    <w:rsid w:val="00A60810"/>
    <w:rsid w:val="00A60F74"/>
    <w:rsid w:val="00A6101A"/>
    <w:rsid w:val="00A61060"/>
    <w:rsid w:val="00A61553"/>
    <w:rsid w:val="00A61711"/>
    <w:rsid w:val="00A618B4"/>
    <w:rsid w:val="00A61C95"/>
    <w:rsid w:val="00A6200C"/>
    <w:rsid w:val="00A62325"/>
    <w:rsid w:val="00A62824"/>
    <w:rsid w:val="00A62A5B"/>
    <w:rsid w:val="00A62C80"/>
    <w:rsid w:val="00A62C88"/>
    <w:rsid w:val="00A62CC0"/>
    <w:rsid w:val="00A62E93"/>
    <w:rsid w:val="00A62ED9"/>
    <w:rsid w:val="00A63222"/>
    <w:rsid w:val="00A63866"/>
    <w:rsid w:val="00A63A9A"/>
    <w:rsid w:val="00A63B9C"/>
    <w:rsid w:val="00A640D3"/>
    <w:rsid w:val="00A641CD"/>
    <w:rsid w:val="00A64237"/>
    <w:rsid w:val="00A6459F"/>
    <w:rsid w:val="00A6490F"/>
    <w:rsid w:val="00A6502F"/>
    <w:rsid w:val="00A6504F"/>
    <w:rsid w:val="00A659A1"/>
    <w:rsid w:val="00A65A2B"/>
    <w:rsid w:val="00A65A2F"/>
    <w:rsid w:val="00A65BCC"/>
    <w:rsid w:val="00A65CF7"/>
    <w:rsid w:val="00A65DEC"/>
    <w:rsid w:val="00A65EDB"/>
    <w:rsid w:val="00A6652C"/>
    <w:rsid w:val="00A66E1F"/>
    <w:rsid w:val="00A66ECD"/>
    <w:rsid w:val="00A66FDE"/>
    <w:rsid w:val="00A67A78"/>
    <w:rsid w:val="00A67C90"/>
    <w:rsid w:val="00A67F00"/>
    <w:rsid w:val="00A70A5F"/>
    <w:rsid w:val="00A70CF3"/>
    <w:rsid w:val="00A70F0A"/>
    <w:rsid w:val="00A70F8D"/>
    <w:rsid w:val="00A710C6"/>
    <w:rsid w:val="00A71647"/>
    <w:rsid w:val="00A71847"/>
    <w:rsid w:val="00A71A9C"/>
    <w:rsid w:val="00A71AC0"/>
    <w:rsid w:val="00A71F65"/>
    <w:rsid w:val="00A723C3"/>
    <w:rsid w:val="00A724E5"/>
    <w:rsid w:val="00A72552"/>
    <w:rsid w:val="00A728D0"/>
    <w:rsid w:val="00A72BE9"/>
    <w:rsid w:val="00A72EDC"/>
    <w:rsid w:val="00A72EEB"/>
    <w:rsid w:val="00A72F4B"/>
    <w:rsid w:val="00A732EB"/>
    <w:rsid w:val="00A737A2"/>
    <w:rsid w:val="00A73B70"/>
    <w:rsid w:val="00A73D95"/>
    <w:rsid w:val="00A741A0"/>
    <w:rsid w:val="00A74235"/>
    <w:rsid w:val="00A7440F"/>
    <w:rsid w:val="00A74414"/>
    <w:rsid w:val="00A754F0"/>
    <w:rsid w:val="00A75854"/>
    <w:rsid w:val="00A75BFD"/>
    <w:rsid w:val="00A75D0A"/>
    <w:rsid w:val="00A761B6"/>
    <w:rsid w:val="00A7693D"/>
    <w:rsid w:val="00A76945"/>
    <w:rsid w:val="00A77204"/>
    <w:rsid w:val="00A77260"/>
    <w:rsid w:val="00A8014F"/>
    <w:rsid w:val="00A80670"/>
    <w:rsid w:val="00A80F18"/>
    <w:rsid w:val="00A814B2"/>
    <w:rsid w:val="00A814C5"/>
    <w:rsid w:val="00A818A9"/>
    <w:rsid w:val="00A81BB4"/>
    <w:rsid w:val="00A81DF5"/>
    <w:rsid w:val="00A82982"/>
    <w:rsid w:val="00A82CFF"/>
    <w:rsid w:val="00A82F78"/>
    <w:rsid w:val="00A8322A"/>
    <w:rsid w:val="00A83250"/>
    <w:rsid w:val="00A83825"/>
    <w:rsid w:val="00A83D2C"/>
    <w:rsid w:val="00A83F56"/>
    <w:rsid w:val="00A84756"/>
    <w:rsid w:val="00A847EF"/>
    <w:rsid w:val="00A848E8"/>
    <w:rsid w:val="00A8499F"/>
    <w:rsid w:val="00A84D21"/>
    <w:rsid w:val="00A85361"/>
    <w:rsid w:val="00A86712"/>
    <w:rsid w:val="00A86964"/>
    <w:rsid w:val="00A8701E"/>
    <w:rsid w:val="00A870DB"/>
    <w:rsid w:val="00A87316"/>
    <w:rsid w:val="00A87652"/>
    <w:rsid w:val="00A87E22"/>
    <w:rsid w:val="00A91307"/>
    <w:rsid w:val="00A9176B"/>
    <w:rsid w:val="00A91970"/>
    <w:rsid w:val="00A91BBD"/>
    <w:rsid w:val="00A91BE7"/>
    <w:rsid w:val="00A91C74"/>
    <w:rsid w:val="00A922EC"/>
    <w:rsid w:val="00A92AD7"/>
    <w:rsid w:val="00A92F4B"/>
    <w:rsid w:val="00A9300F"/>
    <w:rsid w:val="00A93664"/>
    <w:rsid w:val="00A93813"/>
    <w:rsid w:val="00A93885"/>
    <w:rsid w:val="00A93937"/>
    <w:rsid w:val="00A939D9"/>
    <w:rsid w:val="00A93D77"/>
    <w:rsid w:val="00A94613"/>
    <w:rsid w:val="00A946D1"/>
    <w:rsid w:val="00A94795"/>
    <w:rsid w:val="00A94CBA"/>
    <w:rsid w:val="00A952CC"/>
    <w:rsid w:val="00A95481"/>
    <w:rsid w:val="00A95546"/>
    <w:rsid w:val="00A95DA0"/>
    <w:rsid w:val="00A96200"/>
    <w:rsid w:val="00A962AD"/>
    <w:rsid w:val="00A9645C"/>
    <w:rsid w:val="00A96860"/>
    <w:rsid w:val="00A96EEB"/>
    <w:rsid w:val="00A978E8"/>
    <w:rsid w:val="00A97AF9"/>
    <w:rsid w:val="00AA02FB"/>
    <w:rsid w:val="00AA046A"/>
    <w:rsid w:val="00AA08E6"/>
    <w:rsid w:val="00AA0ED7"/>
    <w:rsid w:val="00AA1282"/>
    <w:rsid w:val="00AA13EB"/>
    <w:rsid w:val="00AA146E"/>
    <w:rsid w:val="00AA16ED"/>
    <w:rsid w:val="00AA182E"/>
    <w:rsid w:val="00AA1C90"/>
    <w:rsid w:val="00AA1CE3"/>
    <w:rsid w:val="00AA1F36"/>
    <w:rsid w:val="00AA233C"/>
    <w:rsid w:val="00AA241D"/>
    <w:rsid w:val="00AA3054"/>
    <w:rsid w:val="00AA3533"/>
    <w:rsid w:val="00AA4233"/>
    <w:rsid w:val="00AA43AD"/>
    <w:rsid w:val="00AA4506"/>
    <w:rsid w:val="00AA46CD"/>
    <w:rsid w:val="00AA4720"/>
    <w:rsid w:val="00AA4AE9"/>
    <w:rsid w:val="00AA4B1D"/>
    <w:rsid w:val="00AA4DAD"/>
    <w:rsid w:val="00AA58BF"/>
    <w:rsid w:val="00AA5D45"/>
    <w:rsid w:val="00AA5D82"/>
    <w:rsid w:val="00AA5F96"/>
    <w:rsid w:val="00AA6594"/>
    <w:rsid w:val="00AA6CC3"/>
    <w:rsid w:val="00AA6D54"/>
    <w:rsid w:val="00AA6D9E"/>
    <w:rsid w:val="00AA6FC3"/>
    <w:rsid w:val="00AA7139"/>
    <w:rsid w:val="00AA7B21"/>
    <w:rsid w:val="00AA7B4B"/>
    <w:rsid w:val="00AB0088"/>
    <w:rsid w:val="00AB10A2"/>
    <w:rsid w:val="00AB16EB"/>
    <w:rsid w:val="00AB2D3E"/>
    <w:rsid w:val="00AB34F9"/>
    <w:rsid w:val="00AB3570"/>
    <w:rsid w:val="00AB3610"/>
    <w:rsid w:val="00AB40A0"/>
    <w:rsid w:val="00AB40D5"/>
    <w:rsid w:val="00AB455E"/>
    <w:rsid w:val="00AB48A9"/>
    <w:rsid w:val="00AB50D0"/>
    <w:rsid w:val="00AB59C5"/>
    <w:rsid w:val="00AB59F0"/>
    <w:rsid w:val="00AB5AC3"/>
    <w:rsid w:val="00AB60A9"/>
    <w:rsid w:val="00AB6567"/>
    <w:rsid w:val="00AB6A79"/>
    <w:rsid w:val="00AB6A7E"/>
    <w:rsid w:val="00AB7911"/>
    <w:rsid w:val="00AC056E"/>
    <w:rsid w:val="00AC075A"/>
    <w:rsid w:val="00AC0BA5"/>
    <w:rsid w:val="00AC0C5F"/>
    <w:rsid w:val="00AC0D6C"/>
    <w:rsid w:val="00AC0F47"/>
    <w:rsid w:val="00AC127D"/>
    <w:rsid w:val="00AC1491"/>
    <w:rsid w:val="00AC14FA"/>
    <w:rsid w:val="00AC155F"/>
    <w:rsid w:val="00AC1841"/>
    <w:rsid w:val="00AC199D"/>
    <w:rsid w:val="00AC2478"/>
    <w:rsid w:val="00AC25A0"/>
    <w:rsid w:val="00AC2B89"/>
    <w:rsid w:val="00AC2D32"/>
    <w:rsid w:val="00AC3105"/>
    <w:rsid w:val="00AC3200"/>
    <w:rsid w:val="00AC326C"/>
    <w:rsid w:val="00AC33D5"/>
    <w:rsid w:val="00AC35F5"/>
    <w:rsid w:val="00AC381E"/>
    <w:rsid w:val="00AC3891"/>
    <w:rsid w:val="00AC4B4E"/>
    <w:rsid w:val="00AC4CF6"/>
    <w:rsid w:val="00AC53CA"/>
    <w:rsid w:val="00AC55C1"/>
    <w:rsid w:val="00AC59B6"/>
    <w:rsid w:val="00AC5D79"/>
    <w:rsid w:val="00AC5E49"/>
    <w:rsid w:val="00AC647C"/>
    <w:rsid w:val="00AC6678"/>
    <w:rsid w:val="00AC67BB"/>
    <w:rsid w:val="00AC684C"/>
    <w:rsid w:val="00AC6CD7"/>
    <w:rsid w:val="00AC6E37"/>
    <w:rsid w:val="00AC6F90"/>
    <w:rsid w:val="00AC6FD7"/>
    <w:rsid w:val="00AC7069"/>
    <w:rsid w:val="00AC7556"/>
    <w:rsid w:val="00AC77BF"/>
    <w:rsid w:val="00AC7D48"/>
    <w:rsid w:val="00AC7FEE"/>
    <w:rsid w:val="00AD0135"/>
    <w:rsid w:val="00AD0232"/>
    <w:rsid w:val="00AD05EC"/>
    <w:rsid w:val="00AD0954"/>
    <w:rsid w:val="00AD0B33"/>
    <w:rsid w:val="00AD0FF9"/>
    <w:rsid w:val="00AD11D5"/>
    <w:rsid w:val="00AD1E69"/>
    <w:rsid w:val="00AD2168"/>
    <w:rsid w:val="00AD2681"/>
    <w:rsid w:val="00AD387B"/>
    <w:rsid w:val="00AD4210"/>
    <w:rsid w:val="00AD4455"/>
    <w:rsid w:val="00AD4887"/>
    <w:rsid w:val="00AD488D"/>
    <w:rsid w:val="00AD49DB"/>
    <w:rsid w:val="00AD4B2D"/>
    <w:rsid w:val="00AD4C42"/>
    <w:rsid w:val="00AD4DD4"/>
    <w:rsid w:val="00AD5063"/>
    <w:rsid w:val="00AD553D"/>
    <w:rsid w:val="00AD58E9"/>
    <w:rsid w:val="00AD5B2C"/>
    <w:rsid w:val="00AD6076"/>
    <w:rsid w:val="00AD6232"/>
    <w:rsid w:val="00AD6D4C"/>
    <w:rsid w:val="00AD6ECF"/>
    <w:rsid w:val="00AD716E"/>
    <w:rsid w:val="00AD75B8"/>
    <w:rsid w:val="00AD763F"/>
    <w:rsid w:val="00AE0140"/>
    <w:rsid w:val="00AE081E"/>
    <w:rsid w:val="00AE0DB2"/>
    <w:rsid w:val="00AE123B"/>
    <w:rsid w:val="00AE144A"/>
    <w:rsid w:val="00AE15A1"/>
    <w:rsid w:val="00AE167B"/>
    <w:rsid w:val="00AE16EE"/>
    <w:rsid w:val="00AE1CBE"/>
    <w:rsid w:val="00AE1CDD"/>
    <w:rsid w:val="00AE1F90"/>
    <w:rsid w:val="00AE23DA"/>
    <w:rsid w:val="00AE2902"/>
    <w:rsid w:val="00AE2962"/>
    <w:rsid w:val="00AE309E"/>
    <w:rsid w:val="00AE31B4"/>
    <w:rsid w:val="00AE31F2"/>
    <w:rsid w:val="00AE3486"/>
    <w:rsid w:val="00AE3982"/>
    <w:rsid w:val="00AE3A36"/>
    <w:rsid w:val="00AE3CF1"/>
    <w:rsid w:val="00AE3F87"/>
    <w:rsid w:val="00AE4053"/>
    <w:rsid w:val="00AE4139"/>
    <w:rsid w:val="00AE4237"/>
    <w:rsid w:val="00AE4335"/>
    <w:rsid w:val="00AE43CC"/>
    <w:rsid w:val="00AE48BF"/>
    <w:rsid w:val="00AE4B18"/>
    <w:rsid w:val="00AE5D08"/>
    <w:rsid w:val="00AE60C9"/>
    <w:rsid w:val="00AE61AF"/>
    <w:rsid w:val="00AE656B"/>
    <w:rsid w:val="00AE6DE6"/>
    <w:rsid w:val="00AE6E0A"/>
    <w:rsid w:val="00AE7248"/>
    <w:rsid w:val="00AE7266"/>
    <w:rsid w:val="00AE762A"/>
    <w:rsid w:val="00AE76B8"/>
    <w:rsid w:val="00AE7C1E"/>
    <w:rsid w:val="00AF013A"/>
    <w:rsid w:val="00AF027A"/>
    <w:rsid w:val="00AF067F"/>
    <w:rsid w:val="00AF0796"/>
    <w:rsid w:val="00AF0A2E"/>
    <w:rsid w:val="00AF0F24"/>
    <w:rsid w:val="00AF191A"/>
    <w:rsid w:val="00AF19D8"/>
    <w:rsid w:val="00AF1F62"/>
    <w:rsid w:val="00AF221C"/>
    <w:rsid w:val="00AF26FB"/>
    <w:rsid w:val="00AF28A2"/>
    <w:rsid w:val="00AF32CF"/>
    <w:rsid w:val="00AF36CC"/>
    <w:rsid w:val="00AF4123"/>
    <w:rsid w:val="00AF4161"/>
    <w:rsid w:val="00AF444D"/>
    <w:rsid w:val="00AF4A41"/>
    <w:rsid w:val="00AF4A86"/>
    <w:rsid w:val="00AF55D8"/>
    <w:rsid w:val="00AF580D"/>
    <w:rsid w:val="00AF6585"/>
    <w:rsid w:val="00AF6821"/>
    <w:rsid w:val="00AF6981"/>
    <w:rsid w:val="00AF6B03"/>
    <w:rsid w:val="00AF6FC8"/>
    <w:rsid w:val="00AF74ED"/>
    <w:rsid w:val="00AF74F3"/>
    <w:rsid w:val="00AF773F"/>
    <w:rsid w:val="00AF7BB7"/>
    <w:rsid w:val="00AF7FF1"/>
    <w:rsid w:val="00B00138"/>
    <w:rsid w:val="00B0056B"/>
    <w:rsid w:val="00B008A9"/>
    <w:rsid w:val="00B01131"/>
    <w:rsid w:val="00B013C6"/>
    <w:rsid w:val="00B014F2"/>
    <w:rsid w:val="00B0181F"/>
    <w:rsid w:val="00B024BA"/>
    <w:rsid w:val="00B026C2"/>
    <w:rsid w:val="00B02A02"/>
    <w:rsid w:val="00B02B9B"/>
    <w:rsid w:val="00B02ED7"/>
    <w:rsid w:val="00B03005"/>
    <w:rsid w:val="00B03706"/>
    <w:rsid w:val="00B043B5"/>
    <w:rsid w:val="00B0464F"/>
    <w:rsid w:val="00B047E3"/>
    <w:rsid w:val="00B048D5"/>
    <w:rsid w:val="00B04AA4"/>
    <w:rsid w:val="00B04B53"/>
    <w:rsid w:val="00B04CB3"/>
    <w:rsid w:val="00B04FCE"/>
    <w:rsid w:val="00B0557E"/>
    <w:rsid w:val="00B05647"/>
    <w:rsid w:val="00B05745"/>
    <w:rsid w:val="00B0577B"/>
    <w:rsid w:val="00B05E40"/>
    <w:rsid w:val="00B05F97"/>
    <w:rsid w:val="00B06111"/>
    <w:rsid w:val="00B0641A"/>
    <w:rsid w:val="00B064BC"/>
    <w:rsid w:val="00B06BFD"/>
    <w:rsid w:val="00B07240"/>
    <w:rsid w:val="00B073EC"/>
    <w:rsid w:val="00B07638"/>
    <w:rsid w:val="00B0768E"/>
    <w:rsid w:val="00B077DA"/>
    <w:rsid w:val="00B079C2"/>
    <w:rsid w:val="00B07D28"/>
    <w:rsid w:val="00B100E9"/>
    <w:rsid w:val="00B10184"/>
    <w:rsid w:val="00B105E8"/>
    <w:rsid w:val="00B1090C"/>
    <w:rsid w:val="00B1115A"/>
    <w:rsid w:val="00B11303"/>
    <w:rsid w:val="00B1134D"/>
    <w:rsid w:val="00B11669"/>
    <w:rsid w:val="00B1173A"/>
    <w:rsid w:val="00B118F6"/>
    <w:rsid w:val="00B11943"/>
    <w:rsid w:val="00B120D2"/>
    <w:rsid w:val="00B12251"/>
    <w:rsid w:val="00B12483"/>
    <w:rsid w:val="00B12E7A"/>
    <w:rsid w:val="00B1310D"/>
    <w:rsid w:val="00B1341A"/>
    <w:rsid w:val="00B134F0"/>
    <w:rsid w:val="00B13684"/>
    <w:rsid w:val="00B136B3"/>
    <w:rsid w:val="00B13A10"/>
    <w:rsid w:val="00B13EC2"/>
    <w:rsid w:val="00B142E7"/>
    <w:rsid w:val="00B144AC"/>
    <w:rsid w:val="00B14587"/>
    <w:rsid w:val="00B1487B"/>
    <w:rsid w:val="00B14934"/>
    <w:rsid w:val="00B14B17"/>
    <w:rsid w:val="00B14FB8"/>
    <w:rsid w:val="00B15493"/>
    <w:rsid w:val="00B154B8"/>
    <w:rsid w:val="00B158F5"/>
    <w:rsid w:val="00B15A6D"/>
    <w:rsid w:val="00B15D0F"/>
    <w:rsid w:val="00B15EC8"/>
    <w:rsid w:val="00B167C6"/>
    <w:rsid w:val="00B17DE6"/>
    <w:rsid w:val="00B17F0B"/>
    <w:rsid w:val="00B17F72"/>
    <w:rsid w:val="00B20CCA"/>
    <w:rsid w:val="00B2177A"/>
    <w:rsid w:val="00B21B5C"/>
    <w:rsid w:val="00B21BFA"/>
    <w:rsid w:val="00B22085"/>
    <w:rsid w:val="00B220B8"/>
    <w:rsid w:val="00B223D8"/>
    <w:rsid w:val="00B224ED"/>
    <w:rsid w:val="00B22C19"/>
    <w:rsid w:val="00B22DA2"/>
    <w:rsid w:val="00B230EC"/>
    <w:rsid w:val="00B236E3"/>
    <w:rsid w:val="00B23927"/>
    <w:rsid w:val="00B23984"/>
    <w:rsid w:val="00B23C1A"/>
    <w:rsid w:val="00B23E00"/>
    <w:rsid w:val="00B2495D"/>
    <w:rsid w:val="00B24BC5"/>
    <w:rsid w:val="00B25319"/>
    <w:rsid w:val="00B253EB"/>
    <w:rsid w:val="00B25458"/>
    <w:rsid w:val="00B25EED"/>
    <w:rsid w:val="00B26440"/>
    <w:rsid w:val="00B26516"/>
    <w:rsid w:val="00B26AF7"/>
    <w:rsid w:val="00B26FBA"/>
    <w:rsid w:val="00B27012"/>
    <w:rsid w:val="00B27AF3"/>
    <w:rsid w:val="00B27BA3"/>
    <w:rsid w:val="00B27C77"/>
    <w:rsid w:val="00B3005A"/>
    <w:rsid w:val="00B30787"/>
    <w:rsid w:val="00B30B46"/>
    <w:rsid w:val="00B31467"/>
    <w:rsid w:val="00B317D1"/>
    <w:rsid w:val="00B322DD"/>
    <w:rsid w:val="00B3237B"/>
    <w:rsid w:val="00B32718"/>
    <w:rsid w:val="00B3292D"/>
    <w:rsid w:val="00B3317E"/>
    <w:rsid w:val="00B3427B"/>
    <w:rsid w:val="00B3454E"/>
    <w:rsid w:val="00B3478B"/>
    <w:rsid w:val="00B34EC0"/>
    <w:rsid w:val="00B353BB"/>
    <w:rsid w:val="00B353C9"/>
    <w:rsid w:val="00B3543F"/>
    <w:rsid w:val="00B3563D"/>
    <w:rsid w:val="00B35AB9"/>
    <w:rsid w:val="00B36025"/>
    <w:rsid w:val="00B36152"/>
    <w:rsid w:val="00B36C4D"/>
    <w:rsid w:val="00B36CFD"/>
    <w:rsid w:val="00B373A5"/>
    <w:rsid w:val="00B37A0C"/>
    <w:rsid w:val="00B37A8B"/>
    <w:rsid w:val="00B37BAC"/>
    <w:rsid w:val="00B37F30"/>
    <w:rsid w:val="00B403C5"/>
    <w:rsid w:val="00B4078F"/>
    <w:rsid w:val="00B40C98"/>
    <w:rsid w:val="00B40E82"/>
    <w:rsid w:val="00B410A7"/>
    <w:rsid w:val="00B41290"/>
    <w:rsid w:val="00B4153B"/>
    <w:rsid w:val="00B4162E"/>
    <w:rsid w:val="00B41819"/>
    <w:rsid w:val="00B41962"/>
    <w:rsid w:val="00B41C7C"/>
    <w:rsid w:val="00B41CE5"/>
    <w:rsid w:val="00B41F03"/>
    <w:rsid w:val="00B4277A"/>
    <w:rsid w:val="00B429F2"/>
    <w:rsid w:val="00B42A48"/>
    <w:rsid w:val="00B42C13"/>
    <w:rsid w:val="00B42E06"/>
    <w:rsid w:val="00B42EDB"/>
    <w:rsid w:val="00B43265"/>
    <w:rsid w:val="00B433A4"/>
    <w:rsid w:val="00B44111"/>
    <w:rsid w:val="00B4440C"/>
    <w:rsid w:val="00B4481D"/>
    <w:rsid w:val="00B4491B"/>
    <w:rsid w:val="00B44934"/>
    <w:rsid w:val="00B44974"/>
    <w:rsid w:val="00B44F1D"/>
    <w:rsid w:val="00B45134"/>
    <w:rsid w:val="00B4569F"/>
    <w:rsid w:val="00B45733"/>
    <w:rsid w:val="00B458B5"/>
    <w:rsid w:val="00B45A8D"/>
    <w:rsid w:val="00B4635B"/>
    <w:rsid w:val="00B465C3"/>
    <w:rsid w:val="00B46605"/>
    <w:rsid w:val="00B466DD"/>
    <w:rsid w:val="00B46A43"/>
    <w:rsid w:val="00B47245"/>
    <w:rsid w:val="00B47550"/>
    <w:rsid w:val="00B475F6"/>
    <w:rsid w:val="00B479C6"/>
    <w:rsid w:val="00B5001E"/>
    <w:rsid w:val="00B5007D"/>
    <w:rsid w:val="00B50135"/>
    <w:rsid w:val="00B50210"/>
    <w:rsid w:val="00B505D5"/>
    <w:rsid w:val="00B50B78"/>
    <w:rsid w:val="00B515A7"/>
    <w:rsid w:val="00B51D31"/>
    <w:rsid w:val="00B51D42"/>
    <w:rsid w:val="00B51FBA"/>
    <w:rsid w:val="00B522AE"/>
    <w:rsid w:val="00B52790"/>
    <w:rsid w:val="00B52BA3"/>
    <w:rsid w:val="00B52D3C"/>
    <w:rsid w:val="00B52D75"/>
    <w:rsid w:val="00B53016"/>
    <w:rsid w:val="00B530B8"/>
    <w:rsid w:val="00B5345E"/>
    <w:rsid w:val="00B5384F"/>
    <w:rsid w:val="00B53896"/>
    <w:rsid w:val="00B53B74"/>
    <w:rsid w:val="00B54217"/>
    <w:rsid w:val="00B542FE"/>
    <w:rsid w:val="00B543C5"/>
    <w:rsid w:val="00B54B75"/>
    <w:rsid w:val="00B54B88"/>
    <w:rsid w:val="00B559E5"/>
    <w:rsid w:val="00B56052"/>
    <w:rsid w:val="00B561EF"/>
    <w:rsid w:val="00B562B6"/>
    <w:rsid w:val="00B56B9D"/>
    <w:rsid w:val="00B56D12"/>
    <w:rsid w:val="00B5740E"/>
    <w:rsid w:val="00B57C3A"/>
    <w:rsid w:val="00B57FB7"/>
    <w:rsid w:val="00B6008B"/>
    <w:rsid w:val="00B60421"/>
    <w:rsid w:val="00B60602"/>
    <w:rsid w:val="00B60808"/>
    <w:rsid w:val="00B610EE"/>
    <w:rsid w:val="00B613A6"/>
    <w:rsid w:val="00B616C9"/>
    <w:rsid w:val="00B61CF6"/>
    <w:rsid w:val="00B61EC2"/>
    <w:rsid w:val="00B6276D"/>
    <w:rsid w:val="00B628BE"/>
    <w:rsid w:val="00B62AD3"/>
    <w:rsid w:val="00B62BC0"/>
    <w:rsid w:val="00B62FC2"/>
    <w:rsid w:val="00B63A9F"/>
    <w:rsid w:val="00B63C18"/>
    <w:rsid w:val="00B63FB0"/>
    <w:rsid w:val="00B643EC"/>
    <w:rsid w:val="00B64405"/>
    <w:rsid w:val="00B64449"/>
    <w:rsid w:val="00B6456D"/>
    <w:rsid w:val="00B6479F"/>
    <w:rsid w:val="00B64BFE"/>
    <w:rsid w:val="00B6521F"/>
    <w:rsid w:val="00B65450"/>
    <w:rsid w:val="00B6552F"/>
    <w:rsid w:val="00B65D9F"/>
    <w:rsid w:val="00B66047"/>
    <w:rsid w:val="00B66141"/>
    <w:rsid w:val="00B668A6"/>
    <w:rsid w:val="00B677CB"/>
    <w:rsid w:val="00B67930"/>
    <w:rsid w:val="00B679BD"/>
    <w:rsid w:val="00B67BA2"/>
    <w:rsid w:val="00B70008"/>
    <w:rsid w:val="00B7001D"/>
    <w:rsid w:val="00B702EB"/>
    <w:rsid w:val="00B70348"/>
    <w:rsid w:val="00B70459"/>
    <w:rsid w:val="00B70572"/>
    <w:rsid w:val="00B70844"/>
    <w:rsid w:val="00B70AFC"/>
    <w:rsid w:val="00B70C7A"/>
    <w:rsid w:val="00B70CCC"/>
    <w:rsid w:val="00B71011"/>
    <w:rsid w:val="00B718CD"/>
    <w:rsid w:val="00B71E75"/>
    <w:rsid w:val="00B728C0"/>
    <w:rsid w:val="00B729C4"/>
    <w:rsid w:val="00B72A38"/>
    <w:rsid w:val="00B72D5C"/>
    <w:rsid w:val="00B72F4A"/>
    <w:rsid w:val="00B73060"/>
    <w:rsid w:val="00B731C9"/>
    <w:rsid w:val="00B733D6"/>
    <w:rsid w:val="00B73690"/>
    <w:rsid w:val="00B738CC"/>
    <w:rsid w:val="00B739F9"/>
    <w:rsid w:val="00B73AF1"/>
    <w:rsid w:val="00B7416E"/>
    <w:rsid w:val="00B74A72"/>
    <w:rsid w:val="00B74B04"/>
    <w:rsid w:val="00B74C68"/>
    <w:rsid w:val="00B75190"/>
    <w:rsid w:val="00B752F8"/>
    <w:rsid w:val="00B75957"/>
    <w:rsid w:val="00B75A64"/>
    <w:rsid w:val="00B75C6D"/>
    <w:rsid w:val="00B75EF4"/>
    <w:rsid w:val="00B75F31"/>
    <w:rsid w:val="00B76083"/>
    <w:rsid w:val="00B76811"/>
    <w:rsid w:val="00B768CE"/>
    <w:rsid w:val="00B76B74"/>
    <w:rsid w:val="00B76D4D"/>
    <w:rsid w:val="00B7714E"/>
    <w:rsid w:val="00B77243"/>
    <w:rsid w:val="00B77341"/>
    <w:rsid w:val="00B77437"/>
    <w:rsid w:val="00B77913"/>
    <w:rsid w:val="00B8015F"/>
    <w:rsid w:val="00B80320"/>
    <w:rsid w:val="00B8080D"/>
    <w:rsid w:val="00B80A24"/>
    <w:rsid w:val="00B80C0A"/>
    <w:rsid w:val="00B81137"/>
    <w:rsid w:val="00B82053"/>
    <w:rsid w:val="00B820C6"/>
    <w:rsid w:val="00B822A9"/>
    <w:rsid w:val="00B8238E"/>
    <w:rsid w:val="00B82A9B"/>
    <w:rsid w:val="00B82B5F"/>
    <w:rsid w:val="00B82D0B"/>
    <w:rsid w:val="00B8418D"/>
    <w:rsid w:val="00B84485"/>
    <w:rsid w:val="00B847E0"/>
    <w:rsid w:val="00B84888"/>
    <w:rsid w:val="00B84E16"/>
    <w:rsid w:val="00B84E88"/>
    <w:rsid w:val="00B854D9"/>
    <w:rsid w:val="00B858C8"/>
    <w:rsid w:val="00B85911"/>
    <w:rsid w:val="00B85E68"/>
    <w:rsid w:val="00B861B4"/>
    <w:rsid w:val="00B869BD"/>
    <w:rsid w:val="00B86B86"/>
    <w:rsid w:val="00B8745D"/>
    <w:rsid w:val="00B8752D"/>
    <w:rsid w:val="00B87D8A"/>
    <w:rsid w:val="00B90379"/>
    <w:rsid w:val="00B90594"/>
    <w:rsid w:val="00B9098F"/>
    <w:rsid w:val="00B90A63"/>
    <w:rsid w:val="00B91003"/>
    <w:rsid w:val="00B913AF"/>
    <w:rsid w:val="00B9157D"/>
    <w:rsid w:val="00B91770"/>
    <w:rsid w:val="00B9183B"/>
    <w:rsid w:val="00B919E1"/>
    <w:rsid w:val="00B9205A"/>
    <w:rsid w:val="00B9219E"/>
    <w:rsid w:val="00B92215"/>
    <w:rsid w:val="00B92229"/>
    <w:rsid w:val="00B9256F"/>
    <w:rsid w:val="00B9258B"/>
    <w:rsid w:val="00B92A88"/>
    <w:rsid w:val="00B92BC9"/>
    <w:rsid w:val="00B93190"/>
    <w:rsid w:val="00B93DA2"/>
    <w:rsid w:val="00B94529"/>
    <w:rsid w:val="00B94551"/>
    <w:rsid w:val="00B949CB"/>
    <w:rsid w:val="00B949DE"/>
    <w:rsid w:val="00B952ED"/>
    <w:rsid w:val="00B95A33"/>
    <w:rsid w:val="00B95A43"/>
    <w:rsid w:val="00B95CA7"/>
    <w:rsid w:val="00B95F82"/>
    <w:rsid w:val="00B95FE2"/>
    <w:rsid w:val="00B96716"/>
    <w:rsid w:val="00B9680B"/>
    <w:rsid w:val="00B96BC3"/>
    <w:rsid w:val="00B9707A"/>
    <w:rsid w:val="00B97167"/>
    <w:rsid w:val="00B97B15"/>
    <w:rsid w:val="00B97B69"/>
    <w:rsid w:val="00B97D44"/>
    <w:rsid w:val="00B97E61"/>
    <w:rsid w:val="00BA0049"/>
    <w:rsid w:val="00BA04E5"/>
    <w:rsid w:val="00BA07F2"/>
    <w:rsid w:val="00BA0A2C"/>
    <w:rsid w:val="00BA1F65"/>
    <w:rsid w:val="00BA2133"/>
    <w:rsid w:val="00BA268E"/>
    <w:rsid w:val="00BA2839"/>
    <w:rsid w:val="00BA36C7"/>
    <w:rsid w:val="00BA4094"/>
    <w:rsid w:val="00BA44D3"/>
    <w:rsid w:val="00BA453F"/>
    <w:rsid w:val="00BA48C0"/>
    <w:rsid w:val="00BA4B82"/>
    <w:rsid w:val="00BA5044"/>
    <w:rsid w:val="00BA5074"/>
    <w:rsid w:val="00BA5246"/>
    <w:rsid w:val="00BA55DE"/>
    <w:rsid w:val="00BA5610"/>
    <w:rsid w:val="00BA5A3B"/>
    <w:rsid w:val="00BA5ABB"/>
    <w:rsid w:val="00BA6181"/>
    <w:rsid w:val="00BA6225"/>
    <w:rsid w:val="00BA64CE"/>
    <w:rsid w:val="00BA6632"/>
    <w:rsid w:val="00BA69CE"/>
    <w:rsid w:val="00BA6D85"/>
    <w:rsid w:val="00BA6EBB"/>
    <w:rsid w:val="00BA7131"/>
    <w:rsid w:val="00BA76DB"/>
    <w:rsid w:val="00BA76F9"/>
    <w:rsid w:val="00BA7930"/>
    <w:rsid w:val="00BB0A82"/>
    <w:rsid w:val="00BB140A"/>
    <w:rsid w:val="00BB144C"/>
    <w:rsid w:val="00BB1675"/>
    <w:rsid w:val="00BB1950"/>
    <w:rsid w:val="00BB1A94"/>
    <w:rsid w:val="00BB1B13"/>
    <w:rsid w:val="00BB1BC1"/>
    <w:rsid w:val="00BB2043"/>
    <w:rsid w:val="00BB2193"/>
    <w:rsid w:val="00BB26F0"/>
    <w:rsid w:val="00BB29AF"/>
    <w:rsid w:val="00BB2DC5"/>
    <w:rsid w:val="00BB3221"/>
    <w:rsid w:val="00BB33DE"/>
    <w:rsid w:val="00BB37E4"/>
    <w:rsid w:val="00BB39AB"/>
    <w:rsid w:val="00BB3BFD"/>
    <w:rsid w:val="00BB3CE4"/>
    <w:rsid w:val="00BB3E05"/>
    <w:rsid w:val="00BB3FC9"/>
    <w:rsid w:val="00BB4204"/>
    <w:rsid w:val="00BB4221"/>
    <w:rsid w:val="00BB492B"/>
    <w:rsid w:val="00BB5371"/>
    <w:rsid w:val="00BB53AA"/>
    <w:rsid w:val="00BB5B1F"/>
    <w:rsid w:val="00BB5B28"/>
    <w:rsid w:val="00BB5FAA"/>
    <w:rsid w:val="00BB6028"/>
    <w:rsid w:val="00BB6946"/>
    <w:rsid w:val="00BB6C02"/>
    <w:rsid w:val="00BB6C1A"/>
    <w:rsid w:val="00BB6F37"/>
    <w:rsid w:val="00BB77F5"/>
    <w:rsid w:val="00BC01EB"/>
    <w:rsid w:val="00BC093E"/>
    <w:rsid w:val="00BC0A15"/>
    <w:rsid w:val="00BC1616"/>
    <w:rsid w:val="00BC1CAB"/>
    <w:rsid w:val="00BC2249"/>
    <w:rsid w:val="00BC2447"/>
    <w:rsid w:val="00BC279A"/>
    <w:rsid w:val="00BC2836"/>
    <w:rsid w:val="00BC2B9A"/>
    <w:rsid w:val="00BC2C1B"/>
    <w:rsid w:val="00BC2E44"/>
    <w:rsid w:val="00BC2FF0"/>
    <w:rsid w:val="00BC347E"/>
    <w:rsid w:val="00BC3B92"/>
    <w:rsid w:val="00BC3F7F"/>
    <w:rsid w:val="00BC44C6"/>
    <w:rsid w:val="00BC4524"/>
    <w:rsid w:val="00BC4B61"/>
    <w:rsid w:val="00BC4E30"/>
    <w:rsid w:val="00BC5213"/>
    <w:rsid w:val="00BC5666"/>
    <w:rsid w:val="00BC5B21"/>
    <w:rsid w:val="00BC6479"/>
    <w:rsid w:val="00BC65B0"/>
    <w:rsid w:val="00BC66A7"/>
    <w:rsid w:val="00BC66DA"/>
    <w:rsid w:val="00BC69DE"/>
    <w:rsid w:val="00BC774B"/>
    <w:rsid w:val="00BC78C7"/>
    <w:rsid w:val="00BD0025"/>
    <w:rsid w:val="00BD0140"/>
    <w:rsid w:val="00BD0419"/>
    <w:rsid w:val="00BD06AC"/>
    <w:rsid w:val="00BD0C2F"/>
    <w:rsid w:val="00BD0DED"/>
    <w:rsid w:val="00BD10A0"/>
    <w:rsid w:val="00BD13DE"/>
    <w:rsid w:val="00BD14E1"/>
    <w:rsid w:val="00BD17FD"/>
    <w:rsid w:val="00BD19DC"/>
    <w:rsid w:val="00BD1AEC"/>
    <w:rsid w:val="00BD1F63"/>
    <w:rsid w:val="00BD1FA7"/>
    <w:rsid w:val="00BD2067"/>
    <w:rsid w:val="00BD213C"/>
    <w:rsid w:val="00BD2345"/>
    <w:rsid w:val="00BD23F6"/>
    <w:rsid w:val="00BD2E72"/>
    <w:rsid w:val="00BD346A"/>
    <w:rsid w:val="00BD369E"/>
    <w:rsid w:val="00BD3A61"/>
    <w:rsid w:val="00BD3E35"/>
    <w:rsid w:val="00BD40CA"/>
    <w:rsid w:val="00BD455B"/>
    <w:rsid w:val="00BD48D8"/>
    <w:rsid w:val="00BD4C1F"/>
    <w:rsid w:val="00BD4D49"/>
    <w:rsid w:val="00BD5416"/>
    <w:rsid w:val="00BD5748"/>
    <w:rsid w:val="00BD58E3"/>
    <w:rsid w:val="00BD5EFE"/>
    <w:rsid w:val="00BD5FE8"/>
    <w:rsid w:val="00BD6545"/>
    <w:rsid w:val="00BD65AB"/>
    <w:rsid w:val="00BD6727"/>
    <w:rsid w:val="00BD6F5F"/>
    <w:rsid w:val="00BD74A8"/>
    <w:rsid w:val="00BD775F"/>
    <w:rsid w:val="00BD7762"/>
    <w:rsid w:val="00BD7A56"/>
    <w:rsid w:val="00BD7BBC"/>
    <w:rsid w:val="00BE02EE"/>
    <w:rsid w:val="00BE0335"/>
    <w:rsid w:val="00BE0375"/>
    <w:rsid w:val="00BE0969"/>
    <w:rsid w:val="00BE0BCB"/>
    <w:rsid w:val="00BE0CE1"/>
    <w:rsid w:val="00BE0D13"/>
    <w:rsid w:val="00BE0D4D"/>
    <w:rsid w:val="00BE0D71"/>
    <w:rsid w:val="00BE15B3"/>
    <w:rsid w:val="00BE1AAF"/>
    <w:rsid w:val="00BE1FBB"/>
    <w:rsid w:val="00BE2CAE"/>
    <w:rsid w:val="00BE2CCD"/>
    <w:rsid w:val="00BE2DE5"/>
    <w:rsid w:val="00BE3678"/>
    <w:rsid w:val="00BE3AB2"/>
    <w:rsid w:val="00BE3C58"/>
    <w:rsid w:val="00BE3DC5"/>
    <w:rsid w:val="00BE45C6"/>
    <w:rsid w:val="00BE492E"/>
    <w:rsid w:val="00BE4E7C"/>
    <w:rsid w:val="00BE561A"/>
    <w:rsid w:val="00BE57B6"/>
    <w:rsid w:val="00BE5B72"/>
    <w:rsid w:val="00BE5D68"/>
    <w:rsid w:val="00BE7902"/>
    <w:rsid w:val="00BE791F"/>
    <w:rsid w:val="00BE7F79"/>
    <w:rsid w:val="00BF01C4"/>
    <w:rsid w:val="00BF0214"/>
    <w:rsid w:val="00BF02F2"/>
    <w:rsid w:val="00BF03C5"/>
    <w:rsid w:val="00BF09AA"/>
    <w:rsid w:val="00BF126C"/>
    <w:rsid w:val="00BF1B3E"/>
    <w:rsid w:val="00BF1CAF"/>
    <w:rsid w:val="00BF1D99"/>
    <w:rsid w:val="00BF245F"/>
    <w:rsid w:val="00BF2800"/>
    <w:rsid w:val="00BF286E"/>
    <w:rsid w:val="00BF3031"/>
    <w:rsid w:val="00BF317E"/>
    <w:rsid w:val="00BF3A7A"/>
    <w:rsid w:val="00BF3BE1"/>
    <w:rsid w:val="00BF3F22"/>
    <w:rsid w:val="00BF4446"/>
    <w:rsid w:val="00BF444C"/>
    <w:rsid w:val="00BF47DA"/>
    <w:rsid w:val="00BF48A6"/>
    <w:rsid w:val="00BF4C16"/>
    <w:rsid w:val="00BF4C94"/>
    <w:rsid w:val="00BF4D67"/>
    <w:rsid w:val="00BF4D9E"/>
    <w:rsid w:val="00BF4E55"/>
    <w:rsid w:val="00BF5552"/>
    <w:rsid w:val="00BF5901"/>
    <w:rsid w:val="00BF5F66"/>
    <w:rsid w:val="00BF5FFA"/>
    <w:rsid w:val="00BF60FA"/>
    <w:rsid w:val="00BF6897"/>
    <w:rsid w:val="00BF6D33"/>
    <w:rsid w:val="00BF6E56"/>
    <w:rsid w:val="00BF70FB"/>
    <w:rsid w:val="00BF7976"/>
    <w:rsid w:val="00BF7BA5"/>
    <w:rsid w:val="00C00336"/>
    <w:rsid w:val="00C003C5"/>
    <w:rsid w:val="00C00B9A"/>
    <w:rsid w:val="00C00C9C"/>
    <w:rsid w:val="00C00D6D"/>
    <w:rsid w:val="00C019F6"/>
    <w:rsid w:val="00C0202C"/>
    <w:rsid w:val="00C02519"/>
    <w:rsid w:val="00C026D0"/>
    <w:rsid w:val="00C027FC"/>
    <w:rsid w:val="00C02F9C"/>
    <w:rsid w:val="00C03F94"/>
    <w:rsid w:val="00C04904"/>
    <w:rsid w:val="00C04953"/>
    <w:rsid w:val="00C04D65"/>
    <w:rsid w:val="00C05418"/>
    <w:rsid w:val="00C054B9"/>
    <w:rsid w:val="00C0552E"/>
    <w:rsid w:val="00C05708"/>
    <w:rsid w:val="00C0584B"/>
    <w:rsid w:val="00C05897"/>
    <w:rsid w:val="00C06145"/>
    <w:rsid w:val="00C06D06"/>
    <w:rsid w:val="00C06D3F"/>
    <w:rsid w:val="00C06E6A"/>
    <w:rsid w:val="00C06ED0"/>
    <w:rsid w:val="00C0710A"/>
    <w:rsid w:val="00C07403"/>
    <w:rsid w:val="00C07C09"/>
    <w:rsid w:val="00C07DF5"/>
    <w:rsid w:val="00C10180"/>
    <w:rsid w:val="00C11029"/>
    <w:rsid w:val="00C11071"/>
    <w:rsid w:val="00C11607"/>
    <w:rsid w:val="00C11639"/>
    <w:rsid w:val="00C1164A"/>
    <w:rsid w:val="00C117B2"/>
    <w:rsid w:val="00C11826"/>
    <w:rsid w:val="00C11E3F"/>
    <w:rsid w:val="00C120A3"/>
    <w:rsid w:val="00C12ACE"/>
    <w:rsid w:val="00C12BF8"/>
    <w:rsid w:val="00C13088"/>
    <w:rsid w:val="00C1356D"/>
    <w:rsid w:val="00C1368C"/>
    <w:rsid w:val="00C136A9"/>
    <w:rsid w:val="00C13950"/>
    <w:rsid w:val="00C139DD"/>
    <w:rsid w:val="00C13C77"/>
    <w:rsid w:val="00C13F0D"/>
    <w:rsid w:val="00C14136"/>
    <w:rsid w:val="00C14147"/>
    <w:rsid w:val="00C1433D"/>
    <w:rsid w:val="00C144E0"/>
    <w:rsid w:val="00C14740"/>
    <w:rsid w:val="00C14B7E"/>
    <w:rsid w:val="00C153DD"/>
    <w:rsid w:val="00C15F23"/>
    <w:rsid w:val="00C165E6"/>
    <w:rsid w:val="00C16D44"/>
    <w:rsid w:val="00C171C0"/>
    <w:rsid w:val="00C1735B"/>
    <w:rsid w:val="00C17555"/>
    <w:rsid w:val="00C1764B"/>
    <w:rsid w:val="00C20075"/>
    <w:rsid w:val="00C20626"/>
    <w:rsid w:val="00C20B5B"/>
    <w:rsid w:val="00C20C27"/>
    <w:rsid w:val="00C20C62"/>
    <w:rsid w:val="00C20E42"/>
    <w:rsid w:val="00C20E99"/>
    <w:rsid w:val="00C21084"/>
    <w:rsid w:val="00C21190"/>
    <w:rsid w:val="00C216ED"/>
    <w:rsid w:val="00C2190D"/>
    <w:rsid w:val="00C2248D"/>
    <w:rsid w:val="00C22B04"/>
    <w:rsid w:val="00C22F2C"/>
    <w:rsid w:val="00C233E6"/>
    <w:rsid w:val="00C23C7B"/>
    <w:rsid w:val="00C23EE6"/>
    <w:rsid w:val="00C2483E"/>
    <w:rsid w:val="00C24C58"/>
    <w:rsid w:val="00C24E98"/>
    <w:rsid w:val="00C24FEB"/>
    <w:rsid w:val="00C252F6"/>
    <w:rsid w:val="00C255E0"/>
    <w:rsid w:val="00C2583B"/>
    <w:rsid w:val="00C25907"/>
    <w:rsid w:val="00C2596B"/>
    <w:rsid w:val="00C25AA0"/>
    <w:rsid w:val="00C25CFC"/>
    <w:rsid w:val="00C25D5C"/>
    <w:rsid w:val="00C263D4"/>
    <w:rsid w:val="00C267BB"/>
    <w:rsid w:val="00C26CA7"/>
    <w:rsid w:val="00C26D60"/>
    <w:rsid w:val="00C26E49"/>
    <w:rsid w:val="00C271DF"/>
    <w:rsid w:val="00C273B0"/>
    <w:rsid w:val="00C2755F"/>
    <w:rsid w:val="00C278CD"/>
    <w:rsid w:val="00C27A22"/>
    <w:rsid w:val="00C27B4A"/>
    <w:rsid w:val="00C30489"/>
    <w:rsid w:val="00C30550"/>
    <w:rsid w:val="00C3089F"/>
    <w:rsid w:val="00C30B8C"/>
    <w:rsid w:val="00C30CE3"/>
    <w:rsid w:val="00C30CF7"/>
    <w:rsid w:val="00C30E1B"/>
    <w:rsid w:val="00C31080"/>
    <w:rsid w:val="00C3133E"/>
    <w:rsid w:val="00C313AD"/>
    <w:rsid w:val="00C31812"/>
    <w:rsid w:val="00C31F50"/>
    <w:rsid w:val="00C3201A"/>
    <w:rsid w:val="00C320EE"/>
    <w:rsid w:val="00C327FC"/>
    <w:rsid w:val="00C33018"/>
    <w:rsid w:val="00C33358"/>
    <w:rsid w:val="00C333F1"/>
    <w:rsid w:val="00C335B6"/>
    <w:rsid w:val="00C33802"/>
    <w:rsid w:val="00C33D10"/>
    <w:rsid w:val="00C33FC7"/>
    <w:rsid w:val="00C34267"/>
    <w:rsid w:val="00C34392"/>
    <w:rsid w:val="00C3463F"/>
    <w:rsid w:val="00C346FE"/>
    <w:rsid w:val="00C34742"/>
    <w:rsid w:val="00C34C9A"/>
    <w:rsid w:val="00C35688"/>
    <w:rsid w:val="00C35716"/>
    <w:rsid w:val="00C357EF"/>
    <w:rsid w:val="00C35892"/>
    <w:rsid w:val="00C35A85"/>
    <w:rsid w:val="00C35AB8"/>
    <w:rsid w:val="00C36244"/>
    <w:rsid w:val="00C36284"/>
    <w:rsid w:val="00C3686D"/>
    <w:rsid w:val="00C36A45"/>
    <w:rsid w:val="00C36E22"/>
    <w:rsid w:val="00C3743D"/>
    <w:rsid w:val="00C376DF"/>
    <w:rsid w:val="00C377D3"/>
    <w:rsid w:val="00C37950"/>
    <w:rsid w:val="00C40358"/>
    <w:rsid w:val="00C40482"/>
    <w:rsid w:val="00C40578"/>
    <w:rsid w:val="00C40638"/>
    <w:rsid w:val="00C40983"/>
    <w:rsid w:val="00C40A0F"/>
    <w:rsid w:val="00C40C56"/>
    <w:rsid w:val="00C40D6C"/>
    <w:rsid w:val="00C40F89"/>
    <w:rsid w:val="00C410EA"/>
    <w:rsid w:val="00C411D8"/>
    <w:rsid w:val="00C4146C"/>
    <w:rsid w:val="00C415FC"/>
    <w:rsid w:val="00C41663"/>
    <w:rsid w:val="00C416C6"/>
    <w:rsid w:val="00C416EC"/>
    <w:rsid w:val="00C41AA1"/>
    <w:rsid w:val="00C41F0C"/>
    <w:rsid w:val="00C41F71"/>
    <w:rsid w:val="00C41FA6"/>
    <w:rsid w:val="00C42C93"/>
    <w:rsid w:val="00C42D19"/>
    <w:rsid w:val="00C431B9"/>
    <w:rsid w:val="00C431C6"/>
    <w:rsid w:val="00C431F3"/>
    <w:rsid w:val="00C4343E"/>
    <w:rsid w:val="00C434ED"/>
    <w:rsid w:val="00C438D2"/>
    <w:rsid w:val="00C43A6A"/>
    <w:rsid w:val="00C43C0A"/>
    <w:rsid w:val="00C43DAC"/>
    <w:rsid w:val="00C43E86"/>
    <w:rsid w:val="00C4409F"/>
    <w:rsid w:val="00C448D1"/>
    <w:rsid w:val="00C448DE"/>
    <w:rsid w:val="00C44AF4"/>
    <w:rsid w:val="00C44E86"/>
    <w:rsid w:val="00C451DB"/>
    <w:rsid w:val="00C45320"/>
    <w:rsid w:val="00C45843"/>
    <w:rsid w:val="00C45C45"/>
    <w:rsid w:val="00C45C50"/>
    <w:rsid w:val="00C45E41"/>
    <w:rsid w:val="00C45EE5"/>
    <w:rsid w:val="00C45F6C"/>
    <w:rsid w:val="00C46219"/>
    <w:rsid w:val="00C462E2"/>
    <w:rsid w:val="00C4658E"/>
    <w:rsid w:val="00C465A6"/>
    <w:rsid w:val="00C4682A"/>
    <w:rsid w:val="00C46ADC"/>
    <w:rsid w:val="00C46C56"/>
    <w:rsid w:val="00C475D6"/>
    <w:rsid w:val="00C47AB3"/>
    <w:rsid w:val="00C47C48"/>
    <w:rsid w:val="00C47E1B"/>
    <w:rsid w:val="00C5000B"/>
    <w:rsid w:val="00C505F2"/>
    <w:rsid w:val="00C50727"/>
    <w:rsid w:val="00C5076E"/>
    <w:rsid w:val="00C50C49"/>
    <w:rsid w:val="00C5102D"/>
    <w:rsid w:val="00C519AB"/>
    <w:rsid w:val="00C51C25"/>
    <w:rsid w:val="00C52257"/>
    <w:rsid w:val="00C52411"/>
    <w:rsid w:val="00C528F8"/>
    <w:rsid w:val="00C52C57"/>
    <w:rsid w:val="00C52C6B"/>
    <w:rsid w:val="00C53306"/>
    <w:rsid w:val="00C5340C"/>
    <w:rsid w:val="00C534B1"/>
    <w:rsid w:val="00C53706"/>
    <w:rsid w:val="00C5371A"/>
    <w:rsid w:val="00C53A60"/>
    <w:rsid w:val="00C541C3"/>
    <w:rsid w:val="00C54600"/>
    <w:rsid w:val="00C54620"/>
    <w:rsid w:val="00C54FB1"/>
    <w:rsid w:val="00C551DA"/>
    <w:rsid w:val="00C556C5"/>
    <w:rsid w:val="00C55E25"/>
    <w:rsid w:val="00C56278"/>
    <w:rsid w:val="00C5628F"/>
    <w:rsid w:val="00C56579"/>
    <w:rsid w:val="00C568BF"/>
    <w:rsid w:val="00C569D4"/>
    <w:rsid w:val="00C56EE6"/>
    <w:rsid w:val="00C5712F"/>
    <w:rsid w:val="00C57655"/>
    <w:rsid w:val="00C57C79"/>
    <w:rsid w:val="00C601BC"/>
    <w:rsid w:val="00C6177A"/>
    <w:rsid w:val="00C61799"/>
    <w:rsid w:val="00C61C1A"/>
    <w:rsid w:val="00C61C34"/>
    <w:rsid w:val="00C61D09"/>
    <w:rsid w:val="00C623F4"/>
    <w:rsid w:val="00C6242D"/>
    <w:rsid w:val="00C627DB"/>
    <w:rsid w:val="00C62BBD"/>
    <w:rsid w:val="00C63347"/>
    <w:rsid w:val="00C63B98"/>
    <w:rsid w:val="00C63E1A"/>
    <w:rsid w:val="00C6416B"/>
    <w:rsid w:val="00C641B3"/>
    <w:rsid w:val="00C6441D"/>
    <w:rsid w:val="00C64E7E"/>
    <w:rsid w:val="00C64FCF"/>
    <w:rsid w:val="00C650AF"/>
    <w:rsid w:val="00C6525A"/>
    <w:rsid w:val="00C65468"/>
    <w:rsid w:val="00C658C8"/>
    <w:rsid w:val="00C6655D"/>
    <w:rsid w:val="00C66613"/>
    <w:rsid w:val="00C66AB2"/>
    <w:rsid w:val="00C66E07"/>
    <w:rsid w:val="00C6712F"/>
    <w:rsid w:val="00C7030C"/>
    <w:rsid w:val="00C70A5E"/>
    <w:rsid w:val="00C70BEA"/>
    <w:rsid w:val="00C70EF3"/>
    <w:rsid w:val="00C71312"/>
    <w:rsid w:val="00C71314"/>
    <w:rsid w:val="00C7134C"/>
    <w:rsid w:val="00C71465"/>
    <w:rsid w:val="00C714CE"/>
    <w:rsid w:val="00C71894"/>
    <w:rsid w:val="00C71AF1"/>
    <w:rsid w:val="00C72009"/>
    <w:rsid w:val="00C7215C"/>
    <w:rsid w:val="00C72DE4"/>
    <w:rsid w:val="00C730BD"/>
    <w:rsid w:val="00C733DD"/>
    <w:rsid w:val="00C7348B"/>
    <w:rsid w:val="00C73649"/>
    <w:rsid w:val="00C73F16"/>
    <w:rsid w:val="00C747F8"/>
    <w:rsid w:val="00C74F68"/>
    <w:rsid w:val="00C7567A"/>
    <w:rsid w:val="00C75B25"/>
    <w:rsid w:val="00C7625F"/>
    <w:rsid w:val="00C766E5"/>
    <w:rsid w:val="00C7671D"/>
    <w:rsid w:val="00C76918"/>
    <w:rsid w:val="00C76D9F"/>
    <w:rsid w:val="00C77260"/>
    <w:rsid w:val="00C7779B"/>
    <w:rsid w:val="00C778A3"/>
    <w:rsid w:val="00C77A3B"/>
    <w:rsid w:val="00C77DC9"/>
    <w:rsid w:val="00C77E37"/>
    <w:rsid w:val="00C801AC"/>
    <w:rsid w:val="00C80450"/>
    <w:rsid w:val="00C80939"/>
    <w:rsid w:val="00C81041"/>
    <w:rsid w:val="00C82562"/>
    <w:rsid w:val="00C82722"/>
    <w:rsid w:val="00C828BE"/>
    <w:rsid w:val="00C82D63"/>
    <w:rsid w:val="00C82E78"/>
    <w:rsid w:val="00C82ED0"/>
    <w:rsid w:val="00C83478"/>
    <w:rsid w:val="00C83512"/>
    <w:rsid w:val="00C8354B"/>
    <w:rsid w:val="00C83C8D"/>
    <w:rsid w:val="00C8408E"/>
    <w:rsid w:val="00C846F3"/>
    <w:rsid w:val="00C84711"/>
    <w:rsid w:val="00C8490F"/>
    <w:rsid w:val="00C8500D"/>
    <w:rsid w:val="00C858DF"/>
    <w:rsid w:val="00C859CB"/>
    <w:rsid w:val="00C85AD4"/>
    <w:rsid w:val="00C85AF5"/>
    <w:rsid w:val="00C85C62"/>
    <w:rsid w:val="00C861D5"/>
    <w:rsid w:val="00C8673D"/>
    <w:rsid w:val="00C86CD4"/>
    <w:rsid w:val="00C870BD"/>
    <w:rsid w:val="00C8746C"/>
    <w:rsid w:val="00C87AFC"/>
    <w:rsid w:val="00C87DA1"/>
    <w:rsid w:val="00C87ED7"/>
    <w:rsid w:val="00C87F50"/>
    <w:rsid w:val="00C9049B"/>
    <w:rsid w:val="00C909D1"/>
    <w:rsid w:val="00C90A06"/>
    <w:rsid w:val="00C90C77"/>
    <w:rsid w:val="00C90D82"/>
    <w:rsid w:val="00C915EF"/>
    <w:rsid w:val="00C91728"/>
    <w:rsid w:val="00C917BA"/>
    <w:rsid w:val="00C91C13"/>
    <w:rsid w:val="00C921B5"/>
    <w:rsid w:val="00C922F4"/>
    <w:rsid w:val="00C92F8C"/>
    <w:rsid w:val="00C93457"/>
    <w:rsid w:val="00C9363C"/>
    <w:rsid w:val="00C9399E"/>
    <w:rsid w:val="00C94066"/>
    <w:rsid w:val="00C942CE"/>
    <w:rsid w:val="00C9444F"/>
    <w:rsid w:val="00C944B2"/>
    <w:rsid w:val="00C944DF"/>
    <w:rsid w:val="00C9451C"/>
    <w:rsid w:val="00C94BDA"/>
    <w:rsid w:val="00C94CDB"/>
    <w:rsid w:val="00C94E83"/>
    <w:rsid w:val="00C94FAA"/>
    <w:rsid w:val="00C9503B"/>
    <w:rsid w:val="00C951F4"/>
    <w:rsid w:val="00C95241"/>
    <w:rsid w:val="00C954C5"/>
    <w:rsid w:val="00C956A2"/>
    <w:rsid w:val="00C95C53"/>
    <w:rsid w:val="00C95E5E"/>
    <w:rsid w:val="00C96124"/>
    <w:rsid w:val="00C962D3"/>
    <w:rsid w:val="00C968D1"/>
    <w:rsid w:val="00C96BD7"/>
    <w:rsid w:val="00C970C6"/>
    <w:rsid w:val="00C971C1"/>
    <w:rsid w:val="00C97528"/>
    <w:rsid w:val="00C97737"/>
    <w:rsid w:val="00C97ACF"/>
    <w:rsid w:val="00C97F5D"/>
    <w:rsid w:val="00C97FD1"/>
    <w:rsid w:val="00C97FF1"/>
    <w:rsid w:val="00CA005E"/>
    <w:rsid w:val="00CA020B"/>
    <w:rsid w:val="00CA0D02"/>
    <w:rsid w:val="00CA0E0E"/>
    <w:rsid w:val="00CA0E5F"/>
    <w:rsid w:val="00CA0F1D"/>
    <w:rsid w:val="00CA0F2E"/>
    <w:rsid w:val="00CA107C"/>
    <w:rsid w:val="00CA11BF"/>
    <w:rsid w:val="00CA1294"/>
    <w:rsid w:val="00CA16B9"/>
    <w:rsid w:val="00CA1780"/>
    <w:rsid w:val="00CA18B4"/>
    <w:rsid w:val="00CA1B61"/>
    <w:rsid w:val="00CA1C63"/>
    <w:rsid w:val="00CA1D17"/>
    <w:rsid w:val="00CA20B0"/>
    <w:rsid w:val="00CA214B"/>
    <w:rsid w:val="00CA21DB"/>
    <w:rsid w:val="00CA24A8"/>
    <w:rsid w:val="00CA292B"/>
    <w:rsid w:val="00CA2AB7"/>
    <w:rsid w:val="00CA328C"/>
    <w:rsid w:val="00CA341A"/>
    <w:rsid w:val="00CA341C"/>
    <w:rsid w:val="00CA369B"/>
    <w:rsid w:val="00CA3911"/>
    <w:rsid w:val="00CA392E"/>
    <w:rsid w:val="00CA3BC4"/>
    <w:rsid w:val="00CA3D4A"/>
    <w:rsid w:val="00CA412B"/>
    <w:rsid w:val="00CA4448"/>
    <w:rsid w:val="00CA4615"/>
    <w:rsid w:val="00CA4B7D"/>
    <w:rsid w:val="00CA4F56"/>
    <w:rsid w:val="00CA5106"/>
    <w:rsid w:val="00CA5556"/>
    <w:rsid w:val="00CA55B7"/>
    <w:rsid w:val="00CA5A2F"/>
    <w:rsid w:val="00CA5CDB"/>
    <w:rsid w:val="00CA5E2C"/>
    <w:rsid w:val="00CA5F55"/>
    <w:rsid w:val="00CA5FC7"/>
    <w:rsid w:val="00CA74EC"/>
    <w:rsid w:val="00CA77EA"/>
    <w:rsid w:val="00CA7842"/>
    <w:rsid w:val="00CA7CB1"/>
    <w:rsid w:val="00CA7DC6"/>
    <w:rsid w:val="00CA7F01"/>
    <w:rsid w:val="00CA7FFD"/>
    <w:rsid w:val="00CB005A"/>
    <w:rsid w:val="00CB039E"/>
    <w:rsid w:val="00CB0940"/>
    <w:rsid w:val="00CB0E1D"/>
    <w:rsid w:val="00CB0F52"/>
    <w:rsid w:val="00CB1A21"/>
    <w:rsid w:val="00CB234B"/>
    <w:rsid w:val="00CB2439"/>
    <w:rsid w:val="00CB2BF3"/>
    <w:rsid w:val="00CB2EA2"/>
    <w:rsid w:val="00CB33C0"/>
    <w:rsid w:val="00CB3A5E"/>
    <w:rsid w:val="00CB4501"/>
    <w:rsid w:val="00CB49F6"/>
    <w:rsid w:val="00CB4FDB"/>
    <w:rsid w:val="00CB5131"/>
    <w:rsid w:val="00CB523C"/>
    <w:rsid w:val="00CB5295"/>
    <w:rsid w:val="00CB5773"/>
    <w:rsid w:val="00CB57F6"/>
    <w:rsid w:val="00CB5993"/>
    <w:rsid w:val="00CB66A6"/>
    <w:rsid w:val="00CB680B"/>
    <w:rsid w:val="00CB6C3A"/>
    <w:rsid w:val="00CB6D8E"/>
    <w:rsid w:val="00CB6F15"/>
    <w:rsid w:val="00CB6F9E"/>
    <w:rsid w:val="00CB6FA9"/>
    <w:rsid w:val="00CB72D6"/>
    <w:rsid w:val="00CB7CED"/>
    <w:rsid w:val="00CB7E2E"/>
    <w:rsid w:val="00CC01A0"/>
    <w:rsid w:val="00CC01BB"/>
    <w:rsid w:val="00CC0C4C"/>
    <w:rsid w:val="00CC0ED0"/>
    <w:rsid w:val="00CC0F59"/>
    <w:rsid w:val="00CC11C0"/>
    <w:rsid w:val="00CC1338"/>
    <w:rsid w:val="00CC18CF"/>
    <w:rsid w:val="00CC19EE"/>
    <w:rsid w:val="00CC1C7C"/>
    <w:rsid w:val="00CC1CF6"/>
    <w:rsid w:val="00CC1DDC"/>
    <w:rsid w:val="00CC3235"/>
    <w:rsid w:val="00CC35FB"/>
    <w:rsid w:val="00CC3780"/>
    <w:rsid w:val="00CC3836"/>
    <w:rsid w:val="00CC3C5A"/>
    <w:rsid w:val="00CC3CFF"/>
    <w:rsid w:val="00CC3D68"/>
    <w:rsid w:val="00CC40BA"/>
    <w:rsid w:val="00CC4415"/>
    <w:rsid w:val="00CC4586"/>
    <w:rsid w:val="00CC4640"/>
    <w:rsid w:val="00CC4641"/>
    <w:rsid w:val="00CC4878"/>
    <w:rsid w:val="00CC4BA5"/>
    <w:rsid w:val="00CC5318"/>
    <w:rsid w:val="00CC5395"/>
    <w:rsid w:val="00CC5457"/>
    <w:rsid w:val="00CC54B7"/>
    <w:rsid w:val="00CC55FE"/>
    <w:rsid w:val="00CC60E9"/>
    <w:rsid w:val="00CC6ABC"/>
    <w:rsid w:val="00CC6D20"/>
    <w:rsid w:val="00CC6D5C"/>
    <w:rsid w:val="00CC71F1"/>
    <w:rsid w:val="00CC7EF0"/>
    <w:rsid w:val="00CD0277"/>
    <w:rsid w:val="00CD046C"/>
    <w:rsid w:val="00CD0EE6"/>
    <w:rsid w:val="00CD1054"/>
    <w:rsid w:val="00CD14E4"/>
    <w:rsid w:val="00CD1B9A"/>
    <w:rsid w:val="00CD1EA7"/>
    <w:rsid w:val="00CD24B1"/>
    <w:rsid w:val="00CD2795"/>
    <w:rsid w:val="00CD2C70"/>
    <w:rsid w:val="00CD30E1"/>
    <w:rsid w:val="00CD329E"/>
    <w:rsid w:val="00CD3BE6"/>
    <w:rsid w:val="00CD3C90"/>
    <w:rsid w:val="00CD406B"/>
    <w:rsid w:val="00CD4455"/>
    <w:rsid w:val="00CD479F"/>
    <w:rsid w:val="00CD4D66"/>
    <w:rsid w:val="00CD539B"/>
    <w:rsid w:val="00CD586E"/>
    <w:rsid w:val="00CD5CE6"/>
    <w:rsid w:val="00CD5E0F"/>
    <w:rsid w:val="00CD6551"/>
    <w:rsid w:val="00CD6680"/>
    <w:rsid w:val="00CD6AC0"/>
    <w:rsid w:val="00CD75E8"/>
    <w:rsid w:val="00CD7764"/>
    <w:rsid w:val="00CD781B"/>
    <w:rsid w:val="00CD799A"/>
    <w:rsid w:val="00CE0738"/>
    <w:rsid w:val="00CE08E9"/>
    <w:rsid w:val="00CE0B98"/>
    <w:rsid w:val="00CE1276"/>
    <w:rsid w:val="00CE18A0"/>
    <w:rsid w:val="00CE1ACD"/>
    <w:rsid w:val="00CE20FF"/>
    <w:rsid w:val="00CE21F9"/>
    <w:rsid w:val="00CE23BF"/>
    <w:rsid w:val="00CE23D2"/>
    <w:rsid w:val="00CE35E9"/>
    <w:rsid w:val="00CE3B02"/>
    <w:rsid w:val="00CE405A"/>
    <w:rsid w:val="00CE415C"/>
    <w:rsid w:val="00CE457C"/>
    <w:rsid w:val="00CE4973"/>
    <w:rsid w:val="00CE4984"/>
    <w:rsid w:val="00CE4AF6"/>
    <w:rsid w:val="00CE4C06"/>
    <w:rsid w:val="00CE54AB"/>
    <w:rsid w:val="00CE570C"/>
    <w:rsid w:val="00CE57ED"/>
    <w:rsid w:val="00CE6041"/>
    <w:rsid w:val="00CE66CE"/>
    <w:rsid w:val="00CE6974"/>
    <w:rsid w:val="00CE6A2B"/>
    <w:rsid w:val="00CE6A90"/>
    <w:rsid w:val="00CE6CDD"/>
    <w:rsid w:val="00CE6FD5"/>
    <w:rsid w:val="00CE7BE5"/>
    <w:rsid w:val="00CF01D1"/>
    <w:rsid w:val="00CF01E6"/>
    <w:rsid w:val="00CF038D"/>
    <w:rsid w:val="00CF040C"/>
    <w:rsid w:val="00CF041D"/>
    <w:rsid w:val="00CF0AD5"/>
    <w:rsid w:val="00CF0E2B"/>
    <w:rsid w:val="00CF19CC"/>
    <w:rsid w:val="00CF1AF4"/>
    <w:rsid w:val="00CF1C6A"/>
    <w:rsid w:val="00CF1D13"/>
    <w:rsid w:val="00CF1D58"/>
    <w:rsid w:val="00CF3321"/>
    <w:rsid w:val="00CF34D4"/>
    <w:rsid w:val="00CF3AA2"/>
    <w:rsid w:val="00CF3F1C"/>
    <w:rsid w:val="00CF4302"/>
    <w:rsid w:val="00CF4339"/>
    <w:rsid w:val="00CF4AC0"/>
    <w:rsid w:val="00CF4F5E"/>
    <w:rsid w:val="00CF507B"/>
    <w:rsid w:val="00CF52F8"/>
    <w:rsid w:val="00CF5907"/>
    <w:rsid w:val="00CF5A0B"/>
    <w:rsid w:val="00CF5B34"/>
    <w:rsid w:val="00CF5EDD"/>
    <w:rsid w:val="00CF6610"/>
    <w:rsid w:val="00CF685D"/>
    <w:rsid w:val="00CF6B64"/>
    <w:rsid w:val="00CF6F37"/>
    <w:rsid w:val="00CF7189"/>
    <w:rsid w:val="00CF758C"/>
    <w:rsid w:val="00CF7619"/>
    <w:rsid w:val="00CF77FD"/>
    <w:rsid w:val="00CF78E7"/>
    <w:rsid w:val="00CF7908"/>
    <w:rsid w:val="00CF79C4"/>
    <w:rsid w:val="00CF7B15"/>
    <w:rsid w:val="00CF7DD5"/>
    <w:rsid w:val="00D00077"/>
    <w:rsid w:val="00D00B4D"/>
    <w:rsid w:val="00D00E79"/>
    <w:rsid w:val="00D01396"/>
    <w:rsid w:val="00D01C64"/>
    <w:rsid w:val="00D022AD"/>
    <w:rsid w:val="00D0251A"/>
    <w:rsid w:val="00D028F0"/>
    <w:rsid w:val="00D02C68"/>
    <w:rsid w:val="00D033F8"/>
    <w:rsid w:val="00D0360D"/>
    <w:rsid w:val="00D0373A"/>
    <w:rsid w:val="00D03DCA"/>
    <w:rsid w:val="00D03F5E"/>
    <w:rsid w:val="00D04B6E"/>
    <w:rsid w:val="00D04F70"/>
    <w:rsid w:val="00D04FAF"/>
    <w:rsid w:val="00D04FE3"/>
    <w:rsid w:val="00D050C6"/>
    <w:rsid w:val="00D0526B"/>
    <w:rsid w:val="00D05282"/>
    <w:rsid w:val="00D052C5"/>
    <w:rsid w:val="00D053D2"/>
    <w:rsid w:val="00D05578"/>
    <w:rsid w:val="00D0559C"/>
    <w:rsid w:val="00D05898"/>
    <w:rsid w:val="00D05A4D"/>
    <w:rsid w:val="00D06565"/>
    <w:rsid w:val="00D0689F"/>
    <w:rsid w:val="00D068F8"/>
    <w:rsid w:val="00D06B72"/>
    <w:rsid w:val="00D06DAE"/>
    <w:rsid w:val="00D07019"/>
    <w:rsid w:val="00D070A4"/>
    <w:rsid w:val="00D070FB"/>
    <w:rsid w:val="00D07361"/>
    <w:rsid w:val="00D0738D"/>
    <w:rsid w:val="00D07712"/>
    <w:rsid w:val="00D0784D"/>
    <w:rsid w:val="00D07A8A"/>
    <w:rsid w:val="00D07F7D"/>
    <w:rsid w:val="00D100F7"/>
    <w:rsid w:val="00D1012A"/>
    <w:rsid w:val="00D10318"/>
    <w:rsid w:val="00D1032B"/>
    <w:rsid w:val="00D104B2"/>
    <w:rsid w:val="00D107D7"/>
    <w:rsid w:val="00D10A71"/>
    <w:rsid w:val="00D1119E"/>
    <w:rsid w:val="00D113DF"/>
    <w:rsid w:val="00D116D7"/>
    <w:rsid w:val="00D11905"/>
    <w:rsid w:val="00D11A82"/>
    <w:rsid w:val="00D11CB8"/>
    <w:rsid w:val="00D122C3"/>
    <w:rsid w:val="00D12368"/>
    <w:rsid w:val="00D12482"/>
    <w:rsid w:val="00D12737"/>
    <w:rsid w:val="00D12810"/>
    <w:rsid w:val="00D12A01"/>
    <w:rsid w:val="00D133AA"/>
    <w:rsid w:val="00D13999"/>
    <w:rsid w:val="00D13C28"/>
    <w:rsid w:val="00D13D77"/>
    <w:rsid w:val="00D13ECD"/>
    <w:rsid w:val="00D13EE3"/>
    <w:rsid w:val="00D143A2"/>
    <w:rsid w:val="00D15068"/>
    <w:rsid w:val="00D150AB"/>
    <w:rsid w:val="00D1555D"/>
    <w:rsid w:val="00D15AF5"/>
    <w:rsid w:val="00D15DFD"/>
    <w:rsid w:val="00D15F68"/>
    <w:rsid w:val="00D16176"/>
    <w:rsid w:val="00D1683C"/>
    <w:rsid w:val="00D16925"/>
    <w:rsid w:val="00D1731D"/>
    <w:rsid w:val="00D173B8"/>
    <w:rsid w:val="00D17410"/>
    <w:rsid w:val="00D17806"/>
    <w:rsid w:val="00D17BDC"/>
    <w:rsid w:val="00D17F2F"/>
    <w:rsid w:val="00D206CC"/>
    <w:rsid w:val="00D20C1C"/>
    <w:rsid w:val="00D20C6B"/>
    <w:rsid w:val="00D20DAF"/>
    <w:rsid w:val="00D217F8"/>
    <w:rsid w:val="00D218DF"/>
    <w:rsid w:val="00D219E9"/>
    <w:rsid w:val="00D221E4"/>
    <w:rsid w:val="00D224B2"/>
    <w:rsid w:val="00D225C6"/>
    <w:rsid w:val="00D2264E"/>
    <w:rsid w:val="00D22804"/>
    <w:rsid w:val="00D22AC7"/>
    <w:rsid w:val="00D22D7B"/>
    <w:rsid w:val="00D239C8"/>
    <w:rsid w:val="00D23F69"/>
    <w:rsid w:val="00D243B5"/>
    <w:rsid w:val="00D2468B"/>
    <w:rsid w:val="00D25504"/>
    <w:rsid w:val="00D25598"/>
    <w:rsid w:val="00D25815"/>
    <w:rsid w:val="00D25910"/>
    <w:rsid w:val="00D25AA8"/>
    <w:rsid w:val="00D25D13"/>
    <w:rsid w:val="00D25F62"/>
    <w:rsid w:val="00D263C1"/>
    <w:rsid w:val="00D264E7"/>
    <w:rsid w:val="00D267A6"/>
    <w:rsid w:val="00D26F50"/>
    <w:rsid w:val="00D2703E"/>
    <w:rsid w:val="00D270A9"/>
    <w:rsid w:val="00D275DB"/>
    <w:rsid w:val="00D27C91"/>
    <w:rsid w:val="00D27F98"/>
    <w:rsid w:val="00D30A34"/>
    <w:rsid w:val="00D30A6E"/>
    <w:rsid w:val="00D30DDB"/>
    <w:rsid w:val="00D30DFE"/>
    <w:rsid w:val="00D31917"/>
    <w:rsid w:val="00D31A47"/>
    <w:rsid w:val="00D31EFA"/>
    <w:rsid w:val="00D321B8"/>
    <w:rsid w:val="00D32A64"/>
    <w:rsid w:val="00D32C54"/>
    <w:rsid w:val="00D32DFE"/>
    <w:rsid w:val="00D333E7"/>
    <w:rsid w:val="00D33A64"/>
    <w:rsid w:val="00D3409B"/>
    <w:rsid w:val="00D34461"/>
    <w:rsid w:val="00D349A5"/>
    <w:rsid w:val="00D34F21"/>
    <w:rsid w:val="00D35094"/>
    <w:rsid w:val="00D35128"/>
    <w:rsid w:val="00D352B2"/>
    <w:rsid w:val="00D3565A"/>
    <w:rsid w:val="00D3630A"/>
    <w:rsid w:val="00D36829"/>
    <w:rsid w:val="00D36CCA"/>
    <w:rsid w:val="00D374B7"/>
    <w:rsid w:val="00D37CEB"/>
    <w:rsid w:val="00D37CF7"/>
    <w:rsid w:val="00D37D31"/>
    <w:rsid w:val="00D40055"/>
    <w:rsid w:val="00D405CB"/>
    <w:rsid w:val="00D40FB7"/>
    <w:rsid w:val="00D41789"/>
    <w:rsid w:val="00D41F0F"/>
    <w:rsid w:val="00D42402"/>
    <w:rsid w:val="00D426A9"/>
    <w:rsid w:val="00D42D6A"/>
    <w:rsid w:val="00D433DD"/>
    <w:rsid w:val="00D43957"/>
    <w:rsid w:val="00D43990"/>
    <w:rsid w:val="00D4460D"/>
    <w:rsid w:val="00D44633"/>
    <w:rsid w:val="00D44868"/>
    <w:rsid w:val="00D450C8"/>
    <w:rsid w:val="00D4567D"/>
    <w:rsid w:val="00D45696"/>
    <w:rsid w:val="00D457D1"/>
    <w:rsid w:val="00D45D5C"/>
    <w:rsid w:val="00D460BB"/>
    <w:rsid w:val="00D464F4"/>
    <w:rsid w:val="00D46520"/>
    <w:rsid w:val="00D469C5"/>
    <w:rsid w:val="00D46A50"/>
    <w:rsid w:val="00D47121"/>
    <w:rsid w:val="00D47AA0"/>
    <w:rsid w:val="00D50027"/>
    <w:rsid w:val="00D502F7"/>
    <w:rsid w:val="00D506C6"/>
    <w:rsid w:val="00D50AE7"/>
    <w:rsid w:val="00D50B31"/>
    <w:rsid w:val="00D50C5A"/>
    <w:rsid w:val="00D50FC4"/>
    <w:rsid w:val="00D510CD"/>
    <w:rsid w:val="00D51293"/>
    <w:rsid w:val="00D51587"/>
    <w:rsid w:val="00D51752"/>
    <w:rsid w:val="00D51B0A"/>
    <w:rsid w:val="00D51D6E"/>
    <w:rsid w:val="00D51EA2"/>
    <w:rsid w:val="00D52463"/>
    <w:rsid w:val="00D52531"/>
    <w:rsid w:val="00D529B3"/>
    <w:rsid w:val="00D52EF2"/>
    <w:rsid w:val="00D5340F"/>
    <w:rsid w:val="00D535E0"/>
    <w:rsid w:val="00D53880"/>
    <w:rsid w:val="00D539B1"/>
    <w:rsid w:val="00D53ED6"/>
    <w:rsid w:val="00D54515"/>
    <w:rsid w:val="00D548BA"/>
    <w:rsid w:val="00D54E1E"/>
    <w:rsid w:val="00D54E7F"/>
    <w:rsid w:val="00D55727"/>
    <w:rsid w:val="00D55939"/>
    <w:rsid w:val="00D56158"/>
    <w:rsid w:val="00D563CB"/>
    <w:rsid w:val="00D56653"/>
    <w:rsid w:val="00D566B1"/>
    <w:rsid w:val="00D56DEE"/>
    <w:rsid w:val="00D574ED"/>
    <w:rsid w:val="00D57D74"/>
    <w:rsid w:val="00D60928"/>
    <w:rsid w:val="00D60B6F"/>
    <w:rsid w:val="00D6118C"/>
    <w:rsid w:val="00D612AF"/>
    <w:rsid w:val="00D618BF"/>
    <w:rsid w:val="00D61A38"/>
    <w:rsid w:val="00D62017"/>
    <w:rsid w:val="00D62372"/>
    <w:rsid w:val="00D6367A"/>
    <w:rsid w:val="00D63E17"/>
    <w:rsid w:val="00D63FF2"/>
    <w:rsid w:val="00D640A3"/>
    <w:rsid w:val="00D6455E"/>
    <w:rsid w:val="00D646F8"/>
    <w:rsid w:val="00D647BC"/>
    <w:rsid w:val="00D651E6"/>
    <w:rsid w:val="00D658A4"/>
    <w:rsid w:val="00D658C8"/>
    <w:rsid w:val="00D65CD1"/>
    <w:rsid w:val="00D661C8"/>
    <w:rsid w:val="00D6626A"/>
    <w:rsid w:val="00D66A6B"/>
    <w:rsid w:val="00D66ADB"/>
    <w:rsid w:val="00D66F76"/>
    <w:rsid w:val="00D677D4"/>
    <w:rsid w:val="00D678BF"/>
    <w:rsid w:val="00D67AA2"/>
    <w:rsid w:val="00D67C96"/>
    <w:rsid w:val="00D67E8B"/>
    <w:rsid w:val="00D67FBB"/>
    <w:rsid w:val="00D701E7"/>
    <w:rsid w:val="00D702CE"/>
    <w:rsid w:val="00D702D2"/>
    <w:rsid w:val="00D70AA6"/>
    <w:rsid w:val="00D71871"/>
    <w:rsid w:val="00D718A2"/>
    <w:rsid w:val="00D719A2"/>
    <w:rsid w:val="00D72179"/>
    <w:rsid w:val="00D728BA"/>
    <w:rsid w:val="00D73044"/>
    <w:rsid w:val="00D73415"/>
    <w:rsid w:val="00D736C1"/>
    <w:rsid w:val="00D742CF"/>
    <w:rsid w:val="00D74440"/>
    <w:rsid w:val="00D74B42"/>
    <w:rsid w:val="00D74C2C"/>
    <w:rsid w:val="00D74CCF"/>
    <w:rsid w:val="00D74D7A"/>
    <w:rsid w:val="00D74FE3"/>
    <w:rsid w:val="00D758CA"/>
    <w:rsid w:val="00D75AF7"/>
    <w:rsid w:val="00D75B17"/>
    <w:rsid w:val="00D75BBB"/>
    <w:rsid w:val="00D76151"/>
    <w:rsid w:val="00D76C3F"/>
    <w:rsid w:val="00D76CF4"/>
    <w:rsid w:val="00D76D53"/>
    <w:rsid w:val="00D76D8A"/>
    <w:rsid w:val="00D77D6D"/>
    <w:rsid w:val="00D80A49"/>
    <w:rsid w:val="00D80A7C"/>
    <w:rsid w:val="00D80BF2"/>
    <w:rsid w:val="00D80E97"/>
    <w:rsid w:val="00D80F44"/>
    <w:rsid w:val="00D81337"/>
    <w:rsid w:val="00D8134E"/>
    <w:rsid w:val="00D814DC"/>
    <w:rsid w:val="00D814F3"/>
    <w:rsid w:val="00D81617"/>
    <w:rsid w:val="00D82173"/>
    <w:rsid w:val="00D824A6"/>
    <w:rsid w:val="00D83AA5"/>
    <w:rsid w:val="00D84112"/>
    <w:rsid w:val="00D84279"/>
    <w:rsid w:val="00D8596D"/>
    <w:rsid w:val="00D85B9C"/>
    <w:rsid w:val="00D85EBA"/>
    <w:rsid w:val="00D86428"/>
    <w:rsid w:val="00D86476"/>
    <w:rsid w:val="00D86640"/>
    <w:rsid w:val="00D86AA2"/>
    <w:rsid w:val="00D86B93"/>
    <w:rsid w:val="00D86C63"/>
    <w:rsid w:val="00D86D07"/>
    <w:rsid w:val="00D86F92"/>
    <w:rsid w:val="00D87244"/>
    <w:rsid w:val="00D8759B"/>
    <w:rsid w:val="00D87A5E"/>
    <w:rsid w:val="00D87EF1"/>
    <w:rsid w:val="00D904CF"/>
    <w:rsid w:val="00D908AF"/>
    <w:rsid w:val="00D908E8"/>
    <w:rsid w:val="00D90B2F"/>
    <w:rsid w:val="00D90B88"/>
    <w:rsid w:val="00D91008"/>
    <w:rsid w:val="00D912AE"/>
    <w:rsid w:val="00D91978"/>
    <w:rsid w:val="00D91B7C"/>
    <w:rsid w:val="00D91F4A"/>
    <w:rsid w:val="00D91FC6"/>
    <w:rsid w:val="00D92776"/>
    <w:rsid w:val="00D92C30"/>
    <w:rsid w:val="00D92C73"/>
    <w:rsid w:val="00D92E88"/>
    <w:rsid w:val="00D93756"/>
    <w:rsid w:val="00D93948"/>
    <w:rsid w:val="00D9464D"/>
    <w:rsid w:val="00D946DE"/>
    <w:rsid w:val="00D9474B"/>
    <w:rsid w:val="00D94B0E"/>
    <w:rsid w:val="00D94B1F"/>
    <w:rsid w:val="00D94DCA"/>
    <w:rsid w:val="00D95059"/>
    <w:rsid w:val="00D951D2"/>
    <w:rsid w:val="00D9545C"/>
    <w:rsid w:val="00D9553C"/>
    <w:rsid w:val="00D956BE"/>
    <w:rsid w:val="00D95829"/>
    <w:rsid w:val="00D95875"/>
    <w:rsid w:val="00D95EF2"/>
    <w:rsid w:val="00D961FA"/>
    <w:rsid w:val="00D966AE"/>
    <w:rsid w:val="00D96C99"/>
    <w:rsid w:val="00D96D6E"/>
    <w:rsid w:val="00D96F71"/>
    <w:rsid w:val="00D97131"/>
    <w:rsid w:val="00D971AB"/>
    <w:rsid w:val="00D973E3"/>
    <w:rsid w:val="00D97659"/>
    <w:rsid w:val="00DA0377"/>
    <w:rsid w:val="00DA0444"/>
    <w:rsid w:val="00DA0960"/>
    <w:rsid w:val="00DA0BBD"/>
    <w:rsid w:val="00DA0C2B"/>
    <w:rsid w:val="00DA0CBE"/>
    <w:rsid w:val="00DA0D38"/>
    <w:rsid w:val="00DA10EB"/>
    <w:rsid w:val="00DA1BCB"/>
    <w:rsid w:val="00DA1DDC"/>
    <w:rsid w:val="00DA1E43"/>
    <w:rsid w:val="00DA213E"/>
    <w:rsid w:val="00DA21B0"/>
    <w:rsid w:val="00DA2593"/>
    <w:rsid w:val="00DA26A0"/>
    <w:rsid w:val="00DA2945"/>
    <w:rsid w:val="00DA2DD4"/>
    <w:rsid w:val="00DA3347"/>
    <w:rsid w:val="00DA4390"/>
    <w:rsid w:val="00DA49EC"/>
    <w:rsid w:val="00DA4A43"/>
    <w:rsid w:val="00DA4B11"/>
    <w:rsid w:val="00DA4BD9"/>
    <w:rsid w:val="00DA5295"/>
    <w:rsid w:val="00DA54D3"/>
    <w:rsid w:val="00DA5B93"/>
    <w:rsid w:val="00DA5E05"/>
    <w:rsid w:val="00DA5FC3"/>
    <w:rsid w:val="00DA64BA"/>
    <w:rsid w:val="00DA65CC"/>
    <w:rsid w:val="00DA6640"/>
    <w:rsid w:val="00DA6AB1"/>
    <w:rsid w:val="00DA71AF"/>
    <w:rsid w:val="00DA71B8"/>
    <w:rsid w:val="00DA7DE1"/>
    <w:rsid w:val="00DB021C"/>
    <w:rsid w:val="00DB032F"/>
    <w:rsid w:val="00DB0AFA"/>
    <w:rsid w:val="00DB10FA"/>
    <w:rsid w:val="00DB1806"/>
    <w:rsid w:val="00DB2689"/>
    <w:rsid w:val="00DB2791"/>
    <w:rsid w:val="00DB2A78"/>
    <w:rsid w:val="00DB33C1"/>
    <w:rsid w:val="00DB34EB"/>
    <w:rsid w:val="00DB35A1"/>
    <w:rsid w:val="00DB3649"/>
    <w:rsid w:val="00DB3834"/>
    <w:rsid w:val="00DB400B"/>
    <w:rsid w:val="00DB42B9"/>
    <w:rsid w:val="00DB431E"/>
    <w:rsid w:val="00DB474A"/>
    <w:rsid w:val="00DB4A8E"/>
    <w:rsid w:val="00DB4BAB"/>
    <w:rsid w:val="00DB4F56"/>
    <w:rsid w:val="00DB50DB"/>
    <w:rsid w:val="00DB51B7"/>
    <w:rsid w:val="00DB547D"/>
    <w:rsid w:val="00DB56AB"/>
    <w:rsid w:val="00DB5847"/>
    <w:rsid w:val="00DB588A"/>
    <w:rsid w:val="00DB58EF"/>
    <w:rsid w:val="00DB5A61"/>
    <w:rsid w:val="00DB5C90"/>
    <w:rsid w:val="00DB5C93"/>
    <w:rsid w:val="00DB5CE1"/>
    <w:rsid w:val="00DB60E5"/>
    <w:rsid w:val="00DB6AE4"/>
    <w:rsid w:val="00DB7156"/>
    <w:rsid w:val="00DB7538"/>
    <w:rsid w:val="00DB7B41"/>
    <w:rsid w:val="00DC002B"/>
    <w:rsid w:val="00DC09C4"/>
    <w:rsid w:val="00DC1711"/>
    <w:rsid w:val="00DC1B34"/>
    <w:rsid w:val="00DC1E4F"/>
    <w:rsid w:val="00DC2383"/>
    <w:rsid w:val="00DC23D9"/>
    <w:rsid w:val="00DC2728"/>
    <w:rsid w:val="00DC2A48"/>
    <w:rsid w:val="00DC3293"/>
    <w:rsid w:val="00DC35C5"/>
    <w:rsid w:val="00DC39EE"/>
    <w:rsid w:val="00DC3B60"/>
    <w:rsid w:val="00DC421A"/>
    <w:rsid w:val="00DC4745"/>
    <w:rsid w:val="00DC489D"/>
    <w:rsid w:val="00DC494C"/>
    <w:rsid w:val="00DC51A5"/>
    <w:rsid w:val="00DC54C0"/>
    <w:rsid w:val="00DC6084"/>
    <w:rsid w:val="00DC60C6"/>
    <w:rsid w:val="00DC62E8"/>
    <w:rsid w:val="00DC6C80"/>
    <w:rsid w:val="00DC726D"/>
    <w:rsid w:val="00DC7510"/>
    <w:rsid w:val="00DD0950"/>
    <w:rsid w:val="00DD0AD4"/>
    <w:rsid w:val="00DD1582"/>
    <w:rsid w:val="00DD1730"/>
    <w:rsid w:val="00DD17A0"/>
    <w:rsid w:val="00DD1C75"/>
    <w:rsid w:val="00DD1CC5"/>
    <w:rsid w:val="00DD2002"/>
    <w:rsid w:val="00DD25C9"/>
    <w:rsid w:val="00DD2BAB"/>
    <w:rsid w:val="00DD2E5A"/>
    <w:rsid w:val="00DD32FA"/>
    <w:rsid w:val="00DD3517"/>
    <w:rsid w:val="00DD3BA7"/>
    <w:rsid w:val="00DD3CA2"/>
    <w:rsid w:val="00DD3CCD"/>
    <w:rsid w:val="00DD4642"/>
    <w:rsid w:val="00DD4D3B"/>
    <w:rsid w:val="00DD4F9E"/>
    <w:rsid w:val="00DD506B"/>
    <w:rsid w:val="00DD564C"/>
    <w:rsid w:val="00DD56A7"/>
    <w:rsid w:val="00DD6162"/>
    <w:rsid w:val="00DD6677"/>
    <w:rsid w:val="00DD6E97"/>
    <w:rsid w:val="00DD6F6F"/>
    <w:rsid w:val="00DD7C6F"/>
    <w:rsid w:val="00DD7E8A"/>
    <w:rsid w:val="00DD7EA6"/>
    <w:rsid w:val="00DE02FA"/>
    <w:rsid w:val="00DE031C"/>
    <w:rsid w:val="00DE03C5"/>
    <w:rsid w:val="00DE0454"/>
    <w:rsid w:val="00DE0657"/>
    <w:rsid w:val="00DE0AAE"/>
    <w:rsid w:val="00DE10AD"/>
    <w:rsid w:val="00DE1AE1"/>
    <w:rsid w:val="00DE1E2A"/>
    <w:rsid w:val="00DE2349"/>
    <w:rsid w:val="00DE2546"/>
    <w:rsid w:val="00DE28F6"/>
    <w:rsid w:val="00DE2C63"/>
    <w:rsid w:val="00DE2E3F"/>
    <w:rsid w:val="00DE3021"/>
    <w:rsid w:val="00DE302C"/>
    <w:rsid w:val="00DE308A"/>
    <w:rsid w:val="00DE37D0"/>
    <w:rsid w:val="00DE3B1F"/>
    <w:rsid w:val="00DE3BBA"/>
    <w:rsid w:val="00DE3D65"/>
    <w:rsid w:val="00DE3DCF"/>
    <w:rsid w:val="00DE4187"/>
    <w:rsid w:val="00DE449C"/>
    <w:rsid w:val="00DE44F8"/>
    <w:rsid w:val="00DE4781"/>
    <w:rsid w:val="00DE49AD"/>
    <w:rsid w:val="00DE4C21"/>
    <w:rsid w:val="00DE4DD4"/>
    <w:rsid w:val="00DE4EBF"/>
    <w:rsid w:val="00DE5051"/>
    <w:rsid w:val="00DE50DD"/>
    <w:rsid w:val="00DE541C"/>
    <w:rsid w:val="00DE5820"/>
    <w:rsid w:val="00DE59B8"/>
    <w:rsid w:val="00DE59EC"/>
    <w:rsid w:val="00DE5BBD"/>
    <w:rsid w:val="00DE5E36"/>
    <w:rsid w:val="00DE643A"/>
    <w:rsid w:val="00DE68E6"/>
    <w:rsid w:val="00DE6995"/>
    <w:rsid w:val="00DE69E2"/>
    <w:rsid w:val="00DE6B30"/>
    <w:rsid w:val="00DE7148"/>
    <w:rsid w:val="00DE7B81"/>
    <w:rsid w:val="00DE7D82"/>
    <w:rsid w:val="00DF00E4"/>
    <w:rsid w:val="00DF0100"/>
    <w:rsid w:val="00DF019F"/>
    <w:rsid w:val="00DF01A1"/>
    <w:rsid w:val="00DF02D8"/>
    <w:rsid w:val="00DF04FB"/>
    <w:rsid w:val="00DF1120"/>
    <w:rsid w:val="00DF112E"/>
    <w:rsid w:val="00DF16BA"/>
    <w:rsid w:val="00DF1D9B"/>
    <w:rsid w:val="00DF2079"/>
    <w:rsid w:val="00DF20E0"/>
    <w:rsid w:val="00DF21C6"/>
    <w:rsid w:val="00DF2248"/>
    <w:rsid w:val="00DF26BD"/>
    <w:rsid w:val="00DF27A7"/>
    <w:rsid w:val="00DF2904"/>
    <w:rsid w:val="00DF2984"/>
    <w:rsid w:val="00DF2FDF"/>
    <w:rsid w:val="00DF2FF1"/>
    <w:rsid w:val="00DF33E8"/>
    <w:rsid w:val="00DF3D68"/>
    <w:rsid w:val="00DF3F23"/>
    <w:rsid w:val="00DF3F6A"/>
    <w:rsid w:val="00DF4DDE"/>
    <w:rsid w:val="00DF5279"/>
    <w:rsid w:val="00DF5CAD"/>
    <w:rsid w:val="00DF614B"/>
    <w:rsid w:val="00DF6181"/>
    <w:rsid w:val="00DF696D"/>
    <w:rsid w:val="00DF6E40"/>
    <w:rsid w:val="00DF6F32"/>
    <w:rsid w:val="00DF72E4"/>
    <w:rsid w:val="00DF74F1"/>
    <w:rsid w:val="00DF7AFA"/>
    <w:rsid w:val="00DF7EC4"/>
    <w:rsid w:val="00E0007F"/>
    <w:rsid w:val="00E00167"/>
    <w:rsid w:val="00E005CE"/>
    <w:rsid w:val="00E009B6"/>
    <w:rsid w:val="00E013EC"/>
    <w:rsid w:val="00E0163F"/>
    <w:rsid w:val="00E01803"/>
    <w:rsid w:val="00E01D5C"/>
    <w:rsid w:val="00E021D4"/>
    <w:rsid w:val="00E0274F"/>
    <w:rsid w:val="00E02A48"/>
    <w:rsid w:val="00E02A7F"/>
    <w:rsid w:val="00E02B77"/>
    <w:rsid w:val="00E02EF2"/>
    <w:rsid w:val="00E032C9"/>
    <w:rsid w:val="00E03338"/>
    <w:rsid w:val="00E03BEA"/>
    <w:rsid w:val="00E04143"/>
    <w:rsid w:val="00E04293"/>
    <w:rsid w:val="00E04508"/>
    <w:rsid w:val="00E04C03"/>
    <w:rsid w:val="00E04F4B"/>
    <w:rsid w:val="00E05227"/>
    <w:rsid w:val="00E055AA"/>
    <w:rsid w:val="00E055CD"/>
    <w:rsid w:val="00E05B6B"/>
    <w:rsid w:val="00E05DE2"/>
    <w:rsid w:val="00E06176"/>
    <w:rsid w:val="00E0655C"/>
    <w:rsid w:val="00E071A0"/>
    <w:rsid w:val="00E071E4"/>
    <w:rsid w:val="00E0761E"/>
    <w:rsid w:val="00E1019E"/>
    <w:rsid w:val="00E101F5"/>
    <w:rsid w:val="00E10A3D"/>
    <w:rsid w:val="00E11065"/>
    <w:rsid w:val="00E111F0"/>
    <w:rsid w:val="00E11988"/>
    <w:rsid w:val="00E119A4"/>
    <w:rsid w:val="00E120C9"/>
    <w:rsid w:val="00E1234D"/>
    <w:rsid w:val="00E125E4"/>
    <w:rsid w:val="00E125EA"/>
    <w:rsid w:val="00E128D2"/>
    <w:rsid w:val="00E12AE4"/>
    <w:rsid w:val="00E12D29"/>
    <w:rsid w:val="00E131E9"/>
    <w:rsid w:val="00E139CC"/>
    <w:rsid w:val="00E13DA9"/>
    <w:rsid w:val="00E14171"/>
    <w:rsid w:val="00E1465E"/>
    <w:rsid w:val="00E14A4D"/>
    <w:rsid w:val="00E1547E"/>
    <w:rsid w:val="00E15A27"/>
    <w:rsid w:val="00E15B4D"/>
    <w:rsid w:val="00E15B72"/>
    <w:rsid w:val="00E16819"/>
    <w:rsid w:val="00E16AD5"/>
    <w:rsid w:val="00E16C9D"/>
    <w:rsid w:val="00E16FE7"/>
    <w:rsid w:val="00E17011"/>
    <w:rsid w:val="00E17D64"/>
    <w:rsid w:val="00E20810"/>
    <w:rsid w:val="00E20A4E"/>
    <w:rsid w:val="00E20DBF"/>
    <w:rsid w:val="00E2117A"/>
    <w:rsid w:val="00E21892"/>
    <w:rsid w:val="00E21A1E"/>
    <w:rsid w:val="00E21F50"/>
    <w:rsid w:val="00E2216E"/>
    <w:rsid w:val="00E22413"/>
    <w:rsid w:val="00E226B3"/>
    <w:rsid w:val="00E226F5"/>
    <w:rsid w:val="00E22AC9"/>
    <w:rsid w:val="00E22F3D"/>
    <w:rsid w:val="00E2306F"/>
    <w:rsid w:val="00E2314A"/>
    <w:rsid w:val="00E23F89"/>
    <w:rsid w:val="00E244CB"/>
    <w:rsid w:val="00E24A9D"/>
    <w:rsid w:val="00E24B83"/>
    <w:rsid w:val="00E24D4C"/>
    <w:rsid w:val="00E24D7C"/>
    <w:rsid w:val="00E24F00"/>
    <w:rsid w:val="00E24F54"/>
    <w:rsid w:val="00E25001"/>
    <w:rsid w:val="00E250E8"/>
    <w:rsid w:val="00E25477"/>
    <w:rsid w:val="00E25852"/>
    <w:rsid w:val="00E25854"/>
    <w:rsid w:val="00E25AB1"/>
    <w:rsid w:val="00E25B95"/>
    <w:rsid w:val="00E261E4"/>
    <w:rsid w:val="00E262FB"/>
    <w:rsid w:val="00E26438"/>
    <w:rsid w:val="00E267C6"/>
    <w:rsid w:val="00E26BDC"/>
    <w:rsid w:val="00E26DA9"/>
    <w:rsid w:val="00E26E9F"/>
    <w:rsid w:val="00E270FA"/>
    <w:rsid w:val="00E2789E"/>
    <w:rsid w:val="00E278DD"/>
    <w:rsid w:val="00E27CC1"/>
    <w:rsid w:val="00E27D08"/>
    <w:rsid w:val="00E30094"/>
    <w:rsid w:val="00E30110"/>
    <w:rsid w:val="00E304A4"/>
    <w:rsid w:val="00E30D3D"/>
    <w:rsid w:val="00E30E47"/>
    <w:rsid w:val="00E31955"/>
    <w:rsid w:val="00E3234C"/>
    <w:rsid w:val="00E3251F"/>
    <w:rsid w:val="00E32B52"/>
    <w:rsid w:val="00E33218"/>
    <w:rsid w:val="00E33305"/>
    <w:rsid w:val="00E333AA"/>
    <w:rsid w:val="00E344B9"/>
    <w:rsid w:val="00E358D3"/>
    <w:rsid w:val="00E3593B"/>
    <w:rsid w:val="00E35D7E"/>
    <w:rsid w:val="00E35F77"/>
    <w:rsid w:val="00E3620F"/>
    <w:rsid w:val="00E3700C"/>
    <w:rsid w:val="00E37202"/>
    <w:rsid w:val="00E3780D"/>
    <w:rsid w:val="00E40041"/>
    <w:rsid w:val="00E40851"/>
    <w:rsid w:val="00E40A3F"/>
    <w:rsid w:val="00E40BB7"/>
    <w:rsid w:val="00E40F38"/>
    <w:rsid w:val="00E41101"/>
    <w:rsid w:val="00E41863"/>
    <w:rsid w:val="00E418E2"/>
    <w:rsid w:val="00E422B5"/>
    <w:rsid w:val="00E42519"/>
    <w:rsid w:val="00E4273C"/>
    <w:rsid w:val="00E4297C"/>
    <w:rsid w:val="00E42A96"/>
    <w:rsid w:val="00E44186"/>
    <w:rsid w:val="00E44217"/>
    <w:rsid w:val="00E445C2"/>
    <w:rsid w:val="00E449F2"/>
    <w:rsid w:val="00E44BD5"/>
    <w:rsid w:val="00E44DE9"/>
    <w:rsid w:val="00E44F7E"/>
    <w:rsid w:val="00E44FE0"/>
    <w:rsid w:val="00E45507"/>
    <w:rsid w:val="00E458D1"/>
    <w:rsid w:val="00E45902"/>
    <w:rsid w:val="00E45AC2"/>
    <w:rsid w:val="00E45B68"/>
    <w:rsid w:val="00E4659E"/>
    <w:rsid w:val="00E46990"/>
    <w:rsid w:val="00E46A2A"/>
    <w:rsid w:val="00E46AA6"/>
    <w:rsid w:val="00E46DC1"/>
    <w:rsid w:val="00E471BF"/>
    <w:rsid w:val="00E472FD"/>
    <w:rsid w:val="00E47444"/>
    <w:rsid w:val="00E476E3"/>
    <w:rsid w:val="00E50027"/>
    <w:rsid w:val="00E50149"/>
    <w:rsid w:val="00E5017A"/>
    <w:rsid w:val="00E502C7"/>
    <w:rsid w:val="00E504D1"/>
    <w:rsid w:val="00E508C1"/>
    <w:rsid w:val="00E509C1"/>
    <w:rsid w:val="00E50B0F"/>
    <w:rsid w:val="00E51044"/>
    <w:rsid w:val="00E51427"/>
    <w:rsid w:val="00E5163D"/>
    <w:rsid w:val="00E516CE"/>
    <w:rsid w:val="00E51872"/>
    <w:rsid w:val="00E51BBB"/>
    <w:rsid w:val="00E51C93"/>
    <w:rsid w:val="00E52539"/>
    <w:rsid w:val="00E52756"/>
    <w:rsid w:val="00E52A4B"/>
    <w:rsid w:val="00E533A4"/>
    <w:rsid w:val="00E53808"/>
    <w:rsid w:val="00E53B28"/>
    <w:rsid w:val="00E53B91"/>
    <w:rsid w:val="00E549F8"/>
    <w:rsid w:val="00E54B96"/>
    <w:rsid w:val="00E54BFE"/>
    <w:rsid w:val="00E54CD1"/>
    <w:rsid w:val="00E54EE1"/>
    <w:rsid w:val="00E54F23"/>
    <w:rsid w:val="00E54FEB"/>
    <w:rsid w:val="00E5508B"/>
    <w:rsid w:val="00E5537F"/>
    <w:rsid w:val="00E557DD"/>
    <w:rsid w:val="00E55E12"/>
    <w:rsid w:val="00E5620C"/>
    <w:rsid w:val="00E56675"/>
    <w:rsid w:val="00E56696"/>
    <w:rsid w:val="00E57C12"/>
    <w:rsid w:val="00E60A96"/>
    <w:rsid w:val="00E60E34"/>
    <w:rsid w:val="00E60F7A"/>
    <w:rsid w:val="00E61058"/>
    <w:rsid w:val="00E61209"/>
    <w:rsid w:val="00E612DC"/>
    <w:rsid w:val="00E61911"/>
    <w:rsid w:val="00E6194B"/>
    <w:rsid w:val="00E61AAD"/>
    <w:rsid w:val="00E6200A"/>
    <w:rsid w:val="00E620D7"/>
    <w:rsid w:val="00E6226A"/>
    <w:rsid w:val="00E62A2D"/>
    <w:rsid w:val="00E62BF5"/>
    <w:rsid w:val="00E62D8D"/>
    <w:rsid w:val="00E63105"/>
    <w:rsid w:val="00E63123"/>
    <w:rsid w:val="00E63393"/>
    <w:rsid w:val="00E63AFA"/>
    <w:rsid w:val="00E63B7C"/>
    <w:rsid w:val="00E63CAD"/>
    <w:rsid w:val="00E63F41"/>
    <w:rsid w:val="00E64463"/>
    <w:rsid w:val="00E6463D"/>
    <w:rsid w:val="00E6483B"/>
    <w:rsid w:val="00E64E9E"/>
    <w:rsid w:val="00E650A7"/>
    <w:rsid w:val="00E6513D"/>
    <w:rsid w:val="00E6526C"/>
    <w:rsid w:val="00E6530D"/>
    <w:rsid w:val="00E6530F"/>
    <w:rsid w:val="00E65654"/>
    <w:rsid w:val="00E65AEA"/>
    <w:rsid w:val="00E65E8E"/>
    <w:rsid w:val="00E66066"/>
    <w:rsid w:val="00E6688D"/>
    <w:rsid w:val="00E66A84"/>
    <w:rsid w:val="00E66B5F"/>
    <w:rsid w:val="00E66C79"/>
    <w:rsid w:val="00E66CD4"/>
    <w:rsid w:val="00E66DBE"/>
    <w:rsid w:val="00E6709B"/>
    <w:rsid w:val="00E67377"/>
    <w:rsid w:val="00E67EF2"/>
    <w:rsid w:val="00E7041A"/>
    <w:rsid w:val="00E7049D"/>
    <w:rsid w:val="00E70559"/>
    <w:rsid w:val="00E705B0"/>
    <w:rsid w:val="00E705F4"/>
    <w:rsid w:val="00E70712"/>
    <w:rsid w:val="00E70D5A"/>
    <w:rsid w:val="00E71020"/>
    <w:rsid w:val="00E716F3"/>
    <w:rsid w:val="00E71D36"/>
    <w:rsid w:val="00E71FA7"/>
    <w:rsid w:val="00E723F3"/>
    <w:rsid w:val="00E73277"/>
    <w:rsid w:val="00E735D3"/>
    <w:rsid w:val="00E73851"/>
    <w:rsid w:val="00E73D64"/>
    <w:rsid w:val="00E73DE1"/>
    <w:rsid w:val="00E74159"/>
    <w:rsid w:val="00E7415E"/>
    <w:rsid w:val="00E74B6E"/>
    <w:rsid w:val="00E74E0E"/>
    <w:rsid w:val="00E75048"/>
    <w:rsid w:val="00E7528F"/>
    <w:rsid w:val="00E75724"/>
    <w:rsid w:val="00E759D6"/>
    <w:rsid w:val="00E75BE0"/>
    <w:rsid w:val="00E75DC4"/>
    <w:rsid w:val="00E75E7A"/>
    <w:rsid w:val="00E76225"/>
    <w:rsid w:val="00E763D8"/>
    <w:rsid w:val="00E76558"/>
    <w:rsid w:val="00E76C7B"/>
    <w:rsid w:val="00E7711A"/>
    <w:rsid w:val="00E77A24"/>
    <w:rsid w:val="00E77A79"/>
    <w:rsid w:val="00E77B9D"/>
    <w:rsid w:val="00E77C5F"/>
    <w:rsid w:val="00E77D8D"/>
    <w:rsid w:val="00E77F1D"/>
    <w:rsid w:val="00E80427"/>
    <w:rsid w:val="00E806D1"/>
    <w:rsid w:val="00E806DE"/>
    <w:rsid w:val="00E80A47"/>
    <w:rsid w:val="00E80B25"/>
    <w:rsid w:val="00E80E51"/>
    <w:rsid w:val="00E80EB2"/>
    <w:rsid w:val="00E812E6"/>
    <w:rsid w:val="00E81378"/>
    <w:rsid w:val="00E814E5"/>
    <w:rsid w:val="00E81CF4"/>
    <w:rsid w:val="00E81EAA"/>
    <w:rsid w:val="00E820A8"/>
    <w:rsid w:val="00E828E6"/>
    <w:rsid w:val="00E82941"/>
    <w:rsid w:val="00E829EB"/>
    <w:rsid w:val="00E82AAE"/>
    <w:rsid w:val="00E82B25"/>
    <w:rsid w:val="00E833AD"/>
    <w:rsid w:val="00E83502"/>
    <w:rsid w:val="00E84474"/>
    <w:rsid w:val="00E846AB"/>
    <w:rsid w:val="00E8588C"/>
    <w:rsid w:val="00E85B39"/>
    <w:rsid w:val="00E861A7"/>
    <w:rsid w:val="00E864CE"/>
    <w:rsid w:val="00E86ABE"/>
    <w:rsid w:val="00E86E8D"/>
    <w:rsid w:val="00E87023"/>
    <w:rsid w:val="00E87477"/>
    <w:rsid w:val="00E8766E"/>
    <w:rsid w:val="00E87881"/>
    <w:rsid w:val="00E87D9E"/>
    <w:rsid w:val="00E87EB0"/>
    <w:rsid w:val="00E87FA1"/>
    <w:rsid w:val="00E900A8"/>
    <w:rsid w:val="00E900F0"/>
    <w:rsid w:val="00E907E3"/>
    <w:rsid w:val="00E90C78"/>
    <w:rsid w:val="00E9139B"/>
    <w:rsid w:val="00E91D72"/>
    <w:rsid w:val="00E92237"/>
    <w:rsid w:val="00E923B3"/>
    <w:rsid w:val="00E92720"/>
    <w:rsid w:val="00E929E0"/>
    <w:rsid w:val="00E92BA0"/>
    <w:rsid w:val="00E92BD2"/>
    <w:rsid w:val="00E92F41"/>
    <w:rsid w:val="00E93082"/>
    <w:rsid w:val="00E931A6"/>
    <w:rsid w:val="00E93366"/>
    <w:rsid w:val="00E9358E"/>
    <w:rsid w:val="00E93848"/>
    <w:rsid w:val="00E93AD6"/>
    <w:rsid w:val="00E93DAE"/>
    <w:rsid w:val="00E943D9"/>
    <w:rsid w:val="00E944CD"/>
    <w:rsid w:val="00E94844"/>
    <w:rsid w:val="00E94B6A"/>
    <w:rsid w:val="00E94C76"/>
    <w:rsid w:val="00E94D72"/>
    <w:rsid w:val="00E95180"/>
    <w:rsid w:val="00E95B69"/>
    <w:rsid w:val="00E960D0"/>
    <w:rsid w:val="00E967D6"/>
    <w:rsid w:val="00E96BB8"/>
    <w:rsid w:val="00E96F04"/>
    <w:rsid w:val="00E97767"/>
    <w:rsid w:val="00E9794D"/>
    <w:rsid w:val="00E97A5B"/>
    <w:rsid w:val="00EA1171"/>
    <w:rsid w:val="00EA1EB9"/>
    <w:rsid w:val="00EA1FBE"/>
    <w:rsid w:val="00EA21AF"/>
    <w:rsid w:val="00EA2229"/>
    <w:rsid w:val="00EA2396"/>
    <w:rsid w:val="00EA24DD"/>
    <w:rsid w:val="00EA27A0"/>
    <w:rsid w:val="00EA285C"/>
    <w:rsid w:val="00EA28F9"/>
    <w:rsid w:val="00EA2C70"/>
    <w:rsid w:val="00EA2DD2"/>
    <w:rsid w:val="00EA2E5B"/>
    <w:rsid w:val="00EA30CF"/>
    <w:rsid w:val="00EA337D"/>
    <w:rsid w:val="00EA3389"/>
    <w:rsid w:val="00EA390F"/>
    <w:rsid w:val="00EA3EA6"/>
    <w:rsid w:val="00EA445E"/>
    <w:rsid w:val="00EA4628"/>
    <w:rsid w:val="00EA4AD8"/>
    <w:rsid w:val="00EA6876"/>
    <w:rsid w:val="00EA6A32"/>
    <w:rsid w:val="00EA6EC7"/>
    <w:rsid w:val="00EA714F"/>
    <w:rsid w:val="00EA7C7B"/>
    <w:rsid w:val="00EA7CCE"/>
    <w:rsid w:val="00EA7CF9"/>
    <w:rsid w:val="00EA7E2F"/>
    <w:rsid w:val="00EA7FE0"/>
    <w:rsid w:val="00EB00A2"/>
    <w:rsid w:val="00EB0D6C"/>
    <w:rsid w:val="00EB0EAC"/>
    <w:rsid w:val="00EB10E0"/>
    <w:rsid w:val="00EB1138"/>
    <w:rsid w:val="00EB11B7"/>
    <w:rsid w:val="00EB15EE"/>
    <w:rsid w:val="00EB1CA2"/>
    <w:rsid w:val="00EB2852"/>
    <w:rsid w:val="00EB2BDB"/>
    <w:rsid w:val="00EB2D3C"/>
    <w:rsid w:val="00EB3198"/>
    <w:rsid w:val="00EB3229"/>
    <w:rsid w:val="00EB3279"/>
    <w:rsid w:val="00EB32A0"/>
    <w:rsid w:val="00EB32B3"/>
    <w:rsid w:val="00EB3874"/>
    <w:rsid w:val="00EB3C54"/>
    <w:rsid w:val="00EB3F03"/>
    <w:rsid w:val="00EB5126"/>
    <w:rsid w:val="00EB56A6"/>
    <w:rsid w:val="00EB5840"/>
    <w:rsid w:val="00EB58EC"/>
    <w:rsid w:val="00EB6701"/>
    <w:rsid w:val="00EB6D12"/>
    <w:rsid w:val="00EB6E86"/>
    <w:rsid w:val="00EB711F"/>
    <w:rsid w:val="00EB7E44"/>
    <w:rsid w:val="00EB7EDD"/>
    <w:rsid w:val="00EC0773"/>
    <w:rsid w:val="00EC0BCA"/>
    <w:rsid w:val="00EC11A8"/>
    <w:rsid w:val="00EC1AE0"/>
    <w:rsid w:val="00EC1D2F"/>
    <w:rsid w:val="00EC21F4"/>
    <w:rsid w:val="00EC250C"/>
    <w:rsid w:val="00EC2ABC"/>
    <w:rsid w:val="00EC2FDF"/>
    <w:rsid w:val="00EC34ED"/>
    <w:rsid w:val="00EC37F0"/>
    <w:rsid w:val="00EC3E18"/>
    <w:rsid w:val="00EC3E9E"/>
    <w:rsid w:val="00EC3EBC"/>
    <w:rsid w:val="00EC3EEF"/>
    <w:rsid w:val="00EC40D3"/>
    <w:rsid w:val="00EC41BB"/>
    <w:rsid w:val="00EC4A78"/>
    <w:rsid w:val="00EC4AA3"/>
    <w:rsid w:val="00EC52C9"/>
    <w:rsid w:val="00EC5684"/>
    <w:rsid w:val="00EC5703"/>
    <w:rsid w:val="00EC5BD0"/>
    <w:rsid w:val="00EC60F8"/>
    <w:rsid w:val="00EC63D1"/>
    <w:rsid w:val="00EC681D"/>
    <w:rsid w:val="00EC6F99"/>
    <w:rsid w:val="00EC7583"/>
    <w:rsid w:val="00EC79F6"/>
    <w:rsid w:val="00EC7C02"/>
    <w:rsid w:val="00EC7E4F"/>
    <w:rsid w:val="00ED03CD"/>
    <w:rsid w:val="00ED096C"/>
    <w:rsid w:val="00ED1853"/>
    <w:rsid w:val="00ED1B7C"/>
    <w:rsid w:val="00ED1C70"/>
    <w:rsid w:val="00ED24E4"/>
    <w:rsid w:val="00ED29E2"/>
    <w:rsid w:val="00ED314A"/>
    <w:rsid w:val="00ED327D"/>
    <w:rsid w:val="00ED3508"/>
    <w:rsid w:val="00ED36D3"/>
    <w:rsid w:val="00ED39DB"/>
    <w:rsid w:val="00ED3D10"/>
    <w:rsid w:val="00ED3EA6"/>
    <w:rsid w:val="00ED4155"/>
    <w:rsid w:val="00ED4227"/>
    <w:rsid w:val="00ED43C9"/>
    <w:rsid w:val="00ED49BD"/>
    <w:rsid w:val="00ED5378"/>
    <w:rsid w:val="00ED5920"/>
    <w:rsid w:val="00ED5EBF"/>
    <w:rsid w:val="00ED6432"/>
    <w:rsid w:val="00ED6BBE"/>
    <w:rsid w:val="00ED6C3C"/>
    <w:rsid w:val="00ED6CB5"/>
    <w:rsid w:val="00ED6E5F"/>
    <w:rsid w:val="00ED723A"/>
    <w:rsid w:val="00ED7312"/>
    <w:rsid w:val="00ED7D9B"/>
    <w:rsid w:val="00EE0214"/>
    <w:rsid w:val="00EE0253"/>
    <w:rsid w:val="00EE071C"/>
    <w:rsid w:val="00EE0E17"/>
    <w:rsid w:val="00EE0FFC"/>
    <w:rsid w:val="00EE12A1"/>
    <w:rsid w:val="00EE1310"/>
    <w:rsid w:val="00EE1EBA"/>
    <w:rsid w:val="00EE1F0A"/>
    <w:rsid w:val="00EE207C"/>
    <w:rsid w:val="00EE2402"/>
    <w:rsid w:val="00EE2614"/>
    <w:rsid w:val="00EE2CB4"/>
    <w:rsid w:val="00EE2CED"/>
    <w:rsid w:val="00EE2F29"/>
    <w:rsid w:val="00EE3327"/>
    <w:rsid w:val="00EE4456"/>
    <w:rsid w:val="00EE4485"/>
    <w:rsid w:val="00EE4682"/>
    <w:rsid w:val="00EE476A"/>
    <w:rsid w:val="00EE4833"/>
    <w:rsid w:val="00EE49E4"/>
    <w:rsid w:val="00EE57D5"/>
    <w:rsid w:val="00EE5866"/>
    <w:rsid w:val="00EE5A3B"/>
    <w:rsid w:val="00EE5FB3"/>
    <w:rsid w:val="00EE6058"/>
    <w:rsid w:val="00EE65CC"/>
    <w:rsid w:val="00EE6697"/>
    <w:rsid w:val="00EE6CEA"/>
    <w:rsid w:val="00EE7049"/>
    <w:rsid w:val="00EE74BC"/>
    <w:rsid w:val="00EE79DA"/>
    <w:rsid w:val="00EE7D1A"/>
    <w:rsid w:val="00EF02CE"/>
    <w:rsid w:val="00EF0370"/>
    <w:rsid w:val="00EF03B2"/>
    <w:rsid w:val="00EF0660"/>
    <w:rsid w:val="00EF0895"/>
    <w:rsid w:val="00EF0A23"/>
    <w:rsid w:val="00EF0E85"/>
    <w:rsid w:val="00EF0EC1"/>
    <w:rsid w:val="00EF19AB"/>
    <w:rsid w:val="00EF19F1"/>
    <w:rsid w:val="00EF1B80"/>
    <w:rsid w:val="00EF1C00"/>
    <w:rsid w:val="00EF1F3C"/>
    <w:rsid w:val="00EF1FFD"/>
    <w:rsid w:val="00EF248C"/>
    <w:rsid w:val="00EF25EB"/>
    <w:rsid w:val="00EF2683"/>
    <w:rsid w:val="00EF26C0"/>
    <w:rsid w:val="00EF2C83"/>
    <w:rsid w:val="00EF3582"/>
    <w:rsid w:val="00EF371A"/>
    <w:rsid w:val="00EF3725"/>
    <w:rsid w:val="00EF44FE"/>
    <w:rsid w:val="00EF4B21"/>
    <w:rsid w:val="00EF5339"/>
    <w:rsid w:val="00EF55CC"/>
    <w:rsid w:val="00EF5B58"/>
    <w:rsid w:val="00EF5CEF"/>
    <w:rsid w:val="00EF5D2F"/>
    <w:rsid w:val="00EF629D"/>
    <w:rsid w:val="00EF6336"/>
    <w:rsid w:val="00EF6651"/>
    <w:rsid w:val="00EF66F8"/>
    <w:rsid w:val="00EF677F"/>
    <w:rsid w:val="00EF6ABA"/>
    <w:rsid w:val="00EF6C04"/>
    <w:rsid w:val="00EF7B0F"/>
    <w:rsid w:val="00EF7EBE"/>
    <w:rsid w:val="00F007A4"/>
    <w:rsid w:val="00F00DE4"/>
    <w:rsid w:val="00F010CE"/>
    <w:rsid w:val="00F016E8"/>
    <w:rsid w:val="00F01746"/>
    <w:rsid w:val="00F01A86"/>
    <w:rsid w:val="00F01C6B"/>
    <w:rsid w:val="00F01F35"/>
    <w:rsid w:val="00F021CB"/>
    <w:rsid w:val="00F024B9"/>
    <w:rsid w:val="00F025AD"/>
    <w:rsid w:val="00F033C5"/>
    <w:rsid w:val="00F037E0"/>
    <w:rsid w:val="00F03A03"/>
    <w:rsid w:val="00F03A20"/>
    <w:rsid w:val="00F03D1D"/>
    <w:rsid w:val="00F046CC"/>
    <w:rsid w:val="00F04729"/>
    <w:rsid w:val="00F04A2E"/>
    <w:rsid w:val="00F04AF2"/>
    <w:rsid w:val="00F04AF4"/>
    <w:rsid w:val="00F04C58"/>
    <w:rsid w:val="00F04D79"/>
    <w:rsid w:val="00F053F5"/>
    <w:rsid w:val="00F05A39"/>
    <w:rsid w:val="00F05A82"/>
    <w:rsid w:val="00F05B1B"/>
    <w:rsid w:val="00F05B44"/>
    <w:rsid w:val="00F05BD8"/>
    <w:rsid w:val="00F06562"/>
    <w:rsid w:val="00F06C26"/>
    <w:rsid w:val="00F06DE7"/>
    <w:rsid w:val="00F073F4"/>
    <w:rsid w:val="00F07911"/>
    <w:rsid w:val="00F07DE8"/>
    <w:rsid w:val="00F10201"/>
    <w:rsid w:val="00F1041E"/>
    <w:rsid w:val="00F1067F"/>
    <w:rsid w:val="00F10866"/>
    <w:rsid w:val="00F108AF"/>
    <w:rsid w:val="00F10B68"/>
    <w:rsid w:val="00F10EB5"/>
    <w:rsid w:val="00F10FBE"/>
    <w:rsid w:val="00F112AD"/>
    <w:rsid w:val="00F11530"/>
    <w:rsid w:val="00F11AA2"/>
    <w:rsid w:val="00F11DDC"/>
    <w:rsid w:val="00F12375"/>
    <w:rsid w:val="00F12766"/>
    <w:rsid w:val="00F13A02"/>
    <w:rsid w:val="00F13C40"/>
    <w:rsid w:val="00F13C42"/>
    <w:rsid w:val="00F13C84"/>
    <w:rsid w:val="00F13DA3"/>
    <w:rsid w:val="00F13EE8"/>
    <w:rsid w:val="00F14199"/>
    <w:rsid w:val="00F15189"/>
    <w:rsid w:val="00F15208"/>
    <w:rsid w:val="00F15CE3"/>
    <w:rsid w:val="00F16417"/>
    <w:rsid w:val="00F164CB"/>
    <w:rsid w:val="00F169E8"/>
    <w:rsid w:val="00F16E87"/>
    <w:rsid w:val="00F17561"/>
    <w:rsid w:val="00F178D3"/>
    <w:rsid w:val="00F17DFB"/>
    <w:rsid w:val="00F203F8"/>
    <w:rsid w:val="00F20747"/>
    <w:rsid w:val="00F207DF"/>
    <w:rsid w:val="00F208B5"/>
    <w:rsid w:val="00F20D13"/>
    <w:rsid w:val="00F20F1F"/>
    <w:rsid w:val="00F21A0F"/>
    <w:rsid w:val="00F22339"/>
    <w:rsid w:val="00F2243E"/>
    <w:rsid w:val="00F22573"/>
    <w:rsid w:val="00F23436"/>
    <w:rsid w:val="00F23694"/>
    <w:rsid w:val="00F23827"/>
    <w:rsid w:val="00F24227"/>
    <w:rsid w:val="00F242F2"/>
    <w:rsid w:val="00F24640"/>
    <w:rsid w:val="00F24B61"/>
    <w:rsid w:val="00F24B91"/>
    <w:rsid w:val="00F25260"/>
    <w:rsid w:val="00F253AF"/>
    <w:rsid w:val="00F258AD"/>
    <w:rsid w:val="00F25C6F"/>
    <w:rsid w:val="00F25D64"/>
    <w:rsid w:val="00F25EEF"/>
    <w:rsid w:val="00F25FCE"/>
    <w:rsid w:val="00F2613D"/>
    <w:rsid w:val="00F26447"/>
    <w:rsid w:val="00F2666E"/>
    <w:rsid w:val="00F26725"/>
    <w:rsid w:val="00F26BB8"/>
    <w:rsid w:val="00F26CBD"/>
    <w:rsid w:val="00F2713D"/>
    <w:rsid w:val="00F271C7"/>
    <w:rsid w:val="00F30095"/>
    <w:rsid w:val="00F301FD"/>
    <w:rsid w:val="00F3043A"/>
    <w:rsid w:val="00F30AAB"/>
    <w:rsid w:val="00F30BCF"/>
    <w:rsid w:val="00F31825"/>
    <w:rsid w:val="00F318E6"/>
    <w:rsid w:val="00F31FA5"/>
    <w:rsid w:val="00F3280E"/>
    <w:rsid w:val="00F32884"/>
    <w:rsid w:val="00F32A0C"/>
    <w:rsid w:val="00F333CB"/>
    <w:rsid w:val="00F33595"/>
    <w:rsid w:val="00F3367C"/>
    <w:rsid w:val="00F33DD9"/>
    <w:rsid w:val="00F3401F"/>
    <w:rsid w:val="00F3402A"/>
    <w:rsid w:val="00F34102"/>
    <w:rsid w:val="00F34534"/>
    <w:rsid w:val="00F3494B"/>
    <w:rsid w:val="00F34CCB"/>
    <w:rsid w:val="00F3567E"/>
    <w:rsid w:val="00F35FE7"/>
    <w:rsid w:val="00F364CB"/>
    <w:rsid w:val="00F36EF7"/>
    <w:rsid w:val="00F36F2B"/>
    <w:rsid w:val="00F37082"/>
    <w:rsid w:val="00F375AA"/>
    <w:rsid w:val="00F375AC"/>
    <w:rsid w:val="00F37600"/>
    <w:rsid w:val="00F37C5B"/>
    <w:rsid w:val="00F40052"/>
    <w:rsid w:val="00F40057"/>
    <w:rsid w:val="00F400EB"/>
    <w:rsid w:val="00F4074F"/>
    <w:rsid w:val="00F40A53"/>
    <w:rsid w:val="00F40B6B"/>
    <w:rsid w:val="00F41399"/>
    <w:rsid w:val="00F41641"/>
    <w:rsid w:val="00F417C8"/>
    <w:rsid w:val="00F41EA8"/>
    <w:rsid w:val="00F420EB"/>
    <w:rsid w:val="00F42510"/>
    <w:rsid w:val="00F4265A"/>
    <w:rsid w:val="00F42968"/>
    <w:rsid w:val="00F42A2F"/>
    <w:rsid w:val="00F42D58"/>
    <w:rsid w:val="00F43015"/>
    <w:rsid w:val="00F431E5"/>
    <w:rsid w:val="00F435B2"/>
    <w:rsid w:val="00F43636"/>
    <w:rsid w:val="00F43E2C"/>
    <w:rsid w:val="00F4432D"/>
    <w:rsid w:val="00F44364"/>
    <w:rsid w:val="00F443E3"/>
    <w:rsid w:val="00F44533"/>
    <w:rsid w:val="00F448AB"/>
    <w:rsid w:val="00F448C4"/>
    <w:rsid w:val="00F44938"/>
    <w:rsid w:val="00F4498F"/>
    <w:rsid w:val="00F44E5F"/>
    <w:rsid w:val="00F45264"/>
    <w:rsid w:val="00F45953"/>
    <w:rsid w:val="00F45C59"/>
    <w:rsid w:val="00F463B9"/>
    <w:rsid w:val="00F46775"/>
    <w:rsid w:val="00F467CD"/>
    <w:rsid w:val="00F46F2C"/>
    <w:rsid w:val="00F4707E"/>
    <w:rsid w:val="00F47759"/>
    <w:rsid w:val="00F47836"/>
    <w:rsid w:val="00F47CE4"/>
    <w:rsid w:val="00F502CC"/>
    <w:rsid w:val="00F50E03"/>
    <w:rsid w:val="00F5121A"/>
    <w:rsid w:val="00F512FE"/>
    <w:rsid w:val="00F513C8"/>
    <w:rsid w:val="00F51B1C"/>
    <w:rsid w:val="00F51BAB"/>
    <w:rsid w:val="00F5241C"/>
    <w:rsid w:val="00F5272B"/>
    <w:rsid w:val="00F527E3"/>
    <w:rsid w:val="00F52AA1"/>
    <w:rsid w:val="00F52BED"/>
    <w:rsid w:val="00F53565"/>
    <w:rsid w:val="00F53DBF"/>
    <w:rsid w:val="00F53E90"/>
    <w:rsid w:val="00F547B1"/>
    <w:rsid w:val="00F54D79"/>
    <w:rsid w:val="00F55FE5"/>
    <w:rsid w:val="00F5638C"/>
    <w:rsid w:val="00F5676F"/>
    <w:rsid w:val="00F576F6"/>
    <w:rsid w:val="00F5778F"/>
    <w:rsid w:val="00F60009"/>
    <w:rsid w:val="00F6042A"/>
    <w:rsid w:val="00F6048D"/>
    <w:rsid w:val="00F6092E"/>
    <w:rsid w:val="00F60A47"/>
    <w:rsid w:val="00F60BBD"/>
    <w:rsid w:val="00F60C82"/>
    <w:rsid w:val="00F61155"/>
    <w:rsid w:val="00F6142F"/>
    <w:rsid w:val="00F6192D"/>
    <w:rsid w:val="00F619BE"/>
    <w:rsid w:val="00F61A8C"/>
    <w:rsid w:val="00F61CD2"/>
    <w:rsid w:val="00F61D35"/>
    <w:rsid w:val="00F622A6"/>
    <w:rsid w:val="00F62340"/>
    <w:rsid w:val="00F62942"/>
    <w:rsid w:val="00F62BD0"/>
    <w:rsid w:val="00F62BDA"/>
    <w:rsid w:val="00F63700"/>
    <w:rsid w:val="00F63903"/>
    <w:rsid w:val="00F63F90"/>
    <w:rsid w:val="00F640D0"/>
    <w:rsid w:val="00F6420C"/>
    <w:rsid w:val="00F648DC"/>
    <w:rsid w:val="00F6492F"/>
    <w:rsid w:val="00F64A9B"/>
    <w:rsid w:val="00F64C60"/>
    <w:rsid w:val="00F64D78"/>
    <w:rsid w:val="00F659AC"/>
    <w:rsid w:val="00F65B02"/>
    <w:rsid w:val="00F65EA0"/>
    <w:rsid w:val="00F660FA"/>
    <w:rsid w:val="00F66347"/>
    <w:rsid w:val="00F66349"/>
    <w:rsid w:val="00F670C6"/>
    <w:rsid w:val="00F674CA"/>
    <w:rsid w:val="00F67CC7"/>
    <w:rsid w:val="00F70193"/>
    <w:rsid w:val="00F701A3"/>
    <w:rsid w:val="00F7054B"/>
    <w:rsid w:val="00F7079D"/>
    <w:rsid w:val="00F70B6D"/>
    <w:rsid w:val="00F70B7C"/>
    <w:rsid w:val="00F70E67"/>
    <w:rsid w:val="00F71016"/>
    <w:rsid w:val="00F71347"/>
    <w:rsid w:val="00F71B31"/>
    <w:rsid w:val="00F71C22"/>
    <w:rsid w:val="00F71D44"/>
    <w:rsid w:val="00F71EF2"/>
    <w:rsid w:val="00F722E8"/>
    <w:rsid w:val="00F734F1"/>
    <w:rsid w:val="00F735FD"/>
    <w:rsid w:val="00F737DD"/>
    <w:rsid w:val="00F737FF"/>
    <w:rsid w:val="00F73845"/>
    <w:rsid w:val="00F73A93"/>
    <w:rsid w:val="00F73DB9"/>
    <w:rsid w:val="00F74084"/>
    <w:rsid w:val="00F74125"/>
    <w:rsid w:val="00F742FA"/>
    <w:rsid w:val="00F743D7"/>
    <w:rsid w:val="00F74579"/>
    <w:rsid w:val="00F74670"/>
    <w:rsid w:val="00F75523"/>
    <w:rsid w:val="00F75780"/>
    <w:rsid w:val="00F7581E"/>
    <w:rsid w:val="00F75961"/>
    <w:rsid w:val="00F75C1D"/>
    <w:rsid w:val="00F75FDC"/>
    <w:rsid w:val="00F761C9"/>
    <w:rsid w:val="00F7661F"/>
    <w:rsid w:val="00F768B5"/>
    <w:rsid w:val="00F76996"/>
    <w:rsid w:val="00F76E88"/>
    <w:rsid w:val="00F7725E"/>
    <w:rsid w:val="00F773EE"/>
    <w:rsid w:val="00F77465"/>
    <w:rsid w:val="00F775DF"/>
    <w:rsid w:val="00F77829"/>
    <w:rsid w:val="00F8006F"/>
    <w:rsid w:val="00F80118"/>
    <w:rsid w:val="00F801DC"/>
    <w:rsid w:val="00F8034C"/>
    <w:rsid w:val="00F80660"/>
    <w:rsid w:val="00F806AD"/>
    <w:rsid w:val="00F80D29"/>
    <w:rsid w:val="00F80D2E"/>
    <w:rsid w:val="00F80E74"/>
    <w:rsid w:val="00F81403"/>
    <w:rsid w:val="00F819E8"/>
    <w:rsid w:val="00F81ACF"/>
    <w:rsid w:val="00F8223F"/>
    <w:rsid w:val="00F82777"/>
    <w:rsid w:val="00F82858"/>
    <w:rsid w:val="00F82F27"/>
    <w:rsid w:val="00F82F91"/>
    <w:rsid w:val="00F8365E"/>
    <w:rsid w:val="00F83C9A"/>
    <w:rsid w:val="00F83FCC"/>
    <w:rsid w:val="00F83FEC"/>
    <w:rsid w:val="00F846BE"/>
    <w:rsid w:val="00F84819"/>
    <w:rsid w:val="00F84865"/>
    <w:rsid w:val="00F84AE3"/>
    <w:rsid w:val="00F84B6D"/>
    <w:rsid w:val="00F84D1A"/>
    <w:rsid w:val="00F84F10"/>
    <w:rsid w:val="00F8522F"/>
    <w:rsid w:val="00F85ADF"/>
    <w:rsid w:val="00F86048"/>
    <w:rsid w:val="00F86213"/>
    <w:rsid w:val="00F863ED"/>
    <w:rsid w:val="00F86516"/>
    <w:rsid w:val="00F8690E"/>
    <w:rsid w:val="00F869EB"/>
    <w:rsid w:val="00F87301"/>
    <w:rsid w:val="00F87818"/>
    <w:rsid w:val="00F87971"/>
    <w:rsid w:val="00F87C90"/>
    <w:rsid w:val="00F9006C"/>
    <w:rsid w:val="00F90072"/>
    <w:rsid w:val="00F9021B"/>
    <w:rsid w:val="00F903B0"/>
    <w:rsid w:val="00F9043F"/>
    <w:rsid w:val="00F90D3E"/>
    <w:rsid w:val="00F90F5E"/>
    <w:rsid w:val="00F91178"/>
    <w:rsid w:val="00F91388"/>
    <w:rsid w:val="00F916FE"/>
    <w:rsid w:val="00F9185A"/>
    <w:rsid w:val="00F919E3"/>
    <w:rsid w:val="00F91C06"/>
    <w:rsid w:val="00F91DE3"/>
    <w:rsid w:val="00F91FAC"/>
    <w:rsid w:val="00F923FB"/>
    <w:rsid w:val="00F92942"/>
    <w:rsid w:val="00F92B8C"/>
    <w:rsid w:val="00F92D55"/>
    <w:rsid w:val="00F92FED"/>
    <w:rsid w:val="00F939B5"/>
    <w:rsid w:val="00F93A7C"/>
    <w:rsid w:val="00F943F7"/>
    <w:rsid w:val="00F94BD8"/>
    <w:rsid w:val="00F9500C"/>
    <w:rsid w:val="00F95111"/>
    <w:rsid w:val="00F95139"/>
    <w:rsid w:val="00F956D3"/>
    <w:rsid w:val="00F95815"/>
    <w:rsid w:val="00F95E29"/>
    <w:rsid w:val="00F963F5"/>
    <w:rsid w:val="00F96607"/>
    <w:rsid w:val="00F96C21"/>
    <w:rsid w:val="00F96E65"/>
    <w:rsid w:val="00F972D9"/>
    <w:rsid w:val="00F97673"/>
    <w:rsid w:val="00F979AD"/>
    <w:rsid w:val="00F97B45"/>
    <w:rsid w:val="00FA01C7"/>
    <w:rsid w:val="00FA06F6"/>
    <w:rsid w:val="00FA0C46"/>
    <w:rsid w:val="00FA181E"/>
    <w:rsid w:val="00FA1F7E"/>
    <w:rsid w:val="00FA2743"/>
    <w:rsid w:val="00FA27CB"/>
    <w:rsid w:val="00FA2C20"/>
    <w:rsid w:val="00FA2E2D"/>
    <w:rsid w:val="00FA2EC4"/>
    <w:rsid w:val="00FA3B53"/>
    <w:rsid w:val="00FA3C9C"/>
    <w:rsid w:val="00FA3D3D"/>
    <w:rsid w:val="00FA40A4"/>
    <w:rsid w:val="00FA45EE"/>
    <w:rsid w:val="00FA462A"/>
    <w:rsid w:val="00FA48DF"/>
    <w:rsid w:val="00FA496E"/>
    <w:rsid w:val="00FA5037"/>
    <w:rsid w:val="00FA511D"/>
    <w:rsid w:val="00FA5432"/>
    <w:rsid w:val="00FA58B4"/>
    <w:rsid w:val="00FA5CEE"/>
    <w:rsid w:val="00FA6090"/>
    <w:rsid w:val="00FA62CF"/>
    <w:rsid w:val="00FA6318"/>
    <w:rsid w:val="00FA675D"/>
    <w:rsid w:val="00FA6B5C"/>
    <w:rsid w:val="00FA6BCE"/>
    <w:rsid w:val="00FA6C32"/>
    <w:rsid w:val="00FA6E7B"/>
    <w:rsid w:val="00FA7127"/>
    <w:rsid w:val="00FA72D7"/>
    <w:rsid w:val="00FA76A4"/>
    <w:rsid w:val="00FA7990"/>
    <w:rsid w:val="00FA7BEE"/>
    <w:rsid w:val="00FB0477"/>
    <w:rsid w:val="00FB0AFB"/>
    <w:rsid w:val="00FB124C"/>
    <w:rsid w:val="00FB182D"/>
    <w:rsid w:val="00FB1D27"/>
    <w:rsid w:val="00FB2029"/>
    <w:rsid w:val="00FB207E"/>
    <w:rsid w:val="00FB2543"/>
    <w:rsid w:val="00FB264E"/>
    <w:rsid w:val="00FB28BC"/>
    <w:rsid w:val="00FB2E03"/>
    <w:rsid w:val="00FB2F77"/>
    <w:rsid w:val="00FB2FAD"/>
    <w:rsid w:val="00FB3326"/>
    <w:rsid w:val="00FB3380"/>
    <w:rsid w:val="00FB33CA"/>
    <w:rsid w:val="00FB390A"/>
    <w:rsid w:val="00FB3A2B"/>
    <w:rsid w:val="00FB3A2F"/>
    <w:rsid w:val="00FB3B17"/>
    <w:rsid w:val="00FB3B96"/>
    <w:rsid w:val="00FB3D7E"/>
    <w:rsid w:val="00FB4783"/>
    <w:rsid w:val="00FB4822"/>
    <w:rsid w:val="00FB494C"/>
    <w:rsid w:val="00FB51F5"/>
    <w:rsid w:val="00FB5A11"/>
    <w:rsid w:val="00FB5B99"/>
    <w:rsid w:val="00FB684F"/>
    <w:rsid w:val="00FB6A3A"/>
    <w:rsid w:val="00FB78FF"/>
    <w:rsid w:val="00FC0869"/>
    <w:rsid w:val="00FC0951"/>
    <w:rsid w:val="00FC0AF3"/>
    <w:rsid w:val="00FC0B39"/>
    <w:rsid w:val="00FC1759"/>
    <w:rsid w:val="00FC1987"/>
    <w:rsid w:val="00FC2C29"/>
    <w:rsid w:val="00FC3276"/>
    <w:rsid w:val="00FC3721"/>
    <w:rsid w:val="00FC375C"/>
    <w:rsid w:val="00FC3780"/>
    <w:rsid w:val="00FC3DBC"/>
    <w:rsid w:val="00FC3DC2"/>
    <w:rsid w:val="00FC4189"/>
    <w:rsid w:val="00FC43A6"/>
    <w:rsid w:val="00FC497E"/>
    <w:rsid w:val="00FC4E1A"/>
    <w:rsid w:val="00FC4F1A"/>
    <w:rsid w:val="00FC51A7"/>
    <w:rsid w:val="00FC58E0"/>
    <w:rsid w:val="00FC5CF4"/>
    <w:rsid w:val="00FC5E91"/>
    <w:rsid w:val="00FC604E"/>
    <w:rsid w:val="00FC6203"/>
    <w:rsid w:val="00FC659A"/>
    <w:rsid w:val="00FC68B2"/>
    <w:rsid w:val="00FC6C39"/>
    <w:rsid w:val="00FC743A"/>
    <w:rsid w:val="00FC77B3"/>
    <w:rsid w:val="00FC797C"/>
    <w:rsid w:val="00FC79CB"/>
    <w:rsid w:val="00FC7B1B"/>
    <w:rsid w:val="00FC7D4F"/>
    <w:rsid w:val="00FC7DEC"/>
    <w:rsid w:val="00FD0077"/>
    <w:rsid w:val="00FD0373"/>
    <w:rsid w:val="00FD049A"/>
    <w:rsid w:val="00FD0805"/>
    <w:rsid w:val="00FD08E1"/>
    <w:rsid w:val="00FD0C94"/>
    <w:rsid w:val="00FD0D61"/>
    <w:rsid w:val="00FD17D4"/>
    <w:rsid w:val="00FD189E"/>
    <w:rsid w:val="00FD19AE"/>
    <w:rsid w:val="00FD1A45"/>
    <w:rsid w:val="00FD1B45"/>
    <w:rsid w:val="00FD1BF0"/>
    <w:rsid w:val="00FD1D57"/>
    <w:rsid w:val="00FD20D0"/>
    <w:rsid w:val="00FD2512"/>
    <w:rsid w:val="00FD260C"/>
    <w:rsid w:val="00FD2A5F"/>
    <w:rsid w:val="00FD2B1A"/>
    <w:rsid w:val="00FD2B9E"/>
    <w:rsid w:val="00FD4759"/>
    <w:rsid w:val="00FD4DE9"/>
    <w:rsid w:val="00FD5282"/>
    <w:rsid w:val="00FD5389"/>
    <w:rsid w:val="00FD54A8"/>
    <w:rsid w:val="00FD552C"/>
    <w:rsid w:val="00FD5A68"/>
    <w:rsid w:val="00FD5D06"/>
    <w:rsid w:val="00FD5F23"/>
    <w:rsid w:val="00FD6501"/>
    <w:rsid w:val="00FD6A10"/>
    <w:rsid w:val="00FD6C36"/>
    <w:rsid w:val="00FD6D46"/>
    <w:rsid w:val="00FD6D70"/>
    <w:rsid w:val="00FD6DCB"/>
    <w:rsid w:val="00FD6E0B"/>
    <w:rsid w:val="00FD6E19"/>
    <w:rsid w:val="00FD7258"/>
    <w:rsid w:val="00FD777F"/>
    <w:rsid w:val="00FD789A"/>
    <w:rsid w:val="00FE01BF"/>
    <w:rsid w:val="00FE07FC"/>
    <w:rsid w:val="00FE0833"/>
    <w:rsid w:val="00FE0E97"/>
    <w:rsid w:val="00FE1925"/>
    <w:rsid w:val="00FE1980"/>
    <w:rsid w:val="00FE1CF8"/>
    <w:rsid w:val="00FE1E0D"/>
    <w:rsid w:val="00FE22DC"/>
    <w:rsid w:val="00FE274C"/>
    <w:rsid w:val="00FE2CFC"/>
    <w:rsid w:val="00FE2D1A"/>
    <w:rsid w:val="00FE3048"/>
    <w:rsid w:val="00FE33EF"/>
    <w:rsid w:val="00FE3538"/>
    <w:rsid w:val="00FE38D3"/>
    <w:rsid w:val="00FE4127"/>
    <w:rsid w:val="00FE42EB"/>
    <w:rsid w:val="00FE4456"/>
    <w:rsid w:val="00FE4E1C"/>
    <w:rsid w:val="00FE5B50"/>
    <w:rsid w:val="00FE5CEA"/>
    <w:rsid w:val="00FE6173"/>
    <w:rsid w:val="00FE629D"/>
    <w:rsid w:val="00FE64BC"/>
    <w:rsid w:val="00FE6729"/>
    <w:rsid w:val="00FE6917"/>
    <w:rsid w:val="00FE7CB2"/>
    <w:rsid w:val="00FE7D2D"/>
    <w:rsid w:val="00FF06CC"/>
    <w:rsid w:val="00FF0744"/>
    <w:rsid w:val="00FF079E"/>
    <w:rsid w:val="00FF085F"/>
    <w:rsid w:val="00FF1789"/>
    <w:rsid w:val="00FF1C0B"/>
    <w:rsid w:val="00FF1ECA"/>
    <w:rsid w:val="00FF1F43"/>
    <w:rsid w:val="00FF2203"/>
    <w:rsid w:val="00FF2729"/>
    <w:rsid w:val="00FF2A3B"/>
    <w:rsid w:val="00FF348A"/>
    <w:rsid w:val="00FF3A4B"/>
    <w:rsid w:val="00FF426F"/>
    <w:rsid w:val="00FF453A"/>
    <w:rsid w:val="00FF47EC"/>
    <w:rsid w:val="00FF4A4B"/>
    <w:rsid w:val="00FF4AF6"/>
    <w:rsid w:val="00FF4D1D"/>
    <w:rsid w:val="00FF4FC8"/>
    <w:rsid w:val="00FF520A"/>
    <w:rsid w:val="00FF5418"/>
    <w:rsid w:val="00FF54D8"/>
    <w:rsid w:val="00FF5B34"/>
    <w:rsid w:val="00FF5B8D"/>
    <w:rsid w:val="00FF6B42"/>
    <w:rsid w:val="00FF6B7D"/>
    <w:rsid w:val="00FF6DBF"/>
    <w:rsid w:val="00FF6DF6"/>
    <w:rsid w:val="00FF7190"/>
    <w:rsid w:val="00FF7738"/>
    <w:rsid w:val="00FF7874"/>
    <w:rsid w:val="00FF7B35"/>
    <w:rsid w:val="00FF7C54"/>
    <w:rsid w:val="00FF7EBC"/>
    <w:rsid w:val="011779BF"/>
    <w:rsid w:val="01677D98"/>
    <w:rsid w:val="016DCCC5"/>
    <w:rsid w:val="017E7035"/>
    <w:rsid w:val="01938AB8"/>
    <w:rsid w:val="01C9ABC5"/>
    <w:rsid w:val="026D5771"/>
    <w:rsid w:val="02A607DD"/>
    <w:rsid w:val="02CC14B0"/>
    <w:rsid w:val="03009A16"/>
    <w:rsid w:val="030483B8"/>
    <w:rsid w:val="0329992B"/>
    <w:rsid w:val="03374FB4"/>
    <w:rsid w:val="033B7870"/>
    <w:rsid w:val="03A471CA"/>
    <w:rsid w:val="040C4409"/>
    <w:rsid w:val="0463EE2B"/>
    <w:rsid w:val="04752B8A"/>
    <w:rsid w:val="049E0B93"/>
    <w:rsid w:val="04B58FED"/>
    <w:rsid w:val="04D2E62F"/>
    <w:rsid w:val="04DCD308"/>
    <w:rsid w:val="050DC0F5"/>
    <w:rsid w:val="05113E7B"/>
    <w:rsid w:val="0521C9F7"/>
    <w:rsid w:val="0527AE67"/>
    <w:rsid w:val="053C1EDE"/>
    <w:rsid w:val="0567F4E6"/>
    <w:rsid w:val="05726F9A"/>
    <w:rsid w:val="057E22DB"/>
    <w:rsid w:val="059F258F"/>
    <w:rsid w:val="05D86AE5"/>
    <w:rsid w:val="061ED8D0"/>
    <w:rsid w:val="064E0161"/>
    <w:rsid w:val="06916FBB"/>
    <w:rsid w:val="06B70BA6"/>
    <w:rsid w:val="06EDD735"/>
    <w:rsid w:val="06F8EE9E"/>
    <w:rsid w:val="0713CE0F"/>
    <w:rsid w:val="0748B9AE"/>
    <w:rsid w:val="07ABFE10"/>
    <w:rsid w:val="07DBC5EE"/>
    <w:rsid w:val="083427EC"/>
    <w:rsid w:val="087BE212"/>
    <w:rsid w:val="088B5466"/>
    <w:rsid w:val="08A21934"/>
    <w:rsid w:val="08B7A9BC"/>
    <w:rsid w:val="08DE95C2"/>
    <w:rsid w:val="08EE7F97"/>
    <w:rsid w:val="0903FBDA"/>
    <w:rsid w:val="092328C8"/>
    <w:rsid w:val="098CFC38"/>
    <w:rsid w:val="09D74E80"/>
    <w:rsid w:val="0A027016"/>
    <w:rsid w:val="0A0AFD9D"/>
    <w:rsid w:val="0A0F6F9D"/>
    <w:rsid w:val="0A2A366C"/>
    <w:rsid w:val="0A325A2B"/>
    <w:rsid w:val="0A35FCBE"/>
    <w:rsid w:val="0AAFB0E4"/>
    <w:rsid w:val="0B088F7E"/>
    <w:rsid w:val="0B2E8A0E"/>
    <w:rsid w:val="0B4A8002"/>
    <w:rsid w:val="0B824327"/>
    <w:rsid w:val="0BC19855"/>
    <w:rsid w:val="0BC9016E"/>
    <w:rsid w:val="0BEC356F"/>
    <w:rsid w:val="0C0189FA"/>
    <w:rsid w:val="0C0DE064"/>
    <w:rsid w:val="0C793695"/>
    <w:rsid w:val="0CE5D377"/>
    <w:rsid w:val="0D26BA2D"/>
    <w:rsid w:val="0D836240"/>
    <w:rsid w:val="0DF83321"/>
    <w:rsid w:val="0E1A9111"/>
    <w:rsid w:val="0E2E7FA7"/>
    <w:rsid w:val="0E3024D9"/>
    <w:rsid w:val="0E52AF53"/>
    <w:rsid w:val="0EDD717E"/>
    <w:rsid w:val="0F2F6ED4"/>
    <w:rsid w:val="0F3DD2BE"/>
    <w:rsid w:val="0F7ED7DB"/>
    <w:rsid w:val="0F7F63C0"/>
    <w:rsid w:val="0F82B404"/>
    <w:rsid w:val="0F98F065"/>
    <w:rsid w:val="0FFDA250"/>
    <w:rsid w:val="101897CB"/>
    <w:rsid w:val="102BC1BF"/>
    <w:rsid w:val="1050DDF0"/>
    <w:rsid w:val="10526B7B"/>
    <w:rsid w:val="105405E2"/>
    <w:rsid w:val="10DB1F4E"/>
    <w:rsid w:val="110CEFAE"/>
    <w:rsid w:val="11107A18"/>
    <w:rsid w:val="114F55EC"/>
    <w:rsid w:val="1169AAD3"/>
    <w:rsid w:val="1191E2F8"/>
    <w:rsid w:val="119505F1"/>
    <w:rsid w:val="11965B0D"/>
    <w:rsid w:val="119C8661"/>
    <w:rsid w:val="11A57BAF"/>
    <w:rsid w:val="11A698F0"/>
    <w:rsid w:val="11F13D37"/>
    <w:rsid w:val="1208F6D5"/>
    <w:rsid w:val="122EB5CE"/>
    <w:rsid w:val="123EE894"/>
    <w:rsid w:val="123F4E36"/>
    <w:rsid w:val="128CC928"/>
    <w:rsid w:val="12A8BDA9"/>
    <w:rsid w:val="12B8915F"/>
    <w:rsid w:val="12CE7E8E"/>
    <w:rsid w:val="12D44DC5"/>
    <w:rsid w:val="12E8EC01"/>
    <w:rsid w:val="131E3EEA"/>
    <w:rsid w:val="13698ECD"/>
    <w:rsid w:val="13EDDB85"/>
    <w:rsid w:val="13FB4CEF"/>
    <w:rsid w:val="13FE338D"/>
    <w:rsid w:val="13FF703C"/>
    <w:rsid w:val="14547873"/>
    <w:rsid w:val="146BCA10"/>
    <w:rsid w:val="149E74A4"/>
    <w:rsid w:val="14DC84F9"/>
    <w:rsid w:val="14F23336"/>
    <w:rsid w:val="14FE0E0E"/>
    <w:rsid w:val="159CCD30"/>
    <w:rsid w:val="15AD5BE8"/>
    <w:rsid w:val="161FFD73"/>
    <w:rsid w:val="163A8EDA"/>
    <w:rsid w:val="16463C5F"/>
    <w:rsid w:val="167CD69F"/>
    <w:rsid w:val="16838C68"/>
    <w:rsid w:val="16B09588"/>
    <w:rsid w:val="16B82BE2"/>
    <w:rsid w:val="172FA877"/>
    <w:rsid w:val="176E4DF4"/>
    <w:rsid w:val="18016DD7"/>
    <w:rsid w:val="180B21CD"/>
    <w:rsid w:val="1817F3E7"/>
    <w:rsid w:val="183953FA"/>
    <w:rsid w:val="18530512"/>
    <w:rsid w:val="18940F6A"/>
    <w:rsid w:val="18D405B7"/>
    <w:rsid w:val="18E18C99"/>
    <w:rsid w:val="19123550"/>
    <w:rsid w:val="19C88938"/>
    <w:rsid w:val="19D7A161"/>
    <w:rsid w:val="1A21B7BC"/>
    <w:rsid w:val="1A86D6FA"/>
    <w:rsid w:val="1A8ACF86"/>
    <w:rsid w:val="1A8E2C0D"/>
    <w:rsid w:val="1AAD1910"/>
    <w:rsid w:val="1B2922EC"/>
    <w:rsid w:val="1C2A8086"/>
    <w:rsid w:val="1C53C33C"/>
    <w:rsid w:val="1C6DF73E"/>
    <w:rsid w:val="1C825FE8"/>
    <w:rsid w:val="1C87E493"/>
    <w:rsid w:val="1CB380B7"/>
    <w:rsid w:val="1CD39E6E"/>
    <w:rsid w:val="1CE8E316"/>
    <w:rsid w:val="1D1C8070"/>
    <w:rsid w:val="1D3BD94A"/>
    <w:rsid w:val="1DB2E80C"/>
    <w:rsid w:val="1DCB5CFC"/>
    <w:rsid w:val="1DD57332"/>
    <w:rsid w:val="1DFBB21E"/>
    <w:rsid w:val="1E0A2D20"/>
    <w:rsid w:val="1E11B037"/>
    <w:rsid w:val="1E37BD4D"/>
    <w:rsid w:val="1E6D0EEF"/>
    <w:rsid w:val="1EA3BD71"/>
    <w:rsid w:val="1EAE7886"/>
    <w:rsid w:val="1EBC38EE"/>
    <w:rsid w:val="1EE85629"/>
    <w:rsid w:val="1F0EC850"/>
    <w:rsid w:val="1F9E0161"/>
    <w:rsid w:val="1FC44B15"/>
    <w:rsid w:val="1FCC3C8E"/>
    <w:rsid w:val="1FF9D188"/>
    <w:rsid w:val="1FFE71AC"/>
    <w:rsid w:val="20649DCE"/>
    <w:rsid w:val="2098B0D9"/>
    <w:rsid w:val="20A865CD"/>
    <w:rsid w:val="20B4DB47"/>
    <w:rsid w:val="20BFBD2A"/>
    <w:rsid w:val="20D6972D"/>
    <w:rsid w:val="20F6B0D0"/>
    <w:rsid w:val="215EC5C0"/>
    <w:rsid w:val="2178A690"/>
    <w:rsid w:val="21919A1D"/>
    <w:rsid w:val="21C41D60"/>
    <w:rsid w:val="21CC8609"/>
    <w:rsid w:val="21EE38A4"/>
    <w:rsid w:val="2200A100"/>
    <w:rsid w:val="2262CE10"/>
    <w:rsid w:val="22CBC892"/>
    <w:rsid w:val="22F785DF"/>
    <w:rsid w:val="233434D1"/>
    <w:rsid w:val="234298D9"/>
    <w:rsid w:val="23E0D5C6"/>
    <w:rsid w:val="24077959"/>
    <w:rsid w:val="242569FA"/>
    <w:rsid w:val="242B1252"/>
    <w:rsid w:val="2453A3E5"/>
    <w:rsid w:val="24992F6B"/>
    <w:rsid w:val="249BA61D"/>
    <w:rsid w:val="250F426A"/>
    <w:rsid w:val="25410499"/>
    <w:rsid w:val="256FFEF5"/>
    <w:rsid w:val="25C144F3"/>
    <w:rsid w:val="25CB50E3"/>
    <w:rsid w:val="25EC7472"/>
    <w:rsid w:val="25FC123A"/>
    <w:rsid w:val="2623F610"/>
    <w:rsid w:val="2634A90E"/>
    <w:rsid w:val="2647D83C"/>
    <w:rsid w:val="2648FA43"/>
    <w:rsid w:val="26501EB8"/>
    <w:rsid w:val="26608A1B"/>
    <w:rsid w:val="2660A13C"/>
    <w:rsid w:val="2662016B"/>
    <w:rsid w:val="266593D4"/>
    <w:rsid w:val="26969880"/>
    <w:rsid w:val="26CDEB7D"/>
    <w:rsid w:val="26F012AF"/>
    <w:rsid w:val="270EC1BD"/>
    <w:rsid w:val="2710F78D"/>
    <w:rsid w:val="273E437E"/>
    <w:rsid w:val="277ED258"/>
    <w:rsid w:val="2792BF12"/>
    <w:rsid w:val="280ACCA0"/>
    <w:rsid w:val="2823FB29"/>
    <w:rsid w:val="2857E917"/>
    <w:rsid w:val="289F1105"/>
    <w:rsid w:val="28FB09EA"/>
    <w:rsid w:val="291D2DA1"/>
    <w:rsid w:val="29533AC8"/>
    <w:rsid w:val="29E2250A"/>
    <w:rsid w:val="29E8A67E"/>
    <w:rsid w:val="29F4E868"/>
    <w:rsid w:val="29F754BB"/>
    <w:rsid w:val="2A0E8178"/>
    <w:rsid w:val="2A641AB1"/>
    <w:rsid w:val="2A654942"/>
    <w:rsid w:val="2AAB6F21"/>
    <w:rsid w:val="2B0741FF"/>
    <w:rsid w:val="2B2641A4"/>
    <w:rsid w:val="2B41DF2C"/>
    <w:rsid w:val="2B4A92EA"/>
    <w:rsid w:val="2B81E2EF"/>
    <w:rsid w:val="2B93285E"/>
    <w:rsid w:val="2BAC5655"/>
    <w:rsid w:val="2BD58F54"/>
    <w:rsid w:val="2BE52C3F"/>
    <w:rsid w:val="2BE9159E"/>
    <w:rsid w:val="2C2F360A"/>
    <w:rsid w:val="2C3D1C55"/>
    <w:rsid w:val="2C5689C7"/>
    <w:rsid w:val="2C5F5A11"/>
    <w:rsid w:val="2CDEA9F0"/>
    <w:rsid w:val="2CFE9273"/>
    <w:rsid w:val="2D244473"/>
    <w:rsid w:val="2D2BC3CF"/>
    <w:rsid w:val="2D2DFCA0"/>
    <w:rsid w:val="2D39AC00"/>
    <w:rsid w:val="2D4797D3"/>
    <w:rsid w:val="2D54861D"/>
    <w:rsid w:val="2D6F883A"/>
    <w:rsid w:val="2D84C02C"/>
    <w:rsid w:val="2D9BBB73"/>
    <w:rsid w:val="2DA50395"/>
    <w:rsid w:val="2DC91B5A"/>
    <w:rsid w:val="2E23734B"/>
    <w:rsid w:val="2E26FF20"/>
    <w:rsid w:val="2E2D3135"/>
    <w:rsid w:val="2E44743E"/>
    <w:rsid w:val="2E55D290"/>
    <w:rsid w:val="2EA34033"/>
    <w:rsid w:val="2EB98087"/>
    <w:rsid w:val="2EBE365E"/>
    <w:rsid w:val="2EF97A5A"/>
    <w:rsid w:val="2F1541F3"/>
    <w:rsid w:val="2F1B0DCD"/>
    <w:rsid w:val="2F50B7C5"/>
    <w:rsid w:val="2F79B538"/>
    <w:rsid w:val="2FBB479D"/>
    <w:rsid w:val="2FD93A24"/>
    <w:rsid w:val="30239412"/>
    <w:rsid w:val="30531415"/>
    <w:rsid w:val="3080AB4D"/>
    <w:rsid w:val="3090DA62"/>
    <w:rsid w:val="30DB16EA"/>
    <w:rsid w:val="30EE0EDE"/>
    <w:rsid w:val="31093A80"/>
    <w:rsid w:val="3114A41A"/>
    <w:rsid w:val="31185324"/>
    <w:rsid w:val="31250CC5"/>
    <w:rsid w:val="31677593"/>
    <w:rsid w:val="318095AE"/>
    <w:rsid w:val="3194FC10"/>
    <w:rsid w:val="31F6418F"/>
    <w:rsid w:val="32143907"/>
    <w:rsid w:val="321517D7"/>
    <w:rsid w:val="3223ADDB"/>
    <w:rsid w:val="3237201B"/>
    <w:rsid w:val="325623A5"/>
    <w:rsid w:val="32B6ECE7"/>
    <w:rsid w:val="32BF9166"/>
    <w:rsid w:val="32C50C06"/>
    <w:rsid w:val="3301A306"/>
    <w:rsid w:val="33514FAC"/>
    <w:rsid w:val="336CD3D5"/>
    <w:rsid w:val="3380F211"/>
    <w:rsid w:val="3399FCC4"/>
    <w:rsid w:val="33D449BE"/>
    <w:rsid w:val="33ED74DF"/>
    <w:rsid w:val="3400AF2D"/>
    <w:rsid w:val="342CAEC0"/>
    <w:rsid w:val="346ABB98"/>
    <w:rsid w:val="34B2FF6E"/>
    <w:rsid w:val="34F411E4"/>
    <w:rsid w:val="3555F30D"/>
    <w:rsid w:val="35B60F92"/>
    <w:rsid w:val="35C942A7"/>
    <w:rsid w:val="35D72F12"/>
    <w:rsid w:val="35F07EAD"/>
    <w:rsid w:val="3616F5E1"/>
    <w:rsid w:val="364A2777"/>
    <w:rsid w:val="3663E0E2"/>
    <w:rsid w:val="366D14E6"/>
    <w:rsid w:val="367F70BC"/>
    <w:rsid w:val="36848425"/>
    <w:rsid w:val="36917471"/>
    <w:rsid w:val="36DB51D4"/>
    <w:rsid w:val="3732C1FC"/>
    <w:rsid w:val="37BF0F07"/>
    <w:rsid w:val="37DA9449"/>
    <w:rsid w:val="37E60596"/>
    <w:rsid w:val="37F6D069"/>
    <w:rsid w:val="381AD073"/>
    <w:rsid w:val="38404046"/>
    <w:rsid w:val="3846D6A3"/>
    <w:rsid w:val="384C89F0"/>
    <w:rsid w:val="388FB2AD"/>
    <w:rsid w:val="38BAF549"/>
    <w:rsid w:val="38E6F6AC"/>
    <w:rsid w:val="390B11A6"/>
    <w:rsid w:val="3916520E"/>
    <w:rsid w:val="3942439D"/>
    <w:rsid w:val="39434320"/>
    <w:rsid w:val="39522FB1"/>
    <w:rsid w:val="3966433A"/>
    <w:rsid w:val="3999285B"/>
    <w:rsid w:val="39A50371"/>
    <w:rsid w:val="39E457F6"/>
    <w:rsid w:val="3A568EE6"/>
    <w:rsid w:val="3A93A024"/>
    <w:rsid w:val="3AAAC86E"/>
    <w:rsid w:val="3ABF8AA9"/>
    <w:rsid w:val="3AE2A6D8"/>
    <w:rsid w:val="3B24AE58"/>
    <w:rsid w:val="3B25AA77"/>
    <w:rsid w:val="3B66E4AC"/>
    <w:rsid w:val="3B674767"/>
    <w:rsid w:val="3B910D8C"/>
    <w:rsid w:val="3BE57993"/>
    <w:rsid w:val="3BF1FE93"/>
    <w:rsid w:val="3BF922AA"/>
    <w:rsid w:val="3C2051AC"/>
    <w:rsid w:val="3C3038C1"/>
    <w:rsid w:val="3C42344B"/>
    <w:rsid w:val="3C9160D2"/>
    <w:rsid w:val="3CB65BC0"/>
    <w:rsid w:val="3CF028A0"/>
    <w:rsid w:val="3CFBE505"/>
    <w:rsid w:val="3D03E0D4"/>
    <w:rsid w:val="3D04E158"/>
    <w:rsid w:val="3D0A5542"/>
    <w:rsid w:val="3D0C43BC"/>
    <w:rsid w:val="3D213365"/>
    <w:rsid w:val="3D57860D"/>
    <w:rsid w:val="3D603607"/>
    <w:rsid w:val="3D8F29FE"/>
    <w:rsid w:val="3DD658BC"/>
    <w:rsid w:val="3DFF5F98"/>
    <w:rsid w:val="3E002D3F"/>
    <w:rsid w:val="3E383697"/>
    <w:rsid w:val="3E6137C2"/>
    <w:rsid w:val="3E7DD445"/>
    <w:rsid w:val="3E812852"/>
    <w:rsid w:val="3EB84901"/>
    <w:rsid w:val="3EE572AF"/>
    <w:rsid w:val="3F1E64A0"/>
    <w:rsid w:val="3F4D17C7"/>
    <w:rsid w:val="3F7E0BAE"/>
    <w:rsid w:val="3FA18755"/>
    <w:rsid w:val="3FC7235B"/>
    <w:rsid w:val="3FDD916A"/>
    <w:rsid w:val="3FFE41AB"/>
    <w:rsid w:val="4015065D"/>
    <w:rsid w:val="4029F01C"/>
    <w:rsid w:val="403C39BF"/>
    <w:rsid w:val="405E95A3"/>
    <w:rsid w:val="40768F10"/>
    <w:rsid w:val="40C0AAE2"/>
    <w:rsid w:val="40CDFEBC"/>
    <w:rsid w:val="4117A3B1"/>
    <w:rsid w:val="41590B99"/>
    <w:rsid w:val="417431FC"/>
    <w:rsid w:val="417B8CDA"/>
    <w:rsid w:val="41A5BD3D"/>
    <w:rsid w:val="41C055E6"/>
    <w:rsid w:val="420382D9"/>
    <w:rsid w:val="4251F98B"/>
    <w:rsid w:val="4258B880"/>
    <w:rsid w:val="425C9B84"/>
    <w:rsid w:val="428B444E"/>
    <w:rsid w:val="42A5D546"/>
    <w:rsid w:val="42B9B641"/>
    <w:rsid w:val="435459F9"/>
    <w:rsid w:val="43CF19BE"/>
    <w:rsid w:val="43F4BA58"/>
    <w:rsid w:val="43F7B42C"/>
    <w:rsid w:val="4405FA1D"/>
    <w:rsid w:val="442AEA91"/>
    <w:rsid w:val="443D6D76"/>
    <w:rsid w:val="4450B5B2"/>
    <w:rsid w:val="4494AD58"/>
    <w:rsid w:val="44C92F2A"/>
    <w:rsid w:val="44E81C97"/>
    <w:rsid w:val="450C53BF"/>
    <w:rsid w:val="4512539F"/>
    <w:rsid w:val="45323CAD"/>
    <w:rsid w:val="4565C449"/>
    <w:rsid w:val="45676414"/>
    <w:rsid w:val="456F23DA"/>
    <w:rsid w:val="459CAA17"/>
    <w:rsid w:val="464F686C"/>
    <w:rsid w:val="467152E8"/>
    <w:rsid w:val="46942C67"/>
    <w:rsid w:val="46C81C87"/>
    <w:rsid w:val="46C8C5F3"/>
    <w:rsid w:val="46E31073"/>
    <w:rsid w:val="47437A68"/>
    <w:rsid w:val="4746626D"/>
    <w:rsid w:val="4779F1CB"/>
    <w:rsid w:val="47987A99"/>
    <w:rsid w:val="479B0328"/>
    <w:rsid w:val="47B45119"/>
    <w:rsid w:val="47B7FAF2"/>
    <w:rsid w:val="47CE958C"/>
    <w:rsid w:val="47D0665D"/>
    <w:rsid w:val="47F7E5E8"/>
    <w:rsid w:val="48208730"/>
    <w:rsid w:val="483A1BBB"/>
    <w:rsid w:val="489544BC"/>
    <w:rsid w:val="48DC4D38"/>
    <w:rsid w:val="48FC8B5E"/>
    <w:rsid w:val="49294CD2"/>
    <w:rsid w:val="495BD84F"/>
    <w:rsid w:val="496F0EE7"/>
    <w:rsid w:val="49F855C7"/>
    <w:rsid w:val="49F8FCC5"/>
    <w:rsid w:val="49FCE5DC"/>
    <w:rsid w:val="4A43B19C"/>
    <w:rsid w:val="4A564CDA"/>
    <w:rsid w:val="4A7904DF"/>
    <w:rsid w:val="4AAF4127"/>
    <w:rsid w:val="4B11AD5F"/>
    <w:rsid w:val="4B7B80B5"/>
    <w:rsid w:val="4B852A41"/>
    <w:rsid w:val="4BB11663"/>
    <w:rsid w:val="4BC35E3F"/>
    <w:rsid w:val="4BCD2638"/>
    <w:rsid w:val="4BD2A6FA"/>
    <w:rsid w:val="4BEE212C"/>
    <w:rsid w:val="4C1B8EE8"/>
    <w:rsid w:val="4C268F6E"/>
    <w:rsid w:val="4C4A8996"/>
    <w:rsid w:val="4C563B6C"/>
    <w:rsid w:val="4CCC7D7E"/>
    <w:rsid w:val="4CE3E7F0"/>
    <w:rsid w:val="4CF1C8C8"/>
    <w:rsid w:val="4DE24F85"/>
    <w:rsid w:val="4DE848D4"/>
    <w:rsid w:val="4E145398"/>
    <w:rsid w:val="4F180F51"/>
    <w:rsid w:val="4F220AB7"/>
    <w:rsid w:val="4F63D7F7"/>
    <w:rsid w:val="4F9BD1F0"/>
    <w:rsid w:val="4FB152E9"/>
    <w:rsid w:val="501F5D00"/>
    <w:rsid w:val="5033BF05"/>
    <w:rsid w:val="504211C7"/>
    <w:rsid w:val="50443181"/>
    <w:rsid w:val="507EC37C"/>
    <w:rsid w:val="510EA27E"/>
    <w:rsid w:val="513488A7"/>
    <w:rsid w:val="518830E1"/>
    <w:rsid w:val="51A6B4B9"/>
    <w:rsid w:val="51CBC5B0"/>
    <w:rsid w:val="51CD5947"/>
    <w:rsid w:val="5226BF39"/>
    <w:rsid w:val="524A9442"/>
    <w:rsid w:val="5254647D"/>
    <w:rsid w:val="5285B6A6"/>
    <w:rsid w:val="528F328D"/>
    <w:rsid w:val="52A72A8F"/>
    <w:rsid w:val="52CEFD12"/>
    <w:rsid w:val="5309BC46"/>
    <w:rsid w:val="532C2432"/>
    <w:rsid w:val="5340C3A0"/>
    <w:rsid w:val="5375AA19"/>
    <w:rsid w:val="53AD57A8"/>
    <w:rsid w:val="53E27486"/>
    <w:rsid w:val="543F6388"/>
    <w:rsid w:val="545A9CB4"/>
    <w:rsid w:val="547E6EDC"/>
    <w:rsid w:val="54BCB974"/>
    <w:rsid w:val="54CFABB4"/>
    <w:rsid w:val="54DCC44A"/>
    <w:rsid w:val="54ED009C"/>
    <w:rsid w:val="55054ACC"/>
    <w:rsid w:val="55087894"/>
    <w:rsid w:val="55150E08"/>
    <w:rsid w:val="552AA66B"/>
    <w:rsid w:val="55338C19"/>
    <w:rsid w:val="555083DA"/>
    <w:rsid w:val="5567A149"/>
    <w:rsid w:val="55849A87"/>
    <w:rsid w:val="55947B80"/>
    <w:rsid w:val="560CFBB6"/>
    <w:rsid w:val="562D4262"/>
    <w:rsid w:val="56326ECC"/>
    <w:rsid w:val="5689701F"/>
    <w:rsid w:val="569D3E95"/>
    <w:rsid w:val="56A8851F"/>
    <w:rsid w:val="56ACDF8A"/>
    <w:rsid w:val="56CBA10A"/>
    <w:rsid w:val="57471738"/>
    <w:rsid w:val="5747615F"/>
    <w:rsid w:val="578C932C"/>
    <w:rsid w:val="57DDC4E1"/>
    <w:rsid w:val="58061D27"/>
    <w:rsid w:val="5887EAAE"/>
    <w:rsid w:val="58895EB3"/>
    <w:rsid w:val="58B28B4B"/>
    <w:rsid w:val="58D2D5EA"/>
    <w:rsid w:val="59135397"/>
    <w:rsid w:val="5928D5DA"/>
    <w:rsid w:val="5998B1EC"/>
    <w:rsid w:val="59B2335D"/>
    <w:rsid w:val="59B50AD1"/>
    <w:rsid w:val="59E025E1"/>
    <w:rsid w:val="59E651CC"/>
    <w:rsid w:val="5A0793BD"/>
    <w:rsid w:val="5A675197"/>
    <w:rsid w:val="5A7888BE"/>
    <w:rsid w:val="5A7EA697"/>
    <w:rsid w:val="5AB10EEF"/>
    <w:rsid w:val="5B11F34A"/>
    <w:rsid w:val="5B2854E8"/>
    <w:rsid w:val="5B662DAC"/>
    <w:rsid w:val="5B6C85C6"/>
    <w:rsid w:val="5BA562F0"/>
    <w:rsid w:val="5BA593BB"/>
    <w:rsid w:val="5BAF4F1E"/>
    <w:rsid w:val="5BEBB50C"/>
    <w:rsid w:val="5C051F9F"/>
    <w:rsid w:val="5C26C637"/>
    <w:rsid w:val="5C65A306"/>
    <w:rsid w:val="5CE0BC7E"/>
    <w:rsid w:val="5D028FBD"/>
    <w:rsid w:val="5D10B5D3"/>
    <w:rsid w:val="5D4657BC"/>
    <w:rsid w:val="5D589BB0"/>
    <w:rsid w:val="5E01604D"/>
    <w:rsid w:val="5E584007"/>
    <w:rsid w:val="5E752BDA"/>
    <w:rsid w:val="5E88F2C8"/>
    <w:rsid w:val="5EBA29E6"/>
    <w:rsid w:val="5ED6233C"/>
    <w:rsid w:val="5EFDBCE5"/>
    <w:rsid w:val="5F05CCBB"/>
    <w:rsid w:val="5F0E2E6E"/>
    <w:rsid w:val="5F522450"/>
    <w:rsid w:val="600F22C5"/>
    <w:rsid w:val="60295F3D"/>
    <w:rsid w:val="60692E85"/>
    <w:rsid w:val="60823CED"/>
    <w:rsid w:val="6086358A"/>
    <w:rsid w:val="60A97827"/>
    <w:rsid w:val="60C94E29"/>
    <w:rsid w:val="60EC92F0"/>
    <w:rsid w:val="6106155C"/>
    <w:rsid w:val="6112B178"/>
    <w:rsid w:val="61AAB741"/>
    <w:rsid w:val="61C3C9EA"/>
    <w:rsid w:val="61E055E3"/>
    <w:rsid w:val="6208AA3E"/>
    <w:rsid w:val="62154256"/>
    <w:rsid w:val="6286146C"/>
    <w:rsid w:val="629F0708"/>
    <w:rsid w:val="62A84E37"/>
    <w:rsid w:val="62B68FC3"/>
    <w:rsid w:val="6310F1D4"/>
    <w:rsid w:val="6327C5F6"/>
    <w:rsid w:val="6337F9FD"/>
    <w:rsid w:val="635CC64E"/>
    <w:rsid w:val="635D80C7"/>
    <w:rsid w:val="6375A19C"/>
    <w:rsid w:val="638D5683"/>
    <w:rsid w:val="63998F36"/>
    <w:rsid w:val="63EABE8E"/>
    <w:rsid w:val="63F1B306"/>
    <w:rsid w:val="6408E54A"/>
    <w:rsid w:val="640E9D13"/>
    <w:rsid w:val="64816580"/>
    <w:rsid w:val="6482BB5D"/>
    <w:rsid w:val="64BC99E0"/>
    <w:rsid w:val="64E37532"/>
    <w:rsid w:val="651F063D"/>
    <w:rsid w:val="6542C918"/>
    <w:rsid w:val="65494F33"/>
    <w:rsid w:val="65751A31"/>
    <w:rsid w:val="65E90681"/>
    <w:rsid w:val="66203A40"/>
    <w:rsid w:val="665DE880"/>
    <w:rsid w:val="665EC823"/>
    <w:rsid w:val="66690BAF"/>
    <w:rsid w:val="667BCB46"/>
    <w:rsid w:val="66803DBF"/>
    <w:rsid w:val="668E4FDE"/>
    <w:rsid w:val="669BEC5F"/>
    <w:rsid w:val="66A3279A"/>
    <w:rsid w:val="66AC5BE8"/>
    <w:rsid w:val="66B0365D"/>
    <w:rsid w:val="66ED6CD3"/>
    <w:rsid w:val="675CC4AE"/>
    <w:rsid w:val="679BF9F8"/>
    <w:rsid w:val="67EEE2BB"/>
    <w:rsid w:val="6808A21E"/>
    <w:rsid w:val="681BDCA9"/>
    <w:rsid w:val="681F1759"/>
    <w:rsid w:val="68295C6E"/>
    <w:rsid w:val="682F522A"/>
    <w:rsid w:val="683D2DA0"/>
    <w:rsid w:val="684457FA"/>
    <w:rsid w:val="6878EA76"/>
    <w:rsid w:val="68796A7D"/>
    <w:rsid w:val="687EBFF8"/>
    <w:rsid w:val="68986B9E"/>
    <w:rsid w:val="68A48FA5"/>
    <w:rsid w:val="68CE389F"/>
    <w:rsid w:val="68F7C675"/>
    <w:rsid w:val="6945CDC9"/>
    <w:rsid w:val="697E81B4"/>
    <w:rsid w:val="699B257F"/>
    <w:rsid w:val="69A79FC9"/>
    <w:rsid w:val="69AA92ED"/>
    <w:rsid w:val="6A4B1162"/>
    <w:rsid w:val="6AC5C4F5"/>
    <w:rsid w:val="6AE27866"/>
    <w:rsid w:val="6AF71279"/>
    <w:rsid w:val="6B2C4549"/>
    <w:rsid w:val="6B70A470"/>
    <w:rsid w:val="6B792480"/>
    <w:rsid w:val="6C121FE1"/>
    <w:rsid w:val="6C2EE0F0"/>
    <w:rsid w:val="6CCA683D"/>
    <w:rsid w:val="6CCD8BE3"/>
    <w:rsid w:val="6D363B9F"/>
    <w:rsid w:val="6D3A37AE"/>
    <w:rsid w:val="6D48E7BD"/>
    <w:rsid w:val="6D692E69"/>
    <w:rsid w:val="6D87C92A"/>
    <w:rsid w:val="6DEA1F69"/>
    <w:rsid w:val="6DEBCB27"/>
    <w:rsid w:val="6E286AFB"/>
    <w:rsid w:val="6E346365"/>
    <w:rsid w:val="6E83DAF5"/>
    <w:rsid w:val="6E94F9C5"/>
    <w:rsid w:val="6E99CCE2"/>
    <w:rsid w:val="6EBF0FAF"/>
    <w:rsid w:val="6EF230C2"/>
    <w:rsid w:val="6F0D7BDF"/>
    <w:rsid w:val="6F934402"/>
    <w:rsid w:val="6F957772"/>
    <w:rsid w:val="6FAF051B"/>
    <w:rsid w:val="700D2EB9"/>
    <w:rsid w:val="70343943"/>
    <w:rsid w:val="703DDFEA"/>
    <w:rsid w:val="70512A95"/>
    <w:rsid w:val="7073A3C6"/>
    <w:rsid w:val="70A75AF0"/>
    <w:rsid w:val="70C28F59"/>
    <w:rsid w:val="71070609"/>
    <w:rsid w:val="710F74AD"/>
    <w:rsid w:val="7149F600"/>
    <w:rsid w:val="714F0A91"/>
    <w:rsid w:val="7152D15D"/>
    <w:rsid w:val="716DBFAD"/>
    <w:rsid w:val="71995B6E"/>
    <w:rsid w:val="719DBB77"/>
    <w:rsid w:val="71EC6213"/>
    <w:rsid w:val="7236CED0"/>
    <w:rsid w:val="72412151"/>
    <w:rsid w:val="7251CADF"/>
    <w:rsid w:val="7262B3BF"/>
    <w:rsid w:val="7267E3B8"/>
    <w:rsid w:val="726B02C2"/>
    <w:rsid w:val="72ABB25F"/>
    <w:rsid w:val="72B0D0BB"/>
    <w:rsid w:val="72B0E05C"/>
    <w:rsid w:val="72B8AB97"/>
    <w:rsid w:val="733D790E"/>
    <w:rsid w:val="7366877F"/>
    <w:rsid w:val="7385D50C"/>
    <w:rsid w:val="73AAAD10"/>
    <w:rsid w:val="73E655B3"/>
    <w:rsid w:val="73EDAAC6"/>
    <w:rsid w:val="74030646"/>
    <w:rsid w:val="740474F7"/>
    <w:rsid w:val="740CF553"/>
    <w:rsid w:val="745C1FCD"/>
    <w:rsid w:val="747FECC3"/>
    <w:rsid w:val="74A5789F"/>
    <w:rsid w:val="74BD348A"/>
    <w:rsid w:val="750F6367"/>
    <w:rsid w:val="7515FC3F"/>
    <w:rsid w:val="75D245C2"/>
    <w:rsid w:val="75EA2C9D"/>
    <w:rsid w:val="76224209"/>
    <w:rsid w:val="7637461E"/>
    <w:rsid w:val="7655BB02"/>
    <w:rsid w:val="767575F7"/>
    <w:rsid w:val="768D7CD2"/>
    <w:rsid w:val="76ACF935"/>
    <w:rsid w:val="76B87290"/>
    <w:rsid w:val="76F4BB5D"/>
    <w:rsid w:val="76FF6DAF"/>
    <w:rsid w:val="76FFFEFD"/>
    <w:rsid w:val="77085AE8"/>
    <w:rsid w:val="7761F331"/>
    <w:rsid w:val="777A06E6"/>
    <w:rsid w:val="779B9129"/>
    <w:rsid w:val="77BC253C"/>
    <w:rsid w:val="77C0988E"/>
    <w:rsid w:val="77D1F74E"/>
    <w:rsid w:val="77EAE209"/>
    <w:rsid w:val="78134DD9"/>
    <w:rsid w:val="78184C31"/>
    <w:rsid w:val="783CAE2B"/>
    <w:rsid w:val="783ED40F"/>
    <w:rsid w:val="78541336"/>
    <w:rsid w:val="79369D2A"/>
    <w:rsid w:val="795FD718"/>
    <w:rsid w:val="7985D996"/>
    <w:rsid w:val="79F7A0AD"/>
    <w:rsid w:val="79FAD514"/>
    <w:rsid w:val="7A514EDB"/>
    <w:rsid w:val="7ACA20BF"/>
    <w:rsid w:val="7AE5A17A"/>
    <w:rsid w:val="7B062F4D"/>
    <w:rsid w:val="7B34228F"/>
    <w:rsid w:val="7B93DC30"/>
    <w:rsid w:val="7BBC12FB"/>
    <w:rsid w:val="7BC7D6CA"/>
    <w:rsid w:val="7BCA9363"/>
    <w:rsid w:val="7C14E069"/>
    <w:rsid w:val="7C347E9C"/>
    <w:rsid w:val="7C6A2861"/>
    <w:rsid w:val="7C81A1FA"/>
    <w:rsid w:val="7C8F3D15"/>
    <w:rsid w:val="7C914008"/>
    <w:rsid w:val="7CB961A3"/>
    <w:rsid w:val="7CBA2AF1"/>
    <w:rsid w:val="7CCCFAB9"/>
    <w:rsid w:val="7CFAF3FB"/>
    <w:rsid w:val="7D1BDBDA"/>
    <w:rsid w:val="7D324A6E"/>
    <w:rsid w:val="7DB16F21"/>
    <w:rsid w:val="7DC84924"/>
    <w:rsid w:val="7DF771B5"/>
    <w:rsid w:val="7DFB9D12"/>
    <w:rsid w:val="7E35DCDF"/>
    <w:rsid w:val="7E365DE9"/>
    <w:rsid w:val="7E605B67"/>
    <w:rsid w:val="7E6AC2F9"/>
    <w:rsid w:val="7E95629B"/>
    <w:rsid w:val="7EA3B425"/>
    <w:rsid w:val="7EEF8BF0"/>
    <w:rsid w:val="7F2DCB2F"/>
    <w:rsid w:val="7F3B3A62"/>
    <w:rsid w:val="7F78DC3E"/>
    <w:rsid w:val="7F7D65B7"/>
    <w:rsid w:val="7F89BD65"/>
    <w:rsid w:val="7F90A2DA"/>
    <w:rsid w:val="7FB24F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4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9"/>
    <w:qFormat/>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ind w:left="1389"/>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4"/>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9"/>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ListBullet2"/>
    <w:uiPriority w:val="99"/>
    <w:qFormat/>
    <w:rsid w:val="00361223"/>
    <w:pPr>
      <w:numPr>
        <w:ilvl w:val="0"/>
      </w:numPr>
    </w:pPr>
    <w:rPr>
      <w:bCs/>
    </w:r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9"/>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7"/>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1"/>
      </w:numPr>
      <w:ind w:left="568"/>
    </w:pPr>
  </w:style>
  <w:style w:type="numbering" w:customStyle="1" w:styleId="TableBulletlist">
    <w:name w:val="Table Bullet list"/>
    <w:uiPriority w:val="99"/>
    <w:pPr>
      <w:numPr>
        <w:numId w:val="12"/>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CAB - List Bullet,List Bullet Cab,1 heading,Bullet point,Bulleted Para,DDM Gen Text,Dot point 1.5 line spacing,FooterText,L,List Paragraph - bullets,List Paragraph1,List Paragraph11,List Paragraph2,NFP GP Bulleted List,Recommendation,列出段落"/>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CAB - List Bullet Char,List Bullet Cab Char,1 heading Char,Bullet point Char,Bulleted Para Char,DDM Gen Text Char,Dot point 1.5 line spacing Char,FooterText Char,L Char,List Paragraph - bullets Char,List Paragraph1 Char,列出段落 Char"/>
    <w:link w:val="ListParagraph"/>
    <w:uiPriority w:val="34"/>
    <w:qFormat/>
    <w:locked/>
    <w:rsid w:val="00B077DA"/>
    <w:rPr>
      <w:rFonts w:ascii="Calibri" w:eastAsiaTheme="minorHAnsi" w:hAnsi="Calibri" w:cs="Calibri"/>
      <w:sz w:val="22"/>
      <w:szCs w:val="22"/>
      <w:lang w:eastAsia="en-US"/>
    </w:rPr>
  </w:style>
  <w:style w:type="paragraph" w:customStyle="1" w:styleId="HEADINGL1BLUE">
    <w:name w:val="HEADING L1 (BLUE)"/>
    <w:basedOn w:val="Normal"/>
    <w:rsid w:val="004358F1"/>
    <w:pPr>
      <w:spacing w:line="300" w:lineRule="atLeast"/>
      <w:ind w:left="360" w:hanging="360"/>
    </w:pPr>
    <w:rPr>
      <w:rFonts w:ascii="Arial" w:eastAsia="MS Gothic" w:hAnsi="Arial" w:cstheme="minorHAnsi"/>
      <w:b/>
      <w:bCs/>
      <w:color w:val="00B0F0"/>
      <w:kern w:val="2"/>
      <w:sz w:val="28"/>
      <w:szCs w:val="28"/>
      <w:lang w:val="en-GB" w:eastAsia="en-AU"/>
      <w14:ligatures w14:val="standardContextual"/>
    </w:rPr>
  </w:style>
  <w:style w:type="paragraph" w:styleId="NoSpacing">
    <w:name w:val="No Spacing"/>
    <w:uiPriority w:val="1"/>
    <w:qFormat/>
    <w:rsid w:val="009D1A5E"/>
    <w:rPr>
      <w:rFonts w:asciiTheme="minorHAnsi" w:eastAsiaTheme="minorHAnsi" w:hAnsiTheme="minorHAnsi" w:cstheme="minorBidi"/>
      <w:kern w:val="2"/>
      <w:sz w:val="22"/>
      <w:szCs w:val="22"/>
      <w:lang w:eastAsia="en-US"/>
      <w14:ligatures w14:val="standardContextual"/>
    </w:rPr>
  </w:style>
  <w:style w:type="paragraph" w:customStyle="1" w:styleId="MACtableheaderrow">
    <w:name w:val="MAC table header row"/>
    <w:basedOn w:val="Normal"/>
    <w:next w:val="Normal"/>
    <w:rsid w:val="00A71A9C"/>
    <w:pPr>
      <w:keepNext/>
      <w:overflowPunct w:val="0"/>
      <w:autoSpaceDE w:val="0"/>
      <w:autoSpaceDN w:val="0"/>
      <w:adjustRightInd w:val="0"/>
      <w:spacing w:before="40" w:after="40" w:line="240" w:lineRule="atLeast"/>
    </w:pPr>
    <w:rPr>
      <w:rFonts w:eastAsia="Times New Roman" w:cs="Times New Roman"/>
      <w:b/>
      <w:bCs/>
      <w:color w:val="000000" w:themeColor="text1"/>
      <w:kern w:val="2"/>
      <w:sz w:val="20"/>
      <w:szCs w:val="20"/>
      <w14:ligatures w14:val="standardContextual"/>
    </w:rPr>
  </w:style>
  <w:style w:type="character" w:customStyle="1" w:styleId="MACtablebulletL1Char">
    <w:name w:val="MAC table bullet L1 Char"/>
    <w:basedOn w:val="DefaultParagraphFont"/>
    <w:link w:val="MACtablebulletL1"/>
    <w:locked/>
    <w:rsid w:val="00A71A9C"/>
    <w:rPr>
      <w:rFonts w:ascii="Times New Roman" w:eastAsia="Times New Roman" w:hAnsi="Times New Roman"/>
      <w:color w:val="000000" w:themeColor="text1"/>
      <w:kern w:val="2"/>
      <w:sz w:val="18"/>
      <w:szCs w:val="24"/>
      <w14:ligatures w14:val="standardContextual"/>
    </w:rPr>
  </w:style>
  <w:style w:type="paragraph" w:customStyle="1" w:styleId="MACtablebulletL1">
    <w:name w:val="MAC table bullet L1"/>
    <w:basedOn w:val="Normal"/>
    <w:link w:val="MACtablebulletL1Char"/>
    <w:rsid w:val="00A71A9C"/>
    <w:pPr>
      <w:numPr>
        <w:numId w:val="12"/>
      </w:numPr>
      <w:tabs>
        <w:tab w:val="left" w:pos="357"/>
      </w:tabs>
      <w:spacing w:before="40" w:after="40" w:line="220" w:lineRule="atLeast"/>
    </w:pPr>
    <w:rPr>
      <w:rFonts w:ascii="Times New Roman" w:eastAsia="Times New Roman" w:hAnsi="Times New Roman" w:cs="Times New Roman"/>
      <w:color w:val="000000" w:themeColor="text1"/>
      <w:kern w:val="2"/>
      <w:sz w:val="18"/>
      <w:szCs w:val="24"/>
      <w:lang w:eastAsia="en-AU"/>
      <w14:ligatures w14:val="standardContextual"/>
    </w:rPr>
  </w:style>
  <w:style w:type="character" w:customStyle="1" w:styleId="TabletextChar">
    <w:name w:val="Table text Char"/>
    <w:basedOn w:val="DefaultParagraphFont"/>
    <w:link w:val="Tabletext0"/>
    <w:locked/>
    <w:rsid w:val="00A71A9C"/>
    <w:rPr>
      <w:rFonts w:ascii="Times New Roman" w:eastAsia="Times New Roman" w:hAnsi="Times New Roman"/>
      <w:color w:val="000000" w:themeColor="text1"/>
      <w:sz w:val="18"/>
      <w:szCs w:val="18"/>
    </w:rPr>
  </w:style>
  <w:style w:type="paragraph" w:customStyle="1" w:styleId="Tabletext0">
    <w:name w:val="Table text"/>
    <w:basedOn w:val="Normal"/>
    <w:link w:val="TabletextChar"/>
    <w:qFormat/>
    <w:rsid w:val="00A71A9C"/>
    <w:pPr>
      <w:overflowPunct w:val="0"/>
      <w:autoSpaceDE w:val="0"/>
      <w:autoSpaceDN w:val="0"/>
      <w:adjustRightInd w:val="0"/>
      <w:spacing w:before="40" w:after="40" w:line="220" w:lineRule="atLeast"/>
    </w:pPr>
    <w:rPr>
      <w:rFonts w:ascii="Times New Roman" w:eastAsia="Times New Roman" w:hAnsi="Times New Roman" w:cs="Times New Roman"/>
      <w:color w:val="000000" w:themeColor="text1"/>
      <w:sz w:val="18"/>
      <w:szCs w:val="18"/>
      <w:lang w:eastAsia="en-AU"/>
    </w:rPr>
  </w:style>
  <w:style w:type="character" w:customStyle="1" w:styleId="normaltextrun">
    <w:name w:val="normaltextrun"/>
    <w:basedOn w:val="DefaultParagraphFont"/>
    <w:rsid w:val="0095765E"/>
  </w:style>
  <w:style w:type="character" w:styleId="Mention">
    <w:name w:val="Mention"/>
    <w:basedOn w:val="DefaultParagraphFont"/>
    <w:uiPriority w:val="99"/>
    <w:unhideWhenUsed/>
    <w:rsid w:val="00F15208"/>
    <w:rPr>
      <w:color w:val="2B579A"/>
      <w:shd w:val="clear" w:color="auto" w:fill="E1DFDD"/>
    </w:rPr>
  </w:style>
  <w:style w:type="paragraph" w:customStyle="1" w:styleId="paragraph">
    <w:name w:val="paragraph"/>
    <w:basedOn w:val="Normal"/>
    <w:rsid w:val="0049145D"/>
    <w:pPr>
      <w:spacing w:before="100" w:beforeAutospacing="1" w:after="100" w:afterAutospacing="1" w:line="240" w:lineRule="auto"/>
    </w:pPr>
    <w:rPr>
      <w:rFonts w:ascii="Times New Roman" w:eastAsia="Times New Roman" w:hAnsi="Times New Roman" w:cs="Times New Roman"/>
      <w:kern w:val="2"/>
      <w:sz w:val="24"/>
      <w:szCs w:val="24"/>
      <w:lang w:eastAsia="en-AU"/>
      <w14:ligatures w14:val="standardContextual"/>
    </w:rPr>
  </w:style>
  <w:style w:type="character" w:customStyle="1" w:styleId="ui-provider">
    <w:name w:val="ui-provider"/>
    <w:basedOn w:val="DefaultParagraphFont"/>
    <w:rsid w:val="009A580C"/>
  </w:style>
  <w:style w:type="paragraph" w:styleId="Revision">
    <w:name w:val="Revision"/>
    <w:hidden/>
    <w:uiPriority w:val="99"/>
    <w:semiHidden/>
    <w:rsid w:val="00877ACE"/>
    <w:rPr>
      <w:rFonts w:asciiTheme="minorHAnsi" w:eastAsiaTheme="minorHAnsi" w:hAnsiTheme="minorHAnsi" w:cstheme="minorBidi"/>
      <w:sz w:val="22"/>
      <w:szCs w:val="22"/>
      <w:lang w:eastAsia="en-US"/>
    </w:rPr>
  </w:style>
  <w:style w:type="table" w:styleId="GridTable4-Accent1">
    <w:name w:val="Grid Table 4 Accent 1"/>
    <w:basedOn w:val="TableNormal"/>
    <w:uiPriority w:val="49"/>
    <w:rsid w:val="00877ACE"/>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GridTable5Dark-Accent1">
    <w:name w:val="Grid Table 5 Dark Accent 1"/>
    <w:basedOn w:val="TableNormal"/>
    <w:uiPriority w:val="50"/>
    <w:rsid w:val="00877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table" w:styleId="ListTable3-Accent1">
    <w:name w:val="List Table 3 Accent 1"/>
    <w:basedOn w:val="TableNormal"/>
    <w:uiPriority w:val="48"/>
    <w:rsid w:val="00877ACE"/>
    <w:tblPr>
      <w:tblStyleRowBandSize w:val="1"/>
      <w:tblStyleColBandSize w:val="1"/>
      <w:tblBorders>
        <w:top w:val="single" w:sz="4" w:space="0" w:color="197C7D" w:themeColor="accent1"/>
        <w:left w:val="single" w:sz="4" w:space="0" w:color="197C7D" w:themeColor="accent1"/>
        <w:bottom w:val="single" w:sz="4" w:space="0" w:color="197C7D" w:themeColor="accent1"/>
        <w:right w:val="single" w:sz="4" w:space="0" w:color="197C7D" w:themeColor="accent1"/>
      </w:tblBorders>
    </w:tblPr>
    <w:tblStylePr w:type="firstRow">
      <w:rPr>
        <w:b/>
        <w:bCs/>
        <w:color w:val="FFFFFF" w:themeColor="background1"/>
      </w:rPr>
      <w:tblPr/>
      <w:tcPr>
        <w:shd w:val="clear" w:color="auto" w:fill="197C7D" w:themeFill="accent1"/>
      </w:tcPr>
    </w:tblStylePr>
    <w:tblStylePr w:type="lastRow">
      <w:rPr>
        <w:b/>
        <w:bCs/>
      </w:rPr>
      <w:tblPr/>
      <w:tcPr>
        <w:tcBorders>
          <w:top w:val="double" w:sz="4" w:space="0" w:color="197C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C7D" w:themeColor="accent1"/>
          <w:right w:val="single" w:sz="4" w:space="0" w:color="197C7D" w:themeColor="accent1"/>
        </w:tcBorders>
      </w:tcPr>
    </w:tblStylePr>
    <w:tblStylePr w:type="band1Horz">
      <w:tblPr/>
      <w:tcPr>
        <w:tcBorders>
          <w:top w:val="single" w:sz="4" w:space="0" w:color="197C7D" w:themeColor="accent1"/>
          <w:bottom w:val="single" w:sz="4" w:space="0" w:color="197C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C7D" w:themeColor="accent1"/>
          <w:left w:val="nil"/>
        </w:tcBorders>
      </w:tcPr>
    </w:tblStylePr>
    <w:tblStylePr w:type="swCell">
      <w:tblPr/>
      <w:tcPr>
        <w:tcBorders>
          <w:top w:val="double" w:sz="4" w:space="0" w:color="197C7D" w:themeColor="accent1"/>
          <w:right w:val="nil"/>
        </w:tcBorders>
      </w:tcPr>
    </w:tblStylePr>
  </w:style>
  <w:style w:type="table" w:styleId="ListTable2-Accent1">
    <w:name w:val="List Table 2 Accent 1"/>
    <w:basedOn w:val="TableNormal"/>
    <w:uiPriority w:val="47"/>
    <w:rsid w:val="00877ACE"/>
    <w:tblPr>
      <w:tblStyleRowBandSize w:val="1"/>
      <w:tblStyleColBandSize w:val="1"/>
      <w:tblBorders>
        <w:top w:val="single" w:sz="4" w:space="0" w:color="4BD9DB" w:themeColor="accent1" w:themeTint="99"/>
        <w:bottom w:val="single" w:sz="4" w:space="0" w:color="4BD9DB" w:themeColor="accent1" w:themeTint="99"/>
        <w:insideH w:val="single" w:sz="4" w:space="0" w:color="4BD9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ListTable1Light-Accent1">
    <w:name w:val="List Table 1 Light Accent 1"/>
    <w:basedOn w:val="TableNormal"/>
    <w:uiPriority w:val="46"/>
    <w:rsid w:val="00877ACE"/>
    <w:tblPr>
      <w:tblStyleRowBandSize w:val="1"/>
      <w:tblStyleColBandSize w:val="1"/>
    </w:tblPr>
    <w:tblStylePr w:type="firstRow">
      <w:rPr>
        <w:b/>
        <w:bCs/>
      </w:rPr>
      <w:tblPr/>
      <w:tcPr>
        <w:tcBorders>
          <w:bottom w:val="single" w:sz="4" w:space="0" w:color="4BD9DB" w:themeColor="accent1" w:themeTint="99"/>
        </w:tcBorders>
      </w:tcPr>
    </w:tblStylePr>
    <w:tblStylePr w:type="lastRow">
      <w:rPr>
        <w:b/>
        <w:bCs/>
      </w:rPr>
      <w:tblPr/>
      <w:tcPr>
        <w:tcBorders>
          <w:top w:val="single" w:sz="4" w:space="0" w:color="4BD9DB" w:themeColor="accent1" w:themeTint="99"/>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customStyle="1" w:styleId="GridTable4-Accent11">
    <w:name w:val="Grid Table 4 - Accent 11"/>
    <w:basedOn w:val="TableNormal"/>
    <w:next w:val="GridTable4-Accent1"/>
    <w:uiPriority w:val="49"/>
    <w:rsid w:val="00EA28F9"/>
    <w:rPr>
      <w:rFonts w:ascii="Calibri" w:eastAsia="Calibri" w:hAnsi="Calibri" w:cs="Arial"/>
      <w:sz w:val="22"/>
      <w:szCs w:val="22"/>
      <w:lang w:eastAsia="en-US"/>
    </w:rPr>
    <w:tblPr>
      <w:tblStyleRowBandSize w:val="1"/>
      <w:tblStyleColBandSize w:val="1"/>
      <w:tblInd w:w="0" w:type="nil"/>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character" w:customStyle="1" w:styleId="eop">
    <w:name w:val="eop"/>
    <w:basedOn w:val="DefaultParagraphFont"/>
    <w:rsid w:val="004C2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1163925">
      <w:bodyDiv w:val="1"/>
      <w:marLeft w:val="0"/>
      <w:marRight w:val="0"/>
      <w:marTop w:val="0"/>
      <w:marBottom w:val="0"/>
      <w:divBdr>
        <w:top w:val="none" w:sz="0" w:space="0" w:color="auto"/>
        <w:left w:val="none" w:sz="0" w:space="0" w:color="auto"/>
        <w:bottom w:val="none" w:sz="0" w:space="0" w:color="auto"/>
        <w:right w:val="none" w:sz="0" w:space="0" w:color="auto"/>
      </w:divBdr>
    </w:div>
    <w:div w:id="17334936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6483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94957">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6858">
      <w:bodyDiv w:val="1"/>
      <w:marLeft w:val="0"/>
      <w:marRight w:val="0"/>
      <w:marTop w:val="0"/>
      <w:marBottom w:val="0"/>
      <w:divBdr>
        <w:top w:val="none" w:sz="0" w:space="0" w:color="auto"/>
        <w:left w:val="none" w:sz="0" w:space="0" w:color="auto"/>
        <w:bottom w:val="none" w:sz="0" w:space="0" w:color="auto"/>
        <w:right w:val="none" w:sz="0" w:space="0" w:color="auto"/>
      </w:divBdr>
      <w:divsChild>
        <w:div w:id="286130485">
          <w:marLeft w:val="0"/>
          <w:marRight w:val="0"/>
          <w:marTop w:val="0"/>
          <w:marBottom w:val="0"/>
          <w:divBdr>
            <w:top w:val="none" w:sz="0" w:space="0" w:color="auto"/>
            <w:left w:val="none" w:sz="0" w:space="0" w:color="auto"/>
            <w:bottom w:val="none" w:sz="0" w:space="0" w:color="auto"/>
            <w:right w:val="none" w:sz="0" w:space="0" w:color="auto"/>
          </w:divBdr>
        </w:div>
        <w:div w:id="1270822414">
          <w:marLeft w:val="0"/>
          <w:marRight w:val="0"/>
          <w:marTop w:val="0"/>
          <w:marBottom w:val="0"/>
          <w:divBdr>
            <w:top w:val="none" w:sz="0" w:space="0" w:color="auto"/>
            <w:left w:val="none" w:sz="0" w:space="0" w:color="auto"/>
            <w:bottom w:val="none" w:sz="0" w:space="0" w:color="auto"/>
            <w:right w:val="none" w:sz="0" w:space="0" w:color="auto"/>
          </w:divBdr>
        </w:div>
        <w:div w:id="1711224344">
          <w:marLeft w:val="0"/>
          <w:marRight w:val="0"/>
          <w:marTop w:val="0"/>
          <w:marBottom w:val="0"/>
          <w:divBdr>
            <w:top w:val="none" w:sz="0" w:space="0" w:color="auto"/>
            <w:left w:val="none" w:sz="0" w:space="0" w:color="auto"/>
            <w:bottom w:val="none" w:sz="0" w:space="0" w:color="auto"/>
            <w:right w:val="none" w:sz="0" w:space="0" w:color="auto"/>
          </w:divBdr>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2031816">
      <w:bodyDiv w:val="1"/>
      <w:marLeft w:val="0"/>
      <w:marRight w:val="0"/>
      <w:marTop w:val="0"/>
      <w:marBottom w:val="0"/>
      <w:divBdr>
        <w:top w:val="none" w:sz="0" w:space="0" w:color="auto"/>
        <w:left w:val="none" w:sz="0" w:space="0" w:color="auto"/>
        <w:bottom w:val="none" w:sz="0" w:space="0" w:color="auto"/>
        <w:right w:val="none" w:sz="0" w:space="0" w:color="auto"/>
      </w:divBdr>
    </w:div>
    <w:div w:id="1670599291">
      <w:bodyDiv w:val="1"/>
      <w:marLeft w:val="0"/>
      <w:marRight w:val="0"/>
      <w:marTop w:val="0"/>
      <w:marBottom w:val="0"/>
      <w:divBdr>
        <w:top w:val="none" w:sz="0" w:space="0" w:color="auto"/>
        <w:left w:val="none" w:sz="0" w:space="0" w:color="auto"/>
        <w:bottom w:val="none" w:sz="0" w:space="0" w:color="auto"/>
        <w:right w:val="none" w:sz="0" w:space="0" w:color="auto"/>
      </w:divBdr>
      <w:divsChild>
        <w:div w:id="687755048">
          <w:marLeft w:val="0"/>
          <w:marRight w:val="0"/>
          <w:marTop w:val="0"/>
          <w:marBottom w:val="0"/>
          <w:divBdr>
            <w:top w:val="none" w:sz="0" w:space="0" w:color="auto"/>
            <w:left w:val="none" w:sz="0" w:space="0" w:color="auto"/>
            <w:bottom w:val="none" w:sz="0" w:space="0" w:color="auto"/>
            <w:right w:val="none" w:sz="0" w:space="0" w:color="auto"/>
          </w:divBdr>
        </w:div>
        <w:div w:id="1295259177">
          <w:marLeft w:val="0"/>
          <w:marRight w:val="0"/>
          <w:marTop w:val="0"/>
          <w:marBottom w:val="0"/>
          <w:divBdr>
            <w:top w:val="none" w:sz="0" w:space="0" w:color="auto"/>
            <w:left w:val="none" w:sz="0" w:space="0" w:color="auto"/>
            <w:bottom w:val="none" w:sz="0" w:space="0" w:color="auto"/>
            <w:right w:val="none" w:sz="0" w:space="0" w:color="auto"/>
          </w:divBdr>
        </w:div>
        <w:div w:id="1591739024">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787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71757">
      <w:bodyDiv w:val="1"/>
      <w:marLeft w:val="0"/>
      <w:marRight w:val="0"/>
      <w:marTop w:val="0"/>
      <w:marBottom w:val="0"/>
      <w:divBdr>
        <w:top w:val="none" w:sz="0" w:space="0" w:color="auto"/>
        <w:left w:val="none" w:sz="0" w:space="0" w:color="auto"/>
        <w:bottom w:val="none" w:sz="0" w:space="0" w:color="auto"/>
        <w:right w:val="none" w:sz="0" w:space="0" w:color="auto"/>
      </w:divBdr>
      <w:divsChild>
        <w:div w:id="71706260">
          <w:marLeft w:val="0"/>
          <w:marRight w:val="0"/>
          <w:marTop w:val="0"/>
          <w:marBottom w:val="0"/>
          <w:divBdr>
            <w:top w:val="none" w:sz="0" w:space="0" w:color="auto"/>
            <w:left w:val="none" w:sz="0" w:space="0" w:color="auto"/>
            <w:bottom w:val="none" w:sz="0" w:space="0" w:color="auto"/>
            <w:right w:val="none" w:sz="0" w:space="0" w:color="auto"/>
          </w:divBdr>
        </w:div>
        <w:div w:id="374701001">
          <w:marLeft w:val="0"/>
          <w:marRight w:val="0"/>
          <w:marTop w:val="0"/>
          <w:marBottom w:val="0"/>
          <w:divBdr>
            <w:top w:val="none" w:sz="0" w:space="0" w:color="auto"/>
            <w:left w:val="none" w:sz="0" w:space="0" w:color="auto"/>
            <w:bottom w:val="none" w:sz="0" w:space="0" w:color="auto"/>
            <w:right w:val="none" w:sz="0" w:space="0" w:color="auto"/>
          </w:divBdr>
          <w:divsChild>
            <w:div w:id="327556549">
              <w:marLeft w:val="-75"/>
              <w:marRight w:val="0"/>
              <w:marTop w:val="30"/>
              <w:marBottom w:val="30"/>
              <w:divBdr>
                <w:top w:val="none" w:sz="0" w:space="0" w:color="auto"/>
                <w:left w:val="none" w:sz="0" w:space="0" w:color="auto"/>
                <w:bottom w:val="none" w:sz="0" w:space="0" w:color="auto"/>
                <w:right w:val="none" w:sz="0" w:space="0" w:color="auto"/>
              </w:divBdr>
              <w:divsChild>
                <w:div w:id="105543779">
                  <w:marLeft w:val="0"/>
                  <w:marRight w:val="0"/>
                  <w:marTop w:val="0"/>
                  <w:marBottom w:val="0"/>
                  <w:divBdr>
                    <w:top w:val="none" w:sz="0" w:space="0" w:color="auto"/>
                    <w:left w:val="none" w:sz="0" w:space="0" w:color="auto"/>
                    <w:bottom w:val="none" w:sz="0" w:space="0" w:color="auto"/>
                    <w:right w:val="none" w:sz="0" w:space="0" w:color="auto"/>
                  </w:divBdr>
                  <w:divsChild>
                    <w:div w:id="191765196">
                      <w:marLeft w:val="0"/>
                      <w:marRight w:val="0"/>
                      <w:marTop w:val="0"/>
                      <w:marBottom w:val="0"/>
                      <w:divBdr>
                        <w:top w:val="none" w:sz="0" w:space="0" w:color="auto"/>
                        <w:left w:val="none" w:sz="0" w:space="0" w:color="auto"/>
                        <w:bottom w:val="none" w:sz="0" w:space="0" w:color="auto"/>
                        <w:right w:val="none" w:sz="0" w:space="0" w:color="auto"/>
                      </w:divBdr>
                    </w:div>
                  </w:divsChild>
                </w:div>
                <w:div w:id="224799186">
                  <w:marLeft w:val="0"/>
                  <w:marRight w:val="0"/>
                  <w:marTop w:val="0"/>
                  <w:marBottom w:val="0"/>
                  <w:divBdr>
                    <w:top w:val="none" w:sz="0" w:space="0" w:color="auto"/>
                    <w:left w:val="none" w:sz="0" w:space="0" w:color="auto"/>
                    <w:bottom w:val="none" w:sz="0" w:space="0" w:color="auto"/>
                    <w:right w:val="none" w:sz="0" w:space="0" w:color="auto"/>
                  </w:divBdr>
                  <w:divsChild>
                    <w:div w:id="475924040">
                      <w:marLeft w:val="0"/>
                      <w:marRight w:val="0"/>
                      <w:marTop w:val="0"/>
                      <w:marBottom w:val="0"/>
                      <w:divBdr>
                        <w:top w:val="none" w:sz="0" w:space="0" w:color="auto"/>
                        <w:left w:val="none" w:sz="0" w:space="0" w:color="auto"/>
                        <w:bottom w:val="none" w:sz="0" w:space="0" w:color="auto"/>
                        <w:right w:val="none" w:sz="0" w:space="0" w:color="auto"/>
                      </w:divBdr>
                    </w:div>
                    <w:div w:id="1124346095">
                      <w:marLeft w:val="0"/>
                      <w:marRight w:val="0"/>
                      <w:marTop w:val="0"/>
                      <w:marBottom w:val="0"/>
                      <w:divBdr>
                        <w:top w:val="none" w:sz="0" w:space="0" w:color="auto"/>
                        <w:left w:val="none" w:sz="0" w:space="0" w:color="auto"/>
                        <w:bottom w:val="none" w:sz="0" w:space="0" w:color="auto"/>
                        <w:right w:val="none" w:sz="0" w:space="0" w:color="auto"/>
                      </w:divBdr>
                    </w:div>
                    <w:div w:id="1608808544">
                      <w:marLeft w:val="0"/>
                      <w:marRight w:val="0"/>
                      <w:marTop w:val="0"/>
                      <w:marBottom w:val="0"/>
                      <w:divBdr>
                        <w:top w:val="none" w:sz="0" w:space="0" w:color="auto"/>
                        <w:left w:val="none" w:sz="0" w:space="0" w:color="auto"/>
                        <w:bottom w:val="none" w:sz="0" w:space="0" w:color="auto"/>
                        <w:right w:val="none" w:sz="0" w:space="0" w:color="auto"/>
                      </w:divBdr>
                    </w:div>
                    <w:div w:id="2127040715">
                      <w:marLeft w:val="0"/>
                      <w:marRight w:val="0"/>
                      <w:marTop w:val="0"/>
                      <w:marBottom w:val="0"/>
                      <w:divBdr>
                        <w:top w:val="none" w:sz="0" w:space="0" w:color="auto"/>
                        <w:left w:val="none" w:sz="0" w:space="0" w:color="auto"/>
                        <w:bottom w:val="none" w:sz="0" w:space="0" w:color="auto"/>
                        <w:right w:val="none" w:sz="0" w:space="0" w:color="auto"/>
                      </w:divBdr>
                    </w:div>
                  </w:divsChild>
                </w:div>
                <w:div w:id="287861381">
                  <w:marLeft w:val="0"/>
                  <w:marRight w:val="0"/>
                  <w:marTop w:val="0"/>
                  <w:marBottom w:val="0"/>
                  <w:divBdr>
                    <w:top w:val="none" w:sz="0" w:space="0" w:color="auto"/>
                    <w:left w:val="none" w:sz="0" w:space="0" w:color="auto"/>
                    <w:bottom w:val="none" w:sz="0" w:space="0" w:color="auto"/>
                    <w:right w:val="none" w:sz="0" w:space="0" w:color="auto"/>
                  </w:divBdr>
                  <w:divsChild>
                    <w:div w:id="1771968841">
                      <w:marLeft w:val="0"/>
                      <w:marRight w:val="0"/>
                      <w:marTop w:val="0"/>
                      <w:marBottom w:val="0"/>
                      <w:divBdr>
                        <w:top w:val="none" w:sz="0" w:space="0" w:color="auto"/>
                        <w:left w:val="none" w:sz="0" w:space="0" w:color="auto"/>
                        <w:bottom w:val="none" w:sz="0" w:space="0" w:color="auto"/>
                        <w:right w:val="none" w:sz="0" w:space="0" w:color="auto"/>
                      </w:divBdr>
                    </w:div>
                  </w:divsChild>
                </w:div>
                <w:div w:id="288706582">
                  <w:marLeft w:val="0"/>
                  <w:marRight w:val="0"/>
                  <w:marTop w:val="0"/>
                  <w:marBottom w:val="0"/>
                  <w:divBdr>
                    <w:top w:val="none" w:sz="0" w:space="0" w:color="auto"/>
                    <w:left w:val="none" w:sz="0" w:space="0" w:color="auto"/>
                    <w:bottom w:val="none" w:sz="0" w:space="0" w:color="auto"/>
                    <w:right w:val="none" w:sz="0" w:space="0" w:color="auto"/>
                  </w:divBdr>
                  <w:divsChild>
                    <w:div w:id="984089654">
                      <w:marLeft w:val="0"/>
                      <w:marRight w:val="0"/>
                      <w:marTop w:val="0"/>
                      <w:marBottom w:val="0"/>
                      <w:divBdr>
                        <w:top w:val="none" w:sz="0" w:space="0" w:color="auto"/>
                        <w:left w:val="none" w:sz="0" w:space="0" w:color="auto"/>
                        <w:bottom w:val="none" w:sz="0" w:space="0" w:color="auto"/>
                        <w:right w:val="none" w:sz="0" w:space="0" w:color="auto"/>
                      </w:divBdr>
                    </w:div>
                  </w:divsChild>
                </w:div>
                <w:div w:id="385641710">
                  <w:marLeft w:val="0"/>
                  <w:marRight w:val="0"/>
                  <w:marTop w:val="0"/>
                  <w:marBottom w:val="0"/>
                  <w:divBdr>
                    <w:top w:val="none" w:sz="0" w:space="0" w:color="auto"/>
                    <w:left w:val="none" w:sz="0" w:space="0" w:color="auto"/>
                    <w:bottom w:val="none" w:sz="0" w:space="0" w:color="auto"/>
                    <w:right w:val="none" w:sz="0" w:space="0" w:color="auto"/>
                  </w:divBdr>
                  <w:divsChild>
                    <w:div w:id="1426153336">
                      <w:marLeft w:val="0"/>
                      <w:marRight w:val="0"/>
                      <w:marTop w:val="0"/>
                      <w:marBottom w:val="0"/>
                      <w:divBdr>
                        <w:top w:val="none" w:sz="0" w:space="0" w:color="auto"/>
                        <w:left w:val="none" w:sz="0" w:space="0" w:color="auto"/>
                        <w:bottom w:val="none" w:sz="0" w:space="0" w:color="auto"/>
                        <w:right w:val="none" w:sz="0" w:space="0" w:color="auto"/>
                      </w:divBdr>
                    </w:div>
                  </w:divsChild>
                </w:div>
                <w:div w:id="400443854">
                  <w:marLeft w:val="0"/>
                  <w:marRight w:val="0"/>
                  <w:marTop w:val="0"/>
                  <w:marBottom w:val="0"/>
                  <w:divBdr>
                    <w:top w:val="none" w:sz="0" w:space="0" w:color="auto"/>
                    <w:left w:val="none" w:sz="0" w:space="0" w:color="auto"/>
                    <w:bottom w:val="none" w:sz="0" w:space="0" w:color="auto"/>
                    <w:right w:val="none" w:sz="0" w:space="0" w:color="auto"/>
                  </w:divBdr>
                  <w:divsChild>
                    <w:div w:id="503937904">
                      <w:marLeft w:val="0"/>
                      <w:marRight w:val="0"/>
                      <w:marTop w:val="0"/>
                      <w:marBottom w:val="0"/>
                      <w:divBdr>
                        <w:top w:val="none" w:sz="0" w:space="0" w:color="auto"/>
                        <w:left w:val="none" w:sz="0" w:space="0" w:color="auto"/>
                        <w:bottom w:val="none" w:sz="0" w:space="0" w:color="auto"/>
                        <w:right w:val="none" w:sz="0" w:space="0" w:color="auto"/>
                      </w:divBdr>
                    </w:div>
                  </w:divsChild>
                </w:div>
                <w:div w:id="420834495">
                  <w:marLeft w:val="0"/>
                  <w:marRight w:val="0"/>
                  <w:marTop w:val="0"/>
                  <w:marBottom w:val="0"/>
                  <w:divBdr>
                    <w:top w:val="none" w:sz="0" w:space="0" w:color="auto"/>
                    <w:left w:val="none" w:sz="0" w:space="0" w:color="auto"/>
                    <w:bottom w:val="none" w:sz="0" w:space="0" w:color="auto"/>
                    <w:right w:val="none" w:sz="0" w:space="0" w:color="auto"/>
                  </w:divBdr>
                  <w:divsChild>
                    <w:div w:id="2112235340">
                      <w:marLeft w:val="0"/>
                      <w:marRight w:val="0"/>
                      <w:marTop w:val="0"/>
                      <w:marBottom w:val="0"/>
                      <w:divBdr>
                        <w:top w:val="none" w:sz="0" w:space="0" w:color="auto"/>
                        <w:left w:val="none" w:sz="0" w:space="0" w:color="auto"/>
                        <w:bottom w:val="none" w:sz="0" w:space="0" w:color="auto"/>
                        <w:right w:val="none" w:sz="0" w:space="0" w:color="auto"/>
                      </w:divBdr>
                    </w:div>
                  </w:divsChild>
                </w:div>
                <w:div w:id="446853321">
                  <w:marLeft w:val="0"/>
                  <w:marRight w:val="0"/>
                  <w:marTop w:val="0"/>
                  <w:marBottom w:val="0"/>
                  <w:divBdr>
                    <w:top w:val="none" w:sz="0" w:space="0" w:color="auto"/>
                    <w:left w:val="none" w:sz="0" w:space="0" w:color="auto"/>
                    <w:bottom w:val="none" w:sz="0" w:space="0" w:color="auto"/>
                    <w:right w:val="none" w:sz="0" w:space="0" w:color="auto"/>
                  </w:divBdr>
                  <w:divsChild>
                    <w:div w:id="368994469">
                      <w:marLeft w:val="0"/>
                      <w:marRight w:val="0"/>
                      <w:marTop w:val="0"/>
                      <w:marBottom w:val="0"/>
                      <w:divBdr>
                        <w:top w:val="none" w:sz="0" w:space="0" w:color="auto"/>
                        <w:left w:val="none" w:sz="0" w:space="0" w:color="auto"/>
                        <w:bottom w:val="none" w:sz="0" w:space="0" w:color="auto"/>
                        <w:right w:val="none" w:sz="0" w:space="0" w:color="auto"/>
                      </w:divBdr>
                    </w:div>
                  </w:divsChild>
                </w:div>
                <w:div w:id="578175346">
                  <w:marLeft w:val="0"/>
                  <w:marRight w:val="0"/>
                  <w:marTop w:val="0"/>
                  <w:marBottom w:val="0"/>
                  <w:divBdr>
                    <w:top w:val="none" w:sz="0" w:space="0" w:color="auto"/>
                    <w:left w:val="none" w:sz="0" w:space="0" w:color="auto"/>
                    <w:bottom w:val="none" w:sz="0" w:space="0" w:color="auto"/>
                    <w:right w:val="none" w:sz="0" w:space="0" w:color="auto"/>
                  </w:divBdr>
                  <w:divsChild>
                    <w:div w:id="1740664971">
                      <w:marLeft w:val="0"/>
                      <w:marRight w:val="0"/>
                      <w:marTop w:val="0"/>
                      <w:marBottom w:val="0"/>
                      <w:divBdr>
                        <w:top w:val="none" w:sz="0" w:space="0" w:color="auto"/>
                        <w:left w:val="none" w:sz="0" w:space="0" w:color="auto"/>
                        <w:bottom w:val="none" w:sz="0" w:space="0" w:color="auto"/>
                        <w:right w:val="none" w:sz="0" w:space="0" w:color="auto"/>
                      </w:divBdr>
                    </w:div>
                  </w:divsChild>
                </w:div>
                <w:div w:id="613244042">
                  <w:marLeft w:val="0"/>
                  <w:marRight w:val="0"/>
                  <w:marTop w:val="0"/>
                  <w:marBottom w:val="0"/>
                  <w:divBdr>
                    <w:top w:val="none" w:sz="0" w:space="0" w:color="auto"/>
                    <w:left w:val="none" w:sz="0" w:space="0" w:color="auto"/>
                    <w:bottom w:val="none" w:sz="0" w:space="0" w:color="auto"/>
                    <w:right w:val="none" w:sz="0" w:space="0" w:color="auto"/>
                  </w:divBdr>
                  <w:divsChild>
                    <w:div w:id="289484067">
                      <w:marLeft w:val="0"/>
                      <w:marRight w:val="0"/>
                      <w:marTop w:val="0"/>
                      <w:marBottom w:val="0"/>
                      <w:divBdr>
                        <w:top w:val="none" w:sz="0" w:space="0" w:color="auto"/>
                        <w:left w:val="none" w:sz="0" w:space="0" w:color="auto"/>
                        <w:bottom w:val="none" w:sz="0" w:space="0" w:color="auto"/>
                        <w:right w:val="none" w:sz="0" w:space="0" w:color="auto"/>
                      </w:divBdr>
                    </w:div>
                  </w:divsChild>
                </w:div>
                <w:div w:id="725570488">
                  <w:marLeft w:val="0"/>
                  <w:marRight w:val="0"/>
                  <w:marTop w:val="0"/>
                  <w:marBottom w:val="0"/>
                  <w:divBdr>
                    <w:top w:val="none" w:sz="0" w:space="0" w:color="auto"/>
                    <w:left w:val="none" w:sz="0" w:space="0" w:color="auto"/>
                    <w:bottom w:val="none" w:sz="0" w:space="0" w:color="auto"/>
                    <w:right w:val="none" w:sz="0" w:space="0" w:color="auto"/>
                  </w:divBdr>
                  <w:divsChild>
                    <w:div w:id="2129816828">
                      <w:marLeft w:val="0"/>
                      <w:marRight w:val="0"/>
                      <w:marTop w:val="0"/>
                      <w:marBottom w:val="0"/>
                      <w:divBdr>
                        <w:top w:val="none" w:sz="0" w:space="0" w:color="auto"/>
                        <w:left w:val="none" w:sz="0" w:space="0" w:color="auto"/>
                        <w:bottom w:val="none" w:sz="0" w:space="0" w:color="auto"/>
                        <w:right w:val="none" w:sz="0" w:space="0" w:color="auto"/>
                      </w:divBdr>
                    </w:div>
                  </w:divsChild>
                </w:div>
                <w:div w:id="769471217">
                  <w:marLeft w:val="0"/>
                  <w:marRight w:val="0"/>
                  <w:marTop w:val="0"/>
                  <w:marBottom w:val="0"/>
                  <w:divBdr>
                    <w:top w:val="none" w:sz="0" w:space="0" w:color="auto"/>
                    <w:left w:val="none" w:sz="0" w:space="0" w:color="auto"/>
                    <w:bottom w:val="none" w:sz="0" w:space="0" w:color="auto"/>
                    <w:right w:val="none" w:sz="0" w:space="0" w:color="auto"/>
                  </w:divBdr>
                  <w:divsChild>
                    <w:div w:id="1011832897">
                      <w:marLeft w:val="0"/>
                      <w:marRight w:val="0"/>
                      <w:marTop w:val="0"/>
                      <w:marBottom w:val="0"/>
                      <w:divBdr>
                        <w:top w:val="none" w:sz="0" w:space="0" w:color="auto"/>
                        <w:left w:val="none" w:sz="0" w:space="0" w:color="auto"/>
                        <w:bottom w:val="none" w:sz="0" w:space="0" w:color="auto"/>
                        <w:right w:val="none" w:sz="0" w:space="0" w:color="auto"/>
                      </w:divBdr>
                    </w:div>
                    <w:div w:id="1521161435">
                      <w:marLeft w:val="0"/>
                      <w:marRight w:val="0"/>
                      <w:marTop w:val="0"/>
                      <w:marBottom w:val="0"/>
                      <w:divBdr>
                        <w:top w:val="none" w:sz="0" w:space="0" w:color="auto"/>
                        <w:left w:val="none" w:sz="0" w:space="0" w:color="auto"/>
                        <w:bottom w:val="none" w:sz="0" w:space="0" w:color="auto"/>
                        <w:right w:val="none" w:sz="0" w:space="0" w:color="auto"/>
                      </w:divBdr>
                    </w:div>
                  </w:divsChild>
                </w:div>
                <w:div w:id="910385187">
                  <w:marLeft w:val="0"/>
                  <w:marRight w:val="0"/>
                  <w:marTop w:val="0"/>
                  <w:marBottom w:val="0"/>
                  <w:divBdr>
                    <w:top w:val="none" w:sz="0" w:space="0" w:color="auto"/>
                    <w:left w:val="none" w:sz="0" w:space="0" w:color="auto"/>
                    <w:bottom w:val="none" w:sz="0" w:space="0" w:color="auto"/>
                    <w:right w:val="none" w:sz="0" w:space="0" w:color="auto"/>
                  </w:divBdr>
                  <w:divsChild>
                    <w:div w:id="665978360">
                      <w:marLeft w:val="0"/>
                      <w:marRight w:val="0"/>
                      <w:marTop w:val="0"/>
                      <w:marBottom w:val="0"/>
                      <w:divBdr>
                        <w:top w:val="none" w:sz="0" w:space="0" w:color="auto"/>
                        <w:left w:val="none" w:sz="0" w:space="0" w:color="auto"/>
                        <w:bottom w:val="none" w:sz="0" w:space="0" w:color="auto"/>
                        <w:right w:val="none" w:sz="0" w:space="0" w:color="auto"/>
                      </w:divBdr>
                    </w:div>
                    <w:div w:id="1912152401">
                      <w:marLeft w:val="0"/>
                      <w:marRight w:val="0"/>
                      <w:marTop w:val="0"/>
                      <w:marBottom w:val="0"/>
                      <w:divBdr>
                        <w:top w:val="none" w:sz="0" w:space="0" w:color="auto"/>
                        <w:left w:val="none" w:sz="0" w:space="0" w:color="auto"/>
                        <w:bottom w:val="none" w:sz="0" w:space="0" w:color="auto"/>
                        <w:right w:val="none" w:sz="0" w:space="0" w:color="auto"/>
                      </w:divBdr>
                    </w:div>
                    <w:div w:id="2136023816">
                      <w:marLeft w:val="0"/>
                      <w:marRight w:val="0"/>
                      <w:marTop w:val="0"/>
                      <w:marBottom w:val="0"/>
                      <w:divBdr>
                        <w:top w:val="none" w:sz="0" w:space="0" w:color="auto"/>
                        <w:left w:val="none" w:sz="0" w:space="0" w:color="auto"/>
                        <w:bottom w:val="none" w:sz="0" w:space="0" w:color="auto"/>
                        <w:right w:val="none" w:sz="0" w:space="0" w:color="auto"/>
                      </w:divBdr>
                    </w:div>
                  </w:divsChild>
                </w:div>
                <w:div w:id="912814772">
                  <w:marLeft w:val="0"/>
                  <w:marRight w:val="0"/>
                  <w:marTop w:val="0"/>
                  <w:marBottom w:val="0"/>
                  <w:divBdr>
                    <w:top w:val="none" w:sz="0" w:space="0" w:color="auto"/>
                    <w:left w:val="none" w:sz="0" w:space="0" w:color="auto"/>
                    <w:bottom w:val="none" w:sz="0" w:space="0" w:color="auto"/>
                    <w:right w:val="none" w:sz="0" w:space="0" w:color="auto"/>
                  </w:divBdr>
                  <w:divsChild>
                    <w:div w:id="15355964">
                      <w:marLeft w:val="0"/>
                      <w:marRight w:val="0"/>
                      <w:marTop w:val="0"/>
                      <w:marBottom w:val="0"/>
                      <w:divBdr>
                        <w:top w:val="none" w:sz="0" w:space="0" w:color="auto"/>
                        <w:left w:val="none" w:sz="0" w:space="0" w:color="auto"/>
                        <w:bottom w:val="none" w:sz="0" w:space="0" w:color="auto"/>
                        <w:right w:val="none" w:sz="0" w:space="0" w:color="auto"/>
                      </w:divBdr>
                    </w:div>
                    <w:div w:id="328992378">
                      <w:marLeft w:val="0"/>
                      <w:marRight w:val="0"/>
                      <w:marTop w:val="0"/>
                      <w:marBottom w:val="0"/>
                      <w:divBdr>
                        <w:top w:val="none" w:sz="0" w:space="0" w:color="auto"/>
                        <w:left w:val="none" w:sz="0" w:space="0" w:color="auto"/>
                        <w:bottom w:val="none" w:sz="0" w:space="0" w:color="auto"/>
                        <w:right w:val="none" w:sz="0" w:space="0" w:color="auto"/>
                      </w:divBdr>
                    </w:div>
                    <w:div w:id="1995572178">
                      <w:marLeft w:val="0"/>
                      <w:marRight w:val="0"/>
                      <w:marTop w:val="0"/>
                      <w:marBottom w:val="0"/>
                      <w:divBdr>
                        <w:top w:val="none" w:sz="0" w:space="0" w:color="auto"/>
                        <w:left w:val="none" w:sz="0" w:space="0" w:color="auto"/>
                        <w:bottom w:val="none" w:sz="0" w:space="0" w:color="auto"/>
                        <w:right w:val="none" w:sz="0" w:space="0" w:color="auto"/>
                      </w:divBdr>
                    </w:div>
                  </w:divsChild>
                </w:div>
                <w:div w:id="927956616">
                  <w:marLeft w:val="0"/>
                  <w:marRight w:val="0"/>
                  <w:marTop w:val="0"/>
                  <w:marBottom w:val="0"/>
                  <w:divBdr>
                    <w:top w:val="none" w:sz="0" w:space="0" w:color="auto"/>
                    <w:left w:val="none" w:sz="0" w:space="0" w:color="auto"/>
                    <w:bottom w:val="none" w:sz="0" w:space="0" w:color="auto"/>
                    <w:right w:val="none" w:sz="0" w:space="0" w:color="auto"/>
                  </w:divBdr>
                  <w:divsChild>
                    <w:div w:id="927812942">
                      <w:marLeft w:val="0"/>
                      <w:marRight w:val="0"/>
                      <w:marTop w:val="0"/>
                      <w:marBottom w:val="0"/>
                      <w:divBdr>
                        <w:top w:val="none" w:sz="0" w:space="0" w:color="auto"/>
                        <w:left w:val="none" w:sz="0" w:space="0" w:color="auto"/>
                        <w:bottom w:val="none" w:sz="0" w:space="0" w:color="auto"/>
                        <w:right w:val="none" w:sz="0" w:space="0" w:color="auto"/>
                      </w:divBdr>
                    </w:div>
                    <w:div w:id="1503928584">
                      <w:marLeft w:val="0"/>
                      <w:marRight w:val="0"/>
                      <w:marTop w:val="0"/>
                      <w:marBottom w:val="0"/>
                      <w:divBdr>
                        <w:top w:val="none" w:sz="0" w:space="0" w:color="auto"/>
                        <w:left w:val="none" w:sz="0" w:space="0" w:color="auto"/>
                        <w:bottom w:val="none" w:sz="0" w:space="0" w:color="auto"/>
                        <w:right w:val="none" w:sz="0" w:space="0" w:color="auto"/>
                      </w:divBdr>
                    </w:div>
                  </w:divsChild>
                </w:div>
                <w:div w:id="933587070">
                  <w:marLeft w:val="0"/>
                  <w:marRight w:val="0"/>
                  <w:marTop w:val="0"/>
                  <w:marBottom w:val="0"/>
                  <w:divBdr>
                    <w:top w:val="none" w:sz="0" w:space="0" w:color="auto"/>
                    <w:left w:val="none" w:sz="0" w:space="0" w:color="auto"/>
                    <w:bottom w:val="none" w:sz="0" w:space="0" w:color="auto"/>
                    <w:right w:val="none" w:sz="0" w:space="0" w:color="auto"/>
                  </w:divBdr>
                  <w:divsChild>
                    <w:div w:id="193810159">
                      <w:marLeft w:val="0"/>
                      <w:marRight w:val="0"/>
                      <w:marTop w:val="0"/>
                      <w:marBottom w:val="0"/>
                      <w:divBdr>
                        <w:top w:val="none" w:sz="0" w:space="0" w:color="auto"/>
                        <w:left w:val="none" w:sz="0" w:space="0" w:color="auto"/>
                        <w:bottom w:val="none" w:sz="0" w:space="0" w:color="auto"/>
                        <w:right w:val="none" w:sz="0" w:space="0" w:color="auto"/>
                      </w:divBdr>
                    </w:div>
                    <w:div w:id="1142692893">
                      <w:marLeft w:val="0"/>
                      <w:marRight w:val="0"/>
                      <w:marTop w:val="0"/>
                      <w:marBottom w:val="0"/>
                      <w:divBdr>
                        <w:top w:val="none" w:sz="0" w:space="0" w:color="auto"/>
                        <w:left w:val="none" w:sz="0" w:space="0" w:color="auto"/>
                        <w:bottom w:val="none" w:sz="0" w:space="0" w:color="auto"/>
                        <w:right w:val="none" w:sz="0" w:space="0" w:color="auto"/>
                      </w:divBdr>
                    </w:div>
                  </w:divsChild>
                </w:div>
                <w:div w:id="1032799522">
                  <w:marLeft w:val="0"/>
                  <w:marRight w:val="0"/>
                  <w:marTop w:val="0"/>
                  <w:marBottom w:val="0"/>
                  <w:divBdr>
                    <w:top w:val="none" w:sz="0" w:space="0" w:color="auto"/>
                    <w:left w:val="none" w:sz="0" w:space="0" w:color="auto"/>
                    <w:bottom w:val="none" w:sz="0" w:space="0" w:color="auto"/>
                    <w:right w:val="none" w:sz="0" w:space="0" w:color="auto"/>
                  </w:divBdr>
                  <w:divsChild>
                    <w:div w:id="286279860">
                      <w:marLeft w:val="0"/>
                      <w:marRight w:val="0"/>
                      <w:marTop w:val="0"/>
                      <w:marBottom w:val="0"/>
                      <w:divBdr>
                        <w:top w:val="none" w:sz="0" w:space="0" w:color="auto"/>
                        <w:left w:val="none" w:sz="0" w:space="0" w:color="auto"/>
                        <w:bottom w:val="none" w:sz="0" w:space="0" w:color="auto"/>
                        <w:right w:val="none" w:sz="0" w:space="0" w:color="auto"/>
                      </w:divBdr>
                    </w:div>
                  </w:divsChild>
                </w:div>
                <w:div w:id="1194004954">
                  <w:marLeft w:val="0"/>
                  <w:marRight w:val="0"/>
                  <w:marTop w:val="0"/>
                  <w:marBottom w:val="0"/>
                  <w:divBdr>
                    <w:top w:val="none" w:sz="0" w:space="0" w:color="auto"/>
                    <w:left w:val="none" w:sz="0" w:space="0" w:color="auto"/>
                    <w:bottom w:val="none" w:sz="0" w:space="0" w:color="auto"/>
                    <w:right w:val="none" w:sz="0" w:space="0" w:color="auto"/>
                  </w:divBdr>
                  <w:divsChild>
                    <w:div w:id="2000183965">
                      <w:marLeft w:val="0"/>
                      <w:marRight w:val="0"/>
                      <w:marTop w:val="0"/>
                      <w:marBottom w:val="0"/>
                      <w:divBdr>
                        <w:top w:val="none" w:sz="0" w:space="0" w:color="auto"/>
                        <w:left w:val="none" w:sz="0" w:space="0" w:color="auto"/>
                        <w:bottom w:val="none" w:sz="0" w:space="0" w:color="auto"/>
                        <w:right w:val="none" w:sz="0" w:space="0" w:color="auto"/>
                      </w:divBdr>
                    </w:div>
                  </w:divsChild>
                </w:div>
                <w:div w:id="1264260662">
                  <w:marLeft w:val="0"/>
                  <w:marRight w:val="0"/>
                  <w:marTop w:val="0"/>
                  <w:marBottom w:val="0"/>
                  <w:divBdr>
                    <w:top w:val="none" w:sz="0" w:space="0" w:color="auto"/>
                    <w:left w:val="none" w:sz="0" w:space="0" w:color="auto"/>
                    <w:bottom w:val="none" w:sz="0" w:space="0" w:color="auto"/>
                    <w:right w:val="none" w:sz="0" w:space="0" w:color="auto"/>
                  </w:divBdr>
                  <w:divsChild>
                    <w:div w:id="2072650780">
                      <w:marLeft w:val="0"/>
                      <w:marRight w:val="0"/>
                      <w:marTop w:val="0"/>
                      <w:marBottom w:val="0"/>
                      <w:divBdr>
                        <w:top w:val="none" w:sz="0" w:space="0" w:color="auto"/>
                        <w:left w:val="none" w:sz="0" w:space="0" w:color="auto"/>
                        <w:bottom w:val="none" w:sz="0" w:space="0" w:color="auto"/>
                        <w:right w:val="none" w:sz="0" w:space="0" w:color="auto"/>
                      </w:divBdr>
                    </w:div>
                  </w:divsChild>
                </w:div>
                <w:div w:id="1266301300">
                  <w:marLeft w:val="0"/>
                  <w:marRight w:val="0"/>
                  <w:marTop w:val="0"/>
                  <w:marBottom w:val="0"/>
                  <w:divBdr>
                    <w:top w:val="none" w:sz="0" w:space="0" w:color="auto"/>
                    <w:left w:val="none" w:sz="0" w:space="0" w:color="auto"/>
                    <w:bottom w:val="none" w:sz="0" w:space="0" w:color="auto"/>
                    <w:right w:val="none" w:sz="0" w:space="0" w:color="auto"/>
                  </w:divBdr>
                  <w:divsChild>
                    <w:div w:id="3678754">
                      <w:marLeft w:val="0"/>
                      <w:marRight w:val="0"/>
                      <w:marTop w:val="0"/>
                      <w:marBottom w:val="0"/>
                      <w:divBdr>
                        <w:top w:val="none" w:sz="0" w:space="0" w:color="auto"/>
                        <w:left w:val="none" w:sz="0" w:space="0" w:color="auto"/>
                        <w:bottom w:val="none" w:sz="0" w:space="0" w:color="auto"/>
                        <w:right w:val="none" w:sz="0" w:space="0" w:color="auto"/>
                      </w:divBdr>
                    </w:div>
                    <w:div w:id="146869066">
                      <w:marLeft w:val="0"/>
                      <w:marRight w:val="0"/>
                      <w:marTop w:val="0"/>
                      <w:marBottom w:val="0"/>
                      <w:divBdr>
                        <w:top w:val="none" w:sz="0" w:space="0" w:color="auto"/>
                        <w:left w:val="none" w:sz="0" w:space="0" w:color="auto"/>
                        <w:bottom w:val="none" w:sz="0" w:space="0" w:color="auto"/>
                        <w:right w:val="none" w:sz="0" w:space="0" w:color="auto"/>
                      </w:divBdr>
                    </w:div>
                    <w:div w:id="435253461">
                      <w:marLeft w:val="0"/>
                      <w:marRight w:val="0"/>
                      <w:marTop w:val="0"/>
                      <w:marBottom w:val="0"/>
                      <w:divBdr>
                        <w:top w:val="none" w:sz="0" w:space="0" w:color="auto"/>
                        <w:left w:val="none" w:sz="0" w:space="0" w:color="auto"/>
                        <w:bottom w:val="none" w:sz="0" w:space="0" w:color="auto"/>
                        <w:right w:val="none" w:sz="0" w:space="0" w:color="auto"/>
                      </w:divBdr>
                    </w:div>
                    <w:div w:id="878320835">
                      <w:marLeft w:val="0"/>
                      <w:marRight w:val="0"/>
                      <w:marTop w:val="0"/>
                      <w:marBottom w:val="0"/>
                      <w:divBdr>
                        <w:top w:val="none" w:sz="0" w:space="0" w:color="auto"/>
                        <w:left w:val="none" w:sz="0" w:space="0" w:color="auto"/>
                        <w:bottom w:val="none" w:sz="0" w:space="0" w:color="auto"/>
                        <w:right w:val="none" w:sz="0" w:space="0" w:color="auto"/>
                      </w:divBdr>
                    </w:div>
                    <w:div w:id="1693843824">
                      <w:marLeft w:val="0"/>
                      <w:marRight w:val="0"/>
                      <w:marTop w:val="0"/>
                      <w:marBottom w:val="0"/>
                      <w:divBdr>
                        <w:top w:val="none" w:sz="0" w:space="0" w:color="auto"/>
                        <w:left w:val="none" w:sz="0" w:space="0" w:color="auto"/>
                        <w:bottom w:val="none" w:sz="0" w:space="0" w:color="auto"/>
                        <w:right w:val="none" w:sz="0" w:space="0" w:color="auto"/>
                      </w:divBdr>
                    </w:div>
                    <w:div w:id="1956328878">
                      <w:marLeft w:val="0"/>
                      <w:marRight w:val="0"/>
                      <w:marTop w:val="0"/>
                      <w:marBottom w:val="0"/>
                      <w:divBdr>
                        <w:top w:val="none" w:sz="0" w:space="0" w:color="auto"/>
                        <w:left w:val="none" w:sz="0" w:space="0" w:color="auto"/>
                        <w:bottom w:val="none" w:sz="0" w:space="0" w:color="auto"/>
                        <w:right w:val="none" w:sz="0" w:space="0" w:color="auto"/>
                      </w:divBdr>
                    </w:div>
                  </w:divsChild>
                </w:div>
                <w:div w:id="1354456778">
                  <w:marLeft w:val="0"/>
                  <w:marRight w:val="0"/>
                  <w:marTop w:val="0"/>
                  <w:marBottom w:val="0"/>
                  <w:divBdr>
                    <w:top w:val="none" w:sz="0" w:space="0" w:color="auto"/>
                    <w:left w:val="none" w:sz="0" w:space="0" w:color="auto"/>
                    <w:bottom w:val="none" w:sz="0" w:space="0" w:color="auto"/>
                    <w:right w:val="none" w:sz="0" w:space="0" w:color="auto"/>
                  </w:divBdr>
                  <w:divsChild>
                    <w:div w:id="1479804697">
                      <w:marLeft w:val="0"/>
                      <w:marRight w:val="0"/>
                      <w:marTop w:val="0"/>
                      <w:marBottom w:val="0"/>
                      <w:divBdr>
                        <w:top w:val="none" w:sz="0" w:space="0" w:color="auto"/>
                        <w:left w:val="none" w:sz="0" w:space="0" w:color="auto"/>
                        <w:bottom w:val="none" w:sz="0" w:space="0" w:color="auto"/>
                        <w:right w:val="none" w:sz="0" w:space="0" w:color="auto"/>
                      </w:divBdr>
                    </w:div>
                  </w:divsChild>
                </w:div>
                <w:div w:id="1390617591">
                  <w:marLeft w:val="0"/>
                  <w:marRight w:val="0"/>
                  <w:marTop w:val="0"/>
                  <w:marBottom w:val="0"/>
                  <w:divBdr>
                    <w:top w:val="none" w:sz="0" w:space="0" w:color="auto"/>
                    <w:left w:val="none" w:sz="0" w:space="0" w:color="auto"/>
                    <w:bottom w:val="none" w:sz="0" w:space="0" w:color="auto"/>
                    <w:right w:val="none" w:sz="0" w:space="0" w:color="auto"/>
                  </w:divBdr>
                  <w:divsChild>
                    <w:div w:id="1160081782">
                      <w:marLeft w:val="0"/>
                      <w:marRight w:val="0"/>
                      <w:marTop w:val="0"/>
                      <w:marBottom w:val="0"/>
                      <w:divBdr>
                        <w:top w:val="none" w:sz="0" w:space="0" w:color="auto"/>
                        <w:left w:val="none" w:sz="0" w:space="0" w:color="auto"/>
                        <w:bottom w:val="none" w:sz="0" w:space="0" w:color="auto"/>
                        <w:right w:val="none" w:sz="0" w:space="0" w:color="auto"/>
                      </w:divBdr>
                    </w:div>
                  </w:divsChild>
                </w:div>
                <w:div w:id="1625774513">
                  <w:marLeft w:val="0"/>
                  <w:marRight w:val="0"/>
                  <w:marTop w:val="0"/>
                  <w:marBottom w:val="0"/>
                  <w:divBdr>
                    <w:top w:val="none" w:sz="0" w:space="0" w:color="auto"/>
                    <w:left w:val="none" w:sz="0" w:space="0" w:color="auto"/>
                    <w:bottom w:val="none" w:sz="0" w:space="0" w:color="auto"/>
                    <w:right w:val="none" w:sz="0" w:space="0" w:color="auto"/>
                  </w:divBdr>
                  <w:divsChild>
                    <w:div w:id="784739821">
                      <w:marLeft w:val="0"/>
                      <w:marRight w:val="0"/>
                      <w:marTop w:val="0"/>
                      <w:marBottom w:val="0"/>
                      <w:divBdr>
                        <w:top w:val="none" w:sz="0" w:space="0" w:color="auto"/>
                        <w:left w:val="none" w:sz="0" w:space="0" w:color="auto"/>
                        <w:bottom w:val="none" w:sz="0" w:space="0" w:color="auto"/>
                        <w:right w:val="none" w:sz="0" w:space="0" w:color="auto"/>
                      </w:divBdr>
                    </w:div>
                  </w:divsChild>
                </w:div>
                <w:div w:id="1626158540">
                  <w:marLeft w:val="0"/>
                  <w:marRight w:val="0"/>
                  <w:marTop w:val="0"/>
                  <w:marBottom w:val="0"/>
                  <w:divBdr>
                    <w:top w:val="none" w:sz="0" w:space="0" w:color="auto"/>
                    <w:left w:val="none" w:sz="0" w:space="0" w:color="auto"/>
                    <w:bottom w:val="none" w:sz="0" w:space="0" w:color="auto"/>
                    <w:right w:val="none" w:sz="0" w:space="0" w:color="auto"/>
                  </w:divBdr>
                  <w:divsChild>
                    <w:div w:id="143201664">
                      <w:marLeft w:val="0"/>
                      <w:marRight w:val="0"/>
                      <w:marTop w:val="0"/>
                      <w:marBottom w:val="0"/>
                      <w:divBdr>
                        <w:top w:val="none" w:sz="0" w:space="0" w:color="auto"/>
                        <w:left w:val="none" w:sz="0" w:space="0" w:color="auto"/>
                        <w:bottom w:val="none" w:sz="0" w:space="0" w:color="auto"/>
                        <w:right w:val="none" w:sz="0" w:space="0" w:color="auto"/>
                      </w:divBdr>
                    </w:div>
                  </w:divsChild>
                </w:div>
                <w:div w:id="1836452287">
                  <w:marLeft w:val="0"/>
                  <w:marRight w:val="0"/>
                  <w:marTop w:val="0"/>
                  <w:marBottom w:val="0"/>
                  <w:divBdr>
                    <w:top w:val="none" w:sz="0" w:space="0" w:color="auto"/>
                    <w:left w:val="none" w:sz="0" w:space="0" w:color="auto"/>
                    <w:bottom w:val="none" w:sz="0" w:space="0" w:color="auto"/>
                    <w:right w:val="none" w:sz="0" w:space="0" w:color="auto"/>
                  </w:divBdr>
                  <w:divsChild>
                    <w:div w:id="1318802270">
                      <w:marLeft w:val="0"/>
                      <w:marRight w:val="0"/>
                      <w:marTop w:val="0"/>
                      <w:marBottom w:val="0"/>
                      <w:divBdr>
                        <w:top w:val="none" w:sz="0" w:space="0" w:color="auto"/>
                        <w:left w:val="none" w:sz="0" w:space="0" w:color="auto"/>
                        <w:bottom w:val="none" w:sz="0" w:space="0" w:color="auto"/>
                        <w:right w:val="none" w:sz="0" w:space="0" w:color="auto"/>
                      </w:divBdr>
                    </w:div>
                  </w:divsChild>
                </w:div>
                <w:div w:id="1848127874">
                  <w:marLeft w:val="0"/>
                  <w:marRight w:val="0"/>
                  <w:marTop w:val="0"/>
                  <w:marBottom w:val="0"/>
                  <w:divBdr>
                    <w:top w:val="none" w:sz="0" w:space="0" w:color="auto"/>
                    <w:left w:val="none" w:sz="0" w:space="0" w:color="auto"/>
                    <w:bottom w:val="none" w:sz="0" w:space="0" w:color="auto"/>
                    <w:right w:val="none" w:sz="0" w:space="0" w:color="auto"/>
                  </w:divBdr>
                  <w:divsChild>
                    <w:div w:id="562523370">
                      <w:marLeft w:val="0"/>
                      <w:marRight w:val="0"/>
                      <w:marTop w:val="0"/>
                      <w:marBottom w:val="0"/>
                      <w:divBdr>
                        <w:top w:val="none" w:sz="0" w:space="0" w:color="auto"/>
                        <w:left w:val="none" w:sz="0" w:space="0" w:color="auto"/>
                        <w:bottom w:val="none" w:sz="0" w:space="0" w:color="auto"/>
                        <w:right w:val="none" w:sz="0" w:space="0" w:color="auto"/>
                      </w:divBdr>
                    </w:div>
                  </w:divsChild>
                </w:div>
                <w:div w:id="1906798432">
                  <w:marLeft w:val="0"/>
                  <w:marRight w:val="0"/>
                  <w:marTop w:val="0"/>
                  <w:marBottom w:val="0"/>
                  <w:divBdr>
                    <w:top w:val="none" w:sz="0" w:space="0" w:color="auto"/>
                    <w:left w:val="none" w:sz="0" w:space="0" w:color="auto"/>
                    <w:bottom w:val="none" w:sz="0" w:space="0" w:color="auto"/>
                    <w:right w:val="none" w:sz="0" w:space="0" w:color="auto"/>
                  </w:divBdr>
                  <w:divsChild>
                    <w:div w:id="541552544">
                      <w:marLeft w:val="0"/>
                      <w:marRight w:val="0"/>
                      <w:marTop w:val="0"/>
                      <w:marBottom w:val="0"/>
                      <w:divBdr>
                        <w:top w:val="none" w:sz="0" w:space="0" w:color="auto"/>
                        <w:left w:val="none" w:sz="0" w:space="0" w:color="auto"/>
                        <w:bottom w:val="none" w:sz="0" w:space="0" w:color="auto"/>
                        <w:right w:val="none" w:sz="0" w:space="0" w:color="auto"/>
                      </w:divBdr>
                    </w:div>
                  </w:divsChild>
                </w:div>
                <w:div w:id="2015570505">
                  <w:marLeft w:val="0"/>
                  <w:marRight w:val="0"/>
                  <w:marTop w:val="0"/>
                  <w:marBottom w:val="0"/>
                  <w:divBdr>
                    <w:top w:val="none" w:sz="0" w:space="0" w:color="auto"/>
                    <w:left w:val="none" w:sz="0" w:space="0" w:color="auto"/>
                    <w:bottom w:val="none" w:sz="0" w:space="0" w:color="auto"/>
                    <w:right w:val="none" w:sz="0" w:space="0" w:color="auto"/>
                  </w:divBdr>
                  <w:divsChild>
                    <w:div w:id="554439179">
                      <w:marLeft w:val="0"/>
                      <w:marRight w:val="0"/>
                      <w:marTop w:val="0"/>
                      <w:marBottom w:val="0"/>
                      <w:divBdr>
                        <w:top w:val="none" w:sz="0" w:space="0" w:color="auto"/>
                        <w:left w:val="none" w:sz="0" w:space="0" w:color="auto"/>
                        <w:bottom w:val="none" w:sz="0" w:space="0" w:color="auto"/>
                        <w:right w:val="none" w:sz="0" w:space="0" w:color="auto"/>
                      </w:divBdr>
                    </w:div>
                    <w:div w:id="793522367">
                      <w:marLeft w:val="0"/>
                      <w:marRight w:val="0"/>
                      <w:marTop w:val="0"/>
                      <w:marBottom w:val="0"/>
                      <w:divBdr>
                        <w:top w:val="none" w:sz="0" w:space="0" w:color="auto"/>
                        <w:left w:val="none" w:sz="0" w:space="0" w:color="auto"/>
                        <w:bottom w:val="none" w:sz="0" w:space="0" w:color="auto"/>
                        <w:right w:val="none" w:sz="0" w:space="0" w:color="auto"/>
                      </w:divBdr>
                    </w:div>
                    <w:div w:id="1003313511">
                      <w:marLeft w:val="0"/>
                      <w:marRight w:val="0"/>
                      <w:marTop w:val="0"/>
                      <w:marBottom w:val="0"/>
                      <w:divBdr>
                        <w:top w:val="none" w:sz="0" w:space="0" w:color="auto"/>
                        <w:left w:val="none" w:sz="0" w:space="0" w:color="auto"/>
                        <w:bottom w:val="none" w:sz="0" w:space="0" w:color="auto"/>
                        <w:right w:val="none" w:sz="0" w:space="0" w:color="auto"/>
                      </w:divBdr>
                    </w:div>
                  </w:divsChild>
                </w:div>
                <w:div w:id="2099910604">
                  <w:marLeft w:val="0"/>
                  <w:marRight w:val="0"/>
                  <w:marTop w:val="0"/>
                  <w:marBottom w:val="0"/>
                  <w:divBdr>
                    <w:top w:val="none" w:sz="0" w:space="0" w:color="auto"/>
                    <w:left w:val="none" w:sz="0" w:space="0" w:color="auto"/>
                    <w:bottom w:val="none" w:sz="0" w:space="0" w:color="auto"/>
                    <w:right w:val="none" w:sz="0" w:space="0" w:color="auto"/>
                  </w:divBdr>
                  <w:divsChild>
                    <w:div w:id="1082332555">
                      <w:marLeft w:val="0"/>
                      <w:marRight w:val="0"/>
                      <w:marTop w:val="0"/>
                      <w:marBottom w:val="0"/>
                      <w:divBdr>
                        <w:top w:val="none" w:sz="0" w:space="0" w:color="auto"/>
                        <w:left w:val="none" w:sz="0" w:space="0" w:color="auto"/>
                        <w:bottom w:val="none" w:sz="0" w:space="0" w:color="auto"/>
                        <w:right w:val="none" w:sz="0" w:space="0" w:color="auto"/>
                      </w:divBdr>
                    </w:div>
                  </w:divsChild>
                </w:div>
                <w:div w:id="2105414782">
                  <w:marLeft w:val="0"/>
                  <w:marRight w:val="0"/>
                  <w:marTop w:val="0"/>
                  <w:marBottom w:val="0"/>
                  <w:divBdr>
                    <w:top w:val="none" w:sz="0" w:space="0" w:color="auto"/>
                    <w:left w:val="none" w:sz="0" w:space="0" w:color="auto"/>
                    <w:bottom w:val="none" w:sz="0" w:space="0" w:color="auto"/>
                    <w:right w:val="none" w:sz="0" w:space="0" w:color="auto"/>
                  </w:divBdr>
                  <w:divsChild>
                    <w:div w:id="592979063">
                      <w:marLeft w:val="0"/>
                      <w:marRight w:val="0"/>
                      <w:marTop w:val="0"/>
                      <w:marBottom w:val="0"/>
                      <w:divBdr>
                        <w:top w:val="none" w:sz="0" w:space="0" w:color="auto"/>
                        <w:left w:val="none" w:sz="0" w:space="0" w:color="auto"/>
                        <w:bottom w:val="none" w:sz="0" w:space="0" w:color="auto"/>
                        <w:right w:val="none" w:sz="0" w:space="0" w:color="auto"/>
                      </w:divBdr>
                    </w:div>
                  </w:divsChild>
                </w:div>
                <w:div w:id="2145006436">
                  <w:marLeft w:val="0"/>
                  <w:marRight w:val="0"/>
                  <w:marTop w:val="0"/>
                  <w:marBottom w:val="0"/>
                  <w:divBdr>
                    <w:top w:val="none" w:sz="0" w:space="0" w:color="auto"/>
                    <w:left w:val="none" w:sz="0" w:space="0" w:color="auto"/>
                    <w:bottom w:val="none" w:sz="0" w:space="0" w:color="auto"/>
                    <w:right w:val="none" w:sz="0" w:space="0" w:color="auto"/>
                  </w:divBdr>
                  <w:divsChild>
                    <w:div w:id="18637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storage.googleapis.com/files-au-climate/climate-au/p/prj28e009db17b4e0a02e578/public_assets/CISA%20-%20Draft%20Term%20Sheet%20(SA-VIC).pdf" TargetMode="External"/><Relationship Id="rId26" Type="http://schemas.openxmlformats.org/officeDocument/2006/relationships/image" Target="media/image5.png"/><Relationship Id="rId39" Type="http://schemas.openxmlformats.org/officeDocument/2006/relationships/hyperlink" Target="https://www.energy.gov.au/government-priorities/energy-and-climate-change-ministerial-council/working-groups/national-energy-transformation-partnership/incorporating-emissions-reduction-objective-national-energy-objectives" TargetMode="External"/><Relationship Id="rId21" Type="http://schemas.openxmlformats.org/officeDocument/2006/relationships/hyperlink" Target="https://consult.dcceew.gov.au" TargetMode="External"/><Relationship Id="rId34" Type="http://schemas.openxmlformats.org/officeDocument/2006/relationships/hyperlink" Target="https://aemoservices.com.au/tenders/cis-sa-vic"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hyperlink" Target="https://aemoservices.com.au/tenders/-/media/dd0e37a760a7431cbda6defbb2aa853d.ashx?la=en" TargetMode="External"/><Relationship Id="rId29" Type="http://schemas.openxmlformats.org/officeDocument/2006/relationships/hyperlink" Target="https://aemoservices.com.au/-/media/services/files/cis/cis-sa-vic/cis-sa-vic-tender-guidelines-december-2023.pdf?la=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cceew.gov.au/energy/capacity-investment-scheme-updates" TargetMode="External"/><Relationship Id="rId32" Type="http://schemas.openxmlformats.org/officeDocument/2006/relationships/image" Target="media/image9.png"/><Relationship Id="rId37" Type="http://schemas.openxmlformats.org/officeDocument/2006/relationships/hyperlink" Target="https://minister.dcceew.gov.au/bowen/media-releases/capacity-investment-scheme-power-australian-energy-market-transformation"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hyperlink" Target="https://www.dcceew.gov.au/energy/renewable/capacity-investment-scheme" TargetMode="External"/><Relationship Id="rId28" Type="http://schemas.openxmlformats.org/officeDocument/2006/relationships/hyperlink" Target="https://aemoservices.com.au/products/ltesa" TargetMode="External"/><Relationship Id="rId36" Type="http://schemas.openxmlformats.org/officeDocument/2006/relationships/hyperlink" Target="https://consult.dcceew.gov.au/capacity-investment-scheme-public-consultation-paper" TargetMode="External"/><Relationship Id="rId10" Type="http://schemas.openxmlformats.org/officeDocument/2006/relationships/endnotes" Target="endnotes.xml"/><Relationship Id="rId19" Type="http://schemas.openxmlformats.org/officeDocument/2006/relationships/hyperlink" Target="https://aemoservices.com.au/tenders/-/media/b6dcd67c74664c99a8e475696286f00c.ashx?la=en"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consult.dcceew.gov.au/"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aemoservices.com.au/-/media/services/files/cis/cis-sa-vic/cis-sa-vic-tender-guidelines-december-2023.pdf?la=en"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yperlink" Target="https://consult.dcceew.gov.au/capacity-investment-scheme-public-consultation-paper" TargetMode="External"/><Relationship Id="rId38" Type="http://schemas.openxmlformats.org/officeDocument/2006/relationships/hyperlink" Target="https://minister.dcceew.gov.au/bowen/media-releases/delivering-more-reliable-energy-all-australia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nsult.dcceew.gov.au/capacity-investment-scheme-public-consultation-paper" TargetMode="External"/><Relationship Id="rId2" Type="http://schemas.openxmlformats.org/officeDocument/2006/relationships/hyperlink" Target="https://aemoservices.com.au/-/media/services/files/cis/cis-sa-vic/cis-sa-vic-tender-guidelines-december-2023.pdf?la=en" TargetMode="External"/><Relationship Id="rId1" Type="http://schemas.openxmlformats.org/officeDocument/2006/relationships/hyperlink" Target="https://aemoservices.com.au/tenders/cis-sa-vic" TargetMode="External"/><Relationship Id="rId6" Type="http://schemas.openxmlformats.org/officeDocument/2006/relationships/hyperlink" Target="https://www.energy.gov.au/government-priorities/energy-and-climate-change-ministerial-council/working-groups/national-energy-transformation-partnership/incorporating-emissions-reduction-objective-national-energy-objectives" TargetMode="External"/><Relationship Id="rId5" Type="http://schemas.openxmlformats.org/officeDocument/2006/relationships/hyperlink" Target="https://minister.dcceew.gov.au/bowen/media-releases/delivering-more-reliable-energy-all-australians" TargetMode="External"/><Relationship Id="rId4" Type="http://schemas.openxmlformats.org/officeDocument/2006/relationships/hyperlink" Target="https://minister.dcceew.gov.au/bowen/media-releases/capacity-investment-scheme-power-australian-energy-market-transformation"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39484377F1D8408015F6CB5293512F" ma:contentTypeVersion="16" ma:contentTypeDescription="Create a new document." ma:contentTypeScope="" ma:versionID="f421523e6e13af438bba07f9fde55e84">
  <xsd:schema xmlns:xsd="http://www.w3.org/2001/XMLSchema" xmlns:xs="http://www.w3.org/2001/XMLSchema" xmlns:p="http://schemas.microsoft.com/office/2006/metadata/properties" xmlns:ns2="c00b9b4d-7f79-474c-ada1-1bbc47134fcc" xmlns:ns3="f955cd0e-1d6d-436f-8ac5-e785274a8c16" xmlns:ns4="81c01dc6-2c49-4730-b140-874c95cac377" targetNamespace="http://schemas.microsoft.com/office/2006/metadata/properties" ma:root="true" ma:fieldsID="4ab13e981f956bd85ec2a5a9eadc004e" ns2:_="" ns3:_="" ns4:_="">
    <xsd:import namespace="c00b9b4d-7f79-474c-ada1-1bbc47134fcc"/>
    <xsd:import namespace="f955cd0e-1d6d-436f-8ac5-e785274a8c16"/>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b9b4d-7f79-474c-ada1-1bbc47134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55cd0e-1d6d-436f-8ac5-e785274a8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ddda093-ff4d-4ae0-a424-6811226b44a9}" ma:internalName="TaxCatchAll" ma:showField="CatchAllData" ma:web="f955cd0e-1d6d-436f-8ac5-e785274a8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955cd0e-1d6d-436f-8ac5-e785274a8c16">
      <UserInfo>
        <DisplayName>Gina Zheng</DisplayName>
        <AccountId>23</AccountId>
        <AccountType/>
      </UserInfo>
    </SharedWithUsers>
    <lcf76f155ced4ddcb4097134ff3c332f xmlns="c00b9b4d-7f79-474c-ada1-1bbc47134fcc">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6524A-EB0E-4C6F-A950-60E6A3FE5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b9b4d-7f79-474c-ada1-1bbc47134fcc"/>
    <ds:schemaRef ds:uri="f955cd0e-1d6d-436f-8ac5-e785274a8c16"/>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8D457-1407-416F-B5DB-7BC447D7E859}">
  <ds:schemaRefs>
    <ds:schemaRef ds:uri="http://www.w3.org/XML/1998/namespace"/>
    <ds:schemaRef ds:uri="http://purl.org/dc/terms/"/>
    <ds:schemaRef ds:uri="http://schemas.microsoft.com/office/2006/documentManagement/types"/>
    <ds:schemaRef ds:uri="c00b9b4d-7f79-474c-ada1-1bbc47134fcc"/>
    <ds:schemaRef ds:uri="http://schemas.microsoft.com/office/2006/metadata/properties"/>
    <ds:schemaRef ds:uri="81c01dc6-2c49-4730-b140-874c95cac377"/>
    <ds:schemaRef ds:uri="http://purl.org/dc/dcmitype/"/>
    <ds:schemaRef ds:uri="http://purl.org/dc/elements/1.1/"/>
    <ds:schemaRef ds:uri="http://schemas.microsoft.com/office/infopath/2007/PartnerControls"/>
    <ds:schemaRef ds:uri="http://schemas.openxmlformats.org/package/2006/metadata/core-properties"/>
    <ds:schemaRef ds:uri="f955cd0e-1d6d-436f-8ac5-e785274a8c16"/>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27BADD8-D078-4477-B21F-83F73AF8CC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12560</Words>
  <Characters>71596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DCCEEW - Draft Implementation Design Paper</vt:lpstr>
    </vt:vector>
  </TitlesOfParts>
  <Company/>
  <LinksUpToDate>false</LinksUpToDate>
  <CharactersWithSpaces>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DCCEEW - Draft Implementation Design Paper</dc:title>
  <dc:subject/>
  <dc:creator/>
  <cp:keywords/>
  <cp:lastModifiedBy/>
  <cp:revision>1</cp:revision>
  <cp:lastPrinted>2013-11-01T11:59:00Z</cp:lastPrinted>
  <dcterms:created xsi:type="dcterms:W3CDTF">2024-02-29T06:11:00Z</dcterms:created>
  <dcterms:modified xsi:type="dcterms:W3CDTF">2024-02-29T06:11:00Z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Order">
    <vt:r8>59800</vt:r8>
  </property>
  <property fmtid="{D5CDD505-2E9C-101B-9397-08002B2CF9AE}" pid="4" name="MSIP_Label_c1941c47-a837-430d-8559-fd118a72769e_ActionId">
    <vt:lpwstr>5164615d-e1d0-45b6-b828-01b0f73fe09a</vt:lpwstr>
  </property>
  <property fmtid="{D5CDD505-2E9C-101B-9397-08002B2CF9AE}" pid="5" name="MSIP_Label_c1941c47-a837-430d-8559-fd118a72769e_ContentBits">
    <vt:lpwstr>0</vt:lpwstr>
  </property>
  <property fmtid="{D5CDD505-2E9C-101B-9397-08002B2CF9AE}" pid="6" name="AEMO Collaboration Document Type">
    <vt:lpwstr/>
  </property>
  <property fmtid="{D5CDD505-2E9C-101B-9397-08002B2CF9AE}" pid="7" name="MediaServiceImageTags">
    <vt:lpwstr/>
  </property>
  <property fmtid="{D5CDD505-2E9C-101B-9397-08002B2CF9AE}" pid="8" name="xd_ProgID">
    <vt:lpwstr/>
  </property>
  <property fmtid="{D5CDD505-2E9C-101B-9397-08002B2CF9AE}" pid="9" name="ContentTypeId">
    <vt:lpwstr>0x0101004C39484377F1D8408015F6CB5293512F</vt:lpwstr>
  </property>
  <property fmtid="{D5CDD505-2E9C-101B-9397-08002B2CF9AE}" pid="10" name="TaxKeywordTaxHTField">
    <vt:lpwstr/>
  </property>
  <property fmtid="{D5CDD505-2E9C-101B-9397-08002B2CF9AE}" pid="11" name="ComplianceAssetId">
    <vt:lpwstr/>
  </property>
  <property fmtid="{D5CDD505-2E9C-101B-9397-08002B2CF9AE}" pid="12" name="TemplateUrl">
    <vt:lpwstr/>
  </property>
  <property fmtid="{D5CDD505-2E9C-101B-9397-08002B2CF9AE}" pid="13" name="MSIP_Label_c1941c47-a837-430d-8559-fd118a72769e_Method">
    <vt:lpwstr>Standard</vt:lpwstr>
  </property>
  <property fmtid="{D5CDD505-2E9C-101B-9397-08002B2CF9AE}" pid="14" name="_ExtendedDescription">
    <vt:lpwstr/>
  </property>
  <property fmtid="{D5CDD505-2E9C-101B-9397-08002B2CF9AE}" pid="15" name="MSIP_Label_c1941c47-a837-430d-8559-fd118a72769e_Enabled">
    <vt:lpwstr>true</vt:lpwstr>
  </property>
  <property fmtid="{D5CDD505-2E9C-101B-9397-08002B2CF9AE}" pid="16" name="TriggerFlowInfo">
    <vt:lpwstr/>
  </property>
  <property fmtid="{D5CDD505-2E9C-101B-9397-08002B2CF9AE}" pid="17" name="MSIP_Label_c1941c47-a837-430d-8559-fd118a72769e_Name">
    <vt:lpwstr>Internal</vt:lpwstr>
  </property>
  <property fmtid="{D5CDD505-2E9C-101B-9397-08002B2CF9AE}" pid="18" name="MSIP_Label_c1941c47-a837-430d-8559-fd118a72769e_SetDate">
    <vt:lpwstr>2024-02-15T22:32:13Z</vt:lpwstr>
  </property>
  <property fmtid="{D5CDD505-2E9C-101B-9397-08002B2CF9AE}" pid="19" name="xd_Signature">
    <vt:bool>false</vt:bool>
  </property>
  <property fmtid="{D5CDD505-2E9C-101B-9397-08002B2CF9AE}" pid="20" name="GrammarlyDocumentId">
    <vt:lpwstr>cb7dd2a019cfc50f7371f35538d996c4da33e6ebcb81588a068b43b791596201</vt:lpwstr>
  </property>
  <property fmtid="{D5CDD505-2E9C-101B-9397-08002B2CF9AE}" pid="21" name="fc36bc6de0bf403e9ed4dec84c72e21e">
    <vt:lpwstr/>
  </property>
  <property fmtid="{D5CDD505-2E9C-101B-9397-08002B2CF9AE}" pid="22" name="MSIP_Label_c1941c47-a837-430d-8559-fd118a72769e_SiteId">
    <vt:lpwstr>320c999e-3876-4ad0-b401-d241068e9e60</vt:lpwstr>
  </property>
</Properties>
</file>