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2EA9" w14:textId="77777777" w:rsidR="00C112D2" w:rsidRDefault="00C112D2" w:rsidP="007049C3">
      <w:pPr>
        <w:pStyle w:val="Heading1"/>
        <w:spacing w:before="0" w:after="240"/>
        <w:rPr>
          <w:rStyle w:val="normaltextrun"/>
          <w:b/>
          <w:bCs/>
        </w:rPr>
      </w:pPr>
    </w:p>
    <w:p w14:paraId="231FB2DA" w14:textId="6065B779" w:rsidR="00563653" w:rsidRPr="005D4A67" w:rsidRDefault="00976F4C" w:rsidP="007049C3">
      <w:pPr>
        <w:pStyle w:val="Heading1"/>
        <w:spacing w:before="0" w:after="240"/>
        <w:rPr>
          <w:b/>
          <w:bCs/>
        </w:rPr>
      </w:pPr>
      <w:r>
        <w:rPr>
          <w:rStyle w:val="normaltextrun"/>
          <w:b/>
          <w:bCs/>
        </w:rPr>
        <w:t xml:space="preserve">Draft </w:t>
      </w:r>
      <w:r w:rsidR="00563653" w:rsidRPr="005D4A67">
        <w:rPr>
          <w:rStyle w:val="normaltextrun"/>
          <w:b/>
          <w:bCs/>
        </w:rPr>
        <w:t xml:space="preserve">Earnings Before Interest and Tax Guidelines Explanatory Document </w:t>
      </w:r>
    </w:p>
    <w:p w14:paraId="5F208517" w14:textId="685F9B3D" w:rsidR="00A375EB" w:rsidRPr="005D4A67" w:rsidRDefault="00A375EB" w:rsidP="0076489E">
      <w:pPr>
        <w:pStyle w:val="Heading2"/>
        <w:rPr>
          <w:b/>
          <w:bCs/>
          <w:sz w:val="28"/>
          <w:szCs w:val="28"/>
        </w:rPr>
      </w:pPr>
      <w:r w:rsidRPr="005D4A67">
        <w:rPr>
          <w:b/>
          <w:bCs/>
          <w:sz w:val="28"/>
          <w:szCs w:val="28"/>
        </w:rPr>
        <w:t>Overview</w:t>
      </w:r>
    </w:p>
    <w:p w14:paraId="096794E9" w14:textId="482C41F7" w:rsidR="00EE6CCB" w:rsidRDefault="007B5C13" w:rsidP="00C112D2">
      <w:pPr>
        <w:pStyle w:val="paragraph"/>
        <w:spacing w:before="0" w:beforeAutospacing="0" w:after="16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This document provide</w:t>
      </w:r>
      <w:r w:rsidR="006F3069">
        <w:rPr>
          <w:rStyle w:val="eop"/>
          <w:rFonts w:ascii="Calibri" w:hAnsi="Calibri" w:cs="Calibri"/>
          <w:color w:val="000000"/>
          <w:sz w:val="22"/>
          <w:szCs w:val="22"/>
        </w:rPr>
        <w:t>s</w:t>
      </w:r>
      <w:r>
        <w:rPr>
          <w:rStyle w:val="eop"/>
          <w:rFonts w:ascii="Calibri" w:hAnsi="Calibri" w:cs="Calibri"/>
          <w:color w:val="000000"/>
          <w:sz w:val="22"/>
          <w:szCs w:val="22"/>
        </w:rPr>
        <w:t xml:space="preserve"> </w:t>
      </w:r>
      <w:r w:rsidR="006F3069">
        <w:rPr>
          <w:rStyle w:val="eop"/>
          <w:rFonts w:ascii="Calibri" w:hAnsi="Calibri" w:cs="Calibri"/>
          <w:color w:val="000000"/>
          <w:sz w:val="22"/>
          <w:szCs w:val="22"/>
        </w:rPr>
        <w:t>additional</w:t>
      </w:r>
      <w:r>
        <w:rPr>
          <w:rStyle w:val="eop"/>
          <w:rFonts w:ascii="Calibri" w:hAnsi="Calibri" w:cs="Calibri"/>
          <w:color w:val="000000"/>
          <w:sz w:val="22"/>
          <w:szCs w:val="22"/>
        </w:rPr>
        <w:t xml:space="preserve"> </w:t>
      </w:r>
      <w:r w:rsidR="005E526B">
        <w:rPr>
          <w:rStyle w:val="eop"/>
          <w:rFonts w:ascii="Calibri" w:hAnsi="Calibri" w:cs="Calibri"/>
          <w:color w:val="000000"/>
          <w:sz w:val="22"/>
          <w:szCs w:val="22"/>
        </w:rPr>
        <w:t>information and</w:t>
      </w:r>
      <w:r>
        <w:rPr>
          <w:rStyle w:val="eop"/>
          <w:rFonts w:ascii="Calibri" w:hAnsi="Calibri" w:cs="Calibri"/>
          <w:color w:val="000000"/>
          <w:sz w:val="22"/>
          <w:szCs w:val="22"/>
        </w:rPr>
        <w:t xml:space="preserve"> context to understand the</w:t>
      </w:r>
      <w:r w:rsidR="00976F4C">
        <w:rPr>
          <w:rStyle w:val="eop"/>
          <w:rFonts w:ascii="Calibri" w:hAnsi="Calibri" w:cs="Calibri"/>
          <w:color w:val="000000"/>
          <w:sz w:val="22"/>
          <w:szCs w:val="22"/>
        </w:rPr>
        <w:t xml:space="preserve"> draft</w:t>
      </w:r>
      <w:r>
        <w:rPr>
          <w:rStyle w:val="eop"/>
          <w:rFonts w:ascii="Calibri" w:hAnsi="Calibri" w:cs="Calibri"/>
          <w:color w:val="000000"/>
          <w:sz w:val="22"/>
          <w:szCs w:val="22"/>
        </w:rPr>
        <w:t xml:space="preserve"> Earnings Before Interest and Tax (EBIT) Guidelines. </w:t>
      </w:r>
      <w:r w:rsidR="00CF5600">
        <w:rPr>
          <w:rStyle w:val="eop"/>
          <w:rFonts w:ascii="Calibri" w:hAnsi="Calibri" w:cs="Calibri"/>
          <w:color w:val="000000"/>
          <w:sz w:val="22"/>
          <w:szCs w:val="22"/>
        </w:rPr>
        <w:t xml:space="preserve">EBIT Guidelines are an administrative document published by the Secretary under subsection 37(7) of the </w:t>
      </w:r>
      <w:r w:rsidR="00CF5600" w:rsidRPr="001F31FB">
        <w:rPr>
          <w:rStyle w:val="eop"/>
          <w:rFonts w:ascii="Calibri" w:hAnsi="Calibri" w:cs="Calibri"/>
          <w:i/>
          <w:iCs/>
          <w:color w:val="000000"/>
          <w:sz w:val="22"/>
          <w:szCs w:val="22"/>
        </w:rPr>
        <w:t>National Greenhouse and Energy Reporting (Safeguard Mechanism) Rule 2015</w:t>
      </w:r>
      <w:r w:rsidR="00CF5600">
        <w:rPr>
          <w:rStyle w:val="eop"/>
          <w:rFonts w:ascii="Calibri" w:hAnsi="Calibri" w:cs="Calibri"/>
          <w:color w:val="000000"/>
          <w:sz w:val="22"/>
          <w:szCs w:val="22"/>
        </w:rPr>
        <w:t xml:space="preserve"> (Safeguard Rules). </w:t>
      </w:r>
      <w:r>
        <w:rPr>
          <w:rStyle w:val="eop"/>
          <w:rFonts w:ascii="Calibri" w:hAnsi="Calibri" w:cs="Calibri"/>
          <w:color w:val="000000"/>
          <w:sz w:val="22"/>
          <w:szCs w:val="22"/>
        </w:rPr>
        <w:t>The</w:t>
      </w:r>
      <w:r w:rsidR="00976F4C">
        <w:rPr>
          <w:rStyle w:val="eop"/>
          <w:rFonts w:ascii="Calibri" w:hAnsi="Calibri" w:cs="Calibri"/>
          <w:color w:val="000000"/>
          <w:sz w:val="22"/>
          <w:szCs w:val="22"/>
        </w:rPr>
        <w:t xml:space="preserve"> final</w:t>
      </w:r>
      <w:r>
        <w:rPr>
          <w:rStyle w:val="eop"/>
          <w:rFonts w:ascii="Calibri" w:hAnsi="Calibri" w:cs="Calibri"/>
          <w:color w:val="000000"/>
          <w:sz w:val="22"/>
          <w:szCs w:val="22"/>
        </w:rPr>
        <w:t xml:space="preserve"> EBIT Guidelines </w:t>
      </w:r>
      <w:r w:rsidR="00CF5600">
        <w:rPr>
          <w:rStyle w:val="eop"/>
          <w:rFonts w:ascii="Calibri" w:hAnsi="Calibri" w:cs="Calibri"/>
          <w:color w:val="000000"/>
          <w:sz w:val="22"/>
          <w:szCs w:val="22"/>
        </w:rPr>
        <w:t>will assist the Regulator, applicants and auditors apply the calculations required by section 37 of the Safeguard Rules and are consistent with those rules.</w:t>
      </w:r>
      <w:r>
        <w:rPr>
          <w:rStyle w:val="eop"/>
          <w:rFonts w:ascii="Calibri" w:hAnsi="Calibri" w:cs="Calibri"/>
          <w:color w:val="000000"/>
          <w:sz w:val="22"/>
          <w:szCs w:val="22"/>
        </w:rPr>
        <w:t xml:space="preserve"> </w:t>
      </w:r>
    </w:p>
    <w:p w14:paraId="6ABB65A7" w14:textId="4BB5AB8F" w:rsidR="00457E52" w:rsidRPr="006B129D" w:rsidRDefault="002A6403" w:rsidP="00C112D2">
      <w:pPr>
        <w:pStyle w:val="paragraph"/>
        <w:spacing w:before="0" w:beforeAutospacing="0" w:after="160" w:afterAutospacing="0"/>
        <w:textAlignment w:val="baseline"/>
        <w:rPr>
          <w:rFonts w:ascii="Calibri" w:hAnsi="Calibri" w:cs="Calibri"/>
          <w:color w:val="000000"/>
          <w:sz w:val="22"/>
          <w:szCs w:val="22"/>
        </w:rPr>
      </w:pPr>
      <w:r w:rsidRPr="004C303E">
        <w:rPr>
          <w:rStyle w:val="normaltextrun"/>
          <w:rFonts w:ascii="Calibri" w:hAnsi="Calibri" w:cs="Calibri"/>
          <w:sz w:val="22"/>
          <w:szCs w:val="22"/>
        </w:rPr>
        <w:t xml:space="preserve">The Australian Government reformed the Safeguard Mechanism </w:t>
      </w:r>
      <w:r w:rsidR="006322C9">
        <w:rPr>
          <w:rStyle w:val="normaltextrun"/>
          <w:rFonts w:ascii="Calibri" w:hAnsi="Calibri" w:cs="Calibri"/>
          <w:sz w:val="22"/>
          <w:szCs w:val="22"/>
        </w:rPr>
        <w:t xml:space="preserve">in 2023 </w:t>
      </w:r>
      <w:r w:rsidRPr="004C303E">
        <w:rPr>
          <w:rStyle w:val="normaltextrun"/>
          <w:rFonts w:ascii="Calibri" w:hAnsi="Calibri" w:cs="Calibri"/>
          <w:sz w:val="22"/>
          <w:szCs w:val="22"/>
        </w:rPr>
        <w:t xml:space="preserve">to help Australia meet its climate targets and to ensure Australia remains competitive in a decarbonising world. The reforms will reduce emissions at Australia’s largest </w:t>
      </w:r>
      <w:r w:rsidR="00B708C4">
        <w:rPr>
          <w:rStyle w:val="normaltextrun"/>
          <w:rFonts w:ascii="Calibri" w:hAnsi="Calibri" w:cs="Calibri"/>
          <w:sz w:val="22"/>
          <w:szCs w:val="22"/>
        </w:rPr>
        <w:t>industrial</w:t>
      </w:r>
      <w:r w:rsidR="00B708C4" w:rsidRPr="004C303E">
        <w:rPr>
          <w:rStyle w:val="normaltextrun"/>
          <w:rFonts w:ascii="Calibri" w:hAnsi="Calibri" w:cs="Calibri"/>
          <w:sz w:val="22"/>
          <w:szCs w:val="22"/>
        </w:rPr>
        <w:t xml:space="preserve"> </w:t>
      </w:r>
      <w:r w:rsidRPr="004C303E">
        <w:rPr>
          <w:rStyle w:val="normaltextrun"/>
          <w:rFonts w:ascii="Calibri" w:hAnsi="Calibri" w:cs="Calibri"/>
          <w:sz w:val="22"/>
          <w:szCs w:val="22"/>
        </w:rPr>
        <w:t xml:space="preserve">facilities on a trajectory consistent with achieving Australia’s emission reduction targets. </w:t>
      </w:r>
      <w:r w:rsidRPr="004C303E">
        <w:rPr>
          <w:rStyle w:val="normaltextrun"/>
          <w:rFonts w:ascii="Calibri" w:hAnsi="Calibri" w:cs="Calibri"/>
          <w:sz w:val="22"/>
          <w:szCs w:val="22"/>
          <w:shd w:val="clear" w:color="auto" w:fill="FFFFFF"/>
        </w:rPr>
        <w:t>The Safeguard Mechanism applies to facilities that emit scope 1 emissions of more than 100,000 tonnes of CO</w:t>
      </w:r>
      <w:r w:rsidRPr="004C303E">
        <w:rPr>
          <w:rStyle w:val="normaltextrun"/>
          <w:rFonts w:ascii="Calibri" w:hAnsi="Calibri" w:cs="Calibri"/>
          <w:sz w:val="22"/>
          <w:szCs w:val="22"/>
          <w:shd w:val="clear" w:color="auto" w:fill="FFFFFF"/>
          <w:vertAlign w:val="subscript"/>
        </w:rPr>
        <w:t>2</w:t>
      </w:r>
      <w:r w:rsidRPr="004C303E">
        <w:rPr>
          <w:rStyle w:val="normaltextrun"/>
          <w:rFonts w:ascii="Calibri" w:hAnsi="Calibri" w:cs="Calibri"/>
          <w:sz w:val="22"/>
          <w:szCs w:val="22"/>
          <w:shd w:val="clear" w:color="auto" w:fill="FFFFFF"/>
        </w:rPr>
        <w:t xml:space="preserve"> equivalent in a year and sets legislated emissions targets, known as baselines, on the net greenhouse gas emissions of covered facilities. Baselines for facilities will decline by 4.9 per cent each year to 2030 in line with Australia’s climate targets. </w:t>
      </w:r>
      <w:r w:rsidRPr="004C303E">
        <w:rPr>
          <w:rStyle w:val="eop"/>
          <w:rFonts w:ascii="Calibri" w:hAnsi="Calibri" w:cs="Calibri"/>
          <w:color w:val="000000"/>
          <w:sz w:val="22"/>
          <w:szCs w:val="22"/>
        </w:rPr>
        <w:t> </w:t>
      </w:r>
    </w:p>
    <w:p w14:paraId="075816A4" w14:textId="6B1016FE" w:rsidR="002A6403" w:rsidRPr="004C303E" w:rsidRDefault="002A6403" w:rsidP="00C112D2">
      <w:pPr>
        <w:pStyle w:val="paragraph"/>
        <w:spacing w:before="0" w:beforeAutospacing="0" w:after="160" w:afterAutospacing="0"/>
        <w:textAlignment w:val="baseline"/>
        <w:rPr>
          <w:rStyle w:val="normaltextrun"/>
          <w:sz w:val="22"/>
          <w:szCs w:val="22"/>
          <w:shd w:val="clear" w:color="auto" w:fill="FFFFFF"/>
        </w:rPr>
      </w:pPr>
      <w:r w:rsidRPr="004C303E">
        <w:rPr>
          <w:rStyle w:val="normaltextrun"/>
          <w:rFonts w:ascii="Calibri" w:hAnsi="Calibri" w:cs="Calibri"/>
          <w:sz w:val="22"/>
          <w:szCs w:val="22"/>
          <w:shd w:val="clear" w:color="auto" w:fill="FFFFFF"/>
        </w:rPr>
        <w:t xml:space="preserve">The reformed scheme is required to ensure that the competitiveness of trade-exposed industries is appropriately supported as Australia decarbonises. To support this objective, </w:t>
      </w:r>
      <w:r w:rsidR="000C76CC">
        <w:rPr>
          <w:rStyle w:val="normaltextrun"/>
          <w:rFonts w:ascii="Calibri" w:hAnsi="Calibri" w:cs="Calibri"/>
          <w:sz w:val="22"/>
          <w:szCs w:val="22"/>
          <w:shd w:val="clear" w:color="auto" w:fill="FFFFFF"/>
        </w:rPr>
        <w:t xml:space="preserve">trade-exposed </w:t>
      </w:r>
      <w:r w:rsidRPr="004C303E">
        <w:rPr>
          <w:rStyle w:val="normaltextrun"/>
          <w:rFonts w:ascii="Calibri" w:hAnsi="Calibri" w:cs="Calibri"/>
          <w:sz w:val="22"/>
          <w:szCs w:val="22"/>
          <w:shd w:val="clear" w:color="auto" w:fill="FFFFFF"/>
        </w:rPr>
        <w:t>facilities</w:t>
      </w:r>
      <w:r w:rsidR="00B92828">
        <w:rPr>
          <w:rStyle w:val="FootnoteReference"/>
          <w:rFonts w:ascii="Calibri" w:hAnsi="Calibri" w:cs="Calibri"/>
          <w:sz w:val="22"/>
          <w:szCs w:val="22"/>
          <w:shd w:val="clear" w:color="auto" w:fill="FFFFFF"/>
        </w:rPr>
        <w:footnoteReference w:id="2"/>
      </w:r>
      <w:r w:rsidRPr="004C303E">
        <w:rPr>
          <w:rStyle w:val="normaltextrun"/>
          <w:rFonts w:ascii="Calibri" w:hAnsi="Calibri" w:cs="Calibri"/>
          <w:sz w:val="22"/>
          <w:szCs w:val="22"/>
          <w:shd w:val="clear" w:color="auto" w:fill="FFFFFF"/>
        </w:rPr>
        <w:t xml:space="preserve"> can apply to the Clean Energy Regulator (the Regulator) for trade-exposed baseline-adjusted (TEBA) status, which then provides a reduced baseline decline rate. Facilities are eligible to apply for a TEBA determination if their assessed scheme cost impact is above prescribed thresholds. This assistance has been designed so that it reduces compliance costs for facilities that genuinely need it while retaining an incentive to reduce emissions.   </w:t>
      </w:r>
      <w:r w:rsidRPr="004C303E">
        <w:rPr>
          <w:rStyle w:val="normaltextrun"/>
          <w:sz w:val="22"/>
          <w:szCs w:val="22"/>
          <w:shd w:val="clear" w:color="auto" w:fill="FFFFFF"/>
        </w:rPr>
        <w:t> </w:t>
      </w:r>
    </w:p>
    <w:p w14:paraId="59694A4C" w14:textId="109406CB" w:rsidR="002A6403" w:rsidRPr="004C303E" w:rsidRDefault="002A6403" w:rsidP="00C112D2">
      <w:pPr>
        <w:pStyle w:val="paragraph"/>
        <w:spacing w:before="0" w:beforeAutospacing="0" w:after="160" w:afterAutospacing="0"/>
        <w:textAlignment w:val="baseline"/>
        <w:rPr>
          <w:rStyle w:val="normaltextrun"/>
          <w:sz w:val="22"/>
          <w:szCs w:val="22"/>
          <w:shd w:val="clear" w:color="auto" w:fill="FFFFFF"/>
        </w:rPr>
      </w:pPr>
      <w:r w:rsidRPr="004C303E">
        <w:rPr>
          <w:rStyle w:val="normaltextrun"/>
          <w:rFonts w:ascii="Calibri" w:hAnsi="Calibri" w:cs="Calibri"/>
          <w:sz w:val="22"/>
          <w:szCs w:val="22"/>
          <w:shd w:val="clear" w:color="auto" w:fill="FFFFFF"/>
        </w:rPr>
        <w:t xml:space="preserve">To qualify for TEBA status, manufacturing facilities are required to use scheme cost as a percentage of EBIT as a metric for cost impact, reflecting the value-added nature of their margins, and must demonstrate that it is equal to or greater than 3% of their EBIT. The adjustment of the baseline decline rate is commensurate to their cost impact, with a minimum decline rate of 1% being available to facilities where scheme costs are 10% or more of EBIT. The formula for calculating assessed cost impact for a manufacturing </w:t>
      </w:r>
      <w:r w:rsidR="00AB2649">
        <w:rPr>
          <w:rStyle w:val="normaltextrun"/>
          <w:rFonts w:ascii="Calibri" w:hAnsi="Calibri" w:cs="Calibri"/>
          <w:sz w:val="22"/>
          <w:szCs w:val="22"/>
          <w:shd w:val="clear" w:color="auto" w:fill="FFFFFF"/>
        </w:rPr>
        <w:t>f</w:t>
      </w:r>
      <w:r w:rsidRPr="004C303E">
        <w:rPr>
          <w:rStyle w:val="normaltextrun"/>
          <w:rFonts w:ascii="Calibri" w:hAnsi="Calibri" w:cs="Calibri"/>
          <w:sz w:val="22"/>
          <w:szCs w:val="22"/>
          <w:shd w:val="clear" w:color="auto" w:fill="FFFFFF"/>
        </w:rPr>
        <w:t>acility is provided in Box 1</w:t>
      </w:r>
      <w:r w:rsidR="00A0649E">
        <w:rPr>
          <w:rStyle w:val="normaltextrun"/>
          <w:rFonts w:ascii="Calibri" w:hAnsi="Calibri" w:cs="Calibri"/>
          <w:sz w:val="22"/>
          <w:szCs w:val="22"/>
          <w:shd w:val="clear" w:color="auto" w:fill="FFFFFF"/>
        </w:rPr>
        <w:t xml:space="preserve">. </w:t>
      </w:r>
    </w:p>
    <w:p w14:paraId="375432B5" w14:textId="77777777" w:rsidR="002A6403" w:rsidRDefault="002A6403" w:rsidP="002A6403">
      <w:pPr>
        <w:pStyle w:val="paragraph"/>
        <w:spacing w:before="0" w:beforeAutospacing="0" w:after="0" w:afterAutospacing="0"/>
        <w:textAlignment w:val="baseline"/>
        <w:rPr>
          <w:rStyle w:val="eop"/>
          <w:rFonts w:ascii="Calibri" w:hAnsi="Calibri" w:cs="Calibri"/>
          <w:sz w:val="2"/>
          <w:szCs w:val="2"/>
        </w:rPr>
      </w:pPr>
    </w:p>
    <w:p w14:paraId="1A32509B" w14:textId="77777777" w:rsidR="00E52F9D" w:rsidRPr="00E52F9D" w:rsidRDefault="00E52F9D" w:rsidP="00E52F9D">
      <w:pPr>
        <w:rPr>
          <w:lang w:eastAsia="en-AU"/>
        </w:rPr>
      </w:pPr>
    </w:p>
    <w:p w14:paraId="32A37D71" w14:textId="77777777" w:rsidR="00E52F9D" w:rsidRPr="00E52F9D" w:rsidRDefault="00E52F9D" w:rsidP="00E52F9D">
      <w:pPr>
        <w:rPr>
          <w:lang w:eastAsia="en-AU"/>
        </w:rPr>
      </w:pPr>
    </w:p>
    <w:p w14:paraId="19EF22A6" w14:textId="77777777" w:rsidR="00E52F9D" w:rsidRDefault="00E52F9D" w:rsidP="00E52F9D">
      <w:pPr>
        <w:rPr>
          <w:rStyle w:val="eop"/>
          <w:rFonts w:ascii="Calibri" w:eastAsia="Times New Roman" w:hAnsi="Calibri" w:cs="Calibri"/>
          <w:kern w:val="0"/>
          <w:sz w:val="2"/>
          <w:szCs w:val="2"/>
          <w:lang w:eastAsia="en-AU"/>
          <w14:ligatures w14:val="none"/>
        </w:rPr>
      </w:pPr>
    </w:p>
    <w:p w14:paraId="7DE4DE8F" w14:textId="3CF8C3AC" w:rsidR="0070401D" w:rsidRDefault="00AB2649" w:rsidP="00A611D8">
      <w:pPr>
        <w:tabs>
          <w:tab w:val="left" w:pos="6660"/>
        </w:tabs>
        <w:rPr>
          <w:rStyle w:val="normaltextrun"/>
          <w:rFonts w:ascii="Calibri" w:hAnsi="Calibri" w:cs="Calibri"/>
          <w:color w:val="000000"/>
          <w:shd w:val="clear" w:color="auto" w:fill="FFFFFF"/>
        </w:rPr>
      </w:pPr>
      <w:r w:rsidRPr="00314C32">
        <w:rPr>
          <w:rFonts w:cstheme="minorHAnsi"/>
          <w:noProof/>
        </w:rPr>
        <w:lastRenderedPageBreak/>
        <mc:AlternateContent>
          <mc:Choice Requires="wps">
            <w:drawing>
              <wp:anchor distT="45720" distB="45720" distL="114300" distR="114300" simplePos="0" relativeHeight="251658240" behindDoc="0" locked="0" layoutInCell="1" allowOverlap="1" wp14:anchorId="3C01766B" wp14:editId="0577CB8C">
                <wp:simplePos x="0" y="0"/>
                <wp:positionH relativeFrom="margin">
                  <wp:posOffset>-9525</wp:posOffset>
                </wp:positionH>
                <wp:positionV relativeFrom="paragraph">
                  <wp:posOffset>0</wp:posOffset>
                </wp:positionV>
                <wp:extent cx="5705475" cy="2252980"/>
                <wp:effectExtent l="0" t="0" r="28575" b="13970"/>
                <wp:wrapSquare wrapText="bothSides"/>
                <wp:docPr id="1442307805" name="Text Box 1442307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52980"/>
                        </a:xfrm>
                        <a:prstGeom prst="rect">
                          <a:avLst/>
                        </a:prstGeom>
                        <a:solidFill>
                          <a:schemeClr val="accent6">
                            <a:lumMod val="20000"/>
                            <a:lumOff val="80000"/>
                          </a:schemeClr>
                        </a:solidFill>
                        <a:ln w="9525">
                          <a:solidFill>
                            <a:srgbClr val="000000"/>
                          </a:solidFill>
                          <a:miter lim="800000"/>
                          <a:headEnd/>
                          <a:tailEnd/>
                        </a:ln>
                      </wps:spPr>
                      <wps:txbx>
                        <w:txbxContent>
                          <w:p w14:paraId="773A2F59" w14:textId="28511A10" w:rsidR="002A6403" w:rsidRPr="0003033C" w:rsidRDefault="002A6403" w:rsidP="0003033C">
                            <w:pPr>
                              <w:pStyle w:val="paragraph"/>
                              <w:spacing w:before="0" w:beforeAutospacing="0" w:after="120" w:afterAutospacing="0"/>
                              <w:textAlignment w:val="baseline"/>
                              <w:rPr>
                                <w:rStyle w:val="normaltextrun"/>
                                <w:rFonts w:ascii="Calibri" w:hAnsi="Calibri" w:cs="Calibri"/>
                                <w:b/>
                                <w:bCs/>
                                <w:sz w:val="22"/>
                                <w:szCs w:val="22"/>
                              </w:rPr>
                            </w:pPr>
                            <w:r w:rsidRPr="0003033C">
                              <w:rPr>
                                <w:rStyle w:val="normaltextrun"/>
                                <w:rFonts w:ascii="Calibri" w:hAnsi="Calibri" w:cs="Calibri"/>
                                <w:b/>
                                <w:bCs/>
                                <w:sz w:val="22"/>
                                <w:szCs w:val="22"/>
                              </w:rPr>
                              <w:t xml:space="preserve">Box 1: Assessed cost </w:t>
                            </w:r>
                            <w:proofErr w:type="gramStart"/>
                            <w:r w:rsidRPr="0003033C">
                              <w:rPr>
                                <w:rStyle w:val="normaltextrun"/>
                                <w:rFonts w:ascii="Calibri" w:hAnsi="Calibri" w:cs="Calibri"/>
                                <w:b/>
                                <w:bCs/>
                                <w:sz w:val="22"/>
                                <w:szCs w:val="22"/>
                              </w:rPr>
                              <w:t>impact</w:t>
                            </w:r>
                            <w:proofErr w:type="gramEnd"/>
                          </w:p>
                          <w:p w14:paraId="0E37633E" w14:textId="116DA7DC" w:rsidR="002A6403" w:rsidRPr="0003033C" w:rsidRDefault="002A6403" w:rsidP="002A6403">
                            <w:pPr>
                              <w:pStyle w:val="paragraph"/>
                              <w:spacing w:before="0" w:beforeAutospacing="0" w:after="0" w:afterAutospacing="0"/>
                              <w:textAlignment w:val="baseline"/>
                              <w:rPr>
                                <w:rStyle w:val="normaltextrun"/>
                                <w:sz w:val="22"/>
                                <w:szCs w:val="22"/>
                              </w:rPr>
                            </w:pPr>
                            <w:r w:rsidRPr="0003033C">
                              <w:rPr>
                                <w:rStyle w:val="normaltextrun"/>
                                <w:rFonts w:ascii="Calibri" w:hAnsi="Calibri" w:cs="Calibri"/>
                                <w:sz w:val="22"/>
                                <w:szCs w:val="22"/>
                              </w:rPr>
                              <w:t xml:space="preserve">If a </w:t>
                            </w:r>
                            <w:r w:rsidR="0026099F">
                              <w:rPr>
                                <w:rStyle w:val="normaltextrun"/>
                                <w:rFonts w:ascii="Calibri" w:hAnsi="Calibri" w:cs="Calibri"/>
                                <w:sz w:val="22"/>
                                <w:szCs w:val="22"/>
                              </w:rPr>
                              <w:t>F</w:t>
                            </w:r>
                            <w:r w:rsidRPr="0003033C">
                              <w:rPr>
                                <w:rStyle w:val="normaltextrun"/>
                                <w:rFonts w:ascii="Calibri" w:hAnsi="Calibri" w:cs="Calibri"/>
                                <w:sz w:val="22"/>
                                <w:szCs w:val="22"/>
                              </w:rPr>
                              <w:t xml:space="preserve">acility is a manufacturing facility in a financial year, the assessed cost impact for the </w:t>
                            </w:r>
                            <w:r w:rsidR="0026099F">
                              <w:rPr>
                                <w:rStyle w:val="normaltextrun"/>
                                <w:rFonts w:ascii="Calibri" w:hAnsi="Calibri" w:cs="Calibri"/>
                                <w:sz w:val="22"/>
                                <w:szCs w:val="22"/>
                              </w:rPr>
                              <w:t>F</w:t>
                            </w:r>
                            <w:r w:rsidRPr="0003033C">
                              <w:rPr>
                                <w:rStyle w:val="normaltextrun"/>
                                <w:rFonts w:ascii="Calibri" w:hAnsi="Calibri" w:cs="Calibri"/>
                                <w:sz w:val="22"/>
                                <w:szCs w:val="22"/>
                              </w:rPr>
                              <w:t>acility for the financial year is the number worked out using the following formula:</w:t>
                            </w:r>
                          </w:p>
                          <w:p w14:paraId="7DE70960" w14:textId="77777777" w:rsidR="002A6403" w:rsidRPr="00AB2649" w:rsidRDefault="002A6403" w:rsidP="002A6403">
                            <w:pPr>
                              <w:pStyle w:val="paragraph"/>
                              <w:spacing w:before="0" w:beforeAutospacing="0" w:after="0" w:afterAutospacing="0"/>
                              <w:textAlignment w:val="baseline"/>
                              <w:rPr>
                                <w:rStyle w:val="eop"/>
                                <w:rFonts w:ascii="Calibri" w:hAnsi="Calibri" w:cs="Calibri"/>
                                <w:sz w:val="22"/>
                                <w:szCs w:val="22"/>
                              </w:rPr>
                            </w:pPr>
                          </w:p>
                          <w:p w14:paraId="235FAF7F" w14:textId="77777777" w:rsidR="002A6403" w:rsidRPr="0003033C" w:rsidRDefault="002A6403" w:rsidP="002A6403">
                            <w:pPr>
                              <w:pStyle w:val="paragraph"/>
                              <w:spacing w:before="0" w:beforeAutospacing="0" w:after="0" w:afterAutospacing="0"/>
                              <w:jc w:val="center"/>
                              <w:textAlignment w:val="baseline"/>
                              <w:rPr>
                                <w:rStyle w:val="eop"/>
                                <w:rFonts w:ascii="Calibri" w:hAnsi="Calibri" w:cs="Calibri"/>
                                <w:b/>
                                <w:bCs/>
                                <w:sz w:val="22"/>
                                <w:szCs w:val="22"/>
                              </w:rPr>
                            </w:pPr>
                            <w:r w:rsidRPr="0003033C">
                              <w:rPr>
                                <w:rStyle w:val="eop"/>
                                <w:rFonts w:ascii="Calibri" w:hAnsi="Calibri" w:cs="Calibri"/>
                                <w:b/>
                                <w:bCs/>
                                <w:sz w:val="22"/>
                                <w:szCs w:val="22"/>
                              </w:rPr>
                              <w:t>P</w:t>
                            </w:r>
                            <w:r w:rsidRPr="0003033C">
                              <w:rPr>
                                <w:rStyle w:val="eop"/>
                                <w:rFonts w:ascii="Calibri" w:hAnsi="Calibri" w:cs="Calibri"/>
                                <w:b/>
                                <w:bCs/>
                                <w:sz w:val="22"/>
                                <w:szCs w:val="22"/>
                                <w:vertAlign w:val="subscript"/>
                              </w:rPr>
                              <w:t xml:space="preserve">SM </w:t>
                            </w:r>
                            <w:r w:rsidRPr="0003033C">
                              <w:rPr>
                                <w:rStyle w:val="eop"/>
                                <w:rFonts w:ascii="Calibri" w:hAnsi="Calibri" w:cs="Calibri"/>
                                <w:b/>
                                <w:bCs/>
                                <w:sz w:val="22"/>
                                <w:szCs w:val="22"/>
                              </w:rPr>
                              <w:t>x PE / EBIT</w:t>
                            </w:r>
                          </w:p>
                          <w:p w14:paraId="28DC6C49" w14:textId="77777777" w:rsidR="002A6403" w:rsidRPr="00AB2649" w:rsidRDefault="002A6403" w:rsidP="002A6403">
                            <w:pPr>
                              <w:pStyle w:val="paragraph"/>
                              <w:spacing w:before="0" w:beforeAutospacing="0" w:after="0" w:afterAutospacing="0"/>
                              <w:jc w:val="center"/>
                              <w:textAlignment w:val="baseline"/>
                              <w:rPr>
                                <w:rStyle w:val="normaltextrun"/>
                                <w:rFonts w:ascii="Calibri" w:hAnsi="Calibri" w:cs="Calibri"/>
                                <w:color w:val="000000"/>
                                <w:sz w:val="22"/>
                                <w:szCs w:val="22"/>
                                <w:shd w:val="clear" w:color="auto" w:fill="FFFFFF"/>
                              </w:rPr>
                            </w:pPr>
                          </w:p>
                          <w:p w14:paraId="5DE6FBD8" w14:textId="36CD6B4E" w:rsidR="002A6403" w:rsidRPr="0003033C" w:rsidRDefault="002A6403" w:rsidP="00AB2649">
                            <w:pPr>
                              <w:pStyle w:val="paragraph"/>
                              <w:shd w:val="clear" w:color="auto" w:fill="E2EFD9" w:themeFill="accent6" w:themeFillTint="33"/>
                              <w:spacing w:before="0" w:beforeAutospacing="0" w:after="120" w:afterAutospacing="0"/>
                              <w:textAlignment w:val="baseline"/>
                              <w:rPr>
                                <w:rFonts w:asciiTheme="minorHAnsi" w:hAnsiTheme="minorHAnsi" w:cstheme="minorHAnsi"/>
                                <w:color w:val="000000"/>
                                <w:sz w:val="22"/>
                                <w:szCs w:val="22"/>
                                <w:shd w:val="clear" w:color="auto" w:fill="FFFFFF"/>
                              </w:rPr>
                            </w:pPr>
                            <w:r w:rsidRPr="0003033C">
                              <w:rPr>
                                <w:rFonts w:asciiTheme="minorHAnsi" w:hAnsiTheme="minorHAnsi" w:cstheme="minorHAnsi"/>
                                <w:b/>
                                <w:bCs/>
                                <w:i/>
                                <w:iCs/>
                                <w:color w:val="000000"/>
                                <w:sz w:val="22"/>
                                <w:szCs w:val="22"/>
                                <w:shd w:val="clear" w:color="auto" w:fill="E2EFD9" w:themeFill="accent6" w:themeFillTint="33"/>
                              </w:rPr>
                              <w:t>P</w:t>
                            </w:r>
                            <w:r w:rsidRPr="0003033C">
                              <w:rPr>
                                <w:rFonts w:asciiTheme="minorHAnsi" w:hAnsiTheme="minorHAnsi" w:cstheme="minorHAnsi"/>
                                <w:b/>
                                <w:bCs/>
                                <w:i/>
                                <w:iCs/>
                                <w:color w:val="000000"/>
                                <w:sz w:val="22"/>
                                <w:szCs w:val="22"/>
                                <w:shd w:val="clear" w:color="auto" w:fill="E2EFD9" w:themeFill="accent6" w:themeFillTint="33"/>
                                <w:vertAlign w:val="subscript"/>
                              </w:rPr>
                              <w:t>SM</w:t>
                            </w:r>
                            <w:r w:rsidRPr="0003033C">
                              <w:rPr>
                                <w:rFonts w:asciiTheme="minorHAnsi" w:hAnsiTheme="minorHAnsi" w:cstheme="minorHAnsi"/>
                                <w:color w:val="000000"/>
                                <w:sz w:val="22"/>
                                <w:szCs w:val="22"/>
                                <w:shd w:val="clear" w:color="auto" w:fill="E2EFD9" w:themeFill="accent6" w:themeFillTint="33"/>
                              </w:rPr>
                              <w:t xml:space="preserve"> is the number of dollars in the Safeguard Mechanism default prescribed unit price for the first adjusted financial year for the </w:t>
                            </w:r>
                            <w:r w:rsidR="0026099F">
                              <w:rPr>
                                <w:rFonts w:asciiTheme="minorHAnsi" w:hAnsiTheme="minorHAnsi" w:cstheme="minorHAnsi"/>
                                <w:color w:val="000000"/>
                                <w:sz w:val="22"/>
                                <w:szCs w:val="22"/>
                                <w:shd w:val="clear" w:color="auto" w:fill="E2EFD9" w:themeFill="accent6" w:themeFillTint="33"/>
                              </w:rPr>
                              <w:t>F</w:t>
                            </w:r>
                            <w:r w:rsidRPr="0003033C">
                              <w:rPr>
                                <w:rFonts w:asciiTheme="minorHAnsi" w:hAnsiTheme="minorHAnsi" w:cstheme="minorHAnsi"/>
                                <w:color w:val="000000"/>
                                <w:sz w:val="22"/>
                                <w:szCs w:val="22"/>
                                <w:shd w:val="clear" w:color="auto" w:fill="E2EFD9" w:themeFill="accent6" w:themeFillTint="33"/>
                              </w:rPr>
                              <w:t>acility.</w:t>
                            </w:r>
                          </w:p>
                          <w:p w14:paraId="3ABECDFF" w14:textId="019A54A6" w:rsidR="002A6403" w:rsidRPr="0003033C" w:rsidRDefault="002A6403" w:rsidP="00AB2649">
                            <w:pPr>
                              <w:pStyle w:val="paragraph"/>
                              <w:shd w:val="clear" w:color="auto" w:fill="E2EFD9" w:themeFill="accent6" w:themeFillTint="33"/>
                              <w:spacing w:before="0" w:beforeAutospacing="0" w:after="120" w:afterAutospacing="0"/>
                              <w:textAlignment w:val="baseline"/>
                              <w:rPr>
                                <w:rFonts w:asciiTheme="minorHAnsi" w:hAnsiTheme="minorHAnsi" w:cstheme="minorHAnsi"/>
                                <w:color w:val="000000"/>
                                <w:sz w:val="22"/>
                                <w:szCs w:val="22"/>
                                <w:shd w:val="clear" w:color="auto" w:fill="FFFFFF"/>
                              </w:rPr>
                            </w:pPr>
                            <w:r w:rsidRPr="0003033C">
                              <w:rPr>
                                <w:rFonts w:asciiTheme="minorHAnsi" w:hAnsiTheme="minorHAnsi" w:cstheme="minorHAnsi"/>
                                <w:b/>
                                <w:bCs/>
                                <w:i/>
                                <w:iCs/>
                                <w:color w:val="000000"/>
                                <w:sz w:val="22"/>
                                <w:szCs w:val="22"/>
                                <w:shd w:val="clear" w:color="auto" w:fill="E2EFD9" w:themeFill="accent6" w:themeFillTint="33"/>
                              </w:rPr>
                              <w:t>PE</w:t>
                            </w:r>
                            <w:r w:rsidRPr="0003033C">
                              <w:rPr>
                                <w:rFonts w:asciiTheme="minorHAnsi" w:hAnsiTheme="minorHAnsi" w:cstheme="minorHAnsi"/>
                                <w:color w:val="000000"/>
                                <w:sz w:val="22"/>
                                <w:szCs w:val="22"/>
                                <w:shd w:val="clear" w:color="auto" w:fill="E2EFD9" w:themeFill="accent6" w:themeFillTint="33"/>
                              </w:rPr>
                              <w:t xml:space="preserve"> is the number equal to the exceedance of the </w:t>
                            </w:r>
                            <w:r w:rsidR="0026099F">
                              <w:rPr>
                                <w:rFonts w:asciiTheme="minorHAnsi" w:hAnsiTheme="minorHAnsi" w:cstheme="minorHAnsi"/>
                                <w:color w:val="000000"/>
                                <w:sz w:val="22"/>
                                <w:szCs w:val="22"/>
                                <w:shd w:val="clear" w:color="auto" w:fill="E2EFD9" w:themeFill="accent6" w:themeFillTint="33"/>
                              </w:rPr>
                              <w:t>F</w:t>
                            </w:r>
                            <w:r w:rsidRPr="0003033C">
                              <w:rPr>
                                <w:rFonts w:asciiTheme="minorHAnsi" w:hAnsiTheme="minorHAnsi" w:cstheme="minorHAnsi"/>
                                <w:color w:val="000000"/>
                                <w:sz w:val="22"/>
                                <w:szCs w:val="22"/>
                                <w:shd w:val="clear" w:color="auto" w:fill="E2EFD9" w:themeFill="accent6" w:themeFillTint="33"/>
                              </w:rPr>
                              <w:t>acility.</w:t>
                            </w:r>
                          </w:p>
                          <w:p w14:paraId="44F1874E" w14:textId="18AE1875" w:rsidR="002A6403" w:rsidRPr="0003033C" w:rsidRDefault="002A6403" w:rsidP="002A6403">
                            <w:pPr>
                              <w:pStyle w:val="paragraph"/>
                              <w:shd w:val="clear" w:color="auto" w:fill="E2EFD9" w:themeFill="accent6" w:themeFillTint="33"/>
                              <w:spacing w:before="0" w:beforeAutospacing="0" w:after="120" w:afterAutospacing="0"/>
                              <w:textAlignment w:val="baseline"/>
                              <w:rPr>
                                <w:rStyle w:val="normaltextrun"/>
                                <w:rFonts w:asciiTheme="minorHAnsi" w:hAnsiTheme="minorHAnsi" w:cstheme="minorHAnsi"/>
                                <w:color w:val="000000"/>
                                <w:shd w:val="clear" w:color="auto" w:fill="FFFFFF"/>
                              </w:rPr>
                            </w:pPr>
                            <w:r w:rsidRPr="0003033C">
                              <w:rPr>
                                <w:rFonts w:asciiTheme="minorHAnsi" w:hAnsiTheme="minorHAnsi" w:cstheme="minorHAnsi"/>
                                <w:b/>
                                <w:bCs/>
                                <w:i/>
                                <w:iCs/>
                                <w:color w:val="000000"/>
                                <w:sz w:val="22"/>
                                <w:szCs w:val="22"/>
                                <w:shd w:val="clear" w:color="auto" w:fill="E2EFD9" w:themeFill="accent6" w:themeFillTint="33"/>
                              </w:rPr>
                              <w:t>EBIT</w:t>
                            </w:r>
                            <w:r w:rsidRPr="0003033C">
                              <w:rPr>
                                <w:rFonts w:asciiTheme="minorHAnsi" w:hAnsiTheme="minorHAnsi" w:cstheme="minorHAnsi"/>
                                <w:color w:val="000000"/>
                                <w:sz w:val="22"/>
                                <w:szCs w:val="22"/>
                                <w:shd w:val="clear" w:color="auto" w:fill="E2EFD9" w:themeFill="accent6" w:themeFillTint="33"/>
                              </w:rPr>
                              <w:t xml:space="preserve"> is the number of dollars that is equal to the earnings before interest and tax of the facility in the first adjusted financial year for the </w:t>
                            </w:r>
                            <w:r w:rsidR="0026099F">
                              <w:rPr>
                                <w:rFonts w:asciiTheme="minorHAnsi" w:hAnsiTheme="minorHAnsi" w:cstheme="minorHAnsi"/>
                                <w:color w:val="000000"/>
                                <w:sz w:val="22"/>
                                <w:szCs w:val="22"/>
                                <w:shd w:val="clear" w:color="auto" w:fill="E2EFD9" w:themeFill="accent6" w:themeFillTint="33"/>
                              </w:rPr>
                              <w:t>F</w:t>
                            </w:r>
                            <w:r w:rsidRPr="0003033C">
                              <w:rPr>
                                <w:rFonts w:asciiTheme="minorHAnsi" w:hAnsiTheme="minorHAnsi" w:cstheme="minorHAnsi"/>
                                <w:color w:val="000000"/>
                                <w:sz w:val="22"/>
                                <w:szCs w:val="22"/>
                                <w:shd w:val="clear" w:color="auto" w:fill="E2EFD9" w:themeFill="accent6" w:themeFillTint="33"/>
                              </w:rPr>
                              <w:t>acility</w:t>
                            </w:r>
                            <w:r w:rsidRPr="0003033C">
                              <w:rPr>
                                <w:rFonts w:asciiTheme="minorHAnsi" w:hAnsiTheme="minorHAnsi" w:cstheme="minorHAnsi"/>
                                <w:color w:val="000000"/>
                                <w:shd w:val="clear" w:color="auto" w:fill="E2EFD9" w:themeFill="accent6" w:themeFillTint="33"/>
                              </w:rPr>
                              <w:t>.</w:t>
                            </w:r>
                          </w:p>
                          <w:p w14:paraId="00E08E36" w14:textId="77777777" w:rsidR="002A6403" w:rsidRDefault="002A6403" w:rsidP="002A6403">
                            <w:pPr>
                              <w:rPr>
                                <w:rFonts w:eastAsiaTheme="minorEastAsia"/>
                                <w:color w:val="000000"/>
                                <w:sz w:val="20"/>
                                <w:szCs w:val="20"/>
                                <w:shd w:val="clear" w:color="auto" w:fill="FFFFFF"/>
                              </w:rPr>
                            </w:pPr>
                          </w:p>
                          <w:p w14:paraId="41BC5D0C" w14:textId="77777777" w:rsidR="002A6403" w:rsidRPr="00314C32" w:rsidRDefault="002A6403" w:rsidP="002A6403">
                            <w:pPr>
                              <w:rPr>
                                <w:rFonts w:eastAsiaTheme="minorEastAsia"/>
                                <w:color w:val="000000"/>
                                <w:sz w:val="20"/>
                                <w:szCs w:val="20"/>
                                <w:shd w:val="clear" w:color="auto" w:fill="FFFFFF"/>
                              </w:rPr>
                            </w:pPr>
                          </w:p>
                          <w:p w14:paraId="724A6E5F" w14:textId="77777777" w:rsidR="002A6403" w:rsidRDefault="002A6403" w:rsidP="002A64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1766B" id="_x0000_t202" coordsize="21600,21600" o:spt="202" path="m,l,21600r21600,l21600,xe">
                <v:stroke joinstyle="miter"/>
                <v:path gradientshapeok="t" o:connecttype="rect"/>
              </v:shapetype>
              <v:shape id="Text Box 1442307805" o:spid="_x0000_s1026" type="#_x0000_t202" style="position:absolute;margin-left:-.75pt;margin-top:0;width:449.25pt;height:17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" fillcolor="#e2efd9 [665]">
                <v:textbox>
                  <w:txbxContent>
                    <w:p w14:paraId="773A2F59" w14:textId="28511A10" w:rsidR="002A6403" w:rsidRPr="0003033C" w:rsidRDefault="002A6403" w:rsidP="0003033C">
                      <w:pPr>
                        <w:pStyle w:val="paragraph"/>
                        <w:spacing w:before="0" w:beforeAutospacing="0" w:after="120" w:afterAutospacing="0"/>
                        <w:textAlignment w:val="baseline"/>
                        <w:rPr>
                          <w:rStyle w:val="normaltextrun"/>
                          <w:rFonts w:ascii="Calibri" w:hAnsi="Calibri" w:cs="Calibri"/>
                          <w:b/>
                          <w:bCs/>
                          <w:sz w:val="22"/>
                          <w:szCs w:val="22"/>
                        </w:rPr>
                      </w:pPr>
                      <w:r w:rsidRPr="0003033C">
                        <w:rPr>
                          <w:rStyle w:val="normaltextrun"/>
                          <w:rFonts w:ascii="Calibri" w:hAnsi="Calibri" w:cs="Calibri"/>
                          <w:b/>
                          <w:bCs/>
                          <w:sz w:val="22"/>
                          <w:szCs w:val="22"/>
                        </w:rPr>
                        <w:t xml:space="preserve">Box 1: Assessed cost </w:t>
                      </w:r>
                      <w:proofErr w:type="gramStart"/>
                      <w:r w:rsidRPr="0003033C">
                        <w:rPr>
                          <w:rStyle w:val="normaltextrun"/>
                          <w:rFonts w:ascii="Calibri" w:hAnsi="Calibri" w:cs="Calibri"/>
                          <w:b/>
                          <w:bCs/>
                          <w:sz w:val="22"/>
                          <w:szCs w:val="22"/>
                        </w:rPr>
                        <w:t>impact</w:t>
                      </w:r>
                      <w:proofErr w:type="gramEnd"/>
                    </w:p>
                    <w:p w14:paraId="0E37633E" w14:textId="116DA7DC" w:rsidR="002A6403" w:rsidRPr="0003033C" w:rsidRDefault="002A6403" w:rsidP="002A6403">
                      <w:pPr>
                        <w:pStyle w:val="paragraph"/>
                        <w:spacing w:before="0" w:beforeAutospacing="0" w:after="0" w:afterAutospacing="0"/>
                        <w:textAlignment w:val="baseline"/>
                        <w:rPr>
                          <w:rStyle w:val="normaltextrun"/>
                          <w:sz w:val="22"/>
                          <w:szCs w:val="22"/>
                        </w:rPr>
                      </w:pPr>
                      <w:r w:rsidRPr="0003033C">
                        <w:rPr>
                          <w:rStyle w:val="normaltextrun"/>
                          <w:rFonts w:ascii="Calibri" w:hAnsi="Calibri" w:cs="Calibri"/>
                          <w:sz w:val="22"/>
                          <w:szCs w:val="22"/>
                        </w:rPr>
                        <w:t xml:space="preserve">If a </w:t>
                      </w:r>
                      <w:r w:rsidR="0026099F">
                        <w:rPr>
                          <w:rStyle w:val="normaltextrun"/>
                          <w:rFonts w:ascii="Calibri" w:hAnsi="Calibri" w:cs="Calibri"/>
                          <w:sz w:val="22"/>
                          <w:szCs w:val="22"/>
                        </w:rPr>
                        <w:t>F</w:t>
                      </w:r>
                      <w:r w:rsidRPr="0003033C">
                        <w:rPr>
                          <w:rStyle w:val="normaltextrun"/>
                          <w:rFonts w:ascii="Calibri" w:hAnsi="Calibri" w:cs="Calibri"/>
                          <w:sz w:val="22"/>
                          <w:szCs w:val="22"/>
                        </w:rPr>
                        <w:t xml:space="preserve">acility is a manufacturing facility in a financial year, the assessed cost impact for the </w:t>
                      </w:r>
                      <w:r w:rsidR="0026099F">
                        <w:rPr>
                          <w:rStyle w:val="normaltextrun"/>
                          <w:rFonts w:ascii="Calibri" w:hAnsi="Calibri" w:cs="Calibri"/>
                          <w:sz w:val="22"/>
                          <w:szCs w:val="22"/>
                        </w:rPr>
                        <w:t>F</w:t>
                      </w:r>
                      <w:r w:rsidRPr="0003033C">
                        <w:rPr>
                          <w:rStyle w:val="normaltextrun"/>
                          <w:rFonts w:ascii="Calibri" w:hAnsi="Calibri" w:cs="Calibri"/>
                          <w:sz w:val="22"/>
                          <w:szCs w:val="22"/>
                        </w:rPr>
                        <w:t>acility for the financial year is the number worked out using the following formula:</w:t>
                      </w:r>
                    </w:p>
                    <w:p w14:paraId="7DE70960" w14:textId="77777777" w:rsidR="002A6403" w:rsidRPr="00AB2649" w:rsidRDefault="002A6403" w:rsidP="002A6403">
                      <w:pPr>
                        <w:pStyle w:val="paragraph"/>
                        <w:spacing w:before="0" w:beforeAutospacing="0" w:after="0" w:afterAutospacing="0"/>
                        <w:textAlignment w:val="baseline"/>
                        <w:rPr>
                          <w:rStyle w:val="eop"/>
                          <w:rFonts w:ascii="Calibri" w:hAnsi="Calibri" w:cs="Calibri"/>
                          <w:sz w:val="22"/>
                          <w:szCs w:val="22"/>
                        </w:rPr>
                      </w:pPr>
                    </w:p>
                    <w:p w14:paraId="235FAF7F" w14:textId="77777777" w:rsidR="002A6403" w:rsidRPr="0003033C" w:rsidRDefault="002A6403" w:rsidP="002A6403">
                      <w:pPr>
                        <w:pStyle w:val="paragraph"/>
                        <w:spacing w:before="0" w:beforeAutospacing="0" w:after="0" w:afterAutospacing="0"/>
                        <w:jc w:val="center"/>
                        <w:textAlignment w:val="baseline"/>
                        <w:rPr>
                          <w:rStyle w:val="eop"/>
                          <w:rFonts w:ascii="Calibri" w:hAnsi="Calibri" w:cs="Calibri"/>
                          <w:b/>
                          <w:bCs/>
                          <w:sz w:val="22"/>
                          <w:szCs w:val="22"/>
                        </w:rPr>
                      </w:pPr>
                      <w:r w:rsidRPr="0003033C">
                        <w:rPr>
                          <w:rStyle w:val="eop"/>
                          <w:rFonts w:ascii="Calibri" w:hAnsi="Calibri" w:cs="Calibri"/>
                          <w:b/>
                          <w:bCs/>
                          <w:sz w:val="22"/>
                          <w:szCs w:val="22"/>
                        </w:rPr>
                        <w:t>P</w:t>
                      </w:r>
                      <w:r w:rsidRPr="0003033C">
                        <w:rPr>
                          <w:rStyle w:val="eop"/>
                          <w:rFonts w:ascii="Calibri" w:hAnsi="Calibri" w:cs="Calibri"/>
                          <w:b/>
                          <w:bCs/>
                          <w:sz w:val="22"/>
                          <w:szCs w:val="22"/>
                          <w:vertAlign w:val="subscript"/>
                        </w:rPr>
                        <w:t xml:space="preserve">SM </w:t>
                      </w:r>
                      <w:r w:rsidRPr="0003033C">
                        <w:rPr>
                          <w:rStyle w:val="eop"/>
                          <w:rFonts w:ascii="Calibri" w:hAnsi="Calibri" w:cs="Calibri"/>
                          <w:b/>
                          <w:bCs/>
                          <w:sz w:val="22"/>
                          <w:szCs w:val="22"/>
                        </w:rPr>
                        <w:t>x PE / EBIT</w:t>
                      </w:r>
                    </w:p>
                    <w:p w14:paraId="28DC6C49" w14:textId="77777777" w:rsidR="002A6403" w:rsidRPr="00AB2649" w:rsidRDefault="002A6403" w:rsidP="002A6403">
                      <w:pPr>
                        <w:pStyle w:val="paragraph"/>
                        <w:spacing w:before="0" w:beforeAutospacing="0" w:after="0" w:afterAutospacing="0"/>
                        <w:jc w:val="center"/>
                        <w:textAlignment w:val="baseline"/>
                        <w:rPr>
                          <w:rStyle w:val="normaltextrun"/>
                          <w:rFonts w:ascii="Calibri" w:hAnsi="Calibri" w:cs="Calibri"/>
                          <w:color w:val="000000"/>
                          <w:sz w:val="22"/>
                          <w:szCs w:val="22"/>
                          <w:shd w:val="clear" w:color="auto" w:fill="FFFFFF"/>
                        </w:rPr>
                      </w:pPr>
                    </w:p>
                    <w:p w14:paraId="5DE6FBD8" w14:textId="36CD6B4E" w:rsidR="002A6403" w:rsidRPr="0003033C" w:rsidRDefault="002A6403" w:rsidP="00AB2649">
                      <w:pPr>
                        <w:pStyle w:val="paragraph"/>
                        <w:shd w:val="clear" w:color="auto" w:fill="E2EFD9" w:themeFill="accent6" w:themeFillTint="33"/>
                        <w:spacing w:before="0" w:beforeAutospacing="0" w:after="120" w:afterAutospacing="0"/>
                        <w:textAlignment w:val="baseline"/>
                        <w:rPr>
                          <w:rFonts w:asciiTheme="minorHAnsi" w:hAnsiTheme="minorHAnsi" w:cstheme="minorHAnsi"/>
                          <w:color w:val="000000"/>
                          <w:sz w:val="22"/>
                          <w:szCs w:val="22"/>
                          <w:shd w:val="clear" w:color="auto" w:fill="FFFFFF"/>
                        </w:rPr>
                      </w:pPr>
                      <w:r w:rsidRPr="0003033C">
                        <w:rPr>
                          <w:rFonts w:asciiTheme="minorHAnsi" w:hAnsiTheme="minorHAnsi" w:cstheme="minorHAnsi"/>
                          <w:b/>
                          <w:bCs/>
                          <w:i/>
                          <w:iCs/>
                          <w:color w:val="000000"/>
                          <w:sz w:val="22"/>
                          <w:szCs w:val="22"/>
                          <w:shd w:val="clear" w:color="auto" w:fill="E2EFD9" w:themeFill="accent6" w:themeFillTint="33"/>
                        </w:rPr>
                        <w:t>P</w:t>
                      </w:r>
                      <w:r w:rsidRPr="0003033C">
                        <w:rPr>
                          <w:rFonts w:asciiTheme="minorHAnsi" w:hAnsiTheme="minorHAnsi" w:cstheme="minorHAnsi"/>
                          <w:b/>
                          <w:bCs/>
                          <w:i/>
                          <w:iCs/>
                          <w:color w:val="000000"/>
                          <w:sz w:val="22"/>
                          <w:szCs w:val="22"/>
                          <w:shd w:val="clear" w:color="auto" w:fill="E2EFD9" w:themeFill="accent6" w:themeFillTint="33"/>
                          <w:vertAlign w:val="subscript"/>
                        </w:rPr>
                        <w:t>SM</w:t>
                      </w:r>
                      <w:r w:rsidRPr="0003033C">
                        <w:rPr>
                          <w:rFonts w:asciiTheme="minorHAnsi" w:hAnsiTheme="minorHAnsi" w:cstheme="minorHAnsi"/>
                          <w:color w:val="000000"/>
                          <w:sz w:val="22"/>
                          <w:szCs w:val="22"/>
                          <w:shd w:val="clear" w:color="auto" w:fill="E2EFD9" w:themeFill="accent6" w:themeFillTint="33"/>
                        </w:rPr>
                        <w:t xml:space="preserve"> is the number of dollars in the Safeguard Mechanism default prescribed unit price for the first adjusted financial year for the </w:t>
                      </w:r>
                      <w:r w:rsidR="0026099F">
                        <w:rPr>
                          <w:rFonts w:asciiTheme="minorHAnsi" w:hAnsiTheme="minorHAnsi" w:cstheme="minorHAnsi"/>
                          <w:color w:val="000000"/>
                          <w:sz w:val="22"/>
                          <w:szCs w:val="22"/>
                          <w:shd w:val="clear" w:color="auto" w:fill="E2EFD9" w:themeFill="accent6" w:themeFillTint="33"/>
                        </w:rPr>
                        <w:t>F</w:t>
                      </w:r>
                      <w:r w:rsidRPr="0003033C">
                        <w:rPr>
                          <w:rFonts w:asciiTheme="minorHAnsi" w:hAnsiTheme="minorHAnsi" w:cstheme="minorHAnsi"/>
                          <w:color w:val="000000"/>
                          <w:sz w:val="22"/>
                          <w:szCs w:val="22"/>
                          <w:shd w:val="clear" w:color="auto" w:fill="E2EFD9" w:themeFill="accent6" w:themeFillTint="33"/>
                        </w:rPr>
                        <w:t>acility.</w:t>
                      </w:r>
                    </w:p>
                    <w:p w14:paraId="3ABECDFF" w14:textId="019A54A6" w:rsidR="002A6403" w:rsidRPr="0003033C" w:rsidRDefault="002A6403" w:rsidP="00AB2649">
                      <w:pPr>
                        <w:pStyle w:val="paragraph"/>
                        <w:shd w:val="clear" w:color="auto" w:fill="E2EFD9" w:themeFill="accent6" w:themeFillTint="33"/>
                        <w:spacing w:before="0" w:beforeAutospacing="0" w:after="120" w:afterAutospacing="0"/>
                        <w:textAlignment w:val="baseline"/>
                        <w:rPr>
                          <w:rFonts w:asciiTheme="minorHAnsi" w:hAnsiTheme="minorHAnsi" w:cstheme="minorHAnsi"/>
                          <w:color w:val="000000"/>
                          <w:sz w:val="22"/>
                          <w:szCs w:val="22"/>
                          <w:shd w:val="clear" w:color="auto" w:fill="FFFFFF"/>
                        </w:rPr>
                      </w:pPr>
                      <w:r w:rsidRPr="0003033C">
                        <w:rPr>
                          <w:rFonts w:asciiTheme="minorHAnsi" w:hAnsiTheme="minorHAnsi" w:cstheme="minorHAnsi"/>
                          <w:b/>
                          <w:bCs/>
                          <w:i/>
                          <w:iCs/>
                          <w:color w:val="000000"/>
                          <w:sz w:val="22"/>
                          <w:szCs w:val="22"/>
                          <w:shd w:val="clear" w:color="auto" w:fill="E2EFD9" w:themeFill="accent6" w:themeFillTint="33"/>
                        </w:rPr>
                        <w:t>PE</w:t>
                      </w:r>
                      <w:r w:rsidRPr="0003033C">
                        <w:rPr>
                          <w:rFonts w:asciiTheme="minorHAnsi" w:hAnsiTheme="minorHAnsi" w:cstheme="minorHAnsi"/>
                          <w:color w:val="000000"/>
                          <w:sz w:val="22"/>
                          <w:szCs w:val="22"/>
                          <w:shd w:val="clear" w:color="auto" w:fill="E2EFD9" w:themeFill="accent6" w:themeFillTint="33"/>
                        </w:rPr>
                        <w:t xml:space="preserve"> is the number equal to the exceedance of the </w:t>
                      </w:r>
                      <w:r w:rsidR="0026099F">
                        <w:rPr>
                          <w:rFonts w:asciiTheme="minorHAnsi" w:hAnsiTheme="minorHAnsi" w:cstheme="minorHAnsi"/>
                          <w:color w:val="000000"/>
                          <w:sz w:val="22"/>
                          <w:szCs w:val="22"/>
                          <w:shd w:val="clear" w:color="auto" w:fill="E2EFD9" w:themeFill="accent6" w:themeFillTint="33"/>
                        </w:rPr>
                        <w:t>F</w:t>
                      </w:r>
                      <w:r w:rsidRPr="0003033C">
                        <w:rPr>
                          <w:rFonts w:asciiTheme="minorHAnsi" w:hAnsiTheme="minorHAnsi" w:cstheme="minorHAnsi"/>
                          <w:color w:val="000000"/>
                          <w:sz w:val="22"/>
                          <w:szCs w:val="22"/>
                          <w:shd w:val="clear" w:color="auto" w:fill="E2EFD9" w:themeFill="accent6" w:themeFillTint="33"/>
                        </w:rPr>
                        <w:t>acility.</w:t>
                      </w:r>
                    </w:p>
                    <w:p w14:paraId="44F1874E" w14:textId="18AE1875" w:rsidR="002A6403" w:rsidRPr="0003033C" w:rsidRDefault="002A6403" w:rsidP="002A6403">
                      <w:pPr>
                        <w:pStyle w:val="paragraph"/>
                        <w:shd w:val="clear" w:color="auto" w:fill="E2EFD9" w:themeFill="accent6" w:themeFillTint="33"/>
                        <w:spacing w:before="0" w:beforeAutospacing="0" w:after="120" w:afterAutospacing="0"/>
                        <w:textAlignment w:val="baseline"/>
                        <w:rPr>
                          <w:rStyle w:val="normaltextrun"/>
                          <w:rFonts w:asciiTheme="minorHAnsi" w:hAnsiTheme="minorHAnsi" w:cstheme="minorHAnsi"/>
                          <w:color w:val="000000"/>
                          <w:shd w:val="clear" w:color="auto" w:fill="FFFFFF"/>
                        </w:rPr>
                      </w:pPr>
                      <w:r w:rsidRPr="0003033C">
                        <w:rPr>
                          <w:rFonts w:asciiTheme="minorHAnsi" w:hAnsiTheme="minorHAnsi" w:cstheme="minorHAnsi"/>
                          <w:b/>
                          <w:bCs/>
                          <w:i/>
                          <w:iCs/>
                          <w:color w:val="000000"/>
                          <w:sz w:val="22"/>
                          <w:szCs w:val="22"/>
                          <w:shd w:val="clear" w:color="auto" w:fill="E2EFD9" w:themeFill="accent6" w:themeFillTint="33"/>
                        </w:rPr>
                        <w:t>EBIT</w:t>
                      </w:r>
                      <w:r w:rsidRPr="0003033C">
                        <w:rPr>
                          <w:rFonts w:asciiTheme="minorHAnsi" w:hAnsiTheme="minorHAnsi" w:cstheme="minorHAnsi"/>
                          <w:color w:val="000000"/>
                          <w:sz w:val="22"/>
                          <w:szCs w:val="22"/>
                          <w:shd w:val="clear" w:color="auto" w:fill="E2EFD9" w:themeFill="accent6" w:themeFillTint="33"/>
                        </w:rPr>
                        <w:t xml:space="preserve"> is the number of dollars that is equal to the earnings before interest and tax of the facility in the first adjusted financial year for the </w:t>
                      </w:r>
                      <w:r w:rsidR="0026099F">
                        <w:rPr>
                          <w:rFonts w:asciiTheme="minorHAnsi" w:hAnsiTheme="minorHAnsi" w:cstheme="minorHAnsi"/>
                          <w:color w:val="000000"/>
                          <w:sz w:val="22"/>
                          <w:szCs w:val="22"/>
                          <w:shd w:val="clear" w:color="auto" w:fill="E2EFD9" w:themeFill="accent6" w:themeFillTint="33"/>
                        </w:rPr>
                        <w:t>F</w:t>
                      </w:r>
                      <w:r w:rsidRPr="0003033C">
                        <w:rPr>
                          <w:rFonts w:asciiTheme="minorHAnsi" w:hAnsiTheme="minorHAnsi" w:cstheme="minorHAnsi"/>
                          <w:color w:val="000000"/>
                          <w:sz w:val="22"/>
                          <w:szCs w:val="22"/>
                          <w:shd w:val="clear" w:color="auto" w:fill="E2EFD9" w:themeFill="accent6" w:themeFillTint="33"/>
                        </w:rPr>
                        <w:t>acility</w:t>
                      </w:r>
                      <w:r w:rsidRPr="0003033C">
                        <w:rPr>
                          <w:rFonts w:asciiTheme="minorHAnsi" w:hAnsiTheme="minorHAnsi" w:cstheme="minorHAnsi"/>
                          <w:color w:val="000000"/>
                          <w:shd w:val="clear" w:color="auto" w:fill="E2EFD9" w:themeFill="accent6" w:themeFillTint="33"/>
                        </w:rPr>
                        <w:t>.</w:t>
                      </w:r>
                    </w:p>
                    <w:p w14:paraId="00E08E36" w14:textId="77777777" w:rsidR="002A6403" w:rsidRDefault="002A6403" w:rsidP="002A6403">
                      <w:pPr>
                        <w:rPr>
                          <w:rFonts w:eastAsiaTheme="minorEastAsia"/>
                          <w:color w:val="000000"/>
                          <w:sz w:val="20"/>
                          <w:szCs w:val="20"/>
                          <w:shd w:val="clear" w:color="auto" w:fill="FFFFFF"/>
                        </w:rPr>
                      </w:pPr>
                    </w:p>
                    <w:p w14:paraId="41BC5D0C" w14:textId="77777777" w:rsidR="002A6403" w:rsidRPr="00314C32" w:rsidRDefault="002A6403" w:rsidP="002A6403">
                      <w:pPr>
                        <w:rPr>
                          <w:rFonts w:eastAsiaTheme="minorEastAsia"/>
                          <w:color w:val="000000"/>
                          <w:sz w:val="20"/>
                          <w:szCs w:val="20"/>
                          <w:shd w:val="clear" w:color="auto" w:fill="FFFFFF"/>
                        </w:rPr>
                      </w:pPr>
                    </w:p>
                    <w:p w14:paraId="724A6E5F" w14:textId="77777777" w:rsidR="002A6403" w:rsidRDefault="002A6403" w:rsidP="002A6403"/>
                  </w:txbxContent>
                </v:textbox>
                <w10:wrap type="square" anchorx="margin"/>
              </v:shape>
            </w:pict>
          </mc:Fallback>
        </mc:AlternateContent>
      </w:r>
      <w:r w:rsidR="0003033C" w:rsidRPr="00706713">
        <w:rPr>
          <w:rStyle w:val="normaltextrun"/>
          <w:rFonts w:ascii="Calibri" w:hAnsi="Calibri" w:cs="Calibri"/>
        </w:rPr>
        <w:t xml:space="preserve">Section 37 of the </w:t>
      </w:r>
      <w:r w:rsidR="0003033C" w:rsidRPr="00706713">
        <w:rPr>
          <w:rStyle w:val="normaltextrun"/>
          <w:rFonts w:ascii="Calibri" w:hAnsi="Calibri" w:cs="Calibri"/>
          <w:i/>
        </w:rPr>
        <w:t>National Greenhouse and Energy Reporting (Safeguard Mechanism) Rule 2015</w:t>
      </w:r>
      <w:r w:rsidR="0003033C">
        <w:rPr>
          <w:rStyle w:val="normaltextrun"/>
          <w:rFonts w:ascii="Calibri" w:hAnsi="Calibri" w:cs="Calibri"/>
        </w:rPr>
        <w:t xml:space="preserve"> (Safeguard Rules) sets out the definition of EBIT as outlined in Box 1 and provides principles regarding its calculation. It specifies that trade-exposed manufacturing facilities are required to calculate EBIT in accordance with the Australian Accounting Standards as in force at the end of the financial year and any EBIT guidelines in force at the time, with the EBIT Guidelines prevailing i</w:t>
      </w:r>
      <w:r w:rsidR="0003033C">
        <w:rPr>
          <w:rStyle w:val="normaltextrun"/>
          <w:rFonts w:ascii="Calibri" w:hAnsi="Calibri" w:cs="Calibri"/>
          <w:color w:val="000000"/>
          <w:shd w:val="clear" w:color="auto" w:fill="FFFFFF"/>
        </w:rPr>
        <w:t xml:space="preserve">n the event of any inconsistencies. </w:t>
      </w:r>
    </w:p>
    <w:p w14:paraId="62D1FE8A" w14:textId="24A1B129" w:rsidR="003E728B" w:rsidRPr="00B77C08" w:rsidRDefault="0003033C" w:rsidP="001C2A0B">
      <w:pPr>
        <w:rPr>
          <w:rFonts w:ascii="Calibri" w:hAnsi="Calibri" w:cs="Calibri"/>
          <w:color w:val="000000"/>
          <w:shd w:val="clear" w:color="auto" w:fill="FFFFFF"/>
        </w:rPr>
      </w:pPr>
      <w:r>
        <w:rPr>
          <w:rStyle w:val="normaltextrun"/>
          <w:rFonts w:ascii="Calibri" w:hAnsi="Calibri" w:cs="Calibri"/>
          <w:color w:val="000000"/>
          <w:shd w:val="clear" w:color="auto" w:fill="FFFFFF"/>
        </w:rPr>
        <w:t>EBIT</w:t>
      </w:r>
      <w:r w:rsidR="00646879">
        <w:rPr>
          <w:rStyle w:val="normaltextrun"/>
          <w:rFonts w:ascii="Calibri" w:hAnsi="Calibri" w:cs="Calibri"/>
          <w:color w:val="000000"/>
          <w:shd w:val="clear" w:color="auto" w:fill="FFFFFF"/>
        </w:rPr>
        <w:t xml:space="preserve"> </w:t>
      </w:r>
      <w:r w:rsidR="00646879">
        <w:t xml:space="preserve">is commonly reported within </w:t>
      </w:r>
      <w:r w:rsidR="00981C34">
        <w:t>a</w:t>
      </w:r>
      <w:r w:rsidR="00646879">
        <w:t xml:space="preserve">nnual </w:t>
      </w:r>
      <w:r w:rsidR="00981C34">
        <w:t>r</w:t>
      </w:r>
      <w:r w:rsidR="00646879">
        <w:t>eports and other financial statements at a company level</w:t>
      </w:r>
      <w:r w:rsidR="00143F3F">
        <w:t xml:space="preserve"> but</w:t>
      </w:r>
      <w:r>
        <w:rPr>
          <w:rStyle w:val="normaltextrun"/>
          <w:rFonts w:ascii="Calibri" w:hAnsi="Calibri" w:cs="Calibri"/>
          <w:color w:val="000000"/>
          <w:shd w:val="clear" w:color="auto" w:fill="FFFFFF"/>
        </w:rPr>
        <w:t xml:space="preserve"> is </w:t>
      </w:r>
      <w:r w:rsidR="00143F3F">
        <w:rPr>
          <w:rStyle w:val="normaltextrun"/>
          <w:rFonts w:ascii="Calibri" w:hAnsi="Calibri" w:cs="Calibri"/>
          <w:color w:val="000000"/>
          <w:shd w:val="clear" w:color="auto" w:fill="FFFFFF"/>
        </w:rPr>
        <w:t>seldom reported at a facility level and</w:t>
      </w:r>
      <w:r>
        <w:rPr>
          <w:rStyle w:val="normaltextrun"/>
          <w:rFonts w:ascii="Calibri" w:hAnsi="Calibri" w:cs="Calibri"/>
          <w:color w:val="000000"/>
          <w:shd w:val="clear" w:color="auto" w:fill="FFFFFF"/>
        </w:rPr>
        <w:t xml:space="preserve"> is not a concept defined by the Australian Accounting Standards</w:t>
      </w:r>
      <w:r w:rsidR="00B77C08">
        <w:t>. S</w:t>
      </w:r>
      <w:r>
        <w:rPr>
          <w:rStyle w:val="normaltextrun"/>
          <w:rFonts w:ascii="Calibri" w:hAnsi="Calibri" w:cs="Calibri"/>
          <w:color w:val="000000"/>
          <w:shd w:val="clear" w:color="auto" w:fill="FFFFFF"/>
        </w:rPr>
        <w:t xml:space="preserve">pecific guidance is </w:t>
      </w:r>
      <w:r w:rsidR="00B77C08">
        <w:rPr>
          <w:rStyle w:val="normaltextrun"/>
          <w:rFonts w:ascii="Calibri" w:hAnsi="Calibri" w:cs="Calibri"/>
          <w:color w:val="000000"/>
          <w:shd w:val="clear" w:color="auto" w:fill="FFFFFF"/>
        </w:rPr>
        <w:t xml:space="preserve">therefore </w:t>
      </w:r>
      <w:r>
        <w:rPr>
          <w:rStyle w:val="normaltextrun"/>
          <w:rFonts w:ascii="Calibri" w:hAnsi="Calibri" w:cs="Calibri"/>
          <w:color w:val="000000"/>
          <w:shd w:val="clear" w:color="auto" w:fill="FFFFFF"/>
        </w:rPr>
        <w:t xml:space="preserve">required to enable the calculation of EBIT at a facility level. </w:t>
      </w:r>
      <w:r w:rsidRPr="00FD14C3">
        <w:rPr>
          <w:rStyle w:val="normaltextrun"/>
          <w:rFonts w:ascii="Calibri" w:hAnsi="Calibri" w:cs="Calibri"/>
          <w:color w:val="000000"/>
          <w:shd w:val="clear" w:color="auto" w:fill="FFFFFF"/>
        </w:rPr>
        <w:t>Subsection 37(7) of Safeguard Rule empowers the Secretary to make EBIT Guidelines and subsection 37(8) requires that these guidelines are to be published on the Department’s website.</w:t>
      </w:r>
      <w:r w:rsidR="001A2066">
        <w:rPr>
          <w:rStyle w:val="normaltextrun"/>
          <w:rFonts w:ascii="Calibri" w:hAnsi="Calibri" w:cs="Calibri"/>
          <w:color w:val="000000"/>
          <w:shd w:val="clear" w:color="auto" w:fill="FFFFFF"/>
        </w:rPr>
        <w:t xml:space="preserve"> </w:t>
      </w:r>
      <w:r w:rsidR="003E728B">
        <w:t xml:space="preserve">These </w:t>
      </w:r>
      <w:r w:rsidR="00CF5600">
        <w:t xml:space="preserve">administrative </w:t>
      </w:r>
      <w:r w:rsidR="003E728B">
        <w:t xml:space="preserve">guidelines seek to enable facilities to calculate </w:t>
      </w:r>
      <w:r w:rsidR="003E728B" w:rsidRPr="00251373">
        <w:t xml:space="preserve">a </w:t>
      </w:r>
      <w:r w:rsidR="003E728B">
        <w:t xml:space="preserve">facility level EBIT in a way that </w:t>
      </w:r>
      <w:r w:rsidR="003E728B" w:rsidRPr="002A7ED2">
        <w:t>does not advantage, or disadvantage facilities based on corporate or operational structure</w:t>
      </w:r>
      <w:r w:rsidR="003E728B">
        <w:t xml:space="preserve"> and does not impose undue burden</w:t>
      </w:r>
      <w:r w:rsidR="003E728B" w:rsidRPr="002A7ED2">
        <w:t>. The</w:t>
      </w:r>
      <w:r w:rsidR="003E728B">
        <w:t xml:space="preserve">y </w:t>
      </w:r>
      <w:r w:rsidR="003E728B" w:rsidRPr="002A7ED2">
        <w:t xml:space="preserve">are intended to be flexible and accommodate a wide variety of </w:t>
      </w:r>
      <w:r w:rsidR="003E728B" w:rsidRPr="002C33AE">
        <w:t>arrangements.</w:t>
      </w:r>
    </w:p>
    <w:p w14:paraId="39A1CA4C" w14:textId="5F4958B1" w:rsidR="004B660A" w:rsidRPr="005D4A67" w:rsidRDefault="008B73A0" w:rsidP="004B660A">
      <w:pPr>
        <w:pStyle w:val="Heading2"/>
        <w:spacing w:before="0" w:after="120"/>
        <w:rPr>
          <w:b/>
          <w:bCs/>
          <w:sz w:val="28"/>
          <w:szCs w:val="28"/>
        </w:rPr>
      </w:pPr>
      <w:r w:rsidRPr="005D4A67">
        <w:rPr>
          <w:b/>
          <w:bCs/>
          <w:sz w:val="28"/>
          <w:szCs w:val="28"/>
        </w:rPr>
        <w:t xml:space="preserve">Calculating </w:t>
      </w:r>
      <w:r w:rsidR="002A6403" w:rsidRPr="005D4A67">
        <w:rPr>
          <w:b/>
          <w:bCs/>
          <w:sz w:val="28"/>
          <w:szCs w:val="28"/>
        </w:rPr>
        <w:t xml:space="preserve">EBIT </w:t>
      </w:r>
    </w:p>
    <w:p w14:paraId="5C2425EC" w14:textId="0261ABA3" w:rsidR="004B660A" w:rsidRPr="001246FE" w:rsidRDefault="004B660A" w:rsidP="004B660A">
      <w:pPr>
        <w:pStyle w:val="Heading3"/>
        <w:rPr>
          <w:b/>
          <w:bCs/>
          <w:u w:val="single"/>
        </w:rPr>
      </w:pPr>
      <w:r w:rsidRPr="001246FE">
        <w:rPr>
          <w:b/>
          <w:bCs/>
          <w:u w:val="single"/>
        </w:rPr>
        <w:t xml:space="preserve">Financial reporting boundary </w:t>
      </w:r>
    </w:p>
    <w:p w14:paraId="50656D76" w14:textId="40320563" w:rsidR="00200132" w:rsidRDefault="00B55109" w:rsidP="00C166AE">
      <w:r>
        <w:t>To calculate EBIT at a facility level,</w:t>
      </w:r>
      <w:r w:rsidR="00CD1388">
        <w:t xml:space="preserve"> the boundary of a </w:t>
      </w:r>
      <w:r w:rsidR="006A4623">
        <w:t>F</w:t>
      </w:r>
      <w:r w:rsidR="00CD1388">
        <w:t xml:space="preserve">acility must be defined. </w:t>
      </w:r>
      <w:r w:rsidR="00A00CA4">
        <w:t xml:space="preserve">The </w:t>
      </w:r>
      <w:r w:rsidR="00E570AB">
        <w:t xml:space="preserve">guidelines require that the financial information included in a </w:t>
      </w:r>
      <w:r w:rsidR="00715ACB">
        <w:t>F</w:t>
      </w:r>
      <w:r w:rsidR="00E570AB">
        <w:t>acility’s EBIT is consistent with the activities that produce these emissions</w:t>
      </w:r>
      <w:r w:rsidR="00A00CA4">
        <w:t xml:space="preserve">, in line with </w:t>
      </w:r>
      <w:r w:rsidR="004C0612">
        <w:t xml:space="preserve">the </w:t>
      </w:r>
      <w:r w:rsidR="00715ACB">
        <w:t>F</w:t>
      </w:r>
      <w:r w:rsidR="004C0612">
        <w:t>acility’s</w:t>
      </w:r>
      <w:r w:rsidR="00A00CA4">
        <w:t xml:space="preserve"> </w:t>
      </w:r>
      <w:r w:rsidR="00A00CA4" w:rsidRPr="00F5288B">
        <w:rPr>
          <w:i/>
          <w:iCs/>
        </w:rPr>
        <w:t>N</w:t>
      </w:r>
      <w:r w:rsidR="00F5288B">
        <w:rPr>
          <w:i/>
          <w:iCs/>
        </w:rPr>
        <w:t>ational Greenhouse and Energy Reporting</w:t>
      </w:r>
      <w:r w:rsidR="00743528">
        <w:rPr>
          <w:i/>
          <w:iCs/>
        </w:rPr>
        <w:t xml:space="preserve"> Act</w:t>
      </w:r>
      <w:r w:rsidR="00F5288B">
        <w:rPr>
          <w:i/>
          <w:iCs/>
        </w:rPr>
        <w:t xml:space="preserve"> </w:t>
      </w:r>
      <w:r w:rsidR="00F5288B" w:rsidRPr="00743528">
        <w:t>(</w:t>
      </w:r>
      <w:r w:rsidR="00F5288B">
        <w:t>NGER)</w:t>
      </w:r>
      <w:r w:rsidR="00A00CA4">
        <w:t xml:space="preserve"> boundary</w:t>
      </w:r>
      <w:r w:rsidR="00EA2C33">
        <w:t xml:space="preserve">. The NGER boundary of a </w:t>
      </w:r>
      <w:r w:rsidR="00715ACB">
        <w:t>F</w:t>
      </w:r>
      <w:r w:rsidR="00EA2C33">
        <w:t>acility</w:t>
      </w:r>
      <w:r w:rsidR="0063265D">
        <w:t xml:space="preserve"> forms the basis for </w:t>
      </w:r>
      <w:r w:rsidR="004149EF">
        <w:t>its</w:t>
      </w:r>
      <w:r w:rsidR="00B76149">
        <w:t xml:space="preserve"> emissions reporting</w:t>
      </w:r>
      <w:r w:rsidR="00EA2C33">
        <w:t xml:space="preserve"> and</w:t>
      </w:r>
      <w:r w:rsidR="00B76149">
        <w:t xml:space="preserve"> </w:t>
      </w:r>
      <w:r w:rsidR="0063265D">
        <w:t>determin</w:t>
      </w:r>
      <w:r w:rsidR="004149EF">
        <w:t>es</w:t>
      </w:r>
      <w:r w:rsidR="0063265D">
        <w:t xml:space="preserve"> </w:t>
      </w:r>
      <w:r w:rsidR="00EA2C33">
        <w:t xml:space="preserve">the </w:t>
      </w:r>
      <w:r w:rsidR="0063265D">
        <w:t xml:space="preserve">responsible emitter’s liability. </w:t>
      </w:r>
    </w:p>
    <w:p w14:paraId="5E4EE855" w14:textId="66FCF735" w:rsidR="00B85042" w:rsidRPr="00F424C7" w:rsidRDefault="00BE337E" w:rsidP="00B85042">
      <w:pPr>
        <w:rPr>
          <w:rFonts w:ascii="Calibri" w:hAnsi="Calibri" w:cs="Calibri"/>
          <w:color w:val="000000"/>
          <w:shd w:val="clear" w:color="auto" w:fill="FFFFFF"/>
        </w:rPr>
      </w:pPr>
      <w:r>
        <w:t>The NGER Act defines facilities as an activity, or a series of activities (including ancillary activities), that involve greenhouse gas emissions, the production of energy or the consumption of energy</w:t>
      </w:r>
      <w:r w:rsidR="00A53D96">
        <w:t xml:space="preserve"> that</w:t>
      </w:r>
      <w:r>
        <w:t xml:space="preserve"> form a single undertaking or enterprise and meet the requirements of the regulations</w:t>
      </w:r>
      <w:r w:rsidR="00A53D96">
        <w:t xml:space="preserve">. </w:t>
      </w:r>
      <w:r w:rsidR="009C29B9">
        <w:t>Equating</w:t>
      </w:r>
      <w:r w:rsidR="007F40FC">
        <w:t xml:space="preserve"> the </w:t>
      </w:r>
      <w:r w:rsidR="00715ACB">
        <w:t>F</w:t>
      </w:r>
      <w:r w:rsidR="007F40FC">
        <w:t>acility</w:t>
      </w:r>
      <w:r w:rsidR="009C29B9">
        <w:t xml:space="preserve"> reporting boundary to </w:t>
      </w:r>
      <w:r w:rsidR="007F40FC">
        <w:t>its</w:t>
      </w:r>
      <w:r w:rsidR="009C29B9">
        <w:t xml:space="preserve"> NGER boundary </w:t>
      </w:r>
      <w:r w:rsidR="00B85042">
        <w:rPr>
          <w:rStyle w:val="normaltextrun"/>
          <w:rFonts w:ascii="Calibri" w:hAnsi="Calibri" w:cs="Calibri"/>
          <w:color w:val="000000"/>
          <w:shd w:val="clear" w:color="auto" w:fill="FFFFFF"/>
        </w:rPr>
        <w:t xml:space="preserve">ensures </w:t>
      </w:r>
      <w:r w:rsidR="00B85042">
        <w:t xml:space="preserve">that the EBIT only considers the revenue and expenses that are directly attributable to activities producing the emissions covered by the Safeguard Mechanism. The costs and revenue recognised are therefore an accurate reflection of the impacts of the scheme on the </w:t>
      </w:r>
      <w:r w:rsidR="00715ACB">
        <w:t>F</w:t>
      </w:r>
      <w:r w:rsidR="00B85042">
        <w:t>acility and appropriately reflect the extent of any benefit received through a TEBA determination.</w:t>
      </w:r>
    </w:p>
    <w:p w14:paraId="6EAD450C" w14:textId="06791F6F" w:rsidR="00EB30FC" w:rsidRDefault="00EB30FC" w:rsidP="00EB30FC">
      <w:pPr>
        <w:tabs>
          <w:tab w:val="left" w:pos="3690"/>
        </w:tabs>
        <w:rPr>
          <w:b/>
          <w:bCs/>
          <w:u w:val="single"/>
        </w:rPr>
      </w:pPr>
    </w:p>
    <w:p w14:paraId="774AB4DD" w14:textId="2564FB5C" w:rsidR="0028139F" w:rsidRPr="001246FE" w:rsidRDefault="0028139F" w:rsidP="00B85042">
      <w:pPr>
        <w:rPr>
          <w:b/>
          <w:bCs/>
          <w:u w:val="single"/>
        </w:rPr>
      </w:pPr>
      <w:r w:rsidRPr="001246FE">
        <w:rPr>
          <w:b/>
          <w:bCs/>
          <w:u w:val="single"/>
        </w:rPr>
        <w:lastRenderedPageBreak/>
        <w:t>EBIT formula and</w:t>
      </w:r>
      <w:r w:rsidR="00B279CE">
        <w:rPr>
          <w:b/>
          <w:bCs/>
          <w:u w:val="single"/>
        </w:rPr>
        <w:t xml:space="preserve"> period of calculation</w:t>
      </w:r>
      <w:r w:rsidRPr="001246FE">
        <w:rPr>
          <w:b/>
          <w:bCs/>
          <w:u w:val="single"/>
        </w:rPr>
        <w:t xml:space="preserve"> </w:t>
      </w:r>
    </w:p>
    <w:p w14:paraId="648616DC" w14:textId="6F430113" w:rsidR="00537864" w:rsidRDefault="001A2066" w:rsidP="004C303E">
      <w:r>
        <w:t xml:space="preserve">EBIT is a measure of business profitability and at </w:t>
      </w:r>
      <w:r w:rsidR="00E340D1">
        <w:t>a</w:t>
      </w:r>
      <w:r>
        <w:t xml:space="preserve"> basic level is the net income of a business undertaking</w:t>
      </w:r>
      <w:r w:rsidR="00396FB1">
        <w:t>. This is</w:t>
      </w:r>
      <w:r>
        <w:t xml:space="preserve"> revenue minus the costs of production and capital used in the production process in the form of depreciation. </w:t>
      </w:r>
      <w:r w:rsidR="001D3AAC">
        <w:t>The</w:t>
      </w:r>
      <w:r w:rsidR="00887E3E">
        <w:t xml:space="preserve"> EBIT </w:t>
      </w:r>
      <w:r w:rsidR="002A6403">
        <w:t xml:space="preserve">formula </w:t>
      </w:r>
      <w:r w:rsidR="00BC004C">
        <w:t>within the</w:t>
      </w:r>
      <w:r w:rsidR="002A6403">
        <w:t xml:space="preserve"> guidelines</w:t>
      </w:r>
      <w:r w:rsidR="00314283">
        <w:t xml:space="preserve"> </w:t>
      </w:r>
      <w:r w:rsidR="00976C39">
        <w:t xml:space="preserve">is defined as </w:t>
      </w:r>
      <w:r w:rsidR="00976C39" w:rsidRPr="00976C39">
        <w:t xml:space="preserve">revenue minus expenses with interest expense and tax expense or benefit added back, </w:t>
      </w:r>
      <w:r w:rsidR="0036336D">
        <w:t>as</w:t>
      </w:r>
      <w:r w:rsidR="00976C39" w:rsidRPr="00976C39">
        <w:t xml:space="preserve"> incurred through activities and ancillary activities undertaken by the Facility within its defined NGER boundary</w:t>
      </w:r>
      <w:r w:rsidR="00A01DE5">
        <w:t xml:space="preserve"> for the f</w:t>
      </w:r>
      <w:r w:rsidR="00537864">
        <w:t>irst financial year of a TEBA determination</w:t>
      </w:r>
      <w:r w:rsidR="00976C39" w:rsidRPr="00976C39">
        <w:t xml:space="preserve">. </w:t>
      </w:r>
    </w:p>
    <w:p w14:paraId="028DBD21" w14:textId="12DDF75A" w:rsidR="00FC22E5" w:rsidRDefault="00FC22E5" w:rsidP="004C303E">
      <w:r>
        <w:t>The terms of the</w:t>
      </w:r>
      <w:r w:rsidR="0096561C">
        <w:t xml:space="preserve"> proposed</w:t>
      </w:r>
      <w:r>
        <w:t xml:space="preserve"> EBIT formula are accounting concepts consistent with Australian Accounting Standards. These standards are routinely used by companies preparing financial reports under the Corporations Act and are well understood by companies, accountants, and financial auditors. The formula incorporates interest expense and</w:t>
      </w:r>
      <w:r w:rsidR="00981C34" w:rsidRPr="00981C34">
        <w:t xml:space="preserve"> </w:t>
      </w:r>
      <w:r w:rsidR="00981C34">
        <w:t>income</w:t>
      </w:r>
      <w:r>
        <w:t xml:space="preserve"> tax expense or benefit to support transparency and ensures that interest and tax allocations are not inappropriately included within revenue and expenses. Consistent with the concept of EBIT, the interest and tax figures are removed from the final calculation as outlined in Appendix A of the guidelines.</w:t>
      </w:r>
    </w:p>
    <w:p w14:paraId="061C0AF5" w14:textId="115AB5DC" w:rsidR="00B279CE" w:rsidRPr="00B279CE" w:rsidRDefault="00B279CE" w:rsidP="00B279CE">
      <w:pPr>
        <w:pStyle w:val="Heading3"/>
        <w:rPr>
          <w:b/>
          <w:bCs/>
          <w:u w:val="single"/>
        </w:rPr>
      </w:pPr>
      <w:r w:rsidRPr="00B279CE">
        <w:rPr>
          <w:b/>
          <w:bCs/>
          <w:u w:val="single"/>
        </w:rPr>
        <w:t>EBIT components and inputs</w:t>
      </w:r>
    </w:p>
    <w:p w14:paraId="5E398E50" w14:textId="496B066F" w:rsidR="002F27B4" w:rsidRDefault="00BE0A77" w:rsidP="00C166AE">
      <w:r>
        <w:t xml:space="preserve">The </w:t>
      </w:r>
      <w:r w:rsidR="007A1A06">
        <w:t xml:space="preserve">guidelines provided </w:t>
      </w:r>
      <w:r>
        <w:t>specific</w:t>
      </w:r>
      <w:r w:rsidR="007A1A06">
        <w:t xml:space="preserve"> direction </w:t>
      </w:r>
      <w:r w:rsidR="00252A58">
        <w:t>regarding</w:t>
      </w:r>
      <w:r>
        <w:t xml:space="preserve"> what can </w:t>
      </w:r>
      <w:r w:rsidR="0064161B">
        <w:t>and cannot be included under each component of EBIT and its constituent parts</w:t>
      </w:r>
      <w:r w:rsidR="007B21D7">
        <w:t xml:space="preserve"> </w:t>
      </w:r>
      <w:r w:rsidR="00552DE0">
        <w:t>and is</w:t>
      </w:r>
      <w:r w:rsidR="007B21D7">
        <w:t xml:space="preserve"> outlined in subsequent sections</w:t>
      </w:r>
      <w:r w:rsidR="0064161B">
        <w:t>. Where this d</w:t>
      </w:r>
      <w:r>
        <w:t>iffer</w:t>
      </w:r>
      <w:r w:rsidR="0064161B">
        <w:t>s</w:t>
      </w:r>
      <w:r>
        <w:t xml:space="preserve"> </w:t>
      </w:r>
      <w:r w:rsidR="00E90F09">
        <w:t xml:space="preserve">from </w:t>
      </w:r>
      <w:r>
        <w:t>the Australian Accounting Standards</w:t>
      </w:r>
      <w:r w:rsidR="0064161B">
        <w:t>, the</w:t>
      </w:r>
      <w:r w:rsidR="00FD3C06">
        <w:t xml:space="preserve"> deviations have been made to</w:t>
      </w:r>
      <w:r w:rsidR="00CD1E2D">
        <w:t xml:space="preserve"> </w:t>
      </w:r>
      <w:r w:rsidR="003B7104">
        <w:t>ensure the</w:t>
      </w:r>
      <w:r w:rsidR="00CD1E2D" w:rsidRPr="00CD1E2D">
        <w:t xml:space="preserve"> integrity of the scheme </w:t>
      </w:r>
      <w:r w:rsidR="00B41D34">
        <w:t xml:space="preserve">and </w:t>
      </w:r>
      <w:r w:rsidR="00CD1E2D">
        <w:t xml:space="preserve">that </w:t>
      </w:r>
      <w:r w:rsidR="00BA1376">
        <w:t xml:space="preserve">facilities are not advantaged or disadvantaged </w:t>
      </w:r>
      <w:r w:rsidR="00CB63F7">
        <w:t>based on their corporate structure</w:t>
      </w:r>
      <w:r w:rsidR="00B41D34">
        <w:t xml:space="preserve">. </w:t>
      </w:r>
      <w:r w:rsidR="00050404">
        <w:t xml:space="preserve">The Safeguard Rules </w:t>
      </w:r>
      <w:r w:rsidR="00241F96">
        <w:t xml:space="preserve">also </w:t>
      </w:r>
      <w:r w:rsidR="00050404">
        <w:t>require that</w:t>
      </w:r>
      <w:r w:rsidR="002F27B4">
        <w:t xml:space="preserve"> the EBIT figure is audited at the reasonable assurance level, </w:t>
      </w:r>
      <w:r w:rsidR="00E75070">
        <w:t>as per</w:t>
      </w:r>
      <w:r w:rsidR="002F27B4">
        <w:t xml:space="preserve"> Section 40 of the Safeguard Rule</w:t>
      </w:r>
      <w:r w:rsidR="00E75070">
        <w:t>. It</w:t>
      </w:r>
      <w:r w:rsidR="002F27B4">
        <w:t xml:space="preserve"> requires that the audit report companying the TEBA application includes a conclusion that the information included in the application is correct.</w:t>
      </w:r>
    </w:p>
    <w:p w14:paraId="3F3EE417" w14:textId="71E2162E" w:rsidR="00522A2F" w:rsidRDefault="002A6403" w:rsidP="00DA2941">
      <w:r w:rsidRPr="00265E6F">
        <w:rPr>
          <w:rStyle w:val="Heading4Char"/>
          <w:u w:val="single"/>
        </w:rPr>
        <w:t>Revenue</w:t>
      </w:r>
      <w:r w:rsidR="00C1601E" w:rsidRPr="00265E6F">
        <w:rPr>
          <w:rStyle w:val="Heading4Char"/>
          <w:u w:val="single"/>
        </w:rPr>
        <w:t xml:space="preserve"> </w:t>
      </w:r>
      <w:r w:rsidR="00C166AE" w:rsidRPr="00265E6F">
        <w:rPr>
          <w:rStyle w:val="Heading3Char"/>
          <w:b/>
          <w:bCs/>
          <w:u w:val="single"/>
        </w:rPr>
        <w:cr/>
      </w:r>
      <w:r w:rsidR="00C166AE">
        <w:t>Revenue is a primary business metric which shows the gross inflow of economic benefits</w:t>
      </w:r>
      <w:r>
        <w:t xml:space="preserve"> and </w:t>
      </w:r>
      <w:r w:rsidR="00C166AE">
        <w:t xml:space="preserve">is the basis from which </w:t>
      </w:r>
      <w:r w:rsidR="00915949">
        <w:t>expenses</w:t>
      </w:r>
      <w:r w:rsidR="00C166AE">
        <w:t xml:space="preserve"> are deducted to determine profit. </w:t>
      </w:r>
      <w:r>
        <w:t xml:space="preserve">Facilities maintain a clear and consistent measure of revenue </w:t>
      </w:r>
      <w:r w:rsidR="00217163">
        <w:t xml:space="preserve">which is </w:t>
      </w:r>
      <w:r w:rsidR="001A227A">
        <w:t>a</w:t>
      </w:r>
      <w:r>
        <w:t xml:space="preserve"> </w:t>
      </w:r>
      <w:r w:rsidR="008C174A">
        <w:t xml:space="preserve">metric </w:t>
      </w:r>
      <w:r w:rsidR="00217163">
        <w:t>that</w:t>
      </w:r>
      <w:r w:rsidR="001A227A">
        <w:t xml:space="preserve"> is</w:t>
      </w:r>
      <w:r w:rsidR="008C174A">
        <w:t xml:space="preserve"> </w:t>
      </w:r>
      <w:r>
        <w:t>reasonably transparent and easy to obtain.</w:t>
      </w:r>
      <w:r w:rsidR="00C276ED">
        <w:t xml:space="preserve"> </w:t>
      </w:r>
      <w:r w:rsidR="00DF5C34">
        <w:t xml:space="preserve">To enable the calculation of EBIT, an equitable revenue figure must be attributable to a </w:t>
      </w:r>
      <w:r w:rsidR="00715ACB">
        <w:t>F</w:t>
      </w:r>
      <w:r w:rsidR="00DF5C34">
        <w:t xml:space="preserve">acility </w:t>
      </w:r>
      <w:r w:rsidR="00981C34">
        <w:t xml:space="preserve">arising </w:t>
      </w:r>
      <w:r w:rsidR="00217163">
        <w:t>from all activities within its NGER boundary</w:t>
      </w:r>
      <w:r w:rsidR="00DF5C34">
        <w:t xml:space="preserve">. </w:t>
      </w:r>
      <w:r w:rsidR="00915949">
        <w:t xml:space="preserve">The guidelines </w:t>
      </w:r>
      <w:r w:rsidR="003E2DFC">
        <w:t>capture all sources of revenue in two broad categories, revenue</w:t>
      </w:r>
      <w:r w:rsidR="00B676B2">
        <w:t xml:space="preserve"> fr</w:t>
      </w:r>
      <w:r w:rsidR="007E0268">
        <w:t>om contracts with customers a</w:t>
      </w:r>
      <w:r w:rsidR="00C651C2">
        <w:t>nd</w:t>
      </w:r>
      <w:r w:rsidR="007E0268">
        <w:t xml:space="preserve"> </w:t>
      </w:r>
      <w:r w:rsidR="00217163">
        <w:t xml:space="preserve">all other </w:t>
      </w:r>
      <w:r w:rsidR="007E0268">
        <w:t>sources</w:t>
      </w:r>
      <w:r w:rsidR="00217163">
        <w:t>.</w:t>
      </w:r>
      <w:r w:rsidR="0096075E">
        <w:t xml:space="preserve"> This includes</w:t>
      </w:r>
      <w:r w:rsidR="00EE171B">
        <w:t xml:space="preserve"> all revenue and costs from</w:t>
      </w:r>
      <w:r w:rsidR="0096075E">
        <w:t xml:space="preserve"> transactions with related parties, </w:t>
      </w:r>
      <w:r w:rsidR="007E2B74">
        <w:t>such as other operating segments within the same company</w:t>
      </w:r>
      <w:r w:rsidR="00522A2F">
        <w:t>.</w:t>
      </w:r>
    </w:p>
    <w:p w14:paraId="3A55F8B4" w14:textId="4F666CC9" w:rsidR="008A1970" w:rsidRDefault="00522A2F" w:rsidP="00DA2941">
      <w:r>
        <w:t xml:space="preserve">Related party transaction </w:t>
      </w:r>
      <w:proofErr w:type="gramStart"/>
      <w:r w:rsidR="00E01CC0">
        <w:t>are</w:t>
      </w:r>
      <w:proofErr w:type="gramEnd"/>
      <w:r w:rsidR="00E01CC0">
        <w:t xml:space="preserve"> </w:t>
      </w:r>
      <w:r w:rsidR="00E12AFD">
        <w:t xml:space="preserve">not always </w:t>
      </w:r>
      <w:r w:rsidR="00D616DC">
        <w:t>recorded</w:t>
      </w:r>
      <w:r w:rsidR="00B124AD">
        <w:t xml:space="preserve"> or</w:t>
      </w:r>
      <w:r w:rsidR="00EE03B1">
        <w:t xml:space="preserve"> have </w:t>
      </w:r>
      <w:r w:rsidR="00E01CC0">
        <w:t xml:space="preserve">direct </w:t>
      </w:r>
      <w:r w:rsidR="00EE03B1">
        <w:t>revenue that can be easily attributable to the exchange</w:t>
      </w:r>
      <w:r w:rsidR="004F3404">
        <w:t xml:space="preserve">. The guidelines provide direction for how such circumstances are to be handled and require that </w:t>
      </w:r>
      <w:r w:rsidR="008C1666">
        <w:t xml:space="preserve">all </w:t>
      </w:r>
      <w:r w:rsidR="005E57D2">
        <w:t xml:space="preserve">dealings must occur as </w:t>
      </w:r>
      <w:r w:rsidR="00E26080">
        <w:t xml:space="preserve">if </w:t>
      </w:r>
      <w:r w:rsidR="00997CC0">
        <w:t>engaging with an unrelated third party</w:t>
      </w:r>
      <w:r w:rsidR="00E26080">
        <w:t xml:space="preserve"> under normal business commercial terms</w:t>
      </w:r>
      <w:r w:rsidR="00D13229">
        <w:t xml:space="preserve">, i.e. at </w:t>
      </w:r>
      <w:r w:rsidR="00B279CE">
        <w:t>arm’s length</w:t>
      </w:r>
      <w:r w:rsidR="00743E81">
        <w:t xml:space="preserve">. </w:t>
      </w:r>
      <w:r w:rsidR="00D13229">
        <w:t xml:space="preserve">This helps to </w:t>
      </w:r>
      <w:r w:rsidR="005F249D">
        <w:t>ensure goods and services are priced fairly</w:t>
      </w:r>
      <w:r w:rsidR="003F40E4">
        <w:t xml:space="preserve"> and that revenue and corresponding costs are </w:t>
      </w:r>
      <w:r w:rsidR="008709AD">
        <w:t xml:space="preserve">fairly </w:t>
      </w:r>
      <w:r w:rsidR="003F40E4">
        <w:t xml:space="preserve">reflected. </w:t>
      </w:r>
    </w:p>
    <w:p w14:paraId="17E846AB" w14:textId="24DD72EE" w:rsidR="0007385D" w:rsidRDefault="00DA2941" w:rsidP="00341655">
      <w:r w:rsidRPr="00DA2941">
        <w:t>Where a Facility does not normally recognise revenue from external customers (for instance a Joint Venture where the produce is provided to the Joint Venture participants or their related sales agent), the revenue for the Facility is the revenue generated by the sale of the produc</w:t>
      </w:r>
      <w:r w:rsidR="003F40E4">
        <w:t>t</w:t>
      </w:r>
      <w:r w:rsidRPr="00DA2941">
        <w:t xml:space="preserve"> provided to the related party for sale to their respective customers.</w:t>
      </w:r>
      <w:r w:rsidR="006600DC">
        <w:t xml:space="preserve"> Although the </w:t>
      </w:r>
      <w:r w:rsidR="0008020A">
        <w:t>F</w:t>
      </w:r>
      <w:r w:rsidR="006600DC">
        <w:t xml:space="preserve">acility </w:t>
      </w:r>
      <w:r w:rsidR="004149CE">
        <w:t>producing the product</w:t>
      </w:r>
      <w:r w:rsidR="006600DC">
        <w:t xml:space="preserve"> does not record revenue, it is owned by the joint venture partners and therefore the revenue received by joint ventures for product sales is an accurate proxy for th</w:t>
      </w:r>
      <w:r w:rsidR="0007385D">
        <w:t>e</w:t>
      </w:r>
      <w:r w:rsidR="006600DC">
        <w:t xml:space="preserve"> revenue of the </w:t>
      </w:r>
      <w:r w:rsidR="0008020A">
        <w:t>F</w:t>
      </w:r>
      <w:r w:rsidR="006600DC">
        <w:t>acility</w:t>
      </w:r>
      <w:r w:rsidR="0028091A">
        <w:t>. This is also</w:t>
      </w:r>
      <w:r w:rsidR="00341655">
        <w:t xml:space="preserve"> consistent with the arm’s length principle</w:t>
      </w:r>
      <w:r w:rsidR="00A01A55">
        <w:t xml:space="preserve"> as it represents dealings with a third party</w:t>
      </w:r>
      <w:r w:rsidR="006600DC">
        <w:t>.</w:t>
      </w:r>
      <w:r w:rsidR="0059220F">
        <w:t xml:space="preserve"> </w:t>
      </w:r>
    </w:p>
    <w:p w14:paraId="55A0B36A" w14:textId="0B1B07BE" w:rsidR="006B5E08" w:rsidRPr="006B5E08" w:rsidRDefault="00A01A55" w:rsidP="00341655">
      <w:r>
        <w:lastRenderedPageBreak/>
        <w:t>In circumstances w</w:t>
      </w:r>
      <w:r w:rsidR="006B5E08" w:rsidRPr="006B5E08">
        <w:t xml:space="preserve">here the Facility </w:t>
      </w:r>
      <w:r w:rsidR="00444221" w:rsidRPr="006B5E08">
        <w:t>provides the product to a related party for either direct sale or further processing and subsequent sale to a third party</w:t>
      </w:r>
      <w:r w:rsidR="00444221">
        <w:t xml:space="preserve"> but </w:t>
      </w:r>
      <w:r w:rsidR="006B5E08" w:rsidRPr="006B5E08">
        <w:t>does not generate external revenue and</w:t>
      </w:r>
      <w:r>
        <w:t xml:space="preserve"> cannot attribute revenue</w:t>
      </w:r>
      <w:r w:rsidR="00B74288">
        <w:t>,</w:t>
      </w:r>
      <w:r w:rsidR="0066781E">
        <w:t xml:space="preserve"> as outlined above</w:t>
      </w:r>
      <w:r w:rsidR="00B74288">
        <w:t>,</w:t>
      </w:r>
      <w:r w:rsidR="006B5E08" w:rsidRPr="006B5E08">
        <w:t xml:space="preserve"> the revenue is equal to the market value for the goods or services produced</w:t>
      </w:r>
      <w:r w:rsidR="0066781E">
        <w:t>. The use of market price</w:t>
      </w:r>
      <w:r w:rsidR="001D423B">
        <w:t xml:space="preserve"> </w:t>
      </w:r>
      <w:r w:rsidR="0066781E">
        <w:t>is consistent with the</w:t>
      </w:r>
      <w:r w:rsidR="001D423B">
        <w:t xml:space="preserve"> arm’s length </w:t>
      </w:r>
      <w:r w:rsidR="0066781E">
        <w:t>principle</w:t>
      </w:r>
      <w:r w:rsidR="00D5024C">
        <w:t xml:space="preserve"> as the prices are determined by transactions occurring between independent parties in an open market</w:t>
      </w:r>
      <w:r w:rsidR="0066781E">
        <w:t xml:space="preserve">. </w:t>
      </w:r>
    </w:p>
    <w:p w14:paraId="337F4E45" w14:textId="246EF5FC" w:rsidR="009C7708" w:rsidRDefault="00776022" w:rsidP="00C166AE">
      <w:r w:rsidRPr="00405548">
        <w:t xml:space="preserve">Where </w:t>
      </w:r>
      <w:r w:rsidR="0007385D" w:rsidRPr="00405548">
        <w:t>market value does not exist</w:t>
      </w:r>
      <w:r w:rsidR="00B5139F">
        <w:t xml:space="preserve"> for a good or service</w:t>
      </w:r>
      <w:r w:rsidR="004A0793" w:rsidRPr="00405548">
        <w:t xml:space="preserve">, </w:t>
      </w:r>
      <w:r w:rsidR="00B5139F">
        <w:t>it is not possible to accurately determine an arm’s length value</w:t>
      </w:r>
      <w:r w:rsidR="00EF5736">
        <w:t>. In such cases, the guidelines propose</w:t>
      </w:r>
      <w:r w:rsidR="00A712D1">
        <w:t xml:space="preserve"> that revenue is recognised at cost</w:t>
      </w:r>
      <w:r w:rsidR="00553575">
        <w:t xml:space="preserve"> through allocation </w:t>
      </w:r>
      <w:r w:rsidR="005B4979" w:rsidRPr="00405548">
        <w:t xml:space="preserve">to a </w:t>
      </w:r>
      <w:r w:rsidR="009C441B">
        <w:t>F</w:t>
      </w:r>
      <w:r w:rsidR="005B4979" w:rsidRPr="00405548">
        <w:t>acility</w:t>
      </w:r>
      <w:r w:rsidR="00553575">
        <w:t xml:space="preserve"> proportionally</w:t>
      </w:r>
      <w:r w:rsidR="005B4979" w:rsidRPr="00405548">
        <w:t xml:space="preserve"> </w:t>
      </w:r>
      <w:r w:rsidR="00A543CD" w:rsidRPr="00405548">
        <w:t xml:space="preserve">based on the percentage of its production costs </w:t>
      </w:r>
      <w:r w:rsidR="003C5464" w:rsidRPr="00405548">
        <w:t>to</w:t>
      </w:r>
      <w:r w:rsidR="0030613C" w:rsidRPr="00405548">
        <w:t xml:space="preserve"> the</w:t>
      </w:r>
      <w:r w:rsidR="00A543CD" w:rsidRPr="00405548">
        <w:t xml:space="preserve"> total cost </w:t>
      </w:r>
      <w:r w:rsidR="003C5464" w:rsidRPr="00405548">
        <w:t>o</w:t>
      </w:r>
      <w:r w:rsidR="00A543CD" w:rsidRPr="00405548">
        <w:t>f producing the final produc</w:t>
      </w:r>
      <w:r w:rsidR="003C5464" w:rsidRPr="00405548">
        <w:t xml:space="preserve">t. </w:t>
      </w:r>
      <w:r w:rsidR="00BE5CA9" w:rsidRPr="00405548">
        <w:t xml:space="preserve">For example, if a </w:t>
      </w:r>
      <w:r w:rsidR="009C441B">
        <w:t>F</w:t>
      </w:r>
      <w:r w:rsidR="00BE5CA9" w:rsidRPr="00405548">
        <w:t xml:space="preserve">acility provides and input into the production process of the final product and </w:t>
      </w:r>
      <w:r w:rsidR="00243C42" w:rsidRPr="00405548">
        <w:t>the costs of producing the input is 20% of the total cost of producing the final product throughout the length of the supply chain</w:t>
      </w:r>
      <w:r w:rsidR="007A6E92" w:rsidRPr="00405548">
        <w:t xml:space="preserve">, the </w:t>
      </w:r>
      <w:r w:rsidR="009C441B">
        <w:t>F</w:t>
      </w:r>
      <w:r w:rsidR="007A6E92" w:rsidRPr="00405548">
        <w:t>acility producing the input would receive 20% of the revenue from the sale of the final product.</w:t>
      </w:r>
      <w:r w:rsidR="007A6E92">
        <w:t xml:space="preserve"> </w:t>
      </w:r>
    </w:p>
    <w:p w14:paraId="081614F1" w14:textId="48773F2A" w:rsidR="00C36C82" w:rsidRDefault="00C36C82" w:rsidP="00C36C82">
      <w:pPr>
        <w:spacing w:after="0"/>
        <w:rPr>
          <w:rStyle w:val="Heading4Char"/>
          <w:u w:val="single"/>
        </w:rPr>
      </w:pPr>
      <w:r w:rsidRPr="00C36C82">
        <w:rPr>
          <w:rStyle w:val="Heading4Char"/>
          <w:u w:val="single"/>
        </w:rPr>
        <w:t>Revenue from grants</w:t>
      </w:r>
    </w:p>
    <w:p w14:paraId="076482AA" w14:textId="46F71F58" w:rsidR="00C36C82" w:rsidRPr="002766C1" w:rsidRDefault="001051BA" w:rsidP="002766C1">
      <w:pPr>
        <w:rPr>
          <w:rStyle w:val="Heading4Char"/>
          <w:rFonts w:asciiTheme="minorHAnsi" w:eastAsiaTheme="minorHAnsi" w:hAnsiTheme="minorHAnsi" w:cstheme="minorBidi"/>
          <w:i w:val="0"/>
          <w:iCs w:val="0"/>
          <w:color w:val="auto"/>
        </w:rPr>
      </w:pPr>
      <w:r>
        <w:t xml:space="preserve">The guidelines require that any funding received through grants to be recorded as revenue as it represents a financial benefit that impacts the profitability of a </w:t>
      </w:r>
      <w:r w:rsidR="009C441B">
        <w:t>F</w:t>
      </w:r>
      <w:r>
        <w:t xml:space="preserve">acility, </w:t>
      </w:r>
      <w:proofErr w:type="gramStart"/>
      <w:r>
        <w:t>with the exception of</w:t>
      </w:r>
      <w:proofErr w:type="gramEnd"/>
      <w:r w:rsidR="00C36C82">
        <w:t xml:space="preserve"> funding </w:t>
      </w:r>
      <w:r>
        <w:t>received through the</w:t>
      </w:r>
      <w:r w:rsidR="00C36C82">
        <w:t xml:space="preserve"> P</w:t>
      </w:r>
      <w:r w:rsidR="006A5B09">
        <w:t>owering the Regions Fund</w:t>
      </w:r>
      <w:r w:rsidR="00F10ADB">
        <w:t xml:space="preserve"> (PRF), </w:t>
      </w:r>
      <w:r w:rsidR="00C36C82">
        <w:t xml:space="preserve">consistent with the Section 37(4) of the Safeguard Rule. The intent of the exclusion of PRF funding from revenue recognised under EBIT is </w:t>
      </w:r>
      <w:r w:rsidR="00F10ADB">
        <w:t xml:space="preserve">to </w:t>
      </w:r>
      <w:r w:rsidR="00C36C82">
        <w:t>not discourag</w:t>
      </w:r>
      <w:r w:rsidR="0027088F">
        <w:t>e</w:t>
      </w:r>
      <w:r w:rsidR="00C36C82">
        <w:t xml:space="preserve"> uptake of government support specifically </w:t>
      </w:r>
      <w:r w:rsidR="008919B4">
        <w:t xml:space="preserve">aimed </w:t>
      </w:r>
      <w:r w:rsidR="00C36C82">
        <w:t xml:space="preserve">at Safeguard </w:t>
      </w:r>
      <w:r w:rsidR="0027088F">
        <w:t xml:space="preserve">Mechanism </w:t>
      </w:r>
      <w:r w:rsidR="00C36C82">
        <w:t xml:space="preserve">covered facilities. </w:t>
      </w:r>
    </w:p>
    <w:p w14:paraId="15918957" w14:textId="1F76A2D0" w:rsidR="00AA3255" w:rsidRPr="00265E6F" w:rsidRDefault="00AA3255" w:rsidP="00265E6F">
      <w:pPr>
        <w:rPr>
          <w:rStyle w:val="Heading3Char"/>
          <w:b/>
          <w:bCs/>
          <w:u w:val="single"/>
        </w:rPr>
      </w:pPr>
      <w:r w:rsidRPr="00265E6F">
        <w:rPr>
          <w:rStyle w:val="Heading4Char"/>
          <w:u w:val="single"/>
        </w:rPr>
        <w:t>Direct and indirect costs</w:t>
      </w:r>
    </w:p>
    <w:p w14:paraId="1F7A9724" w14:textId="6FEA8566" w:rsidR="008804A9" w:rsidRPr="008804A9" w:rsidRDefault="008804A9">
      <w:r>
        <w:t xml:space="preserve">The manufacture of goods incurs both direct and indirect costs that comprise the expenses component of EBIT which is subtracted from revenue to determine profit. </w:t>
      </w:r>
    </w:p>
    <w:p w14:paraId="5FEF946E" w14:textId="77777777" w:rsidR="006B1C2D" w:rsidRDefault="008804A9" w:rsidP="00265E6F">
      <w:pPr>
        <w:pStyle w:val="Heading5"/>
      </w:pPr>
      <w:r w:rsidRPr="00A87D08">
        <w:t>Direct costs</w:t>
      </w:r>
      <w:r w:rsidRPr="00927D95">
        <w:t xml:space="preserve"> </w:t>
      </w:r>
    </w:p>
    <w:p w14:paraId="3F00E45F" w14:textId="7488AADC" w:rsidR="00263BA8" w:rsidRPr="00263BA8" w:rsidRDefault="006B1C2D" w:rsidP="00263BA8">
      <w:r w:rsidRPr="00981C34">
        <w:t>I</w:t>
      </w:r>
      <w:r w:rsidR="008804A9" w:rsidRPr="00981C34">
        <w:t>nclude all costs that are directly attributable to the operating activities of the Facility</w:t>
      </w:r>
      <w:r w:rsidR="00F301C2" w:rsidRPr="00981C34">
        <w:t xml:space="preserve">, such as </w:t>
      </w:r>
      <w:r w:rsidR="008804A9" w:rsidRPr="00981C34">
        <w:t>material inputs, direct labour,</w:t>
      </w:r>
      <w:r w:rsidR="002E0067" w:rsidRPr="00981C34">
        <w:t xml:space="preserve"> utilities directly related to activities performed by the </w:t>
      </w:r>
      <w:r w:rsidR="00263BA8" w:rsidRPr="00981C34">
        <w:t>F</w:t>
      </w:r>
      <w:r w:rsidR="002E0067" w:rsidRPr="00981C34">
        <w:t>acility and</w:t>
      </w:r>
      <w:r w:rsidR="008804A9" w:rsidRPr="00981C34">
        <w:t xml:space="preserve"> depreciation of assets used for the production process</w:t>
      </w:r>
      <w:r w:rsidR="002E0067" w:rsidRPr="00981C34">
        <w:t xml:space="preserve">. </w:t>
      </w:r>
      <w:r w:rsidR="00F673FB" w:rsidRPr="00981C34">
        <w:t xml:space="preserve">Where </w:t>
      </w:r>
      <w:r w:rsidR="00921D47" w:rsidRPr="00981C34">
        <w:t>transactions</w:t>
      </w:r>
      <w:r w:rsidR="00F673FB" w:rsidRPr="00981C34">
        <w:t xml:space="preserve"> incurring costs occur</w:t>
      </w:r>
      <w:r w:rsidR="005E657B" w:rsidRPr="00981C34">
        <w:t xml:space="preserve"> with related part</w:t>
      </w:r>
      <w:r w:rsidR="00F673FB" w:rsidRPr="00981C34">
        <w:t>ies</w:t>
      </w:r>
      <w:r w:rsidR="005E657B" w:rsidRPr="00981C34">
        <w:t xml:space="preserve"> outside Australia’s borders</w:t>
      </w:r>
      <w:r w:rsidR="00F673FB" w:rsidRPr="00981C34">
        <w:t xml:space="preserve">, the guidelines require that </w:t>
      </w:r>
      <w:r w:rsidR="00491792" w:rsidRPr="00981C34">
        <w:t xml:space="preserve">Australian Taxation Office </w:t>
      </w:r>
      <w:r w:rsidR="00F673FB" w:rsidRPr="00981C34">
        <w:t>transfer pricing rules</w:t>
      </w:r>
      <w:r w:rsidR="00491792" w:rsidRPr="00981C34">
        <w:t xml:space="preserve"> are </w:t>
      </w:r>
      <w:r w:rsidR="00071730" w:rsidRPr="00981C34">
        <w:t>applied</w:t>
      </w:r>
      <w:r w:rsidR="002B1E9D" w:rsidRPr="00981C34">
        <w:t>, including</w:t>
      </w:r>
      <w:r w:rsidR="00473CCD" w:rsidRPr="00981C34">
        <w:t xml:space="preserve"> record</w:t>
      </w:r>
      <w:r w:rsidR="002B1E9D" w:rsidRPr="00981C34">
        <w:t xml:space="preserve"> keeping </w:t>
      </w:r>
      <w:proofErr w:type="gramStart"/>
      <w:r w:rsidR="00473CCD" w:rsidRPr="00981C34">
        <w:t>to substantiate</w:t>
      </w:r>
      <w:proofErr w:type="gramEnd"/>
      <w:r w:rsidR="00473CCD" w:rsidRPr="00981C34">
        <w:t xml:space="preserve"> compliance</w:t>
      </w:r>
      <w:r w:rsidR="00B74114" w:rsidRPr="00981C34">
        <w:t>.</w:t>
      </w:r>
      <w:r w:rsidR="00215980">
        <w:t xml:space="preserve"> </w:t>
      </w:r>
    </w:p>
    <w:p w14:paraId="15A23ED2" w14:textId="3F7418E2" w:rsidR="00055DA3" w:rsidRPr="00055DA3" w:rsidRDefault="00206861" w:rsidP="00265E6F">
      <w:pPr>
        <w:pStyle w:val="Heading5"/>
      </w:pPr>
      <w:r w:rsidRPr="00055DA3">
        <w:t xml:space="preserve">Indirect costs </w:t>
      </w:r>
    </w:p>
    <w:p w14:paraId="17D62A39" w14:textId="3A0FB3D5" w:rsidR="00206861" w:rsidRDefault="00055DA3">
      <w:r>
        <w:rPr>
          <w:rFonts w:cstheme="minorHAnsi"/>
          <w:color w:val="000000" w:themeColor="text1"/>
        </w:rPr>
        <w:t>R</w:t>
      </w:r>
      <w:r w:rsidR="00206861" w:rsidRPr="00927D95">
        <w:rPr>
          <w:rFonts w:cstheme="minorHAnsi"/>
          <w:color w:val="000000" w:themeColor="text1"/>
        </w:rPr>
        <w:t xml:space="preserve">elate to all indirect costs or overheads that can be allocated to the production process occurring at the </w:t>
      </w:r>
      <w:r w:rsidR="004775C0" w:rsidRPr="00927D95">
        <w:rPr>
          <w:rFonts w:cstheme="minorHAnsi"/>
          <w:color w:val="000000" w:themeColor="text1"/>
        </w:rPr>
        <w:t>Facility</w:t>
      </w:r>
      <w:r w:rsidR="004775C0">
        <w:rPr>
          <w:rFonts w:cstheme="minorHAnsi"/>
          <w:color w:val="000000" w:themeColor="text1"/>
        </w:rPr>
        <w:t xml:space="preserve"> but</w:t>
      </w:r>
      <w:r w:rsidR="00F86579">
        <w:rPr>
          <w:rFonts w:cstheme="minorHAnsi"/>
          <w:color w:val="000000" w:themeColor="text1"/>
        </w:rPr>
        <w:t xml:space="preserve"> are not immediately involved with production process</w:t>
      </w:r>
      <w:r w:rsidR="004775C0">
        <w:rPr>
          <w:rFonts w:cstheme="minorHAnsi"/>
          <w:color w:val="000000" w:themeColor="text1"/>
        </w:rPr>
        <w:t xml:space="preserve">, such as the </w:t>
      </w:r>
      <w:r w:rsidR="00126E75">
        <w:t>management and administration costs</w:t>
      </w:r>
      <w:r w:rsidR="004775C0">
        <w:t xml:space="preserve"> required </w:t>
      </w:r>
      <w:r w:rsidR="008E34AF">
        <w:t>for its operation</w:t>
      </w:r>
      <w:r w:rsidR="003E5C55">
        <w:t xml:space="preserve">. </w:t>
      </w:r>
      <w:r w:rsidR="004775C0">
        <w:t>In keeping with this principle, t</w:t>
      </w:r>
      <w:r w:rsidR="003E5C55">
        <w:t>he</w:t>
      </w:r>
      <w:r w:rsidR="00126E75">
        <w:t xml:space="preserve"> guidelines allow for </w:t>
      </w:r>
      <w:r w:rsidR="009B51CD">
        <w:t>the allocation of corporate overhead costs where services, such as payroll are provided at an aggregate level</w:t>
      </w:r>
      <w:r w:rsidR="00D80737">
        <w:t xml:space="preserve">. </w:t>
      </w:r>
      <w:r w:rsidR="00DC166A">
        <w:t>These</w:t>
      </w:r>
      <w:r w:rsidR="00D80737">
        <w:t xml:space="preserve"> must be proportional to the services received </w:t>
      </w:r>
      <w:r w:rsidR="005252A6">
        <w:t xml:space="preserve">to </w:t>
      </w:r>
      <w:r w:rsidR="002A6E08">
        <w:t xml:space="preserve">accurately reflect the </w:t>
      </w:r>
      <w:r w:rsidR="00263BA8">
        <w:t>F</w:t>
      </w:r>
      <w:r w:rsidR="002A6E08">
        <w:t>acility</w:t>
      </w:r>
      <w:r w:rsidR="00093089">
        <w:t xml:space="preserve"> management costs</w:t>
      </w:r>
      <w:r w:rsidR="002A6E08">
        <w:t xml:space="preserve"> and </w:t>
      </w:r>
      <w:r w:rsidR="0063415D">
        <w:t>prevent administration and management</w:t>
      </w:r>
      <w:r w:rsidR="00337F52">
        <w:t xml:space="preserve"> cost</w:t>
      </w:r>
      <w:r w:rsidR="00593FB3">
        <w:t>s</w:t>
      </w:r>
      <w:r w:rsidR="0063415D">
        <w:t xml:space="preserve"> of other facilities</w:t>
      </w:r>
      <w:r w:rsidR="00337F52">
        <w:t xml:space="preserve"> from being captured</w:t>
      </w:r>
      <w:r w:rsidR="00593FB3">
        <w:t xml:space="preserve">, including </w:t>
      </w:r>
      <w:r w:rsidR="00232205">
        <w:t xml:space="preserve">broader </w:t>
      </w:r>
      <w:r w:rsidR="001D144C">
        <w:t>management costs</w:t>
      </w:r>
      <w:r w:rsidR="00232205">
        <w:t xml:space="preserve"> </w:t>
      </w:r>
      <w:r w:rsidR="001B5D69">
        <w:t xml:space="preserve">such as </w:t>
      </w:r>
      <w:r w:rsidR="00232205">
        <w:t xml:space="preserve">those related to </w:t>
      </w:r>
      <w:r w:rsidR="00845405">
        <w:t>Board management</w:t>
      </w:r>
      <w:r w:rsidR="00593FB3">
        <w:t xml:space="preserve">. </w:t>
      </w:r>
    </w:p>
    <w:p w14:paraId="64FFED61" w14:textId="77777777" w:rsidR="00585C2A" w:rsidRPr="00265E6F" w:rsidRDefault="00585C2A" w:rsidP="00F63CB0">
      <w:pPr>
        <w:spacing w:after="0"/>
        <w:rPr>
          <w:rStyle w:val="Heading4Char"/>
          <w:u w:val="single"/>
        </w:rPr>
      </w:pPr>
      <w:r w:rsidRPr="00265E6F">
        <w:rPr>
          <w:rStyle w:val="Heading4Char"/>
          <w:u w:val="single"/>
        </w:rPr>
        <w:t xml:space="preserve">Depreciation, </w:t>
      </w:r>
      <w:proofErr w:type="gramStart"/>
      <w:r w:rsidRPr="00265E6F">
        <w:rPr>
          <w:rStyle w:val="Heading4Char"/>
          <w:u w:val="single"/>
        </w:rPr>
        <w:t>amortisation</w:t>
      </w:r>
      <w:proofErr w:type="gramEnd"/>
      <w:r w:rsidRPr="00265E6F">
        <w:rPr>
          <w:rStyle w:val="Heading4Char"/>
          <w:u w:val="single"/>
        </w:rPr>
        <w:t xml:space="preserve"> and impairment </w:t>
      </w:r>
    </w:p>
    <w:p w14:paraId="72092680" w14:textId="46D48FCB" w:rsidR="004C303E" w:rsidRDefault="00642601">
      <w:r>
        <w:t xml:space="preserve">Depreciation, </w:t>
      </w:r>
      <w:r w:rsidR="00634561">
        <w:t>amortisation,</w:t>
      </w:r>
      <w:r>
        <w:t xml:space="preserve"> and impairment </w:t>
      </w:r>
      <w:r w:rsidR="00634561">
        <w:t>are included under direct costs, consistent with standard accounting practice and the concept of EBIT.</w:t>
      </w:r>
      <w:r w:rsidR="00123B89">
        <w:t xml:space="preserve"> D</w:t>
      </w:r>
      <w:r w:rsidR="00426D2D">
        <w:t>epreciation is the process of</w:t>
      </w:r>
      <w:r w:rsidR="005628E6">
        <w:t xml:space="preserve"> </w:t>
      </w:r>
      <w:r w:rsidR="00426D2D">
        <w:t>allocatin</w:t>
      </w:r>
      <w:r w:rsidR="002D7E43">
        <w:t>g</w:t>
      </w:r>
      <w:r w:rsidR="00426D2D">
        <w:t xml:space="preserve"> the costs of tangible asset</w:t>
      </w:r>
      <w:r w:rsidR="00BF0238">
        <w:t>s</w:t>
      </w:r>
      <w:r w:rsidR="00827D1A">
        <w:t xml:space="preserve"> (</w:t>
      </w:r>
      <w:r w:rsidR="00426D2D">
        <w:t xml:space="preserve">such as </w:t>
      </w:r>
      <w:r w:rsidR="005628E6">
        <w:t>plant equipment</w:t>
      </w:r>
      <w:r w:rsidR="00827D1A">
        <w:t xml:space="preserve">) </w:t>
      </w:r>
      <w:r w:rsidR="00BF0238">
        <w:t xml:space="preserve">on a yearly basis </w:t>
      </w:r>
      <w:r w:rsidR="00426D2D">
        <w:t xml:space="preserve">over </w:t>
      </w:r>
      <w:r w:rsidR="00BF0238">
        <w:t>the</w:t>
      </w:r>
      <w:r w:rsidR="005628E6">
        <w:t xml:space="preserve"> expected </w:t>
      </w:r>
      <w:r w:rsidR="002D7E43">
        <w:t>useful</w:t>
      </w:r>
      <w:r w:rsidR="00FE6EDC">
        <w:t xml:space="preserve"> life</w:t>
      </w:r>
      <w:r w:rsidR="000C7DA8">
        <w:t xml:space="preserve"> of the asset</w:t>
      </w:r>
      <w:r w:rsidR="00987FC4">
        <w:t>,</w:t>
      </w:r>
      <w:r w:rsidR="00FE6EDC">
        <w:t xml:space="preserve"> </w:t>
      </w:r>
      <w:r w:rsidR="009D1175">
        <w:t>factor</w:t>
      </w:r>
      <w:r w:rsidR="00987FC4">
        <w:t>ing</w:t>
      </w:r>
      <w:r w:rsidR="009D1175">
        <w:t xml:space="preserve"> in the decrease in value over time due to use and obsolescence</w:t>
      </w:r>
      <w:r w:rsidR="00F71609">
        <w:t>.</w:t>
      </w:r>
      <w:r w:rsidR="00231B10">
        <w:t xml:space="preserve"> </w:t>
      </w:r>
      <w:r w:rsidR="00426D2D">
        <w:t xml:space="preserve">The depreciation of intangible assets, such as intellectual property, is known as amortisation. </w:t>
      </w:r>
      <w:r w:rsidR="00DC0C65">
        <w:t xml:space="preserve">The guidelines also require that the responsible emitter use information provided in the audited financial statement for </w:t>
      </w:r>
      <w:r w:rsidR="00DC0C65">
        <w:lastRenderedPageBreak/>
        <w:t xml:space="preserve">the year prior to calculate their depreciation and amortisation. This ensures that relevant figures are accurate and are not adjusted for the purpose of securing a TEBA determination. </w:t>
      </w:r>
      <w:r w:rsidR="00426D2D">
        <w:t>Asset</w:t>
      </w:r>
      <w:r w:rsidR="00865A72">
        <w:t>s</w:t>
      </w:r>
      <w:r w:rsidR="00426D2D">
        <w:t xml:space="preserve"> can also be impaired, </w:t>
      </w:r>
      <w:r w:rsidR="00556DCA">
        <w:t xml:space="preserve">which is where </w:t>
      </w:r>
      <w:r w:rsidR="00A5784C">
        <w:t>a one-off decrease in</w:t>
      </w:r>
      <w:r w:rsidR="00931189">
        <w:t xml:space="preserve"> the</w:t>
      </w:r>
      <w:r w:rsidR="00A5784C">
        <w:t xml:space="preserve"> value</w:t>
      </w:r>
      <w:r w:rsidR="00CD5765">
        <w:t xml:space="preserve"> of an asset occurs to</w:t>
      </w:r>
      <w:r w:rsidR="00A5784C">
        <w:t xml:space="preserve"> reflect changes in real world circumstances</w:t>
      </w:r>
      <w:r w:rsidR="00426D2D">
        <w:t>, such as</w:t>
      </w:r>
      <w:r w:rsidR="004E0C36">
        <w:t xml:space="preserve"> </w:t>
      </w:r>
      <w:r w:rsidR="00426D2D">
        <w:t>a significant decrease in demand</w:t>
      </w:r>
      <w:r w:rsidR="00221007">
        <w:t xml:space="preserve"> or </w:t>
      </w:r>
      <w:r w:rsidR="0034671D">
        <w:t xml:space="preserve">major equipment </w:t>
      </w:r>
      <w:r w:rsidR="00CD5765">
        <w:t>failure</w:t>
      </w:r>
      <w:r w:rsidR="00426D2D">
        <w:t>.</w:t>
      </w:r>
      <w:r w:rsidR="00C023CE">
        <w:t xml:space="preserve"> </w:t>
      </w:r>
      <w:r w:rsidR="00992DEC">
        <w:t>I</w:t>
      </w:r>
      <w:r w:rsidR="00C023CE">
        <w:t xml:space="preserve">mpairment </w:t>
      </w:r>
      <w:r w:rsidR="00992DEC">
        <w:t>can occur in in conjunction with depreciation and amortisation</w:t>
      </w:r>
      <w:r w:rsidR="00992DEC" w:rsidRPr="00ED7B36">
        <w:t xml:space="preserve"> </w:t>
      </w:r>
      <w:r w:rsidR="00C023CE" w:rsidRPr="00ED7B36">
        <w:t xml:space="preserve">and </w:t>
      </w:r>
      <w:r w:rsidR="008A28EE" w:rsidRPr="00ED7B36">
        <w:t>ha</w:t>
      </w:r>
      <w:r w:rsidR="00992DEC">
        <w:t>s</w:t>
      </w:r>
      <w:r w:rsidR="008A28EE" w:rsidRPr="00ED7B36">
        <w:t xml:space="preserve"> the effect of reducing </w:t>
      </w:r>
      <w:r w:rsidR="00D42408" w:rsidRPr="00ED7B36">
        <w:t>the useful life</w:t>
      </w:r>
      <w:r w:rsidR="00992DEC">
        <w:t xml:space="preserve"> of the asset</w:t>
      </w:r>
      <w:r w:rsidR="00D42408" w:rsidRPr="00ED7B36">
        <w:t>.</w:t>
      </w:r>
      <w:r w:rsidR="00426D2D">
        <w:t xml:space="preserve"> </w:t>
      </w:r>
    </w:p>
    <w:p w14:paraId="7141E7D9" w14:textId="6CE9B271" w:rsidR="00375A14" w:rsidRPr="00265E6F" w:rsidRDefault="00375A14" w:rsidP="00375A14">
      <w:pPr>
        <w:spacing w:after="0"/>
        <w:rPr>
          <w:rStyle w:val="Heading4Char"/>
          <w:u w:val="single"/>
        </w:rPr>
      </w:pPr>
      <w:r w:rsidRPr="00265E6F">
        <w:rPr>
          <w:rStyle w:val="Heading4Char"/>
          <w:u w:val="single"/>
        </w:rPr>
        <w:t>Prior period adjustments</w:t>
      </w:r>
    </w:p>
    <w:p w14:paraId="636B9E0C" w14:textId="2F463A84" w:rsidR="00375A14" w:rsidRDefault="00375A14">
      <w:r w:rsidRPr="002C3F0B">
        <w:t xml:space="preserve">Prior period adjustments </w:t>
      </w:r>
      <w:r w:rsidR="002C3F0B">
        <w:t xml:space="preserve">are allowed under the guidelines to ensure that the financial information </w:t>
      </w:r>
      <w:proofErr w:type="spellStart"/>
      <w:r w:rsidR="002C3F0B">
        <w:t>provide</w:t>
      </w:r>
      <w:proofErr w:type="spellEnd"/>
      <w:r w:rsidR="002C3F0B">
        <w:t xml:space="preserve"> by the Facility is accurate and in line with the latest </w:t>
      </w:r>
      <w:r w:rsidR="00C97530">
        <w:t>accounting standards</w:t>
      </w:r>
      <w:r w:rsidR="00D8522F">
        <w:t>. There is a requirement for the</w:t>
      </w:r>
      <w:r w:rsidR="000E05BE">
        <w:t>se adjustments</w:t>
      </w:r>
      <w:r w:rsidR="00C97530">
        <w:t xml:space="preserve"> to be consistent with </w:t>
      </w:r>
      <w:r w:rsidRPr="002C3F0B">
        <w:t>the audited financial statements of the relevant entity for the financial period being evaluate</w:t>
      </w:r>
      <w:r w:rsidR="00C97530">
        <w:t>d to ensure th</w:t>
      </w:r>
      <w:r w:rsidR="00466E74">
        <w:t xml:space="preserve">ey </w:t>
      </w:r>
      <w:r w:rsidR="00C97530">
        <w:t xml:space="preserve">are not made for the purpose of securing a TEBA determination. </w:t>
      </w:r>
    </w:p>
    <w:p w14:paraId="76DFB341" w14:textId="00243749" w:rsidR="008A7913" w:rsidRPr="007049C3" w:rsidRDefault="008A7913" w:rsidP="001043A9">
      <w:pPr>
        <w:pStyle w:val="Heading3"/>
        <w:rPr>
          <w:b/>
          <w:bCs/>
          <w:color w:val="2F5496" w:themeColor="accent1" w:themeShade="BF"/>
          <w:sz w:val="26"/>
          <w:szCs w:val="26"/>
        </w:rPr>
      </w:pPr>
      <w:r w:rsidRPr="001043A9">
        <w:rPr>
          <w:b/>
          <w:bCs/>
          <w:u w:val="single"/>
        </w:rPr>
        <w:t>Accelerated Depreciation</w:t>
      </w:r>
      <w:r w:rsidRPr="007049C3">
        <w:rPr>
          <w:b/>
          <w:bCs/>
          <w:color w:val="2F5496" w:themeColor="accent1" w:themeShade="BF"/>
          <w:sz w:val="26"/>
          <w:szCs w:val="26"/>
        </w:rPr>
        <w:t xml:space="preserve"> </w:t>
      </w:r>
    </w:p>
    <w:p w14:paraId="67E6451F" w14:textId="164EA1F6" w:rsidR="00180661" w:rsidRPr="00556A63" w:rsidRDefault="00C31719" w:rsidP="00AB03FE">
      <w:r>
        <w:rPr>
          <w:color w:val="000000"/>
          <w:shd w:val="clear" w:color="auto" w:fill="FFFFFF"/>
        </w:rPr>
        <w:t>Subsection 37(5) of the Safeguard Rule provides for use of accelerated depreciation</w:t>
      </w:r>
      <w:r w:rsidR="00E3289B">
        <w:rPr>
          <w:color w:val="000000"/>
          <w:shd w:val="clear" w:color="auto" w:fill="FFFFFF"/>
        </w:rPr>
        <w:t xml:space="preserve"> whereby the</w:t>
      </w:r>
      <w:r w:rsidR="00D96A16">
        <w:rPr>
          <w:color w:val="000000"/>
          <w:shd w:val="clear" w:color="auto" w:fill="FFFFFF"/>
        </w:rPr>
        <w:t xml:space="preserve"> normal yearly depreciation </w:t>
      </w:r>
      <w:r w:rsidR="00180661">
        <w:rPr>
          <w:color w:val="000000"/>
          <w:shd w:val="clear" w:color="auto" w:fill="FFFFFF"/>
        </w:rPr>
        <w:t>amount</w:t>
      </w:r>
      <w:r w:rsidR="00D96A16">
        <w:rPr>
          <w:color w:val="000000"/>
          <w:shd w:val="clear" w:color="auto" w:fill="FFFFFF"/>
        </w:rPr>
        <w:t xml:space="preserve"> for an asset is multiplied by an accelerated depreciation factor</w:t>
      </w:r>
      <w:r>
        <w:rPr>
          <w:color w:val="000000"/>
          <w:shd w:val="clear" w:color="auto" w:fill="FFFFFF"/>
        </w:rPr>
        <w:t>.</w:t>
      </w:r>
      <w:r w:rsidR="00D96A16">
        <w:rPr>
          <w:color w:val="000000"/>
          <w:shd w:val="clear" w:color="auto" w:fill="FFFFFF"/>
        </w:rPr>
        <w:t xml:space="preserve"> </w:t>
      </w:r>
      <w:r w:rsidR="00D96A16">
        <w:t xml:space="preserve">This has the effect of exhausting the usable depreciation </w:t>
      </w:r>
      <w:r w:rsidR="00744D4C">
        <w:t xml:space="preserve">of an asset more </w:t>
      </w:r>
      <w:r w:rsidR="00180661">
        <w:t>quickly</w:t>
      </w:r>
      <w:r w:rsidR="00D96A16">
        <w:t xml:space="preserve">, shortening </w:t>
      </w:r>
      <w:r w:rsidR="00180661">
        <w:t>its</w:t>
      </w:r>
      <w:r w:rsidR="00D96A16">
        <w:t xml:space="preserve"> effective life from what would have been allowable under the Australian Accounting Standards.</w:t>
      </w:r>
      <w:r w:rsidR="00D96A16" w:rsidRPr="008A7913">
        <w:t xml:space="preserve"> </w:t>
      </w:r>
      <w:r w:rsidR="00556A63">
        <w:t>Accelerated depreciation arrangements will not affect the responsible emitter</w:t>
      </w:r>
      <w:r w:rsidR="00691220">
        <w:t>’</w:t>
      </w:r>
      <w:r w:rsidR="00556A63">
        <w:t>s normal financial reporting and are applied solely for the purpose of calculating EBIT for a TEBA determination.</w:t>
      </w:r>
    </w:p>
    <w:p w14:paraId="6DEA1AF6" w14:textId="3B18538C" w:rsidR="007A2B30" w:rsidRPr="00D97899" w:rsidRDefault="000A4680" w:rsidP="00AB03FE">
      <w:pPr>
        <w:rPr>
          <w:color w:val="000000"/>
          <w:shd w:val="clear" w:color="auto" w:fill="FFFFFF"/>
        </w:rPr>
      </w:pPr>
      <w:r>
        <w:rPr>
          <w:color w:val="000000"/>
          <w:shd w:val="clear" w:color="auto" w:fill="FFFFFF"/>
        </w:rPr>
        <w:t>The intention of this measure is to recognise that equipment may have a shorter effective life as industry transitions to net zero by 2050.</w:t>
      </w:r>
      <w:r w:rsidR="00D97899">
        <w:rPr>
          <w:color w:val="000000"/>
          <w:shd w:val="clear" w:color="auto" w:fill="FFFFFF"/>
        </w:rPr>
        <w:t xml:space="preserve"> </w:t>
      </w:r>
      <w:r>
        <w:rPr>
          <w:color w:val="000000"/>
          <w:shd w:val="clear" w:color="auto" w:fill="FFFFFF"/>
        </w:rPr>
        <w:t>It also reflects the capital-intensive nature of manufacturing facilities and provides an additional incentive for capital investment in these facilities, which is particularly important for activities to decarbonise production and replace existing assets with more efficient or lower emissions alternatives.</w:t>
      </w:r>
      <w:r w:rsidR="00915514">
        <w:rPr>
          <w:color w:val="000000"/>
          <w:shd w:val="clear" w:color="auto" w:fill="FFFFFF"/>
        </w:rPr>
        <w:t xml:space="preserve"> </w:t>
      </w:r>
    </w:p>
    <w:p w14:paraId="06B2E654" w14:textId="0772BA3D" w:rsidR="00AB03FE" w:rsidRPr="00915514" w:rsidRDefault="00C31719" w:rsidP="00AB03FE">
      <w:pPr>
        <w:rPr>
          <w:color w:val="000000"/>
          <w:shd w:val="clear" w:color="auto" w:fill="FFFFFF"/>
        </w:rPr>
      </w:pPr>
      <w:r>
        <w:rPr>
          <w:color w:val="000000"/>
          <w:shd w:val="clear" w:color="auto" w:fill="FFFFFF"/>
        </w:rPr>
        <w:t xml:space="preserve">Consistent with the Safeguard Rule, </w:t>
      </w:r>
      <w:r w:rsidR="00180661">
        <w:rPr>
          <w:color w:val="000000"/>
          <w:shd w:val="clear" w:color="auto" w:fill="FFFFFF"/>
        </w:rPr>
        <w:t>t</w:t>
      </w:r>
      <w:r w:rsidR="00BB678A">
        <w:rPr>
          <w:color w:val="000000"/>
          <w:shd w:val="clear" w:color="auto" w:fill="FFFFFF"/>
        </w:rPr>
        <w:t xml:space="preserve">he </w:t>
      </w:r>
      <w:r w:rsidR="00180661">
        <w:rPr>
          <w:color w:val="000000"/>
          <w:shd w:val="clear" w:color="auto" w:fill="FFFFFF"/>
        </w:rPr>
        <w:t xml:space="preserve">guidelines allow the </w:t>
      </w:r>
      <w:r w:rsidR="00BB678A">
        <w:rPr>
          <w:color w:val="000000"/>
          <w:shd w:val="clear" w:color="auto" w:fill="FFFFFF"/>
        </w:rPr>
        <w:t xml:space="preserve">responsible emitter </w:t>
      </w:r>
      <w:r w:rsidR="00180661">
        <w:rPr>
          <w:color w:val="000000"/>
          <w:shd w:val="clear" w:color="auto" w:fill="FFFFFF"/>
        </w:rPr>
        <w:t>to</w:t>
      </w:r>
      <w:r w:rsidR="00BB678A">
        <w:rPr>
          <w:color w:val="000000"/>
          <w:shd w:val="clear" w:color="auto" w:fill="FFFFFF"/>
        </w:rPr>
        <w:t xml:space="preserve"> </w:t>
      </w:r>
      <w:r>
        <w:rPr>
          <w:color w:val="000000"/>
          <w:shd w:val="clear" w:color="auto" w:fill="FFFFFF"/>
        </w:rPr>
        <w:t>apply accelerated depreciation by nominating</w:t>
      </w:r>
      <w:r w:rsidR="007A2B30">
        <w:rPr>
          <w:color w:val="000000"/>
          <w:shd w:val="clear" w:color="auto" w:fill="FFFFFF"/>
        </w:rPr>
        <w:t xml:space="preserve"> factors of 1.1 or 1.</w:t>
      </w:r>
      <w:r w:rsidR="00180661">
        <w:rPr>
          <w:color w:val="000000"/>
          <w:shd w:val="clear" w:color="auto" w:fill="FFFFFF"/>
        </w:rPr>
        <w:t xml:space="preserve">2 for each asset </w:t>
      </w:r>
      <w:r w:rsidR="00077645">
        <w:rPr>
          <w:color w:val="000000"/>
          <w:shd w:val="clear" w:color="auto" w:fill="FFFFFF"/>
        </w:rPr>
        <w:t>within their</w:t>
      </w:r>
      <w:r w:rsidR="00DB61A6">
        <w:rPr>
          <w:color w:val="000000"/>
          <w:shd w:val="clear" w:color="auto" w:fill="FFFFFF"/>
        </w:rPr>
        <w:t xml:space="preserve"> </w:t>
      </w:r>
      <w:r w:rsidR="00263BA8">
        <w:rPr>
          <w:color w:val="000000"/>
          <w:shd w:val="clear" w:color="auto" w:fill="FFFFFF"/>
        </w:rPr>
        <w:t>F</w:t>
      </w:r>
      <w:r w:rsidR="00DB61A6">
        <w:rPr>
          <w:color w:val="000000"/>
          <w:shd w:val="clear" w:color="auto" w:fill="FFFFFF"/>
        </w:rPr>
        <w:t>acility</w:t>
      </w:r>
      <w:r w:rsidR="00077645">
        <w:rPr>
          <w:color w:val="000000"/>
          <w:shd w:val="clear" w:color="auto" w:fill="FFFFFF"/>
        </w:rPr>
        <w:t>’s NGER boundary</w:t>
      </w:r>
      <w:r w:rsidR="00180661">
        <w:rPr>
          <w:color w:val="000000"/>
          <w:shd w:val="clear" w:color="auto" w:fill="FFFFFF"/>
        </w:rPr>
        <w:t>, effectively increasing the</w:t>
      </w:r>
      <w:r w:rsidR="00E9760C">
        <w:rPr>
          <w:color w:val="000000"/>
          <w:shd w:val="clear" w:color="auto" w:fill="FFFFFF"/>
        </w:rPr>
        <w:t xml:space="preserve"> yearly</w:t>
      </w:r>
      <w:r w:rsidR="00180661">
        <w:rPr>
          <w:color w:val="000000"/>
          <w:shd w:val="clear" w:color="auto" w:fill="FFFFFF"/>
        </w:rPr>
        <w:t xml:space="preserve"> depreciation </w:t>
      </w:r>
      <w:r w:rsidR="00E9760C">
        <w:rPr>
          <w:color w:val="000000"/>
          <w:shd w:val="clear" w:color="auto" w:fill="FFFFFF"/>
        </w:rPr>
        <w:t>amount</w:t>
      </w:r>
      <w:r w:rsidR="00180661">
        <w:rPr>
          <w:color w:val="000000"/>
          <w:shd w:val="clear" w:color="auto" w:fill="FFFFFF"/>
        </w:rPr>
        <w:t xml:space="preserve"> by 10 and 20%</w:t>
      </w:r>
      <w:r w:rsidR="004B31F5">
        <w:rPr>
          <w:color w:val="000000"/>
          <w:shd w:val="clear" w:color="auto" w:fill="FFFFFF"/>
        </w:rPr>
        <w:t>,</w:t>
      </w:r>
      <w:r w:rsidR="00180661">
        <w:rPr>
          <w:color w:val="000000"/>
          <w:shd w:val="clear" w:color="auto" w:fill="FFFFFF"/>
        </w:rPr>
        <w:t xml:space="preserve"> respectively</w:t>
      </w:r>
      <w:r w:rsidR="007A2B30">
        <w:rPr>
          <w:color w:val="000000"/>
          <w:shd w:val="clear" w:color="auto" w:fill="FFFFFF"/>
        </w:rPr>
        <w:t>.</w:t>
      </w:r>
      <w:r w:rsidR="00300117">
        <w:rPr>
          <w:color w:val="000000"/>
          <w:shd w:val="clear" w:color="auto" w:fill="FFFFFF"/>
        </w:rPr>
        <w:t xml:space="preserve"> </w:t>
      </w:r>
      <w:r w:rsidR="00300117">
        <w:t>The responsible emitter may also choose to not apply accelerate depreciation by selecting a depreciation factor of 1.0 for a given asset.</w:t>
      </w:r>
      <w:r w:rsidR="007A2B30">
        <w:rPr>
          <w:color w:val="000000"/>
          <w:shd w:val="clear" w:color="auto" w:fill="FFFFFF"/>
        </w:rPr>
        <w:t xml:space="preserve"> </w:t>
      </w:r>
      <w:r w:rsidR="00E93C82">
        <w:rPr>
          <w:color w:val="000000"/>
          <w:shd w:val="clear" w:color="auto" w:fill="FFFFFF"/>
        </w:rPr>
        <w:t>As the application for a TEBA determination only requires EBIT to be calculated for the first financial year,</w:t>
      </w:r>
      <w:r w:rsidR="00832024">
        <w:rPr>
          <w:color w:val="000000"/>
          <w:shd w:val="clear" w:color="auto" w:fill="FFFFFF"/>
        </w:rPr>
        <w:t xml:space="preserve"> changing the accelerated depreciation factor can consequently only be </w:t>
      </w:r>
      <w:r w:rsidR="007D2588">
        <w:rPr>
          <w:color w:val="000000"/>
          <w:shd w:val="clear" w:color="auto" w:fill="FFFFFF"/>
        </w:rPr>
        <w:t>achieved</w:t>
      </w:r>
      <w:r w:rsidR="00832024">
        <w:rPr>
          <w:color w:val="000000"/>
          <w:shd w:val="clear" w:color="auto" w:fill="FFFFFF"/>
        </w:rPr>
        <w:t xml:space="preserve"> through re-applying for a TEBA determination in a subsequent financial year.</w:t>
      </w:r>
      <w:r w:rsidR="00E93C82">
        <w:rPr>
          <w:color w:val="000000"/>
          <w:shd w:val="clear" w:color="auto" w:fill="FFFFFF"/>
        </w:rPr>
        <w:t xml:space="preserve"> </w:t>
      </w:r>
    </w:p>
    <w:p w14:paraId="5F5F4926" w14:textId="575F710D" w:rsidR="00300117" w:rsidRDefault="005647C4">
      <w:r>
        <w:t xml:space="preserve">The </w:t>
      </w:r>
      <w:r w:rsidR="005077A8">
        <w:t xml:space="preserve">guidelines require that </w:t>
      </w:r>
      <w:r w:rsidR="004B1F26">
        <w:t xml:space="preserve">the </w:t>
      </w:r>
      <w:r>
        <w:t>responsible emitter keep</w:t>
      </w:r>
      <w:r w:rsidR="004B1F26">
        <w:t>s</w:t>
      </w:r>
      <w:r>
        <w:t xml:space="preserve"> a separate </w:t>
      </w:r>
      <w:r w:rsidR="00822289">
        <w:t xml:space="preserve">depreciation </w:t>
      </w:r>
      <w:r>
        <w:t xml:space="preserve">schedule for each </w:t>
      </w:r>
      <w:r w:rsidR="00C77BC0">
        <w:t>asset</w:t>
      </w:r>
      <w:r w:rsidR="00375866">
        <w:t xml:space="preserve"> they apply accelerate</w:t>
      </w:r>
      <w:r w:rsidR="00991653">
        <w:t>d</w:t>
      </w:r>
      <w:r w:rsidR="00375866">
        <w:t xml:space="preserve"> depreciation to</w:t>
      </w:r>
      <w:r w:rsidR="00013834">
        <w:t xml:space="preserve"> (the TEBA depreciation schedule)</w:t>
      </w:r>
      <w:r w:rsidR="000B7BB6">
        <w:t xml:space="preserve"> to keep track of t</w:t>
      </w:r>
      <w:r w:rsidR="00975D4A">
        <w:t>he asset’s value</w:t>
      </w:r>
      <w:r w:rsidR="000B7BB6">
        <w:t xml:space="preserve"> consistently.</w:t>
      </w:r>
      <w:r w:rsidR="00975D4A">
        <w:t xml:space="preserve"> </w:t>
      </w:r>
      <w:r w:rsidR="000B7BB6">
        <w:t xml:space="preserve">This </w:t>
      </w:r>
      <w:r w:rsidR="00975D4A">
        <w:t>ensure</w:t>
      </w:r>
      <w:r w:rsidR="000B7BB6">
        <w:t>s</w:t>
      </w:r>
      <w:r w:rsidR="00975D4A">
        <w:t xml:space="preserve"> that if the responsible emitter chooses to re-apply for a TEBA determination, the asset </w:t>
      </w:r>
      <w:r w:rsidR="000B7BB6">
        <w:t>value</w:t>
      </w:r>
      <w:r w:rsidR="00451DA8">
        <w:t xml:space="preserve"> </w:t>
      </w:r>
      <w:r w:rsidR="00E146FA">
        <w:t xml:space="preserve">does not </w:t>
      </w:r>
      <w:r w:rsidR="00451DA8">
        <w:t>revert t</w:t>
      </w:r>
      <w:r w:rsidR="004D14F1">
        <w:t xml:space="preserve">o the </w:t>
      </w:r>
      <w:r w:rsidR="00033D47">
        <w:t xml:space="preserve">higher </w:t>
      </w:r>
      <w:r w:rsidR="004D14F1">
        <w:t xml:space="preserve">value used for </w:t>
      </w:r>
      <w:r w:rsidR="00451DA8">
        <w:t>t</w:t>
      </w:r>
      <w:r w:rsidR="0005373C">
        <w:t>he</w:t>
      </w:r>
      <w:r w:rsidR="004D14F1">
        <w:t xml:space="preserve"> </w:t>
      </w:r>
      <w:r w:rsidR="00263BA8">
        <w:t>F</w:t>
      </w:r>
      <w:r w:rsidR="004D14F1">
        <w:t>acility’s normal financial reporting obligations</w:t>
      </w:r>
      <w:r w:rsidR="00E933CC">
        <w:t xml:space="preserve"> which do</w:t>
      </w:r>
      <w:r w:rsidR="00CD35EB">
        <w:t>es</w:t>
      </w:r>
      <w:r w:rsidR="00E933CC">
        <w:t xml:space="preserve"> not apply accelerated depreciation</w:t>
      </w:r>
      <w:r w:rsidR="004D14F1">
        <w:t>.</w:t>
      </w:r>
      <w:r w:rsidR="00E933CC">
        <w:t xml:space="preserve"> This prevents </w:t>
      </w:r>
      <w:r w:rsidR="00125720">
        <w:t>the</w:t>
      </w:r>
      <w:r w:rsidR="00E933CC">
        <w:t xml:space="preserve"> assets </w:t>
      </w:r>
      <w:r w:rsidR="00B72854">
        <w:t xml:space="preserve">being </w:t>
      </w:r>
      <w:r w:rsidR="00A80EB0">
        <w:t>overvalued</w:t>
      </w:r>
      <w:r w:rsidR="00E933CC">
        <w:t>.</w:t>
      </w:r>
      <w:r w:rsidR="004D14F1">
        <w:t xml:space="preserve"> </w:t>
      </w:r>
    </w:p>
    <w:p w14:paraId="001FBBE3" w14:textId="408CF8E9" w:rsidR="00806304" w:rsidRDefault="00376D8F" w:rsidP="00C04196">
      <w:r>
        <w:t>Th</w:t>
      </w:r>
      <w:r w:rsidR="00013834">
        <w:t xml:space="preserve">e </w:t>
      </w:r>
      <w:r w:rsidR="00E933CC">
        <w:t>guidelines</w:t>
      </w:r>
      <w:r w:rsidR="00556A63">
        <w:t xml:space="preserve"> also</w:t>
      </w:r>
      <w:r w:rsidR="00E933CC">
        <w:t xml:space="preserve"> require that a </w:t>
      </w:r>
      <w:r w:rsidR="00013834">
        <w:t>TEBA depreciation</w:t>
      </w:r>
      <w:r>
        <w:t xml:space="preserve"> schedule appl</w:t>
      </w:r>
      <w:r w:rsidR="00E933CC">
        <w:t xml:space="preserve">ies </w:t>
      </w:r>
      <w:r w:rsidR="00212364">
        <w:t>the</w:t>
      </w:r>
      <w:r>
        <w:t xml:space="preserve"> same </w:t>
      </w:r>
      <w:r w:rsidR="00D770DD">
        <w:t xml:space="preserve">accelerated </w:t>
      </w:r>
      <w:r>
        <w:t>depreciation</w:t>
      </w:r>
      <w:r w:rsidR="00B96626">
        <w:t xml:space="preserve"> facto</w:t>
      </w:r>
      <w:r w:rsidR="00643DD7">
        <w:t>r</w:t>
      </w:r>
      <w:r w:rsidR="0008157B">
        <w:t xml:space="preserve"> during and following the TEBA determination</w:t>
      </w:r>
      <w:r w:rsidR="00D770DD">
        <w:t xml:space="preserve"> period</w:t>
      </w:r>
      <w:r w:rsidR="00741741">
        <w:t xml:space="preserve"> (unless changed in a subsequent determination)</w:t>
      </w:r>
      <w:r w:rsidR="00556A63">
        <w:t>, rather than revert to a factor of 1.0</w:t>
      </w:r>
      <w:r w:rsidR="00D770DD">
        <w:t>.</w:t>
      </w:r>
      <w:r w:rsidR="00865A72">
        <w:t xml:space="preserve"> This </w:t>
      </w:r>
      <w:r w:rsidR="00912A67">
        <w:t xml:space="preserve">is logically consistent with the choice to apply accelerated depreciation, as the circumstances for which accelerated depreciation is allowed under the scheme are likely to persist into the </w:t>
      </w:r>
      <w:r w:rsidR="006922E4">
        <w:t xml:space="preserve">near </w:t>
      </w:r>
      <w:r w:rsidR="00912A67">
        <w:t>future.</w:t>
      </w:r>
      <w:r w:rsidR="00AE2E9E">
        <w:t xml:space="preserve"> </w:t>
      </w:r>
    </w:p>
    <w:sectPr w:rsidR="00806304" w:rsidSect="007137E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EABA" w14:textId="77777777" w:rsidR="007137E7" w:rsidRDefault="007137E7" w:rsidP="00C112D2">
      <w:pPr>
        <w:spacing w:after="0" w:line="240" w:lineRule="auto"/>
      </w:pPr>
      <w:r>
        <w:separator/>
      </w:r>
    </w:p>
  </w:endnote>
  <w:endnote w:type="continuationSeparator" w:id="0">
    <w:p w14:paraId="62141409" w14:textId="77777777" w:rsidR="007137E7" w:rsidRDefault="007137E7" w:rsidP="00C112D2">
      <w:pPr>
        <w:spacing w:after="0" w:line="240" w:lineRule="auto"/>
      </w:pPr>
      <w:r>
        <w:continuationSeparator/>
      </w:r>
    </w:p>
  </w:endnote>
  <w:endnote w:type="continuationNotice" w:id="1">
    <w:p w14:paraId="50412612" w14:textId="77777777" w:rsidR="007137E7" w:rsidRDefault="00713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40530"/>
      <w:docPartObj>
        <w:docPartGallery w:val="Page Numbers (Bottom of Page)"/>
        <w:docPartUnique/>
      </w:docPartObj>
    </w:sdtPr>
    <w:sdtEndPr>
      <w:rPr>
        <w:noProof/>
      </w:rPr>
    </w:sdtEndPr>
    <w:sdtContent>
      <w:p w14:paraId="1A482013" w14:textId="77777777" w:rsidR="00EB30FC" w:rsidRPr="00EB30FC" w:rsidRDefault="00EB30FC" w:rsidP="00A611D8">
        <w:pPr>
          <w:pStyle w:val="Footer"/>
          <w:jc w:val="center"/>
          <w:rPr>
            <w:sz w:val="10"/>
            <w:szCs w:val="10"/>
          </w:rPr>
        </w:pPr>
      </w:p>
      <w:p w14:paraId="30722645" w14:textId="1B90BA4F" w:rsidR="00A611D8" w:rsidRDefault="00A611D8" w:rsidP="00A611D8">
        <w:pPr>
          <w:pStyle w:val="Footer"/>
          <w:jc w:val="center"/>
        </w:pPr>
        <w:r w:rsidRPr="00D86640">
          <w:t>Department of Climate Change, Energy, the Environment and Water</w:t>
        </w:r>
      </w:p>
      <w:p w14:paraId="266D17B8" w14:textId="51E3EFC4" w:rsidR="00A611D8" w:rsidRDefault="00A611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CFB76" w14:textId="77777777" w:rsidR="00A611D8" w:rsidRDefault="00A61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709989"/>
      <w:docPartObj>
        <w:docPartGallery w:val="Page Numbers (Bottom of Page)"/>
        <w:docPartUnique/>
      </w:docPartObj>
    </w:sdtPr>
    <w:sdtEndPr>
      <w:rPr>
        <w:noProof/>
      </w:rPr>
    </w:sdtEndPr>
    <w:sdtContent>
      <w:p w14:paraId="574B7645" w14:textId="4936D8D7" w:rsidR="00E52F9D" w:rsidRDefault="00E52F9D" w:rsidP="00E52F9D">
        <w:pPr>
          <w:pStyle w:val="Footer"/>
          <w:jc w:val="center"/>
        </w:pPr>
        <w:r w:rsidRPr="00D86640">
          <w:t>Department of Climate Change, Energy, the Environment and Water</w:t>
        </w:r>
      </w:p>
      <w:p w14:paraId="72388058" w14:textId="0566E428" w:rsidR="00E379A3" w:rsidRDefault="00E379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BAB3BE" w14:textId="77777777" w:rsidR="00450203" w:rsidRDefault="0045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A03E" w14:textId="77777777" w:rsidR="007137E7" w:rsidRDefault="007137E7" w:rsidP="00C112D2">
      <w:pPr>
        <w:spacing w:after="0" w:line="240" w:lineRule="auto"/>
      </w:pPr>
      <w:r>
        <w:separator/>
      </w:r>
    </w:p>
  </w:footnote>
  <w:footnote w:type="continuationSeparator" w:id="0">
    <w:p w14:paraId="0F4A82F7" w14:textId="77777777" w:rsidR="007137E7" w:rsidRDefault="007137E7" w:rsidP="00C112D2">
      <w:pPr>
        <w:spacing w:after="0" w:line="240" w:lineRule="auto"/>
      </w:pPr>
      <w:r>
        <w:continuationSeparator/>
      </w:r>
    </w:p>
  </w:footnote>
  <w:footnote w:type="continuationNotice" w:id="1">
    <w:p w14:paraId="62630669" w14:textId="77777777" w:rsidR="007137E7" w:rsidRDefault="007137E7">
      <w:pPr>
        <w:spacing w:after="0" w:line="240" w:lineRule="auto"/>
      </w:pPr>
    </w:p>
  </w:footnote>
  <w:footnote w:id="2">
    <w:p w14:paraId="6A2070D3" w14:textId="4D4A41B7" w:rsidR="00B86E22" w:rsidRDefault="00B92828" w:rsidP="00E52F9D">
      <w:pPr>
        <w:pStyle w:val="FootnoteText"/>
        <w:rPr>
          <w:color w:val="000000"/>
          <w:sz w:val="18"/>
          <w:szCs w:val="18"/>
        </w:rPr>
      </w:pPr>
      <w:r>
        <w:rPr>
          <w:rStyle w:val="FootnoteReference"/>
        </w:rPr>
        <w:footnoteRef/>
      </w:r>
      <w:r>
        <w:t xml:space="preserve"> </w:t>
      </w:r>
      <w:r>
        <w:rPr>
          <w:color w:val="000000"/>
          <w:sz w:val="22"/>
          <w:szCs w:val="22"/>
        </w:rPr>
        <w:t> </w:t>
      </w:r>
      <w:r w:rsidRPr="00895716">
        <w:rPr>
          <w:color w:val="000000"/>
          <w:sz w:val="18"/>
          <w:szCs w:val="18"/>
        </w:rPr>
        <w:t>A trad</w:t>
      </w:r>
      <w:r w:rsidR="00895716" w:rsidRPr="00895716">
        <w:rPr>
          <w:color w:val="000000"/>
          <w:sz w:val="18"/>
          <w:szCs w:val="18"/>
        </w:rPr>
        <w:t>e</w:t>
      </w:r>
      <w:r w:rsidRPr="00895716">
        <w:rPr>
          <w:color w:val="000000"/>
          <w:sz w:val="18"/>
          <w:szCs w:val="18"/>
        </w:rPr>
        <w:t xml:space="preserve">-exposed </w:t>
      </w:r>
      <w:r w:rsidR="0008020A">
        <w:rPr>
          <w:color w:val="000000"/>
          <w:sz w:val="18"/>
          <w:szCs w:val="18"/>
        </w:rPr>
        <w:t>F</w:t>
      </w:r>
      <w:r w:rsidRPr="00895716">
        <w:rPr>
          <w:color w:val="000000"/>
          <w:sz w:val="18"/>
          <w:szCs w:val="18"/>
        </w:rPr>
        <w:t>acility is a facility whose primary production variable in the first financial year is a trade</w:t>
      </w:r>
      <w:r w:rsidRPr="00895716">
        <w:rPr>
          <w:color w:val="000000"/>
          <w:sz w:val="18"/>
          <w:szCs w:val="18"/>
        </w:rPr>
        <w:noBreakHyphen/>
        <w:t>exposed production variable</w:t>
      </w:r>
      <w:r w:rsidR="00C52C99">
        <w:rPr>
          <w:color w:val="000000"/>
          <w:sz w:val="18"/>
          <w:szCs w:val="18"/>
        </w:rPr>
        <w:t>.</w:t>
      </w:r>
      <w:r w:rsidR="00AB2649" w:rsidRPr="00AB2649">
        <w:rPr>
          <w:color w:val="000000"/>
          <w:sz w:val="18"/>
          <w:szCs w:val="18"/>
        </w:rPr>
        <w:t xml:space="preserve"> </w:t>
      </w:r>
      <w:r w:rsidR="00AB2649" w:rsidRPr="000261F4">
        <w:rPr>
          <w:color w:val="000000"/>
          <w:sz w:val="18"/>
          <w:szCs w:val="18"/>
        </w:rPr>
        <w:t>The term “Facility” is used to indicate a facility that is applying for a TEBA determination, rather than a general use of the term and is consistent with its application in the EBIT Guidelines document.</w:t>
      </w:r>
    </w:p>
    <w:p w14:paraId="7250B93D" w14:textId="77777777" w:rsidR="00E52F9D" w:rsidRPr="00E52F9D" w:rsidRDefault="00E52F9D" w:rsidP="00E52F9D">
      <w:pPr>
        <w:pStyle w:val="FootnoteText"/>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5E10" w14:textId="221DF7C7" w:rsidR="00964457" w:rsidRPr="00964457" w:rsidRDefault="00964457" w:rsidP="00964457">
    <w:pPr>
      <w:pStyle w:val="Heading1"/>
      <w:spacing w:before="0" w:after="240"/>
      <w:jc w:val="center"/>
      <w:rPr>
        <w:rFonts w:asciiTheme="minorHAnsi" w:hAnsiTheme="minorHAnsi" w:cstheme="minorHAnsi"/>
        <w:color w:val="000000" w:themeColor="text1"/>
        <w:sz w:val="22"/>
        <w:szCs w:val="22"/>
      </w:rPr>
    </w:pPr>
    <w:r w:rsidRPr="00964457">
      <w:rPr>
        <w:rStyle w:val="normaltextrun"/>
        <w:rFonts w:asciiTheme="minorHAnsi" w:hAnsiTheme="minorHAnsi" w:cstheme="minorHAnsi"/>
        <w:color w:val="000000" w:themeColor="text1"/>
        <w:sz w:val="22"/>
        <w:szCs w:val="22"/>
      </w:rPr>
      <w:t>Draft Earnings Before Interest and Tax Guidelines Explanatory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05E2" w14:textId="7B5F5D98" w:rsidR="00450203" w:rsidRDefault="00EB30FC" w:rsidP="00450203">
    <w:pPr>
      <w:pStyle w:val="Header"/>
      <w:jc w:val="center"/>
      <w:rPr>
        <w:b/>
        <w:bCs/>
        <w:color w:val="FF0000"/>
      </w:rPr>
    </w:pPr>
    <w:r w:rsidRPr="003B56AB">
      <w:rPr>
        <w:rStyle w:val="Hyperlink"/>
        <w:b/>
        <w:bCs/>
        <w:noProof/>
      </w:rPr>
      <w:drawing>
        <wp:anchor distT="0" distB="0" distL="114300" distR="114300" simplePos="0" relativeHeight="251661312" behindDoc="1" locked="0" layoutInCell="1" allowOverlap="1" wp14:anchorId="149689FB" wp14:editId="1EB1D6A9">
          <wp:simplePos x="0" y="0"/>
          <wp:positionH relativeFrom="margin">
            <wp:posOffset>-104775</wp:posOffset>
          </wp:positionH>
          <wp:positionV relativeFrom="paragraph">
            <wp:posOffset>85090</wp:posOffset>
          </wp:positionV>
          <wp:extent cx="2933065" cy="761365"/>
          <wp:effectExtent l="0" t="0" r="635" b="635"/>
          <wp:wrapTight wrapText="bothSides">
            <wp:wrapPolygon edited="0">
              <wp:start x="0" y="0"/>
              <wp:lineTo x="0" y="21078"/>
              <wp:lineTo x="21464" y="21078"/>
              <wp:lineTo x="21464" y="0"/>
              <wp:lineTo x="0" y="0"/>
            </wp:wrapPolygon>
          </wp:wrapTight>
          <wp:docPr id="313487034" name="Picture 313487034"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59753" name="Picture 1"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3065" cy="761365"/>
                  </a:xfrm>
                  <a:prstGeom prst="rect">
                    <a:avLst/>
                  </a:prstGeom>
                </pic:spPr>
              </pic:pic>
            </a:graphicData>
          </a:graphic>
          <wp14:sizeRelH relativeFrom="margin">
            <wp14:pctWidth>0</wp14:pctWidth>
          </wp14:sizeRelH>
          <wp14:sizeRelV relativeFrom="margin">
            <wp14:pctHeight>0</wp14:pctHeight>
          </wp14:sizeRelV>
        </wp:anchor>
      </w:drawing>
    </w:r>
  </w:p>
  <w:p w14:paraId="43BA2BB6" w14:textId="657EAC82" w:rsidR="00450203" w:rsidRDefault="00450203" w:rsidP="00450203">
    <w:pPr>
      <w:pStyle w:val="Header"/>
      <w:jc w:val="center"/>
      <w:rPr>
        <w:b/>
        <w:bCs/>
        <w:color w:val="FF0000"/>
      </w:rPr>
    </w:pPr>
  </w:p>
  <w:p w14:paraId="034994F3" w14:textId="0DE660B9" w:rsidR="00FE3FC0" w:rsidRPr="00450203" w:rsidRDefault="00FE3FC0" w:rsidP="00450203">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233B"/>
    <w:multiLevelType w:val="hybridMultilevel"/>
    <w:tmpl w:val="77D6ED0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4A7A7849"/>
    <w:multiLevelType w:val="hybridMultilevel"/>
    <w:tmpl w:val="D76A764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524D2548"/>
    <w:multiLevelType w:val="hybridMultilevel"/>
    <w:tmpl w:val="FCF4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A33087"/>
    <w:multiLevelType w:val="multilevel"/>
    <w:tmpl w:val="8A9E30E8"/>
    <w:lvl w:ilvl="0">
      <w:start w:val="1"/>
      <w:numFmt w:val="decimal"/>
      <w:lvlText w:val="%1."/>
      <w:lvlJc w:val="left"/>
      <w:pPr>
        <w:ind w:left="360" w:hanging="360"/>
      </w:pPr>
      <w:rPr>
        <w:rFonts w:ascii="Calibri Light" w:hAnsi="Calibri Light" w:cs="Calibri Light" w:hint="default"/>
        <w:b/>
        <w:color w:val="006666"/>
        <w:sz w:val="26"/>
      </w:rPr>
    </w:lvl>
    <w:lvl w:ilvl="1">
      <w:start w:val="1"/>
      <w:numFmt w:val="decimal"/>
      <w:isLgl/>
      <w:lvlText w:val="%1.%2"/>
      <w:lvlJc w:val="left"/>
      <w:pPr>
        <w:ind w:left="360" w:hanging="360"/>
      </w:pPr>
      <w:rPr>
        <w:rFonts w:hint="default"/>
        <w:b/>
        <w:bCs/>
        <w:i w:val="0"/>
        <w:iCs w:val="0"/>
        <w:sz w:val="22"/>
        <w:szCs w:val="22"/>
      </w:rPr>
    </w:lvl>
    <w:lvl w:ilvl="2">
      <w:start w:val="1"/>
      <w:numFmt w:val="decimal"/>
      <w:isLgl/>
      <w:lvlText w:val="%1.%2.%3"/>
      <w:lvlJc w:val="left"/>
      <w:pPr>
        <w:ind w:left="720" w:hanging="720"/>
      </w:pPr>
      <w:rPr>
        <w:rFonts w:hint="default"/>
        <w:b w:val="0"/>
        <w:bCs w:val="0"/>
        <w:sz w:val="22"/>
        <w:szCs w:val="22"/>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E9927CA"/>
    <w:multiLevelType w:val="hybridMultilevel"/>
    <w:tmpl w:val="49A6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8273339">
    <w:abstractNumId w:val="1"/>
  </w:num>
  <w:num w:numId="2" w16cid:durableId="1892036142">
    <w:abstractNumId w:val="2"/>
  </w:num>
  <w:num w:numId="3" w16cid:durableId="1279414769">
    <w:abstractNumId w:val="3"/>
  </w:num>
  <w:num w:numId="4" w16cid:durableId="1590892924">
    <w:abstractNumId w:val="4"/>
  </w:num>
  <w:num w:numId="5" w16cid:durableId="106564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94"/>
    <w:rsid w:val="00001FEE"/>
    <w:rsid w:val="00003C4C"/>
    <w:rsid w:val="00005135"/>
    <w:rsid w:val="00013834"/>
    <w:rsid w:val="00022BE9"/>
    <w:rsid w:val="00024907"/>
    <w:rsid w:val="00024B85"/>
    <w:rsid w:val="000256B4"/>
    <w:rsid w:val="000261F4"/>
    <w:rsid w:val="00030208"/>
    <w:rsid w:val="0003033C"/>
    <w:rsid w:val="00030AC7"/>
    <w:rsid w:val="00031F1D"/>
    <w:rsid w:val="0003229F"/>
    <w:rsid w:val="00033D47"/>
    <w:rsid w:val="0003547A"/>
    <w:rsid w:val="00035C7E"/>
    <w:rsid w:val="0003640E"/>
    <w:rsid w:val="000462D5"/>
    <w:rsid w:val="000502F4"/>
    <w:rsid w:val="00050404"/>
    <w:rsid w:val="0005373C"/>
    <w:rsid w:val="00054C9D"/>
    <w:rsid w:val="00054D35"/>
    <w:rsid w:val="00055DA3"/>
    <w:rsid w:val="00055FAF"/>
    <w:rsid w:val="00067CF0"/>
    <w:rsid w:val="00067D51"/>
    <w:rsid w:val="00071375"/>
    <w:rsid w:val="00071730"/>
    <w:rsid w:val="0007385D"/>
    <w:rsid w:val="00073BE8"/>
    <w:rsid w:val="00076BC0"/>
    <w:rsid w:val="00076E83"/>
    <w:rsid w:val="00077645"/>
    <w:rsid w:val="0008020A"/>
    <w:rsid w:val="0008157B"/>
    <w:rsid w:val="00087A16"/>
    <w:rsid w:val="0009179F"/>
    <w:rsid w:val="00093089"/>
    <w:rsid w:val="000A4680"/>
    <w:rsid w:val="000B4B1F"/>
    <w:rsid w:val="000B7BB6"/>
    <w:rsid w:val="000C2F17"/>
    <w:rsid w:val="000C76CC"/>
    <w:rsid w:val="000C7AAE"/>
    <w:rsid w:val="000C7DA8"/>
    <w:rsid w:val="000D1197"/>
    <w:rsid w:val="000D4720"/>
    <w:rsid w:val="000E05BE"/>
    <w:rsid w:val="000E1120"/>
    <w:rsid w:val="000E3C16"/>
    <w:rsid w:val="000E7581"/>
    <w:rsid w:val="00102B1F"/>
    <w:rsid w:val="001043A9"/>
    <w:rsid w:val="001051BA"/>
    <w:rsid w:val="00106425"/>
    <w:rsid w:val="001123A6"/>
    <w:rsid w:val="001158D7"/>
    <w:rsid w:val="00123B89"/>
    <w:rsid w:val="001246FE"/>
    <w:rsid w:val="00125720"/>
    <w:rsid w:val="00126408"/>
    <w:rsid w:val="00126E75"/>
    <w:rsid w:val="00126ED0"/>
    <w:rsid w:val="0013455E"/>
    <w:rsid w:val="00136D3D"/>
    <w:rsid w:val="00143F3F"/>
    <w:rsid w:val="00151D44"/>
    <w:rsid w:val="00151FC6"/>
    <w:rsid w:val="001578A3"/>
    <w:rsid w:val="00165B75"/>
    <w:rsid w:val="00174A1C"/>
    <w:rsid w:val="00180661"/>
    <w:rsid w:val="00191483"/>
    <w:rsid w:val="001A2066"/>
    <w:rsid w:val="001A227A"/>
    <w:rsid w:val="001A6686"/>
    <w:rsid w:val="001A734C"/>
    <w:rsid w:val="001B10DD"/>
    <w:rsid w:val="001B5D69"/>
    <w:rsid w:val="001C0A09"/>
    <w:rsid w:val="001C1F09"/>
    <w:rsid w:val="001C2A0B"/>
    <w:rsid w:val="001C4A53"/>
    <w:rsid w:val="001C5768"/>
    <w:rsid w:val="001D144C"/>
    <w:rsid w:val="001D3659"/>
    <w:rsid w:val="001D3AAC"/>
    <w:rsid w:val="001D423B"/>
    <w:rsid w:val="001D540E"/>
    <w:rsid w:val="001E396A"/>
    <w:rsid w:val="001F2996"/>
    <w:rsid w:val="001F31FB"/>
    <w:rsid w:val="00200132"/>
    <w:rsid w:val="00206861"/>
    <w:rsid w:val="00212364"/>
    <w:rsid w:val="00214B71"/>
    <w:rsid w:val="00215211"/>
    <w:rsid w:val="00215980"/>
    <w:rsid w:val="00217163"/>
    <w:rsid w:val="0021723A"/>
    <w:rsid w:val="00221007"/>
    <w:rsid w:val="002234E6"/>
    <w:rsid w:val="00224D7D"/>
    <w:rsid w:val="002262FA"/>
    <w:rsid w:val="00227F2A"/>
    <w:rsid w:val="00231B10"/>
    <w:rsid w:val="00232205"/>
    <w:rsid w:val="0023552E"/>
    <w:rsid w:val="00237F7C"/>
    <w:rsid w:val="00241F96"/>
    <w:rsid w:val="00243C42"/>
    <w:rsid w:val="00247ED4"/>
    <w:rsid w:val="00251373"/>
    <w:rsid w:val="00252A58"/>
    <w:rsid w:val="002555C7"/>
    <w:rsid w:val="00255B1D"/>
    <w:rsid w:val="0026099F"/>
    <w:rsid w:val="00263BA8"/>
    <w:rsid w:val="00265169"/>
    <w:rsid w:val="00265E6F"/>
    <w:rsid w:val="0027088F"/>
    <w:rsid w:val="00273947"/>
    <w:rsid w:val="002766C1"/>
    <w:rsid w:val="002768C0"/>
    <w:rsid w:val="0028091A"/>
    <w:rsid w:val="0028139F"/>
    <w:rsid w:val="00292B43"/>
    <w:rsid w:val="00293073"/>
    <w:rsid w:val="00294CE8"/>
    <w:rsid w:val="00295C7C"/>
    <w:rsid w:val="002A2796"/>
    <w:rsid w:val="002A3216"/>
    <w:rsid w:val="002A6403"/>
    <w:rsid w:val="002A6E08"/>
    <w:rsid w:val="002A7ED2"/>
    <w:rsid w:val="002B0971"/>
    <w:rsid w:val="002B1E9D"/>
    <w:rsid w:val="002B2F6C"/>
    <w:rsid w:val="002C0B15"/>
    <w:rsid w:val="002C0C38"/>
    <w:rsid w:val="002C33AE"/>
    <w:rsid w:val="002C3F0B"/>
    <w:rsid w:val="002C5318"/>
    <w:rsid w:val="002D1958"/>
    <w:rsid w:val="002D6FDA"/>
    <w:rsid w:val="002D7E43"/>
    <w:rsid w:val="002E0067"/>
    <w:rsid w:val="002F27B4"/>
    <w:rsid w:val="002F6483"/>
    <w:rsid w:val="00300117"/>
    <w:rsid w:val="003044D7"/>
    <w:rsid w:val="0030583D"/>
    <w:rsid w:val="003059B1"/>
    <w:rsid w:val="00305E23"/>
    <w:rsid w:val="0030613C"/>
    <w:rsid w:val="00314283"/>
    <w:rsid w:val="0031497B"/>
    <w:rsid w:val="00330D12"/>
    <w:rsid w:val="00337843"/>
    <w:rsid w:val="00337F52"/>
    <w:rsid w:val="00340CAD"/>
    <w:rsid w:val="00341655"/>
    <w:rsid w:val="0034671D"/>
    <w:rsid w:val="00352645"/>
    <w:rsid w:val="00352CFD"/>
    <w:rsid w:val="00352FCB"/>
    <w:rsid w:val="00356EC3"/>
    <w:rsid w:val="0036336D"/>
    <w:rsid w:val="0036342A"/>
    <w:rsid w:val="0036571E"/>
    <w:rsid w:val="00366F89"/>
    <w:rsid w:val="00371704"/>
    <w:rsid w:val="00375866"/>
    <w:rsid w:val="00375A14"/>
    <w:rsid w:val="00376D8F"/>
    <w:rsid w:val="00381C04"/>
    <w:rsid w:val="003830D6"/>
    <w:rsid w:val="00384005"/>
    <w:rsid w:val="00384EF3"/>
    <w:rsid w:val="00386D3B"/>
    <w:rsid w:val="0039043F"/>
    <w:rsid w:val="003905C0"/>
    <w:rsid w:val="00392FA6"/>
    <w:rsid w:val="003950BF"/>
    <w:rsid w:val="00396FB1"/>
    <w:rsid w:val="00397808"/>
    <w:rsid w:val="003A09FB"/>
    <w:rsid w:val="003A50E3"/>
    <w:rsid w:val="003B1FDA"/>
    <w:rsid w:val="003B6BB1"/>
    <w:rsid w:val="003B7104"/>
    <w:rsid w:val="003C0FFD"/>
    <w:rsid w:val="003C41C4"/>
    <w:rsid w:val="003C4695"/>
    <w:rsid w:val="003C5464"/>
    <w:rsid w:val="003C5E97"/>
    <w:rsid w:val="003C691E"/>
    <w:rsid w:val="003D5478"/>
    <w:rsid w:val="003E091E"/>
    <w:rsid w:val="003E2DFC"/>
    <w:rsid w:val="003E4532"/>
    <w:rsid w:val="003E5C55"/>
    <w:rsid w:val="003E728B"/>
    <w:rsid w:val="003F04B3"/>
    <w:rsid w:val="003F2329"/>
    <w:rsid w:val="003F40E4"/>
    <w:rsid w:val="00401600"/>
    <w:rsid w:val="00401D9D"/>
    <w:rsid w:val="00405084"/>
    <w:rsid w:val="00405548"/>
    <w:rsid w:val="00412C5F"/>
    <w:rsid w:val="004149CE"/>
    <w:rsid w:val="004149EF"/>
    <w:rsid w:val="00420B0A"/>
    <w:rsid w:val="00424C16"/>
    <w:rsid w:val="00426D2D"/>
    <w:rsid w:val="00431A55"/>
    <w:rsid w:val="004326D6"/>
    <w:rsid w:val="004346E4"/>
    <w:rsid w:val="00436FC8"/>
    <w:rsid w:val="00442591"/>
    <w:rsid w:val="00444221"/>
    <w:rsid w:val="00450203"/>
    <w:rsid w:val="00451DA8"/>
    <w:rsid w:val="004537F6"/>
    <w:rsid w:val="00455755"/>
    <w:rsid w:val="00457E52"/>
    <w:rsid w:val="0046343D"/>
    <w:rsid w:val="00466E74"/>
    <w:rsid w:val="00470821"/>
    <w:rsid w:val="00472D14"/>
    <w:rsid w:val="00473CCD"/>
    <w:rsid w:val="00473F98"/>
    <w:rsid w:val="004775C0"/>
    <w:rsid w:val="00481282"/>
    <w:rsid w:val="00483DFD"/>
    <w:rsid w:val="00485E6B"/>
    <w:rsid w:val="004861D7"/>
    <w:rsid w:val="00486F94"/>
    <w:rsid w:val="00487A5E"/>
    <w:rsid w:val="00491792"/>
    <w:rsid w:val="00496F48"/>
    <w:rsid w:val="00497E3A"/>
    <w:rsid w:val="004A0793"/>
    <w:rsid w:val="004A221C"/>
    <w:rsid w:val="004A2429"/>
    <w:rsid w:val="004B0CDE"/>
    <w:rsid w:val="004B0DEE"/>
    <w:rsid w:val="004B1F26"/>
    <w:rsid w:val="004B31F5"/>
    <w:rsid w:val="004B490D"/>
    <w:rsid w:val="004B660A"/>
    <w:rsid w:val="004C0612"/>
    <w:rsid w:val="004C18A4"/>
    <w:rsid w:val="004C303E"/>
    <w:rsid w:val="004C3649"/>
    <w:rsid w:val="004C7952"/>
    <w:rsid w:val="004D14F1"/>
    <w:rsid w:val="004D2B97"/>
    <w:rsid w:val="004D3D1B"/>
    <w:rsid w:val="004D4A90"/>
    <w:rsid w:val="004D60F1"/>
    <w:rsid w:val="004E0C36"/>
    <w:rsid w:val="004E3A9E"/>
    <w:rsid w:val="004E5C97"/>
    <w:rsid w:val="004E6E47"/>
    <w:rsid w:val="004F08A5"/>
    <w:rsid w:val="004F3404"/>
    <w:rsid w:val="004F3BC9"/>
    <w:rsid w:val="00503021"/>
    <w:rsid w:val="005077A8"/>
    <w:rsid w:val="005078DD"/>
    <w:rsid w:val="00511B29"/>
    <w:rsid w:val="00517DA7"/>
    <w:rsid w:val="00522A2F"/>
    <w:rsid w:val="005252A6"/>
    <w:rsid w:val="0052599E"/>
    <w:rsid w:val="005372FB"/>
    <w:rsid w:val="00537864"/>
    <w:rsid w:val="00551A28"/>
    <w:rsid w:val="00552DE0"/>
    <w:rsid w:val="00553575"/>
    <w:rsid w:val="005541D7"/>
    <w:rsid w:val="00554BEA"/>
    <w:rsid w:val="00554DA7"/>
    <w:rsid w:val="00556A63"/>
    <w:rsid w:val="00556DCA"/>
    <w:rsid w:val="00557DE1"/>
    <w:rsid w:val="005628E6"/>
    <w:rsid w:val="00563653"/>
    <w:rsid w:val="005647C4"/>
    <w:rsid w:val="00565730"/>
    <w:rsid w:val="00570722"/>
    <w:rsid w:val="00573F95"/>
    <w:rsid w:val="005831C0"/>
    <w:rsid w:val="00585C2A"/>
    <w:rsid w:val="00591137"/>
    <w:rsid w:val="0059220F"/>
    <w:rsid w:val="0059342D"/>
    <w:rsid w:val="00593FB3"/>
    <w:rsid w:val="005A1D6A"/>
    <w:rsid w:val="005A78F4"/>
    <w:rsid w:val="005B4979"/>
    <w:rsid w:val="005B5692"/>
    <w:rsid w:val="005B60CF"/>
    <w:rsid w:val="005C02BC"/>
    <w:rsid w:val="005C09C6"/>
    <w:rsid w:val="005D25A3"/>
    <w:rsid w:val="005D4A67"/>
    <w:rsid w:val="005D5D30"/>
    <w:rsid w:val="005E526B"/>
    <w:rsid w:val="005E57D2"/>
    <w:rsid w:val="005E657B"/>
    <w:rsid w:val="005E7E71"/>
    <w:rsid w:val="005F249D"/>
    <w:rsid w:val="005F5AF9"/>
    <w:rsid w:val="005F6F77"/>
    <w:rsid w:val="00601B96"/>
    <w:rsid w:val="00601E5F"/>
    <w:rsid w:val="00605840"/>
    <w:rsid w:val="00610F2C"/>
    <w:rsid w:val="00615426"/>
    <w:rsid w:val="00622799"/>
    <w:rsid w:val="00622A84"/>
    <w:rsid w:val="006249C3"/>
    <w:rsid w:val="006307FD"/>
    <w:rsid w:val="00630D80"/>
    <w:rsid w:val="006322C9"/>
    <w:rsid w:val="0063265D"/>
    <w:rsid w:val="00633C3B"/>
    <w:rsid w:val="0063415D"/>
    <w:rsid w:val="00634561"/>
    <w:rsid w:val="0064161B"/>
    <w:rsid w:val="00642601"/>
    <w:rsid w:val="00643DD7"/>
    <w:rsid w:val="00646879"/>
    <w:rsid w:val="00646FC8"/>
    <w:rsid w:val="00650D29"/>
    <w:rsid w:val="00652A36"/>
    <w:rsid w:val="006569AC"/>
    <w:rsid w:val="00657F52"/>
    <w:rsid w:val="006600DC"/>
    <w:rsid w:val="00663238"/>
    <w:rsid w:val="00666A17"/>
    <w:rsid w:val="0066781E"/>
    <w:rsid w:val="00667B4F"/>
    <w:rsid w:val="006730E3"/>
    <w:rsid w:val="00677DCB"/>
    <w:rsid w:val="00681950"/>
    <w:rsid w:val="0068656D"/>
    <w:rsid w:val="0068674E"/>
    <w:rsid w:val="0068733E"/>
    <w:rsid w:val="006874A1"/>
    <w:rsid w:val="006910F0"/>
    <w:rsid w:val="00691220"/>
    <w:rsid w:val="006922E4"/>
    <w:rsid w:val="006945F4"/>
    <w:rsid w:val="0069482F"/>
    <w:rsid w:val="006A14BB"/>
    <w:rsid w:val="006A3267"/>
    <w:rsid w:val="006A4623"/>
    <w:rsid w:val="006A5B09"/>
    <w:rsid w:val="006A7FD1"/>
    <w:rsid w:val="006B03F3"/>
    <w:rsid w:val="006B129D"/>
    <w:rsid w:val="006B1C2D"/>
    <w:rsid w:val="006B25AE"/>
    <w:rsid w:val="006B401D"/>
    <w:rsid w:val="006B482F"/>
    <w:rsid w:val="006B5E08"/>
    <w:rsid w:val="006C551D"/>
    <w:rsid w:val="006C63E2"/>
    <w:rsid w:val="006C7976"/>
    <w:rsid w:val="006D02F4"/>
    <w:rsid w:val="006D6C02"/>
    <w:rsid w:val="006E507D"/>
    <w:rsid w:val="006F2B6F"/>
    <w:rsid w:val="006F3069"/>
    <w:rsid w:val="006F79B5"/>
    <w:rsid w:val="007010D5"/>
    <w:rsid w:val="0070202B"/>
    <w:rsid w:val="007026F8"/>
    <w:rsid w:val="0070271D"/>
    <w:rsid w:val="00703BBF"/>
    <w:rsid w:val="0070401D"/>
    <w:rsid w:val="0070448B"/>
    <w:rsid w:val="0070470B"/>
    <w:rsid w:val="007049C3"/>
    <w:rsid w:val="007137E7"/>
    <w:rsid w:val="0071416D"/>
    <w:rsid w:val="00715ACB"/>
    <w:rsid w:val="0072438C"/>
    <w:rsid w:val="00741741"/>
    <w:rsid w:val="00743528"/>
    <w:rsid w:val="00743E81"/>
    <w:rsid w:val="00744D4C"/>
    <w:rsid w:val="00745272"/>
    <w:rsid w:val="00757074"/>
    <w:rsid w:val="0075718F"/>
    <w:rsid w:val="007606B5"/>
    <w:rsid w:val="007612EC"/>
    <w:rsid w:val="0076489E"/>
    <w:rsid w:val="00765172"/>
    <w:rsid w:val="00774664"/>
    <w:rsid w:val="00776022"/>
    <w:rsid w:val="0077651A"/>
    <w:rsid w:val="00777052"/>
    <w:rsid w:val="007806E3"/>
    <w:rsid w:val="00781DFC"/>
    <w:rsid w:val="00783610"/>
    <w:rsid w:val="00786C96"/>
    <w:rsid w:val="00787F34"/>
    <w:rsid w:val="007A1442"/>
    <w:rsid w:val="007A1A06"/>
    <w:rsid w:val="007A1ADF"/>
    <w:rsid w:val="007A2B30"/>
    <w:rsid w:val="007A6E92"/>
    <w:rsid w:val="007B0238"/>
    <w:rsid w:val="007B21D7"/>
    <w:rsid w:val="007B5C13"/>
    <w:rsid w:val="007D0850"/>
    <w:rsid w:val="007D181A"/>
    <w:rsid w:val="007D2588"/>
    <w:rsid w:val="007D3118"/>
    <w:rsid w:val="007E0268"/>
    <w:rsid w:val="007E2B74"/>
    <w:rsid w:val="007E4BB6"/>
    <w:rsid w:val="007E5C93"/>
    <w:rsid w:val="007E5E3E"/>
    <w:rsid w:val="007F095C"/>
    <w:rsid w:val="007F40FC"/>
    <w:rsid w:val="007F7A13"/>
    <w:rsid w:val="00801689"/>
    <w:rsid w:val="00801786"/>
    <w:rsid w:val="00801CA3"/>
    <w:rsid w:val="00806304"/>
    <w:rsid w:val="00814542"/>
    <w:rsid w:val="00814DA4"/>
    <w:rsid w:val="00817F0E"/>
    <w:rsid w:val="00822289"/>
    <w:rsid w:val="00827D1A"/>
    <w:rsid w:val="00832024"/>
    <w:rsid w:val="00832654"/>
    <w:rsid w:val="00834560"/>
    <w:rsid w:val="008371AD"/>
    <w:rsid w:val="008403F3"/>
    <w:rsid w:val="00841BA8"/>
    <w:rsid w:val="00845405"/>
    <w:rsid w:val="00853DC6"/>
    <w:rsid w:val="008543C0"/>
    <w:rsid w:val="00865A72"/>
    <w:rsid w:val="008709AD"/>
    <w:rsid w:val="00870FF2"/>
    <w:rsid w:val="00876788"/>
    <w:rsid w:val="008767B5"/>
    <w:rsid w:val="008804A9"/>
    <w:rsid w:val="008808F1"/>
    <w:rsid w:val="008817A5"/>
    <w:rsid w:val="00883681"/>
    <w:rsid w:val="00887E3E"/>
    <w:rsid w:val="0089015E"/>
    <w:rsid w:val="008902D7"/>
    <w:rsid w:val="008919B4"/>
    <w:rsid w:val="00892428"/>
    <w:rsid w:val="00895716"/>
    <w:rsid w:val="008975B3"/>
    <w:rsid w:val="008A1970"/>
    <w:rsid w:val="008A28EE"/>
    <w:rsid w:val="008A7913"/>
    <w:rsid w:val="008B0FCB"/>
    <w:rsid w:val="008B5213"/>
    <w:rsid w:val="008B73A0"/>
    <w:rsid w:val="008C1666"/>
    <w:rsid w:val="008C174A"/>
    <w:rsid w:val="008C2B80"/>
    <w:rsid w:val="008C4624"/>
    <w:rsid w:val="008C61F7"/>
    <w:rsid w:val="008D0B41"/>
    <w:rsid w:val="008D1969"/>
    <w:rsid w:val="008D31EC"/>
    <w:rsid w:val="008D3AD7"/>
    <w:rsid w:val="008D459D"/>
    <w:rsid w:val="008E070D"/>
    <w:rsid w:val="008E34AF"/>
    <w:rsid w:val="008F4B35"/>
    <w:rsid w:val="008F4D03"/>
    <w:rsid w:val="008F5A26"/>
    <w:rsid w:val="008F6594"/>
    <w:rsid w:val="008F744B"/>
    <w:rsid w:val="00901374"/>
    <w:rsid w:val="00901B51"/>
    <w:rsid w:val="00902C97"/>
    <w:rsid w:val="0090307F"/>
    <w:rsid w:val="00904402"/>
    <w:rsid w:val="00912A67"/>
    <w:rsid w:val="00915514"/>
    <w:rsid w:val="00915949"/>
    <w:rsid w:val="00920381"/>
    <w:rsid w:val="00920AA0"/>
    <w:rsid w:val="00921D47"/>
    <w:rsid w:val="00922E82"/>
    <w:rsid w:val="009247B1"/>
    <w:rsid w:val="00931189"/>
    <w:rsid w:val="009354B0"/>
    <w:rsid w:val="009448D0"/>
    <w:rsid w:val="00946CF6"/>
    <w:rsid w:val="00951EE5"/>
    <w:rsid w:val="00955BF2"/>
    <w:rsid w:val="0096075E"/>
    <w:rsid w:val="00961FA9"/>
    <w:rsid w:val="00962B40"/>
    <w:rsid w:val="00964457"/>
    <w:rsid w:val="0096561C"/>
    <w:rsid w:val="00965B75"/>
    <w:rsid w:val="00967110"/>
    <w:rsid w:val="0097485C"/>
    <w:rsid w:val="00975D4A"/>
    <w:rsid w:val="00976C39"/>
    <w:rsid w:val="00976F4C"/>
    <w:rsid w:val="00981214"/>
    <w:rsid w:val="00981C34"/>
    <w:rsid w:val="00983032"/>
    <w:rsid w:val="00984FB6"/>
    <w:rsid w:val="00987FC4"/>
    <w:rsid w:val="00990E77"/>
    <w:rsid w:val="00991653"/>
    <w:rsid w:val="0099172A"/>
    <w:rsid w:val="00992DEC"/>
    <w:rsid w:val="00994047"/>
    <w:rsid w:val="00995974"/>
    <w:rsid w:val="00997CC0"/>
    <w:rsid w:val="009A0E6D"/>
    <w:rsid w:val="009A7EA7"/>
    <w:rsid w:val="009B3217"/>
    <w:rsid w:val="009B388F"/>
    <w:rsid w:val="009B47EC"/>
    <w:rsid w:val="009B4C88"/>
    <w:rsid w:val="009B51CD"/>
    <w:rsid w:val="009B7270"/>
    <w:rsid w:val="009C0927"/>
    <w:rsid w:val="009C29B9"/>
    <w:rsid w:val="009C3F04"/>
    <w:rsid w:val="009C441B"/>
    <w:rsid w:val="009C7708"/>
    <w:rsid w:val="009D03DC"/>
    <w:rsid w:val="009D1175"/>
    <w:rsid w:val="009D3172"/>
    <w:rsid w:val="009D466D"/>
    <w:rsid w:val="009E62EB"/>
    <w:rsid w:val="009E6482"/>
    <w:rsid w:val="009F0D97"/>
    <w:rsid w:val="009F15AE"/>
    <w:rsid w:val="009F5494"/>
    <w:rsid w:val="00A00CA4"/>
    <w:rsid w:val="00A01A55"/>
    <w:rsid w:val="00A01DE5"/>
    <w:rsid w:val="00A059B4"/>
    <w:rsid w:val="00A05ABC"/>
    <w:rsid w:val="00A0649E"/>
    <w:rsid w:val="00A06EFE"/>
    <w:rsid w:val="00A07D7B"/>
    <w:rsid w:val="00A124C9"/>
    <w:rsid w:val="00A14754"/>
    <w:rsid w:val="00A16E8F"/>
    <w:rsid w:val="00A1778E"/>
    <w:rsid w:val="00A31261"/>
    <w:rsid w:val="00A320DA"/>
    <w:rsid w:val="00A32C72"/>
    <w:rsid w:val="00A375EB"/>
    <w:rsid w:val="00A51C34"/>
    <w:rsid w:val="00A53D96"/>
    <w:rsid w:val="00A543CD"/>
    <w:rsid w:val="00A56C7B"/>
    <w:rsid w:val="00A5784C"/>
    <w:rsid w:val="00A611D8"/>
    <w:rsid w:val="00A6321C"/>
    <w:rsid w:val="00A663EF"/>
    <w:rsid w:val="00A712D1"/>
    <w:rsid w:val="00A722AD"/>
    <w:rsid w:val="00A73196"/>
    <w:rsid w:val="00A73BA7"/>
    <w:rsid w:val="00A7400F"/>
    <w:rsid w:val="00A8091E"/>
    <w:rsid w:val="00A80EB0"/>
    <w:rsid w:val="00A87D08"/>
    <w:rsid w:val="00A9728B"/>
    <w:rsid w:val="00A97E54"/>
    <w:rsid w:val="00AA3255"/>
    <w:rsid w:val="00AB03FE"/>
    <w:rsid w:val="00AB19DC"/>
    <w:rsid w:val="00AB21E4"/>
    <w:rsid w:val="00AB2649"/>
    <w:rsid w:val="00AB5834"/>
    <w:rsid w:val="00AC7AF7"/>
    <w:rsid w:val="00AD335C"/>
    <w:rsid w:val="00AD4856"/>
    <w:rsid w:val="00AE0C03"/>
    <w:rsid w:val="00AE1D3A"/>
    <w:rsid w:val="00AE2E9E"/>
    <w:rsid w:val="00AE2F27"/>
    <w:rsid w:val="00AE31AF"/>
    <w:rsid w:val="00AE3788"/>
    <w:rsid w:val="00AE6BE0"/>
    <w:rsid w:val="00AF0A61"/>
    <w:rsid w:val="00AF5993"/>
    <w:rsid w:val="00AF76E6"/>
    <w:rsid w:val="00B00C84"/>
    <w:rsid w:val="00B01521"/>
    <w:rsid w:val="00B0506C"/>
    <w:rsid w:val="00B110EC"/>
    <w:rsid w:val="00B122AB"/>
    <w:rsid w:val="00B124AD"/>
    <w:rsid w:val="00B21069"/>
    <w:rsid w:val="00B279CE"/>
    <w:rsid w:val="00B41073"/>
    <w:rsid w:val="00B41D34"/>
    <w:rsid w:val="00B50EC5"/>
    <w:rsid w:val="00B5139F"/>
    <w:rsid w:val="00B5203C"/>
    <w:rsid w:val="00B53F45"/>
    <w:rsid w:val="00B55109"/>
    <w:rsid w:val="00B56B59"/>
    <w:rsid w:val="00B57235"/>
    <w:rsid w:val="00B579B5"/>
    <w:rsid w:val="00B62842"/>
    <w:rsid w:val="00B64D75"/>
    <w:rsid w:val="00B676B2"/>
    <w:rsid w:val="00B706F6"/>
    <w:rsid w:val="00B708C4"/>
    <w:rsid w:val="00B72854"/>
    <w:rsid w:val="00B7386C"/>
    <w:rsid w:val="00B74114"/>
    <w:rsid w:val="00B74288"/>
    <w:rsid w:val="00B7529E"/>
    <w:rsid w:val="00B76149"/>
    <w:rsid w:val="00B77C08"/>
    <w:rsid w:val="00B80636"/>
    <w:rsid w:val="00B808CA"/>
    <w:rsid w:val="00B84052"/>
    <w:rsid w:val="00B85042"/>
    <w:rsid w:val="00B85627"/>
    <w:rsid w:val="00B85D41"/>
    <w:rsid w:val="00B86999"/>
    <w:rsid w:val="00B86E22"/>
    <w:rsid w:val="00B90221"/>
    <w:rsid w:val="00B91511"/>
    <w:rsid w:val="00B92828"/>
    <w:rsid w:val="00B96626"/>
    <w:rsid w:val="00B978F4"/>
    <w:rsid w:val="00BA1376"/>
    <w:rsid w:val="00BA31A9"/>
    <w:rsid w:val="00BA4436"/>
    <w:rsid w:val="00BB00F6"/>
    <w:rsid w:val="00BB1E1C"/>
    <w:rsid w:val="00BB51F9"/>
    <w:rsid w:val="00BB5557"/>
    <w:rsid w:val="00BB57A0"/>
    <w:rsid w:val="00BB678A"/>
    <w:rsid w:val="00BC004C"/>
    <w:rsid w:val="00BC1D3C"/>
    <w:rsid w:val="00BC3B7E"/>
    <w:rsid w:val="00BC5F9A"/>
    <w:rsid w:val="00BC7B67"/>
    <w:rsid w:val="00BD1907"/>
    <w:rsid w:val="00BD297B"/>
    <w:rsid w:val="00BD299C"/>
    <w:rsid w:val="00BD7A00"/>
    <w:rsid w:val="00BE0A77"/>
    <w:rsid w:val="00BE236F"/>
    <w:rsid w:val="00BE2A5F"/>
    <w:rsid w:val="00BE337E"/>
    <w:rsid w:val="00BE5CA9"/>
    <w:rsid w:val="00BF0238"/>
    <w:rsid w:val="00BF59C3"/>
    <w:rsid w:val="00BF6DA0"/>
    <w:rsid w:val="00C01102"/>
    <w:rsid w:val="00C01EE2"/>
    <w:rsid w:val="00C023CE"/>
    <w:rsid w:val="00C032FB"/>
    <w:rsid w:val="00C04196"/>
    <w:rsid w:val="00C05200"/>
    <w:rsid w:val="00C112D2"/>
    <w:rsid w:val="00C1601E"/>
    <w:rsid w:val="00C166AE"/>
    <w:rsid w:val="00C276ED"/>
    <w:rsid w:val="00C31719"/>
    <w:rsid w:val="00C34A9C"/>
    <w:rsid w:val="00C34E7A"/>
    <w:rsid w:val="00C36C82"/>
    <w:rsid w:val="00C40AA5"/>
    <w:rsid w:val="00C50D99"/>
    <w:rsid w:val="00C52C99"/>
    <w:rsid w:val="00C5586C"/>
    <w:rsid w:val="00C616A5"/>
    <w:rsid w:val="00C63161"/>
    <w:rsid w:val="00C651C2"/>
    <w:rsid w:val="00C70E43"/>
    <w:rsid w:val="00C77BC0"/>
    <w:rsid w:val="00C8637B"/>
    <w:rsid w:val="00C942E5"/>
    <w:rsid w:val="00C95E94"/>
    <w:rsid w:val="00C97530"/>
    <w:rsid w:val="00CA10C2"/>
    <w:rsid w:val="00CA2692"/>
    <w:rsid w:val="00CB63F7"/>
    <w:rsid w:val="00CC0394"/>
    <w:rsid w:val="00CC21D9"/>
    <w:rsid w:val="00CC2417"/>
    <w:rsid w:val="00CC2995"/>
    <w:rsid w:val="00CD1388"/>
    <w:rsid w:val="00CD1E2D"/>
    <w:rsid w:val="00CD24B2"/>
    <w:rsid w:val="00CD2680"/>
    <w:rsid w:val="00CD2990"/>
    <w:rsid w:val="00CD3156"/>
    <w:rsid w:val="00CD35EB"/>
    <w:rsid w:val="00CD5765"/>
    <w:rsid w:val="00CD5914"/>
    <w:rsid w:val="00CE2B5E"/>
    <w:rsid w:val="00CF0C1C"/>
    <w:rsid w:val="00CF5600"/>
    <w:rsid w:val="00D0380C"/>
    <w:rsid w:val="00D0790D"/>
    <w:rsid w:val="00D13229"/>
    <w:rsid w:val="00D23D56"/>
    <w:rsid w:val="00D244AD"/>
    <w:rsid w:val="00D24503"/>
    <w:rsid w:val="00D42408"/>
    <w:rsid w:val="00D5024C"/>
    <w:rsid w:val="00D5513B"/>
    <w:rsid w:val="00D57053"/>
    <w:rsid w:val="00D616DC"/>
    <w:rsid w:val="00D672F3"/>
    <w:rsid w:val="00D747B8"/>
    <w:rsid w:val="00D770DD"/>
    <w:rsid w:val="00D802CE"/>
    <w:rsid w:val="00D80737"/>
    <w:rsid w:val="00D8522F"/>
    <w:rsid w:val="00D94B2E"/>
    <w:rsid w:val="00D95F8C"/>
    <w:rsid w:val="00D96A16"/>
    <w:rsid w:val="00D97899"/>
    <w:rsid w:val="00DA1BF4"/>
    <w:rsid w:val="00DA2941"/>
    <w:rsid w:val="00DA4EA9"/>
    <w:rsid w:val="00DB2EFF"/>
    <w:rsid w:val="00DB61A6"/>
    <w:rsid w:val="00DB622B"/>
    <w:rsid w:val="00DB62A3"/>
    <w:rsid w:val="00DB687C"/>
    <w:rsid w:val="00DC0C65"/>
    <w:rsid w:val="00DC14A2"/>
    <w:rsid w:val="00DC166A"/>
    <w:rsid w:val="00DD3C5A"/>
    <w:rsid w:val="00DD51C6"/>
    <w:rsid w:val="00DD51F8"/>
    <w:rsid w:val="00DE51C2"/>
    <w:rsid w:val="00DE5B75"/>
    <w:rsid w:val="00DE633D"/>
    <w:rsid w:val="00DF3357"/>
    <w:rsid w:val="00DF5C34"/>
    <w:rsid w:val="00E01CC0"/>
    <w:rsid w:val="00E0517B"/>
    <w:rsid w:val="00E11E11"/>
    <w:rsid w:val="00E12AFD"/>
    <w:rsid w:val="00E146FA"/>
    <w:rsid w:val="00E148EA"/>
    <w:rsid w:val="00E17ADD"/>
    <w:rsid w:val="00E20406"/>
    <w:rsid w:val="00E243BE"/>
    <w:rsid w:val="00E26080"/>
    <w:rsid w:val="00E3289B"/>
    <w:rsid w:val="00E340D1"/>
    <w:rsid w:val="00E35E98"/>
    <w:rsid w:val="00E36C68"/>
    <w:rsid w:val="00E379A3"/>
    <w:rsid w:val="00E41EA0"/>
    <w:rsid w:val="00E50C1F"/>
    <w:rsid w:val="00E52F9D"/>
    <w:rsid w:val="00E5407C"/>
    <w:rsid w:val="00E570AB"/>
    <w:rsid w:val="00E66963"/>
    <w:rsid w:val="00E73428"/>
    <w:rsid w:val="00E73894"/>
    <w:rsid w:val="00E75070"/>
    <w:rsid w:val="00E839CB"/>
    <w:rsid w:val="00E857DE"/>
    <w:rsid w:val="00E90321"/>
    <w:rsid w:val="00E90F09"/>
    <w:rsid w:val="00E91B06"/>
    <w:rsid w:val="00E92F76"/>
    <w:rsid w:val="00E933CC"/>
    <w:rsid w:val="00E93C82"/>
    <w:rsid w:val="00E965E8"/>
    <w:rsid w:val="00E9760C"/>
    <w:rsid w:val="00E97C09"/>
    <w:rsid w:val="00EA2C33"/>
    <w:rsid w:val="00EB30FC"/>
    <w:rsid w:val="00EB35D0"/>
    <w:rsid w:val="00EB47C1"/>
    <w:rsid w:val="00EB4B74"/>
    <w:rsid w:val="00EB54F0"/>
    <w:rsid w:val="00EB5660"/>
    <w:rsid w:val="00EC3985"/>
    <w:rsid w:val="00ED30EC"/>
    <w:rsid w:val="00ED549A"/>
    <w:rsid w:val="00ED5D3D"/>
    <w:rsid w:val="00ED6104"/>
    <w:rsid w:val="00ED69EB"/>
    <w:rsid w:val="00ED7B36"/>
    <w:rsid w:val="00EE03B1"/>
    <w:rsid w:val="00EE10A6"/>
    <w:rsid w:val="00EE171B"/>
    <w:rsid w:val="00EE6CCB"/>
    <w:rsid w:val="00EE70BD"/>
    <w:rsid w:val="00EF00F1"/>
    <w:rsid w:val="00EF5079"/>
    <w:rsid w:val="00EF5736"/>
    <w:rsid w:val="00F005B8"/>
    <w:rsid w:val="00F0258B"/>
    <w:rsid w:val="00F05338"/>
    <w:rsid w:val="00F104C6"/>
    <w:rsid w:val="00F10ADB"/>
    <w:rsid w:val="00F26BF7"/>
    <w:rsid w:val="00F301C2"/>
    <w:rsid w:val="00F31740"/>
    <w:rsid w:val="00F51623"/>
    <w:rsid w:val="00F51E8C"/>
    <w:rsid w:val="00F5288B"/>
    <w:rsid w:val="00F54E67"/>
    <w:rsid w:val="00F576EA"/>
    <w:rsid w:val="00F63CB0"/>
    <w:rsid w:val="00F66CB3"/>
    <w:rsid w:val="00F673FB"/>
    <w:rsid w:val="00F71609"/>
    <w:rsid w:val="00F71A99"/>
    <w:rsid w:val="00F75BE5"/>
    <w:rsid w:val="00F86579"/>
    <w:rsid w:val="00F87E12"/>
    <w:rsid w:val="00F94382"/>
    <w:rsid w:val="00FA3C09"/>
    <w:rsid w:val="00FA53DA"/>
    <w:rsid w:val="00FA5BF5"/>
    <w:rsid w:val="00FB07F2"/>
    <w:rsid w:val="00FB285A"/>
    <w:rsid w:val="00FB57A5"/>
    <w:rsid w:val="00FC22E5"/>
    <w:rsid w:val="00FC750A"/>
    <w:rsid w:val="00FD14C3"/>
    <w:rsid w:val="00FD2985"/>
    <w:rsid w:val="00FD3AE1"/>
    <w:rsid w:val="00FD3C06"/>
    <w:rsid w:val="00FD5D8F"/>
    <w:rsid w:val="00FD6569"/>
    <w:rsid w:val="00FD7EF9"/>
    <w:rsid w:val="00FE02EE"/>
    <w:rsid w:val="00FE2490"/>
    <w:rsid w:val="00FE3FC0"/>
    <w:rsid w:val="00FE522A"/>
    <w:rsid w:val="00FE5ACB"/>
    <w:rsid w:val="00FE6EDC"/>
    <w:rsid w:val="00FF1010"/>
    <w:rsid w:val="00FF512E"/>
    <w:rsid w:val="00FF540E"/>
    <w:rsid w:val="00FF7E32"/>
    <w:rsid w:val="6E5E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51BA1"/>
  <w15:chartTrackingRefBased/>
  <w15:docId w15:val="{ADEB9485-9371-4335-8466-1111F877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7D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B1C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65E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640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2A6403"/>
  </w:style>
  <w:style w:type="character" w:customStyle="1" w:styleId="eop">
    <w:name w:val="eop"/>
    <w:basedOn w:val="DefaultParagraphFont"/>
    <w:rsid w:val="002A6403"/>
  </w:style>
  <w:style w:type="character" w:styleId="CommentReference">
    <w:name w:val="annotation reference"/>
    <w:basedOn w:val="DefaultParagraphFont"/>
    <w:uiPriority w:val="99"/>
    <w:semiHidden/>
    <w:unhideWhenUsed/>
    <w:rsid w:val="002A6403"/>
    <w:rPr>
      <w:sz w:val="16"/>
      <w:szCs w:val="16"/>
    </w:rPr>
  </w:style>
  <w:style w:type="paragraph" w:styleId="CommentText">
    <w:name w:val="annotation text"/>
    <w:basedOn w:val="Normal"/>
    <w:link w:val="CommentTextChar"/>
    <w:uiPriority w:val="99"/>
    <w:unhideWhenUsed/>
    <w:rsid w:val="002A6403"/>
    <w:pPr>
      <w:spacing w:line="240" w:lineRule="auto"/>
    </w:pPr>
    <w:rPr>
      <w:sz w:val="20"/>
      <w:szCs w:val="20"/>
    </w:rPr>
  </w:style>
  <w:style w:type="character" w:customStyle="1" w:styleId="CommentTextChar">
    <w:name w:val="Comment Text Char"/>
    <w:basedOn w:val="DefaultParagraphFont"/>
    <w:link w:val="CommentText"/>
    <w:uiPriority w:val="99"/>
    <w:rsid w:val="002A6403"/>
    <w:rPr>
      <w:sz w:val="20"/>
      <w:szCs w:val="20"/>
    </w:rPr>
  </w:style>
  <w:style w:type="paragraph" w:styleId="CommentSubject">
    <w:name w:val="annotation subject"/>
    <w:basedOn w:val="CommentText"/>
    <w:next w:val="CommentText"/>
    <w:link w:val="CommentSubjectChar"/>
    <w:uiPriority w:val="99"/>
    <w:semiHidden/>
    <w:unhideWhenUsed/>
    <w:rsid w:val="002A6403"/>
    <w:rPr>
      <w:b/>
      <w:bCs/>
    </w:rPr>
  </w:style>
  <w:style w:type="character" w:customStyle="1" w:styleId="CommentSubjectChar">
    <w:name w:val="Comment Subject Char"/>
    <w:basedOn w:val="CommentTextChar"/>
    <w:link w:val="CommentSubject"/>
    <w:uiPriority w:val="99"/>
    <w:semiHidden/>
    <w:rsid w:val="002A6403"/>
    <w:rPr>
      <w:b/>
      <w:bCs/>
      <w:sz w:val="20"/>
      <w:szCs w:val="20"/>
    </w:rPr>
  </w:style>
  <w:style w:type="paragraph" w:styleId="ListParagraph">
    <w:name w:val="List Paragraph"/>
    <w:basedOn w:val="Normal"/>
    <w:uiPriority w:val="34"/>
    <w:qFormat/>
    <w:rsid w:val="000C2F17"/>
    <w:pPr>
      <w:ind w:left="720"/>
      <w:contextualSpacing/>
    </w:pPr>
  </w:style>
  <w:style w:type="character" w:customStyle="1" w:styleId="Heading1Char">
    <w:name w:val="Heading 1 Char"/>
    <w:basedOn w:val="DefaultParagraphFont"/>
    <w:link w:val="Heading1"/>
    <w:uiPriority w:val="9"/>
    <w:rsid w:val="0056365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02CE"/>
    <w:pPr>
      <w:spacing w:after="0" w:line="240" w:lineRule="auto"/>
    </w:pPr>
  </w:style>
  <w:style w:type="character" w:customStyle="1" w:styleId="Heading2Char">
    <w:name w:val="Heading 2 Char"/>
    <w:basedOn w:val="DefaultParagraphFont"/>
    <w:link w:val="Heading2"/>
    <w:uiPriority w:val="9"/>
    <w:rsid w:val="00A87D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7D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B1C2D"/>
    <w:rPr>
      <w:rFonts w:asciiTheme="majorHAnsi" w:eastAsiaTheme="majorEastAsia" w:hAnsiTheme="majorHAnsi" w:cstheme="majorBidi"/>
      <w:i/>
      <w:iCs/>
      <w:color w:val="2F5496" w:themeColor="accent1" w:themeShade="BF"/>
    </w:rPr>
  </w:style>
  <w:style w:type="character" w:customStyle="1" w:styleId="cf01">
    <w:name w:val="cf01"/>
    <w:basedOn w:val="DefaultParagraphFont"/>
    <w:rsid w:val="00D97899"/>
    <w:rPr>
      <w:rFonts w:ascii="Segoe UI" w:hAnsi="Segoe UI" w:cs="Segoe UI" w:hint="default"/>
      <w:sz w:val="18"/>
      <w:szCs w:val="18"/>
    </w:rPr>
  </w:style>
  <w:style w:type="paragraph" w:styleId="Header">
    <w:name w:val="header"/>
    <w:basedOn w:val="Normal"/>
    <w:link w:val="HeaderChar"/>
    <w:uiPriority w:val="99"/>
    <w:unhideWhenUsed/>
    <w:rsid w:val="00C1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2D2"/>
  </w:style>
  <w:style w:type="paragraph" w:styleId="Footer">
    <w:name w:val="footer"/>
    <w:basedOn w:val="Normal"/>
    <w:link w:val="FooterChar"/>
    <w:uiPriority w:val="99"/>
    <w:unhideWhenUsed/>
    <w:rsid w:val="00C1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2D2"/>
  </w:style>
  <w:style w:type="character" w:styleId="Hyperlink">
    <w:name w:val="Hyperlink"/>
    <w:basedOn w:val="DefaultParagraphFont"/>
    <w:uiPriority w:val="99"/>
    <w:unhideWhenUsed/>
    <w:rsid w:val="00C112D2"/>
    <w:rPr>
      <w:color w:val="0000FF"/>
      <w:u w:val="single"/>
    </w:rPr>
  </w:style>
  <w:style w:type="table" w:styleId="TableGrid">
    <w:name w:val="Table Grid"/>
    <w:basedOn w:val="TableNormal"/>
    <w:uiPriority w:val="39"/>
    <w:rsid w:val="00FE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65E6F"/>
    <w:rPr>
      <w:rFonts w:asciiTheme="majorHAnsi" w:eastAsiaTheme="majorEastAsia" w:hAnsiTheme="majorHAnsi" w:cstheme="majorBidi"/>
      <w:color w:val="2F5496" w:themeColor="accent1" w:themeShade="BF"/>
    </w:rPr>
  </w:style>
  <w:style w:type="paragraph" w:styleId="EndnoteText">
    <w:name w:val="endnote text"/>
    <w:basedOn w:val="Normal"/>
    <w:link w:val="EndnoteTextChar"/>
    <w:uiPriority w:val="99"/>
    <w:semiHidden/>
    <w:unhideWhenUsed/>
    <w:rsid w:val="00B928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828"/>
    <w:rPr>
      <w:sz w:val="20"/>
      <w:szCs w:val="20"/>
    </w:rPr>
  </w:style>
  <w:style w:type="character" w:styleId="EndnoteReference">
    <w:name w:val="endnote reference"/>
    <w:basedOn w:val="DefaultParagraphFont"/>
    <w:uiPriority w:val="99"/>
    <w:semiHidden/>
    <w:unhideWhenUsed/>
    <w:rsid w:val="00B92828"/>
    <w:rPr>
      <w:vertAlign w:val="superscript"/>
    </w:rPr>
  </w:style>
  <w:style w:type="paragraph" w:styleId="FootnoteText">
    <w:name w:val="footnote text"/>
    <w:basedOn w:val="Normal"/>
    <w:link w:val="FootnoteTextChar"/>
    <w:uiPriority w:val="99"/>
    <w:unhideWhenUsed/>
    <w:rsid w:val="00B92828"/>
    <w:pPr>
      <w:spacing w:after="0" w:line="240" w:lineRule="auto"/>
    </w:pPr>
    <w:rPr>
      <w:sz w:val="20"/>
      <w:szCs w:val="20"/>
    </w:rPr>
  </w:style>
  <w:style w:type="character" w:customStyle="1" w:styleId="FootnoteTextChar">
    <w:name w:val="Footnote Text Char"/>
    <w:basedOn w:val="DefaultParagraphFont"/>
    <w:link w:val="FootnoteText"/>
    <w:uiPriority w:val="99"/>
    <w:rsid w:val="00B92828"/>
    <w:rPr>
      <w:sz w:val="20"/>
      <w:szCs w:val="20"/>
    </w:rPr>
  </w:style>
  <w:style w:type="character" w:styleId="FootnoteReference">
    <w:name w:val="footnote reference"/>
    <w:basedOn w:val="DefaultParagraphFont"/>
    <w:uiPriority w:val="99"/>
    <w:semiHidden/>
    <w:unhideWhenUsed/>
    <w:rsid w:val="00B92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4684">
      <w:bodyDiv w:val="1"/>
      <w:marLeft w:val="0"/>
      <w:marRight w:val="0"/>
      <w:marTop w:val="0"/>
      <w:marBottom w:val="0"/>
      <w:divBdr>
        <w:top w:val="none" w:sz="0" w:space="0" w:color="auto"/>
        <w:left w:val="none" w:sz="0" w:space="0" w:color="auto"/>
        <w:bottom w:val="none" w:sz="0" w:space="0" w:color="auto"/>
        <w:right w:val="none" w:sz="0" w:space="0" w:color="auto"/>
      </w:divBdr>
    </w:div>
    <w:div w:id="1204712257">
      <w:bodyDiv w:val="1"/>
      <w:marLeft w:val="0"/>
      <w:marRight w:val="0"/>
      <w:marTop w:val="0"/>
      <w:marBottom w:val="0"/>
      <w:divBdr>
        <w:top w:val="none" w:sz="0" w:space="0" w:color="auto"/>
        <w:left w:val="none" w:sz="0" w:space="0" w:color="auto"/>
        <w:bottom w:val="none" w:sz="0" w:space="0" w:color="auto"/>
        <w:right w:val="none" w:sz="0" w:space="0" w:color="auto"/>
      </w:divBdr>
    </w:div>
    <w:div w:id="2141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eb511945-55a0-4b8c-a28b-7bc3ad442a40" xsi:nil="true"/>
    <TaxCatchAll xmlns="81c01dc6-2c49-4730-b140-874c95cac377" xsi:nil="true"/>
    <lcf76f155ced4ddcb4097134ff3c332f xmlns="eb511945-55a0-4b8c-a28b-7bc3ad442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6" ma:contentTypeDescription="Create a new document." ma:contentTypeScope="" ma:versionID="d62bdcf22a6f3ba885b7e7b53e6d73f3">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9fa99e6649002f9383bf63adb3fc2707"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CC386-66F2-436F-A79B-3E16F21FD275}">
  <ds:schemaRefs>
    <ds:schemaRef ds:uri="http://schemas.openxmlformats.org/officeDocument/2006/bibliography"/>
  </ds:schemaRefs>
</ds:datastoreItem>
</file>

<file path=customXml/itemProps2.xml><?xml version="1.0" encoding="utf-8"?>
<ds:datastoreItem xmlns:ds="http://schemas.openxmlformats.org/officeDocument/2006/customXml" ds:itemID="{A56001E0-B503-4CD3-902D-313E7DCE62A2}">
  <ds:schemaRefs>
    <ds:schemaRef ds:uri="http://schemas.microsoft.com/office/2006/metadata/properties"/>
    <ds:schemaRef ds:uri="http://schemas.microsoft.com/office/infopath/2007/PartnerControls"/>
    <ds:schemaRef ds:uri="eb511945-55a0-4b8c-a28b-7bc3ad442a40"/>
    <ds:schemaRef ds:uri="81c01dc6-2c49-4730-b140-874c95cac377"/>
  </ds:schemaRefs>
</ds:datastoreItem>
</file>

<file path=customXml/itemProps3.xml><?xml version="1.0" encoding="utf-8"?>
<ds:datastoreItem xmlns:ds="http://schemas.openxmlformats.org/officeDocument/2006/customXml" ds:itemID="{D0712725-5D81-435B-B838-F99A989A0647}">
  <ds:schemaRefs>
    <ds:schemaRef ds:uri="http://schemas.microsoft.com/sharepoint/v3/contenttype/forms"/>
  </ds:schemaRefs>
</ds:datastoreItem>
</file>

<file path=customXml/itemProps4.xml><?xml version="1.0" encoding="utf-8"?>
<ds:datastoreItem xmlns:ds="http://schemas.openxmlformats.org/officeDocument/2006/customXml" ds:itemID="{E905B036-C14F-48D4-B879-06C0C11B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Tarle, Milan</dc:creator>
  <cp:keywords/>
  <dc:description/>
  <cp:lastModifiedBy>Tarle, Milan</cp:lastModifiedBy>
  <cp:revision>15</cp:revision>
  <cp:lastPrinted>2024-03-07T01:19:00Z</cp:lastPrinted>
  <dcterms:created xsi:type="dcterms:W3CDTF">2024-03-06T23:06:00Z</dcterms:created>
  <dcterms:modified xsi:type="dcterms:W3CDTF">2024-03-07T01:20:00Z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0x010100CB33738F76A1434F80376E56194BF1A6</vt:lpwstr>
  </property>
  <property fmtid="{D5CDD505-2E9C-101B-9397-08002B2CF9AE}" pid="3" name="MediaServiceImageTags">
    <vt:lpwstr/>
  </property>
</Properties>
</file>