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60A75" w14:textId="2850F497" w:rsidR="00764D6A" w:rsidRPr="00482E21" w:rsidRDefault="00482E21" w:rsidP="00FB32E2">
      <w:pPr>
        <w:pStyle w:val="CoverTitle"/>
      </w:pPr>
      <w:r w:rsidRPr="00482E21">
        <w:rPr>
          <w:noProof/>
        </w:rPr>
        <w:drawing>
          <wp:anchor distT="0" distB="0" distL="114300" distR="114300" simplePos="0" relativeHeight="251658240" behindDoc="1" locked="0" layoutInCell="1" allowOverlap="1" wp14:anchorId="60A95C18" wp14:editId="754EC4EE">
            <wp:simplePos x="0" y="0"/>
            <wp:positionH relativeFrom="page">
              <wp:align>right</wp:align>
            </wp:positionH>
            <wp:positionV relativeFrom="paragraph">
              <wp:posOffset>-900831</wp:posOffset>
            </wp:positionV>
            <wp:extent cx="7553532" cy="10684042"/>
            <wp:effectExtent l="0" t="0" r="9525" b="3175"/>
            <wp:wrapNone/>
            <wp:docPr id="1623482707" name="Picture 1" descr="A person and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82707" name="Picture 1" descr="A person and person holding a bab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53532" cy="10684042"/>
                    </a:xfrm>
                    <a:prstGeom prst="rect">
                      <a:avLst/>
                    </a:prstGeom>
                  </pic:spPr>
                </pic:pic>
              </a:graphicData>
            </a:graphic>
            <wp14:sizeRelH relativeFrom="page">
              <wp14:pctWidth>0</wp14:pctWidth>
            </wp14:sizeRelH>
            <wp14:sizeRelV relativeFrom="page">
              <wp14:pctHeight>0</wp14:pctHeight>
            </wp14:sizeRelV>
          </wp:anchor>
        </w:drawing>
      </w:r>
      <w:r w:rsidR="006C3B97">
        <w:t>Electricity and Energy Sector</w:t>
      </w:r>
      <w:r w:rsidR="008D550E">
        <w:t xml:space="preserve"> </w:t>
      </w:r>
      <w:r w:rsidR="006C3B97">
        <w:t>Plan</w:t>
      </w:r>
    </w:p>
    <w:p w14:paraId="368BFFD9" w14:textId="0D8D6E51" w:rsidR="00764D6A" w:rsidRPr="00482E21" w:rsidRDefault="006C3B97" w:rsidP="002A0B7D">
      <w:pPr>
        <w:pStyle w:val="Subtitle"/>
        <w:numPr>
          <w:ilvl w:val="0"/>
          <w:numId w:val="0"/>
        </w:numPr>
        <w:ind w:left="432" w:hanging="432"/>
        <w:rPr>
          <w:color w:val="FFFFFF" w:themeColor="background1"/>
        </w:rPr>
      </w:pPr>
      <w:r>
        <w:rPr>
          <w:color w:val="FFFFFF" w:themeColor="background1"/>
        </w:rPr>
        <w:t xml:space="preserve">Discussion </w:t>
      </w:r>
      <w:r w:rsidR="00E238A1">
        <w:rPr>
          <w:color w:val="FFFFFF" w:themeColor="background1"/>
        </w:rPr>
        <w:t>p</w:t>
      </w:r>
      <w:r>
        <w:rPr>
          <w:color w:val="FFFFFF" w:themeColor="background1"/>
        </w:rPr>
        <w:t>aper</w:t>
      </w:r>
    </w:p>
    <w:p w14:paraId="33E2FD67" w14:textId="5A996539" w:rsidR="00764D6A" w:rsidRPr="00FB32E2" w:rsidRDefault="000A45AE" w:rsidP="00FB32E2">
      <w:pPr>
        <w:pStyle w:val="Author"/>
        <w:spacing w:before="120"/>
        <w:rPr>
          <w:color w:val="FFFFFF" w:themeColor="background1"/>
          <w:sz w:val="32"/>
          <w:szCs w:val="32"/>
          <w:lang w:val="es-ES"/>
        </w:rPr>
      </w:pPr>
      <w:r w:rsidRPr="00FB32E2">
        <w:rPr>
          <w:color w:val="FFFFFF" w:themeColor="background1"/>
          <w:sz w:val="32"/>
          <w:szCs w:val="32"/>
          <w:lang w:val="es-ES"/>
        </w:rPr>
        <w:t>March 2024</w:t>
      </w:r>
    </w:p>
    <w:p w14:paraId="38F34527" w14:textId="77777777" w:rsidR="00764D6A" w:rsidRPr="005D3790" w:rsidRDefault="00764D6A" w:rsidP="005D3790"/>
    <w:p w14:paraId="67B0C866" w14:textId="77777777" w:rsidR="00764D6A" w:rsidRDefault="00E91D72">
      <w:pPr>
        <w:pStyle w:val="Normalsmall"/>
      </w:pPr>
      <w:r>
        <w:br w:type="page"/>
      </w:r>
      <w:r>
        <w:lastRenderedPageBreak/>
        <w:t xml:space="preserve">© Commonwealth of Australia </w:t>
      </w:r>
      <w:r w:rsidR="00B97E61">
        <w:t>202</w:t>
      </w:r>
      <w:r w:rsidR="00A32152">
        <w:t>4</w:t>
      </w:r>
    </w:p>
    <w:p w14:paraId="0404EC17" w14:textId="77777777" w:rsidR="00764D6A" w:rsidRDefault="00E91D72">
      <w:pPr>
        <w:pStyle w:val="Normalsmall"/>
        <w:rPr>
          <w:rStyle w:val="Strong"/>
        </w:rPr>
      </w:pPr>
      <w:r>
        <w:rPr>
          <w:rStyle w:val="Strong"/>
        </w:rPr>
        <w:t>Ownership of intellectual property rights</w:t>
      </w:r>
    </w:p>
    <w:p w14:paraId="4BE1EB92"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517293D" w14:textId="77777777" w:rsidR="00764D6A" w:rsidRDefault="00E91D72">
      <w:pPr>
        <w:pStyle w:val="Normalsmall"/>
        <w:rPr>
          <w:rStyle w:val="Strong"/>
        </w:rPr>
      </w:pPr>
      <w:r>
        <w:rPr>
          <w:rStyle w:val="Strong"/>
        </w:rPr>
        <w:t>Creative Commons licence</w:t>
      </w:r>
    </w:p>
    <w:p w14:paraId="5495E3E6"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1554C71F" w14:textId="77777777" w:rsidR="00764D6A" w:rsidRPr="00364A4A" w:rsidRDefault="00E91D72">
      <w:pPr>
        <w:pStyle w:val="Normalsmall"/>
      </w:pPr>
      <w:r>
        <w:t xml:space="preserve">Inquiries about the licence and any use of this document should be </w:t>
      </w:r>
      <w:r w:rsidRPr="00364A4A">
        <w:t xml:space="preserve">emailed to </w:t>
      </w:r>
      <w:hyperlink r:id="rId13" w:history="1">
        <w:r w:rsidR="00D86640">
          <w:rPr>
            <w:rStyle w:val="Hyperlink"/>
          </w:rPr>
          <w:t>copyright@dcceew.gov.au</w:t>
        </w:r>
      </w:hyperlink>
      <w:r w:rsidRPr="00364A4A">
        <w:t>.</w:t>
      </w:r>
    </w:p>
    <w:p w14:paraId="7067BE8F" w14:textId="77777777" w:rsidR="00764D6A" w:rsidRPr="00364A4A" w:rsidRDefault="00E91D72">
      <w:pPr>
        <w:pStyle w:val="Normalsmall"/>
      </w:pPr>
      <w:r w:rsidRPr="00364A4A">
        <w:rPr>
          <w:noProof/>
          <w:lang w:eastAsia="en-AU"/>
        </w:rPr>
        <w:drawing>
          <wp:inline distT="0" distB="0" distL="0" distR="0" wp14:anchorId="66363EFA" wp14:editId="4A1AF59B">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7066D08" w14:textId="77777777" w:rsidR="00764D6A" w:rsidRPr="00364A4A" w:rsidRDefault="00E91D72">
      <w:pPr>
        <w:pStyle w:val="Normalsmall"/>
        <w:rPr>
          <w:rStyle w:val="Strong"/>
        </w:rPr>
      </w:pPr>
      <w:r w:rsidRPr="00364A4A">
        <w:rPr>
          <w:rStyle w:val="Strong"/>
        </w:rPr>
        <w:t>Cataloguing data</w:t>
      </w:r>
    </w:p>
    <w:p w14:paraId="2C91BA21" w14:textId="7AD476B7" w:rsidR="00764D6A" w:rsidRDefault="00E91D72">
      <w:pPr>
        <w:pStyle w:val="Normalsmall"/>
      </w:pPr>
      <w:r w:rsidRPr="006C3B97">
        <w:t xml:space="preserve">This publication (and any material sourced from it) should be attributed as: </w:t>
      </w:r>
      <w:r w:rsidR="009D5007" w:rsidRPr="006C3B97">
        <w:t>D</w:t>
      </w:r>
      <w:r w:rsidR="000F2194" w:rsidRPr="006C3B97">
        <w:t>CCEEW</w:t>
      </w:r>
      <w:r w:rsidR="00B97E61" w:rsidRPr="006C3B97">
        <w:t xml:space="preserve"> </w:t>
      </w:r>
      <w:r w:rsidR="006C3B97" w:rsidRPr="006C3B97">
        <w:t>2024</w:t>
      </w:r>
      <w:r w:rsidRPr="006C3B97">
        <w:t xml:space="preserve">, </w:t>
      </w:r>
      <w:r w:rsidR="006C3B97" w:rsidRPr="006C3B97">
        <w:rPr>
          <w:i/>
        </w:rPr>
        <w:t>Electricity</w:t>
      </w:r>
      <w:r w:rsidR="006C3B97">
        <w:rPr>
          <w:i/>
        </w:rPr>
        <w:t xml:space="preserve"> and Energy Sector Plan Discussion Paper</w:t>
      </w:r>
      <w:r>
        <w:t xml:space="preserve">, </w:t>
      </w:r>
      <w:r w:rsidR="006F065B" w:rsidRPr="006F065B">
        <w:t>Department of Climate Change, Energy, the Environment and Water</w:t>
      </w:r>
      <w:r>
        <w:t>, Canberra. CC BY 4.0.</w:t>
      </w:r>
    </w:p>
    <w:p w14:paraId="6D9E3EE1" w14:textId="6A08119C" w:rsidR="00764D6A" w:rsidRDefault="00E91D72">
      <w:pPr>
        <w:pStyle w:val="Normalsmall"/>
      </w:pPr>
      <w:r>
        <w:t xml:space="preserve">This </w:t>
      </w:r>
      <w:r w:rsidRPr="00364A4A">
        <w:t xml:space="preserve">publication is available </w:t>
      </w:r>
      <w:r w:rsidRPr="00F57271">
        <w:t xml:space="preserve">at </w:t>
      </w:r>
      <w:hyperlink r:id="rId15" w:history="1">
        <w:r w:rsidR="00D86640" w:rsidRPr="00F57271">
          <w:rPr>
            <w:rStyle w:val="Hyperlink"/>
          </w:rPr>
          <w:t>dcceew.gov.au/publications</w:t>
        </w:r>
      </w:hyperlink>
      <w:r w:rsidRPr="00F57271">
        <w:t>.</w:t>
      </w:r>
    </w:p>
    <w:p w14:paraId="6ADF3519" w14:textId="77777777" w:rsidR="00DE0AAE" w:rsidRDefault="00D86640">
      <w:pPr>
        <w:pStyle w:val="Normalsmall"/>
        <w:spacing w:after="0"/>
      </w:pPr>
      <w:r w:rsidRPr="00D86640">
        <w:t>Department of Climate Change, Energy, the Environment and Water</w:t>
      </w:r>
    </w:p>
    <w:p w14:paraId="1004E790"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27342CF2" w14:textId="77777777" w:rsidR="00764D6A" w:rsidRPr="00364A4A" w:rsidRDefault="00E91D72">
      <w:pPr>
        <w:pStyle w:val="Normalsmall"/>
        <w:spacing w:after="0"/>
      </w:pPr>
      <w:r w:rsidRPr="00364A4A">
        <w:t xml:space="preserve">Telephone </w:t>
      </w:r>
      <w:r w:rsidR="00D464F4" w:rsidRPr="00D464F4">
        <w:t>1800 920 528</w:t>
      </w:r>
    </w:p>
    <w:p w14:paraId="17AD0B25" w14:textId="77777777" w:rsidR="00764D6A" w:rsidRPr="00364A4A" w:rsidRDefault="00E91D72">
      <w:pPr>
        <w:pStyle w:val="Normalsmall"/>
      </w:pPr>
      <w:bookmarkStart w:id="0" w:name="_Hlk108621036"/>
      <w:r w:rsidRPr="00364A4A">
        <w:t xml:space="preserve">Web </w:t>
      </w:r>
      <w:hyperlink r:id="rId16" w:history="1">
        <w:r w:rsidR="00D86640">
          <w:rPr>
            <w:rStyle w:val="Hyperlink"/>
          </w:rPr>
          <w:t>dcceew.gov.au</w:t>
        </w:r>
      </w:hyperlink>
    </w:p>
    <w:bookmarkEnd w:id="0"/>
    <w:p w14:paraId="64914C00" w14:textId="77777777" w:rsidR="007C358A" w:rsidRDefault="007C358A">
      <w:pPr>
        <w:pStyle w:val="Normalsmall"/>
      </w:pPr>
      <w:r w:rsidRPr="00364A4A">
        <w:rPr>
          <w:rStyle w:val="Strong"/>
        </w:rPr>
        <w:t>Disclaimer</w:t>
      </w:r>
    </w:p>
    <w:p w14:paraId="351D99BB" w14:textId="77777777" w:rsidR="00764D6A" w:rsidRPr="003130C3"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w:t>
      </w:r>
      <w:r w:rsidRPr="003130C3">
        <w:t>publication to the maximum extent permitted by law.</w:t>
      </w:r>
    </w:p>
    <w:p w14:paraId="4B9F6CD4" w14:textId="77777777" w:rsidR="00764D6A" w:rsidRPr="003130C3" w:rsidRDefault="00E91D72">
      <w:pPr>
        <w:pStyle w:val="Normalsmall"/>
        <w:rPr>
          <w:rStyle w:val="Strong"/>
        </w:rPr>
      </w:pPr>
      <w:r w:rsidRPr="003130C3">
        <w:rPr>
          <w:rStyle w:val="Strong"/>
        </w:rPr>
        <w:t>Acknowledgements</w:t>
      </w:r>
    </w:p>
    <w:p w14:paraId="3E1EEF4F" w14:textId="0919B487" w:rsidR="00764D6A" w:rsidRDefault="00E91D72">
      <w:pPr>
        <w:pStyle w:val="Normalsmall"/>
      </w:pPr>
      <w:r w:rsidRPr="003130C3">
        <w:t xml:space="preserve">The authors thank </w:t>
      </w:r>
      <w:r w:rsidR="003130C3" w:rsidRPr="003130C3">
        <w:t>all individuals who provided input into the development of this paper</w:t>
      </w:r>
      <w:r w:rsidRPr="003130C3">
        <w:t>.</w:t>
      </w:r>
    </w:p>
    <w:p w14:paraId="43CF91ED" w14:textId="77777777" w:rsidR="00B02B9B" w:rsidRDefault="00B02B9B" w:rsidP="00B02B9B">
      <w:pPr>
        <w:pStyle w:val="Normalsmall"/>
      </w:pPr>
      <w:r>
        <w:rPr>
          <w:rStyle w:val="Strong"/>
        </w:rPr>
        <w:t>Acknowledgement of Country</w:t>
      </w:r>
    </w:p>
    <w:p w14:paraId="0D1DFDFA" w14:textId="77777777" w:rsidR="00FC0B39" w:rsidRDefault="00B8745D" w:rsidP="00F448C4">
      <w:pPr>
        <w:pStyle w:val="Normalsmall"/>
      </w:pPr>
      <w:r w:rsidRPr="00B8745D">
        <w:t xml:space="preserve">We acknowledge the Traditional Owners of Country throughout Australia and recognise their continuing connection to land, </w:t>
      </w:r>
      <w:proofErr w:type="gramStart"/>
      <w:r w:rsidRPr="00B8745D">
        <w:t>waters</w:t>
      </w:r>
      <w:proofErr w:type="gramEnd"/>
      <w:r w:rsidRPr="00B8745D">
        <w:t xml:space="preserve"> and culture. We pay our respects to their Elders past and present</w:t>
      </w:r>
      <w:r w:rsidR="00FC0B39" w:rsidRPr="00FC0B39">
        <w:t>.</w:t>
      </w:r>
    </w:p>
    <w:p w14:paraId="52A5213B" w14:textId="77777777" w:rsidR="00A32152" w:rsidRDefault="00A32152" w:rsidP="00493FC7">
      <w:pPr>
        <w:pStyle w:val="Heading1"/>
      </w:pPr>
      <w:bookmarkStart w:id="1" w:name="_Toc430782148"/>
      <w:r>
        <w:br w:type="page"/>
      </w:r>
    </w:p>
    <w:bookmarkEnd w:id="1" w:displacedByCustomXml="next"/>
    <w:sdt>
      <w:sdtPr>
        <w:rPr>
          <w:rFonts w:ascii="Cambria" w:eastAsiaTheme="minorHAnsi" w:hAnsi="Cambria"/>
          <w:b/>
          <w:bCs w:val="0"/>
          <w:noProof/>
          <w:color w:val="auto"/>
          <w:sz w:val="22"/>
          <w:lang w:eastAsia="en-US"/>
        </w:rPr>
        <w:id w:val="-760297017"/>
        <w:docPartObj>
          <w:docPartGallery w:val="Table of Contents"/>
          <w:docPartUnique/>
        </w:docPartObj>
      </w:sdtPr>
      <w:sdtEndPr>
        <w:rPr>
          <w:rFonts w:asciiTheme="minorHAnsi" w:hAnsiTheme="minorHAnsi"/>
        </w:rPr>
      </w:sdtEndPr>
      <w:sdtContent>
        <w:p w14:paraId="4D0EFD9E" w14:textId="292669F8" w:rsidR="00764D6A" w:rsidRDefault="00E91D72" w:rsidP="00C43786">
          <w:pPr>
            <w:pStyle w:val="TOCHeading"/>
            <w:spacing w:before="0" w:after="0"/>
          </w:pPr>
          <w:r>
            <w:t>Contents</w:t>
          </w:r>
        </w:p>
        <w:p w14:paraId="3C7E1C8C" w14:textId="64A3F64A" w:rsidR="003255CB" w:rsidRDefault="00E91D72">
          <w:pPr>
            <w:pStyle w:val="TOC1"/>
            <w:rPr>
              <w:rFonts w:eastAsiaTheme="minorEastAsia"/>
              <w:b w:val="0"/>
              <w:kern w:val="2"/>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161306030" w:history="1">
            <w:r w:rsidR="003255CB" w:rsidRPr="00E674CA">
              <w:rPr>
                <w:rStyle w:val="Hyperlink"/>
              </w:rPr>
              <w:t>About this consultation paper</w:t>
            </w:r>
            <w:r w:rsidR="003255CB">
              <w:rPr>
                <w:webHidden/>
              </w:rPr>
              <w:tab/>
            </w:r>
            <w:r w:rsidR="003255CB">
              <w:rPr>
                <w:webHidden/>
              </w:rPr>
              <w:fldChar w:fldCharType="begin"/>
            </w:r>
            <w:r w:rsidR="003255CB">
              <w:rPr>
                <w:webHidden/>
              </w:rPr>
              <w:instrText xml:space="preserve"> PAGEREF _Toc161306030 \h </w:instrText>
            </w:r>
            <w:r w:rsidR="003255CB">
              <w:rPr>
                <w:webHidden/>
              </w:rPr>
            </w:r>
            <w:r w:rsidR="003255CB">
              <w:rPr>
                <w:webHidden/>
              </w:rPr>
              <w:fldChar w:fldCharType="separate"/>
            </w:r>
            <w:r w:rsidR="00D158DC">
              <w:rPr>
                <w:webHidden/>
              </w:rPr>
              <w:t>5</w:t>
            </w:r>
            <w:r w:rsidR="003255CB">
              <w:rPr>
                <w:webHidden/>
              </w:rPr>
              <w:fldChar w:fldCharType="end"/>
            </w:r>
          </w:hyperlink>
        </w:p>
        <w:p w14:paraId="4D1A07AB" w14:textId="104BFA94" w:rsidR="003255CB" w:rsidRDefault="00D158DC">
          <w:pPr>
            <w:pStyle w:val="TOC1"/>
            <w:rPr>
              <w:rFonts w:eastAsiaTheme="minorEastAsia"/>
              <w:b w:val="0"/>
              <w:kern w:val="2"/>
              <w:lang w:eastAsia="en-AU"/>
              <w14:ligatures w14:val="standardContextual"/>
            </w:rPr>
          </w:pPr>
          <w:hyperlink w:anchor="_Toc161306031" w:history="1">
            <w:r w:rsidR="003255CB" w:rsidRPr="00E674CA">
              <w:rPr>
                <w:rStyle w:val="Hyperlink"/>
              </w:rPr>
              <w:t>1.</w:t>
            </w:r>
            <w:r w:rsidR="003255CB">
              <w:rPr>
                <w:rFonts w:eastAsiaTheme="minorEastAsia"/>
                <w:b w:val="0"/>
                <w:kern w:val="2"/>
                <w:lang w:eastAsia="en-AU"/>
                <w14:ligatures w14:val="standardContextual"/>
              </w:rPr>
              <w:tab/>
            </w:r>
            <w:r w:rsidR="003255CB" w:rsidRPr="00E674CA">
              <w:rPr>
                <w:rStyle w:val="Hyperlink"/>
              </w:rPr>
              <w:t>Introduction</w:t>
            </w:r>
            <w:r w:rsidR="003255CB">
              <w:rPr>
                <w:webHidden/>
              </w:rPr>
              <w:tab/>
            </w:r>
            <w:r w:rsidR="003255CB">
              <w:rPr>
                <w:webHidden/>
              </w:rPr>
              <w:fldChar w:fldCharType="begin"/>
            </w:r>
            <w:r w:rsidR="003255CB">
              <w:rPr>
                <w:webHidden/>
              </w:rPr>
              <w:instrText xml:space="preserve"> PAGEREF _Toc161306031 \h </w:instrText>
            </w:r>
            <w:r w:rsidR="003255CB">
              <w:rPr>
                <w:webHidden/>
              </w:rPr>
            </w:r>
            <w:r w:rsidR="003255CB">
              <w:rPr>
                <w:webHidden/>
              </w:rPr>
              <w:fldChar w:fldCharType="separate"/>
            </w:r>
            <w:r>
              <w:rPr>
                <w:webHidden/>
              </w:rPr>
              <w:t>6</w:t>
            </w:r>
            <w:r w:rsidR="003255CB">
              <w:rPr>
                <w:webHidden/>
              </w:rPr>
              <w:fldChar w:fldCharType="end"/>
            </w:r>
          </w:hyperlink>
        </w:p>
        <w:p w14:paraId="7AA4F8AB" w14:textId="0C73FDDE" w:rsidR="003255CB" w:rsidRDefault="00D158DC">
          <w:pPr>
            <w:pStyle w:val="TOC2"/>
            <w:tabs>
              <w:tab w:val="left" w:pos="1100"/>
            </w:tabs>
            <w:rPr>
              <w:rFonts w:eastAsiaTheme="minorEastAsia"/>
              <w:kern w:val="2"/>
              <w:lang w:eastAsia="en-AU"/>
              <w14:ligatures w14:val="standardContextual"/>
            </w:rPr>
          </w:pPr>
          <w:hyperlink w:anchor="_Toc161306032" w:history="1">
            <w:r w:rsidR="003255CB" w:rsidRPr="00E674CA">
              <w:rPr>
                <w:rStyle w:val="Hyperlink"/>
              </w:rPr>
              <w:t>1.1</w:t>
            </w:r>
            <w:r w:rsidR="003255CB">
              <w:rPr>
                <w:rFonts w:eastAsiaTheme="minorEastAsia"/>
                <w:kern w:val="2"/>
                <w:lang w:eastAsia="en-AU"/>
                <w14:ligatures w14:val="standardContextual"/>
              </w:rPr>
              <w:tab/>
            </w:r>
            <w:r w:rsidR="003255CB" w:rsidRPr="00E674CA">
              <w:rPr>
                <w:rStyle w:val="Hyperlink"/>
              </w:rPr>
              <w:t>The role of the energy sector in Australia’s net zero transformation</w:t>
            </w:r>
            <w:r w:rsidR="003255CB">
              <w:rPr>
                <w:webHidden/>
              </w:rPr>
              <w:tab/>
            </w:r>
            <w:r w:rsidR="003255CB">
              <w:rPr>
                <w:webHidden/>
              </w:rPr>
              <w:fldChar w:fldCharType="begin"/>
            </w:r>
            <w:r w:rsidR="003255CB">
              <w:rPr>
                <w:webHidden/>
              </w:rPr>
              <w:instrText xml:space="preserve"> PAGEREF _Toc161306032 \h </w:instrText>
            </w:r>
            <w:r w:rsidR="003255CB">
              <w:rPr>
                <w:webHidden/>
              </w:rPr>
            </w:r>
            <w:r w:rsidR="003255CB">
              <w:rPr>
                <w:webHidden/>
              </w:rPr>
              <w:fldChar w:fldCharType="separate"/>
            </w:r>
            <w:r>
              <w:rPr>
                <w:webHidden/>
              </w:rPr>
              <w:t>8</w:t>
            </w:r>
            <w:r w:rsidR="003255CB">
              <w:rPr>
                <w:webHidden/>
              </w:rPr>
              <w:fldChar w:fldCharType="end"/>
            </w:r>
          </w:hyperlink>
        </w:p>
        <w:p w14:paraId="25E4B840" w14:textId="7B71E325" w:rsidR="003255CB" w:rsidRDefault="00D158DC">
          <w:pPr>
            <w:pStyle w:val="TOC2"/>
            <w:tabs>
              <w:tab w:val="left" w:pos="1100"/>
            </w:tabs>
            <w:rPr>
              <w:rFonts w:eastAsiaTheme="minorEastAsia"/>
              <w:kern w:val="2"/>
              <w:lang w:eastAsia="en-AU"/>
              <w14:ligatures w14:val="standardContextual"/>
            </w:rPr>
          </w:pPr>
          <w:hyperlink w:anchor="_Toc161306033" w:history="1">
            <w:r w:rsidR="003255CB" w:rsidRPr="00E674CA">
              <w:rPr>
                <w:rStyle w:val="Hyperlink"/>
              </w:rPr>
              <w:t>1.2</w:t>
            </w:r>
            <w:r w:rsidR="003255CB">
              <w:rPr>
                <w:rFonts w:eastAsiaTheme="minorEastAsia"/>
                <w:kern w:val="2"/>
                <w:lang w:eastAsia="en-AU"/>
                <w14:ligatures w14:val="standardContextual"/>
              </w:rPr>
              <w:tab/>
            </w:r>
            <w:r w:rsidR="003255CB" w:rsidRPr="00E674CA">
              <w:rPr>
                <w:rStyle w:val="Hyperlink"/>
              </w:rPr>
              <w:t>The Australian Government has an ambitious but achievable plan for the electricity and energy sector</w:t>
            </w:r>
            <w:r w:rsidR="003255CB">
              <w:rPr>
                <w:webHidden/>
              </w:rPr>
              <w:tab/>
            </w:r>
            <w:r w:rsidR="003255CB">
              <w:rPr>
                <w:webHidden/>
              </w:rPr>
              <w:fldChar w:fldCharType="begin"/>
            </w:r>
            <w:r w:rsidR="003255CB">
              <w:rPr>
                <w:webHidden/>
              </w:rPr>
              <w:instrText xml:space="preserve"> PAGEREF _Toc161306033 \h </w:instrText>
            </w:r>
            <w:r w:rsidR="003255CB">
              <w:rPr>
                <w:webHidden/>
              </w:rPr>
            </w:r>
            <w:r w:rsidR="003255CB">
              <w:rPr>
                <w:webHidden/>
              </w:rPr>
              <w:fldChar w:fldCharType="separate"/>
            </w:r>
            <w:r>
              <w:rPr>
                <w:webHidden/>
              </w:rPr>
              <w:t>10</w:t>
            </w:r>
            <w:r w:rsidR="003255CB">
              <w:rPr>
                <w:webHidden/>
              </w:rPr>
              <w:fldChar w:fldCharType="end"/>
            </w:r>
          </w:hyperlink>
        </w:p>
        <w:p w14:paraId="527D3A1A" w14:textId="0E24B586" w:rsidR="003255CB" w:rsidRDefault="00D158DC">
          <w:pPr>
            <w:pStyle w:val="TOC2"/>
            <w:tabs>
              <w:tab w:val="left" w:pos="1100"/>
            </w:tabs>
            <w:rPr>
              <w:rFonts w:eastAsiaTheme="minorEastAsia"/>
              <w:kern w:val="2"/>
              <w:lang w:eastAsia="en-AU"/>
              <w14:ligatures w14:val="standardContextual"/>
            </w:rPr>
          </w:pPr>
          <w:hyperlink w:anchor="_Toc161306034" w:history="1">
            <w:r w:rsidR="003255CB" w:rsidRPr="00E674CA">
              <w:rPr>
                <w:rStyle w:val="Hyperlink"/>
              </w:rPr>
              <w:t>1.3</w:t>
            </w:r>
            <w:r w:rsidR="003255CB">
              <w:rPr>
                <w:rFonts w:eastAsiaTheme="minorEastAsia"/>
                <w:kern w:val="2"/>
                <w:lang w:eastAsia="en-AU"/>
                <w14:ligatures w14:val="standardContextual"/>
              </w:rPr>
              <w:tab/>
            </w:r>
            <w:r w:rsidR="003255CB" w:rsidRPr="00E674CA">
              <w:rPr>
                <w:rStyle w:val="Hyperlink"/>
              </w:rPr>
              <w:t>Have your say</w:t>
            </w:r>
            <w:r w:rsidR="003255CB">
              <w:rPr>
                <w:webHidden/>
              </w:rPr>
              <w:tab/>
            </w:r>
            <w:r w:rsidR="003255CB">
              <w:rPr>
                <w:webHidden/>
              </w:rPr>
              <w:fldChar w:fldCharType="begin"/>
            </w:r>
            <w:r w:rsidR="003255CB">
              <w:rPr>
                <w:webHidden/>
              </w:rPr>
              <w:instrText xml:space="preserve"> PAGEREF _Toc161306034 \h </w:instrText>
            </w:r>
            <w:r w:rsidR="003255CB">
              <w:rPr>
                <w:webHidden/>
              </w:rPr>
            </w:r>
            <w:r w:rsidR="003255CB">
              <w:rPr>
                <w:webHidden/>
              </w:rPr>
              <w:fldChar w:fldCharType="separate"/>
            </w:r>
            <w:r>
              <w:rPr>
                <w:webHidden/>
              </w:rPr>
              <w:t>12</w:t>
            </w:r>
            <w:r w:rsidR="003255CB">
              <w:rPr>
                <w:webHidden/>
              </w:rPr>
              <w:fldChar w:fldCharType="end"/>
            </w:r>
          </w:hyperlink>
        </w:p>
        <w:p w14:paraId="292AE2E5" w14:textId="1446A7E3" w:rsidR="003255CB" w:rsidRDefault="00D158DC">
          <w:pPr>
            <w:pStyle w:val="TOC1"/>
            <w:rPr>
              <w:rFonts w:eastAsiaTheme="minorEastAsia"/>
              <w:b w:val="0"/>
              <w:kern w:val="2"/>
              <w:lang w:eastAsia="en-AU"/>
              <w14:ligatures w14:val="standardContextual"/>
            </w:rPr>
          </w:pPr>
          <w:hyperlink w:anchor="_Toc161306035" w:history="1">
            <w:r w:rsidR="003255CB" w:rsidRPr="00E674CA">
              <w:rPr>
                <w:rStyle w:val="Hyperlink"/>
              </w:rPr>
              <w:t>2.</w:t>
            </w:r>
            <w:r w:rsidR="003255CB">
              <w:rPr>
                <w:rFonts w:eastAsiaTheme="minorEastAsia"/>
                <w:b w:val="0"/>
                <w:kern w:val="2"/>
                <w:lang w:eastAsia="en-AU"/>
                <w14:ligatures w14:val="standardContextual"/>
              </w:rPr>
              <w:tab/>
            </w:r>
            <w:r w:rsidR="003255CB" w:rsidRPr="00E674CA">
              <w:rPr>
                <w:rStyle w:val="Hyperlink"/>
              </w:rPr>
              <w:t>Mobilising investment to transform energy</w:t>
            </w:r>
            <w:r w:rsidR="003255CB">
              <w:rPr>
                <w:webHidden/>
              </w:rPr>
              <w:tab/>
            </w:r>
            <w:r w:rsidR="003255CB">
              <w:rPr>
                <w:webHidden/>
              </w:rPr>
              <w:fldChar w:fldCharType="begin"/>
            </w:r>
            <w:r w:rsidR="003255CB">
              <w:rPr>
                <w:webHidden/>
              </w:rPr>
              <w:instrText xml:space="preserve"> PAGEREF _Toc161306035 \h </w:instrText>
            </w:r>
            <w:r w:rsidR="003255CB">
              <w:rPr>
                <w:webHidden/>
              </w:rPr>
            </w:r>
            <w:r w:rsidR="003255CB">
              <w:rPr>
                <w:webHidden/>
              </w:rPr>
              <w:fldChar w:fldCharType="separate"/>
            </w:r>
            <w:r>
              <w:rPr>
                <w:webHidden/>
              </w:rPr>
              <w:t>13</w:t>
            </w:r>
            <w:r w:rsidR="003255CB">
              <w:rPr>
                <w:webHidden/>
              </w:rPr>
              <w:fldChar w:fldCharType="end"/>
            </w:r>
          </w:hyperlink>
        </w:p>
        <w:p w14:paraId="6D4F30CC" w14:textId="17A76E45" w:rsidR="003255CB" w:rsidRDefault="00D158DC">
          <w:pPr>
            <w:pStyle w:val="TOC2"/>
            <w:tabs>
              <w:tab w:val="left" w:pos="1100"/>
            </w:tabs>
            <w:rPr>
              <w:rFonts w:eastAsiaTheme="minorEastAsia"/>
              <w:kern w:val="2"/>
              <w:lang w:eastAsia="en-AU"/>
              <w14:ligatures w14:val="standardContextual"/>
            </w:rPr>
          </w:pPr>
          <w:hyperlink w:anchor="_Toc161306036" w:history="1">
            <w:r w:rsidR="003255CB" w:rsidRPr="00E674CA">
              <w:rPr>
                <w:rStyle w:val="Hyperlink"/>
              </w:rPr>
              <w:t>2.1</w:t>
            </w:r>
            <w:r w:rsidR="003255CB">
              <w:rPr>
                <w:rFonts w:eastAsiaTheme="minorEastAsia"/>
                <w:kern w:val="2"/>
                <w:lang w:eastAsia="en-AU"/>
                <w14:ligatures w14:val="standardContextual"/>
              </w:rPr>
              <w:tab/>
            </w:r>
            <w:r w:rsidR="003255CB" w:rsidRPr="00E674CA">
              <w:rPr>
                <w:rStyle w:val="Hyperlink"/>
              </w:rPr>
              <w:t>The energy transformation will require large amounts of investment</w:t>
            </w:r>
            <w:r w:rsidR="003255CB">
              <w:rPr>
                <w:webHidden/>
              </w:rPr>
              <w:tab/>
            </w:r>
            <w:r w:rsidR="003255CB">
              <w:rPr>
                <w:webHidden/>
              </w:rPr>
              <w:fldChar w:fldCharType="begin"/>
            </w:r>
            <w:r w:rsidR="003255CB">
              <w:rPr>
                <w:webHidden/>
              </w:rPr>
              <w:instrText xml:space="preserve"> PAGEREF _Toc161306036 \h </w:instrText>
            </w:r>
            <w:r w:rsidR="003255CB">
              <w:rPr>
                <w:webHidden/>
              </w:rPr>
            </w:r>
            <w:r w:rsidR="003255CB">
              <w:rPr>
                <w:webHidden/>
              </w:rPr>
              <w:fldChar w:fldCharType="separate"/>
            </w:r>
            <w:r>
              <w:rPr>
                <w:webHidden/>
              </w:rPr>
              <w:t>13</w:t>
            </w:r>
            <w:r w:rsidR="003255CB">
              <w:rPr>
                <w:webHidden/>
              </w:rPr>
              <w:fldChar w:fldCharType="end"/>
            </w:r>
          </w:hyperlink>
        </w:p>
        <w:p w14:paraId="120FF880" w14:textId="1FB01A46" w:rsidR="003255CB" w:rsidRDefault="00D158DC">
          <w:pPr>
            <w:pStyle w:val="TOC2"/>
            <w:tabs>
              <w:tab w:val="left" w:pos="1100"/>
            </w:tabs>
            <w:rPr>
              <w:rFonts w:eastAsiaTheme="minorEastAsia"/>
              <w:kern w:val="2"/>
              <w:lang w:eastAsia="en-AU"/>
              <w14:ligatures w14:val="standardContextual"/>
            </w:rPr>
          </w:pPr>
          <w:hyperlink w:anchor="_Toc161306037" w:history="1">
            <w:r w:rsidR="003255CB" w:rsidRPr="00E674CA">
              <w:rPr>
                <w:rStyle w:val="Hyperlink"/>
              </w:rPr>
              <w:t>2.2</w:t>
            </w:r>
            <w:r w:rsidR="003255CB">
              <w:rPr>
                <w:rFonts w:eastAsiaTheme="minorEastAsia"/>
                <w:kern w:val="2"/>
                <w:lang w:eastAsia="en-AU"/>
                <w14:ligatures w14:val="standardContextual"/>
              </w:rPr>
              <w:tab/>
            </w:r>
            <w:r w:rsidR="003255CB" w:rsidRPr="00E674CA">
              <w:rPr>
                <w:rStyle w:val="Hyperlink"/>
              </w:rPr>
              <w:t>Wholesale electricity market design will change to drive efficient investment in a renewable future</w:t>
            </w:r>
            <w:r w:rsidR="003255CB">
              <w:rPr>
                <w:webHidden/>
              </w:rPr>
              <w:tab/>
            </w:r>
            <w:r w:rsidR="003255CB">
              <w:rPr>
                <w:webHidden/>
              </w:rPr>
              <w:fldChar w:fldCharType="begin"/>
            </w:r>
            <w:r w:rsidR="003255CB">
              <w:rPr>
                <w:webHidden/>
              </w:rPr>
              <w:instrText xml:space="preserve"> PAGEREF _Toc161306037 \h </w:instrText>
            </w:r>
            <w:r w:rsidR="003255CB">
              <w:rPr>
                <w:webHidden/>
              </w:rPr>
            </w:r>
            <w:r w:rsidR="003255CB">
              <w:rPr>
                <w:webHidden/>
              </w:rPr>
              <w:fldChar w:fldCharType="separate"/>
            </w:r>
            <w:r>
              <w:rPr>
                <w:webHidden/>
              </w:rPr>
              <w:t>15</w:t>
            </w:r>
            <w:r w:rsidR="003255CB">
              <w:rPr>
                <w:webHidden/>
              </w:rPr>
              <w:fldChar w:fldCharType="end"/>
            </w:r>
          </w:hyperlink>
        </w:p>
        <w:p w14:paraId="09BCF9AE" w14:textId="2ECDA8F9" w:rsidR="003255CB" w:rsidRDefault="00D158DC">
          <w:pPr>
            <w:pStyle w:val="TOC2"/>
            <w:tabs>
              <w:tab w:val="left" w:pos="1100"/>
            </w:tabs>
            <w:rPr>
              <w:rFonts w:eastAsiaTheme="minorEastAsia"/>
              <w:kern w:val="2"/>
              <w:lang w:eastAsia="en-AU"/>
              <w14:ligatures w14:val="standardContextual"/>
            </w:rPr>
          </w:pPr>
          <w:hyperlink w:anchor="_Toc161306038" w:history="1">
            <w:r w:rsidR="003255CB" w:rsidRPr="00E674CA">
              <w:rPr>
                <w:rStyle w:val="Hyperlink"/>
              </w:rPr>
              <w:t>2.3</w:t>
            </w:r>
            <w:r w:rsidR="003255CB">
              <w:rPr>
                <w:rFonts w:eastAsiaTheme="minorEastAsia"/>
                <w:kern w:val="2"/>
                <w:lang w:eastAsia="en-AU"/>
                <w14:ligatures w14:val="standardContextual"/>
              </w:rPr>
              <w:tab/>
            </w:r>
            <w:r w:rsidR="003255CB" w:rsidRPr="00E674CA">
              <w:rPr>
                <w:rStyle w:val="Hyperlink"/>
              </w:rPr>
              <w:t>Australia as a renewable energy exporter: opportunities and challenges</w:t>
            </w:r>
            <w:r w:rsidR="003255CB">
              <w:rPr>
                <w:webHidden/>
              </w:rPr>
              <w:tab/>
            </w:r>
            <w:r w:rsidR="003255CB">
              <w:rPr>
                <w:webHidden/>
              </w:rPr>
              <w:fldChar w:fldCharType="begin"/>
            </w:r>
            <w:r w:rsidR="003255CB">
              <w:rPr>
                <w:webHidden/>
              </w:rPr>
              <w:instrText xml:space="preserve"> PAGEREF _Toc161306038 \h </w:instrText>
            </w:r>
            <w:r w:rsidR="003255CB">
              <w:rPr>
                <w:webHidden/>
              </w:rPr>
            </w:r>
            <w:r w:rsidR="003255CB">
              <w:rPr>
                <w:webHidden/>
              </w:rPr>
              <w:fldChar w:fldCharType="separate"/>
            </w:r>
            <w:r>
              <w:rPr>
                <w:webHidden/>
              </w:rPr>
              <w:t>16</w:t>
            </w:r>
            <w:r w:rsidR="003255CB">
              <w:rPr>
                <w:webHidden/>
              </w:rPr>
              <w:fldChar w:fldCharType="end"/>
            </w:r>
          </w:hyperlink>
        </w:p>
        <w:p w14:paraId="31C33E03" w14:textId="56629514" w:rsidR="003255CB" w:rsidRDefault="00D158DC">
          <w:pPr>
            <w:pStyle w:val="TOC1"/>
            <w:rPr>
              <w:rFonts w:eastAsiaTheme="minorEastAsia"/>
              <w:b w:val="0"/>
              <w:kern w:val="2"/>
              <w:lang w:eastAsia="en-AU"/>
              <w14:ligatures w14:val="standardContextual"/>
            </w:rPr>
          </w:pPr>
          <w:hyperlink w:anchor="_Toc161306039" w:history="1">
            <w:r w:rsidR="003255CB" w:rsidRPr="00E674CA">
              <w:rPr>
                <w:rStyle w:val="Hyperlink"/>
              </w:rPr>
              <w:t>3.</w:t>
            </w:r>
            <w:r w:rsidR="003255CB">
              <w:rPr>
                <w:rFonts w:eastAsiaTheme="minorEastAsia"/>
                <w:b w:val="0"/>
                <w:kern w:val="2"/>
                <w:lang w:eastAsia="en-AU"/>
                <w14:ligatures w14:val="standardContextual"/>
              </w:rPr>
              <w:tab/>
            </w:r>
            <w:r w:rsidR="003255CB" w:rsidRPr="00E674CA">
              <w:rPr>
                <w:rStyle w:val="Hyperlink"/>
              </w:rPr>
              <w:t>Enabling electrification for a smooth transition</w:t>
            </w:r>
            <w:r w:rsidR="003255CB">
              <w:rPr>
                <w:webHidden/>
              </w:rPr>
              <w:tab/>
            </w:r>
            <w:r w:rsidR="003255CB">
              <w:rPr>
                <w:webHidden/>
              </w:rPr>
              <w:fldChar w:fldCharType="begin"/>
            </w:r>
            <w:r w:rsidR="003255CB">
              <w:rPr>
                <w:webHidden/>
              </w:rPr>
              <w:instrText xml:space="preserve"> PAGEREF _Toc161306039 \h </w:instrText>
            </w:r>
            <w:r w:rsidR="003255CB">
              <w:rPr>
                <w:webHidden/>
              </w:rPr>
            </w:r>
            <w:r w:rsidR="003255CB">
              <w:rPr>
                <w:webHidden/>
              </w:rPr>
              <w:fldChar w:fldCharType="separate"/>
            </w:r>
            <w:r>
              <w:rPr>
                <w:webHidden/>
              </w:rPr>
              <w:t>18</w:t>
            </w:r>
            <w:r w:rsidR="003255CB">
              <w:rPr>
                <w:webHidden/>
              </w:rPr>
              <w:fldChar w:fldCharType="end"/>
            </w:r>
          </w:hyperlink>
        </w:p>
        <w:p w14:paraId="2A2EBC9A" w14:textId="145342BD" w:rsidR="003255CB" w:rsidRDefault="00D158DC">
          <w:pPr>
            <w:pStyle w:val="TOC2"/>
            <w:tabs>
              <w:tab w:val="left" w:pos="1100"/>
            </w:tabs>
            <w:rPr>
              <w:rFonts w:eastAsiaTheme="minorEastAsia"/>
              <w:kern w:val="2"/>
              <w:lang w:eastAsia="en-AU"/>
              <w14:ligatures w14:val="standardContextual"/>
            </w:rPr>
          </w:pPr>
          <w:hyperlink w:anchor="_Toc161306040" w:history="1">
            <w:r w:rsidR="003255CB" w:rsidRPr="00E674CA">
              <w:rPr>
                <w:rStyle w:val="Hyperlink"/>
              </w:rPr>
              <w:t>3.1</w:t>
            </w:r>
            <w:r w:rsidR="003255CB">
              <w:rPr>
                <w:rFonts w:eastAsiaTheme="minorEastAsia"/>
                <w:kern w:val="2"/>
                <w:lang w:eastAsia="en-AU"/>
                <w14:ligatures w14:val="standardContextual"/>
              </w:rPr>
              <w:tab/>
            </w:r>
            <w:r w:rsidR="003255CB" w:rsidRPr="00E674CA">
              <w:rPr>
                <w:rStyle w:val="Hyperlink"/>
              </w:rPr>
              <w:t>Electrification is a cost-efficient and effective pathway to decarbonise the Australian economy</w:t>
            </w:r>
            <w:r w:rsidR="003255CB">
              <w:rPr>
                <w:webHidden/>
              </w:rPr>
              <w:tab/>
            </w:r>
            <w:r w:rsidR="003255CB">
              <w:rPr>
                <w:webHidden/>
              </w:rPr>
              <w:fldChar w:fldCharType="begin"/>
            </w:r>
            <w:r w:rsidR="003255CB">
              <w:rPr>
                <w:webHidden/>
              </w:rPr>
              <w:instrText xml:space="preserve"> PAGEREF _Toc161306040 \h </w:instrText>
            </w:r>
            <w:r w:rsidR="003255CB">
              <w:rPr>
                <w:webHidden/>
              </w:rPr>
            </w:r>
            <w:r w:rsidR="003255CB">
              <w:rPr>
                <w:webHidden/>
              </w:rPr>
              <w:fldChar w:fldCharType="separate"/>
            </w:r>
            <w:r>
              <w:rPr>
                <w:webHidden/>
              </w:rPr>
              <w:t>18</w:t>
            </w:r>
            <w:r w:rsidR="003255CB">
              <w:rPr>
                <w:webHidden/>
              </w:rPr>
              <w:fldChar w:fldCharType="end"/>
            </w:r>
          </w:hyperlink>
        </w:p>
        <w:p w14:paraId="5E062CAC" w14:textId="39ED9C49" w:rsidR="003255CB" w:rsidRDefault="00D158DC">
          <w:pPr>
            <w:pStyle w:val="TOC2"/>
            <w:tabs>
              <w:tab w:val="left" w:pos="1100"/>
            </w:tabs>
            <w:rPr>
              <w:rFonts w:eastAsiaTheme="minorEastAsia"/>
              <w:kern w:val="2"/>
              <w:lang w:eastAsia="en-AU"/>
              <w14:ligatures w14:val="standardContextual"/>
            </w:rPr>
          </w:pPr>
          <w:hyperlink w:anchor="_Toc161306041" w:history="1">
            <w:r w:rsidR="003255CB" w:rsidRPr="00E674CA">
              <w:rPr>
                <w:rStyle w:val="Hyperlink"/>
                <w:rFonts w:eastAsia="Calibri" w:cs="Calibri"/>
              </w:rPr>
              <w:t>3.2</w:t>
            </w:r>
            <w:r w:rsidR="003255CB">
              <w:rPr>
                <w:rFonts w:eastAsiaTheme="minorEastAsia"/>
                <w:kern w:val="2"/>
                <w:lang w:eastAsia="en-AU"/>
                <w14:ligatures w14:val="standardContextual"/>
              </w:rPr>
              <w:tab/>
            </w:r>
            <w:r w:rsidR="003255CB" w:rsidRPr="00E674CA">
              <w:rPr>
                <w:rStyle w:val="Hyperlink"/>
              </w:rPr>
              <w:t>Working together across the economy will be important in driving electrification</w:t>
            </w:r>
            <w:r w:rsidR="003255CB">
              <w:rPr>
                <w:webHidden/>
              </w:rPr>
              <w:tab/>
            </w:r>
            <w:r w:rsidR="003255CB">
              <w:rPr>
                <w:webHidden/>
              </w:rPr>
              <w:fldChar w:fldCharType="begin"/>
            </w:r>
            <w:r w:rsidR="003255CB">
              <w:rPr>
                <w:webHidden/>
              </w:rPr>
              <w:instrText xml:space="preserve"> PAGEREF _Toc161306041 \h </w:instrText>
            </w:r>
            <w:r w:rsidR="003255CB">
              <w:rPr>
                <w:webHidden/>
              </w:rPr>
            </w:r>
            <w:r w:rsidR="003255CB">
              <w:rPr>
                <w:webHidden/>
              </w:rPr>
              <w:fldChar w:fldCharType="separate"/>
            </w:r>
            <w:r>
              <w:rPr>
                <w:webHidden/>
              </w:rPr>
              <w:t>19</w:t>
            </w:r>
            <w:r w:rsidR="003255CB">
              <w:rPr>
                <w:webHidden/>
              </w:rPr>
              <w:fldChar w:fldCharType="end"/>
            </w:r>
          </w:hyperlink>
        </w:p>
        <w:p w14:paraId="2DEC9C53" w14:textId="45B8C1A1" w:rsidR="003255CB" w:rsidRDefault="00D158DC">
          <w:pPr>
            <w:pStyle w:val="TOC2"/>
            <w:tabs>
              <w:tab w:val="left" w:pos="1100"/>
            </w:tabs>
            <w:rPr>
              <w:rFonts w:eastAsiaTheme="minorEastAsia"/>
              <w:kern w:val="2"/>
              <w:lang w:eastAsia="en-AU"/>
              <w14:ligatures w14:val="standardContextual"/>
            </w:rPr>
          </w:pPr>
          <w:hyperlink w:anchor="_Toc161306042" w:history="1">
            <w:r w:rsidR="003255CB" w:rsidRPr="00E674CA">
              <w:rPr>
                <w:rStyle w:val="Hyperlink"/>
                <w:rFonts w:eastAsia="Calibri" w:cs="Calibri"/>
              </w:rPr>
              <w:t>3.3</w:t>
            </w:r>
            <w:r w:rsidR="003255CB">
              <w:rPr>
                <w:rFonts w:eastAsiaTheme="minorEastAsia"/>
                <w:kern w:val="2"/>
                <w:lang w:eastAsia="en-AU"/>
                <w14:ligatures w14:val="standardContextual"/>
              </w:rPr>
              <w:tab/>
            </w:r>
            <w:r w:rsidR="003255CB" w:rsidRPr="00E674CA">
              <w:rPr>
                <w:rStyle w:val="Hyperlink"/>
              </w:rPr>
              <w:t>Electrification of Australia’s economy will require careful planning</w:t>
            </w:r>
            <w:r w:rsidR="003255CB">
              <w:rPr>
                <w:webHidden/>
              </w:rPr>
              <w:tab/>
            </w:r>
            <w:r w:rsidR="003255CB">
              <w:rPr>
                <w:webHidden/>
              </w:rPr>
              <w:fldChar w:fldCharType="begin"/>
            </w:r>
            <w:r w:rsidR="003255CB">
              <w:rPr>
                <w:webHidden/>
              </w:rPr>
              <w:instrText xml:space="preserve"> PAGEREF _Toc161306042 \h </w:instrText>
            </w:r>
            <w:r w:rsidR="003255CB">
              <w:rPr>
                <w:webHidden/>
              </w:rPr>
            </w:r>
            <w:r w:rsidR="003255CB">
              <w:rPr>
                <w:webHidden/>
              </w:rPr>
              <w:fldChar w:fldCharType="separate"/>
            </w:r>
            <w:r>
              <w:rPr>
                <w:webHidden/>
              </w:rPr>
              <w:t>20</w:t>
            </w:r>
            <w:r w:rsidR="003255CB">
              <w:rPr>
                <w:webHidden/>
              </w:rPr>
              <w:fldChar w:fldCharType="end"/>
            </w:r>
          </w:hyperlink>
        </w:p>
        <w:p w14:paraId="6935EDD2" w14:textId="18A3BE04" w:rsidR="003255CB" w:rsidRDefault="00D158DC">
          <w:pPr>
            <w:pStyle w:val="TOC2"/>
            <w:tabs>
              <w:tab w:val="left" w:pos="1100"/>
            </w:tabs>
            <w:rPr>
              <w:rFonts w:eastAsiaTheme="minorEastAsia"/>
              <w:kern w:val="2"/>
              <w:lang w:eastAsia="en-AU"/>
              <w14:ligatures w14:val="standardContextual"/>
            </w:rPr>
          </w:pPr>
          <w:hyperlink w:anchor="_Toc161306043" w:history="1">
            <w:r w:rsidR="003255CB" w:rsidRPr="00E674CA">
              <w:rPr>
                <w:rStyle w:val="Hyperlink"/>
              </w:rPr>
              <w:t>3.4</w:t>
            </w:r>
            <w:r w:rsidR="003255CB">
              <w:rPr>
                <w:rFonts w:eastAsiaTheme="minorEastAsia"/>
                <w:kern w:val="2"/>
                <w:lang w:eastAsia="en-AU"/>
                <w14:ligatures w14:val="standardContextual"/>
              </w:rPr>
              <w:tab/>
            </w:r>
            <w:r w:rsidR="003255CB" w:rsidRPr="00E674CA">
              <w:rPr>
                <w:rStyle w:val="Hyperlink"/>
              </w:rPr>
              <w:t>Information and data will be needed for planning</w:t>
            </w:r>
            <w:r w:rsidR="003255CB">
              <w:rPr>
                <w:webHidden/>
              </w:rPr>
              <w:tab/>
            </w:r>
            <w:r w:rsidR="003255CB">
              <w:rPr>
                <w:webHidden/>
              </w:rPr>
              <w:fldChar w:fldCharType="begin"/>
            </w:r>
            <w:r w:rsidR="003255CB">
              <w:rPr>
                <w:webHidden/>
              </w:rPr>
              <w:instrText xml:space="preserve"> PAGEREF _Toc161306043 \h </w:instrText>
            </w:r>
            <w:r w:rsidR="003255CB">
              <w:rPr>
                <w:webHidden/>
              </w:rPr>
            </w:r>
            <w:r w:rsidR="003255CB">
              <w:rPr>
                <w:webHidden/>
              </w:rPr>
              <w:fldChar w:fldCharType="separate"/>
            </w:r>
            <w:r>
              <w:rPr>
                <w:webHidden/>
              </w:rPr>
              <w:t>21</w:t>
            </w:r>
            <w:r w:rsidR="003255CB">
              <w:rPr>
                <w:webHidden/>
              </w:rPr>
              <w:fldChar w:fldCharType="end"/>
            </w:r>
          </w:hyperlink>
        </w:p>
        <w:p w14:paraId="54F1910A" w14:textId="6A1CD859" w:rsidR="003255CB" w:rsidRDefault="00D158DC">
          <w:pPr>
            <w:pStyle w:val="TOC1"/>
            <w:rPr>
              <w:rFonts w:eastAsiaTheme="minorEastAsia"/>
              <w:b w:val="0"/>
              <w:kern w:val="2"/>
              <w:lang w:eastAsia="en-AU"/>
              <w14:ligatures w14:val="standardContextual"/>
            </w:rPr>
          </w:pPr>
          <w:hyperlink w:anchor="_Toc161306044" w:history="1">
            <w:r w:rsidR="003255CB" w:rsidRPr="00E674CA">
              <w:rPr>
                <w:rStyle w:val="Hyperlink"/>
              </w:rPr>
              <w:t>4.</w:t>
            </w:r>
            <w:r w:rsidR="003255CB">
              <w:rPr>
                <w:rFonts w:eastAsiaTheme="minorEastAsia"/>
                <w:b w:val="0"/>
                <w:kern w:val="2"/>
                <w:lang w:eastAsia="en-AU"/>
                <w14:ligatures w14:val="standardContextual"/>
              </w:rPr>
              <w:tab/>
            </w:r>
            <w:r w:rsidR="003255CB" w:rsidRPr="00E674CA">
              <w:rPr>
                <w:rStyle w:val="Hyperlink"/>
              </w:rPr>
              <w:t>Growing alternative low carbon fuels</w:t>
            </w:r>
            <w:r w:rsidR="003255CB">
              <w:rPr>
                <w:webHidden/>
              </w:rPr>
              <w:tab/>
            </w:r>
            <w:r w:rsidR="003255CB">
              <w:rPr>
                <w:webHidden/>
              </w:rPr>
              <w:fldChar w:fldCharType="begin"/>
            </w:r>
            <w:r w:rsidR="003255CB">
              <w:rPr>
                <w:webHidden/>
              </w:rPr>
              <w:instrText xml:space="preserve"> PAGEREF _Toc161306044 \h </w:instrText>
            </w:r>
            <w:r w:rsidR="003255CB">
              <w:rPr>
                <w:webHidden/>
              </w:rPr>
            </w:r>
            <w:r w:rsidR="003255CB">
              <w:rPr>
                <w:webHidden/>
              </w:rPr>
              <w:fldChar w:fldCharType="separate"/>
            </w:r>
            <w:r>
              <w:rPr>
                <w:webHidden/>
              </w:rPr>
              <w:t>23</w:t>
            </w:r>
            <w:r w:rsidR="003255CB">
              <w:rPr>
                <w:webHidden/>
              </w:rPr>
              <w:fldChar w:fldCharType="end"/>
            </w:r>
          </w:hyperlink>
        </w:p>
        <w:p w14:paraId="52562138" w14:textId="205AB208" w:rsidR="003255CB" w:rsidRDefault="00D158DC">
          <w:pPr>
            <w:pStyle w:val="TOC2"/>
            <w:tabs>
              <w:tab w:val="left" w:pos="1100"/>
            </w:tabs>
            <w:rPr>
              <w:rFonts w:eastAsiaTheme="minorEastAsia"/>
              <w:kern w:val="2"/>
              <w:lang w:eastAsia="en-AU"/>
              <w14:ligatures w14:val="standardContextual"/>
            </w:rPr>
          </w:pPr>
          <w:hyperlink w:anchor="_Toc161306045" w:history="1">
            <w:r w:rsidR="003255CB" w:rsidRPr="00E674CA">
              <w:rPr>
                <w:rStyle w:val="Hyperlink"/>
              </w:rPr>
              <w:t>4.1</w:t>
            </w:r>
            <w:r w:rsidR="003255CB">
              <w:rPr>
                <w:rFonts w:eastAsiaTheme="minorEastAsia"/>
                <w:kern w:val="2"/>
                <w:lang w:eastAsia="en-AU"/>
                <w14:ligatures w14:val="standardContextual"/>
              </w:rPr>
              <w:tab/>
            </w:r>
            <w:r w:rsidR="003255CB" w:rsidRPr="00E674CA">
              <w:rPr>
                <w:rStyle w:val="Hyperlink"/>
              </w:rPr>
              <w:t>Multiple technologies could play a role in the decarbonisation of the gas sector</w:t>
            </w:r>
            <w:r w:rsidR="003255CB">
              <w:rPr>
                <w:webHidden/>
              </w:rPr>
              <w:tab/>
            </w:r>
            <w:r w:rsidR="003255CB">
              <w:rPr>
                <w:webHidden/>
              </w:rPr>
              <w:fldChar w:fldCharType="begin"/>
            </w:r>
            <w:r w:rsidR="003255CB">
              <w:rPr>
                <w:webHidden/>
              </w:rPr>
              <w:instrText xml:space="preserve"> PAGEREF _Toc161306045 \h </w:instrText>
            </w:r>
            <w:r w:rsidR="003255CB">
              <w:rPr>
                <w:webHidden/>
              </w:rPr>
            </w:r>
            <w:r w:rsidR="003255CB">
              <w:rPr>
                <w:webHidden/>
              </w:rPr>
              <w:fldChar w:fldCharType="separate"/>
            </w:r>
            <w:r>
              <w:rPr>
                <w:webHidden/>
              </w:rPr>
              <w:t>24</w:t>
            </w:r>
            <w:r w:rsidR="003255CB">
              <w:rPr>
                <w:webHidden/>
              </w:rPr>
              <w:fldChar w:fldCharType="end"/>
            </w:r>
          </w:hyperlink>
        </w:p>
        <w:p w14:paraId="4D455376" w14:textId="2ABAC7F7" w:rsidR="003255CB" w:rsidRDefault="00D158DC">
          <w:pPr>
            <w:pStyle w:val="TOC2"/>
            <w:tabs>
              <w:tab w:val="left" w:pos="1100"/>
            </w:tabs>
            <w:rPr>
              <w:rFonts w:eastAsiaTheme="minorEastAsia"/>
              <w:kern w:val="2"/>
              <w:lang w:eastAsia="en-AU"/>
              <w14:ligatures w14:val="standardContextual"/>
            </w:rPr>
          </w:pPr>
          <w:hyperlink w:anchor="_Toc161306046" w:history="1">
            <w:r w:rsidR="003255CB" w:rsidRPr="00E674CA">
              <w:rPr>
                <w:rStyle w:val="Hyperlink"/>
              </w:rPr>
              <w:t>4.2</w:t>
            </w:r>
            <w:r w:rsidR="003255CB">
              <w:rPr>
                <w:rFonts w:eastAsiaTheme="minorEastAsia"/>
                <w:kern w:val="2"/>
                <w:lang w:eastAsia="en-AU"/>
                <w14:ligatures w14:val="standardContextual"/>
              </w:rPr>
              <w:tab/>
            </w:r>
            <w:r w:rsidR="003255CB" w:rsidRPr="00E674CA">
              <w:rPr>
                <w:rStyle w:val="Hyperlink"/>
              </w:rPr>
              <w:t>The gas regulatory framework needs to be fit for the future</w:t>
            </w:r>
            <w:r w:rsidR="003255CB">
              <w:rPr>
                <w:webHidden/>
              </w:rPr>
              <w:tab/>
            </w:r>
            <w:r w:rsidR="003255CB">
              <w:rPr>
                <w:webHidden/>
              </w:rPr>
              <w:fldChar w:fldCharType="begin"/>
            </w:r>
            <w:r w:rsidR="003255CB">
              <w:rPr>
                <w:webHidden/>
              </w:rPr>
              <w:instrText xml:space="preserve"> PAGEREF _Toc161306046 \h </w:instrText>
            </w:r>
            <w:r w:rsidR="003255CB">
              <w:rPr>
                <w:webHidden/>
              </w:rPr>
            </w:r>
            <w:r w:rsidR="003255CB">
              <w:rPr>
                <w:webHidden/>
              </w:rPr>
              <w:fldChar w:fldCharType="separate"/>
            </w:r>
            <w:r>
              <w:rPr>
                <w:webHidden/>
              </w:rPr>
              <w:t>25</w:t>
            </w:r>
            <w:r w:rsidR="003255CB">
              <w:rPr>
                <w:webHidden/>
              </w:rPr>
              <w:fldChar w:fldCharType="end"/>
            </w:r>
          </w:hyperlink>
        </w:p>
        <w:p w14:paraId="779FA1D7" w14:textId="49552C1D" w:rsidR="003255CB" w:rsidRDefault="00D158DC">
          <w:pPr>
            <w:pStyle w:val="TOC2"/>
            <w:tabs>
              <w:tab w:val="left" w:pos="1100"/>
            </w:tabs>
            <w:rPr>
              <w:rFonts w:eastAsiaTheme="minorEastAsia"/>
              <w:kern w:val="2"/>
              <w:lang w:eastAsia="en-AU"/>
              <w14:ligatures w14:val="standardContextual"/>
            </w:rPr>
          </w:pPr>
          <w:hyperlink w:anchor="_Toc161306047" w:history="1">
            <w:r w:rsidR="003255CB" w:rsidRPr="00E674CA">
              <w:rPr>
                <w:rStyle w:val="Hyperlink"/>
              </w:rPr>
              <w:t>4.3</w:t>
            </w:r>
            <w:r w:rsidR="003255CB">
              <w:rPr>
                <w:rFonts w:eastAsiaTheme="minorEastAsia"/>
                <w:kern w:val="2"/>
                <w:lang w:eastAsia="en-AU"/>
                <w14:ligatures w14:val="standardContextual"/>
              </w:rPr>
              <w:tab/>
            </w:r>
            <w:r w:rsidR="003255CB" w:rsidRPr="00E674CA">
              <w:rPr>
                <w:rStyle w:val="Hyperlink"/>
              </w:rPr>
              <w:t>Low carbon gas alternatives will be required in hard-to-abate sectors</w:t>
            </w:r>
            <w:r w:rsidR="003255CB">
              <w:rPr>
                <w:webHidden/>
              </w:rPr>
              <w:tab/>
            </w:r>
            <w:r w:rsidR="003255CB">
              <w:rPr>
                <w:webHidden/>
              </w:rPr>
              <w:fldChar w:fldCharType="begin"/>
            </w:r>
            <w:r w:rsidR="003255CB">
              <w:rPr>
                <w:webHidden/>
              </w:rPr>
              <w:instrText xml:space="preserve"> PAGEREF _Toc161306047 \h </w:instrText>
            </w:r>
            <w:r w:rsidR="003255CB">
              <w:rPr>
                <w:webHidden/>
              </w:rPr>
            </w:r>
            <w:r w:rsidR="003255CB">
              <w:rPr>
                <w:webHidden/>
              </w:rPr>
              <w:fldChar w:fldCharType="separate"/>
            </w:r>
            <w:r>
              <w:rPr>
                <w:webHidden/>
              </w:rPr>
              <w:t>25</w:t>
            </w:r>
            <w:r w:rsidR="003255CB">
              <w:rPr>
                <w:webHidden/>
              </w:rPr>
              <w:fldChar w:fldCharType="end"/>
            </w:r>
          </w:hyperlink>
        </w:p>
        <w:p w14:paraId="4210BC5A" w14:textId="474468FF" w:rsidR="003255CB" w:rsidRDefault="00D158DC">
          <w:pPr>
            <w:pStyle w:val="TOC2"/>
            <w:tabs>
              <w:tab w:val="left" w:pos="1100"/>
            </w:tabs>
            <w:rPr>
              <w:rFonts w:eastAsiaTheme="minorEastAsia"/>
              <w:kern w:val="2"/>
              <w:lang w:eastAsia="en-AU"/>
              <w14:ligatures w14:val="standardContextual"/>
            </w:rPr>
          </w:pPr>
          <w:hyperlink w:anchor="_Toc161306048" w:history="1">
            <w:r w:rsidR="003255CB" w:rsidRPr="00E674CA">
              <w:rPr>
                <w:rStyle w:val="Hyperlink"/>
              </w:rPr>
              <w:t>4.4</w:t>
            </w:r>
            <w:r w:rsidR="003255CB">
              <w:rPr>
                <w:rFonts w:eastAsiaTheme="minorEastAsia"/>
                <w:kern w:val="2"/>
                <w:lang w:eastAsia="en-AU"/>
                <w14:ligatures w14:val="standardContextual"/>
              </w:rPr>
              <w:tab/>
            </w:r>
            <w:r w:rsidR="003255CB" w:rsidRPr="00E674CA">
              <w:rPr>
                <w:rStyle w:val="Hyperlink"/>
              </w:rPr>
              <w:t>Liquid fuels need to transition to reach net zero</w:t>
            </w:r>
            <w:r w:rsidR="003255CB">
              <w:rPr>
                <w:webHidden/>
              </w:rPr>
              <w:tab/>
            </w:r>
            <w:r w:rsidR="003255CB">
              <w:rPr>
                <w:webHidden/>
              </w:rPr>
              <w:fldChar w:fldCharType="begin"/>
            </w:r>
            <w:r w:rsidR="003255CB">
              <w:rPr>
                <w:webHidden/>
              </w:rPr>
              <w:instrText xml:space="preserve"> PAGEREF _Toc161306048 \h </w:instrText>
            </w:r>
            <w:r w:rsidR="003255CB">
              <w:rPr>
                <w:webHidden/>
              </w:rPr>
            </w:r>
            <w:r w:rsidR="003255CB">
              <w:rPr>
                <w:webHidden/>
              </w:rPr>
              <w:fldChar w:fldCharType="separate"/>
            </w:r>
            <w:r>
              <w:rPr>
                <w:webHidden/>
              </w:rPr>
              <w:t>26</w:t>
            </w:r>
            <w:r w:rsidR="003255CB">
              <w:rPr>
                <w:webHidden/>
              </w:rPr>
              <w:fldChar w:fldCharType="end"/>
            </w:r>
          </w:hyperlink>
        </w:p>
        <w:p w14:paraId="17169D4B" w14:textId="1CCEE5E9" w:rsidR="003255CB" w:rsidRDefault="00D158DC">
          <w:pPr>
            <w:pStyle w:val="TOC2"/>
            <w:tabs>
              <w:tab w:val="left" w:pos="1100"/>
            </w:tabs>
            <w:rPr>
              <w:rFonts w:eastAsiaTheme="minorEastAsia"/>
              <w:kern w:val="2"/>
              <w:lang w:eastAsia="en-AU"/>
              <w14:ligatures w14:val="standardContextual"/>
            </w:rPr>
          </w:pPr>
          <w:hyperlink w:anchor="_Toc161306049" w:history="1">
            <w:r w:rsidR="003255CB" w:rsidRPr="00E674CA">
              <w:rPr>
                <w:rStyle w:val="Hyperlink"/>
              </w:rPr>
              <w:t>4.5</w:t>
            </w:r>
            <w:r w:rsidR="003255CB">
              <w:rPr>
                <w:rFonts w:eastAsiaTheme="minorEastAsia"/>
                <w:kern w:val="2"/>
                <w:lang w:eastAsia="en-AU"/>
                <w14:ligatures w14:val="standardContextual"/>
              </w:rPr>
              <w:tab/>
            </w:r>
            <w:r w:rsidR="003255CB" w:rsidRPr="00E674CA">
              <w:rPr>
                <w:rStyle w:val="Hyperlink"/>
              </w:rPr>
              <w:t>Low carbon liquid fuels can help decarbonise fuel reliant sectors that can’t electrify</w:t>
            </w:r>
            <w:r w:rsidR="003255CB">
              <w:rPr>
                <w:webHidden/>
              </w:rPr>
              <w:tab/>
            </w:r>
            <w:r w:rsidR="003255CB">
              <w:rPr>
                <w:webHidden/>
              </w:rPr>
              <w:fldChar w:fldCharType="begin"/>
            </w:r>
            <w:r w:rsidR="003255CB">
              <w:rPr>
                <w:webHidden/>
              </w:rPr>
              <w:instrText xml:space="preserve"> PAGEREF _Toc161306049 \h </w:instrText>
            </w:r>
            <w:r w:rsidR="003255CB">
              <w:rPr>
                <w:webHidden/>
              </w:rPr>
            </w:r>
            <w:r w:rsidR="003255CB">
              <w:rPr>
                <w:webHidden/>
              </w:rPr>
              <w:fldChar w:fldCharType="separate"/>
            </w:r>
            <w:r>
              <w:rPr>
                <w:webHidden/>
              </w:rPr>
              <w:t>27</w:t>
            </w:r>
            <w:r w:rsidR="003255CB">
              <w:rPr>
                <w:webHidden/>
              </w:rPr>
              <w:fldChar w:fldCharType="end"/>
            </w:r>
          </w:hyperlink>
        </w:p>
        <w:p w14:paraId="599CFC7E" w14:textId="486286C2" w:rsidR="003255CB" w:rsidRDefault="00D158DC">
          <w:pPr>
            <w:pStyle w:val="TOC2"/>
            <w:tabs>
              <w:tab w:val="left" w:pos="1100"/>
            </w:tabs>
            <w:rPr>
              <w:rFonts w:eastAsiaTheme="minorEastAsia"/>
              <w:kern w:val="2"/>
              <w:lang w:eastAsia="en-AU"/>
              <w14:ligatures w14:val="standardContextual"/>
            </w:rPr>
          </w:pPr>
          <w:hyperlink w:anchor="_Toc161306050" w:history="1">
            <w:r w:rsidR="003255CB" w:rsidRPr="00E674CA">
              <w:rPr>
                <w:rStyle w:val="Hyperlink"/>
              </w:rPr>
              <w:t>4.6</w:t>
            </w:r>
            <w:r w:rsidR="003255CB">
              <w:rPr>
                <w:rFonts w:eastAsiaTheme="minorEastAsia"/>
                <w:kern w:val="2"/>
                <w:lang w:eastAsia="en-AU"/>
                <w14:ligatures w14:val="standardContextual"/>
              </w:rPr>
              <w:tab/>
            </w:r>
            <w:r w:rsidR="003255CB" w:rsidRPr="00E674CA">
              <w:rPr>
                <w:rStyle w:val="Hyperlink"/>
              </w:rPr>
              <w:t>Liquid fuel security needs to be managed through the transition</w:t>
            </w:r>
            <w:r w:rsidR="003255CB">
              <w:rPr>
                <w:webHidden/>
              </w:rPr>
              <w:tab/>
            </w:r>
            <w:r w:rsidR="003255CB">
              <w:rPr>
                <w:webHidden/>
              </w:rPr>
              <w:fldChar w:fldCharType="begin"/>
            </w:r>
            <w:r w:rsidR="003255CB">
              <w:rPr>
                <w:webHidden/>
              </w:rPr>
              <w:instrText xml:space="preserve"> PAGEREF _Toc161306050 \h </w:instrText>
            </w:r>
            <w:r w:rsidR="003255CB">
              <w:rPr>
                <w:webHidden/>
              </w:rPr>
            </w:r>
            <w:r w:rsidR="003255CB">
              <w:rPr>
                <w:webHidden/>
              </w:rPr>
              <w:fldChar w:fldCharType="separate"/>
            </w:r>
            <w:r>
              <w:rPr>
                <w:webHidden/>
              </w:rPr>
              <w:t>28</w:t>
            </w:r>
            <w:r w:rsidR="003255CB">
              <w:rPr>
                <w:webHidden/>
              </w:rPr>
              <w:fldChar w:fldCharType="end"/>
            </w:r>
          </w:hyperlink>
        </w:p>
        <w:p w14:paraId="768F5B17" w14:textId="3D51B65C" w:rsidR="003255CB" w:rsidRDefault="00D158DC">
          <w:pPr>
            <w:pStyle w:val="TOC2"/>
            <w:tabs>
              <w:tab w:val="left" w:pos="1100"/>
            </w:tabs>
            <w:rPr>
              <w:rFonts w:eastAsiaTheme="minorEastAsia"/>
              <w:kern w:val="2"/>
              <w:lang w:eastAsia="en-AU"/>
              <w14:ligatures w14:val="standardContextual"/>
            </w:rPr>
          </w:pPr>
          <w:hyperlink w:anchor="_Toc161306051" w:history="1">
            <w:r w:rsidR="003255CB" w:rsidRPr="00E674CA">
              <w:rPr>
                <w:rStyle w:val="Hyperlink"/>
              </w:rPr>
              <w:t>4.7</w:t>
            </w:r>
            <w:r w:rsidR="003255CB">
              <w:rPr>
                <w:rFonts w:eastAsiaTheme="minorEastAsia"/>
                <w:kern w:val="2"/>
                <w:lang w:eastAsia="en-AU"/>
                <w14:ligatures w14:val="standardContextual"/>
              </w:rPr>
              <w:tab/>
            </w:r>
            <w:r w:rsidR="003255CB" w:rsidRPr="00E674CA">
              <w:rPr>
                <w:rStyle w:val="Hyperlink"/>
              </w:rPr>
              <w:t>Actions are needed to transform Australia’s liquid fuels market</w:t>
            </w:r>
            <w:r w:rsidR="003255CB">
              <w:rPr>
                <w:webHidden/>
              </w:rPr>
              <w:tab/>
            </w:r>
            <w:r w:rsidR="003255CB">
              <w:rPr>
                <w:webHidden/>
              </w:rPr>
              <w:fldChar w:fldCharType="begin"/>
            </w:r>
            <w:r w:rsidR="003255CB">
              <w:rPr>
                <w:webHidden/>
              </w:rPr>
              <w:instrText xml:space="preserve"> PAGEREF _Toc161306051 \h </w:instrText>
            </w:r>
            <w:r w:rsidR="003255CB">
              <w:rPr>
                <w:webHidden/>
              </w:rPr>
            </w:r>
            <w:r w:rsidR="003255CB">
              <w:rPr>
                <w:webHidden/>
              </w:rPr>
              <w:fldChar w:fldCharType="separate"/>
            </w:r>
            <w:r>
              <w:rPr>
                <w:webHidden/>
              </w:rPr>
              <w:t>28</w:t>
            </w:r>
            <w:r w:rsidR="003255CB">
              <w:rPr>
                <w:webHidden/>
              </w:rPr>
              <w:fldChar w:fldCharType="end"/>
            </w:r>
          </w:hyperlink>
        </w:p>
        <w:p w14:paraId="74A68214" w14:textId="288D8F42" w:rsidR="003255CB" w:rsidRDefault="00D158DC">
          <w:pPr>
            <w:pStyle w:val="TOC1"/>
            <w:rPr>
              <w:rFonts w:eastAsiaTheme="minorEastAsia"/>
              <w:b w:val="0"/>
              <w:kern w:val="2"/>
              <w:lang w:eastAsia="en-AU"/>
              <w14:ligatures w14:val="standardContextual"/>
            </w:rPr>
          </w:pPr>
          <w:hyperlink w:anchor="_Toc161306052" w:history="1">
            <w:r w:rsidR="003255CB" w:rsidRPr="00E674CA">
              <w:rPr>
                <w:rStyle w:val="Hyperlink"/>
              </w:rPr>
              <w:t>5.</w:t>
            </w:r>
            <w:r w:rsidR="003255CB">
              <w:rPr>
                <w:rFonts w:eastAsiaTheme="minorEastAsia"/>
                <w:b w:val="0"/>
                <w:kern w:val="2"/>
                <w:lang w:eastAsia="en-AU"/>
                <w14:ligatures w14:val="standardContextual"/>
              </w:rPr>
              <w:tab/>
            </w:r>
            <w:r w:rsidR="003255CB" w:rsidRPr="00E674CA">
              <w:rPr>
                <w:rStyle w:val="Hyperlink"/>
              </w:rPr>
              <w:t>Building Australia’s clean energy workforce</w:t>
            </w:r>
            <w:r w:rsidR="003255CB">
              <w:rPr>
                <w:webHidden/>
              </w:rPr>
              <w:tab/>
            </w:r>
            <w:r w:rsidR="003255CB">
              <w:rPr>
                <w:webHidden/>
              </w:rPr>
              <w:fldChar w:fldCharType="begin"/>
            </w:r>
            <w:r w:rsidR="003255CB">
              <w:rPr>
                <w:webHidden/>
              </w:rPr>
              <w:instrText xml:space="preserve"> PAGEREF _Toc161306052 \h </w:instrText>
            </w:r>
            <w:r w:rsidR="003255CB">
              <w:rPr>
                <w:webHidden/>
              </w:rPr>
            </w:r>
            <w:r w:rsidR="003255CB">
              <w:rPr>
                <w:webHidden/>
              </w:rPr>
              <w:fldChar w:fldCharType="separate"/>
            </w:r>
            <w:r>
              <w:rPr>
                <w:webHidden/>
              </w:rPr>
              <w:t>31</w:t>
            </w:r>
            <w:r w:rsidR="003255CB">
              <w:rPr>
                <w:webHidden/>
              </w:rPr>
              <w:fldChar w:fldCharType="end"/>
            </w:r>
          </w:hyperlink>
        </w:p>
        <w:p w14:paraId="32D93BDE" w14:textId="5A218E09" w:rsidR="003255CB" w:rsidRDefault="00D158DC">
          <w:pPr>
            <w:pStyle w:val="TOC1"/>
            <w:rPr>
              <w:rFonts w:eastAsiaTheme="minorEastAsia"/>
              <w:b w:val="0"/>
              <w:kern w:val="2"/>
              <w:lang w:eastAsia="en-AU"/>
              <w14:ligatures w14:val="standardContextual"/>
            </w:rPr>
          </w:pPr>
          <w:hyperlink w:anchor="_Toc161306053" w:history="1">
            <w:r w:rsidR="003255CB" w:rsidRPr="00E674CA">
              <w:rPr>
                <w:rStyle w:val="Hyperlink"/>
              </w:rPr>
              <w:t>6.</w:t>
            </w:r>
            <w:r w:rsidR="003255CB">
              <w:rPr>
                <w:rFonts w:eastAsiaTheme="minorEastAsia"/>
                <w:b w:val="0"/>
                <w:kern w:val="2"/>
                <w:lang w:eastAsia="en-AU"/>
                <w14:ligatures w14:val="standardContextual"/>
              </w:rPr>
              <w:tab/>
            </w:r>
            <w:r w:rsidR="003255CB" w:rsidRPr="00E674CA">
              <w:rPr>
                <w:rStyle w:val="Hyperlink"/>
              </w:rPr>
              <w:t>Maximising outcomes for people and businesses</w:t>
            </w:r>
            <w:r w:rsidR="003255CB">
              <w:rPr>
                <w:webHidden/>
              </w:rPr>
              <w:tab/>
            </w:r>
            <w:r w:rsidR="003255CB">
              <w:rPr>
                <w:webHidden/>
              </w:rPr>
              <w:fldChar w:fldCharType="begin"/>
            </w:r>
            <w:r w:rsidR="003255CB">
              <w:rPr>
                <w:webHidden/>
              </w:rPr>
              <w:instrText xml:space="preserve"> PAGEREF _Toc161306053 \h </w:instrText>
            </w:r>
            <w:r w:rsidR="003255CB">
              <w:rPr>
                <w:webHidden/>
              </w:rPr>
            </w:r>
            <w:r w:rsidR="003255CB">
              <w:rPr>
                <w:webHidden/>
              </w:rPr>
              <w:fldChar w:fldCharType="separate"/>
            </w:r>
            <w:r>
              <w:rPr>
                <w:webHidden/>
              </w:rPr>
              <w:t>33</w:t>
            </w:r>
            <w:r w:rsidR="003255CB">
              <w:rPr>
                <w:webHidden/>
              </w:rPr>
              <w:fldChar w:fldCharType="end"/>
            </w:r>
          </w:hyperlink>
        </w:p>
        <w:p w14:paraId="52DA7E34" w14:textId="080B1C90" w:rsidR="003255CB" w:rsidRDefault="00D158DC">
          <w:pPr>
            <w:pStyle w:val="TOC2"/>
            <w:tabs>
              <w:tab w:val="left" w:pos="1100"/>
            </w:tabs>
            <w:rPr>
              <w:rFonts w:eastAsiaTheme="minorEastAsia"/>
              <w:kern w:val="2"/>
              <w:lang w:eastAsia="en-AU"/>
              <w14:ligatures w14:val="standardContextual"/>
            </w:rPr>
          </w:pPr>
          <w:hyperlink w:anchor="_Toc161306054" w:history="1">
            <w:r w:rsidR="003255CB" w:rsidRPr="00E674CA">
              <w:rPr>
                <w:rStyle w:val="Hyperlink"/>
              </w:rPr>
              <w:t>6.1</w:t>
            </w:r>
            <w:r w:rsidR="003255CB">
              <w:rPr>
                <w:rFonts w:eastAsiaTheme="minorEastAsia"/>
                <w:kern w:val="2"/>
                <w:lang w:eastAsia="en-AU"/>
                <w14:ligatures w14:val="standardContextual"/>
              </w:rPr>
              <w:tab/>
            </w:r>
            <w:r w:rsidR="003255CB" w:rsidRPr="00E674CA">
              <w:rPr>
                <w:rStyle w:val="Hyperlink"/>
              </w:rPr>
              <w:t>Energy is important to the cost of living</w:t>
            </w:r>
            <w:r w:rsidR="003255CB">
              <w:rPr>
                <w:webHidden/>
              </w:rPr>
              <w:tab/>
            </w:r>
            <w:r w:rsidR="003255CB">
              <w:rPr>
                <w:webHidden/>
              </w:rPr>
              <w:fldChar w:fldCharType="begin"/>
            </w:r>
            <w:r w:rsidR="003255CB">
              <w:rPr>
                <w:webHidden/>
              </w:rPr>
              <w:instrText xml:space="preserve"> PAGEREF _Toc161306054 \h </w:instrText>
            </w:r>
            <w:r w:rsidR="003255CB">
              <w:rPr>
                <w:webHidden/>
              </w:rPr>
            </w:r>
            <w:r w:rsidR="003255CB">
              <w:rPr>
                <w:webHidden/>
              </w:rPr>
              <w:fldChar w:fldCharType="separate"/>
            </w:r>
            <w:r>
              <w:rPr>
                <w:webHidden/>
              </w:rPr>
              <w:t>33</w:t>
            </w:r>
            <w:r w:rsidR="003255CB">
              <w:rPr>
                <w:webHidden/>
              </w:rPr>
              <w:fldChar w:fldCharType="end"/>
            </w:r>
          </w:hyperlink>
        </w:p>
        <w:p w14:paraId="23286077" w14:textId="744ECC68" w:rsidR="003255CB" w:rsidRDefault="00D158DC">
          <w:pPr>
            <w:pStyle w:val="TOC2"/>
            <w:tabs>
              <w:tab w:val="left" w:pos="1100"/>
            </w:tabs>
            <w:rPr>
              <w:rFonts w:eastAsiaTheme="minorEastAsia"/>
              <w:kern w:val="2"/>
              <w:lang w:eastAsia="en-AU"/>
              <w14:ligatures w14:val="standardContextual"/>
            </w:rPr>
          </w:pPr>
          <w:hyperlink w:anchor="_Toc161306055" w:history="1">
            <w:r w:rsidR="003255CB" w:rsidRPr="00E674CA">
              <w:rPr>
                <w:rStyle w:val="Hyperlink"/>
              </w:rPr>
              <w:t>6.2</w:t>
            </w:r>
            <w:r w:rsidR="003255CB">
              <w:rPr>
                <w:rFonts w:eastAsiaTheme="minorEastAsia"/>
                <w:kern w:val="2"/>
                <w:lang w:eastAsia="en-AU"/>
                <w14:ligatures w14:val="standardContextual"/>
              </w:rPr>
              <w:tab/>
            </w:r>
            <w:r w:rsidR="003255CB" w:rsidRPr="00E674CA">
              <w:rPr>
                <w:rStyle w:val="Hyperlink"/>
              </w:rPr>
              <w:t>The energy transformation will change the way consumers interact with electricity suppliers</w:t>
            </w:r>
            <w:r w:rsidR="003255CB">
              <w:rPr>
                <w:webHidden/>
              </w:rPr>
              <w:tab/>
            </w:r>
            <w:r w:rsidR="003255CB">
              <w:rPr>
                <w:webHidden/>
              </w:rPr>
              <w:fldChar w:fldCharType="begin"/>
            </w:r>
            <w:r w:rsidR="003255CB">
              <w:rPr>
                <w:webHidden/>
              </w:rPr>
              <w:instrText xml:space="preserve"> PAGEREF _Toc161306055 \h </w:instrText>
            </w:r>
            <w:r w:rsidR="003255CB">
              <w:rPr>
                <w:webHidden/>
              </w:rPr>
            </w:r>
            <w:r w:rsidR="003255CB">
              <w:rPr>
                <w:webHidden/>
              </w:rPr>
              <w:fldChar w:fldCharType="separate"/>
            </w:r>
            <w:r>
              <w:rPr>
                <w:webHidden/>
              </w:rPr>
              <w:t>34</w:t>
            </w:r>
            <w:r w:rsidR="003255CB">
              <w:rPr>
                <w:webHidden/>
              </w:rPr>
              <w:fldChar w:fldCharType="end"/>
            </w:r>
          </w:hyperlink>
        </w:p>
        <w:p w14:paraId="5F098B52" w14:textId="64AB8830" w:rsidR="003255CB" w:rsidRDefault="00D158DC">
          <w:pPr>
            <w:pStyle w:val="TOC2"/>
            <w:tabs>
              <w:tab w:val="left" w:pos="1100"/>
            </w:tabs>
            <w:rPr>
              <w:rFonts w:eastAsiaTheme="minorEastAsia"/>
              <w:kern w:val="2"/>
              <w:lang w:eastAsia="en-AU"/>
              <w14:ligatures w14:val="standardContextual"/>
            </w:rPr>
          </w:pPr>
          <w:hyperlink w:anchor="_Toc161306056" w:history="1">
            <w:r w:rsidR="003255CB" w:rsidRPr="00E674CA">
              <w:rPr>
                <w:rStyle w:val="Hyperlink"/>
              </w:rPr>
              <w:t>6.3</w:t>
            </w:r>
            <w:r w:rsidR="003255CB">
              <w:rPr>
                <w:rFonts w:eastAsiaTheme="minorEastAsia"/>
                <w:kern w:val="2"/>
                <w:lang w:eastAsia="en-AU"/>
                <w14:ligatures w14:val="standardContextual"/>
              </w:rPr>
              <w:tab/>
            </w:r>
            <w:r w:rsidR="003255CB" w:rsidRPr="00E674CA">
              <w:rPr>
                <w:rStyle w:val="Hyperlink"/>
              </w:rPr>
              <w:t>Community support for the energy transformation will depend on delivering equitable and fair outcomes for all Australians</w:t>
            </w:r>
            <w:r w:rsidR="003255CB">
              <w:rPr>
                <w:webHidden/>
              </w:rPr>
              <w:tab/>
            </w:r>
            <w:r w:rsidR="003255CB">
              <w:rPr>
                <w:webHidden/>
              </w:rPr>
              <w:fldChar w:fldCharType="begin"/>
            </w:r>
            <w:r w:rsidR="003255CB">
              <w:rPr>
                <w:webHidden/>
              </w:rPr>
              <w:instrText xml:space="preserve"> PAGEREF _Toc161306056 \h </w:instrText>
            </w:r>
            <w:r w:rsidR="003255CB">
              <w:rPr>
                <w:webHidden/>
              </w:rPr>
            </w:r>
            <w:r w:rsidR="003255CB">
              <w:rPr>
                <w:webHidden/>
              </w:rPr>
              <w:fldChar w:fldCharType="separate"/>
            </w:r>
            <w:r>
              <w:rPr>
                <w:webHidden/>
              </w:rPr>
              <w:t>35</w:t>
            </w:r>
            <w:r w:rsidR="003255CB">
              <w:rPr>
                <w:webHidden/>
              </w:rPr>
              <w:fldChar w:fldCharType="end"/>
            </w:r>
          </w:hyperlink>
        </w:p>
        <w:p w14:paraId="0C32BDAE" w14:textId="1228502F" w:rsidR="003255CB" w:rsidRDefault="00D158DC">
          <w:pPr>
            <w:pStyle w:val="TOC2"/>
            <w:tabs>
              <w:tab w:val="left" w:pos="1100"/>
            </w:tabs>
            <w:rPr>
              <w:rFonts w:eastAsiaTheme="minorEastAsia"/>
              <w:kern w:val="2"/>
              <w:lang w:eastAsia="en-AU"/>
              <w14:ligatures w14:val="standardContextual"/>
            </w:rPr>
          </w:pPr>
          <w:hyperlink w:anchor="_Toc161306057" w:history="1">
            <w:r w:rsidR="003255CB" w:rsidRPr="00E674CA">
              <w:rPr>
                <w:rStyle w:val="Hyperlink"/>
              </w:rPr>
              <w:t>6.4</w:t>
            </w:r>
            <w:r w:rsidR="003255CB">
              <w:rPr>
                <w:rFonts w:eastAsiaTheme="minorEastAsia"/>
                <w:kern w:val="2"/>
                <w:lang w:eastAsia="en-AU"/>
                <w14:ligatures w14:val="standardContextual"/>
              </w:rPr>
              <w:tab/>
            </w:r>
            <w:r w:rsidR="003255CB" w:rsidRPr="00E674CA">
              <w:rPr>
                <w:rStyle w:val="Hyperlink"/>
              </w:rPr>
              <w:t>Circular economy principles will need to be embedded into the energy transformation</w:t>
            </w:r>
            <w:r w:rsidR="003255CB">
              <w:rPr>
                <w:webHidden/>
              </w:rPr>
              <w:tab/>
            </w:r>
            <w:r w:rsidR="003255CB">
              <w:rPr>
                <w:webHidden/>
              </w:rPr>
              <w:fldChar w:fldCharType="begin"/>
            </w:r>
            <w:r w:rsidR="003255CB">
              <w:rPr>
                <w:webHidden/>
              </w:rPr>
              <w:instrText xml:space="preserve"> PAGEREF _Toc161306057 \h </w:instrText>
            </w:r>
            <w:r w:rsidR="003255CB">
              <w:rPr>
                <w:webHidden/>
              </w:rPr>
            </w:r>
            <w:r w:rsidR="003255CB">
              <w:rPr>
                <w:webHidden/>
              </w:rPr>
              <w:fldChar w:fldCharType="separate"/>
            </w:r>
            <w:r>
              <w:rPr>
                <w:webHidden/>
              </w:rPr>
              <w:t>36</w:t>
            </w:r>
            <w:r w:rsidR="003255CB">
              <w:rPr>
                <w:webHidden/>
              </w:rPr>
              <w:fldChar w:fldCharType="end"/>
            </w:r>
          </w:hyperlink>
        </w:p>
        <w:p w14:paraId="11A37D7A" w14:textId="12F9B741" w:rsidR="003255CB" w:rsidRDefault="00D158DC">
          <w:pPr>
            <w:pStyle w:val="TOC1"/>
            <w:rPr>
              <w:rFonts w:eastAsiaTheme="minorEastAsia"/>
              <w:b w:val="0"/>
              <w:kern w:val="2"/>
              <w:lang w:eastAsia="en-AU"/>
              <w14:ligatures w14:val="standardContextual"/>
            </w:rPr>
          </w:pPr>
          <w:hyperlink w:anchor="_Toc161306058" w:history="1">
            <w:r w:rsidR="003255CB" w:rsidRPr="00E674CA">
              <w:rPr>
                <w:rStyle w:val="Hyperlink"/>
              </w:rPr>
              <w:t>Questions</w:t>
            </w:r>
            <w:r w:rsidR="003255CB">
              <w:rPr>
                <w:webHidden/>
              </w:rPr>
              <w:tab/>
            </w:r>
            <w:r w:rsidR="003255CB">
              <w:rPr>
                <w:webHidden/>
              </w:rPr>
              <w:fldChar w:fldCharType="begin"/>
            </w:r>
            <w:r w:rsidR="003255CB">
              <w:rPr>
                <w:webHidden/>
              </w:rPr>
              <w:instrText xml:space="preserve"> PAGEREF _Toc161306058 \h </w:instrText>
            </w:r>
            <w:r w:rsidR="003255CB">
              <w:rPr>
                <w:webHidden/>
              </w:rPr>
            </w:r>
            <w:r w:rsidR="003255CB">
              <w:rPr>
                <w:webHidden/>
              </w:rPr>
              <w:fldChar w:fldCharType="separate"/>
            </w:r>
            <w:r>
              <w:rPr>
                <w:webHidden/>
              </w:rPr>
              <w:t>38</w:t>
            </w:r>
            <w:r w:rsidR="003255CB">
              <w:rPr>
                <w:webHidden/>
              </w:rPr>
              <w:fldChar w:fldCharType="end"/>
            </w:r>
          </w:hyperlink>
        </w:p>
        <w:p w14:paraId="48116CD0" w14:textId="11A7A5DA" w:rsidR="003255CB" w:rsidRDefault="00D158DC">
          <w:pPr>
            <w:pStyle w:val="TOC1"/>
            <w:rPr>
              <w:rFonts w:eastAsiaTheme="minorEastAsia"/>
              <w:b w:val="0"/>
              <w:kern w:val="2"/>
              <w:lang w:eastAsia="en-AU"/>
              <w14:ligatures w14:val="standardContextual"/>
            </w:rPr>
          </w:pPr>
          <w:hyperlink w:anchor="_Toc161306059" w:history="1">
            <w:r w:rsidR="003255CB" w:rsidRPr="00E674CA">
              <w:rPr>
                <w:rStyle w:val="Hyperlink"/>
              </w:rPr>
              <w:t>Glossary</w:t>
            </w:r>
            <w:r w:rsidR="003255CB">
              <w:rPr>
                <w:webHidden/>
              </w:rPr>
              <w:tab/>
            </w:r>
            <w:r w:rsidR="003255CB">
              <w:rPr>
                <w:webHidden/>
              </w:rPr>
              <w:fldChar w:fldCharType="begin"/>
            </w:r>
            <w:r w:rsidR="003255CB">
              <w:rPr>
                <w:webHidden/>
              </w:rPr>
              <w:instrText xml:space="preserve"> PAGEREF _Toc161306059 \h </w:instrText>
            </w:r>
            <w:r w:rsidR="003255CB">
              <w:rPr>
                <w:webHidden/>
              </w:rPr>
            </w:r>
            <w:r w:rsidR="003255CB">
              <w:rPr>
                <w:webHidden/>
              </w:rPr>
              <w:fldChar w:fldCharType="separate"/>
            </w:r>
            <w:r>
              <w:rPr>
                <w:webHidden/>
              </w:rPr>
              <w:t>41</w:t>
            </w:r>
            <w:r w:rsidR="003255CB">
              <w:rPr>
                <w:webHidden/>
              </w:rPr>
              <w:fldChar w:fldCharType="end"/>
            </w:r>
          </w:hyperlink>
        </w:p>
        <w:p w14:paraId="5F8849F1" w14:textId="7201B6EC" w:rsidR="003255CB" w:rsidRDefault="00D158DC">
          <w:pPr>
            <w:pStyle w:val="TOC1"/>
            <w:rPr>
              <w:rFonts w:eastAsiaTheme="minorEastAsia"/>
              <w:b w:val="0"/>
              <w:kern w:val="2"/>
              <w:lang w:eastAsia="en-AU"/>
              <w14:ligatures w14:val="standardContextual"/>
            </w:rPr>
          </w:pPr>
          <w:hyperlink w:anchor="_Toc161306060" w:history="1">
            <w:r w:rsidR="003255CB" w:rsidRPr="00E674CA">
              <w:rPr>
                <w:rStyle w:val="Hyperlink"/>
              </w:rPr>
              <w:t>References</w:t>
            </w:r>
            <w:r w:rsidR="003255CB">
              <w:rPr>
                <w:webHidden/>
              </w:rPr>
              <w:tab/>
            </w:r>
            <w:r w:rsidR="003255CB">
              <w:rPr>
                <w:webHidden/>
              </w:rPr>
              <w:fldChar w:fldCharType="begin"/>
            </w:r>
            <w:r w:rsidR="003255CB">
              <w:rPr>
                <w:webHidden/>
              </w:rPr>
              <w:instrText xml:space="preserve"> PAGEREF _Toc161306060 \h </w:instrText>
            </w:r>
            <w:r w:rsidR="003255CB">
              <w:rPr>
                <w:webHidden/>
              </w:rPr>
            </w:r>
            <w:r w:rsidR="003255CB">
              <w:rPr>
                <w:webHidden/>
              </w:rPr>
              <w:fldChar w:fldCharType="separate"/>
            </w:r>
            <w:r>
              <w:rPr>
                <w:webHidden/>
              </w:rPr>
              <w:t>42</w:t>
            </w:r>
            <w:r w:rsidR="003255CB">
              <w:rPr>
                <w:webHidden/>
              </w:rPr>
              <w:fldChar w:fldCharType="end"/>
            </w:r>
          </w:hyperlink>
        </w:p>
        <w:p w14:paraId="64CCDC8F" w14:textId="0579AA5C" w:rsidR="001343DC" w:rsidRDefault="00E91D72" w:rsidP="001343DC">
          <w:pPr>
            <w:pStyle w:val="TOC1"/>
          </w:pPr>
          <w:r>
            <w:rPr>
              <w:b w:val="0"/>
            </w:rPr>
            <w:lastRenderedPageBreak/>
            <w:fldChar w:fldCharType="end"/>
          </w:r>
        </w:p>
      </w:sdtContent>
    </w:sdt>
    <w:p w14:paraId="02C35E84" w14:textId="69E8CD73" w:rsidR="00764D6A" w:rsidRDefault="00E91D72">
      <w:pPr>
        <w:pStyle w:val="TOCHeading2"/>
        <w:rPr>
          <w:rStyle w:val="Strong"/>
        </w:rPr>
      </w:pPr>
      <w:r w:rsidRPr="002A0D7D">
        <w:rPr>
          <w:rStyle w:val="Strong"/>
        </w:rPr>
        <w:t>Figures</w:t>
      </w:r>
    </w:p>
    <w:p w14:paraId="3CE29F31" w14:textId="646CE264" w:rsidR="004A1C99" w:rsidRDefault="00E91D72">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61306166" w:history="1">
        <w:r w:rsidR="004A1C99" w:rsidRPr="00DC3F1C">
          <w:rPr>
            <w:rStyle w:val="Hyperlink"/>
            <w:noProof/>
          </w:rPr>
          <w:t>Figure 1 Systematic transformations in the Electricity and Energy Sector Plan</w:t>
        </w:r>
        <w:r w:rsidR="004A1C99">
          <w:rPr>
            <w:noProof/>
            <w:webHidden/>
          </w:rPr>
          <w:tab/>
        </w:r>
        <w:r w:rsidR="004A1C99">
          <w:rPr>
            <w:noProof/>
            <w:webHidden/>
          </w:rPr>
          <w:fldChar w:fldCharType="begin"/>
        </w:r>
        <w:r w:rsidR="004A1C99">
          <w:rPr>
            <w:noProof/>
            <w:webHidden/>
          </w:rPr>
          <w:instrText xml:space="preserve"> PAGEREF _Toc161306166 \h </w:instrText>
        </w:r>
        <w:r w:rsidR="004A1C99">
          <w:rPr>
            <w:noProof/>
            <w:webHidden/>
          </w:rPr>
        </w:r>
        <w:r w:rsidR="004A1C99">
          <w:rPr>
            <w:noProof/>
            <w:webHidden/>
          </w:rPr>
          <w:fldChar w:fldCharType="separate"/>
        </w:r>
        <w:r w:rsidR="00D158DC">
          <w:rPr>
            <w:noProof/>
            <w:webHidden/>
          </w:rPr>
          <w:t>6</w:t>
        </w:r>
        <w:r w:rsidR="004A1C99">
          <w:rPr>
            <w:noProof/>
            <w:webHidden/>
          </w:rPr>
          <w:fldChar w:fldCharType="end"/>
        </w:r>
      </w:hyperlink>
    </w:p>
    <w:p w14:paraId="5D01E7E7" w14:textId="72DAD5CE" w:rsidR="004A1C99" w:rsidRDefault="00D158DC">
      <w:pPr>
        <w:pStyle w:val="TableofFigures"/>
        <w:tabs>
          <w:tab w:val="right" w:leader="dot" w:pos="9060"/>
        </w:tabs>
        <w:rPr>
          <w:rFonts w:eastAsiaTheme="minorEastAsia"/>
          <w:noProof/>
          <w:kern w:val="2"/>
          <w:lang w:eastAsia="en-AU"/>
          <w14:ligatures w14:val="standardContextual"/>
        </w:rPr>
      </w:pPr>
      <w:hyperlink w:anchor="_Toc161306167" w:history="1">
        <w:r w:rsidR="004A1C99" w:rsidRPr="00DC3F1C">
          <w:rPr>
            <w:rStyle w:val="Hyperlink"/>
            <w:noProof/>
          </w:rPr>
          <w:t>Figure 2 Interactions between the Net Zero and sectoral decarbonisation plans</w:t>
        </w:r>
        <w:r w:rsidR="004A1C99">
          <w:rPr>
            <w:noProof/>
            <w:webHidden/>
          </w:rPr>
          <w:tab/>
        </w:r>
        <w:r w:rsidR="004A1C99">
          <w:rPr>
            <w:noProof/>
            <w:webHidden/>
          </w:rPr>
          <w:fldChar w:fldCharType="begin"/>
        </w:r>
        <w:r w:rsidR="004A1C99">
          <w:rPr>
            <w:noProof/>
            <w:webHidden/>
          </w:rPr>
          <w:instrText xml:space="preserve"> PAGEREF _Toc161306167 \h </w:instrText>
        </w:r>
        <w:r w:rsidR="004A1C99">
          <w:rPr>
            <w:noProof/>
            <w:webHidden/>
          </w:rPr>
        </w:r>
        <w:r w:rsidR="004A1C99">
          <w:rPr>
            <w:noProof/>
            <w:webHidden/>
          </w:rPr>
          <w:fldChar w:fldCharType="separate"/>
        </w:r>
        <w:r>
          <w:rPr>
            <w:noProof/>
            <w:webHidden/>
          </w:rPr>
          <w:t>7</w:t>
        </w:r>
        <w:r w:rsidR="004A1C99">
          <w:rPr>
            <w:noProof/>
            <w:webHidden/>
          </w:rPr>
          <w:fldChar w:fldCharType="end"/>
        </w:r>
      </w:hyperlink>
    </w:p>
    <w:p w14:paraId="2D2A5F3D" w14:textId="2244F2BF" w:rsidR="004A1C99" w:rsidRDefault="00D158DC">
      <w:pPr>
        <w:pStyle w:val="TableofFigures"/>
        <w:tabs>
          <w:tab w:val="right" w:leader="dot" w:pos="9060"/>
        </w:tabs>
        <w:rPr>
          <w:rFonts w:eastAsiaTheme="minorEastAsia"/>
          <w:noProof/>
          <w:kern w:val="2"/>
          <w:lang w:eastAsia="en-AU"/>
          <w14:ligatures w14:val="standardContextual"/>
        </w:rPr>
      </w:pPr>
      <w:hyperlink w:anchor="_Toc161306168" w:history="1">
        <w:r w:rsidR="004A1C99" w:rsidRPr="00DC3F1C">
          <w:rPr>
            <w:rStyle w:val="Hyperlink"/>
            <w:noProof/>
          </w:rPr>
          <w:t>Figure 3 Sectoral shares for Australia’s emissions, as a percentage of total emissions (2022–23)</w:t>
        </w:r>
        <w:r w:rsidR="004A1C99">
          <w:rPr>
            <w:noProof/>
            <w:webHidden/>
          </w:rPr>
          <w:tab/>
        </w:r>
        <w:r w:rsidR="004A1C99">
          <w:rPr>
            <w:noProof/>
            <w:webHidden/>
          </w:rPr>
          <w:fldChar w:fldCharType="begin"/>
        </w:r>
        <w:r w:rsidR="004A1C99">
          <w:rPr>
            <w:noProof/>
            <w:webHidden/>
          </w:rPr>
          <w:instrText xml:space="preserve"> PAGEREF _Toc161306168 \h </w:instrText>
        </w:r>
        <w:r w:rsidR="004A1C99">
          <w:rPr>
            <w:noProof/>
            <w:webHidden/>
          </w:rPr>
        </w:r>
        <w:r w:rsidR="004A1C99">
          <w:rPr>
            <w:noProof/>
            <w:webHidden/>
          </w:rPr>
          <w:fldChar w:fldCharType="separate"/>
        </w:r>
        <w:r>
          <w:rPr>
            <w:noProof/>
            <w:webHidden/>
          </w:rPr>
          <w:t>8</w:t>
        </w:r>
        <w:r w:rsidR="004A1C99">
          <w:rPr>
            <w:noProof/>
            <w:webHidden/>
          </w:rPr>
          <w:fldChar w:fldCharType="end"/>
        </w:r>
      </w:hyperlink>
    </w:p>
    <w:p w14:paraId="4D94643A" w14:textId="7D3EE15E" w:rsidR="004A1C99" w:rsidRDefault="00D158DC">
      <w:pPr>
        <w:pStyle w:val="TableofFigures"/>
        <w:tabs>
          <w:tab w:val="right" w:leader="dot" w:pos="9060"/>
        </w:tabs>
        <w:rPr>
          <w:rFonts w:eastAsiaTheme="minorEastAsia"/>
          <w:noProof/>
          <w:kern w:val="2"/>
          <w:lang w:eastAsia="en-AU"/>
          <w14:ligatures w14:val="standardContextual"/>
        </w:rPr>
      </w:pPr>
      <w:hyperlink w:anchor="_Toc161306169" w:history="1">
        <w:r w:rsidR="004A1C99" w:rsidRPr="00DC3F1C">
          <w:rPr>
            <w:rStyle w:val="Hyperlink"/>
            <w:noProof/>
          </w:rPr>
          <w:t>Figure 4 Australian electricity generation mix (1996–97 to 2021–22, 2022)</w:t>
        </w:r>
        <w:r w:rsidR="004A1C99">
          <w:rPr>
            <w:noProof/>
            <w:webHidden/>
          </w:rPr>
          <w:tab/>
        </w:r>
        <w:r w:rsidR="004A1C99">
          <w:rPr>
            <w:noProof/>
            <w:webHidden/>
          </w:rPr>
          <w:fldChar w:fldCharType="begin"/>
        </w:r>
        <w:r w:rsidR="004A1C99">
          <w:rPr>
            <w:noProof/>
            <w:webHidden/>
          </w:rPr>
          <w:instrText xml:space="preserve"> PAGEREF _Toc161306169 \h </w:instrText>
        </w:r>
        <w:r w:rsidR="004A1C99">
          <w:rPr>
            <w:noProof/>
            <w:webHidden/>
          </w:rPr>
        </w:r>
        <w:r w:rsidR="004A1C99">
          <w:rPr>
            <w:noProof/>
            <w:webHidden/>
          </w:rPr>
          <w:fldChar w:fldCharType="separate"/>
        </w:r>
        <w:r>
          <w:rPr>
            <w:noProof/>
            <w:webHidden/>
          </w:rPr>
          <w:t>9</w:t>
        </w:r>
        <w:r w:rsidR="004A1C99">
          <w:rPr>
            <w:noProof/>
            <w:webHidden/>
          </w:rPr>
          <w:fldChar w:fldCharType="end"/>
        </w:r>
      </w:hyperlink>
    </w:p>
    <w:p w14:paraId="50D5E055" w14:textId="1C90FFEC" w:rsidR="004A1C99" w:rsidRDefault="00D158DC">
      <w:pPr>
        <w:pStyle w:val="TableofFigures"/>
        <w:tabs>
          <w:tab w:val="right" w:leader="dot" w:pos="9060"/>
        </w:tabs>
        <w:rPr>
          <w:rFonts w:eastAsiaTheme="minorEastAsia"/>
          <w:noProof/>
          <w:kern w:val="2"/>
          <w:lang w:eastAsia="en-AU"/>
          <w14:ligatures w14:val="standardContextual"/>
        </w:rPr>
      </w:pPr>
      <w:hyperlink w:anchor="_Toc161306170" w:history="1">
        <w:r w:rsidR="004A1C99" w:rsidRPr="00DC3F1C">
          <w:rPr>
            <w:rStyle w:val="Hyperlink"/>
            <w:noProof/>
          </w:rPr>
          <w:t>Figure 5 Liquid fuel, gas and electricity consumption as a share of Australia’s total final energy consumption (2021–22)</w:t>
        </w:r>
        <w:r w:rsidR="004A1C99">
          <w:rPr>
            <w:noProof/>
            <w:webHidden/>
          </w:rPr>
          <w:tab/>
        </w:r>
        <w:r w:rsidR="004A1C99">
          <w:rPr>
            <w:noProof/>
            <w:webHidden/>
          </w:rPr>
          <w:fldChar w:fldCharType="begin"/>
        </w:r>
        <w:r w:rsidR="004A1C99">
          <w:rPr>
            <w:noProof/>
            <w:webHidden/>
          </w:rPr>
          <w:instrText xml:space="preserve"> PAGEREF _Toc161306170 \h </w:instrText>
        </w:r>
        <w:r w:rsidR="004A1C99">
          <w:rPr>
            <w:noProof/>
            <w:webHidden/>
          </w:rPr>
        </w:r>
        <w:r w:rsidR="004A1C99">
          <w:rPr>
            <w:noProof/>
            <w:webHidden/>
          </w:rPr>
          <w:fldChar w:fldCharType="separate"/>
        </w:r>
        <w:r>
          <w:rPr>
            <w:noProof/>
            <w:webHidden/>
          </w:rPr>
          <w:t>23</w:t>
        </w:r>
        <w:r w:rsidR="004A1C99">
          <w:rPr>
            <w:noProof/>
            <w:webHidden/>
          </w:rPr>
          <w:fldChar w:fldCharType="end"/>
        </w:r>
      </w:hyperlink>
    </w:p>
    <w:p w14:paraId="126EE148" w14:textId="696610CA" w:rsidR="00764D6A" w:rsidRDefault="00E91D72">
      <w:r>
        <w:fldChar w:fldCharType="end"/>
      </w:r>
    </w:p>
    <w:p w14:paraId="42C54C2A" w14:textId="77777777" w:rsidR="00764D6A" w:rsidRDefault="00E91D72">
      <w:pPr>
        <w:pStyle w:val="TOCHeading2"/>
        <w:rPr>
          <w:rStyle w:val="Strong"/>
        </w:rPr>
      </w:pPr>
      <w:r>
        <w:rPr>
          <w:rStyle w:val="Strong"/>
        </w:rPr>
        <w:t>Boxes</w:t>
      </w:r>
    </w:p>
    <w:p w14:paraId="0CDBDFDA" w14:textId="5B8DB1DF" w:rsidR="004A1C99" w:rsidRDefault="00E91D72">
      <w:pPr>
        <w:pStyle w:val="TableofFigures"/>
        <w:tabs>
          <w:tab w:val="right" w:leader="dot" w:pos="9060"/>
        </w:tabs>
        <w:rPr>
          <w:rFonts w:eastAsiaTheme="minorEastAsia"/>
          <w:noProof/>
          <w:kern w:val="2"/>
          <w:lang w:eastAsia="en-AU"/>
          <w14:ligatures w14:val="standardContextual"/>
        </w:rPr>
      </w:pPr>
      <w:r>
        <w:rPr>
          <w:rFonts w:ascii="Cambria" w:hAnsi="Cambria"/>
        </w:rPr>
        <w:fldChar w:fldCharType="begin"/>
      </w:r>
      <w:r>
        <w:instrText xml:space="preserve"> TOC \h \z \c "Box" </w:instrText>
      </w:r>
      <w:r>
        <w:rPr>
          <w:rFonts w:ascii="Cambria" w:hAnsi="Cambria"/>
        </w:rPr>
        <w:fldChar w:fldCharType="separate"/>
      </w:r>
      <w:hyperlink w:anchor="_Toc161306072" w:history="1">
        <w:r w:rsidR="004A1C99" w:rsidRPr="002C32B5">
          <w:rPr>
            <w:rStyle w:val="Hyperlink"/>
            <w:noProof/>
          </w:rPr>
          <w:t>Box 1 Interactions of the Plan with other energy policy programs</w:t>
        </w:r>
        <w:r w:rsidR="004A1C99">
          <w:rPr>
            <w:noProof/>
            <w:webHidden/>
          </w:rPr>
          <w:tab/>
        </w:r>
        <w:r w:rsidR="004A1C99">
          <w:rPr>
            <w:noProof/>
            <w:webHidden/>
          </w:rPr>
          <w:fldChar w:fldCharType="begin"/>
        </w:r>
        <w:r w:rsidR="004A1C99">
          <w:rPr>
            <w:noProof/>
            <w:webHidden/>
          </w:rPr>
          <w:instrText xml:space="preserve"> PAGEREF _Toc161306072 \h </w:instrText>
        </w:r>
        <w:r w:rsidR="004A1C99">
          <w:rPr>
            <w:noProof/>
            <w:webHidden/>
          </w:rPr>
        </w:r>
        <w:r w:rsidR="004A1C99">
          <w:rPr>
            <w:noProof/>
            <w:webHidden/>
          </w:rPr>
          <w:fldChar w:fldCharType="separate"/>
        </w:r>
        <w:r w:rsidR="00D158DC">
          <w:rPr>
            <w:noProof/>
            <w:webHidden/>
          </w:rPr>
          <w:t>11</w:t>
        </w:r>
        <w:r w:rsidR="004A1C99">
          <w:rPr>
            <w:noProof/>
            <w:webHidden/>
          </w:rPr>
          <w:fldChar w:fldCharType="end"/>
        </w:r>
      </w:hyperlink>
    </w:p>
    <w:p w14:paraId="6A276F28" w14:textId="673D72A4" w:rsidR="004A1C99" w:rsidRDefault="00D158DC">
      <w:pPr>
        <w:pStyle w:val="TableofFigures"/>
        <w:tabs>
          <w:tab w:val="right" w:leader="dot" w:pos="9060"/>
        </w:tabs>
        <w:rPr>
          <w:rFonts w:eastAsiaTheme="minorEastAsia"/>
          <w:noProof/>
          <w:kern w:val="2"/>
          <w:lang w:eastAsia="en-AU"/>
          <w14:ligatures w14:val="standardContextual"/>
        </w:rPr>
      </w:pPr>
      <w:hyperlink w:anchor="_Toc161306073" w:history="1">
        <w:r w:rsidR="004A1C99" w:rsidRPr="002C32B5">
          <w:rPr>
            <w:rStyle w:val="Hyperlink"/>
            <w:noProof/>
          </w:rPr>
          <w:t>Box 2 The Australian Government's response to the Community Engagement Review</w:t>
        </w:r>
        <w:r w:rsidR="004A1C99">
          <w:rPr>
            <w:noProof/>
            <w:webHidden/>
          </w:rPr>
          <w:tab/>
        </w:r>
        <w:r w:rsidR="004A1C99">
          <w:rPr>
            <w:noProof/>
            <w:webHidden/>
          </w:rPr>
          <w:fldChar w:fldCharType="begin"/>
        </w:r>
        <w:r w:rsidR="004A1C99">
          <w:rPr>
            <w:noProof/>
            <w:webHidden/>
          </w:rPr>
          <w:instrText xml:space="preserve"> PAGEREF _Toc161306073 \h </w:instrText>
        </w:r>
        <w:r w:rsidR="004A1C99">
          <w:rPr>
            <w:noProof/>
            <w:webHidden/>
          </w:rPr>
        </w:r>
        <w:r w:rsidR="004A1C99">
          <w:rPr>
            <w:noProof/>
            <w:webHidden/>
          </w:rPr>
          <w:fldChar w:fldCharType="separate"/>
        </w:r>
        <w:r>
          <w:rPr>
            <w:noProof/>
            <w:webHidden/>
          </w:rPr>
          <w:t>36</w:t>
        </w:r>
        <w:r w:rsidR="004A1C99">
          <w:rPr>
            <w:noProof/>
            <w:webHidden/>
          </w:rPr>
          <w:fldChar w:fldCharType="end"/>
        </w:r>
      </w:hyperlink>
    </w:p>
    <w:p w14:paraId="55A42451" w14:textId="3DE5A3C9" w:rsidR="001861CC" w:rsidRDefault="00E91D72" w:rsidP="00976374">
      <w:r>
        <w:fldChar w:fldCharType="end"/>
      </w:r>
    </w:p>
    <w:p w14:paraId="71E2473A" w14:textId="77777777" w:rsidR="001861CC" w:rsidRDefault="001861CC">
      <w:pPr>
        <w:spacing w:after="0" w:line="240" w:lineRule="auto"/>
        <w:rPr>
          <w:rFonts w:ascii="Calibri" w:eastAsiaTheme="minorEastAsia" w:hAnsi="Calibri"/>
          <w:bCs/>
          <w:color w:val="197C7D"/>
          <w:sz w:val="48"/>
          <w:lang w:eastAsia="ja-JP"/>
        </w:rPr>
      </w:pPr>
      <w:r>
        <w:br w:type="page"/>
      </w:r>
    </w:p>
    <w:p w14:paraId="291D4037" w14:textId="59CDDF82" w:rsidR="00764D6A" w:rsidRPr="00B61D55" w:rsidRDefault="00D22009" w:rsidP="00F546C3">
      <w:pPr>
        <w:pStyle w:val="Heading2"/>
        <w:numPr>
          <w:ilvl w:val="0"/>
          <w:numId w:val="0"/>
        </w:numPr>
      </w:pPr>
      <w:bookmarkStart w:id="2" w:name="_Toc161306030"/>
      <w:r w:rsidRPr="00B61D55">
        <w:lastRenderedPageBreak/>
        <w:t>About this consultation paper</w:t>
      </w:r>
      <w:bookmarkEnd w:id="2"/>
    </w:p>
    <w:p w14:paraId="57E96096" w14:textId="18EF3240" w:rsidR="002E45EE" w:rsidRPr="0078693F" w:rsidRDefault="002E45EE" w:rsidP="006840EE">
      <w:pPr>
        <w:jc w:val="both"/>
      </w:pPr>
      <w:bookmarkStart w:id="3" w:name="_Toc430782150"/>
      <w:r w:rsidRPr="00E94C24">
        <w:rPr>
          <w:rFonts w:ascii="Calibri" w:eastAsia="Calibri" w:hAnsi="Calibri" w:cs="Calibri"/>
          <w:color w:val="000000" w:themeColor="text1"/>
        </w:rPr>
        <w:t xml:space="preserve">In 2022, the </w:t>
      </w:r>
      <w:r>
        <w:rPr>
          <w:rFonts w:ascii="Calibri" w:eastAsia="Calibri" w:hAnsi="Calibri" w:cs="Calibri"/>
          <w:color w:val="000000" w:themeColor="text1"/>
        </w:rPr>
        <w:t>Australian Government</w:t>
      </w:r>
      <w:r w:rsidRPr="00E94C24">
        <w:rPr>
          <w:rFonts w:ascii="Calibri" w:eastAsia="Calibri" w:hAnsi="Calibri" w:cs="Calibri"/>
          <w:color w:val="000000" w:themeColor="text1"/>
        </w:rPr>
        <w:t xml:space="preserve"> legislated Australia’s greenhouse gas emissions reduction targets to reach 43</w:t>
      </w:r>
      <w:r>
        <w:rPr>
          <w:rFonts w:ascii="Calibri" w:eastAsia="Calibri" w:hAnsi="Calibri" w:cs="Calibri"/>
          <w:color w:val="000000" w:themeColor="text1"/>
        </w:rPr>
        <w:t>%</w:t>
      </w:r>
      <w:r w:rsidRPr="00E94C24">
        <w:rPr>
          <w:rFonts w:ascii="Calibri" w:eastAsia="Calibri" w:hAnsi="Calibri" w:cs="Calibri"/>
          <w:color w:val="000000" w:themeColor="text1"/>
        </w:rPr>
        <w:t xml:space="preserve"> below 2005 levels by 2030</w:t>
      </w:r>
      <w:r>
        <w:rPr>
          <w:rFonts w:ascii="Calibri" w:eastAsia="Calibri" w:hAnsi="Calibri" w:cs="Calibri"/>
          <w:color w:val="000000" w:themeColor="text1"/>
        </w:rPr>
        <w:t xml:space="preserve"> and </w:t>
      </w:r>
      <w:r w:rsidRPr="00E94C24">
        <w:rPr>
          <w:rFonts w:ascii="Calibri" w:eastAsia="Calibri" w:hAnsi="Calibri" w:cs="Calibri"/>
          <w:color w:val="000000" w:themeColor="text1"/>
        </w:rPr>
        <w:t>net zero by 2050.</w:t>
      </w:r>
      <w:r w:rsidR="00375113">
        <w:rPr>
          <w:rFonts w:ascii="Calibri" w:eastAsia="Calibri" w:hAnsi="Calibri" w:cs="Calibri"/>
          <w:color w:val="000000" w:themeColor="text1"/>
        </w:rPr>
        <w:t xml:space="preserve"> </w:t>
      </w:r>
    </w:p>
    <w:p w14:paraId="6A366E6B" w14:textId="07133141" w:rsidR="00375113" w:rsidRDefault="002E45EE" w:rsidP="006840EE">
      <w:pPr>
        <w:jc w:val="both"/>
      </w:pPr>
      <w:r w:rsidRPr="00930A89">
        <w:t xml:space="preserve">The Electricity and Energy Sector Plan (‘the Plan’) </w:t>
      </w:r>
      <w:r w:rsidR="00375113">
        <w:t xml:space="preserve">is one of 6 sectoral decarbonisation plans being developed </w:t>
      </w:r>
      <w:r w:rsidR="00E15495">
        <w:t>to support</w:t>
      </w:r>
      <w:r w:rsidR="00375113">
        <w:t xml:space="preserve"> the Net Zero 2050 Plan to help reduce emissions across the economy.</w:t>
      </w:r>
      <w:r w:rsidR="007E3819">
        <w:t xml:space="preserve"> </w:t>
      </w:r>
    </w:p>
    <w:p w14:paraId="2B604610" w14:textId="368713BA" w:rsidR="002E45EE" w:rsidRPr="00930A89" w:rsidRDefault="00375113" w:rsidP="006840EE">
      <w:pPr>
        <w:jc w:val="both"/>
      </w:pPr>
      <w:r>
        <w:t xml:space="preserve">The Plan </w:t>
      </w:r>
      <w:r w:rsidR="002E45EE" w:rsidRPr="00930A89">
        <w:t xml:space="preserve">will </w:t>
      </w:r>
      <w:r w:rsidR="002E45EE">
        <w:t>set out a pathway to 2050 detailing</w:t>
      </w:r>
      <w:r w:rsidR="002E45EE" w:rsidRPr="00930A89" w:rsidDel="0030554E">
        <w:t xml:space="preserve"> </w:t>
      </w:r>
      <w:r w:rsidR="002E45EE" w:rsidRPr="00930A89">
        <w:t xml:space="preserve">how the </w:t>
      </w:r>
      <w:r w:rsidR="00732D8A">
        <w:t xml:space="preserve">energy </w:t>
      </w:r>
      <w:r w:rsidR="002E45EE" w:rsidRPr="00930A89">
        <w:t xml:space="preserve">sector will contribute to Australia’s </w:t>
      </w:r>
      <w:r w:rsidR="002E45EE">
        <w:t>emissions reduction</w:t>
      </w:r>
      <w:r w:rsidR="002E45EE" w:rsidRPr="00930A89">
        <w:t xml:space="preserve"> target</w:t>
      </w:r>
      <w:r w:rsidR="002E45EE">
        <w:t xml:space="preserve">s while ensuring reliable, </w:t>
      </w:r>
      <w:proofErr w:type="gramStart"/>
      <w:r w:rsidR="002E45EE">
        <w:t>secure</w:t>
      </w:r>
      <w:proofErr w:type="gramEnd"/>
      <w:r w:rsidR="002E45EE">
        <w:t xml:space="preserve"> and affordable energy supply.</w:t>
      </w:r>
    </w:p>
    <w:p w14:paraId="33BD92A6" w14:textId="053F524E" w:rsidR="00B24FFB" w:rsidRDefault="00B24FFB" w:rsidP="00B24FFB">
      <w:pPr>
        <w:jc w:val="both"/>
      </w:pPr>
      <w:r>
        <w:t xml:space="preserve">To inform the development of </w:t>
      </w:r>
      <w:r w:rsidR="00375113">
        <w:t>the</w:t>
      </w:r>
      <w:r>
        <w:t xml:space="preserve"> </w:t>
      </w:r>
      <w:r w:rsidR="00071660">
        <w:t xml:space="preserve">Electricity and Energy Sector </w:t>
      </w:r>
      <w:r>
        <w:t>Plan, the Australian Government is seeking feedback on the aspects of the energy transformation that represent the greatest opportunities and challenges.</w:t>
      </w:r>
    </w:p>
    <w:p w14:paraId="276CAF01" w14:textId="47D798BA" w:rsidR="002E45EE" w:rsidRPr="00FD72D0" w:rsidRDefault="002E45EE" w:rsidP="006840EE">
      <w:pPr>
        <w:jc w:val="both"/>
        <w:rPr>
          <w:rFonts w:ascii="Calibri" w:eastAsia="Calibri" w:hAnsi="Calibri" w:cs="Calibri"/>
          <w:color w:val="000000" w:themeColor="text1"/>
        </w:rPr>
      </w:pPr>
      <w:r w:rsidRPr="00930A89">
        <w:t>Th</w:t>
      </w:r>
      <w:r>
        <w:t xml:space="preserve">e Electricity and Energy Sector Plan discussion paper </w:t>
      </w:r>
      <w:r w:rsidRPr="00930A89">
        <w:t xml:space="preserve">sets out </w:t>
      </w:r>
      <w:r w:rsidR="000D0ABD">
        <w:t>5</w:t>
      </w:r>
      <w:r w:rsidR="000D0ABD" w:rsidRPr="00930A89">
        <w:t xml:space="preserve"> </w:t>
      </w:r>
      <w:r w:rsidRPr="00930A89">
        <w:t xml:space="preserve">key considerations shaping the </w:t>
      </w:r>
      <w:r w:rsidRPr="00FD72D0">
        <w:t>future of energy for consideration and feedback:</w:t>
      </w:r>
    </w:p>
    <w:p w14:paraId="0F826F04" w14:textId="5D8BE1B5" w:rsidR="002E45EE" w:rsidRPr="00AC20F5" w:rsidRDefault="002E45EE" w:rsidP="00D51FBB">
      <w:pPr>
        <w:pStyle w:val="ListBullet"/>
        <w:numPr>
          <w:ilvl w:val="0"/>
          <w:numId w:val="54"/>
        </w:numPr>
      </w:pPr>
      <w:r w:rsidRPr="00AC20F5">
        <w:t>Mobilising investment</w:t>
      </w:r>
    </w:p>
    <w:p w14:paraId="19E9A208" w14:textId="7943B49D" w:rsidR="002E45EE" w:rsidRPr="00AC20F5" w:rsidRDefault="002E45EE" w:rsidP="00D51FBB">
      <w:pPr>
        <w:pStyle w:val="ListBullet"/>
        <w:numPr>
          <w:ilvl w:val="0"/>
          <w:numId w:val="54"/>
        </w:numPr>
      </w:pPr>
      <w:r w:rsidRPr="0084118B">
        <w:t>Enabling electrification</w:t>
      </w:r>
    </w:p>
    <w:p w14:paraId="32F9BB83" w14:textId="28CED821" w:rsidR="002E45EE" w:rsidRPr="00FD72D0" w:rsidRDefault="002E45EE" w:rsidP="00D51FBB">
      <w:pPr>
        <w:pStyle w:val="ListBullet"/>
        <w:numPr>
          <w:ilvl w:val="0"/>
          <w:numId w:val="54"/>
        </w:numPr>
      </w:pPr>
      <w:r w:rsidRPr="00FD72D0">
        <w:t xml:space="preserve">Growing alternative low </w:t>
      </w:r>
      <w:r>
        <w:t>carbon</w:t>
      </w:r>
      <w:r w:rsidRPr="00FD72D0">
        <w:t xml:space="preserve"> fuels</w:t>
      </w:r>
    </w:p>
    <w:p w14:paraId="319B69AE" w14:textId="722CEE6C" w:rsidR="002E45EE" w:rsidRPr="00AC20F5" w:rsidRDefault="002E45EE" w:rsidP="00D51FBB">
      <w:pPr>
        <w:pStyle w:val="ListBullet"/>
        <w:numPr>
          <w:ilvl w:val="0"/>
          <w:numId w:val="54"/>
        </w:numPr>
      </w:pPr>
      <w:r w:rsidRPr="5E8643EC">
        <w:t>Building Australia’s clean energy workforce</w:t>
      </w:r>
    </w:p>
    <w:p w14:paraId="323210ED" w14:textId="7CC96349" w:rsidR="002E45EE" w:rsidRPr="00035F08" w:rsidRDefault="002E45EE" w:rsidP="00D51FBB">
      <w:pPr>
        <w:pStyle w:val="ListBullet"/>
        <w:numPr>
          <w:ilvl w:val="0"/>
          <w:numId w:val="54"/>
        </w:numPr>
        <w:spacing w:after="240"/>
      </w:pPr>
      <w:r w:rsidRPr="00FD72D0">
        <w:t>Maximising</w:t>
      </w:r>
      <w:r>
        <w:t xml:space="preserve"> outcomes for people and businesses</w:t>
      </w:r>
      <w:r w:rsidRPr="00AC20F5">
        <w:t>.</w:t>
      </w:r>
    </w:p>
    <w:p w14:paraId="45C03056" w14:textId="480C55C3" w:rsidR="002E45EE" w:rsidRPr="00AC20F5" w:rsidRDefault="002E45EE" w:rsidP="00EA75CD">
      <w:pPr>
        <w:jc w:val="both"/>
        <w:rPr>
          <w:rFonts w:ascii="Calibri" w:eastAsia="Calibri" w:hAnsi="Calibri" w:cs="Calibri"/>
          <w:b/>
          <w:color w:val="000000" w:themeColor="text1"/>
        </w:rPr>
      </w:pPr>
      <w:r w:rsidRPr="00930A89">
        <w:t xml:space="preserve">These </w:t>
      </w:r>
      <w:r>
        <w:t>focus areas</w:t>
      </w:r>
      <w:r w:rsidRPr="00930A89">
        <w:t xml:space="preserve"> have been identified through research and consultation with </w:t>
      </w:r>
      <w:r w:rsidRPr="00930A89">
        <w:rPr>
          <w:rFonts w:ascii="Calibri" w:eastAsia="Calibri" w:hAnsi="Calibri" w:cs="Calibri"/>
          <w:color w:val="000000" w:themeColor="text1"/>
        </w:rPr>
        <w:t>stakeholders such as industry</w:t>
      </w:r>
      <w:r>
        <w:rPr>
          <w:rFonts w:ascii="Calibri" w:eastAsia="Calibri" w:hAnsi="Calibri" w:cs="Calibri"/>
          <w:color w:val="000000" w:themeColor="text1"/>
        </w:rPr>
        <w:t xml:space="preserve">, </w:t>
      </w:r>
      <w:r w:rsidR="006800AA">
        <w:rPr>
          <w:rFonts w:ascii="Calibri" w:eastAsia="Calibri" w:hAnsi="Calibri" w:cs="Calibri"/>
          <w:color w:val="000000" w:themeColor="text1"/>
        </w:rPr>
        <w:t xml:space="preserve">consumer groups, </w:t>
      </w:r>
      <w:r>
        <w:rPr>
          <w:rFonts w:ascii="Calibri" w:eastAsia="Calibri" w:hAnsi="Calibri" w:cs="Calibri"/>
          <w:color w:val="000000" w:themeColor="text1"/>
        </w:rPr>
        <w:t>academics</w:t>
      </w:r>
      <w:r w:rsidRPr="00930A89">
        <w:rPr>
          <w:rFonts w:ascii="Calibri" w:eastAsia="Calibri" w:hAnsi="Calibri" w:cs="Calibri"/>
          <w:color w:val="000000" w:themeColor="text1"/>
        </w:rPr>
        <w:t xml:space="preserve"> and other experts, and other governments.</w:t>
      </w:r>
    </w:p>
    <w:p w14:paraId="790B1DB8" w14:textId="14286052" w:rsidR="002E45EE" w:rsidRDefault="002E45EE" w:rsidP="00EA75CD">
      <w:pPr>
        <w:jc w:val="both"/>
      </w:pPr>
      <w:r w:rsidRPr="00C55A2B">
        <w:t xml:space="preserve">Feedback received as part of this consultation will help us identify where we need to take action to unlock opportunities and further progress towards </w:t>
      </w:r>
      <w:r>
        <w:t>achieving Australia’s net zero by 2050 target</w:t>
      </w:r>
      <w:r w:rsidR="00094C5F">
        <w:t xml:space="preserve"> while prioritising affordable, reliable energy.</w:t>
      </w:r>
    </w:p>
    <w:p w14:paraId="3A800AD0" w14:textId="77777777" w:rsidR="002E45EE" w:rsidRPr="006C7199" w:rsidRDefault="002E45EE" w:rsidP="00FB32E2">
      <w:pPr>
        <w:pStyle w:val="Heading4"/>
        <w:numPr>
          <w:ilvl w:val="0"/>
          <w:numId w:val="0"/>
        </w:numPr>
        <w:ind w:left="720" w:hanging="720"/>
      </w:pPr>
      <w:r w:rsidRPr="001343DC">
        <w:t>Making</w:t>
      </w:r>
      <w:r w:rsidRPr="006C7199">
        <w:t xml:space="preserve"> a submission</w:t>
      </w:r>
    </w:p>
    <w:p w14:paraId="5D2BA7DA" w14:textId="07234533" w:rsidR="002E45EE" w:rsidRDefault="002E45EE" w:rsidP="00EA75CD">
      <w:pPr>
        <w:jc w:val="both"/>
        <w:rPr>
          <w:rFonts w:ascii="Calibri" w:eastAsia="Calibri" w:hAnsi="Calibri" w:cs="Calibri"/>
          <w:color w:val="000000" w:themeColor="text1"/>
        </w:rPr>
      </w:pPr>
      <w:r w:rsidRPr="000625E7">
        <w:rPr>
          <w:rFonts w:ascii="Calibri" w:eastAsia="Calibri" w:hAnsi="Calibri" w:cs="Calibri"/>
          <w:color w:val="000000" w:themeColor="text1"/>
        </w:rPr>
        <w:t xml:space="preserve">The </w:t>
      </w:r>
      <w:r>
        <w:rPr>
          <w:rFonts w:ascii="Calibri" w:eastAsia="Calibri" w:hAnsi="Calibri" w:cs="Calibri"/>
          <w:color w:val="000000" w:themeColor="text1"/>
        </w:rPr>
        <w:t>Australian Government</w:t>
      </w:r>
      <w:r w:rsidRPr="000625E7">
        <w:rPr>
          <w:rFonts w:ascii="Calibri" w:eastAsia="Calibri" w:hAnsi="Calibri" w:cs="Calibri"/>
          <w:color w:val="000000" w:themeColor="text1"/>
        </w:rPr>
        <w:t xml:space="preserve"> is committed to delivering </w:t>
      </w:r>
      <w:r>
        <w:rPr>
          <w:rFonts w:ascii="Calibri" w:eastAsia="Calibri" w:hAnsi="Calibri" w:cs="Calibri"/>
          <w:color w:val="000000" w:themeColor="text1"/>
        </w:rPr>
        <w:t xml:space="preserve">sectoral </w:t>
      </w:r>
      <w:r w:rsidRPr="000625E7">
        <w:rPr>
          <w:rFonts w:ascii="Calibri" w:eastAsia="Calibri" w:hAnsi="Calibri" w:cs="Calibri"/>
          <w:color w:val="000000" w:themeColor="text1"/>
        </w:rPr>
        <w:t xml:space="preserve">plans that are robust, ambitious, </w:t>
      </w:r>
      <w:proofErr w:type="gramStart"/>
      <w:r w:rsidRPr="000625E7">
        <w:rPr>
          <w:rFonts w:ascii="Calibri" w:eastAsia="Calibri" w:hAnsi="Calibri" w:cs="Calibri"/>
          <w:color w:val="000000" w:themeColor="text1"/>
        </w:rPr>
        <w:t>achievable</w:t>
      </w:r>
      <w:proofErr w:type="gramEnd"/>
      <w:r w:rsidR="002563C9">
        <w:rPr>
          <w:rFonts w:ascii="Calibri" w:eastAsia="Calibri" w:hAnsi="Calibri" w:cs="Calibri"/>
          <w:color w:val="000000" w:themeColor="text1"/>
        </w:rPr>
        <w:t xml:space="preserve"> and meet</w:t>
      </w:r>
      <w:r w:rsidRPr="000625E7" w:rsidDel="002563C9">
        <w:rPr>
          <w:rFonts w:ascii="Calibri" w:eastAsia="Calibri" w:hAnsi="Calibri" w:cs="Calibri"/>
          <w:color w:val="000000" w:themeColor="text1"/>
        </w:rPr>
        <w:t xml:space="preserve"> </w:t>
      </w:r>
      <w:r w:rsidRPr="000625E7">
        <w:rPr>
          <w:rFonts w:ascii="Calibri" w:eastAsia="Calibri" w:hAnsi="Calibri" w:cs="Calibri"/>
          <w:color w:val="000000" w:themeColor="text1"/>
        </w:rPr>
        <w:t>community</w:t>
      </w:r>
      <w:r w:rsidR="001C13AE">
        <w:rPr>
          <w:rFonts w:ascii="Calibri" w:eastAsia="Calibri" w:hAnsi="Calibri" w:cs="Calibri"/>
          <w:color w:val="000000" w:themeColor="text1"/>
        </w:rPr>
        <w:t xml:space="preserve"> expectations</w:t>
      </w:r>
      <w:r w:rsidRPr="000625E7">
        <w:rPr>
          <w:rFonts w:ascii="Calibri" w:eastAsia="Calibri" w:hAnsi="Calibri" w:cs="Calibri"/>
          <w:color w:val="000000" w:themeColor="text1"/>
        </w:rPr>
        <w:t xml:space="preserve">. </w:t>
      </w:r>
    </w:p>
    <w:p w14:paraId="6ED32B50" w14:textId="12DDBC1B" w:rsidR="002E45EE" w:rsidRDefault="002E45EE" w:rsidP="00EA75CD">
      <w:pPr>
        <w:jc w:val="both"/>
        <w:rPr>
          <w:rFonts w:ascii="Calibri" w:eastAsia="Calibri" w:hAnsi="Calibri" w:cs="Calibri"/>
          <w:color w:val="000000" w:themeColor="text1"/>
        </w:rPr>
      </w:pPr>
      <w:r w:rsidRPr="000625E7">
        <w:rPr>
          <w:rFonts w:ascii="Calibri" w:eastAsia="Calibri" w:hAnsi="Calibri" w:cs="Calibri"/>
          <w:color w:val="000000" w:themeColor="text1"/>
        </w:rPr>
        <w:t>We welcome submissions from all groups and communities at the forefront of the transition on how they can</w:t>
      </w:r>
      <w:r w:rsidR="00051134">
        <w:rPr>
          <w:rFonts w:ascii="Calibri" w:eastAsia="Calibri" w:hAnsi="Calibri" w:cs="Calibri"/>
          <w:color w:val="000000" w:themeColor="text1"/>
        </w:rPr>
        <w:t xml:space="preserve"> maximise</w:t>
      </w:r>
      <w:r w:rsidRPr="000625E7">
        <w:rPr>
          <w:rFonts w:ascii="Calibri" w:eastAsia="Calibri" w:hAnsi="Calibri" w:cs="Calibri"/>
          <w:color w:val="000000" w:themeColor="text1"/>
        </w:rPr>
        <w:t xml:space="preserve"> benefit</w:t>
      </w:r>
      <w:r w:rsidR="005448B7">
        <w:rPr>
          <w:rFonts w:ascii="Calibri" w:eastAsia="Calibri" w:hAnsi="Calibri" w:cs="Calibri"/>
          <w:color w:val="000000" w:themeColor="text1"/>
        </w:rPr>
        <w:t>s</w:t>
      </w:r>
      <w:r w:rsidRPr="000625E7">
        <w:rPr>
          <w:rFonts w:ascii="Calibri" w:eastAsia="Calibri" w:hAnsi="Calibri" w:cs="Calibri"/>
          <w:color w:val="000000" w:themeColor="text1"/>
        </w:rPr>
        <w:t xml:space="preserve"> from </w:t>
      </w:r>
      <w:r>
        <w:rPr>
          <w:rFonts w:ascii="Calibri" w:eastAsia="Calibri" w:hAnsi="Calibri" w:cs="Calibri"/>
          <w:color w:val="000000" w:themeColor="text1"/>
        </w:rPr>
        <w:t>the</w:t>
      </w:r>
      <w:r w:rsidRPr="000625E7">
        <w:rPr>
          <w:rFonts w:ascii="Calibri" w:eastAsia="Calibri" w:hAnsi="Calibri" w:cs="Calibri"/>
          <w:color w:val="000000" w:themeColor="text1"/>
        </w:rPr>
        <w:t xml:space="preserve"> energy sector</w:t>
      </w:r>
      <w:r>
        <w:rPr>
          <w:rFonts w:ascii="Calibri" w:eastAsia="Calibri" w:hAnsi="Calibri" w:cs="Calibri"/>
          <w:color w:val="000000" w:themeColor="text1"/>
        </w:rPr>
        <w:t xml:space="preserve"> transformation</w:t>
      </w:r>
      <w:r w:rsidRPr="000625E7">
        <w:rPr>
          <w:rFonts w:ascii="Calibri" w:eastAsia="Calibri" w:hAnsi="Calibri" w:cs="Calibri"/>
          <w:color w:val="000000" w:themeColor="text1"/>
        </w:rPr>
        <w:t>.</w:t>
      </w:r>
      <w:r>
        <w:rPr>
          <w:rFonts w:ascii="Calibri" w:eastAsia="Calibri" w:hAnsi="Calibri" w:cs="Calibri"/>
          <w:color w:val="000000" w:themeColor="text1"/>
        </w:rPr>
        <w:t xml:space="preserve"> </w:t>
      </w:r>
      <w:r w:rsidR="0087468E">
        <w:rPr>
          <w:rFonts w:ascii="Calibri" w:eastAsia="Calibri" w:hAnsi="Calibri" w:cs="Calibri"/>
          <w:color w:val="000000" w:themeColor="text1"/>
        </w:rPr>
        <w:t>W</w:t>
      </w:r>
      <w:r w:rsidRPr="53FDFCC5">
        <w:rPr>
          <w:rFonts w:ascii="Calibri" w:eastAsia="Calibri" w:hAnsi="Calibri" w:cs="Calibri"/>
          <w:color w:val="000000" w:themeColor="text1"/>
        </w:rPr>
        <w:t xml:space="preserve">e particularly welcome feedback from </w:t>
      </w:r>
      <w:r>
        <w:rPr>
          <w:rFonts w:ascii="Calibri" w:eastAsia="Calibri" w:hAnsi="Calibri" w:cs="Calibri"/>
          <w:color w:val="000000" w:themeColor="text1"/>
        </w:rPr>
        <w:t>First Nations</w:t>
      </w:r>
      <w:r w:rsidRPr="53FDFCC5">
        <w:rPr>
          <w:rFonts w:ascii="Calibri" w:eastAsia="Calibri" w:hAnsi="Calibri" w:cs="Calibri"/>
          <w:color w:val="000000" w:themeColor="text1"/>
        </w:rPr>
        <w:t xml:space="preserve"> people</w:t>
      </w:r>
      <w:r>
        <w:rPr>
          <w:rFonts w:ascii="Calibri" w:eastAsia="Calibri" w:hAnsi="Calibri" w:cs="Calibri"/>
          <w:color w:val="000000" w:themeColor="text1"/>
        </w:rPr>
        <w:t>s</w:t>
      </w:r>
      <w:r w:rsidRPr="53FDFCC5">
        <w:rPr>
          <w:rFonts w:ascii="Calibri" w:eastAsia="Calibri" w:hAnsi="Calibri" w:cs="Calibri"/>
          <w:color w:val="000000" w:themeColor="text1"/>
        </w:rPr>
        <w:t xml:space="preserve"> and organisations.</w:t>
      </w:r>
    </w:p>
    <w:p w14:paraId="36318317" w14:textId="022FC67C" w:rsidR="002E45EE" w:rsidRDefault="002E45EE" w:rsidP="00EA75CD">
      <w:pPr>
        <w:jc w:val="both"/>
        <w:rPr>
          <w:rFonts w:ascii="Calibri" w:eastAsia="Calibri" w:hAnsi="Calibri" w:cs="Calibri"/>
          <w:color w:val="000000" w:themeColor="text1"/>
        </w:rPr>
      </w:pPr>
      <w:r>
        <w:rPr>
          <w:rFonts w:ascii="Calibri" w:eastAsia="Calibri" w:hAnsi="Calibri" w:cs="Calibri"/>
          <w:color w:val="000000" w:themeColor="text1"/>
        </w:rPr>
        <w:t xml:space="preserve">Throughout this paper and consolidated on page </w:t>
      </w:r>
      <w:r w:rsidR="00003985" w:rsidRPr="00B141BC">
        <w:rPr>
          <w:rFonts w:ascii="Calibri" w:eastAsia="Calibri" w:hAnsi="Calibri" w:cs="Calibri"/>
          <w:color w:val="000000" w:themeColor="text1"/>
        </w:rPr>
        <w:t>3</w:t>
      </w:r>
      <w:r w:rsidR="00E950C3" w:rsidRPr="00B141BC">
        <w:rPr>
          <w:rFonts w:ascii="Calibri" w:eastAsia="Calibri" w:hAnsi="Calibri" w:cs="Calibri"/>
          <w:color w:val="000000" w:themeColor="text1"/>
        </w:rPr>
        <w:t>8</w:t>
      </w:r>
      <w:r>
        <w:rPr>
          <w:rFonts w:ascii="Calibri" w:eastAsia="Calibri" w:hAnsi="Calibri" w:cs="Calibri"/>
          <w:color w:val="000000" w:themeColor="text1"/>
        </w:rPr>
        <w:t xml:space="preserve"> </w:t>
      </w:r>
      <w:r w:rsidRPr="53FDFCC5">
        <w:rPr>
          <w:rFonts w:ascii="Calibri" w:eastAsia="Calibri" w:hAnsi="Calibri" w:cs="Calibri"/>
          <w:color w:val="000000" w:themeColor="text1"/>
        </w:rPr>
        <w:t xml:space="preserve">are questions to help </w:t>
      </w:r>
      <w:r w:rsidRPr="004AE559">
        <w:rPr>
          <w:rFonts w:ascii="Calibri" w:eastAsia="Calibri" w:hAnsi="Calibri" w:cs="Calibri"/>
          <w:color w:val="000000" w:themeColor="text1"/>
        </w:rPr>
        <w:t xml:space="preserve">prompt and </w:t>
      </w:r>
      <w:r w:rsidR="00003985" w:rsidRPr="53FDFCC5">
        <w:rPr>
          <w:rFonts w:ascii="Calibri" w:eastAsia="Calibri" w:hAnsi="Calibri" w:cs="Calibri"/>
          <w:color w:val="000000" w:themeColor="text1"/>
        </w:rPr>
        <w:t>guide feedback</w:t>
      </w:r>
      <w:r w:rsidRPr="53FDFCC5">
        <w:rPr>
          <w:rFonts w:ascii="Calibri" w:eastAsia="Calibri" w:hAnsi="Calibri" w:cs="Calibri"/>
          <w:color w:val="000000" w:themeColor="text1"/>
        </w:rPr>
        <w:t xml:space="preserve">. </w:t>
      </w:r>
      <w:r>
        <w:rPr>
          <w:rFonts w:ascii="Calibri" w:eastAsia="Calibri" w:hAnsi="Calibri" w:cs="Calibri"/>
          <w:color w:val="000000" w:themeColor="text1"/>
        </w:rPr>
        <w:t>You do not have to answer all or any of the questions. B</w:t>
      </w:r>
      <w:r w:rsidRPr="53FDFCC5">
        <w:rPr>
          <w:rFonts w:ascii="Calibri" w:eastAsia="Calibri" w:hAnsi="Calibri" w:cs="Calibri"/>
          <w:color w:val="000000" w:themeColor="text1"/>
        </w:rPr>
        <w:t xml:space="preserve">roader comments and views are welcome. </w:t>
      </w:r>
    </w:p>
    <w:p w14:paraId="317A56E0" w14:textId="4EE1B9BB" w:rsidR="00E15495" w:rsidRDefault="002E45EE" w:rsidP="00EA75CD">
      <w:pPr>
        <w:jc w:val="both"/>
      </w:pPr>
      <w:r w:rsidRPr="53FDFCC5">
        <w:rPr>
          <w:rFonts w:ascii="Calibri" w:eastAsia="Calibri" w:hAnsi="Calibri" w:cs="Calibri"/>
          <w:color w:val="000000" w:themeColor="text1"/>
        </w:rPr>
        <w:t>We invite you to write a submission or complete the</w:t>
      </w:r>
      <w:r>
        <w:rPr>
          <w:rFonts w:ascii="Calibri" w:eastAsia="Calibri" w:hAnsi="Calibri" w:cs="Calibri"/>
          <w:color w:val="000000" w:themeColor="text1"/>
        </w:rPr>
        <w:t xml:space="preserve"> survey on our </w:t>
      </w:r>
      <w:hyperlink r:id="rId17" w:history="1">
        <w:r w:rsidR="001A566C" w:rsidRPr="00B141BC">
          <w:rPr>
            <w:rStyle w:val="Hyperlink"/>
            <w:rFonts w:ascii="Calibri" w:eastAsia="Calibri" w:hAnsi="Calibri" w:cs="Calibri"/>
          </w:rPr>
          <w:t>Consultation Hub</w:t>
        </w:r>
      </w:hyperlink>
      <w:r>
        <w:rPr>
          <w:rFonts w:ascii="Calibri" w:eastAsia="Calibri" w:hAnsi="Calibri" w:cs="Calibri"/>
          <w:color w:val="000000" w:themeColor="text1"/>
        </w:rPr>
        <w:t xml:space="preserve">. The consultation period will close on </w:t>
      </w:r>
      <w:r w:rsidR="0046313E" w:rsidRPr="00B141BC">
        <w:rPr>
          <w:rFonts w:ascii="Calibri" w:eastAsia="Calibri" w:hAnsi="Calibri" w:cs="Calibri"/>
          <w:color w:val="000000" w:themeColor="text1"/>
        </w:rPr>
        <w:t>Friday 12 April</w:t>
      </w:r>
      <w:r>
        <w:rPr>
          <w:rFonts w:ascii="Calibri" w:eastAsia="Calibri" w:hAnsi="Calibri" w:cs="Calibri"/>
          <w:color w:val="000000" w:themeColor="text1"/>
        </w:rPr>
        <w:t>.</w:t>
      </w:r>
      <w:r w:rsidRPr="00A91223">
        <w:t xml:space="preserve"> </w:t>
      </w:r>
      <w:r w:rsidR="0052574A" w:rsidRPr="00A91223">
        <w:t>All submissions</w:t>
      </w:r>
      <w:r w:rsidR="0052574A">
        <w:t xml:space="preserve"> received will be treated in accordance with the </w:t>
      </w:r>
      <w:hyperlink r:id="rId18" w:history="1">
        <w:r w:rsidR="0052574A" w:rsidRPr="003D37F6">
          <w:rPr>
            <w:rStyle w:val="Hyperlink"/>
            <w:i/>
            <w:iCs/>
          </w:rPr>
          <w:t>Privacy Act 1998</w:t>
        </w:r>
      </w:hyperlink>
      <w:r w:rsidR="0052574A">
        <w:t xml:space="preserve"> </w:t>
      </w:r>
      <w:r w:rsidR="00863579">
        <w:t>(</w:t>
      </w:r>
      <w:proofErr w:type="spellStart"/>
      <w:r w:rsidR="00863579">
        <w:t>Cth</w:t>
      </w:r>
      <w:proofErr w:type="spellEnd"/>
      <w:r w:rsidR="00863579">
        <w:t xml:space="preserve">) </w:t>
      </w:r>
      <w:r w:rsidR="0052574A">
        <w:t xml:space="preserve">and </w:t>
      </w:r>
      <w:hyperlink r:id="rId19" w:history="1">
        <w:r w:rsidR="0052574A" w:rsidRPr="003E4687">
          <w:rPr>
            <w:rStyle w:val="Hyperlink"/>
          </w:rPr>
          <w:t>DCCEEW’s Privacy Policy</w:t>
        </w:r>
      </w:hyperlink>
      <w:r w:rsidR="0052574A">
        <w:t>.</w:t>
      </w:r>
    </w:p>
    <w:p w14:paraId="79F35571" w14:textId="77777777" w:rsidR="00E15495" w:rsidRDefault="00E15495">
      <w:pPr>
        <w:spacing w:after="0" w:line="240" w:lineRule="auto"/>
      </w:pPr>
      <w:r>
        <w:br w:type="page"/>
      </w:r>
    </w:p>
    <w:p w14:paraId="2E975D17" w14:textId="4AC0C08C" w:rsidR="00764D6A" w:rsidRPr="00B61D55" w:rsidRDefault="00F97B66" w:rsidP="003D37F6">
      <w:pPr>
        <w:pStyle w:val="Heading2"/>
        <w:numPr>
          <w:ilvl w:val="0"/>
          <w:numId w:val="0"/>
        </w:numPr>
        <w:spacing w:before="0"/>
      </w:pPr>
      <w:bookmarkStart w:id="4" w:name="_Toc161306031"/>
      <w:r>
        <w:lastRenderedPageBreak/>
        <w:t>1.</w:t>
      </w:r>
      <w:r>
        <w:tab/>
      </w:r>
      <w:r w:rsidR="00E91D72" w:rsidRPr="00B61D55">
        <w:t>Introduction</w:t>
      </w:r>
      <w:bookmarkEnd w:id="3"/>
      <w:bookmarkEnd w:id="4"/>
    </w:p>
    <w:p w14:paraId="26B66EE3" w14:textId="479AD1B4" w:rsidR="008C1F94" w:rsidRPr="00930A89" w:rsidRDefault="008C1F94" w:rsidP="00EA75CD">
      <w:pPr>
        <w:jc w:val="both"/>
        <w:rPr>
          <w:rFonts w:ascii="Calibri" w:eastAsia="Calibri" w:hAnsi="Calibri" w:cs="Calibri"/>
          <w:color w:val="000000" w:themeColor="text1"/>
        </w:rPr>
      </w:pPr>
      <w:r>
        <w:rPr>
          <w:rFonts w:ascii="Calibri" w:eastAsia="Calibri" w:hAnsi="Calibri" w:cs="Calibri"/>
          <w:color w:val="000000" w:themeColor="text1"/>
        </w:rPr>
        <w:t>T</w:t>
      </w:r>
      <w:r w:rsidRPr="000625E7">
        <w:rPr>
          <w:rFonts w:ascii="Calibri" w:eastAsia="Calibri" w:hAnsi="Calibri" w:cs="Calibri"/>
          <w:color w:val="000000" w:themeColor="text1"/>
        </w:rPr>
        <w:t>he</w:t>
      </w:r>
      <w:r w:rsidRPr="0013509A">
        <w:rPr>
          <w:rFonts w:ascii="Calibri" w:eastAsia="Calibri" w:hAnsi="Calibri" w:cs="Calibri"/>
          <w:color w:val="000000" w:themeColor="text1"/>
        </w:rPr>
        <w:t xml:space="preserve"> </w:t>
      </w:r>
      <w:r>
        <w:rPr>
          <w:rFonts w:ascii="Calibri" w:eastAsia="Calibri" w:hAnsi="Calibri" w:cs="Calibri"/>
          <w:color w:val="000000" w:themeColor="text1"/>
        </w:rPr>
        <w:t>Australian Government</w:t>
      </w:r>
      <w:r w:rsidRPr="0013509A">
        <w:rPr>
          <w:rFonts w:ascii="Calibri" w:eastAsia="Calibri" w:hAnsi="Calibri" w:cs="Calibri"/>
          <w:color w:val="000000" w:themeColor="text1"/>
        </w:rPr>
        <w:t xml:space="preserve"> has committed to </w:t>
      </w:r>
      <w:r w:rsidRPr="000625E7">
        <w:rPr>
          <w:rFonts w:ascii="Calibri" w:eastAsia="Calibri" w:hAnsi="Calibri" w:cs="Calibri"/>
          <w:color w:val="000000" w:themeColor="text1"/>
        </w:rPr>
        <w:t>delivering</w:t>
      </w:r>
      <w:r w:rsidRPr="0013509A">
        <w:rPr>
          <w:rFonts w:ascii="Calibri" w:eastAsia="Calibri" w:hAnsi="Calibri" w:cs="Calibri"/>
          <w:color w:val="000000" w:themeColor="text1"/>
        </w:rPr>
        <w:t xml:space="preserve"> a </w:t>
      </w:r>
      <w:r w:rsidRPr="000625E7">
        <w:rPr>
          <w:rFonts w:ascii="Calibri" w:eastAsia="Calibri" w:hAnsi="Calibri" w:cs="Calibri"/>
          <w:color w:val="000000" w:themeColor="text1"/>
        </w:rPr>
        <w:t>Net Zero Plan</w:t>
      </w:r>
      <w:r w:rsidRPr="0013509A">
        <w:rPr>
          <w:rFonts w:ascii="Calibri" w:eastAsia="Calibri" w:hAnsi="Calibri" w:cs="Calibri"/>
          <w:color w:val="000000" w:themeColor="text1"/>
        </w:rPr>
        <w:t xml:space="preserve"> which will </w:t>
      </w:r>
      <w:r w:rsidR="002117DE">
        <w:rPr>
          <w:rFonts w:ascii="Calibri" w:eastAsia="Calibri" w:hAnsi="Calibri" w:cs="Calibri"/>
          <w:color w:val="000000" w:themeColor="text1"/>
        </w:rPr>
        <w:t>guide</w:t>
      </w:r>
      <w:r w:rsidRPr="0013509A">
        <w:rPr>
          <w:rFonts w:ascii="Calibri" w:eastAsia="Calibri" w:hAnsi="Calibri" w:cs="Calibri"/>
          <w:color w:val="000000" w:themeColor="text1"/>
        </w:rPr>
        <w:t xml:space="preserve"> </w:t>
      </w:r>
      <w:r w:rsidR="00E42487">
        <w:rPr>
          <w:rFonts w:ascii="Calibri" w:eastAsia="Calibri" w:hAnsi="Calibri" w:cs="Calibri"/>
          <w:color w:val="000000" w:themeColor="text1"/>
        </w:rPr>
        <w:t xml:space="preserve">how </w:t>
      </w:r>
      <w:r w:rsidRPr="0013509A">
        <w:rPr>
          <w:rFonts w:ascii="Calibri" w:eastAsia="Calibri" w:hAnsi="Calibri" w:cs="Calibri"/>
          <w:color w:val="000000" w:themeColor="text1"/>
        </w:rPr>
        <w:t>Australia</w:t>
      </w:r>
      <w:r w:rsidR="00E42487">
        <w:rPr>
          <w:rFonts w:ascii="Calibri" w:eastAsia="Calibri" w:hAnsi="Calibri" w:cs="Calibri"/>
          <w:color w:val="000000" w:themeColor="text1"/>
        </w:rPr>
        <w:t xml:space="preserve"> can transform</w:t>
      </w:r>
      <w:r w:rsidR="002117DE">
        <w:rPr>
          <w:rFonts w:ascii="Calibri" w:eastAsia="Calibri" w:hAnsi="Calibri" w:cs="Calibri"/>
          <w:color w:val="000000" w:themeColor="text1"/>
        </w:rPr>
        <w:t xml:space="preserve"> our economy </w:t>
      </w:r>
      <w:r w:rsidRPr="00930A89">
        <w:rPr>
          <w:rFonts w:ascii="Calibri" w:eastAsia="Calibri" w:hAnsi="Calibri" w:cs="Calibri"/>
          <w:color w:val="000000" w:themeColor="text1"/>
        </w:rPr>
        <w:t xml:space="preserve">to net zero by 2050. </w:t>
      </w:r>
    </w:p>
    <w:p w14:paraId="3FC8B56F" w14:textId="77777777" w:rsidR="008C1F94" w:rsidRDefault="008C1F94" w:rsidP="00EA75CD">
      <w:pPr>
        <w:jc w:val="both"/>
      </w:pPr>
      <w:r>
        <w:t xml:space="preserve">The Net Zero Plan will be underpinned by 6 sectoral plans for each major sector of the economy: </w:t>
      </w:r>
    </w:p>
    <w:p w14:paraId="11E53B4B" w14:textId="77777777" w:rsidR="008C1F94" w:rsidRPr="00953103" w:rsidRDefault="008C1F94" w:rsidP="00953103">
      <w:pPr>
        <w:pStyle w:val="ListBullet"/>
      </w:pPr>
      <w:r w:rsidRPr="00953103">
        <w:t>electricity and energy</w:t>
      </w:r>
    </w:p>
    <w:p w14:paraId="2220692A" w14:textId="77777777" w:rsidR="008C1F94" w:rsidRPr="00953103" w:rsidRDefault="008C1F94" w:rsidP="00953103">
      <w:pPr>
        <w:pStyle w:val="ListBullet"/>
      </w:pPr>
      <w:r w:rsidRPr="00953103">
        <w:t>industry</w:t>
      </w:r>
    </w:p>
    <w:p w14:paraId="506F3D95" w14:textId="77777777" w:rsidR="008C1F94" w:rsidRPr="00953103" w:rsidRDefault="008C1F94" w:rsidP="00953103">
      <w:pPr>
        <w:pStyle w:val="ListBullet"/>
      </w:pPr>
      <w:r w:rsidRPr="00953103">
        <w:t>resources</w:t>
      </w:r>
    </w:p>
    <w:p w14:paraId="569A685A" w14:textId="77777777" w:rsidR="008C1F94" w:rsidRPr="00953103" w:rsidRDefault="008C1F94" w:rsidP="00953103">
      <w:pPr>
        <w:pStyle w:val="ListBullet"/>
      </w:pPr>
      <w:r w:rsidRPr="00953103">
        <w:t>the built environment</w:t>
      </w:r>
    </w:p>
    <w:p w14:paraId="7CA21BC2" w14:textId="77777777" w:rsidR="008C1F94" w:rsidRPr="00953103" w:rsidRDefault="008C1F94" w:rsidP="00953103">
      <w:pPr>
        <w:pStyle w:val="ListBullet"/>
      </w:pPr>
      <w:r w:rsidRPr="00953103">
        <w:t>agriculture and land</w:t>
      </w:r>
    </w:p>
    <w:p w14:paraId="720FE439" w14:textId="77777777" w:rsidR="008C1F94" w:rsidRPr="00953103" w:rsidRDefault="008C1F94" w:rsidP="003D37F6">
      <w:pPr>
        <w:pStyle w:val="ListBullet"/>
        <w:spacing w:after="240"/>
      </w:pPr>
      <w:r w:rsidRPr="00953103">
        <w:t>transport.</w:t>
      </w:r>
    </w:p>
    <w:p w14:paraId="66B35D8F" w14:textId="749C7FE0" w:rsidR="008C1F94" w:rsidRDefault="008C1F94" w:rsidP="00EA75CD">
      <w:pPr>
        <w:jc w:val="both"/>
      </w:pPr>
      <w:r>
        <w:t>The</w:t>
      </w:r>
      <w:r w:rsidRPr="006B6C63">
        <w:t xml:space="preserve"> </w:t>
      </w:r>
      <w:r>
        <w:t xml:space="preserve">Electricity and Energy Sector Plan (‘the Plan’) will set out a credible pathway to decarbonise Australia’s </w:t>
      </w:r>
      <w:r w:rsidRPr="00930A89">
        <w:t>electricity and energy sector by 2050 while ensuring reliable, secure</w:t>
      </w:r>
      <w:r>
        <w:t xml:space="preserve">, </w:t>
      </w:r>
      <w:r w:rsidRPr="00930A89">
        <w:t>and affordable energy supply</w:t>
      </w:r>
      <w:r>
        <w:t xml:space="preserve"> </w:t>
      </w:r>
      <w:r w:rsidRPr="00930A89">
        <w:t>(</w:t>
      </w:r>
      <w:r w:rsidR="006C74D7">
        <w:fldChar w:fldCharType="begin"/>
      </w:r>
      <w:r w:rsidR="006C74D7">
        <w:instrText xml:space="preserve"> REF _Ref161141920 \h </w:instrText>
      </w:r>
      <w:r w:rsidR="006C74D7">
        <w:fldChar w:fldCharType="separate"/>
      </w:r>
      <w:r w:rsidR="00D158DC">
        <w:t xml:space="preserve">Figure </w:t>
      </w:r>
      <w:r w:rsidR="00D158DC">
        <w:rPr>
          <w:noProof/>
        </w:rPr>
        <w:t>1</w:t>
      </w:r>
      <w:r w:rsidR="006C74D7">
        <w:fldChar w:fldCharType="end"/>
      </w:r>
      <w:r>
        <w:t>).</w:t>
      </w:r>
    </w:p>
    <w:p w14:paraId="47105C81" w14:textId="3C6719D1" w:rsidR="006C74D7" w:rsidRDefault="006C74D7" w:rsidP="006C74D7">
      <w:pPr>
        <w:pStyle w:val="Caption"/>
      </w:pPr>
      <w:bookmarkStart w:id="5" w:name="_Ref161141920"/>
      <w:bookmarkStart w:id="6" w:name="_Toc161306166"/>
      <w:r>
        <w:t xml:space="preserve">Figure </w:t>
      </w:r>
      <w:r w:rsidR="00D158DC">
        <w:fldChar w:fldCharType="begin"/>
      </w:r>
      <w:r w:rsidR="00D158DC">
        <w:instrText xml:space="preserve"> SEQ Figure \* ARABIC </w:instrText>
      </w:r>
      <w:r w:rsidR="00D158DC">
        <w:fldChar w:fldCharType="separate"/>
      </w:r>
      <w:r w:rsidR="00D158DC">
        <w:rPr>
          <w:noProof/>
        </w:rPr>
        <w:t>1</w:t>
      </w:r>
      <w:r w:rsidR="00D158DC">
        <w:rPr>
          <w:noProof/>
        </w:rPr>
        <w:fldChar w:fldCharType="end"/>
      </w:r>
      <w:bookmarkEnd w:id="5"/>
      <w:r>
        <w:t xml:space="preserve"> Systematic transformation</w:t>
      </w:r>
      <w:r w:rsidR="00320469">
        <w:t>s</w:t>
      </w:r>
      <w:r>
        <w:t xml:space="preserve"> in the Electricity and Energy Sector Plan</w:t>
      </w:r>
      <w:bookmarkEnd w:id="6"/>
    </w:p>
    <w:p w14:paraId="33371C53" w14:textId="496DDEBB" w:rsidR="00126DA8" w:rsidRPr="00126DA8" w:rsidRDefault="00E036F8" w:rsidP="00FB32E2">
      <w:r w:rsidRPr="000218F3">
        <w:rPr>
          <w:noProof/>
        </w:rPr>
        <w:drawing>
          <wp:inline distT="0" distB="0" distL="0" distR="0" wp14:anchorId="573ED4EE" wp14:editId="1646431C">
            <wp:extent cx="5759450" cy="4536440"/>
            <wp:effectExtent l="0" t="0" r="0" b="0"/>
            <wp:docPr id="7" name="Picture 6">
              <a:extLst xmlns:a="http://schemas.openxmlformats.org/drawingml/2006/main">
                <a:ext uri="{FF2B5EF4-FFF2-40B4-BE49-F238E27FC236}">
                  <a16:creationId xmlns:a16="http://schemas.microsoft.com/office/drawing/2014/main" id="{E5304BDF-4BEC-5F65-97B7-C29E2F100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5304BDF-4BEC-5F65-97B7-C29E2F1000A3}"/>
                        </a:ext>
                      </a:extLst>
                    </pic:cNvPr>
                    <pic:cNvPicPr>
                      <a:picLocks noChangeAspect="1"/>
                    </pic:cNvPicPr>
                  </pic:nvPicPr>
                  <pic:blipFill>
                    <a:blip r:embed="rId20"/>
                    <a:stretch>
                      <a:fillRect/>
                    </a:stretch>
                  </pic:blipFill>
                  <pic:spPr>
                    <a:xfrm>
                      <a:off x="0" y="0"/>
                      <a:ext cx="5759450" cy="4536440"/>
                    </a:xfrm>
                    <a:prstGeom prst="rect">
                      <a:avLst/>
                    </a:prstGeom>
                  </pic:spPr>
                </pic:pic>
              </a:graphicData>
            </a:graphic>
          </wp:inline>
        </w:drawing>
      </w:r>
    </w:p>
    <w:p w14:paraId="35566EC2" w14:textId="77777777" w:rsidR="008D7AA6" w:rsidRDefault="008D7AA6" w:rsidP="00FB32E2"/>
    <w:p w14:paraId="52C7E464" w14:textId="7B48DD15" w:rsidR="008C1F94" w:rsidRDefault="008C1F94" w:rsidP="00FB32E2">
      <w:r w:rsidRPr="00930A89">
        <w:lastRenderedPageBreak/>
        <w:t xml:space="preserve">The Plan will consider the settings that shape </w:t>
      </w:r>
      <w:r w:rsidRPr="00FD72D0">
        <w:t xml:space="preserve">Australia’s energy markets for electricity, </w:t>
      </w:r>
      <w:proofErr w:type="gramStart"/>
      <w:r w:rsidRPr="00FD72D0">
        <w:t>gas</w:t>
      </w:r>
      <w:proofErr w:type="gramEnd"/>
      <w:r w:rsidRPr="00FD72D0">
        <w:t xml:space="preserve"> and liquid fuels. This will include options to reduce emissions in the energy supply system, supported by</w:t>
      </w:r>
      <w:r w:rsidRPr="00AC20F5">
        <w:t xml:space="preserve"> energy demand </w:t>
      </w:r>
      <w:r w:rsidRPr="00FD72D0">
        <w:t xml:space="preserve">policies that improve energy performance and management of energy systems. The Plan will build on the Australian Government’s 82% renewable electricity target by 2030 and existing policies and programs across the Commonwealth, </w:t>
      </w:r>
      <w:proofErr w:type="gramStart"/>
      <w:r w:rsidRPr="00AC20F5">
        <w:t>state</w:t>
      </w:r>
      <w:proofErr w:type="gramEnd"/>
      <w:r w:rsidRPr="00AC20F5">
        <w:t xml:space="preserve"> and territory jurisdictions</w:t>
      </w:r>
      <w:r w:rsidRPr="00B16C84">
        <w:t>.</w:t>
      </w:r>
    </w:p>
    <w:p w14:paraId="5991B57B" w14:textId="563F8C99" w:rsidR="008C1F94" w:rsidRDefault="008C1F94" w:rsidP="00540445">
      <w:pPr>
        <w:jc w:val="both"/>
      </w:pPr>
      <w:r>
        <w:t xml:space="preserve">The energy </w:t>
      </w:r>
      <w:r w:rsidR="000218F3">
        <w:t>transformation</w:t>
      </w:r>
      <w:r w:rsidR="00B52D07">
        <w:t xml:space="preserve"> </w:t>
      </w:r>
      <w:r>
        <w:t xml:space="preserve">will </w:t>
      </w:r>
      <w:r w:rsidR="001B13C8">
        <w:t>change</w:t>
      </w:r>
      <w:r w:rsidDel="008218A9">
        <w:t xml:space="preserve"> </w:t>
      </w:r>
      <w:r>
        <w:t xml:space="preserve">our economy and the lives of all Australians. It represents an opportunity to develop new industries, grow our regions, create new </w:t>
      </w:r>
      <w:proofErr w:type="gramStart"/>
      <w:r>
        <w:t>jobs</w:t>
      </w:r>
      <w:proofErr w:type="gramEnd"/>
      <w:r>
        <w:t xml:space="preserve"> and lower energy bills. To make the most of these opportunities, the Australian Government understands the importance of bringing the community along and ensuring no one is left behind. This consultation process is an opportunity to hear from all parts of the community on how th</w:t>
      </w:r>
      <w:r w:rsidR="009721EB">
        <w:t xml:space="preserve">is </w:t>
      </w:r>
      <w:r>
        <w:t>may affect them.</w:t>
      </w:r>
    </w:p>
    <w:p w14:paraId="45EC1D3B" w14:textId="26664F7A" w:rsidR="008C1F94" w:rsidRPr="00FD72D0" w:rsidRDefault="008C1F94" w:rsidP="00540445">
      <w:pPr>
        <w:jc w:val="both"/>
      </w:pPr>
      <w:r>
        <w:t xml:space="preserve">Existing initiatives include work programs under the National Energy Transformation Partnership (the </w:t>
      </w:r>
      <w:r w:rsidR="001C6234">
        <w:t>‘</w:t>
      </w:r>
      <w:r>
        <w:t>Partnership</w:t>
      </w:r>
      <w:r w:rsidR="001C6234">
        <w:t>’</w:t>
      </w:r>
      <w:r>
        <w:t xml:space="preserve">), a framework for Commonwealth, </w:t>
      </w:r>
      <w:proofErr w:type="gramStart"/>
      <w:r>
        <w:t>state</w:t>
      </w:r>
      <w:proofErr w:type="gramEnd"/>
      <w:r>
        <w:t xml:space="preserve"> and territory governments to work together on reforms to transform Australia’s energy system. Existing work under the Partnership includes developing a National Renewable Energy Supply Chain Action Plan and a National Consumer Energy Resources </w:t>
      </w:r>
      <w:r w:rsidRPr="00FD72D0">
        <w:t>Roadmap.</w:t>
      </w:r>
    </w:p>
    <w:p w14:paraId="0E2A2958" w14:textId="28705EDF" w:rsidR="008C1F94" w:rsidRDefault="008C1F94" w:rsidP="00540445">
      <w:pPr>
        <w:jc w:val="both"/>
        <w:rPr>
          <w:rFonts w:ascii="Calibri" w:eastAsia="Calibri" w:hAnsi="Calibri" w:cs="Calibri"/>
          <w:color w:val="000000" w:themeColor="text1"/>
        </w:rPr>
      </w:pPr>
      <w:r w:rsidRPr="00FD72D0">
        <w:rPr>
          <w:rFonts w:ascii="Calibri" w:eastAsia="Calibri" w:hAnsi="Calibri" w:cs="Calibri"/>
          <w:color w:val="000000" w:themeColor="text1"/>
        </w:rPr>
        <w:t xml:space="preserve">The Plan will articulate the Australian Government’s vision for the energy sector and energy systems </w:t>
      </w:r>
      <w:r w:rsidRPr="00AC20F5">
        <w:rPr>
          <w:rFonts w:ascii="Calibri" w:eastAsia="Calibri" w:hAnsi="Calibri" w:cs="Calibri"/>
          <w:color w:val="000000" w:themeColor="text1"/>
        </w:rPr>
        <w:t>out</w:t>
      </w:r>
      <w:r w:rsidRPr="00FD72D0">
        <w:rPr>
          <w:rFonts w:ascii="Calibri" w:eastAsia="Calibri" w:hAnsi="Calibri" w:cs="Calibri"/>
          <w:color w:val="000000" w:themeColor="text1"/>
        </w:rPr>
        <w:t xml:space="preserve"> to 2050</w:t>
      </w:r>
      <w:r w:rsidRPr="00AC20F5">
        <w:rPr>
          <w:rFonts w:ascii="Calibri" w:eastAsia="Calibri" w:hAnsi="Calibri" w:cs="Calibri"/>
          <w:color w:val="000000" w:themeColor="text1"/>
        </w:rPr>
        <w:t>, in consultation with states and territories</w:t>
      </w:r>
      <w:r w:rsidRPr="00FD72D0">
        <w:rPr>
          <w:rFonts w:ascii="Calibri" w:eastAsia="Calibri" w:hAnsi="Calibri" w:cs="Calibri"/>
          <w:color w:val="000000" w:themeColor="text1"/>
        </w:rPr>
        <w:t xml:space="preserve">. This will provide greater certainty for industry and investors, </w:t>
      </w:r>
      <w:r w:rsidRPr="00AC20F5">
        <w:rPr>
          <w:rFonts w:ascii="Calibri" w:eastAsia="Calibri" w:hAnsi="Calibri" w:cs="Calibri"/>
          <w:color w:val="000000" w:themeColor="text1"/>
        </w:rPr>
        <w:t>support</w:t>
      </w:r>
      <w:r w:rsidRPr="00FD72D0">
        <w:rPr>
          <w:rFonts w:ascii="Calibri" w:eastAsia="Calibri" w:hAnsi="Calibri" w:cs="Calibri"/>
          <w:color w:val="000000" w:themeColor="text1"/>
        </w:rPr>
        <w:t xml:space="preserve"> efficient investment in Australia’s decarbonisation and maximis</w:t>
      </w:r>
      <w:r w:rsidRPr="00AC20F5">
        <w:rPr>
          <w:rFonts w:ascii="Calibri" w:eastAsia="Calibri" w:hAnsi="Calibri" w:cs="Calibri"/>
          <w:color w:val="000000" w:themeColor="text1"/>
        </w:rPr>
        <w:t>e</w:t>
      </w:r>
      <w:r w:rsidRPr="00FD72D0">
        <w:rPr>
          <w:rFonts w:ascii="Calibri" w:eastAsia="Calibri" w:hAnsi="Calibri" w:cs="Calibri"/>
          <w:color w:val="000000" w:themeColor="text1"/>
        </w:rPr>
        <w:t xml:space="preserve"> benefits of climate action</w:t>
      </w:r>
      <w:r w:rsidRPr="00AC20F5">
        <w:rPr>
          <w:rFonts w:ascii="Calibri" w:eastAsia="Calibri" w:hAnsi="Calibri" w:cs="Calibri"/>
          <w:color w:val="000000" w:themeColor="text1"/>
        </w:rPr>
        <w:t xml:space="preserve"> in Australia, including</w:t>
      </w:r>
      <w:r w:rsidRPr="00FD72D0">
        <w:rPr>
          <w:rFonts w:ascii="Calibri" w:eastAsia="Calibri" w:hAnsi="Calibri" w:cs="Calibri"/>
          <w:color w:val="000000" w:themeColor="text1"/>
        </w:rPr>
        <w:t xml:space="preserve"> </w:t>
      </w:r>
      <w:r w:rsidRPr="00AC20F5">
        <w:rPr>
          <w:rFonts w:ascii="Calibri" w:eastAsia="Calibri" w:hAnsi="Calibri" w:cs="Calibri"/>
          <w:color w:val="000000" w:themeColor="text1"/>
        </w:rPr>
        <w:t>for households and consumers</w:t>
      </w:r>
      <w:r w:rsidRPr="00FD72D0">
        <w:rPr>
          <w:rFonts w:ascii="Calibri" w:eastAsia="Calibri" w:hAnsi="Calibri" w:cs="Calibri"/>
          <w:color w:val="000000" w:themeColor="text1"/>
        </w:rPr>
        <w:t xml:space="preserve">. </w:t>
      </w:r>
      <w:r w:rsidRPr="00AC20F5">
        <w:rPr>
          <w:rFonts w:ascii="Calibri" w:eastAsia="Calibri" w:hAnsi="Calibri" w:cs="Calibri"/>
          <w:color w:val="000000" w:themeColor="text1"/>
        </w:rPr>
        <w:t xml:space="preserve">It will also </w:t>
      </w:r>
      <w:r w:rsidR="00160D59">
        <w:rPr>
          <w:rFonts w:ascii="Calibri" w:eastAsia="Calibri" w:hAnsi="Calibri" w:cs="Calibri"/>
          <w:color w:val="000000" w:themeColor="text1"/>
        </w:rPr>
        <w:t>ensure</w:t>
      </w:r>
      <w:r w:rsidRPr="00AC20F5">
        <w:rPr>
          <w:rFonts w:ascii="Calibri" w:eastAsia="Calibri" w:hAnsi="Calibri" w:cs="Calibri"/>
          <w:color w:val="000000" w:themeColor="text1"/>
        </w:rPr>
        <w:t xml:space="preserve"> a coordinated and sequenced energy </w:t>
      </w:r>
      <w:r w:rsidR="00186813">
        <w:rPr>
          <w:rFonts w:ascii="Calibri" w:eastAsia="Calibri" w:hAnsi="Calibri" w:cs="Calibri"/>
          <w:color w:val="000000" w:themeColor="text1"/>
        </w:rPr>
        <w:t>transformation</w:t>
      </w:r>
      <w:r w:rsidR="00186813" w:rsidRPr="00AC20F5">
        <w:rPr>
          <w:rFonts w:ascii="Calibri" w:eastAsia="Calibri" w:hAnsi="Calibri" w:cs="Calibri"/>
          <w:color w:val="000000" w:themeColor="text1"/>
        </w:rPr>
        <w:t xml:space="preserve"> </w:t>
      </w:r>
      <w:r w:rsidRPr="00AC20F5">
        <w:rPr>
          <w:rFonts w:ascii="Calibri" w:eastAsia="Calibri" w:hAnsi="Calibri" w:cs="Calibri"/>
          <w:color w:val="000000" w:themeColor="text1"/>
        </w:rPr>
        <w:t xml:space="preserve">that maximises decarbonisation across other sectors and delivers benefits to all Australians. </w:t>
      </w:r>
    </w:p>
    <w:p w14:paraId="0280BE55" w14:textId="51475DED" w:rsidR="008C1F94" w:rsidRPr="00AC20F5" w:rsidRDefault="008C1F94" w:rsidP="00540445">
      <w:pPr>
        <w:jc w:val="both"/>
      </w:pPr>
      <w:r>
        <w:t>The Electricity and Energy Sector Plan will</w:t>
      </w:r>
      <w:r w:rsidRPr="00930A89">
        <w:t xml:space="preserve"> support decarbonisation across the economy and </w:t>
      </w:r>
      <w:r>
        <w:t xml:space="preserve">will interact closely with the pathways provided in all </w:t>
      </w:r>
      <w:r w:rsidRPr="00930A89">
        <w:t>other sectoral plans</w:t>
      </w:r>
      <w:r>
        <w:t xml:space="preserve"> (</w:t>
      </w:r>
      <w:r w:rsidR="006C74D7">
        <w:fldChar w:fldCharType="begin"/>
      </w:r>
      <w:r w:rsidR="006C74D7">
        <w:instrText xml:space="preserve"> REF _Ref161141953 \h </w:instrText>
      </w:r>
      <w:r w:rsidR="006C74D7">
        <w:fldChar w:fldCharType="separate"/>
      </w:r>
      <w:r w:rsidR="00D158DC">
        <w:t xml:space="preserve">Figure </w:t>
      </w:r>
      <w:r w:rsidR="00D158DC">
        <w:rPr>
          <w:noProof/>
        </w:rPr>
        <w:t>2</w:t>
      </w:r>
      <w:r w:rsidR="006C74D7">
        <w:fldChar w:fldCharType="end"/>
      </w:r>
      <w:r>
        <w:t xml:space="preserve">). The 6 sectoral plans will be developed iteratively, with close collaboration, to deliver a comprehensive and consistent whole-of-economy Net Zero Plan. </w:t>
      </w:r>
    </w:p>
    <w:p w14:paraId="36B19BC7" w14:textId="34CD1149" w:rsidR="006C74D7" w:rsidRDefault="006C74D7" w:rsidP="006C74D7">
      <w:pPr>
        <w:pStyle w:val="Caption"/>
        <w:jc w:val="both"/>
      </w:pPr>
      <w:bookmarkStart w:id="7" w:name="_Ref161141953"/>
      <w:bookmarkStart w:id="8" w:name="_Toc161306167"/>
      <w:r>
        <w:t xml:space="preserve">Figure </w:t>
      </w:r>
      <w:r w:rsidR="00D158DC">
        <w:fldChar w:fldCharType="begin"/>
      </w:r>
      <w:r w:rsidR="00D158DC">
        <w:instrText xml:space="preserve"> SEQ Figure \* ARABIC </w:instrText>
      </w:r>
      <w:r w:rsidR="00D158DC">
        <w:fldChar w:fldCharType="separate"/>
      </w:r>
      <w:r w:rsidR="00D158DC">
        <w:rPr>
          <w:noProof/>
        </w:rPr>
        <w:t>2</w:t>
      </w:r>
      <w:r w:rsidR="00D158DC">
        <w:rPr>
          <w:noProof/>
        </w:rPr>
        <w:fldChar w:fldCharType="end"/>
      </w:r>
      <w:bookmarkEnd w:id="7"/>
      <w:r>
        <w:t xml:space="preserve"> Interactions between the Net Zero and sectoral decarbonisation plans</w:t>
      </w:r>
      <w:bookmarkEnd w:id="8"/>
    </w:p>
    <w:p w14:paraId="50020175" w14:textId="02FC529E" w:rsidR="008C1F94" w:rsidRDefault="00FC1353" w:rsidP="00B141BC">
      <w:r w:rsidRPr="00FC1353">
        <w:rPr>
          <w:noProof/>
        </w:rPr>
        <w:drawing>
          <wp:inline distT="0" distB="0" distL="0" distR="0" wp14:anchorId="78F8F4EE" wp14:editId="3210C6D6">
            <wp:extent cx="5759450" cy="2900045"/>
            <wp:effectExtent l="0" t="0" r="0" b="0"/>
            <wp:docPr id="11858606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900045"/>
                    </a:xfrm>
                    <a:prstGeom prst="rect">
                      <a:avLst/>
                    </a:prstGeom>
                    <a:noFill/>
                    <a:ln>
                      <a:noFill/>
                    </a:ln>
                  </pic:spPr>
                </pic:pic>
              </a:graphicData>
            </a:graphic>
          </wp:inline>
        </w:drawing>
      </w:r>
    </w:p>
    <w:p w14:paraId="77FEB740" w14:textId="1875E463" w:rsidR="008C1F94" w:rsidRPr="001F14C4" w:rsidRDefault="008C1F94" w:rsidP="001F14C4">
      <w:pPr>
        <w:pStyle w:val="Heading3"/>
      </w:pPr>
      <w:bookmarkStart w:id="9" w:name="_Toc161306032"/>
      <w:r w:rsidRPr="001F14C4">
        <w:lastRenderedPageBreak/>
        <w:t>The role of the energy sector in Australia’s net zero transformation</w:t>
      </w:r>
      <w:bookmarkEnd w:id="9"/>
    </w:p>
    <w:p w14:paraId="01C8FE13" w14:textId="422EA3FA" w:rsidR="008C1F94" w:rsidRDefault="008C1F94" w:rsidP="00540445">
      <w:pPr>
        <w:jc w:val="both"/>
      </w:pPr>
      <w:r>
        <w:t>Energy accounted for around 85%</w:t>
      </w:r>
      <w:r w:rsidDel="00514DA7">
        <w:t xml:space="preserve"> </w:t>
      </w:r>
      <w:r>
        <w:t>of Australia’s net emissions in 2022-23, with electricity alone accounting for around a third of emissions (</w:t>
      </w:r>
      <w:r w:rsidR="006C74D7">
        <w:fldChar w:fldCharType="begin"/>
      </w:r>
      <w:r w:rsidR="006C74D7">
        <w:instrText xml:space="preserve"> REF _Ref161141980 \h </w:instrText>
      </w:r>
      <w:r w:rsidR="006C74D7">
        <w:fldChar w:fldCharType="separate"/>
      </w:r>
      <w:r w:rsidR="00D158DC">
        <w:t xml:space="preserve">Figure </w:t>
      </w:r>
      <w:r w:rsidR="00D158DC">
        <w:rPr>
          <w:noProof/>
        </w:rPr>
        <w:t>3</w:t>
      </w:r>
      <w:r w:rsidR="006C74D7">
        <w:fldChar w:fldCharType="end"/>
      </w:r>
      <w:r>
        <w:t>)</w:t>
      </w:r>
      <w:r w:rsidRPr="68BCC1AB">
        <w:rPr>
          <w:rFonts w:eastAsia="Calibri"/>
          <w:color w:val="000000" w:themeColor="text1"/>
        </w:rPr>
        <w:t>.</w:t>
      </w:r>
      <w:r>
        <w:t xml:space="preserve"> </w:t>
      </w:r>
    </w:p>
    <w:p w14:paraId="3B9B2805" w14:textId="2949368F" w:rsidR="006C74D7" w:rsidRDefault="006C74D7" w:rsidP="006C74D7">
      <w:pPr>
        <w:pStyle w:val="Caption"/>
        <w:jc w:val="both"/>
      </w:pPr>
      <w:bookmarkStart w:id="10" w:name="_Ref161141980"/>
      <w:bookmarkStart w:id="11" w:name="_Toc161306168"/>
      <w:r>
        <w:t xml:space="preserve">Figure </w:t>
      </w:r>
      <w:r w:rsidR="00D158DC">
        <w:fldChar w:fldCharType="begin"/>
      </w:r>
      <w:r w:rsidR="00D158DC">
        <w:instrText xml:space="preserve"> SEQ Figure \* ARABIC </w:instrText>
      </w:r>
      <w:r w:rsidR="00D158DC">
        <w:fldChar w:fldCharType="separate"/>
      </w:r>
      <w:r w:rsidR="00D158DC">
        <w:rPr>
          <w:noProof/>
        </w:rPr>
        <w:t>3</w:t>
      </w:r>
      <w:r w:rsidR="00D158DC">
        <w:rPr>
          <w:noProof/>
        </w:rPr>
        <w:fldChar w:fldCharType="end"/>
      </w:r>
      <w:bookmarkEnd w:id="10"/>
      <w:r>
        <w:t xml:space="preserve"> </w:t>
      </w:r>
      <w:r w:rsidRPr="00EA3846">
        <w:t>Sectoral shares for Australia’s emissions, as a percentage of total emissions (2022</w:t>
      </w:r>
      <w:r w:rsidR="004A1C99" w:rsidRPr="0001240D">
        <w:t>–</w:t>
      </w:r>
      <w:r w:rsidRPr="00EA3846">
        <w:t>23)</w:t>
      </w:r>
      <w:bookmarkEnd w:id="11"/>
    </w:p>
    <w:p w14:paraId="0D120B91" w14:textId="637F2560" w:rsidR="008C1F94" w:rsidRDefault="00333BF2" w:rsidP="00540445">
      <w:pPr>
        <w:keepNext/>
        <w:keepLines/>
        <w:jc w:val="both"/>
        <w:rPr>
          <w:i/>
          <w:iCs/>
          <w:sz w:val="18"/>
          <w:szCs w:val="18"/>
        </w:rPr>
      </w:pPr>
      <w:r w:rsidRPr="00333BF2">
        <w:rPr>
          <w:noProof/>
        </w:rPr>
        <w:t xml:space="preserve"> </w:t>
      </w:r>
      <w:r>
        <w:rPr>
          <w:noProof/>
        </w:rPr>
        <w:drawing>
          <wp:inline distT="0" distB="0" distL="0" distR="0" wp14:anchorId="18AC14F4" wp14:editId="3EE1EFE2">
            <wp:extent cx="5400000" cy="3240000"/>
            <wp:effectExtent l="0" t="0" r="0" b="0"/>
            <wp:docPr id="502240436" name="Chart 1">
              <a:extLst xmlns:a="http://schemas.openxmlformats.org/drawingml/2006/main">
                <a:ext uri="{FF2B5EF4-FFF2-40B4-BE49-F238E27FC236}">
                  <a16:creationId xmlns:a16="http://schemas.microsoft.com/office/drawing/2014/main" id="{D0332B5C-815C-FED9-6802-47E601ABFB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8C1F94" w:rsidRPr="008C1F94">
        <w:rPr>
          <w:sz w:val="18"/>
          <w:szCs w:val="18"/>
        </w:rPr>
        <w:t xml:space="preserve">Source: Department of Climate Change, Energy, the Environment and Water (DCCEEW), </w:t>
      </w:r>
      <w:hyperlink r:id="rId23" w:history="1">
        <w:r w:rsidR="008C1F94" w:rsidRPr="008C1F94">
          <w:rPr>
            <w:rStyle w:val="Hyperlink"/>
            <w:sz w:val="18"/>
            <w:szCs w:val="18"/>
          </w:rPr>
          <w:t>Australia’s emissions projections 2023</w:t>
        </w:r>
      </w:hyperlink>
      <w:r w:rsidR="008C1F94" w:rsidRPr="008C1F94">
        <w:rPr>
          <w:sz w:val="18"/>
          <w:szCs w:val="18"/>
        </w:rPr>
        <w:t>, November 2023.</w:t>
      </w:r>
    </w:p>
    <w:p w14:paraId="0852819C" w14:textId="5F098A34" w:rsidR="008C1F94" w:rsidRPr="008C1F94" w:rsidRDefault="008C1F94" w:rsidP="00540445">
      <w:pPr>
        <w:keepNext/>
        <w:keepLines/>
        <w:jc w:val="both"/>
        <w:rPr>
          <w:sz w:val="18"/>
          <w:szCs w:val="18"/>
        </w:rPr>
      </w:pPr>
      <w:r w:rsidRPr="008C1F94">
        <w:rPr>
          <w:sz w:val="18"/>
          <w:szCs w:val="18"/>
        </w:rPr>
        <w:t xml:space="preserve">Note: Fugitive emissions </w:t>
      </w:r>
      <w:r w:rsidR="00236AE1">
        <w:rPr>
          <w:sz w:val="18"/>
          <w:szCs w:val="18"/>
        </w:rPr>
        <w:t>are unintentional emissions</w:t>
      </w:r>
      <w:r w:rsidRPr="008C1F94">
        <w:rPr>
          <w:sz w:val="18"/>
          <w:szCs w:val="18"/>
        </w:rPr>
        <w:t xml:space="preserve"> </w:t>
      </w:r>
      <w:r w:rsidR="00C22EC6">
        <w:rPr>
          <w:sz w:val="18"/>
          <w:szCs w:val="18"/>
        </w:rPr>
        <w:t>or leakages that occur</w:t>
      </w:r>
      <w:r w:rsidR="00236AE1" w:rsidRPr="008C1F94">
        <w:rPr>
          <w:sz w:val="18"/>
          <w:szCs w:val="18"/>
        </w:rPr>
        <w:t xml:space="preserve"> </w:t>
      </w:r>
      <w:r w:rsidRPr="008C1F94">
        <w:rPr>
          <w:sz w:val="18"/>
          <w:szCs w:val="18"/>
        </w:rPr>
        <w:t xml:space="preserve">during the production, processing, transport, storage, </w:t>
      </w:r>
      <w:proofErr w:type="gramStart"/>
      <w:r w:rsidRPr="008C1F94">
        <w:rPr>
          <w:sz w:val="18"/>
          <w:szCs w:val="18"/>
        </w:rPr>
        <w:t>transmission</w:t>
      </w:r>
      <w:proofErr w:type="gramEnd"/>
      <w:r w:rsidRPr="008C1F94">
        <w:rPr>
          <w:sz w:val="18"/>
          <w:szCs w:val="18"/>
        </w:rPr>
        <w:t xml:space="preserve"> and distribution of fossil fuels. ‘Other’ energy use refers to stationary energy excluding electricity generation and transport, which covers direct combustion of fuels, predominantly from the manufacturing, </w:t>
      </w:r>
      <w:proofErr w:type="gramStart"/>
      <w:r w:rsidRPr="008C1F94">
        <w:rPr>
          <w:sz w:val="18"/>
          <w:szCs w:val="18"/>
        </w:rPr>
        <w:t>mining</w:t>
      </w:r>
      <w:proofErr w:type="gramEnd"/>
      <w:r w:rsidRPr="008C1F94">
        <w:rPr>
          <w:sz w:val="18"/>
          <w:szCs w:val="18"/>
        </w:rPr>
        <w:t xml:space="preserve"> and drilling, residential and commercial sub-sectors. </w:t>
      </w:r>
    </w:p>
    <w:p w14:paraId="6042FF88" w14:textId="7C004E71" w:rsidR="008C1F94" w:rsidRPr="0038182A" w:rsidRDefault="008C1F94" w:rsidP="00540445">
      <w:pPr>
        <w:jc w:val="both"/>
        <w:rPr>
          <w:rFonts w:ascii="Calibri" w:eastAsia="Calibri" w:hAnsi="Calibri" w:cs="Calibri"/>
          <w:color w:val="000000" w:themeColor="text1"/>
        </w:rPr>
      </w:pPr>
      <w:r>
        <w:rPr>
          <w:rFonts w:ascii="Calibri" w:eastAsia="Calibri" w:hAnsi="Calibri" w:cs="Calibri"/>
          <w:color w:val="000000" w:themeColor="text1"/>
        </w:rPr>
        <w:t xml:space="preserve">Decarbonising Australia’s energy sector is necessary </w:t>
      </w:r>
      <w:r w:rsidRPr="53FDFCC5">
        <w:rPr>
          <w:rFonts w:ascii="Calibri" w:eastAsia="Calibri" w:hAnsi="Calibri" w:cs="Calibri"/>
          <w:color w:val="000000" w:themeColor="text1"/>
        </w:rPr>
        <w:t xml:space="preserve">to reduce </w:t>
      </w:r>
      <w:r>
        <w:rPr>
          <w:rFonts w:ascii="Calibri" w:eastAsia="Calibri" w:hAnsi="Calibri" w:cs="Calibri"/>
          <w:color w:val="000000" w:themeColor="text1"/>
        </w:rPr>
        <w:t xml:space="preserve">greenhouse gas </w:t>
      </w:r>
      <w:r w:rsidRPr="53FDFCC5">
        <w:rPr>
          <w:rFonts w:ascii="Calibri" w:eastAsia="Calibri" w:hAnsi="Calibri" w:cs="Calibri"/>
          <w:color w:val="000000" w:themeColor="text1"/>
        </w:rPr>
        <w:t>emissions</w:t>
      </w:r>
      <w:r w:rsidR="00B45E64">
        <w:rPr>
          <w:rFonts w:ascii="Calibri" w:eastAsia="Calibri" w:hAnsi="Calibri" w:cs="Calibri"/>
          <w:color w:val="000000" w:themeColor="text1"/>
        </w:rPr>
        <w:t xml:space="preserve"> – and with firmed renewables the most affordable new build electricity generation, it’s also important for reducing costs</w:t>
      </w:r>
      <w:r w:rsidRPr="53FDFCC5">
        <w:rPr>
          <w:rFonts w:ascii="Calibri" w:eastAsia="Calibri" w:hAnsi="Calibri" w:cs="Calibri"/>
          <w:color w:val="000000" w:themeColor="text1"/>
        </w:rPr>
        <w:t xml:space="preserve">. </w:t>
      </w:r>
      <w:r>
        <w:rPr>
          <w:rFonts w:eastAsia="Calibri"/>
          <w:color w:val="000000" w:themeColor="text1"/>
        </w:rPr>
        <w:t>Australia</w:t>
      </w:r>
      <w:r w:rsidRPr="7215B4D8">
        <w:rPr>
          <w:rFonts w:eastAsia="Calibri"/>
          <w:color w:val="000000" w:themeColor="text1"/>
        </w:rPr>
        <w:t xml:space="preserve"> has substantially invest</w:t>
      </w:r>
      <w:r>
        <w:rPr>
          <w:rFonts w:eastAsia="Calibri"/>
          <w:color w:val="000000" w:themeColor="text1"/>
        </w:rPr>
        <w:t>ed</w:t>
      </w:r>
      <w:r w:rsidRPr="7215B4D8">
        <w:rPr>
          <w:rFonts w:eastAsia="Calibri"/>
          <w:color w:val="000000" w:themeColor="text1"/>
        </w:rPr>
        <w:t xml:space="preserve"> in </w:t>
      </w:r>
      <w:r w:rsidRPr="0038182A">
        <w:rPr>
          <w:rFonts w:eastAsia="Calibri"/>
          <w:color w:val="000000" w:themeColor="text1"/>
        </w:rPr>
        <w:t>growing renewables</w:t>
      </w:r>
      <w:r w:rsidRPr="0038182A">
        <w:rPr>
          <w:rFonts w:ascii="Calibri" w:eastAsia="Calibri" w:hAnsi="Calibri" w:cs="Calibri"/>
          <w:color w:val="000000" w:themeColor="text1"/>
        </w:rPr>
        <w:t xml:space="preserve"> to change how we power our economy, </w:t>
      </w:r>
      <w:proofErr w:type="gramStart"/>
      <w:r w:rsidRPr="0038182A">
        <w:rPr>
          <w:rFonts w:ascii="Calibri" w:eastAsia="Calibri" w:hAnsi="Calibri" w:cs="Calibri"/>
          <w:color w:val="000000" w:themeColor="text1"/>
        </w:rPr>
        <w:t>businesses</w:t>
      </w:r>
      <w:proofErr w:type="gramEnd"/>
      <w:r w:rsidRPr="0038182A">
        <w:rPr>
          <w:rFonts w:ascii="Calibri" w:eastAsia="Calibri" w:hAnsi="Calibri" w:cs="Calibri"/>
          <w:color w:val="000000" w:themeColor="text1"/>
        </w:rPr>
        <w:t xml:space="preserve"> and households in the future. This will involve transformational change in the energy sector with careful planning, to ensure Australians continue to receive reliable and affordable energy.</w:t>
      </w:r>
    </w:p>
    <w:p w14:paraId="0551F7A6" w14:textId="77777777" w:rsidR="008C1F94" w:rsidRPr="0038182A" w:rsidRDefault="008C1F94" w:rsidP="00540445">
      <w:pPr>
        <w:jc w:val="both"/>
        <w:rPr>
          <w:rFonts w:ascii="Calibri" w:eastAsia="Calibri" w:hAnsi="Calibri" w:cs="Calibri"/>
          <w:color w:val="000000" w:themeColor="text1"/>
        </w:rPr>
      </w:pPr>
      <w:r w:rsidRPr="0038182A">
        <w:rPr>
          <w:rFonts w:ascii="Calibri" w:eastAsia="Calibri" w:hAnsi="Calibri" w:cs="Calibri"/>
          <w:color w:val="000000" w:themeColor="text1"/>
        </w:rPr>
        <w:t>Two thirds of Australia’s final energy consumption is gas and liquid fuels.</w:t>
      </w:r>
      <w:r>
        <w:rPr>
          <w:rStyle w:val="FootnoteReference"/>
          <w:rFonts w:ascii="Calibri" w:eastAsia="Calibri" w:hAnsi="Calibri" w:cs="Calibri"/>
          <w:color w:val="000000" w:themeColor="text1"/>
        </w:rPr>
        <w:footnoteReference w:id="2"/>
      </w:r>
      <w:r w:rsidRPr="0038182A">
        <w:rPr>
          <w:rFonts w:ascii="Calibri" w:eastAsia="Calibri" w:hAnsi="Calibri" w:cs="Calibri"/>
          <w:color w:val="000000" w:themeColor="text1"/>
        </w:rPr>
        <w:t xml:space="preserve"> </w:t>
      </w:r>
      <w:r>
        <w:rPr>
          <w:rFonts w:ascii="Calibri" w:eastAsia="Calibri" w:hAnsi="Calibri" w:cs="Calibri"/>
          <w:color w:val="000000" w:themeColor="text1"/>
        </w:rPr>
        <w:t xml:space="preserve">Renewable electricity generation will need to increase dramatically </w:t>
      </w:r>
      <w:r w:rsidRPr="0038182A">
        <w:rPr>
          <w:rFonts w:ascii="Calibri" w:eastAsia="Calibri" w:hAnsi="Calibri" w:cs="Calibri"/>
          <w:color w:val="000000" w:themeColor="text1"/>
        </w:rPr>
        <w:t>as other sectors switch from the use of</w:t>
      </w:r>
      <w:r>
        <w:rPr>
          <w:rFonts w:ascii="Calibri" w:eastAsia="Calibri" w:hAnsi="Calibri" w:cs="Calibri"/>
          <w:color w:val="000000" w:themeColor="text1"/>
        </w:rPr>
        <w:t xml:space="preserve"> fossil</w:t>
      </w:r>
      <w:r w:rsidRPr="0038182A">
        <w:rPr>
          <w:rFonts w:ascii="Calibri" w:eastAsia="Calibri" w:hAnsi="Calibri" w:cs="Calibri"/>
          <w:color w:val="000000" w:themeColor="text1"/>
        </w:rPr>
        <w:t xml:space="preserve"> fuels to electric alternatives</w:t>
      </w:r>
      <w:r>
        <w:t>, with domestic electricity demand projected to almost double by 2050.</w:t>
      </w:r>
      <w:r>
        <w:rPr>
          <w:rStyle w:val="FootnoteReference"/>
        </w:rPr>
        <w:footnoteReference w:id="3"/>
      </w:r>
      <w:r>
        <w:rPr>
          <w:rFonts w:ascii="Calibri" w:eastAsia="Calibri" w:hAnsi="Calibri" w:cs="Calibri"/>
          <w:color w:val="000000" w:themeColor="text1"/>
        </w:rPr>
        <w:t xml:space="preserve"> At the </w:t>
      </w:r>
      <w:r>
        <w:rPr>
          <w:rFonts w:ascii="Calibri" w:eastAsia="Calibri" w:hAnsi="Calibri" w:cs="Calibri"/>
          <w:color w:val="000000" w:themeColor="text1"/>
        </w:rPr>
        <w:lastRenderedPageBreak/>
        <w:t xml:space="preserve">same time, existing energy infrastructure will need to be replaced and expanded to meet system needs. Where </w:t>
      </w:r>
      <w:r>
        <w:t>electrification is difficult or not possible, alternative low carbon fuels will need to be supplied to support specific use cases.</w:t>
      </w:r>
    </w:p>
    <w:p w14:paraId="34965CB8" w14:textId="52263034" w:rsidR="008C1F94" w:rsidRDefault="008C1F94" w:rsidP="00540445">
      <w:pPr>
        <w:jc w:val="both"/>
      </w:pPr>
      <w:r w:rsidRPr="0038182A">
        <w:t>Australia’s energy transformation</w:t>
      </w:r>
      <w:r>
        <w:t xml:space="preserve"> will require economy-wide changes and</w:t>
      </w:r>
      <w:r w:rsidRPr="0038182A">
        <w:t xml:space="preserve"> is already underway. </w:t>
      </w:r>
      <w:r w:rsidRPr="0038182A">
        <w:rPr>
          <w:rFonts w:ascii="Calibri" w:eastAsia="Calibri" w:hAnsi="Calibri" w:cs="Calibri"/>
          <w:color w:val="000000" w:themeColor="text1"/>
        </w:rPr>
        <w:t>Over the past 15 years, more than a quarter of electricity generated in Australia has shifted from fossil fuel-fired generation to renewable sources such as solar and wind (</w:t>
      </w:r>
      <w:r w:rsidR="006C74D7">
        <w:rPr>
          <w:rFonts w:ascii="Calibri" w:eastAsia="Calibri" w:hAnsi="Calibri" w:cs="Calibri"/>
          <w:color w:val="000000" w:themeColor="text1"/>
        </w:rPr>
        <w:fldChar w:fldCharType="begin"/>
      </w:r>
      <w:r w:rsidR="006C74D7">
        <w:rPr>
          <w:rFonts w:ascii="Calibri" w:eastAsia="Calibri" w:hAnsi="Calibri" w:cs="Calibri"/>
          <w:color w:val="000000" w:themeColor="text1"/>
        </w:rPr>
        <w:instrText xml:space="preserve"> REF _Ref161141999 \h </w:instrText>
      </w:r>
      <w:r w:rsidR="006C74D7">
        <w:rPr>
          <w:rFonts w:ascii="Calibri" w:eastAsia="Calibri" w:hAnsi="Calibri" w:cs="Calibri"/>
          <w:color w:val="000000" w:themeColor="text1"/>
        </w:rPr>
      </w:r>
      <w:r w:rsidR="006C74D7">
        <w:rPr>
          <w:rFonts w:ascii="Calibri" w:eastAsia="Calibri" w:hAnsi="Calibri" w:cs="Calibri"/>
          <w:color w:val="000000" w:themeColor="text1"/>
        </w:rPr>
        <w:fldChar w:fldCharType="separate"/>
      </w:r>
      <w:r w:rsidR="00D158DC">
        <w:t xml:space="preserve">Figure </w:t>
      </w:r>
      <w:r w:rsidR="00D158DC">
        <w:rPr>
          <w:noProof/>
        </w:rPr>
        <w:t>4</w:t>
      </w:r>
      <w:r w:rsidR="006C74D7">
        <w:rPr>
          <w:rFonts w:ascii="Calibri" w:eastAsia="Calibri" w:hAnsi="Calibri" w:cs="Calibri"/>
          <w:color w:val="000000" w:themeColor="text1"/>
        </w:rPr>
        <w:fldChar w:fldCharType="end"/>
      </w:r>
      <w:r w:rsidRPr="0038182A">
        <w:rPr>
          <w:rFonts w:ascii="Calibri" w:eastAsia="Calibri" w:hAnsi="Calibri" w:cs="Calibri"/>
          <w:color w:val="000000" w:themeColor="text1"/>
        </w:rPr>
        <w:t xml:space="preserve">). </w:t>
      </w:r>
      <w:r w:rsidRPr="0038182A">
        <w:t>There has been a 30% reduction in emissions from electricity generation over this same period, equating to roughly 13% of current emissions.</w:t>
      </w:r>
      <w:r w:rsidRPr="0038182A">
        <w:rPr>
          <w:rStyle w:val="FootnoteReference"/>
        </w:rPr>
        <w:footnoteReference w:id="4"/>
      </w:r>
      <w:r w:rsidRPr="0038182A">
        <w:t xml:space="preserve"> </w:t>
      </w:r>
    </w:p>
    <w:p w14:paraId="076FC847" w14:textId="71E5BC5C" w:rsidR="008C1F94" w:rsidRDefault="006C74D7" w:rsidP="006C74D7">
      <w:pPr>
        <w:pStyle w:val="Caption"/>
        <w:jc w:val="both"/>
      </w:pPr>
      <w:bookmarkStart w:id="12" w:name="_Ref161141999"/>
      <w:bookmarkStart w:id="13" w:name="_Toc161306169"/>
      <w:r>
        <w:t xml:space="preserve">Figure </w:t>
      </w:r>
      <w:r w:rsidR="00D158DC">
        <w:fldChar w:fldCharType="begin"/>
      </w:r>
      <w:r w:rsidR="00D158DC">
        <w:instrText xml:space="preserve"> SEQ Figure \* ARABIC </w:instrText>
      </w:r>
      <w:r w:rsidR="00D158DC">
        <w:fldChar w:fldCharType="separate"/>
      </w:r>
      <w:r w:rsidR="00D158DC">
        <w:rPr>
          <w:noProof/>
        </w:rPr>
        <w:t>4</w:t>
      </w:r>
      <w:r w:rsidR="00D158DC">
        <w:rPr>
          <w:noProof/>
        </w:rPr>
        <w:fldChar w:fldCharType="end"/>
      </w:r>
      <w:bookmarkEnd w:id="12"/>
      <w:r>
        <w:t xml:space="preserve"> </w:t>
      </w:r>
      <w:r w:rsidRPr="002513B7">
        <w:t>Australian electricity generation mix (1996</w:t>
      </w:r>
      <w:r w:rsidR="004A1C99" w:rsidRPr="0001240D">
        <w:t>–</w:t>
      </w:r>
      <w:r w:rsidRPr="002513B7">
        <w:t>97 to 2021</w:t>
      </w:r>
      <w:r w:rsidR="004A1C99" w:rsidRPr="0001240D">
        <w:t>–</w:t>
      </w:r>
      <w:r w:rsidRPr="002513B7">
        <w:t>22, 2022)</w:t>
      </w:r>
      <w:bookmarkEnd w:id="13"/>
    </w:p>
    <w:p w14:paraId="7EF34B38" w14:textId="5406FE4D" w:rsidR="008C1F94" w:rsidRPr="008C1F94" w:rsidRDefault="004B1E47" w:rsidP="00540445">
      <w:pPr>
        <w:keepNext/>
        <w:keepLines/>
        <w:jc w:val="both"/>
        <w:rPr>
          <w:iCs/>
        </w:rPr>
      </w:pPr>
      <w:r>
        <w:rPr>
          <w:noProof/>
        </w:rPr>
        <w:drawing>
          <wp:inline distT="0" distB="0" distL="0" distR="0" wp14:anchorId="74452C51" wp14:editId="1CC22540">
            <wp:extent cx="5412258" cy="3240000"/>
            <wp:effectExtent l="0" t="0" r="0" b="0"/>
            <wp:docPr id="85348156" name="Chart 1">
              <a:extLst xmlns:a="http://schemas.openxmlformats.org/drawingml/2006/main">
                <a:ext uri="{FF2B5EF4-FFF2-40B4-BE49-F238E27FC236}">
                  <a16:creationId xmlns:a16="http://schemas.microsoft.com/office/drawing/2014/main" id="{AD2E1AAD-BF02-4C16-B282-B3F4A7C71A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44804" w:rsidDel="00D53B76">
        <w:rPr>
          <w:noProof/>
        </w:rPr>
        <w:t xml:space="preserve"> </w:t>
      </w:r>
      <w:r w:rsidR="008C1F94" w:rsidRPr="008C1F94">
        <w:rPr>
          <w:rFonts w:ascii="Calibri" w:eastAsia="Calibri" w:hAnsi="Calibri" w:cs="Calibri"/>
          <w:iCs/>
          <w:color w:val="000000" w:themeColor="text1"/>
          <w:sz w:val="18"/>
          <w:szCs w:val="18"/>
        </w:rPr>
        <w:t xml:space="preserve">Source: DCCEEW, </w:t>
      </w:r>
      <w:hyperlink r:id="rId25" w:history="1">
        <w:r w:rsidR="008C1F94" w:rsidRPr="008C1F94">
          <w:rPr>
            <w:rStyle w:val="Hyperlink"/>
            <w:rFonts w:ascii="Calibri" w:eastAsia="Calibri" w:hAnsi="Calibri" w:cs="Calibri"/>
            <w:iCs/>
            <w:sz w:val="18"/>
            <w:szCs w:val="18"/>
          </w:rPr>
          <w:t>Australian Energy Statistics</w:t>
        </w:r>
      </w:hyperlink>
      <w:r w:rsidR="008C1F94">
        <w:rPr>
          <w:rFonts w:ascii="Calibri" w:eastAsia="Calibri" w:hAnsi="Calibri" w:cs="Calibri"/>
          <w:iCs/>
          <w:color w:val="000000" w:themeColor="text1"/>
          <w:sz w:val="18"/>
          <w:szCs w:val="18"/>
        </w:rPr>
        <w:t xml:space="preserve">, </w:t>
      </w:r>
      <w:r w:rsidR="008C1F94" w:rsidRPr="008C1F94">
        <w:rPr>
          <w:rFonts w:ascii="Calibri" w:eastAsia="Calibri" w:hAnsi="Calibri" w:cs="Calibri"/>
          <w:iCs/>
          <w:color w:val="000000" w:themeColor="text1"/>
          <w:sz w:val="18"/>
          <w:szCs w:val="18"/>
        </w:rPr>
        <w:t>Table O, September 2023.</w:t>
      </w:r>
    </w:p>
    <w:p w14:paraId="5699929C" w14:textId="0F7036F6" w:rsidR="008C1F94" w:rsidRPr="00550DBC" w:rsidRDefault="008C1F94" w:rsidP="00540445">
      <w:pPr>
        <w:jc w:val="both"/>
      </w:pPr>
      <w:r w:rsidRPr="0038182A">
        <w:t>This</w:t>
      </w:r>
      <w:r>
        <w:t xml:space="preserve"> change has been rapid, with </w:t>
      </w:r>
      <w:r>
        <w:rPr>
          <w:rFonts w:ascii="Calibri" w:eastAsia="Calibri" w:hAnsi="Calibri" w:cs="Calibri"/>
          <w:color w:val="000000" w:themeColor="text1"/>
        </w:rPr>
        <w:t xml:space="preserve">solar generation increasing 25% in the past year and wind generation expanding </w:t>
      </w:r>
      <w:r w:rsidR="001F2B61">
        <w:rPr>
          <w:rFonts w:ascii="Calibri" w:eastAsia="Calibri" w:hAnsi="Calibri" w:cs="Calibri"/>
          <w:color w:val="000000" w:themeColor="text1"/>
        </w:rPr>
        <w:t>4</w:t>
      </w:r>
      <w:r>
        <w:rPr>
          <w:rFonts w:ascii="Calibri" w:eastAsia="Calibri" w:hAnsi="Calibri" w:cs="Calibri"/>
          <w:color w:val="000000" w:themeColor="text1"/>
        </w:rPr>
        <w:t>-fold over the past decade.</w:t>
      </w:r>
      <w:r>
        <w:rPr>
          <w:rStyle w:val="FootnoteReference"/>
          <w:rFonts w:ascii="Calibri" w:eastAsia="Calibri" w:hAnsi="Calibri" w:cs="Calibri"/>
          <w:color w:val="000000" w:themeColor="text1"/>
        </w:rPr>
        <w:footnoteReference w:id="5"/>
      </w:r>
      <w:r>
        <w:rPr>
          <w:rFonts w:ascii="Calibri" w:eastAsia="Calibri" w:hAnsi="Calibri" w:cs="Calibri"/>
          <w:color w:val="000000" w:themeColor="text1"/>
        </w:rPr>
        <w:t xml:space="preserve"> Consumers have helped to drive this growth with rooftop solar in </w:t>
      </w:r>
      <w:r w:rsidR="001F2B61">
        <w:rPr>
          <w:rFonts w:ascii="Calibri" w:eastAsia="Calibri" w:hAnsi="Calibri" w:cs="Calibri"/>
          <w:color w:val="000000" w:themeColor="text1"/>
        </w:rPr>
        <w:t>one-</w:t>
      </w:r>
      <w:r>
        <w:rPr>
          <w:rFonts w:ascii="Calibri" w:eastAsia="Calibri" w:hAnsi="Calibri" w:cs="Calibri"/>
          <w:color w:val="000000" w:themeColor="text1"/>
        </w:rPr>
        <w:t>third of Australian homes.</w:t>
      </w:r>
      <w:r>
        <w:rPr>
          <w:rStyle w:val="FootnoteReference"/>
          <w:rFonts w:ascii="Calibri" w:eastAsia="Calibri" w:hAnsi="Calibri" w:cs="Calibri"/>
          <w:color w:val="000000" w:themeColor="text1"/>
        </w:rPr>
        <w:footnoteReference w:id="6"/>
      </w:r>
      <w:r>
        <w:rPr>
          <w:rFonts w:ascii="Calibri" w:eastAsia="Calibri" w:hAnsi="Calibri" w:cs="Calibri"/>
          <w:color w:val="000000" w:themeColor="text1"/>
        </w:rPr>
        <w:t xml:space="preserve"> </w:t>
      </w:r>
      <w:r>
        <w:t>Australia’s electricity supply is increasingly decentralised as households and businesses adopt technologies such as rooftop solar and batteries, support</w:t>
      </w:r>
      <w:r w:rsidR="006C3309">
        <w:t>ing</w:t>
      </w:r>
      <w:r>
        <w:t xml:space="preserve"> opportunities to reduce energy costs. This transformation will need to continue at pace </w:t>
      </w:r>
      <w:r w:rsidDel="00557DEF">
        <w:t xml:space="preserve">to </w:t>
      </w:r>
      <w:r>
        <w:t>maintain secure and reliable electricity for households and businesses, as increasingly unreliable coal-fired power plants exit the energy system</w:t>
      </w:r>
      <w:r w:rsidR="00160AFA">
        <w:t>,</w:t>
      </w:r>
      <w:r w:rsidR="00ED1160">
        <w:t xml:space="preserve"> and ensure we meet our emissions reduction targets</w:t>
      </w:r>
      <w:r>
        <w:t>.</w:t>
      </w:r>
    </w:p>
    <w:p w14:paraId="5C9A60D5" w14:textId="326C53CE" w:rsidR="008C1F94" w:rsidRPr="00B61D55" w:rsidRDefault="008C1F94" w:rsidP="001F14C4">
      <w:pPr>
        <w:pStyle w:val="Heading3"/>
      </w:pPr>
      <w:bookmarkStart w:id="14" w:name="_Toc161306033"/>
      <w:r w:rsidRPr="00B61D55">
        <w:lastRenderedPageBreak/>
        <w:t xml:space="preserve">The </w:t>
      </w:r>
      <w:r w:rsidRPr="00B61D55" w:rsidDel="00C17270">
        <w:t xml:space="preserve">Australian </w:t>
      </w:r>
      <w:r w:rsidRPr="00B61D55">
        <w:t>Government has an ambitious but achievable plan for the electricity and energy sector</w:t>
      </w:r>
      <w:bookmarkEnd w:id="14"/>
    </w:p>
    <w:p w14:paraId="2981B661" w14:textId="4482917A" w:rsidR="008C1F94" w:rsidRDefault="008C1F94" w:rsidP="00540445">
      <w:pPr>
        <w:jc w:val="both"/>
        <w:rPr>
          <w:rFonts w:ascii="Calibri" w:eastAsia="Calibri" w:hAnsi="Calibri" w:cs="Calibri"/>
          <w:color w:val="000000" w:themeColor="text1"/>
        </w:rPr>
      </w:pPr>
      <w:r w:rsidRPr="5DF7C78B">
        <w:rPr>
          <w:rFonts w:ascii="Calibri" w:eastAsia="Calibri" w:hAnsi="Calibri" w:cs="Calibri"/>
          <w:color w:val="000000" w:themeColor="text1"/>
        </w:rPr>
        <w:t xml:space="preserve">The Australian Government has committed to a target of powering 82% of Australia’s major electricity grids with renewable sources by </w:t>
      </w:r>
      <w:proofErr w:type="gramStart"/>
      <w:r w:rsidRPr="5DF7C78B">
        <w:rPr>
          <w:rFonts w:ascii="Calibri" w:eastAsia="Calibri" w:hAnsi="Calibri" w:cs="Calibri"/>
          <w:color w:val="000000" w:themeColor="text1"/>
        </w:rPr>
        <w:t>2030,</w:t>
      </w:r>
      <w:r w:rsidRPr="5DF7C78B" w:rsidDel="00B050F5">
        <w:rPr>
          <w:rFonts w:ascii="Calibri" w:eastAsia="Calibri" w:hAnsi="Calibri" w:cs="Calibri"/>
          <w:color w:val="000000" w:themeColor="text1"/>
        </w:rPr>
        <w:t xml:space="preserve"> </w:t>
      </w:r>
      <w:r>
        <w:rPr>
          <w:rFonts w:ascii="Calibri" w:eastAsia="Calibri" w:hAnsi="Calibri" w:cs="Calibri"/>
          <w:color w:val="000000" w:themeColor="text1"/>
        </w:rPr>
        <w:t>and</w:t>
      </w:r>
      <w:proofErr w:type="gramEnd"/>
      <w:r w:rsidR="002C6A0E">
        <w:rPr>
          <w:rFonts w:ascii="Calibri" w:eastAsia="Calibri" w:hAnsi="Calibri" w:cs="Calibri"/>
          <w:color w:val="000000" w:themeColor="text1"/>
        </w:rPr>
        <w:t xml:space="preserve"> has</w:t>
      </w:r>
      <w:r>
        <w:rPr>
          <w:rFonts w:ascii="Calibri" w:eastAsia="Calibri" w:hAnsi="Calibri" w:cs="Calibri"/>
          <w:color w:val="000000" w:themeColor="text1"/>
        </w:rPr>
        <w:t xml:space="preserve"> an ambition for</w:t>
      </w:r>
      <w:r w:rsidRPr="5DF7C78B">
        <w:rPr>
          <w:rFonts w:ascii="Calibri" w:eastAsia="Calibri" w:hAnsi="Calibri" w:cs="Calibri"/>
          <w:color w:val="000000" w:themeColor="text1"/>
        </w:rPr>
        <w:t xml:space="preserve"> Australia to become a renewable energy superpower.</w:t>
      </w:r>
    </w:p>
    <w:p w14:paraId="703E6966" w14:textId="77777777" w:rsidR="008C1F94" w:rsidRPr="00AC20F5" w:rsidRDefault="008C1F94" w:rsidP="00540445">
      <w:pPr>
        <w:jc w:val="both"/>
        <w:rPr>
          <w:rFonts w:ascii="Calibri" w:eastAsia="Calibri" w:hAnsi="Calibri" w:cs="Calibri"/>
          <w:color w:val="000000" w:themeColor="text1"/>
        </w:rPr>
      </w:pPr>
      <w:r w:rsidRPr="00102EF8">
        <w:rPr>
          <w:rFonts w:ascii="Calibri" w:eastAsia="Calibri" w:hAnsi="Calibri" w:cs="Calibri"/>
          <w:color w:val="000000" w:themeColor="text1"/>
        </w:rPr>
        <w:t xml:space="preserve">The Australian Government has already outlined detailed policies to support </w:t>
      </w:r>
      <w:r w:rsidRPr="00AC20F5">
        <w:rPr>
          <w:rFonts w:ascii="Calibri" w:eastAsia="Calibri" w:hAnsi="Calibri" w:cs="Calibri"/>
          <w:color w:val="000000" w:themeColor="text1"/>
        </w:rPr>
        <w:t>its</w:t>
      </w:r>
      <w:r w:rsidRPr="00102EF8">
        <w:rPr>
          <w:rFonts w:ascii="Calibri" w:eastAsia="Calibri" w:hAnsi="Calibri" w:cs="Calibri"/>
          <w:color w:val="000000" w:themeColor="text1"/>
        </w:rPr>
        <w:t xml:space="preserve"> 2030 renewable electricity target. However, </w:t>
      </w:r>
      <w:r w:rsidRPr="003E48AE">
        <w:rPr>
          <w:rFonts w:ascii="Calibri" w:eastAsia="Calibri" w:hAnsi="Calibri" w:cs="Calibri"/>
          <w:color w:val="000000" w:themeColor="text1"/>
        </w:rPr>
        <w:t>continued commitment will be required to tackle the next challenge of growing renewables beyond 2030</w:t>
      </w:r>
      <w:r w:rsidRPr="00AC20F5">
        <w:rPr>
          <w:rFonts w:ascii="Calibri" w:eastAsia="Calibri" w:hAnsi="Calibri" w:cs="Calibri"/>
          <w:color w:val="000000" w:themeColor="text1"/>
        </w:rPr>
        <w:t xml:space="preserve"> and establishing new clean energy industries</w:t>
      </w:r>
      <w:r w:rsidRPr="003E48AE">
        <w:rPr>
          <w:rFonts w:ascii="Calibri" w:eastAsia="Calibri" w:hAnsi="Calibri" w:cs="Calibri"/>
          <w:color w:val="000000" w:themeColor="text1"/>
        </w:rPr>
        <w:t>.</w:t>
      </w:r>
    </w:p>
    <w:p w14:paraId="255E56CE" w14:textId="5EF94758" w:rsidR="008C1F94" w:rsidRPr="00AC20F5" w:rsidRDefault="008C1F94" w:rsidP="00540445">
      <w:pPr>
        <w:jc w:val="both"/>
        <w:rPr>
          <w:rFonts w:ascii="Calibri" w:eastAsia="Calibri" w:hAnsi="Calibri" w:cs="Calibri"/>
          <w:color w:val="000000" w:themeColor="text1"/>
        </w:rPr>
      </w:pPr>
      <w:r w:rsidRPr="00AC20F5">
        <w:rPr>
          <w:rFonts w:ascii="Calibri" w:eastAsia="Calibri" w:hAnsi="Calibri" w:cs="Calibri"/>
          <w:color w:val="000000" w:themeColor="text1"/>
        </w:rPr>
        <w:t xml:space="preserve">Australia’s abundant sunshine and wind provide the opportunity to capitalise on the global transition to achieve net zero emissions. </w:t>
      </w:r>
      <w:r>
        <w:rPr>
          <w:rFonts w:ascii="Calibri" w:eastAsia="Calibri" w:hAnsi="Calibri" w:cs="Calibri"/>
          <w:color w:val="000000" w:themeColor="text1"/>
        </w:rPr>
        <w:t xml:space="preserve">The Government has already identified </w:t>
      </w:r>
      <w:r w:rsidR="002F24BD">
        <w:rPr>
          <w:rFonts w:ascii="Calibri" w:eastAsia="Calibri" w:hAnsi="Calibri" w:cs="Calibri"/>
          <w:color w:val="000000" w:themeColor="text1"/>
        </w:rPr>
        <w:t>several</w:t>
      </w:r>
      <w:r>
        <w:rPr>
          <w:rFonts w:ascii="Calibri" w:eastAsia="Calibri" w:hAnsi="Calibri" w:cs="Calibri"/>
          <w:color w:val="000000" w:themeColor="text1"/>
        </w:rPr>
        <w:t xml:space="preserve"> priority clean energy industry opportunities through this transition, including in </w:t>
      </w:r>
      <w:r w:rsidRPr="00AC20F5">
        <w:rPr>
          <w:rFonts w:ascii="Calibri" w:eastAsia="Calibri" w:hAnsi="Calibri" w:cs="Calibri"/>
          <w:color w:val="000000" w:themeColor="text1"/>
        </w:rPr>
        <w:t>hydrogen</w:t>
      </w:r>
      <w:r>
        <w:rPr>
          <w:rFonts w:ascii="Calibri" w:eastAsia="Calibri" w:hAnsi="Calibri" w:cs="Calibri"/>
          <w:color w:val="000000" w:themeColor="text1"/>
        </w:rPr>
        <w:t>,</w:t>
      </w:r>
      <w:r w:rsidRPr="00AC20F5">
        <w:rPr>
          <w:rFonts w:ascii="Calibri" w:eastAsia="Calibri" w:hAnsi="Calibri" w:cs="Calibri"/>
          <w:color w:val="000000" w:themeColor="text1"/>
        </w:rPr>
        <w:t xml:space="preserve"> green </w:t>
      </w:r>
      <w:r>
        <w:rPr>
          <w:rFonts w:ascii="Calibri" w:eastAsia="Calibri" w:hAnsi="Calibri" w:cs="Calibri"/>
          <w:color w:val="000000" w:themeColor="text1"/>
        </w:rPr>
        <w:t xml:space="preserve">metals, critical </w:t>
      </w:r>
      <w:proofErr w:type="gramStart"/>
      <w:r>
        <w:rPr>
          <w:rFonts w:ascii="Calibri" w:eastAsia="Calibri" w:hAnsi="Calibri" w:cs="Calibri"/>
          <w:color w:val="000000" w:themeColor="text1"/>
        </w:rPr>
        <w:t>minerals</w:t>
      </w:r>
      <w:proofErr w:type="gramEnd"/>
      <w:r>
        <w:rPr>
          <w:rFonts w:ascii="Calibri" w:eastAsia="Calibri" w:hAnsi="Calibri" w:cs="Calibri"/>
          <w:color w:val="000000" w:themeColor="text1"/>
        </w:rPr>
        <w:t xml:space="preserve"> and clean energy manufacturing</w:t>
      </w:r>
      <w:r w:rsidRPr="00AC20F5">
        <w:rPr>
          <w:rFonts w:ascii="Calibri" w:eastAsia="Calibri" w:hAnsi="Calibri" w:cs="Calibri"/>
          <w:color w:val="000000" w:themeColor="text1"/>
        </w:rPr>
        <w:t>.</w:t>
      </w:r>
      <w:r w:rsidRPr="00191257">
        <w:rPr>
          <w:rFonts w:ascii="Calibri" w:eastAsia="Calibri" w:hAnsi="Calibri" w:cs="Calibri"/>
          <w:color w:val="000000" w:themeColor="text1"/>
        </w:rPr>
        <w:t xml:space="preserve"> This</w:t>
      </w:r>
      <w:r w:rsidRPr="00191257" w:rsidDel="00B1221B">
        <w:rPr>
          <w:rFonts w:ascii="Calibri" w:eastAsia="Calibri" w:hAnsi="Calibri" w:cs="Calibri"/>
          <w:color w:val="000000" w:themeColor="text1"/>
        </w:rPr>
        <w:t xml:space="preserve"> </w:t>
      </w:r>
      <w:r w:rsidR="00B1221B">
        <w:rPr>
          <w:rFonts w:ascii="Calibri" w:eastAsia="Calibri" w:hAnsi="Calibri" w:cs="Calibri"/>
          <w:color w:val="000000" w:themeColor="text1"/>
        </w:rPr>
        <w:t>will</w:t>
      </w:r>
      <w:r w:rsidR="00B1221B" w:rsidRPr="00191257">
        <w:rPr>
          <w:rFonts w:ascii="Calibri" w:eastAsia="Calibri" w:hAnsi="Calibri" w:cs="Calibri"/>
          <w:color w:val="000000" w:themeColor="text1"/>
        </w:rPr>
        <w:t xml:space="preserve"> </w:t>
      </w:r>
      <w:r w:rsidRPr="00AC20F5">
        <w:rPr>
          <w:rFonts w:ascii="Calibri" w:eastAsia="Calibri" w:hAnsi="Calibri" w:cs="Calibri"/>
          <w:color w:val="000000" w:themeColor="text1"/>
        </w:rPr>
        <w:t>create jobs for Australian workers and secure a Future Made in Australia</w:t>
      </w:r>
      <w:r w:rsidRPr="00191257">
        <w:rPr>
          <w:rFonts w:ascii="Calibri" w:eastAsia="Calibri" w:hAnsi="Calibri" w:cs="Calibri"/>
          <w:color w:val="000000" w:themeColor="text1"/>
        </w:rPr>
        <w:t xml:space="preserve">, </w:t>
      </w:r>
      <w:r>
        <w:rPr>
          <w:rFonts w:ascii="Calibri" w:eastAsia="Calibri" w:hAnsi="Calibri" w:cs="Calibri"/>
          <w:color w:val="000000" w:themeColor="text1"/>
        </w:rPr>
        <w:t>build new clean energy export industries,</w:t>
      </w:r>
      <w:r w:rsidRPr="00AC20F5">
        <w:rPr>
          <w:rFonts w:ascii="Calibri" w:eastAsia="Calibri" w:hAnsi="Calibri" w:cs="Calibri"/>
          <w:color w:val="000000" w:themeColor="text1"/>
        </w:rPr>
        <w:t xml:space="preserve"> and </w:t>
      </w:r>
      <w:r>
        <w:rPr>
          <w:rFonts w:ascii="Calibri" w:eastAsia="Calibri" w:hAnsi="Calibri" w:cs="Calibri"/>
          <w:color w:val="000000" w:themeColor="text1"/>
        </w:rPr>
        <w:t>maintain</w:t>
      </w:r>
      <w:r w:rsidRPr="00AC20F5">
        <w:rPr>
          <w:rFonts w:ascii="Calibri" w:eastAsia="Calibri" w:hAnsi="Calibri" w:cs="Calibri"/>
          <w:color w:val="000000" w:themeColor="text1"/>
        </w:rPr>
        <w:t xml:space="preserve"> Australia’s role as a provider of regional energy security</w:t>
      </w:r>
      <w:r w:rsidRPr="00191257">
        <w:rPr>
          <w:rFonts w:ascii="Calibri" w:eastAsia="Calibri" w:hAnsi="Calibri" w:cs="Calibri"/>
          <w:color w:val="000000" w:themeColor="text1"/>
        </w:rPr>
        <w:t>.</w:t>
      </w:r>
    </w:p>
    <w:p w14:paraId="2F34F447" w14:textId="77777777" w:rsidR="008C1F94" w:rsidRDefault="008C1F94" w:rsidP="00540445">
      <w:pPr>
        <w:jc w:val="both"/>
        <w:rPr>
          <w:rFonts w:ascii="Calibri" w:eastAsia="Calibri" w:hAnsi="Calibri" w:cs="Calibri"/>
          <w:color w:val="000000" w:themeColor="text1"/>
        </w:rPr>
      </w:pPr>
      <w:r w:rsidRPr="00AC20F5">
        <w:rPr>
          <w:rFonts w:ascii="Calibri" w:eastAsia="Calibri" w:hAnsi="Calibri" w:cs="Calibri"/>
          <w:color w:val="000000" w:themeColor="text1"/>
        </w:rPr>
        <w:t xml:space="preserve">At the same time, </w:t>
      </w:r>
      <w:r>
        <w:rPr>
          <w:rFonts w:ascii="Calibri" w:eastAsia="Calibri" w:hAnsi="Calibri" w:cs="Calibri"/>
          <w:color w:val="000000" w:themeColor="text1"/>
        </w:rPr>
        <w:t>realising</w:t>
      </w:r>
      <w:r w:rsidRPr="00AC20F5">
        <w:rPr>
          <w:rFonts w:ascii="Calibri" w:eastAsia="Calibri" w:hAnsi="Calibri" w:cs="Calibri"/>
          <w:color w:val="000000" w:themeColor="text1"/>
        </w:rPr>
        <w:t xml:space="preserve"> </w:t>
      </w:r>
      <w:r w:rsidRPr="00191257">
        <w:rPr>
          <w:rFonts w:ascii="Calibri" w:eastAsia="Calibri" w:hAnsi="Calibri" w:cs="Calibri"/>
          <w:color w:val="000000" w:themeColor="text1"/>
        </w:rPr>
        <w:t xml:space="preserve">Australia’s renewable superpower ambitions will </w:t>
      </w:r>
      <w:r>
        <w:rPr>
          <w:rFonts w:ascii="Calibri" w:eastAsia="Calibri" w:hAnsi="Calibri" w:cs="Calibri"/>
          <w:color w:val="000000" w:themeColor="text1"/>
        </w:rPr>
        <w:t xml:space="preserve">also unlock investment in additional renewable energy, </w:t>
      </w:r>
      <w:proofErr w:type="gramStart"/>
      <w:r>
        <w:rPr>
          <w:rFonts w:ascii="Calibri" w:eastAsia="Calibri" w:hAnsi="Calibri" w:cs="Calibri"/>
          <w:color w:val="000000" w:themeColor="text1"/>
        </w:rPr>
        <w:t>infrastructure</w:t>
      </w:r>
      <w:proofErr w:type="gramEnd"/>
      <w:r>
        <w:rPr>
          <w:rFonts w:ascii="Calibri" w:eastAsia="Calibri" w:hAnsi="Calibri" w:cs="Calibri"/>
          <w:color w:val="000000" w:themeColor="text1"/>
        </w:rPr>
        <w:t xml:space="preserve"> and supply chains – creating more jobs and opportunities for Australians, and underscoring the importance of the energy sector to Australia’s transition. </w:t>
      </w:r>
    </w:p>
    <w:p w14:paraId="1D8C20A9" w14:textId="77777777" w:rsidR="008C1F94" w:rsidRPr="003E48AE" w:rsidRDefault="008C1F94" w:rsidP="00540445">
      <w:pPr>
        <w:jc w:val="both"/>
      </w:pPr>
      <w:r w:rsidRPr="003E48AE">
        <w:t>New regulations and market structures for the energy sector and clean energy industries will need to support this industrial transformation. This will all require careful planning and continued cooperation across all levels of government.</w:t>
      </w:r>
      <w:r w:rsidRPr="00AC20F5">
        <w:t xml:space="preserve"> The transition from a fossil fuel-powered economy to net zero economy will also need to be carefully managed and sequenced</w:t>
      </w:r>
      <w:r w:rsidRPr="003E48AE">
        <w:t xml:space="preserve"> to ensure benefits are equitably distributed across communities. </w:t>
      </w:r>
    </w:p>
    <w:p w14:paraId="23CDB735" w14:textId="77777777" w:rsidR="008C1F94" w:rsidRPr="003E48AE" w:rsidRDefault="008C1F94" w:rsidP="00540445">
      <w:pPr>
        <w:jc w:val="both"/>
        <w:rPr>
          <w:rFonts w:ascii="Calibri" w:eastAsia="Calibri" w:hAnsi="Calibri" w:cs="Calibri"/>
        </w:rPr>
      </w:pPr>
      <w:r w:rsidRPr="003E48AE">
        <w:t xml:space="preserve">Outside of this, energy supply and systems will need to be sustainable over the longer term. This includes adopting circular economy principles and opportunities across the energy sector. For example, carbon capture and usage to manufacture synthetic fuels from carbon </w:t>
      </w:r>
      <w:proofErr w:type="gramStart"/>
      <w:r w:rsidRPr="003E48AE">
        <w:t>dioxide, and</w:t>
      </w:r>
      <w:proofErr w:type="gramEnd"/>
      <w:r w:rsidRPr="003E48AE">
        <w:t xml:space="preserve"> using waste materials</w:t>
      </w:r>
      <w:r>
        <w:t xml:space="preserve"> as feedstocks</w:t>
      </w:r>
      <w:r w:rsidRPr="003E48AE">
        <w:t xml:space="preserve"> to produce biofuels and renewable gases, could unlock opportunities in the low carbon gas and liquid fuels industries. Additionally, circular strategies for recycling critical minerals required for </w:t>
      </w:r>
      <w:r>
        <w:t>clean energy</w:t>
      </w:r>
      <w:r w:rsidRPr="003E48AE">
        <w:t xml:space="preserve"> technologies can reduce emissions from extracting natural resources. Recycling </w:t>
      </w:r>
      <w:r>
        <w:t>and repurposing</w:t>
      </w:r>
      <w:r w:rsidRPr="003E48AE">
        <w:t xml:space="preserve"> existing infrastructure can also help Australia get more value out of the materials currently in our economy while minimising waste and landfill.</w:t>
      </w:r>
    </w:p>
    <w:p w14:paraId="227C25E6" w14:textId="5A001FDD" w:rsidR="00494DB3" w:rsidRPr="00AC20F5" w:rsidRDefault="008C1F94" w:rsidP="00540445">
      <w:pPr>
        <w:jc w:val="both"/>
      </w:pPr>
      <w:r w:rsidRPr="003E48AE">
        <w:t xml:space="preserve">There </w:t>
      </w:r>
      <w:r w:rsidRPr="00AC20F5">
        <w:t>are benefits for</w:t>
      </w:r>
      <w:r w:rsidRPr="003E48AE">
        <w:t xml:space="preserve"> consumers from the energy </w:t>
      </w:r>
      <w:r w:rsidR="00186813">
        <w:t>transformation</w:t>
      </w:r>
      <w:r w:rsidRPr="003E48AE">
        <w:t xml:space="preserve">. For example, improving energy performance will be a critical tool to reduce overall demand on the electricity grid, improve energy reliability and reduce emissions but </w:t>
      </w:r>
      <w:r w:rsidR="00AD1433">
        <w:t xml:space="preserve">it </w:t>
      </w:r>
      <w:r w:rsidRPr="003E48AE">
        <w:t xml:space="preserve">can also lower </w:t>
      </w:r>
      <w:r>
        <w:t>energy</w:t>
      </w:r>
      <w:r w:rsidRPr="003E48AE">
        <w:t xml:space="preserve"> bills. The Australian Government is developing a National Energy Performance Strategy to accelerate and boost energy performance measures – the broad management of energy demand through energy efficiency, electrification or fuel switching, and demand flexibility. </w:t>
      </w:r>
      <w:r w:rsidRPr="00AC20F5">
        <w:t xml:space="preserve">In supporting decarbonisation efforts, </w:t>
      </w:r>
      <w:r>
        <w:t xml:space="preserve">the energy </w:t>
      </w:r>
      <w:r w:rsidR="00186813">
        <w:t>transformation</w:t>
      </w:r>
      <w:r w:rsidR="00186813" w:rsidRPr="00AC20F5">
        <w:t xml:space="preserve"> </w:t>
      </w:r>
      <w:r w:rsidRPr="00AC20F5">
        <w:t xml:space="preserve">will also benefit livelihoods, </w:t>
      </w:r>
      <w:proofErr w:type="gramStart"/>
      <w:r w:rsidRPr="00AC20F5">
        <w:t>security</w:t>
      </w:r>
      <w:proofErr w:type="gramEnd"/>
      <w:r w:rsidRPr="00AC20F5">
        <w:t xml:space="preserve"> and prosperity, </w:t>
      </w:r>
      <w:r>
        <w:t>achieved through increasing our resilience to</w:t>
      </w:r>
      <w:r w:rsidRPr="00AC20F5">
        <w:t xml:space="preserve"> more </w:t>
      </w:r>
      <w:r w:rsidR="006840EE" w:rsidRPr="00AC20F5">
        <w:t>frequent or intense disasters due to climate change.</w:t>
      </w:r>
    </w:p>
    <w:tbl>
      <w:tblPr>
        <w:tblStyle w:val="TableGrid"/>
        <w:tblpPr w:leftFromText="180" w:rightFromText="180" w:vertAnchor="text" w:horzAnchor="margin" w:tblpY="16"/>
        <w:tblW w:w="0" w:type="auto"/>
        <w:shd w:val="clear" w:color="auto" w:fill="C1DDE1"/>
        <w:tblLook w:val="04A0" w:firstRow="1" w:lastRow="0" w:firstColumn="1" w:lastColumn="0" w:noHBand="0" w:noVBand="1"/>
      </w:tblPr>
      <w:tblGrid>
        <w:gridCol w:w="9015"/>
      </w:tblGrid>
      <w:tr w:rsidR="006840EE" w14:paraId="2B8783FD" w14:textId="77777777" w:rsidTr="00B141BC">
        <w:tc>
          <w:tcPr>
            <w:tcW w:w="9015" w:type="dxa"/>
            <w:tcBorders>
              <w:top w:val="nil"/>
              <w:left w:val="nil"/>
              <w:bottom w:val="nil"/>
              <w:right w:val="nil"/>
            </w:tcBorders>
            <w:shd w:val="clear" w:color="auto" w:fill="D7F5FA" w:themeFill="background2" w:themeFillTint="1A"/>
          </w:tcPr>
          <w:p w14:paraId="0B95EA01" w14:textId="0EFE1EBB" w:rsidR="006840EE" w:rsidRDefault="006840EE" w:rsidP="00B141BC">
            <w:pPr>
              <w:pStyle w:val="Caption"/>
              <w:keepLines/>
              <w:pageBreakBefore/>
            </w:pPr>
            <w:bookmarkStart w:id="15" w:name="_Toc161306072"/>
            <w:r>
              <w:lastRenderedPageBreak/>
              <w:t xml:space="preserve">Box </w:t>
            </w:r>
            <w:r w:rsidR="00D158DC">
              <w:fldChar w:fldCharType="begin"/>
            </w:r>
            <w:r w:rsidR="00D158DC">
              <w:instrText xml:space="preserve"> SEQ Box \* ARABIC </w:instrText>
            </w:r>
            <w:r w:rsidR="00D158DC">
              <w:fldChar w:fldCharType="separate"/>
            </w:r>
            <w:r w:rsidR="00D158DC">
              <w:rPr>
                <w:noProof/>
              </w:rPr>
              <w:t>1</w:t>
            </w:r>
            <w:r w:rsidR="00D158DC">
              <w:rPr>
                <w:noProof/>
              </w:rPr>
              <w:fldChar w:fldCharType="end"/>
            </w:r>
            <w:r>
              <w:t xml:space="preserve"> </w:t>
            </w:r>
            <w:r w:rsidRPr="007C7966">
              <w:t xml:space="preserve">Interactions of the </w:t>
            </w:r>
            <w:r w:rsidRPr="007C7966" w:rsidDel="00774FB4">
              <w:t xml:space="preserve">Plan </w:t>
            </w:r>
            <w:r w:rsidRPr="007C7966">
              <w:t>with other energy policy programs</w:t>
            </w:r>
            <w:bookmarkEnd w:id="15"/>
          </w:p>
          <w:p w14:paraId="113EDF4A" w14:textId="77777777" w:rsidR="006840EE" w:rsidRPr="000C02DD" w:rsidRDefault="006840EE" w:rsidP="006840EE">
            <w:pPr>
              <w:spacing w:after="120"/>
              <w:jc w:val="both"/>
            </w:pPr>
            <w:r w:rsidRPr="00B141BC">
              <w:rPr>
                <w:b/>
              </w:rPr>
              <w:t>82% renewable electricity by 2030:</w:t>
            </w:r>
            <w:r w:rsidRPr="000C02DD">
              <w:t xml:space="preserve"> the Australian Government has announced detailed policy to get to this target by 2030, which will be a significant task that will put us on track for </w:t>
            </w:r>
            <w:r>
              <w:t>our 2030 and 2050 emissions reduction targets.</w:t>
            </w:r>
            <w:r>
              <w:rPr>
                <w:rStyle w:val="FootnoteReference"/>
              </w:rPr>
              <w:footnoteReference w:id="7"/>
            </w:r>
          </w:p>
          <w:p w14:paraId="3408D2D4" w14:textId="77777777" w:rsidR="006840EE" w:rsidRPr="000C02DD" w:rsidRDefault="006840EE" w:rsidP="006840EE">
            <w:pPr>
              <w:spacing w:after="120"/>
              <w:jc w:val="both"/>
            </w:pPr>
            <w:r w:rsidRPr="00B141BC">
              <w:rPr>
                <w:b/>
              </w:rPr>
              <w:t>Renewable energy superpower ambitions:</w:t>
            </w:r>
            <w:r w:rsidRPr="000C02DD">
              <w:t xml:space="preserve"> the </w:t>
            </w:r>
            <w:r>
              <w:t>Plan will consider how our renewable superpower ambitions</w:t>
            </w:r>
            <w:r w:rsidRPr="000C02DD">
              <w:t xml:space="preserve"> will interact with </w:t>
            </w:r>
            <w:r>
              <w:t xml:space="preserve">the </w:t>
            </w:r>
            <w:r w:rsidRPr="000C02DD">
              <w:t xml:space="preserve">workforce, infrastructure, </w:t>
            </w:r>
            <w:proofErr w:type="gramStart"/>
            <w:r w:rsidRPr="000C02DD">
              <w:t>capital</w:t>
            </w:r>
            <w:proofErr w:type="gramEnd"/>
            <w:r w:rsidRPr="000C02DD">
              <w:t xml:space="preserve"> and other needs </w:t>
            </w:r>
            <w:r>
              <w:t>of</w:t>
            </w:r>
            <w:r w:rsidRPr="000C02DD">
              <w:t xml:space="preserve"> the domestic energy </w:t>
            </w:r>
            <w:r>
              <w:t>transformation</w:t>
            </w:r>
            <w:r w:rsidRPr="000C02DD">
              <w:t>.</w:t>
            </w:r>
            <w:r w:rsidRPr="000C02DD" w:rsidDel="00401F5C">
              <w:t xml:space="preserve"> </w:t>
            </w:r>
          </w:p>
          <w:p w14:paraId="2B52E0D1" w14:textId="77777777" w:rsidR="002B730E" w:rsidRDefault="002B730E" w:rsidP="002B730E">
            <w:pPr>
              <w:spacing w:after="120"/>
              <w:jc w:val="both"/>
              <w:rPr>
                <w:i/>
                <w:iCs/>
              </w:rPr>
            </w:pPr>
            <w:r w:rsidRPr="00B141BC">
              <w:rPr>
                <w:b/>
              </w:rPr>
              <w:t>Gas Market Code and Future Gas Strategy:</w:t>
            </w:r>
            <w:r>
              <w:rPr>
                <w:i/>
                <w:iCs/>
              </w:rPr>
              <w:t xml:space="preserve"> </w:t>
            </w:r>
            <w:r w:rsidRPr="009D095D">
              <w:t>the Plan</w:t>
            </w:r>
            <w:r>
              <w:rPr>
                <w:i/>
                <w:iCs/>
              </w:rPr>
              <w:t xml:space="preserve"> </w:t>
            </w:r>
            <w:r w:rsidRPr="00DE66B1">
              <w:t>will reflect measures under the Gas Market Code and</w:t>
            </w:r>
            <w:r>
              <w:rPr>
                <w:i/>
                <w:iCs/>
              </w:rPr>
              <w:t xml:space="preserve"> </w:t>
            </w:r>
            <w:r w:rsidRPr="0038182A">
              <w:t xml:space="preserve">will </w:t>
            </w:r>
            <w:r w:rsidRPr="0038182A" w:rsidDel="008802E8">
              <w:t>build</w:t>
            </w:r>
            <w:r w:rsidRPr="0038182A">
              <w:t xml:space="preserve"> </w:t>
            </w:r>
            <w:r>
              <w:t>on insights from</w:t>
            </w:r>
            <w:r w:rsidRPr="0038182A">
              <w:t xml:space="preserve"> the Future Gas Strategy </w:t>
            </w:r>
            <w:r>
              <w:t xml:space="preserve">for the future of the energy sector. </w:t>
            </w:r>
          </w:p>
          <w:p w14:paraId="2612E821" w14:textId="77777777" w:rsidR="006840EE" w:rsidRPr="000C02DD" w:rsidRDefault="006840EE" w:rsidP="006840EE">
            <w:pPr>
              <w:spacing w:after="120"/>
              <w:jc w:val="both"/>
            </w:pPr>
            <w:r w:rsidRPr="00B141BC">
              <w:rPr>
                <w:b/>
              </w:rPr>
              <w:t>National Hydrogen Strategy:</w:t>
            </w:r>
            <w:r w:rsidRPr="000C02DD">
              <w:t xml:space="preserve"> the role of hydrogen outlined in </w:t>
            </w:r>
            <w:r>
              <w:t>the National Hydrogen</w:t>
            </w:r>
            <w:r w:rsidRPr="000C02DD">
              <w:t xml:space="preserve"> </w:t>
            </w:r>
            <w:r>
              <w:t>S</w:t>
            </w:r>
            <w:r w:rsidRPr="000C02DD">
              <w:t>trategy will feed into the pathways developed for the Plan.</w:t>
            </w:r>
          </w:p>
          <w:p w14:paraId="3E5FFD33" w14:textId="77777777" w:rsidR="006840EE" w:rsidRDefault="006840EE" w:rsidP="006840EE">
            <w:pPr>
              <w:spacing w:after="120"/>
              <w:jc w:val="both"/>
            </w:pPr>
            <w:r w:rsidRPr="00B141BC">
              <w:rPr>
                <w:b/>
              </w:rPr>
              <w:t>First Nations Clean Energy Strategy:</w:t>
            </w:r>
            <w:r w:rsidRPr="000C02DD">
              <w:t xml:space="preserve"> </w:t>
            </w:r>
            <w:r>
              <w:t>consultation on the First Nations Clean Energy Strategy will inform the Plan’s consideration of opportunities and challenges for first nations communities in the energy transformation.</w:t>
            </w:r>
          </w:p>
          <w:p w14:paraId="038164BF" w14:textId="77777777" w:rsidR="006840EE" w:rsidRDefault="006840EE" w:rsidP="006840EE">
            <w:pPr>
              <w:spacing w:after="120"/>
              <w:jc w:val="both"/>
            </w:pPr>
            <w:r w:rsidRPr="00B141BC">
              <w:rPr>
                <w:b/>
              </w:rPr>
              <w:t>National Energy Transformation Partnership:</w:t>
            </w:r>
            <w:r w:rsidRPr="000C02DD">
              <w:t xml:space="preserve"> </w:t>
            </w:r>
            <w:r>
              <w:t xml:space="preserve">development of </w:t>
            </w:r>
            <w:r w:rsidRPr="000C02DD">
              <w:t xml:space="preserve">the Plan will leverage existing frameworks for collaboration between the Commonwealth, </w:t>
            </w:r>
            <w:proofErr w:type="gramStart"/>
            <w:r w:rsidRPr="000C02DD">
              <w:t>state</w:t>
            </w:r>
            <w:proofErr w:type="gramEnd"/>
            <w:r w:rsidRPr="000C02DD">
              <w:t xml:space="preserve"> and territory governments.</w:t>
            </w:r>
          </w:p>
          <w:p w14:paraId="1602B759" w14:textId="77777777" w:rsidR="006840EE" w:rsidRPr="006D3757" w:rsidRDefault="006840EE" w:rsidP="006840EE">
            <w:pPr>
              <w:spacing w:after="120"/>
              <w:jc w:val="both"/>
            </w:pPr>
            <w:r w:rsidRPr="00B141BC">
              <w:rPr>
                <w:b/>
              </w:rPr>
              <w:t>National Energy Performance Strategy:</w:t>
            </w:r>
            <w:r>
              <w:t xml:space="preserve"> the Australian Government is developing a national strategy that will maximise the benefits Australians get from our electricity grids through improving energy efficiency, </w:t>
            </w:r>
            <w:proofErr w:type="gramStart"/>
            <w:r>
              <w:t>electrification</w:t>
            </w:r>
            <w:proofErr w:type="gramEnd"/>
            <w:r>
              <w:t xml:space="preserve"> and demand flexibility. This will lower energy bills while reducing how much new renewable generation is needed to 2050 to meet electricity demand.</w:t>
            </w:r>
          </w:p>
          <w:p w14:paraId="0140A182" w14:textId="77777777" w:rsidR="006840EE" w:rsidRPr="00F70751" w:rsidRDefault="006840EE" w:rsidP="006840EE">
            <w:pPr>
              <w:spacing w:after="120"/>
              <w:jc w:val="both"/>
            </w:pPr>
            <w:r w:rsidRPr="00B141BC">
              <w:rPr>
                <w:b/>
              </w:rPr>
              <w:t>State and territory policies and targets:</w:t>
            </w:r>
            <w:r w:rsidRPr="000C02DD">
              <w:t xml:space="preserve"> </w:t>
            </w:r>
            <w:r>
              <w:t xml:space="preserve">the Plan will consider existing policies in state and territory </w:t>
            </w:r>
            <w:r w:rsidRPr="00F70751">
              <w:t>jurisdictions in modelling and development of pathways for the energy sector. This includes:</w:t>
            </w:r>
          </w:p>
          <w:p w14:paraId="2780B957" w14:textId="61456927" w:rsidR="006840EE" w:rsidRPr="00AC20F5" w:rsidRDefault="00346F8E" w:rsidP="00B141BC">
            <w:pPr>
              <w:pStyle w:val="ListBullet"/>
              <w:numPr>
                <w:ilvl w:val="0"/>
                <w:numId w:val="50"/>
              </w:numPr>
              <w:spacing w:before="0"/>
              <w:ind w:left="357" w:hanging="357"/>
            </w:pPr>
            <w:r>
              <w:t>i</w:t>
            </w:r>
            <w:r w:rsidRPr="00AC20F5">
              <w:t xml:space="preserve">ndividual </w:t>
            </w:r>
            <w:r w:rsidR="006840EE" w:rsidRPr="00AC20F5">
              <w:t>state and territory renewable energy targets and emissions reduction commitments</w:t>
            </w:r>
          </w:p>
          <w:p w14:paraId="10531288" w14:textId="3EDFF6B4" w:rsidR="006840EE" w:rsidRPr="00AC20F5" w:rsidRDefault="00346F8E" w:rsidP="00B141BC">
            <w:pPr>
              <w:pStyle w:val="ListBullet"/>
              <w:numPr>
                <w:ilvl w:val="0"/>
                <w:numId w:val="50"/>
              </w:numPr>
              <w:spacing w:before="0"/>
              <w:ind w:left="357" w:hanging="357"/>
            </w:pPr>
            <w:r>
              <w:t xml:space="preserve">investment </w:t>
            </w:r>
            <w:r w:rsidR="006840EE">
              <w:t>in and commitment to developing c</w:t>
            </w:r>
            <w:r w:rsidR="006840EE" w:rsidRPr="00AC20F5">
              <w:t xml:space="preserve">lean energy </w:t>
            </w:r>
            <w:r w:rsidR="006840EE">
              <w:t>industries</w:t>
            </w:r>
          </w:p>
          <w:p w14:paraId="5DFA94CD" w14:textId="31083115" w:rsidR="006840EE" w:rsidRDefault="00346F8E" w:rsidP="00B141BC">
            <w:pPr>
              <w:pStyle w:val="ListBullet"/>
              <w:numPr>
                <w:ilvl w:val="0"/>
                <w:numId w:val="50"/>
              </w:numPr>
              <w:spacing w:before="0"/>
              <w:ind w:left="357" w:hanging="357"/>
            </w:pPr>
            <w:r>
              <w:t xml:space="preserve">development </w:t>
            </w:r>
            <w:r w:rsidR="006840EE">
              <w:t>of state-based sectoral decarbonisation plans</w:t>
            </w:r>
          </w:p>
          <w:p w14:paraId="712B772A" w14:textId="224FB65E" w:rsidR="006840EE" w:rsidRPr="0021066E" w:rsidRDefault="00346F8E" w:rsidP="00B141BC">
            <w:pPr>
              <w:pStyle w:val="ListBullet"/>
              <w:numPr>
                <w:ilvl w:val="0"/>
                <w:numId w:val="50"/>
              </w:numPr>
              <w:spacing w:before="0" w:after="240"/>
              <w:ind w:left="357" w:hanging="357"/>
            </w:pPr>
            <w:r>
              <w:t>e</w:t>
            </w:r>
            <w:r w:rsidR="006840EE">
              <w:t>nergy efficiency initiatives.</w:t>
            </w:r>
            <w:r w:rsidR="006840EE">
              <w:rPr>
                <w:rStyle w:val="FootnoteReference"/>
              </w:rPr>
              <w:footnoteReference w:id="8"/>
            </w:r>
          </w:p>
        </w:tc>
      </w:tr>
    </w:tbl>
    <w:p w14:paraId="25FA2E7E" w14:textId="56615385" w:rsidR="008C1F94" w:rsidRPr="003C71FF" w:rsidRDefault="008C1F94" w:rsidP="00540445">
      <w:pPr>
        <w:jc w:val="both"/>
      </w:pPr>
    </w:p>
    <w:p w14:paraId="3B3B5D40" w14:textId="77777777" w:rsidR="0088614B" w:rsidRDefault="0088614B">
      <w:pPr>
        <w:spacing w:after="0" w:line="240" w:lineRule="auto"/>
        <w:rPr>
          <w:rFonts w:ascii="Calibri" w:eastAsia="Times New Roman" w:hAnsi="Calibri" w:cs="Times New Roman"/>
          <w:b/>
          <w:bCs/>
          <w:sz w:val="32"/>
        </w:rPr>
      </w:pPr>
      <w:r>
        <w:br w:type="page"/>
      </w:r>
    </w:p>
    <w:p w14:paraId="141A96F4" w14:textId="7167EEA6" w:rsidR="008C1F94" w:rsidRPr="006C7199" w:rsidRDefault="008C1F94" w:rsidP="00494DB3">
      <w:pPr>
        <w:pStyle w:val="Heading3"/>
      </w:pPr>
      <w:bookmarkStart w:id="16" w:name="_Toc161306034"/>
      <w:r w:rsidRPr="006C7199">
        <w:lastRenderedPageBreak/>
        <w:t>Have your say</w:t>
      </w:r>
      <w:bookmarkEnd w:id="16"/>
    </w:p>
    <w:p w14:paraId="5B1DD599" w14:textId="6713EF6A" w:rsidR="008C1F94" w:rsidRPr="00A03C11" w:rsidRDefault="008C1F94" w:rsidP="00540445">
      <w:pPr>
        <w:jc w:val="both"/>
      </w:pPr>
      <w:r w:rsidRPr="00A03C11">
        <w:t>We are seeking your feedback on the opportunities and challenges</w:t>
      </w:r>
      <w:r w:rsidR="00D46F28">
        <w:t xml:space="preserve"> we need</w:t>
      </w:r>
      <w:r w:rsidRPr="00A03C11">
        <w:t xml:space="preserve"> to address to support an equitable energy </w:t>
      </w:r>
      <w:r w:rsidR="00186813">
        <w:t>transformation</w:t>
      </w:r>
      <w:r w:rsidR="00186813" w:rsidRPr="00A03C11" w:rsidDel="00186813">
        <w:t xml:space="preserve"> </w:t>
      </w:r>
      <w:r w:rsidRPr="00A03C11">
        <w:t xml:space="preserve">while maintaining energy </w:t>
      </w:r>
      <w:r>
        <w:t>affordability,</w:t>
      </w:r>
      <w:r w:rsidRPr="00A03C11">
        <w:t xml:space="preserve"> </w:t>
      </w:r>
      <w:proofErr w:type="gramStart"/>
      <w:r w:rsidRPr="00A03C11">
        <w:t>security</w:t>
      </w:r>
      <w:proofErr w:type="gramEnd"/>
      <w:r w:rsidRPr="00A03C11">
        <w:t xml:space="preserve"> and reliability</w:t>
      </w:r>
      <w:r>
        <w:t>,</w:t>
      </w:r>
      <w:r w:rsidRPr="00A03C11">
        <w:t xml:space="preserve"> and achieving Australia’s emissions reduction targets. This feedback will inform the policy measures and pathways developed in the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1DDE1"/>
        <w:tblLook w:val="04A0" w:firstRow="1" w:lastRow="0" w:firstColumn="1" w:lastColumn="0" w:noHBand="0" w:noVBand="1"/>
      </w:tblPr>
      <w:tblGrid>
        <w:gridCol w:w="9016"/>
      </w:tblGrid>
      <w:tr w:rsidR="008C1F94" w14:paraId="5DEDAFEF" w14:textId="77777777" w:rsidTr="00B141BC">
        <w:tc>
          <w:tcPr>
            <w:tcW w:w="9016" w:type="dxa"/>
            <w:shd w:val="clear" w:color="auto" w:fill="D7F5FA" w:themeFill="background2" w:themeFillTint="1A"/>
          </w:tcPr>
          <w:p w14:paraId="4267A800" w14:textId="266656D1" w:rsidR="008C1F94" w:rsidRPr="008C1F94" w:rsidRDefault="008C1F94" w:rsidP="00540445">
            <w:pPr>
              <w:spacing w:before="160"/>
              <w:jc w:val="both"/>
            </w:pPr>
            <w:r w:rsidRPr="00930A89">
              <w:t>Th</w:t>
            </w:r>
            <w:r w:rsidR="003035E9">
              <w:t>is</w:t>
            </w:r>
            <w:r w:rsidDel="003035E9">
              <w:t xml:space="preserve"> </w:t>
            </w:r>
            <w:r>
              <w:t xml:space="preserve">discussion paper </w:t>
            </w:r>
            <w:r w:rsidRPr="00930A89">
              <w:t xml:space="preserve">sets out </w:t>
            </w:r>
            <w:r w:rsidR="006B7FB6">
              <w:t>5</w:t>
            </w:r>
            <w:r w:rsidR="006B7FB6" w:rsidRPr="00930A89">
              <w:t xml:space="preserve"> </w:t>
            </w:r>
            <w:r w:rsidRPr="00930A89">
              <w:t>key considerations shaping the future of energy</w:t>
            </w:r>
            <w:r>
              <w:t xml:space="preserve"> for consideration and feedback</w:t>
            </w:r>
            <w:r w:rsidRPr="00930A89" w:rsidDel="003B2927">
              <w:t>.</w:t>
            </w:r>
          </w:p>
          <w:p w14:paraId="1DA4EAE8" w14:textId="77777777" w:rsidR="008C1F94" w:rsidRPr="00930A89" w:rsidRDefault="008C1F94" w:rsidP="00B141BC">
            <w:pPr>
              <w:pStyle w:val="ListBullet"/>
              <w:numPr>
                <w:ilvl w:val="0"/>
                <w:numId w:val="69"/>
              </w:numPr>
              <w:rPr>
                <w:b/>
              </w:rPr>
            </w:pPr>
            <w:r w:rsidRPr="00930A89">
              <w:rPr>
                <w:b/>
              </w:rPr>
              <w:t>Mobilising investment</w:t>
            </w:r>
            <w:r w:rsidRPr="00930A89">
              <w:rPr>
                <w:b/>
                <w:bCs/>
              </w:rPr>
              <w:t>.</w:t>
            </w:r>
            <w:r w:rsidRPr="00930A89">
              <w:rPr>
                <w:b/>
              </w:rPr>
              <w:t xml:space="preserve"> </w:t>
            </w:r>
            <w:r w:rsidRPr="00930A89">
              <w:t>Accelerating renewable energy capacity will require significant investment from both government and industry at a time of international competition for green finance.</w:t>
            </w:r>
          </w:p>
          <w:p w14:paraId="5AD49721" w14:textId="15AD06AB" w:rsidR="008C1F94" w:rsidRPr="00930A89" w:rsidRDefault="008C1F94" w:rsidP="00B141BC">
            <w:pPr>
              <w:pStyle w:val="ListBullet"/>
              <w:numPr>
                <w:ilvl w:val="0"/>
                <w:numId w:val="69"/>
              </w:numPr>
              <w:rPr>
                <w:b/>
              </w:rPr>
            </w:pPr>
            <w:r>
              <w:rPr>
                <w:b/>
              </w:rPr>
              <w:t>Enabling e</w:t>
            </w:r>
            <w:r w:rsidRPr="00930A89">
              <w:rPr>
                <w:b/>
              </w:rPr>
              <w:t>lectrification</w:t>
            </w:r>
            <w:r w:rsidRPr="00930A89">
              <w:t>. Electrification is a key tool for reducing energy-related emissions</w:t>
            </w:r>
            <w:r w:rsidR="00A03E9A">
              <w:t xml:space="preserve"> and reducing costs</w:t>
            </w:r>
            <w:r w:rsidRPr="00930A89">
              <w:t>, but it will require substantial expansion of Australia’s electricity networks.</w:t>
            </w:r>
          </w:p>
          <w:p w14:paraId="28B6A674" w14:textId="77777777" w:rsidR="008C1F94" w:rsidRPr="00930A89" w:rsidRDefault="008C1F94" w:rsidP="00B141BC">
            <w:pPr>
              <w:pStyle w:val="ListBullet"/>
              <w:numPr>
                <w:ilvl w:val="0"/>
                <w:numId w:val="69"/>
              </w:numPr>
              <w:rPr>
                <w:b/>
              </w:rPr>
            </w:pPr>
            <w:r>
              <w:rPr>
                <w:b/>
              </w:rPr>
              <w:t xml:space="preserve">Growing alternative low </w:t>
            </w:r>
            <w:r w:rsidRPr="00D5102E">
              <w:rPr>
                <w:b/>
              </w:rPr>
              <w:t>carbon</w:t>
            </w:r>
            <w:r w:rsidRPr="00985B5C">
              <w:rPr>
                <w:b/>
              </w:rPr>
              <w:t xml:space="preserve"> </w:t>
            </w:r>
            <w:r>
              <w:rPr>
                <w:b/>
              </w:rPr>
              <w:t>fuels</w:t>
            </w:r>
            <w:r w:rsidRPr="00930A89">
              <w:t xml:space="preserve">. Low-carbon fuels will need to be developed for industries that are difficult to electrify, while fuel security challenges are managed. </w:t>
            </w:r>
          </w:p>
          <w:p w14:paraId="021C8557" w14:textId="77777777" w:rsidR="008C1F94" w:rsidRPr="00930A89" w:rsidRDefault="008C1F94" w:rsidP="00B141BC">
            <w:pPr>
              <w:pStyle w:val="ListBullet"/>
              <w:numPr>
                <w:ilvl w:val="0"/>
                <w:numId w:val="69"/>
              </w:numPr>
              <w:rPr>
                <w:b/>
              </w:rPr>
            </w:pPr>
            <w:r w:rsidRPr="00930A89">
              <w:rPr>
                <w:b/>
              </w:rPr>
              <w:t xml:space="preserve">Building </w:t>
            </w:r>
            <w:r>
              <w:rPr>
                <w:b/>
              </w:rPr>
              <w:t>Australia’s</w:t>
            </w:r>
            <w:r w:rsidRPr="00930A89">
              <w:rPr>
                <w:b/>
              </w:rPr>
              <w:t xml:space="preserve"> clean energy workforce. </w:t>
            </w:r>
            <w:r w:rsidRPr="00930A89">
              <w:t>Australia will need a large skilled workforce to deliver these system-wide changes and we are already facing a shortage of the technical and professional skills required.</w:t>
            </w:r>
          </w:p>
          <w:p w14:paraId="34528CBB" w14:textId="750E0DC9" w:rsidR="008C1F94" w:rsidRPr="008C1F94" w:rsidRDefault="006A59FA" w:rsidP="00B141BC">
            <w:pPr>
              <w:pStyle w:val="ListBullet"/>
              <w:numPr>
                <w:ilvl w:val="0"/>
                <w:numId w:val="69"/>
              </w:numPr>
              <w:spacing w:after="240"/>
              <w:rPr>
                <w:b/>
              </w:rPr>
            </w:pPr>
            <w:r>
              <w:rPr>
                <w:b/>
                <w:bCs/>
              </w:rPr>
              <w:t>Maximising</w:t>
            </w:r>
            <w:r w:rsidR="008C1F94">
              <w:rPr>
                <w:b/>
                <w:bCs/>
              </w:rPr>
              <w:t xml:space="preserve"> outcomes for</w:t>
            </w:r>
            <w:r w:rsidR="008C1F94" w:rsidRPr="00930A89">
              <w:rPr>
                <w:b/>
                <w:bCs/>
              </w:rPr>
              <w:t xml:space="preserve"> </w:t>
            </w:r>
            <w:r w:rsidR="008C1F94">
              <w:rPr>
                <w:b/>
                <w:bCs/>
              </w:rPr>
              <w:t>people and businesses</w:t>
            </w:r>
            <w:r w:rsidR="008C1F94" w:rsidRPr="00930A89">
              <w:rPr>
                <w:b/>
              </w:rPr>
              <w:t>.</w:t>
            </w:r>
            <w:r w:rsidR="008C1F94" w:rsidRPr="00930A89">
              <w:rPr>
                <w:b/>
                <w:bCs/>
              </w:rPr>
              <w:t xml:space="preserve"> </w:t>
            </w:r>
            <w:r w:rsidR="008C1F94" w:rsidRPr="00930A89">
              <w:t xml:space="preserve">Households and businesses will play a critical role in the energy </w:t>
            </w:r>
            <w:r w:rsidR="00186813">
              <w:t>transformation</w:t>
            </w:r>
            <w:r w:rsidR="00186813" w:rsidRPr="00930A89" w:rsidDel="00186813">
              <w:t xml:space="preserve"> </w:t>
            </w:r>
            <w:r w:rsidR="008C1F94" w:rsidRPr="00930A89">
              <w:t>and need support to engage effectively</w:t>
            </w:r>
            <w:r w:rsidR="008C1F94" w:rsidRPr="00930A89">
              <w:rPr>
                <w:b/>
                <w:bCs/>
              </w:rPr>
              <w:t xml:space="preserve">. </w:t>
            </w:r>
            <w:r w:rsidR="008C1F94" w:rsidRPr="00930A89">
              <w:t xml:space="preserve">Careful policy design and consideration of </w:t>
            </w:r>
            <w:r w:rsidR="008C1F94">
              <w:t>social licence</w:t>
            </w:r>
            <w:r w:rsidR="008C1F94" w:rsidRPr="00930A89">
              <w:t xml:space="preserve"> issues is necessary to ensure an equitable transition. </w:t>
            </w:r>
          </w:p>
        </w:tc>
      </w:tr>
    </w:tbl>
    <w:p w14:paraId="0283410A" w14:textId="3F1D5DB4" w:rsidR="008C1F94" w:rsidRDefault="008C1F94" w:rsidP="00540445">
      <w:pPr>
        <w:spacing w:before="160"/>
        <w:jc w:val="both"/>
        <w:rPr>
          <w:rFonts w:ascii="Calibri" w:eastAsia="Calibri" w:hAnsi="Calibri" w:cs="Calibri"/>
          <w:color w:val="000000" w:themeColor="text1"/>
        </w:rPr>
      </w:pPr>
      <w:r w:rsidRPr="53FDFCC5">
        <w:rPr>
          <w:rFonts w:ascii="Calibri" w:eastAsia="Calibri" w:hAnsi="Calibri" w:cs="Calibri"/>
          <w:color w:val="000000" w:themeColor="text1"/>
        </w:rPr>
        <w:t xml:space="preserve">There are questions posed </w:t>
      </w:r>
      <w:r>
        <w:rPr>
          <w:rFonts w:ascii="Calibri" w:eastAsia="Calibri" w:hAnsi="Calibri" w:cs="Calibri"/>
          <w:color w:val="000000" w:themeColor="text1"/>
        </w:rPr>
        <w:t>at the end of this</w:t>
      </w:r>
      <w:r w:rsidRPr="53FDFCC5">
        <w:rPr>
          <w:rFonts w:ascii="Calibri" w:eastAsia="Calibri" w:hAnsi="Calibri" w:cs="Calibri"/>
          <w:color w:val="000000" w:themeColor="text1"/>
        </w:rPr>
        <w:t xml:space="preserve"> paper</w:t>
      </w:r>
      <w:r>
        <w:rPr>
          <w:rFonts w:ascii="Calibri" w:eastAsia="Calibri" w:hAnsi="Calibri" w:cs="Calibri"/>
          <w:color w:val="000000" w:themeColor="text1"/>
        </w:rPr>
        <w:t>, and following each relevant section,</w:t>
      </w:r>
      <w:r w:rsidRPr="53FDFCC5">
        <w:rPr>
          <w:rFonts w:ascii="Calibri" w:eastAsia="Calibri" w:hAnsi="Calibri" w:cs="Calibri"/>
          <w:color w:val="000000" w:themeColor="text1"/>
        </w:rPr>
        <w:t xml:space="preserve"> to guide stakeholder discussion and feedback. </w:t>
      </w:r>
      <w:r w:rsidRPr="003235BE">
        <w:rPr>
          <w:rFonts w:ascii="Calibri" w:eastAsia="Calibri" w:hAnsi="Calibri" w:cs="Calibri"/>
          <w:color w:val="000000" w:themeColor="text1"/>
        </w:rPr>
        <w:t xml:space="preserve">Respondents are welcome to reply to the questions relevant to them, or </w:t>
      </w:r>
      <w:r w:rsidR="00387834">
        <w:rPr>
          <w:rFonts w:ascii="Calibri" w:eastAsia="Calibri" w:hAnsi="Calibri" w:cs="Calibri"/>
          <w:color w:val="000000" w:themeColor="text1"/>
        </w:rPr>
        <w:t xml:space="preserve">to </w:t>
      </w:r>
      <w:r w:rsidRPr="003235BE">
        <w:rPr>
          <w:rFonts w:ascii="Calibri" w:eastAsia="Calibri" w:hAnsi="Calibri" w:cs="Calibri"/>
          <w:color w:val="000000" w:themeColor="text1"/>
        </w:rPr>
        <w:t xml:space="preserve">provide broader comments and views. Suggestions about where and what policy action is required </w:t>
      </w:r>
      <w:r w:rsidR="00387834">
        <w:rPr>
          <w:rFonts w:ascii="Calibri" w:eastAsia="Calibri" w:hAnsi="Calibri" w:cs="Calibri"/>
          <w:color w:val="000000" w:themeColor="text1"/>
        </w:rPr>
        <w:t>are</w:t>
      </w:r>
      <w:r w:rsidR="00387834" w:rsidRPr="003235BE">
        <w:rPr>
          <w:rFonts w:ascii="Calibri" w:eastAsia="Calibri" w:hAnsi="Calibri" w:cs="Calibri"/>
          <w:color w:val="000000" w:themeColor="text1"/>
        </w:rPr>
        <w:t xml:space="preserve"> </w:t>
      </w:r>
      <w:r w:rsidRPr="003235BE">
        <w:rPr>
          <w:rFonts w:ascii="Calibri" w:eastAsia="Calibri" w:hAnsi="Calibri" w:cs="Calibri"/>
          <w:color w:val="000000" w:themeColor="text1"/>
        </w:rPr>
        <w:t>particularly welcome.</w:t>
      </w:r>
      <w:r w:rsidRPr="53FDFCC5">
        <w:rPr>
          <w:rFonts w:ascii="Calibri" w:eastAsia="Calibri" w:hAnsi="Calibri" w:cs="Calibri"/>
          <w:color w:val="000000" w:themeColor="text1"/>
        </w:rPr>
        <w:t xml:space="preserve"> We invite you to write a submission or complete the Have Your Say Survey.</w:t>
      </w:r>
    </w:p>
    <w:p w14:paraId="0062CE9D" w14:textId="77777777" w:rsidR="008C1F94" w:rsidRDefault="008C1F94" w:rsidP="00540445">
      <w:pPr>
        <w:jc w:val="both"/>
        <w:rPr>
          <w:rFonts w:ascii="Calibri" w:eastAsia="Calibri" w:hAnsi="Calibri" w:cs="Calibri"/>
          <w:color w:val="000000" w:themeColor="text1"/>
        </w:rPr>
      </w:pPr>
      <w:r w:rsidRPr="000625E7">
        <w:rPr>
          <w:rFonts w:ascii="Calibri" w:eastAsia="Calibri" w:hAnsi="Calibri" w:cs="Calibri"/>
          <w:color w:val="000000" w:themeColor="text1"/>
        </w:rPr>
        <w:t>We welcome submissions from all groups and communities at the forefront of the transition on how they can benefit from an orderly and positive transition of the energy sector.</w:t>
      </w:r>
    </w:p>
    <w:p w14:paraId="6769118A" w14:textId="7DF5B35D" w:rsidR="000430A7" w:rsidRDefault="00A34B3F" w:rsidP="000430A7">
      <w:pPr>
        <w:jc w:val="both"/>
        <w:rPr>
          <w:rFonts w:ascii="Calibri" w:eastAsia="Calibri" w:hAnsi="Calibri" w:cs="Calibri"/>
          <w:color w:val="000000" w:themeColor="text1"/>
        </w:rPr>
      </w:pPr>
      <w:r>
        <w:rPr>
          <w:rFonts w:ascii="Calibri" w:eastAsia="Calibri" w:hAnsi="Calibri" w:cs="Calibri"/>
          <w:color w:val="000000" w:themeColor="text1"/>
        </w:rPr>
        <w:t>W</w:t>
      </w:r>
      <w:r w:rsidR="008C1F94" w:rsidRPr="53FDFCC5">
        <w:rPr>
          <w:rFonts w:ascii="Calibri" w:eastAsia="Calibri" w:hAnsi="Calibri" w:cs="Calibri"/>
          <w:color w:val="000000" w:themeColor="text1"/>
        </w:rPr>
        <w:t>e particularly welcome submissions and feedback from Aboriginal and Torres Strait Islander people and organisations.</w:t>
      </w:r>
      <w:bookmarkStart w:id="17" w:name="_Toc430782151"/>
    </w:p>
    <w:p w14:paraId="518B583B" w14:textId="77777777" w:rsidR="000430A7" w:rsidRDefault="000430A7">
      <w:pPr>
        <w:spacing w:after="0" w:line="240" w:lineRule="auto"/>
        <w:rPr>
          <w:rFonts w:ascii="Calibri" w:eastAsia="Calibri" w:hAnsi="Calibri" w:cs="Calibri"/>
          <w:color w:val="000000" w:themeColor="text1"/>
        </w:rPr>
      </w:pPr>
      <w:r>
        <w:rPr>
          <w:rFonts w:ascii="Calibri" w:eastAsia="Calibri" w:hAnsi="Calibri" w:cs="Calibri"/>
          <w:color w:val="000000" w:themeColor="text1"/>
        </w:rPr>
        <w:br w:type="page"/>
      </w:r>
    </w:p>
    <w:p w14:paraId="44D2C77B" w14:textId="1D441C0F" w:rsidR="00764D6A" w:rsidRPr="000430A7" w:rsidRDefault="002A0B7D" w:rsidP="00F97B66">
      <w:pPr>
        <w:pStyle w:val="Heading2"/>
      </w:pPr>
      <w:bookmarkStart w:id="18" w:name="_Toc161306035"/>
      <w:bookmarkEnd w:id="17"/>
      <w:r w:rsidRPr="000430A7">
        <w:lastRenderedPageBreak/>
        <w:t>Mobilising investment to transform energy</w:t>
      </w:r>
      <w:bookmarkEnd w:id="18"/>
    </w:p>
    <w:p w14:paraId="1B6851AD" w14:textId="7736A390" w:rsidR="00185909" w:rsidRDefault="00185909" w:rsidP="00540445">
      <w:pPr>
        <w:jc w:val="both"/>
      </w:pPr>
      <w:r>
        <w:t xml:space="preserve">Australia’s energy </w:t>
      </w:r>
      <w:r w:rsidR="00186813">
        <w:t>transformation</w:t>
      </w:r>
      <w:r w:rsidR="00186813" w:rsidDel="00186813">
        <w:t xml:space="preserve"> </w:t>
      </w:r>
      <w:r w:rsidR="00806D39">
        <w:t xml:space="preserve">to 2050 </w:t>
      </w:r>
      <w:r>
        <w:t>will require a significant uplift in investment.</w:t>
      </w:r>
      <w:r w:rsidDel="00592010">
        <w:t xml:space="preserve"> </w:t>
      </w:r>
      <w:r>
        <w:t>Investment in renewables has picked up in recent years, driven by declining technology costs, improved access to finance</w:t>
      </w:r>
      <w:r w:rsidR="00806D39">
        <w:t>,</w:t>
      </w:r>
      <w:r w:rsidDel="00806D39">
        <w:t xml:space="preserve"> </w:t>
      </w:r>
      <w:r>
        <w:t>large private sector capital being mobilised</w:t>
      </w:r>
      <w:r w:rsidR="00806D39">
        <w:t>, government incentives and household actions</w:t>
      </w:r>
      <w:r>
        <w:t>. Nonetheless, even greater amounts of private capital, including from our international partners, will need to be mobilised as the market becomes less characterised by government support post-2030.</w:t>
      </w:r>
    </w:p>
    <w:p w14:paraId="0C120ED3" w14:textId="062DBAE2" w:rsidR="00185909" w:rsidRPr="00B61D55" w:rsidRDefault="00185909" w:rsidP="001F14C4">
      <w:pPr>
        <w:pStyle w:val="Heading3"/>
      </w:pPr>
      <w:bookmarkStart w:id="19" w:name="_Toc160544894"/>
      <w:bookmarkStart w:id="20" w:name="_Toc160550321"/>
      <w:bookmarkStart w:id="21" w:name="_Toc160550405"/>
      <w:bookmarkStart w:id="22" w:name="_Toc160623578"/>
      <w:bookmarkStart w:id="23" w:name="_Toc160699602"/>
      <w:bookmarkStart w:id="24" w:name="_Toc161306036"/>
      <w:bookmarkStart w:id="25" w:name="_Toc157518299"/>
      <w:bookmarkStart w:id="26" w:name="_Toc160467013"/>
      <w:bookmarkStart w:id="27" w:name="_Toc160467786"/>
      <w:bookmarkStart w:id="28" w:name="_Toc160544725"/>
      <w:r w:rsidRPr="00B61D55">
        <w:t xml:space="preserve">The energy </w:t>
      </w:r>
      <w:r w:rsidR="00186813">
        <w:t>transformation</w:t>
      </w:r>
      <w:r w:rsidR="00186813" w:rsidRPr="00B61D55" w:rsidDel="00186813">
        <w:t xml:space="preserve"> </w:t>
      </w:r>
      <w:r w:rsidRPr="00B61D55">
        <w:t>will require large amounts of investment</w:t>
      </w:r>
      <w:bookmarkEnd w:id="19"/>
      <w:bookmarkEnd w:id="20"/>
      <w:bookmarkEnd w:id="21"/>
      <w:bookmarkEnd w:id="22"/>
      <w:bookmarkEnd w:id="23"/>
      <w:bookmarkEnd w:id="24"/>
      <w:r w:rsidRPr="00B61D55">
        <w:t xml:space="preserve"> </w:t>
      </w:r>
      <w:bookmarkEnd w:id="25"/>
      <w:bookmarkEnd w:id="26"/>
      <w:bookmarkEnd w:id="27"/>
      <w:bookmarkEnd w:id="28"/>
    </w:p>
    <w:p w14:paraId="718E3081" w14:textId="77777777" w:rsidR="009B2F11" w:rsidRDefault="00185909" w:rsidP="00540445">
      <w:pPr>
        <w:jc w:val="both"/>
      </w:pPr>
      <w:r w:rsidRPr="00D157D7">
        <w:rPr>
          <w:lang w:val="en-GB"/>
        </w:rPr>
        <w:t>Decarbonising the Australian economy will require substantial capital investment</w:t>
      </w:r>
      <w:r>
        <w:rPr>
          <w:lang w:val="en-GB"/>
        </w:rPr>
        <w:t>.</w:t>
      </w:r>
      <w:r w:rsidRPr="00D157D7">
        <w:rPr>
          <w:rStyle w:val="FootnoteReference"/>
          <w:lang w:val="en-GB"/>
        </w:rPr>
        <w:footnoteReference w:id="9"/>
      </w:r>
      <w:r w:rsidRPr="00D157D7">
        <w:rPr>
          <w:lang w:val="en-GB"/>
        </w:rPr>
        <w:t xml:space="preserve"> </w:t>
      </w:r>
      <w:r>
        <w:t>The scale of investment needed</w:t>
      </w:r>
      <w:r w:rsidRPr="00D157D7">
        <w:t xml:space="preserve"> </w:t>
      </w:r>
      <w:r w:rsidR="00860B1B">
        <w:t>will vary</w:t>
      </w:r>
      <w:r w:rsidRPr="00D157D7">
        <w:t xml:space="preserve"> depend</w:t>
      </w:r>
      <w:r w:rsidR="00860B1B">
        <w:t>ing</w:t>
      </w:r>
      <w:r w:rsidRPr="00D157D7">
        <w:t xml:space="preserve"> on</w:t>
      </w:r>
      <w:r w:rsidR="009B2F11">
        <w:t>:</w:t>
      </w:r>
    </w:p>
    <w:p w14:paraId="36FE950B" w14:textId="55EEFBC8" w:rsidR="009B2F11" w:rsidRPr="00B141BC" w:rsidRDefault="00185909" w:rsidP="00267127">
      <w:pPr>
        <w:pStyle w:val="ListBullet"/>
        <w:rPr>
          <w:lang w:val="en-GB"/>
        </w:rPr>
      </w:pPr>
      <w:r w:rsidRPr="00D157D7">
        <w:t>global action on climate change</w:t>
      </w:r>
    </w:p>
    <w:p w14:paraId="71D2BBF8" w14:textId="4C3E1161" w:rsidR="009B2F11" w:rsidRPr="00B141BC" w:rsidRDefault="00185909" w:rsidP="00267127">
      <w:pPr>
        <w:pStyle w:val="ListBullet"/>
        <w:rPr>
          <w:lang w:val="en-GB"/>
        </w:rPr>
      </w:pPr>
      <w:r w:rsidRPr="00D157D7">
        <w:t>the pace</w:t>
      </w:r>
      <w:r>
        <w:t xml:space="preserve">, </w:t>
      </w:r>
      <w:proofErr w:type="gramStart"/>
      <w:r w:rsidRPr="00D157D7">
        <w:t>scale</w:t>
      </w:r>
      <w:proofErr w:type="gramEnd"/>
      <w:r>
        <w:t xml:space="preserve"> and quality</w:t>
      </w:r>
      <w:r w:rsidRPr="00D157D7">
        <w:t xml:space="preserve"> of electrification in Australia</w:t>
      </w:r>
    </w:p>
    <w:p w14:paraId="2BCF783D" w14:textId="042D9B65" w:rsidR="00185909" w:rsidRPr="00D157D7" w:rsidRDefault="00185909" w:rsidP="00B141BC">
      <w:pPr>
        <w:pStyle w:val="ListBullet"/>
        <w:spacing w:after="240"/>
        <w:rPr>
          <w:lang w:val="en-GB"/>
        </w:rPr>
      </w:pPr>
      <w:r w:rsidRPr="00D157D7">
        <w:t>the size of Australia’s emerging clean energy industries.</w:t>
      </w:r>
    </w:p>
    <w:p w14:paraId="51448FDB" w14:textId="5DF09E51" w:rsidR="00185909" w:rsidRPr="0038182A" w:rsidRDefault="00185909" w:rsidP="00540445">
      <w:pPr>
        <w:jc w:val="both"/>
        <w:rPr>
          <w:rFonts w:ascii="Calibri" w:hAnsi="Calibri" w:cs="Calibri"/>
          <w:color w:val="000000"/>
          <w:shd w:val="clear" w:color="auto" w:fill="FFFFFF"/>
        </w:rPr>
      </w:pPr>
      <w:r>
        <w:rPr>
          <w:rFonts w:ascii="Calibri" w:hAnsi="Calibri" w:cs="Calibri"/>
          <w:color w:val="000000"/>
          <w:shd w:val="clear" w:color="auto" w:fill="FFFFFF"/>
        </w:rPr>
        <w:t xml:space="preserve">The scale of capital investment required remains a challenge at a time when Australia is in a global race, competing for capital and skilled workers </w:t>
      </w:r>
      <w:r w:rsidR="00E2080D">
        <w:rPr>
          <w:rFonts w:ascii="Calibri" w:hAnsi="Calibri" w:cs="Calibri"/>
          <w:color w:val="000000"/>
          <w:shd w:val="clear" w:color="auto" w:fill="FFFFFF"/>
        </w:rPr>
        <w:t xml:space="preserve">while </w:t>
      </w:r>
      <w:r>
        <w:rPr>
          <w:rFonts w:ascii="Calibri" w:hAnsi="Calibri" w:cs="Calibri"/>
          <w:color w:val="000000"/>
          <w:shd w:val="clear" w:color="auto" w:fill="FFFFFF"/>
        </w:rPr>
        <w:t xml:space="preserve">other nations undertake their own clean energy </w:t>
      </w:r>
      <w:r w:rsidRPr="0038182A">
        <w:rPr>
          <w:rFonts w:ascii="Calibri" w:hAnsi="Calibri" w:cs="Calibri"/>
          <w:color w:val="000000"/>
          <w:shd w:val="clear" w:color="auto" w:fill="FFFFFF"/>
        </w:rPr>
        <w:t xml:space="preserve">transformation. Compared to our international competitors, Australia has low rates of investment </w:t>
      </w:r>
      <w:r w:rsidR="00AF728C">
        <w:rPr>
          <w:rFonts w:ascii="Calibri" w:hAnsi="Calibri" w:cs="Calibri"/>
          <w:color w:val="000000"/>
          <w:shd w:val="clear" w:color="auto" w:fill="FFFFFF"/>
        </w:rPr>
        <w:t xml:space="preserve">in </w:t>
      </w:r>
      <w:r w:rsidR="00824556">
        <w:rPr>
          <w:rFonts w:ascii="Calibri" w:hAnsi="Calibri" w:cs="Calibri"/>
          <w:color w:val="000000"/>
          <w:shd w:val="clear" w:color="auto" w:fill="FFFFFF"/>
        </w:rPr>
        <w:t xml:space="preserve">physical capital </w:t>
      </w:r>
      <w:r w:rsidR="00EA2809">
        <w:rPr>
          <w:rFonts w:ascii="Calibri" w:hAnsi="Calibri" w:cs="Calibri"/>
          <w:color w:val="000000"/>
          <w:shd w:val="clear" w:color="auto" w:fill="FFFFFF"/>
        </w:rPr>
        <w:t xml:space="preserve">(machinery and equipment) </w:t>
      </w:r>
      <w:r w:rsidR="00824556">
        <w:rPr>
          <w:rFonts w:ascii="Calibri" w:hAnsi="Calibri" w:cs="Calibri"/>
          <w:color w:val="000000"/>
          <w:shd w:val="clear" w:color="auto" w:fill="FFFFFF"/>
        </w:rPr>
        <w:t xml:space="preserve">and </w:t>
      </w:r>
      <w:r w:rsidR="005111B3">
        <w:rPr>
          <w:rFonts w:ascii="Calibri" w:hAnsi="Calibri" w:cs="Calibri"/>
          <w:color w:val="000000"/>
          <w:shd w:val="clear" w:color="auto" w:fill="FFFFFF"/>
        </w:rPr>
        <w:t xml:space="preserve">intangibles </w:t>
      </w:r>
      <w:r w:rsidR="00EA2809">
        <w:rPr>
          <w:rFonts w:ascii="Calibri" w:hAnsi="Calibri" w:cs="Calibri"/>
          <w:color w:val="000000"/>
          <w:shd w:val="clear" w:color="auto" w:fill="FFFFFF"/>
        </w:rPr>
        <w:t>(</w:t>
      </w:r>
      <w:r w:rsidR="00533759">
        <w:rPr>
          <w:rFonts w:ascii="Calibri" w:hAnsi="Calibri" w:cs="Calibri"/>
          <w:color w:val="000000"/>
          <w:shd w:val="clear" w:color="auto" w:fill="FFFFFF"/>
        </w:rPr>
        <w:t xml:space="preserve">like </w:t>
      </w:r>
      <w:r w:rsidR="00EA2809">
        <w:rPr>
          <w:rFonts w:ascii="Calibri" w:hAnsi="Calibri" w:cs="Calibri"/>
          <w:color w:val="000000"/>
          <w:shd w:val="clear" w:color="auto" w:fill="FFFFFF"/>
        </w:rPr>
        <w:t>software and research &amp; development)</w:t>
      </w:r>
      <w:r w:rsidR="005111B3">
        <w:rPr>
          <w:rFonts w:ascii="Calibri" w:hAnsi="Calibri" w:cs="Calibri"/>
          <w:color w:val="000000"/>
          <w:shd w:val="clear" w:color="auto" w:fill="FFFFFF"/>
        </w:rPr>
        <w:t xml:space="preserve"> </w:t>
      </w:r>
      <w:r w:rsidR="001467C0">
        <w:rPr>
          <w:rFonts w:ascii="Calibri" w:hAnsi="Calibri" w:cs="Calibri"/>
          <w:color w:val="000000"/>
          <w:shd w:val="clear" w:color="auto" w:fill="FFFFFF"/>
        </w:rPr>
        <w:t>relative</w:t>
      </w:r>
      <w:r w:rsidR="005111B3">
        <w:rPr>
          <w:rFonts w:ascii="Calibri" w:hAnsi="Calibri" w:cs="Calibri"/>
          <w:color w:val="000000"/>
          <w:shd w:val="clear" w:color="auto" w:fill="FFFFFF"/>
        </w:rPr>
        <w:t xml:space="preserve"> </w:t>
      </w:r>
      <w:r w:rsidR="00E921DF">
        <w:rPr>
          <w:rFonts w:ascii="Calibri" w:hAnsi="Calibri" w:cs="Calibri"/>
          <w:color w:val="000000"/>
          <w:shd w:val="clear" w:color="auto" w:fill="FFFFFF"/>
        </w:rPr>
        <w:t>to the size of our economy</w:t>
      </w:r>
      <w:r w:rsidR="001467C0">
        <w:rPr>
          <w:rFonts w:ascii="Calibri" w:hAnsi="Calibri" w:cs="Calibri"/>
          <w:color w:val="000000"/>
          <w:shd w:val="clear" w:color="auto" w:fill="FFFFFF"/>
        </w:rPr>
        <w:t>.</w:t>
      </w:r>
      <w:r w:rsidRPr="0038182A">
        <w:rPr>
          <w:rFonts w:ascii="Calibri" w:hAnsi="Calibri" w:cs="Calibri"/>
          <w:color w:val="000000"/>
          <w:shd w:val="clear" w:color="auto" w:fill="FFFFFF"/>
        </w:rPr>
        <w:t xml:space="preserve"> In 2021, these investment shares were the 3</w:t>
      </w:r>
      <w:r w:rsidR="008D0898">
        <w:rPr>
          <w:rFonts w:ascii="Calibri" w:hAnsi="Calibri" w:cs="Calibri"/>
          <w:color w:val="000000"/>
          <w:shd w:val="clear" w:color="auto" w:fill="FFFFFF"/>
        </w:rPr>
        <w:t>rd</w:t>
      </w:r>
      <w:r w:rsidRPr="0038182A">
        <w:rPr>
          <w:rFonts w:ascii="Calibri" w:hAnsi="Calibri" w:cs="Calibri"/>
          <w:color w:val="000000"/>
          <w:shd w:val="clear" w:color="auto" w:fill="FFFFFF"/>
        </w:rPr>
        <w:t xml:space="preserve"> and 4</w:t>
      </w:r>
      <w:r w:rsidDel="008D0898">
        <w:rPr>
          <w:rFonts w:ascii="Calibri" w:hAnsi="Calibri" w:cs="Calibri"/>
          <w:color w:val="000000"/>
          <w:shd w:val="clear" w:color="auto" w:fill="FFFFFF"/>
        </w:rPr>
        <w:t>th</w:t>
      </w:r>
      <w:r w:rsidR="008D0898">
        <w:rPr>
          <w:rFonts w:ascii="Calibri" w:hAnsi="Calibri" w:cs="Calibri"/>
          <w:color w:val="000000"/>
          <w:shd w:val="clear" w:color="auto" w:fill="FFFFFF"/>
        </w:rPr>
        <w:t xml:space="preserve"> </w:t>
      </w:r>
      <w:r w:rsidRPr="0038182A">
        <w:rPr>
          <w:rFonts w:ascii="Calibri" w:hAnsi="Calibri" w:cs="Calibri"/>
          <w:color w:val="000000"/>
          <w:shd w:val="clear" w:color="auto" w:fill="FFFFFF"/>
        </w:rPr>
        <w:t>lowest in the O</w:t>
      </w:r>
      <w:r w:rsidR="0084531B">
        <w:rPr>
          <w:rFonts w:ascii="Calibri" w:hAnsi="Calibri" w:cs="Calibri"/>
          <w:color w:val="000000"/>
          <w:shd w:val="clear" w:color="auto" w:fill="FFFFFF"/>
        </w:rPr>
        <w:t xml:space="preserve">rganisation for </w:t>
      </w:r>
      <w:r w:rsidR="000A1FEB">
        <w:rPr>
          <w:rFonts w:ascii="Calibri" w:hAnsi="Calibri" w:cs="Calibri"/>
          <w:color w:val="000000"/>
          <w:shd w:val="clear" w:color="auto" w:fill="FFFFFF"/>
        </w:rPr>
        <w:t>Economic Co-operation and Development (O</w:t>
      </w:r>
      <w:r w:rsidRPr="0038182A">
        <w:rPr>
          <w:rFonts w:ascii="Calibri" w:hAnsi="Calibri" w:cs="Calibri"/>
          <w:color w:val="000000"/>
          <w:shd w:val="clear" w:color="auto" w:fill="FFFFFF"/>
        </w:rPr>
        <w:t>ECD</w:t>
      </w:r>
      <w:r w:rsidR="000A1FEB">
        <w:rPr>
          <w:rFonts w:ascii="Calibri" w:hAnsi="Calibri" w:cs="Calibri"/>
          <w:color w:val="000000"/>
          <w:shd w:val="clear" w:color="auto" w:fill="FFFFFF"/>
        </w:rPr>
        <w:t>)</w:t>
      </w:r>
      <w:r w:rsidRPr="0038182A">
        <w:rPr>
          <w:rFonts w:ascii="Calibri" w:hAnsi="Calibri" w:cs="Calibri"/>
          <w:color w:val="000000"/>
          <w:shd w:val="clear" w:color="auto" w:fill="FFFFFF"/>
        </w:rPr>
        <w:t>, respectively.</w:t>
      </w:r>
      <w:r w:rsidRPr="0038182A">
        <w:rPr>
          <w:color w:val="000000"/>
          <w:shd w:val="clear" w:color="auto" w:fill="FFFFFF"/>
          <w:vertAlign w:val="superscript"/>
        </w:rPr>
        <w:footnoteReference w:id="10"/>
      </w:r>
      <w:r w:rsidRPr="0038182A">
        <w:rPr>
          <w:rFonts w:ascii="Calibri" w:hAnsi="Calibri" w:cs="Calibri"/>
          <w:color w:val="000000"/>
          <w:shd w:val="clear" w:color="auto" w:fill="FFFFFF"/>
        </w:rPr>
        <w:t xml:space="preserve"> </w:t>
      </w:r>
    </w:p>
    <w:p w14:paraId="4E4F9A47" w14:textId="72F676E5" w:rsidR="00185909" w:rsidRPr="0038182A" w:rsidRDefault="00185909" w:rsidP="00540445">
      <w:pPr>
        <w:jc w:val="both"/>
        <w:rPr>
          <w:rFonts w:ascii="Calibri" w:hAnsi="Calibri" w:cs="Calibri"/>
          <w:color w:val="000000"/>
          <w:shd w:val="clear" w:color="auto" w:fill="FFFFFF"/>
        </w:rPr>
      </w:pPr>
      <w:r>
        <w:rPr>
          <w:rFonts w:ascii="Calibri" w:hAnsi="Calibri" w:cs="Calibri"/>
          <w:color w:val="000000"/>
          <w:shd w:val="clear" w:color="auto" w:fill="FFFFFF"/>
        </w:rPr>
        <w:t>Investment from g</w:t>
      </w:r>
      <w:r w:rsidRPr="0038182A">
        <w:rPr>
          <w:rFonts w:ascii="Calibri" w:hAnsi="Calibri" w:cs="Calibri"/>
          <w:color w:val="000000"/>
          <w:shd w:val="clear" w:color="auto" w:fill="FFFFFF"/>
        </w:rPr>
        <w:t xml:space="preserve">lobally mobile capital and companies will need to significantly increase if </w:t>
      </w:r>
      <w:r>
        <w:rPr>
          <w:rFonts w:ascii="Calibri" w:hAnsi="Calibri" w:cs="Calibri"/>
          <w:color w:val="000000"/>
          <w:shd w:val="clear" w:color="auto" w:fill="FFFFFF"/>
        </w:rPr>
        <w:t>Australia is</w:t>
      </w:r>
      <w:r w:rsidRPr="0038182A">
        <w:rPr>
          <w:rFonts w:ascii="Calibri" w:hAnsi="Calibri" w:cs="Calibri"/>
          <w:color w:val="000000"/>
          <w:shd w:val="clear" w:color="auto" w:fill="FFFFFF"/>
        </w:rPr>
        <w:t xml:space="preserve"> to meet our energy decarbonisation</w:t>
      </w:r>
      <w:r>
        <w:rPr>
          <w:rFonts w:ascii="Calibri" w:hAnsi="Calibri" w:cs="Calibri"/>
          <w:color w:val="000000"/>
          <w:shd w:val="clear" w:color="auto" w:fill="FFFFFF"/>
        </w:rPr>
        <w:t xml:space="preserve"> and renewable superpower </w:t>
      </w:r>
      <w:r w:rsidRPr="0038182A">
        <w:rPr>
          <w:rFonts w:ascii="Calibri" w:hAnsi="Calibri" w:cs="Calibri"/>
          <w:color w:val="000000"/>
          <w:shd w:val="clear" w:color="auto" w:fill="FFFFFF"/>
        </w:rPr>
        <w:t>goals</w:t>
      </w:r>
      <w:r w:rsidR="00E133B8">
        <w:rPr>
          <w:rFonts w:ascii="Calibri" w:hAnsi="Calibri" w:cs="Calibri"/>
          <w:color w:val="000000"/>
          <w:shd w:val="clear" w:color="auto" w:fill="FFFFFF"/>
        </w:rPr>
        <w:t xml:space="preserve"> to 2050</w:t>
      </w:r>
      <w:r>
        <w:rPr>
          <w:rFonts w:ascii="Calibri" w:hAnsi="Calibri" w:cs="Calibri"/>
          <w:color w:val="000000"/>
          <w:shd w:val="clear" w:color="auto" w:fill="FFFFFF"/>
        </w:rPr>
        <w:t xml:space="preserve">. At the same time, </w:t>
      </w:r>
      <w:r>
        <w:rPr>
          <w:rFonts w:ascii="Calibri" w:hAnsi="Calibri" w:cs="Calibri"/>
          <w:color w:val="000000" w:themeColor="text1"/>
        </w:rPr>
        <w:t>g</w:t>
      </w:r>
      <w:r w:rsidRPr="68BCC1AB">
        <w:rPr>
          <w:rFonts w:ascii="Calibri" w:hAnsi="Calibri" w:cs="Calibri"/>
          <w:color w:val="000000" w:themeColor="text1"/>
        </w:rPr>
        <w:t xml:space="preserve">lobal competition </w:t>
      </w:r>
      <w:r>
        <w:rPr>
          <w:rFonts w:ascii="Calibri" w:hAnsi="Calibri" w:cs="Calibri"/>
          <w:color w:val="000000" w:themeColor="text1"/>
        </w:rPr>
        <w:t xml:space="preserve">for clean energy investment is </w:t>
      </w:r>
      <w:r w:rsidRPr="68BCC1AB">
        <w:rPr>
          <w:rFonts w:ascii="Calibri" w:hAnsi="Calibri" w:cs="Calibri"/>
          <w:color w:val="000000" w:themeColor="text1"/>
        </w:rPr>
        <w:t>high</w:t>
      </w:r>
      <w:r w:rsidRPr="0038182A">
        <w:rPr>
          <w:rFonts w:ascii="Calibri" w:hAnsi="Calibri" w:cs="Calibri"/>
          <w:color w:val="000000"/>
          <w:shd w:val="clear" w:color="auto" w:fill="FFFFFF"/>
        </w:rPr>
        <w:t>. The Australian Government is continuing to focus its efforts on creating a positive investment environment, including providing</w:t>
      </w:r>
      <w:r w:rsidRPr="68BCC1AB">
        <w:rPr>
          <w:rFonts w:ascii="Calibri" w:hAnsi="Calibri" w:cs="Calibri"/>
          <w:color w:val="000000" w:themeColor="text1"/>
        </w:rPr>
        <w:t xml:space="preserve"> policy</w:t>
      </w:r>
      <w:r w:rsidRPr="0038182A">
        <w:rPr>
          <w:rFonts w:ascii="Calibri" w:hAnsi="Calibri" w:cs="Calibri"/>
          <w:color w:val="000000"/>
          <w:shd w:val="clear" w:color="auto" w:fill="FFFFFF"/>
        </w:rPr>
        <w:t xml:space="preserve"> certainty and reducing investment risks.</w:t>
      </w:r>
    </w:p>
    <w:p w14:paraId="5EDE67D7" w14:textId="77777777" w:rsidR="00185909" w:rsidRDefault="00185909" w:rsidP="00540445">
      <w:pPr>
        <w:jc w:val="both"/>
        <w:rPr>
          <w:rFonts w:ascii="Calibri" w:hAnsi="Calibri" w:cs="Calibri"/>
        </w:rPr>
      </w:pPr>
      <w:r w:rsidRPr="0038182A">
        <w:rPr>
          <w:rFonts w:ascii="Calibri" w:hAnsi="Calibri" w:cs="Calibri"/>
        </w:rPr>
        <w:t>Attracting capital via strategic positioning in the global market today will enable Australia to unlock</w:t>
      </w:r>
      <w:r w:rsidRPr="00E04374">
        <w:rPr>
          <w:rFonts w:ascii="Calibri" w:hAnsi="Calibri" w:cs="Calibri"/>
        </w:rPr>
        <w:t xml:space="preserve"> the potential of our world class renewable energy resources</w:t>
      </w:r>
      <w:r>
        <w:rPr>
          <w:rFonts w:ascii="Calibri" w:hAnsi="Calibri" w:cs="Calibri"/>
        </w:rPr>
        <w:t xml:space="preserve">. This competitive advantage will enable </w:t>
      </w:r>
      <w:r w:rsidRPr="00E04374">
        <w:rPr>
          <w:rFonts w:ascii="Calibri" w:hAnsi="Calibri" w:cs="Calibri"/>
        </w:rPr>
        <w:t xml:space="preserve">opportunities for significant economic growth </w:t>
      </w:r>
      <w:r>
        <w:rPr>
          <w:rFonts w:ascii="Calibri" w:hAnsi="Calibri" w:cs="Calibri"/>
        </w:rPr>
        <w:t xml:space="preserve">in new clean energy industries </w:t>
      </w:r>
      <w:r w:rsidRPr="00E04374">
        <w:rPr>
          <w:rFonts w:ascii="Calibri" w:hAnsi="Calibri" w:cs="Calibri"/>
        </w:rPr>
        <w:t>over the decades to come.</w:t>
      </w:r>
      <w:r>
        <w:rPr>
          <w:rFonts w:ascii="Calibri" w:hAnsi="Calibri" w:cs="Calibri"/>
        </w:rPr>
        <w:t xml:space="preserve"> </w:t>
      </w:r>
    </w:p>
    <w:p w14:paraId="223F09D1" w14:textId="77777777" w:rsidR="006F42A5" w:rsidRDefault="006F42A5" w:rsidP="00540445">
      <w:pPr>
        <w:jc w:val="both"/>
        <w:rPr>
          <w:rFonts w:ascii="Calibri" w:hAnsi="Calibri" w:cs="Calibri"/>
        </w:rPr>
      </w:pPr>
    </w:p>
    <w:p w14:paraId="50337A19" w14:textId="77777777" w:rsidR="00213506" w:rsidRDefault="00185909" w:rsidP="00540445">
      <w:pPr>
        <w:jc w:val="both"/>
        <w:rPr>
          <w:rFonts w:ascii="Calibri" w:hAnsi="Calibri" w:cs="Calibri"/>
        </w:rPr>
      </w:pPr>
      <w:r w:rsidRPr="00587630">
        <w:rPr>
          <w:rFonts w:ascii="Calibri" w:hAnsi="Calibri" w:cs="Calibri"/>
        </w:rPr>
        <w:lastRenderedPageBreak/>
        <w:t>Both</w:t>
      </w:r>
      <w:r w:rsidRPr="004C2C70">
        <w:rPr>
          <w:rFonts w:ascii="Calibri" w:hAnsi="Calibri" w:cs="Calibri"/>
        </w:rPr>
        <w:t xml:space="preserve"> public and private investment</w:t>
      </w:r>
      <w:r w:rsidRPr="00587630">
        <w:rPr>
          <w:rFonts w:ascii="Calibri" w:hAnsi="Calibri" w:cs="Calibri"/>
        </w:rPr>
        <w:t xml:space="preserve"> will play roles in unlocking renewable energy resources</w:t>
      </w:r>
      <w:r w:rsidRPr="004C2C70">
        <w:rPr>
          <w:rFonts w:ascii="Calibri" w:hAnsi="Calibri" w:cs="Calibri"/>
        </w:rPr>
        <w:t>, including</w:t>
      </w:r>
      <w:r w:rsidR="00213506">
        <w:rPr>
          <w:rFonts w:ascii="Calibri" w:hAnsi="Calibri" w:cs="Calibri"/>
        </w:rPr>
        <w:t>:</w:t>
      </w:r>
    </w:p>
    <w:p w14:paraId="382DCD9E" w14:textId="405E109E" w:rsidR="00213506" w:rsidRDefault="00185909" w:rsidP="00213506">
      <w:pPr>
        <w:pStyle w:val="ListBullet"/>
      </w:pPr>
      <w:r w:rsidRPr="004C2C70">
        <w:t>large-scale investment for energy infrastructure</w:t>
      </w:r>
    </w:p>
    <w:p w14:paraId="714D5666" w14:textId="508AFFC3" w:rsidR="00213506" w:rsidRDefault="00185909" w:rsidP="00213506">
      <w:pPr>
        <w:pStyle w:val="ListBullet"/>
      </w:pPr>
      <w:r w:rsidRPr="004C2C70">
        <w:t>utility-scale generation</w:t>
      </w:r>
    </w:p>
    <w:p w14:paraId="5635A7F0" w14:textId="77777777" w:rsidR="00213506" w:rsidRDefault="00185909" w:rsidP="00213506">
      <w:pPr>
        <w:pStyle w:val="ListBullet"/>
      </w:pPr>
      <w:r>
        <w:t>clean energy industrial processes</w:t>
      </w:r>
    </w:p>
    <w:p w14:paraId="154278FA" w14:textId="536CB24C" w:rsidR="00213506" w:rsidRDefault="00185909" w:rsidP="00B141BC">
      <w:pPr>
        <w:pStyle w:val="ListBullet"/>
        <w:spacing w:after="240"/>
      </w:pPr>
      <w:r w:rsidRPr="004C2C70">
        <w:t xml:space="preserve">household </w:t>
      </w:r>
      <w:r>
        <w:t xml:space="preserve">and business </w:t>
      </w:r>
      <w:r w:rsidRPr="004C2C70">
        <w:t>investment in consumer energy resources to unlock behind-the-meter generation and storage.</w:t>
      </w:r>
    </w:p>
    <w:p w14:paraId="3227C871" w14:textId="77777777" w:rsidR="00185909" w:rsidRPr="00653ED9" w:rsidRDefault="00185909" w:rsidP="00540445">
      <w:pPr>
        <w:jc w:val="both"/>
        <w:rPr>
          <w:rFonts w:ascii="Calibri" w:hAnsi="Calibri" w:cs="Calibri"/>
          <w:color w:val="000000"/>
          <w:shd w:val="clear" w:color="auto" w:fill="FFFFFF"/>
        </w:rPr>
      </w:pPr>
      <w:r>
        <w:t>The Australian Government has committed to projects</w:t>
      </w:r>
      <w:r w:rsidRPr="00C964DF">
        <w:t xml:space="preserve"> that will unlock opportunities for investors in clean energy and other low carbon technologies. This includes Rewiring the Nation, $20 billion in low-cost finance to unlock investment in the electricity grid, as well as $2 billion to support large-scale renewable hydrogen projects under the Hydrogen Headstart program</w:t>
      </w:r>
      <w:r w:rsidRPr="00C964DF" w:rsidDel="000B1680">
        <w:t>.</w:t>
      </w:r>
    </w:p>
    <w:p w14:paraId="3B4164AD" w14:textId="2CBA2D90" w:rsidR="00185909" w:rsidRDefault="00185909" w:rsidP="00540445">
      <w:pPr>
        <w:jc w:val="both"/>
        <w:rPr>
          <w:rFonts w:ascii="Calibri" w:hAnsi="Calibri" w:cs="Calibri"/>
        </w:rPr>
      </w:pPr>
      <w:r w:rsidRPr="00653ED9">
        <w:rPr>
          <w:rFonts w:ascii="Calibri" w:hAnsi="Calibri" w:cs="Calibri"/>
          <w:color w:val="000000"/>
          <w:shd w:val="clear" w:color="auto" w:fill="FFFFFF"/>
        </w:rPr>
        <w:t>The Australian Government has also taken action to enable and encourage private investment. The Clean Energy Finance Corporation (CEFC) and the Australian Renewable Energy Agency (ARENA) have played an important role in helping developers obtain finance by directly financing projects and encouraging private investment. The Capacity Investment Scheme</w:t>
      </w:r>
      <w:r w:rsidRPr="00A65A59">
        <w:rPr>
          <w:rFonts w:ascii="Calibri" w:hAnsi="Calibri" w:cs="Calibri"/>
          <w:color w:val="000000"/>
          <w:shd w:val="clear" w:color="auto" w:fill="FFFFFF"/>
        </w:rPr>
        <w:t xml:space="preserve"> (CIS) </w:t>
      </w:r>
      <w:r>
        <w:rPr>
          <w:rFonts w:ascii="Calibri" w:hAnsi="Calibri" w:cs="Calibri"/>
          <w:color w:val="000000"/>
          <w:shd w:val="clear" w:color="auto" w:fill="FFFFFF"/>
        </w:rPr>
        <w:t>is a program that</w:t>
      </w:r>
      <w:r w:rsidRPr="00A65A59">
        <w:rPr>
          <w:rFonts w:ascii="Calibri" w:hAnsi="Calibri" w:cs="Calibri"/>
          <w:color w:val="000000"/>
          <w:shd w:val="clear" w:color="auto" w:fill="FFFFFF"/>
        </w:rPr>
        <w:t xml:space="preserve"> provides a national framework to encourage new investment in renewable capacity, including wind and solar, </w:t>
      </w:r>
      <w:r w:rsidRPr="68BCC1AB">
        <w:rPr>
          <w:rFonts w:ascii="Calibri" w:hAnsi="Calibri" w:cs="Calibri"/>
          <w:color w:val="000000" w:themeColor="text1"/>
        </w:rPr>
        <w:t>and</w:t>
      </w:r>
      <w:r w:rsidRPr="00A65A59">
        <w:rPr>
          <w:rFonts w:ascii="Calibri" w:hAnsi="Calibri" w:cs="Calibri"/>
          <w:color w:val="000000"/>
          <w:shd w:val="clear" w:color="auto" w:fill="FFFFFF"/>
        </w:rPr>
        <w:t xml:space="preserve"> clean dispatchable capacity, including battery storage. </w:t>
      </w:r>
      <w:r>
        <w:rPr>
          <w:rFonts w:ascii="Calibri" w:hAnsi="Calibri" w:cs="Calibri"/>
          <w:color w:val="000000"/>
          <w:shd w:val="clear" w:color="auto" w:fill="FFFFFF"/>
        </w:rPr>
        <w:t>In</w:t>
      </w:r>
      <w:r w:rsidRPr="00A65A59">
        <w:rPr>
          <w:rFonts w:ascii="Calibri" w:hAnsi="Calibri" w:cs="Calibri"/>
          <w:color w:val="000000"/>
          <w:shd w:val="clear" w:color="auto" w:fill="FFFFFF"/>
        </w:rPr>
        <w:t xml:space="preserve"> November 2023, the Australian Government announced a</w:t>
      </w:r>
      <w:r>
        <w:rPr>
          <w:rFonts w:ascii="Calibri" w:hAnsi="Calibri" w:cs="Calibri"/>
          <w:color w:val="000000"/>
          <w:shd w:val="clear" w:color="auto" w:fill="FFFFFF"/>
        </w:rPr>
        <w:t xml:space="preserve"> significant</w:t>
      </w:r>
      <w:r w:rsidRPr="00A65A59">
        <w:rPr>
          <w:rFonts w:ascii="Calibri" w:hAnsi="Calibri" w:cs="Calibri"/>
          <w:color w:val="000000"/>
          <w:shd w:val="clear" w:color="auto" w:fill="FFFFFF"/>
        </w:rPr>
        <w:t xml:space="preserve"> expansion of the </w:t>
      </w:r>
      <w:r>
        <w:rPr>
          <w:rFonts w:ascii="Calibri" w:hAnsi="Calibri" w:cs="Calibri"/>
          <w:color w:val="000000"/>
          <w:shd w:val="clear" w:color="auto" w:fill="FFFFFF"/>
        </w:rPr>
        <w:t>CIS</w:t>
      </w:r>
      <w:r w:rsidRPr="00A65A59">
        <w:rPr>
          <w:rFonts w:ascii="Calibri" w:hAnsi="Calibri" w:cs="Calibri"/>
          <w:color w:val="000000"/>
          <w:shd w:val="clear" w:color="auto" w:fill="FFFFFF"/>
        </w:rPr>
        <w:t xml:space="preserve"> to </w:t>
      </w:r>
      <w:r>
        <w:rPr>
          <w:rFonts w:ascii="Calibri" w:hAnsi="Calibri" w:cs="Calibri"/>
          <w:color w:val="000000"/>
          <w:shd w:val="clear" w:color="auto" w:fill="FFFFFF"/>
        </w:rPr>
        <w:t>deliver</w:t>
      </w:r>
      <w:r w:rsidRPr="00A65A59">
        <w:rPr>
          <w:rFonts w:ascii="Calibri" w:hAnsi="Calibri" w:cs="Calibri"/>
          <w:color w:val="000000"/>
          <w:shd w:val="clear" w:color="auto" w:fill="FFFFFF"/>
        </w:rPr>
        <w:t xml:space="preserve"> a total of 32 GW of new capacity nationally by 2030.</w:t>
      </w:r>
    </w:p>
    <w:p w14:paraId="56C02194" w14:textId="37E4A6BE" w:rsidR="00185909" w:rsidRPr="0038182A" w:rsidRDefault="00185909" w:rsidP="00540445">
      <w:pPr>
        <w:keepNext/>
        <w:keepLines/>
        <w:jc w:val="both"/>
        <w:rPr>
          <w:rFonts w:ascii="Calibri" w:hAnsi="Calibri" w:cs="Calibri"/>
          <w:color w:val="000000"/>
          <w:shd w:val="clear" w:color="auto" w:fill="FFFFFF"/>
        </w:rPr>
      </w:pPr>
      <w:r w:rsidRPr="7523534C">
        <w:rPr>
          <w:rFonts w:ascii="Calibri" w:hAnsi="Calibri" w:cs="Calibri"/>
          <w:color w:val="000000" w:themeColor="text1"/>
        </w:rPr>
        <w:t xml:space="preserve">Beyond this, </w:t>
      </w:r>
      <w:r w:rsidR="004A5E75">
        <w:rPr>
          <w:rFonts w:ascii="Calibri" w:hAnsi="Calibri" w:cs="Calibri"/>
          <w:color w:val="000000" w:themeColor="text1"/>
        </w:rPr>
        <w:t xml:space="preserve">other </w:t>
      </w:r>
      <w:r w:rsidRPr="7523534C">
        <w:rPr>
          <w:rFonts w:ascii="Calibri" w:hAnsi="Calibri" w:cs="Calibri"/>
          <w:color w:val="000000" w:themeColor="text1"/>
        </w:rPr>
        <w:t>m</w:t>
      </w:r>
      <w:r w:rsidRPr="0038182A">
        <w:rPr>
          <w:rFonts w:ascii="Calibri" w:hAnsi="Calibri" w:cs="Calibri"/>
          <w:color w:val="000000"/>
          <w:shd w:val="clear" w:color="auto" w:fill="FFFFFF"/>
        </w:rPr>
        <w:t xml:space="preserve">easures to support investment certainty </w:t>
      </w:r>
      <w:r>
        <w:rPr>
          <w:rFonts w:ascii="Calibri" w:hAnsi="Calibri" w:cs="Calibri"/>
          <w:color w:val="000000"/>
          <w:shd w:val="clear" w:color="auto" w:fill="FFFFFF"/>
        </w:rPr>
        <w:t>could</w:t>
      </w:r>
      <w:r w:rsidRPr="0038182A">
        <w:rPr>
          <w:rFonts w:ascii="Calibri" w:hAnsi="Calibri" w:cs="Calibri"/>
          <w:color w:val="000000"/>
          <w:shd w:val="clear" w:color="auto" w:fill="FFFFFF"/>
        </w:rPr>
        <w:t xml:space="preserve"> include:</w:t>
      </w:r>
    </w:p>
    <w:p w14:paraId="23D517B7" w14:textId="1B7C6447" w:rsidR="00185909" w:rsidRPr="0038182A" w:rsidRDefault="00C52774" w:rsidP="00953103">
      <w:pPr>
        <w:pStyle w:val="ListBullet"/>
        <w:numPr>
          <w:ilvl w:val="0"/>
          <w:numId w:val="51"/>
        </w:numPr>
        <w:rPr>
          <w:shd w:val="clear" w:color="auto" w:fill="FFFFFF"/>
        </w:rPr>
      </w:pPr>
      <w:r>
        <w:rPr>
          <w:shd w:val="clear" w:color="auto" w:fill="FFFFFF"/>
        </w:rPr>
        <w:t>d</w:t>
      </w:r>
      <w:r w:rsidRPr="0038182A">
        <w:rPr>
          <w:shd w:val="clear" w:color="auto" w:fill="FFFFFF"/>
        </w:rPr>
        <w:t xml:space="preserve">eveloping </w:t>
      </w:r>
      <w:r w:rsidR="00185909" w:rsidRPr="0038182A">
        <w:rPr>
          <w:shd w:val="clear" w:color="auto" w:fill="FFFFFF"/>
        </w:rPr>
        <w:t>a supply chain resilience plan through the National Energy Transformation Partnership</w:t>
      </w:r>
      <w:r w:rsidR="002257F6">
        <w:rPr>
          <w:shd w:val="clear" w:color="auto" w:fill="FFFFFF"/>
        </w:rPr>
        <w:t xml:space="preserve"> (the ‘Partnership’)</w:t>
      </w:r>
      <w:r w:rsidR="00185909" w:rsidRPr="0038182A">
        <w:rPr>
          <w:shd w:val="clear" w:color="auto" w:fill="FFFFFF"/>
        </w:rPr>
        <w:t>, to address risks relating to rising materials costs, supply chain disruptions and the global push to decarbonise</w:t>
      </w:r>
    </w:p>
    <w:p w14:paraId="40FB7F01" w14:textId="4413C626" w:rsidR="00185909" w:rsidRPr="0038182A" w:rsidRDefault="00C52774" w:rsidP="00953103">
      <w:pPr>
        <w:pStyle w:val="ListBullet"/>
        <w:numPr>
          <w:ilvl w:val="0"/>
          <w:numId w:val="51"/>
        </w:numPr>
        <w:rPr>
          <w:shd w:val="clear" w:color="auto" w:fill="FFFFFF"/>
        </w:rPr>
      </w:pPr>
      <w:r>
        <w:rPr>
          <w:shd w:val="clear" w:color="auto" w:fill="FFFFFF"/>
        </w:rPr>
        <w:t>o</w:t>
      </w:r>
      <w:r w:rsidRPr="0038182A">
        <w:rPr>
          <w:shd w:val="clear" w:color="auto" w:fill="FFFFFF"/>
        </w:rPr>
        <w:t xml:space="preserve">ngoing </w:t>
      </w:r>
      <w:r w:rsidR="00185909" w:rsidRPr="0038182A">
        <w:rPr>
          <w:shd w:val="clear" w:color="auto" w:fill="FFFFFF"/>
        </w:rPr>
        <w:t>work to support social licence and improve community engagement on energy infrastructure, including working with states and territories to implement recommendations of the Community Engagement Review</w:t>
      </w:r>
      <w:r w:rsidR="00725B11">
        <w:rPr>
          <w:rStyle w:val="FootnoteReference"/>
          <w:shd w:val="clear" w:color="auto" w:fill="FFFFFF"/>
        </w:rPr>
        <w:footnoteReference w:id="11"/>
      </w:r>
    </w:p>
    <w:p w14:paraId="0B4413B2" w14:textId="775E0A70" w:rsidR="00185909" w:rsidRDefault="00C52774" w:rsidP="00953103">
      <w:pPr>
        <w:pStyle w:val="ListBullet"/>
        <w:numPr>
          <w:ilvl w:val="0"/>
          <w:numId w:val="51"/>
        </w:numPr>
        <w:rPr>
          <w:shd w:val="clear" w:color="auto" w:fill="FFFFFF"/>
        </w:rPr>
      </w:pPr>
      <w:r>
        <w:rPr>
          <w:shd w:val="clear" w:color="auto" w:fill="FFFFFF"/>
        </w:rPr>
        <w:t>s</w:t>
      </w:r>
      <w:r w:rsidRPr="0038182A">
        <w:rPr>
          <w:shd w:val="clear" w:color="auto" w:fill="FFFFFF"/>
        </w:rPr>
        <w:t xml:space="preserve">upporting </w:t>
      </w:r>
      <w:r w:rsidR="00185909" w:rsidRPr="0038182A">
        <w:rPr>
          <w:shd w:val="clear" w:color="auto" w:fill="FFFFFF"/>
        </w:rPr>
        <w:t>strategies for securing specialist skills to enable the energy transformation, including through skilled migration</w:t>
      </w:r>
      <w:r w:rsidR="00185909">
        <w:rPr>
          <w:shd w:val="clear" w:color="auto" w:fill="FFFFFF"/>
        </w:rPr>
        <w:t xml:space="preserve"> where necessary</w:t>
      </w:r>
    </w:p>
    <w:p w14:paraId="4DB44E55" w14:textId="35DBAF0A" w:rsidR="00185909" w:rsidRPr="0038182A" w:rsidRDefault="00C52774" w:rsidP="00B141BC">
      <w:pPr>
        <w:pStyle w:val="ListBullet"/>
        <w:numPr>
          <w:ilvl w:val="0"/>
          <w:numId w:val="51"/>
        </w:numPr>
        <w:spacing w:after="240"/>
        <w:rPr>
          <w:shd w:val="clear" w:color="auto" w:fill="FFFFFF"/>
        </w:rPr>
      </w:pPr>
      <w:r>
        <w:t>d</w:t>
      </w:r>
      <w:r w:rsidRPr="5E8643EC">
        <w:t xml:space="preserve">eveloping </w:t>
      </w:r>
      <w:r w:rsidR="00243572">
        <w:t>n</w:t>
      </w:r>
      <w:r w:rsidR="00243572" w:rsidRPr="5E8643EC">
        <w:t xml:space="preserve">et </w:t>
      </w:r>
      <w:r w:rsidR="00243572">
        <w:t>z</w:t>
      </w:r>
      <w:r w:rsidR="00243572" w:rsidRPr="5E8643EC">
        <w:t xml:space="preserve">ero </w:t>
      </w:r>
      <w:r w:rsidR="00243572">
        <w:t>i</w:t>
      </w:r>
      <w:r w:rsidR="00185909" w:rsidRPr="5E8643EC">
        <w:t xml:space="preserve">ndustrial </w:t>
      </w:r>
      <w:r w:rsidR="00243572">
        <w:t>p</w:t>
      </w:r>
      <w:r w:rsidR="00185909" w:rsidRPr="5E8643EC">
        <w:t>recincts to lower infrastructure costs and provide direction for investment for establishing new clean energy industries.</w:t>
      </w:r>
    </w:p>
    <w:p w14:paraId="192DF556" w14:textId="7D72AF79" w:rsidR="00185909" w:rsidRPr="0038182A" w:rsidRDefault="00185909" w:rsidP="00540445">
      <w:pPr>
        <w:jc w:val="both"/>
        <w:rPr>
          <w:rFonts w:ascii="Calibri" w:hAnsi="Calibri" w:cs="Calibri"/>
          <w:color w:val="000000"/>
          <w:shd w:val="clear" w:color="auto" w:fill="FFFFFF"/>
        </w:rPr>
      </w:pPr>
      <w:r w:rsidRPr="0038182A">
        <w:rPr>
          <w:rFonts w:ascii="Calibri" w:hAnsi="Calibri" w:cs="Calibri"/>
        </w:rPr>
        <w:t xml:space="preserve">Continued investment in </w:t>
      </w:r>
      <w:r w:rsidR="00835F7B">
        <w:rPr>
          <w:rFonts w:ascii="Calibri" w:hAnsi="Calibri" w:cs="Calibri"/>
        </w:rPr>
        <w:t>RD&amp;D</w:t>
      </w:r>
      <w:r w:rsidRPr="0038182A">
        <w:rPr>
          <w:rFonts w:ascii="Calibri" w:hAnsi="Calibri" w:cs="Calibri"/>
        </w:rPr>
        <w:t xml:space="preserve"> across a portfolio of technologies is necessary to drive innovation to deliver the net zero transition.</w:t>
      </w:r>
      <w:r w:rsidRPr="0038182A">
        <w:rPr>
          <w:rStyle w:val="FootnoteReference"/>
          <w:rFonts w:ascii="Calibri" w:hAnsi="Calibri" w:cs="Calibri"/>
        </w:rPr>
        <w:footnoteReference w:id="12"/>
      </w:r>
      <w:r w:rsidRPr="0038182A">
        <w:rPr>
          <w:rFonts w:ascii="Calibri" w:hAnsi="Calibri" w:cs="Calibri"/>
        </w:rPr>
        <w:t xml:space="preserve"> </w:t>
      </w:r>
      <w:r w:rsidRPr="0038182A">
        <w:rPr>
          <w:rFonts w:ascii="Calibri" w:hAnsi="Calibri" w:cs="Calibri"/>
          <w:color w:val="000000"/>
          <w:shd w:val="clear" w:color="auto" w:fill="FFFFFF"/>
        </w:rPr>
        <w:t xml:space="preserve">New technologies will be essential to deliver the transition, but there is uncertainty around the viability, long-term </w:t>
      </w:r>
      <w:proofErr w:type="gramStart"/>
      <w:r w:rsidRPr="0038182A">
        <w:rPr>
          <w:rFonts w:ascii="Calibri" w:hAnsi="Calibri" w:cs="Calibri"/>
          <w:color w:val="000000"/>
          <w:shd w:val="clear" w:color="auto" w:fill="FFFFFF"/>
        </w:rPr>
        <w:t>costs</w:t>
      </w:r>
      <w:proofErr w:type="gramEnd"/>
      <w:r w:rsidRPr="0038182A">
        <w:rPr>
          <w:rFonts w:ascii="Calibri" w:hAnsi="Calibri" w:cs="Calibri"/>
          <w:color w:val="000000"/>
          <w:shd w:val="clear" w:color="auto" w:fill="FFFFFF"/>
        </w:rPr>
        <w:t xml:space="preserve"> and scalability of technologies</w:t>
      </w:r>
      <w:r>
        <w:rPr>
          <w:rFonts w:ascii="Calibri" w:hAnsi="Calibri" w:cs="Calibri"/>
          <w:color w:val="000000"/>
          <w:shd w:val="clear" w:color="auto" w:fill="FFFFFF"/>
        </w:rPr>
        <w:t>.</w:t>
      </w:r>
      <w:r w:rsidRPr="0038182A">
        <w:rPr>
          <w:rFonts w:ascii="Calibri" w:hAnsi="Calibri" w:cs="Calibri"/>
          <w:color w:val="000000"/>
          <w:shd w:val="clear" w:color="auto" w:fill="FFFFFF"/>
        </w:rPr>
        <w:t xml:space="preserve"> </w:t>
      </w:r>
    </w:p>
    <w:p w14:paraId="1329B1A5" w14:textId="77777777" w:rsidR="00185909" w:rsidRPr="0038182A" w:rsidRDefault="00185909" w:rsidP="00540445">
      <w:pPr>
        <w:jc w:val="both"/>
        <w:rPr>
          <w:rFonts w:ascii="Calibri" w:hAnsi="Calibri" w:cs="Calibri"/>
          <w:color w:val="000000"/>
          <w:shd w:val="clear" w:color="auto" w:fill="FFFFFF"/>
        </w:rPr>
      </w:pPr>
      <w:r w:rsidRPr="0038182A">
        <w:rPr>
          <w:rFonts w:ascii="Calibri" w:hAnsi="Calibri" w:cs="Calibri"/>
          <w:color w:val="000000"/>
          <w:shd w:val="clear" w:color="auto" w:fill="FFFFFF"/>
        </w:rPr>
        <w:t xml:space="preserve">There are specific challenges in attracting investment in the small-scale renewable energy projects required to meet the needs of regional and remote Australia, including First Nations communities. The </w:t>
      </w:r>
      <w:r w:rsidRPr="0038182A">
        <w:rPr>
          <w:rFonts w:ascii="Calibri" w:hAnsi="Calibri" w:cs="Calibri"/>
          <w:color w:val="000000"/>
          <w:shd w:val="clear" w:color="auto" w:fill="FFFFFF"/>
        </w:rPr>
        <w:lastRenderedPageBreak/>
        <w:t>Government has consulted on strategies to improve First Nation</w:t>
      </w:r>
      <w:r>
        <w:rPr>
          <w:rFonts w:ascii="Calibri" w:hAnsi="Calibri" w:cs="Calibri"/>
          <w:color w:val="000000"/>
          <w:shd w:val="clear" w:color="auto" w:fill="FFFFFF"/>
        </w:rPr>
        <w:t>s</w:t>
      </w:r>
      <w:r w:rsidRPr="0038182A">
        <w:rPr>
          <w:rFonts w:ascii="Calibri" w:hAnsi="Calibri" w:cs="Calibri"/>
          <w:color w:val="000000"/>
          <w:shd w:val="clear" w:color="auto" w:fill="FFFFFF"/>
        </w:rPr>
        <w:t xml:space="preserve"> access to finance as part of the First Nations Clean Energy Strategy, to be released in mid-2024.</w:t>
      </w:r>
      <w:r w:rsidRPr="0038182A">
        <w:rPr>
          <w:rStyle w:val="FootnoteReference"/>
          <w:rFonts w:ascii="Calibri" w:hAnsi="Calibri" w:cs="Calibri"/>
          <w:color w:val="000000"/>
          <w:shd w:val="clear" w:color="auto" w:fill="FFFFFF"/>
        </w:rPr>
        <w:footnoteReference w:id="13"/>
      </w:r>
    </w:p>
    <w:p w14:paraId="4190D2C5" w14:textId="77777777" w:rsidR="00185909" w:rsidRPr="00D157D7" w:rsidRDefault="00185909" w:rsidP="00540445">
      <w:pPr>
        <w:jc w:val="both"/>
        <w:rPr>
          <w:rFonts w:ascii="Calibri" w:hAnsi="Calibri" w:cs="Calibri"/>
          <w:color w:val="000000"/>
          <w:shd w:val="clear" w:color="auto" w:fill="FFFFFF"/>
        </w:rPr>
      </w:pPr>
      <w:bookmarkStart w:id="29" w:name="_Toc157518300"/>
      <w:r w:rsidRPr="0038182A">
        <w:rPr>
          <w:rFonts w:ascii="Calibri" w:hAnsi="Calibri" w:cs="Calibri"/>
        </w:rPr>
        <w:t xml:space="preserve">The Australian Government is also diversifying Australia’s electricity </w:t>
      </w:r>
      <w:r>
        <w:rPr>
          <w:rFonts w:ascii="Calibri" w:hAnsi="Calibri" w:cs="Calibri"/>
        </w:rPr>
        <w:t>mix</w:t>
      </w:r>
      <w:r w:rsidRPr="0038182A">
        <w:rPr>
          <w:rFonts w:ascii="Calibri" w:hAnsi="Calibri" w:cs="Calibri"/>
        </w:rPr>
        <w:t xml:space="preserve"> through the development of the offshore wind industry. O</w:t>
      </w:r>
      <w:r w:rsidRPr="0038182A">
        <w:t>ffshore wind can help with energy security and resilience due to its power capacity and availability at times when solar power and onshore wind are not available. Building an offshore wind industry will also provide significant economic opportunities, particularly in the regions. Offshore wind is both energy and jobs rich, yet Australia has come late to this important resource.</w:t>
      </w:r>
    </w:p>
    <w:p w14:paraId="6BF2A282" w14:textId="4785959D" w:rsidR="00185909" w:rsidRPr="00B61D55" w:rsidRDefault="00185909" w:rsidP="001F14C4">
      <w:pPr>
        <w:pStyle w:val="Heading3"/>
      </w:pPr>
      <w:bookmarkStart w:id="30" w:name="_Toc160467014"/>
      <w:bookmarkStart w:id="31" w:name="_Toc160467787"/>
      <w:bookmarkStart w:id="32" w:name="_Toc160544726"/>
      <w:bookmarkStart w:id="33" w:name="_Toc160544895"/>
      <w:bookmarkStart w:id="34" w:name="_Toc160550322"/>
      <w:bookmarkStart w:id="35" w:name="_Toc160550406"/>
      <w:bookmarkStart w:id="36" w:name="_Toc160623579"/>
      <w:bookmarkStart w:id="37" w:name="_Toc160699603"/>
      <w:bookmarkStart w:id="38" w:name="_Toc161306037"/>
      <w:r w:rsidRPr="00B61D55">
        <w:t>Wholesale electricity market design will change to drive efficient investment in a renewable future</w:t>
      </w:r>
      <w:bookmarkEnd w:id="29"/>
      <w:bookmarkEnd w:id="30"/>
      <w:bookmarkEnd w:id="31"/>
      <w:bookmarkEnd w:id="32"/>
      <w:bookmarkEnd w:id="33"/>
      <w:bookmarkEnd w:id="34"/>
      <w:bookmarkEnd w:id="35"/>
      <w:bookmarkEnd w:id="36"/>
      <w:bookmarkEnd w:id="37"/>
      <w:bookmarkEnd w:id="38"/>
      <w:r w:rsidRPr="00B61D55">
        <w:t xml:space="preserve"> </w:t>
      </w:r>
    </w:p>
    <w:p w14:paraId="5651585A" w14:textId="77777777" w:rsidR="00185909" w:rsidRDefault="00185909" w:rsidP="00540445">
      <w:pPr>
        <w:jc w:val="both"/>
      </w:pPr>
      <w:r>
        <w:t xml:space="preserve">Wholesale electricity market design will need to adjust as increasing renewable generation affects the underlying structure of these markets. Market design has a significant impact on prices and the incentives facing market participants. Investors are making decisions about large and long-lasting investments while future market conditions, including design, </w:t>
      </w:r>
      <w:r w:rsidRPr="00C259CD">
        <w:t>could change.</w:t>
      </w:r>
      <w:r>
        <w:t xml:space="preserve"> Providing guidance around the direction of market design will be important to support confidence in</w:t>
      </w:r>
      <w:r w:rsidDel="00DC1AED">
        <w:t xml:space="preserve"> </w:t>
      </w:r>
      <w:r>
        <w:t xml:space="preserve">investment. </w:t>
      </w:r>
    </w:p>
    <w:p w14:paraId="09B749BE" w14:textId="47D6EF8B" w:rsidR="00185909" w:rsidRDefault="00185909" w:rsidP="00540445">
      <w:pPr>
        <w:jc w:val="both"/>
      </w:pPr>
      <w:r>
        <w:t xml:space="preserve">Wholesale electricity markets have adapted over time as conditions and technologies change. For example, in 2021, </w:t>
      </w:r>
      <w:r w:rsidR="00C960F6" w:rsidRPr="00AF7BEC">
        <w:rPr>
          <w:rFonts w:ascii="Calibri" w:eastAsia="Calibri" w:hAnsi="Calibri" w:cs="Calibri"/>
          <w:color w:val="000000" w:themeColor="text1"/>
        </w:rPr>
        <w:t xml:space="preserve">the National Electricity Market </w:t>
      </w:r>
      <w:r w:rsidR="00C960F6">
        <w:rPr>
          <w:rFonts w:ascii="Calibri" w:eastAsia="Calibri" w:hAnsi="Calibri" w:cs="Calibri"/>
          <w:color w:val="000000" w:themeColor="text1"/>
        </w:rPr>
        <w:t>(</w:t>
      </w:r>
      <w:r>
        <w:t>NEM</w:t>
      </w:r>
      <w:r w:rsidR="00C960F6">
        <w:t>)</w:t>
      </w:r>
      <w:r>
        <w:t xml:space="preserve"> adopted </w:t>
      </w:r>
      <w:r w:rsidR="00DE3D87">
        <w:t>5</w:t>
      </w:r>
      <w:r>
        <w:t>-minute settlement windows rather than 30-minute windows. This reform was enabled by improvements in data communications and aimed to improve the efficiency of pricing and investment incentives.</w:t>
      </w:r>
      <w:r>
        <w:rPr>
          <w:rStyle w:val="FootnoteReference"/>
        </w:rPr>
        <w:footnoteReference w:id="14"/>
      </w:r>
      <w:r>
        <w:t xml:space="preserve"> The Western Australian Wholesale Electricity Market (WEM) has recently undergone significant market design reforms to address challenges from an increasingly decentralised and renewable grid. These challenges included more frequent periods of negative pricing.</w:t>
      </w:r>
      <w:r>
        <w:rPr>
          <w:rStyle w:val="FootnoteReference"/>
        </w:rPr>
        <w:footnoteReference w:id="15"/>
      </w:r>
    </w:p>
    <w:p w14:paraId="5794B7B8" w14:textId="77777777" w:rsidR="00185909" w:rsidRDefault="00185909" w:rsidP="00540445">
      <w:pPr>
        <w:jc w:val="both"/>
        <w:rPr>
          <w:rStyle w:val="normaltextrun"/>
          <w:rFonts w:cs="Calibri"/>
          <w:color w:val="000000"/>
          <w:shd w:val="clear" w:color="auto" w:fill="FFFFFF"/>
        </w:rPr>
      </w:pPr>
      <w:r>
        <w:rPr>
          <w:rStyle w:val="normaltextrun"/>
          <w:rFonts w:cs="Calibri"/>
          <w:color w:val="000000"/>
          <w:bdr w:val="none" w:sz="0" w:space="0" w:color="auto" w:frame="1"/>
        </w:rPr>
        <w:t xml:space="preserve">Clear price signals </w:t>
      </w:r>
      <w:r>
        <w:rPr>
          <w:rStyle w:val="normaltextrun"/>
          <w:rFonts w:cs="Calibri"/>
          <w:color w:val="000000"/>
          <w:shd w:val="clear" w:color="auto" w:fill="FFFFFF"/>
        </w:rPr>
        <w:t>will be required to incentivise investments to meet changing energy system needs, and to provide long term revenue certainty to incentivise investment beyond 2030. These needs include:</w:t>
      </w:r>
    </w:p>
    <w:p w14:paraId="7F58E26F" w14:textId="77777777" w:rsidR="00185909" w:rsidRPr="00DB3D47" w:rsidRDefault="00185909" w:rsidP="00B141BC">
      <w:pPr>
        <w:pStyle w:val="ListBullet"/>
        <w:numPr>
          <w:ilvl w:val="0"/>
          <w:numId w:val="52"/>
        </w:numPr>
        <w:rPr>
          <w:rStyle w:val="normaltextrun"/>
          <w:color w:val="000000"/>
          <w:shd w:val="clear" w:color="auto" w:fill="FFFFFF"/>
        </w:rPr>
      </w:pPr>
      <w:r>
        <w:rPr>
          <w:rStyle w:val="normaltextrun"/>
          <w:color w:val="000000"/>
          <w:shd w:val="clear" w:color="auto" w:fill="FFFFFF"/>
        </w:rPr>
        <w:t>i</w:t>
      </w:r>
      <w:r w:rsidRPr="00DB3D47">
        <w:rPr>
          <w:rStyle w:val="normaltextrun"/>
          <w:color w:val="000000"/>
          <w:shd w:val="clear" w:color="auto" w:fill="FFFFFF"/>
        </w:rPr>
        <w:t>ncreas</w:t>
      </w:r>
      <w:r>
        <w:rPr>
          <w:rStyle w:val="normaltextrun"/>
          <w:color w:val="000000"/>
          <w:shd w:val="clear" w:color="auto" w:fill="FFFFFF"/>
        </w:rPr>
        <w:t xml:space="preserve">ing </w:t>
      </w:r>
      <w:r w:rsidRPr="00DB3D47">
        <w:rPr>
          <w:rStyle w:val="normaltextrun"/>
          <w:color w:val="000000"/>
          <w:shd w:val="clear" w:color="auto" w:fill="FFFFFF"/>
        </w:rPr>
        <w:t>renewable</w:t>
      </w:r>
      <w:r>
        <w:rPr>
          <w:rStyle w:val="normaltextrun"/>
          <w:color w:val="000000"/>
          <w:shd w:val="clear" w:color="auto" w:fill="FFFFFF"/>
        </w:rPr>
        <w:t xml:space="preserve"> generation</w:t>
      </w:r>
    </w:p>
    <w:p w14:paraId="0FF3BF4D" w14:textId="77777777" w:rsidR="00185909" w:rsidRPr="0038182A" w:rsidRDefault="00185909" w:rsidP="00B141BC">
      <w:pPr>
        <w:pStyle w:val="ListBullet"/>
        <w:numPr>
          <w:ilvl w:val="0"/>
          <w:numId w:val="52"/>
        </w:numPr>
        <w:rPr>
          <w:rStyle w:val="normaltextrun"/>
          <w:color w:val="000000"/>
          <w:shd w:val="clear" w:color="auto" w:fill="FFFFFF"/>
        </w:rPr>
      </w:pPr>
      <w:r w:rsidRPr="00DB3D47">
        <w:rPr>
          <w:rStyle w:val="normaltextrun"/>
          <w:color w:val="000000"/>
          <w:shd w:val="clear" w:color="auto" w:fill="FFFFFF"/>
        </w:rPr>
        <w:t>firm</w:t>
      </w:r>
      <w:r>
        <w:rPr>
          <w:rStyle w:val="normaltextrun"/>
          <w:color w:val="000000"/>
          <w:shd w:val="clear" w:color="auto" w:fill="FFFFFF"/>
        </w:rPr>
        <w:t>ing</w:t>
      </w:r>
      <w:r w:rsidRPr="00DB3D47">
        <w:rPr>
          <w:rStyle w:val="normaltextrun"/>
          <w:color w:val="000000"/>
          <w:shd w:val="clear" w:color="auto" w:fill="FFFFFF"/>
        </w:rPr>
        <w:t xml:space="preserve"> renewables at different times</w:t>
      </w:r>
      <w:r>
        <w:rPr>
          <w:rStyle w:val="normaltextrun"/>
          <w:color w:val="000000"/>
          <w:shd w:val="clear" w:color="auto" w:fill="FFFFFF"/>
        </w:rPr>
        <w:t xml:space="preserve"> across the day and seasons, and </w:t>
      </w:r>
      <w:r w:rsidRPr="00DB3D47">
        <w:rPr>
          <w:rStyle w:val="normaltextrun"/>
          <w:color w:val="000000"/>
          <w:shd w:val="clear" w:color="auto" w:fill="FFFFFF"/>
        </w:rPr>
        <w:t xml:space="preserve">during peak demand, weather </w:t>
      </w:r>
      <w:r w:rsidRPr="0038182A">
        <w:rPr>
          <w:rStyle w:val="normaltextrun"/>
          <w:color w:val="000000"/>
          <w:shd w:val="clear" w:color="auto" w:fill="FFFFFF"/>
        </w:rPr>
        <w:t>droughts or extended outages</w:t>
      </w:r>
    </w:p>
    <w:p w14:paraId="14FEB3EF" w14:textId="77777777" w:rsidR="00185909" w:rsidRPr="0038182A" w:rsidRDefault="00185909" w:rsidP="00B141BC">
      <w:pPr>
        <w:pStyle w:val="ListBullet"/>
        <w:numPr>
          <w:ilvl w:val="0"/>
          <w:numId w:val="52"/>
        </w:numPr>
        <w:rPr>
          <w:rStyle w:val="normaltextrun"/>
          <w:color w:val="000000"/>
          <w:shd w:val="clear" w:color="auto" w:fill="FFFFFF"/>
        </w:rPr>
      </w:pPr>
      <w:r w:rsidRPr="0038182A">
        <w:rPr>
          <w:rStyle w:val="normaltextrun"/>
          <w:color w:val="000000"/>
          <w:shd w:val="clear" w:color="auto" w:fill="FFFFFF"/>
        </w:rPr>
        <w:t>increasing build of various degrees of shallow, medium, and deep energy storage</w:t>
      </w:r>
    </w:p>
    <w:p w14:paraId="0A498BD4" w14:textId="77777777" w:rsidR="00185909" w:rsidRPr="0038182A" w:rsidRDefault="00185909" w:rsidP="00B141BC">
      <w:pPr>
        <w:pStyle w:val="ListBullet"/>
        <w:numPr>
          <w:ilvl w:val="0"/>
          <w:numId w:val="52"/>
        </w:numPr>
        <w:spacing w:after="240"/>
        <w:rPr>
          <w:rStyle w:val="normaltextrun"/>
          <w:color w:val="000000"/>
          <w:shd w:val="clear" w:color="auto" w:fill="FFFFFF"/>
        </w:rPr>
      </w:pPr>
      <w:r w:rsidRPr="0038182A">
        <w:rPr>
          <w:rStyle w:val="normaltextrun"/>
          <w:color w:val="000000"/>
          <w:shd w:val="clear" w:color="auto" w:fill="FFFFFF"/>
        </w:rPr>
        <w:t>encouraging demand flexibility and other innovations.</w:t>
      </w:r>
    </w:p>
    <w:p w14:paraId="4285F9BD" w14:textId="1BB08A54" w:rsidR="00185909" w:rsidRDefault="00185909" w:rsidP="00540445">
      <w:pPr>
        <w:jc w:val="both"/>
      </w:pPr>
      <w:r w:rsidRPr="0038182A">
        <w:t>Further market changes may be required to provide the clarity and incentives needed for investment to meet these objectives. The Partnership sets out a framework for collaboration across jurisdictions to progress associated regulatory reforms so they are fit-for-purpose and streamlined.</w:t>
      </w:r>
      <w:r w:rsidRPr="0038182A">
        <w:rPr>
          <w:rStyle w:val="FootnoteReference"/>
        </w:rPr>
        <w:footnoteReference w:id="16"/>
      </w:r>
      <w:r w:rsidRPr="0038182A">
        <w:t xml:space="preserve"> The first key step towards this commitment was the inclusion of emissions reduction</w:t>
      </w:r>
      <w:r w:rsidRPr="0038182A" w:rsidDel="0055379F">
        <w:t xml:space="preserve"> </w:t>
      </w:r>
      <w:r w:rsidRPr="0038182A">
        <w:t xml:space="preserve">under the National Energy </w:t>
      </w:r>
      <w:r w:rsidRPr="0038182A">
        <w:lastRenderedPageBreak/>
        <w:t>Objectives.</w:t>
      </w:r>
      <w:r w:rsidRPr="0038182A">
        <w:rPr>
          <w:rStyle w:val="FootnoteReference"/>
        </w:rPr>
        <w:footnoteReference w:id="17"/>
      </w:r>
      <w:r w:rsidRPr="0038182A">
        <w:t xml:space="preserve"> This amendment requires Australia’s energy market bodies to </w:t>
      </w:r>
      <w:r>
        <w:t>consider</w:t>
      </w:r>
      <w:r w:rsidRPr="0038182A">
        <w:t xml:space="preserve"> emissions reductions</w:t>
      </w:r>
      <w:r>
        <w:t xml:space="preserve"> alongside their other objectives (e.g. affordability and reliability) when making regulatory decisions</w:t>
      </w:r>
      <w:r w:rsidR="00CA545F">
        <w:t xml:space="preserve">, and </w:t>
      </w:r>
      <w:r>
        <w:t xml:space="preserve">when performing regulatory tests. </w:t>
      </w:r>
    </w:p>
    <w:p w14:paraId="28CAAA91" w14:textId="07462091" w:rsidR="00185909" w:rsidRDefault="00185909" w:rsidP="00540445">
      <w:pPr>
        <w:jc w:val="both"/>
      </w:pPr>
      <w:r>
        <w:t xml:space="preserve">The Australian Energy Market Commission (AEMC) is also consulting on transmission access reform to provide locational signals for the efficient location of generation, </w:t>
      </w:r>
      <w:proofErr w:type="gramStart"/>
      <w:r>
        <w:t>storage</w:t>
      </w:r>
      <w:proofErr w:type="gramEnd"/>
      <w:r>
        <w:t xml:space="preserve"> and flexible load, and to support Renewable Energy Zones being developed by state governments.</w:t>
      </w:r>
      <w:r>
        <w:rPr>
          <w:rStyle w:val="FootnoteReference"/>
        </w:rPr>
        <w:footnoteReference w:id="18"/>
      </w:r>
    </w:p>
    <w:p w14:paraId="01FE4D87" w14:textId="51C68267" w:rsidR="00185909" w:rsidRPr="00B61D55" w:rsidRDefault="00185909" w:rsidP="001F14C4">
      <w:pPr>
        <w:pStyle w:val="Heading3"/>
      </w:pPr>
      <w:bookmarkStart w:id="39" w:name="_Toc157518301"/>
      <w:bookmarkStart w:id="40" w:name="_Toc160467015"/>
      <w:bookmarkStart w:id="41" w:name="_Toc160467788"/>
      <w:bookmarkStart w:id="42" w:name="_Toc160544727"/>
      <w:bookmarkStart w:id="43" w:name="_Toc160544896"/>
      <w:bookmarkStart w:id="44" w:name="_Toc160550323"/>
      <w:bookmarkStart w:id="45" w:name="_Toc160550407"/>
      <w:bookmarkStart w:id="46" w:name="_Toc160623580"/>
      <w:bookmarkStart w:id="47" w:name="_Toc160699604"/>
      <w:bookmarkStart w:id="48" w:name="_Toc161306038"/>
      <w:r w:rsidRPr="00B61D55">
        <w:t>Australia as a renewable energy exporter: opportunities and challenges</w:t>
      </w:r>
      <w:bookmarkEnd w:id="39"/>
      <w:bookmarkEnd w:id="40"/>
      <w:bookmarkEnd w:id="41"/>
      <w:bookmarkEnd w:id="42"/>
      <w:bookmarkEnd w:id="43"/>
      <w:bookmarkEnd w:id="44"/>
      <w:bookmarkEnd w:id="45"/>
      <w:bookmarkEnd w:id="46"/>
      <w:bookmarkEnd w:id="47"/>
      <w:bookmarkEnd w:id="48"/>
    </w:p>
    <w:p w14:paraId="13F0E726" w14:textId="52DCE599" w:rsidR="00185909" w:rsidRDefault="00185909" w:rsidP="00540445">
      <w:pPr>
        <w:jc w:val="both"/>
      </w:pPr>
      <w:r>
        <w:t xml:space="preserve">The </w:t>
      </w:r>
      <w:r w:rsidR="00E97CBC">
        <w:t xml:space="preserve">Australian </w:t>
      </w:r>
      <w:r>
        <w:t>Government has committed to transforming Australia into a renewable energy superpower. Cheap renewable energy will underpin new, internationally competitive, clean industries, which will help to secure Australia’s long</w:t>
      </w:r>
      <w:r>
        <w:rPr>
          <w:rFonts w:ascii="Cambria Math" w:hAnsi="Cambria Math" w:cs="Cambria Math"/>
        </w:rPr>
        <w:t>‑</w:t>
      </w:r>
      <w:r>
        <w:t xml:space="preserve">term prosperity in a decarbonising world. </w:t>
      </w:r>
    </w:p>
    <w:p w14:paraId="1BE04BA4" w14:textId="77777777" w:rsidR="00185909" w:rsidRDefault="00185909" w:rsidP="00540445">
      <w:pPr>
        <w:jc w:val="both"/>
      </w:pPr>
      <w:r>
        <w:t>International partners will play a crucial role in Australia’s net zero transformation. Australia currently exports around 80% of its energy production, primarily as fossil fuels such as coal and gas.</w:t>
      </w:r>
      <w:r>
        <w:rPr>
          <w:rStyle w:val="FootnoteReference"/>
        </w:rPr>
        <w:footnoteReference w:id="19"/>
      </w:r>
      <w:r>
        <w:t xml:space="preserve"> Over 97% of our exports are to partners now committed to net zero emissions. Over time, Australia has an opportunity to create new clean energy industries to service growing international demand for low and zero emissions products. </w:t>
      </w:r>
    </w:p>
    <w:p w14:paraId="06C28ADA" w14:textId="77777777" w:rsidR="00185909" w:rsidRDefault="00185909" w:rsidP="00540445">
      <w:pPr>
        <w:jc w:val="both"/>
      </w:pPr>
      <w:r>
        <w:t xml:space="preserve">Through the global transition, Australia will see many new opportunities created, such as in: </w:t>
      </w:r>
    </w:p>
    <w:p w14:paraId="7055907A" w14:textId="41123A47" w:rsidR="00185909" w:rsidRDefault="00C52774" w:rsidP="00540445">
      <w:pPr>
        <w:pStyle w:val="ListParagraph"/>
        <w:numPr>
          <w:ilvl w:val="0"/>
          <w:numId w:val="18"/>
        </w:numPr>
        <w:spacing w:after="160" w:line="259" w:lineRule="auto"/>
        <w:contextualSpacing/>
        <w:jc w:val="both"/>
      </w:pPr>
      <w:r>
        <w:t>r</w:t>
      </w:r>
      <w:r w:rsidRPr="0056081D">
        <w:t>enewable</w:t>
      </w:r>
      <w:r w:rsidRPr="00EB1405">
        <w:t xml:space="preserve"> </w:t>
      </w:r>
      <w:r w:rsidR="00185909" w:rsidRPr="00EB1405">
        <w:t>hydrogen</w:t>
      </w:r>
      <w:r w:rsidR="00185909" w:rsidRPr="0056081D">
        <w:t xml:space="preserve"> and </w:t>
      </w:r>
      <w:r w:rsidR="00185909">
        <w:t xml:space="preserve">its </w:t>
      </w:r>
      <w:r w:rsidR="00185909" w:rsidRPr="0056081D">
        <w:t>derivatives, including green chemicals</w:t>
      </w:r>
    </w:p>
    <w:p w14:paraId="1D949CDF" w14:textId="73528A9C" w:rsidR="00185909" w:rsidRDefault="00C52774" w:rsidP="00540445">
      <w:pPr>
        <w:pStyle w:val="ListParagraph"/>
        <w:numPr>
          <w:ilvl w:val="0"/>
          <w:numId w:val="18"/>
        </w:numPr>
        <w:spacing w:after="160" w:line="259" w:lineRule="auto"/>
        <w:contextualSpacing/>
        <w:jc w:val="both"/>
      </w:pPr>
      <w:r>
        <w:t>g</w:t>
      </w:r>
      <w:r w:rsidRPr="00C259CD">
        <w:t xml:space="preserve">reen </w:t>
      </w:r>
      <w:r w:rsidR="00185909" w:rsidRPr="00C259CD">
        <w:t>metals</w:t>
      </w:r>
      <w:r w:rsidR="00185909">
        <w:t xml:space="preserve"> </w:t>
      </w:r>
    </w:p>
    <w:p w14:paraId="6952D6EC" w14:textId="409C7430" w:rsidR="00185909" w:rsidRDefault="00C52774" w:rsidP="00540445">
      <w:pPr>
        <w:pStyle w:val="ListParagraph"/>
        <w:numPr>
          <w:ilvl w:val="0"/>
          <w:numId w:val="18"/>
        </w:numPr>
        <w:spacing w:after="160" w:line="259" w:lineRule="auto"/>
        <w:contextualSpacing/>
        <w:jc w:val="both"/>
      </w:pPr>
      <w:r>
        <w:t>c</w:t>
      </w:r>
      <w:r w:rsidRPr="000E3186">
        <w:t xml:space="preserve">ritical </w:t>
      </w:r>
      <w:r w:rsidR="00185909" w:rsidRPr="000E3186">
        <w:t>minerals refining and processing</w:t>
      </w:r>
    </w:p>
    <w:p w14:paraId="2A0C199E" w14:textId="4D223678" w:rsidR="00185909" w:rsidRPr="00575BEA" w:rsidRDefault="00C52774" w:rsidP="00540445">
      <w:pPr>
        <w:pStyle w:val="ListParagraph"/>
        <w:numPr>
          <w:ilvl w:val="0"/>
          <w:numId w:val="18"/>
        </w:numPr>
        <w:spacing w:after="160" w:line="259" w:lineRule="auto"/>
        <w:contextualSpacing/>
        <w:jc w:val="both"/>
      </w:pPr>
      <w:r>
        <w:t xml:space="preserve">manufacturing </w:t>
      </w:r>
      <w:r w:rsidR="00185909">
        <w:t>of renewable generation and storage technologies.</w:t>
      </w:r>
    </w:p>
    <w:p w14:paraId="2D3F7BDF" w14:textId="25F3CC20" w:rsidR="00185909" w:rsidRDefault="00185909" w:rsidP="00540445">
      <w:pPr>
        <w:jc w:val="both"/>
      </w:pPr>
      <w:r>
        <w:t>Developing clean export industries will allow Australia to continue supporting the energy security needs of our key trading partners. These export industries will make us more attractive to foreign investors looking to secure their own energy needs</w:t>
      </w:r>
      <w:r w:rsidR="005D2E6A">
        <w:t xml:space="preserve"> </w:t>
      </w:r>
      <w:r>
        <w:t xml:space="preserve">and support Australian businesses to access larger markets in a transitioning global economy. </w:t>
      </w:r>
    </w:p>
    <w:p w14:paraId="777FD9B3" w14:textId="23EA381F" w:rsidR="00185909" w:rsidRDefault="00185909" w:rsidP="00540445">
      <w:pPr>
        <w:jc w:val="both"/>
      </w:pPr>
      <w:r>
        <w:t xml:space="preserve">Securing these opportunities depend on our ability to rapidly deploy reliable and clean energy at scale. For example, the </w:t>
      </w:r>
      <w:r w:rsidR="006D1AB3">
        <w:t>Australian Industry Energy Transitions Initiative (</w:t>
      </w:r>
      <w:r>
        <w:t>ETI</w:t>
      </w:r>
      <w:r w:rsidR="006D1AB3">
        <w:t>)</w:t>
      </w:r>
      <w:r>
        <w:t xml:space="preserve"> has estimated developing hydrogen and green iron export industries </w:t>
      </w:r>
      <w:r w:rsidRPr="00C259CD">
        <w:t>could</w:t>
      </w:r>
      <w:r>
        <w:t xml:space="preserve"> lead to a 6-fold increase in electricity generation by 2050 – compared to a 2-fold increase to decarbonise our domestic systems without these export industries.</w:t>
      </w:r>
      <w:r w:rsidRPr="00C259CD">
        <w:rPr>
          <w:rStyle w:val="FootnoteReference"/>
        </w:rPr>
        <w:footnoteReference w:id="20"/>
      </w:r>
    </w:p>
    <w:p w14:paraId="7BFA9945" w14:textId="4C290032" w:rsidR="00185909" w:rsidRDefault="00185909" w:rsidP="00540445">
      <w:pPr>
        <w:jc w:val="both"/>
      </w:pPr>
      <w:r>
        <w:lastRenderedPageBreak/>
        <w:t xml:space="preserve">Global action on climate change is accelerating and this is driving the biggest economic transformation since the Industrial Revolution. The growth of these new industries will further increase demand for on- and off-grid resources. It will be important to ensure that efforts to boost industrial investment crowd-in, rather than compete with, Australia’s domestic energy </w:t>
      </w:r>
      <w:r w:rsidR="00E32B7C">
        <w:t>transformation</w:t>
      </w:r>
      <w:r w:rsidR="00E32B7C" w:rsidDel="00E32B7C">
        <w:t xml:space="preserve"> </w:t>
      </w:r>
      <w:r>
        <w:t xml:space="preserve">goals. </w:t>
      </w:r>
    </w:p>
    <w:tbl>
      <w:tblPr>
        <w:tblStyle w:val="TableGrid"/>
        <w:tblW w:w="9134" w:type="dxa"/>
        <w:tblLook w:val="04A0" w:firstRow="1" w:lastRow="0" w:firstColumn="1" w:lastColumn="0" w:noHBand="0" w:noVBand="1"/>
      </w:tblPr>
      <w:tblGrid>
        <w:gridCol w:w="9134"/>
      </w:tblGrid>
      <w:tr w:rsidR="00185909" w:rsidRPr="005433A3" w14:paraId="71958633" w14:textId="77777777" w:rsidTr="00B141BC">
        <w:tc>
          <w:tcPr>
            <w:tcW w:w="9134" w:type="dxa"/>
            <w:tcBorders>
              <w:top w:val="nil"/>
              <w:left w:val="nil"/>
              <w:bottom w:val="nil"/>
              <w:right w:val="nil"/>
            </w:tcBorders>
            <w:shd w:val="clear" w:color="auto" w:fill="D8F2EE" w:themeFill="accent2" w:themeFillTint="33"/>
          </w:tcPr>
          <w:p w14:paraId="682AC7BB" w14:textId="5DC880CE" w:rsidR="00185909" w:rsidRPr="00FD4D7C" w:rsidRDefault="00185909" w:rsidP="000430A7">
            <w:pPr>
              <w:pStyle w:val="Caption"/>
            </w:pPr>
            <w:r w:rsidRPr="006C7FF7">
              <w:t xml:space="preserve">Seeking your views: </w:t>
            </w:r>
            <w:r>
              <w:t>M</w:t>
            </w:r>
            <w:r w:rsidRPr="00C964DF">
              <w:t>obilising investment</w:t>
            </w:r>
            <w:r>
              <w:t xml:space="preserve"> t</w:t>
            </w:r>
            <w:r w:rsidRPr="00D5102E">
              <w:t xml:space="preserve">o transform </w:t>
            </w:r>
            <w:r w:rsidRPr="00D0526E">
              <w:t>energy</w:t>
            </w:r>
          </w:p>
          <w:p w14:paraId="629E9417" w14:textId="5BF95707" w:rsidR="00185909" w:rsidRPr="00F37183" w:rsidRDefault="00185909" w:rsidP="00B141BC">
            <w:pPr>
              <w:pStyle w:val="ListBullet"/>
              <w:numPr>
                <w:ilvl w:val="0"/>
                <w:numId w:val="22"/>
              </w:numPr>
              <w:spacing w:after="240"/>
            </w:pPr>
            <w:r w:rsidRPr="00F37183" w:rsidDel="0047344C">
              <w:t xml:space="preserve">What actions are needed to attract the required large scale private capital and household investment in the energy </w:t>
            </w:r>
            <w:r w:rsidR="00E32B7C">
              <w:t>transformation</w:t>
            </w:r>
            <w:r w:rsidRPr="00F37183" w:rsidDel="0047344C">
              <w:t>, with or without government intervention?</w:t>
            </w:r>
          </w:p>
          <w:p w14:paraId="78A4209A" w14:textId="77777777" w:rsidR="00185909" w:rsidRPr="00AC0BB6" w:rsidRDefault="00185909" w:rsidP="006F0B56">
            <w:r w:rsidRPr="00AC0BB6">
              <w:t>When providing feedback</w:t>
            </w:r>
            <w:r>
              <w:t>,</w:t>
            </w:r>
            <w:r w:rsidRPr="00AC0BB6">
              <w:t xml:space="preserve"> you may wish to comment on:</w:t>
            </w:r>
          </w:p>
          <w:p w14:paraId="4B83A383" w14:textId="5D0C9B9A" w:rsidR="00185909" w:rsidRPr="00276204" w:rsidRDefault="00BF05F8" w:rsidP="00B141BC">
            <w:pPr>
              <w:pStyle w:val="ListBullet"/>
            </w:pPr>
            <w:r>
              <w:t>t</w:t>
            </w:r>
            <w:r w:rsidR="00185909" w:rsidRPr="00276204">
              <w:t xml:space="preserve">he role of the Commonwealth, state and territory governments, private sector, foreign private </w:t>
            </w:r>
            <w:proofErr w:type="gramStart"/>
            <w:r w:rsidR="00185909" w:rsidRPr="00276204">
              <w:t>investment</w:t>
            </w:r>
            <w:proofErr w:type="gramEnd"/>
            <w:r w:rsidR="00185909" w:rsidRPr="00276204">
              <w:t xml:space="preserve"> and households for investing in the energy </w:t>
            </w:r>
            <w:r w:rsidR="00E32B7C">
              <w:t>transformation</w:t>
            </w:r>
          </w:p>
          <w:p w14:paraId="1424C444" w14:textId="52415415" w:rsidR="00185909" w:rsidRPr="00276204" w:rsidRDefault="00BF05F8" w:rsidP="00B141BC">
            <w:pPr>
              <w:pStyle w:val="ListBullet"/>
            </w:pPr>
            <w:r>
              <w:t>c</w:t>
            </w:r>
            <w:r w:rsidR="00185909" w:rsidRPr="00276204">
              <w:t>omponents of wholesale electricity markets and supporting energy markets that need to change to facilitate efficient investment in clean energy technologies</w:t>
            </w:r>
            <w:r w:rsidR="00185909">
              <w:t xml:space="preserve"> to 2050</w:t>
            </w:r>
          </w:p>
          <w:p w14:paraId="618A18DA" w14:textId="4D92D332" w:rsidR="00185909" w:rsidRPr="00276204" w:rsidRDefault="00BF05F8" w:rsidP="00B141BC">
            <w:pPr>
              <w:pStyle w:val="ListBullet"/>
            </w:pPr>
            <w:r>
              <w:t>s</w:t>
            </w:r>
            <w:r w:rsidR="00185909" w:rsidRPr="00276204">
              <w:t>uggestions for supporting efficient investment in renewable generation and storage</w:t>
            </w:r>
          </w:p>
          <w:p w14:paraId="09E84D39" w14:textId="77777777" w:rsidR="00185909" w:rsidRDefault="00185909" w:rsidP="00B141BC">
            <w:pPr>
              <w:pStyle w:val="ListBullet"/>
            </w:pPr>
            <w:r>
              <w:t>Barriers and solutions for overcoming investment barriers</w:t>
            </w:r>
          </w:p>
          <w:p w14:paraId="2FE73802" w14:textId="3075E7B6" w:rsidR="00185909" w:rsidRDefault="00BF05F8" w:rsidP="00B141BC">
            <w:pPr>
              <w:pStyle w:val="ListBullet"/>
            </w:pPr>
            <w:r>
              <w:t>k</w:t>
            </w:r>
            <w:r w:rsidR="00185909" w:rsidRPr="00F2499B">
              <w:t xml:space="preserve">ey </w:t>
            </w:r>
            <w:r w:rsidR="00185909">
              <w:t xml:space="preserve">immediate </w:t>
            </w:r>
            <w:r w:rsidR="00185909" w:rsidRPr="00F2499B">
              <w:t xml:space="preserve">actions required from the Australian Government to </w:t>
            </w:r>
            <w:r w:rsidR="00185909">
              <w:t>support the transition</w:t>
            </w:r>
          </w:p>
          <w:p w14:paraId="7A342092" w14:textId="4DA23506" w:rsidR="00185909" w:rsidRPr="007F3DBA" w:rsidRDefault="00BF05F8" w:rsidP="00B141BC">
            <w:pPr>
              <w:pStyle w:val="ListBullet"/>
            </w:pPr>
            <w:r>
              <w:t>the r</w:t>
            </w:r>
            <w:r w:rsidR="00185909" w:rsidRPr="00276204">
              <w:t>ole for managing energy supply and demand to meet uncertain net zero transition needs, including additional electricity demand from electrification and clean export industries</w:t>
            </w:r>
            <w:r w:rsidR="00185909">
              <w:t>.</w:t>
            </w:r>
          </w:p>
          <w:p w14:paraId="3CD279C0" w14:textId="77777777" w:rsidR="00185909" w:rsidRPr="006C7FF7" w:rsidRDefault="00185909" w:rsidP="00540445">
            <w:pPr>
              <w:pStyle w:val="ListParagraph"/>
              <w:jc w:val="both"/>
              <w:rPr>
                <w:rFonts w:eastAsia="Calibri"/>
                <w:b/>
                <w:bCs/>
                <w:color w:val="000000" w:themeColor="text1"/>
              </w:rPr>
            </w:pPr>
          </w:p>
        </w:tc>
      </w:tr>
    </w:tbl>
    <w:p w14:paraId="5AAD0E45" w14:textId="77777777" w:rsidR="006C74D7" w:rsidRDefault="006C74D7">
      <w:pPr>
        <w:spacing w:after="0" w:line="240" w:lineRule="auto"/>
        <w:rPr>
          <w:rFonts w:ascii="Calibri" w:eastAsiaTheme="minorEastAsia" w:hAnsi="Calibri"/>
          <w:bCs/>
          <w:color w:val="197C7D"/>
          <w:sz w:val="48"/>
          <w:lang w:eastAsia="ja-JP"/>
        </w:rPr>
      </w:pPr>
      <w:bookmarkStart w:id="49" w:name="_Toc160550408"/>
      <w:bookmarkStart w:id="50" w:name="_Toc160699605"/>
      <w:r>
        <w:br w:type="page"/>
      </w:r>
    </w:p>
    <w:p w14:paraId="7D6DB35B" w14:textId="48936C42" w:rsidR="00185909" w:rsidRPr="00F546C3" w:rsidRDefault="00185909" w:rsidP="00F546C3">
      <w:pPr>
        <w:pStyle w:val="Heading2"/>
      </w:pPr>
      <w:bookmarkStart w:id="51" w:name="_Toc161306039"/>
      <w:r w:rsidRPr="00F546C3">
        <w:lastRenderedPageBreak/>
        <w:t>Enabling electrification for a smooth transition</w:t>
      </w:r>
      <w:bookmarkEnd w:id="49"/>
      <w:bookmarkEnd w:id="50"/>
      <w:bookmarkEnd w:id="51"/>
      <w:r w:rsidRPr="00F546C3">
        <w:t xml:space="preserve"> </w:t>
      </w:r>
    </w:p>
    <w:p w14:paraId="7486ABE8" w14:textId="6C81CA6F" w:rsidR="00185909" w:rsidRDefault="00185909" w:rsidP="00540445">
      <w:pPr>
        <w:jc w:val="both"/>
        <w:rPr>
          <w:rFonts w:ascii="Calibri" w:eastAsia="Calibri" w:hAnsi="Calibri" w:cs="Calibri"/>
          <w:color w:val="000000" w:themeColor="text1"/>
        </w:rPr>
      </w:pPr>
      <w:r w:rsidRPr="6DD529ED">
        <w:rPr>
          <w:rFonts w:ascii="Calibri" w:eastAsia="Calibri" w:hAnsi="Calibri" w:cs="Calibri"/>
          <w:color w:val="000000" w:themeColor="text1"/>
        </w:rPr>
        <w:t xml:space="preserve">Electrification </w:t>
      </w:r>
      <w:r>
        <w:rPr>
          <w:rFonts w:ascii="Calibri" w:eastAsia="Calibri" w:hAnsi="Calibri" w:cs="Calibri"/>
          <w:color w:val="000000" w:themeColor="text1"/>
        </w:rPr>
        <w:t>involves</w:t>
      </w:r>
      <w:r w:rsidRPr="6DD529ED">
        <w:rPr>
          <w:rFonts w:ascii="Calibri" w:eastAsia="Calibri" w:hAnsi="Calibri" w:cs="Calibri"/>
          <w:color w:val="000000" w:themeColor="text1"/>
        </w:rPr>
        <w:t xml:space="preserve"> replacing technologies or processes that use </w:t>
      </w:r>
      <w:r>
        <w:rPr>
          <w:rFonts w:ascii="Calibri" w:eastAsia="Calibri" w:hAnsi="Calibri" w:cs="Calibri"/>
          <w:color w:val="000000" w:themeColor="text1"/>
        </w:rPr>
        <w:t>liquid fuels</w:t>
      </w:r>
      <w:r w:rsidR="00534D58">
        <w:rPr>
          <w:rFonts w:ascii="Calibri" w:eastAsia="Calibri" w:hAnsi="Calibri" w:cs="Calibri"/>
          <w:color w:val="000000" w:themeColor="text1"/>
        </w:rPr>
        <w:t xml:space="preserve"> or gas</w:t>
      </w:r>
      <w:r w:rsidRPr="6DD529ED">
        <w:rPr>
          <w:rFonts w:ascii="Calibri" w:eastAsia="Calibri" w:hAnsi="Calibri" w:cs="Calibri"/>
          <w:color w:val="000000" w:themeColor="text1"/>
        </w:rPr>
        <w:t xml:space="preserve"> with electric</w:t>
      </w:r>
      <w:r w:rsidR="00A3412F">
        <w:rPr>
          <w:rFonts w:ascii="Calibri" w:eastAsia="Calibri" w:hAnsi="Calibri" w:cs="Calibri"/>
          <w:color w:val="000000" w:themeColor="text1"/>
        </w:rPr>
        <w:t>ity</w:t>
      </w:r>
      <w:r w:rsidRPr="6DD529ED">
        <w:rPr>
          <w:rFonts w:ascii="Calibri" w:eastAsia="Calibri" w:hAnsi="Calibri" w:cs="Calibri"/>
          <w:color w:val="000000" w:themeColor="text1"/>
        </w:rPr>
        <w:t>-powered alternatives. When complemented by renewable generation, electrification presents a cost-efficient and effective means of</w:t>
      </w:r>
      <w:r>
        <w:rPr>
          <w:rFonts w:ascii="Calibri" w:eastAsia="Calibri" w:hAnsi="Calibri" w:cs="Calibri"/>
          <w:color w:val="000000" w:themeColor="text1"/>
        </w:rPr>
        <w:t xml:space="preserve"> </w:t>
      </w:r>
      <w:r w:rsidRPr="6DD529ED">
        <w:rPr>
          <w:rFonts w:ascii="Calibri" w:eastAsia="Calibri" w:hAnsi="Calibri" w:cs="Calibri"/>
          <w:color w:val="000000" w:themeColor="text1"/>
        </w:rPr>
        <w:t>reducing</w:t>
      </w:r>
      <w:r>
        <w:rPr>
          <w:rFonts w:ascii="Calibri" w:eastAsia="Calibri" w:hAnsi="Calibri" w:cs="Calibri"/>
          <w:color w:val="000000" w:themeColor="text1"/>
        </w:rPr>
        <w:t xml:space="preserve"> the</w:t>
      </w:r>
      <w:r w:rsidRPr="6DD529ED">
        <w:rPr>
          <w:rFonts w:ascii="Calibri" w:eastAsia="Calibri" w:hAnsi="Calibri" w:cs="Calibri"/>
          <w:color w:val="000000" w:themeColor="text1"/>
        </w:rPr>
        <w:t xml:space="preserve"> emissions and negative health impacts</w:t>
      </w:r>
      <w:r>
        <w:rPr>
          <w:rFonts w:ascii="Calibri" w:eastAsia="Calibri" w:hAnsi="Calibri" w:cs="Calibri"/>
          <w:color w:val="000000" w:themeColor="text1"/>
        </w:rPr>
        <w:t xml:space="preserve"> from fossil fuels</w:t>
      </w:r>
      <w:r w:rsidRPr="6DD529ED">
        <w:rPr>
          <w:rFonts w:ascii="Calibri" w:eastAsia="Calibri" w:hAnsi="Calibri" w:cs="Calibri"/>
          <w:color w:val="000000" w:themeColor="text1"/>
        </w:rPr>
        <w:t xml:space="preserve">. </w:t>
      </w:r>
      <w:r w:rsidR="00534D58">
        <w:rPr>
          <w:rFonts w:ascii="Calibri" w:eastAsia="Calibri" w:hAnsi="Calibri" w:cs="Calibri"/>
          <w:color w:val="000000" w:themeColor="text1"/>
        </w:rPr>
        <w:t>Electrification</w:t>
      </w:r>
      <w:r>
        <w:rPr>
          <w:rFonts w:ascii="Calibri" w:eastAsia="Calibri" w:hAnsi="Calibri" w:cs="Calibri"/>
          <w:color w:val="000000" w:themeColor="text1"/>
        </w:rPr>
        <w:t xml:space="preserve"> in t</w:t>
      </w:r>
      <w:r w:rsidRPr="6DD529ED">
        <w:rPr>
          <w:rFonts w:ascii="Calibri" w:eastAsia="Calibri" w:hAnsi="Calibri" w:cs="Calibri"/>
          <w:color w:val="000000" w:themeColor="text1"/>
        </w:rPr>
        <w:t>he</w:t>
      </w:r>
      <w:r>
        <w:rPr>
          <w:rFonts w:ascii="Calibri" w:eastAsia="Calibri" w:hAnsi="Calibri" w:cs="Calibri"/>
          <w:color w:val="000000" w:themeColor="text1"/>
        </w:rPr>
        <w:t xml:space="preserve"> residential,</w:t>
      </w:r>
      <w:r w:rsidRPr="6DD529ED">
        <w:rPr>
          <w:rFonts w:ascii="Calibri" w:eastAsia="Calibri" w:hAnsi="Calibri" w:cs="Calibri"/>
          <w:color w:val="000000" w:themeColor="text1"/>
        </w:rPr>
        <w:t xml:space="preserve"> </w:t>
      </w:r>
      <w:r>
        <w:rPr>
          <w:rFonts w:ascii="Calibri" w:eastAsia="Calibri" w:hAnsi="Calibri" w:cs="Calibri"/>
          <w:color w:val="000000" w:themeColor="text1"/>
        </w:rPr>
        <w:t>light passenger transport and light commercial vehicles sectors</w:t>
      </w:r>
      <w:proofErr w:type="gramStart"/>
      <w:r>
        <w:rPr>
          <w:rFonts w:ascii="Calibri" w:eastAsia="Calibri" w:hAnsi="Calibri" w:cs="Calibri"/>
          <w:color w:val="000000" w:themeColor="text1"/>
        </w:rPr>
        <w:t xml:space="preserve">, </w:t>
      </w:r>
      <w:r w:rsidRPr="6DD529ED" w:rsidDel="0036404B">
        <w:rPr>
          <w:rFonts w:ascii="Calibri" w:eastAsia="Calibri" w:hAnsi="Calibri" w:cs="Calibri"/>
          <w:color w:val="000000" w:themeColor="text1"/>
        </w:rPr>
        <w:t>i</w:t>
      </w:r>
      <w:r w:rsidRPr="6DD529ED">
        <w:rPr>
          <w:rFonts w:ascii="Calibri" w:eastAsia="Calibri" w:hAnsi="Calibri" w:cs="Calibri"/>
          <w:color w:val="000000" w:themeColor="text1"/>
        </w:rPr>
        <w:t>n particular, represent</w:t>
      </w:r>
      <w:r>
        <w:rPr>
          <w:rFonts w:ascii="Calibri" w:eastAsia="Calibri" w:hAnsi="Calibri" w:cs="Calibri"/>
          <w:color w:val="000000" w:themeColor="text1"/>
        </w:rPr>
        <w:t>s</w:t>
      </w:r>
      <w:proofErr w:type="gramEnd"/>
      <w:r w:rsidRPr="6DD529ED">
        <w:rPr>
          <w:rFonts w:ascii="Calibri" w:eastAsia="Calibri" w:hAnsi="Calibri" w:cs="Calibri"/>
          <w:color w:val="000000" w:themeColor="text1"/>
        </w:rPr>
        <w:t xml:space="preserve"> low</w:t>
      </w:r>
      <w:r w:rsidR="009D7917">
        <w:rPr>
          <w:rFonts w:ascii="Calibri" w:eastAsia="Calibri" w:hAnsi="Calibri" w:cs="Calibri"/>
          <w:color w:val="000000" w:themeColor="text1"/>
        </w:rPr>
        <w:t>-</w:t>
      </w:r>
      <w:r w:rsidRPr="6DD529ED">
        <w:rPr>
          <w:rFonts w:ascii="Calibri" w:eastAsia="Calibri" w:hAnsi="Calibri" w:cs="Calibri"/>
          <w:color w:val="000000" w:themeColor="text1"/>
        </w:rPr>
        <w:t xml:space="preserve"> or negative</w:t>
      </w:r>
      <w:r w:rsidR="009D7917">
        <w:rPr>
          <w:rFonts w:ascii="Calibri" w:eastAsia="Calibri" w:hAnsi="Calibri" w:cs="Calibri"/>
          <w:color w:val="000000" w:themeColor="text1"/>
        </w:rPr>
        <w:t>-</w:t>
      </w:r>
      <w:r w:rsidRPr="6DD529ED">
        <w:rPr>
          <w:rFonts w:ascii="Calibri" w:eastAsia="Calibri" w:hAnsi="Calibri" w:cs="Calibri"/>
          <w:color w:val="000000" w:themeColor="text1"/>
        </w:rPr>
        <w:t xml:space="preserve"> cost abatement opportunities</w:t>
      </w:r>
      <w:r>
        <w:rPr>
          <w:rFonts w:ascii="Calibri" w:eastAsia="Calibri" w:hAnsi="Calibri" w:cs="Calibri"/>
          <w:color w:val="000000" w:themeColor="text1"/>
        </w:rPr>
        <w:t>. Electric-powered alternatives are often more efficient uses of energy and provide an effective tool to increase energy performance.</w:t>
      </w:r>
    </w:p>
    <w:p w14:paraId="6D7DDB3D" w14:textId="77777777" w:rsidR="00185909" w:rsidRDefault="00185909" w:rsidP="00540445">
      <w:pPr>
        <w:jc w:val="both"/>
        <w:rPr>
          <w:rFonts w:ascii="Calibri" w:eastAsia="Calibri" w:hAnsi="Calibri" w:cs="Calibri"/>
          <w:color w:val="000000" w:themeColor="text1"/>
        </w:rPr>
      </w:pPr>
      <w:r w:rsidRPr="6DD529ED">
        <w:rPr>
          <w:rFonts w:ascii="Calibri" w:eastAsia="Calibri" w:hAnsi="Calibri" w:cs="Calibri"/>
          <w:color w:val="000000" w:themeColor="text1"/>
        </w:rPr>
        <w:t xml:space="preserve">Electrification has been identified as an early decarbonisation option across each of the </w:t>
      </w:r>
      <w:r>
        <w:rPr>
          <w:rFonts w:ascii="Calibri" w:eastAsia="Calibri" w:hAnsi="Calibri" w:cs="Calibri"/>
          <w:color w:val="000000" w:themeColor="text1"/>
        </w:rPr>
        <w:t xml:space="preserve">sectoral </w:t>
      </w:r>
      <w:r w:rsidRPr="6DD529ED">
        <w:rPr>
          <w:rFonts w:ascii="Calibri" w:eastAsia="Calibri" w:hAnsi="Calibri" w:cs="Calibri"/>
          <w:color w:val="000000" w:themeColor="text1"/>
        </w:rPr>
        <w:t>plans</w:t>
      </w:r>
      <w:r>
        <w:rPr>
          <w:rFonts w:ascii="Calibri" w:eastAsia="Calibri" w:hAnsi="Calibri" w:cs="Calibri"/>
          <w:color w:val="000000" w:themeColor="text1"/>
        </w:rPr>
        <w:t xml:space="preserve">. These plans </w:t>
      </w:r>
      <w:r w:rsidRPr="6DD529ED">
        <w:rPr>
          <w:rFonts w:ascii="Calibri" w:eastAsia="Calibri" w:hAnsi="Calibri" w:cs="Calibri"/>
          <w:color w:val="000000" w:themeColor="text1"/>
        </w:rPr>
        <w:t>will consider opportunities and barriers to electrification across key sectors of the economy. The Plan will examine how Australia’s energy systems can enable the electrification required to meet our climate targets</w:t>
      </w:r>
      <w:r>
        <w:rPr>
          <w:rFonts w:ascii="Calibri" w:eastAsia="Calibri" w:hAnsi="Calibri" w:cs="Calibri"/>
          <w:color w:val="000000" w:themeColor="text1"/>
        </w:rPr>
        <w:t xml:space="preserve"> and industrial ambitions to become a renewable energy superpower</w:t>
      </w:r>
      <w:r w:rsidRPr="6DD529ED" w:rsidDel="00202138">
        <w:rPr>
          <w:rFonts w:ascii="Calibri" w:eastAsia="Calibri" w:hAnsi="Calibri" w:cs="Calibri"/>
          <w:color w:val="000000" w:themeColor="text1"/>
        </w:rPr>
        <w:t>.</w:t>
      </w:r>
    </w:p>
    <w:p w14:paraId="1050AC06" w14:textId="450232E4" w:rsidR="00185909" w:rsidRPr="00B61D55" w:rsidRDefault="00185909" w:rsidP="001F14C4">
      <w:pPr>
        <w:pStyle w:val="Heading3"/>
      </w:pPr>
      <w:bookmarkStart w:id="52" w:name="_Toc157518308"/>
      <w:bookmarkStart w:id="53" w:name="_Toc160467022"/>
      <w:bookmarkStart w:id="54" w:name="_Toc160467795"/>
      <w:bookmarkStart w:id="55" w:name="_Toc160544734"/>
      <w:bookmarkStart w:id="56" w:name="_Toc160544903"/>
      <w:bookmarkStart w:id="57" w:name="_Toc160550409"/>
      <w:bookmarkStart w:id="58" w:name="_Toc160623582"/>
      <w:bookmarkStart w:id="59" w:name="_Toc160699606"/>
      <w:bookmarkStart w:id="60" w:name="_Toc161306040"/>
      <w:r w:rsidRPr="00B61D55">
        <w:t>Electrification is a cost-efficient and effective pathway to decarbonise the Australian economy</w:t>
      </w:r>
      <w:bookmarkEnd w:id="52"/>
      <w:bookmarkEnd w:id="53"/>
      <w:bookmarkEnd w:id="54"/>
      <w:bookmarkEnd w:id="55"/>
      <w:bookmarkEnd w:id="56"/>
      <w:bookmarkEnd w:id="57"/>
      <w:bookmarkEnd w:id="58"/>
      <w:bookmarkEnd w:id="59"/>
      <w:bookmarkEnd w:id="60"/>
    </w:p>
    <w:p w14:paraId="01E41536" w14:textId="77777777" w:rsidR="00185909" w:rsidRDefault="00185909" w:rsidP="00540445">
      <w:pPr>
        <w:jc w:val="both"/>
        <w:rPr>
          <w:rFonts w:ascii="Calibri" w:eastAsia="Calibri" w:hAnsi="Calibri" w:cs="Calibri"/>
          <w:color w:val="000000" w:themeColor="text1"/>
        </w:rPr>
      </w:pPr>
      <w:r w:rsidRPr="6DD529ED">
        <w:rPr>
          <w:rFonts w:ascii="Calibri" w:eastAsia="Calibri" w:hAnsi="Calibri" w:cs="Calibri"/>
          <w:color w:val="000000" w:themeColor="text1"/>
        </w:rPr>
        <w:t xml:space="preserve">The International Energy Agency </w:t>
      </w:r>
      <w:r>
        <w:rPr>
          <w:rFonts w:ascii="Calibri" w:eastAsia="Calibri" w:hAnsi="Calibri" w:cs="Calibri"/>
          <w:color w:val="000000" w:themeColor="text1"/>
        </w:rPr>
        <w:t>(IEA)</w:t>
      </w:r>
      <w:r w:rsidRPr="6DD529ED">
        <w:rPr>
          <w:rFonts w:ascii="Calibri" w:eastAsia="Calibri" w:hAnsi="Calibri" w:cs="Calibri"/>
          <w:color w:val="000000" w:themeColor="text1"/>
        </w:rPr>
        <w:t xml:space="preserve"> has identified electrification as a key tool to reach net zero emissions by 2050 globally</w:t>
      </w:r>
      <w:r>
        <w:rPr>
          <w:rFonts w:ascii="Calibri" w:eastAsia="Calibri" w:hAnsi="Calibri" w:cs="Calibri"/>
          <w:color w:val="000000" w:themeColor="text1"/>
        </w:rPr>
        <w:t>.</w:t>
      </w:r>
      <w:r w:rsidRPr="6DD529ED">
        <w:rPr>
          <w:rFonts w:ascii="Calibri" w:eastAsia="Calibri" w:hAnsi="Calibri" w:cs="Calibri"/>
          <w:color w:val="000000" w:themeColor="text1"/>
        </w:rPr>
        <w:t xml:space="preserve"> </w:t>
      </w:r>
      <w:r>
        <w:t xml:space="preserve">Under a </w:t>
      </w:r>
      <w:r w:rsidRPr="003C71FF">
        <w:rPr>
          <w:i/>
        </w:rPr>
        <w:t>Net Zero by 2050 Scenario</w:t>
      </w:r>
      <w:r>
        <w:t xml:space="preserve"> the IEA expects electricity, as a share of global final energy consumption, to increase from around 20% in 2022 to over 50% in 2050, largely driven by electrification and the growth of new industries.</w:t>
      </w:r>
      <w:r w:rsidRPr="00072648">
        <w:rPr>
          <w:rStyle w:val="FootnoteReference"/>
          <w:rFonts w:ascii="Calibri" w:eastAsia="Calibri" w:hAnsi="Calibri" w:cs="Calibri"/>
          <w:color w:val="000000" w:themeColor="text1"/>
        </w:rPr>
        <w:t xml:space="preserve"> </w:t>
      </w:r>
      <w:r>
        <w:rPr>
          <w:rStyle w:val="FootnoteReference"/>
          <w:rFonts w:ascii="Calibri" w:eastAsia="Calibri" w:hAnsi="Calibri" w:cs="Calibri"/>
          <w:color w:val="000000" w:themeColor="text1"/>
        </w:rPr>
        <w:footnoteReference w:id="21"/>
      </w:r>
      <w:r>
        <w:t xml:space="preserve"> </w:t>
      </w:r>
      <w:r w:rsidRPr="6DD529ED">
        <w:rPr>
          <w:rFonts w:ascii="Calibri" w:eastAsia="Calibri" w:hAnsi="Calibri" w:cs="Calibri"/>
          <w:color w:val="000000" w:themeColor="text1"/>
        </w:rPr>
        <w:t xml:space="preserve">In Australia, </w:t>
      </w:r>
      <w:r>
        <w:rPr>
          <w:rFonts w:ascii="Calibri" w:eastAsia="Calibri" w:hAnsi="Calibri" w:cs="Calibri"/>
          <w:color w:val="000000" w:themeColor="text1"/>
        </w:rPr>
        <w:t xml:space="preserve">the Integrated System Plan (ISP) projections developed by the </w:t>
      </w:r>
      <w:r w:rsidRPr="6DD529ED">
        <w:rPr>
          <w:rFonts w:ascii="Calibri" w:eastAsia="Calibri" w:hAnsi="Calibri" w:cs="Calibri"/>
          <w:color w:val="000000" w:themeColor="text1"/>
        </w:rPr>
        <w:t>A</w:t>
      </w:r>
      <w:r>
        <w:rPr>
          <w:rFonts w:ascii="Calibri" w:eastAsia="Calibri" w:hAnsi="Calibri" w:cs="Calibri"/>
          <w:color w:val="000000" w:themeColor="text1"/>
        </w:rPr>
        <w:t xml:space="preserve">ustralian </w:t>
      </w:r>
      <w:r w:rsidRPr="6DD529ED">
        <w:rPr>
          <w:rFonts w:ascii="Calibri" w:eastAsia="Calibri" w:hAnsi="Calibri" w:cs="Calibri"/>
          <w:color w:val="000000" w:themeColor="text1"/>
        </w:rPr>
        <w:t>E</w:t>
      </w:r>
      <w:r>
        <w:rPr>
          <w:rFonts w:ascii="Calibri" w:eastAsia="Calibri" w:hAnsi="Calibri" w:cs="Calibri"/>
          <w:color w:val="000000" w:themeColor="text1"/>
        </w:rPr>
        <w:t xml:space="preserve">nergy </w:t>
      </w:r>
      <w:r w:rsidRPr="6DD529ED">
        <w:rPr>
          <w:rFonts w:ascii="Calibri" w:eastAsia="Calibri" w:hAnsi="Calibri" w:cs="Calibri"/>
          <w:color w:val="000000" w:themeColor="text1"/>
        </w:rPr>
        <w:t>M</w:t>
      </w:r>
      <w:r>
        <w:rPr>
          <w:rFonts w:ascii="Calibri" w:eastAsia="Calibri" w:hAnsi="Calibri" w:cs="Calibri"/>
          <w:color w:val="000000" w:themeColor="text1"/>
        </w:rPr>
        <w:t xml:space="preserve">arket </w:t>
      </w:r>
      <w:r w:rsidRPr="6DD529ED">
        <w:rPr>
          <w:rFonts w:ascii="Calibri" w:eastAsia="Calibri" w:hAnsi="Calibri" w:cs="Calibri"/>
          <w:color w:val="000000" w:themeColor="text1"/>
        </w:rPr>
        <w:t>O</w:t>
      </w:r>
      <w:r>
        <w:rPr>
          <w:rFonts w:ascii="Calibri" w:eastAsia="Calibri" w:hAnsi="Calibri" w:cs="Calibri"/>
          <w:color w:val="000000" w:themeColor="text1"/>
        </w:rPr>
        <w:t xml:space="preserve">perator (AEMO) identify </w:t>
      </w:r>
      <w:r w:rsidRPr="6DD529ED">
        <w:rPr>
          <w:rFonts w:ascii="Calibri" w:eastAsia="Calibri" w:hAnsi="Calibri" w:cs="Calibri"/>
          <w:color w:val="000000" w:themeColor="text1"/>
        </w:rPr>
        <w:t xml:space="preserve">electrification </w:t>
      </w:r>
      <w:r>
        <w:rPr>
          <w:rFonts w:ascii="Calibri" w:eastAsia="Calibri" w:hAnsi="Calibri" w:cs="Calibri"/>
          <w:color w:val="000000" w:themeColor="text1"/>
        </w:rPr>
        <w:t>as a</w:t>
      </w:r>
      <w:r w:rsidRPr="6DD529ED">
        <w:rPr>
          <w:rFonts w:ascii="Calibri" w:eastAsia="Calibri" w:hAnsi="Calibri" w:cs="Calibri"/>
          <w:color w:val="000000" w:themeColor="text1"/>
        </w:rPr>
        <w:t xml:space="preserve"> critical enabler for the industrial, transport and other domestic sectors to reach net zero emissions objectives. </w:t>
      </w:r>
    </w:p>
    <w:p w14:paraId="260E607B" w14:textId="77777777" w:rsidR="00185909" w:rsidRPr="004D4768" w:rsidRDefault="00185909" w:rsidP="00540445">
      <w:pPr>
        <w:jc w:val="both"/>
        <w:rPr>
          <w:rFonts w:ascii="Calibri" w:eastAsia="Calibri" w:hAnsi="Calibri" w:cs="Calibri"/>
          <w:color w:val="000000" w:themeColor="text1"/>
        </w:rPr>
      </w:pPr>
      <w:r>
        <w:rPr>
          <w:rFonts w:ascii="Calibri" w:eastAsia="Calibri" w:hAnsi="Calibri" w:cs="Calibri"/>
          <w:color w:val="000000" w:themeColor="text1"/>
        </w:rPr>
        <w:t>E</w:t>
      </w:r>
      <w:r w:rsidRPr="6DD529ED">
        <w:rPr>
          <w:rFonts w:ascii="Calibri" w:eastAsia="Calibri" w:hAnsi="Calibri" w:cs="Calibri"/>
          <w:color w:val="000000" w:themeColor="text1"/>
        </w:rPr>
        <w:t>lectrification can</w:t>
      </w:r>
      <w:r>
        <w:rPr>
          <w:rFonts w:ascii="Calibri" w:eastAsia="Calibri" w:hAnsi="Calibri" w:cs="Calibri"/>
          <w:color w:val="000000" w:themeColor="text1"/>
        </w:rPr>
        <w:t xml:space="preserve"> also</w:t>
      </w:r>
      <w:r w:rsidRPr="6DD529ED">
        <w:rPr>
          <w:rFonts w:ascii="Calibri" w:eastAsia="Calibri" w:hAnsi="Calibri" w:cs="Calibri"/>
          <w:color w:val="000000" w:themeColor="text1"/>
        </w:rPr>
        <w:t xml:space="preserve"> improve efficiency of </w:t>
      </w:r>
      <w:r>
        <w:rPr>
          <w:rFonts w:ascii="Calibri" w:eastAsia="Calibri" w:hAnsi="Calibri" w:cs="Calibri"/>
          <w:color w:val="000000" w:themeColor="text1"/>
        </w:rPr>
        <w:t xml:space="preserve">processes and technologies, as </w:t>
      </w:r>
      <w:r w:rsidRPr="6DD529ED">
        <w:rPr>
          <w:rFonts w:ascii="Calibri" w:eastAsia="Calibri" w:hAnsi="Calibri" w:cs="Calibri"/>
          <w:color w:val="000000" w:themeColor="text1"/>
        </w:rPr>
        <w:t xml:space="preserve">electric technologies </w:t>
      </w:r>
      <w:r>
        <w:rPr>
          <w:rFonts w:ascii="Calibri" w:eastAsia="Calibri" w:hAnsi="Calibri" w:cs="Calibri"/>
          <w:color w:val="000000" w:themeColor="text1"/>
        </w:rPr>
        <w:t xml:space="preserve">are </w:t>
      </w:r>
      <w:r w:rsidRPr="6DD529ED">
        <w:rPr>
          <w:rFonts w:ascii="Calibri" w:eastAsia="Calibri" w:hAnsi="Calibri" w:cs="Calibri"/>
          <w:color w:val="000000" w:themeColor="text1"/>
        </w:rPr>
        <w:t xml:space="preserve">generally </w:t>
      </w:r>
      <w:r>
        <w:rPr>
          <w:rFonts w:ascii="Calibri" w:eastAsia="Calibri" w:hAnsi="Calibri" w:cs="Calibri"/>
          <w:color w:val="000000" w:themeColor="text1"/>
        </w:rPr>
        <w:t xml:space="preserve">more efficient </w:t>
      </w:r>
      <w:r w:rsidRPr="6DD529ED">
        <w:rPr>
          <w:rFonts w:ascii="Calibri" w:eastAsia="Calibri" w:hAnsi="Calibri" w:cs="Calibri"/>
          <w:color w:val="000000" w:themeColor="text1"/>
        </w:rPr>
        <w:t xml:space="preserve">than fossil fuel-based alternatives. </w:t>
      </w:r>
      <w:r>
        <w:rPr>
          <w:rFonts w:ascii="Calibri" w:eastAsia="Calibri" w:hAnsi="Calibri" w:cs="Calibri"/>
          <w:color w:val="000000" w:themeColor="text1"/>
        </w:rPr>
        <w:t>For example, electric vehicle</w:t>
      </w:r>
      <w:r w:rsidRPr="004D4768">
        <w:rPr>
          <w:rFonts w:ascii="Calibri" w:eastAsia="Calibri" w:hAnsi="Calibri" w:cs="Calibri"/>
          <w:color w:val="000000" w:themeColor="text1"/>
        </w:rPr>
        <w:t>s convert over 77</w:t>
      </w:r>
      <w:r>
        <w:rPr>
          <w:rFonts w:ascii="Calibri" w:eastAsia="Calibri" w:hAnsi="Calibri" w:cs="Calibri"/>
          <w:color w:val="000000" w:themeColor="text1"/>
        </w:rPr>
        <w:t>%</w:t>
      </w:r>
      <w:r w:rsidRPr="004D4768">
        <w:rPr>
          <w:rFonts w:ascii="Calibri" w:eastAsia="Calibri" w:hAnsi="Calibri" w:cs="Calibri"/>
          <w:color w:val="000000" w:themeColor="text1"/>
        </w:rPr>
        <w:t xml:space="preserve"> of the electrical energy from the grid to power at the wheels. Conventional gasoline vehicles only convert about 12–30</w:t>
      </w:r>
      <w:r>
        <w:rPr>
          <w:rFonts w:ascii="Calibri" w:eastAsia="Calibri" w:hAnsi="Calibri" w:cs="Calibri"/>
          <w:color w:val="000000" w:themeColor="text1"/>
        </w:rPr>
        <w:t>%</w:t>
      </w:r>
      <w:r w:rsidRPr="004D4768">
        <w:rPr>
          <w:rFonts w:ascii="Calibri" w:eastAsia="Calibri" w:hAnsi="Calibri" w:cs="Calibri"/>
          <w:color w:val="000000" w:themeColor="text1"/>
        </w:rPr>
        <w:t xml:space="preserve"> of the energy stored in gasoline to power at the wheels.</w:t>
      </w:r>
      <w:r>
        <w:rPr>
          <w:rStyle w:val="FootnoteReference"/>
          <w:rFonts w:ascii="Calibri" w:eastAsia="Calibri" w:hAnsi="Calibri" w:cs="Calibri"/>
          <w:color w:val="000000" w:themeColor="text1"/>
        </w:rPr>
        <w:footnoteReference w:id="22"/>
      </w:r>
    </w:p>
    <w:p w14:paraId="10981A71" w14:textId="41EA0787" w:rsidR="00185909" w:rsidRDefault="009965FD" w:rsidP="00540445">
      <w:pPr>
        <w:jc w:val="both"/>
        <w:rPr>
          <w:rFonts w:ascii="Calibri" w:eastAsia="Calibri" w:hAnsi="Calibri" w:cs="Calibri"/>
          <w:color w:val="000000" w:themeColor="text1"/>
        </w:rPr>
      </w:pPr>
      <w:r>
        <w:rPr>
          <w:rFonts w:ascii="Calibri" w:eastAsia="Calibri" w:hAnsi="Calibri" w:cs="Calibri"/>
          <w:color w:val="000000" w:themeColor="text1"/>
        </w:rPr>
        <w:t>Increasing e</w:t>
      </w:r>
      <w:r w:rsidR="00185909">
        <w:rPr>
          <w:rFonts w:ascii="Calibri" w:eastAsia="Calibri" w:hAnsi="Calibri" w:cs="Calibri"/>
          <w:color w:val="000000" w:themeColor="text1"/>
        </w:rPr>
        <w:t>lectrification will require significant expansion of Australia’s renewable electricity capacity and it will be important to have clear investment signals that support this expansion. This will require a range of policies that</w:t>
      </w:r>
      <w:r w:rsidR="00185909" w:rsidRPr="6DD529ED">
        <w:rPr>
          <w:rFonts w:ascii="Calibri" w:eastAsia="Calibri" w:hAnsi="Calibri" w:cs="Calibri"/>
          <w:color w:val="000000" w:themeColor="text1"/>
        </w:rPr>
        <w:t xml:space="preserve"> promote investment certainty to expand renewable electricity generation, </w:t>
      </w:r>
      <w:r w:rsidR="00874D37">
        <w:rPr>
          <w:rFonts w:ascii="Calibri" w:eastAsia="Calibri" w:hAnsi="Calibri" w:cs="Calibri"/>
          <w:color w:val="000000" w:themeColor="text1"/>
        </w:rPr>
        <w:t>which supports</w:t>
      </w:r>
      <w:r w:rsidR="00874D37" w:rsidRPr="6DD529ED">
        <w:rPr>
          <w:rFonts w:ascii="Calibri" w:eastAsia="Calibri" w:hAnsi="Calibri" w:cs="Calibri"/>
          <w:color w:val="000000" w:themeColor="text1"/>
        </w:rPr>
        <w:t xml:space="preserve"> </w:t>
      </w:r>
      <w:r w:rsidR="00185909" w:rsidRPr="6DD529ED">
        <w:rPr>
          <w:rFonts w:ascii="Calibri" w:eastAsia="Calibri" w:hAnsi="Calibri" w:cs="Calibri"/>
          <w:color w:val="000000" w:themeColor="text1"/>
        </w:rPr>
        <w:t>domestic energy affordability and reliability and Australia’s renewable energy superpower</w:t>
      </w:r>
      <w:r w:rsidR="00185909">
        <w:rPr>
          <w:rFonts w:ascii="Calibri" w:eastAsia="Calibri" w:hAnsi="Calibri" w:cs="Calibri"/>
          <w:color w:val="000000" w:themeColor="text1"/>
        </w:rPr>
        <w:t xml:space="preserve"> ambitions</w:t>
      </w:r>
      <w:r w:rsidR="00185909" w:rsidRPr="6DD529ED">
        <w:rPr>
          <w:rFonts w:ascii="Calibri" w:eastAsia="Calibri" w:hAnsi="Calibri" w:cs="Calibri"/>
          <w:color w:val="000000" w:themeColor="text1"/>
        </w:rPr>
        <w:t>.</w:t>
      </w:r>
    </w:p>
    <w:p w14:paraId="363B1DAB" w14:textId="10C29F73" w:rsidR="00185909" w:rsidRDefault="00185909" w:rsidP="00540445">
      <w:pPr>
        <w:jc w:val="both"/>
        <w:rPr>
          <w:rFonts w:ascii="Calibri" w:eastAsia="Calibri" w:hAnsi="Calibri" w:cs="Calibri"/>
          <w:color w:val="000000" w:themeColor="text1"/>
        </w:rPr>
      </w:pPr>
      <w:r>
        <w:t>To complement</w:t>
      </w:r>
      <w:r w:rsidR="00E3181A">
        <w:t xml:space="preserve"> increasing</w:t>
      </w:r>
      <w:r>
        <w:t xml:space="preserve"> electrification, broader improvements to energy performance will be critical to reduce overall electricity demand, improve energy reliability, and reduce emissions. These improvements can also help households manage their energy bills. The Australian Government is </w:t>
      </w:r>
      <w:r>
        <w:lastRenderedPageBreak/>
        <w:t>developing a</w:t>
      </w:r>
      <w:r w:rsidRPr="00B85201">
        <w:t xml:space="preserve"> National Energy Performance Strategy </w:t>
      </w:r>
      <w:r>
        <w:t>to</w:t>
      </w:r>
      <w:r w:rsidRPr="00B85201">
        <w:t xml:space="preserve"> </w:t>
      </w:r>
      <w:r>
        <w:t>accelerate and</w:t>
      </w:r>
      <w:r w:rsidRPr="00B85201">
        <w:t xml:space="preserve"> boost energy performanc</w:t>
      </w:r>
      <w:r>
        <w:t xml:space="preserve">e measures – the broad management </w:t>
      </w:r>
      <w:r w:rsidRPr="00EB3097">
        <w:t xml:space="preserve">of energy demand through energy efficiency, electrification or fuel switching, and demand flexibility. </w:t>
      </w:r>
      <w:r w:rsidRPr="00DA11E2">
        <w:t>Over the last decade, regulating and labelling appliances has saved Australian businesses and households between $12 to $18 billion in energy costs, saved between 45 to 67 terawatt-hours of energy consumption, and avoided the cumulative release of between 40 to 60 million tonnes of carbon dioxide.</w:t>
      </w:r>
      <w:r>
        <w:rPr>
          <w:rStyle w:val="FootnoteReference"/>
        </w:rPr>
        <w:footnoteReference w:id="23"/>
      </w:r>
    </w:p>
    <w:p w14:paraId="14EE00F1" w14:textId="77777777" w:rsidR="00185909" w:rsidRDefault="00185909" w:rsidP="00540445">
      <w:pPr>
        <w:jc w:val="both"/>
        <w:rPr>
          <w:rFonts w:ascii="Calibri" w:eastAsia="Calibri" w:hAnsi="Calibri" w:cs="Calibri"/>
          <w:color w:val="000000" w:themeColor="text1"/>
        </w:rPr>
      </w:pPr>
      <w:r>
        <w:rPr>
          <w:rFonts w:ascii="Calibri" w:eastAsia="Calibri" w:hAnsi="Calibri" w:cs="Calibri"/>
          <w:color w:val="000000" w:themeColor="text1"/>
        </w:rPr>
        <w:t>Flexible demand will be valuable in supporting electrification across the economy.</w:t>
      </w:r>
      <w:r w:rsidRPr="6DD529ED">
        <w:rPr>
          <w:rFonts w:ascii="Calibri" w:eastAsia="Calibri" w:hAnsi="Calibri" w:cs="Calibri"/>
          <w:color w:val="000000" w:themeColor="text1"/>
        </w:rPr>
        <w:t xml:space="preserve"> </w:t>
      </w:r>
      <w:r>
        <w:rPr>
          <w:rFonts w:ascii="Calibri" w:eastAsia="Calibri" w:hAnsi="Calibri" w:cs="Calibri"/>
          <w:color w:val="000000" w:themeColor="text1"/>
        </w:rPr>
        <w:t>Demand flexibility describes consumer’s capacity to shift or adjust their electricity use in response to market signals. Examples of demand flexibility include s</w:t>
      </w:r>
      <w:r w:rsidRPr="6DD529ED">
        <w:rPr>
          <w:rFonts w:ascii="Calibri" w:eastAsia="Calibri" w:hAnsi="Calibri" w:cs="Calibri"/>
          <w:color w:val="000000" w:themeColor="text1"/>
        </w:rPr>
        <w:t>mart electrification technologies</w:t>
      </w:r>
      <w:r>
        <w:rPr>
          <w:rFonts w:ascii="Calibri" w:eastAsia="Calibri" w:hAnsi="Calibri" w:cs="Calibri"/>
          <w:color w:val="000000" w:themeColor="text1"/>
        </w:rPr>
        <w:t xml:space="preserve">, </w:t>
      </w:r>
      <w:r w:rsidRPr="6DD529ED">
        <w:rPr>
          <w:rFonts w:ascii="Calibri" w:eastAsia="Calibri" w:hAnsi="Calibri" w:cs="Calibri"/>
          <w:color w:val="000000" w:themeColor="text1"/>
        </w:rPr>
        <w:t>such as orchestrated water heaters, electric vehicle chargers, and digitalised control systems</w:t>
      </w:r>
      <w:r>
        <w:rPr>
          <w:rFonts w:ascii="Calibri" w:eastAsia="Calibri" w:hAnsi="Calibri" w:cs="Calibri"/>
          <w:color w:val="000000" w:themeColor="text1"/>
        </w:rPr>
        <w:t>.</w:t>
      </w:r>
      <w:r>
        <w:rPr>
          <w:rStyle w:val="FootnoteReference"/>
          <w:rFonts w:ascii="Calibri" w:eastAsia="Calibri" w:hAnsi="Calibri" w:cs="Calibri"/>
          <w:color w:val="000000" w:themeColor="text1"/>
        </w:rPr>
        <w:footnoteReference w:id="24"/>
      </w:r>
      <w:r>
        <w:rPr>
          <w:rFonts w:ascii="Calibri" w:eastAsia="Calibri" w:hAnsi="Calibri" w:cs="Calibri"/>
          <w:color w:val="000000" w:themeColor="text1"/>
        </w:rPr>
        <w:t xml:space="preserve"> </w:t>
      </w:r>
      <w:r w:rsidRPr="6DD529ED">
        <w:rPr>
          <w:rFonts w:ascii="Calibri" w:eastAsia="Calibri" w:hAnsi="Calibri" w:cs="Calibri"/>
          <w:color w:val="000000" w:themeColor="text1"/>
        </w:rPr>
        <w:t>By shifting load to the times when renewable energy is abundant and inexpensive, we can make better use of the available energy sources</w:t>
      </w:r>
      <w:r>
        <w:rPr>
          <w:rFonts w:ascii="Calibri" w:eastAsia="Calibri" w:hAnsi="Calibri" w:cs="Calibri"/>
          <w:color w:val="000000" w:themeColor="text1"/>
        </w:rPr>
        <w:t xml:space="preserve">, </w:t>
      </w:r>
      <w:r w:rsidRPr="6DD529ED">
        <w:rPr>
          <w:rFonts w:ascii="Calibri" w:eastAsia="Calibri" w:hAnsi="Calibri" w:cs="Calibri"/>
          <w:color w:val="000000" w:themeColor="text1"/>
        </w:rPr>
        <w:t>better utilise our energy assets</w:t>
      </w:r>
      <w:r>
        <w:rPr>
          <w:rFonts w:ascii="Calibri" w:eastAsia="Calibri" w:hAnsi="Calibri" w:cs="Calibri"/>
          <w:color w:val="000000" w:themeColor="text1"/>
        </w:rPr>
        <w:t xml:space="preserve"> and reduce systems costs for all users</w:t>
      </w:r>
      <w:r w:rsidRPr="6DD529ED">
        <w:rPr>
          <w:rFonts w:ascii="Calibri" w:eastAsia="Calibri" w:hAnsi="Calibri" w:cs="Calibri"/>
          <w:color w:val="000000" w:themeColor="text1"/>
        </w:rPr>
        <w:t xml:space="preserve">. </w:t>
      </w:r>
    </w:p>
    <w:p w14:paraId="09A6CC89" w14:textId="77777777" w:rsidR="00185909" w:rsidRDefault="00185909" w:rsidP="00540445">
      <w:pPr>
        <w:jc w:val="both"/>
        <w:rPr>
          <w:rFonts w:ascii="Calibri" w:eastAsia="Calibri" w:hAnsi="Calibri" w:cs="Calibri"/>
          <w:color w:val="000000" w:themeColor="text1"/>
          <w:u w:val="single"/>
        </w:rPr>
      </w:pPr>
      <w:r w:rsidRPr="6DD529ED">
        <w:rPr>
          <w:rFonts w:ascii="Calibri" w:eastAsia="Calibri" w:hAnsi="Calibri" w:cs="Calibri"/>
          <w:color w:val="000000" w:themeColor="text1"/>
        </w:rPr>
        <w:t>Embedding smart technologies as we electrify can also help o</w:t>
      </w:r>
      <w:r w:rsidRPr="007A2687">
        <w:rPr>
          <w:rFonts w:ascii="Calibri" w:eastAsia="Calibri" w:hAnsi="Calibri" w:cs="Calibri"/>
          <w:color w:val="000000" w:themeColor="text1"/>
        </w:rPr>
        <w:t>ptimise the way we manage demand – reducing the cost and impact of additional electricity infrastructure.</w:t>
      </w:r>
      <w:r w:rsidRPr="00C964DF">
        <w:rPr>
          <w:rFonts w:ascii="Calibri" w:eastAsia="Calibri" w:hAnsi="Calibri" w:cs="Calibri"/>
          <w:color w:val="000000" w:themeColor="text1"/>
        </w:rPr>
        <w:t xml:space="preserve"> Emerging technologies like artificial intelligence, machine learning and quantum computing present opportunities to improve </w:t>
      </w:r>
      <w:r w:rsidRPr="007A2687">
        <w:rPr>
          <w:rFonts w:ascii="Calibri" w:eastAsia="Calibri" w:hAnsi="Calibri" w:cs="Calibri"/>
          <w:color w:val="000000" w:themeColor="text1"/>
        </w:rPr>
        <w:t xml:space="preserve">management </w:t>
      </w:r>
      <w:r w:rsidRPr="00C964DF">
        <w:rPr>
          <w:rFonts w:ascii="Calibri" w:eastAsia="Calibri" w:hAnsi="Calibri" w:cs="Calibri"/>
          <w:color w:val="000000" w:themeColor="text1"/>
        </w:rPr>
        <w:t>and use of energy – for example, by facilitating predictive maintenance and enabling smart demand-response systems.</w:t>
      </w:r>
    </w:p>
    <w:p w14:paraId="5F0152F9" w14:textId="0938FDE7" w:rsidR="00185909" w:rsidRPr="00B61D55" w:rsidRDefault="00185909" w:rsidP="001F14C4">
      <w:pPr>
        <w:pStyle w:val="Heading3"/>
        <w:rPr>
          <w:rFonts w:eastAsia="Calibri" w:cs="Calibri"/>
          <w:color w:val="000000" w:themeColor="text1"/>
        </w:rPr>
      </w:pPr>
      <w:bookmarkStart w:id="61" w:name="_Toc157518309"/>
      <w:bookmarkStart w:id="62" w:name="_Toc160467023"/>
      <w:bookmarkStart w:id="63" w:name="_Toc160467796"/>
      <w:bookmarkStart w:id="64" w:name="_Toc160544735"/>
      <w:bookmarkStart w:id="65" w:name="_Toc160544904"/>
      <w:bookmarkStart w:id="66" w:name="_Toc160550410"/>
      <w:bookmarkStart w:id="67" w:name="_Toc160623583"/>
      <w:bookmarkStart w:id="68" w:name="_Toc160699607"/>
      <w:bookmarkStart w:id="69" w:name="_Toc161306041"/>
      <w:r w:rsidRPr="00B61D55">
        <w:t>Working together across the economy will be important in driving electrification</w:t>
      </w:r>
      <w:bookmarkEnd w:id="61"/>
      <w:bookmarkEnd w:id="62"/>
      <w:bookmarkEnd w:id="63"/>
      <w:bookmarkEnd w:id="64"/>
      <w:bookmarkEnd w:id="65"/>
      <w:bookmarkEnd w:id="66"/>
      <w:bookmarkEnd w:id="67"/>
      <w:bookmarkEnd w:id="68"/>
      <w:bookmarkEnd w:id="69"/>
    </w:p>
    <w:p w14:paraId="50D904EE" w14:textId="77777777" w:rsidR="00185909" w:rsidRDefault="00185909" w:rsidP="00540445">
      <w:pPr>
        <w:jc w:val="both"/>
        <w:rPr>
          <w:rFonts w:ascii="Calibri" w:eastAsia="Calibri" w:hAnsi="Calibri" w:cs="Calibri"/>
          <w:color w:val="000000" w:themeColor="text1"/>
        </w:rPr>
      </w:pPr>
      <w:r w:rsidRPr="6DD529ED">
        <w:rPr>
          <w:rFonts w:ascii="Calibri" w:eastAsia="Calibri" w:hAnsi="Calibri" w:cs="Calibri"/>
          <w:color w:val="000000" w:themeColor="text1"/>
        </w:rPr>
        <w:t>Governments, energy sector advocates, large energy users, and consumers will have important roles in supporting electrification.</w:t>
      </w:r>
    </w:p>
    <w:p w14:paraId="309EFC92" w14:textId="0324AE57" w:rsidR="00185909" w:rsidRDefault="00185909" w:rsidP="00540445">
      <w:pPr>
        <w:jc w:val="both"/>
        <w:rPr>
          <w:rFonts w:ascii="Calibri" w:eastAsia="Calibri" w:hAnsi="Calibri" w:cs="Calibri"/>
          <w:color w:val="000000" w:themeColor="text1"/>
        </w:rPr>
      </w:pPr>
      <w:r w:rsidRPr="6DD529ED">
        <w:rPr>
          <w:rFonts w:ascii="Calibri" w:eastAsia="Calibri" w:hAnsi="Calibri" w:cs="Calibri"/>
          <w:color w:val="000000" w:themeColor="text1"/>
        </w:rPr>
        <w:t>The Australian Government will play an important role in providing policy certainty to ensure our energy systems are equipped to manage increased electricity demand</w:t>
      </w:r>
      <w:r w:rsidR="006D05C8">
        <w:rPr>
          <w:rFonts w:ascii="Calibri" w:eastAsia="Calibri" w:hAnsi="Calibri" w:cs="Calibri"/>
          <w:color w:val="000000" w:themeColor="text1"/>
        </w:rPr>
        <w:t>, including from increased electrification</w:t>
      </w:r>
      <w:r w:rsidRPr="6DD529ED">
        <w:rPr>
          <w:rFonts w:ascii="Calibri" w:eastAsia="Calibri" w:hAnsi="Calibri" w:cs="Calibri"/>
          <w:color w:val="000000" w:themeColor="text1"/>
        </w:rPr>
        <w:t>. State and territor</w:t>
      </w:r>
      <w:r>
        <w:rPr>
          <w:rFonts w:ascii="Calibri" w:eastAsia="Calibri" w:hAnsi="Calibri" w:cs="Calibri"/>
          <w:color w:val="000000" w:themeColor="text1"/>
        </w:rPr>
        <w:t>y governments</w:t>
      </w:r>
      <w:r w:rsidRPr="6DD529ED">
        <w:rPr>
          <w:rFonts w:ascii="Calibri" w:eastAsia="Calibri" w:hAnsi="Calibri" w:cs="Calibri"/>
          <w:color w:val="000000" w:themeColor="text1"/>
        </w:rPr>
        <w:t xml:space="preserve"> will </w:t>
      </w:r>
      <w:r w:rsidRPr="6DD529ED" w:rsidDel="00DE4459">
        <w:rPr>
          <w:rFonts w:ascii="Calibri" w:eastAsia="Calibri" w:hAnsi="Calibri" w:cs="Calibri"/>
          <w:color w:val="000000" w:themeColor="text1"/>
        </w:rPr>
        <w:t>continue to p</w:t>
      </w:r>
      <w:r w:rsidDel="00DE4459">
        <w:rPr>
          <w:rFonts w:ascii="Calibri" w:eastAsia="Calibri" w:hAnsi="Calibri" w:cs="Calibri"/>
          <w:color w:val="000000" w:themeColor="text1"/>
        </w:rPr>
        <w:t>lay</w:t>
      </w:r>
      <w:r w:rsidRPr="6DD529ED" w:rsidDel="00DE4459">
        <w:rPr>
          <w:rFonts w:ascii="Calibri" w:eastAsia="Calibri" w:hAnsi="Calibri" w:cs="Calibri"/>
          <w:color w:val="000000" w:themeColor="text1"/>
        </w:rPr>
        <w:t xml:space="preserve"> </w:t>
      </w:r>
      <w:r>
        <w:rPr>
          <w:rFonts w:ascii="Calibri" w:eastAsia="Calibri" w:hAnsi="Calibri" w:cs="Calibri"/>
          <w:color w:val="000000" w:themeColor="text1"/>
        </w:rPr>
        <w:t>an integral</w:t>
      </w:r>
      <w:r w:rsidRPr="6DD529ED" w:rsidDel="00DE4459">
        <w:rPr>
          <w:rFonts w:ascii="Calibri" w:eastAsia="Calibri" w:hAnsi="Calibri" w:cs="Calibri"/>
          <w:color w:val="000000" w:themeColor="text1"/>
        </w:rPr>
        <w:t xml:space="preserve"> </w:t>
      </w:r>
      <w:r w:rsidRPr="6DD529ED">
        <w:rPr>
          <w:rFonts w:ascii="Calibri" w:eastAsia="Calibri" w:hAnsi="Calibri" w:cs="Calibri"/>
          <w:color w:val="000000" w:themeColor="text1"/>
        </w:rPr>
        <w:t xml:space="preserve">role in supporting the transition of our energy networks and have responsibility for policies and programs which may impact the speed of transition. </w:t>
      </w:r>
    </w:p>
    <w:p w14:paraId="5E4C4C45" w14:textId="77777777" w:rsidR="00185909" w:rsidRDefault="00185909" w:rsidP="00540445">
      <w:pPr>
        <w:jc w:val="both"/>
        <w:rPr>
          <w:rFonts w:ascii="Calibri" w:eastAsia="Calibri" w:hAnsi="Calibri" w:cs="Calibri"/>
          <w:color w:val="000000" w:themeColor="text1"/>
        </w:rPr>
      </w:pPr>
      <w:r w:rsidRPr="6DD529ED">
        <w:rPr>
          <w:rFonts w:ascii="Calibri" w:eastAsia="Calibri" w:hAnsi="Calibri" w:cs="Calibri"/>
          <w:color w:val="000000" w:themeColor="text1"/>
        </w:rPr>
        <w:t>Transmission and distribution network service providers and private investors will drive improvements in electricity infrastructure to ensure access to reliable and secure electricity as electrification accelerates. Network providers and retailers can also empower their customers to electrify, by helping to identify opportunities and providing information on the benefits of electrification</w:t>
      </w:r>
      <w:r>
        <w:rPr>
          <w:rFonts w:ascii="Calibri" w:eastAsia="Calibri" w:hAnsi="Calibri" w:cs="Calibri"/>
          <w:color w:val="000000" w:themeColor="text1"/>
        </w:rPr>
        <w:t>.</w:t>
      </w:r>
      <w:r>
        <w:rPr>
          <w:rStyle w:val="FootnoteReference"/>
          <w:rFonts w:ascii="Calibri" w:eastAsia="Calibri" w:hAnsi="Calibri" w:cs="Calibri"/>
          <w:color w:val="000000" w:themeColor="text1"/>
        </w:rPr>
        <w:footnoteReference w:id="25"/>
      </w:r>
    </w:p>
    <w:p w14:paraId="3016EE1A" w14:textId="77777777" w:rsidR="00185909" w:rsidRDefault="00185909" w:rsidP="00540445">
      <w:pPr>
        <w:jc w:val="both"/>
        <w:rPr>
          <w:rFonts w:ascii="Calibri" w:eastAsia="Calibri" w:hAnsi="Calibri" w:cs="Calibri"/>
          <w:color w:val="000000" w:themeColor="text1"/>
        </w:rPr>
      </w:pPr>
      <w:r w:rsidRPr="6DD529ED">
        <w:rPr>
          <w:rFonts w:ascii="Calibri" w:eastAsia="Calibri" w:hAnsi="Calibri" w:cs="Calibri"/>
          <w:color w:val="000000" w:themeColor="text1"/>
        </w:rPr>
        <w:t xml:space="preserve">Households, </w:t>
      </w:r>
      <w:proofErr w:type="gramStart"/>
      <w:r w:rsidRPr="6DD529ED">
        <w:rPr>
          <w:rFonts w:ascii="Calibri" w:eastAsia="Calibri" w:hAnsi="Calibri" w:cs="Calibri"/>
          <w:color w:val="000000" w:themeColor="text1"/>
        </w:rPr>
        <w:t>businesses</w:t>
      </w:r>
      <w:proofErr w:type="gramEnd"/>
      <w:r w:rsidRPr="6DD529ED">
        <w:rPr>
          <w:rFonts w:ascii="Calibri" w:eastAsia="Calibri" w:hAnsi="Calibri" w:cs="Calibri"/>
          <w:color w:val="000000" w:themeColor="text1"/>
        </w:rPr>
        <w:t xml:space="preserve"> and industries have </w:t>
      </w:r>
      <w:r>
        <w:rPr>
          <w:rFonts w:ascii="Calibri" w:eastAsia="Calibri" w:hAnsi="Calibri" w:cs="Calibri"/>
          <w:color w:val="000000" w:themeColor="text1"/>
        </w:rPr>
        <w:t>already</w:t>
      </w:r>
      <w:r w:rsidRPr="6DD529ED">
        <w:rPr>
          <w:rFonts w:ascii="Calibri" w:eastAsia="Calibri" w:hAnsi="Calibri" w:cs="Calibri"/>
          <w:color w:val="000000" w:themeColor="text1"/>
        </w:rPr>
        <w:t xml:space="preserve"> invest</w:t>
      </w:r>
      <w:r>
        <w:rPr>
          <w:rFonts w:ascii="Calibri" w:eastAsia="Calibri" w:hAnsi="Calibri" w:cs="Calibri"/>
          <w:color w:val="000000" w:themeColor="text1"/>
        </w:rPr>
        <w:t>ed significantly</w:t>
      </w:r>
      <w:r w:rsidRPr="6DD529ED">
        <w:rPr>
          <w:rFonts w:ascii="Calibri" w:eastAsia="Calibri" w:hAnsi="Calibri" w:cs="Calibri"/>
          <w:color w:val="000000" w:themeColor="text1"/>
        </w:rPr>
        <w:t xml:space="preserve"> in electrification to take advantage</w:t>
      </w:r>
      <w:r>
        <w:rPr>
          <w:rFonts w:ascii="Calibri" w:eastAsia="Calibri" w:hAnsi="Calibri" w:cs="Calibri"/>
          <w:color w:val="000000" w:themeColor="text1"/>
        </w:rPr>
        <w:t xml:space="preserve"> of </w:t>
      </w:r>
      <w:r w:rsidRPr="6DD529ED">
        <w:rPr>
          <w:rFonts w:ascii="Calibri" w:eastAsia="Calibri" w:hAnsi="Calibri" w:cs="Calibri"/>
          <w:color w:val="000000" w:themeColor="text1"/>
        </w:rPr>
        <w:t>cost benefits</w:t>
      </w:r>
      <w:r>
        <w:rPr>
          <w:rFonts w:ascii="Calibri" w:eastAsia="Calibri" w:hAnsi="Calibri" w:cs="Calibri"/>
          <w:color w:val="000000" w:themeColor="text1"/>
        </w:rPr>
        <w:t xml:space="preserve"> and reduce their emissions</w:t>
      </w:r>
      <w:r w:rsidRPr="6DD529ED" w:rsidDel="005419AF">
        <w:rPr>
          <w:rFonts w:ascii="Calibri" w:eastAsia="Calibri" w:hAnsi="Calibri" w:cs="Calibri"/>
          <w:color w:val="000000" w:themeColor="text1"/>
        </w:rPr>
        <w:t>.</w:t>
      </w:r>
      <w:r w:rsidRPr="6DD529ED">
        <w:rPr>
          <w:rFonts w:ascii="Calibri" w:eastAsia="Calibri" w:hAnsi="Calibri" w:cs="Calibri"/>
          <w:color w:val="000000" w:themeColor="text1"/>
        </w:rPr>
        <w:t xml:space="preserve"> Residential and commercial energy consumers are investing in energy efficient electrical appliances and heating solutions, while rapidly installing </w:t>
      </w:r>
      <w:r w:rsidRPr="6DD529ED">
        <w:rPr>
          <w:rFonts w:ascii="Calibri" w:eastAsia="Calibri" w:hAnsi="Calibri" w:cs="Calibri"/>
          <w:color w:val="000000" w:themeColor="text1"/>
        </w:rPr>
        <w:lastRenderedPageBreak/>
        <w:t>rooftop solar and residential storage. The electrification of high energy demand sectors – including the industrial and the transport sectors – will require rapid and sustained expansion of Australia’s energy systems.</w:t>
      </w:r>
    </w:p>
    <w:p w14:paraId="7AB918A9" w14:textId="77777777" w:rsidR="00185909" w:rsidRDefault="00185909" w:rsidP="00540445">
      <w:pPr>
        <w:jc w:val="both"/>
        <w:rPr>
          <w:rFonts w:ascii="Calibri" w:eastAsia="Calibri" w:hAnsi="Calibri" w:cs="Calibri"/>
          <w:color w:val="000000" w:themeColor="text1"/>
        </w:rPr>
      </w:pPr>
      <w:r w:rsidRPr="6DD529ED">
        <w:rPr>
          <w:rFonts w:ascii="Calibri" w:eastAsia="Calibri" w:hAnsi="Calibri" w:cs="Calibri"/>
          <w:color w:val="000000" w:themeColor="text1"/>
        </w:rPr>
        <w:t xml:space="preserve">Barriers to electrification are not consistent across consumer cohorts – for example, renters lack the autonomy to choose to electrify their homes, while </w:t>
      </w:r>
      <w:r>
        <w:rPr>
          <w:rFonts w:ascii="Calibri" w:eastAsia="Calibri" w:hAnsi="Calibri" w:cs="Calibri"/>
          <w:color w:val="000000" w:themeColor="text1"/>
        </w:rPr>
        <w:t>technology constraints</w:t>
      </w:r>
      <w:r w:rsidRPr="6DD529ED">
        <w:rPr>
          <w:rFonts w:ascii="Calibri" w:eastAsia="Calibri" w:hAnsi="Calibri" w:cs="Calibri"/>
          <w:color w:val="000000" w:themeColor="text1"/>
        </w:rPr>
        <w:t xml:space="preserve"> may prevent </w:t>
      </w:r>
      <w:r>
        <w:rPr>
          <w:rFonts w:ascii="Calibri" w:eastAsia="Calibri" w:hAnsi="Calibri" w:cs="Calibri"/>
          <w:color w:val="000000" w:themeColor="text1"/>
        </w:rPr>
        <w:t>some industrial users from electrifying</w:t>
      </w:r>
      <w:r w:rsidRPr="6DD529ED">
        <w:rPr>
          <w:rFonts w:ascii="Calibri" w:eastAsia="Calibri" w:hAnsi="Calibri" w:cs="Calibri"/>
          <w:color w:val="000000" w:themeColor="text1"/>
        </w:rPr>
        <w:t xml:space="preserve">. </w:t>
      </w:r>
      <w:r>
        <w:rPr>
          <w:rFonts w:ascii="Calibri" w:eastAsia="Calibri" w:hAnsi="Calibri" w:cs="Calibri"/>
          <w:color w:val="000000" w:themeColor="text1"/>
        </w:rPr>
        <w:t>First Nations households may face additional barriers to electrification. More than half of First Nations households lived in private rentals or in social and community housing in 2021,</w:t>
      </w:r>
      <w:r>
        <w:rPr>
          <w:rStyle w:val="FootnoteReference"/>
          <w:rFonts w:ascii="Calibri" w:eastAsia="Calibri" w:hAnsi="Calibri" w:cs="Calibri"/>
          <w:color w:val="000000" w:themeColor="text1"/>
        </w:rPr>
        <w:footnoteReference w:id="26"/>
      </w:r>
      <w:r>
        <w:rPr>
          <w:rFonts w:ascii="Calibri" w:eastAsia="Calibri" w:hAnsi="Calibri" w:cs="Calibri"/>
          <w:color w:val="000000" w:themeColor="text1"/>
        </w:rPr>
        <w:t xml:space="preserve"> compared to just under a third of Australians in the same year.</w:t>
      </w:r>
      <w:r>
        <w:rPr>
          <w:rStyle w:val="FootnoteReference"/>
          <w:rFonts w:ascii="Calibri" w:eastAsia="Calibri" w:hAnsi="Calibri" w:cs="Calibri"/>
          <w:color w:val="000000" w:themeColor="text1"/>
        </w:rPr>
        <w:footnoteReference w:id="27"/>
      </w:r>
      <w:r>
        <w:rPr>
          <w:rFonts w:ascii="Calibri" w:eastAsia="Calibri" w:hAnsi="Calibri" w:cs="Calibri"/>
          <w:color w:val="000000" w:themeColor="text1"/>
        </w:rPr>
        <w:t xml:space="preserve"> </w:t>
      </w:r>
      <w:r w:rsidRPr="6DD529ED">
        <w:rPr>
          <w:rFonts w:ascii="Calibri" w:eastAsia="Calibri" w:hAnsi="Calibri" w:cs="Calibri"/>
          <w:color w:val="000000" w:themeColor="text1"/>
        </w:rPr>
        <w:t xml:space="preserve">The Australian Government will work to identify and address specific barriers to these cohorts through each </w:t>
      </w:r>
      <w:r>
        <w:rPr>
          <w:rFonts w:ascii="Calibri" w:eastAsia="Calibri" w:hAnsi="Calibri" w:cs="Calibri"/>
          <w:color w:val="000000" w:themeColor="text1"/>
        </w:rPr>
        <w:t>of the</w:t>
      </w:r>
      <w:r w:rsidRPr="6DD529ED">
        <w:rPr>
          <w:rFonts w:ascii="Calibri" w:eastAsia="Calibri" w:hAnsi="Calibri" w:cs="Calibri"/>
          <w:color w:val="000000" w:themeColor="text1"/>
        </w:rPr>
        <w:t xml:space="preserve"> sector</w:t>
      </w:r>
      <w:r>
        <w:rPr>
          <w:rFonts w:ascii="Calibri" w:eastAsia="Calibri" w:hAnsi="Calibri" w:cs="Calibri"/>
          <w:color w:val="000000" w:themeColor="text1"/>
        </w:rPr>
        <w:t>al</w:t>
      </w:r>
      <w:r w:rsidRPr="6DD529ED">
        <w:rPr>
          <w:rFonts w:ascii="Calibri" w:eastAsia="Calibri" w:hAnsi="Calibri" w:cs="Calibri"/>
          <w:color w:val="000000" w:themeColor="text1"/>
        </w:rPr>
        <w:t xml:space="preserve"> plans.</w:t>
      </w:r>
    </w:p>
    <w:p w14:paraId="29F3F498" w14:textId="09D48455" w:rsidR="00185909" w:rsidRPr="00B93FB6" w:rsidRDefault="00185909" w:rsidP="001F14C4">
      <w:pPr>
        <w:pStyle w:val="Heading3"/>
        <w:rPr>
          <w:rFonts w:eastAsia="Calibri" w:cs="Calibri"/>
          <w:color w:val="000000" w:themeColor="text1"/>
        </w:rPr>
      </w:pPr>
      <w:bookmarkStart w:id="70" w:name="_Toc157518310"/>
      <w:bookmarkStart w:id="71" w:name="_Toc160467024"/>
      <w:bookmarkStart w:id="72" w:name="_Toc160467797"/>
      <w:bookmarkStart w:id="73" w:name="_Toc160544736"/>
      <w:bookmarkStart w:id="74" w:name="_Toc160544905"/>
      <w:bookmarkStart w:id="75" w:name="_Toc160550411"/>
      <w:bookmarkStart w:id="76" w:name="_Toc160623584"/>
      <w:bookmarkStart w:id="77" w:name="_Toc160699608"/>
      <w:bookmarkStart w:id="78" w:name="_Toc161306042"/>
      <w:r w:rsidRPr="00B93FB6">
        <w:t>Electrification of Australia’s economy will require careful planning</w:t>
      </w:r>
      <w:bookmarkEnd w:id="70"/>
      <w:bookmarkEnd w:id="71"/>
      <w:bookmarkEnd w:id="72"/>
      <w:bookmarkEnd w:id="73"/>
      <w:bookmarkEnd w:id="74"/>
      <w:bookmarkEnd w:id="75"/>
      <w:bookmarkEnd w:id="76"/>
      <w:bookmarkEnd w:id="77"/>
      <w:bookmarkEnd w:id="78"/>
    </w:p>
    <w:p w14:paraId="0EFB45F6" w14:textId="77777777" w:rsidR="00185909" w:rsidRDefault="00185909" w:rsidP="00540445">
      <w:pPr>
        <w:jc w:val="both"/>
        <w:rPr>
          <w:rFonts w:ascii="Calibri" w:eastAsia="Calibri" w:hAnsi="Calibri" w:cs="Calibri"/>
          <w:color w:val="000000" w:themeColor="text1"/>
        </w:rPr>
      </w:pPr>
      <w:r w:rsidRPr="00AF7BEC">
        <w:rPr>
          <w:rFonts w:ascii="Calibri" w:eastAsia="Calibri" w:hAnsi="Calibri" w:cs="Calibri"/>
          <w:color w:val="000000" w:themeColor="text1"/>
        </w:rPr>
        <w:t xml:space="preserve">Electrification is already occurring across the economy, and our energy systems will need to adapt to effectively manage the increased demand. </w:t>
      </w:r>
    </w:p>
    <w:p w14:paraId="58B7A091" w14:textId="737C0A75" w:rsidR="00185909" w:rsidRDefault="00185909" w:rsidP="00540445">
      <w:pPr>
        <w:jc w:val="both"/>
        <w:rPr>
          <w:rFonts w:ascii="Calibri" w:eastAsia="Calibri" w:hAnsi="Calibri" w:cs="Calibri"/>
          <w:color w:val="000000" w:themeColor="text1"/>
        </w:rPr>
      </w:pPr>
      <w:r w:rsidRPr="00AF7BEC">
        <w:rPr>
          <w:rFonts w:ascii="Calibri" w:eastAsia="Calibri" w:hAnsi="Calibri" w:cs="Calibri"/>
          <w:color w:val="000000" w:themeColor="text1"/>
        </w:rPr>
        <w:t>AEMO</w:t>
      </w:r>
      <w:r>
        <w:rPr>
          <w:rFonts w:ascii="Calibri" w:eastAsia="Calibri" w:hAnsi="Calibri" w:cs="Calibri"/>
          <w:color w:val="000000" w:themeColor="text1"/>
        </w:rPr>
        <w:t>’s</w:t>
      </w:r>
      <w:r w:rsidRPr="00AF7BEC">
        <w:rPr>
          <w:rFonts w:ascii="Calibri" w:eastAsia="Calibri" w:hAnsi="Calibri" w:cs="Calibri"/>
          <w:color w:val="000000" w:themeColor="text1"/>
        </w:rPr>
        <w:t xml:space="preserve"> I</w:t>
      </w:r>
      <w:r w:rsidR="005320C1">
        <w:rPr>
          <w:rFonts w:ascii="Calibri" w:eastAsia="Calibri" w:hAnsi="Calibri" w:cs="Calibri"/>
          <w:color w:val="000000" w:themeColor="text1"/>
        </w:rPr>
        <w:t xml:space="preserve">ntegrated </w:t>
      </w:r>
      <w:r w:rsidRPr="00AF7BEC">
        <w:rPr>
          <w:rFonts w:ascii="Calibri" w:eastAsia="Calibri" w:hAnsi="Calibri" w:cs="Calibri"/>
          <w:color w:val="000000" w:themeColor="text1"/>
        </w:rPr>
        <w:t>S</w:t>
      </w:r>
      <w:r w:rsidR="005320C1">
        <w:rPr>
          <w:rFonts w:ascii="Calibri" w:eastAsia="Calibri" w:hAnsi="Calibri" w:cs="Calibri"/>
          <w:color w:val="000000" w:themeColor="text1"/>
        </w:rPr>
        <w:t xml:space="preserve">ystem </w:t>
      </w:r>
      <w:r w:rsidRPr="00AF7BEC">
        <w:rPr>
          <w:rFonts w:ascii="Calibri" w:eastAsia="Calibri" w:hAnsi="Calibri" w:cs="Calibri"/>
          <w:color w:val="000000" w:themeColor="text1"/>
        </w:rPr>
        <w:t>P</w:t>
      </w:r>
      <w:r w:rsidR="005320C1">
        <w:rPr>
          <w:rFonts w:ascii="Calibri" w:eastAsia="Calibri" w:hAnsi="Calibri" w:cs="Calibri"/>
          <w:color w:val="000000" w:themeColor="text1"/>
        </w:rPr>
        <w:t>lan (ISP)</w:t>
      </w:r>
      <w:r w:rsidRPr="00AF7BEC">
        <w:rPr>
          <w:rFonts w:ascii="Calibri" w:eastAsia="Calibri" w:hAnsi="Calibri" w:cs="Calibri"/>
          <w:color w:val="000000" w:themeColor="text1"/>
        </w:rPr>
        <w:t xml:space="preserve"> provides a roadmap for the efficient development of the National Electricity Market (NEM) through designing the lowest cost, secure and reliable energy system capable of meeting Australia’s emission reduction targets. </w:t>
      </w:r>
      <w:r>
        <w:rPr>
          <w:rFonts w:ascii="Calibri" w:eastAsia="Calibri" w:hAnsi="Calibri" w:cs="Calibri"/>
          <w:color w:val="000000" w:themeColor="text1"/>
        </w:rPr>
        <w:t xml:space="preserve">In the </w:t>
      </w:r>
      <w:hyperlink r:id="rId26" w:history="1">
        <w:r w:rsidRPr="00CD4FED">
          <w:rPr>
            <w:rStyle w:val="Hyperlink"/>
            <w:rFonts w:ascii="Calibri" w:eastAsia="Calibri" w:hAnsi="Calibri" w:cs="Calibri"/>
          </w:rPr>
          <w:t>Draft 2024 ISP</w:t>
        </w:r>
      </w:hyperlink>
      <w:r>
        <w:rPr>
          <w:rFonts w:ascii="Calibri" w:eastAsia="Calibri" w:hAnsi="Calibri" w:cs="Calibri"/>
          <w:color w:val="000000" w:themeColor="text1"/>
        </w:rPr>
        <w:t>, AEMO estimates that residential electricity consumption from electrification (electric heating and cooking processes) and electric vehicles will be 0.33 TWh in 2023-24. Under the</w:t>
      </w:r>
      <w:r w:rsidR="00CD4FED">
        <w:rPr>
          <w:rFonts w:ascii="Calibri" w:eastAsia="Calibri" w:hAnsi="Calibri" w:cs="Calibri"/>
          <w:color w:val="000000" w:themeColor="text1"/>
        </w:rPr>
        <w:t xml:space="preserve"> ISP’s</w:t>
      </w:r>
      <w:r>
        <w:rPr>
          <w:rFonts w:ascii="Calibri" w:eastAsia="Calibri" w:hAnsi="Calibri" w:cs="Calibri"/>
          <w:color w:val="000000" w:themeColor="text1"/>
        </w:rPr>
        <w:t xml:space="preserve"> </w:t>
      </w:r>
      <w:r>
        <w:rPr>
          <w:rFonts w:ascii="Calibri" w:eastAsia="Calibri" w:hAnsi="Calibri" w:cs="Calibri"/>
          <w:i/>
          <w:iCs/>
          <w:color w:val="000000" w:themeColor="text1"/>
        </w:rPr>
        <w:t xml:space="preserve">Step Change </w:t>
      </w:r>
      <w:r>
        <w:rPr>
          <w:rFonts w:ascii="Calibri" w:eastAsia="Calibri" w:hAnsi="Calibri" w:cs="Calibri"/>
          <w:color w:val="000000" w:themeColor="text1"/>
        </w:rPr>
        <w:t>scenario – which AEMO considers the most likely scenario – this will increase to around 57 TWh in 2049-50. AEMO expects a</w:t>
      </w:r>
      <w:r w:rsidRPr="00AF7BEC">
        <w:rPr>
          <w:rFonts w:ascii="Calibri" w:eastAsia="Calibri" w:hAnsi="Calibri" w:cs="Calibri"/>
          <w:color w:val="000000" w:themeColor="text1"/>
        </w:rPr>
        <w:t xml:space="preserve"> greater </w:t>
      </w:r>
      <w:r>
        <w:rPr>
          <w:rFonts w:ascii="Calibri" w:eastAsia="Calibri" w:hAnsi="Calibri" w:cs="Calibri"/>
          <w:color w:val="000000" w:themeColor="text1"/>
        </w:rPr>
        <w:t>increase</w:t>
      </w:r>
      <w:r w:rsidRPr="00AF7BEC">
        <w:rPr>
          <w:rFonts w:ascii="Calibri" w:eastAsia="Calibri" w:hAnsi="Calibri" w:cs="Calibri"/>
          <w:color w:val="000000" w:themeColor="text1"/>
        </w:rPr>
        <w:t xml:space="preserve"> in the business and industry sectors, in which </w:t>
      </w:r>
      <w:r>
        <w:rPr>
          <w:rFonts w:ascii="Calibri" w:eastAsia="Calibri" w:hAnsi="Calibri" w:cs="Calibri"/>
          <w:color w:val="000000" w:themeColor="text1"/>
        </w:rPr>
        <w:t>electrification of</w:t>
      </w:r>
      <w:r w:rsidRPr="00AF7BEC">
        <w:rPr>
          <w:rFonts w:ascii="Calibri" w:eastAsia="Calibri" w:hAnsi="Calibri" w:cs="Calibri"/>
          <w:color w:val="000000" w:themeColor="text1"/>
        </w:rPr>
        <w:t xml:space="preserve"> transport and indust</w:t>
      </w:r>
      <w:r>
        <w:rPr>
          <w:rFonts w:ascii="Calibri" w:eastAsia="Calibri" w:hAnsi="Calibri" w:cs="Calibri"/>
          <w:color w:val="000000" w:themeColor="text1"/>
        </w:rPr>
        <w:t>ry</w:t>
      </w:r>
      <w:r w:rsidRPr="00AF7BEC">
        <w:rPr>
          <w:rFonts w:ascii="Calibri" w:eastAsia="Calibri" w:hAnsi="Calibri" w:cs="Calibri"/>
          <w:color w:val="000000" w:themeColor="text1"/>
        </w:rPr>
        <w:t xml:space="preserve"> is forecast to increase electricity consumption </w:t>
      </w:r>
      <w:r>
        <w:rPr>
          <w:rFonts w:ascii="Calibri" w:eastAsia="Calibri" w:hAnsi="Calibri" w:cs="Calibri"/>
          <w:color w:val="000000" w:themeColor="text1"/>
        </w:rPr>
        <w:t xml:space="preserve">from 1.3 TWh (2023-24) to </w:t>
      </w:r>
      <w:r w:rsidRPr="00AF7BEC">
        <w:rPr>
          <w:rFonts w:ascii="Calibri" w:eastAsia="Calibri" w:hAnsi="Calibri" w:cs="Calibri"/>
          <w:color w:val="000000" w:themeColor="text1"/>
        </w:rPr>
        <w:t xml:space="preserve">approximately </w:t>
      </w:r>
      <w:r w:rsidRPr="0C0C8EC8">
        <w:rPr>
          <w:rFonts w:ascii="Calibri" w:eastAsia="Calibri" w:hAnsi="Calibri" w:cs="Calibri"/>
          <w:color w:val="000000" w:themeColor="text1"/>
        </w:rPr>
        <w:t>65</w:t>
      </w:r>
      <w:r w:rsidRPr="00AF7BEC">
        <w:rPr>
          <w:rFonts w:ascii="Calibri" w:eastAsia="Calibri" w:hAnsi="Calibri" w:cs="Calibri"/>
          <w:color w:val="000000" w:themeColor="text1"/>
        </w:rPr>
        <w:t xml:space="preserve"> TWh</w:t>
      </w:r>
      <w:r>
        <w:rPr>
          <w:rFonts w:ascii="Calibri" w:eastAsia="Calibri" w:hAnsi="Calibri" w:cs="Calibri"/>
          <w:color w:val="000000" w:themeColor="text1"/>
        </w:rPr>
        <w:t xml:space="preserve"> (2049-50)</w:t>
      </w:r>
      <w:r w:rsidRPr="00AF7BEC">
        <w:rPr>
          <w:rFonts w:ascii="Calibri" w:eastAsia="Calibri" w:hAnsi="Calibri" w:cs="Calibri"/>
          <w:color w:val="000000" w:themeColor="text1"/>
        </w:rPr>
        <w:t>.</w:t>
      </w:r>
      <w:r>
        <w:rPr>
          <w:rFonts w:ascii="Calibri" w:eastAsia="Calibri" w:hAnsi="Calibri" w:cs="Calibri"/>
          <w:color w:val="000000" w:themeColor="text1"/>
        </w:rPr>
        <w:t xml:space="preserve"> In Western Australia up to 57 TWh of electrification across all sectors is projected to 2050, driven largely by the industrial sector.</w:t>
      </w:r>
      <w:r>
        <w:rPr>
          <w:rStyle w:val="FootnoteReference"/>
          <w:rFonts w:ascii="Calibri" w:eastAsia="Calibri" w:hAnsi="Calibri" w:cs="Calibri"/>
          <w:color w:val="000000" w:themeColor="text1"/>
        </w:rPr>
        <w:footnoteReference w:id="28"/>
      </w:r>
    </w:p>
    <w:p w14:paraId="1797CF58" w14:textId="77777777" w:rsidR="00185909" w:rsidRDefault="00185909" w:rsidP="00540445">
      <w:pPr>
        <w:jc w:val="both"/>
        <w:rPr>
          <w:rFonts w:ascii="Calibri" w:eastAsia="Calibri" w:hAnsi="Calibri" w:cs="Calibri"/>
          <w:color w:val="000000" w:themeColor="text1"/>
        </w:rPr>
      </w:pPr>
      <w:r>
        <w:rPr>
          <w:rFonts w:ascii="Calibri" w:eastAsia="Calibri" w:hAnsi="Calibri" w:cs="Calibri"/>
          <w:color w:val="000000" w:themeColor="text1"/>
        </w:rPr>
        <w:t xml:space="preserve">However, </w:t>
      </w:r>
      <w:r w:rsidRPr="6DD529ED">
        <w:rPr>
          <w:rFonts w:ascii="Calibri" w:eastAsia="Calibri" w:hAnsi="Calibri" w:cs="Calibri"/>
          <w:color w:val="000000" w:themeColor="text1"/>
        </w:rPr>
        <w:t>AEMO’s 2023 Electricity Statement of Opportunities noted</w:t>
      </w:r>
      <w:r>
        <w:rPr>
          <w:rFonts w:ascii="Calibri" w:eastAsia="Calibri" w:hAnsi="Calibri" w:cs="Calibri"/>
          <w:color w:val="000000" w:themeColor="text1"/>
        </w:rPr>
        <w:t xml:space="preserve"> that</w:t>
      </w:r>
      <w:r w:rsidRPr="6DD529ED">
        <w:rPr>
          <w:rFonts w:ascii="Calibri" w:eastAsia="Calibri" w:hAnsi="Calibri" w:cs="Calibri"/>
          <w:color w:val="000000" w:themeColor="text1"/>
        </w:rPr>
        <w:t xml:space="preserve"> the pace, </w:t>
      </w:r>
      <w:proofErr w:type="gramStart"/>
      <w:r w:rsidRPr="6DD529ED">
        <w:rPr>
          <w:rFonts w:ascii="Calibri" w:eastAsia="Calibri" w:hAnsi="Calibri" w:cs="Calibri"/>
          <w:color w:val="000000" w:themeColor="text1"/>
        </w:rPr>
        <w:t>scale</w:t>
      </w:r>
      <w:proofErr w:type="gramEnd"/>
      <w:r w:rsidRPr="6DD529ED">
        <w:rPr>
          <w:rFonts w:ascii="Calibri" w:eastAsia="Calibri" w:hAnsi="Calibri" w:cs="Calibri"/>
          <w:color w:val="000000" w:themeColor="text1"/>
        </w:rPr>
        <w:t xml:space="preserve"> and location of electrification remain</w:t>
      </w:r>
      <w:r>
        <w:rPr>
          <w:rFonts w:ascii="Calibri" w:eastAsia="Calibri" w:hAnsi="Calibri" w:cs="Calibri"/>
          <w:color w:val="000000" w:themeColor="text1"/>
        </w:rPr>
        <w:t xml:space="preserve"> uncertain but will significantly</w:t>
      </w:r>
      <w:r w:rsidRPr="6DD529ED">
        <w:rPr>
          <w:rFonts w:ascii="Calibri" w:eastAsia="Calibri" w:hAnsi="Calibri" w:cs="Calibri"/>
          <w:color w:val="000000" w:themeColor="text1"/>
        </w:rPr>
        <w:t xml:space="preserve"> influence the growth of NEM electricity consumptio</w:t>
      </w:r>
      <w:r>
        <w:rPr>
          <w:rFonts w:ascii="Calibri" w:eastAsia="Calibri" w:hAnsi="Calibri" w:cs="Calibri"/>
          <w:color w:val="000000" w:themeColor="text1"/>
        </w:rPr>
        <w:t xml:space="preserve">n. </w:t>
      </w:r>
    </w:p>
    <w:p w14:paraId="35FA0F54" w14:textId="20FB686E" w:rsidR="00185909" w:rsidRDefault="00185909" w:rsidP="00540445">
      <w:pPr>
        <w:jc w:val="both"/>
        <w:rPr>
          <w:rFonts w:ascii="Calibri" w:eastAsia="Calibri" w:hAnsi="Calibri" w:cs="Calibri"/>
          <w:color w:val="000000" w:themeColor="text1"/>
        </w:rPr>
      </w:pPr>
      <w:r>
        <w:rPr>
          <w:rFonts w:ascii="Calibri" w:eastAsia="Calibri" w:hAnsi="Calibri" w:cs="Calibri"/>
          <w:color w:val="000000" w:themeColor="text1"/>
        </w:rPr>
        <w:t>Electrification will increase electricity demand. If electrification is pursued out of step with the expansion of renewable energy capacity</w:t>
      </w:r>
      <w:r w:rsidRPr="6DD529ED">
        <w:rPr>
          <w:rFonts w:ascii="Calibri" w:eastAsia="Calibri" w:hAnsi="Calibri" w:cs="Calibri"/>
          <w:color w:val="000000" w:themeColor="text1"/>
        </w:rPr>
        <w:t xml:space="preserve">, </w:t>
      </w:r>
      <w:r>
        <w:rPr>
          <w:rFonts w:ascii="Calibri" w:eastAsia="Calibri" w:hAnsi="Calibri" w:cs="Calibri"/>
          <w:color w:val="000000" w:themeColor="text1"/>
        </w:rPr>
        <w:t xml:space="preserve">it </w:t>
      </w:r>
      <w:r w:rsidRPr="6DD529ED">
        <w:rPr>
          <w:rFonts w:ascii="Calibri" w:eastAsia="Calibri" w:hAnsi="Calibri" w:cs="Calibri"/>
          <w:color w:val="000000" w:themeColor="text1"/>
        </w:rPr>
        <w:t xml:space="preserve">may have </w:t>
      </w:r>
      <w:r>
        <w:rPr>
          <w:rFonts w:ascii="Calibri" w:eastAsia="Calibri" w:hAnsi="Calibri" w:cs="Calibri"/>
          <w:color w:val="000000" w:themeColor="text1"/>
        </w:rPr>
        <w:t>unintended</w:t>
      </w:r>
      <w:r w:rsidRPr="6DD529ED">
        <w:rPr>
          <w:rFonts w:ascii="Calibri" w:eastAsia="Calibri" w:hAnsi="Calibri" w:cs="Calibri"/>
          <w:color w:val="000000" w:themeColor="text1"/>
        </w:rPr>
        <w:t xml:space="preserve"> outcome</w:t>
      </w:r>
      <w:r>
        <w:rPr>
          <w:rFonts w:ascii="Calibri" w:eastAsia="Calibri" w:hAnsi="Calibri" w:cs="Calibri"/>
          <w:color w:val="000000" w:themeColor="text1"/>
        </w:rPr>
        <w:t>s such as extended</w:t>
      </w:r>
      <w:r w:rsidRPr="6DD529ED">
        <w:rPr>
          <w:rFonts w:ascii="Calibri" w:eastAsia="Calibri" w:hAnsi="Calibri" w:cs="Calibri"/>
          <w:color w:val="000000" w:themeColor="text1"/>
        </w:rPr>
        <w:t xml:space="preserve"> reliance on fossil fuel alternatives</w:t>
      </w:r>
      <w:r w:rsidRPr="00C259CD">
        <w:rPr>
          <w:rFonts w:ascii="Calibri" w:eastAsia="Calibri" w:hAnsi="Calibri" w:cs="Calibri"/>
          <w:color w:val="000000" w:themeColor="text1"/>
        </w:rPr>
        <w:t>.</w:t>
      </w:r>
      <w:r w:rsidRPr="6DD529ED">
        <w:rPr>
          <w:rFonts w:ascii="Calibri" w:eastAsia="Calibri" w:hAnsi="Calibri" w:cs="Calibri"/>
          <w:color w:val="000000" w:themeColor="text1"/>
        </w:rPr>
        <w:t xml:space="preserve"> Developing a more detailed understanding of the incentives and barriers that dictate current rates of electrification</w:t>
      </w:r>
      <w:r w:rsidR="00766ADC">
        <w:rPr>
          <w:rFonts w:ascii="Calibri" w:eastAsia="Calibri" w:hAnsi="Calibri" w:cs="Calibri"/>
          <w:color w:val="000000" w:themeColor="text1"/>
        </w:rPr>
        <w:t xml:space="preserve"> –</w:t>
      </w:r>
      <w:r w:rsidRPr="6DD529ED">
        <w:rPr>
          <w:rFonts w:ascii="Calibri" w:eastAsia="Calibri" w:hAnsi="Calibri" w:cs="Calibri"/>
          <w:color w:val="000000" w:themeColor="text1"/>
        </w:rPr>
        <w:t xml:space="preserve"> and future intentions to electrify</w:t>
      </w:r>
      <w:r w:rsidR="00766ADC">
        <w:rPr>
          <w:rFonts w:ascii="Calibri" w:eastAsia="Calibri" w:hAnsi="Calibri" w:cs="Calibri"/>
          <w:color w:val="000000" w:themeColor="text1"/>
        </w:rPr>
        <w:t xml:space="preserve"> –</w:t>
      </w:r>
      <w:r w:rsidR="00766ADC" w:rsidRPr="6DD529ED">
        <w:rPr>
          <w:rFonts w:ascii="Calibri" w:eastAsia="Calibri" w:hAnsi="Calibri" w:cs="Calibri"/>
          <w:color w:val="000000" w:themeColor="text1"/>
        </w:rPr>
        <w:t xml:space="preserve"> </w:t>
      </w:r>
      <w:r w:rsidRPr="6DD529ED">
        <w:rPr>
          <w:rFonts w:ascii="Calibri" w:eastAsia="Calibri" w:hAnsi="Calibri" w:cs="Calibri"/>
          <w:color w:val="000000" w:themeColor="text1"/>
        </w:rPr>
        <w:t>will be crucial to ensuring our energy systems are well-equipped to support accelerated electrification.</w:t>
      </w:r>
    </w:p>
    <w:p w14:paraId="552AD15F" w14:textId="616B27A6" w:rsidR="00185909" w:rsidRPr="00EC4805" w:rsidRDefault="00185909" w:rsidP="001F14C4">
      <w:pPr>
        <w:pStyle w:val="Heading3"/>
      </w:pPr>
      <w:bookmarkStart w:id="79" w:name="_Toc157518311"/>
      <w:bookmarkStart w:id="80" w:name="_Toc160467025"/>
      <w:bookmarkStart w:id="81" w:name="_Toc160467798"/>
      <w:bookmarkStart w:id="82" w:name="_Toc160544737"/>
      <w:bookmarkStart w:id="83" w:name="_Toc160544906"/>
      <w:bookmarkStart w:id="84" w:name="_Toc160550412"/>
      <w:bookmarkStart w:id="85" w:name="_Toc160623585"/>
      <w:bookmarkStart w:id="86" w:name="_Toc160699609"/>
      <w:bookmarkStart w:id="87" w:name="_Toc161306043"/>
      <w:r w:rsidRPr="00EC4805">
        <w:lastRenderedPageBreak/>
        <w:t>Information and data will be needed for planning</w:t>
      </w:r>
      <w:bookmarkEnd w:id="79"/>
      <w:bookmarkEnd w:id="80"/>
      <w:bookmarkEnd w:id="81"/>
      <w:bookmarkEnd w:id="82"/>
      <w:bookmarkEnd w:id="83"/>
      <w:bookmarkEnd w:id="84"/>
      <w:bookmarkEnd w:id="85"/>
      <w:bookmarkEnd w:id="86"/>
      <w:bookmarkEnd w:id="87"/>
    </w:p>
    <w:p w14:paraId="66AF0AC4" w14:textId="67E20692" w:rsidR="00185909" w:rsidRPr="0038182A" w:rsidRDefault="00185909" w:rsidP="00540445">
      <w:pPr>
        <w:spacing w:after="120"/>
        <w:jc w:val="both"/>
        <w:rPr>
          <w:rFonts w:ascii="Calibri" w:eastAsia="Calibri" w:hAnsi="Calibri" w:cs="Calibri"/>
          <w:color w:val="000000" w:themeColor="text1"/>
        </w:rPr>
      </w:pPr>
      <w:r>
        <w:rPr>
          <w:rFonts w:ascii="Calibri" w:eastAsia="Calibri" w:hAnsi="Calibri" w:cs="Calibri"/>
          <w:color w:val="000000" w:themeColor="text1"/>
        </w:rPr>
        <w:t xml:space="preserve">While demand flexibility will allow more efficient use of our existing energy networks, further investment to meet increased demand will be necessary. From 2022 to 2030, demand is forecast to grow by </w:t>
      </w:r>
      <w:r w:rsidRPr="00B369D0">
        <w:rPr>
          <w:rFonts w:ascii="Calibri" w:eastAsia="Calibri" w:hAnsi="Calibri" w:cs="Calibri"/>
          <w:color w:val="000000" w:themeColor="text1"/>
        </w:rPr>
        <w:t xml:space="preserve">approximately </w:t>
      </w:r>
      <w:r w:rsidRPr="0045472F">
        <w:rPr>
          <w:rFonts w:ascii="Calibri" w:eastAsia="Calibri" w:hAnsi="Calibri" w:cs="Calibri"/>
          <w:color w:val="000000" w:themeColor="text1"/>
        </w:rPr>
        <w:t>30</w:t>
      </w:r>
      <w:r w:rsidRPr="00B369D0">
        <w:rPr>
          <w:rFonts w:ascii="Calibri" w:eastAsia="Calibri" w:hAnsi="Calibri" w:cs="Calibri"/>
          <w:color w:val="000000" w:themeColor="text1"/>
        </w:rPr>
        <w:t>%</w:t>
      </w:r>
      <w:r>
        <w:rPr>
          <w:rFonts w:ascii="Calibri" w:eastAsia="Calibri" w:hAnsi="Calibri" w:cs="Calibri"/>
          <w:color w:val="000000" w:themeColor="text1"/>
        </w:rPr>
        <w:t xml:space="preserve"> across the NEM, WEM in Western Australia and Darwin-Katherine Interconnected System in the Northern Territory</w:t>
      </w:r>
      <w:r w:rsidRPr="00B369D0">
        <w:rPr>
          <w:rStyle w:val="FootnoteReference"/>
          <w:rFonts w:ascii="Calibri" w:eastAsia="Calibri" w:hAnsi="Calibri" w:cs="Calibri"/>
          <w:color w:val="000000" w:themeColor="text1"/>
        </w:rPr>
        <w:footnoteReference w:id="29"/>
      </w:r>
      <w:r w:rsidRPr="00B369D0">
        <w:rPr>
          <w:rFonts w:ascii="Calibri" w:eastAsia="Calibri" w:hAnsi="Calibri" w:cs="Calibri"/>
          <w:color w:val="000000" w:themeColor="text1"/>
        </w:rPr>
        <w:t>.</w:t>
      </w:r>
      <w:r>
        <w:rPr>
          <w:rFonts w:ascii="Calibri" w:eastAsia="Calibri" w:hAnsi="Calibri" w:cs="Calibri"/>
          <w:color w:val="000000" w:themeColor="text1"/>
        </w:rPr>
        <w:t xml:space="preserve"> </w:t>
      </w:r>
      <w:r w:rsidRPr="6DD529ED">
        <w:rPr>
          <w:rFonts w:ascii="Calibri" w:eastAsia="Calibri" w:hAnsi="Calibri" w:cs="Calibri"/>
          <w:color w:val="000000" w:themeColor="text1"/>
        </w:rPr>
        <w:t xml:space="preserve">AEMO forecasts </w:t>
      </w:r>
      <w:r>
        <w:rPr>
          <w:rFonts w:ascii="Calibri" w:eastAsia="Calibri" w:hAnsi="Calibri" w:cs="Calibri"/>
          <w:color w:val="000000" w:themeColor="text1"/>
        </w:rPr>
        <w:t>that the annual electricity generation in the</w:t>
      </w:r>
      <w:r w:rsidRPr="6DD529ED">
        <w:rPr>
          <w:rFonts w:ascii="Calibri" w:eastAsia="Calibri" w:hAnsi="Calibri" w:cs="Calibri"/>
          <w:color w:val="000000" w:themeColor="text1"/>
        </w:rPr>
        <w:t xml:space="preserve"> NEM will need to nearly double by 2050 – from 180 TWh in 2022 to 320 TWh – to </w:t>
      </w:r>
      <w:r w:rsidRPr="0038182A">
        <w:rPr>
          <w:rFonts w:ascii="Calibri" w:eastAsia="Calibri" w:hAnsi="Calibri" w:cs="Calibri"/>
          <w:color w:val="000000" w:themeColor="text1"/>
        </w:rPr>
        <w:t>serve the electrification of Australia’s transport, industry, offices, and homes.</w:t>
      </w:r>
    </w:p>
    <w:p w14:paraId="643CF890" w14:textId="0A0D11BB" w:rsidR="00185909" w:rsidRDefault="00185909" w:rsidP="00540445">
      <w:pPr>
        <w:spacing w:after="120"/>
        <w:jc w:val="both"/>
        <w:rPr>
          <w:rFonts w:ascii="Calibri" w:eastAsia="Calibri" w:hAnsi="Calibri" w:cs="Calibri"/>
          <w:color w:val="000000" w:themeColor="text1"/>
        </w:rPr>
      </w:pPr>
      <w:r w:rsidRPr="0038182A">
        <w:rPr>
          <w:rFonts w:ascii="Calibri" w:eastAsia="Calibri" w:hAnsi="Calibri" w:cs="Calibri"/>
          <w:color w:val="000000" w:themeColor="text1"/>
        </w:rPr>
        <w:t xml:space="preserve">Having up to date information and data about Australia’s electrification intentions and clean export industry developments </w:t>
      </w:r>
      <w:r w:rsidR="000256C9">
        <w:rPr>
          <w:rFonts w:ascii="Calibri" w:eastAsia="Calibri" w:hAnsi="Calibri" w:cs="Calibri"/>
          <w:color w:val="000000" w:themeColor="text1"/>
        </w:rPr>
        <w:t xml:space="preserve">is </w:t>
      </w:r>
      <w:r>
        <w:rPr>
          <w:rFonts w:ascii="Calibri" w:eastAsia="Calibri" w:hAnsi="Calibri" w:cs="Calibri"/>
          <w:color w:val="000000" w:themeColor="text1"/>
        </w:rPr>
        <w:t>important for planning ahead to ensure Australia’s electricity needs can be met.</w:t>
      </w:r>
    </w:p>
    <w:p w14:paraId="121893B7" w14:textId="326DD9BF" w:rsidR="00185909" w:rsidRDefault="00185909" w:rsidP="00540445">
      <w:pPr>
        <w:spacing w:after="120"/>
        <w:jc w:val="both"/>
        <w:rPr>
          <w:rFonts w:ascii="Calibri" w:eastAsia="Calibri" w:hAnsi="Calibri" w:cs="Calibri"/>
          <w:color w:val="000000" w:themeColor="text1"/>
        </w:rPr>
      </w:pPr>
      <w:r>
        <w:rPr>
          <w:rFonts w:ascii="Calibri" w:eastAsia="Calibri" w:hAnsi="Calibri" w:cs="Calibri"/>
          <w:color w:val="000000" w:themeColor="text1"/>
        </w:rPr>
        <w:t>Australia’s renewable energy superpower ambitions rely on a diverse, secure, and abundantly electrified economy, supplying low-cost clean energy to households and industry for large scale exports. To date, the</w:t>
      </w:r>
      <w:r w:rsidRPr="6DD529ED" w:rsidDel="002D49F1">
        <w:rPr>
          <w:rFonts w:ascii="Calibri" w:eastAsia="Calibri" w:hAnsi="Calibri" w:cs="Calibri"/>
          <w:color w:val="000000" w:themeColor="text1"/>
        </w:rPr>
        <w:t xml:space="preserve"> Australian</w:t>
      </w:r>
      <w:r w:rsidRPr="6DD529ED" w:rsidDel="00A44A87">
        <w:rPr>
          <w:rFonts w:ascii="Calibri" w:eastAsia="Calibri" w:hAnsi="Calibri" w:cs="Calibri"/>
          <w:color w:val="000000" w:themeColor="text1"/>
        </w:rPr>
        <w:t xml:space="preserve"> Government</w:t>
      </w:r>
      <w:r w:rsidRPr="6DD529ED">
        <w:rPr>
          <w:rFonts w:ascii="Calibri" w:eastAsia="Calibri" w:hAnsi="Calibri" w:cs="Calibri"/>
          <w:color w:val="000000" w:themeColor="text1"/>
        </w:rPr>
        <w:t xml:space="preserve"> has</w:t>
      </w:r>
      <w:r w:rsidRPr="6DD529ED" w:rsidDel="002D49F1">
        <w:rPr>
          <w:rFonts w:ascii="Calibri" w:eastAsia="Calibri" w:hAnsi="Calibri" w:cs="Calibri"/>
          <w:color w:val="000000" w:themeColor="text1"/>
        </w:rPr>
        <w:t xml:space="preserve"> </w:t>
      </w:r>
      <w:r w:rsidRPr="6DD529ED">
        <w:rPr>
          <w:rFonts w:ascii="Calibri" w:eastAsia="Calibri" w:hAnsi="Calibri" w:cs="Calibri"/>
          <w:color w:val="000000" w:themeColor="text1"/>
        </w:rPr>
        <w:t>made significant investment</w:t>
      </w:r>
      <w:r>
        <w:rPr>
          <w:rFonts w:ascii="Calibri" w:eastAsia="Calibri" w:hAnsi="Calibri" w:cs="Calibri"/>
          <w:color w:val="000000" w:themeColor="text1"/>
        </w:rPr>
        <w:t>s</w:t>
      </w:r>
      <w:r w:rsidRPr="6DD529ED">
        <w:rPr>
          <w:rFonts w:ascii="Calibri" w:eastAsia="Calibri" w:hAnsi="Calibri" w:cs="Calibri"/>
          <w:color w:val="000000" w:themeColor="text1"/>
        </w:rPr>
        <w:t xml:space="preserve"> to support the enabling requirements for increased electrification. This includes supporting</w:t>
      </w:r>
      <w:r w:rsidRPr="6DD529ED" w:rsidDel="0019160D">
        <w:rPr>
          <w:rFonts w:ascii="Calibri" w:eastAsia="Calibri" w:hAnsi="Calibri" w:cs="Calibri"/>
          <w:color w:val="000000" w:themeColor="text1"/>
        </w:rPr>
        <w:t xml:space="preserve"> </w:t>
      </w:r>
      <w:r w:rsidRPr="6DD529ED">
        <w:rPr>
          <w:rFonts w:ascii="Calibri" w:eastAsia="Calibri" w:hAnsi="Calibri" w:cs="Calibri"/>
          <w:color w:val="000000" w:themeColor="text1"/>
        </w:rPr>
        <w:t>renewable energy generation and storage projects (through the expanded Capacity Investment Scheme, Community Batteries for Household Solar Program and Community Solar Banks Program), electric vehicle charging stations (through Driving the Nation Fund) and transmission infrastructure (through the Rewiring the Nation Program). However,</w:t>
      </w:r>
      <w:r w:rsidRPr="6DD529ED" w:rsidDel="00492842">
        <w:rPr>
          <w:rFonts w:ascii="Calibri" w:eastAsia="Calibri" w:hAnsi="Calibri" w:cs="Calibri"/>
          <w:color w:val="000000" w:themeColor="text1"/>
        </w:rPr>
        <w:t xml:space="preserve"> </w:t>
      </w:r>
      <w:r>
        <w:rPr>
          <w:rFonts w:ascii="Calibri" w:eastAsia="Calibri" w:hAnsi="Calibri" w:cs="Calibri"/>
          <w:color w:val="000000" w:themeColor="text1"/>
        </w:rPr>
        <w:t>additional</w:t>
      </w:r>
      <w:r w:rsidRPr="6DD529ED">
        <w:rPr>
          <w:rFonts w:ascii="Calibri" w:eastAsia="Calibri" w:hAnsi="Calibri" w:cs="Calibri"/>
          <w:color w:val="000000" w:themeColor="text1"/>
        </w:rPr>
        <w:t xml:space="preserve"> investment in renewable generation, transmission and firming capacity </w:t>
      </w:r>
      <w:r>
        <w:rPr>
          <w:rFonts w:ascii="Calibri" w:eastAsia="Calibri" w:hAnsi="Calibri" w:cs="Calibri"/>
          <w:color w:val="000000" w:themeColor="text1"/>
        </w:rPr>
        <w:t>will</w:t>
      </w:r>
      <w:r w:rsidRPr="6DD529ED">
        <w:rPr>
          <w:rFonts w:ascii="Calibri" w:eastAsia="Calibri" w:hAnsi="Calibri" w:cs="Calibri"/>
          <w:color w:val="000000" w:themeColor="text1"/>
        </w:rPr>
        <w:t xml:space="preserve"> be required </w:t>
      </w:r>
      <w:r>
        <w:rPr>
          <w:rFonts w:ascii="Calibri" w:eastAsia="Calibri" w:hAnsi="Calibri" w:cs="Calibri"/>
          <w:color w:val="000000" w:themeColor="text1"/>
        </w:rPr>
        <w:t>as</w:t>
      </w:r>
      <w:r w:rsidRPr="6DD529ED">
        <w:rPr>
          <w:rFonts w:ascii="Calibri" w:eastAsia="Calibri" w:hAnsi="Calibri" w:cs="Calibri"/>
          <w:color w:val="000000" w:themeColor="text1"/>
        </w:rPr>
        <w:t xml:space="preserve"> demand from electrification</w:t>
      </w:r>
      <w:r>
        <w:rPr>
          <w:rFonts w:ascii="Calibri" w:eastAsia="Calibri" w:hAnsi="Calibri" w:cs="Calibri"/>
          <w:color w:val="000000" w:themeColor="text1"/>
        </w:rPr>
        <w:t xml:space="preserve"> continues to increase</w:t>
      </w:r>
      <w:r w:rsidR="005824B3">
        <w:rPr>
          <w:rFonts w:ascii="Calibri" w:eastAsia="Calibri" w:hAnsi="Calibri" w:cs="Calibri"/>
          <w:color w:val="000000" w:themeColor="text1"/>
        </w:rPr>
        <w:t xml:space="preserve"> to 2050</w:t>
      </w:r>
      <w:r w:rsidRPr="6DD529ED">
        <w:rPr>
          <w:rFonts w:ascii="Calibri" w:eastAsia="Calibri" w:hAnsi="Calibri" w:cs="Calibri"/>
          <w:color w:val="000000" w:themeColor="text1"/>
        </w:rPr>
        <w:t>.</w:t>
      </w:r>
    </w:p>
    <w:p w14:paraId="53E7A06E" w14:textId="77777777" w:rsidR="00185909" w:rsidRDefault="00185909" w:rsidP="00540445">
      <w:pPr>
        <w:spacing w:after="120"/>
        <w:jc w:val="both"/>
        <w:rPr>
          <w:rFonts w:ascii="Calibri" w:eastAsia="Calibri" w:hAnsi="Calibri" w:cs="Calibri"/>
          <w:color w:val="000000" w:themeColor="text1"/>
        </w:rPr>
      </w:pPr>
    </w:p>
    <w:tbl>
      <w:tblPr>
        <w:tblStyle w:val="TableGrid"/>
        <w:tblW w:w="0" w:type="auto"/>
        <w:tblLook w:val="04A0" w:firstRow="1" w:lastRow="0" w:firstColumn="1" w:lastColumn="0" w:noHBand="0" w:noVBand="1"/>
      </w:tblPr>
      <w:tblGrid>
        <w:gridCol w:w="9016"/>
      </w:tblGrid>
      <w:tr w:rsidR="00185909" w14:paraId="3982196E" w14:textId="77777777" w:rsidTr="00B141BC">
        <w:tc>
          <w:tcPr>
            <w:tcW w:w="9016" w:type="dxa"/>
            <w:tcBorders>
              <w:top w:val="nil"/>
              <w:left w:val="nil"/>
              <w:bottom w:val="nil"/>
              <w:right w:val="nil"/>
            </w:tcBorders>
            <w:shd w:val="clear" w:color="auto" w:fill="D8F2EE" w:themeFill="accent2" w:themeFillTint="33"/>
          </w:tcPr>
          <w:p w14:paraId="14900711" w14:textId="6D74A9C6" w:rsidR="00185909" w:rsidRPr="006C7199" w:rsidRDefault="00185909" w:rsidP="007803EA">
            <w:pPr>
              <w:pStyle w:val="Caption"/>
            </w:pPr>
            <w:r w:rsidRPr="006C7199">
              <w:lastRenderedPageBreak/>
              <w:t xml:space="preserve">Seeking your views: Enabling electrification for a smooth transition </w:t>
            </w:r>
          </w:p>
          <w:p w14:paraId="746BCB66" w14:textId="77777777" w:rsidR="00185909" w:rsidRPr="006C7199" w:rsidRDefault="00185909" w:rsidP="00B141BC">
            <w:pPr>
              <w:pStyle w:val="ListBullet"/>
              <w:numPr>
                <w:ilvl w:val="0"/>
                <w:numId w:val="22"/>
              </w:numPr>
            </w:pPr>
            <w:r w:rsidRPr="006C7199">
              <w:t xml:space="preserve">What actions are required to ensure Australia’s energy systems can enable increased electrification, while maintaining equity, </w:t>
            </w:r>
            <w:proofErr w:type="gramStart"/>
            <w:r w:rsidRPr="006C7199">
              <w:t>reliability</w:t>
            </w:r>
            <w:proofErr w:type="gramEnd"/>
            <w:r w:rsidRPr="006C7199">
              <w:t xml:space="preserve"> and security? </w:t>
            </w:r>
          </w:p>
          <w:p w14:paraId="6666F90B" w14:textId="77777777" w:rsidR="00185909" w:rsidRDefault="00185909" w:rsidP="00B141BC">
            <w:pPr>
              <w:pStyle w:val="ListBullet"/>
              <w:numPr>
                <w:ilvl w:val="0"/>
                <w:numId w:val="22"/>
              </w:numPr>
            </w:pPr>
            <w:r w:rsidRPr="00F2499B">
              <w:t xml:space="preserve">What insights do you have on the pace, </w:t>
            </w:r>
            <w:proofErr w:type="gramStart"/>
            <w:r w:rsidRPr="00F2499B">
              <w:t>scale</w:t>
            </w:r>
            <w:proofErr w:type="gramEnd"/>
            <w:r w:rsidRPr="00F2499B">
              <w:t xml:space="preserve"> and location of electrification, and how to embed this in system planning?</w:t>
            </w:r>
          </w:p>
          <w:p w14:paraId="176D17E8" w14:textId="77777777" w:rsidR="00185909" w:rsidRDefault="00185909" w:rsidP="00B141BC">
            <w:pPr>
              <w:pStyle w:val="ListBullet"/>
              <w:numPr>
                <w:ilvl w:val="0"/>
                <w:numId w:val="22"/>
              </w:numPr>
              <w:spacing w:after="240"/>
            </w:pPr>
            <w:r>
              <w:t xml:space="preserve">How can electrification efforts be sequenced to align with expansion of electricity generation and network capacity?  </w:t>
            </w:r>
          </w:p>
          <w:p w14:paraId="4F3ACAE4" w14:textId="77777777" w:rsidR="00185909" w:rsidRPr="00276204" w:rsidRDefault="00185909" w:rsidP="007803EA">
            <w:r w:rsidRPr="00AC0BB6">
              <w:t>When providing feedback</w:t>
            </w:r>
            <w:r>
              <w:t>,</w:t>
            </w:r>
            <w:r w:rsidRPr="00AC0BB6">
              <w:t xml:space="preserve"> you may wish to comment on:</w:t>
            </w:r>
          </w:p>
          <w:p w14:paraId="1D865BBB" w14:textId="00F25FD8" w:rsidR="00185909" w:rsidRDefault="00BF05F8" w:rsidP="00B141BC">
            <w:pPr>
              <w:pStyle w:val="ListBullet"/>
            </w:pPr>
            <w:r>
              <w:t>b</w:t>
            </w:r>
            <w:r w:rsidR="00185909">
              <w:t xml:space="preserve">arriers to electrification and additional measures needed to meet the required pace and scale of electrification </w:t>
            </w:r>
          </w:p>
          <w:p w14:paraId="4679D2AD" w14:textId="3BCD8AD8" w:rsidR="00185909" w:rsidRDefault="00BF05F8" w:rsidP="00B141BC">
            <w:pPr>
              <w:pStyle w:val="ListBullet"/>
            </w:pPr>
            <w:r>
              <w:t>s</w:t>
            </w:r>
            <w:r w:rsidR="00185909" w:rsidRPr="00276204">
              <w:t>ystem improvements to enable electrification across the economy</w:t>
            </w:r>
            <w:r w:rsidR="00185909">
              <w:t xml:space="preserve"> – including increased smart electrification and demand flexibility </w:t>
            </w:r>
          </w:p>
          <w:p w14:paraId="4A940419" w14:textId="5A589786" w:rsidR="00185909" w:rsidRPr="001F7789" w:rsidRDefault="00BF05F8" w:rsidP="00B141BC">
            <w:pPr>
              <w:pStyle w:val="ListBullet"/>
              <w:rPr>
                <w:rFonts w:eastAsia="Calibri"/>
                <w:color w:val="000000" w:themeColor="text1"/>
              </w:rPr>
            </w:pPr>
            <w:r>
              <w:t>t</w:t>
            </w:r>
            <w:r w:rsidR="00185909">
              <w:t xml:space="preserve">he role of </w:t>
            </w:r>
            <w:r w:rsidR="00185909" w:rsidRPr="00276204">
              <w:t>the Australian</w:t>
            </w:r>
            <w:r w:rsidR="00185909">
              <w:t xml:space="preserve">, </w:t>
            </w:r>
            <w:r w:rsidR="00185909" w:rsidRPr="00276204">
              <w:t>state</w:t>
            </w:r>
            <w:r w:rsidR="00185909">
              <w:t xml:space="preserve">, </w:t>
            </w:r>
            <w:r w:rsidR="00185909" w:rsidRPr="00276204">
              <w:t>and territory governments</w:t>
            </w:r>
            <w:r w:rsidR="00185909">
              <w:t xml:space="preserve"> to support electrification.</w:t>
            </w:r>
          </w:p>
          <w:p w14:paraId="2B6E1756" w14:textId="77777777" w:rsidR="00185909" w:rsidRPr="005433A3" w:rsidRDefault="00185909" w:rsidP="00540445">
            <w:pPr>
              <w:pStyle w:val="ListParagraph"/>
              <w:jc w:val="both"/>
              <w:rPr>
                <w:rFonts w:eastAsia="Calibri"/>
                <w:color w:val="000000" w:themeColor="text1"/>
              </w:rPr>
            </w:pPr>
          </w:p>
        </w:tc>
      </w:tr>
    </w:tbl>
    <w:p w14:paraId="5D063B27" w14:textId="77777777" w:rsidR="007803EA" w:rsidRDefault="007803EA">
      <w:pPr>
        <w:spacing w:after="0" w:line="240" w:lineRule="auto"/>
        <w:rPr>
          <w:rFonts w:ascii="Calibri" w:eastAsiaTheme="minorEastAsia" w:hAnsi="Calibri"/>
          <w:bCs/>
          <w:color w:val="197C7D"/>
          <w:sz w:val="48"/>
          <w:lang w:eastAsia="ja-JP"/>
        </w:rPr>
      </w:pPr>
      <w:bookmarkStart w:id="88" w:name="_Toc160550413"/>
      <w:bookmarkStart w:id="89" w:name="_Toc160699610"/>
      <w:r>
        <w:br w:type="page"/>
      </w:r>
    </w:p>
    <w:p w14:paraId="4F166CF9" w14:textId="3AAB69CA" w:rsidR="00185909" w:rsidRPr="00E268EC" w:rsidRDefault="00185909" w:rsidP="00F546C3">
      <w:pPr>
        <w:pStyle w:val="Heading2"/>
      </w:pPr>
      <w:bookmarkStart w:id="90" w:name="_Toc161306044"/>
      <w:r w:rsidRPr="00E268EC">
        <w:lastRenderedPageBreak/>
        <w:t>Growing alternative low carbon fuels</w:t>
      </w:r>
      <w:bookmarkEnd w:id="88"/>
      <w:bookmarkEnd w:id="89"/>
      <w:bookmarkEnd w:id="90"/>
    </w:p>
    <w:p w14:paraId="2A5F6865" w14:textId="4C07397C" w:rsidR="00185909" w:rsidRDefault="00185909" w:rsidP="00540445">
      <w:pPr>
        <w:jc w:val="both"/>
      </w:pPr>
      <w:r>
        <w:t xml:space="preserve">The decarbonisation of our electricity sector is well underway but further policies are needed to address emissions from gas </w:t>
      </w:r>
      <w:r w:rsidRPr="53638325">
        <w:t>and liquid fuels (</w:t>
      </w:r>
      <w:r>
        <w:t xml:space="preserve">including </w:t>
      </w:r>
      <w:r w:rsidRPr="53638325">
        <w:t>petrol, diesel</w:t>
      </w:r>
      <w:r>
        <w:t>,</w:t>
      </w:r>
      <w:r w:rsidRPr="53638325">
        <w:t xml:space="preserve"> and jet fuel)</w:t>
      </w:r>
      <w:r>
        <w:t xml:space="preserve">, </w:t>
      </w:r>
      <w:r w:rsidRPr="53638325">
        <w:t xml:space="preserve">which are critical enablers of our economy </w:t>
      </w:r>
      <w:r>
        <w:t>and make</w:t>
      </w:r>
      <w:r w:rsidRPr="53638325">
        <w:t xml:space="preserve"> up around two thirds of Australia's </w:t>
      </w:r>
      <w:r>
        <w:t xml:space="preserve">final </w:t>
      </w:r>
      <w:r w:rsidRPr="53638325">
        <w:t>energy usage</w:t>
      </w:r>
      <w:r>
        <w:t xml:space="preserve"> (</w:t>
      </w:r>
      <w:r w:rsidR="002A0D7D">
        <w:fldChar w:fldCharType="begin"/>
      </w:r>
      <w:r w:rsidR="002A0D7D">
        <w:instrText xml:space="preserve"> REF _Ref161142195 \h </w:instrText>
      </w:r>
      <w:r w:rsidR="002A0D7D">
        <w:fldChar w:fldCharType="separate"/>
      </w:r>
      <w:r w:rsidR="00D158DC">
        <w:t xml:space="preserve">Figure </w:t>
      </w:r>
      <w:r w:rsidR="00D158DC">
        <w:rPr>
          <w:noProof/>
        </w:rPr>
        <w:t>5</w:t>
      </w:r>
      <w:r w:rsidR="002A0D7D">
        <w:fldChar w:fldCharType="end"/>
      </w:r>
      <w:r>
        <w:t>)</w:t>
      </w:r>
      <w:r w:rsidRPr="53638325">
        <w:t xml:space="preserve">. </w:t>
      </w:r>
    </w:p>
    <w:p w14:paraId="2934BFA9" w14:textId="77777777" w:rsidR="00185909" w:rsidRDefault="00185909" w:rsidP="00540445">
      <w:pPr>
        <w:jc w:val="both"/>
        <w:rPr>
          <w:lang w:eastAsia="en-AU"/>
        </w:rPr>
      </w:pPr>
      <w:r>
        <w:t>G</w:t>
      </w:r>
      <w:r w:rsidRPr="53638325">
        <w:t>as</w:t>
      </w:r>
      <w:r>
        <w:t xml:space="preserve"> is widely </w:t>
      </w:r>
      <w:r w:rsidRPr="53638325">
        <w:t xml:space="preserve">used by </w:t>
      </w:r>
      <w:r>
        <w:t>Australian</w:t>
      </w:r>
      <w:r w:rsidRPr="53638325">
        <w:t xml:space="preserve"> households and industry</w:t>
      </w:r>
      <w:r>
        <w:t>. It is also a key export that provides long-term regional energy security to our trading partners.</w:t>
      </w:r>
      <w:r w:rsidRPr="53638325">
        <w:t xml:space="preserve"> </w:t>
      </w:r>
      <w:r>
        <w:t>While a</w:t>
      </w:r>
      <w:r w:rsidRPr="00E25411">
        <w:t>round 70% of our total liquid fuel is consumed by the transport secto</w:t>
      </w:r>
      <w:r>
        <w:t>r,</w:t>
      </w:r>
      <w:r w:rsidDel="00AD44B9">
        <w:rPr>
          <w:lang w:eastAsia="en-AU"/>
        </w:rPr>
        <w:t xml:space="preserve"> </w:t>
      </w:r>
      <w:r>
        <w:rPr>
          <w:lang w:eastAsia="en-AU"/>
        </w:rPr>
        <w:t xml:space="preserve">diesel also supports </w:t>
      </w:r>
      <w:r w:rsidRPr="007422F4">
        <w:rPr>
          <w:lang w:eastAsia="en-AU"/>
        </w:rPr>
        <w:t xml:space="preserve">other sectors including mining, </w:t>
      </w:r>
      <w:proofErr w:type="gramStart"/>
      <w:r w:rsidRPr="007422F4">
        <w:rPr>
          <w:lang w:eastAsia="en-AU"/>
        </w:rPr>
        <w:t>manufacturing</w:t>
      </w:r>
      <w:proofErr w:type="gramEnd"/>
      <w:r>
        <w:rPr>
          <w:lang w:eastAsia="en-AU"/>
        </w:rPr>
        <w:t xml:space="preserve"> and agriculture.</w:t>
      </w:r>
      <w:r>
        <w:rPr>
          <w:rStyle w:val="FootnoteReference"/>
        </w:rPr>
        <w:footnoteReference w:id="30"/>
      </w:r>
      <w:r>
        <w:rPr>
          <w:lang w:eastAsia="en-AU"/>
        </w:rPr>
        <w:t xml:space="preserve"> Liquid fuels also </w:t>
      </w:r>
      <w:r w:rsidRPr="007422F4">
        <w:rPr>
          <w:lang w:eastAsia="en-AU"/>
        </w:rPr>
        <w:t xml:space="preserve">support </w:t>
      </w:r>
      <w:r>
        <w:rPr>
          <w:lang w:eastAsia="en-AU"/>
        </w:rPr>
        <w:t>defence,</w:t>
      </w:r>
      <w:r w:rsidRPr="007422F4">
        <w:rPr>
          <w:lang w:eastAsia="en-AU"/>
        </w:rPr>
        <w:t xml:space="preserve"> essential services </w:t>
      </w:r>
      <w:r w:rsidRPr="007422F4" w:rsidDel="00C533D4">
        <w:rPr>
          <w:lang w:eastAsia="en-AU"/>
        </w:rPr>
        <w:t xml:space="preserve">and </w:t>
      </w:r>
      <w:r w:rsidRPr="007422F4">
        <w:rPr>
          <w:lang w:eastAsia="en-AU"/>
        </w:rPr>
        <w:t>backup electricity generat</w:t>
      </w:r>
      <w:r>
        <w:rPr>
          <w:lang w:eastAsia="en-AU"/>
        </w:rPr>
        <w:t>ion.</w:t>
      </w:r>
    </w:p>
    <w:p w14:paraId="67A98F7B" w14:textId="3140EC7D" w:rsidR="00185909" w:rsidRDefault="00185909" w:rsidP="00540445">
      <w:pPr>
        <w:jc w:val="both"/>
        <w:rPr>
          <w:b/>
          <w:bCs/>
        </w:rPr>
      </w:pPr>
      <w:r>
        <w:t>Domestic emissions from the gas and liquid fuels sectors will need to reduce for the economy to reach net zero by 2050. However, transition risks will need to be closely managed. This</w:t>
      </w:r>
      <w:r w:rsidDel="0022537F">
        <w:t xml:space="preserve"> </w:t>
      </w:r>
      <w:r>
        <w:t xml:space="preserve">includes ensuring that energy remains affordable for all Australians, and domestic reliability and fuel security is maintained while still meeting decarbonisation goals. </w:t>
      </w:r>
    </w:p>
    <w:p w14:paraId="34B5AF01" w14:textId="1EEE265F" w:rsidR="002A0D7D" w:rsidRDefault="002A0D7D" w:rsidP="002A0D7D">
      <w:pPr>
        <w:pStyle w:val="Caption"/>
      </w:pPr>
      <w:bookmarkStart w:id="91" w:name="_Ref161142195"/>
      <w:bookmarkStart w:id="92" w:name="_Toc161306170"/>
      <w:r>
        <w:t xml:space="preserve">Figure </w:t>
      </w:r>
      <w:r w:rsidR="00D158DC">
        <w:fldChar w:fldCharType="begin"/>
      </w:r>
      <w:r w:rsidR="00D158DC">
        <w:instrText xml:space="preserve"> SEQ Figure \* ARABIC </w:instrText>
      </w:r>
      <w:r w:rsidR="00D158DC">
        <w:fldChar w:fldCharType="separate"/>
      </w:r>
      <w:r w:rsidR="00D158DC">
        <w:rPr>
          <w:noProof/>
        </w:rPr>
        <w:t>5</w:t>
      </w:r>
      <w:r w:rsidR="00D158DC">
        <w:rPr>
          <w:noProof/>
        </w:rPr>
        <w:fldChar w:fldCharType="end"/>
      </w:r>
      <w:bookmarkEnd w:id="91"/>
      <w:r>
        <w:t xml:space="preserve"> </w:t>
      </w:r>
      <w:r w:rsidR="00AD0C63">
        <w:t xml:space="preserve">Liquid fuel, </w:t>
      </w:r>
      <w:proofErr w:type="gramStart"/>
      <w:r w:rsidR="00AD0C63">
        <w:t>gas</w:t>
      </w:r>
      <w:proofErr w:type="gramEnd"/>
      <w:r w:rsidR="00AD0C63">
        <w:t xml:space="preserve"> and electricity consumption as a share of Australia’s total final energy consumption</w:t>
      </w:r>
      <w:r w:rsidR="00AD0C63" w:rsidDel="00AD0C63">
        <w:t xml:space="preserve"> </w:t>
      </w:r>
      <w:r>
        <w:t>(2021</w:t>
      </w:r>
      <w:r w:rsidR="0001240D" w:rsidRPr="0001240D">
        <w:t>–</w:t>
      </w:r>
      <w:r>
        <w:t>22)</w:t>
      </w:r>
      <w:bookmarkEnd w:id="92"/>
    </w:p>
    <w:p w14:paraId="6376F513" w14:textId="4B67A854" w:rsidR="00185909" w:rsidRDefault="00C414F1" w:rsidP="00540445">
      <w:pPr>
        <w:jc w:val="both"/>
        <w:rPr>
          <w:b/>
        </w:rPr>
      </w:pPr>
      <w:r>
        <w:rPr>
          <w:noProof/>
        </w:rPr>
        <w:drawing>
          <wp:inline distT="0" distB="0" distL="0" distR="0" wp14:anchorId="4DFDF530" wp14:editId="16EF97DF">
            <wp:extent cx="5759450" cy="2926122"/>
            <wp:effectExtent l="0" t="0" r="0" b="7620"/>
            <wp:docPr id="1704339314" name="Chart 1">
              <a:extLst xmlns:a="http://schemas.openxmlformats.org/drawingml/2006/main">
                <a:ext uri="{FF2B5EF4-FFF2-40B4-BE49-F238E27FC236}">
                  <a16:creationId xmlns:a16="http://schemas.microsoft.com/office/drawing/2014/main" id="{7CA0F117-8A1D-7BE4-BA8E-0DFB626ADA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A4CAD1" w14:textId="77777777" w:rsidR="00185909" w:rsidRPr="006C7199" w:rsidRDefault="00185909" w:rsidP="00540445">
      <w:pPr>
        <w:jc w:val="both"/>
        <w:rPr>
          <w:rFonts w:ascii="Calibri" w:eastAsia="Calibri" w:hAnsi="Calibri" w:cs="Calibri"/>
          <w:iCs/>
          <w:color w:val="000000" w:themeColor="text1"/>
          <w:sz w:val="18"/>
          <w:szCs w:val="18"/>
        </w:rPr>
      </w:pPr>
      <w:r w:rsidRPr="006C7199">
        <w:rPr>
          <w:rFonts w:ascii="Calibri" w:eastAsia="Calibri" w:hAnsi="Calibri" w:cs="Calibri"/>
          <w:iCs/>
          <w:color w:val="000000" w:themeColor="text1"/>
          <w:sz w:val="18"/>
          <w:szCs w:val="18"/>
        </w:rPr>
        <w:t xml:space="preserve">Source: DCCEEW, </w:t>
      </w:r>
      <w:hyperlink r:id="rId28" w:history="1">
        <w:r w:rsidRPr="006C7199">
          <w:rPr>
            <w:rStyle w:val="Hyperlink"/>
            <w:rFonts w:ascii="Calibri" w:eastAsia="Calibri" w:hAnsi="Calibri" w:cs="Calibri"/>
            <w:iCs/>
            <w:sz w:val="18"/>
            <w:szCs w:val="18"/>
          </w:rPr>
          <w:t>Australian Energy Statistics</w:t>
        </w:r>
      </w:hyperlink>
      <w:r w:rsidRPr="006C7199">
        <w:rPr>
          <w:rFonts w:ascii="Calibri" w:eastAsia="Calibri" w:hAnsi="Calibri" w:cs="Calibri"/>
          <w:iCs/>
          <w:color w:val="000000" w:themeColor="text1"/>
          <w:sz w:val="18"/>
          <w:szCs w:val="18"/>
        </w:rPr>
        <w:t>, Table H, September 2023.</w:t>
      </w:r>
    </w:p>
    <w:p w14:paraId="3A525961" w14:textId="63EE5136" w:rsidR="00185909" w:rsidRPr="006C7199" w:rsidRDefault="00185909" w:rsidP="00EF5B44">
      <w:pPr>
        <w:jc w:val="both"/>
        <w:rPr>
          <w:rFonts w:ascii="Calibri" w:eastAsia="Calibri" w:hAnsi="Calibri" w:cs="Calibri"/>
          <w:iCs/>
          <w:color w:val="000000" w:themeColor="text1"/>
        </w:rPr>
      </w:pPr>
      <w:r w:rsidRPr="006C7199">
        <w:rPr>
          <w:rFonts w:ascii="Calibri" w:eastAsia="Calibri" w:hAnsi="Calibri" w:cs="Calibri"/>
          <w:iCs/>
          <w:color w:val="000000" w:themeColor="text1"/>
          <w:sz w:val="18"/>
          <w:szCs w:val="18"/>
        </w:rPr>
        <w:t>Note:</w:t>
      </w:r>
      <w:r w:rsidRPr="006C7199">
        <w:rPr>
          <w:rFonts w:ascii="Calibri" w:eastAsia="Calibri" w:hAnsi="Calibri" w:cs="Calibri"/>
          <w:b/>
          <w:bCs/>
          <w:iCs/>
          <w:color w:val="000000" w:themeColor="text1"/>
          <w:sz w:val="18"/>
          <w:szCs w:val="18"/>
        </w:rPr>
        <w:t xml:space="preserve"> </w:t>
      </w:r>
      <w:r w:rsidRPr="006C7199">
        <w:rPr>
          <w:rFonts w:ascii="Calibri" w:eastAsia="Calibri" w:hAnsi="Calibri" w:cs="Calibri"/>
          <w:iCs/>
          <w:color w:val="000000" w:themeColor="text1"/>
          <w:sz w:val="18"/>
          <w:szCs w:val="18"/>
        </w:rPr>
        <w:t>Final consumption excludes energy use in transformation, such as gas to generate electricity and energy use to refine petroleum.</w:t>
      </w:r>
    </w:p>
    <w:p w14:paraId="043BACD8" w14:textId="27DE25EC" w:rsidR="00185909" w:rsidRPr="00CA688C" w:rsidRDefault="00185909" w:rsidP="001F14C4">
      <w:pPr>
        <w:pStyle w:val="Heading3"/>
      </w:pPr>
      <w:bookmarkStart w:id="93" w:name="_Toc160550414"/>
      <w:bookmarkStart w:id="94" w:name="_Toc160623587"/>
      <w:bookmarkStart w:id="95" w:name="_Toc160699611"/>
      <w:bookmarkStart w:id="96" w:name="_Toc161306045"/>
      <w:r w:rsidRPr="00CA688C">
        <w:lastRenderedPageBreak/>
        <w:t>Multiple technologies could play a role in the decarbonisation of the gas secto</w:t>
      </w:r>
      <w:r w:rsidR="0070163D">
        <w:t>r</w:t>
      </w:r>
      <w:bookmarkEnd w:id="93"/>
      <w:bookmarkEnd w:id="94"/>
      <w:bookmarkEnd w:id="95"/>
      <w:bookmarkEnd w:id="96"/>
    </w:p>
    <w:p w14:paraId="00627C57" w14:textId="448B93A3" w:rsidR="00185909" w:rsidRDefault="00895E70" w:rsidP="00540445">
      <w:pPr>
        <w:jc w:val="both"/>
      </w:pPr>
      <w:r>
        <w:t xml:space="preserve">Increased electrification </w:t>
      </w:r>
      <w:r w:rsidR="00185909">
        <w:t>will</w:t>
      </w:r>
      <w:r w:rsidR="00185909" w:rsidDel="000665D2">
        <w:t xml:space="preserve"> </w:t>
      </w:r>
      <w:r w:rsidR="00185909">
        <w:t xml:space="preserve">displace a significant proportion of current gas use in certain sectors, particularly </w:t>
      </w:r>
      <w:r>
        <w:t xml:space="preserve">commercial and </w:t>
      </w:r>
      <w:r w:rsidR="00185909">
        <w:t>residential sector</w:t>
      </w:r>
      <w:r>
        <w:t>s</w:t>
      </w:r>
      <w:r w:rsidR="00185909">
        <w:t>.</w:t>
      </w:r>
      <w:r w:rsidR="00185909" w:rsidDel="00697D6B">
        <w:t xml:space="preserve"> </w:t>
      </w:r>
      <w:r w:rsidR="00185909">
        <w:t>However, some businesses in hard-to-abate industries have few options to electrify</w:t>
      </w:r>
      <w:r w:rsidR="00F22BEF">
        <w:t xml:space="preserve"> </w:t>
      </w:r>
      <w:proofErr w:type="gramStart"/>
      <w:r w:rsidR="00F22BEF">
        <w:t>at this time</w:t>
      </w:r>
      <w:proofErr w:type="gramEnd"/>
      <w:r w:rsidR="00185909">
        <w:t>.</w:t>
      </w:r>
      <w:r w:rsidR="0070163D">
        <w:rPr>
          <w:rStyle w:val="FootnoteReference"/>
        </w:rPr>
        <w:footnoteReference w:id="31"/>
      </w:r>
      <w:r w:rsidR="00185909">
        <w:t xml:space="preserve"> In particular, there are industrial users of gas that currently have no commercially viable option to </w:t>
      </w:r>
      <w:r w:rsidR="00185909" w:rsidRPr="0038182A">
        <w:t xml:space="preserve">move to low </w:t>
      </w:r>
      <w:r w:rsidR="00185909">
        <w:t>carbon</w:t>
      </w:r>
      <w:r w:rsidR="00185909" w:rsidRPr="0038182A">
        <w:t xml:space="preserve"> alternative</w:t>
      </w:r>
      <w:r w:rsidR="00185909">
        <w:t>s. These</w:t>
      </w:r>
      <w:r w:rsidR="00185909" w:rsidRPr="0038182A">
        <w:t xml:space="preserve"> includ</w:t>
      </w:r>
      <w:r w:rsidR="00185909">
        <w:t>e users with</w:t>
      </w:r>
      <w:r w:rsidR="00185909" w:rsidRPr="0038182A">
        <w:t xml:space="preserve"> high heat processes and processes that use</w:t>
      </w:r>
      <w:r w:rsidR="00185909" w:rsidRPr="0038182A" w:rsidDel="00F33CA1">
        <w:t xml:space="preserve"> </w:t>
      </w:r>
      <w:r w:rsidR="00185909" w:rsidRPr="0038182A">
        <w:t xml:space="preserve">gas as a chemical feedstock. </w:t>
      </w:r>
      <w:r w:rsidR="00185909">
        <w:t>These users may require</w:t>
      </w:r>
      <w:r w:rsidR="00185909" w:rsidDel="00AE4084">
        <w:t xml:space="preserve"> </w:t>
      </w:r>
      <w:r w:rsidR="00185909">
        <w:t>gas, including low carbon gases such as biomethane or hydrogen,</w:t>
      </w:r>
      <w:r w:rsidR="00185909" w:rsidRPr="00103144">
        <w:t xml:space="preserve"> </w:t>
      </w:r>
      <w:r w:rsidR="00185909">
        <w:t>through to 2050.</w:t>
      </w:r>
    </w:p>
    <w:p w14:paraId="5D48CCFA" w14:textId="6A0E937C" w:rsidR="00185909" w:rsidRDefault="00185909" w:rsidP="00540445">
      <w:pPr>
        <w:jc w:val="both"/>
      </w:pPr>
      <w:r>
        <w:t>G</w:t>
      </w:r>
      <w:r w:rsidRPr="001E6012">
        <w:t>as</w:t>
      </w:r>
      <w:r>
        <w:t xml:space="preserve"> is and</w:t>
      </w:r>
      <w:r w:rsidRPr="001E6012">
        <w:t xml:space="preserve"> will remain an important energy source </w:t>
      </w:r>
      <w:r>
        <w:t xml:space="preserve">for the electricity sector for backup generation and to balance renewable electricity supply. Because </w:t>
      </w:r>
      <w:r w:rsidDel="009E2B70">
        <w:t>g</w:t>
      </w:r>
      <w:r>
        <w:t xml:space="preserve">as-fired power generation (GPG) is highly flexible, it is relied on to quickly deliver reliable electricity demand that exceeds the available capacity of non-gas generation. </w:t>
      </w:r>
      <w:r>
        <w:rPr>
          <w:rFonts w:ascii="Calibri" w:eastAsia="Calibri" w:hAnsi="Calibri" w:cs="Times New Roman"/>
        </w:rPr>
        <w:t xml:space="preserve">GPG will continue to provide a dispatchable </w:t>
      </w:r>
      <w:r>
        <w:t xml:space="preserve">source of generation during periods of low variable renewable energy production throughout the energy </w:t>
      </w:r>
      <w:r w:rsidR="00E32B7C">
        <w:t>transformation</w:t>
      </w:r>
      <w:r w:rsidR="00E32B7C" w:rsidDel="00E32B7C">
        <w:t xml:space="preserve"> </w:t>
      </w:r>
      <w:r>
        <w:t xml:space="preserve">period. </w:t>
      </w:r>
      <w:r w:rsidR="00612E46">
        <w:t>G</w:t>
      </w:r>
      <w:r>
        <w:t>as will</w:t>
      </w:r>
      <w:r w:rsidDel="00612E46">
        <w:t xml:space="preserve"> </w:t>
      </w:r>
      <w:r>
        <w:t>be required to fuel GPG until commercially viable low carbon alternatives are available.</w:t>
      </w:r>
    </w:p>
    <w:p w14:paraId="4CEC7594" w14:textId="4C3CE8EB" w:rsidR="00185909" w:rsidRPr="0038182A" w:rsidRDefault="00185909" w:rsidP="00540445">
      <w:pPr>
        <w:jc w:val="both"/>
      </w:pPr>
      <w:r w:rsidRPr="0038182A">
        <w:t xml:space="preserve">To drive significant emissions reductions in these hard-to-abate industries, the Australian Government recognises that over the longer-term, low carbon alternatives will be needed, such as biomethane and hydrogen. </w:t>
      </w:r>
      <w:r>
        <w:t xml:space="preserve">Low </w:t>
      </w:r>
      <w:r w:rsidRPr="00A900AC">
        <w:t xml:space="preserve">carbon gases </w:t>
      </w:r>
      <w:r>
        <w:t>may</w:t>
      </w:r>
      <w:r w:rsidRPr="00A900AC">
        <w:t xml:space="preserve"> have the potential to </w:t>
      </w:r>
      <w:r w:rsidR="00CA760E">
        <w:t xml:space="preserve">help </w:t>
      </w:r>
      <w:r w:rsidRPr="00A900AC">
        <w:t>mitigate forecast</w:t>
      </w:r>
      <w:r>
        <w:t>ed</w:t>
      </w:r>
      <w:r w:rsidRPr="00A900AC">
        <w:t xml:space="preserve"> </w:t>
      </w:r>
      <w:r>
        <w:t xml:space="preserve">potential </w:t>
      </w:r>
      <w:r w:rsidRPr="00A900AC">
        <w:t xml:space="preserve">gas shortfalls on the east coast of Australia in the </w:t>
      </w:r>
      <w:r w:rsidR="00A05A2B">
        <w:t>long</w:t>
      </w:r>
      <w:r w:rsidRPr="00A900AC">
        <w:t>-term</w:t>
      </w:r>
      <w:r>
        <w:t>.</w:t>
      </w:r>
      <w:r>
        <w:rPr>
          <w:rStyle w:val="FootnoteReference"/>
        </w:rPr>
        <w:footnoteReference w:id="32"/>
      </w:r>
      <w:r w:rsidRPr="0038182A" w:rsidDel="005B7E8B">
        <w:t xml:space="preserve"> </w:t>
      </w:r>
      <w:r w:rsidRPr="0038182A">
        <w:t xml:space="preserve">The Australian Government’s renewable energy superpower ambition includes a vision for Australia being a net-producer of these </w:t>
      </w:r>
      <w:r>
        <w:t>low carbon</w:t>
      </w:r>
      <w:r w:rsidRPr="0038182A">
        <w:t xml:space="preserve"> alternatives, based on its comparative advantages of abundant and low-cost renewable energy potential.</w:t>
      </w:r>
    </w:p>
    <w:p w14:paraId="4D789666" w14:textId="3C904047" w:rsidR="000A5D4B" w:rsidRDefault="000A5D4B" w:rsidP="000A5D4B">
      <w:pPr>
        <w:jc w:val="both"/>
      </w:pPr>
      <w:r w:rsidRPr="0038182A">
        <w:t xml:space="preserve">The Australian Government is also developing a Future Gas Strategy to provide a medium-term (to 2035) and long-term (to 2050) plan for gas production and consumption in Australia, as well as considering the role that Australian liquefied natural gas (LNG) plays in our trade partners’ energy </w:t>
      </w:r>
      <w:r>
        <w:t>transformations</w:t>
      </w:r>
      <w:r w:rsidRPr="0038182A" w:rsidDel="00FB2F8F">
        <w:t>.</w:t>
      </w:r>
      <w:r w:rsidRPr="0038182A">
        <w:t xml:space="preserve"> </w:t>
      </w:r>
      <w:r w:rsidR="00A30B72">
        <w:t>There are many</w:t>
      </w:r>
      <w:r w:rsidRPr="0038182A">
        <w:t xml:space="preserve"> industrial </w:t>
      </w:r>
      <w:r w:rsidR="00A30B72">
        <w:t>processes</w:t>
      </w:r>
      <w:r w:rsidRPr="0038182A">
        <w:t xml:space="preserve"> that are </w:t>
      </w:r>
      <w:r w:rsidR="00611E4E">
        <w:t xml:space="preserve">still currently </w:t>
      </w:r>
      <w:r w:rsidRPr="0038182A">
        <w:t>difficult to transition to renewable energy sources.</w:t>
      </w:r>
    </w:p>
    <w:p w14:paraId="26678011" w14:textId="5256A082" w:rsidR="00185909" w:rsidRDefault="00185909" w:rsidP="00540445">
      <w:pPr>
        <w:jc w:val="both"/>
      </w:pPr>
      <w:r w:rsidRPr="0038182A">
        <w:t xml:space="preserve">The Net Zero Industrial Sector Plan will consider opportunities to decarbonise gas use in the industrial sector. </w:t>
      </w:r>
      <w:r>
        <w:t>The Electricity and Energy Sector Plan will consider options to grow towards low carbon gas alternatives while ensuring reliable and secure energy supply through the transition.</w:t>
      </w:r>
    </w:p>
    <w:p w14:paraId="6BA8C2B9" w14:textId="77777777" w:rsidR="00185909" w:rsidRPr="0038182A" w:rsidRDefault="00185909" w:rsidP="00540445">
      <w:pPr>
        <w:jc w:val="both"/>
      </w:pPr>
      <w:r w:rsidRPr="0038182A" w:rsidDel="00641EB6">
        <w:t>Carbon capture use and storage (CCUS)</w:t>
      </w:r>
      <w:r w:rsidRPr="0038182A">
        <w:t xml:space="preserve"> technologies have the potential to </w:t>
      </w:r>
      <w:r>
        <w:t>reduce emissions from the use of gas and other fossil fuels, including</w:t>
      </w:r>
      <w:r w:rsidRPr="0038182A">
        <w:t xml:space="preserve"> the manufacture of industrial materials such as cement. These CCUS</w:t>
      </w:r>
      <w:r w:rsidRPr="0038182A" w:rsidDel="00140B4F">
        <w:t xml:space="preserve"> technologies</w:t>
      </w:r>
      <w:r w:rsidRPr="0038182A">
        <w:t xml:space="preserve"> capture carbon dioxide emissions from industrial processes to be used in other industrial processes or permanently stored deep underground. </w:t>
      </w:r>
    </w:p>
    <w:p w14:paraId="50326418" w14:textId="77777777" w:rsidR="00D71AB0" w:rsidRDefault="00185909" w:rsidP="00540445">
      <w:pPr>
        <w:jc w:val="both"/>
      </w:pPr>
      <w:r w:rsidRPr="0038182A">
        <w:lastRenderedPageBreak/>
        <w:t>CCUS may support businesses in hard-to-abate sectors meet their obligations under the Safeguard Mechanism reforms,</w:t>
      </w:r>
      <w:r>
        <w:t xml:space="preserve"> but the cost and effectiveness of these technologies at scale remains uncertain. </w:t>
      </w:r>
    </w:p>
    <w:p w14:paraId="40D2E357" w14:textId="77777777" w:rsidR="00D71AB0" w:rsidRPr="00F07193" w:rsidRDefault="00D71AB0" w:rsidP="00D71AB0">
      <w:pPr>
        <w:pStyle w:val="xmsonormal"/>
        <w:rPr>
          <w:rFonts w:ascii="Arial" w:hAnsi="Arial" w:cs="Arial"/>
          <w:i/>
          <w:iCs/>
          <w:color w:val="000000"/>
          <w:sz w:val="24"/>
          <w:szCs w:val="24"/>
        </w:rPr>
      </w:pPr>
      <w:r w:rsidRPr="00D701B2">
        <w:rPr>
          <w:rFonts w:asciiTheme="minorHAnsi" w:hAnsiTheme="minorHAnsi" w:cstheme="minorHAnsi"/>
          <w:color w:val="000000"/>
        </w:rPr>
        <w:t>The Safeguard Mechanism reforms provide an incentive for new CCUS projects to meet abatement goals by opening the possibility of earning Safeguard Mechanism Credits if CCUS projects are successful in lowering emissions below baselines.</w:t>
      </w:r>
      <w:r>
        <w:rPr>
          <w:rFonts w:ascii="Arial" w:hAnsi="Arial" w:cs="Arial"/>
          <w:i/>
          <w:iCs/>
          <w:color w:val="000000"/>
          <w:sz w:val="24"/>
          <w:szCs w:val="24"/>
        </w:rPr>
        <w:t xml:space="preserve"> </w:t>
      </w:r>
    </w:p>
    <w:p w14:paraId="4443160A" w14:textId="2F61A637" w:rsidR="00185909" w:rsidRDefault="00185909" w:rsidP="00540445">
      <w:pPr>
        <w:jc w:val="both"/>
      </w:pPr>
      <w:r>
        <w:t xml:space="preserve">Future developments around the commercial feasibility of CCUS will have implications for Australia’s energy mix to 2050. </w:t>
      </w:r>
    </w:p>
    <w:p w14:paraId="18142A0C" w14:textId="77777777" w:rsidR="00185909" w:rsidRPr="00E268EC" w:rsidRDefault="00185909" w:rsidP="001F14C4">
      <w:pPr>
        <w:pStyle w:val="Heading3"/>
      </w:pPr>
      <w:bookmarkStart w:id="97" w:name="_Toc160550415"/>
      <w:bookmarkStart w:id="98" w:name="_Toc160623588"/>
      <w:bookmarkStart w:id="99" w:name="_Toc160699612"/>
      <w:bookmarkStart w:id="100" w:name="_Toc161306046"/>
      <w:r w:rsidRPr="00E268EC">
        <w:t>The gas regulatory framework needs to be fit for the future</w:t>
      </w:r>
      <w:bookmarkEnd w:id="97"/>
      <w:bookmarkEnd w:id="98"/>
      <w:bookmarkEnd w:id="99"/>
      <w:bookmarkEnd w:id="100"/>
    </w:p>
    <w:p w14:paraId="589DDF0E" w14:textId="77777777" w:rsidR="00185909" w:rsidRDefault="00185909" w:rsidP="00540445">
      <w:pPr>
        <w:jc w:val="both"/>
      </w:pPr>
      <w:r>
        <w:t>Regulatory settings will need to be considered as electrification accelerates and use of gas networks declines. It</w:t>
      </w:r>
      <w:r w:rsidDel="00D67B94">
        <w:t xml:space="preserve"> is </w:t>
      </w:r>
      <w:r>
        <w:t xml:space="preserve">important to ensure that the gas regulatory framework is fit for purpose into the future as demand for, and use of, gas changes. </w:t>
      </w:r>
    </w:p>
    <w:p w14:paraId="3B830DFA" w14:textId="77777777" w:rsidR="00185909" w:rsidRDefault="00185909" w:rsidP="00540445">
      <w:pPr>
        <w:jc w:val="both"/>
      </w:pPr>
      <w:r>
        <w:t>Governments and regulators may need to consider whether the regulatory framework appropriately:</w:t>
      </w:r>
    </w:p>
    <w:p w14:paraId="2DBC0D42" w14:textId="15635701" w:rsidR="00185909" w:rsidRDefault="00185909" w:rsidP="00B141BC">
      <w:pPr>
        <w:pStyle w:val="ListBullet"/>
        <w:numPr>
          <w:ilvl w:val="0"/>
          <w:numId w:val="53"/>
        </w:numPr>
      </w:pPr>
      <w:r>
        <w:t xml:space="preserve">allocates risks and costs between pipeline owners and consumers, </w:t>
      </w:r>
      <w:r w:rsidRPr="008B5380">
        <w:t>to ensure there is a fair and equitable</w:t>
      </w:r>
      <w:r>
        <w:t xml:space="preserve"> transition to net zero</w:t>
      </w:r>
    </w:p>
    <w:p w14:paraId="225563DC" w14:textId="1F0D7045" w:rsidR="00185909" w:rsidRDefault="00185909" w:rsidP="00B141BC">
      <w:pPr>
        <w:pStyle w:val="ListBullet"/>
        <w:numPr>
          <w:ilvl w:val="0"/>
          <w:numId w:val="53"/>
        </w:numPr>
      </w:pPr>
      <w:r>
        <w:t>supports an orderly transition to net zero, without significant and volatile price increases</w:t>
      </w:r>
    </w:p>
    <w:p w14:paraId="40E4C251" w14:textId="3F49C95A" w:rsidR="00185909" w:rsidRDefault="00185909" w:rsidP="00B141BC">
      <w:pPr>
        <w:pStyle w:val="ListBullet"/>
        <w:numPr>
          <w:ilvl w:val="0"/>
          <w:numId w:val="53"/>
        </w:numPr>
      </w:pPr>
      <w:r>
        <w:t xml:space="preserve">supports orderly and safe disconnection and decommissioning, including managing safety risks </w:t>
      </w:r>
      <w:proofErr w:type="gramStart"/>
      <w:r w:rsidR="009905FB">
        <w:t>if and when</w:t>
      </w:r>
      <w:proofErr w:type="gramEnd"/>
      <w:r w:rsidR="009905FB">
        <w:t xml:space="preserve"> </w:t>
      </w:r>
      <w:r>
        <w:t>customers choose to exit networks</w:t>
      </w:r>
    </w:p>
    <w:p w14:paraId="22FF7DA3" w14:textId="0CBE5F6F" w:rsidR="00185909" w:rsidRDefault="00185909" w:rsidP="00B141BC">
      <w:pPr>
        <w:pStyle w:val="ListBullet"/>
        <w:numPr>
          <w:ilvl w:val="0"/>
          <w:numId w:val="53"/>
        </w:numPr>
      </w:pPr>
      <w:r>
        <w:t>ensures market participants have certainty to maintain gas supply infrastructure, where and while it is needed, and support infrastructure upgrades to support the deployment of low carbon alternatives</w:t>
      </w:r>
    </w:p>
    <w:p w14:paraId="3E839262" w14:textId="77777777" w:rsidR="00185909" w:rsidRDefault="00185909" w:rsidP="00B141BC">
      <w:pPr>
        <w:pStyle w:val="ListBullet"/>
        <w:numPr>
          <w:ilvl w:val="0"/>
          <w:numId w:val="53"/>
        </w:numPr>
        <w:spacing w:after="240"/>
      </w:pPr>
      <w:r>
        <w:t>supports a workably competitive market.</w:t>
      </w:r>
    </w:p>
    <w:p w14:paraId="58938DF8" w14:textId="77777777" w:rsidR="00185909" w:rsidRDefault="00185909" w:rsidP="00540445">
      <w:pPr>
        <w:jc w:val="both"/>
      </w:pPr>
      <w:r>
        <w:t>There are transition risks associated with the potential downsizing of the gas sector and/or changes to the sector to adapt to low carbon alternatives. Governments, regulators, and pipeline owners will need to work together to ensure current and future investments in gas pipelines reflect an appropriate and considered allocation of these risks.</w:t>
      </w:r>
    </w:p>
    <w:p w14:paraId="2FBA512A" w14:textId="77777777" w:rsidR="00185909" w:rsidRPr="00E268EC" w:rsidRDefault="00185909" w:rsidP="001F14C4">
      <w:pPr>
        <w:pStyle w:val="Heading3"/>
      </w:pPr>
      <w:bookmarkStart w:id="101" w:name="_Toc160550416"/>
      <w:bookmarkStart w:id="102" w:name="_Toc160623589"/>
      <w:bookmarkStart w:id="103" w:name="_Toc160699613"/>
      <w:bookmarkStart w:id="104" w:name="_Toc161306047"/>
      <w:r w:rsidRPr="00E268EC">
        <w:t>Low carbon gas alternatives will be required in hard-to-abate sectors</w:t>
      </w:r>
      <w:bookmarkEnd w:id="101"/>
      <w:bookmarkEnd w:id="102"/>
      <w:bookmarkEnd w:id="103"/>
      <w:bookmarkEnd w:id="104"/>
    </w:p>
    <w:p w14:paraId="19C88B95" w14:textId="34F6E9E9" w:rsidR="00185909" w:rsidRDefault="00185909" w:rsidP="00540445">
      <w:pPr>
        <w:jc w:val="both"/>
      </w:pPr>
      <w:r>
        <w:t xml:space="preserve">The Australian Government is supporting the development of low carbon gas alternatives. Together with the </w:t>
      </w:r>
      <w:r w:rsidR="00DF781A">
        <w:t xml:space="preserve">state </w:t>
      </w:r>
      <w:r>
        <w:t xml:space="preserve">and </w:t>
      </w:r>
      <w:r w:rsidR="00DF781A">
        <w:t>t</w:t>
      </w:r>
      <w:r>
        <w:t>erritory governments, amendments have been made to bring hydrogen and other alternative gases, such as biomethane, into the national gas regulatory framework. This measure provides r</w:t>
      </w:r>
      <w:r w:rsidRPr="004866D4">
        <w:t xml:space="preserve">egulatory certainty to support investment in innovative projects that will reduce emissions in gas </w:t>
      </w:r>
      <w:r>
        <w:t>pipelines.</w:t>
      </w:r>
    </w:p>
    <w:p w14:paraId="3D9F8601" w14:textId="7F787073" w:rsidR="00185909" w:rsidRDefault="00185909" w:rsidP="00540445">
      <w:pPr>
        <w:jc w:val="both"/>
      </w:pPr>
      <w:r>
        <w:t xml:space="preserve">Australia is well placed to play a significant role in the global hydrogen industry due to our renewable energy potential, the availability of space to support renewable electricity generation, </w:t>
      </w:r>
      <w:r w:rsidRPr="00C259CD">
        <w:t>existing</w:t>
      </w:r>
      <w:r>
        <w:t xml:space="preserve"> industries and supply chains, and</w:t>
      </w:r>
      <w:r w:rsidR="00E47FED">
        <w:t xml:space="preserve"> our</w:t>
      </w:r>
      <w:r>
        <w:t xml:space="preserve"> role as a reliable energy supplier. Australia also has a skilled resource and energy workforce and a long history as a trusted supplier of energy security and resources </w:t>
      </w:r>
      <w:r>
        <w:lastRenderedPageBreak/>
        <w:t xml:space="preserve">exports. Achieving the Australian Government’s hydrogen ambitions will help crystalise Australia’s renewable energy superpower potential. </w:t>
      </w:r>
    </w:p>
    <w:p w14:paraId="2BE4BB04" w14:textId="4A7EDFB1" w:rsidR="00185909" w:rsidRPr="000A7B4B" w:rsidRDefault="00185909" w:rsidP="00581231">
      <w:pPr>
        <w:pStyle w:val="Heading4"/>
      </w:pPr>
      <w:r w:rsidRPr="000A7B4B">
        <w:t>Biomethane</w:t>
      </w:r>
      <w:r>
        <w:t xml:space="preserve"> offers a viable gas</w:t>
      </w:r>
      <w:r w:rsidR="00E32984">
        <w:t xml:space="preserve"> alternative</w:t>
      </w:r>
      <w:r>
        <w:t xml:space="preserve"> for the hard to abate sector</w:t>
      </w:r>
      <w:r w:rsidR="00E32984">
        <w:t xml:space="preserve"> towards 2050</w:t>
      </w:r>
    </w:p>
    <w:p w14:paraId="00E75C74" w14:textId="77777777" w:rsidR="00185909" w:rsidRDefault="00185909" w:rsidP="00540445">
      <w:pPr>
        <w:jc w:val="both"/>
      </w:pPr>
      <w:r>
        <w:t xml:space="preserve">Biomethane is a refined biogas that can be produced from waste feedstocks and is chemically nearly identical to pipeline gas. As a result, biomethane can be transported through existing gas infrastructure. </w:t>
      </w:r>
    </w:p>
    <w:p w14:paraId="46D27301" w14:textId="77777777" w:rsidR="00185909" w:rsidRDefault="00185909" w:rsidP="00540445">
      <w:pPr>
        <w:jc w:val="both"/>
      </w:pPr>
      <w:r>
        <w:t xml:space="preserve">Biomethane industries developed overseas have often needed initial government support. Current mechanisms available to the biomethane and biogas industry to unlock investment </w:t>
      </w:r>
      <w:r w:rsidDel="00181004">
        <w:t xml:space="preserve">are </w:t>
      </w:r>
      <w:r>
        <w:t>the Australian Carbon Credit Unit scheme. Calls have also been made to improve the certification and emissions accounting when biomethane is delivered through a shared gas network. The Australian Government consulted on priorities for further products under its Guarantee of Origin (GO) scheme in October-November 2023.</w:t>
      </w:r>
    </w:p>
    <w:p w14:paraId="1292D54B" w14:textId="77777777" w:rsidR="00185909" w:rsidRDefault="00185909" w:rsidP="00540445">
      <w:pPr>
        <w:jc w:val="both"/>
      </w:pPr>
      <w:r>
        <w:t xml:space="preserve">Feedstocks for biomethane can also be used to make different products, such as aviation fuels and biodiesel. Understanding the availability and optimal uses for feedstocks will help determine what role biomethane can play in a net zero economy. </w:t>
      </w:r>
    </w:p>
    <w:p w14:paraId="260D5AB7" w14:textId="77777777" w:rsidR="00185909" w:rsidRPr="00344222" w:rsidRDefault="00185909" w:rsidP="00581231">
      <w:pPr>
        <w:pStyle w:val="Heading4"/>
      </w:pPr>
      <w:r>
        <w:t>H</w:t>
      </w:r>
      <w:r w:rsidRPr="000A7B4B">
        <w:t>ydrogen</w:t>
      </w:r>
      <w:r>
        <w:t xml:space="preserve"> can also help to decarbonise gas</w:t>
      </w:r>
    </w:p>
    <w:p w14:paraId="695DE85C" w14:textId="77777777" w:rsidR="00185909" w:rsidRDefault="00185909" w:rsidP="00540445">
      <w:pPr>
        <w:jc w:val="both"/>
      </w:pPr>
      <w:r>
        <w:t xml:space="preserve">Hydrogen offers the potential to replace gas for high temperature industrial applications, in medium to heavy duty transport, and where gas is required as a feedstock to produce chemicals like ammonia and methanol. </w:t>
      </w:r>
    </w:p>
    <w:p w14:paraId="52A7EF02" w14:textId="00586325" w:rsidR="00185909" w:rsidRDefault="00185909" w:rsidP="00540445">
      <w:pPr>
        <w:jc w:val="both"/>
      </w:pPr>
      <w:r>
        <w:t xml:space="preserve">The Australian Government is assisting the development of the hydrogen industry through several initiatives, including the Hydrogen Headstart program, the Regional Hydrogen Hubs </w:t>
      </w:r>
      <w:proofErr w:type="gramStart"/>
      <w:r>
        <w:t>Program</w:t>
      </w:r>
      <w:proofErr w:type="gramEnd"/>
      <w:r>
        <w:t xml:space="preserve"> and </w:t>
      </w:r>
      <w:r w:rsidDel="00851805">
        <w:t xml:space="preserve">the </w:t>
      </w:r>
      <w:r w:rsidR="00851805" w:rsidDel="00911F95">
        <w:t>development</w:t>
      </w:r>
      <w:r>
        <w:t xml:space="preserve"> of the Guarantee of Origin Scheme. These schemes are an initial investment for the nascent industry, and signal Australia’s intent on becoming a renewable energy superpower. </w:t>
      </w:r>
      <w:r w:rsidRPr="008B5380">
        <w:t xml:space="preserve">The Australian Government is leading a Review of the National Hydrogen Strategy in collaboration with the </w:t>
      </w:r>
      <w:r>
        <w:t>s</w:t>
      </w:r>
      <w:r w:rsidRPr="008B5380">
        <w:t xml:space="preserve">tates and </w:t>
      </w:r>
      <w:r>
        <w:t>t</w:t>
      </w:r>
      <w:r w:rsidRPr="008B5380">
        <w:t>erritories.</w:t>
      </w:r>
    </w:p>
    <w:p w14:paraId="0F88F48C" w14:textId="4A323E1E" w:rsidR="00185909" w:rsidRDefault="00185909" w:rsidP="00540445">
      <w:pPr>
        <w:jc w:val="both"/>
      </w:pPr>
      <w:r>
        <w:t xml:space="preserve">ARENA has had an investment focus on renewable hydrogen research, </w:t>
      </w:r>
      <w:proofErr w:type="gramStart"/>
      <w:r>
        <w:t>development</w:t>
      </w:r>
      <w:proofErr w:type="gramEnd"/>
      <w:r>
        <w:t xml:space="preserve"> and deployment for a number of years and has funded a wide range of projects, pilots and feasibility studies in Australia. Hydrogen is central to </w:t>
      </w:r>
      <w:r w:rsidR="004777D7">
        <w:t>several</w:t>
      </w:r>
      <w:r>
        <w:t xml:space="preserve"> priorities in ARENA’s General Funding Strategy, including to priorities to commercialise clean hydrogen, support the transition to low emissions metals and decarbonise land transport. The CEFC also administers the Advancing Hydrogen Fund under its investment mandate.</w:t>
      </w:r>
    </w:p>
    <w:p w14:paraId="141A6A04" w14:textId="70C9FB12" w:rsidR="00185909" w:rsidRPr="00EF5B44" w:rsidRDefault="00185909" w:rsidP="001F14C4">
      <w:pPr>
        <w:pStyle w:val="Heading3"/>
        <w:rPr>
          <w:rStyle w:val="SubtleEmphasis"/>
          <w:i w:val="0"/>
          <w:iCs w:val="0"/>
          <w:color w:val="auto"/>
        </w:rPr>
      </w:pPr>
      <w:bookmarkStart w:id="105" w:name="_Toc160550417"/>
      <w:bookmarkStart w:id="106" w:name="_Toc160623590"/>
      <w:bookmarkStart w:id="107" w:name="_Toc160699614"/>
      <w:bookmarkStart w:id="108" w:name="_Toc161306048"/>
      <w:r w:rsidRPr="00EF5B44">
        <w:rPr>
          <w:rStyle w:val="SubtleEmphasis"/>
          <w:i w:val="0"/>
          <w:iCs w:val="0"/>
          <w:color w:val="auto"/>
        </w:rPr>
        <w:t>Liquid fuels need to transition</w:t>
      </w:r>
      <w:bookmarkEnd w:id="105"/>
      <w:r w:rsidRPr="00EF5B44">
        <w:rPr>
          <w:rStyle w:val="SubtleEmphasis"/>
          <w:i w:val="0"/>
          <w:iCs w:val="0"/>
          <w:color w:val="auto"/>
        </w:rPr>
        <w:t xml:space="preserve"> to reach net zero</w:t>
      </w:r>
      <w:bookmarkEnd w:id="106"/>
      <w:bookmarkEnd w:id="107"/>
      <w:bookmarkEnd w:id="108"/>
      <w:r w:rsidRPr="00EF5B44">
        <w:rPr>
          <w:rStyle w:val="SubtleEmphasis"/>
          <w:i w:val="0"/>
          <w:iCs w:val="0"/>
          <w:color w:val="auto"/>
        </w:rPr>
        <w:t xml:space="preserve"> </w:t>
      </w:r>
    </w:p>
    <w:p w14:paraId="5461D60C" w14:textId="77777777" w:rsidR="00185909" w:rsidRDefault="00185909" w:rsidP="00AF443B">
      <w:pPr>
        <w:jc w:val="both"/>
      </w:pPr>
      <w:r w:rsidRPr="008C5FC1">
        <w:t xml:space="preserve">Australia’s liquid fuel market has changed </w:t>
      </w:r>
      <w:r>
        <w:t>over</w:t>
      </w:r>
      <w:r w:rsidRPr="008C5FC1">
        <w:t xml:space="preserve"> the past two decades. </w:t>
      </w:r>
      <w:r>
        <w:t>Most domestic refineries have closed, and the market is increasingly reliant on imports of crude oil and refined fuel, which account for over 90% of our total fuel consumption.</w:t>
      </w:r>
      <w:r>
        <w:rPr>
          <w:rStyle w:val="FootnoteReference"/>
        </w:rPr>
        <w:footnoteReference w:id="33"/>
      </w:r>
      <w:r>
        <w:t xml:space="preserve"> Australia has access to diverse global supply chains, which </w:t>
      </w:r>
      <w:r>
        <w:lastRenderedPageBreak/>
        <w:t xml:space="preserve">encourages competitive prices but also increases market complexity and exposes Australia to global geopolitical disruptions. </w:t>
      </w:r>
    </w:p>
    <w:p w14:paraId="485D65D9" w14:textId="77777777" w:rsidR="00185909" w:rsidRDefault="00185909" w:rsidP="00AF443B">
      <w:pPr>
        <w:jc w:val="both"/>
      </w:pPr>
      <w:r>
        <w:t>The emissions footprint of Australia’s liquid fuel use is almost as large as that of coal combustion.</w:t>
      </w:r>
      <w:r>
        <w:rPr>
          <w:rStyle w:val="FootnoteReference"/>
        </w:rPr>
        <w:footnoteReference w:id="34"/>
      </w:r>
      <w:r>
        <w:t xml:space="preserve"> While our liquid fuel use has increased only slightly (4%) over the past decade, diesel use has increased by almost 30% over this period.</w:t>
      </w:r>
      <w:r w:rsidRPr="005A4154">
        <w:rPr>
          <w:rStyle w:val="FootnoteReference"/>
        </w:rPr>
        <w:t xml:space="preserve"> </w:t>
      </w:r>
      <w:r>
        <w:rPr>
          <w:rStyle w:val="FootnoteReference"/>
        </w:rPr>
        <w:footnoteReference w:id="35"/>
      </w:r>
      <w:r>
        <w:t xml:space="preserve"> </w:t>
      </w:r>
    </w:p>
    <w:p w14:paraId="4219075B" w14:textId="16FC6499" w:rsidR="00185909" w:rsidRDefault="00185909" w:rsidP="00AF443B">
      <w:pPr>
        <w:jc w:val="both"/>
      </w:pPr>
      <w:r w:rsidRPr="00E7411F">
        <w:t xml:space="preserve">Australia’s </w:t>
      </w:r>
      <w:r w:rsidR="00F011AC">
        <w:t xml:space="preserve">overall </w:t>
      </w:r>
      <w:r>
        <w:t xml:space="preserve">reliance </w:t>
      </w:r>
      <w:r w:rsidRPr="00E7411F">
        <w:t>o</w:t>
      </w:r>
      <w:r>
        <w:t>n</w:t>
      </w:r>
      <w:r w:rsidRPr="00E7411F">
        <w:t xml:space="preserve"> liquid fuels is projected to continue </w:t>
      </w:r>
      <w:r>
        <w:t xml:space="preserve">well </w:t>
      </w:r>
      <w:r w:rsidRPr="00E7411F">
        <w:t>into the 2030s</w:t>
      </w:r>
      <w:r>
        <w:t xml:space="preserve"> and beyond</w:t>
      </w:r>
      <w:r w:rsidRPr="00E7411F">
        <w:t>.</w:t>
      </w:r>
      <w:r>
        <w:t xml:space="preserve"> </w:t>
      </w:r>
      <w:proofErr w:type="gramStart"/>
      <w:r>
        <w:t xml:space="preserve">Looking forward, </w:t>
      </w:r>
      <w:r>
        <w:rPr>
          <w:rStyle w:val="normaltextrun"/>
          <w:rFonts w:cs="Calibri"/>
        </w:rPr>
        <w:t>petrol demand</w:t>
      </w:r>
      <w:proofErr w:type="gramEnd"/>
      <w:r>
        <w:rPr>
          <w:rStyle w:val="normaltextrun"/>
          <w:rFonts w:cs="Calibri"/>
        </w:rPr>
        <w:t xml:space="preserve"> is expected to decline slowly as electrification options, energy efficiency and energy conservation techniques develop</w:t>
      </w:r>
      <w:r>
        <w:t xml:space="preserve">. </w:t>
      </w:r>
      <w:r w:rsidR="00F011AC">
        <w:t>However, d</w:t>
      </w:r>
      <w:r>
        <w:t>emand for diesel and jet fuel</w:t>
      </w:r>
      <w:r w:rsidR="00F011AC">
        <w:t xml:space="preserve"> </w:t>
      </w:r>
      <w:r>
        <w:t xml:space="preserve">is expected to remain steady or increase. This is </w:t>
      </w:r>
      <w:r w:rsidRPr="00E7411F">
        <w:t>due to</w:t>
      </w:r>
      <w:r>
        <w:t xml:space="preserve"> </w:t>
      </w:r>
      <w:r>
        <w:rPr>
          <w:rStyle w:val="normaltextrun"/>
          <w:rFonts w:cs="Calibri"/>
        </w:rPr>
        <w:t>slow development and deployment of feasible alternative energy options</w:t>
      </w:r>
      <w:r w:rsidR="009F2FDA">
        <w:rPr>
          <w:rStyle w:val="normaltextrun"/>
          <w:rFonts w:cs="Calibri"/>
        </w:rPr>
        <w:t>,</w:t>
      </w:r>
      <w:r>
        <w:rPr>
          <w:rStyle w:val="normaltextrun"/>
          <w:rFonts w:cs="Calibri"/>
        </w:rPr>
        <w:t xml:space="preserve"> and </w:t>
      </w:r>
      <w:r w:rsidR="009F2FDA">
        <w:rPr>
          <w:rStyle w:val="normaltextrun"/>
          <w:rFonts w:cs="Calibri"/>
        </w:rPr>
        <w:t xml:space="preserve">to </w:t>
      </w:r>
      <w:r>
        <w:rPr>
          <w:rStyle w:val="normaltextrun"/>
          <w:rFonts w:cs="Calibri"/>
        </w:rPr>
        <w:t>increased activity by fuel users</w:t>
      </w:r>
      <w:r w:rsidRPr="00E7411F">
        <w:t xml:space="preserve">. </w:t>
      </w:r>
      <w:r>
        <w:t>Given this</w:t>
      </w:r>
      <w:r w:rsidRPr="003D7641">
        <w:t>,</w:t>
      </w:r>
      <w:r w:rsidRPr="00747433">
        <w:t xml:space="preserve"> liquid fuels </w:t>
      </w:r>
      <w:r>
        <w:t>need</w:t>
      </w:r>
      <w:r w:rsidRPr="00747433">
        <w:t xml:space="preserve"> </w:t>
      </w:r>
      <w:r>
        <w:t xml:space="preserve">to </w:t>
      </w:r>
      <w:r w:rsidRPr="00747433">
        <w:t xml:space="preserve">play a </w:t>
      </w:r>
      <w:r>
        <w:t>role in Australia’s pathway to 2050,</w:t>
      </w:r>
      <w:r w:rsidRPr="00747433">
        <w:t xml:space="preserve"> and fuel </w:t>
      </w:r>
      <w:r>
        <w:t xml:space="preserve">security </w:t>
      </w:r>
      <w:r w:rsidRPr="00747433">
        <w:t>risks</w:t>
      </w:r>
      <w:r>
        <w:t xml:space="preserve"> need to be managed</w:t>
      </w:r>
      <w:r w:rsidRPr="00747433">
        <w:t xml:space="preserve"> through the transition.</w:t>
      </w:r>
      <w:r>
        <w:t xml:space="preserve"> </w:t>
      </w:r>
    </w:p>
    <w:p w14:paraId="553BF983" w14:textId="77777777" w:rsidR="00185909" w:rsidRPr="00E268EC" w:rsidRDefault="00185909" w:rsidP="001F14C4">
      <w:pPr>
        <w:pStyle w:val="Heading3"/>
      </w:pPr>
      <w:bookmarkStart w:id="109" w:name="_Toc161306049"/>
      <w:r w:rsidRPr="00E268EC">
        <w:rPr>
          <w:rStyle w:val="normaltextrun"/>
          <w:rFonts w:eastAsiaTheme="minorHAnsi"/>
        </w:rPr>
        <w:t>Low carbon liquid fuels can help decarbonise fuel reliant sectors that can’t electrify</w:t>
      </w:r>
      <w:bookmarkEnd w:id="109"/>
    </w:p>
    <w:p w14:paraId="41962374" w14:textId="7C58020E" w:rsidR="00185909" w:rsidRPr="00FD4D7C" w:rsidRDefault="00185909" w:rsidP="00540445">
      <w:pPr>
        <w:jc w:val="both"/>
        <w:rPr>
          <w:rStyle w:val="Emphasis"/>
          <w:rFonts w:cs="Calibri"/>
          <w:i w:val="0"/>
          <w:iCs w:val="0"/>
        </w:rPr>
      </w:pPr>
      <w:r>
        <w:rPr>
          <w:rStyle w:val="normaltextrun"/>
          <w:rFonts w:cs="Calibri"/>
        </w:rPr>
        <w:t>Some industries</w:t>
      </w:r>
      <w:r w:rsidDel="00F15AB9">
        <w:rPr>
          <w:rStyle w:val="normaltextrun"/>
          <w:rFonts w:cs="Calibri"/>
        </w:rPr>
        <w:t xml:space="preserve"> </w:t>
      </w:r>
      <w:r>
        <w:rPr>
          <w:rStyle w:val="normaltextrun"/>
          <w:rFonts w:cs="Calibri"/>
        </w:rPr>
        <w:t xml:space="preserve">will remain reliant on liquid fuels in the short to medium-term because there are currently significant technical and cost challenges in switching operations to use electricity or hydrogen. This is particularly true in transport sectors (aviation, heavy vehicles, maritime), construction, mining, and agriculture. </w:t>
      </w:r>
    </w:p>
    <w:p w14:paraId="64A5A47E" w14:textId="28CFAA69" w:rsidR="00185909" w:rsidRPr="00FD4D7C" w:rsidRDefault="00185909" w:rsidP="00540445">
      <w:pPr>
        <w:jc w:val="both"/>
      </w:pPr>
      <w:r>
        <w:rPr>
          <w:rStyle w:val="normaltextrun"/>
          <w:rFonts w:cs="Calibri"/>
        </w:rPr>
        <w:t>The Australian Government is committed to supporting a low carbon liquid fuels (LCLF) industry in Australia. These fuels offer shorter-term decarbonisation solutions because they can be incorporated into existing fuel systems, and production technologies are available. LCLF</w:t>
      </w:r>
      <w:r w:rsidRPr="00B73BD7">
        <w:rPr>
          <w:rStyle w:val="normaltextrun"/>
          <w:rFonts w:cs="Calibri"/>
        </w:rPr>
        <w:t xml:space="preserve"> are fuels produced from feedstocks that emit low</w:t>
      </w:r>
      <w:r w:rsidR="00E3555D">
        <w:rPr>
          <w:rStyle w:val="normaltextrun"/>
          <w:rFonts w:cs="Calibri"/>
        </w:rPr>
        <w:t>-</w:t>
      </w:r>
      <w:r w:rsidRPr="00B73BD7">
        <w:rPr>
          <w:rStyle w:val="normaltextrun"/>
          <w:rFonts w:cs="Calibri"/>
        </w:rPr>
        <w:t xml:space="preserve"> to zero</w:t>
      </w:r>
      <w:r w:rsidR="00E3555D">
        <w:rPr>
          <w:rStyle w:val="normaltextrun"/>
          <w:rFonts w:cs="Calibri"/>
        </w:rPr>
        <w:t>-</w:t>
      </w:r>
      <w:r w:rsidRPr="00B73BD7">
        <w:rPr>
          <w:rStyle w:val="normaltextrun"/>
          <w:rFonts w:cs="Calibri"/>
        </w:rPr>
        <w:t xml:space="preserve"> lifecycle emissions</w:t>
      </w:r>
      <w:r w:rsidRPr="00B73BD7" w:rsidDel="00A14E02">
        <w:rPr>
          <w:rStyle w:val="normaltextrun"/>
          <w:rFonts w:cs="Calibri"/>
        </w:rPr>
        <w:t xml:space="preserve"> </w:t>
      </w:r>
      <w:r w:rsidRPr="00B73BD7">
        <w:rPr>
          <w:rStyle w:val="normaltextrun"/>
          <w:rFonts w:cs="Calibri"/>
        </w:rPr>
        <w:t>compared to the fuels they are displacing. LCLF are produced sustainably from waste materials, biomass, or combining hydrogen from low</w:t>
      </w:r>
      <w:r w:rsidR="00E3555D">
        <w:rPr>
          <w:rStyle w:val="normaltextrun"/>
          <w:rFonts w:cs="Calibri"/>
        </w:rPr>
        <w:t>-</w:t>
      </w:r>
      <w:r w:rsidRPr="00B73BD7">
        <w:rPr>
          <w:rStyle w:val="normaltextrun"/>
          <w:rFonts w:cs="Calibri"/>
        </w:rPr>
        <w:t xml:space="preserve"> or zero</w:t>
      </w:r>
      <w:r w:rsidR="00E3555D">
        <w:rPr>
          <w:rStyle w:val="normaltextrun"/>
          <w:rFonts w:cs="Calibri"/>
        </w:rPr>
        <w:t>-</w:t>
      </w:r>
      <w:r w:rsidRPr="00B73BD7">
        <w:rPr>
          <w:rStyle w:val="normaltextrun"/>
          <w:rFonts w:cs="Calibri"/>
        </w:rPr>
        <w:t xml:space="preserve"> carbon feedstocks with captured </w:t>
      </w:r>
      <w:r w:rsidR="00F139FB">
        <w:rPr>
          <w:rStyle w:val="normaltextrun"/>
          <w:rFonts w:cs="Calibri"/>
        </w:rPr>
        <w:t>carbon dioxide</w:t>
      </w:r>
      <w:r w:rsidRPr="00B73BD7">
        <w:rPr>
          <w:rStyle w:val="normaltextrun"/>
          <w:rFonts w:cs="Calibri"/>
        </w:rPr>
        <w:t>.</w:t>
      </w:r>
      <w:r>
        <w:rPr>
          <w:rStyle w:val="normaltextrun"/>
          <w:rFonts w:cs="Calibri"/>
        </w:rPr>
        <w:t xml:space="preserve"> Domestic</w:t>
      </w:r>
      <w:r w:rsidDel="00701211">
        <w:rPr>
          <w:rStyle w:val="normaltextrun"/>
          <w:rFonts w:cs="Calibri"/>
        </w:rPr>
        <w:t xml:space="preserve"> </w:t>
      </w:r>
      <w:r>
        <w:rPr>
          <w:rStyle w:val="normaltextrun"/>
          <w:rFonts w:cs="Calibri"/>
        </w:rPr>
        <w:t xml:space="preserve">production of LCLF can also help with long-term fuel security by diversifying our fuel sources and decreasing our dependence on imported liquid fuels. </w:t>
      </w:r>
    </w:p>
    <w:p w14:paraId="5B54E041" w14:textId="2ADE67FC" w:rsidR="00185909" w:rsidRPr="00C964DF" w:rsidRDefault="00185909" w:rsidP="00540445">
      <w:pPr>
        <w:jc w:val="both"/>
        <w:rPr>
          <w:rStyle w:val="normaltextrun"/>
          <w:rFonts w:cs="Calibri"/>
        </w:rPr>
      </w:pPr>
      <w:r w:rsidRPr="0084175D">
        <w:rPr>
          <w:rStyle w:val="normaltextrun"/>
          <w:rFonts w:cs="Calibri"/>
        </w:rPr>
        <w:t xml:space="preserve">Australia is well placed to lean into a LCLF industry. We have access to renewable feedstocks, and several LCLF production facilities and projects are already underway. The </w:t>
      </w:r>
      <w:r>
        <w:rPr>
          <w:rStyle w:val="normaltextrun"/>
          <w:rFonts w:cs="Calibri"/>
        </w:rPr>
        <w:t xml:space="preserve">Australian </w:t>
      </w:r>
      <w:r w:rsidRPr="00C964DF">
        <w:rPr>
          <w:rStyle w:val="normaltextrun"/>
          <w:rFonts w:cs="Calibri"/>
        </w:rPr>
        <w:t>Government is also investing in projects through the Sustainable Aviation Fuel Funding Initiative and the Hydrogen Headstart program, which will</w:t>
      </w:r>
      <w:r w:rsidRPr="00C964DF" w:rsidDel="0055364B">
        <w:rPr>
          <w:rStyle w:val="normaltextrun"/>
          <w:rFonts w:cs="Calibri"/>
        </w:rPr>
        <w:t xml:space="preserve"> </w:t>
      </w:r>
      <w:r w:rsidRPr="00C964DF">
        <w:rPr>
          <w:rStyle w:val="normaltextrun"/>
          <w:rFonts w:cs="Calibri"/>
        </w:rPr>
        <w:t>help catalyse LCLF production pathways.</w:t>
      </w:r>
    </w:p>
    <w:p w14:paraId="4B25B5CC" w14:textId="0654D7EA" w:rsidR="00185909" w:rsidRPr="00FD4D7C" w:rsidRDefault="00185909" w:rsidP="00540445">
      <w:pPr>
        <w:jc w:val="both"/>
        <w:rPr>
          <w:rFonts w:cs="Calibri"/>
        </w:rPr>
      </w:pPr>
      <w:r>
        <w:rPr>
          <w:rStyle w:val="normaltextrun"/>
          <w:rFonts w:cs="Calibri"/>
        </w:rPr>
        <w:t xml:space="preserve">Nonetheless, Australia’s LCLF industry is still </w:t>
      </w:r>
      <w:proofErr w:type="gramStart"/>
      <w:r w:rsidRPr="5AEEE8D9">
        <w:rPr>
          <w:rStyle w:val="normaltextrun"/>
          <w:rFonts w:cs="Calibri"/>
        </w:rPr>
        <w:t>developing</w:t>
      </w:r>
      <w:proofErr w:type="gramEnd"/>
      <w:r>
        <w:rPr>
          <w:rStyle w:val="normaltextrun"/>
          <w:rFonts w:cs="Calibri"/>
        </w:rPr>
        <w:t xml:space="preserve"> and key challenges must be considered. These include high capital and production costs, reaching efficient scales of production, and managing ongoing competition for feedstocks. There are also challenges around enabling and valuing supply in Australia and ensuring production is sustainable. </w:t>
      </w:r>
    </w:p>
    <w:p w14:paraId="00BC24DC" w14:textId="77777777" w:rsidR="00185909" w:rsidRDefault="00185909" w:rsidP="00540445">
      <w:pPr>
        <w:jc w:val="both"/>
        <w:rPr>
          <w:rStyle w:val="normaltextrun"/>
          <w:rFonts w:cs="Calibri"/>
        </w:rPr>
      </w:pPr>
      <w:r>
        <w:rPr>
          <w:rStyle w:val="normaltextrun"/>
          <w:rFonts w:cs="Calibri"/>
        </w:rPr>
        <w:t xml:space="preserve">The Australian Government is considering a framework to support the domestic LCLF industry and help the market overcome barriers in the short, </w:t>
      </w:r>
      <w:proofErr w:type="gramStart"/>
      <w:r>
        <w:rPr>
          <w:rStyle w:val="normaltextrun"/>
          <w:rFonts w:cs="Calibri"/>
        </w:rPr>
        <w:t>medium</w:t>
      </w:r>
      <w:proofErr w:type="gramEnd"/>
      <w:r>
        <w:rPr>
          <w:rStyle w:val="normaltextrun"/>
          <w:rFonts w:cs="Calibri"/>
        </w:rPr>
        <w:t xml:space="preserve"> and long term. </w:t>
      </w:r>
      <w:r w:rsidRPr="00043A5A">
        <w:rPr>
          <w:rStyle w:val="normaltextrun"/>
          <w:rFonts w:cs="Calibri"/>
        </w:rPr>
        <w:t>As a start</w:t>
      </w:r>
      <w:r>
        <w:rPr>
          <w:rStyle w:val="normaltextrun"/>
          <w:rFonts w:cs="Calibri"/>
        </w:rPr>
        <w:t>,</w:t>
      </w:r>
      <w:r w:rsidRPr="00043A5A">
        <w:rPr>
          <w:rStyle w:val="normaltextrun"/>
          <w:rFonts w:cs="Calibri"/>
        </w:rPr>
        <w:t xml:space="preserve"> we are working on new </w:t>
      </w:r>
      <w:r w:rsidRPr="00043A5A">
        <w:rPr>
          <w:rStyle w:val="normaltextrun"/>
          <w:rFonts w:cs="Calibri"/>
        </w:rPr>
        <w:lastRenderedPageBreak/>
        <w:t xml:space="preserve">fuel quality standards to enable </w:t>
      </w:r>
      <w:r w:rsidRPr="00A900AC">
        <w:rPr>
          <w:rStyle w:val="normaltextrun"/>
          <w:rFonts w:cs="Calibri"/>
        </w:rPr>
        <w:t>supply of LCLF such as renewable diesel.</w:t>
      </w:r>
      <w:r w:rsidRPr="00A900AC">
        <w:rPr>
          <w:rStyle w:val="FootnoteReference"/>
          <w:rFonts w:ascii="Calibri" w:hAnsi="Calibri" w:cs="Calibri"/>
        </w:rPr>
        <w:footnoteReference w:id="36"/>
      </w:r>
      <w:r w:rsidRPr="00A900AC">
        <w:rPr>
          <w:rStyle w:val="normaltextrun"/>
          <w:rFonts w:cs="Calibri"/>
        </w:rPr>
        <w:t xml:space="preserve"> Additionally</w:t>
      </w:r>
      <w:r>
        <w:rPr>
          <w:rStyle w:val="normaltextrun"/>
          <w:rFonts w:cs="Calibri"/>
        </w:rPr>
        <w:t xml:space="preserve">, we are </w:t>
      </w:r>
      <w:r w:rsidRPr="00043A5A">
        <w:rPr>
          <w:rStyle w:val="normaltextrun"/>
          <w:rFonts w:cs="Calibri"/>
        </w:rPr>
        <w:t>considering certification and accounting frameworks to support a domestic industry.</w:t>
      </w:r>
      <w:r>
        <w:rPr>
          <w:rStyle w:val="normaltextrun"/>
          <w:rFonts w:cs="Calibri"/>
        </w:rPr>
        <w:t xml:space="preserve"> Policies in this area will need to drive and align with broader government priorities, including emissions reduction and a nature positive approach to environment and water resource management. This means that, in </w:t>
      </w:r>
      <w:r w:rsidRPr="00FE74DC">
        <w:rPr>
          <w:rStyle w:val="normaltextrun"/>
          <w:rFonts w:cs="Calibri"/>
        </w:rPr>
        <w:t xml:space="preserve">building the LCLF industry, waste hierarchy must be </w:t>
      </w:r>
      <w:proofErr w:type="gramStart"/>
      <w:r w:rsidRPr="00FE74DC">
        <w:rPr>
          <w:rStyle w:val="normaltextrun"/>
          <w:rFonts w:cs="Calibri"/>
        </w:rPr>
        <w:t>followed</w:t>
      </w:r>
      <w:proofErr w:type="gramEnd"/>
      <w:r w:rsidRPr="00FE74DC">
        <w:rPr>
          <w:rStyle w:val="normaltextrun"/>
          <w:rFonts w:cs="Calibri"/>
        </w:rPr>
        <w:t xml:space="preserve"> and innovation encouraged to ensure feedstock</w:t>
      </w:r>
      <w:r>
        <w:rPr>
          <w:rStyle w:val="normaltextrun"/>
          <w:rFonts w:cs="Calibri"/>
        </w:rPr>
        <w:t>s</w:t>
      </w:r>
      <w:r w:rsidRPr="00FE74DC">
        <w:rPr>
          <w:rStyle w:val="normaltextrun"/>
          <w:rFonts w:cs="Calibri"/>
        </w:rPr>
        <w:t xml:space="preserve"> </w:t>
      </w:r>
      <w:r>
        <w:rPr>
          <w:rStyle w:val="normaltextrun"/>
          <w:rFonts w:cs="Calibri"/>
        </w:rPr>
        <w:t>used are</w:t>
      </w:r>
      <w:r w:rsidRPr="00FE74DC">
        <w:rPr>
          <w:rStyle w:val="normaltextrun"/>
          <w:rFonts w:cs="Calibri"/>
        </w:rPr>
        <w:t xml:space="preserve"> weighted </w:t>
      </w:r>
      <w:r>
        <w:rPr>
          <w:rStyle w:val="normaltextrun"/>
          <w:rFonts w:cs="Calibri"/>
        </w:rPr>
        <w:t>in favour of feedstocks that maximise</w:t>
      </w:r>
      <w:r w:rsidRPr="00FE74DC">
        <w:rPr>
          <w:rStyle w:val="normaltextrun"/>
          <w:rFonts w:cs="Calibri"/>
        </w:rPr>
        <w:t xml:space="preserve"> decarbonisation </w:t>
      </w:r>
      <w:r>
        <w:rPr>
          <w:rStyle w:val="normaltextrun"/>
          <w:rFonts w:cs="Calibri"/>
        </w:rPr>
        <w:t xml:space="preserve">outcomes. It will also be important to promote socially acceptable pricing of LCLF in the longer-term, and </w:t>
      </w:r>
      <w:r w:rsidRPr="00D31DDC">
        <w:rPr>
          <w:rStyle w:val="normaltextrun"/>
          <w:rFonts w:cs="Calibri"/>
        </w:rPr>
        <w:t>collaboration across all levels of government to harmonise and manage risks to decarbonisation programs</w:t>
      </w:r>
      <w:r>
        <w:rPr>
          <w:rStyle w:val="normaltextrun"/>
          <w:rFonts w:cs="Calibri"/>
        </w:rPr>
        <w:t>.</w:t>
      </w:r>
    </w:p>
    <w:p w14:paraId="4CDEC5EA" w14:textId="77777777" w:rsidR="00185909" w:rsidRPr="00D31DDC" w:rsidRDefault="00185909" w:rsidP="00540445">
      <w:pPr>
        <w:jc w:val="both"/>
        <w:rPr>
          <w:rStyle w:val="normaltextrun"/>
          <w:rFonts w:cs="Calibri"/>
        </w:rPr>
      </w:pPr>
      <w:r w:rsidRPr="00D31DDC">
        <w:rPr>
          <w:rStyle w:val="normaltextrun"/>
          <w:rFonts w:cs="Calibri"/>
        </w:rPr>
        <w:t>While our focus is on a domestic industry, imported LCLF supply should also be encouraged</w:t>
      </w:r>
      <w:r>
        <w:rPr>
          <w:rStyle w:val="normaltextrun"/>
          <w:rFonts w:cs="Calibri"/>
        </w:rPr>
        <w:t xml:space="preserve"> as it can</w:t>
      </w:r>
      <w:r w:rsidRPr="00D31DDC">
        <w:rPr>
          <w:rStyle w:val="normaltextrun"/>
          <w:rFonts w:cs="Calibri"/>
        </w:rPr>
        <w:t xml:space="preserve"> support end user needs in the near term</w:t>
      </w:r>
      <w:r>
        <w:rPr>
          <w:rStyle w:val="normaltextrun"/>
          <w:rFonts w:cs="Calibri"/>
        </w:rPr>
        <w:t xml:space="preserve"> </w:t>
      </w:r>
      <w:r w:rsidRPr="00D31DDC">
        <w:rPr>
          <w:rStyle w:val="normaltextrun"/>
          <w:rFonts w:cs="Calibri"/>
        </w:rPr>
        <w:t xml:space="preserve">and </w:t>
      </w:r>
      <w:r>
        <w:rPr>
          <w:rStyle w:val="normaltextrun"/>
          <w:rFonts w:cs="Calibri"/>
        </w:rPr>
        <w:t>may</w:t>
      </w:r>
      <w:r w:rsidRPr="00D31DDC">
        <w:rPr>
          <w:rStyle w:val="normaltextrun"/>
          <w:rFonts w:cs="Calibri"/>
        </w:rPr>
        <w:t xml:space="preserve"> be an effective abatement option.</w:t>
      </w:r>
    </w:p>
    <w:p w14:paraId="195B927B" w14:textId="77777777" w:rsidR="00185909" w:rsidRPr="00CA688C" w:rsidRDefault="00185909" w:rsidP="001F14C4">
      <w:pPr>
        <w:pStyle w:val="Heading3"/>
      </w:pPr>
      <w:bookmarkStart w:id="110" w:name="_Toc161306050"/>
      <w:r w:rsidRPr="00CA688C">
        <w:t>Liquid fuel security needs to be managed through the transition</w:t>
      </w:r>
      <w:bookmarkEnd w:id="110"/>
    </w:p>
    <w:p w14:paraId="690F29E9" w14:textId="77777777" w:rsidR="00185909" w:rsidRPr="009E040E" w:rsidRDefault="00185909" w:rsidP="00540445">
      <w:pPr>
        <w:jc w:val="both"/>
      </w:pPr>
      <w:r>
        <w:t>F</w:t>
      </w:r>
      <w:r w:rsidRPr="009E040E">
        <w:t>uel security</w:t>
      </w:r>
      <w:r>
        <w:t xml:space="preserve"> remains a priority, </w:t>
      </w:r>
      <w:r w:rsidRPr="009E040E">
        <w:t>so</w:t>
      </w:r>
      <w:r>
        <w:t xml:space="preserve"> </w:t>
      </w:r>
      <w:r w:rsidRPr="009E040E">
        <w:t xml:space="preserve">Australians have </w:t>
      </w:r>
      <w:r>
        <w:t>reliable</w:t>
      </w:r>
      <w:r w:rsidRPr="009E040E">
        <w:t xml:space="preserve"> access to fuels at affordable price</w:t>
      </w:r>
      <w:r>
        <w:t>s</w:t>
      </w:r>
      <w:r w:rsidRPr="009E040E">
        <w:t>.</w:t>
      </w:r>
      <w:r>
        <w:t xml:space="preserve"> O</w:t>
      </w:r>
      <w:r w:rsidRPr="008C5FC1">
        <w:t xml:space="preserve">ur economy </w:t>
      </w:r>
      <w:r>
        <w:t xml:space="preserve">continues to rely </w:t>
      </w:r>
      <w:r w:rsidRPr="008C5FC1">
        <w:t xml:space="preserve">on </w:t>
      </w:r>
      <w:r>
        <w:t xml:space="preserve">fossil-based </w:t>
      </w:r>
      <w:r w:rsidRPr="008C5FC1">
        <w:t>liquid fuel</w:t>
      </w:r>
      <w:r>
        <w:t>s</w:t>
      </w:r>
      <w:r w:rsidRPr="008C5FC1">
        <w:t xml:space="preserve">, and </w:t>
      </w:r>
      <w:r>
        <w:t xml:space="preserve">any </w:t>
      </w:r>
      <w:r w:rsidRPr="008C5FC1">
        <w:t xml:space="preserve">large </w:t>
      </w:r>
      <w:r>
        <w:t xml:space="preserve">supply </w:t>
      </w:r>
      <w:r w:rsidRPr="008C5FC1">
        <w:t>disruption</w:t>
      </w:r>
      <w:r>
        <w:t xml:space="preserve"> events </w:t>
      </w:r>
      <w:r w:rsidRPr="008C5FC1">
        <w:t xml:space="preserve">would have widespread impacts. </w:t>
      </w:r>
      <w:r>
        <w:t>A</w:t>
      </w:r>
      <w:r w:rsidDel="00F03F26">
        <w:t xml:space="preserve"> </w:t>
      </w:r>
      <w:r>
        <w:t xml:space="preserve">domestic </w:t>
      </w:r>
      <w:r w:rsidRPr="009E040E">
        <w:t xml:space="preserve">LCLF </w:t>
      </w:r>
      <w:r>
        <w:t xml:space="preserve">industry can improve the sustainability and security of Australia’s fuel, but it will </w:t>
      </w:r>
      <w:r w:rsidRPr="009E040E">
        <w:t>take time</w:t>
      </w:r>
      <w:r w:rsidRPr="0007476E">
        <w:t xml:space="preserve">. </w:t>
      </w:r>
    </w:p>
    <w:p w14:paraId="05C7B673" w14:textId="77777777" w:rsidR="00185909" w:rsidRDefault="00185909" w:rsidP="00540445">
      <w:pPr>
        <w:jc w:val="both"/>
        <w:rPr>
          <w:color w:val="000000"/>
        </w:rPr>
      </w:pPr>
      <w:r>
        <w:rPr>
          <w:lang w:eastAsia="en-AU"/>
        </w:rPr>
        <w:t>The Australian Government is building a domestic fuel reserve, through the Minimum Stockholding Obligation which commenced on 1 July 2023, and</w:t>
      </w:r>
      <w:r w:rsidDel="00940429">
        <w:rPr>
          <w:lang w:eastAsia="en-AU"/>
        </w:rPr>
        <w:t xml:space="preserve"> </w:t>
      </w:r>
      <w:r>
        <w:rPr>
          <w:lang w:eastAsia="en-AU"/>
        </w:rPr>
        <w:t>supporting the operation of domestic refining capability. These measures are at the centre of our existing fuel security framework.</w:t>
      </w:r>
      <w:r w:rsidRPr="68BCC1AB">
        <w:rPr>
          <w:color w:val="000000" w:themeColor="text1"/>
        </w:rPr>
        <w:t xml:space="preserve"> </w:t>
      </w:r>
    </w:p>
    <w:p w14:paraId="59AF1558" w14:textId="56D357E5" w:rsidR="00185909" w:rsidRPr="009E040E" w:rsidRDefault="00185909" w:rsidP="00540445">
      <w:pPr>
        <w:jc w:val="both"/>
      </w:pPr>
      <w:r>
        <w:t>I</w:t>
      </w:r>
      <w:r w:rsidRPr="009E040E">
        <w:t xml:space="preserve">t will be important to ensure Australia </w:t>
      </w:r>
      <w:r>
        <w:t>maintains</w:t>
      </w:r>
      <w:r w:rsidRPr="009E040E">
        <w:t xml:space="preserve"> diverse and resilient supply chains</w:t>
      </w:r>
      <w:r>
        <w:t xml:space="preserve"> t</w:t>
      </w:r>
      <w:r w:rsidRPr="009E040E">
        <w:t>hrough the transition</w:t>
      </w:r>
      <w:r>
        <w:t>. We will need to address challenges around diesel, which is expected to transition more slowly than other liquid fuels. Our</w:t>
      </w:r>
      <w:r w:rsidRPr="005004AB">
        <w:t xml:space="preserve"> fuel infrastructure will remain critical even in a rapid energy </w:t>
      </w:r>
      <w:r w:rsidR="00E32B7C">
        <w:t>transformation</w:t>
      </w:r>
      <w:r>
        <w:t xml:space="preserve">. Australia’s energy security and affordability could be significantly undermined by unplanned or premature retirement of fuel infrastructure in Australia and abroad, including refineries and other supply, </w:t>
      </w:r>
      <w:proofErr w:type="gramStart"/>
      <w:r>
        <w:t>distribution</w:t>
      </w:r>
      <w:proofErr w:type="gramEnd"/>
      <w:r>
        <w:t xml:space="preserve"> or storage infrastructure. </w:t>
      </w:r>
    </w:p>
    <w:p w14:paraId="2CD2BA52" w14:textId="586167F6" w:rsidR="00185909" w:rsidRDefault="000803BD" w:rsidP="00540445">
      <w:pPr>
        <w:jc w:val="both"/>
      </w:pPr>
      <w:r>
        <w:t xml:space="preserve">It is </w:t>
      </w:r>
      <w:proofErr w:type="gramStart"/>
      <w:r>
        <w:t xml:space="preserve">important </w:t>
      </w:r>
      <w:r w:rsidRPr="009E040E">
        <w:t xml:space="preserve"> fuel</w:t>
      </w:r>
      <w:proofErr w:type="gramEnd"/>
      <w:r w:rsidRPr="009E040E">
        <w:t xml:space="preserve"> security </w:t>
      </w:r>
      <w:r>
        <w:t>is maintained</w:t>
      </w:r>
      <w:r w:rsidRPr="009E040E">
        <w:t xml:space="preserve"> </w:t>
      </w:r>
      <w:r>
        <w:t>while we seek to meet both</w:t>
      </w:r>
      <w:r w:rsidRPr="009E040E">
        <w:t xml:space="preserve"> energy and climate objectives </w:t>
      </w:r>
      <w:r>
        <w:t>through the transition.</w:t>
      </w:r>
      <w:r w:rsidR="00185909">
        <w:t>.</w:t>
      </w:r>
      <w:r w:rsidR="00185909" w:rsidDel="00E174EC">
        <w:t xml:space="preserve"> </w:t>
      </w:r>
      <w:r w:rsidR="00185909">
        <w:t>The Plan will</w:t>
      </w:r>
      <w:r w:rsidR="00185909" w:rsidRPr="009E040E">
        <w:t xml:space="preserve"> </w:t>
      </w:r>
      <w:r w:rsidR="00185909" w:rsidRPr="009E040E" w:rsidDel="005C1802">
        <w:t>provide</w:t>
      </w:r>
      <w:r w:rsidR="00185909" w:rsidRPr="009E040E" w:rsidDel="008759D4">
        <w:t xml:space="preserve"> </w:t>
      </w:r>
      <w:r w:rsidR="00185909">
        <w:t>an overview of our long-term fuel security</w:t>
      </w:r>
      <w:r w:rsidR="00185909" w:rsidRPr="009E040E">
        <w:t xml:space="preserve"> </w:t>
      </w:r>
      <w:r w:rsidR="00185909">
        <w:t xml:space="preserve">focus and guide the energy industry to make investment decisions that encourage an </w:t>
      </w:r>
      <w:r w:rsidR="00185909" w:rsidRPr="009E040E">
        <w:t xml:space="preserve">orderly and cost-effective </w:t>
      </w:r>
      <w:r w:rsidR="00B97E56">
        <w:t>transition</w:t>
      </w:r>
      <w:r w:rsidR="007B1727">
        <w:t xml:space="preserve"> </w:t>
      </w:r>
      <w:r w:rsidR="00185909">
        <w:t xml:space="preserve">to net-zero. </w:t>
      </w:r>
    </w:p>
    <w:p w14:paraId="2B429E1A" w14:textId="77777777" w:rsidR="00185909" w:rsidRPr="00E268EC" w:rsidRDefault="00185909" w:rsidP="001F14C4">
      <w:pPr>
        <w:pStyle w:val="Heading3"/>
      </w:pPr>
      <w:bookmarkStart w:id="111" w:name="_Toc161306051"/>
      <w:r w:rsidRPr="00E268EC">
        <w:t>Actions are needed to transform Australia’s liquid fuels market</w:t>
      </w:r>
      <w:bookmarkEnd w:id="111"/>
    </w:p>
    <w:p w14:paraId="35B81BC5" w14:textId="77777777" w:rsidR="00185909" w:rsidRDefault="00185909" w:rsidP="00540445">
      <w:pPr>
        <w:jc w:val="both"/>
      </w:pPr>
      <w:r>
        <w:t>We are committed to increasing the share of domestically produced LCLF in our f</w:t>
      </w:r>
      <w:r>
        <w:rPr>
          <w:rStyle w:val="ui-provider"/>
        </w:rPr>
        <w:t xml:space="preserve">uel mix. However, we need to </w:t>
      </w:r>
      <w:r>
        <w:t>take a coordinated and balanced approach to drive this and manage reliability. To achieve this, we propose to focus on actions that</w:t>
      </w:r>
      <w:r w:rsidDel="00A2140D">
        <w:t xml:space="preserve"> </w:t>
      </w:r>
      <w:r>
        <w:t xml:space="preserve">place Australia’s net-zero targets at the centre of liquid fuel security, establish a policy framework to support industry innovation and investment, and enhance our long-term resilience against major disruptions. </w:t>
      </w:r>
      <w:r w:rsidRPr="68BCC1AB">
        <w:rPr>
          <w:color w:val="000000" w:themeColor="text1"/>
        </w:rPr>
        <w:t xml:space="preserve">Policy options are proposed to fall under the 4 policy focus areas outlined </w:t>
      </w:r>
      <w:r w:rsidRPr="00A900AC">
        <w:t>below.</w:t>
      </w:r>
      <w:r w:rsidRPr="68BCC1AB">
        <w:rPr>
          <w:color w:val="000000" w:themeColor="text1"/>
        </w:rPr>
        <w:t xml:space="preserve"> Through the sectoral plan process, we plan to engage with industry </w:t>
      </w:r>
      <w:r w:rsidRPr="68BCC1AB">
        <w:rPr>
          <w:color w:val="000000" w:themeColor="text1"/>
        </w:rPr>
        <w:lastRenderedPageBreak/>
        <w:t>on policy options to ensure any proposed actions and timing of transition milestones will support both industry and broader national interests, including for fuel users.</w:t>
      </w:r>
    </w:p>
    <w:tbl>
      <w:tblPr>
        <w:tblpPr w:leftFromText="180" w:rightFromText="180" w:vertAnchor="text" w:horzAnchor="margin" w:tblpY="101"/>
        <w:tblW w:w="9487" w:type="dxa"/>
        <w:tblCellMar>
          <w:left w:w="0" w:type="dxa"/>
          <w:right w:w="0" w:type="dxa"/>
        </w:tblCellMar>
        <w:tblLook w:val="0420" w:firstRow="1" w:lastRow="0" w:firstColumn="0" w:lastColumn="0" w:noHBand="0" w:noVBand="1"/>
      </w:tblPr>
      <w:tblGrid>
        <w:gridCol w:w="1135"/>
        <w:gridCol w:w="2017"/>
        <w:gridCol w:w="2111"/>
        <w:gridCol w:w="2103"/>
        <w:gridCol w:w="2121"/>
      </w:tblGrid>
      <w:tr w:rsidR="00185909" w:rsidRPr="00B25EC1" w14:paraId="0D0C1588" w14:textId="77777777" w:rsidTr="00E268EC">
        <w:trPr>
          <w:cantSplit/>
          <w:trHeight w:val="495"/>
          <w:tblHeader/>
        </w:trPr>
        <w:tc>
          <w:tcPr>
            <w:tcW w:w="1135" w:type="dxa"/>
            <w:tcBorders>
              <w:top w:val="single" w:sz="24" w:space="0" w:color="FFFFFF" w:themeColor="accent6"/>
              <w:left w:val="single" w:sz="8" w:space="0" w:color="FFFFFF" w:themeColor="accent6"/>
              <w:bottom w:val="single" w:sz="8" w:space="0" w:color="FFFFFF" w:themeColor="accent6"/>
              <w:right w:val="single" w:sz="8" w:space="0" w:color="FFFFFF" w:themeColor="accent6"/>
            </w:tcBorders>
            <w:shd w:val="clear" w:color="auto" w:fill="083A42" w:themeFill="background2"/>
            <w:tcMar>
              <w:top w:w="72" w:type="dxa"/>
              <w:left w:w="144" w:type="dxa"/>
              <w:bottom w:w="72" w:type="dxa"/>
              <w:right w:w="144" w:type="dxa"/>
            </w:tcMar>
            <w:vAlign w:val="center"/>
            <w:hideMark/>
          </w:tcPr>
          <w:p w14:paraId="730E239D" w14:textId="77777777" w:rsidR="00185909" w:rsidRPr="00E64E89" w:rsidRDefault="00185909" w:rsidP="00540445">
            <w:pPr>
              <w:spacing w:after="0" w:line="240" w:lineRule="auto"/>
              <w:jc w:val="both"/>
              <w:rPr>
                <w:color w:val="FFFFFF" w:themeColor="background1"/>
                <w:sz w:val="20"/>
                <w:szCs w:val="20"/>
              </w:rPr>
            </w:pPr>
            <w:r w:rsidRPr="68BCC1AB">
              <w:rPr>
                <w:b/>
                <w:color w:val="FFFFFF" w:themeColor="accent6"/>
                <w:sz w:val="20"/>
                <w:szCs w:val="20"/>
              </w:rPr>
              <w:t xml:space="preserve">Policy </w:t>
            </w:r>
            <w:proofErr w:type="gramStart"/>
            <w:r w:rsidRPr="68BCC1AB">
              <w:rPr>
                <w:b/>
                <w:color w:val="FFFFFF" w:themeColor="accent6"/>
                <w:sz w:val="20"/>
                <w:szCs w:val="20"/>
              </w:rPr>
              <w:t>focus</w:t>
            </w:r>
            <w:proofErr w:type="gramEnd"/>
            <w:r w:rsidRPr="68BCC1AB">
              <w:rPr>
                <w:b/>
                <w:color w:val="FFFFFF" w:themeColor="accent6"/>
                <w:sz w:val="20"/>
                <w:szCs w:val="20"/>
              </w:rPr>
              <w:t xml:space="preserve"> areas</w:t>
            </w:r>
          </w:p>
        </w:tc>
        <w:tc>
          <w:tcPr>
            <w:tcW w:w="2017" w:type="dxa"/>
            <w:tcBorders>
              <w:top w:val="single" w:sz="24" w:space="0" w:color="FFFFFF" w:themeColor="accent6"/>
              <w:left w:val="single" w:sz="8" w:space="0" w:color="FFFFFF" w:themeColor="accent6"/>
              <w:bottom w:val="single" w:sz="8" w:space="0" w:color="FFFFFF" w:themeColor="accent6"/>
              <w:right w:val="single" w:sz="8" w:space="0" w:color="FFFFFF" w:themeColor="accent6"/>
            </w:tcBorders>
            <w:shd w:val="clear" w:color="auto" w:fill="083A42" w:themeFill="background2"/>
            <w:tcMar>
              <w:top w:w="72" w:type="dxa"/>
              <w:left w:w="144" w:type="dxa"/>
              <w:bottom w:w="72" w:type="dxa"/>
              <w:right w:w="144" w:type="dxa"/>
            </w:tcMar>
            <w:vAlign w:val="center"/>
            <w:hideMark/>
          </w:tcPr>
          <w:p w14:paraId="00793015" w14:textId="77777777" w:rsidR="00185909" w:rsidRPr="00E64E89" w:rsidRDefault="00185909" w:rsidP="00540445">
            <w:pPr>
              <w:spacing w:after="0" w:line="240" w:lineRule="auto"/>
              <w:jc w:val="both"/>
              <w:rPr>
                <w:color w:val="FFFFFF" w:themeColor="background1"/>
                <w:sz w:val="20"/>
                <w:szCs w:val="20"/>
              </w:rPr>
            </w:pPr>
            <w:r w:rsidRPr="68BCC1AB">
              <w:rPr>
                <w:color w:val="FFFFFF" w:themeColor="accent6"/>
                <w:sz w:val="20"/>
                <w:szCs w:val="20"/>
              </w:rPr>
              <w:t xml:space="preserve">1. Decarbonise our liquid fuel mix </w:t>
            </w:r>
          </w:p>
        </w:tc>
        <w:tc>
          <w:tcPr>
            <w:tcW w:w="2111" w:type="dxa"/>
            <w:tcBorders>
              <w:top w:val="single" w:sz="24" w:space="0" w:color="FFFFFF" w:themeColor="accent6"/>
              <w:left w:val="single" w:sz="8" w:space="0" w:color="FFFFFF" w:themeColor="accent6"/>
              <w:bottom w:val="single" w:sz="8" w:space="0" w:color="FFFFFF" w:themeColor="accent6"/>
              <w:right w:val="single" w:sz="8" w:space="0" w:color="FFFFFF" w:themeColor="accent6"/>
            </w:tcBorders>
            <w:shd w:val="clear" w:color="auto" w:fill="083A42" w:themeFill="background2"/>
            <w:tcMar>
              <w:top w:w="72" w:type="dxa"/>
              <w:left w:w="144" w:type="dxa"/>
              <w:bottom w:w="72" w:type="dxa"/>
              <w:right w:w="144" w:type="dxa"/>
            </w:tcMar>
            <w:vAlign w:val="center"/>
            <w:hideMark/>
          </w:tcPr>
          <w:p w14:paraId="4436346D" w14:textId="77777777" w:rsidR="00185909" w:rsidRPr="00E64E89" w:rsidRDefault="00185909" w:rsidP="00540445">
            <w:pPr>
              <w:spacing w:after="0" w:line="240" w:lineRule="auto"/>
              <w:jc w:val="both"/>
              <w:rPr>
                <w:color w:val="FFFFFF" w:themeColor="background1"/>
                <w:sz w:val="20"/>
                <w:szCs w:val="20"/>
              </w:rPr>
            </w:pPr>
            <w:r w:rsidRPr="68BCC1AB">
              <w:rPr>
                <w:color w:val="FFFFFF" w:themeColor="accent6"/>
                <w:sz w:val="20"/>
                <w:szCs w:val="20"/>
              </w:rPr>
              <w:t>2. Reduce fossil based liquid fuel demand</w:t>
            </w:r>
          </w:p>
        </w:tc>
        <w:tc>
          <w:tcPr>
            <w:tcW w:w="2103" w:type="dxa"/>
            <w:tcBorders>
              <w:top w:val="single" w:sz="24" w:space="0" w:color="FFFFFF" w:themeColor="accent6"/>
              <w:left w:val="single" w:sz="8" w:space="0" w:color="FFFFFF" w:themeColor="accent6"/>
              <w:bottom w:val="single" w:sz="8" w:space="0" w:color="FFFFFF" w:themeColor="accent6"/>
              <w:right w:val="single" w:sz="8" w:space="0" w:color="FFFFFF" w:themeColor="accent6"/>
            </w:tcBorders>
            <w:shd w:val="clear" w:color="auto" w:fill="083A42" w:themeFill="background2"/>
            <w:tcMar>
              <w:top w:w="72" w:type="dxa"/>
              <w:left w:w="144" w:type="dxa"/>
              <w:bottom w:w="72" w:type="dxa"/>
              <w:right w:w="144" w:type="dxa"/>
            </w:tcMar>
            <w:vAlign w:val="center"/>
            <w:hideMark/>
          </w:tcPr>
          <w:p w14:paraId="6E86062C" w14:textId="77777777" w:rsidR="00185909" w:rsidRPr="00E64E89" w:rsidRDefault="00185909" w:rsidP="00540445">
            <w:pPr>
              <w:spacing w:after="0" w:line="240" w:lineRule="auto"/>
              <w:jc w:val="both"/>
              <w:rPr>
                <w:color w:val="FFFFFF" w:themeColor="background1"/>
                <w:sz w:val="20"/>
                <w:szCs w:val="20"/>
              </w:rPr>
            </w:pPr>
            <w:r w:rsidRPr="68BCC1AB">
              <w:rPr>
                <w:color w:val="FFFFFF" w:themeColor="accent6"/>
                <w:sz w:val="20"/>
                <w:szCs w:val="20"/>
              </w:rPr>
              <w:t xml:space="preserve">3. Ensure fuel security and reliability </w:t>
            </w:r>
          </w:p>
        </w:tc>
        <w:tc>
          <w:tcPr>
            <w:tcW w:w="2121" w:type="dxa"/>
            <w:tcBorders>
              <w:top w:val="single" w:sz="24" w:space="0" w:color="FFFFFF" w:themeColor="accent6"/>
              <w:left w:val="single" w:sz="8" w:space="0" w:color="FFFFFF" w:themeColor="accent6"/>
              <w:bottom w:val="single" w:sz="8" w:space="0" w:color="FFFFFF" w:themeColor="accent6"/>
              <w:right w:val="single" w:sz="8" w:space="0" w:color="FFFFFF" w:themeColor="accent6"/>
            </w:tcBorders>
            <w:shd w:val="clear" w:color="auto" w:fill="083A42" w:themeFill="background2"/>
            <w:tcMar>
              <w:top w:w="72" w:type="dxa"/>
              <w:left w:w="144" w:type="dxa"/>
              <w:bottom w:w="72" w:type="dxa"/>
              <w:right w:w="144" w:type="dxa"/>
            </w:tcMar>
            <w:vAlign w:val="center"/>
            <w:hideMark/>
          </w:tcPr>
          <w:p w14:paraId="26A7C3B7" w14:textId="77777777" w:rsidR="00185909" w:rsidRPr="00E64E89" w:rsidRDefault="00185909" w:rsidP="00540445">
            <w:pPr>
              <w:spacing w:after="0" w:line="240" w:lineRule="auto"/>
              <w:jc w:val="both"/>
              <w:rPr>
                <w:color w:val="FFFFFF" w:themeColor="background1"/>
                <w:sz w:val="20"/>
                <w:szCs w:val="20"/>
              </w:rPr>
            </w:pPr>
            <w:r w:rsidRPr="68BCC1AB">
              <w:rPr>
                <w:color w:val="FFFFFF" w:themeColor="accent6"/>
                <w:sz w:val="20"/>
                <w:szCs w:val="20"/>
              </w:rPr>
              <w:t>4. Manage supply chain vulnerabilities</w:t>
            </w:r>
          </w:p>
        </w:tc>
      </w:tr>
      <w:tr w:rsidR="00185909" w:rsidRPr="00B25EC1" w14:paraId="5D007557" w14:textId="77777777" w:rsidTr="00E268EC">
        <w:trPr>
          <w:cantSplit/>
          <w:trHeight w:val="476"/>
          <w:tblHeader/>
        </w:trPr>
        <w:tc>
          <w:tcPr>
            <w:tcW w:w="1135" w:type="dxa"/>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083A42" w:themeFill="background2"/>
            <w:tcMar>
              <w:top w:w="72" w:type="dxa"/>
              <w:left w:w="144" w:type="dxa"/>
              <w:bottom w:w="72" w:type="dxa"/>
              <w:right w:w="144" w:type="dxa"/>
            </w:tcMar>
            <w:vAlign w:val="center"/>
            <w:hideMark/>
          </w:tcPr>
          <w:p w14:paraId="23A2B1EA" w14:textId="77777777" w:rsidR="00185909" w:rsidRPr="00E64E89" w:rsidRDefault="00185909" w:rsidP="00540445">
            <w:pPr>
              <w:spacing w:after="0" w:line="240" w:lineRule="auto"/>
              <w:jc w:val="both"/>
              <w:rPr>
                <w:color w:val="000000"/>
                <w:sz w:val="20"/>
                <w:szCs w:val="20"/>
              </w:rPr>
            </w:pPr>
            <w:r w:rsidRPr="68BCC1AB">
              <w:rPr>
                <w:b/>
                <w:color w:val="FFFFFF" w:themeColor="accent6"/>
                <w:sz w:val="20"/>
                <w:szCs w:val="20"/>
              </w:rPr>
              <w:t>Reason:</w:t>
            </w:r>
          </w:p>
        </w:tc>
        <w:tc>
          <w:tcPr>
            <w:tcW w:w="2017" w:type="dxa"/>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E7EEEC"/>
            <w:tcMar>
              <w:top w:w="72" w:type="dxa"/>
              <w:left w:w="144" w:type="dxa"/>
              <w:bottom w:w="72" w:type="dxa"/>
              <w:right w:w="144" w:type="dxa"/>
            </w:tcMar>
            <w:vAlign w:val="center"/>
            <w:hideMark/>
          </w:tcPr>
          <w:p w14:paraId="339017A1" w14:textId="77777777" w:rsidR="00185909" w:rsidRPr="00E64E89" w:rsidRDefault="00185909" w:rsidP="00540445">
            <w:pPr>
              <w:spacing w:after="0" w:line="240" w:lineRule="auto"/>
              <w:jc w:val="both"/>
              <w:rPr>
                <w:color w:val="000000"/>
                <w:sz w:val="20"/>
                <w:szCs w:val="20"/>
              </w:rPr>
            </w:pPr>
            <w:r w:rsidRPr="68BCC1AB">
              <w:rPr>
                <w:color w:val="000000" w:themeColor="text1"/>
                <w:sz w:val="20"/>
                <w:szCs w:val="20"/>
              </w:rPr>
              <w:t>Driving LCLF supports decarbonisation efforts and de-risks fuel supply through diversification</w:t>
            </w:r>
          </w:p>
        </w:tc>
        <w:tc>
          <w:tcPr>
            <w:tcW w:w="2111" w:type="dxa"/>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E7EEEC"/>
            <w:tcMar>
              <w:top w:w="72" w:type="dxa"/>
              <w:left w:w="144" w:type="dxa"/>
              <w:bottom w:w="72" w:type="dxa"/>
              <w:right w:w="144" w:type="dxa"/>
            </w:tcMar>
            <w:vAlign w:val="center"/>
            <w:hideMark/>
          </w:tcPr>
          <w:p w14:paraId="39E7491D" w14:textId="77777777" w:rsidR="00185909" w:rsidRPr="00E64E89" w:rsidRDefault="00185909" w:rsidP="00540445">
            <w:pPr>
              <w:spacing w:after="0" w:line="240" w:lineRule="auto"/>
              <w:jc w:val="both"/>
              <w:rPr>
                <w:color w:val="000000"/>
                <w:sz w:val="20"/>
                <w:szCs w:val="20"/>
              </w:rPr>
            </w:pPr>
            <w:r w:rsidRPr="68BCC1AB">
              <w:rPr>
                <w:color w:val="000000" w:themeColor="text1"/>
                <w:sz w:val="20"/>
                <w:szCs w:val="20"/>
              </w:rPr>
              <w:t>Improving energy efficiency and promoting behavioural change reduces emissions and fuel demand</w:t>
            </w:r>
          </w:p>
        </w:tc>
        <w:tc>
          <w:tcPr>
            <w:tcW w:w="2103" w:type="dxa"/>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E7EEEC"/>
            <w:tcMar>
              <w:top w:w="72" w:type="dxa"/>
              <w:left w:w="144" w:type="dxa"/>
              <w:bottom w:w="72" w:type="dxa"/>
              <w:right w:w="144" w:type="dxa"/>
            </w:tcMar>
            <w:vAlign w:val="center"/>
            <w:hideMark/>
          </w:tcPr>
          <w:p w14:paraId="78ECBE44" w14:textId="77777777" w:rsidR="00185909" w:rsidRPr="00E64E89" w:rsidRDefault="00185909" w:rsidP="00540445">
            <w:pPr>
              <w:spacing w:after="0" w:line="240" w:lineRule="auto"/>
              <w:jc w:val="both"/>
              <w:rPr>
                <w:color w:val="000000"/>
                <w:sz w:val="20"/>
                <w:szCs w:val="20"/>
              </w:rPr>
            </w:pPr>
            <w:r w:rsidRPr="68BCC1AB" w:rsidDel="005634A0">
              <w:rPr>
                <w:color w:val="000000" w:themeColor="text1"/>
                <w:sz w:val="20"/>
                <w:szCs w:val="20"/>
              </w:rPr>
              <w:t>Enhancing and extending</w:t>
            </w:r>
            <w:r w:rsidRPr="68BCC1AB" w:rsidDel="00552EEB">
              <w:rPr>
                <w:color w:val="000000" w:themeColor="text1"/>
                <w:sz w:val="20"/>
                <w:szCs w:val="20"/>
              </w:rPr>
              <w:t xml:space="preserve"> </w:t>
            </w:r>
            <w:r w:rsidRPr="68BCC1AB">
              <w:rPr>
                <w:color w:val="000000" w:themeColor="text1"/>
                <w:sz w:val="20"/>
                <w:szCs w:val="20"/>
              </w:rPr>
              <w:t>fuel security actions will ensure climate and energy objectives are met through the transition</w:t>
            </w:r>
          </w:p>
        </w:tc>
        <w:tc>
          <w:tcPr>
            <w:tcW w:w="2121" w:type="dxa"/>
            <w:tcBorders>
              <w:top w:val="single" w:sz="8" w:space="0" w:color="FFFFFF" w:themeColor="accent6"/>
              <w:left w:val="single" w:sz="8" w:space="0" w:color="FFFFFF" w:themeColor="accent6"/>
              <w:bottom w:val="single" w:sz="8" w:space="0" w:color="FFFFFF" w:themeColor="accent6"/>
              <w:right w:val="single" w:sz="8" w:space="0" w:color="FFFFFF" w:themeColor="accent6"/>
            </w:tcBorders>
            <w:shd w:val="clear" w:color="auto" w:fill="E7EEEC"/>
            <w:tcMar>
              <w:top w:w="72" w:type="dxa"/>
              <w:left w:w="144" w:type="dxa"/>
              <w:bottom w:w="72" w:type="dxa"/>
              <w:right w:w="144" w:type="dxa"/>
            </w:tcMar>
            <w:vAlign w:val="center"/>
            <w:hideMark/>
          </w:tcPr>
          <w:p w14:paraId="2D4C23A6" w14:textId="77777777" w:rsidR="00185909" w:rsidRPr="00E64E89" w:rsidRDefault="00185909" w:rsidP="00540445">
            <w:pPr>
              <w:spacing w:after="0" w:line="240" w:lineRule="auto"/>
              <w:jc w:val="both"/>
              <w:rPr>
                <w:color w:val="000000"/>
                <w:sz w:val="20"/>
                <w:szCs w:val="20"/>
              </w:rPr>
            </w:pPr>
            <w:r w:rsidRPr="68BCC1AB">
              <w:rPr>
                <w:color w:val="000000" w:themeColor="text1"/>
                <w:sz w:val="20"/>
                <w:szCs w:val="20"/>
              </w:rPr>
              <w:t xml:space="preserve">Preparing for disruptions ensures government and industry can quickly respond to emerging fuel supply chain risks </w:t>
            </w:r>
          </w:p>
        </w:tc>
      </w:tr>
    </w:tbl>
    <w:p w14:paraId="75A262DE" w14:textId="77777777" w:rsidR="00185909" w:rsidRDefault="00185909" w:rsidP="00540445">
      <w:pPr>
        <w:jc w:val="both"/>
      </w:pPr>
    </w:p>
    <w:p w14:paraId="3EFF83A6" w14:textId="2BDE21C2" w:rsidR="00185909" w:rsidRPr="00FD4D7C" w:rsidRDefault="00185909" w:rsidP="00540445">
      <w:pPr>
        <w:jc w:val="both"/>
      </w:pPr>
      <w:r w:rsidRPr="00A900AC">
        <w:t xml:space="preserve">We will also work to </w:t>
      </w:r>
      <w:r>
        <w:t xml:space="preserve">increase energy security and reduce costs for </w:t>
      </w:r>
      <w:r w:rsidRPr="00A900AC">
        <w:t>regional and remote communities reliant on diesel generation</w:t>
      </w:r>
      <w:r>
        <w:t>, while minimising impacts of the transition</w:t>
      </w:r>
      <w:r w:rsidRPr="00A900AC">
        <w:t xml:space="preserve">. This includes working </w:t>
      </w:r>
      <w:r w:rsidR="001D769B">
        <w:t>with</w:t>
      </w:r>
      <w:r w:rsidRPr="00A900AC">
        <w:t xml:space="preserve"> First Nations communities that are currently reliant on diesel generation to secure and reliable clean energy supplies, as part of the First Nations Clean Energy Strategy.</w:t>
      </w:r>
    </w:p>
    <w:tbl>
      <w:tblPr>
        <w:tblStyle w:val="TableGrid"/>
        <w:tblW w:w="9464" w:type="dxa"/>
        <w:tblInd w:w="-108" w:type="dxa"/>
        <w:tblLook w:val="04A0" w:firstRow="1" w:lastRow="0" w:firstColumn="1" w:lastColumn="0" w:noHBand="0" w:noVBand="1"/>
      </w:tblPr>
      <w:tblGrid>
        <w:gridCol w:w="9464"/>
      </w:tblGrid>
      <w:tr w:rsidR="00185909" w:rsidRPr="005433A3" w14:paraId="3EC8A910" w14:textId="77777777" w:rsidTr="00B141BC">
        <w:tc>
          <w:tcPr>
            <w:tcW w:w="9464" w:type="dxa"/>
            <w:tcBorders>
              <w:top w:val="nil"/>
              <w:left w:val="nil"/>
              <w:bottom w:val="nil"/>
              <w:right w:val="nil"/>
            </w:tcBorders>
            <w:shd w:val="clear" w:color="auto" w:fill="D8F2EE" w:themeFill="accent2" w:themeFillTint="33"/>
          </w:tcPr>
          <w:p w14:paraId="678FB76F" w14:textId="07E483D4" w:rsidR="00185909" w:rsidRPr="00B513A7" w:rsidRDefault="00185909" w:rsidP="00B513A7">
            <w:pPr>
              <w:pStyle w:val="Caption"/>
            </w:pPr>
            <w:r w:rsidRPr="00B513A7">
              <w:lastRenderedPageBreak/>
              <w:t>Seeking your views: Growing alternative low carbon fuels, and managing fuel security</w:t>
            </w:r>
          </w:p>
          <w:p w14:paraId="0F7CF944" w14:textId="77777777" w:rsidR="00185909" w:rsidRPr="002A0D7D" w:rsidRDefault="00185909" w:rsidP="00B141BC">
            <w:pPr>
              <w:pStyle w:val="ListBullet"/>
              <w:numPr>
                <w:ilvl w:val="0"/>
                <w:numId w:val="22"/>
              </w:numPr>
            </w:pPr>
            <w:r w:rsidRPr="002A0D7D">
              <w:t xml:space="preserve">What policy settings and certainty are required to support a fair, equitable and orderly transition for the decarbonisation of both natural gas and liquid fuels? </w:t>
            </w:r>
          </w:p>
          <w:p w14:paraId="4873544F" w14:textId="77777777" w:rsidR="00185909" w:rsidRPr="002A0D7D" w:rsidRDefault="00185909" w:rsidP="00B141BC">
            <w:pPr>
              <w:pStyle w:val="ListBullet"/>
              <w:numPr>
                <w:ilvl w:val="0"/>
                <w:numId w:val="22"/>
              </w:numPr>
            </w:pPr>
            <w:r w:rsidRPr="002A0D7D">
              <w:t>What actions are required to establish low carbon fuel industries in Australia, including enabling supply and demand, and what are the most prospective production pathways?</w:t>
            </w:r>
          </w:p>
          <w:p w14:paraId="0B7633CB" w14:textId="7A7F25BF" w:rsidR="00185909" w:rsidRPr="002A0D7D" w:rsidRDefault="00185909" w:rsidP="00B141BC">
            <w:pPr>
              <w:pStyle w:val="ListBullet"/>
              <w:numPr>
                <w:ilvl w:val="0"/>
                <w:numId w:val="22"/>
              </w:numPr>
              <w:spacing w:after="240"/>
            </w:pPr>
            <w:r w:rsidRPr="002A0D7D">
              <w:t xml:space="preserve">Are the proposed policy focus areas for managing the liquid fuels transition (outlined in Section </w:t>
            </w:r>
            <w:r w:rsidR="00695758">
              <w:t>4</w:t>
            </w:r>
            <w:r w:rsidRPr="002A0D7D">
              <w:t xml:space="preserve"> of the discussion paper) the correct areas to focus on, and what is missing?</w:t>
            </w:r>
          </w:p>
          <w:p w14:paraId="50ADA519" w14:textId="77777777" w:rsidR="00185909" w:rsidRPr="002A0D7D" w:rsidRDefault="00185909" w:rsidP="002A0D7D">
            <w:pPr>
              <w:keepNext/>
              <w:keepLines/>
              <w:spacing w:before="160" w:after="0"/>
            </w:pPr>
            <w:r w:rsidRPr="002A0D7D">
              <w:t>When providing feedback, you may wish to comment on:</w:t>
            </w:r>
          </w:p>
          <w:p w14:paraId="30A38C52" w14:textId="77777777" w:rsidR="00185909" w:rsidRPr="002A0D7D" w:rsidRDefault="00185909" w:rsidP="00B141BC">
            <w:pPr>
              <w:keepNext/>
              <w:keepLines/>
              <w:spacing w:after="0"/>
              <w:rPr>
                <w:i/>
                <w:iCs/>
              </w:rPr>
            </w:pPr>
            <w:r w:rsidRPr="002A0D7D">
              <w:rPr>
                <w:i/>
                <w:iCs/>
              </w:rPr>
              <w:t>Gas</w:t>
            </w:r>
          </w:p>
          <w:p w14:paraId="0D4AF045" w14:textId="2EBCAA7C" w:rsidR="00185909" w:rsidRPr="002A0D7D" w:rsidRDefault="00BF05F8" w:rsidP="00B141BC">
            <w:pPr>
              <w:pStyle w:val="ListBullet"/>
            </w:pPr>
            <w:r>
              <w:t>c</w:t>
            </w:r>
            <w:r w:rsidR="00185909" w:rsidRPr="002A0D7D">
              <w:t xml:space="preserve">onsiderations for the role of gas to 2050, and how these </w:t>
            </w:r>
            <w:r w:rsidR="00E25E9C" w:rsidRPr="002A0D7D">
              <w:t xml:space="preserve">should </w:t>
            </w:r>
            <w:r w:rsidR="00185909" w:rsidRPr="002A0D7D">
              <w:t>be balanced</w:t>
            </w:r>
          </w:p>
          <w:p w14:paraId="0EF04FAD" w14:textId="6D38D82F" w:rsidR="00185909" w:rsidRPr="002A0D7D" w:rsidRDefault="00BF05F8" w:rsidP="00B141BC">
            <w:pPr>
              <w:pStyle w:val="ListBullet"/>
            </w:pPr>
            <w:r>
              <w:t>c</w:t>
            </w:r>
            <w:r w:rsidR="00185909" w:rsidRPr="002A0D7D">
              <w:t>hallenges for ensuring the decarbonisation of gas in Australia is fair, equitable and orderly</w:t>
            </w:r>
          </w:p>
          <w:p w14:paraId="49F0C82D" w14:textId="64F94FCC" w:rsidR="00185909" w:rsidRPr="002A0D7D" w:rsidRDefault="00185909" w:rsidP="00B141BC">
            <w:pPr>
              <w:pStyle w:val="ListBullet"/>
              <w:spacing w:after="240"/>
            </w:pPr>
            <w:r w:rsidRPr="002A0D7D">
              <w:t>Commonwealth, state and territory government policies and regulatory changes needed to manage the impact of transition on the gas industry and consumers, particularly vulnerable households, as gas use is decreased over time.</w:t>
            </w:r>
          </w:p>
          <w:p w14:paraId="353C517F" w14:textId="77777777" w:rsidR="00185909" w:rsidRPr="002A0D7D" w:rsidRDefault="00185909" w:rsidP="002A0D7D">
            <w:pPr>
              <w:keepNext/>
              <w:keepLines/>
              <w:spacing w:after="0"/>
              <w:rPr>
                <w:i/>
                <w:iCs/>
              </w:rPr>
            </w:pPr>
            <w:r w:rsidRPr="002A0D7D">
              <w:rPr>
                <w:i/>
                <w:iCs/>
              </w:rPr>
              <w:t>Liquid fuels</w:t>
            </w:r>
          </w:p>
          <w:p w14:paraId="72DFEF4D" w14:textId="499449B6" w:rsidR="00185909" w:rsidRPr="002A0D7D" w:rsidRDefault="00BF05F8" w:rsidP="00B141BC">
            <w:pPr>
              <w:pStyle w:val="ListBullet"/>
              <w:spacing w:after="240"/>
            </w:pPr>
            <w:r>
              <w:t>k</w:t>
            </w:r>
            <w:r w:rsidR="00185909" w:rsidRPr="002A0D7D">
              <w:t xml:space="preserve">ey risks for fuel security in the near, </w:t>
            </w:r>
            <w:proofErr w:type="gramStart"/>
            <w:r w:rsidR="00185909" w:rsidRPr="002A0D7D">
              <w:t>medium</w:t>
            </w:r>
            <w:proofErr w:type="gramEnd"/>
            <w:r w:rsidR="00185909" w:rsidRPr="002A0D7D">
              <w:t xml:space="preserve"> and long-term and policy actions required.</w:t>
            </w:r>
          </w:p>
          <w:p w14:paraId="13EC5B61" w14:textId="77777777" w:rsidR="00185909" w:rsidRPr="002A0D7D" w:rsidRDefault="00185909" w:rsidP="002A0D7D">
            <w:pPr>
              <w:keepNext/>
              <w:keepLines/>
              <w:spacing w:after="0"/>
              <w:rPr>
                <w:i/>
                <w:iCs/>
              </w:rPr>
            </w:pPr>
            <w:r w:rsidRPr="002A0D7D">
              <w:rPr>
                <w:i/>
                <w:iCs/>
              </w:rPr>
              <w:t>Low carbon fuels</w:t>
            </w:r>
          </w:p>
          <w:p w14:paraId="6D7A5C32" w14:textId="2CA19B95" w:rsidR="00185909" w:rsidRPr="002A0D7D" w:rsidRDefault="00BF05F8" w:rsidP="00B141BC">
            <w:pPr>
              <w:pStyle w:val="ListBullet"/>
            </w:pPr>
            <w:r>
              <w:t>b</w:t>
            </w:r>
            <w:r w:rsidR="00185909" w:rsidRPr="002A0D7D">
              <w:t xml:space="preserve">arriers and opportunities for building low carbon fuel industries (gaseous, </w:t>
            </w:r>
            <w:proofErr w:type="gramStart"/>
            <w:r w:rsidR="00185909" w:rsidRPr="002A0D7D">
              <w:t>liquid</w:t>
            </w:r>
            <w:proofErr w:type="gramEnd"/>
            <w:r w:rsidR="00185909" w:rsidRPr="002A0D7D">
              <w:t xml:space="preserve"> and solid), including for users and producers, and policies required across supply chains to drive low carbon fuel industries in the short, medium and long term</w:t>
            </w:r>
          </w:p>
          <w:p w14:paraId="0A2FE0B4" w14:textId="26B09A26" w:rsidR="00185909" w:rsidRPr="002A0D7D" w:rsidRDefault="00BF05F8" w:rsidP="00B141BC">
            <w:pPr>
              <w:pStyle w:val="ListBullet"/>
            </w:pPr>
            <w:r>
              <w:t>t</w:t>
            </w:r>
            <w:r w:rsidR="00185909" w:rsidRPr="002A0D7D">
              <w:t xml:space="preserve">rade-offs and other uses for feedstocks, and where and when </w:t>
            </w:r>
            <w:proofErr w:type="gramStart"/>
            <w:r w:rsidR="00185909" w:rsidRPr="002A0D7D">
              <w:t>particular fuels</w:t>
            </w:r>
            <w:proofErr w:type="gramEnd"/>
            <w:r w:rsidR="00185909" w:rsidRPr="002A0D7D">
              <w:t xml:space="preserve"> should be prioritised </w:t>
            </w:r>
          </w:p>
          <w:p w14:paraId="56275A86" w14:textId="55E28286" w:rsidR="00185909" w:rsidRPr="00267127" w:rsidRDefault="00BF05F8" w:rsidP="00B141BC">
            <w:pPr>
              <w:pStyle w:val="ListBullet"/>
              <w:spacing w:after="240"/>
              <w:rPr>
                <w:rFonts w:eastAsia="Calibri"/>
              </w:rPr>
            </w:pPr>
            <w:r>
              <w:t>d</w:t>
            </w:r>
            <w:r w:rsidR="00185909" w:rsidRPr="002A0D7D">
              <w:t>ifferent fuel production pathways, including biogenic and synthetic, and how these will change over time.</w:t>
            </w:r>
          </w:p>
        </w:tc>
      </w:tr>
    </w:tbl>
    <w:p w14:paraId="330A913F" w14:textId="6ECBD902" w:rsidR="002A0D7D" w:rsidRDefault="002A0D7D" w:rsidP="00540445">
      <w:pPr>
        <w:spacing w:after="120"/>
        <w:jc w:val="both"/>
        <w:rPr>
          <w:b/>
          <w:bCs/>
        </w:rPr>
      </w:pPr>
    </w:p>
    <w:p w14:paraId="1D510216" w14:textId="77777777" w:rsidR="002A0D7D" w:rsidRDefault="002A0D7D">
      <w:pPr>
        <w:spacing w:after="0" w:line="240" w:lineRule="auto"/>
        <w:rPr>
          <w:b/>
          <w:bCs/>
        </w:rPr>
      </w:pPr>
      <w:r>
        <w:rPr>
          <w:b/>
          <w:bCs/>
        </w:rPr>
        <w:br w:type="page"/>
      </w:r>
    </w:p>
    <w:p w14:paraId="3772EDD6" w14:textId="77777777" w:rsidR="00185909" w:rsidRPr="00E268EC" w:rsidRDefault="00185909" w:rsidP="00F546C3">
      <w:pPr>
        <w:pStyle w:val="Heading2"/>
      </w:pPr>
      <w:bookmarkStart w:id="112" w:name="_Toc155357953"/>
      <w:bookmarkStart w:id="113" w:name="_Toc155358072"/>
      <w:bookmarkStart w:id="114" w:name="_Toc155358108"/>
      <w:bookmarkStart w:id="115" w:name="_Toc155358962"/>
      <w:bookmarkStart w:id="116" w:name="_Toc155359022"/>
      <w:bookmarkStart w:id="117" w:name="_Toc155365472"/>
      <w:bookmarkStart w:id="118" w:name="_Toc155357954"/>
      <w:bookmarkStart w:id="119" w:name="_Toc155358073"/>
      <w:bookmarkStart w:id="120" w:name="_Toc155358109"/>
      <w:bookmarkStart w:id="121" w:name="_Toc155358963"/>
      <w:bookmarkStart w:id="122" w:name="_Toc155359023"/>
      <w:bookmarkStart w:id="123" w:name="_Toc155365473"/>
      <w:bookmarkStart w:id="124" w:name="_Toc155357955"/>
      <w:bookmarkStart w:id="125" w:name="_Toc155358074"/>
      <w:bookmarkStart w:id="126" w:name="_Toc155358110"/>
      <w:bookmarkStart w:id="127" w:name="_Toc155358964"/>
      <w:bookmarkStart w:id="128" w:name="_Toc155359024"/>
      <w:bookmarkStart w:id="129" w:name="_Toc155365474"/>
      <w:bookmarkStart w:id="130" w:name="_Toc155357956"/>
      <w:bookmarkStart w:id="131" w:name="_Toc155358075"/>
      <w:bookmarkStart w:id="132" w:name="_Toc155358111"/>
      <w:bookmarkStart w:id="133" w:name="_Toc155358965"/>
      <w:bookmarkStart w:id="134" w:name="_Toc155359025"/>
      <w:bookmarkStart w:id="135" w:name="_Toc155365475"/>
      <w:bookmarkStart w:id="136" w:name="_Toc155357957"/>
      <w:bookmarkStart w:id="137" w:name="_Toc155358076"/>
      <w:bookmarkStart w:id="138" w:name="_Toc155358112"/>
      <w:bookmarkStart w:id="139" w:name="_Toc155358966"/>
      <w:bookmarkStart w:id="140" w:name="_Toc155359026"/>
      <w:bookmarkStart w:id="141" w:name="_Toc155365476"/>
      <w:bookmarkStart w:id="142" w:name="_Toc155357958"/>
      <w:bookmarkStart w:id="143" w:name="_Toc155358077"/>
      <w:bookmarkStart w:id="144" w:name="_Toc155358113"/>
      <w:bookmarkStart w:id="145" w:name="_Toc155358967"/>
      <w:bookmarkStart w:id="146" w:name="_Toc155359027"/>
      <w:bookmarkStart w:id="147" w:name="_Toc155365477"/>
      <w:bookmarkStart w:id="148" w:name="_Toc160550418"/>
      <w:bookmarkStart w:id="149" w:name="_Toc160699615"/>
      <w:bookmarkStart w:id="150" w:name="_Toc161306052"/>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E268EC">
        <w:lastRenderedPageBreak/>
        <w:t>Building Australia’s clean energy workforce</w:t>
      </w:r>
      <w:bookmarkEnd w:id="148"/>
      <w:bookmarkEnd w:id="149"/>
      <w:bookmarkEnd w:id="150"/>
    </w:p>
    <w:p w14:paraId="4F1AFD50" w14:textId="04DFC79C" w:rsidR="00185909" w:rsidRPr="0056081D" w:rsidRDefault="00185909" w:rsidP="00540445">
      <w:pPr>
        <w:jc w:val="both"/>
        <w:rPr>
          <w:rFonts w:ascii="Calibri" w:hAnsi="Calibri" w:cs="Calibri"/>
          <w:color w:val="000000"/>
          <w:shd w:val="clear" w:color="auto" w:fill="FFFFFF"/>
        </w:rPr>
      </w:pPr>
      <w:r w:rsidRPr="0056081D">
        <w:rPr>
          <w:rFonts w:ascii="Calibri" w:hAnsi="Calibri" w:cs="Calibri"/>
          <w:color w:val="000000"/>
          <w:shd w:val="clear" w:color="auto" w:fill="FFFFFF"/>
        </w:rPr>
        <w:t xml:space="preserve">Australia’s energy </w:t>
      </w:r>
      <w:r w:rsidR="00E32B7C">
        <w:t>transformation</w:t>
      </w:r>
      <w:r w:rsidRPr="0056081D" w:rsidDel="00E32B7C">
        <w:rPr>
          <w:rFonts w:ascii="Calibri" w:hAnsi="Calibri" w:cs="Calibri"/>
          <w:color w:val="000000"/>
          <w:shd w:val="clear" w:color="auto" w:fill="FFFFFF"/>
        </w:rPr>
        <w:t xml:space="preserve"> </w:t>
      </w:r>
      <w:r w:rsidRPr="0056081D">
        <w:rPr>
          <w:rFonts w:ascii="Calibri" w:hAnsi="Calibri" w:cs="Calibri"/>
          <w:color w:val="000000"/>
          <w:shd w:val="clear" w:color="auto" w:fill="FFFFFF"/>
        </w:rPr>
        <w:t xml:space="preserve">will require a substantial workforce transformation. </w:t>
      </w:r>
      <w:r>
        <w:rPr>
          <w:rFonts w:ascii="Calibri" w:hAnsi="Calibri" w:cs="Calibri"/>
          <w:color w:val="000000"/>
          <w:shd w:val="clear" w:color="auto" w:fill="FFFFFF"/>
        </w:rPr>
        <w:t>If we are to be a world-leading supplier of clean energy, we need the workforce and the skills to support that ambition. This also</w:t>
      </w:r>
      <w:r w:rsidRPr="0056081D">
        <w:rPr>
          <w:rFonts w:ascii="Calibri" w:hAnsi="Calibri" w:cs="Calibri"/>
          <w:color w:val="000000"/>
          <w:shd w:val="clear" w:color="auto" w:fill="FFFFFF"/>
        </w:rPr>
        <w:t xml:space="preserve"> presents an opportunity to develop a more diverse workforce and create sustainable employment for future generations. This includes opportunities to revitalise regional labour markets as growth in technical clean energy occupations is expected to be concentrated in regional Australia.</w:t>
      </w:r>
    </w:p>
    <w:p w14:paraId="5974C658" w14:textId="17F94FDD" w:rsidR="00185909" w:rsidRPr="0056081D" w:rsidRDefault="00185909" w:rsidP="00540445">
      <w:pPr>
        <w:jc w:val="both"/>
        <w:rPr>
          <w:rFonts w:ascii="Calibri" w:hAnsi="Calibri" w:cs="Calibri"/>
          <w:color w:val="000000"/>
          <w:shd w:val="clear" w:color="auto" w:fill="FFFFFF"/>
        </w:rPr>
      </w:pPr>
      <w:r>
        <w:rPr>
          <w:rFonts w:ascii="Calibri" w:hAnsi="Calibri" w:cs="Calibri"/>
          <w:color w:val="000000"/>
          <w:shd w:val="clear" w:color="auto" w:fill="FFFFFF"/>
        </w:rPr>
        <w:t xml:space="preserve">The transformation of the energy workforce represents opportunities for Australia and the energy sector. </w:t>
      </w:r>
      <w:r w:rsidRPr="00130B49">
        <w:rPr>
          <w:rFonts w:ascii="Calibri" w:hAnsi="Calibri" w:cs="Calibri"/>
          <w:color w:val="000000"/>
          <w:shd w:val="clear" w:color="auto" w:fill="FFFFFF"/>
        </w:rPr>
        <w:t>New jobs, skills, qualifications, training pathways, technologies</w:t>
      </w:r>
      <w:r>
        <w:rPr>
          <w:rFonts w:ascii="Calibri" w:hAnsi="Calibri" w:cs="Calibri"/>
          <w:color w:val="000000"/>
          <w:shd w:val="clear" w:color="auto" w:fill="FFFFFF"/>
        </w:rPr>
        <w:t xml:space="preserve"> </w:t>
      </w:r>
      <w:r w:rsidRPr="00130B49">
        <w:rPr>
          <w:rFonts w:ascii="Calibri" w:hAnsi="Calibri" w:cs="Calibri"/>
          <w:color w:val="000000"/>
          <w:shd w:val="clear" w:color="auto" w:fill="FFFFFF"/>
        </w:rPr>
        <w:t>and industries will emerge over the next 30 years</w:t>
      </w:r>
      <w:r>
        <w:rPr>
          <w:rFonts w:ascii="Calibri" w:hAnsi="Calibri" w:cs="Calibri"/>
          <w:color w:val="000000"/>
          <w:shd w:val="clear" w:color="auto" w:fill="FFFFFF"/>
        </w:rPr>
        <w:t>, creating new employment opportunities. Employment diversity in</w:t>
      </w:r>
      <w:r w:rsidRPr="68BCC1AB">
        <w:rPr>
          <w:rFonts w:ascii="Calibri" w:hAnsi="Calibri" w:cs="Calibri"/>
          <w:color w:val="000000" w:themeColor="text1"/>
        </w:rPr>
        <w:t xml:space="preserve"> the</w:t>
      </w:r>
      <w:r>
        <w:rPr>
          <w:rFonts w:ascii="Calibri" w:hAnsi="Calibri" w:cs="Calibri"/>
          <w:color w:val="000000"/>
          <w:shd w:val="clear" w:color="auto" w:fill="FFFFFF"/>
        </w:rPr>
        <w:t xml:space="preserve"> energy</w:t>
      </w:r>
      <w:r w:rsidRPr="68BCC1AB">
        <w:rPr>
          <w:rFonts w:ascii="Calibri" w:hAnsi="Calibri" w:cs="Calibri"/>
          <w:color w:val="000000" w:themeColor="text1"/>
        </w:rPr>
        <w:t xml:space="preserve"> sector</w:t>
      </w:r>
      <w:r>
        <w:rPr>
          <w:rFonts w:ascii="Calibri" w:hAnsi="Calibri" w:cs="Calibri"/>
          <w:color w:val="000000"/>
          <w:shd w:val="clear" w:color="auto" w:fill="FFFFFF"/>
        </w:rPr>
        <w:t xml:space="preserve"> is low</w:t>
      </w:r>
      <w:r>
        <w:t xml:space="preserve">. </w:t>
      </w:r>
      <w:r>
        <w:rPr>
          <w:rFonts w:ascii="Calibri" w:hAnsi="Calibri" w:cs="Calibri"/>
          <w:color w:val="000000"/>
          <w:shd w:val="clear" w:color="auto" w:fill="FFFFFF"/>
        </w:rPr>
        <w:t xml:space="preserve">The energy </w:t>
      </w:r>
      <w:r w:rsidR="00E32B7C">
        <w:t>transformation</w:t>
      </w:r>
      <w:r w:rsidDel="00E32B7C">
        <w:rPr>
          <w:rFonts w:ascii="Calibri" w:hAnsi="Calibri" w:cs="Calibri"/>
          <w:color w:val="000000"/>
          <w:shd w:val="clear" w:color="auto" w:fill="FFFFFF"/>
        </w:rPr>
        <w:t xml:space="preserve"> </w:t>
      </w:r>
      <w:r>
        <w:rPr>
          <w:rFonts w:ascii="Calibri" w:hAnsi="Calibri" w:cs="Calibri"/>
          <w:color w:val="000000"/>
          <w:shd w:val="clear" w:color="auto" w:fill="FFFFFF"/>
        </w:rPr>
        <w:t>presents an opportunity to address participation issues that exist in the industry.</w:t>
      </w:r>
      <w:r>
        <w:rPr>
          <w:rStyle w:val="FootnoteReference"/>
          <w:rFonts w:ascii="Calibri" w:hAnsi="Calibri" w:cs="Calibri"/>
          <w:color w:val="000000"/>
          <w:shd w:val="clear" w:color="auto" w:fill="FFFFFF"/>
        </w:rPr>
        <w:footnoteReference w:id="37"/>
      </w:r>
    </w:p>
    <w:p w14:paraId="6FEA0777" w14:textId="54D96038" w:rsidR="00185909" w:rsidRPr="0056081D" w:rsidRDefault="00185909" w:rsidP="00B67082">
      <w:pPr>
        <w:jc w:val="both"/>
        <w:rPr>
          <w:rFonts w:ascii="Calibri" w:hAnsi="Calibri" w:cs="Calibri"/>
          <w:color w:val="000000"/>
          <w:shd w:val="clear" w:color="auto" w:fill="FFFFFF"/>
        </w:rPr>
      </w:pPr>
      <w:r w:rsidRPr="0056081D">
        <w:rPr>
          <w:rFonts w:ascii="Calibri" w:hAnsi="Calibri" w:cs="Calibri"/>
          <w:color w:val="000000"/>
          <w:shd w:val="clear" w:color="auto" w:fill="FFFFFF"/>
        </w:rPr>
        <w:t xml:space="preserve">This transformation also presents a major challenge. The future energy sector needs a technically skilled and diverse workforce, particularly engineers and electricians (to design, construct, operate and maintain renewable energy systems) and corporate professionals (for community liaison, commercial </w:t>
      </w:r>
      <w:proofErr w:type="gramStart"/>
      <w:r w:rsidRPr="0056081D">
        <w:rPr>
          <w:rFonts w:ascii="Calibri" w:hAnsi="Calibri" w:cs="Calibri"/>
          <w:color w:val="000000"/>
          <w:shd w:val="clear" w:color="auto" w:fill="FFFFFF"/>
        </w:rPr>
        <w:t>trading</w:t>
      </w:r>
      <w:proofErr w:type="gramEnd"/>
      <w:r w:rsidRPr="0056081D">
        <w:rPr>
          <w:rFonts w:ascii="Calibri" w:hAnsi="Calibri" w:cs="Calibri"/>
          <w:color w:val="000000"/>
          <w:shd w:val="clear" w:color="auto" w:fill="FFFFFF"/>
        </w:rPr>
        <w:t xml:space="preserve"> and project management). </w:t>
      </w:r>
      <w:r>
        <w:rPr>
          <w:rFonts w:ascii="Calibri" w:hAnsi="Calibri" w:cs="Calibri"/>
          <w:color w:val="000000"/>
          <w:shd w:val="clear" w:color="auto" w:fill="FFFFFF"/>
        </w:rPr>
        <w:t xml:space="preserve">Jobs and Skills Australia have identified 38 critical occupations for the clean energy </w:t>
      </w:r>
      <w:proofErr w:type="gramStart"/>
      <w:r w:rsidR="00E32B7C">
        <w:t>transformation</w:t>
      </w:r>
      <w:r>
        <w:rPr>
          <w:rFonts w:ascii="Calibri" w:hAnsi="Calibri" w:cs="Calibri"/>
          <w:color w:val="000000"/>
          <w:shd w:val="clear" w:color="auto" w:fill="FFFFFF"/>
        </w:rPr>
        <w:t>, and</w:t>
      </w:r>
      <w:proofErr w:type="gramEnd"/>
      <w:r>
        <w:rPr>
          <w:rFonts w:ascii="Calibri" w:hAnsi="Calibri" w:cs="Calibri"/>
          <w:color w:val="000000"/>
          <w:shd w:val="clear" w:color="auto" w:fill="FFFFFF"/>
        </w:rPr>
        <w:t xml:space="preserve"> estimate that d</w:t>
      </w:r>
      <w:r w:rsidRPr="008C47CB">
        <w:rPr>
          <w:rFonts w:ascii="Calibri" w:hAnsi="Calibri" w:cs="Calibri"/>
          <w:color w:val="000000"/>
          <w:shd w:val="clear" w:color="auto" w:fill="FFFFFF"/>
        </w:rPr>
        <w:t>emand for these 38 occupations is likely</w:t>
      </w:r>
      <w:r>
        <w:rPr>
          <w:rFonts w:ascii="Calibri" w:hAnsi="Calibri" w:cs="Calibri"/>
          <w:color w:val="000000"/>
          <w:shd w:val="clear" w:color="auto" w:fill="FFFFFF"/>
        </w:rPr>
        <w:t xml:space="preserve"> to </w:t>
      </w:r>
      <w:r w:rsidRPr="008C47CB">
        <w:rPr>
          <w:rFonts w:ascii="Calibri" w:hAnsi="Calibri" w:cs="Calibri"/>
          <w:color w:val="000000"/>
          <w:shd w:val="clear" w:color="auto" w:fill="FFFFFF"/>
        </w:rPr>
        <w:t>increase by around 15%</w:t>
      </w:r>
      <w:r>
        <w:rPr>
          <w:rFonts w:ascii="Calibri" w:hAnsi="Calibri" w:cs="Calibri"/>
          <w:color w:val="000000"/>
          <w:shd w:val="clear" w:color="auto" w:fill="FFFFFF"/>
        </w:rPr>
        <w:t xml:space="preserve"> in the </w:t>
      </w:r>
      <w:r w:rsidRPr="008C47CB">
        <w:rPr>
          <w:rFonts w:ascii="Calibri" w:hAnsi="Calibri" w:cs="Calibri"/>
          <w:color w:val="000000"/>
          <w:shd w:val="clear" w:color="auto" w:fill="FFFFFF"/>
        </w:rPr>
        <w:t>next seven years to deliver the net zero transformation.</w:t>
      </w:r>
      <w:r>
        <w:rPr>
          <w:rStyle w:val="FootnoteReference"/>
          <w:rFonts w:ascii="Calibri" w:hAnsi="Calibri" w:cs="Calibri"/>
          <w:color w:val="000000"/>
          <w:shd w:val="clear" w:color="auto" w:fill="FFFFFF"/>
        </w:rPr>
        <w:footnoteReference w:id="38"/>
      </w:r>
      <w:r w:rsidRPr="008C47CB" w:rsidDel="00675E7E">
        <w:rPr>
          <w:rFonts w:ascii="Calibri" w:hAnsi="Calibri" w:cs="Calibri"/>
          <w:color w:val="000000"/>
          <w:shd w:val="clear" w:color="auto" w:fill="FFFFFF"/>
        </w:rPr>
        <w:t xml:space="preserve"> </w:t>
      </w:r>
    </w:p>
    <w:p w14:paraId="002D56D9" w14:textId="1F1CEE04" w:rsidR="00185909" w:rsidRPr="00AF798E" w:rsidRDefault="00185909" w:rsidP="00B67082">
      <w:pPr>
        <w:jc w:val="both"/>
        <w:rPr>
          <w:rFonts w:ascii="Calibri" w:hAnsi="Calibri" w:cs="Calibri"/>
          <w:color w:val="000000"/>
          <w:shd w:val="clear" w:color="auto" w:fill="FFFFFF"/>
        </w:rPr>
      </w:pPr>
      <w:r w:rsidRPr="00AF798E">
        <w:rPr>
          <w:rFonts w:ascii="Calibri" w:hAnsi="Calibri" w:cs="Calibri"/>
          <w:color w:val="000000"/>
          <w:shd w:val="clear" w:color="auto" w:fill="FFFFFF"/>
        </w:rPr>
        <w:t xml:space="preserve">There is an emerging shortage of people with the skills and training to support the </w:t>
      </w:r>
      <w:r w:rsidR="00BD335C">
        <w:rPr>
          <w:rFonts w:ascii="Calibri" w:hAnsi="Calibri" w:cs="Calibri"/>
          <w:color w:val="000000"/>
          <w:shd w:val="clear" w:color="auto" w:fill="FFFFFF"/>
        </w:rPr>
        <w:t>transformation</w:t>
      </w:r>
      <w:r w:rsidRPr="00AF798E">
        <w:rPr>
          <w:rFonts w:ascii="Calibri" w:hAnsi="Calibri" w:cs="Calibri"/>
          <w:color w:val="000000"/>
          <w:shd w:val="clear" w:color="auto" w:fill="FFFFFF"/>
        </w:rPr>
        <w:t>. Jobs and Skills Australia analysis suggests that Australia is likely to experience significant shortages in electrical, building and engineering trades.</w:t>
      </w:r>
      <w:r w:rsidRPr="00C964DF">
        <w:rPr>
          <w:vertAlign w:val="superscript"/>
        </w:rPr>
        <w:footnoteReference w:id="39"/>
      </w:r>
      <w:r w:rsidRPr="00C964DF">
        <w:rPr>
          <w:rFonts w:ascii="Calibri" w:hAnsi="Calibri" w:cs="Calibri"/>
          <w:color w:val="000000"/>
          <w:shd w:val="clear" w:color="auto" w:fill="FFFFFF"/>
          <w:vertAlign w:val="superscript"/>
        </w:rPr>
        <w:t xml:space="preserve"> </w:t>
      </w:r>
      <w:r w:rsidRPr="00AF798E">
        <w:rPr>
          <w:rFonts w:ascii="Calibri" w:hAnsi="Calibri" w:cs="Calibri"/>
          <w:color w:val="000000"/>
          <w:shd w:val="clear" w:color="auto" w:fill="FFFFFF"/>
        </w:rPr>
        <w:t>Skilled migration can play a role in addressing some skills shortages, particularly for highly specialised roles. Australia will need a fit-for-purpose migration system and an attractive labour market to attract specialised workers given significant international competition for these skills. Even so, migration alone will not meet our future workforce needs and it is not a substitute for training Australians.</w:t>
      </w:r>
    </w:p>
    <w:p w14:paraId="6669649F" w14:textId="77777777" w:rsidR="00185909" w:rsidRPr="00AF798E" w:rsidRDefault="00185909" w:rsidP="00B67082">
      <w:pPr>
        <w:jc w:val="both"/>
        <w:rPr>
          <w:rFonts w:ascii="Calibri" w:hAnsi="Calibri" w:cs="Calibri"/>
          <w:color w:val="000000"/>
          <w:shd w:val="clear" w:color="auto" w:fill="FFFFFF"/>
        </w:rPr>
      </w:pPr>
      <w:r>
        <w:rPr>
          <w:rFonts w:ascii="Calibri" w:hAnsi="Calibri" w:cs="Calibri"/>
          <w:color w:val="000000"/>
          <w:shd w:val="clear" w:color="auto" w:fill="FFFFFF"/>
        </w:rPr>
        <w:t>N</w:t>
      </w:r>
      <w:r w:rsidRPr="00E418F3">
        <w:rPr>
          <w:rFonts w:ascii="Calibri" w:hAnsi="Calibri" w:cs="Calibri"/>
          <w:color w:val="000000"/>
          <w:shd w:val="clear" w:color="auto" w:fill="FFFFFF"/>
        </w:rPr>
        <w:t xml:space="preserve">ew occupations </w:t>
      </w:r>
      <w:r>
        <w:rPr>
          <w:rFonts w:ascii="Calibri" w:hAnsi="Calibri" w:cs="Calibri"/>
          <w:color w:val="000000"/>
          <w:shd w:val="clear" w:color="auto" w:fill="FFFFFF"/>
        </w:rPr>
        <w:t xml:space="preserve">are </w:t>
      </w:r>
      <w:r w:rsidRPr="00E418F3">
        <w:rPr>
          <w:rFonts w:ascii="Calibri" w:hAnsi="Calibri" w:cs="Calibri"/>
          <w:color w:val="000000"/>
          <w:shd w:val="clear" w:color="auto" w:fill="FFFFFF"/>
        </w:rPr>
        <w:t>developing that are not officially measured</w:t>
      </w:r>
      <w:r>
        <w:rPr>
          <w:rFonts w:ascii="Calibri" w:hAnsi="Calibri" w:cs="Calibri"/>
          <w:color w:val="000000"/>
          <w:shd w:val="clear" w:color="auto" w:fill="FFFFFF"/>
        </w:rPr>
        <w:t xml:space="preserve"> or planned for in the current system</w:t>
      </w:r>
      <w:r w:rsidRPr="00E418F3">
        <w:rPr>
          <w:rFonts w:ascii="Calibri" w:hAnsi="Calibri" w:cs="Calibri"/>
          <w:color w:val="000000"/>
          <w:shd w:val="clear" w:color="auto" w:fill="FFFFFF"/>
        </w:rPr>
        <w:t>, so official data sources</w:t>
      </w:r>
      <w:r>
        <w:rPr>
          <w:rFonts w:ascii="Calibri" w:hAnsi="Calibri" w:cs="Calibri"/>
          <w:color w:val="000000"/>
          <w:shd w:val="clear" w:color="auto" w:fill="FFFFFF"/>
        </w:rPr>
        <w:t xml:space="preserve"> may need to evolve</w:t>
      </w:r>
      <w:r w:rsidRPr="00E418F3">
        <w:rPr>
          <w:rFonts w:ascii="Calibri" w:hAnsi="Calibri" w:cs="Calibri"/>
          <w:color w:val="000000"/>
          <w:shd w:val="clear" w:color="auto" w:fill="FFFFFF"/>
        </w:rPr>
        <w:t xml:space="preserve"> to better understand energy workforce developments</w:t>
      </w:r>
      <w:r>
        <w:rPr>
          <w:rFonts w:ascii="Calibri" w:hAnsi="Calibri" w:cs="Calibri"/>
          <w:color w:val="000000"/>
          <w:shd w:val="clear" w:color="auto" w:fill="FFFFFF"/>
        </w:rPr>
        <w:t xml:space="preserve"> through the transition</w:t>
      </w:r>
      <w:r w:rsidRPr="00E418F3">
        <w:rPr>
          <w:rFonts w:ascii="Calibri" w:hAnsi="Calibri" w:cs="Calibri"/>
          <w:color w:val="000000"/>
          <w:shd w:val="clear" w:color="auto" w:fill="FFFFFF"/>
        </w:rPr>
        <w:t>.</w:t>
      </w:r>
      <w:r>
        <w:rPr>
          <w:rFonts w:ascii="Calibri" w:hAnsi="Calibri" w:cs="Calibri"/>
          <w:color w:val="000000"/>
          <w:shd w:val="clear" w:color="auto" w:fill="FFFFFF"/>
        </w:rPr>
        <w:t xml:space="preserve"> </w:t>
      </w:r>
      <w:r w:rsidRPr="001023CC">
        <w:rPr>
          <w:rFonts w:ascii="Calibri" w:hAnsi="Calibri" w:cs="Calibri"/>
          <w:color w:val="000000"/>
          <w:shd w:val="clear" w:color="auto" w:fill="FFFFFF"/>
        </w:rPr>
        <w:t xml:space="preserve">Among specialised roles required include community engagement specialists to support best practice engagement and adjust community engagement to specific communities. </w:t>
      </w:r>
    </w:p>
    <w:p w14:paraId="744624E4" w14:textId="324D1544" w:rsidR="00185909" w:rsidRDefault="00185909" w:rsidP="00540445">
      <w:pPr>
        <w:spacing w:line="257" w:lineRule="auto"/>
        <w:jc w:val="both"/>
        <w:rPr>
          <w:rFonts w:ascii="Calibri" w:hAnsi="Calibri" w:cs="Calibri"/>
          <w:color w:val="000000"/>
          <w:shd w:val="clear" w:color="auto" w:fill="FFFFFF"/>
        </w:rPr>
      </w:pPr>
      <w:r>
        <w:rPr>
          <w:rFonts w:ascii="Calibri" w:hAnsi="Calibri" w:cs="Calibri"/>
          <w:color w:val="000000"/>
          <w:shd w:val="clear" w:color="auto" w:fill="FFFFFF"/>
        </w:rPr>
        <w:t xml:space="preserve">The energy </w:t>
      </w:r>
      <w:r w:rsidR="0087300E">
        <w:rPr>
          <w:rFonts w:ascii="Calibri" w:hAnsi="Calibri" w:cs="Calibri"/>
          <w:color w:val="000000"/>
          <w:shd w:val="clear" w:color="auto" w:fill="FFFFFF"/>
        </w:rPr>
        <w:t xml:space="preserve">transformation </w:t>
      </w:r>
      <w:r>
        <w:rPr>
          <w:rFonts w:ascii="Calibri" w:hAnsi="Calibri" w:cs="Calibri"/>
          <w:color w:val="000000"/>
          <w:shd w:val="clear" w:color="auto" w:fill="FFFFFF"/>
        </w:rPr>
        <w:t>will particularly impact regional workforces, presenting both challenges and opportunities. Clean energy activities will be regionally located, and JSA analysis shows that transition-related employment growth will be stronger in the regions than urban centres.</w:t>
      </w:r>
      <w:r>
        <w:rPr>
          <w:rStyle w:val="FootnoteReference"/>
          <w:rFonts w:ascii="Calibri" w:hAnsi="Calibri" w:cs="Calibri"/>
          <w:color w:val="000000"/>
          <w:shd w:val="clear" w:color="auto" w:fill="FFFFFF"/>
        </w:rPr>
        <w:footnoteReference w:id="40"/>
      </w:r>
      <w:r>
        <w:rPr>
          <w:rFonts w:ascii="Calibri" w:hAnsi="Calibri" w:cs="Calibri"/>
          <w:color w:val="000000"/>
          <w:shd w:val="clear" w:color="auto" w:fill="FFFFFF"/>
        </w:rPr>
        <w:t xml:space="preserve"> However, regions that are currently reliant on fossil fuel industries will be exposed to transition </w:t>
      </w:r>
      <w:proofErr w:type="gramStart"/>
      <w:r>
        <w:rPr>
          <w:rFonts w:ascii="Calibri" w:hAnsi="Calibri" w:cs="Calibri"/>
          <w:color w:val="000000"/>
          <w:shd w:val="clear" w:color="auto" w:fill="FFFFFF"/>
        </w:rPr>
        <w:t>risks</w:t>
      </w:r>
      <w:proofErr w:type="gramEnd"/>
      <w:r w:rsidR="00603EF8">
        <w:rPr>
          <w:rFonts w:ascii="Calibri" w:hAnsi="Calibri" w:cs="Calibri"/>
          <w:color w:val="000000"/>
          <w:shd w:val="clear" w:color="auto" w:fill="FFFFFF"/>
        </w:rPr>
        <w:t xml:space="preserve"> so it is </w:t>
      </w:r>
      <w:r w:rsidR="00603EF8">
        <w:rPr>
          <w:rFonts w:ascii="Calibri" w:hAnsi="Calibri" w:cs="Calibri"/>
          <w:color w:val="000000"/>
          <w:shd w:val="clear" w:color="auto" w:fill="FFFFFF"/>
        </w:rPr>
        <w:lastRenderedPageBreak/>
        <w:t>important Government works with the private sector and communities to optimise training and investment</w:t>
      </w:r>
      <w:r w:rsidDel="00603EF8">
        <w:rPr>
          <w:rFonts w:ascii="Calibri" w:hAnsi="Calibri" w:cs="Calibri"/>
          <w:color w:val="000000"/>
          <w:shd w:val="clear" w:color="auto" w:fill="FFFFFF"/>
        </w:rPr>
        <w:t>.</w:t>
      </w:r>
      <w:r>
        <w:rPr>
          <w:rFonts w:ascii="Calibri" w:hAnsi="Calibri" w:cs="Calibri"/>
          <w:color w:val="000000"/>
          <w:shd w:val="clear" w:color="auto" w:fill="FFFFFF"/>
        </w:rPr>
        <w:t xml:space="preserve"> Regional communities, particularly those with large fossil fuel industries, w</w:t>
      </w:r>
      <w:r>
        <w:rPr>
          <w:rStyle w:val="ui-provider"/>
        </w:rPr>
        <w:t>ill need improved access to education and training to gain the skills needed for future jobs.</w:t>
      </w:r>
    </w:p>
    <w:p w14:paraId="42023417" w14:textId="47C7A772" w:rsidR="00185909" w:rsidRPr="00C964DF" w:rsidRDefault="00185909" w:rsidP="00540445">
      <w:pPr>
        <w:spacing w:line="257" w:lineRule="auto"/>
        <w:jc w:val="both"/>
        <w:rPr>
          <w:rFonts w:ascii="Calibri" w:eastAsia="Calibri" w:hAnsi="Calibri" w:cs="Calibri"/>
          <w:color w:val="000000" w:themeColor="text1"/>
        </w:rPr>
      </w:pPr>
      <w:r w:rsidRPr="61F4326A">
        <w:rPr>
          <w:rFonts w:ascii="Calibri" w:eastAsia="Calibri" w:hAnsi="Calibri" w:cs="Calibri"/>
          <w:color w:val="000000" w:themeColor="text1"/>
        </w:rPr>
        <w:t xml:space="preserve">The </w:t>
      </w:r>
      <w:r>
        <w:rPr>
          <w:rFonts w:ascii="Calibri" w:eastAsia="Calibri" w:hAnsi="Calibri" w:cs="Calibri"/>
          <w:color w:val="000000" w:themeColor="text1"/>
        </w:rPr>
        <w:t>Australian</w:t>
      </w:r>
      <w:r w:rsidRPr="61F4326A">
        <w:rPr>
          <w:rFonts w:ascii="Calibri" w:eastAsia="Calibri" w:hAnsi="Calibri" w:cs="Calibri"/>
          <w:color w:val="000000" w:themeColor="text1"/>
        </w:rPr>
        <w:t xml:space="preserve"> Government is investing in skills and training to support the energy </w:t>
      </w:r>
      <w:r w:rsidR="0087300E">
        <w:rPr>
          <w:rFonts w:ascii="Calibri" w:eastAsia="Calibri" w:hAnsi="Calibri" w:cs="Calibri"/>
          <w:color w:val="000000" w:themeColor="text1"/>
        </w:rPr>
        <w:t>transformation</w:t>
      </w:r>
      <w:r w:rsidRPr="61F4326A">
        <w:rPr>
          <w:rFonts w:ascii="Calibri" w:eastAsia="Calibri" w:hAnsi="Calibri" w:cs="Calibri"/>
          <w:color w:val="000000" w:themeColor="text1"/>
        </w:rPr>
        <w:t>. This includes the New Energy Apprentices program which is providing additional support to up to 10,000 apprentices across 40 occupations.</w:t>
      </w:r>
      <w:r w:rsidRPr="61F4326A">
        <w:rPr>
          <w:rFonts w:ascii="Calibri" w:eastAsia="Calibri" w:hAnsi="Calibri" w:cs="Calibri"/>
        </w:rPr>
        <w:t xml:space="preserve"> </w:t>
      </w:r>
      <w:r w:rsidRPr="61F4326A">
        <w:rPr>
          <w:rFonts w:ascii="Calibri" w:eastAsia="Calibri" w:hAnsi="Calibri" w:cs="Calibri"/>
          <w:color w:val="000000" w:themeColor="text1"/>
        </w:rPr>
        <w:t>The new National Skills Agreement will also provide up to $12.6b to the Vocational Education and Training (VET) system over 5 years to support priority skills, including energy sector trades.</w:t>
      </w:r>
    </w:p>
    <w:p w14:paraId="69953A88" w14:textId="1D874264" w:rsidR="00185909" w:rsidRDefault="00185909" w:rsidP="00B67082">
      <w:pPr>
        <w:jc w:val="both"/>
        <w:rPr>
          <w:rFonts w:ascii="Calibri" w:hAnsi="Calibri" w:cs="Calibri"/>
        </w:rPr>
      </w:pPr>
      <w:r w:rsidRPr="0056081D">
        <w:rPr>
          <w:rFonts w:ascii="Calibri" w:hAnsi="Calibri" w:cs="Calibri"/>
          <w:color w:val="000000"/>
          <w:shd w:val="clear" w:color="auto" w:fill="FFFFFF"/>
        </w:rPr>
        <w:t xml:space="preserve">The forthcoming National Energy Workforce Strategy will provide a </w:t>
      </w:r>
      <w:r>
        <w:rPr>
          <w:rFonts w:ascii="Calibri" w:hAnsi="Calibri" w:cs="Calibri"/>
          <w:color w:val="000000"/>
          <w:shd w:val="clear" w:color="auto" w:fill="FFFFFF"/>
        </w:rPr>
        <w:t>co-ordinated</w:t>
      </w:r>
      <w:r w:rsidRPr="0056081D">
        <w:rPr>
          <w:rFonts w:ascii="Calibri" w:hAnsi="Calibri" w:cs="Calibri"/>
          <w:color w:val="000000"/>
          <w:shd w:val="clear" w:color="auto" w:fill="FFFFFF"/>
        </w:rPr>
        <w:t>, people-</w:t>
      </w:r>
      <w:proofErr w:type="gramStart"/>
      <w:r w:rsidRPr="0056081D">
        <w:rPr>
          <w:rFonts w:ascii="Calibri" w:hAnsi="Calibri" w:cs="Calibri"/>
          <w:color w:val="000000"/>
          <w:shd w:val="clear" w:color="auto" w:fill="FFFFFF"/>
        </w:rPr>
        <w:t>centred</w:t>
      </w:r>
      <w:proofErr w:type="gramEnd"/>
      <w:r w:rsidRPr="0056081D">
        <w:rPr>
          <w:rFonts w:ascii="Calibri" w:hAnsi="Calibri" w:cs="Calibri"/>
          <w:color w:val="000000"/>
          <w:shd w:val="clear" w:color="auto" w:fill="FFFFFF"/>
        </w:rPr>
        <w:t xml:space="preserve"> and national approach to ensure Australia has a pipeline of highly skilled and diverse workers to support the energy </w:t>
      </w:r>
      <w:r w:rsidR="0087300E">
        <w:rPr>
          <w:rFonts w:ascii="Calibri" w:hAnsi="Calibri" w:cs="Calibri"/>
          <w:color w:val="000000"/>
          <w:shd w:val="clear" w:color="auto" w:fill="FFFFFF"/>
        </w:rPr>
        <w:t>transformation</w:t>
      </w:r>
      <w:r w:rsidRPr="0056081D">
        <w:rPr>
          <w:rFonts w:ascii="Calibri" w:hAnsi="Calibri" w:cs="Calibri"/>
          <w:color w:val="000000"/>
          <w:shd w:val="clear" w:color="auto" w:fill="FFFFFF"/>
        </w:rPr>
        <w:t xml:space="preserve">. </w:t>
      </w:r>
      <w:r w:rsidR="00746750" w:rsidRPr="0056081D">
        <w:rPr>
          <w:rFonts w:ascii="Calibri" w:hAnsi="Calibri" w:cs="Calibri"/>
          <w:color w:val="000000"/>
          <w:shd w:val="clear" w:color="auto" w:fill="FFFFFF"/>
        </w:rPr>
        <w:t xml:space="preserve">he Strategy will consider opportunities </w:t>
      </w:r>
      <w:r w:rsidR="00746750">
        <w:rPr>
          <w:rFonts w:ascii="Calibri" w:hAnsi="Calibri" w:cs="Calibri"/>
          <w:color w:val="000000"/>
          <w:shd w:val="clear" w:color="auto" w:fill="FFFFFF"/>
        </w:rPr>
        <w:t>for</w:t>
      </w:r>
      <w:r w:rsidR="00746750" w:rsidRPr="0056081D">
        <w:rPr>
          <w:rFonts w:ascii="Calibri" w:hAnsi="Calibri" w:cs="Calibri"/>
          <w:color w:val="000000"/>
          <w:shd w:val="clear" w:color="auto" w:fill="FFFFFF"/>
        </w:rPr>
        <w:t xml:space="preserve"> reskill</w:t>
      </w:r>
      <w:r w:rsidR="00746750">
        <w:rPr>
          <w:rFonts w:ascii="Calibri" w:hAnsi="Calibri" w:cs="Calibri"/>
          <w:color w:val="000000"/>
          <w:shd w:val="clear" w:color="auto" w:fill="FFFFFF"/>
        </w:rPr>
        <w:t>ing</w:t>
      </w:r>
      <w:r w:rsidR="00746750" w:rsidRPr="0056081D">
        <w:rPr>
          <w:rFonts w:ascii="Calibri" w:hAnsi="Calibri" w:cs="Calibri"/>
          <w:color w:val="000000"/>
          <w:shd w:val="clear" w:color="auto" w:fill="FFFFFF"/>
        </w:rPr>
        <w:t xml:space="preserve"> labour </w:t>
      </w:r>
      <w:r w:rsidR="00746750">
        <w:rPr>
          <w:rFonts w:ascii="Calibri" w:hAnsi="Calibri" w:cs="Calibri"/>
          <w:color w:val="000000"/>
          <w:shd w:val="clear" w:color="auto" w:fill="FFFFFF"/>
        </w:rPr>
        <w:t xml:space="preserve">in energy and resources to ensure transferable skills and capacity building for newer kinds of energy generation and </w:t>
      </w:r>
      <w:proofErr w:type="gramStart"/>
      <w:r w:rsidR="00746750">
        <w:rPr>
          <w:rFonts w:ascii="Calibri" w:hAnsi="Calibri" w:cs="Calibri"/>
          <w:color w:val="000000"/>
          <w:shd w:val="clear" w:color="auto" w:fill="FFFFFF"/>
        </w:rPr>
        <w:t>more</w:t>
      </w:r>
      <w:r w:rsidR="00746750" w:rsidRPr="0056081D">
        <w:rPr>
          <w:rFonts w:ascii="Calibri" w:hAnsi="Calibri" w:cs="Calibri"/>
          <w:color w:val="000000"/>
          <w:shd w:val="clear" w:color="auto" w:fill="FFFFFF"/>
        </w:rPr>
        <w:t>.</w:t>
      </w:r>
      <w:r w:rsidRPr="0056081D">
        <w:rPr>
          <w:rFonts w:ascii="Calibri" w:hAnsi="Calibri" w:cs="Calibri"/>
          <w:color w:val="000000"/>
          <w:shd w:val="clear" w:color="auto" w:fill="FFFFFF"/>
        </w:rPr>
        <w:t>.</w:t>
      </w:r>
      <w:proofErr w:type="gramEnd"/>
      <w:r w:rsidRPr="0056081D">
        <w:rPr>
          <w:rFonts w:ascii="Calibri" w:hAnsi="Calibri" w:cs="Calibri"/>
          <w:color w:val="000000"/>
          <w:shd w:val="clear" w:color="auto" w:fill="FFFFFF"/>
        </w:rPr>
        <w:t xml:space="preserve"> It will also consider the education and skills support needed to ensure that regional communities benefit from the energy </w:t>
      </w:r>
      <w:r w:rsidR="0087300E">
        <w:rPr>
          <w:rFonts w:ascii="Calibri" w:hAnsi="Calibri" w:cs="Calibri"/>
          <w:color w:val="000000"/>
          <w:shd w:val="clear" w:color="auto" w:fill="FFFFFF"/>
        </w:rPr>
        <w:t>transformation</w:t>
      </w:r>
      <w:r w:rsidRPr="0056081D">
        <w:rPr>
          <w:rFonts w:ascii="Calibri" w:hAnsi="Calibri" w:cs="Calibri"/>
          <w:color w:val="000000"/>
          <w:shd w:val="clear" w:color="auto" w:fill="FFFFFF"/>
        </w:rPr>
        <w:t xml:space="preserve">, and opportunities for the new clean energy workforce to improve diversity outcomes, particularly through increasing female and First Nations participation. </w:t>
      </w:r>
    </w:p>
    <w:p w14:paraId="1CF36DFE" w14:textId="77777777" w:rsidR="00185909" w:rsidRPr="0056081D" w:rsidRDefault="00185909" w:rsidP="00B67082">
      <w:pPr>
        <w:jc w:val="both"/>
        <w:rPr>
          <w:rFonts w:ascii="Calibri" w:hAnsi="Calibri" w:cs="Calibri"/>
          <w:color w:val="000000"/>
          <w:shd w:val="clear" w:color="auto" w:fill="FFFFFF"/>
        </w:rPr>
      </w:pPr>
      <w:r w:rsidRPr="0056081D">
        <w:rPr>
          <w:rFonts w:ascii="Calibri" w:hAnsi="Calibri" w:cs="Calibri"/>
          <w:color w:val="000000"/>
          <w:shd w:val="clear" w:color="auto" w:fill="FFFFFF"/>
        </w:rPr>
        <w:t xml:space="preserve">In addition, the </w:t>
      </w:r>
      <w:r>
        <w:rPr>
          <w:rFonts w:ascii="Calibri" w:hAnsi="Calibri" w:cs="Calibri"/>
          <w:color w:val="000000"/>
          <w:shd w:val="clear" w:color="auto" w:fill="FFFFFF"/>
        </w:rPr>
        <w:t>Australian</w:t>
      </w:r>
      <w:r w:rsidRPr="0056081D">
        <w:rPr>
          <w:rFonts w:ascii="Calibri" w:hAnsi="Calibri" w:cs="Calibri"/>
          <w:color w:val="000000"/>
          <w:shd w:val="clear" w:color="auto" w:fill="FFFFFF"/>
        </w:rPr>
        <w:t xml:space="preserve"> Government is investing $83.2 million over 4 years from 2023–24 to establish a national Net Zero Economy Authority (NZEA) to promote orderly and positive economic transformation associated with decarbonisation and energy system change in regional areas, including support for impacted workers. </w:t>
      </w:r>
      <w:r>
        <w:rPr>
          <w:rFonts w:ascii="Calibri" w:hAnsi="Calibri" w:cs="Calibri"/>
          <w:color w:val="000000"/>
          <w:shd w:val="clear" w:color="auto" w:fill="FFFFFF"/>
        </w:rPr>
        <w:t xml:space="preserve">A key pillar of the NZEA work will be supporting workers who are impacted by the net zero transformation. </w:t>
      </w:r>
      <w:r w:rsidRPr="00233075">
        <w:rPr>
          <w:rFonts w:ascii="Calibri" w:hAnsi="Calibri" w:cs="Calibri"/>
          <w:color w:val="000000"/>
          <w:shd w:val="clear" w:color="auto" w:fill="FFFFFF"/>
        </w:rPr>
        <w:t xml:space="preserve">This will involve supporting workers in emissions-intensive facilities, like coal-fired power stations, to access new employment, </w:t>
      </w:r>
      <w:proofErr w:type="gramStart"/>
      <w:r w:rsidRPr="00233075">
        <w:rPr>
          <w:rFonts w:ascii="Calibri" w:hAnsi="Calibri" w:cs="Calibri"/>
          <w:color w:val="000000"/>
          <w:shd w:val="clear" w:color="auto" w:fill="FFFFFF"/>
        </w:rPr>
        <w:t>skills</w:t>
      </w:r>
      <w:proofErr w:type="gramEnd"/>
      <w:r w:rsidRPr="00233075">
        <w:rPr>
          <w:rFonts w:ascii="Calibri" w:hAnsi="Calibri" w:cs="Calibri"/>
          <w:color w:val="000000"/>
          <w:shd w:val="clear" w:color="auto" w:fill="FFFFFF"/>
        </w:rPr>
        <w:t xml:space="preserve"> and opportunities.</w:t>
      </w:r>
    </w:p>
    <w:tbl>
      <w:tblPr>
        <w:tblStyle w:val="TableGrid"/>
        <w:tblW w:w="0" w:type="auto"/>
        <w:tblLook w:val="04A0" w:firstRow="1" w:lastRow="0" w:firstColumn="1" w:lastColumn="0" w:noHBand="0" w:noVBand="1"/>
      </w:tblPr>
      <w:tblGrid>
        <w:gridCol w:w="9016"/>
      </w:tblGrid>
      <w:tr w:rsidR="00185909" w:rsidRPr="005433A3" w14:paraId="066856D8" w14:textId="77777777" w:rsidTr="00B141BC">
        <w:tc>
          <w:tcPr>
            <w:tcW w:w="9016" w:type="dxa"/>
            <w:tcBorders>
              <w:top w:val="nil"/>
              <w:left w:val="nil"/>
              <w:bottom w:val="nil"/>
              <w:right w:val="nil"/>
            </w:tcBorders>
            <w:shd w:val="clear" w:color="auto" w:fill="D8F2EE" w:themeFill="accent2" w:themeFillTint="33"/>
          </w:tcPr>
          <w:p w14:paraId="4C17788F" w14:textId="1F5E939A" w:rsidR="00185909" w:rsidRPr="006C7FF7" w:rsidRDefault="00185909" w:rsidP="008420D0">
            <w:pPr>
              <w:pStyle w:val="Caption"/>
            </w:pPr>
            <w:r w:rsidRPr="006C7FF7">
              <w:t xml:space="preserve">Seeking your views: </w:t>
            </w:r>
            <w:r>
              <w:t>Building Australia’s clean energy workforce</w:t>
            </w:r>
          </w:p>
          <w:p w14:paraId="3B78DE71" w14:textId="1E43E936" w:rsidR="00185909" w:rsidRPr="002A0D7D" w:rsidRDefault="00185909" w:rsidP="00B141BC">
            <w:pPr>
              <w:pStyle w:val="ListBullet"/>
              <w:numPr>
                <w:ilvl w:val="0"/>
                <w:numId w:val="22"/>
              </w:numPr>
              <w:spacing w:after="240"/>
            </w:pPr>
            <w:r w:rsidRPr="002A0D7D">
              <w:t xml:space="preserve">What actions are required to ensure workforce requirements for the energy </w:t>
            </w:r>
            <w:r w:rsidR="001275DD">
              <w:t>transformation</w:t>
            </w:r>
            <w:r w:rsidR="0087300E" w:rsidRPr="002A0D7D">
              <w:t xml:space="preserve"> </w:t>
            </w:r>
            <w:r w:rsidRPr="002A0D7D">
              <w:t>are met, while supporting equitable outcomes?</w:t>
            </w:r>
          </w:p>
          <w:p w14:paraId="26FA5C62" w14:textId="77777777" w:rsidR="00185909" w:rsidRPr="002A0D7D" w:rsidRDefault="00185909" w:rsidP="002A0D7D">
            <w:r w:rsidRPr="002A0D7D">
              <w:t xml:space="preserve">When providing </w:t>
            </w:r>
            <w:proofErr w:type="gramStart"/>
            <w:r w:rsidRPr="002A0D7D">
              <w:t>feedback</w:t>
            </w:r>
            <w:proofErr w:type="gramEnd"/>
            <w:r w:rsidRPr="002A0D7D">
              <w:t xml:space="preserve"> you may wish to comment on:</w:t>
            </w:r>
          </w:p>
          <w:p w14:paraId="6DB6F271" w14:textId="0E91B78D" w:rsidR="00185909" w:rsidRPr="002A0D7D" w:rsidRDefault="00E95C37" w:rsidP="00B141BC">
            <w:pPr>
              <w:pStyle w:val="ListBullet"/>
            </w:pPr>
            <w:r>
              <w:t>k</w:t>
            </w:r>
            <w:r w:rsidR="00185909" w:rsidRPr="002A0D7D">
              <w:t>ey specialist skills that need to be supported</w:t>
            </w:r>
          </w:p>
          <w:p w14:paraId="1E7FC6E6" w14:textId="2A116461" w:rsidR="00185909" w:rsidRPr="002A0D7D" w:rsidRDefault="00E95C37" w:rsidP="00B141BC">
            <w:pPr>
              <w:pStyle w:val="ListBullet"/>
            </w:pPr>
            <w:r>
              <w:t>b</w:t>
            </w:r>
            <w:r w:rsidR="00185909" w:rsidRPr="002A0D7D">
              <w:t>arriers and opportunities for recruiting and retaining skilled workers, including First Nations Australians and women</w:t>
            </w:r>
          </w:p>
          <w:p w14:paraId="26FE241F" w14:textId="5BF23D72" w:rsidR="00185909" w:rsidRPr="002A0D7D" w:rsidRDefault="00E95C37" w:rsidP="00B141BC">
            <w:pPr>
              <w:pStyle w:val="ListBullet"/>
            </w:pPr>
            <w:r>
              <w:t>o</w:t>
            </w:r>
            <w:r w:rsidR="00185909" w:rsidRPr="002A0D7D">
              <w:t>pportunities for regional workforce and workers in fossil fuel industries</w:t>
            </w:r>
          </w:p>
          <w:p w14:paraId="217E53FA" w14:textId="45388C0E" w:rsidR="00185909" w:rsidRPr="008420D0" w:rsidRDefault="00E95C37" w:rsidP="00B141BC">
            <w:pPr>
              <w:pStyle w:val="ListBullet"/>
              <w:spacing w:after="240"/>
            </w:pPr>
            <w:r>
              <w:t>c</w:t>
            </w:r>
            <w:r w:rsidR="00185909" w:rsidRPr="002A0D7D">
              <w:t>onsiderations for upskilling and reskilling the existing energy workforce.</w:t>
            </w:r>
          </w:p>
        </w:tc>
      </w:tr>
    </w:tbl>
    <w:p w14:paraId="6BD858B5" w14:textId="35705C18" w:rsidR="00CA688C" w:rsidRDefault="00CA688C" w:rsidP="00540445">
      <w:pPr>
        <w:jc w:val="both"/>
        <w:rPr>
          <w:b/>
          <w:bCs/>
        </w:rPr>
      </w:pPr>
    </w:p>
    <w:p w14:paraId="3289DABD" w14:textId="77777777" w:rsidR="00CA688C" w:rsidRDefault="00CA688C">
      <w:pPr>
        <w:spacing w:after="0" w:line="240" w:lineRule="auto"/>
        <w:rPr>
          <w:b/>
          <w:bCs/>
        </w:rPr>
      </w:pPr>
      <w:r>
        <w:rPr>
          <w:b/>
          <w:bCs/>
        </w:rPr>
        <w:br w:type="page"/>
      </w:r>
    </w:p>
    <w:p w14:paraId="65D01974" w14:textId="2E568C91" w:rsidR="00185909" w:rsidRPr="00E268EC" w:rsidRDefault="006A59FA" w:rsidP="00F546C3">
      <w:pPr>
        <w:pStyle w:val="Heading2"/>
      </w:pPr>
      <w:bookmarkStart w:id="151" w:name="_Toc155772641"/>
      <w:bookmarkStart w:id="152" w:name="_Toc155772645"/>
      <w:bookmarkStart w:id="153" w:name="_Toc160550419"/>
      <w:bookmarkStart w:id="154" w:name="_Toc160699616"/>
      <w:bookmarkStart w:id="155" w:name="_Toc161306053"/>
      <w:bookmarkEnd w:id="151"/>
      <w:bookmarkEnd w:id="152"/>
      <w:r>
        <w:lastRenderedPageBreak/>
        <w:t>Maximising</w:t>
      </w:r>
      <w:r w:rsidR="00185909" w:rsidRPr="00E268EC">
        <w:t xml:space="preserve"> outcomes for people and businesses</w:t>
      </w:r>
      <w:bookmarkEnd w:id="153"/>
      <w:bookmarkEnd w:id="154"/>
      <w:bookmarkEnd w:id="155"/>
    </w:p>
    <w:p w14:paraId="7B6D6129" w14:textId="0822DA7D" w:rsidR="00185909" w:rsidRPr="00EF5B44" w:rsidRDefault="00185909" w:rsidP="002A0D7D">
      <w:pPr>
        <w:jc w:val="both"/>
        <w:rPr>
          <w:rStyle w:val="SubtleEmphasis"/>
          <w:i w:val="0"/>
          <w:iCs w:val="0"/>
        </w:rPr>
      </w:pPr>
      <w:r w:rsidRPr="00EF5B44">
        <w:t xml:space="preserve">People are at the centre of the energy </w:t>
      </w:r>
      <w:r w:rsidR="0087300E">
        <w:t>transformation</w:t>
      </w:r>
      <w:r w:rsidRPr="00EF5B44">
        <w:t xml:space="preserve">. The transition is changing the way Australians interact with energy providers because of </w:t>
      </w:r>
      <w:r w:rsidRPr="00EF5B44">
        <w:rPr>
          <w:rStyle w:val="SubtleEmphasis"/>
          <w:i w:val="0"/>
          <w:iCs w:val="0"/>
        </w:rPr>
        <w:t xml:space="preserve">new market operations, technological </w:t>
      </w:r>
      <w:proofErr w:type="gramStart"/>
      <w:r w:rsidRPr="00EF5B44">
        <w:rPr>
          <w:rStyle w:val="SubtleEmphasis"/>
          <w:i w:val="0"/>
          <w:iCs w:val="0"/>
        </w:rPr>
        <w:t>advancements</w:t>
      </w:r>
      <w:proofErr w:type="gramEnd"/>
      <w:r w:rsidRPr="00EF5B44">
        <w:rPr>
          <w:rStyle w:val="SubtleEmphasis"/>
          <w:i w:val="0"/>
          <w:iCs w:val="0"/>
        </w:rPr>
        <w:t xml:space="preserve"> and decarbonisation objectives. These changes are creating opportunities for households and businesses to contribute to the energy </w:t>
      </w:r>
      <w:r w:rsidR="0087300E">
        <w:rPr>
          <w:rStyle w:val="SubtleEmphasis"/>
          <w:i w:val="0"/>
          <w:iCs w:val="0"/>
        </w:rPr>
        <w:t>transformation</w:t>
      </w:r>
      <w:r w:rsidRPr="00EF5B44">
        <w:rPr>
          <w:rStyle w:val="SubtleEmphasis"/>
          <w:i w:val="0"/>
          <w:iCs w:val="0"/>
        </w:rPr>
        <w:t xml:space="preserve">, and new challenges for policymakers to manage. </w:t>
      </w:r>
      <w:r w:rsidRPr="00EF5B44">
        <w:t xml:space="preserve">The rapid </w:t>
      </w:r>
      <w:r w:rsidRPr="00EF5B44">
        <w:rPr>
          <w:rStyle w:val="SubtleEmphasis"/>
          <w:i w:val="0"/>
          <w:iCs w:val="0"/>
        </w:rPr>
        <w:t xml:space="preserve">expansion in the options available to consumers is beneficial, but it is important that we ensure the consumers are protected against the potential risks from new models. </w:t>
      </w:r>
    </w:p>
    <w:p w14:paraId="6986C329" w14:textId="6217EED6" w:rsidR="00493FC7" w:rsidRPr="00493FC7" w:rsidRDefault="00185909" w:rsidP="002A0D7D">
      <w:pPr>
        <w:jc w:val="both"/>
        <w:rPr>
          <w:rStyle w:val="SubtleEmphasis"/>
          <w:i w:val="0"/>
          <w:iCs w:val="0"/>
        </w:rPr>
      </w:pPr>
      <w:r w:rsidRPr="00EF5B44">
        <w:rPr>
          <w:rStyle w:val="SubtleEmphasis"/>
          <w:i w:val="0"/>
          <w:iCs w:val="0"/>
        </w:rPr>
        <w:t xml:space="preserve">Simultaneously, ensuring community support and social licence is a key enabler for the energy </w:t>
      </w:r>
      <w:r w:rsidR="0087300E">
        <w:rPr>
          <w:rStyle w:val="SubtleEmphasis"/>
          <w:i w:val="0"/>
          <w:iCs w:val="0"/>
        </w:rPr>
        <w:t>transformation</w:t>
      </w:r>
      <w:r w:rsidRPr="00EF5B44">
        <w:rPr>
          <w:rStyle w:val="SubtleEmphasis"/>
          <w:i w:val="0"/>
          <w:iCs w:val="0"/>
        </w:rPr>
        <w:t xml:space="preserve">. It will be necessary to ensure all Australians are able to access information on the energy </w:t>
      </w:r>
      <w:r w:rsidR="0087300E">
        <w:rPr>
          <w:rStyle w:val="SubtleEmphasis"/>
          <w:i w:val="0"/>
          <w:iCs w:val="0"/>
        </w:rPr>
        <w:t xml:space="preserve">transformation </w:t>
      </w:r>
      <w:r w:rsidRPr="00EF5B44">
        <w:rPr>
          <w:rStyle w:val="SubtleEmphasis"/>
          <w:i w:val="0"/>
          <w:iCs w:val="0"/>
        </w:rPr>
        <w:t xml:space="preserve">and are able to access these benefits. There are opportunities to ensure all segments of the community </w:t>
      </w:r>
      <w:proofErr w:type="gramStart"/>
      <w:r w:rsidRPr="00EF5B44">
        <w:rPr>
          <w:rStyle w:val="SubtleEmphasis"/>
          <w:i w:val="0"/>
          <w:iCs w:val="0"/>
        </w:rPr>
        <w:t>are able to</w:t>
      </w:r>
      <w:proofErr w:type="gramEnd"/>
      <w:r w:rsidRPr="00EF5B44">
        <w:rPr>
          <w:rStyle w:val="SubtleEmphasis"/>
          <w:i w:val="0"/>
          <w:iCs w:val="0"/>
        </w:rPr>
        <w:t xml:space="preserve"> share in these benefits. </w:t>
      </w:r>
      <w:r w:rsidRPr="00EF5B44">
        <w:t xml:space="preserve">The transition can </w:t>
      </w:r>
      <w:r w:rsidRPr="00EF5B44">
        <w:rPr>
          <w:rStyle w:val="SubtleEmphasis"/>
          <w:i w:val="0"/>
          <w:iCs w:val="0"/>
        </w:rPr>
        <w:t>have the twin benefits of increasing equity and helping us to meet our decarbonisation objectives.</w:t>
      </w:r>
    </w:p>
    <w:p w14:paraId="5120C97B" w14:textId="458C2553" w:rsidR="00185909" w:rsidRPr="00EF5B44" w:rsidRDefault="00185909" w:rsidP="001F14C4">
      <w:pPr>
        <w:pStyle w:val="Heading3"/>
        <w:rPr>
          <w:rStyle w:val="SubtleEmphasis"/>
          <w:i w:val="0"/>
          <w:iCs w:val="0"/>
          <w:color w:val="auto"/>
        </w:rPr>
      </w:pPr>
      <w:bookmarkStart w:id="156" w:name="_Toc157518314"/>
      <w:bookmarkStart w:id="157" w:name="_Toc160467028"/>
      <w:bookmarkStart w:id="158" w:name="_Toc160467801"/>
      <w:bookmarkStart w:id="159" w:name="_Toc160544740"/>
      <w:bookmarkStart w:id="160" w:name="_Toc160544909"/>
      <w:bookmarkStart w:id="161" w:name="_Toc160550420"/>
      <w:bookmarkStart w:id="162" w:name="_Toc160623593"/>
      <w:bookmarkStart w:id="163" w:name="_Toc160699617"/>
      <w:bookmarkStart w:id="164" w:name="_Toc161306054"/>
      <w:r w:rsidRPr="00EF5B44">
        <w:rPr>
          <w:rStyle w:val="SubtleEmphasis"/>
          <w:i w:val="0"/>
          <w:iCs w:val="0"/>
          <w:color w:val="auto"/>
        </w:rPr>
        <w:t>Energy is important to the cost of living</w:t>
      </w:r>
      <w:bookmarkEnd w:id="156"/>
      <w:bookmarkEnd w:id="157"/>
      <w:bookmarkEnd w:id="158"/>
      <w:bookmarkEnd w:id="159"/>
      <w:bookmarkEnd w:id="160"/>
      <w:bookmarkEnd w:id="161"/>
      <w:bookmarkEnd w:id="162"/>
      <w:bookmarkEnd w:id="163"/>
      <w:bookmarkEnd w:id="164"/>
      <w:r w:rsidRPr="00EF5B44">
        <w:rPr>
          <w:rStyle w:val="SubtleEmphasis"/>
          <w:i w:val="0"/>
          <w:iCs w:val="0"/>
          <w:color w:val="auto"/>
        </w:rPr>
        <w:t xml:space="preserve"> </w:t>
      </w:r>
    </w:p>
    <w:p w14:paraId="71DE540A" w14:textId="77777777" w:rsidR="00185909" w:rsidRDefault="00185909" w:rsidP="00540445">
      <w:pPr>
        <w:jc w:val="both"/>
      </w:pPr>
      <w:r w:rsidRPr="003C71FF">
        <w:t xml:space="preserve">The energy system of the future will involve renewable energy that </w:t>
      </w:r>
      <w:r w:rsidRPr="003C71FF" w:rsidDel="00D76666">
        <w:t xml:space="preserve">is </w:t>
      </w:r>
      <w:r w:rsidRPr="003C71FF">
        <w:t>increasingly distributed throughout homes,</w:t>
      </w:r>
      <w:r w:rsidRPr="003C71FF" w:rsidDel="00D76666">
        <w:t xml:space="preserve"> </w:t>
      </w:r>
      <w:proofErr w:type="gramStart"/>
      <w:r w:rsidRPr="003C71FF">
        <w:t>businesses</w:t>
      </w:r>
      <w:proofErr w:type="gramEnd"/>
      <w:r w:rsidRPr="003C71FF">
        <w:t xml:space="preserve"> and communities with rooftop solar, batteries and community grid options.</w:t>
      </w:r>
      <w:r>
        <w:t xml:space="preserve"> This is a significant shift from our current energy market but one that</w:t>
      </w:r>
      <w:r w:rsidDel="009E6DF2">
        <w:t xml:space="preserve"> </w:t>
      </w:r>
      <w:r>
        <w:t xml:space="preserve">can deliver lower cost, more reliable and secure energy over the long term. </w:t>
      </w:r>
    </w:p>
    <w:p w14:paraId="794AF419" w14:textId="77777777" w:rsidR="00185909" w:rsidRDefault="00185909" w:rsidP="00540445">
      <w:pPr>
        <w:jc w:val="both"/>
        <w:rPr>
          <w:rStyle w:val="ui-provider"/>
        </w:rPr>
      </w:pPr>
      <w:r w:rsidRPr="00AD4BCB">
        <w:t>Energy bills are a significant part of household budgets. Low-income households spend as much as 5.7% of their annual income on electricity and as much as 4.4% of annual income for gas – twice as much as average-income households</w:t>
      </w:r>
      <w:r>
        <w:t>.</w:t>
      </w:r>
      <w:r>
        <w:rPr>
          <w:rStyle w:val="FootnoteReference"/>
        </w:rPr>
        <w:footnoteReference w:id="41"/>
      </w:r>
      <w:r>
        <w:t xml:space="preserve"> Over the past 2 years, this has been exacerbated by international events and supply constraints resulting in historically high energy prices</w:t>
      </w:r>
      <w:r w:rsidRPr="00C259CD">
        <w:t>.</w:t>
      </w:r>
      <w:r>
        <w:t xml:space="preserve"> </w:t>
      </w:r>
      <w:r>
        <w:rPr>
          <w:rStyle w:val="ui-provider"/>
        </w:rPr>
        <w:t>High energy costs are also being faced by households in remote Australia, including First Nations households, who may be off-grid and often rely on diesel generation.</w:t>
      </w:r>
    </w:p>
    <w:p w14:paraId="4B8355A6" w14:textId="690ABF3B" w:rsidR="00185909" w:rsidRPr="00D157D7" w:rsidRDefault="00185909" w:rsidP="00540445">
      <w:pPr>
        <w:jc w:val="both"/>
        <w:rPr>
          <w:rStyle w:val="FootnoteReference"/>
        </w:rPr>
      </w:pPr>
      <w:r>
        <w:rPr>
          <w:rStyle w:val="ui-provider"/>
        </w:rPr>
        <w:t>Energy affordability is enhanced by the deployment of renewable energy, which is the cheapest form of electricity, replacing aging and increasingly unreliable coal assets</w:t>
      </w:r>
      <w:r w:rsidR="00746750">
        <w:rPr>
          <w:rStyle w:val="ui-provider"/>
        </w:rPr>
        <w:t xml:space="preserve"> as they retire. </w:t>
      </w:r>
      <w:r>
        <w:rPr>
          <w:rStyle w:val="ui-provider"/>
        </w:rPr>
        <w:t xml:space="preserve">The Australian Government is also working with states and territories to ensure the efficient use of existing and new network infrastructure can make sure no more infrastructure is built than necessary, minimising energy network costs that are passed to consumers. </w:t>
      </w:r>
    </w:p>
    <w:p w14:paraId="087990CF" w14:textId="77777777" w:rsidR="00185909" w:rsidRDefault="00185909" w:rsidP="00540445">
      <w:pPr>
        <w:jc w:val="both"/>
      </w:pPr>
      <w:r>
        <w:t>Energy customers are concerned about high prices and increasingly about value for money.</w:t>
      </w:r>
      <w:r w:rsidRPr="34C18504">
        <w:rPr>
          <w:rStyle w:val="FootnoteReference"/>
        </w:rPr>
        <w:footnoteReference w:id="42"/>
      </w:r>
      <w:r>
        <w:t xml:space="preserve"> This is not fully reflected in switching behaviour. A significant number of customers are on plans with a calculated annual cost equal to or higher than the default offer (47% of residential customers and 42% of concession customers), and 4 in every 5 residential customers could lower their bills if they switched </w:t>
      </w:r>
      <w:r>
        <w:lastRenderedPageBreak/>
        <w:t>to an available better offer.</w:t>
      </w:r>
      <w:r>
        <w:rPr>
          <w:rStyle w:val="FootnoteReference"/>
        </w:rPr>
        <w:footnoteReference w:id="43"/>
      </w:r>
      <w:r>
        <w:t xml:space="preserve"> Market-wide information on finding a more competitive energy plan is available on services such as the Energy Made Easy and Victorian Energy Compare government websites. Greater awareness of available tools and supports could assist customers to reduce their energy costs. The Australian Government recognises there may also be benefit to targeted information for customers who remain disengaged or face barriers to engaging with the energy market. </w:t>
      </w:r>
    </w:p>
    <w:p w14:paraId="3AB4FDF6" w14:textId="2A1E864B" w:rsidR="00185909" w:rsidRPr="00EF5B44" w:rsidRDefault="00DC608F" w:rsidP="001F14C4">
      <w:pPr>
        <w:pStyle w:val="Heading3"/>
        <w:rPr>
          <w:rStyle w:val="SubtleEmphasis"/>
          <w:i w:val="0"/>
          <w:iCs w:val="0"/>
          <w:color w:val="auto"/>
        </w:rPr>
      </w:pPr>
      <w:bookmarkStart w:id="165" w:name="_Toc157518315"/>
      <w:bookmarkStart w:id="166" w:name="_Toc160467029"/>
      <w:bookmarkStart w:id="167" w:name="_Toc160467802"/>
      <w:bookmarkStart w:id="168" w:name="_Toc160544741"/>
      <w:bookmarkStart w:id="169" w:name="_Toc160544910"/>
      <w:bookmarkStart w:id="170" w:name="_Toc160550421"/>
      <w:bookmarkStart w:id="171" w:name="_Toc160623594"/>
      <w:bookmarkStart w:id="172" w:name="_Toc160699618"/>
      <w:r w:rsidRPr="00EC4805">
        <w:rPr>
          <w:rStyle w:val="SubtleEmphasis"/>
          <w:i w:val="0"/>
          <w:iCs w:val="0"/>
          <w:color w:val="197C7D"/>
          <w:sz w:val="48"/>
        </w:rPr>
        <w:t xml:space="preserve"> </w:t>
      </w:r>
      <w:bookmarkStart w:id="173" w:name="_Toc161306055"/>
      <w:r w:rsidR="00185909" w:rsidRPr="00EF5B44">
        <w:rPr>
          <w:rStyle w:val="SubtleEmphasis"/>
          <w:i w:val="0"/>
          <w:iCs w:val="0"/>
          <w:color w:val="auto"/>
        </w:rPr>
        <w:t>The energy transformation will change the way consumers interact with electricity suppliers</w:t>
      </w:r>
      <w:bookmarkEnd w:id="165"/>
      <w:bookmarkEnd w:id="166"/>
      <w:bookmarkEnd w:id="167"/>
      <w:bookmarkEnd w:id="168"/>
      <w:bookmarkEnd w:id="169"/>
      <w:bookmarkEnd w:id="170"/>
      <w:bookmarkEnd w:id="171"/>
      <w:bookmarkEnd w:id="172"/>
      <w:bookmarkEnd w:id="173"/>
    </w:p>
    <w:p w14:paraId="4C7F9903" w14:textId="02B9DD51" w:rsidR="00185909" w:rsidRDefault="00185909" w:rsidP="00540445">
      <w:pPr>
        <w:jc w:val="both"/>
      </w:pPr>
      <w:r>
        <w:t xml:space="preserve">Households are playing an increasingly critical role in the energy </w:t>
      </w:r>
      <w:r w:rsidR="0087300E">
        <w:rPr>
          <w:rStyle w:val="SubtleEmphasis"/>
          <w:i w:val="0"/>
          <w:iCs w:val="0"/>
        </w:rPr>
        <w:t xml:space="preserve">transformation </w:t>
      </w:r>
      <w:r>
        <w:t>and need support to engage effectively.</w:t>
      </w:r>
      <w:r>
        <w:rPr>
          <w:rStyle w:val="FootnoteReference"/>
        </w:rPr>
        <w:footnoteReference w:id="44"/>
      </w:r>
      <w:r>
        <w:t xml:space="preserve"> Electricity grids are moving away from a centralised, one-way supply of energy from generators to customers and toward a distributed and increasingly two-way balance of clean energy between traditional generators, homes, and businesses. </w:t>
      </w:r>
      <w:r w:rsidR="0033528C">
        <w:t xml:space="preserve">Changes to energy infrastructure to enable the energy transition are more than just </w:t>
      </w:r>
      <w:proofErr w:type="gramStart"/>
      <w:r w:rsidR="0033528C">
        <w:t>increasing  large</w:t>
      </w:r>
      <w:proofErr w:type="gramEnd"/>
      <w:r w:rsidR="0033528C">
        <w:t xml:space="preserve">-scale renewables as aging coal-fired power retires. </w:t>
      </w:r>
    </w:p>
    <w:p w14:paraId="561DEF57" w14:textId="5AD64D8B" w:rsidR="00185909" w:rsidRDefault="00185909" w:rsidP="00540445">
      <w:pPr>
        <w:jc w:val="both"/>
      </w:pPr>
      <w:r>
        <w:t>Electricity</w:t>
      </w:r>
      <w:r w:rsidRPr="00332F75">
        <w:t xml:space="preserve"> consumers are participating in the renewable energy </w:t>
      </w:r>
      <w:r w:rsidR="0087300E">
        <w:rPr>
          <w:rStyle w:val="SubtleEmphasis"/>
          <w:i w:val="0"/>
          <w:iCs w:val="0"/>
        </w:rPr>
        <w:t xml:space="preserve">transformation </w:t>
      </w:r>
      <w:r w:rsidRPr="00332F75">
        <w:t xml:space="preserve">through unprecedented investment in household </w:t>
      </w:r>
      <w:r>
        <w:t>consumer energy resources (</w:t>
      </w:r>
      <w:r w:rsidRPr="00332F75">
        <w:t>CER</w:t>
      </w:r>
      <w:r>
        <w:t>)</w:t>
      </w:r>
      <w:r w:rsidRPr="00332F75">
        <w:t>.</w:t>
      </w:r>
      <w:r>
        <w:t xml:space="preserve"> Rooftop solar is now on the roofs of nearly 1 in 3 Australian homes.</w:t>
      </w:r>
      <w:r>
        <w:rPr>
          <w:rStyle w:val="FootnoteReference"/>
        </w:rPr>
        <w:footnoteReference w:id="45"/>
      </w:r>
      <w:r>
        <w:t xml:space="preserve"> Solar panels and battery storage (including household electric vehicles and community batteries) provide consumers the opportunity to be more self-sufficient, reduce their annual energy bills, and interact with the energy market in more dynamic ways. In November 2023, Energy and Climate Change Ministers agreed</w:t>
      </w:r>
      <w:r w:rsidRPr="00EB67E6">
        <w:t xml:space="preserve"> to develop a National Consumer Energy Resources Roadmap – Powering Decarbonised Homes and Communities, to unlock consumer benefits for locally generated and stored power</w:t>
      </w:r>
      <w:r>
        <w:t>. The roadmap will</w:t>
      </w:r>
      <w:r w:rsidRPr="00EB67E6">
        <w:t xml:space="preserve"> deliver national reforms for efficient and effective CER integration, deliver on emissions and renewable energy commitments, and drive positive outcomes for all consumers, </w:t>
      </w:r>
      <w:r>
        <w:t>while supporting</w:t>
      </w:r>
      <w:r w:rsidRPr="00EB67E6">
        <w:t xml:space="preserve"> the </w:t>
      </w:r>
      <w:proofErr w:type="gramStart"/>
      <w:r w:rsidRPr="00EB67E6">
        <w:t>system</w:t>
      </w:r>
      <w:r>
        <w:t xml:space="preserve"> as a whole</w:t>
      </w:r>
      <w:proofErr w:type="gramEnd"/>
      <w:r>
        <w:t>.</w:t>
      </w:r>
    </w:p>
    <w:p w14:paraId="5573C1FC" w14:textId="5B566A41" w:rsidR="00185909" w:rsidRDefault="00185909" w:rsidP="00540445">
      <w:pPr>
        <w:jc w:val="both"/>
      </w:pPr>
      <w:r>
        <w:t xml:space="preserve">Better coordination of CER can help to deliver more affordable and secure energy, while reducing our need for building new transmission and distribution lines to connect new clean energy sources to electricity grids. Recent CSIRO analysis suggests that improved CER co-ordination would reduce average electricity bills across all households, </w:t>
      </w:r>
      <w:proofErr w:type="gramStart"/>
      <w:r>
        <w:t>whether or not</w:t>
      </w:r>
      <w:proofErr w:type="gramEnd"/>
      <w:r>
        <w:t xml:space="preserve"> they own CER, by $30 to $50 per annum from 2030</w:t>
      </w:r>
      <w:r w:rsidR="001C752D">
        <w:t>–</w:t>
      </w:r>
      <w:r>
        <w:t xml:space="preserve">2050. </w:t>
      </w:r>
      <w:r>
        <w:rPr>
          <w:rStyle w:val="FootnoteReference"/>
        </w:rPr>
        <w:footnoteReference w:id="46"/>
      </w:r>
      <w:r>
        <w:t xml:space="preserve"> These savings reflect the lower peak demand profile achieved by co-ordinating CER, which reduces costs across the system. </w:t>
      </w:r>
    </w:p>
    <w:p w14:paraId="54E5B12B" w14:textId="77777777" w:rsidR="00185909" w:rsidRDefault="00185909" w:rsidP="00540445">
      <w:pPr>
        <w:jc w:val="both"/>
      </w:pPr>
      <w:r>
        <w:t xml:space="preserve">Consumer trust in a fit-for-purpose energy market is required to drive this coordination. The new energy market and corresponding roles and responsibilities are still being developed. Energy consumer protections which were designed for simple arrangements with retailers will need to be reconsidered. This represents an opportunity to review existing shortfalls in the consumer protection legislation – </w:t>
      </w:r>
      <w:r>
        <w:lastRenderedPageBreak/>
        <w:t xml:space="preserve">for example, improving protections for First Nations households in areas where disconnections are commonplace. </w:t>
      </w:r>
    </w:p>
    <w:p w14:paraId="0ACAA98C" w14:textId="77777777" w:rsidR="00185909" w:rsidRDefault="00185909" w:rsidP="00540445">
      <w:pPr>
        <w:jc w:val="both"/>
      </w:pPr>
      <w:r>
        <w:t xml:space="preserve">Increased energy market complexity means all consumers could benefit from a simple and safe way to interact with energy </w:t>
      </w:r>
      <w:proofErr w:type="gramStart"/>
      <w:r>
        <w:t>services, and</w:t>
      </w:r>
      <w:proofErr w:type="gramEnd"/>
      <w:r>
        <w:t xml:space="preserve"> may need extra support to make good decisions about complex offerings. If and where that complexity moves beyond a level that is reasonable for a consumer to understand, alternatives should be explored to ensure the market remains focussed on delivering the best possible outcomes for its customers.</w:t>
      </w:r>
    </w:p>
    <w:p w14:paraId="1BD71B0E" w14:textId="6A69B006" w:rsidR="00185909" w:rsidRDefault="00185909" w:rsidP="00540445">
      <w:pPr>
        <w:jc w:val="both"/>
        <w:rPr>
          <w:i/>
          <w:iCs/>
        </w:rPr>
      </w:pPr>
      <w:r>
        <w:t xml:space="preserve">A successful energy </w:t>
      </w:r>
      <w:r w:rsidR="0087300E">
        <w:rPr>
          <w:rStyle w:val="SubtleEmphasis"/>
          <w:i w:val="0"/>
          <w:iCs w:val="0"/>
        </w:rPr>
        <w:t xml:space="preserve">transformation </w:t>
      </w:r>
      <w:r>
        <w:t>will require that consumers are serviced by a fit-for-purpose protections framework and can be confident that the transition is designed with their interests.</w:t>
      </w:r>
    </w:p>
    <w:p w14:paraId="2635AE98" w14:textId="45136A62" w:rsidR="00185909" w:rsidRPr="00EF5B44" w:rsidRDefault="00185909" w:rsidP="001F14C4">
      <w:pPr>
        <w:pStyle w:val="Heading3"/>
        <w:rPr>
          <w:rStyle w:val="SubtleEmphasis"/>
          <w:i w:val="0"/>
          <w:iCs w:val="0"/>
          <w:color w:val="auto"/>
        </w:rPr>
      </w:pPr>
      <w:bookmarkStart w:id="174" w:name="_Toc157518316"/>
      <w:bookmarkStart w:id="175" w:name="_Toc160467030"/>
      <w:bookmarkStart w:id="176" w:name="_Toc160467803"/>
      <w:bookmarkStart w:id="177" w:name="_Toc160544742"/>
      <w:bookmarkStart w:id="178" w:name="_Toc160544911"/>
      <w:bookmarkStart w:id="179" w:name="_Toc160550422"/>
      <w:bookmarkStart w:id="180" w:name="_Toc160623595"/>
      <w:bookmarkStart w:id="181" w:name="_Toc160699619"/>
      <w:bookmarkStart w:id="182" w:name="_Toc161306056"/>
      <w:r w:rsidRPr="00EF5B44">
        <w:rPr>
          <w:rStyle w:val="SubtleEmphasis"/>
          <w:i w:val="0"/>
          <w:iCs w:val="0"/>
          <w:color w:val="auto"/>
        </w:rPr>
        <w:t xml:space="preserve">Community support for the energy </w:t>
      </w:r>
      <w:r w:rsidR="0087300E">
        <w:rPr>
          <w:rStyle w:val="SubtleEmphasis"/>
          <w:i w:val="0"/>
          <w:iCs w:val="0"/>
        </w:rPr>
        <w:t xml:space="preserve">transformation </w:t>
      </w:r>
      <w:r w:rsidRPr="00EF5B44">
        <w:rPr>
          <w:rStyle w:val="SubtleEmphasis"/>
          <w:i w:val="0"/>
          <w:iCs w:val="0"/>
          <w:color w:val="auto"/>
        </w:rPr>
        <w:t>will depend on delivering equitable and fair outcomes for all Australians</w:t>
      </w:r>
      <w:bookmarkEnd w:id="174"/>
      <w:bookmarkEnd w:id="175"/>
      <w:bookmarkEnd w:id="176"/>
      <w:bookmarkEnd w:id="177"/>
      <w:bookmarkEnd w:id="178"/>
      <w:bookmarkEnd w:id="179"/>
      <w:bookmarkEnd w:id="180"/>
      <w:bookmarkEnd w:id="181"/>
      <w:bookmarkEnd w:id="182"/>
    </w:p>
    <w:p w14:paraId="7477D422" w14:textId="5667C6C9" w:rsidR="00185909" w:rsidRDefault="00185909" w:rsidP="00540445">
      <w:pPr>
        <w:jc w:val="both"/>
      </w:pPr>
      <w:r>
        <w:t xml:space="preserve">Enabling consumers to engage fully in the energy </w:t>
      </w:r>
      <w:r w:rsidR="0087300E">
        <w:rPr>
          <w:rStyle w:val="SubtleEmphasis"/>
          <w:i w:val="0"/>
          <w:iCs w:val="0"/>
        </w:rPr>
        <w:t xml:space="preserve">transformation </w:t>
      </w:r>
      <w:r>
        <w:t>and realise the benefits of CER orchestration for electricity grids will require high levels of trust in Australia’s energy systems, ability to access information about how they can maximise benefits and support where consumers are unable to invest in consumer energy resources on their own.</w:t>
      </w:r>
    </w:p>
    <w:p w14:paraId="3412112A" w14:textId="0D44896E" w:rsidR="00185909" w:rsidRDefault="00185909" w:rsidP="00540445">
      <w:pPr>
        <w:jc w:val="both"/>
      </w:pPr>
      <w:r>
        <w:t xml:space="preserve">The Australian Government, along with all Energy Ministers, is committed to achieving an equitable energy </w:t>
      </w:r>
      <w:r w:rsidR="0087300E">
        <w:rPr>
          <w:rStyle w:val="SubtleEmphasis"/>
          <w:i w:val="0"/>
          <w:iCs w:val="0"/>
        </w:rPr>
        <w:t xml:space="preserve">transformation </w:t>
      </w:r>
      <w:r>
        <w:t>for all Australians.</w:t>
      </w:r>
      <w:r w:rsidRPr="22527E5B">
        <w:rPr>
          <w:rStyle w:val="FootnoteReference"/>
        </w:rPr>
        <w:footnoteReference w:id="47"/>
      </w:r>
      <w:r>
        <w:t xml:space="preserve"> Decarbonising homes and businesses will require significant upfront costs and some households may face barriers to making investments such as installing rooftop solar or batteries, purchasing an electric vehicle or electrifying gas appliances (for example, renters, or occupants of live-in houses or apartments which are not suitable).</w:t>
      </w:r>
      <w:r>
        <w:rPr>
          <w:rStyle w:val="FootnoteReference"/>
        </w:rPr>
        <w:footnoteReference w:id="48"/>
      </w:r>
      <w:r>
        <w:t xml:space="preserve"> Access to affordable and reliable energy is a human right enshrined in the U</w:t>
      </w:r>
      <w:r w:rsidR="00E02C02">
        <w:t xml:space="preserve">nited </w:t>
      </w:r>
      <w:r>
        <w:t>N</w:t>
      </w:r>
      <w:r w:rsidR="00E02C02">
        <w:t>ations</w:t>
      </w:r>
      <w:r>
        <w:t xml:space="preserve"> Sustainable Development </w:t>
      </w:r>
      <w:r w:rsidR="000A5B21">
        <w:t>Goals</w:t>
      </w:r>
      <w:r>
        <w:t xml:space="preserve">. Consumers vulnerable to or experiencing hardship must not end up shouldering an inequitable share of the burden and costs of the </w:t>
      </w:r>
      <w:proofErr w:type="gramStart"/>
      <w:r>
        <w:t>transition, and</w:t>
      </w:r>
      <w:proofErr w:type="gramEnd"/>
      <w:r>
        <w:t xml:space="preserve"> should receive their fair share of the benefits. </w:t>
      </w:r>
    </w:p>
    <w:p w14:paraId="342958FE" w14:textId="77777777" w:rsidR="00185909" w:rsidRDefault="00185909" w:rsidP="00540445">
      <w:pPr>
        <w:jc w:val="both"/>
      </w:pPr>
      <w:r>
        <w:t xml:space="preserve">Delivering an equitable energy system will mean that all consumers, including low-income, First Nations and culturally diverse groups, need to be given tailored consideration throughout the transition. This may include financial support, but also reforming the protections framework and initiatives to improve access to useful information. In particular, the systemic disadvantage experienced by Australian First Nations peoples will require a specific focus to ensure that hardship measures accurately reflect their rights and interests, especially in remote and regional areas. The Australian Government has commented on </w:t>
      </w:r>
      <w:proofErr w:type="gramStart"/>
      <w:r>
        <w:t>particular issues</w:t>
      </w:r>
      <w:proofErr w:type="gramEnd"/>
      <w:r>
        <w:t xml:space="preserve"> for First Nations Australians associated with disconnection and pre-payment meters in remote communities.</w:t>
      </w:r>
    </w:p>
    <w:p w14:paraId="3147CEDB" w14:textId="77777777" w:rsidR="00185909" w:rsidRDefault="00185909" w:rsidP="00540445">
      <w:pPr>
        <w:jc w:val="both"/>
      </w:pPr>
      <w:r>
        <w:t xml:space="preserve">In its </w:t>
      </w:r>
      <w:r>
        <w:rPr>
          <w:i/>
          <w:iCs/>
        </w:rPr>
        <w:t xml:space="preserve">Towards Energy Equity </w:t>
      </w:r>
      <w:r w:rsidRPr="00B203BE">
        <w:rPr>
          <w:i/>
          <w:iCs/>
        </w:rPr>
        <w:t>Strategy</w:t>
      </w:r>
      <w:r>
        <w:t>, t</w:t>
      </w:r>
      <w:r w:rsidRPr="00B203BE">
        <w:t>he</w:t>
      </w:r>
      <w:r>
        <w:t xml:space="preserve"> Australian Energy Regulator (AER) identified systemic challenges in supporting consumers vulnerable to or experiencing hardship. The AER's Game Changer project presented a compelling case for change given persistent levels of high and increasing debt </w:t>
      </w:r>
      <w:r>
        <w:lastRenderedPageBreak/>
        <w:t xml:space="preserve">levels, </w:t>
      </w:r>
      <w:proofErr w:type="gramStart"/>
      <w:r>
        <w:t>disconnections</w:t>
      </w:r>
      <w:proofErr w:type="gramEnd"/>
      <w:r>
        <w:t xml:space="preserve"> and failed payment plans. Governments are considering the reforms recommended by the AER and other measures to address consumer hardship. </w:t>
      </w:r>
    </w:p>
    <w:p w14:paraId="2AD78572" w14:textId="77777777" w:rsidR="00185909" w:rsidRDefault="00185909" w:rsidP="00540445">
      <w:pPr>
        <w:jc w:val="both"/>
      </w:pPr>
      <w:r>
        <w:t>An equitable transition will also require that low-income and disadvantaged households can access the benefits of appropriate consumer protections, consumer energy resources and more energy efficient equipment and appliances through the transition. Actions could be taken to better balance opportunities, risks, costs and benefits between the energy industry and energy consumers, and across energy consumer cohorts including those vulnerable to or facing hardship.</w:t>
      </w:r>
    </w:p>
    <w:p w14:paraId="292730BF" w14:textId="77777777" w:rsidR="00185909" w:rsidRDefault="00185909" w:rsidP="00540445">
      <w:pPr>
        <w:jc w:val="both"/>
        <w:rPr>
          <w:rFonts w:ascii="Calibri" w:hAnsi="Calibri" w:cs="Calibri"/>
        </w:rPr>
      </w:pPr>
      <w:r w:rsidRPr="001023CC">
        <w:t>The transition will also involve community-level impacts, particularly for communities directly affected by new transmission infrastructure</w:t>
      </w:r>
      <w:r>
        <w:t xml:space="preserve"> as well as changes to regional workforces and industries</w:t>
      </w:r>
      <w:r w:rsidRPr="001023CC">
        <w:t xml:space="preserve">. </w:t>
      </w:r>
      <w:r>
        <w:t>To realise the benefits of new energy projects with community interests, this will require involving</w:t>
      </w:r>
      <w:r w:rsidRPr="001023CC">
        <w:rPr>
          <w:rFonts w:ascii="Calibri" w:hAnsi="Calibri" w:cs="Calibri"/>
        </w:rPr>
        <w:t xml:space="preserve"> communities, </w:t>
      </w:r>
      <w:proofErr w:type="gramStart"/>
      <w:r w:rsidRPr="001023CC">
        <w:rPr>
          <w:rFonts w:ascii="Calibri" w:hAnsi="Calibri" w:cs="Calibri"/>
        </w:rPr>
        <w:t>landholders</w:t>
      </w:r>
      <w:proofErr w:type="gramEnd"/>
      <w:r w:rsidRPr="001023CC">
        <w:rPr>
          <w:rFonts w:ascii="Calibri" w:hAnsi="Calibri" w:cs="Calibri"/>
        </w:rPr>
        <w:t xml:space="preserve"> and stakeholders, including First Nations peoples</w:t>
      </w:r>
      <w:r>
        <w:rPr>
          <w:rFonts w:ascii="Calibri" w:hAnsi="Calibri" w:cs="Calibr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7F5FA" w:themeFill="background2" w:themeFillTint="1A"/>
        <w:tblLook w:val="04A0" w:firstRow="1" w:lastRow="0" w:firstColumn="1" w:lastColumn="0" w:noHBand="0" w:noVBand="1"/>
      </w:tblPr>
      <w:tblGrid>
        <w:gridCol w:w="9016"/>
      </w:tblGrid>
      <w:tr w:rsidR="00185909" w14:paraId="2ECFAECF" w14:textId="77777777" w:rsidTr="00E268EC">
        <w:tc>
          <w:tcPr>
            <w:tcW w:w="9016" w:type="dxa"/>
            <w:shd w:val="clear" w:color="auto" w:fill="D7F5FA" w:themeFill="background2" w:themeFillTint="1A"/>
          </w:tcPr>
          <w:p w14:paraId="2AA55D8B" w14:textId="0D7A119A" w:rsidR="00185909" w:rsidRPr="005629C5" w:rsidRDefault="007E6345" w:rsidP="007E6345">
            <w:pPr>
              <w:pStyle w:val="Caption"/>
            </w:pPr>
            <w:bookmarkStart w:id="183" w:name="_Toc161306073"/>
            <w:r>
              <w:t xml:space="preserve">Box </w:t>
            </w:r>
            <w:fldSimple w:instr=" SEQ Box \* ARABIC ">
              <w:r w:rsidR="00D158DC">
                <w:rPr>
                  <w:noProof/>
                </w:rPr>
                <w:t>2</w:t>
              </w:r>
            </w:fldSimple>
            <w:r>
              <w:t xml:space="preserve"> The Australian Government's response to the Community Engagement Review</w:t>
            </w:r>
            <w:bookmarkEnd w:id="183"/>
          </w:p>
          <w:p w14:paraId="68CBC561" w14:textId="28345086" w:rsidR="00185909" w:rsidRDefault="00185909" w:rsidP="00A04318">
            <w:r w:rsidRPr="001023CC">
              <w:t xml:space="preserve">The Australian Government engaged the Australian Energy Infrastructure Commissioner (AEIC) to lead a </w:t>
            </w:r>
            <w:r w:rsidR="00A04318">
              <w:t>c</w:t>
            </w:r>
            <w:r w:rsidRPr="001023CC">
              <w:t xml:space="preserve">ommunity </w:t>
            </w:r>
            <w:r w:rsidR="00A04318">
              <w:t>e</w:t>
            </w:r>
            <w:r w:rsidRPr="001023CC">
              <w:t xml:space="preserve">ngagement </w:t>
            </w:r>
            <w:r w:rsidR="00A04318">
              <w:t>r</w:t>
            </w:r>
            <w:r w:rsidRPr="001023CC">
              <w:t>eview</w:t>
            </w:r>
            <w:r w:rsidR="0056720A">
              <w:t xml:space="preserve"> (the </w:t>
            </w:r>
            <w:r w:rsidR="00A04318">
              <w:t>‘</w:t>
            </w:r>
            <w:r w:rsidR="0056720A">
              <w:t>Review</w:t>
            </w:r>
            <w:r w:rsidR="00A04318">
              <w:t>’</w:t>
            </w:r>
            <w:r w:rsidR="0056720A">
              <w:t>)</w:t>
            </w:r>
            <w:r w:rsidRPr="001023CC">
              <w:t xml:space="preserve"> </w:t>
            </w:r>
            <w:r w:rsidR="00EA4333">
              <w:t>to improve community engagement on new energy infrastructure projects</w:t>
            </w:r>
            <w:r w:rsidRPr="001023CC">
              <w:t xml:space="preserve">. The Review, which was publicly released in February 2024, provided advice on improving community engagement throughout the planning, </w:t>
            </w:r>
            <w:proofErr w:type="gramStart"/>
            <w:r w:rsidRPr="001023CC">
              <w:t>development</w:t>
            </w:r>
            <w:proofErr w:type="gramEnd"/>
            <w:r w:rsidRPr="001023CC">
              <w:t xml:space="preserve"> and operation of renewable energy infrastructure projects.</w:t>
            </w:r>
          </w:p>
          <w:p w14:paraId="3CDABE9F" w14:textId="3CD23991" w:rsidR="00185909" w:rsidRPr="005F7C96" w:rsidRDefault="00185909" w:rsidP="00A04318">
            <w:pPr>
              <w:rPr>
                <w:rFonts w:ascii="Calibri" w:hAnsi="Calibri" w:cs="Calibri"/>
              </w:rPr>
            </w:pPr>
            <w:r w:rsidRPr="001023CC">
              <w:rPr>
                <w:rFonts w:ascii="Calibri" w:hAnsi="Calibri" w:cs="Calibri"/>
              </w:rPr>
              <w:t xml:space="preserve">The Australian Government has accepted in principle all recommendations of the Review, including working with states and territories to implement recommendations. Future policy initiatives must grapple with the challenges of community participation and engagement.  Actively involving communities in the planning and decision-making processes is key to building and maintaining support for the energy </w:t>
            </w:r>
            <w:r w:rsidR="0087300E" w:rsidRPr="0087300E">
              <w:rPr>
                <w:rFonts w:ascii="Calibri" w:hAnsi="Calibri" w:cs="Calibri"/>
              </w:rPr>
              <w:t>transformation</w:t>
            </w:r>
            <w:r w:rsidR="00EA4333">
              <w:rPr>
                <w:rFonts w:ascii="Calibri" w:hAnsi="Calibri" w:cs="Calibri"/>
              </w:rPr>
              <w:t xml:space="preserve"> and ensuring community benefits</w:t>
            </w:r>
            <w:r w:rsidRPr="001023CC" w:rsidDel="00EA4333">
              <w:rPr>
                <w:rFonts w:ascii="Calibri" w:hAnsi="Calibri" w:cs="Calibri"/>
              </w:rPr>
              <w:t>.</w:t>
            </w:r>
          </w:p>
        </w:tc>
      </w:tr>
    </w:tbl>
    <w:p w14:paraId="7071F4E4" w14:textId="77777777" w:rsidR="00185909" w:rsidRDefault="00185909" w:rsidP="00540445">
      <w:pPr>
        <w:pStyle w:val="NormalWeb"/>
        <w:spacing w:after="0"/>
        <w:rPr>
          <w:rFonts w:ascii="Calibri" w:hAnsi="Calibri" w:cs="Calibri"/>
          <w:sz w:val="22"/>
          <w:szCs w:val="22"/>
        </w:rPr>
      </w:pPr>
    </w:p>
    <w:p w14:paraId="5ECCC9C9" w14:textId="0CDE0B2D" w:rsidR="00185909" w:rsidRPr="00EF5B44" w:rsidRDefault="00185909" w:rsidP="001F14C4">
      <w:pPr>
        <w:pStyle w:val="Heading3"/>
        <w:rPr>
          <w:rStyle w:val="SubtleEmphasis"/>
          <w:i w:val="0"/>
          <w:iCs w:val="0"/>
          <w:color w:val="auto"/>
        </w:rPr>
      </w:pPr>
      <w:bookmarkStart w:id="184" w:name="_Toc160467031"/>
      <w:bookmarkStart w:id="185" w:name="_Toc160467804"/>
      <w:bookmarkStart w:id="186" w:name="_Toc160544743"/>
      <w:bookmarkStart w:id="187" w:name="_Toc160544912"/>
      <w:bookmarkStart w:id="188" w:name="_Toc160550423"/>
      <w:bookmarkStart w:id="189" w:name="_Toc160623596"/>
      <w:bookmarkStart w:id="190" w:name="_Toc160699620"/>
      <w:bookmarkStart w:id="191" w:name="_Toc161306057"/>
      <w:r w:rsidRPr="00EF5B44">
        <w:rPr>
          <w:rStyle w:val="SubtleEmphasis"/>
          <w:i w:val="0"/>
          <w:iCs w:val="0"/>
          <w:color w:val="auto"/>
        </w:rPr>
        <w:t>Circular economy</w:t>
      </w:r>
      <w:bookmarkEnd w:id="184"/>
      <w:bookmarkEnd w:id="185"/>
      <w:bookmarkEnd w:id="186"/>
      <w:bookmarkEnd w:id="187"/>
      <w:r w:rsidRPr="00EF5B44">
        <w:rPr>
          <w:rStyle w:val="SubtleEmphasis"/>
          <w:i w:val="0"/>
          <w:iCs w:val="0"/>
          <w:color w:val="auto"/>
        </w:rPr>
        <w:t xml:space="preserve"> principles will need to be embedded into the energy </w:t>
      </w:r>
      <w:bookmarkEnd w:id="188"/>
      <w:bookmarkEnd w:id="189"/>
      <w:bookmarkEnd w:id="190"/>
      <w:r w:rsidR="0087300E">
        <w:rPr>
          <w:rStyle w:val="SubtleEmphasis"/>
          <w:i w:val="0"/>
          <w:iCs w:val="0"/>
        </w:rPr>
        <w:t>transformation</w:t>
      </w:r>
      <w:bookmarkEnd w:id="191"/>
    </w:p>
    <w:p w14:paraId="7135EDAD" w14:textId="2A8C1C81" w:rsidR="00185909" w:rsidRPr="00540445" w:rsidRDefault="00185909" w:rsidP="00540445">
      <w:pPr>
        <w:jc w:val="both"/>
        <w:rPr>
          <w:rFonts w:ascii="Calibri" w:hAnsi="Calibri" w:cs="Calibri"/>
        </w:rPr>
      </w:pPr>
      <w:r>
        <w:t xml:space="preserve">In 2022, Australia’s Environment Ministers committed to achieving a circular economy and the Australian Government is currently developing a National Circular Economy Framework, informed by recommendations from the Circular Economy Ministerial Advisory Group. Initiatives such as product stewardship for solar panels and recycling of other renewable energy infrastructure are not only important to reducing emissions, but also important to supporting social licence for the transition. Options that support a circular economy, such as waste to energy proposals, also need to consider waste hierarchy. To date, electricity generation from waste, including landfill gas, has played a small but significant role in Australia’s electricity system, in addition to being an important way of reducing methane emissions. </w:t>
      </w:r>
    </w:p>
    <w:tbl>
      <w:tblPr>
        <w:tblStyle w:val="TableGrid"/>
        <w:tblW w:w="0" w:type="auto"/>
        <w:shd w:val="clear" w:color="auto" w:fill="C1DDE1"/>
        <w:tblLook w:val="04A0" w:firstRow="1" w:lastRow="0" w:firstColumn="1" w:lastColumn="0" w:noHBand="0" w:noVBand="1"/>
      </w:tblPr>
      <w:tblGrid>
        <w:gridCol w:w="9016"/>
      </w:tblGrid>
      <w:tr w:rsidR="00185909" w14:paraId="6611C5D4" w14:textId="77777777" w:rsidTr="009519F2">
        <w:trPr>
          <w:trHeight w:val="441"/>
        </w:trPr>
        <w:tc>
          <w:tcPr>
            <w:tcW w:w="9016" w:type="dxa"/>
            <w:tcBorders>
              <w:top w:val="nil"/>
              <w:left w:val="nil"/>
              <w:bottom w:val="nil"/>
              <w:right w:val="nil"/>
            </w:tcBorders>
            <w:shd w:val="clear" w:color="auto" w:fill="D8F2EE" w:themeFill="accent2" w:themeFillTint="33"/>
          </w:tcPr>
          <w:p w14:paraId="4526F8AD" w14:textId="3D74183F" w:rsidR="00185909" w:rsidRPr="00B513A7" w:rsidRDefault="00185909" w:rsidP="00B513A7">
            <w:pPr>
              <w:pStyle w:val="Caption"/>
            </w:pPr>
            <w:r w:rsidRPr="00B513A7">
              <w:lastRenderedPageBreak/>
              <w:t xml:space="preserve">Seeking your views: </w:t>
            </w:r>
            <w:r w:rsidR="00CD517C">
              <w:t>M</w:t>
            </w:r>
            <w:r w:rsidR="006A59FA">
              <w:t>aximising</w:t>
            </w:r>
            <w:r w:rsidRPr="00B513A7">
              <w:t xml:space="preserve"> outcomes for people and businesses</w:t>
            </w:r>
          </w:p>
          <w:p w14:paraId="031EEB34" w14:textId="577EB323" w:rsidR="00185909" w:rsidRPr="00DE3F59" w:rsidRDefault="00185909" w:rsidP="00B141BC">
            <w:pPr>
              <w:pStyle w:val="ListBullet"/>
              <w:numPr>
                <w:ilvl w:val="0"/>
                <w:numId w:val="22"/>
              </w:numPr>
            </w:pPr>
            <w:r w:rsidRPr="00DE3F59">
              <w:t xml:space="preserve">What actions are required to ensure better energy outcomes for people and businesses, and maximise their benefit from the energy </w:t>
            </w:r>
            <w:r w:rsidR="0087300E" w:rsidRPr="0087300E">
              <w:t>transformation</w:t>
            </w:r>
            <w:r w:rsidRPr="00DE3F59">
              <w:t>?</w:t>
            </w:r>
          </w:p>
          <w:p w14:paraId="5431E203" w14:textId="32AB3249" w:rsidR="00185909" w:rsidRDefault="00185909" w:rsidP="00B141BC">
            <w:pPr>
              <w:pStyle w:val="ListBullet"/>
              <w:numPr>
                <w:ilvl w:val="0"/>
                <w:numId w:val="22"/>
              </w:numPr>
              <w:spacing w:after="240"/>
            </w:pPr>
            <w:r w:rsidRPr="00F2499B">
              <w:t xml:space="preserve">What </w:t>
            </w:r>
            <w:r>
              <w:t>social licence</w:t>
            </w:r>
            <w:r w:rsidRPr="00F2499B">
              <w:t xml:space="preserve"> and circular economy </w:t>
            </w:r>
            <w:r>
              <w:t xml:space="preserve">aspects should be considered as part of the pathway for the energy </w:t>
            </w:r>
            <w:r w:rsidR="0087300E" w:rsidRPr="0087300E">
              <w:t>transformation</w:t>
            </w:r>
            <w:r w:rsidRPr="00F2499B">
              <w:t>?</w:t>
            </w:r>
          </w:p>
          <w:p w14:paraId="18B868CF" w14:textId="77777777" w:rsidR="00185909" w:rsidRPr="00276204" w:rsidRDefault="00185909" w:rsidP="00E268EC">
            <w:r w:rsidRPr="00276204">
              <w:t xml:space="preserve">When providing </w:t>
            </w:r>
            <w:proofErr w:type="gramStart"/>
            <w:r w:rsidRPr="00276204">
              <w:t>feedback</w:t>
            </w:r>
            <w:proofErr w:type="gramEnd"/>
            <w:r w:rsidRPr="00276204">
              <w:t xml:space="preserve"> you may wish to comment on:</w:t>
            </w:r>
          </w:p>
          <w:p w14:paraId="75997DE6" w14:textId="1277B8EE" w:rsidR="00185909" w:rsidRPr="00276204" w:rsidRDefault="00050961" w:rsidP="00B141BC">
            <w:pPr>
              <w:pStyle w:val="ListBullet"/>
            </w:pPr>
            <w:r>
              <w:t>b</w:t>
            </w:r>
            <w:r w:rsidR="00185909" w:rsidRPr="00276204">
              <w:t xml:space="preserve">arriers and solutions to </w:t>
            </w:r>
            <w:r w:rsidR="00185909">
              <w:t>Australia’s energy markets providing optimal energy outcomes for people from</w:t>
            </w:r>
            <w:r w:rsidR="00185909" w:rsidRPr="00276204">
              <w:t xml:space="preserve"> the energy </w:t>
            </w:r>
            <w:r w:rsidR="0087300E" w:rsidRPr="0087300E">
              <w:t>transformation</w:t>
            </w:r>
            <w:r w:rsidR="00185909" w:rsidRPr="00276204">
              <w:t>, including household consumer energy resources and electrification</w:t>
            </w:r>
          </w:p>
          <w:p w14:paraId="1C7FE34F" w14:textId="5830D547" w:rsidR="00185909" w:rsidRDefault="00050961" w:rsidP="00B141BC">
            <w:pPr>
              <w:pStyle w:val="ListBullet"/>
            </w:pPr>
            <w:r>
              <w:t>n</w:t>
            </w:r>
            <w:r w:rsidR="00185909" w:rsidRPr="00276204">
              <w:t xml:space="preserve">eeds for different segments of the community, e.g. first nations and people </w:t>
            </w:r>
            <w:r w:rsidR="00185909">
              <w:t xml:space="preserve">experiencing vulnerability or </w:t>
            </w:r>
            <w:r w:rsidR="00185909" w:rsidRPr="00276204">
              <w:t>hardship, that would require bespoke policy focus</w:t>
            </w:r>
          </w:p>
          <w:p w14:paraId="713FFFD3" w14:textId="28FE5A0E" w:rsidR="00185909" w:rsidRDefault="00050961" w:rsidP="00B141BC">
            <w:pPr>
              <w:pStyle w:val="ListBullet"/>
            </w:pPr>
            <w:r>
              <w:t>g</w:t>
            </w:r>
            <w:r w:rsidR="00185909" w:rsidRPr="00276204">
              <w:t xml:space="preserve">aps and additional measures in the Australian Government’s existing actions for helping </w:t>
            </w:r>
            <w:r w:rsidR="00185909">
              <w:t xml:space="preserve">people </w:t>
            </w:r>
            <w:r w:rsidR="00185909" w:rsidRPr="00276204">
              <w:t>manage energy costs and utilise support</w:t>
            </w:r>
          </w:p>
          <w:p w14:paraId="0293402E" w14:textId="43F07DF2" w:rsidR="00185909" w:rsidRPr="006D6CF8" w:rsidRDefault="00050961" w:rsidP="00B141BC">
            <w:pPr>
              <w:pStyle w:val="ListBullet"/>
              <w:spacing w:after="240"/>
            </w:pPr>
            <w:r>
              <w:t>c</w:t>
            </w:r>
            <w:r w:rsidR="00185909">
              <w:t>hanges to regulatory settings and market design to optimise the way Australia’s energy markets provide energy services and supply to people.</w:t>
            </w:r>
          </w:p>
        </w:tc>
      </w:tr>
    </w:tbl>
    <w:p w14:paraId="2419A7DC" w14:textId="77777777" w:rsidR="001343DC" w:rsidRDefault="001343DC">
      <w:pPr>
        <w:spacing w:after="0" w:line="240" w:lineRule="auto"/>
        <w:rPr>
          <w:rFonts w:ascii="Calibri" w:eastAsiaTheme="minorEastAsia" w:hAnsi="Calibri"/>
          <w:bCs/>
          <w:color w:val="197C7D"/>
          <w:sz w:val="48"/>
          <w:lang w:eastAsia="ja-JP"/>
        </w:rPr>
      </w:pPr>
      <w:bookmarkStart w:id="192" w:name="_Toc160550424"/>
      <w:bookmarkStart w:id="193" w:name="_Toc160699621"/>
      <w:r>
        <w:br w:type="page"/>
      </w:r>
    </w:p>
    <w:p w14:paraId="2763FCEB" w14:textId="3BD98D97" w:rsidR="00185909" w:rsidRPr="00E268EC" w:rsidRDefault="00185909" w:rsidP="00F546C3">
      <w:pPr>
        <w:pStyle w:val="Heading2"/>
        <w:numPr>
          <w:ilvl w:val="0"/>
          <w:numId w:val="0"/>
        </w:numPr>
        <w:rPr>
          <w:sz w:val="56"/>
          <w:szCs w:val="24"/>
        </w:rPr>
      </w:pPr>
      <w:bookmarkStart w:id="194" w:name="_Toc161306058"/>
      <w:r w:rsidRPr="00E268EC">
        <w:lastRenderedPageBreak/>
        <w:t>Questions</w:t>
      </w:r>
      <w:bookmarkEnd w:id="192"/>
      <w:bookmarkEnd w:id="193"/>
      <w:bookmarkEnd w:id="194"/>
    </w:p>
    <w:p w14:paraId="41EA7F9D" w14:textId="51A56989" w:rsidR="00185909" w:rsidRPr="00210C08" w:rsidRDefault="00185909" w:rsidP="00185909">
      <w:r>
        <w:t xml:space="preserve">For more information on how to have your say, please go to </w:t>
      </w:r>
      <w:hyperlink r:id="rId29" w:history="1">
        <w:r w:rsidR="000729FD" w:rsidRPr="00210C08">
          <w:rPr>
            <w:rStyle w:val="Hyperlink"/>
          </w:rPr>
          <w:t>consult.dcceew.gov.au</w:t>
        </w:r>
      </w:hyperlink>
      <w:r w:rsidRPr="00CF7D15">
        <w:t>.</w:t>
      </w:r>
      <w:r w:rsidRPr="00210C08">
        <w:t xml:space="preserve"> </w:t>
      </w:r>
    </w:p>
    <w:p w14:paraId="5C2E855F" w14:textId="4036E6C9" w:rsidR="00185909" w:rsidRDefault="00185909" w:rsidP="00CF7D15">
      <w:r w:rsidRPr="00210C08">
        <w:t>Submi</w:t>
      </w:r>
      <w:r>
        <w:t xml:space="preserve">ssions will close on </w:t>
      </w:r>
      <w:r w:rsidR="004B37EE" w:rsidRPr="00C52F53">
        <w:t xml:space="preserve">AEDT 5pm </w:t>
      </w:r>
      <w:r w:rsidR="004B37EE" w:rsidRPr="00B141BC">
        <w:t>12 April 2024</w:t>
      </w:r>
      <w:r w:rsidRPr="00C259CD">
        <w:t>.</w:t>
      </w:r>
      <w:r>
        <w:t xml:space="preserve"> </w:t>
      </w:r>
    </w:p>
    <w:p w14:paraId="3389D702" w14:textId="3B55DD7F" w:rsidR="00DC11B2" w:rsidRPr="00DA11E2" w:rsidRDefault="00185909" w:rsidP="00185909">
      <w:r>
        <w:t xml:space="preserve">Further stakeholder engagement opportunities will be communicated through </w:t>
      </w:r>
      <w:hyperlink r:id="rId30" w:history="1">
        <w:r w:rsidR="000729FD" w:rsidRPr="00210C08">
          <w:rPr>
            <w:rStyle w:val="Hyperlink"/>
          </w:rPr>
          <w:t>consult.dcceew.gov.au</w:t>
        </w:r>
      </w:hyperlink>
      <w:r w:rsidRPr="00210C08">
        <w:t>.</w:t>
      </w:r>
      <w:r>
        <w:t xml:space="preserve"> </w:t>
      </w:r>
    </w:p>
    <w:tbl>
      <w:tblPr>
        <w:tblStyle w:val="TableGrid"/>
        <w:tblW w:w="9134" w:type="dxa"/>
        <w:tblLook w:val="04A0" w:firstRow="1" w:lastRow="0" w:firstColumn="1" w:lastColumn="0" w:noHBand="0" w:noVBand="1"/>
      </w:tblPr>
      <w:tblGrid>
        <w:gridCol w:w="9134"/>
      </w:tblGrid>
      <w:tr w:rsidR="00185909" w14:paraId="2F8A37A0" w14:textId="77777777" w:rsidTr="00B141BC">
        <w:tc>
          <w:tcPr>
            <w:tcW w:w="9134" w:type="dxa"/>
            <w:tcBorders>
              <w:top w:val="nil"/>
              <w:left w:val="nil"/>
              <w:bottom w:val="nil"/>
              <w:right w:val="nil"/>
            </w:tcBorders>
            <w:shd w:val="clear" w:color="auto" w:fill="D8F2EE" w:themeFill="accent2" w:themeFillTint="33"/>
          </w:tcPr>
          <w:p w14:paraId="09F0CBE7" w14:textId="1BCF5144" w:rsidR="00185909" w:rsidRDefault="00185909" w:rsidP="00E268EC">
            <w:r w:rsidRPr="0056081D">
              <w:rPr>
                <w:b/>
                <w:bCs/>
                <w:sz w:val="28"/>
                <w:szCs w:val="28"/>
              </w:rPr>
              <w:t xml:space="preserve">Seeking your views: </w:t>
            </w:r>
            <w:r w:rsidR="00CD517C">
              <w:rPr>
                <w:b/>
                <w:bCs/>
                <w:sz w:val="28"/>
                <w:szCs w:val="28"/>
              </w:rPr>
              <w:t>D</w:t>
            </w:r>
            <w:r w:rsidRPr="006C31D2">
              <w:rPr>
                <w:b/>
                <w:bCs/>
                <w:sz w:val="28"/>
                <w:szCs w:val="28"/>
              </w:rPr>
              <w:t>iscussion pape</w:t>
            </w:r>
            <w:r>
              <w:rPr>
                <w:b/>
                <w:bCs/>
                <w:sz w:val="28"/>
                <w:szCs w:val="28"/>
              </w:rPr>
              <w:t xml:space="preserve">r </w:t>
            </w:r>
            <w:r w:rsidRPr="0056081D">
              <w:rPr>
                <w:b/>
                <w:bCs/>
                <w:sz w:val="28"/>
                <w:szCs w:val="28"/>
              </w:rPr>
              <w:t>questions</w:t>
            </w:r>
          </w:p>
          <w:p w14:paraId="75CB0F57" w14:textId="64668BBD" w:rsidR="00185909" w:rsidRPr="00DA11E2" w:rsidRDefault="00185909" w:rsidP="00E268EC">
            <w:pPr>
              <w:rPr>
                <w:b/>
              </w:rPr>
            </w:pPr>
            <w:r w:rsidRPr="00CF6F10">
              <w:rPr>
                <w:b/>
                <w:bCs/>
              </w:rPr>
              <w:t>Mobilising investment</w:t>
            </w:r>
            <w:r w:rsidR="00B5523E">
              <w:rPr>
                <w:b/>
                <w:bCs/>
              </w:rPr>
              <w:t xml:space="preserve"> to transform energy</w:t>
            </w:r>
          </w:p>
          <w:p w14:paraId="0A18862D" w14:textId="76319207" w:rsidR="00185909" w:rsidRPr="00F37183" w:rsidDel="0047344C" w:rsidRDefault="00185909" w:rsidP="00B141BC">
            <w:pPr>
              <w:pStyle w:val="ListBullet"/>
              <w:numPr>
                <w:ilvl w:val="0"/>
                <w:numId w:val="56"/>
              </w:numPr>
              <w:spacing w:after="240"/>
            </w:pPr>
            <w:r w:rsidRPr="00F37183" w:rsidDel="0047344C">
              <w:t xml:space="preserve">What actions are needed to attract the required large scale private capital and household investment in the energy </w:t>
            </w:r>
            <w:r w:rsidR="0087300E" w:rsidRPr="00F37183">
              <w:t>transformation</w:t>
            </w:r>
            <w:r w:rsidRPr="00F37183" w:rsidDel="0047344C">
              <w:t>, with or without government intervention?</w:t>
            </w:r>
          </w:p>
          <w:p w14:paraId="69E032B4" w14:textId="77777777" w:rsidR="00185909" w:rsidRPr="00AC0BB6" w:rsidRDefault="00185909" w:rsidP="00E268EC">
            <w:r w:rsidRPr="00AC0BB6">
              <w:t>When providing feedback</w:t>
            </w:r>
            <w:r>
              <w:t>,</w:t>
            </w:r>
            <w:r w:rsidRPr="00AC0BB6">
              <w:t xml:space="preserve"> you may wish to comment on:</w:t>
            </w:r>
          </w:p>
          <w:p w14:paraId="590612BC" w14:textId="39BD7456" w:rsidR="00185909" w:rsidRPr="00276204" w:rsidRDefault="00BE0CD5" w:rsidP="00B141BC">
            <w:pPr>
              <w:pStyle w:val="ListBullet"/>
            </w:pPr>
            <w:r>
              <w:t>t</w:t>
            </w:r>
            <w:r w:rsidR="00185909" w:rsidRPr="00276204">
              <w:t xml:space="preserve">he role of the Commonwealth, state and territory governments, private sector, foreign private </w:t>
            </w:r>
            <w:proofErr w:type="gramStart"/>
            <w:r w:rsidR="00185909" w:rsidRPr="00276204">
              <w:t>investment</w:t>
            </w:r>
            <w:proofErr w:type="gramEnd"/>
            <w:r w:rsidR="00185909" w:rsidRPr="00276204">
              <w:t xml:space="preserve"> and households for investing in the energy </w:t>
            </w:r>
            <w:r w:rsidR="0087300E" w:rsidRPr="0087300E">
              <w:t>transformation</w:t>
            </w:r>
          </w:p>
          <w:p w14:paraId="59098CFD" w14:textId="055D39FF" w:rsidR="00185909" w:rsidRPr="00276204" w:rsidRDefault="00BE0CD5" w:rsidP="00B141BC">
            <w:pPr>
              <w:pStyle w:val="ListBullet"/>
            </w:pPr>
            <w:r>
              <w:t>c</w:t>
            </w:r>
            <w:r w:rsidR="00185909" w:rsidRPr="00276204">
              <w:t>omponents of wholesale electricity markets and supporting energy markets that need to change to facilitate efficient investment in clean energy technologies</w:t>
            </w:r>
            <w:r w:rsidR="00185909">
              <w:t xml:space="preserve"> to 2050</w:t>
            </w:r>
          </w:p>
          <w:p w14:paraId="5E72A5D1" w14:textId="19EF4017" w:rsidR="00185909" w:rsidRPr="00276204" w:rsidRDefault="00BE0CD5" w:rsidP="00B141BC">
            <w:pPr>
              <w:pStyle w:val="ListBullet"/>
            </w:pPr>
            <w:r>
              <w:t>s</w:t>
            </w:r>
            <w:r w:rsidR="00185909" w:rsidRPr="00276204">
              <w:t>uggestions for supporting efficient investment in renewable generation and storage</w:t>
            </w:r>
          </w:p>
          <w:p w14:paraId="6F502FF2" w14:textId="187E4191" w:rsidR="00185909" w:rsidRDefault="00BE0CD5" w:rsidP="00B141BC">
            <w:pPr>
              <w:pStyle w:val="ListBullet"/>
            </w:pPr>
            <w:r>
              <w:t>b</w:t>
            </w:r>
            <w:r w:rsidR="00185909">
              <w:t>arriers and solutions for overcoming investment barriers</w:t>
            </w:r>
          </w:p>
          <w:p w14:paraId="724C3BC4" w14:textId="033A6684" w:rsidR="00185909" w:rsidRDefault="00BE0CD5" w:rsidP="00B141BC">
            <w:pPr>
              <w:pStyle w:val="ListBullet"/>
            </w:pPr>
            <w:r>
              <w:t>k</w:t>
            </w:r>
            <w:r w:rsidR="00185909" w:rsidRPr="00F2499B">
              <w:t xml:space="preserve">ey </w:t>
            </w:r>
            <w:r w:rsidR="00185909">
              <w:t xml:space="preserve">immediate </w:t>
            </w:r>
            <w:r w:rsidR="00185909" w:rsidRPr="00F2499B">
              <w:t xml:space="preserve">actions required from the Australian Government </w:t>
            </w:r>
            <w:r w:rsidR="00185909">
              <w:t>support the transition</w:t>
            </w:r>
          </w:p>
          <w:p w14:paraId="070837C8" w14:textId="6441B0CE" w:rsidR="00964066" w:rsidRDefault="00BF05F8" w:rsidP="00267127">
            <w:pPr>
              <w:pStyle w:val="ListBullet"/>
            </w:pPr>
            <w:r>
              <w:t xml:space="preserve">the </w:t>
            </w:r>
            <w:r w:rsidR="00BE0CD5">
              <w:t>r</w:t>
            </w:r>
            <w:r w:rsidR="00185909" w:rsidRPr="00276204">
              <w:t>ole for managing energy supply and demand to meet uncertain net zero transition needs, including additional electricity demand from electrification and clean export industries</w:t>
            </w:r>
            <w:r w:rsidR="00185909">
              <w:t>.</w:t>
            </w:r>
          </w:p>
          <w:p w14:paraId="5ACD3C99" w14:textId="77777777" w:rsidR="00080256" w:rsidRPr="00276204" w:rsidRDefault="00080256" w:rsidP="00B141BC">
            <w:pPr>
              <w:pStyle w:val="ListBullet"/>
              <w:numPr>
                <w:ilvl w:val="0"/>
                <w:numId w:val="0"/>
              </w:numPr>
              <w:ind w:left="357" w:hanging="357"/>
            </w:pPr>
          </w:p>
          <w:p w14:paraId="1435B8E8" w14:textId="77777777" w:rsidR="00185909" w:rsidRPr="00CF6F10" w:rsidRDefault="00185909" w:rsidP="00E268EC">
            <w:pPr>
              <w:spacing w:before="160"/>
              <w:rPr>
                <w:b/>
                <w:bCs/>
              </w:rPr>
            </w:pPr>
            <w:r>
              <w:rPr>
                <w:b/>
                <w:bCs/>
              </w:rPr>
              <w:t>Enabling electrification for a smooth transition</w:t>
            </w:r>
          </w:p>
          <w:p w14:paraId="6C0358AC" w14:textId="77777777" w:rsidR="00185909" w:rsidRPr="0087492A" w:rsidRDefault="00185909" w:rsidP="00B141BC">
            <w:pPr>
              <w:pStyle w:val="ListBullet"/>
              <w:numPr>
                <w:ilvl w:val="0"/>
                <w:numId w:val="56"/>
              </w:numPr>
            </w:pPr>
            <w:r w:rsidRPr="0087492A">
              <w:t xml:space="preserve">What actions are required to ensure Australia’s energy systems can enable increased electrification, while maintaining equity, </w:t>
            </w:r>
            <w:proofErr w:type="gramStart"/>
            <w:r w:rsidRPr="0087492A">
              <w:t>reliability</w:t>
            </w:r>
            <w:proofErr w:type="gramEnd"/>
            <w:r w:rsidRPr="0087492A">
              <w:t xml:space="preserve"> and security? </w:t>
            </w:r>
          </w:p>
          <w:p w14:paraId="576DA7C2" w14:textId="77777777" w:rsidR="00185909" w:rsidRDefault="00185909" w:rsidP="00B141BC">
            <w:pPr>
              <w:pStyle w:val="ListBullet"/>
              <w:numPr>
                <w:ilvl w:val="0"/>
                <w:numId w:val="56"/>
              </w:numPr>
            </w:pPr>
            <w:r w:rsidRPr="00F2499B">
              <w:t xml:space="preserve">What insights do you have on the pace, </w:t>
            </w:r>
            <w:proofErr w:type="gramStart"/>
            <w:r w:rsidRPr="00F2499B">
              <w:t>scale</w:t>
            </w:r>
            <w:proofErr w:type="gramEnd"/>
            <w:r w:rsidRPr="00F2499B">
              <w:t xml:space="preserve"> and location of electrification, and how to embed this in system planning?</w:t>
            </w:r>
          </w:p>
          <w:p w14:paraId="24C99F43" w14:textId="77777777" w:rsidR="00185909" w:rsidRDefault="00185909" w:rsidP="00B141BC">
            <w:pPr>
              <w:pStyle w:val="ListBullet"/>
              <w:numPr>
                <w:ilvl w:val="0"/>
                <w:numId w:val="56"/>
              </w:numPr>
              <w:spacing w:after="240"/>
            </w:pPr>
            <w:r>
              <w:t xml:space="preserve">How can electrification efforts be sequenced to align with expansion of electricity generation and network capacity?  </w:t>
            </w:r>
          </w:p>
          <w:p w14:paraId="65EF8263" w14:textId="77777777" w:rsidR="00185909" w:rsidRPr="00276204" w:rsidRDefault="00185909" w:rsidP="00E268EC">
            <w:r w:rsidRPr="00AC0BB6">
              <w:t>When providing feedback</w:t>
            </w:r>
            <w:r>
              <w:t>,</w:t>
            </w:r>
            <w:r w:rsidRPr="00AC0BB6">
              <w:t xml:space="preserve"> you may wish to comment on:</w:t>
            </w:r>
          </w:p>
          <w:p w14:paraId="306A00E2" w14:textId="636CF898" w:rsidR="00185909" w:rsidRDefault="00BE0CD5" w:rsidP="00B141BC">
            <w:pPr>
              <w:pStyle w:val="ListBullet"/>
            </w:pPr>
            <w:r>
              <w:t>b</w:t>
            </w:r>
            <w:r w:rsidR="00185909">
              <w:t xml:space="preserve">arriers to electrification and additional measures needed to meet the required pace and scale of electrification </w:t>
            </w:r>
          </w:p>
          <w:p w14:paraId="6DB0ADAC" w14:textId="4C6AC7AC" w:rsidR="00185909" w:rsidRDefault="00BE0CD5" w:rsidP="00B141BC">
            <w:pPr>
              <w:pStyle w:val="ListBullet"/>
            </w:pPr>
            <w:r>
              <w:t>s</w:t>
            </w:r>
            <w:r w:rsidR="00185909">
              <w:t xml:space="preserve">ystem improvements to enable electrification across the economy – including increased smart electrification and demand flexibility </w:t>
            </w:r>
          </w:p>
          <w:p w14:paraId="5B823B26" w14:textId="033ACE77" w:rsidR="00185909" w:rsidRDefault="00BE0CD5" w:rsidP="00267127">
            <w:pPr>
              <w:pStyle w:val="ListBullet"/>
            </w:pPr>
            <w:r>
              <w:t>t</w:t>
            </w:r>
            <w:r w:rsidR="00185909">
              <w:t>he role of the Australian, state, and territory governments to support electrification.</w:t>
            </w:r>
          </w:p>
          <w:p w14:paraId="2E240F66" w14:textId="77777777" w:rsidR="00185909" w:rsidRPr="00CF6F10" w:rsidRDefault="00185909" w:rsidP="00E268EC">
            <w:pPr>
              <w:rPr>
                <w:b/>
                <w:bCs/>
              </w:rPr>
            </w:pPr>
            <w:r>
              <w:rPr>
                <w:b/>
                <w:bCs/>
              </w:rPr>
              <w:lastRenderedPageBreak/>
              <w:t>Growing alternative low carbon fuels</w:t>
            </w:r>
          </w:p>
          <w:p w14:paraId="386F99CA" w14:textId="77777777" w:rsidR="00185909" w:rsidRPr="00F37183" w:rsidRDefault="00185909" w:rsidP="00B141BC">
            <w:pPr>
              <w:pStyle w:val="ListBullet"/>
              <w:numPr>
                <w:ilvl w:val="0"/>
                <w:numId w:val="56"/>
              </w:numPr>
            </w:pPr>
            <w:r w:rsidRPr="00F37183">
              <w:t xml:space="preserve">What policy settings and certainty are required to support a fair, equitable and orderly transition for the decarbonisation of both natural gas and liquid fuels? </w:t>
            </w:r>
          </w:p>
          <w:p w14:paraId="2C6BBD24" w14:textId="77777777" w:rsidR="00185909" w:rsidRPr="00F2499B" w:rsidRDefault="00185909" w:rsidP="00B141BC">
            <w:pPr>
              <w:pStyle w:val="ListBullet"/>
              <w:numPr>
                <w:ilvl w:val="0"/>
                <w:numId w:val="56"/>
              </w:numPr>
            </w:pPr>
            <w:r w:rsidRPr="00F2499B">
              <w:t xml:space="preserve">What </w:t>
            </w:r>
            <w:r>
              <w:t>actions are</w:t>
            </w:r>
            <w:r w:rsidRPr="00F2499B">
              <w:t xml:space="preserve"> required to establish low carbon fuel industries in Australia</w:t>
            </w:r>
            <w:r>
              <w:t>, including enabling supply and demand, and what are the most prospective production pathways</w:t>
            </w:r>
            <w:r w:rsidRPr="00F2499B">
              <w:t>?</w:t>
            </w:r>
          </w:p>
          <w:p w14:paraId="3C43D0FD" w14:textId="51695F00" w:rsidR="00185909" w:rsidRPr="001878C3" w:rsidRDefault="00185909" w:rsidP="00B141BC">
            <w:pPr>
              <w:pStyle w:val="ListBullet"/>
              <w:numPr>
                <w:ilvl w:val="0"/>
                <w:numId w:val="56"/>
              </w:numPr>
              <w:spacing w:after="240"/>
            </w:pPr>
            <w:r w:rsidRPr="00F2499B">
              <w:t>Are the proposed policy focus areas</w:t>
            </w:r>
            <w:r>
              <w:t xml:space="preserve"> </w:t>
            </w:r>
            <w:r w:rsidRPr="00F2499B">
              <w:t>for m</w:t>
            </w:r>
            <w:r w:rsidRPr="00695758">
              <w:t xml:space="preserve">anaging the liquid fuels transition (outlined in Section </w:t>
            </w:r>
            <w:r w:rsidR="00F37183" w:rsidRPr="00695758">
              <w:t xml:space="preserve">4 </w:t>
            </w:r>
            <w:r w:rsidRPr="00695758">
              <w:t>of the discussion paper) the correct areas to</w:t>
            </w:r>
            <w:r w:rsidRPr="00F2499B">
              <w:t xml:space="preserve"> focus on, and what is missing?</w:t>
            </w:r>
          </w:p>
          <w:p w14:paraId="10B55B9F" w14:textId="77777777" w:rsidR="00185909" w:rsidRPr="00AC0BB6" w:rsidRDefault="00185909" w:rsidP="00E268EC">
            <w:pPr>
              <w:keepNext/>
              <w:keepLines/>
              <w:spacing w:before="160"/>
            </w:pPr>
            <w:r w:rsidRPr="00AC0BB6">
              <w:t>When providing feedback</w:t>
            </w:r>
            <w:r>
              <w:t>,</w:t>
            </w:r>
            <w:r w:rsidRPr="00AC0BB6">
              <w:t xml:space="preserve"> you may wish to comment on:</w:t>
            </w:r>
          </w:p>
          <w:p w14:paraId="188890D8" w14:textId="77777777" w:rsidR="00185909" w:rsidRPr="00CF6F10" w:rsidRDefault="00185909" w:rsidP="00B141BC">
            <w:pPr>
              <w:keepNext/>
              <w:keepLines/>
              <w:spacing w:after="0"/>
              <w:rPr>
                <w:i/>
                <w:iCs/>
              </w:rPr>
            </w:pPr>
            <w:r w:rsidRPr="00CF6F10">
              <w:rPr>
                <w:i/>
                <w:iCs/>
              </w:rPr>
              <w:t>Gas</w:t>
            </w:r>
          </w:p>
          <w:p w14:paraId="4A297D25" w14:textId="494BB1CF" w:rsidR="00185909" w:rsidRDefault="00BE0CD5" w:rsidP="00B141BC">
            <w:pPr>
              <w:pStyle w:val="ListBullet"/>
            </w:pPr>
            <w:r>
              <w:t>c</w:t>
            </w:r>
            <w:r w:rsidR="00185909">
              <w:t xml:space="preserve">onsiderations for the role of gas to 2050, and how these </w:t>
            </w:r>
            <w:r>
              <w:t xml:space="preserve">should </w:t>
            </w:r>
            <w:r w:rsidR="00185909">
              <w:t>be balanced</w:t>
            </w:r>
          </w:p>
          <w:p w14:paraId="34B2C3A4" w14:textId="308E2BDA" w:rsidR="00185909" w:rsidRPr="00276204" w:rsidRDefault="00BE0CD5" w:rsidP="00B141BC">
            <w:pPr>
              <w:pStyle w:val="ListBullet"/>
            </w:pPr>
            <w:r>
              <w:t>c</w:t>
            </w:r>
            <w:r w:rsidR="00185909">
              <w:t>hallenges for ensuring the decarbonisation of gas in Australia is fair, equitable and orderly</w:t>
            </w:r>
          </w:p>
          <w:p w14:paraId="5D2CEEEE" w14:textId="11F18E29" w:rsidR="00185909" w:rsidRPr="00185909" w:rsidRDefault="00185909" w:rsidP="00B141BC">
            <w:pPr>
              <w:pStyle w:val="ListBullet"/>
              <w:spacing w:after="240"/>
            </w:pPr>
            <w:r>
              <w:t>Commonwealth, state and territory government policies and regulatory changes needed to manage the impact of transition on the gas industry and consumers, particularly vulnerable households, as gas use is decreased over time.</w:t>
            </w:r>
          </w:p>
          <w:p w14:paraId="1FD70637" w14:textId="77777777" w:rsidR="00185909" w:rsidRPr="00FA069C" w:rsidRDefault="00185909" w:rsidP="00185909">
            <w:pPr>
              <w:keepNext/>
              <w:keepLines/>
              <w:spacing w:after="0"/>
              <w:rPr>
                <w:i/>
                <w:iCs/>
              </w:rPr>
            </w:pPr>
            <w:r w:rsidRPr="00FA069C">
              <w:rPr>
                <w:i/>
                <w:iCs/>
              </w:rPr>
              <w:t>Liquid fuels</w:t>
            </w:r>
          </w:p>
          <w:p w14:paraId="4A98B0F2" w14:textId="647838AD" w:rsidR="00185909" w:rsidRPr="00185909" w:rsidRDefault="00BE0CD5" w:rsidP="00B141BC">
            <w:pPr>
              <w:pStyle w:val="ListBullet"/>
              <w:spacing w:after="240"/>
            </w:pPr>
            <w:r>
              <w:t>k</w:t>
            </w:r>
            <w:r w:rsidR="00185909">
              <w:t xml:space="preserve">ey risks for fuel security in the near, </w:t>
            </w:r>
            <w:proofErr w:type="gramStart"/>
            <w:r w:rsidR="00185909">
              <w:t>medium</w:t>
            </w:r>
            <w:proofErr w:type="gramEnd"/>
            <w:r w:rsidR="00185909">
              <w:t xml:space="preserve"> and long-term and policy actions required.</w:t>
            </w:r>
          </w:p>
          <w:p w14:paraId="5EC91758" w14:textId="77777777" w:rsidR="00185909" w:rsidRPr="00FA069C" w:rsidRDefault="00185909" w:rsidP="00185909">
            <w:pPr>
              <w:keepNext/>
              <w:keepLines/>
              <w:spacing w:after="0"/>
              <w:rPr>
                <w:i/>
                <w:iCs/>
              </w:rPr>
            </w:pPr>
            <w:r w:rsidRPr="00FA069C">
              <w:rPr>
                <w:i/>
                <w:iCs/>
              </w:rPr>
              <w:t>Low carbon fuels</w:t>
            </w:r>
          </w:p>
          <w:p w14:paraId="6391663B" w14:textId="27769F6D" w:rsidR="00185909" w:rsidRPr="00276204" w:rsidRDefault="00BE0CD5" w:rsidP="00B141BC">
            <w:pPr>
              <w:pStyle w:val="ListBullet"/>
            </w:pPr>
            <w:r>
              <w:t>b</w:t>
            </w:r>
            <w:r w:rsidR="00185909">
              <w:t xml:space="preserve">arriers and opportunities for building low carbon fuel industries (gaseous, </w:t>
            </w:r>
            <w:proofErr w:type="gramStart"/>
            <w:r w:rsidR="00185909">
              <w:t>liquid</w:t>
            </w:r>
            <w:proofErr w:type="gramEnd"/>
            <w:r w:rsidR="00185909">
              <w:t xml:space="preserve"> and solid), including for users and producers, and policies required across supply chains to drive low carbon fuel industries in the short, medium and long term</w:t>
            </w:r>
          </w:p>
          <w:p w14:paraId="5C0BC86A" w14:textId="79A7CAD3" w:rsidR="00185909" w:rsidRPr="00276204" w:rsidRDefault="00BE0CD5" w:rsidP="00B141BC">
            <w:pPr>
              <w:pStyle w:val="ListBullet"/>
            </w:pPr>
            <w:r>
              <w:t>t</w:t>
            </w:r>
            <w:r w:rsidR="00185909">
              <w:t xml:space="preserve">rade-offs and other uses for feedstocks, and where and when </w:t>
            </w:r>
            <w:proofErr w:type="gramStart"/>
            <w:r w:rsidR="00185909">
              <w:t>particular fuels</w:t>
            </w:r>
            <w:proofErr w:type="gramEnd"/>
            <w:r w:rsidR="00185909">
              <w:t xml:space="preserve"> should be prioritised. </w:t>
            </w:r>
          </w:p>
          <w:p w14:paraId="7E504B19" w14:textId="2292263E" w:rsidR="004B37EE" w:rsidRPr="006C7615" w:rsidRDefault="00BE0CD5" w:rsidP="00423C3D">
            <w:pPr>
              <w:pStyle w:val="ListBullet"/>
              <w:spacing w:after="240"/>
            </w:pPr>
            <w:r>
              <w:t>d</w:t>
            </w:r>
            <w:r w:rsidR="00185909">
              <w:t>ifferent fuel production pathways, including biogenic and synthetic, and how these will change over time.</w:t>
            </w:r>
          </w:p>
          <w:p w14:paraId="764A5336" w14:textId="77777777" w:rsidR="00423C3D" w:rsidRDefault="00423C3D" w:rsidP="00E268EC">
            <w:pPr>
              <w:rPr>
                <w:b/>
                <w:bCs/>
              </w:rPr>
            </w:pPr>
          </w:p>
          <w:p w14:paraId="50E6E0B4" w14:textId="2A0754BB" w:rsidR="00185909" w:rsidRPr="00CF6F10" w:rsidRDefault="00185909" w:rsidP="00E268EC">
            <w:pPr>
              <w:rPr>
                <w:b/>
                <w:bCs/>
              </w:rPr>
            </w:pPr>
            <w:r>
              <w:rPr>
                <w:b/>
                <w:bCs/>
              </w:rPr>
              <w:t xml:space="preserve">Building </w:t>
            </w:r>
            <w:r w:rsidR="002B3B6D">
              <w:rPr>
                <w:b/>
                <w:bCs/>
              </w:rPr>
              <w:t>Australia’s</w:t>
            </w:r>
            <w:r w:rsidR="002B3B6D" w:rsidRPr="00CF6F10">
              <w:rPr>
                <w:b/>
                <w:bCs/>
              </w:rPr>
              <w:t xml:space="preserve"> </w:t>
            </w:r>
            <w:r w:rsidRPr="00CF6F10">
              <w:rPr>
                <w:b/>
                <w:bCs/>
              </w:rPr>
              <w:t xml:space="preserve">clean energy workforce </w:t>
            </w:r>
          </w:p>
          <w:p w14:paraId="444743DD" w14:textId="58C8DDD2" w:rsidR="00185909" w:rsidRPr="0087492A" w:rsidRDefault="00185909" w:rsidP="00B141BC">
            <w:pPr>
              <w:pStyle w:val="ListBullet"/>
              <w:numPr>
                <w:ilvl w:val="0"/>
                <w:numId w:val="56"/>
              </w:numPr>
              <w:spacing w:after="240"/>
            </w:pPr>
            <w:r w:rsidRPr="0087492A">
              <w:t xml:space="preserve">What actions are required to ensure workforce requirements for the energy </w:t>
            </w:r>
            <w:r w:rsidR="0087300E" w:rsidRPr="0087300E">
              <w:t>transformation</w:t>
            </w:r>
            <w:r w:rsidR="0087300E">
              <w:t xml:space="preserve"> </w:t>
            </w:r>
            <w:r w:rsidRPr="0087492A">
              <w:t>are met, while supporting equitable outcomes?</w:t>
            </w:r>
          </w:p>
          <w:p w14:paraId="7D035364" w14:textId="77777777" w:rsidR="00185909" w:rsidRPr="00276204" w:rsidRDefault="00185909" w:rsidP="00E268EC">
            <w:r w:rsidRPr="00276204">
              <w:t xml:space="preserve">When providing </w:t>
            </w:r>
            <w:proofErr w:type="gramStart"/>
            <w:r w:rsidRPr="00276204">
              <w:t>feedback</w:t>
            </w:r>
            <w:proofErr w:type="gramEnd"/>
            <w:r w:rsidRPr="00276204">
              <w:t xml:space="preserve"> you may wish to comment on:</w:t>
            </w:r>
          </w:p>
          <w:p w14:paraId="03A328EE" w14:textId="781405BF" w:rsidR="00185909" w:rsidRPr="00276204" w:rsidRDefault="00BE0CD5" w:rsidP="00B141BC">
            <w:pPr>
              <w:pStyle w:val="ListBullet"/>
            </w:pPr>
            <w:r>
              <w:t>k</w:t>
            </w:r>
            <w:r w:rsidR="00185909">
              <w:t>ey specialist skills that need to be supported</w:t>
            </w:r>
          </w:p>
          <w:p w14:paraId="2565E0D8" w14:textId="6D34916A" w:rsidR="00185909" w:rsidRPr="00276204" w:rsidRDefault="00BE0CD5" w:rsidP="00B141BC">
            <w:pPr>
              <w:pStyle w:val="ListBullet"/>
            </w:pPr>
            <w:r>
              <w:t>b</w:t>
            </w:r>
            <w:r w:rsidR="00185909">
              <w:t>arriers and opportunities for recruiting and retaining skilled workers, including First Nations Australians and women</w:t>
            </w:r>
          </w:p>
          <w:p w14:paraId="506F82A7" w14:textId="7AD86709" w:rsidR="00185909" w:rsidRPr="00276204" w:rsidRDefault="00BE0CD5" w:rsidP="00B141BC">
            <w:pPr>
              <w:pStyle w:val="ListBullet"/>
            </w:pPr>
            <w:r>
              <w:t>o</w:t>
            </w:r>
            <w:r w:rsidR="00185909">
              <w:t>pportunities for regional workforce and workers in fossil fuel industries</w:t>
            </w:r>
          </w:p>
          <w:p w14:paraId="11A9BE44" w14:textId="01B6032E" w:rsidR="00964066" w:rsidRDefault="00185909" w:rsidP="00267127">
            <w:pPr>
              <w:pStyle w:val="ListBullet"/>
            </w:pPr>
            <w:r>
              <w:t>Considerations for upskilling and reskilling the existing energy workforce.</w:t>
            </w:r>
          </w:p>
          <w:p w14:paraId="1B4F628C" w14:textId="60605ED7" w:rsidR="00185909" w:rsidRPr="00CF6F10" w:rsidRDefault="006A59FA" w:rsidP="00E268EC">
            <w:pPr>
              <w:rPr>
                <w:b/>
                <w:bCs/>
              </w:rPr>
            </w:pPr>
            <w:r>
              <w:rPr>
                <w:b/>
                <w:bCs/>
              </w:rPr>
              <w:lastRenderedPageBreak/>
              <w:t>Maximising</w:t>
            </w:r>
            <w:r w:rsidR="00185909" w:rsidRPr="537BCA76">
              <w:rPr>
                <w:b/>
                <w:bCs/>
              </w:rPr>
              <w:t xml:space="preserve"> outcomes for</w:t>
            </w:r>
            <w:r w:rsidR="00185909" w:rsidRPr="00CF6F10">
              <w:rPr>
                <w:b/>
                <w:bCs/>
              </w:rPr>
              <w:t xml:space="preserve"> </w:t>
            </w:r>
            <w:r w:rsidR="00185909" w:rsidRPr="537BCA76">
              <w:rPr>
                <w:b/>
                <w:bCs/>
              </w:rPr>
              <w:t xml:space="preserve">people </w:t>
            </w:r>
            <w:r w:rsidR="00185909">
              <w:rPr>
                <w:b/>
                <w:bCs/>
              </w:rPr>
              <w:t>and businesses</w:t>
            </w:r>
          </w:p>
          <w:p w14:paraId="4F844E8E" w14:textId="6C2348BA" w:rsidR="00185909" w:rsidRPr="0087492A" w:rsidRDefault="00185909" w:rsidP="00B141BC">
            <w:pPr>
              <w:pStyle w:val="ListBullet"/>
              <w:numPr>
                <w:ilvl w:val="0"/>
                <w:numId w:val="56"/>
              </w:numPr>
            </w:pPr>
            <w:r w:rsidRPr="0087492A">
              <w:t xml:space="preserve">What actions are required to ensure better energy outcomes for people and businesses, and maximise their benefit from the energy </w:t>
            </w:r>
            <w:r w:rsidR="0087300E" w:rsidRPr="0087300E">
              <w:t>transformation</w:t>
            </w:r>
            <w:r w:rsidRPr="0087492A">
              <w:t>?</w:t>
            </w:r>
          </w:p>
          <w:p w14:paraId="21C6722F" w14:textId="20A9F39F" w:rsidR="00185909" w:rsidRDefault="00185909" w:rsidP="00B141BC">
            <w:pPr>
              <w:pStyle w:val="ListBullet"/>
              <w:numPr>
                <w:ilvl w:val="0"/>
                <w:numId w:val="56"/>
              </w:numPr>
              <w:spacing w:after="240"/>
            </w:pPr>
            <w:r w:rsidRPr="00F2499B">
              <w:t xml:space="preserve">What </w:t>
            </w:r>
            <w:r>
              <w:t>social licence</w:t>
            </w:r>
            <w:r w:rsidRPr="00F2499B">
              <w:t xml:space="preserve"> and circular economy </w:t>
            </w:r>
            <w:r>
              <w:t xml:space="preserve">aspects should be considered as part of the pathway for the energy </w:t>
            </w:r>
            <w:r w:rsidR="0087300E" w:rsidRPr="0087300E">
              <w:t>transformation</w:t>
            </w:r>
            <w:r w:rsidRPr="00F2499B">
              <w:t>?</w:t>
            </w:r>
          </w:p>
          <w:p w14:paraId="55172B52" w14:textId="77777777" w:rsidR="00185909" w:rsidRPr="00276204" w:rsidRDefault="00185909" w:rsidP="00E268EC">
            <w:r w:rsidRPr="00276204">
              <w:t xml:space="preserve">When providing </w:t>
            </w:r>
            <w:proofErr w:type="gramStart"/>
            <w:r w:rsidRPr="00276204">
              <w:t>feedback</w:t>
            </w:r>
            <w:proofErr w:type="gramEnd"/>
            <w:r w:rsidRPr="00276204">
              <w:t xml:space="preserve"> you may wish to comment on:</w:t>
            </w:r>
          </w:p>
          <w:p w14:paraId="74E5D61B" w14:textId="20C45030" w:rsidR="00185909" w:rsidRPr="00276204" w:rsidRDefault="00BE0CD5" w:rsidP="00B141BC">
            <w:pPr>
              <w:pStyle w:val="ListBullet"/>
            </w:pPr>
            <w:r>
              <w:t>b</w:t>
            </w:r>
            <w:r w:rsidR="00185909">
              <w:t xml:space="preserve">arriers and solutions to Australia’s energy markets providing optimal energy outcomes for people from the energy </w:t>
            </w:r>
            <w:r w:rsidR="0087300E" w:rsidRPr="0087300E">
              <w:t>transformation</w:t>
            </w:r>
            <w:r w:rsidR="00185909">
              <w:t>, including household consumer energy resources and electrification</w:t>
            </w:r>
          </w:p>
          <w:p w14:paraId="3053CA89" w14:textId="40601091" w:rsidR="00185909" w:rsidRPr="00276204" w:rsidRDefault="00BE0CD5" w:rsidP="00B141BC">
            <w:pPr>
              <w:pStyle w:val="ListBullet"/>
            </w:pPr>
            <w:r>
              <w:t>n</w:t>
            </w:r>
            <w:r w:rsidR="00185909">
              <w:t>eeds for different segments of the community, e.g. first nations and people experiencing vulnerability or hardship, that would require bespoke policy focus</w:t>
            </w:r>
          </w:p>
          <w:p w14:paraId="198DC602" w14:textId="7DB466D7" w:rsidR="00185909" w:rsidRPr="00276204" w:rsidRDefault="00BE0CD5" w:rsidP="00B141BC">
            <w:pPr>
              <w:pStyle w:val="ListBullet"/>
            </w:pPr>
            <w:r>
              <w:t>g</w:t>
            </w:r>
            <w:r w:rsidR="00185909">
              <w:t>aps and additional measures in the Australian Government’s existing actions for helping people manage energy costs and utilise support</w:t>
            </w:r>
          </w:p>
          <w:p w14:paraId="02220B57" w14:textId="3431D03C" w:rsidR="00964066" w:rsidRDefault="00BE0CD5" w:rsidP="00267127">
            <w:pPr>
              <w:pStyle w:val="ListBullet"/>
            </w:pPr>
            <w:r>
              <w:t>c</w:t>
            </w:r>
            <w:r w:rsidR="00185909">
              <w:t>hanges to regulatory settings and market design to optimise the way Australia’s energy markets provide energy services and supply to people.</w:t>
            </w:r>
          </w:p>
          <w:p w14:paraId="4B348533" w14:textId="77777777" w:rsidR="00080256" w:rsidRDefault="00080256" w:rsidP="00B141BC">
            <w:pPr>
              <w:pStyle w:val="ListBullet"/>
              <w:numPr>
                <w:ilvl w:val="0"/>
                <w:numId w:val="0"/>
              </w:numPr>
              <w:ind w:left="357" w:hanging="357"/>
            </w:pPr>
          </w:p>
          <w:p w14:paraId="09E1F437" w14:textId="77777777" w:rsidR="00185909" w:rsidRPr="00CF6F10" w:rsidRDefault="00185909" w:rsidP="00E268EC">
            <w:pPr>
              <w:rPr>
                <w:b/>
                <w:bCs/>
              </w:rPr>
            </w:pPr>
            <w:r w:rsidRPr="00CF6F10">
              <w:rPr>
                <w:b/>
                <w:bCs/>
              </w:rPr>
              <w:t>Other</w:t>
            </w:r>
          </w:p>
          <w:p w14:paraId="2C576353" w14:textId="19BB22D8" w:rsidR="00185909" w:rsidRPr="0087492A" w:rsidRDefault="00185909" w:rsidP="00B141BC">
            <w:pPr>
              <w:pStyle w:val="ListBullet"/>
              <w:numPr>
                <w:ilvl w:val="0"/>
                <w:numId w:val="56"/>
              </w:numPr>
              <w:spacing w:after="240"/>
            </w:pPr>
            <w:r w:rsidRPr="0087492A">
              <w:t>What are other gaps in Australia’s energy sector decarbonisation policy and what actions are required to address them?</w:t>
            </w:r>
          </w:p>
        </w:tc>
      </w:tr>
    </w:tbl>
    <w:p w14:paraId="5855F7BF" w14:textId="09B4CDDA" w:rsidR="00764D6A" w:rsidRDefault="00764D6A" w:rsidP="00DF5E43">
      <w:pPr>
        <w:spacing w:after="0" w:line="240" w:lineRule="auto"/>
        <w:rPr>
          <w:lang w:eastAsia="ja-JP"/>
        </w:rPr>
        <w:sectPr w:rsidR="00764D6A" w:rsidSect="00AD6895">
          <w:headerReference w:type="default" r:id="rId31"/>
          <w:footerReference w:type="default" r:id="rId32"/>
          <w:headerReference w:type="first" r:id="rId33"/>
          <w:pgSz w:w="11906" w:h="16838"/>
          <w:pgMar w:top="1418" w:right="1418" w:bottom="1418" w:left="1418" w:header="567" w:footer="283" w:gutter="0"/>
          <w:pgNumType w:start="1"/>
          <w:cols w:space="708"/>
          <w:docGrid w:linePitch="360"/>
        </w:sectPr>
      </w:pPr>
    </w:p>
    <w:p w14:paraId="465F619B" w14:textId="15FCD858" w:rsidR="00764D6A" w:rsidRPr="00EF5B44" w:rsidRDefault="00E91D72" w:rsidP="00F546C3">
      <w:pPr>
        <w:pStyle w:val="Heading2"/>
        <w:numPr>
          <w:ilvl w:val="0"/>
          <w:numId w:val="0"/>
        </w:numPr>
        <w:rPr>
          <w:rStyle w:val="SubtleEmphasis"/>
          <w:i w:val="0"/>
          <w:iCs w:val="0"/>
          <w:color w:val="197C7D"/>
        </w:rPr>
      </w:pPr>
      <w:bookmarkStart w:id="195" w:name="_Toc430782161"/>
      <w:bookmarkStart w:id="196" w:name="_Toc161306059"/>
      <w:r w:rsidRPr="00EF5B44">
        <w:rPr>
          <w:rStyle w:val="SubtleEmphasis"/>
          <w:i w:val="0"/>
          <w:iCs w:val="0"/>
          <w:color w:val="197C7D"/>
        </w:rPr>
        <w:lastRenderedPageBreak/>
        <w:t>Glossary</w:t>
      </w:r>
      <w:bookmarkEnd w:id="195"/>
      <w:bookmarkEnd w:id="196"/>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14:paraId="4117B110" w14:textId="77777777" w:rsidTr="00FE64BC">
        <w:trPr>
          <w:cantSplit/>
          <w:tblHeader/>
        </w:trPr>
        <w:tc>
          <w:tcPr>
            <w:tcW w:w="1250" w:type="pct"/>
            <w:tcMar>
              <w:left w:w="108" w:type="dxa"/>
              <w:right w:w="108" w:type="dxa"/>
            </w:tcMar>
          </w:tcPr>
          <w:p w14:paraId="543064C7" w14:textId="4DD4507D" w:rsidR="00FE64BC" w:rsidRPr="00FE64BC" w:rsidRDefault="002557DA" w:rsidP="00FE64BC">
            <w:pPr>
              <w:pStyle w:val="TableHeading"/>
            </w:pPr>
            <w:bookmarkStart w:id="197" w:name="Title_Glossary"/>
            <w:bookmarkEnd w:id="197"/>
            <w:r>
              <w:t>Acronym</w:t>
            </w:r>
          </w:p>
        </w:tc>
        <w:tc>
          <w:tcPr>
            <w:tcW w:w="3750" w:type="pct"/>
            <w:tcMar>
              <w:left w:w="108" w:type="dxa"/>
              <w:right w:w="108" w:type="dxa"/>
            </w:tcMar>
          </w:tcPr>
          <w:p w14:paraId="5F970E97" w14:textId="77777777" w:rsidR="00FE64BC" w:rsidRPr="00FE64BC" w:rsidRDefault="00FE64BC" w:rsidP="00FE64BC">
            <w:pPr>
              <w:pStyle w:val="TableHeading"/>
            </w:pPr>
            <w:r w:rsidRPr="00FE64BC">
              <w:t>Definition</w:t>
            </w:r>
          </w:p>
        </w:tc>
      </w:tr>
      <w:tr w:rsidR="00ED6D48" w14:paraId="1A13B918" w14:textId="77777777" w:rsidTr="00FE64BC">
        <w:tc>
          <w:tcPr>
            <w:tcW w:w="1250" w:type="pct"/>
            <w:tcMar>
              <w:left w:w="108" w:type="dxa"/>
              <w:right w:w="108" w:type="dxa"/>
            </w:tcMar>
          </w:tcPr>
          <w:p w14:paraId="63B3E13A" w14:textId="693F65FB" w:rsidR="00ED6D48" w:rsidRDefault="00ED6D48" w:rsidP="00FE64BC">
            <w:pPr>
              <w:pStyle w:val="TableText"/>
            </w:pPr>
            <w:r>
              <w:t>ACCC</w:t>
            </w:r>
          </w:p>
        </w:tc>
        <w:tc>
          <w:tcPr>
            <w:tcW w:w="3750" w:type="pct"/>
            <w:tcMar>
              <w:left w:w="108" w:type="dxa"/>
              <w:right w:w="108" w:type="dxa"/>
            </w:tcMar>
          </w:tcPr>
          <w:p w14:paraId="06D45028" w14:textId="10F02D3B" w:rsidR="00ED6D48" w:rsidRDefault="00ED6D48" w:rsidP="00FE64BC">
            <w:pPr>
              <w:pStyle w:val="TableText"/>
            </w:pPr>
            <w:r>
              <w:t xml:space="preserve">Australian Competition </w:t>
            </w:r>
            <w:r w:rsidR="0036351B">
              <w:t>and Consumer Commission</w:t>
            </w:r>
          </w:p>
        </w:tc>
      </w:tr>
      <w:tr w:rsidR="00661BBA" w14:paraId="665EFB30" w14:textId="77777777" w:rsidTr="00FE64BC">
        <w:tc>
          <w:tcPr>
            <w:tcW w:w="1250" w:type="pct"/>
            <w:tcMar>
              <w:left w:w="108" w:type="dxa"/>
              <w:right w:w="108" w:type="dxa"/>
            </w:tcMar>
          </w:tcPr>
          <w:p w14:paraId="3E85A1BB" w14:textId="75C4BC52" w:rsidR="00661BBA" w:rsidRDefault="00661BBA" w:rsidP="00FE64BC">
            <w:pPr>
              <w:pStyle w:val="TableText"/>
            </w:pPr>
            <w:r>
              <w:t>AEMC</w:t>
            </w:r>
          </w:p>
        </w:tc>
        <w:tc>
          <w:tcPr>
            <w:tcW w:w="3750" w:type="pct"/>
            <w:tcMar>
              <w:left w:w="108" w:type="dxa"/>
              <w:right w:w="108" w:type="dxa"/>
            </w:tcMar>
          </w:tcPr>
          <w:p w14:paraId="279A5296" w14:textId="0654C4DD" w:rsidR="00661BBA" w:rsidRDefault="00661BBA" w:rsidP="00FE64BC">
            <w:pPr>
              <w:pStyle w:val="TableText"/>
            </w:pPr>
            <w:r>
              <w:t>Australian Energy Market Commission</w:t>
            </w:r>
          </w:p>
        </w:tc>
      </w:tr>
      <w:tr w:rsidR="00AA2F00" w14:paraId="06646F69" w14:textId="77777777" w:rsidTr="00FE64BC">
        <w:tc>
          <w:tcPr>
            <w:tcW w:w="1250" w:type="pct"/>
            <w:tcMar>
              <w:left w:w="108" w:type="dxa"/>
              <w:right w:w="108" w:type="dxa"/>
            </w:tcMar>
          </w:tcPr>
          <w:p w14:paraId="60435BF4" w14:textId="2B010B6A" w:rsidR="00AA2F00" w:rsidRDefault="00AA2F00" w:rsidP="00FE64BC">
            <w:pPr>
              <w:pStyle w:val="TableText"/>
            </w:pPr>
            <w:r>
              <w:t>AEMO</w:t>
            </w:r>
          </w:p>
        </w:tc>
        <w:tc>
          <w:tcPr>
            <w:tcW w:w="3750" w:type="pct"/>
            <w:tcMar>
              <w:left w:w="108" w:type="dxa"/>
              <w:right w:w="108" w:type="dxa"/>
            </w:tcMar>
          </w:tcPr>
          <w:p w14:paraId="132B7CEE" w14:textId="3BE54BD3" w:rsidR="00AA2F00" w:rsidRDefault="00AA2F00" w:rsidP="00FE64BC">
            <w:pPr>
              <w:pStyle w:val="TableText"/>
            </w:pPr>
            <w:r>
              <w:t>Australian Energy Market Operator</w:t>
            </w:r>
          </w:p>
        </w:tc>
      </w:tr>
      <w:tr w:rsidR="0053005D" w14:paraId="0874EF3E" w14:textId="77777777" w:rsidTr="00FE64BC">
        <w:tc>
          <w:tcPr>
            <w:tcW w:w="1250" w:type="pct"/>
            <w:tcMar>
              <w:left w:w="108" w:type="dxa"/>
              <w:right w:w="108" w:type="dxa"/>
            </w:tcMar>
          </w:tcPr>
          <w:p w14:paraId="06001A5A" w14:textId="2D30F3BB" w:rsidR="0053005D" w:rsidRDefault="0053005D" w:rsidP="00FE64BC">
            <w:pPr>
              <w:pStyle w:val="TableText"/>
            </w:pPr>
            <w:r>
              <w:t>AER</w:t>
            </w:r>
          </w:p>
        </w:tc>
        <w:tc>
          <w:tcPr>
            <w:tcW w:w="3750" w:type="pct"/>
            <w:tcMar>
              <w:left w:w="108" w:type="dxa"/>
              <w:right w:w="108" w:type="dxa"/>
            </w:tcMar>
          </w:tcPr>
          <w:p w14:paraId="4CFFB2A3" w14:textId="50BBC227" w:rsidR="0053005D" w:rsidRDefault="0053005D" w:rsidP="00FE64BC">
            <w:pPr>
              <w:pStyle w:val="TableText"/>
            </w:pPr>
            <w:r>
              <w:t>Australian Energy Regulator</w:t>
            </w:r>
          </w:p>
        </w:tc>
      </w:tr>
      <w:tr w:rsidR="00F571E9" w14:paraId="6796A0C8" w14:textId="77777777" w:rsidTr="00FE64BC">
        <w:tc>
          <w:tcPr>
            <w:tcW w:w="1250" w:type="pct"/>
            <w:tcMar>
              <w:left w:w="108" w:type="dxa"/>
              <w:right w:w="108" w:type="dxa"/>
            </w:tcMar>
          </w:tcPr>
          <w:p w14:paraId="40CF3F1E" w14:textId="30A8E05E" w:rsidR="00F571E9" w:rsidRDefault="00F571E9" w:rsidP="00FE64BC">
            <w:pPr>
              <w:pStyle w:val="TableText"/>
            </w:pPr>
            <w:r>
              <w:t>AIHW</w:t>
            </w:r>
          </w:p>
        </w:tc>
        <w:tc>
          <w:tcPr>
            <w:tcW w:w="3750" w:type="pct"/>
            <w:tcMar>
              <w:left w:w="108" w:type="dxa"/>
              <w:right w:w="108" w:type="dxa"/>
            </w:tcMar>
          </w:tcPr>
          <w:p w14:paraId="69B533F1" w14:textId="27EFEFC7" w:rsidR="00F571E9" w:rsidRDefault="00F571E9" w:rsidP="00FE64BC">
            <w:pPr>
              <w:pStyle w:val="TableText"/>
            </w:pPr>
            <w:r>
              <w:t>Australian Institute of Health and Welfare</w:t>
            </w:r>
          </w:p>
        </w:tc>
      </w:tr>
      <w:tr w:rsidR="003F5442" w14:paraId="53C2ACD0" w14:textId="77777777" w:rsidTr="00FE64BC">
        <w:tc>
          <w:tcPr>
            <w:tcW w:w="1250" w:type="pct"/>
            <w:tcMar>
              <w:left w:w="108" w:type="dxa"/>
              <w:right w:w="108" w:type="dxa"/>
            </w:tcMar>
          </w:tcPr>
          <w:p w14:paraId="26324C34" w14:textId="3508C56B" w:rsidR="003F5442" w:rsidRDefault="003F5442" w:rsidP="00FE64BC">
            <w:pPr>
              <w:pStyle w:val="TableText"/>
            </w:pPr>
            <w:r>
              <w:t>ARENA</w:t>
            </w:r>
          </w:p>
        </w:tc>
        <w:tc>
          <w:tcPr>
            <w:tcW w:w="3750" w:type="pct"/>
            <w:tcMar>
              <w:left w:w="108" w:type="dxa"/>
              <w:right w:w="108" w:type="dxa"/>
            </w:tcMar>
          </w:tcPr>
          <w:p w14:paraId="72A23470" w14:textId="252E0FD2" w:rsidR="003F5442" w:rsidRDefault="003F5442" w:rsidP="00FE64BC">
            <w:pPr>
              <w:pStyle w:val="TableText"/>
            </w:pPr>
            <w:r>
              <w:t xml:space="preserve">Australian Renewable Energy </w:t>
            </w:r>
            <w:r w:rsidR="00BA3A8B">
              <w:t>Agency</w:t>
            </w:r>
          </w:p>
        </w:tc>
      </w:tr>
      <w:tr w:rsidR="00FF3997" w14:paraId="6529C13D" w14:textId="77777777" w:rsidTr="00FE64BC">
        <w:tc>
          <w:tcPr>
            <w:tcW w:w="1250" w:type="pct"/>
            <w:tcMar>
              <w:left w:w="108" w:type="dxa"/>
              <w:right w:w="108" w:type="dxa"/>
            </w:tcMar>
          </w:tcPr>
          <w:p w14:paraId="35513FD2" w14:textId="1B3DD0AC" w:rsidR="00FF3997" w:rsidRDefault="00FF3997" w:rsidP="00FE64BC">
            <w:pPr>
              <w:pStyle w:val="TableText"/>
            </w:pPr>
            <w:r>
              <w:t>CCUS</w:t>
            </w:r>
          </w:p>
        </w:tc>
        <w:tc>
          <w:tcPr>
            <w:tcW w:w="3750" w:type="pct"/>
            <w:tcMar>
              <w:left w:w="108" w:type="dxa"/>
              <w:right w:w="108" w:type="dxa"/>
            </w:tcMar>
          </w:tcPr>
          <w:p w14:paraId="090A2493" w14:textId="749726CA" w:rsidR="00FF3997" w:rsidRDefault="00FF3997" w:rsidP="00FE64BC">
            <w:pPr>
              <w:pStyle w:val="TableText"/>
            </w:pPr>
            <w:r>
              <w:t>Carbon capture us</w:t>
            </w:r>
            <w:r w:rsidR="000C590C">
              <w:t>e</w:t>
            </w:r>
            <w:r>
              <w:t xml:space="preserve"> and storage</w:t>
            </w:r>
          </w:p>
        </w:tc>
      </w:tr>
      <w:tr w:rsidR="00BA50E7" w14:paraId="7BD3CCE5" w14:textId="77777777" w:rsidTr="00FE64BC">
        <w:tc>
          <w:tcPr>
            <w:tcW w:w="1250" w:type="pct"/>
            <w:tcMar>
              <w:left w:w="108" w:type="dxa"/>
              <w:right w:w="108" w:type="dxa"/>
            </w:tcMar>
          </w:tcPr>
          <w:p w14:paraId="27F0C824" w14:textId="33804F9E" w:rsidR="00BA50E7" w:rsidRDefault="00BA50E7" w:rsidP="00FE64BC">
            <w:pPr>
              <w:pStyle w:val="TableText"/>
            </w:pPr>
            <w:r>
              <w:t>CEFC</w:t>
            </w:r>
          </w:p>
        </w:tc>
        <w:tc>
          <w:tcPr>
            <w:tcW w:w="3750" w:type="pct"/>
            <w:tcMar>
              <w:left w:w="108" w:type="dxa"/>
              <w:right w:w="108" w:type="dxa"/>
            </w:tcMar>
          </w:tcPr>
          <w:p w14:paraId="5B3ADA41" w14:textId="0BE22BE2" w:rsidR="00BA50E7" w:rsidRDefault="00BA50E7" w:rsidP="00FE64BC">
            <w:pPr>
              <w:pStyle w:val="TableText"/>
            </w:pPr>
            <w:r>
              <w:t>Clean Energy Finance Corporation</w:t>
            </w:r>
          </w:p>
        </w:tc>
      </w:tr>
      <w:tr w:rsidR="008B71CE" w14:paraId="28FB81ED" w14:textId="77777777" w:rsidTr="00FE64BC">
        <w:tc>
          <w:tcPr>
            <w:tcW w:w="1250" w:type="pct"/>
            <w:tcMar>
              <w:left w:w="108" w:type="dxa"/>
              <w:right w:w="108" w:type="dxa"/>
            </w:tcMar>
          </w:tcPr>
          <w:p w14:paraId="592435CB" w14:textId="0954ADB7" w:rsidR="008B71CE" w:rsidRDefault="008B71CE" w:rsidP="00FE64BC">
            <w:pPr>
              <w:pStyle w:val="TableText"/>
            </w:pPr>
            <w:r>
              <w:t>CER</w:t>
            </w:r>
          </w:p>
        </w:tc>
        <w:tc>
          <w:tcPr>
            <w:tcW w:w="3750" w:type="pct"/>
            <w:tcMar>
              <w:left w:w="108" w:type="dxa"/>
              <w:right w:w="108" w:type="dxa"/>
            </w:tcMar>
          </w:tcPr>
          <w:p w14:paraId="5D308217" w14:textId="380D58E2" w:rsidR="008B71CE" w:rsidRDefault="008B71CE" w:rsidP="00FE64BC">
            <w:pPr>
              <w:pStyle w:val="TableText"/>
            </w:pPr>
            <w:r>
              <w:t>Consumer energy resources</w:t>
            </w:r>
          </w:p>
        </w:tc>
      </w:tr>
      <w:tr w:rsidR="002D0904" w14:paraId="4EB11FFB" w14:textId="77777777" w:rsidTr="00FE64BC">
        <w:tc>
          <w:tcPr>
            <w:tcW w:w="1250" w:type="pct"/>
            <w:tcMar>
              <w:left w:w="108" w:type="dxa"/>
              <w:right w:w="108" w:type="dxa"/>
            </w:tcMar>
          </w:tcPr>
          <w:p w14:paraId="49547CB2" w14:textId="4E1687F9" w:rsidR="002D0904" w:rsidRDefault="002D0904" w:rsidP="00FE64BC">
            <w:pPr>
              <w:pStyle w:val="TableText"/>
            </w:pPr>
            <w:r>
              <w:t>CIS</w:t>
            </w:r>
          </w:p>
        </w:tc>
        <w:tc>
          <w:tcPr>
            <w:tcW w:w="3750" w:type="pct"/>
            <w:tcMar>
              <w:left w:w="108" w:type="dxa"/>
              <w:right w:w="108" w:type="dxa"/>
            </w:tcMar>
          </w:tcPr>
          <w:p w14:paraId="49409C18" w14:textId="087476E3" w:rsidR="002D0904" w:rsidRDefault="002D0904" w:rsidP="00FE64BC">
            <w:pPr>
              <w:pStyle w:val="TableText"/>
            </w:pPr>
            <w:r>
              <w:t>Capacity Investment Scheme</w:t>
            </w:r>
          </w:p>
        </w:tc>
      </w:tr>
      <w:tr w:rsidR="0050182C" w14:paraId="2DA6A45E" w14:textId="77777777" w:rsidTr="00FE64BC">
        <w:tc>
          <w:tcPr>
            <w:tcW w:w="1250" w:type="pct"/>
            <w:tcMar>
              <w:left w:w="108" w:type="dxa"/>
              <w:right w:w="108" w:type="dxa"/>
            </w:tcMar>
          </w:tcPr>
          <w:p w14:paraId="1DCF3AD0" w14:textId="7EEC4D74" w:rsidR="0050182C" w:rsidRDefault="0050182C" w:rsidP="00FE64BC">
            <w:pPr>
              <w:pStyle w:val="TableText"/>
            </w:pPr>
            <w:r>
              <w:t>CSIRO</w:t>
            </w:r>
          </w:p>
        </w:tc>
        <w:tc>
          <w:tcPr>
            <w:tcW w:w="3750" w:type="pct"/>
            <w:tcMar>
              <w:left w:w="108" w:type="dxa"/>
              <w:right w:w="108" w:type="dxa"/>
            </w:tcMar>
          </w:tcPr>
          <w:p w14:paraId="3210129B" w14:textId="3E310C1F" w:rsidR="0050182C" w:rsidRDefault="0050182C" w:rsidP="00FE64BC">
            <w:pPr>
              <w:pStyle w:val="TableText"/>
            </w:pPr>
            <w:r>
              <w:t>Commonwealth Scientific and Industrial Research Organisation</w:t>
            </w:r>
          </w:p>
        </w:tc>
      </w:tr>
      <w:tr w:rsidR="009C3933" w14:paraId="3E67B554" w14:textId="77777777" w:rsidTr="00FE64BC">
        <w:tc>
          <w:tcPr>
            <w:tcW w:w="1250" w:type="pct"/>
            <w:tcMar>
              <w:left w:w="108" w:type="dxa"/>
              <w:right w:w="108" w:type="dxa"/>
            </w:tcMar>
          </w:tcPr>
          <w:p w14:paraId="7A04BD30" w14:textId="503921F3" w:rsidR="009C3933" w:rsidRDefault="009C3933" w:rsidP="00FE64BC">
            <w:pPr>
              <w:pStyle w:val="TableText"/>
            </w:pPr>
            <w:r>
              <w:t>DCCEEW</w:t>
            </w:r>
          </w:p>
        </w:tc>
        <w:tc>
          <w:tcPr>
            <w:tcW w:w="3750" w:type="pct"/>
            <w:tcMar>
              <w:left w:w="108" w:type="dxa"/>
              <w:right w:w="108" w:type="dxa"/>
            </w:tcMar>
          </w:tcPr>
          <w:p w14:paraId="22DAC942" w14:textId="1C1B2B9C" w:rsidR="009C3933" w:rsidRDefault="009C3933" w:rsidP="00FE64BC">
            <w:pPr>
              <w:pStyle w:val="TableText"/>
            </w:pPr>
            <w:r>
              <w:t>Department of Climate Change, Energy, the Environment and Water</w:t>
            </w:r>
          </w:p>
        </w:tc>
      </w:tr>
      <w:tr w:rsidR="00050B33" w14:paraId="487822E3" w14:textId="77777777" w:rsidTr="00FE64BC">
        <w:tc>
          <w:tcPr>
            <w:tcW w:w="1250" w:type="pct"/>
            <w:tcMar>
              <w:left w:w="108" w:type="dxa"/>
              <w:right w:w="108" w:type="dxa"/>
            </w:tcMar>
          </w:tcPr>
          <w:p w14:paraId="1194569B" w14:textId="4F4670A0" w:rsidR="00050B33" w:rsidRDefault="00050B33" w:rsidP="00FE64BC">
            <w:pPr>
              <w:pStyle w:val="TableText"/>
            </w:pPr>
            <w:r>
              <w:t>ECMC</w:t>
            </w:r>
          </w:p>
        </w:tc>
        <w:tc>
          <w:tcPr>
            <w:tcW w:w="3750" w:type="pct"/>
            <w:tcMar>
              <w:left w:w="108" w:type="dxa"/>
              <w:right w:w="108" w:type="dxa"/>
            </w:tcMar>
          </w:tcPr>
          <w:p w14:paraId="02CB3335" w14:textId="4BB295E2" w:rsidR="00050B33" w:rsidRDefault="00050B33" w:rsidP="00FE64BC">
            <w:pPr>
              <w:pStyle w:val="TableText"/>
            </w:pPr>
            <w:r>
              <w:t xml:space="preserve">Energy and Climate </w:t>
            </w:r>
            <w:r w:rsidR="00F93F39">
              <w:t xml:space="preserve">Change </w:t>
            </w:r>
            <w:r>
              <w:t>Ministerial Council</w:t>
            </w:r>
          </w:p>
        </w:tc>
      </w:tr>
      <w:tr w:rsidR="00606183" w14:paraId="40C0F61F" w14:textId="77777777" w:rsidTr="00FE64BC">
        <w:tc>
          <w:tcPr>
            <w:tcW w:w="1250" w:type="pct"/>
            <w:tcMar>
              <w:left w:w="108" w:type="dxa"/>
              <w:right w:w="108" w:type="dxa"/>
            </w:tcMar>
          </w:tcPr>
          <w:p w14:paraId="108B59A3" w14:textId="37555D6A" w:rsidR="00606183" w:rsidRDefault="00606183" w:rsidP="00FE64BC">
            <w:pPr>
              <w:pStyle w:val="TableText"/>
            </w:pPr>
            <w:r>
              <w:t>ETI</w:t>
            </w:r>
          </w:p>
        </w:tc>
        <w:tc>
          <w:tcPr>
            <w:tcW w:w="3750" w:type="pct"/>
            <w:tcMar>
              <w:left w:w="108" w:type="dxa"/>
              <w:right w:w="108" w:type="dxa"/>
            </w:tcMar>
          </w:tcPr>
          <w:p w14:paraId="4CFA7E02" w14:textId="1EEB1334" w:rsidR="00606183" w:rsidRDefault="00606183" w:rsidP="00FE64BC">
            <w:pPr>
              <w:pStyle w:val="TableText"/>
            </w:pPr>
            <w:r>
              <w:t xml:space="preserve">Australian Industry Energy Transition </w:t>
            </w:r>
            <w:r w:rsidR="00A850AD">
              <w:t>Initiative</w:t>
            </w:r>
          </w:p>
        </w:tc>
      </w:tr>
      <w:tr w:rsidR="009B31FC" w14:paraId="0EDEFF9F" w14:textId="77777777" w:rsidTr="00FE64BC">
        <w:tc>
          <w:tcPr>
            <w:tcW w:w="1250" w:type="pct"/>
            <w:tcMar>
              <w:left w:w="108" w:type="dxa"/>
              <w:right w:w="108" w:type="dxa"/>
            </w:tcMar>
          </w:tcPr>
          <w:p w14:paraId="70CACE36" w14:textId="5C9BF8B5" w:rsidR="009B31FC" w:rsidRDefault="009B31FC" w:rsidP="00FE64BC">
            <w:pPr>
              <w:pStyle w:val="TableText"/>
            </w:pPr>
            <w:r>
              <w:t>GPG</w:t>
            </w:r>
          </w:p>
        </w:tc>
        <w:tc>
          <w:tcPr>
            <w:tcW w:w="3750" w:type="pct"/>
            <w:tcMar>
              <w:left w:w="108" w:type="dxa"/>
              <w:right w:w="108" w:type="dxa"/>
            </w:tcMar>
          </w:tcPr>
          <w:p w14:paraId="2F55EFD8" w14:textId="6701995E" w:rsidR="009B31FC" w:rsidRDefault="009B31FC" w:rsidP="00FE64BC">
            <w:pPr>
              <w:pStyle w:val="TableText"/>
            </w:pPr>
            <w:r>
              <w:t>Gas-fired power generation</w:t>
            </w:r>
          </w:p>
        </w:tc>
      </w:tr>
      <w:tr w:rsidR="009B626C" w14:paraId="22C7A561" w14:textId="77777777" w:rsidTr="00FE64BC">
        <w:tc>
          <w:tcPr>
            <w:tcW w:w="1250" w:type="pct"/>
            <w:tcMar>
              <w:left w:w="108" w:type="dxa"/>
              <w:right w:w="108" w:type="dxa"/>
            </w:tcMar>
          </w:tcPr>
          <w:p w14:paraId="044318E0" w14:textId="4976BEBA" w:rsidR="009B626C" w:rsidRDefault="009B626C" w:rsidP="00FE64BC">
            <w:pPr>
              <w:pStyle w:val="TableText"/>
            </w:pPr>
            <w:r>
              <w:t>IEA</w:t>
            </w:r>
          </w:p>
        </w:tc>
        <w:tc>
          <w:tcPr>
            <w:tcW w:w="3750" w:type="pct"/>
            <w:tcMar>
              <w:left w:w="108" w:type="dxa"/>
              <w:right w:w="108" w:type="dxa"/>
            </w:tcMar>
          </w:tcPr>
          <w:p w14:paraId="1D1DFEE0" w14:textId="52EA6ACD" w:rsidR="009B626C" w:rsidRDefault="009B626C" w:rsidP="00FE64BC">
            <w:pPr>
              <w:pStyle w:val="TableText"/>
            </w:pPr>
            <w:r>
              <w:t>International Energy Agency</w:t>
            </w:r>
          </w:p>
        </w:tc>
      </w:tr>
      <w:tr w:rsidR="00413CE9" w14:paraId="2F49161A" w14:textId="77777777" w:rsidTr="00FE64BC">
        <w:tc>
          <w:tcPr>
            <w:tcW w:w="1250" w:type="pct"/>
            <w:tcMar>
              <w:left w:w="108" w:type="dxa"/>
              <w:right w:w="108" w:type="dxa"/>
            </w:tcMar>
          </w:tcPr>
          <w:p w14:paraId="5333D6E2" w14:textId="70186F2A" w:rsidR="00413CE9" w:rsidRDefault="00413CE9" w:rsidP="00FE64BC">
            <w:pPr>
              <w:pStyle w:val="TableText"/>
            </w:pPr>
            <w:r>
              <w:t>ISP</w:t>
            </w:r>
          </w:p>
        </w:tc>
        <w:tc>
          <w:tcPr>
            <w:tcW w:w="3750" w:type="pct"/>
            <w:tcMar>
              <w:left w:w="108" w:type="dxa"/>
              <w:right w:w="108" w:type="dxa"/>
            </w:tcMar>
          </w:tcPr>
          <w:p w14:paraId="06C78514" w14:textId="4B3E6E2B" w:rsidR="00413CE9" w:rsidRDefault="00413CE9" w:rsidP="00FE64BC">
            <w:pPr>
              <w:pStyle w:val="TableText"/>
            </w:pPr>
            <w:r>
              <w:t>Integrated System Plan</w:t>
            </w:r>
          </w:p>
        </w:tc>
      </w:tr>
      <w:tr w:rsidR="00037E78" w14:paraId="3153B4A7" w14:textId="77777777" w:rsidTr="00FE64BC">
        <w:tc>
          <w:tcPr>
            <w:tcW w:w="1250" w:type="pct"/>
            <w:tcMar>
              <w:left w:w="108" w:type="dxa"/>
              <w:right w:w="108" w:type="dxa"/>
            </w:tcMar>
          </w:tcPr>
          <w:p w14:paraId="4525F721" w14:textId="2E4646CB" w:rsidR="00037E78" w:rsidRDefault="00037E78" w:rsidP="00FE64BC">
            <w:pPr>
              <w:pStyle w:val="TableText"/>
            </w:pPr>
            <w:r>
              <w:t>JSA</w:t>
            </w:r>
          </w:p>
        </w:tc>
        <w:tc>
          <w:tcPr>
            <w:tcW w:w="3750" w:type="pct"/>
            <w:tcMar>
              <w:left w:w="108" w:type="dxa"/>
              <w:right w:w="108" w:type="dxa"/>
            </w:tcMar>
          </w:tcPr>
          <w:p w14:paraId="5C86901E" w14:textId="47536BE3" w:rsidR="00037E78" w:rsidRDefault="00037E78" w:rsidP="00FE64BC">
            <w:pPr>
              <w:pStyle w:val="TableText"/>
            </w:pPr>
            <w:r>
              <w:t>Jobs and Skills Australia</w:t>
            </w:r>
          </w:p>
        </w:tc>
      </w:tr>
      <w:tr w:rsidR="00BF0CB9" w14:paraId="35177A45" w14:textId="77777777" w:rsidTr="00FE64BC">
        <w:tc>
          <w:tcPr>
            <w:tcW w:w="1250" w:type="pct"/>
            <w:tcMar>
              <w:left w:w="108" w:type="dxa"/>
              <w:right w:w="108" w:type="dxa"/>
            </w:tcMar>
          </w:tcPr>
          <w:p w14:paraId="40048DE1" w14:textId="1D587B78" w:rsidR="00BF0CB9" w:rsidRDefault="00BF0CB9" w:rsidP="00FE64BC">
            <w:pPr>
              <w:pStyle w:val="TableText"/>
            </w:pPr>
            <w:r>
              <w:t>LCLF</w:t>
            </w:r>
          </w:p>
        </w:tc>
        <w:tc>
          <w:tcPr>
            <w:tcW w:w="3750" w:type="pct"/>
            <w:tcMar>
              <w:left w:w="108" w:type="dxa"/>
              <w:right w:w="108" w:type="dxa"/>
            </w:tcMar>
          </w:tcPr>
          <w:p w14:paraId="09C3BC32" w14:textId="520F2153" w:rsidR="00BF0CB9" w:rsidRDefault="00BF0CB9" w:rsidP="00FE64BC">
            <w:pPr>
              <w:pStyle w:val="TableText"/>
            </w:pPr>
            <w:r>
              <w:t>Low carbon liquid fuels</w:t>
            </w:r>
          </w:p>
        </w:tc>
      </w:tr>
      <w:tr w:rsidR="006F1A8F" w14:paraId="0E1CD11E" w14:textId="77777777" w:rsidTr="00FE64BC">
        <w:tc>
          <w:tcPr>
            <w:tcW w:w="1250" w:type="pct"/>
            <w:tcMar>
              <w:left w:w="108" w:type="dxa"/>
              <w:right w:w="108" w:type="dxa"/>
            </w:tcMar>
          </w:tcPr>
          <w:p w14:paraId="7779FE0E" w14:textId="2C84BDD5" w:rsidR="006F1A8F" w:rsidRDefault="006F1A8F" w:rsidP="00FE64BC">
            <w:pPr>
              <w:pStyle w:val="TableText"/>
            </w:pPr>
            <w:r>
              <w:t>LNG</w:t>
            </w:r>
          </w:p>
        </w:tc>
        <w:tc>
          <w:tcPr>
            <w:tcW w:w="3750" w:type="pct"/>
            <w:tcMar>
              <w:left w:w="108" w:type="dxa"/>
              <w:right w:w="108" w:type="dxa"/>
            </w:tcMar>
          </w:tcPr>
          <w:p w14:paraId="1E145C12" w14:textId="2FE89CAF" w:rsidR="006F1A8F" w:rsidRDefault="006F1A8F" w:rsidP="00FE64BC">
            <w:pPr>
              <w:pStyle w:val="TableText"/>
            </w:pPr>
            <w:r>
              <w:t>Liquefied natural gas</w:t>
            </w:r>
          </w:p>
        </w:tc>
      </w:tr>
      <w:tr w:rsidR="00683239" w14:paraId="0406F64E" w14:textId="77777777" w:rsidTr="00FE64BC">
        <w:tc>
          <w:tcPr>
            <w:tcW w:w="1250" w:type="pct"/>
            <w:tcMar>
              <w:left w:w="108" w:type="dxa"/>
              <w:right w:w="108" w:type="dxa"/>
            </w:tcMar>
          </w:tcPr>
          <w:p w14:paraId="19C1442F" w14:textId="6D92567D" w:rsidR="00683239" w:rsidRDefault="00683239" w:rsidP="00FE64BC">
            <w:pPr>
              <w:pStyle w:val="TableText"/>
            </w:pPr>
            <w:r>
              <w:t>NEM</w:t>
            </w:r>
          </w:p>
        </w:tc>
        <w:tc>
          <w:tcPr>
            <w:tcW w:w="3750" w:type="pct"/>
            <w:tcMar>
              <w:left w:w="108" w:type="dxa"/>
              <w:right w:w="108" w:type="dxa"/>
            </w:tcMar>
          </w:tcPr>
          <w:p w14:paraId="26617660" w14:textId="6E73AED5" w:rsidR="00683239" w:rsidRDefault="00683239" w:rsidP="00FE64BC">
            <w:pPr>
              <w:pStyle w:val="TableText"/>
            </w:pPr>
            <w:r>
              <w:t xml:space="preserve">National </w:t>
            </w:r>
            <w:r w:rsidR="00C665E2">
              <w:t>Electricity</w:t>
            </w:r>
            <w:r>
              <w:t xml:space="preserve"> Market</w:t>
            </w:r>
          </w:p>
        </w:tc>
      </w:tr>
      <w:tr w:rsidR="00D96B06" w14:paraId="49F695D8" w14:textId="77777777" w:rsidTr="00FE64BC">
        <w:tc>
          <w:tcPr>
            <w:tcW w:w="1250" w:type="pct"/>
            <w:tcMar>
              <w:left w:w="108" w:type="dxa"/>
              <w:right w:w="108" w:type="dxa"/>
            </w:tcMar>
          </w:tcPr>
          <w:p w14:paraId="6B4449D7" w14:textId="2D43B960" w:rsidR="00D96B06" w:rsidRDefault="00D96B06" w:rsidP="00FE64BC">
            <w:pPr>
              <w:pStyle w:val="TableText"/>
            </w:pPr>
            <w:r>
              <w:t>NZEA</w:t>
            </w:r>
          </w:p>
        </w:tc>
        <w:tc>
          <w:tcPr>
            <w:tcW w:w="3750" w:type="pct"/>
            <w:tcMar>
              <w:left w:w="108" w:type="dxa"/>
              <w:right w:w="108" w:type="dxa"/>
            </w:tcMar>
          </w:tcPr>
          <w:p w14:paraId="35D1BAC3" w14:textId="16546B71" w:rsidR="00D96B06" w:rsidRDefault="00D96B06" w:rsidP="00FE64BC">
            <w:pPr>
              <w:pStyle w:val="TableText"/>
            </w:pPr>
            <w:r>
              <w:t>Net Zero Economy Agency</w:t>
            </w:r>
          </w:p>
        </w:tc>
      </w:tr>
      <w:tr w:rsidR="00921439" w14:paraId="240D3BB2" w14:textId="77777777" w:rsidTr="00FE64BC">
        <w:tc>
          <w:tcPr>
            <w:tcW w:w="1250" w:type="pct"/>
            <w:tcMar>
              <w:left w:w="108" w:type="dxa"/>
              <w:right w:w="108" w:type="dxa"/>
            </w:tcMar>
          </w:tcPr>
          <w:p w14:paraId="43BAA7A6" w14:textId="2265E853" w:rsidR="00921439" w:rsidRDefault="00921439" w:rsidP="00FE64BC">
            <w:pPr>
              <w:pStyle w:val="TableText"/>
            </w:pPr>
            <w:r>
              <w:t>OECD</w:t>
            </w:r>
          </w:p>
        </w:tc>
        <w:tc>
          <w:tcPr>
            <w:tcW w:w="3750" w:type="pct"/>
            <w:tcMar>
              <w:left w:w="108" w:type="dxa"/>
              <w:right w:w="108" w:type="dxa"/>
            </w:tcMar>
          </w:tcPr>
          <w:p w14:paraId="6ABE5D46" w14:textId="2C27D203" w:rsidR="00921439" w:rsidRDefault="00921439" w:rsidP="00FE64BC">
            <w:pPr>
              <w:pStyle w:val="TableText"/>
            </w:pPr>
            <w:r>
              <w:t>Organisation</w:t>
            </w:r>
            <w:r w:rsidR="002D0904">
              <w:t xml:space="preserve"> for Economic Co-operation and Development</w:t>
            </w:r>
          </w:p>
        </w:tc>
      </w:tr>
      <w:tr w:rsidR="00FE64BC" w14:paraId="302B76AC" w14:textId="77777777" w:rsidTr="00FE64BC">
        <w:tc>
          <w:tcPr>
            <w:tcW w:w="1250" w:type="pct"/>
            <w:tcMar>
              <w:left w:w="108" w:type="dxa"/>
              <w:right w:w="108" w:type="dxa"/>
            </w:tcMar>
          </w:tcPr>
          <w:p w14:paraId="44F09678" w14:textId="079F91E9" w:rsidR="00FE64BC" w:rsidRPr="00FE64BC" w:rsidRDefault="00AE2FD7" w:rsidP="00FE64BC">
            <w:pPr>
              <w:pStyle w:val="TableText"/>
            </w:pPr>
            <w:r>
              <w:t>The Plan</w:t>
            </w:r>
          </w:p>
        </w:tc>
        <w:tc>
          <w:tcPr>
            <w:tcW w:w="3750" w:type="pct"/>
            <w:tcMar>
              <w:left w:w="108" w:type="dxa"/>
              <w:right w:w="108" w:type="dxa"/>
            </w:tcMar>
          </w:tcPr>
          <w:p w14:paraId="5CC94366" w14:textId="5F0279BF" w:rsidR="00FE64BC" w:rsidRPr="00FE64BC" w:rsidRDefault="00AE2FD7" w:rsidP="00FE64BC">
            <w:pPr>
              <w:pStyle w:val="TableText"/>
            </w:pPr>
            <w:r>
              <w:t>Electricity and Energy Sector Plan</w:t>
            </w:r>
          </w:p>
        </w:tc>
      </w:tr>
      <w:tr w:rsidR="00FE64BC" w14:paraId="642F0C5A" w14:textId="77777777" w:rsidTr="00FE64BC">
        <w:tc>
          <w:tcPr>
            <w:tcW w:w="1250" w:type="pct"/>
            <w:tcMar>
              <w:left w:w="108" w:type="dxa"/>
              <w:right w:w="108" w:type="dxa"/>
            </w:tcMar>
          </w:tcPr>
          <w:p w14:paraId="0E747D6D" w14:textId="4821989E" w:rsidR="00FE64BC" w:rsidRPr="00FE64BC" w:rsidRDefault="00C22160" w:rsidP="00FE64BC">
            <w:pPr>
              <w:pStyle w:val="TableText"/>
            </w:pPr>
            <w:r>
              <w:t>The Partnership</w:t>
            </w:r>
          </w:p>
        </w:tc>
        <w:tc>
          <w:tcPr>
            <w:tcW w:w="3750" w:type="pct"/>
            <w:tcMar>
              <w:left w:w="108" w:type="dxa"/>
              <w:right w:w="108" w:type="dxa"/>
            </w:tcMar>
          </w:tcPr>
          <w:p w14:paraId="25FC8961" w14:textId="0090DC29" w:rsidR="00FE64BC" w:rsidRPr="00FE64BC" w:rsidRDefault="00C22160" w:rsidP="00FE64BC">
            <w:pPr>
              <w:pStyle w:val="TableText"/>
            </w:pPr>
            <w:r>
              <w:t>National Energy Transformation Partnership</w:t>
            </w:r>
          </w:p>
        </w:tc>
      </w:tr>
      <w:tr w:rsidR="00FE64BC" w14:paraId="5698B90B" w14:textId="77777777" w:rsidTr="00FE64BC">
        <w:tc>
          <w:tcPr>
            <w:tcW w:w="1250" w:type="pct"/>
            <w:tcMar>
              <w:left w:w="108" w:type="dxa"/>
              <w:right w:w="108" w:type="dxa"/>
            </w:tcMar>
          </w:tcPr>
          <w:p w14:paraId="7BF9C8C9" w14:textId="41601007" w:rsidR="00FE64BC" w:rsidRPr="00FE64BC" w:rsidRDefault="002360BA" w:rsidP="00FE64BC">
            <w:pPr>
              <w:pStyle w:val="TableText"/>
            </w:pPr>
            <w:r>
              <w:t>R</w:t>
            </w:r>
            <w:r w:rsidR="004F2595">
              <w:t>D</w:t>
            </w:r>
            <w:r>
              <w:t>&amp;D</w:t>
            </w:r>
          </w:p>
        </w:tc>
        <w:tc>
          <w:tcPr>
            <w:tcW w:w="3750" w:type="pct"/>
            <w:tcMar>
              <w:left w:w="108" w:type="dxa"/>
              <w:right w:w="108" w:type="dxa"/>
            </w:tcMar>
          </w:tcPr>
          <w:p w14:paraId="3898BD08" w14:textId="2BDE3EF9" w:rsidR="00FE64BC" w:rsidRPr="00FE64BC" w:rsidRDefault="002360BA" w:rsidP="00FE64BC">
            <w:pPr>
              <w:pStyle w:val="TableText"/>
            </w:pPr>
            <w:r>
              <w:t>R</w:t>
            </w:r>
            <w:r w:rsidR="00DC74F9">
              <w:t xml:space="preserve">esearch, </w:t>
            </w:r>
            <w:proofErr w:type="gramStart"/>
            <w:r w:rsidR="00DC74F9">
              <w:t>development</w:t>
            </w:r>
            <w:proofErr w:type="gramEnd"/>
            <w:r w:rsidR="00DC74F9">
              <w:t xml:space="preserve"> and deployment</w:t>
            </w:r>
          </w:p>
        </w:tc>
      </w:tr>
      <w:tr w:rsidR="00BE0CD5" w14:paraId="1186C8AB" w14:textId="77777777" w:rsidTr="00FE64BC">
        <w:tc>
          <w:tcPr>
            <w:tcW w:w="1250" w:type="pct"/>
            <w:tcMar>
              <w:left w:w="108" w:type="dxa"/>
              <w:right w:w="108" w:type="dxa"/>
            </w:tcMar>
          </w:tcPr>
          <w:p w14:paraId="746ED6C0" w14:textId="6B64EFD2" w:rsidR="00BE0CD5" w:rsidRDefault="00BE0CD5" w:rsidP="00FE64BC">
            <w:pPr>
              <w:pStyle w:val="TableText"/>
            </w:pPr>
            <w:r>
              <w:t>The Review</w:t>
            </w:r>
          </w:p>
        </w:tc>
        <w:tc>
          <w:tcPr>
            <w:tcW w:w="3750" w:type="pct"/>
            <w:tcMar>
              <w:left w:w="108" w:type="dxa"/>
              <w:right w:w="108" w:type="dxa"/>
            </w:tcMar>
          </w:tcPr>
          <w:p w14:paraId="5B31689A" w14:textId="5705A227" w:rsidR="00BE0CD5" w:rsidRDefault="00BE0CD5" w:rsidP="00FE64BC">
            <w:pPr>
              <w:pStyle w:val="TableText"/>
            </w:pPr>
            <w:r>
              <w:t>The Community Engagement Review</w:t>
            </w:r>
          </w:p>
        </w:tc>
      </w:tr>
      <w:tr w:rsidR="00037E78" w14:paraId="56C8F0FD" w14:textId="77777777" w:rsidTr="00FE64BC">
        <w:tc>
          <w:tcPr>
            <w:tcW w:w="1250" w:type="pct"/>
            <w:tcMar>
              <w:left w:w="108" w:type="dxa"/>
              <w:right w:w="108" w:type="dxa"/>
            </w:tcMar>
          </w:tcPr>
          <w:p w14:paraId="65949805" w14:textId="2A68B371" w:rsidR="00037E78" w:rsidRDefault="00037E78" w:rsidP="00FE64BC">
            <w:pPr>
              <w:pStyle w:val="TableText"/>
            </w:pPr>
            <w:r>
              <w:t>VET</w:t>
            </w:r>
          </w:p>
        </w:tc>
        <w:tc>
          <w:tcPr>
            <w:tcW w:w="3750" w:type="pct"/>
            <w:tcMar>
              <w:left w:w="108" w:type="dxa"/>
              <w:right w:w="108" w:type="dxa"/>
            </w:tcMar>
          </w:tcPr>
          <w:p w14:paraId="1098F3AD" w14:textId="40A323A6" w:rsidR="00037E78" w:rsidRDefault="00037E78" w:rsidP="00FE64BC">
            <w:pPr>
              <w:pStyle w:val="TableText"/>
            </w:pPr>
            <w:r>
              <w:t>Vocational Education and Training</w:t>
            </w:r>
          </w:p>
        </w:tc>
      </w:tr>
      <w:tr w:rsidR="00FE64BC" w14:paraId="26B0C941" w14:textId="77777777" w:rsidTr="00FE64BC">
        <w:tc>
          <w:tcPr>
            <w:tcW w:w="1250" w:type="pct"/>
            <w:tcMar>
              <w:left w:w="108" w:type="dxa"/>
              <w:right w:w="108" w:type="dxa"/>
            </w:tcMar>
          </w:tcPr>
          <w:p w14:paraId="3BFFAC5E" w14:textId="080C87ED" w:rsidR="00FE64BC" w:rsidRPr="00FE64BC" w:rsidRDefault="008E28CA" w:rsidP="00FE64BC">
            <w:pPr>
              <w:pStyle w:val="TableText"/>
            </w:pPr>
            <w:r>
              <w:t>WEM</w:t>
            </w:r>
          </w:p>
        </w:tc>
        <w:tc>
          <w:tcPr>
            <w:tcW w:w="3750" w:type="pct"/>
            <w:tcMar>
              <w:left w:w="108" w:type="dxa"/>
              <w:right w:w="108" w:type="dxa"/>
            </w:tcMar>
          </w:tcPr>
          <w:p w14:paraId="5A847607" w14:textId="17078F75" w:rsidR="00FE64BC" w:rsidRPr="00FE64BC" w:rsidRDefault="008E28CA" w:rsidP="00FE64BC">
            <w:pPr>
              <w:pStyle w:val="TableText"/>
            </w:pPr>
            <w:r>
              <w:t>Wholesale Electricity Market</w:t>
            </w:r>
          </w:p>
        </w:tc>
      </w:tr>
    </w:tbl>
    <w:p w14:paraId="48C83D0F" w14:textId="77777777" w:rsidR="00EF5B44" w:rsidRDefault="00EF5B44">
      <w:pPr>
        <w:spacing w:after="0" w:line="240" w:lineRule="auto"/>
        <w:rPr>
          <w:rStyle w:val="SubtleEmphasis"/>
          <w:rFonts w:ascii="Calibri" w:eastAsiaTheme="minorEastAsia" w:hAnsi="Calibri"/>
          <w:bCs/>
          <w:i w:val="0"/>
          <w:iCs w:val="0"/>
          <w:color w:val="197C7D"/>
          <w:sz w:val="48"/>
          <w:lang w:eastAsia="ja-JP"/>
        </w:rPr>
      </w:pPr>
      <w:bookmarkStart w:id="198" w:name="_Toc430782162"/>
      <w:r>
        <w:rPr>
          <w:rStyle w:val="SubtleEmphasis"/>
          <w:i w:val="0"/>
          <w:iCs w:val="0"/>
          <w:color w:val="197C7D"/>
        </w:rPr>
        <w:br w:type="page"/>
      </w:r>
    </w:p>
    <w:p w14:paraId="2F3787C9" w14:textId="36BE9789" w:rsidR="00764D6A" w:rsidRPr="00EC4805" w:rsidRDefault="00E91D72" w:rsidP="00F546C3">
      <w:pPr>
        <w:pStyle w:val="Heading2"/>
        <w:numPr>
          <w:ilvl w:val="0"/>
          <w:numId w:val="0"/>
        </w:numPr>
        <w:rPr>
          <w:rStyle w:val="SubtleEmphasis"/>
          <w:i w:val="0"/>
          <w:iCs w:val="0"/>
          <w:color w:val="197C7D"/>
        </w:rPr>
      </w:pPr>
      <w:bookmarkStart w:id="199" w:name="_Toc161306060"/>
      <w:r w:rsidRPr="00EF5B44">
        <w:rPr>
          <w:rStyle w:val="SubtleEmphasis"/>
          <w:i w:val="0"/>
          <w:iCs w:val="0"/>
          <w:color w:val="197C7D"/>
        </w:rPr>
        <w:lastRenderedPageBreak/>
        <w:t>References</w:t>
      </w:r>
      <w:bookmarkEnd w:id="198"/>
      <w:bookmarkEnd w:id="199"/>
    </w:p>
    <w:p w14:paraId="46713283" w14:textId="77777777" w:rsidR="00F912D8" w:rsidRPr="00FA3CEE" w:rsidRDefault="00F912D8" w:rsidP="00F912D8">
      <w:pPr>
        <w:ind w:left="720" w:hanging="720"/>
      </w:pPr>
      <w:r>
        <w:t xml:space="preserve">AGL, </w:t>
      </w:r>
      <w:r>
        <w:rPr>
          <w:i/>
          <w:iCs/>
        </w:rPr>
        <w:t>Electrify Now</w:t>
      </w:r>
      <w:r>
        <w:t xml:space="preserve">, accessed January 2024. </w:t>
      </w:r>
      <w:hyperlink r:id="rId34">
        <w:r w:rsidRPr="68BCC1AB">
          <w:rPr>
            <w:rStyle w:val="Hyperlink"/>
          </w:rPr>
          <w:t>Electrify Now - Help Save Money on Your Energy Bills (agl.com.au)</w:t>
        </w:r>
      </w:hyperlink>
    </w:p>
    <w:p w14:paraId="7FAB9850" w14:textId="77777777" w:rsidR="00F912D8" w:rsidRDefault="00F912D8" w:rsidP="00F912D8">
      <w:pPr>
        <w:ind w:left="720" w:hanging="720"/>
      </w:pPr>
      <w:r>
        <w:t xml:space="preserve">AusNet, </w:t>
      </w:r>
      <w:r w:rsidRPr="005C0B04">
        <w:rPr>
          <w:i/>
          <w:iCs/>
        </w:rPr>
        <w:t>AusNet trial to look at impact of electrification on vulnerable households</w:t>
      </w:r>
      <w:r>
        <w:t xml:space="preserve">, October 2023. </w:t>
      </w:r>
      <w:hyperlink r:id="rId35">
        <w:r w:rsidRPr="68BCC1AB">
          <w:rPr>
            <w:rStyle w:val="Hyperlink"/>
          </w:rPr>
          <w:t>https://www.ausnetservices.com.au/news/ausnet-trial-to-look-at-impact-of-electrification-on-vulnerable-households</w:t>
        </w:r>
      </w:hyperlink>
      <w:r>
        <w:t xml:space="preserve"> </w:t>
      </w:r>
    </w:p>
    <w:p w14:paraId="74FF3543" w14:textId="77777777" w:rsidR="00F912D8" w:rsidRDefault="00F912D8" w:rsidP="00F912D8">
      <w:pPr>
        <w:ind w:left="720" w:hanging="720"/>
      </w:pPr>
      <w:r>
        <w:t xml:space="preserve">Australian Bureau of Statistics, </w:t>
      </w:r>
      <w:r w:rsidRPr="00E90366">
        <w:rPr>
          <w:i/>
          <w:iCs/>
        </w:rPr>
        <w:t>Monthly Consumer Price Index Indicator</w:t>
      </w:r>
      <w:r>
        <w:t xml:space="preserve">, November 2023. </w:t>
      </w:r>
      <w:hyperlink r:id="rId36">
        <w:r w:rsidRPr="68BCC1AB">
          <w:rPr>
            <w:rStyle w:val="Hyperlink"/>
          </w:rPr>
          <w:t>https://www.abs.gov.au/statistics/economy/price-indexes-and-inflation/monthly-consumer-price-index-indicator/nov-2023</w:t>
        </w:r>
      </w:hyperlink>
      <w:r>
        <w:t xml:space="preserve"> </w:t>
      </w:r>
    </w:p>
    <w:p w14:paraId="7DAB4372" w14:textId="77777777" w:rsidR="00F912D8" w:rsidRPr="005C0B04" w:rsidRDefault="00F912D8" w:rsidP="00F912D8">
      <w:pPr>
        <w:ind w:left="720" w:hanging="720"/>
      </w:pPr>
      <w:r w:rsidRPr="00007B0C">
        <w:t xml:space="preserve">Australian Competition and Consumer Commission, </w:t>
      </w:r>
      <w:r w:rsidRPr="00007B0C">
        <w:rPr>
          <w:i/>
          <w:iCs/>
        </w:rPr>
        <w:t>Inquiry into the National Electricity Market - December 2023 Report</w:t>
      </w:r>
      <w:r w:rsidRPr="00007B0C">
        <w:t>, December 2023.</w:t>
      </w:r>
      <w:r>
        <w:t xml:space="preserve"> </w:t>
      </w:r>
      <w:r w:rsidRPr="00C314EF">
        <w:t>https://www.accc.gov.au/about-us/publications/serial-publications/inquiry-into-the-national-electricity-market-2018-25/inquiry-into-the-national-electricity-market-december-2023-report</w:t>
      </w:r>
      <w:r>
        <w:t xml:space="preserve"> </w:t>
      </w:r>
    </w:p>
    <w:p w14:paraId="2E477336" w14:textId="77777777" w:rsidR="00F912D8" w:rsidRDefault="00F912D8" w:rsidP="00F912D8">
      <w:pPr>
        <w:ind w:left="720" w:hanging="720"/>
      </w:pPr>
      <w:r>
        <w:t xml:space="preserve">Australian Energy Market Operator (AEMO), </w:t>
      </w:r>
      <w:r w:rsidRPr="00F14A63">
        <w:rPr>
          <w:i/>
          <w:iCs/>
        </w:rPr>
        <w:t>2022 Integrated System Plan</w:t>
      </w:r>
      <w:r>
        <w:t xml:space="preserve">, June 2022. </w:t>
      </w:r>
      <w:hyperlink r:id="rId37">
        <w:r w:rsidRPr="68BCC1AB">
          <w:rPr>
            <w:rStyle w:val="Hyperlink"/>
          </w:rPr>
          <w:t>https://aemo.com.au/-/media/files/major-publications/isp/2022/2022-documents/2022-integrated-system-plan-isp.pdf?la=en</w:t>
        </w:r>
      </w:hyperlink>
    </w:p>
    <w:p w14:paraId="061BAFC5" w14:textId="77777777" w:rsidR="00F912D8" w:rsidRDefault="00F912D8" w:rsidP="00F912D8">
      <w:pPr>
        <w:ind w:left="720" w:hanging="720"/>
        <w:rPr>
          <w:rStyle w:val="Hyperlink"/>
        </w:rPr>
      </w:pPr>
      <w:r w:rsidRPr="68BCC1AB">
        <w:rPr>
          <w:spacing w:val="-40"/>
        </w:rPr>
        <w:t>—————</w:t>
      </w:r>
      <w:r w:rsidRPr="68BCC1AB">
        <w:t xml:space="preserve">    </w:t>
      </w:r>
      <w:r w:rsidRPr="00F14A63">
        <w:rPr>
          <w:i/>
          <w:iCs/>
        </w:rPr>
        <w:t>2023 Electricity Statement of Opportunities</w:t>
      </w:r>
      <w:r>
        <w:t xml:space="preserve">, August 2023. </w:t>
      </w:r>
      <w:hyperlink r:id="rId38" w:history="1">
        <w:r w:rsidRPr="00555630">
          <w:rPr>
            <w:rStyle w:val="Hyperlink"/>
          </w:rPr>
          <w:t>https://aemo.com.au/-/media/files/electricity/nem/planning_and_forecasting/nem_esoo/2023/2023-electricitystatement-of-opportunities.pdf?la=en&amp;hash=D8CC2D9AC8D9F353194C9DD117095FB4</w:t>
        </w:r>
      </w:hyperlink>
    </w:p>
    <w:p w14:paraId="6F32C12D" w14:textId="77777777" w:rsidR="00F912D8" w:rsidRDefault="00F912D8" w:rsidP="00F912D8">
      <w:pPr>
        <w:ind w:left="720" w:hanging="720"/>
      </w:pPr>
      <w:r w:rsidRPr="68BCC1AB">
        <w:rPr>
          <w:spacing w:val="-40"/>
        </w:rPr>
        <w:t>—————</w:t>
      </w:r>
      <w:r w:rsidRPr="68BCC1AB">
        <w:t xml:space="preserve">    </w:t>
      </w:r>
      <w:r w:rsidRPr="68BCC1AB">
        <w:rPr>
          <w:i/>
        </w:rPr>
        <w:t>Draft 2024 Integrated System Plan</w:t>
      </w:r>
      <w:r w:rsidRPr="68BCC1AB">
        <w:t xml:space="preserve">, December 2023. </w:t>
      </w:r>
      <w:hyperlink r:id="rId39" w:history="1">
        <w:r w:rsidRPr="68BCC1AB">
          <w:rPr>
            <w:rStyle w:val="Hyperlink"/>
          </w:rPr>
          <w:t>https://aemo.com.au/-/media/files/stakeholder_consultation/consultations/nem-consultations/2023/draft-2024-isp-consultation/draft-2024-isp.pdf?la=en</w:t>
        </w:r>
      </w:hyperlink>
      <w:r w:rsidRPr="68BCC1AB">
        <w:t xml:space="preserve"> </w:t>
      </w:r>
    </w:p>
    <w:p w14:paraId="0929C66D" w14:textId="77777777" w:rsidR="00F912D8" w:rsidRPr="00C964DF" w:rsidRDefault="00F912D8" w:rsidP="00F912D8">
      <w:pPr>
        <w:ind w:left="720" w:hanging="720"/>
        <w:rPr>
          <w:color w:val="0070C0" w:themeColor="hyperlink"/>
          <w:u w:val="single"/>
        </w:rPr>
      </w:pPr>
      <w:r w:rsidRPr="68BCC1AB">
        <w:rPr>
          <w:spacing w:val="-40"/>
        </w:rPr>
        <w:t>—————</w:t>
      </w:r>
      <w:r w:rsidRPr="68BCC1AB">
        <w:t xml:space="preserve">    </w:t>
      </w:r>
      <w:r w:rsidRPr="000B0D06">
        <w:rPr>
          <w:i/>
          <w:iCs/>
        </w:rPr>
        <w:t>What is 5-Minute</w:t>
      </w:r>
      <w:r>
        <w:rPr>
          <w:i/>
          <w:iCs/>
        </w:rPr>
        <w:t xml:space="preserve"> </w:t>
      </w:r>
      <w:r w:rsidRPr="000B0D06">
        <w:rPr>
          <w:i/>
          <w:iCs/>
        </w:rPr>
        <w:t>Settlement (5MS</w:t>
      </w:r>
      <w:proofErr w:type="gramStart"/>
      <w:r w:rsidRPr="000B0D06">
        <w:rPr>
          <w:i/>
          <w:iCs/>
        </w:rPr>
        <w:t>)?</w:t>
      </w:r>
      <w:r>
        <w:t>,</w:t>
      </w:r>
      <w:proofErr w:type="gramEnd"/>
      <w:r>
        <w:t xml:space="preserve"> 2020. </w:t>
      </w:r>
      <w:hyperlink r:id="rId40" w:history="1">
        <w:r w:rsidRPr="00455645">
          <w:rPr>
            <w:rStyle w:val="Hyperlink"/>
          </w:rPr>
          <w:t>https://www.aemo.com.au/-/media/files/electricity/nem/5ms/program-information/2021/5ms-factsheet.pdf</w:t>
        </w:r>
      </w:hyperlink>
      <w:r>
        <w:t xml:space="preserve"> </w:t>
      </w:r>
    </w:p>
    <w:p w14:paraId="22ADE671" w14:textId="77777777" w:rsidR="00F912D8" w:rsidRPr="00C964DF" w:rsidRDefault="00F912D8" w:rsidP="00F912D8">
      <w:pPr>
        <w:ind w:left="720" w:hanging="720"/>
        <w:rPr>
          <w:i/>
        </w:rPr>
      </w:pPr>
      <w:r w:rsidRPr="68BCC1AB">
        <w:rPr>
          <w:spacing w:val="-40"/>
        </w:rPr>
        <w:t>—————</w:t>
      </w:r>
      <w:r w:rsidRPr="68BCC1AB">
        <w:t xml:space="preserve">    </w:t>
      </w:r>
      <w:r w:rsidRPr="00495832">
        <w:rPr>
          <w:i/>
          <w:iCs/>
        </w:rPr>
        <w:t>Wholesale Electricity Market Design Summar</w:t>
      </w:r>
      <w:r>
        <w:rPr>
          <w:i/>
          <w:iCs/>
        </w:rPr>
        <w:t>y</w:t>
      </w:r>
      <w:r>
        <w:t xml:space="preserve">, September 2023. </w:t>
      </w:r>
      <w:hyperlink r:id="rId41" w:history="1">
        <w:r w:rsidRPr="00455645">
          <w:rPr>
            <w:rStyle w:val="Hyperlink"/>
          </w:rPr>
          <w:t>https://aemo.com.au/-/media/files/initiatives/wem-reform-program/wem-reform-market-design-summary.pdf</w:t>
        </w:r>
      </w:hyperlink>
      <w:r>
        <w:t xml:space="preserve"> </w:t>
      </w:r>
    </w:p>
    <w:p w14:paraId="046E424A" w14:textId="77777777" w:rsidR="00F912D8" w:rsidRDefault="00F912D8" w:rsidP="00F912D8">
      <w:pPr>
        <w:ind w:left="720" w:hanging="720"/>
      </w:pPr>
      <w:r>
        <w:t xml:space="preserve">Australian Renewable Energy Agency, </w:t>
      </w:r>
      <w:r w:rsidRPr="005A7885">
        <w:rPr>
          <w:i/>
          <w:iCs/>
        </w:rPr>
        <w:t>Origin Energy Electric Vehicles Smart Charging Trial</w:t>
      </w:r>
      <w:r>
        <w:t xml:space="preserve">. March 2023. </w:t>
      </w:r>
      <w:hyperlink r:id="rId42">
        <w:r w:rsidRPr="68BCC1AB">
          <w:rPr>
            <w:rStyle w:val="Hyperlink"/>
          </w:rPr>
          <w:t>https://arena.gov.au/projects/origin-energy-electric-vehicles-smart-charging-trial/</w:t>
        </w:r>
      </w:hyperlink>
      <w:r>
        <w:t xml:space="preserve"> </w:t>
      </w:r>
    </w:p>
    <w:p w14:paraId="14F1BE11" w14:textId="77777777" w:rsidR="00F912D8" w:rsidRDefault="00F912D8" w:rsidP="00F912D8">
      <w:pPr>
        <w:ind w:left="720" w:hanging="720"/>
      </w:pPr>
      <w:r w:rsidRPr="68BCC1AB">
        <w:rPr>
          <w:spacing w:val="-40"/>
        </w:rPr>
        <w:t>—————</w:t>
      </w:r>
      <w:r w:rsidRPr="68BCC1AB">
        <w:t xml:space="preserve">    </w:t>
      </w:r>
      <w:r>
        <w:rPr>
          <w:i/>
          <w:iCs/>
        </w:rPr>
        <w:t xml:space="preserve">Solar </w:t>
      </w:r>
      <w:r>
        <w:rPr>
          <w:i/>
        </w:rPr>
        <w:t>energy</w:t>
      </w:r>
      <w:r>
        <w:t xml:space="preserve">. January 2024. </w:t>
      </w:r>
      <w:hyperlink r:id="rId43" w:history="1">
        <w:r w:rsidRPr="00455645">
          <w:rPr>
            <w:rStyle w:val="Hyperlink"/>
          </w:rPr>
          <w:t>https://arena.gov.au/renewable-energy/solar</w:t>
        </w:r>
      </w:hyperlink>
      <w:r>
        <w:t xml:space="preserve"> </w:t>
      </w:r>
    </w:p>
    <w:p w14:paraId="191559F6" w14:textId="77777777" w:rsidR="00F912D8" w:rsidRDefault="00F912D8" w:rsidP="00F912D8">
      <w:pPr>
        <w:ind w:left="720" w:hanging="720"/>
      </w:pPr>
      <w:r>
        <w:t xml:space="preserve">Brinsmead, T.S., White, S., Bransden, C., Stanley, C. Hasan, K., Alexander, D., Sprague, M., Northey, J., Walgenwitz, G., Nagrath, K., Briggs, C., Leak, J., Harkins-Small, L., Murray-Leach, R. and Jennings, K. </w:t>
      </w:r>
      <w:r w:rsidRPr="007202C2">
        <w:rPr>
          <w:i/>
          <w:iCs/>
        </w:rPr>
        <w:t xml:space="preserve">Flexible </w:t>
      </w:r>
      <w:proofErr w:type="gramStart"/>
      <w:r w:rsidRPr="007202C2">
        <w:rPr>
          <w:i/>
          <w:iCs/>
        </w:rPr>
        <w:t>demand</w:t>
      </w:r>
      <w:proofErr w:type="gramEnd"/>
      <w:r w:rsidRPr="007202C2">
        <w:rPr>
          <w:i/>
          <w:iCs/>
        </w:rPr>
        <w:t xml:space="preserve"> and demand control. Final report of opportunity assessment for research theme B4</w:t>
      </w:r>
      <w:r>
        <w:t xml:space="preserve">, RACE for 2030 CRC. October 2021. </w:t>
      </w:r>
      <w:hyperlink r:id="rId44">
        <w:r w:rsidRPr="68BCC1AB">
          <w:rPr>
            <w:rStyle w:val="Hyperlink"/>
          </w:rPr>
          <w:t>Flexible demand and demand control. Final report of opportunity assessment for research theme B4</w:t>
        </w:r>
      </w:hyperlink>
    </w:p>
    <w:p w14:paraId="6328E64A" w14:textId="77777777" w:rsidR="00F912D8" w:rsidRPr="00C964DF" w:rsidRDefault="00F912D8" w:rsidP="00F912D8">
      <w:pPr>
        <w:ind w:left="720" w:hanging="720"/>
        <w:rPr>
          <w:i/>
        </w:rPr>
      </w:pPr>
      <w:r>
        <w:lastRenderedPageBreak/>
        <w:t xml:space="preserve">Business Council of Australia, </w:t>
      </w:r>
      <w:r w:rsidRPr="00C964DF">
        <w:rPr>
          <w:i/>
        </w:rPr>
        <w:t>Australia’s investment drought and what to do about it</w:t>
      </w:r>
      <w:r>
        <w:t xml:space="preserve">, March 2023. </w:t>
      </w:r>
      <w:hyperlink r:id="rId45">
        <w:r w:rsidRPr="68BCC1AB">
          <w:rPr>
            <w:rStyle w:val="Hyperlink"/>
          </w:rPr>
          <w:t>https://www.bca.com.au/australia_s_investment_drought</w:t>
        </w:r>
      </w:hyperlink>
      <w:r>
        <w:t xml:space="preserve"> </w:t>
      </w:r>
    </w:p>
    <w:p w14:paraId="3317A05E" w14:textId="77777777" w:rsidR="00F912D8" w:rsidRDefault="00F912D8" w:rsidP="00F912D8">
      <w:pPr>
        <w:ind w:left="720" w:hanging="720"/>
      </w:pPr>
      <w:r w:rsidRPr="007404AF">
        <w:t>Centre for International Economics</w:t>
      </w:r>
      <w:r>
        <w:t xml:space="preserve">, </w:t>
      </w:r>
      <w:proofErr w:type="gramStart"/>
      <w:r w:rsidRPr="00F61EAC">
        <w:rPr>
          <w:i/>
          <w:iCs/>
        </w:rPr>
        <w:t>What</w:t>
      </w:r>
      <w:proofErr w:type="gramEnd"/>
      <w:r w:rsidRPr="00B76B17">
        <w:rPr>
          <w:i/>
          <w:iCs/>
        </w:rPr>
        <w:t xml:space="preserve"> existing economic studies say about Australia’s cost of abatement</w:t>
      </w:r>
      <w:r>
        <w:t xml:space="preserve">, July 2019. </w:t>
      </w:r>
      <w:hyperlink r:id="rId46">
        <w:r w:rsidRPr="68BCC1AB">
          <w:rPr>
            <w:rStyle w:val="Hyperlink"/>
          </w:rPr>
          <w:t>https://www.dcceew.gov.au/sites/default/files/documents/what-existing-economic-studies-say-about-australias-cost-of-abatement_0.pdf</w:t>
        </w:r>
      </w:hyperlink>
      <w:r>
        <w:t xml:space="preserve"> </w:t>
      </w:r>
    </w:p>
    <w:p w14:paraId="2C6FF6D0" w14:textId="77777777" w:rsidR="00F912D8" w:rsidRDefault="00F912D8" w:rsidP="00F912D8">
      <w:pPr>
        <w:ind w:left="720" w:hanging="720"/>
      </w:pPr>
      <w:r>
        <w:t xml:space="preserve">Clean Energy Council, </w:t>
      </w:r>
      <w:r w:rsidRPr="00F61EAC">
        <w:rPr>
          <w:i/>
          <w:iCs/>
        </w:rPr>
        <w:t>Clean Energy Australia Report 2023</w:t>
      </w:r>
      <w:r>
        <w:t xml:space="preserve">, April 2023. </w:t>
      </w:r>
      <w:hyperlink r:id="rId47">
        <w:r w:rsidRPr="68BCC1AB">
          <w:rPr>
            <w:rStyle w:val="Hyperlink"/>
          </w:rPr>
          <w:t>https://assets.cleanenergycouncil.org.au/documents/Clean-Energy-Australia-Report-2023.pdf</w:t>
        </w:r>
      </w:hyperlink>
      <w:r>
        <w:t xml:space="preserve"> </w:t>
      </w:r>
    </w:p>
    <w:p w14:paraId="5E5C5A09" w14:textId="77777777" w:rsidR="00F912D8" w:rsidRPr="005E4C0E" w:rsidRDefault="00F912D8" w:rsidP="00F912D8">
      <w:pPr>
        <w:ind w:left="720" w:hanging="720"/>
      </w:pPr>
      <w:r w:rsidRPr="005E4C0E">
        <w:t>Climateworks Centre and Climate-KIC Australia</w:t>
      </w:r>
      <w:r>
        <w:t>,</w:t>
      </w:r>
      <w:r w:rsidRPr="00F90D60">
        <w:t xml:space="preserve"> Australian Industry Energy Transitions Initiative</w:t>
      </w:r>
      <w:r w:rsidRPr="005E4C0E">
        <w:t xml:space="preserve">, </w:t>
      </w:r>
      <w:r w:rsidRPr="00F65A9C">
        <w:rPr>
          <w:i/>
        </w:rPr>
        <w:t>Pathways to industrial decarbonisation</w:t>
      </w:r>
      <w:r w:rsidRPr="00F65A9C">
        <w:rPr>
          <w:i/>
          <w:iCs/>
        </w:rPr>
        <w:t>: Positioning</w:t>
      </w:r>
      <w:r w:rsidRPr="00F65A9C">
        <w:rPr>
          <w:i/>
        </w:rPr>
        <w:t xml:space="preserve"> Australian </w:t>
      </w:r>
      <w:r w:rsidRPr="00F65A9C">
        <w:rPr>
          <w:i/>
          <w:iCs/>
        </w:rPr>
        <w:t>industry to prosper in a net zero global economy</w:t>
      </w:r>
      <w:r>
        <w:t>,</w:t>
      </w:r>
      <w:r>
        <w:rPr>
          <w:i/>
          <w:iCs/>
        </w:rPr>
        <w:t xml:space="preserve"> </w:t>
      </w:r>
      <w:r>
        <w:t xml:space="preserve">August 2023. </w:t>
      </w:r>
      <w:hyperlink r:id="rId48">
        <w:r w:rsidRPr="68BCC1AB">
          <w:rPr>
            <w:rStyle w:val="Hyperlink"/>
          </w:rPr>
          <w:t>https://www.climateworkscentre.org/resource/pathways-to-industrial-decarbonisation-positioning-australian-industry-to-prosper-in-a-net-zero-global-economy/</w:t>
        </w:r>
      </w:hyperlink>
      <w:r>
        <w:t xml:space="preserve"> </w:t>
      </w:r>
    </w:p>
    <w:p w14:paraId="17F6E842" w14:textId="77777777" w:rsidR="00F912D8" w:rsidRDefault="00F912D8" w:rsidP="00F912D8">
      <w:pPr>
        <w:ind w:left="720" w:hanging="720"/>
      </w:pPr>
      <w:r>
        <w:t xml:space="preserve">Department of Climate Change, Energy, the Environment and Water, </w:t>
      </w:r>
      <w:r>
        <w:rPr>
          <w:i/>
          <w:iCs/>
        </w:rPr>
        <w:t xml:space="preserve">Australian Energy Statistics, </w:t>
      </w:r>
      <w:r>
        <w:t xml:space="preserve">September 2023. </w:t>
      </w:r>
      <w:hyperlink r:id="rId49">
        <w:r w:rsidRPr="68BCC1AB">
          <w:rPr>
            <w:rStyle w:val="Hyperlink"/>
          </w:rPr>
          <w:t>https://www.energy.gov.au/energy-data/australian-energy-statistics</w:t>
        </w:r>
      </w:hyperlink>
      <w:r>
        <w:t xml:space="preserve"> </w:t>
      </w:r>
    </w:p>
    <w:p w14:paraId="7638EF69" w14:textId="77777777" w:rsidR="00F912D8" w:rsidRDefault="00F912D8" w:rsidP="00F912D8">
      <w:pPr>
        <w:ind w:left="720" w:hanging="720"/>
      </w:pPr>
      <w:r w:rsidRPr="68BCC1AB">
        <w:rPr>
          <w:spacing w:val="-40"/>
        </w:rPr>
        <w:t>—————</w:t>
      </w:r>
      <w:r w:rsidRPr="68BCC1AB">
        <w:t xml:space="preserve">    </w:t>
      </w:r>
      <w:r w:rsidRPr="68BCC1AB">
        <w:rPr>
          <w:i/>
        </w:rPr>
        <w:t>Australia’s Emissions Projections 2023</w:t>
      </w:r>
      <w:r w:rsidRPr="68BCC1AB">
        <w:t xml:space="preserve">, November 2023. </w:t>
      </w:r>
      <w:bookmarkStart w:id="200" w:name="_Hlk156820444"/>
      <w:r w:rsidRPr="68BCC1AB">
        <w:fldChar w:fldCharType="begin"/>
      </w:r>
      <w:r>
        <w:instrText>HYPERLINK "https://www.dcceew.gov.au/climate-change/publications/australias-emissions-projections-2023"</w:instrText>
      </w:r>
      <w:r w:rsidRPr="68BCC1AB">
        <w:fldChar w:fldCharType="separate"/>
      </w:r>
      <w:r w:rsidRPr="68BCC1AB">
        <w:rPr>
          <w:rStyle w:val="Hyperlink"/>
        </w:rPr>
        <w:t>https://www.dcceew.gov.au/climate-change/publications/australias-emissions-projections-2023</w:t>
      </w:r>
      <w:r w:rsidRPr="68BCC1AB">
        <w:rPr>
          <w:rStyle w:val="Hyperlink"/>
        </w:rPr>
        <w:fldChar w:fldCharType="end"/>
      </w:r>
      <w:bookmarkEnd w:id="200"/>
      <w:r w:rsidRPr="68BCC1AB">
        <w:t xml:space="preserve"> </w:t>
      </w:r>
    </w:p>
    <w:p w14:paraId="01457B45" w14:textId="77777777" w:rsidR="00F912D8" w:rsidRPr="00F71DF2" w:rsidRDefault="00F912D8" w:rsidP="00F912D8">
      <w:pPr>
        <w:ind w:left="720" w:hanging="720"/>
        <w:rPr>
          <w:iCs/>
        </w:rPr>
      </w:pPr>
      <w:r w:rsidRPr="68BCC1AB">
        <w:rPr>
          <w:spacing w:val="-40"/>
        </w:rPr>
        <w:t>—————</w:t>
      </w:r>
      <w:r w:rsidRPr="68BCC1AB">
        <w:t xml:space="preserve">    </w:t>
      </w:r>
      <w:r w:rsidRPr="68BCC1AB">
        <w:rPr>
          <w:i/>
        </w:rPr>
        <w:t>National Inventory Report 2021</w:t>
      </w:r>
      <w:r w:rsidRPr="68BCC1AB">
        <w:t xml:space="preserve">, April 2023. </w:t>
      </w:r>
      <w:hyperlink r:id="rId50" w:history="1">
        <w:r w:rsidRPr="00CE3509">
          <w:rPr>
            <w:rStyle w:val="Hyperlink"/>
            <w:iCs/>
          </w:rPr>
          <w:t>https://www.dcceew.gov.au/climate-change/publications/national-inventory-report-2021</w:t>
        </w:r>
      </w:hyperlink>
      <w:r>
        <w:rPr>
          <w:iCs/>
        </w:rPr>
        <w:t xml:space="preserve"> </w:t>
      </w:r>
    </w:p>
    <w:p w14:paraId="6196BDBD" w14:textId="77777777" w:rsidR="00F912D8" w:rsidRDefault="00F912D8" w:rsidP="00F912D8">
      <w:pPr>
        <w:ind w:left="720" w:hanging="720"/>
      </w:pPr>
      <w:r w:rsidRPr="68BCC1AB">
        <w:t xml:space="preserve">Energy and Climate Change Ministerial Council, </w:t>
      </w:r>
      <w:r w:rsidRPr="68BCC1AB">
        <w:rPr>
          <w:i/>
        </w:rPr>
        <w:t>Energy and Climate Change Ministerial Council,</w:t>
      </w:r>
      <w:r w:rsidRPr="68BCC1AB">
        <w:t xml:space="preserve"> September 2022. </w:t>
      </w:r>
      <w:hyperlink r:id="rId51">
        <w:r w:rsidRPr="68BCC1AB">
          <w:rPr>
            <w:rStyle w:val="Hyperlink"/>
          </w:rPr>
          <w:t>https://www.energy.gov.au/energy-and-climate-change-ministerial-council</w:t>
        </w:r>
      </w:hyperlink>
    </w:p>
    <w:p w14:paraId="6EF9D3ED" w14:textId="77777777" w:rsidR="00F912D8" w:rsidRDefault="00F912D8" w:rsidP="00F912D8">
      <w:pPr>
        <w:ind w:left="720" w:hanging="720"/>
      </w:pPr>
      <w:r w:rsidRPr="68BCC1AB">
        <w:rPr>
          <w:spacing w:val="-40"/>
        </w:rPr>
        <w:t>—————</w:t>
      </w:r>
      <w:r w:rsidRPr="68BCC1AB">
        <w:t xml:space="preserve">    </w:t>
      </w:r>
      <w:r w:rsidRPr="68BCC1AB">
        <w:rPr>
          <w:i/>
        </w:rPr>
        <w:t>Incorporating an emissions reduction objective into the national energy objectives</w:t>
      </w:r>
      <w:r w:rsidRPr="68BCC1AB">
        <w:t xml:space="preserve">, June 2023. </w:t>
      </w:r>
      <w:hyperlink r:id="rId52" w:history="1">
        <w:r w:rsidRPr="68BCC1AB">
          <w:rPr>
            <w:rStyle w:val="Hyperlink"/>
          </w:rPr>
          <w:t>https://www.energy.gov.au/energy-and-climate-change-ministerial-council/working-groups/governance-working-group/incorporating-emissions-reduction-objective-national-energy-objectives</w:t>
        </w:r>
      </w:hyperlink>
      <w:r w:rsidRPr="68BCC1AB">
        <w:t xml:space="preserve"> </w:t>
      </w:r>
    </w:p>
    <w:p w14:paraId="01440F5B" w14:textId="77777777" w:rsidR="00F912D8" w:rsidRDefault="00F912D8" w:rsidP="00F912D8">
      <w:pPr>
        <w:ind w:left="720" w:hanging="720"/>
      </w:pPr>
      <w:r w:rsidRPr="68BCC1AB">
        <w:rPr>
          <w:spacing w:val="-40"/>
        </w:rPr>
        <w:t>—————</w:t>
      </w:r>
      <w:r w:rsidRPr="68BCC1AB">
        <w:t xml:space="preserve">    </w:t>
      </w:r>
      <w:r w:rsidRPr="68BCC1AB">
        <w:rPr>
          <w:i/>
        </w:rPr>
        <w:t>Meetings and communiques</w:t>
      </w:r>
      <w:r w:rsidRPr="68BCC1AB">
        <w:t xml:space="preserve">, November 2023. </w:t>
      </w:r>
      <w:hyperlink r:id="rId53" w:history="1">
        <w:r w:rsidRPr="68BCC1AB">
          <w:rPr>
            <w:rStyle w:val="Hyperlink"/>
          </w:rPr>
          <w:t>https://www.energy.gov.au/energy-and-climate-change-ministerial-council/meetings-and-communiques</w:t>
        </w:r>
      </w:hyperlink>
      <w:r w:rsidRPr="68BCC1AB">
        <w:t xml:space="preserve"> </w:t>
      </w:r>
    </w:p>
    <w:p w14:paraId="2B0DCB09" w14:textId="77777777" w:rsidR="00F912D8" w:rsidRPr="00543E50" w:rsidRDefault="00F912D8" w:rsidP="00F912D8">
      <w:pPr>
        <w:ind w:left="720" w:hanging="720"/>
        <w:rPr>
          <w:iCs/>
        </w:rPr>
      </w:pPr>
      <w:r>
        <w:rPr>
          <w:iCs/>
        </w:rPr>
        <w:t>E</w:t>
      </w:r>
      <w:r w:rsidRPr="00543E50">
        <w:rPr>
          <w:iCs/>
        </w:rPr>
        <w:t xml:space="preserve">nergy Consumers Australia, </w:t>
      </w:r>
      <w:r w:rsidRPr="00543E50">
        <w:rPr>
          <w:i/>
        </w:rPr>
        <w:t>Sentiment Survey</w:t>
      </w:r>
      <w:r w:rsidRPr="00543E50">
        <w:rPr>
          <w:iCs/>
        </w:rPr>
        <w:t>, December 2023</w:t>
      </w:r>
      <w:r>
        <w:rPr>
          <w:iCs/>
        </w:rPr>
        <w:t xml:space="preserve">. </w:t>
      </w:r>
      <w:hyperlink r:id="rId54">
        <w:r w:rsidRPr="68BCC1AB">
          <w:rPr>
            <w:rStyle w:val="Hyperlink"/>
          </w:rPr>
          <w:t>ecss.energyconsumersaustralia.com.au/sentiment-survey-dec-2023/</w:t>
        </w:r>
      </w:hyperlink>
    </w:p>
    <w:p w14:paraId="4B32DBDB" w14:textId="77777777" w:rsidR="00F912D8" w:rsidRDefault="00F912D8" w:rsidP="00F912D8">
      <w:pPr>
        <w:ind w:left="720" w:hanging="720"/>
        <w:rPr>
          <w:iCs/>
        </w:rPr>
      </w:pPr>
      <w:r w:rsidRPr="68BCC1AB">
        <w:rPr>
          <w:spacing w:val="-40"/>
        </w:rPr>
        <w:t>—————</w:t>
      </w:r>
      <w:r w:rsidRPr="68BCC1AB">
        <w:t xml:space="preserve">    </w:t>
      </w:r>
      <w:r w:rsidRPr="00630B19">
        <w:rPr>
          <w:i/>
        </w:rPr>
        <w:t>Stepping Up: A smother pathway to decarbonising homes</w:t>
      </w:r>
      <w:r w:rsidRPr="00543E50">
        <w:rPr>
          <w:iCs/>
        </w:rPr>
        <w:t>, August 2023</w:t>
      </w:r>
      <w:r>
        <w:rPr>
          <w:iCs/>
        </w:rPr>
        <w:t xml:space="preserve">. </w:t>
      </w:r>
      <w:hyperlink r:id="rId55" w:history="1">
        <w:r w:rsidRPr="00CE3509">
          <w:rPr>
            <w:rStyle w:val="Hyperlink"/>
            <w:iCs/>
          </w:rPr>
          <w:t>https://energyconsumersaustralia.com.au/publications/stepping-up</w:t>
        </w:r>
      </w:hyperlink>
      <w:r>
        <w:rPr>
          <w:iCs/>
        </w:rPr>
        <w:t xml:space="preserve"> </w:t>
      </w:r>
    </w:p>
    <w:p w14:paraId="79293FC0" w14:textId="77777777" w:rsidR="00F912D8" w:rsidRPr="00543E50" w:rsidRDefault="00F912D8" w:rsidP="00F912D8">
      <w:pPr>
        <w:ind w:left="720" w:hanging="720"/>
        <w:rPr>
          <w:iCs/>
        </w:rPr>
      </w:pPr>
      <w:r>
        <w:rPr>
          <w:iCs/>
        </w:rPr>
        <w:t>G</w:t>
      </w:r>
      <w:r w:rsidRPr="00A33E79">
        <w:rPr>
          <w:iCs/>
        </w:rPr>
        <w:t>raham, P</w:t>
      </w:r>
      <w:r>
        <w:rPr>
          <w:iCs/>
        </w:rPr>
        <w:t>.,</w:t>
      </w:r>
      <w:r w:rsidRPr="00A33E79">
        <w:rPr>
          <w:iCs/>
        </w:rPr>
        <w:t xml:space="preserve"> Meher-Homji, Z</w:t>
      </w:r>
      <w:r>
        <w:rPr>
          <w:iCs/>
        </w:rPr>
        <w:t>.,</w:t>
      </w:r>
      <w:r w:rsidRPr="00A33E79">
        <w:rPr>
          <w:iCs/>
        </w:rPr>
        <w:t xml:space="preserve"> Havas, L</w:t>
      </w:r>
      <w:r>
        <w:rPr>
          <w:iCs/>
        </w:rPr>
        <w:t>.,</w:t>
      </w:r>
      <w:r w:rsidRPr="00A33E79">
        <w:rPr>
          <w:iCs/>
        </w:rPr>
        <w:t xml:space="preserve"> Foster, J</w:t>
      </w:r>
      <w:r>
        <w:rPr>
          <w:iCs/>
        </w:rPr>
        <w:t>.</w:t>
      </w:r>
      <w:r w:rsidRPr="00A33E79">
        <w:rPr>
          <w:iCs/>
        </w:rPr>
        <w:t xml:space="preserve">.. </w:t>
      </w:r>
      <w:r w:rsidRPr="00A33E79">
        <w:rPr>
          <w:i/>
        </w:rPr>
        <w:t>Consumer benefits of the energy transition: modelling report</w:t>
      </w:r>
      <w:r w:rsidRPr="00A33E79">
        <w:rPr>
          <w:iCs/>
        </w:rPr>
        <w:t xml:space="preserve">. </w:t>
      </w:r>
      <w:r w:rsidRPr="00070C37">
        <w:rPr>
          <w:iCs/>
        </w:rPr>
        <w:t>Commonwealth Scientific and Industrial Research Organisation</w:t>
      </w:r>
      <w:r>
        <w:rPr>
          <w:iCs/>
        </w:rPr>
        <w:t xml:space="preserve">. July 2023. </w:t>
      </w:r>
      <w:hyperlink r:id="rId56">
        <w:r w:rsidRPr="68BCC1AB">
          <w:rPr>
            <w:rStyle w:val="Hyperlink"/>
          </w:rPr>
          <w:t>https://publications.csiro.au/publications/publication/PIcsiro:EP2023-0538</w:t>
        </w:r>
      </w:hyperlink>
      <w:r>
        <w:t xml:space="preserve"> </w:t>
      </w:r>
    </w:p>
    <w:p w14:paraId="3E7FB385" w14:textId="77777777" w:rsidR="00F912D8" w:rsidRDefault="00F912D8" w:rsidP="00F912D8">
      <w:pPr>
        <w:ind w:left="720" w:hanging="720"/>
      </w:pPr>
      <w:r>
        <w:t xml:space="preserve">International Energy Agency (IEA), </w:t>
      </w:r>
      <w:r w:rsidRPr="00F14A63">
        <w:rPr>
          <w:i/>
          <w:iCs/>
        </w:rPr>
        <w:t>Electrification</w:t>
      </w:r>
      <w:r>
        <w:t xml:space="preserve">, n.d. </w:t>
      </w:r>
      <w:hyperlink r:id="rId57">
        <w:r w:rsidRPr="68BCC1AB">
          <w:rPr>
            <w:rStyle w:val="Hyperlink"/>
          </w:rPr>
          <w:t>https://www.iea.org/energysystem/electricity/electrification</w:t>
        </w:r>
      </w:hyperlink>
    </w:p>
    <w:p w14:paraId="4416B814" w14:textId="77777777" w:rsidR="00F912D8" w:rsidRDefault="00F912D8" w:rsidP="00F912D8">
      <w:pPr>
        <w:ind w:left="720" w:hanging="720"/>
        <w:rPr>
          <w:rStyle w:val="Hyperlink"/>
        </w:rPr>
      </w:pPr>
      <w:r w:rsidRPr="68BCC1AB">
        <w:rPr>
          <w:spacing w:val="-40"/>
        </w:rPr>
        <w:lastRenderedPageBreak/>
        <w:t>—————</w:t>
      </w:r>
      <w:r w:rsidRPr="68BCC1AB">
        <w:t xml:space="preserve">    </w:t>
      </w:r>
      <w:r w:rsidRPr="00F14A63">
        <w:rPr>
          <w:i/>
          <w:iCs/>
        </w:rPr>
        <w:t>Net Zero Roadmap – 2023 Update</w:t>
      </w:r>
      <w:r>
        <w:t xml:space="preserve">, September 2023. </w:t>
      </w:r>
      <w:hyperlink r:id="rId58" w:history="1">
        <w:r w:rsidRPr="00555630">
          <w:rPr>
            <w:rStyle w:val="Hyperlink"/>
          </w:rPr>
          <w:t>https://www.iea.org/reports/netzero-roadmap-a-global-pathway-to-keep-the-15-0c-goal-in-reach</w:t>
        </w:r>
      </w:hyperlink>
    </w:p>
    <w:p w14:paraId="36A0AB09" w14:textId="77777777" w:rsidR="00F912D8" w:rsidRDefault="00F912D8" w:rsidP="00F912D8">
      <w:pPr>
        <w:ind w:left="720" w:hanging="720"/>
        <w:rPr>
          <w:rStyle w:val="Hyperlink"/>
        </w:rPr>
      </w:pPr>
      <w:r w:rsidRPr="68BCC1AB">
        <w:rPr>
          <w:spacing w:val="-40"/>
        </w:rPr>
        <w:t>—————</w:t>
      </w:r>
      <w:r w:rsidRPr="68BCC1AB">
        <w:t xml:space="preserve">    </w:t>
      </w:r>
      <w:r>
        <w:rPr>
          <w:i/>
          <w:iCs/>
        </w:rPr>
        <w:t>World Energy Outlook 2023</w:t>
      </w:r>
      <w:r>
        <w:t xml:space="preserve">, October 2023. </w:t>
      </w:r>
      <w:hyperlink r:id="rId59" w:history="1">
        <w:r w:rsidRPr="00CE3509">
          <w:rPr>
            <w:rStyle w:val="Hyperlink"/>
          </w:rPr>
          <w:t>https://www.iea.org/reports/world-energy-outlook-2023</w:t>
        </w:r>
      </w:hyperlink>
    </w:p>
    <w:p w14:paraId="4CCE54F5" w14:textId="77777777" w:rsidR="00F912D8" w:rsidRDefault="00F912D8" w:rsidP="00F912D8">
      <w:pPr>
        <w:ind w:left="720" w:hanging="720"/>
      </w:pPr>
      <w:r>
        <w:t xml:space="preserve">Jobs and Skills Australia, </w:t>
      </w:r>
      <w:r w:rsidRPr="0044108A">
        <w:rPr>
          <w:i/>
          <w:iCs/>
        </w:rPr>
        <w:t>The Clean Energy Generation</w:t>
      </w:r>
      <w:r>
        <w:t xml:space="preserve">, October 2023. </w:t>
      </w:r>
      <w:hyperlink r:id="rId60">
        <w:r w:rsidRPr="68BCC1AB">
          <w:rPr>
            <w:rStyle w:val="Hyperlink"/>
          </w:rPr>
          <w:t>https://www.jobsandskills.gov.au/publications/the-clean-energy-generation</w:t>
        </w:r>
      </w:hyperlink>
      <w:r>
        <w:t xml:space="preserve"> </w:t>
      </w:r>
    </w:p>
    <w:p w14:paraId="229E08EE" w14:textId="77777777" w:rsidR="00F912D8" w:rsidRDefault="00F912D8" w:rsidP="00F912D8">
      <w:pPr>
        <w:ind w:left="720" w:hanging="720"/>
      </w:pPr>
      <w:r w:rsidRPr="68BCC1AB">
        <w:rPr>
          <w:spacing w:val="-40"/>
        </w:rPr>
        <w:t>—————</w:t>
      </w:r>
      <w:r w:rsidRPr="68BCC1AB">
        <w:t xml:space="preserve">    </w:t>
      </w:r>
      <w:r w:rsidRPr="0074179F">
        <w:t>2023 Skills Priority List</w:t>
      </w:r>
      <w:r>
        <w:t xml:space="preserve">: Key Findings Report, September 2023. </w:t>
      </w:r>
      <w:hyperlink r:id="rId61" w:history="1">
        <w:r w:rsidRPr="00CE3509">
          <w:rPr>
            <w:rStyle w:val="Hyperlink"/>
          </w:rPr>
          <w:t>https://www.jobsandskills.gov.au/data/skills-shortages-analysis</w:t>
        </w:r>
      </w:hyperlink>
      <w:r>
        <w:t xml:space="preserve"> </w:t>
      </w:r>
    </w:p>
    <w:p w14:paraId="23C968B5" w14:textId="77777777" w:rsidR="00F912D8" w:rsidRDefault="00F912D8" w:rsidP="00F912D8">
      <w:pPr>
        <w:ind w:left="720" w:hanging="720"/>
      </w:pPr>
      <w:r>
        <w:t xml:space="preserve">New Zealand Ministry for the Environment, </w:t>
      </w:r>
      <w:r w:rsidRPr="00FD7726">
        <w:rPr>
          <w:i/>
          <w:iCs/>
        </w:rPr>
        <w:t>Marginal abatement cost curves analysis for New Zealand</w:t>
      </w:r>
      <w:r>
        <w:t xml:space="preserve">, January 2020. </w:t>
      </w:r>
      <w:hyperlink r:id="rId62">
        <w:r w:rsidRPr="68BCC1AB">
          <w:rPr>
            <w:rStyle w:val="Hyperlink"/>
          </w:rPr>
          <w:t>https://environment.govt.nz/assets/Publications/Files/marginal-abatement-cost-curves-analysis_0.pdf</w:t>
        </w:r>
      </w:hyperlink>
      <w:r>
        <w:t xml:space="preserve"> </w:t>
      </w:r>
    </w:p>
    <w:p w14:paraId="7C01C6E0" w14:textId="77777777" w:rsidR="00F912D8" w:rsidRDefault="00F912D8" w:rsidP="00F912D8">
      <w:pPr>
        <w:rPr>
          <w:rStyle w:val="Hyperlink"/>
        </w:rPr>
      </w:pPr>
      <w:r w:rsidRPr="004F4566">
        <w:t>U.S. Department of Energy and the U.S. Environmental Protection Agency</w:t>
      </w:r>
      <w:r>
        <w:t xml:space="preserve">, </w:t>
      </w:r>
      <w:r w:rsidRPr="00FA3CEE">
        <w:rPr>
          <w:i/>
          <w:iCs/>
        </w:rPr>
        <w:t>All-Electric Vehicles</w:t>
      </w:r>
      <w:r>
        <w:t xml:space="preserve">, accessed January 2024. </w:t>
      </w:r>
      <w:hyperlink r:id="rId63">
        <w:r w:rsidRPr="68BCC1AB">
          <w:rPr>
            <w:rStyle w:val="Hyperlink"/>
          </w:rPr>
          <w:t>https://www.fueleconomy.gov/feg/evtech.shtml</w:t>
        </w:r>
      </w:hyperlink>
    </w:p>
    <w:p w14:paraId="3D386763" w14:textId="77777777" w:rsidR="00A32152" w:rsidRDefault="00A32152" w:rsidP="00284D14"/>
    <w:sectPr w:rsidR="00A32152">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9591C" w14:textId="77777777" w:rsidR="00AD6895" w:rsidRDefault="00AD6895">
      <w:r>
        <w:separator/>
      </w:r>
    </w:p>
    <w:p w14:paraId="3ADC4776" w14:textId="77777777" w:rsidR="00AD6895" w:rsidRDefault="00AD6895"/>
    <w:p w14:paraId="2FAE4DDD" w14:textId="77777777" w:rsidR="00AD6895" w:rsidRDefault="00AD6895"/>
  </w:endnote>
  <w:endnote w:type="continuationSeparator" w:id="0">
    <w:p w14:paraId="5D17A384" w14:textId="77777777" w:rsidR="00AD6895" w:rsidRDefault="00AD6895">
      <w:r>
        <w:continuationSeparator/>
      </w:r>
    </w:p>
    <w:p w14:paraId="6EE8D651" w14:textId="77777777" w:rsidR="00AD6895" w:rsidRDefault="00AD6895"/>
    <w:p w14:paraId="7572D9AF" w14:textId="77777777" w:rsidR="00AD6895" w:rsidRDefault="00AD6895"/>
  </w:endnote>
  <w:endnote w:type="continuationNotice" w:id="1">
    <w:p w14:paraId="309598D2" w14:textId="77777777" w:rsidR="00AD6895" w:rsidRDefault="00AD6895">
      <w:pPr>
        <w:pStyle w:val="Footer"/>
      </w:pPr>
    </w:p>
    <w:p w14:paraId="76148003" w14:textId="77777777" w:rsidR="00AD6895" w:rsidRDefault="00AD6895"/>
    <w:p w14:paraId="0B7FD71F" w14:textId="77777777" w:rsidR="00AD6895" w:rsidRDefault="00AD68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5C7AF" w14:textId="77777777" w:rsidR="00B861B4" w:rsidRDefault="00D86640">
    <w:pPr>
      <w:pStyle w:val="Footer"/>
    </w:pPr>
    <w:r w:rsidRPr="00D86640">
      <w:t>Department of Climate Change, Energy, the Environment and Water</w:t>
    </w:r>
  </w:p>
  <w:p w14:paraId="789A76C3"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AA63A" w14:textId="77777777" w:rsidR="00AD6895" w:rsidRDefault="00AD6895">
      <w:r>
        <w:separator/>
      </w:r>
    </w:p>
  </w:footnote>
  <w:footnote w:type="continuationSeparator" w:id="0">
    <w:p w14:paraId="1633281C" w14:textId="77777777" w:rsidR="00AD6895" w:rsidRDefault="00AD6895">
      <w:r>
        <w:continuationSeparator/>
      </w:r>
    </w:p>
    <w:p w14:paraId="4396810E" w14:textId="77777777" w:rsidR="00AD6895" w:rsidRDefault="00AD6895"/>
    <w:p w14:paraId="7FE1C97A" w14:textId="77777777" w:rsidR="00AD6895" w:rsidRDefault="00AD6895"/>
  </w:footnote>
  <w:footnote w:type="continuationNotice" w:id="1">
    <w:p w14:paraId="2BCE345C" w14:textId="77777777" w:rsidR="00AD6895" w:rsidRDefault="00AD6895">
      <w:pPr>
        <w:pStyle w:val="Footer"/>
      </w:pPr>
    </w:p>
    <w:p w14:paraId="20BB81CB" w14:textId="77777777" w:rsidR="00AD6895" w:rsidRDefault="00AD6895"/>
    <w:p w14:paraId="546F1074" w14:textId="77777777" w:rsidR="00AD6895" w:rsidRDefault="00AD6895"/>
  </w:footnote>
  <w:footnote w:id="2">
    <w:p w14:paraId="4D194D0F" w14:textId="55CB2651" w:rsidR="008C1F94" w:rsidRDefault="008C1F94" w:rsidP="008C1F94">
      <w:pPr>
        <w:pStyle w:val="FootnoteText"/>
      </w:pPr>
      <w:r>
        <w:rPr>
          <w:rStyle w:val="FootnoteReference"/>
        </w:rPr>
        <w:footnoteRef/>
      </w:r>
      <w:r>
        <w:t xml:space="preserve"> </w:t>
      </w:r>
      <w:r w:rsidR="004C19C9">
        <w:t>Department of Climate Change, Energy, the Environment and Water (</w:t>
      </w:r>
      <w:r>
        <w:t>DCCEEW</w:t>
      </w:r>
      <w:r w:rsidR="004C19C9">
        <w:t>)</w:t>
      </w:r>
      <w:r>
        <w:t>,</w:t>
      </w:r>
      <w:r w:rsidRPr="00D5102E">
        <w:t xml:space="preserve"> </w:t>
      </w:r>
      <w:hyperlink r:id="rId1" w:history="1">
        <w:r w:rsidRPr="00FB32E2">
          <w:rPr>
            <w:rStyle w:val="Hyperlink"/>
          </w:rPr>
          <w:t>Australian Energy Update 2023</w:t>
        </w:r>
      </w:hyperlink>
      <w:r w:rsidRPr="00FB32E2">
        <w:t xml:space="preserve">, </w:t>
      </w:r>
      <w:r w:rsidRPr="00D5102E">
        <w:t>September 2023.</w:t>
      </w:r>
    </w:p>
  </w:footnote>
  <w:footnote w:id="3">
    <w:p w14:paraId="5EAE1E46" w14:textId="77777777" w:rsidR="008C1F94" w:rsidRDefault="008C1F94" w:rsidP="008C1F94">
      <w:pPr>
        <w:pStyle w:val="FootnoteText"/>
      </w:pPr>
      <w:r>
        <w:rPr>
          <w:rStyle w:val="FootnoteReference"/>
        </w:rPr>
        <w:footnoteRef/>
      </w:r>
      <w:r>
        <w:t xml:space="preserve"> Australian Energy Market Operator (AEMO), </w:t>
      </w:r>
      <w:hyperlink r:id="rId2" w:history="1">
        <w:r w:rsidRPr="00FB32E2">
          <w:rPr>
            <w:rStyle w:val="Hyperlink"/>
          </w:rPr>
          <w:t>Draft 2024 ISP Consultatio</w:t>
        </w:r>
        <w:r w:rsidRPr="004D7363">
          <w:rPr>
            <w:rStyle w:val="Hyperlink"/>
            <w:i/>
            <w:iCs/>
          </w:rPr>
          <w:t>n</w:t>
        </w:r>
      </w:hyperlink>
      <w:r>
        <w:t>, December 2023.</w:t>
      </w:r>
    </w:p>
  </w:footnote>
  <w:footnote w:id="4">
    <w:p w14:paraId="58CC5DDC" w14:textId="77777777" w:rsidR="008C1F94" w:rsidRDefault="008C1F94" w:rsidP="008C1F94">
      <w:pPr>
        <w:pStyle w:val="FootnoteText"/>
      </w:pPr>
      <w:r>
        <w:rPr>
          <w:rStyle w:val="FootnoteReference"/>
        </w:rPr>
        <w:footnoteRef/>
      </w:r>
      <w:r>
        <w:t xml:space="preserve"> DCCEEW, </w:t>
      </w:r>
      <w:hyperlink r:id="rId3" w:history="1">
        <w:r w:rsidRPr="004A67A0">
          <w:rPr>
            <w:rStyle w:val="Hyperlink"/>
          </w:rPr>
          <w:t>National Greenhouse Gas Inventory Quarterly Update: June 2023</w:t>
        </w:r>
      </w:hyperlink>
      <w:r>
        <w:t>, November 2023.</w:t>
      </w:r>
    </w:p>
  </w:footnote>
  <w:footnote w:id="5">
    <w:p w14:paraId="3339B97C" w14:textId="77777777" w:rsidR="008C1F94" w:rsidRDefault="008C1F94" w:rsidP="008C1F94">
      <w:pPr>
        <w:pStyle w:val="FootnoteText"/>
      </w:pPr>
      <w:r>
        <w:rPr>
          <w:rStyle w:val="FootnoteReference"/>
        </w:rPr>
        <w:footnoteRef/>
      </w:r>
      <w:r>
        <w:t xml:space="preserve"> DCCEEW, </w:t>
      </w:r>
      <w:hyperlink r:id="rId4" w:history="1">
        <w:r w:rsidRPr="004A67A0">
          <w:rPr>
            <w:rStyle w:val="Hyperlink"/>
          </w:rPr>
          <w:t>Australian Energy Statistic</w:t>
        </w:r>
        <w:r w:rsidRPr="00FB32E2">
          <w:rPr>
            <w:rStyle w:val="Hyperlink"/>
            <w:i/>
          </w:rPr>
          <w:t>s</w:t>
        </w:r>
      </w:hyperlink>
      <w:r>
        <w:t>, September 2023.</w:t>
      </w:r>
    </w:p>
  </w:footnote>
  <w:footnote w:id="6">
    <w:p w14:paraId="488D877D" w14:textId="77777777" w:rsidR="008C1F94" w:rsidRDefault="008C1F94" w:rsidP="008C1F94">
      <w:pPr>
        <w:pStyle w:val="FootnoteText"/>
      </w:pPr>
      <w:r>
        <w:rPr>
          <w:rStyle w:val="FootnoteReference"/>
        </w:rPr>
        <w:footnoteRef/>
      </w:r>
      <w:r>
        <w:t xml:space="preserve"> </w:t>
      </w:r>
      <w:r w:rsidRPr="0089072E">
        <w:t>Australian Renewable Energy Agency</w:t>
      </w:r>
      <w:r>
        <w:t xml:space="preserve"> (ARENA)</w:t>
      </w:r>
      <w:r w:rsidRPr="0089072E">
        <w:t xml:space="preserve">, </w:t>
      </w:r>
      <w:hyperlink r:id="rId5" w:history="1">
        <w:r w:rsidRPr="004A67A0">
          <w:rPr>
            <w:rStyle w:val="Hyperlink"/>
          </w:rPr>
          <w:t>Solar energy</w:t>
        </w:r>
      </w:hyperlink>
      <w:r>
        <w:t>,</w:t>
      </w:r>
      <w:r w:rsidRPr="0089072E">
        <w:t xml:space="preserve"> January 2024.</w:t>
      </w:r>
    </w:p>
  </w:footnote>
  <w:footnote w:id="7">
    <w:p w14:paraId="08DF52F6" w14:textId="77777777" w:rsidR="006840EE" w:rsidRPr="00A74958" w:rsidRDefault="006840EE" w:rsidP="006840EE">
      <w:pPr>
        <w:pStyle w:val="FootnoteText"/>
      </w:pPr>
      <w:r>
        <w:rPr>
          <w:rStyle w:val="FootnoteReference"/>
        </w:rPr>
        <w:footnoteRef/>
      </w:r>
      <w:r>
        <w:t xml:space="preserve"> DCCEEW,</w:t>
      </w:r>
      <w:r w:rsidRPr="004A67A0">
        <w:t xml:space="preserve"> </w:t>
      </w:r>
      <w:hyperlink r:id="rId6" w:history="1">
        <w:r w:rsidRPr="00574016">
          <w:rPr>
            <w:rStyle w:val="Hyperlink"/>
          </w:rPr>
          <w:t>Australia’s emissions projections 2023</w:t>
        </w:r>
      </w:hyperlink>
      <w:r w:rsidRPr="004A67A0">
        <w:t>,</w:t>
      </w:r>
      <w:r>
        <w:t xml:space="preserve"> September 2023.</w:t>
      </w:r>
    </w:p>
  </w:footnote>
  <w:footnote w:id="8">
    <w:p w14:paraId="7A7E56DE" w14:textId="77777777" w:rsidR="006840EE" w:rsidRDefault="006840EE" w:rsidP="006840EE">
      <w:pPr>
        <w:pStyle w:val="FootnoteText"/>
      </w:pPr>
      <w:r>
        <w:rPr>
          <w:rStyle w:val="FootnoteReference"/>
        </w:rPr>
        <w:footnoteRef/>
      </w:r>
      <w:r>
        <w:t xml:space="preserve"> A full list of state and territory initiatives are included in Part 5 of the </w:t>
      </w:r>
      <w:hyperlink r:id="rId7" w:history="1">
        <w:r w:rsidRPr="003E48AE">
          <w:rPr>
            <w:rStyle w:val="Hyperlink"/>
          </w:rPr>
          <w:t>Annual Climate Change Statement 2023</w:t>
        </w:r>
      </w:hyperlink>
      <w:r>
        <w:t xml:space="preserve">. </w:t>
      </w:r>
    </w:p>
  </w:footnote>
  <w:footnote w:id="9">
    <w:p w14:paraId="23BDC738" w14:textId="77777777" w:rsidR="00185909" w:rsidRDefault="00185909" w:rsidP="00185909">
      <w:pPr>
        <w:pStyle w:val="FootnoteText"/>
      </w:pPr>
      <w:r>
        <w:rPr>
          <w:rStyle w:val="FootnoteReference"/>
        </w:rPr>
        <w:footnoteRef/>
      </w:r>
      <w:r>
        <w:t xml:space="preserve"> See for example Climateworks Centre and Climate-KIC Australia, Australian Industry Energy Transitions Initiative (ETI), </w:t>
      </w:r>
      <w:hyperlink r:id="rId8" w:history="1">
        <w:r w:rsidRPr="003A5079">
          <w:rPr>
            <w:rStyle w:val="Hyperlink"/>
          </w:rPr>
          <w:t>Pathways to industrial decarbonisation: Positioning Australian industry to prosper in a net zero global economy</w:t>
        </w:r>
      </w:hyperlink>
      <w:r>
        <w:t xml:space="preserve">, </w:t>
      </w:r>
      <w:r w:rsidRPr="003A5079">
        <w:t xml:space="preserve">August 2023. </w:t>
      </w:r>
      <w:r>
        <w:t xml:space="preserve"> </w:t>
      </w:r>
    </w:p>
  </w:footnote>
  <w:footnote w:id="10">
    <w:p w14:paraId="429066F1" w14:textId="77777777" w:rsidR="00185909" w:rsidRPr="00134FB0" w:rsidRDefault="00185909" w:rsidP="00185909">
      <w:pPr>
        <w:pStyle w:val="FootnoteText"/>
      </w:pPr>
      <w:r>
        <w:rPr>
          <w:rStyle w:val="FootnoteReference"/>
        </w:rPr>
        <w:footnoteRef/>
      </w:r>
      <w:r>
        <w:t xml:space="preserve"> Business Council of Australia, </w:t>
      </w:r>
      <w:hyperlink r:id="rId9" w:history="1">
        <w:r w:rsidRPr="00FB32E2">
          <w:rPr>
            <w:rStyle w:val="Hyperlink"/>
          </w:rPr>
          <w:t>Australia’s investment drought and what to do about it</w:t>
        </w:r>
      </w:hyperlink>
      <w:r w:rsidRPr="004A67A0">
        <w:t>,</w:t>
      </w:r>
      <w:r>
        <w:t xml:space="preserve"> </w:t>
      </w:r>
      <w:r w:rsidRPr="001C745D">
        <w:t>March 2023.</w:t>
      </w:r>
    </w:p>
  </w:footnote>
  <w:footnote w:id="11">
    <w:p w14:paraId="02019638" w14:textId="28A3E3FE" w:rsidR="00725B11" w:rsidRDefault="00725B11">
      <w:pPr>
        <w:pStyle w:val="FootnoteText"/>
      </w:pPr>
      <w:r>
        <w:rPr>
          <w:rStyle w:val="FootnoteReference"/>
        </w:rPr>
        <w:footnoteRef/>
      </w:r>
      <w:r>
        <w:t xml:space="preserve"> </w:t>
      </w:r>
      <w:r w:rsidR="00DC19DE">
        <w:t xml:space="preserve">Andrew Dyer, Australian Energy Infrastructure Commissioner, </w:t>
      </w:r>
      <w:hyperlink r:id="rId10" w:history="1">
        <w:r w:rsidR="006500B8">
          <w:rPr>
            <w:rStyle w:val="Hyperlink"/>
          </w:rPr>
          <w:t>Community Engagement Review Report</w:t>
        </w:r>
        <w:r w:rsidR="006500B8" w:rsidRPr="00B141BC">
          <w:t>,</w:t>
        </w:r>
      </w:hyperlink>
      <w:r w:rsidR="006500B8">
        <w:t xml:space="preserve"> 2023.</w:t>
      </w:r>
    </w:p>
  </w:footnote>
  <w:footnote w:id="12">
    <w:p w14:paraId="38C9FCD9" w14:textId="1528BCBB" w:rsidR="00185909" w:rsidRDefault="00185909" w:rsidP="00185909">
      <w:pPr>
        <w:pStyle w:val="FootnoteText"/>
      </w:pPr>
      <w:r>
        <w:rPr>
          <w:rStyle w:val="FootnoteReference"/>
        </w:rPr>
        <w:footnoteRef/>
      </w:r>
      <w:r>
        <w:t xml:space="preserve"> OECD, </w:t>
      </w:r>
      <w:hyperlink r:id="rId11" w:history="1">
        <w:r>
          <w:rPr>
            <w:rStyle w:val="Hyperlink"/>
          </w:rPr>
          <w:t>Net Zero+: Climate and Economic Resilience in a Changing World (Chapter</w:t>
        </w:r>
      </w:hyperlink>
      <w:r w:rsidRPr="00FB32E2">
        <w:rPr>
          <w:rStyle w:val="Hyperlink"/>
        </w:rPr>
        <w:t xml:space="preserve"> 7)</w:t>
      </w:r>
      <w:r w:rsidRPr="00F72984">
        <w:t>,</w:t>
      </w:r>
      <w:r>
        <w:t xml:space="preserve"> May 2023.</w:t>
      </w:r>
    </w:p>
  </w:footnote>
  <w:footnote w:id="13">
    <w:p w14:paraId="37F5EDBE" w14:textId="77777777" w:rsidR="00185909" w:rsidRDefault="00185909" w:rsidP="00185909">
      <w:pPr>
        <w:pStyle w:val="FootnoteText"/>
      </w:pPr>
      <w:r>
        <w:rPr>
          <w:rStyle w:val="FootnoteReference"/>
        </w:rPr>
        <w:footnoteRef/>
      </w:r>
      <w:r>
        <w:t xml:space="preserve"> DCCEEW, </w:t>
      </w:r>
      <w:hyperlink r:id="rId12" w:history="1">
        <w:r>
          <w:rPr>
            <w:rStyle w:val="Hyperlink"/>
          </w:rPr>
          <w:t>First Nations Clean Energy Strategy: Consultation Paper,</w:t>
        </w:r>
      </w:hyperlink>
      <w:r>
        <w:t xml:space="preserve"> November 2023.</w:t>
      </w:r>
    </w:p>
  </w:footnote>
  <w:footnote w:id="14">
    <w:p w14:paraId="70AE74DA" w14:textId="56C79293" w:rsidR="00185909" w:rsidRDefault="00185909" w:rsidP="00185909">
      <w:pPr>
        <w:pStyle w:val="FootnoteText"/>
      </w:pPr>
      <w:r>
        <w:rPr>
          <w:rStyle w:val="FootnoteReference"/>
        </w:rPr>
        <w:footnoteRef/>
      </w:r>
      <w:r>
        <w:t xml:space="preserve"> AEMO, </w:t>
      </w:r>
      <w:hyperlink r:id="rId13" w:history="1">
        <w:r w:rsidRPr="001C745D">
          <w:rPr>
            <w:rStyle w:val="Hyperlink"/>
          </w:rPr>
          <w:t>What is 5-Minute Settlement (5MS)?</w:t>
        </w:r>
      </w:hyperlink>
      <w:r w:rsidRPr="001C745D">
        <w:t>, 2020</w:t>
      </w:r>
      <w:r w:rsidR="00F72984">
        <w:t>.</w:t>
      </w:r>
    </w:p>
  </w:footnote>
  <w:footnote w:id="15">
    <w:p w14:paraId="6FC5BF6F" w14:textId="56DD17B1" w:rsidR="00185909" w:rsidRDefault="00185909" w:rsidP="00185909">
      <w:pPr>
        <w:pStyle w:val="FootnoteText"/>
      </w:pPr>
      <w:r>
        <w:rPr>
          <w:rStyle w:val="FootnoteReference"/>
        </w:rPr>
        <w:footnoteRef/>
      </w:r>
      <w:r>
        <w:t xml:space="preserve"> AEMO, </w:t>
      </w:r>
      <w:hyperlink r:id="rId14" w:history="1">
        <w:r w:rsidRPr="00584C8E">
          <w:rPr>
            <w:rStyle w:val="Hyperlink"/>
          </w:rPr>
          <w:t>Wholesale Electricity Market Design Summar</w:t>
        </w:r>
        <w:r>
          <w:rPr>
            <w:rStyle w:val="Hyperlink"/>
          </w:rPr>
          <w:t>y (</w:t>
        </w:r>
        <w:r w:rsidR="00425C8B">
          <w:rPr>
            <w:rStyle w:val="Hyperlink"/>
          </w:rPr>
          <w:t>3.3MB</w:t>
        </w:r>
        <w:r>
          <w:rPr>
            <w:rStyle w:val="Hyperlink"/>
          </w:rPr>
          <w:t>)</w:t>
        </w:r>
      </w:hyperlink>
      <w:r w:rsidRPr="00584C8E">
        <w:t>, September 2023.</w:t>
      </w:r>
    </w:p>
  </w:footnote>
  <w:footnote w:id="16">
    <w:p w14:paraId="104E096D" w14:textId="7AE2BF42" w:rsidR="00185909" w:rsidRDefault="00185909" w:rsidP="00185909">
      <w:pPr>
        <w:pStyle w:val="FootnoteText"/>
      </w:pPr>
      <w:r>
        <w:rPr>
          <w:rStyle w:val="FootnoteReference"/>
        </w:rPr>
        <w:footnoteRef/>
      </w:r>
      <w:r>
        <w:t xml:space="preserve"> </w:t>
      </w:r>
      <w:r w:rsidR="00D8280D">
        <w:t xml:space="preserve">Energy and Climate Ministerial Council (ECMC), </w:t>
      </w:r>
      <w:hyperlink r:id="rId15" w:history="1">
        <w:r w:rsidRPr="00565C42">
          <w:rPr>
            <w:rStyle w:val="Hyperlink"/>
          </w:rPr>
          <w:t>Energy and Climate Change Ministerial Council</w:t>
        </w:r>
      </w:hyperlink>
      <w:r w:rsidRPr="00584C8E">
        <w:t>,</w:t>
      </w:r>
      <w:r>
        <w:t xml:space="preserve"> </w:t>
      </w:r>
      <w:r w:rsidRPr="00584C8E">
        <w:t>September 2022</w:t>
      </w:r>
      <w:r>
        <w:t>.</w:t>
      </w:r>
    </w:p>
  </w:footnote>
  <w:footnote w:id="17">
    <w:p w14:paraId="1CCC5711" w14:textId="77777777" w:rsidR="00185909" w:rsidRDefault="00185909" w:rsidP="00185909">
      <w:pPr>
        <w:pStyle w:val="FootnoteText"/>
      </w:pPr>
      <w:r>
        <w:rPr>
          <w:rStyle w:val="FootnoteReference"/>
        </w:rPr>
        <w:footnoteRef/>
      </w:r>
      <w:r>
        <w:t xml:space="preserve"> ECMC, </w:t>
      </w:r>
      <w:hyperlink r:id="rId16" w:history="1">
        <w:r w:rsidRPr="00FC1EA9">
          <w:rPr>
            <w:rStyle w:val="Hyperlink"/>
          </w:rPr>
          <w:t>Incorporating an emissions reduction objective into the national energy objectives</w:t>
        </w:r>
        <w:r w:rsidRPr="003C71FF">
          <w:t>,</w:t>
        </w:r>
      </w:hyperlink>
      <w:r w:rsidRPr="00FC1EA9">
        <w:t xml:space="preserve"> June 2023. </w:t>
      </w:r>
    </w:p>
  </w:footnote>
  <w:footnote w:id="18">
    <w:p w14:paraId="6634F10E" w14:textId="77777777" w:rsidR="00185909" w:rsidRDefault="00185909" w:rsidP="00185909">
      <w:pPr>
        <w:pStyle w:val="FootnoteText"/>
      </w:pPr>
      <w:r>
        <w:rPr>
          <w:rStyle w:val="FootnoteReference"/>
        </w:rPr>
        <w:footnoteRef/>
      </w:r>
      <w:r>
        <w:t xml:space="preserve">AEMC, </w:t>
      </w:r>
      <w:hyperlink r:id="rId17" w:history="1">
        <w:r w:rsidRPr="004D29A2">
          <w:rPr>
            <w:rStyle w:val="Hyperlink"/>
          </w:rPr>
          <w:t xml:space="preserve">Transmission access reform </w:t>
        </w:r>
        <w:r>
          <w:rPr>
            <w:rStyle w:val="Hyperlink"/>
          </w:rPr>
          <w:t>landing page</w:t>
        </w:r>
      </w:hyperlink>
      <w:r>
        <w:t xml:space="preserve">. </w:t>
      </w:r>
    </w:p>
  </w:footnote>
  <w:footnote w:id="19">
    <w:p w14:paraId="181083AD" w14:textId="77777777" w:rsidR="00185909" w:rsidRDefault="00185909" w:rsidP="00185909">
      <w:pPr>
        <w:pStyle w:val="FootnoteText"/>
      </w:pPr>
      <w:r>
        <w:rPr>
          <w:rStyle w:val="FootnoteReference"/>
        </w:rPr>
        <w:footnoteRef/>
      </w:r>
      <w:r>
        <w:t xml:space="preserve"> DCCEEW, </w:t>
      </w:r>
      <w:hyperlink r:id="rId18" w:history="1">
        <w:r w:rsidRPr="00DC43B2">
          <w:rPr>
            <w:rStyle w:val="Hyperlink"/>
          </w:rPr>
          <w:t>Australian Energy Statistics</w:t>
        </w:r>
      </w:hyperlink>
      <w:r>
        <w:t>, September 2023.</w:t>
      </w:r>
    </w:p>
  </w:footnote>
  <w:footnote w:id="20">
    <w:p w14:paraId="4C98324E" w14:textId="77777777" w:rsidR="00185909" w:rsidRDefault="00185909" w:rsidP="00185909">
      <w:pPr>
        <w:pStyle w:val="FootnoteText"/>
      </w:pPr>
      <w:r>
        <w:rPr>
          <w:rStyle w:val="FootnoteReference"/>
        </w:rPr>
        <w:footnoteRef/>
      </w:r>
      <w:r>
        <w:t xml:space="preserve"> Climateworks Centre and Climate-KIC Australia, Australian Industry Energy Transitions Initiative, </w:t>
      </w:r>
      <w:hyperlink r:id="rId19" w:history="1">
        <w:r w:rsidRPr="003A5079">
          <w:rPr>
            <w:rStyle w:val="Hyperlink"/>
          </w:rPr>
          <w:t>Pathways to industrial decarbonisation: Positioning Australian industry to prosper in a net zero global economy</w:t>
        </w:r>
      </w:hyperlink>
      <w:r>
        <w:t xml:space="preserve">, </w:t>
      </w:r>
      <w:r w:rsidRPr="003A5079">
        <w:t>August 2023.</w:t>
      </w:r>
    </w:p>
  </w:footnote>
  <w:footnote w:id="21">
    <w:p w14:paraId="05CEA57E" w14:textId="77777777" w:rsidR="00185909" w:rsidRDefault="00185909" w:rsidP="00185909">
      <w:pPr>
        <w:pStyle w:val="FootnoteText"/>
      </w:pPr>
      <w:r>
        <w:rPr>
          <w:rStyle w:val="FootnoteReference"/>
        </w:rPr>
        <w:footnoteRef/>
      </w:r>
      <w:r>
        <w:t xml:space="preserve"> International Energy Agency, </w:t>
      </w:r>
      <w:hyperlink r:id="rId20" w:history="1">
        <w:r w:rsidRPr="00D441D2">
          <w:rPr>
            <w:rStyle w:val="Hyperlink"/>
          </w:rPr>
          <w:t>World Energy Outlook 2023</w:t>
        </w:r>
      </w:hyperlink>
      <w:r>
        <w:t>, October 2023, Figure 3.4.</w:t>
      </w:r>
    </w:p>
  </w:footnote>
  <w:footnote w:id="22">
    <w:p w14:paraId="63AF8D5E" w14:textId="77777777" w:rsidR="00185909" w:rsidRDefault="00185909" w:rsidP="00185909">
      <w:pPr>
        <w:pStyle w:val="FootnoteText"/>
      </w:pPr>
      <w:r>
        <w:rPr>
          <w:rStyle w:val="FootnoteReference"/>
        </w:rPr>
        <w:footnoteRef/>
      </w:r>
      <w:r>
        <w:t xml:space="preserve"> </w:t>
      </w:r>
      <w:r w:rsidRPr="004F4566">
        <w:t>U.S. Department of Energy and the U.S. Environmental Protection Agency</w:t>
      </w:r>
      <w:r>
        <w:t xml:space="preserve">, </w:t>
      </w:r>
      <w:hyperlink r:id="rId21" w:history="1">
        <w:r w:rsidRPr="00507516">
          <w:rPr>
            <w:rStyle w:val="Hyperlink"/>
          </w:rPr>
          <w:t>All-</w:t>
        </w:r>
        <w:r>
          <w:rPr>
            <w:rStyle w:val="Hyperlink"/>
          </w:rPr>
          <w:t>E</w:t>
        </w:r>
        <w:r w:rsidRPr="00507516">
          <w:rPr>
            <w:rStyle w:val="Hyperlink"/>
          </w:rPr>
          <w:t xml:space="preserve">lectric </w:t>
        </w:r>
        <w:r>
          <w:rPr>
            <w:rStyle w:val="Hyperlink"/>
          </w:rPr>
          <w:t>V</w:t>
        </w:r>
        <w:r w:rsidRPr="00507516">
          <w:rPr>
            <w:rStyle w:val="Hyperlink"/>
          </w:rPr>
          <w:t>ehicles</w:t>
        </w:r>
      </w:hyperlink>
      <w:r>
        <w:t>, accessed January 2024.</w:t>
      </w:r>
    </w:p>
  </w:footnote>
  <w:footnote w:id="23">
    <w:p w14:paraId="60CF2AA2" w14:textId="77777777" w:rsidR="00185909" w:rsidRDefault="00185909" w:rsidP="00185909">
      <w:pPr>
        <w:pStyle w:val="FootnoteText"/>
      </w:pPr>
      <w:r>
        <w:rPr>
          <w:rStyle w:val="FootnoteReference"/>
        </w:rPr>
        <w:footnoteRef/>
      </w:r>
      <w:r>
        <w:t xml:space="preserve"> DCCEEW, </w:t>
      </w:r>
      <w:hyperlink r:id="rId22" w:anchor=":~:text=In%20the%2010%20years%20since,billion%20in%20reduced%20energy%20bills." w:history="1">
        <w:r>
          <w:rPr>
            <w:rStyle w:val="Hyperlink"/>
          </w:rPr>
          <w:t>It’s now easier to sell energy-efficient appliances</w:t>
        </w:r>
      </w:hyperlink>
      <w:r>
        <w:t>, September 2023.</w:t>
      </w:r>
    </w:p>
  </w:footnote>
  <w:footnote w:id="24">
    <w:p w14:paraId="06A380BE" w14:textId="77777777" w:rsidR="00185909" w:rsidRDefault="00185909" w:rsidP="00185909">
      <w:pPr>
        <w:pStyle w:val="FootnoteText"/>
      </w:pPr>
      <w:r>
        <w:rPr>
          <w:rStyle w:val="FootnoteReference"/>
        </w:rPr>
        <w:footnoteRef/>
      </w:r>
      <w:r>
        <w:t xml:space="preserve"> </w:t>
      </w:r>
      <w:r w:rsidRPr="007F6558">
        <w:t xml:space="preserve">See for </w:t>
      </w:r>
      <w:r w:rsidRPr="00FB32E2">
        <w:t>example</w:t>
      </w:r>
      <w:r w:rsidRPr="007F6558">
        <w:rPr>
          <w:i/>
          <w:iCs/>
        </w:rPr>
        <w:t xml:space="preserve"> </w:t>
      </w:r>
      <w:hyperlink r:id="rId23" w:history="1">
        <w:r w:rsidRPr="00FB32E2">
          <w:rPr>
            <w:rStyle w:val="Hyperlink"/>
          </w:rPr>
          <w:t>Flexible demand and demand control technology and development</w:t>
        </w:r>
      </w:hyperlink>
      <w:r w:rsidRPr="007F6558">
        <w:t>, RACE for 2030 CRC, 2021.</w:t>
      </w:r>
    </w:p>
  </w:footnote>
  <w:footnote w:id="25">
    <w:p w14:paraId="498E9E1D" w14:textId="77777777" w:rsidR="00185909" w:rsidRDefault="00185909" w:rsidP="00185909">
      <w:pPr>
        <w:pStyle w:val="FootnoteText"/>
      </w:pPr>
      <w:r>
        <w:rPr>
          <w:rStyle w:val="FootnoteReference"/>
        </w:rPr>
        <w:footnoteRef/>
      </w:r>
      <w:r>
        <w:t xml:space="preserve"> Examples include </w:t>
      </w:r>
      <w:hyperlink r:id="rId24" w:anchor=":~:text=Electrify%20Now%20is%20an%20Australian,reduce%20their%20home's%20carbon%20emissions." w:history="1">
        <w:r w:rsidRPr="009A482D">
          <w:rPr>
            <w:rStyle w:val="Hyperlink"/>
          </w:rPr>
          <w:t>AGL’s Electrify Now program</w:t>
        </w:r>
      </w:hyperlink>
      <w:r>
        <w:t xml:space="preserve">, </w:t>
      </w:r>
      <w:hyperlink r:id="rId25" w:history="1">
        <w:r w:rsidRPr="009A482D">
          <w:rPr>
            <w:rStyle w:val="Hyperlink"/>
          </w:rPr>
          <w:t>AusNet’s trial</w:t>
        </w:r>
      </w:hyperlink>
      <w:r w:rsidRPr="000F7A63">
        <w:t xml:space="preserve"> to determine how vulnerable households can benefit from electrification</w:t>
      </w:r>
      <w:r>
        <w:t xml:space="preserve">, and </w:t>
      </w:r>
      <w:hyperlink r:id="rId26" w:history="1">
        <w:r w:rsidRPr="002B2C95">
          <w:rPr>
            <w:rStyle w:val="Hyperlink"/>
          </w:rPr>
          <w:t>Origin Energy’s Electric Vehicles Smart Charging Trial</w:t>
        </w:r>
      </w:hyperlink>
      <w:r w:rsidRPr="003C71FF">
        <w:t>.</w:t>
      </w:r>
    </w:p>
  </w:footnote>
  <w:footnote w:id="26">
    <w:p w14:paraId="7F549500" w14:textId="77777777" w:rsidR="00185909" w:rsidRDefault="00185909" w:rsidP="00185909">
      <w:pPr>
        <w:pStyle w:val="FootnoteText"/>
      </w:pPr>
      <w:r>
        <w:rPr>
          <w:rStyle w:val="FootnoteReference"/>
        </w:rPr>
        <w:footnoteRef/>
      </w:r>
      <w:r>
        <w:t xml:space="preserve"> Australian Institute of Health and Welfare (AIHW), </w:t>
      </w:r>
      <w:hyperlink r:id="rId27" w:history="1">
        <w:r w:rsidRPr="00716E87">
          <w:rPr>
            <w:rStyle w:val="Hyperlink"/>
          </w:rPr>
          <w:t>Housing circumstances of First Nations people</w:t>
        </w:r>
      </w:hyperlink>
      <w:r>
        <w:t>, September 2023.</w:t>
      </w:r>
    </w:p>
  </w:footnote>
  <w:footnote w:id="27">
    <w:p w14:paraId="6AE5125D" w14:textId="77777777" w:rsidR="00185909" w:rsidRDefault="00185909" w:rsidP="00185909">
      <w:pPr>
        <w:pStyle w:val="FootnoteText"/>
      </w:pPr>
      <w:r>
        <w:rPr>
          <w:rStyle w:val="FootnoteReference"/>
        </w:rPr>
        <w:footnoteRef/>
      </w:r>
      <w:r>
        <w:t xml:space="preserve"> AIHW, </w:t>
      </w:r>
      <w:hyperlink r:id="rId28" w:history="1">
        <w:r>
          <w:rPr>
            <w:rStyle w:val="Hyperlink"/>
          </w:rPr>
          <w:t>Home ownership and housing tenure</w:t>
        </w:r>
      </w:hyperlink>
      <w:r>
        <w:t>, April 2023.</w:t>
      </w:r>
    </w:p>
  </w:footnote>
  <w:footnote w:id="28">
    <w:p w14:paraId="70FE733E" w14:textId="77777777" w:rsidR="00185909" w:rsidRDefault="00185909" w:rsidP="00185909">
      <w:pPr>
        <w:pStyle w:val="FootnoteText"/>
      </w:pPr>
      <w:r w:rsidRPr="00AC0C93">
        <w:rPr>
          <w:rStyle w:val="FootnoteReference"/>
        </w:rPr>
        <w:footnoteRef/>
      </w:r>
      <w:r w:rsidRPr="00AC0C93">
        <w:t xml:space="preserve"> C</w:t>
      </w:r>
      <w:r>
        <w:t xml:space="preserve">ommonwealth Scientific and </w:t>
      </w:r>
      <w:r w:rsidRPr="00AC0C93">
        <w:t>I</w:t>
      </w:r>
      <w:r>
        <w:t xml:space="preserve">ndustrial </w:t>
      </w:r>
      <w:r w:rsidRPr="00AC0C93">
        <w:t>R</w:t>
      </w:r>
      <w:r>
        <w:t xml:space="preserve">esearch </w:t>
      </w:r>
      <w:r w:rsidRPr="00AC0C93">
        <w:t>O</w:t>
      </w:r>
      <w:r>
        <w:t xml:space="preserve">rganisation (CSIRO), </w:t>
      </w:r>
      <w:hyperlink r:id="rId29" w:history="1">
        <w:r w:rsidRPr="00AE194C">
          <w:rPr>
            <w:rStyle w:val="Hyperlink"/>
          </w:rPr>
          <w:t>Multi-</w:t>
        </w:r>
        <w:r>
          <w:rPr>
            <w:rStyle w:val="Hyperlink"/>
          </w:rPr>
          <w:t>s</w:t>
        </w:r>
        <w:r w:rsidRPr="00AE194C">
          <w:rPr>
            <w:rStyle w:val="Hyperlink"/>
          </w:rPr>
          <w:t>ector energy modelling 2022</w:t>
        </w:r>
      </w:hyperlink>
      <w:r>
        <w:t xml:space="preserve">, December 2022. </w:t>
      </w:r>
    </w:p>
  </w:footnote>
  <w:footnote w:id="29">
    <w:p w14:paraId="6C97FC4B" w14:textId="77777777" w:rsidR="00185909" w:rsidRDefault="00185909" w:rsidP="00185909">
      <w:pPr>
        <w:pStyle w:val="FootnoteText"/>
      </w:pPr>
      <w:r>
        <w:rPr>
          <w:rStyle w:val="FootnoteReference"/>
        </w:rPr>
        <w:footnoteRef/>
      </w:r>
      <w:r>
        <w:t xml:space="preserve"> Based on the central scenarios in the </w:t>
      </w:r>
      <w:hyperlink r:id="rId30" w:history="1">
        <w:r w:rsidRPr="00E00167">
          <w:rPr>
            <w:rStyle w:val="Hyperlink"/>
          </w:rPr>
          <w:t>2023 AEMO NEM Electricity Statement of Opportunities</w:t>
        </w:r>
      </w:hyperlink>
      <w:r>
        <w:t xml:space="preserve">, </w:t>
      </w:r>
      <w:hyperlink r:id="rId31" w:history="1">
        <w:r w:rsidRPr="00EA3530">
          <w:rPr>
            <w:rStyle w:val="Hyperlink"/>
          </w:rPr>
          <w:t>2023 AEMO WEM Electricity Statement of Opportunities</w:t>
        </w:r>
      </w:hyperlink>
      <w:r>
        <w:t xml:space="preserve"> and </w:t>
      </w:r>
      <w:hyperlink r:id="rId32" w:history="1">
        <w:r w:rsidRPr="00EA3530">
          <w:rPr>
            <w:rStyle w:val="Hyperlink"/>
          </w:rPr>
          <w:t>2021 Northern Territory Government Darwin-Katherine Electricity System Plan</w:t>
        </w:r>
      </w:hyperlink>
      <w:r>
        <w:t>.</w:t>
      </w:r>
    </w:p>
  </w:footnote>
  <w:footnote w:id="30">
    <w:p w14:paraId="1DB6C34F" w14:textId="77777777" w:rsidR="00185909" w:rsidRDefault="00185909" w:rsidP="00185909">
      <w:pPr>
        <w:pStyle w:val="FootnoteText"/>
      </w:pPr>
      <w:r>
        <w:rPr>
          <w:rStyle w:val="FootnoteReference"/>
        </w:rPr>
        <w:footnoteRef/>
      </w:r>
      <w:r>
        <w:t xml:space="preserve"> DCCEEW, </w:t>
      </w:r>
      <w:hyperlink r:id="rId33" w:history="1">
        <w:r w:rsidRPr="00DC43B2">
          <w:rPr>
            <w:rStyle w:val="Hyperlink"/>
          </w:rPr>
          <w:t>Australian Energy Statistics</w:t>
        </w:r>
      </w:hyperlink>
      <w:r>
        <w:t>, September 2023.</w:t>
      </w:r>
    </w:p>
  </w:footnote>
  <w:footnote w:id="31">
    <w:p w14:paraId="39ABA177" w14:textId="1EC8F49F" w:rsidR="0070163D" w:rsidRDefault="0070163D">
      <w:pPr>
        <w:pStyle w:val="FootnoteText"/>
      </w:pPr>
      <w:r>
        <w:rPr>
          <w:rStyle w:val="FootnoteReference"/>
        </w:rPr>
        <w:footnoteRef/>
      </w:r>
      <w:r>
        <w:t xml:space="preserve"> </w:t>
      </w:r>
      <w:r w:rsidRPr="00DA11E2">
        <w:t>The Resources Sector Plan will cover gas exploration and production activities and use of gas in the resources sector. The Industrial Sector Plan will consider gas use in the industrial sector.  The Built Environment Plan will consider gas use in buildings and households. The scope of this Plan – as it relates to gas – is the use of gas in electricity generation and supply-side implications of the transition.</w:t>
      </w:r>
    </w:p>
  </w:footnote>
  <w:footnote w:id="32">
    <w:p w14:paraId="05BEBC1D" w14:textId="5E0F4246" w:rsidR="00185909" w:rsidRDefault="00185909" w:rsidP="00185909">
      <w:pPr>
        <w:pStyle w:val="FootnoteText"/>
      </w:pPr>
      <w:r>
        <w:rPr>
          <w:rStyle w:val="FootnoteReference"/>
        </w:rPr>
        <w:footnoteRef/>
      </w:r>
      <w:r>
        <w:t xml:space="preserve"> AEMO, </w:t>
      </w:r>
      <w:hyperlink r:id="rId34" w:history="1">
        <w:r w:rsidR="00F72984">
          <w:rPr>
            <w:rStyle w:val="Hyperlink"/>
          </w:rPr>
          <w:t xml:space="preserve">2023 </w:t>
        </w:r>
        <w:r>
          <w:rPr>
            <w:rStyle w:val="Hyperlink"/>
          </w:rPr>
          <w:t>Gas Statement of Opportunities</w:t>
        </w:r>
      </w:hyperlink>
      <w:r>
        <w:t xml:space="preserve">, 2023. </w:t>
      </w:r>
    </w:p>
  </w:footnote>
  <w:footnote w:id="33">
    <w:p w14:paraId="01435E89" w14:textId="77777777" w:rsidR="00185909" w:rsidRDefault="00185909" w:rsidP="00185909">
      <w:pPr>
        <w:pStyle w:val="FootnoteText"/>
      </w:pPr>
      <w:r>
        <w:rPr>
          <w:rStyle w:val="FootnoteReference"/>
        </w:rPr>
        <w:footnoteRef/>
      </w:r>
      <w:r>
        <w:t xml:space="preserve"> DCCEEW, </w:t>
      </w:r>
      <w:hyperlink r:id="rId35" w:history="1">
        <w:r w:rsidRPr="003D2D0B">
          <w:rPr>
            <w:rStyle w:val="Hyperlink"/>
          </w:rPr>
          <w:t>Australian Petroleum Statistics</w:t>
        </w:r>
      </w:hyperlink>
      <w:r>
        <w:t xml:space="preserve">, 2024. </w:t>
      </w:r>
    </w:p>
  </w:footnote>
  <w:footnote w:id="34">
    <w:p w14:paraId="108E5183" w14:textId="77777777" w:rsidR="00185909" w:rsidRDefault="00185909" w:rsidP="00185909">
      <w:pPr>
        <w:pStyle w:val="FootnoteText"/>
      </w:pPr>
      <w:r>
        <w:rPr>
          <w:rStyle w:val="FootnoteReference"/>
        </w:rPr>
        <w:footnoteRef/>
      </w:r>
      <w:r>
        <w:t xml:space="preserve"> DCCEEW, </w:t>
      </w:r>
      <w:hyperlink r:id="rId36" w:history="1">
        <w:r w:rsidRPr="00F71DF2">
          <w:rPr>
            <w:rStyle w:val="Hyperlink"/>
          </w:rPr>
          <w:t>National Inventory Report 2021</w:t>
        </w:r>
      </w:hyperlink>
      <w:r>
        <w:t>, April 2023, Figure 3.5</w:t>
      </w:r>
    </w:p>
  </w:footnote>
  <w:footnote w:id="35">
    <w:p w14:paraId="3ED9DAB8" w14:textId="77777777" w:rsidR="00185909" w:rsidRDefault="00185909" w:rsidP="00185909">
      <w:pPr>
        <w:pStyle w:val="FootnoteText"/>
      </w:pPr>
      <w:r>
        <w:rPr>
          <w:rStyle w:val="FootnoteReference"/>
        </w:rPr>
        <w:footnoteRef/>
      </w:r>
      <w:r>
        <w:t xml:space="preserve"> D</w:t>
      </w:r>
      <w:r>
        <w:rPr>
          <w:rStyle w:val="cf01"/>
        </w:rPr>
        <w:t xml:space="preserve">CCEEW, </w:t>
      </w:r>
      <w:hyperlink r:id="rId37" w:history="1">
        <w:r w:rsidRPr="003D2D0B">
          <w:rPr>
            <w:rStyle w:val="Hyperlink"/>
            <w:rFonts w:ascii="Segoe UI" w:hAnsi="Segoe UI" w:cs="Segoe UI"/>
            <w:sz w:val="18"/>
            <w:szCs w:val="18"/>
          </w:rPr>
          <w:t>Australian Petroleum Statistics</w:t>
        </w:r>
      </w:hyperlink>
      <w:r>
        <w:rPr>
          <w:rStyle w:val="cf01"/>
        </w:rPr>
        <w:t xml:space="preserve">, 2024. </w:t>
      </w:r>
    </w:p>
  </w:footnote>
  <w:footnote w:id="36">
    <w:p w14:paraId="46A898CD" w14:textId="0A6E5565" w:rsidR="00185909" w:rsidRDefault="00185909" w:rsidP="00185909">
      <w:pPr>
        <w:pStyle w:val="FootnoteText"/>
      </w:pPr>
      <w:r>
        <w:rPr>
          <w:rStyle w:val="FootnoteReference"/>
        </w:rPr>
        <w:footnoteRef/>
      </w:r>
      <w:r>
        <w:t xml:space="preserve"> </w:t>
      </w:r>
      <w:r w:rsidR="001F3C3F">
        <w:t xml:space="preserve">DCCEEW, </w:t>
      </w:r>
      <w:hyperlink r:id="rId38" w:history="1">
        <w:r w:rsidR="001F3C3F" w:rsidRPr="001F3C3F">
          <w:rPr>
            <w:rStyle w:val="Hyperlink"/>
          </w:rPr>
          <w:t>Enabling supply of renewable diesel in Australi</w:t>
        </w:r>
        <w:r w:rsidR="001C78C6">
          <w:rPr>
            <w:rStyle w:val="Hyperlink"/>
          </w:rPr>
          <w:t>a:</w:t>
        </w:r>
        <w:r w:rsidR="001F3C3F" w:rsidRPr="001F3C3F">
          <w:rPr>
            <w:rStyle w:val="Hyperlink"/>
          </w:rPr>
          <w:t xml:space="preserve"> a consultation paper on </w:t>
        </w:r>
        <w:r w:rsidR="00454D72">
          <w:rPr>
            <w:rStyle w:val="Hyperlink"/>
          </w:rPr>
          <w:t>establishing a p</w:t>
        </w:r>
        <w:r w:rsidR="001F3C3F" w:rsidRPr="001F3C3F">
          <w:rPr>
            <w:rStyle w:val="Hyperlink"/>
          </w:rPr>
          <w:t>araffinic diesel fuel standar</w:t>
        </w:r>
        <w:r w:rsidR="009D21AB">
          <w:rPr>
            <w:rStyle w:val="Hyperlink"/>
          </w:rPr>
          <w:t>d for Australia</w:t>
        </w:r>
      </w:hyperlink>
      <w:r w:rsidR="001F3C3F">
        <w:t>, November 2023</w:t>
      </w:r>
      <w:r w:rsidR="000C71FD">
        <w:t>.</w:t>
      </w:r>
    </w:p>
  </w:footnote>
  <w:footnote w:id="37">
    <w:p w14:paraId="4CFACB6F" w14:textId="77777777" w:rsidR="00185909" w:rsidRDefault="00185909" w:rsidP="00185909">
      <w:pPr>
        <w:pStyle w:val="FootnoteText"/>
      </w:pPr>
      <w:r>
        <w:rPr>
          <w:rStyle w:val="FootnoteReference"/>
        </w:rPr>
        <w:footnoteRef/>
      </w:r>
      <w:r>
        <w:t xml:space="preserve"> Jobs and Skills Australia (JSA), </w:t>
      </w:r>
      <w:hyperlink r:id="rId39" w:history="1">
        <w:r w:rsidRPr="00527DFB">
          <w:rPr>
            <w:rStyle w:val="Hyperlink"/>
          </w:rPr>
          <w:t>The Clean Energy Generation</w:t>
        </w:r>
      </w:hyperlink>
      <w:r>
        <w:t>, October 2023.</w:t>
      </w:r>
    </w:p>
  </w:footnote>
  <w:footnote w:id="38">
    <w:p w14:paraId="4C5B4ECB" w14:textId="77777777" w:rsidR="00185909" w:rsidRDefault="00185909" w:rsidP="00185909">
      <w:pPr>
        <w:pStyle w:val="FootnoteText"/>
      </w:pPr>
      <w:r>
        <w:rPr>
          <w:rStyle w:val="FootnoteReference"/>
        </w:rPr>
        <w:footnoteRef/>
      </w:r>
      <w:r>
        <w:t xml:space="preserve"> JSA, </w:t>
      </w:r>
      <w:hyperlink r:id="rId40" w:history="1">
        <w:r>
          <w:rPr>
            <w:rStyle w:val="Hyperlink"/>
          </w:rPr>
          <w:t>The Clean Energy Generation</w:t>
        </w:r>
      </w:hyperlink>
      <w:r>
        <w:t>, October 2023.</w:t>
      </w:r>
    </w:p>
  </w:footnote>
  <w:footnote w:id="39">
    <w:p w14:paraId="65EAAA0B" w14:textId="50382D9C" w:rsidR="00185909" w:rsidRPr="001375AD" w:rsidRDefault="00185909" w:rsidP="00185909">
      <w:pPr>
        <w:pStyle w:val="FootnoteText"/>
        <w:rPr>
          <w:rFonts w:ascii="Open Sans" w:hAnsi="Open Sans" w:cs="Open Sans"/>
          <w:color w:val="000000"/>
          <w:sz w:val="16"/>
          <w:szCs w:val="16"/>
          <w:shd w:val="clear" w:color="auto" w:fill="FFFFFF"/>
        </w:rPr>
      </w:pPr>
      <w:r>
        <w:rPr>
          <w:rStyle w:val="FootnoteReference"/>
        </w:rPr>
        <w:footnoteRef/>
      </w:r>
      <w:r>
        <w:t xml:space="preserve"> </w:t>
      </w:r>
      <w:r>
        <w:rPr>
          <w:rFonts w:cstheme="minorHAnsi"/>
          <w:color w:val="000000"/>
          <w:shd w:val="clear" w:color="auto" w:fill="FFFFFF"/>
        </w:rPr>
        <w:t>JSA,</w:t>
      </w:r>
      <w:r w:rsidRPr="00C964DF">
        <w:rPr>
          <w:rFonts w:cstheme="minorHAnsi"/>
          <w:color w:val="000000"/>
          <w:shd w:val="clear" w:color="auto" w:fill="FFFFFF"/>
        </w:rPr>
        <w:t xml:space="preserve"> </w:t>
      </w:r>
      <w:hyperlink r:id="rId41" w:history="1">
        <w:r w:rsidRPr="00C21185">
          <w:rPr>
            <w:rStyle w:val="Hyperlink"/>
            <w:rFonts w:cstheme="minorHAnsi"/>
            <w:shd w:val="clear" w:color="auto" w:fill="FFFFFF"/>
          </w:rPr>
          <w:t>Towards a National Jobs and Skills Roadmap: 2023 Annual Jobs and Skills Report</w:t>
        </w:r>
      </w:hyperlink>
      <w:r>
        <w:rPr>
          <w:rFonts w:cstheme="minorHAnsi"/>
          <w:color w:val="000000"/>
          <w:shd w:val="clear" w:color="auto" w:fill="FFFFFF"/>
        </w:rPr>
        <w:t>, October 2023</w:t>
      </w:r>
      <w:r w:rsidR="000C71FD">
        <w:rPr>
          <w:rFonts w:cstheme="minorHAnsi"/>
          <w:color w:val="000000"/>
          <w:shd w:val="clear" w:color="auto" w:fill="FFFFFF"/>
        </w:rPr>
        <w:t>.</w:t>
      </w:r>
    </w:p>
  </w:footnote>
  <w:footnote w:id="40">
    <w:p w14:paraId="768A6233" w14:textId="77777777" w:rsidR="00185909" w:rsidRDefault="00185909" w:rsidP="00185909">
      <w:pPr>
        <w:pStyle w:val="FootnoteText"/>
      </w:pPr>
      <w:r>
        <w:rPr>
          <w:rStyle w:val="FootnoteReference"/>
        </w:rPr>
        <w:footnoteRef/>
      </w:r>
      <w:r>
        <w:t xml:space="preserve"> JSA, </w:t>
      </w:r>
      <w:hyperlink r:id="rId42" w:history="1">
        <w:r>
          <w:rPr>
            <w:rStyle w:val="Hyperlink"/>
          </w:rPr>
          <w:t>The Clean Energy Generation</w:t>
        </w:r>
      </w:hyperlink>
      <w:r>
        <w:t>, October 2023.</w:t>
      </w:r>
    </w:p>
  </w:footnote>
  <w:footnote w:id="41">
    <w:p w14:paraId="35E6488C" w14:textId="77777777" w:rsidR="00185909" w:rsidRDefault="00185909" w:rsidP="00185909">
      <w:pPr>
        <w:pStyle w:val="FootnoteText"/>
      </w:pPr>
      <w:r>
        <w:rPr>
          <w:rStyle w:val="FootnoteReference"/>
        </w:rPr>
        <w:footnoteRef/>
      </w:r>
      <w:r>
        <w:t xml:space="preserve"> Australian Energy Regulator (AER), </w:t>
      </w:r>
      <w:hyperlink r:id="rId43" w:history="1">
        <w:r w:rsidRPr="002B70F8">
          <w:rPr>
            <w:rStyle w:val="Hyperlink"/>
          </w:rPr>
          <w:t>Annual retail markets report 2022-23</w:t>
        </w:r>
      </w:hyperlink>
      <w:r>
        <w:t>, November 2023.</w:t>
      </w:r>
    </w:p>
  </w:footnote>
  <w:footnote w:id="42">
    <w:p w14:paraId="5E79ECD0" w14:textId="77777777" w:rsidR="00185909" w:rsidRDefault="00185909" w:rsidP="00185909">
      <w:pPr>
        <w:pStyle w:val="FootnoteText"/>
      </w:pPr>
      <w:r w:rsidRPr="34C18504">
        <w:rPr>
          <w:rStyle w:val="FootnoteReference"/>
        </w:rPr>
        <w:footnoteRef/>
      </w:r>
      <w:r>
        <w:t xml:space="preserve"> Energy Consumers Australia, </w:t>
      </w:r>
      <w:hyperlink r:id="rId44" w:history="1">
        <w:r w:rsidRPr="00095B65">
          <w:rPr>
            <w:rStyle w:val="Hyperlink"/>
          </w:rPr>
          <w:t>Sentiment Survey</w:t>
        </w:r>
      </w:hyperlink>
      <w:r>
        <w:t>, December 2023</w:t>
      </w:r>
    </w:p>
  </w:footnote>
  <w:footnote w:id="43">
    <w:p w14:paraId="067ECC1F" w14:textId="780FFE6D" w:rsidR="00185909" w:rsidRDefault="00185909" w:rsidP="00185909">
      <w:pPr>
        <w:pStyle w:val="FootnoteText"/>
      </w:pPr>
      <w:r>
        <w:rPr>
          <w:rStyle w:val="FootnoteReference"/>
        </w:rPr>
        <w:footnoteRef/>
      </w:r>
      <w:r>
        <w:t xml:space="preserve"> A</w:t>
      </w:r>
      <w:r w:rsidR="00236E41">
        <w:t xml:space="preserve">ustralian </w:t>
      </w:r>
      <w:r>
        <w:t>C</w:t>
      </w:r>
      <w:r w:rsidR="00236E41">
        <w:t xml:space="preserve">ompetition and </w:t>
      </w:r>
      <w:r>
        <w:t>C</w:t>
      </w:r>
      <w:r w:rsidR="00236E41">
        <w:t xml:space="preserve">onsumer </w:t>
      </w:r>
      <w:r>
        <w:t>C</w:t>
      </w:r>
      <w:r w:rsidR="00236E41">
        <w:t>ommission</w:t>
      </w:r>
      <w:r w:rsidRPr="00ED4A2E">
        <w:t xml:space="preserve">, </w:t>
      </w:r>
      <w:hyperlink r:id="rId45" w:history="1">
        <w:r w:rsidRPr="00ED4A2E">
          <w:rPr>
            <w:rStyle w:val="Hyperlink"/>
          </w:rPr>
          <w:t>Inquiry into the National Electricity Market - December 2023 Report</w:t>
        </w:r>
      </w:hyperlink>
      <w:r>
        <w:t>, December 2023.</w:t>
      </w:r>
    </w:p>
  </w:footnote>
  <w:footnote w:id="44">
    <w:p w14:paraId="49696B99" w14:textId="462A4001" w:rsidR="00185909" w:rsidRPr="00211779" w:rsidRDefault="00185909" w:rsidP="00185909">
      <w:pPr>
        <w:pStyle w:val="FootnoteText"/>
      </w:pPr>
      <w:r>
        <w:rPr>
          <w:rStyle w:val="FootnoteReference"/>
        </w:rPr>
        <w:footnoteRef/>
      </w:r>
      <w:r>
        <w:t xml:space="preserve"> Energy Consumers Australia, </w:t>
      </w:r>
      <w:hyperlink r:id="rId46" w:history="1">
        <w:r w:rsidRPr="00211779">
          <w:rPr>
            <w:rStyle w:val="Hyperlink"/>
          </w:rPr>
          <w:t>Stepping Up: A smother pathway to decarbonising homes</w:t>
        </w:r>
      </w:hyperlink>
      <w:r>
        <w:t>, August 2023</w:t>
      </w:r>
      <w:r w:rsidR="00995FDC">
        <w:t>.</w:t>
      </w:r>
    </w:p>
  </w:footnote>
  <w:footnote w:id="45">
    <w:p w14:paraId="6C51981B" w14:textId="77777777" w:rsidR="00185909" w:rsidRDefault="00185909" w:rsidP="00185909">
      <w:pPr>
        <w:pStyle w:val="FootnoteText"/>
      </w:pPr>
      <w:r>
        <w:rPr>
          <w:rStyle w:val="FootnoteReference"/>
        </w:rPr>
        <w:footnoteRef/>
      </w:r>
      <w:r>
        <w:t xml:space="preserve"> ARENA</w:t>
      </w:r>
      <w:r w:rsidRPr="0089072E">
        <w:t xml:space="preserve">, </w:t>
      </w:r>
      <w:hyperlink r:id="rId47" w:history="1">
        <w:r w:rsidRPr="00FE5CD4">
          <w:rPr>
            <w:rStyle w:val="Hyperlink"/>
          </w:rPr>
          <w:t>Solar energy</w:t>
        </w:r>
      </w:hyperlink>
      <w:r>
        <w:t>,</w:t>
      </w:r>
      <w:r w:rsidRPr="0089072E">
        <w:t xml:space="preserve"> January 2024.</w:t>
      </w:r>
    </w:p>
  </w:footnote>
  <w:footnote w:id="46">
    <w:p w14:paraId="1145479C" w14:textId="77777777" w:rsidR="00185909" w:rsidRPr="006D6E11" w:rsidRDefault="00185909" w:rsidP="00185909">
      <w:pPr>
        <w:pStyle w:val="FootnoteText"/>
      </w:pPr>
      <w:r>
        <w:rPr>
          <w:rStyle w:val="FootnoteReference"/>
        </w:rPr>
        <w:footnoteRef/>
      </w:r>
      <w:r>
        <w:rPr>
          <w:i/>
          <w:iCs/>
        </w:rPr>
        <w:t xml:space="preserve"> </w:t>
      </w:r>
      <w:r>
        <w:t xml:space="preserve">Graham, P. et al., CSIRO, </w:t>
      </w:r>
      <w:hyperlink r:id="rId48" w:history="1">
        <w:r w:rsidRPr="00F777D1">
          <w:rPr>
            <w:rStyle w:val="Hyperlink"/>
          </w:rPr>
          <w:t>Consumer impacts of the energy transition: modelling report</w:t>
        </w:r>
      </w:hyperlink>
      <w:r>
        <w:t>, July 2023.</w:t>
      </w:r>
    </w:p>
  </w:footnote>
  <w:footnote w:id="47">
    <w:p w14:paraId="29D8F2A1" w14:textId="77777777" w:rsidR="00185909" w:rsidRDefault="00185909" w:rsidP="00185909">
      <w:pPr>
        <w:pStyle w:val="FootnoteText"/>
      </w:pPr>
      <w:r w:rsidRPr="22527E5B">
        <w:rPr>
          <w:rStyle w:val="FootnoteReference"/>
        </w:rPr>
        <w:footnoteRef/>
      </w:r>
      <w:r>
        <w:t xml:space="preserve"> ECMC, </w:t>
      </w:r>
      <w:hyperlink r:id="rId49" w:history="1">
        <w:r>
          <w:rPr>
            <w:rStyle w:val="Hyperlink"/>
          </w:rPr>
          <w:t>Meetings and communiques</w:t>
        </w:r>
      </w:hyperlink>
      <w:r>
        <w:t>,</w:t>
      </w:r>
      <w:r w:rsidRPr="00FC1EA9">
        <w:t xml:space="preserve"> </w:t>
      </w:r>
      <w:r>
        <w:t>November 2023</w:t>
      </w:r>
      <w:r w:rsidRPr="00FC1EA9">
        <w:t>.</w:t>
      </w:r>
    </w:p>
  </w:footnote>
  <w:footnote w:id="48">
    <w:p w14:paraId="02E0E4DB" w14:textId="77777777" w:rsidR="00185909" w:rsidRPr="00037F0A" w:rsidRDefault="00185909" w:rsidP="00185909">
      <w:pPr>
        <w:pStyle w:val="FootnoteText"/>
      </w:pPr>
      <w:r>
        <w:rPr>
          <w:rStyle w:val="FootnoteReference"/>
        </w:rPr>
        <w:footnoteRef/>
      </w:r>
      <w:r>
        <w:t xml:space="preserve"> Energy Consumers Australia, </w:t>
      </w:r>
      <w:hyperlink r:id="rId50" w:history="1">
        <w:r w:rsidRPr="00211779">
          <w:rPr>
            <w:rStyle w:val="Hyperlink"/>
          </w:rPr>
          <w:t>Stepping Up: A smother pathway to decarbonising homes</w:t>
        </w:r>
      </w:hyperlink>
      <w:r>
        <w:t>, August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ADD89" w14:textId="76900FAC" w:rsidR="00B861B4" w:rsidRDefault="00CA688C">
    <w:pPr>
      <w:pStyle w:val="Header"/>
    </w:pPr>
    <w:r>
      <w:rPr>
        <w:noProof/>
        <w:lang w:val="en-US"/>
      </w:rPr>
      <w:t>Electricity and Energy Sector</w:t>
    </w:r>
    <w:r w:rsidR="0089030F">
      <w:rPr>
        <w:noProof/>
        <w:lang w:val="en-US"/>
      </w:rPr>
      <w:t xml:space="preserve"> Plan</w:t>
    </w:r>
    <w:r>
      <w:rPr>
        <w:noProof/>
        <w:lang w:val="en-US"/>
      </w:rPr>
      <w:t xml:space="preserve"> Discussion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75EA5" w14:textId="70239BE8" w:rsidR="00B861B4" w:rsidRDefault="00B861B4">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0BECD0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5A54F1"/>
    <w:multiLevelType w:val="hybridMultilevel"/>
    <w:tmpl w:val="B1BAAD0C"/>
    <w:lvl w:ilvl="0" w:tplc="0C090001">
      <w:start w:val="1"/>
      <w:numFmt w:val="bullet"/>
      <w:lvlText w:val=""/>
      <w:lvlJc w:val="left"/>
      <w:pPr>
        <w:ind w:left="-78" w:hanging="360"/>
      </w:pPr>
      <w:rPr>
        <w:rFonts w:ascii="Symbol" w:hAnsi="Symbol" w:hint="default"/>
      </w:rPr>
    </w:lvl>
    <w:lvl w:ilvl="1" w:tplc="0C090003" w:tentative="1">
      <w:start w:val="1"/>
      <w:numFmt w:val="bullet"/>
      <w:lvlText w:val="o"/>
      <w:lvlJc w:val="left"/>
      <w:pPr>
        <w:ind w:left="642" w:hanging="360"/>
      </w:pPr>
      <w:rPr>
        <w:rFonts w:ascii="Courier New" w:hAnsi="Courier New" w:cs="Courier New" w:hint="default"/>
      </w:rPr>
    </w:lvl>
    <w:lvl w:ilvl="2" w:tplc="0C090005" w:tentative="1">
      <w:start w:val="1"/>
      <w:numFmt w:val="bullet"/>
      <w:lvlText w:val=""/>
      <w:lvlJc w:val="left"/>
      <w:pPr>
        <w:ind w:left="1362" w:hanging="360"/>
      </w:pPr>
      <w:rPr>
        <w:rFonts w:ascii="Wingdings" w:hAnsi="Wingdings" w:hint="default"/>
      </w:rPr>
    </w:lvl>
    <w:lvl w:ilvl="3" w:tplc="0C090001" w:tentative="1">
      <w:start w:val="1"/>
      <w:numFmt w:val="bullet"/>
      <w:lvlText w:val=""/>
      <w:lvlJc w:val="left"/>
      <w:pPr>
        <w:ind w:left="2082" w:hanging="360"/>
      </w:pPr>
      <w:rPr>
        <w:rFonts w:ascii="Symbol" w:hAnsi="Symbol" w:hint="default"/>
      </w:rPr>
    </w:lvl>
    <w:lvl w:ilvl="4" w:tplc="0C090003" w:tentative="1">
      <w:start w:val="1"/>
      <w:numFmt w:val="bullet"/>
      <w:lvlText w:val="o"/>
      <w:lvlJc w:val="left"/>
      <w:pPr>
        <w:ind w:left="2802" w:hanging="360"/>
      </w:pPr>
      <w:rPr>
        <w:rFonts w:ascii="Courier New" w:hAnsi="Courier New" w:cs="Courier New" w:hint="default"/>
      </w:rPr>
    </w:lvl>
    <w:lvl w:ilvl="5" w:tplc="0C090005" w:tentative="1">
      <w:start w:val="1"/>
      <w:numFmt w:val="bullet"/>
      <w:lvlText w:val=""/>
      <w:lvlJc w:val="left"/>
      <w:pPr>
        <w:ind w:left="3522" w:hanging="360"/>
      </w:pPr>
      <w:rPr>
        <w:rFonts w:ascii="Wingdings" w:hAnsi="Wingdings" w:hint="default"/>
      </w:rPr>
    </w:lvl>
    <w:lvl w:ilvl="6" w:tplc="0C090001" w:tentative="1">
      <w:start w:val="1"/>
      <w:numFmt w:val="bullet"/>
      <w:lvlText w:val=""/>
      <w:lvlJc w:val="left"/>
      <w:pPr>
        <w:ind w:left="4242" w:hanging="360"/>
      </w:pPr>
      <w:rPr>
        <w:rFonts w:ascii="Symbol" w:hAnsi="Symbol" w:hint="default"/>
      </w:rPr>
    </w:lvl>
    <w:lvl w:ilvl="7" w:tplc="0C090003" w:tentative="1">
      <w:start w:val="1"/>
      <w:numFmt w:val="bullet"/>
      <w:lvlText w:val="o"/>
      <w:lvlJc w:val="left"/>
      <w:pPr>
        <w:ind w:left="4962" w:hanging="360"/>
      </w:pPr>
      <w:rPr>
        <w:rFonts w:ascii="Courier New" w:hAnsi="Courier New" w:cs="Courier New" w:hint="default"/>
      </w:rPr>
    </w:lvl>
    <w:lvl w:ilvl="8" w:tplc="0C090005" w:tentative="1">
      <w:start w:val="1"/>
      <w:numFmt w:val="bullet"/>
      <w:lvlText w:val=""/>
      <w:lvlJc w:val="left"/>
      <w:pPr>
        <w:ind w:left="5682" w:hanging="360"/>
      </w:pPr>
      <w:rPr>
        <w:rFonts w:ascii="Wingdings" w:hAnsi="Wingdings" w:hint="default"/>
      </w:rPr>
    </w:lvl>
  </w:abstractNum>
  <w:abstractNum w:abstractNumId="2" w15:restartNumberingAfterBreak="0">
    <w:nsid w:val="07AE1FDB"/>
    <w:multiLevelType w:val="hybridMultilevel"/>
    <w:tmpl w:val="E2D498EA"/>
    <w:lvl w:ilvl="0" w:tplc="0C090001">
      <w:start w:val="1"/>
      <w:numFmt w:val="bullet"/>
      <w:lvlText w:val=""/>
      <w:lvlJc w:val="left"/>
      <w:pPr>
        <w:ind w:left="360" w:hanging="360"/>
      </w:pPr>
      <w:rPr>
        <w:rFonts w:ascii="Symbol" w:hAnsi="Symbol" w:hint="default"/>
      </w:rPr>
    </w:lvl>
    <w:lvl w:ilvl="1" w:tplc="D7C082D0">
      <w:start w:val="1"/>
      <w:numFmt w:val="bullet"/>
      <w:lvlText w:val="o"/>
      <w:lvlJc w:val="left"/>
      <w:pPr>
        <w:ind w:left="1080" w:hanging="360"/>
      </w:pPr>
      <w:rPr>
        <w:rFonts w:ascii="Courier New" w:hAnsi="Courier New" w:hint="default"/>
      </w:rPr>
    </w:lvl>
    <w:lvl w:ilvl="2" w:tplc="F390664C">
      <w:start w:val="1"/>
      <w:numFmt w:val="bullet"/>
      <w:lvlText w:val=""/>
      <w:lvlJc w:val="left"/>
      <w:pPr>
        <w:ind w:left="1800" w:hanging="360"/>
      </w:pPr>
      <w:rPr>
        <w:rFonts w:ascii="Wingdings" w:hAnsi="Wingdings" w:hint="default"/>
      </w:rPr>
    </w:lvl>
    <w:lvl w:ilvl="3" w:tplc="F6BAC20E">
      <w:start w:val="1"/>
      <w:numFmt w:val="bullet"/>
      <w:lvlText w:val=""/>
      <w:lvlJc w:val="left"/>
      <w:pPr>
        <w:ind w:left="2520" w:hanging="360"/>
      </w:pPr>
      <w:rPr>
        <w:rFonts w:ascii="Symbol" w:hAnsi="Symbol" w:hint="default"/>
      </w:rPr>
    </w:lvl>
    <w:lvl w:ilvl="4" w:tplc="201AD818">
      <w:start w:val="1"/>
      <w:numFmt w:val="bullet"/>
      <w:lvlText w:val="o"/>
      <w:lvlJc w:val="left"/>
      <w:pPr>
        <w:ind w:left="3240" w:hanging="360"/>
      </w:pPr>
      <w:rPr>
        <w:rFonts w:ascii="Courier New" w:hAnsi="Courier New" w:hint="default"/>
      </w:rPr>
    </w:lvl>
    <w:lvl w:ilvl="5" w:tplc="CED07C12">
      <w:start w:val="1"/>
      <w:numFmt w:val="bullet"/>
      <w:lvlText w:val=""/>
      <w:lvlJc w:val="left"/>
      <w:pPr>
        <w:ind w:left="3960" w:hanging="360"/>
      </w:pPr>
      <w:rPr>
        <w:rFonts w:ascii="Wingdings" w:hAnsi="Wingdings" w:hint="default"/>
      </w:rPr>
    </w:lvl>
    <w:lvl w:ilvl="6" w:tplc="3B82697C">
      <w:start w:val="1"/>
      <w:numFmt w:val="bullet"/>
      <w:lvlText w:val=""/>
      <w:lvlJc w:val="left"/>
      <w:pPr>
        <w:ind w:left="4680" w:hanging="360"/>
      </w:pPr>
      <w:rPr>
        <w:rFonts w:ascii="Symbol" w:hAnsi="Symbol" w:hint="default"/>
      </w:rPr>
    </w:lvl>
    <w:lvl w:ilvl="7" w:tplc="307C5D52">
      <w:start w:val="1"/>
      <w:numFmt w:val="bullet"/>
      <w:lvlText w:val="o"/>
      <w:lvlJc w:val="left"/>
      <w:pPr>
        <w:ind w:left="5400" w:hanging="360"/>
      </w:pPr>
      <w:rPr>
        <w:rFonts w:ascii="Courier New" w:hAnsi="Courier New" w:hint="default"/>
      </w:rPr>
    </w:lvl>
    <w:lvl w:ilvl="8" w:tplc="67661DCA">
      <w:start w:val="1"/>
      <w:numFmt w:val="bullet"/>
      <w:lvlText w:val=""/>
      <w:lvlJc w:val="left"/>
      <w:pPr>
        <w:ind w:left="6120" w:hanging="360"/>
      </w:pPr>
      <w:rPr>
        <w:rFonts w:ascii="Wingdings" w:hAnsi="Wingdings" w:hint="default"/>
      </w:rPr>
    </w:lvl>
  </w:abstractNum>
  <w:abstractNum w:abstractNumId="3" w15:restartNumberingAfterBreak="0">
    <w:nsid w:val="0F8F0D5D"/>
    <w:multiLevelType w:val="hybridMultilevel"/>
    <w:tmpl w:val="92CE708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21947058"/>
    <w:multiLevelType w:val="hybridMultilevel"/>
    <w:tmpl w:val="1B6424D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0BD8C29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2EB462E"/>
    <w:multiLevelType w:val="hybridMultilevel"/>
    <w:tmpl w:val="7F4AA9DA"/>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4EA553C"/>
    <w:multiLevelType w:val="hybridMultilevel"/>
    <w:tmpl w:val="65828376"/>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1" w15:restartNumberingAfterBreak="0">
    <w:nsid w:val="26BF3291"/>
    <w:multiLevelType w:val="hybridMultilevel"/>
    <w:tmpl w:val="48BCDDE8"/>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31E025EA"/>
    <w:multiLevelType w:val="hybridMultilevel"/>
    <w:tmpl w:val="9042D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975F3C"/>
    <w:multiLevelType w:val="hybridMultilevel"/>
    <w:tmpl w:val="B28C3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E6398F"/>
    <w:multiLevelType w:val="hybridMultilevel"/>
    <w:tmpl w:val="24E4C17E"/>
    <w:lvl w:ilvl="0" w:tplc="851C1D4C">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FD164C9"/>
    <w:multiLevelType w:val="hybridMultilevel"/>
    <w:tmpl w:val="529466C2"/>
    <w:lvl w:ilvl="0" w:tplc="A91E87F0">
      <w:start w:val="1"/>
      <w:numFmt w:val="decimal"/>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1E663B6"/>
    <w:multiLevelType w:val="hybridMultilevel"/>
    <w:tmpl w:val="1C02B9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67418CA"/>
    <w:multiLevelType w:val="hybridMultilevel"/>
    <w:tmpl w:val="844A8DDC"/>
    <w:lvl w:ilvl="0" w:tplc="0C090001">
      <w:start w:val="1"/>
      <w:numFmt w:val="bullet"/>
      <w:lvlText w:val=""/>
      <w:lvlJc w:val="left"/>
      <w:pPr>
        <w:ind w:left="720" w:hanging="360"/>
      </w:pPr>
      <w:rPr>
        <w:rFonts w:ascii="Symbol" w:hAnsi="Symbol" w:hint="default"/>
      </w:rPr>
    </w:lvl>
    <w:lvl w:ilvl="1" w:tplc="DC2871DE">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957E62"/>
    <w:multiLevelType w:val="hybridMultilevel"/>
    <w:tmpl w:val="75E2F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0" w15:restartNumberingAfterBreak="0">
    <w:nsid w:val="495E5864"/>
    <w:multiLevelType w:val="hybridMultilevel"/>
    <w:tmpl w:val="6F3AA64C"/>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A380554"/>
    <w:multiLevelType w:val="hybridMultilevel"/>
    <w:tmpl w:val="88B8719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C4664CC"/>
    <w:multiLevelType w:val="hybridMultilevel"/>
    <w:tmpl w:val="E430C030"/>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53F17B50"/>
    <w:multiLevelType w:val="hybridMultilevel"/>
    <w:tmpl w:val="2FBA6CE6"/>
    <w:lvl w:ilvl="0" w:tplc="1FF20B9C">
      <w:start w:val="1"/>
      <w:numFmt w:val="decimal"/>
      <w:lvlText w:val="%1."/>
      <w:lvlJc w:val="left"/>
      <w:pPr>
        <w:ind w:left="360" w:hanging="360"/>
      </w:pPr>
      <w:rPr>
        <w:rFonts w:hint="default"/>
        <w:b w:val="0"/>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42C5055"/>
    <w:multiLevelType w:val="hybridMultilevel"/>
    <w:tmpl w:val="446C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7" w15:restartNumberingAfterBreak="0">
    <w:nsid w:val="585E58F8"/>
    <w:multiLevelType w:val="hybridMultilevel"/>
    <w:tmpl w:val="C1F0C1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A4270C3"/>
    <w:multiLevelType w:val="multilevel"/>
    <w:tmpl w:val="EAF2DDCA"/>
    <w:lvl w:ilvl="0">
      <w:start w:val="1"/>
      <w:numFmt w:val="decimal"/>
      <w:pStyle w:val="Heading1"/>
      <w:lvlText w:val="%1."/>
      <w:lvlJc w:val="left"/>
      <w:pPr>
        <w:ind w:left="432" w:hanging="432"/>
      </w:pPr>
      <w:rPr>
        <w:rFonts w:hint="default"/>
        <w:sz w:val="48"/>
        <w:szCs w:val="20"/>
      </w:rPr>
    </w:lvl>
    <w:lvl w:ilvl="1">
      <w:start w:val="1"/>
      <w:numFmt w:val="decimal"/>
      <w:pStyle w:val="Heading3"/>
      <w:lvlText w:val="%1.%2"/>
      <w:lvlJc w:val="left"/>
      <w:pPr>
        <w:ind w:left="576" w:hanging="576"/>
      </w:pPr>
      <w:rPr>
        <w:rFonts w:hint="default"/>
        <w:sz w:val="32"/>
        <w:szCs w:val="22"/>
      </w:rPr>
    </w:lvl>
    <w:lvl w:ilvl="2">
      <w:start w:val="1"/>
      <w:numFmt w:val="decimal"/>
      <w:pStyle w:val="Heading4"/>
      <w:lvlText w:val="%1.%2.%3"/>
      <w:lvlJc w:val="left"/>
      <w:pPr>
        <w:ind w:left="720" w:hanging="720"/>
      </w:p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2" w15:restartNumberingAfterBreak="0">
    <w:nsid w:val="611F1D4C"/>
    <w:multiLevelType w:val="hybridMultilevel"/>
    <w:tmpl w:val="5D8E82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407335F"/>
    <w:multiLevelType w:val="hybridMultilevel"/>
    <w:tmpl w:val="10E46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E067B9"/>
    <w:multiLevelType w:val="hybridMultilevel"/>
    <w:tmpl w:val="EED4E8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2811F03"/>
    <w:multiLevelType w:val="hybridMultilevel"/>
    <w:tmpl w:val="889AFCFC"/>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3A722FE"/>
    <w:multiLevelType w:val="hybridMultilevel"/>
    <w:tmpl w:val="3DBA6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FE2975"/>
    <w:multiLevelType w:val="singleLevel"/>
    <w:tmpl w:val="28444508"/>
    <w:lvl w:ilvl="0">
      <w:start w:val="1"/>
      <w:numFmt w:val="decimal"/>
      <w:pStyle w:val="ListBullet3"/>
      <w:lvlText w:val="%1."/>
      <w:lvlJc w:val="left"/>
      <w:pPr>
        <w:ind w:left="425" w:hanging="425"/>
      </w:pPr>
      <w:rPr>
        <w:rFonts w:hint="default"/>
        <w:color w:val="auto"/>
      </w:rPr>
    </w:lvl>
  </w:abstractNum>
  <w:abstractNum w:abstractNumId="38" w15:restartNumberingAfterBreak="0">
    <w:nsid w:val="75661B03"/>
    <w:multiLevelType w:val="hybridMultilevel"/>
    <w:tmpl w:val="15187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BC86979"/>
    <w:multiLevelType w:val="hybridMultilevel"/>
    <w:tmpl w:val="37B46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C20220B"/>
    <w:multiLevelType w:val="hybridMultilevel"/>
    <w:tmpl w:val="5952F36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04451164">
    <w:abstractNumId w:val="19"/>
  </w:num>
  <w:num w:numId="2" w16cid:durableId="1666787524">
    <w:abstractNumId w:val="5"/>
  </w:num>
  <w:num w:numId="3" w16cid:durableId="381057155">
    <w:abstractNumId w:val="30"/>
  </w:num>
  <w:num w:numId="4" w16cid:durableId="1639215797">
    <w:abstractNumId w:val="31"/>
  </w:num>
  <w:num w:numId="5" w16cid:durableId="1643265712">
    <w:abstractNumId w:val="8"/>
  </w:num>
  <w:num w:numId="6" w16cid:durableId="1314063411">
    <w:abstractNumId w:val="26"/>
  </w:num>
  <w:num w:numId="7" w16cid:durableId="9570234">
    <w:abstractNumId w:val="7"/>
  </w:num>
  <w:num w:numId="8" w16cid:durableId="1568950393">
    <w:abstractNumId w:val="37"/>
  </w:num>
  <w:num w:numId="9" w16cid:durableId="626202022">
    <w:abstractNumId w:val="22"/>
  </w:num>
  <w:num w:numId="10" w16cid:durableId="281765065">
    <w:abstractNumId w:val="29"/>
  </w:num>
  <w:num w:numId="11" w16cid:durableId="866915021">
    <w:abstractNumId w:val="4"/>
  </w:num>
  <w:num w:numId="12" w16cid:durableId="1021779769">
    <w:abstractNumId w:val="3"/>
  </w:num>
  <w:num w:numId="13" w16cid:durableId="800419195">
    <w:abstractNumId w:val="33"/>
  </w:num>
  <w:num w:numId="14" w16cid:durableId="925453974">
    <w:abstractNumId w:val="15"/>
  </w:num>
  <w:num w:numId="15" w16cid:durableId="647709720">
    <w:abstractNumId w:val="1"/>
  </w:num>
  <w:num w:numId="16" w16cid:durableId="1030646829">
    <w:abstractNumId w:val="28"/>
  </w:num>
  <w:num w:numId="17" w16cid:durableId="931551866">
    <w:abstractNumId w:val="17"/>
  </w:num>
  <w:num w:numId="18" w16cid:durableId="606542991">
    <w:abstractNumId w:val="2"/>
  </w:num>
  <w:num w:numId="19" w16cid:durableId="421146355">
    <w:abstractNumId w:val="25"/>
  </w:num>
  <w:num w:numId="20" w16cid:durableId="701975010">
    <w:abstractNumId w:val="10"/>
  </w:num>
  <w:num w:numId="21" w16cid:durableId="2084987304">
    <w:abstractNumId w:val="12"/>
  </w:num>
  <w:num w:numId="22" w16cid:durableId="1502235124">
    <w:abstractNumId w:val="21"/>
  </w:num>
  <w:num w:numId="23" w16cid:durableId="803893042">
    <w:abstractNumId w:val="40"/>
  </w:num>
  <w:num w:numId="24" w16cid:durableId="585697704">
    <w:abstractNumId w:val="13"/>
  </w:num>
  <w:num w:numId="25" w16cid:durableId="1561134247">
    <w:abstractNumId w:val="35"/>
  </w:num>
  <w:num w:numId="26" w16cid:durableId="833954878">
    <w:abstractNumId w:val="6"/>
  </w:num>
  <w:num w:numId="27" w16cid:durableId="478498530">
    <w:abstractNumId w:val="36"/>
  </w:num>
  <w:num w:numId="28" w16cid:durableId="399979953">
    <w:abstractNumId w:val="28"/>
  </w:num>
  <w:num w:numId="29" w16cid:durableId="1569538826">
    <w:abstractNumId w:val="28"/>
  </w:num>
  <w:num w:numId="30" w16cid:durableId="1106149268">
    <w:abstractNumId w:val="28"/>
  </w:num>
  <w:num w:numId="31" w16cid:durableId="607080904">
    <w:abstractNumId w:val="28"/>
  </w:num>
  <w:num w:numId="32" w16cid:durableId="295455141">
    <w:abstractNumId w:val="28"/>
  </w:num>
  <w:num w:numId="33" w16cid:durableId="1700663155">
    <w:abstractNumId w:val="28"/>
  </w:num>
  <w:num w:numId="34" w16cid:durableId="1683628810">
    <w:abstractNumId w:val="28"/>
  </w:num>
  <w:num w:numId="35" w16cid:durableId="1048845099">
    <w:abstractNumId w:val="28"/>
  </w:num>
  <w:num w:numId="36" w16cid:durableId="427703870">
    <w:abstractNumId w:val="28"/>
  </w:num>
  <w:num w:numId="37" w16cid:durableId="40328305">
    <w:abstractNumId w:val="28"/>
  </w:num>
  <w:num w:numId="38" w16cid:durableId="1371229019">
    <w:abstractNumId w:val="28"/>
  </w:num>
  <w:num w:numId="39" w16cid:durableId="8614748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038910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019264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73131235">
    <w:abstractNumId w:val="28"/>
    <w:lvlOverride w:ilvl="0">
      <w:startOverride w:val="1"/>
    </w:lvlOverride>
  </w:num>
  <w:num w:numId="43" w16cid:durableId="1291981578">
    <w:abstractNumId w:val="28"/>
    <w:lvlOverride w:ilvl="0">
      <w:lvl w:ilvl="0">
        <w:start w:val="1"/>
        <w:numFmt w:val="decimal"/>
        <w:pStyle w:val="Heading1"/>
        <w:lvlText w:val="%1"/>
        <w:lvlJc w:val="left"/>
        <w:pPr>
          <w:ind w:left="432" w:hanging="432"/>
        </w:pPr>
        <w:rPr>
          <w:rFonts w:hint="default"/>
          <w:sz w:val="48"/>
          <w:szCs w:val="20"/>
        </w:rPr>
      </w:lvl>
    </w:lvlOverride>
    <w:lvlOverride w:ilvl="1">
      <w:lvl w:ilvl="1">
        <w:start w:val="1"/>
        <w:numFmt w:val="decimal"/>
        <w:pStyle w:val="Heading3"/>
        <w:lvlText w:val="%1.%2"/>
        <w:lvlJc w:val="left"/>
        <w:pPr>
          <w:ind w:left="576" w:hanging="576"/>
        </w:pPr>
        <w:rPr>
          <w:rFonts w:hint="default"/>
          <w:sz w:val="32"/>
          <w:szCs w:val="22"/>
        </w:rPr>
      </w:lvl>
    </w:lvlOverride>
    <w:lvlOverride w:ilvl="2">
      <w:lvl w:ilvl="2">
        <w:start w:val="1"/>
        <w:numFmt w:val="decimal"/>
        <w:pStyle w:val="Heading4"/>
        <w:lvlText w:val="%1.%2.%3"/>
        <w:lvlJc w:val="left"/>
        <w:pPr>
          <w:ind w:left="720" w:hanging="720"/>
        </w:pPr>
        <w:rPr>
          <w:rFonts w:hint="default"/>
          <w:color w:val="222021" w:themeColor="text2"/>
        </w:rPr>
      </w:lvl>
    </w:lvlOverride>
    <w:lvlOverride w:ilvl="3">
      <w:lvl w:ilvl="3">
        <w:start w:val="1"/>
        <w:numFmt w:val="decimal"/>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4" w16cid:durableId="981617553">
    <w:abstractNumId w:val="14"/>
  </w:num>
  <w:num w:numId="45" w16cid:durableId="2290005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1487379">
    <w:abstractNumId w:val="37"/>
    <w:lvlOverride w:ilvl="0">
      <w:startOverride w:val="1"/>
    </w:lvlOverride>
  </w:num>
  <w:num w:numId="47" w16cid:durableId="976495727">
    <w:abstractNumId w:val="38"/>
  </w:num>
  <w:num w:numId="48" w16cid:durableId="990526456">
    <w:abstractNumId w:val="27"/>
  </w:num>
  <w:num w:numId="49" w16cid:durableId="1089618633">
    <w:abstractNumId w:val="32"/>
  </w:num>
  <w:num w:numId="50" w16cid:durableId="1120607538">
    <w:abstractNumId w:val="18"/>
  </w:num>
  <w:num w:numId="51" w16cid:durableId="326061487">
    <w:abstractNumId w:val="39"/>
  </w:num>
  <w:num w:numId="52" w16cid:durableId="1063599510">
    <w:abstractNumId w:val="34"/>
  </w:num>
  <w:num w:numId="53" w16cid:durableId="543833840">
    <w:abstractNumId w:val="16"/>
  </w:num>
  <w:num w:numId="54" w16cid:durableId="1213931796">
    <w:abstractNumId w:val="20"/>
  </w:num>
  <w:num w:numId="55" w16cid:durableId="70389565">
    <w:abstractNumId w:val="14"/>
  </w:num>
  <w:num w:numId="56" w16cid:durableId="595017375">
    <w:abstractNumId w:val="9"/>
  </w:num>
  <w:num w:numId="57" w16cid:durableId="40981682">
    <w:abstractNumId w:val="14"/>
  </w:num>
  <w:num w:numId="58" w16cid:durableId="792331193">
    <w:abstractNumId w:val="23"/>
  </w:num>
  <w:num w:numId="59" w16cid:durableId="1279681579">
    <w:abstractNumId w:val="14"/>
  </w:num>
  <w:num w:numId="60" w16cid:durableId="960571674">
    <w:abstractNumId w:val="14"/>
  </w:num>
  <w:num w:numId="61" w16cid:durableId="819614749">
    <w:abstractNumId w:val="14"/>
  </w:num>
  <w:num w:numId="62" w16cid:durableId="1888487223">
    <w:abstractNumId w:val="14"/>
  </w:num>
  <w:num w:numId="63" w16cid:durableId="1878540376">
    <w:abstractNumId w:val="14"/>
  </w:num>
  <w:num w:numId="64" w16cid:durableId="770709575">
    <w:abstractNumId w:val="11"/>
  </w:num>
  <w:num w:numId="65" w16cid:durableId="1805389930">
    <w:abstractNumId w:val="14"/>
  </w:num>
  <w:num w:numId="66" w16cid:durableId="371806726">
    <w:abstractNumId w:val="14"/>
  </w:num>
  <w:num w:numId="67" w16cid:durableId="1817526121">
    <w:abstractNumId w:val="14"/>
  </w:num>
  <w:num w:numId="68" w16cid:durableId="523441181">
    <w:abstractNumId w:val="14"/>
  </w:num>
  <w:num w:numId="69" w16cid:durableId="1972830815">
    <w:abstractNumId w:val="24"/>
  </w:num>
  <w:num w:numId="70" w16cid:durableId="1780837126">
    <w:abstractNumId w:val="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E21"/>
    <w:rsid w:val="000015EE"/>
    <w:rsid w:val="00002023"/>
    <w:rsid w:val="00003985"/>
    <w:rsid w:val="00007295"/>
    <w:rsid w:val="000107F1"/>
    <w:rsid w:val="000111F5"/>
    <w:rsid w:val="0001240D"/>
    <w:rsid w:val="000133F9"/>
    <w:rsid w:val="0001651B"/>
    <w:rsid w:val="000218F3"/>
    <w:rsid w:val="00022727"/>
    <w:rsid w:val="000256C9"/>
    <w:rsid w:val="00030E23"/>
    <w:rsid w:val="00031F71"/>
    <w:rsid w:val="00032F77"/>
    <w:rsid w:val="00036EFD"/>
    <w:rsid w:val="00037E78"/>
    <w:rsid w:val="00042965"/>
    <w:rsid w:val="000430A7"/>
    <w:rsid w:val="0004567D"/>
    <w:rsid w:val="00046699"/>
    <w:rsid w:val="00046B45"/>
    <w:rsid w:val="00050961"/>
    <w:rsid w:val="00050B33"/>
    <w:rsid w:val="00051134"/>
    <w:rsid w:val="00054898"/>
    <w:rsid w:val="00055586"/>
    <w:rsid w:val="00055AA7"/>
    <w:rsid w:val="00055AD7"/>
    <w:rsid w:val="00064226"/>
    <w:rsid w:val="00071660"/>
    <w:rsid w:val="00071EE8"/>
    <w:rsid w:val="000729FD"/>
    <w:rsid w:val="00080256"/>
    <w:rsid w:val="000803BD"/>
    <w:rsid w:val="000869AB"/>
    <w:rsid w:val="0009383C"/>
    <w:rsid w:val="00093BE1"/>
    <w:rsid w:val="00094C5F"/>
    <w:rsid w:val="00097A22"/>
    <w:rsid w:val="00097FA8"/>
    <w:rsid w:val="000A1FEB"/>
    <w:rsid w:val="000A45AE"/>
    <w:rsid w:val="000A5B21"/>
    <w:rsid w:val="000A5D4B"/>
    <w:rsid w:val="000A7AAF"/>
    <w:rsid w:val="000B42D8"/>
    <w:rsid w:val="000B54E2"/>
    <w:rsid w:val="000B682A"/>
    <w:rsid w:val="000C27AF"/>
    <w:rsid w:val="000C2ECA"/>
    <w:rsid w:val="000C331B"/>
    <w:rsid w:val="000C4BC7"/>
    <w:rsid w:val="000C54C9"/>
    <w:rsid w:val="000C590C"/>
    <w:rsid w:val="000C71FD"/>
    <w:rsid w:val="000C7F24"/>
    <w:rsid w:val="000C7F5F"/>
    <w:rsid w:val="000D0ABD"/>
    <w:rsid w:val="000D2483"/>
    <w:rsid w:val="000D5973"/>
    <w:rsid w:val="000D5F89"/>
    <w:rsid w:val="000D6169"/>
    <w:rsid w:val="000D6264"/>
    <w:rsid w:val="000E29E4"/>
    <w:rsid w:val="000E4675"/>
    <w:rsid w:val="000E5673"/>
    <w:rsid w:val="000E71A9"/>
    <w:rsid w:val="000F1336"/>
    <w:rsid w:val="000F2194"/>
    <w:rsid w:val="000F30A5"/>
    <w:rsid w:val="000F3EAE"/>
    <w:rsid w:val="000F790F"/>
    <w:rsid w:val="0010140B"/>
    <w:rsid w:val="00103803"/>
    <w:rsid w:val="00105AEC"/>
    <w:rsid w:val="00107522"/>
    <w:rsid w:val="0011018C"/>
    <w:rsid w:val="00114002"/>
    <w:rsid w:val="001141A9"/>
    <w:rsid w:val="00120348"/>
    <w:rsid w:val="00121DB9"/>
    <w:rsid w:val="00122E9B"/>
    <w:rsid w:val="00123033"/>
    <w:rsid w:val="001239BD"/>
    <w:rsid w:val="00126DA8"/>
    <w:rsid w:val="001275DD"/>
    <w:rsid w:val="001311DB"/>
    <w:rsid w:val="001324C3"/>
    <w:rsid w:val="001327C4"/>
    <w:rsid w:val="00133811"/>
    <w:rsid w:val="001343DC"/>
    <w:rsid w:val="001429C2"/>
    <w:rsid w:val="001433BC"/>
    <w:rsid w:val="001444BD"/>
    <w:rsid w:val="001467C0"/>
    <w:rsid w:val="00147818"/>
    <w:rsid w:val="00147B2E"/>
    <w:rsid w:val="0015502C"/>
    <w:rsid w:val="00155FBF"/>
    <w:rsid w:val="00160AFA"/>
    <w:rsid w:val="00160D59"/>
    <w:rsid w:val="0016176E"/>
    <w:rsid w:val="0016292D"/>
    <w:rsid w:val="00176594"/>
    <w:rsid w:val="0017699C"/>
    <w:rsid w:val="001773DC"/>
    <w:rsid w:val="00181004"/>
    <w:rsid w:val="00183B8B"/>
    <w:rsid w:val="00185909"/>
    <w:rsid w:val="001861CC"/>
    <w:rsid w:val="00186813"/>
    <w:rsid w:val="0019160D"/>
    <w:rsid w:val="00193736"/>
    <w:rsid w:val="00195CEC"/>
    <w:rsid w:val="00197C25"/>
    <w:rsid w:val="001A0F35"/>
    <w:rsid w:val="001A283E"/>
    <w:rsid w:val="001A3AD7"/>
    <w:rsid w:val="001A4A97"/>
    <w:rsid w:val="001A566C"/>
    <w:rsid w:val="001A78CF"/>
    <w:rsid w:val="001A7C65"/>
    <w:rsid w:val="001B13C8"/>
    <w:rsid w:val="001B2C24"/>
    <w:rsid w:val="001B712D"/>
    <w:rsid w:val="001C13AE"/>
    <w:rsid w:val="001C1FC1"/>
    <w:rsid w:val="001C206B"/>
    <w:rsid w:val="001C6234"/>
    <w:rsid w:val="001C68B1"/>
    <w:rsid w:val="001C6EE5"/>
    <w:rsid w:val="001C752D"/>
    <w:rsid w:val="001C78C6"/>
    <w:rsid w:val="001D4A18"/>
    <w:rsid w:val="001D5746"/>
    <w:rsid w:val="001D769B"/>
    <w:rsid w:val="001E4387"/>
    <w:rsid w:val="001E6B6A"/>
    <w:rsid w:val="001F14C4"/>
    <w:rsid w:val="001F2B61"/>
    <w:rsid w:val="001F3C3F"/>
    <w:rsid w:val="001F5922"/>
    <w:rsid w:val="001F6357"/>
    <w:rsid w:val="00200DFC"/>
    <w:rsid w:val="00201F73"/>
    <w:rsid w:val="00203F34"/>
    <w:rsid w:val="002072F1"/>
    <w:rsid w:val="00210C08"/>
    <w:rsid w:val="002117DE"/>
    <w:rsid w:val="00213506"/>
    <w:rsid w:val="00213E3B"/>
    <w:rsid w:val="002157DF"/>
    <w:rsid w:val="00221558"/>
    <w:rsid w:val="00222137"/>
    <w:rsid w:val="00224DEC"/>
    <w:rsid w:val="002257F6"/>
    <w:rsid w:val="00233359"/>
    <w:rsid w:val="0023427B"/>
    <w:rsid w:val="002355F1"/>
    <w:rsid w:val="00235778"/>
    <w:rsid w:val="002360BA"/>
    <w:rsid w:val="0023660A"/>
    <w:rsid w:val="002368BF"/>
    <w:rsid w:val="00236AE1"/>
    <w:rsid w:val="00236E41"/>
    <w:rsid w:val="002401C8"/>
    <w:rsid w:val="002409B7"/>
    <w:rsid w:val="00241B11"/>
    <w:rsid w:val="00243572"/>
    <w:rsid w:val="00244957"/>
    <w:rsid w:val="00252009"/>
    <w:rsid w:val="002544A0"/>
    <w:rsid w:val="002557DA"/>
    <w:rsid w:val="0025627C"/>
    <w:rsid w:val="002563C9"/>
    <w:rsid w:val="00263FE7"/>
    <w:rsid w:val="00264899"/>
    <w:rsid w:val="002666F6"/>
    <w:rsid w:val="00267127"/>
    <w:rsid w:val="00281BB6"/>
    <w:rsid w:val="00284C5A"/>
    <w:rsid w:val="00284D14"/>
    <w:rsid w:val="00286307"/>
    <w:rsid w:val="002866EB"/>
    <w:rsid w:val="00286D3B"/>
    <w:rsid w:val="00290C17"/>
    <w:rsid w:val="002923A7"/>
    <w:rsid w:val="00293CF1"/>
    <w:rsid w:val="0029589A"/>
    <w:rsid w:val="00296E9B"/>
    <w:rsid w:val="00297206"/>
    <w:rsid w:val="002972A1"/>
    <w:rsid w:val="002A0B7D"/>
    <w:rsid w:val="002A0D7D"/>
    <w:rsid w:val="002A6810"/>
    <w:rsid w:val="002A6835"/>
    <w:rsid w:val="002B08FA"/>
    <w:rsid w:val="002B3B6D"/>
    <w:rsid w:val="002B3DD8"/>
    <w:rsid w:val="002B730E"/>
    <w:rsid w:val="002C18E9"/>
    <w:rsid w:val="002C65CB"/>
    <w:rsid w:val="002C6A0E"/>
    <w:rsid w:val="002C720F"/>
    <w:rsid w:val="002C73E6"/>
    <w:rsid w:val="002D0904"/>
    <w:rsid w:val="002D0E23"/>
    <w:rsid w:val="002D2BF1"/>
    <w:rsid w:val="002D2C3E"/>
    <w:rsid w:val="002D5B0A"/>
    <w:rsid w:val="002D6B73"/>
    <w:rsid w:val="002D6D4A"/>
    <w:rsid w:val="002E033A"/>
    <w:rsid w:val="002E40BD"/>
    <w:rsid w:val="002E45EE"/>
    <w:rsid w:val="002E6C2C"/>
    <w:rsid w:val="002F1DD0"/>
    <w:rsid w:val="002F2403"/>
    <w:rsid w:val="002F24BD"/>
    <w:rsid w:val="002F421A"/>
    <w:rsid w:val="00302132"/>
    <w:rsid w:val="003024BD"/>
    <w:rsid w:val="0030353D"/>
    <w:rsid w:val="003035E9"/>
    <w:rsid w:val="0030702D"/>
    <w:rsid w:val="00307EBB"/>
    <w:rsid w:val="00310BB2"/>
    <w:rsid w:val="003130C3"/>
    <w:rsid w:val="003132DB"/>
    <w:rsid w:val="00316BE9"/>
    <w:rsid w:val="00320469"/>
    <w:rsid w:val="003214B3"/>
    <w:rsid w:val="00324BD0"/>
    <w:rsid w:val="003255CB"/>
    <w:rsid w:val="00327580"/>
    <w:rsid w:val="00333BF2"/>
    <w:rsid w:val="003340CD"/>
    <w:rsid w:val="0033522D"/>
    <w:rsid w:val="0033528C"/>
    <w:rsid w:val="00336E1F"/>
    <w:rsid w:val="003377AC"/>
    <w:rsid w:val="00341111"/>
    <w:rsid w:val="0034345B"/>
    <w:rsid w:val="00344922"/>
    <w:rsid w:val="00346F8E"/>
    <w:rsid w:val="003537AD"/>
    <w:rsid w:val="0035651E"/>
    <w:rsid w:val="003567C2"/>
    <w:rsid w:val="00360C95"/>
    <w:rsid w:val="00361933"/>
    <w:rsid w:val="00363383"/>
    <w:rsid w:val="0036351B"/>
    <w:rsid w:val="00364A4A"/>
    <w:rsid w:val="00364B24"/>
    <w:rsid w:val="00366355"/>
    <w:rsid w:val="00366936"/>
    <w:rsid w:val="00375113"/>
    <w:rsid w:val="00382B52"/>
    <w:rsid w:val="003849C2"/>
    <w:rsid w:val="00386926"/>
    <w:rsid w:val="00387834"/>
    <w:rsid w:val="00387F35"/>
    <w:rsid w:val="00392635"/>
    <w:rsid w:val="0039553D"/>
    <w:rsid w:val="0039637A"/>
    <w:rsid w:val="003974B9"/>
    <w:rsid w:val="00397822"/>
    <w:rsid w:val="003A15EB"/>
    <w:rsid w:val="003A4850"/>
    <w:rsid w:val="003A6D8D"/>
    <w:rsid w:val="003B0421"/>
    <w:rsid w:val="003B1E6C"/>
    <w:rsid w:val="003B2F3A"/>
    <w:rsid w:val="003B6608"/>
    <w:rsid w:val="003B7D8A"/>
    <w:rsid w:val="003C1477"/>
    <w:rsid w:val="003C397C"/>
    <w:rsid w:val="003D2DA1"/>
    <w:rsid w:val="003D37F6"/>
    <w:rsid w:val="003D3CCB"/>
    <w:rsid w:val="003D6E5A"/>
    <w:rsid w:val="003E0183"/>
    <w:rsid w:val="003E2987"/>
    <w:rsid w:val="003E2E0F"/>
    <w:rsid w:val="003E4687"/>
    <w:rsid w:val="003E67F9"/>
    <w:rsid w:val="003F1D3E"/>
    <w:rsid w:val="003F3FB9"/>
    <w:rsid w:val="003F4293"/>
    <w:rsid w:val="003F5442"/>
    <w:rsid w:val="003F5D57"/>
    <w:rsid w:val="003F7354"/>
    <w:rsid w:val="004020E5"/>
    <w:rsid w:val="00406369"/>
    <w:rsid w:val="00410B27"/>
    <w:rsid w:val="004119A5"/>
    <w:rsid w:val="00411CE5"/>
    <w:rsid w:val="00413CE9"/>
    <w:rsid w:val="004202D3"/>
    <w:rsid w:val="0042126F"/>
    <w:rsid w:val="004221E7"/>
    <w:rsid w:val="0042278F"/>
    <w:rsid w:val="00423C3D"/>
    <w:rsid w:val="00424847"/>
    <w:rsid w:val="00424C5B"/>
    <w:rsid w:val="00425C8B"/>
    <w:rsid w:val="004265CC"/>
    <w:rsid w:val="00432588"/>
    <w:rsid w:val="004345F3"/>
    <w:rsid w:val="00434DA1"/>
    <w:rsid w:val="004369F1"/>
    <w:rsid w:val="00437059"/>
    <w:rsid w:val="004377A2"/>
    <w:rsid w:val="00437F3F"/>
    <w:rsid w:val="00442C2B"/>
    <w:rsid w:val="00443876"/>
    <w:rsid w:val="00443EFC"/>
    <w:rsid w:val="00444243"/>
    <w:rsid w:val="004477F6"/>
    <w:rsid w:val="004535E5"/>
    <w:rsid w:val="00454D72"/>
    <w:rsid w:val="00455252"/>
    <w:rsid w:val="004606FF"/>
    <w:rsid w:val="00461957"/>
    <w:rsid w:val="00462296"/>
    <w:rsid w:val="0046313E"/>
    <w:rsid w:val="00463486"/>
    <w:rsid w:val="00463F1E"/>
    <w:rsid w:val="00464C0E"/>
    <w:rsid w:val="004656CD"/>
    <w:rsid w:val="00466586"/>
    <w:rsid w:val="00471C40"/>
    <w:rsid w:val="00475D5C"/>
    <w:rsid w:val="004777D7"/>
    <w:rsid w:val="0048152F"/>
    <w:rsid w:val="00482E21"/>
    <w:rsid w:val="0049075A"/>
    <w:rsid w:val="00490E68"/>
    <w:rsid w:val="00491E5F"/>
    <w:rsid w:val="00493FC7"/>
    <w:rsid w:val="00494DB3"/>
    <w:rsid w:val="00494EE0"/>
    <w:rsid w:val="00497FF8"/>
    <w:rsid w:val="004A1C99"/>
    <w:rsid w:val="004A5E75"/>
    <w:rsid w:val="004A602A"/>
    <w:rsid w:val="004A67A0"/>
    <w:rsid w:val="004A68A7"/>
    <w:rsid w:val="004A7643"/>
    <w:rsid w:val="004B1AE2"/>
    <w:rsid w:val="004B1D54"/>
    <w:rsid w:val="004B1E47"/>
    <w:rsid w:val="004B20B8"/>
    <w:rsid w:val="004B37EE"/>
    <w:rsid w:val="004B4E55"/>
    <w:rsid w:val="004C19C9"/>
    <w:rsid w:val="004C2B5B"/>
    <w:rsid w:val="004C6434"/>
    <w:rsid w:val="004D4427"/>
    <w:rsid w:val="004D4D7B"/>
    <w:rsid w:val="004D6DF9"/>
    <w:rsid w:val="004D7363"/>
    <w:rsid w:val="004F2595"/>
    <w:rsid w:val="004F7038"/>
    <w:rsid w:val="0050182C"/>
    <w:rsid w:val="005043EB"/>
    <w:rsid w:val="00504909"/>
    <w:rsid w:val="00504913"/>
    <w:rsid w:val="0050689F"/>
    <w:rsid w:val="005069EE"/>
    <w:rsid w:val="005078E9"/>
    <w:rsid w:val="005111B3"/>
    <w:rsid w:val="00513D2C"/>
    <w:rsid w:val="00515D38"/>
    <w:rsid w:val="00516EC2"/>
    <w:rsid w:val="00517A68"/>
    <w:rsid w:val="00524BB8"/>
    <w:rsid w:val="00524C95"/>
    <w:rsid w:val="0052574A"/>
    <w:rsid w:val="0053005D"/>
    <w:rsid w:val="00530C5B"/>
    <w:rsid w:val="005318D4"/>
    <w:rsid w:val="005320C1"/>
    <w:rsid w:val="00533759"/>
    <w:rsid w:val="00534D58"/>
    <w:rsid w:val="0053541B"/>
    <w:rsid w:val="00537315"/>
    <w:rsid w:val="00540445"/>
    <w:rsid w:val="0054452C"/>
    <w:rsid w:val="005448B7"/>
    <w:rsid w:val="00545079"/>
    <w:rsid w:val="00557DEF"/>
    <w:rsid w:val="00560BF8"/>
    <w:rsid w:val="005629C5"/>
    <w:rsid w:val="00563E28"/>
    <w:rsid w:val="00565C86"/>
    <w:rsid w:val="0056720A"/>
    <w:rsid w:val="005677B9"/>
    <w:rsid w:val="00571BB4"/>
    <w:rsid w:val="00573A4E"/>
    <w:rsid w:val="00574162"/>
    <w:rsid w:val="0057476A"/>
    <w:rsid w:val="00581231"/>
    <w:rsid w:val="005824B3"/>
    <w:rsid w:val="00584F9D"/>
    <w:rsid w:val="00585803"/>
    <w:rsid w:val="005863A2"/>
    <w:rsid w:val="005870FC"/>
    <w:rsid w:val="00587681"/>
    <w:rsid w:val="00587C8A"/>
    <w:rsid w:val="00591D24"/>
    <w:rsid w:val="0059249B"/>
    <w:rsid w:val="00592EDC"/>
    <w:rsid w:val="00593EF1"/>
    <w:rsid w:val="005A3414"/>
    <w:rsid w:val="005A5EBF"/>
    <w:rsid w:val="005A7193"/>
    <w:rsid w:val="005A74A3"/>
    <w:rsid w:val="005B1E87"/>
    <w:rsid w:val="005B470F"/>
    <w:rsid w:val="005B525C"/>
    <w:rsid w:val="005C11D1"/>
    <w:rsid w:val="005C163F"/>
    <w:rsid w:val="005C16A3"/>
    <w:rsid w:val="005C47E6"/>
    <w:rsid w:val="005C4B1C"/>
    <w:rsid w:val="005C65D7"/>
    <w:rsid w:val="005C6E00"/>
    <w:rsid w:val="005D00FE"/>
    <w:rsid w:val="005D0393"/>
    <w:rsid w:val="005D299E"/>
    <w:rsid w:val="005D2E6A"/>
    <w:rsid w:val="005D3790"/>
    <w:rsid w:val="005E13B4"/>
    <w:rsid w:val="005E25BD"/>
    <w:rsid w:val="005E4E43"/>
    <w:rsid w:val="005E6698"/>
    <w:rsid w:val="005F081E"/>
    <w:rsid w:val="005F1F1E"/>
    <w:rsid w:val="005F4339"/>
    <w:rsid w:val="005F4AD7"/>
    <w:rsid w:val="005F7C96"/>
    <w:rsid w:val="0060082A"/>
    <w:rsid w:val="00603B7E"/>
    <w:rsid w:val="00603EF8"/>
    <w:rsid w:val="00606183"/>
    <w:rsid w:val="00611276"/>
    <w:rsid w:val="00611E4E"/>
    <w:rsid w:val="00611F9B"/>
    <w:rsid w:val="00612DDD"/>
    <w:rsid w:val="00612E46"/>
    <w:rsid w:val="006138D1"/>
    <w:rsid w:val="0061538B"/>
    <w:rsid w:val="00616971"/>
    <w:rsid w:val="00631B0E"/>
    <w:rsid w:val="00641EB6"/>
    <w:rsid w:val="00643C78"/>
    <w:rsid w:val="006440A9"/>
    <w:rsid w:val="00644804"/>
    <w:rsid w:val="00645BD5"/>
    <w:rsid w:val="006500B8"/>
    <w:rsid w:val="006526BB"/>
    <w:rsid w:val="006532F1"/>
    <w:rsid w:val="00657FC9"/>
    <w:rsid w:val="006602BC"/>
    <w:rsid w:val="00661BBA"/>
    <w:rsid w:val="006646D3"/>
    <w:rsid w:val="006648A6"/>
    <w:rsid w:val="006668AF"/>
    <w:rsid w:val="006679A4"/>
    <w:rsid w:val="00675468"/>
    <w:rsid w:val="00675E7E"/>
    <w:rsid w:val="00676277"/>
    <w:rsid w:val="006766A8"/>
    <w:rsid w:val="00677722"/>
    <w:rsid w:val="006800AA"/>
    <w:rsid w:val="00680970"/>
    <w:rsid w:val="00680ADE"/>
    <w:rsid w:val="00681252"/>
    <w:rsid w:val="006821C1"/>
    <w:rsid w:val="00682464"/>
    <w:rsid w:val="00683239"/>
    <w:rsid w:val="006840EE"/>
    <w:rsid w:val="00684E5B"/>
    <w:rsid w:val="00685ED0"/>
    <w:rsid w:val="00687C11"/>
    <w:rsid w:val="00695758"/>
    <w:rsid w:val="00697455"/>
    <w:rsid w:val="006A209D"/>
    <w:rsid w:val="006A2145"/>
    <w:rsid w:val="006A3182"/>
    <w:rsid w:val="006A59FA"/>
    <w:rsid w:val="006B217A"/>
    <w:rsid w:val="006B222A"/>
    <w:rsid w:val="006B294B"/>
    <w:rsid w:val="006B34F6"/>
    <w:rsid w:val="006B461C"/>
    <w:rsid w:val="006B538E"/>
    <w:rsid w:val="006B6A7D"/>
    <w:rsid w:val="006B7FB6"/>
    <w:rsid w:val="006C16FF"/>
    <w:rsid w:val="006C20CB"/>
    <w:rsid w:val="006C261F"/>
    <w:rsid w:val="006C302D"/>
    <w:rsid w:val="006C3085"/>
    <w:rsid w:val="006C3309"/>
    <w:rsid w:val="006C3B97"/>
    <w:rsid w:val="006C4366"/>
    <w:rsid w:val="006C5145"/>
    <w:rsid w:val="006C6977"/>
    <w:rsid w:val="006C6BB9"/>
    <w:rsid w:val="006C7199"/>
    <w:rsid w:val="006C74D7"/>
    <w:rsid w:val="006C7615"/>
    <w:rsid w:val="006D05C8"/>
    <w:rsid w:val="006D1AB3"/>
    <w:rsid w:val="006D7410"/>
    <w:rsid w:val="006E2CB9"/>
    <w:rsid w:val="006E38CC"/>
    <w:rsid w:val="006E5B68"/>
    <w:rsid w:val="006F05F4"/>
    <w:rsid w:val="006F065B"/>
    <w:rsid w:val="006F0B56"/>
    <w:rsid w:val="006F1393"/>
    <w:rsid w:val="006F1A8F"/>
    <w:rsid w:val="006F2AC4"/>
    <w:rsid w:val="006F3BCD"/>
    <w:rsid w:val="006F3E30"/>
    <w:rsid w:val="006F42A5"/>
    <w:rsid w:val="006F62AA"/>
    <w:rsid w:val="006F78EC"/>
    <w:rsid w:val="0070049E"/>
    <w:rsid w:val="0070163D"/>
    <w:rsid w:val="00701FF8"/>
    <w:rsid w:val="00702054"/>
    <w:rsid w:val="00702130"/>
    <w:rsid w:val="00702B30"/>
    <w:rsid w:val="00703938"/>
    <w:rsid w:val="007041AF"/>
    <w:rsid w:val="007122DC"/>
    <w:rsid w:val="00712844"/>
    <w:rsid w:val="00713878"/>
    <w:rsid w:val="007147E4"/>
    <w:rsid w:val="00714F45"/>
    <w:rsid w:val="00715AEA"/>
    <w:rsid w:val="00716512"/>
    <w:rsid w:val="007170A2"/>
    <w:rsid w:val="00721AB9"/>
    <w:rsid w:val="00725B11"/>
    <w:rsid w:val="007303E4"/>
    <w:rsid w:val="00730750"/>
    <w:rsid w:val="00731A13"/>
    <w:rsid w:val="0073266F"/>
    <w:rsid w:val="007327C3"/>
    <w:rsid w:val="00732D8A"/>
    <w:rsid w:val="00734D2E"/>
    <w:rsid w:val="007402EB"/>
    <w:rsid w:val="00742224"/>
    <w:rsid w:val="0074296C"/>
    <w:rsid w:val="00746750"/>
    <w:rsid w:val="00747DE6"/>
    <w:rsid w:val="00753CD6"/>
    <w:rsid w:val="007565E1"/>
    <w:rsid w:val="0076002F"/>
    <w:rsid w:val="00760C73"/>
    <w:rsid w:val="00761FCF"/>
    <w:rsid w:val="007624A0"/>
    <w:rsid w:val="0076314A"/>
    <w:rsid w:val="00764865"/>
    <w:rsid w:val="00764D6A"/>
    <w:rsid w:val="00766ADC"/>
    <w:rsid w:val="00773056"/>
    <w:rsid w:val="00774FB4"/>
    <w:rsid w:val="00775944"/>
    <w:rsid w:val="00777F0F"/>
    <w:rsid w:val="007803EA"/>
    <w:rsid w:val="007819B9"/>
    <w:rsid w:val="00784CF2"/>
    <w:rsid w:val="00790186"/>
    <w:rsid w:val="00793F2E"/>
    <w:rsid w:val="00794892"/>
    <w:rsid w:val="00794A5D"/>
    <w:rsid w:val="00796E3E"/>
    <w:rsid w:val="00797AEE"/>
    <w:rsid w:val="007A1914"/>
    <w:rsid w:val="007A2F14"/>
    <w:rsid w:val="007A4AF0"/>
    <w:rsid w:val="007A5D10"/>
    <w:rsid w:val="007B1727"/>
    <w:rsid w:val="007B321C"/>
    <w:rsid w:val="007B4B64"/>
    <w:rsid w:val="007C358A"/>
    <w:rsid w:val="007C3728"/>
    <w:rsid w:val="007C4A34"/>
    <w:rsid w:val="007C4F81"/>
    <w:rsid w:val="007D05FB"/>
    <w:rsid w:val="007D1F5B"/>
    <w:rsid w:val="007D2456"/>
    <w:rsid w:val="007D35A7"/>
    <w:rsid w:val="007D3A6E"/>
    <w:rsid w:val="007D4045"/>
    <w:rsid w:val="007D4D30"/>
    <w:rsid w:val="007D5D18"/>
    <w:rsid w:val="007E3819"/>
    <w:rsid w:val="007E4A93"/>
    <w:rsid w:val="007E6345"/>
    <w:rsid w:val="007E641B"/>
    <w:rsid w:val="007F5923"/>
    <w:rsid w:val="007F7F92"/>
    <w:rsid w:val="007F7FF6"/>
    <w:rsid w:val="00800486"/>
    <w:rsid w:val="00801599"/>
    <w:rsid w:val="0080367D"/>
    <w:rsid w:val="00803B66"/>
    <w:rsid w:val="008053EC"/>
    <w:rsid w:val="00806D39"/>
    <w:rsid w:val="00807486"/>
    <w:rsid w:val="008162E0"/>
    <w:rsid w:val="00820F04"/>
    <w:rsid w:val="008211A3"/>
    <w:rsid w:val="008218A9"/>
    <w:rsid w:val="00824556"/>
    <w:rsid w:val="00825058"/>
    <w:rsid w:val="008271D5"/>
    <w:rsid w:val="0083010E"/>
    <w:rsid w:val="00835F7B"/>
    <w:rsid w:val="00840EEE"/>
    <w:rsid w:val="008420D0"/>
    <w:rsid w:val="0084531B"/>
    <w:rsid w:val="00850B2D"/>
    <w:rsid w:val="00851805"/>
    <w:rsid w:val="00851A47"/>
    <w:rsid w:val="00855694"/>
    <w:rsid w:val="00856B24"/>
    <w:rsid w:val="00856EB7"/>
    <w:rsid w:val="00860B1B"/>
    <w:rsid w:val="00863579"/>
    <w:rsid w:val="0086494B"/>
    <w:rsid w:val="008727C2"/>
    <w:rsid w:val="0087300E"/>
    <w:rsid w:val="0087468E"/>
    <w:rsid w:val="0087492A"/>
    <w:rsid w:val="008749E9"/>
    <w:rsid w:val="00874D37"/>
    <w:rsid w:val="00875BAD"/>
    <w:rsid w:val="00877123"/>
    <w:rsid w:val="00881AAA"/>
    <w:rsid w:val="00884E3A"/>
    <w:rsid w:val="0088614B"/>
    <w:rsid w:val="0089030F"/>
    <w:rsid w:val="008905AD"/>
    <w:rsid w:val="00892CC1"/>
    <w:rsid w:val="00895E70"/>
    <w:rsid w:val="0089708C"/>
    <w:rsid w:val="008A0EE3"/>
    <w:rsid w:val="008A1C23"/>
    <w:rsid w:val="008A36F4"/>
    <w:rsid w:val="008A3FE3"/>
    <w:rsid w:val="008A4CC7"/>
    <w:rsid w:val="008B2A78"/>
    <w:rsid w:val="008B3DF0"/>
    <w:rsid w:val="008B4EDB"/>
    <w:rsid w:val="008B6BBC"/>
    <w:rsid w:val="008B71CE"/>
    <w:rsid w:val="008C03D2"/>
    <w:rsid w:val="008C1F94"/>
    <w:rsid w:val="008C350F"/>
    <w:rsid w:val="008D0898"/>
    <w:rsid w:val="008D2461"/>
    <w:rsid w:val="008D293F"/>
    <w:rsid w:val="008D3DFD"/>
    <w:rsid w:val="008D550E"/>
    <w:rsid w:val="008D619B"/>
    <w:rsid w:val="008D7464"/>
    <w:rsid w:val="008D7AA6"/>
    <w:rsid w:val="008E0B20"/>
    <w:rsid w:val="008E2272"/>
    <w:rsid w:val="008E2377"/>
    <w:rsid w:val="008E28CA"/>
    <w:rsid w:val="008E4859"/>
    <w:rsid w:val="008F10C8"/>
    <w:rsid w:val="009063A0"/>
    <w:rsid w:val="00911F95"/>
    <w:rsid w:val="0091237C"/>
    <w:rsid w:val="00921092"/>
    <w:rsid w:val="00921439"/>
    <w:rsid w:val="009216B6"/>
    <w:rsid w:val="00922547"/>
    <w:rsid w:val="009239E2"/>
    <w:rsid w:val="00923CC9"/>
    <w:rsid w:val="00924F60"/>
    <w:rsid w:val="0093241D"/>
    <w:rsid w:val="00935450"/>
    <w:rsid w:val="0093673C"/>
    <w:rsid w:val="009371BC"/>
    <w:rsid w:val="00941D4A"/>
    <w:rsid w:val="0094349D"/>
    <w:rsid w:val="00944586"/>
    <w:rsid w:val="00946354"/>
    <w:rsid w:val="00946A37"/>
    <w:rsid w:val="00950D5F"/>
    <w:rsid w:val="009519F2"/>
    <w:rsid w:val="00953103"/>
    <w:rsid w:val="00963B54"/>
    <w:rsid w:val="00964066"/>
    <w:rsid w:val="0096538A"/>
    <w:rsid w:val="00966C75"/>
    <w:rsid w:val="00967900"/>
    <w:rsid w:val="00967911"/>
    <w:rsid w:val="009702DF"/>
    <w:rsid w:val="009721EB"/>
    <w:rsid w:val="00976374"/>
    <w:rsid w:val="00982CF5"/>
    <w:rsid w:val="009841F7"/>
    <w:rsid w:val="00987584"/>
    <w:rsid w:val="009905FB"/>
    <w:rsid w:val="00995FDC"/>
    <w:rsid w:val="009965FD"/>
    <w:rsid w:val="00996FEA"/>
    <w:rsid w:val="009A1C5F"/>
    <w:rsid w:val="009A5E58"/>
    <w:rsid w:val="009B2F11"/>
    <w:rsid w:val="009B31FC"/>
    <w:rsid w:val="009B4B48"/>
    <w:rsid w:val="009B51E9"/>
    <w:rsid w:val="009B5394"/>
    <w:rsid w:val="009B626C"/>
    <w:rsid w:val="009B6340"/>
    <w:rsid w:val="009B73F2"/>
    <w:rsid w:val="009C08FC"/>
    <w:rsid w:val="009C3933"/>
    <w:rsid w:val="009C3D86"/>
    <w:rsid w:val="009C5F63"/>
    <w:rsid w:val="009C73A6"/>
    <w:rsid w:val="009D03A0"/>
    <w:rsid w:val="009D21AB"/>
    <w:rsid w:val="009D3876"/>
    <w:rsid w:val="009D5007"/>
    <w:rsid w:val="009D7917"/>
    <w:rsid w:val="009E2823"/>
    <w:rsid w:val="009E3CE2"/>
    <w:rsid w:val="009E4336"/>
    <w:rsid w:val="009E4C71"/>
    <w:rsid w:val="009E6208"/>
    <w:rsid w:val="009F2FDA"/>
    <w:rsid w:val="009F50C0"/>
    <w:rsid w:val="00A00B45"/>
    <w:rsid w:val="00A02F77"/>
    <w:rsid w:val="00A0373A"/>
    <w:rsid w:val="00A0393A"/>
    <w:rsid w:val="00A03E9A"/>
    <w:rsid w:val="00A040F3"/>
    <w:rsid w:val="00A04318"/>
    <w:rsid w:val="00A05A2B"/>
    <w:rsid w:val="00A1006D"/>
    <w:rsid w:val="00A13F28"/>
    <w:rsid w:val="00A15766"/>
    <w:rsid w:val="00A2324F"/>
    <w:rsid w:val="00A25F8D"/>
    <w:rsid w:val="00A27489"/>
    <w:rsid w:val="00A3011D"/>
    <w:rsid w:val="00A30B72"/>
    <w:rsid w:val="00A32152"/>
    <w:rsid w:val="00A32CE8"/>
    <w:rsid w:val="00A3412F"/>
    <w:rsid w:val="00A34B3F"/>
    <w:rsid w:val="00A3723E"/>
    <w:rsid w:val="00A4349F"/>
    <w:rsid w:val="00A459AD"/>
    <w:rsid w:val="00A45F0F"/>
    <w:rsid w:val="00A46A7C"/>
    <w:rsid w:val="00A50784"/>
    <w:rsid w:val="00A5175D"/>
    <w:rsid w:val="00A532E4"/>
    <w:rsid w:val="00A53489"/>
    <w:rsid w:val="00A65D43"/>
    <w:rsid w:val="00A65E1E"/>
    <w:rsid w:val="00A7072E"/>
    <w:rsid w:val="00A76152"/>
    <w:rsid w:val="00A838DC"/>
    <w:rsid w:val="00A850AD"/>
    <w:rsid w:val="00A91223"/>
    <w:rsid w:val="00A91307"/>
    <w:rsid w:val="00A96AA7"/>
    <w:rsid w:val="00AA11EF"/>
    <w:rsid w:val="00AA2F00"/>
    <w:rsid w:val="00AA4DBB"/>
    <w:rsid w:val="00AA6CC3"/>
    <w:rsid w:val="00AA7521"/>
    <w:rsid w:val="00AB19E5"/>
    <w:rsid w:val="00AB667B"/>
    <w:rsid w:val="00AB7911"/>
    <w:rsid w:val="00AC35F5"/>
    <w:rsid w:val="00AD0C63"/>
    <w:rsid w:val="00AD1433"/>
    <w:rsid w:val="00AD6895"/>
    <w:rsid w:val="00AD6C65"/>
    <w:rsid w:val="00AE2FD7"/>
    <w:rsid w:val="00AE4237"/>
    <w:rsid w:val="00AE517C"/>
    <w:rsid w:val="00AE65B2"/>
    <w:rsid w:val="00AE6ACD"/>
    <w:rsid w:val="00AF0DFF"/>
    <w:rsid w:val="00AF443B"/>
    <w:rsid w:val="00AF71CB"/>
    <w:rsid w:val="00AF728C"/>
    <w:rsid w:val="00B0011B"/>
    <w:rsid w:val="00B02B9B"/>
    <w:rsid w:val="00B05338"/>
    <w:rsid w:val="00B07005"/>
    <w:rsid w:val="00B1221B"/>
    <w:rsid w:val="00B141BC"/>
    <w:rsid w:val="00B22664"/>
    <w:rsid w:val="00B24FFB"/>
    <w:rsid w:val="00B2704D"/>
    <w:rsid w:val="00B34C09"/>
    <w:rsid w:val="00B379FE"/>
    <w:rsid w:val="00B417DF"/>
    <w:rsid w:val="00B431F6"/>
    <w:rsid w:val="00B45E64"/>
    <w:rsid w:val="00B46205"/>
    <w:rsid w:val="00B513A7"/>
    <w:rsid w:val="00B52D07"/>
    <w:rsid w:val="00B5523E"/>
    <w:rsid w:val="00B558B9"/>
    <w:rsid w:val="00B5740E"/>
    <w:rsid w:val="00B61D55"/>
    <w:rsid w:val="00B62686"/>
    <w:rsid w:val="00B63A9F"/>
    <w:rsid w:val="00B67082"/>
    <w:rsid w:val="00B67DFF"/>
    <w:rsid w:val="00B70164"/>
    <w:rsid w:val="00B715B8"/>
    <w:rsid w:val="00B7342D"/>
    <w:rsid w:val="00B7393D"/>
    <w:rsid w:val="00B80558"/>
    <w:rsid w:val="00B843B8"/>
    <w:rsid w:val="00B84485"/>
    <w:rsid w:val="00B861B4"/>
    <w:rsid w:val="00B8745D"/>
    <w:rsid w:val="00B91E61"/>
    <w:rsid w:val="00B93FB6"/>
    <w:rsid w:val="00B9571A"/>
    <w:rsid w:val="00B97E56"/>
    <w:rsid w:val="00B97E61"/>
    <w:rsid w:val="00BA220E"/>
    <w:rsid w:val="00BA3A8B"/>
    <w:rsid w:val="00BA50E7"/>
    <w:rsid w:val="00BA74FD"/>
    <w:rsid w:val="00BB3942"/>
    <w:rsid w:val="00BB55AD"/>
    <w:rsid w:val="00BC0165"/>
    <w:rsid w:val="00BC1616"/>
    <w:rsid w:val="00BC334C"/>
    <w:rsid w:val="00BD1066"/>
    <w:rsid w:val="00BD27DC"/>
    <w:rsid w:val="00BD335C"/>
    <w:rsid w:val="00BD4F83"/>
    <w:rsid w:val="00BE0BCD"/>
    <w:rsid w:val="00BE0CD5"/>
    <w:rsid w:val="00BE561A"/>
    <w:rsid w:val="00BE581F"/>
    <w:rsid w:val="00BE7B48"/>
    <w:rsid w:val="00BE7EFB"/>
    <w:rsid w:val="00BF05F8"/>
    <w:rsid w:val="00BF0CB9"/>
    <w:rsid w:val="00BF2705"/>
    <w:rsid w:val="00BF4104"/>
    <w:rsid w:val="00BF43E9"/>
    <w:rsid w:val="00BF4E55"/>
    <w:rsid w:val="00BF7751"/>
    <w:rsid w:val="00C003C5"/>
    <w:rsid w:val="00C017F8"/>
    <w:rsid w:val="00C02519"/>
    <w:rsid w:val="00C02F9C"/>
    <w:rsid w:val="00C04492"/>
    <w:rsid w:val="00C05610"/>
    <w:rsid w:val="00C105C8"/>
    <w:rsid w:val="00C12ACE"/>
    <w:rsid w:val="00C13950"/>
    <w:rsid w:val="00C13DCB"/>
    <w:rsid w:val="00C22160"/>
    <w:rsid w:val="00C22EC6"/>
    <w:rsid w:val="00C23EFA"/>
    <w:rsid w:val="00C2546B"/>
    <w:rsid w:val="00C26361"/>
    <w:rsid w:val="00C31D84"/>
    <w:rsid w:val="00C33358"/>
    <w:rsid w:val="00C33550"/>
    <w:rsid w:val="00C34093"/>
    <w:rsid w:val="00C34B37"/>
    <w:rsid w:val="00C35892"/>
    <w:rsid w:val="00C414F1"/>
    <w:rsid w:val="00C41517"/>
    <w:rsid w:val="00C416EC"/>
    <w:rsid w:val="00C41D23"/>
    <w:rsid w:val="00C434C4"/>
    <w:rsid w:val="00C43786"/>
    <w:rsid w:val="00C45E41"/>
    <w:rsid w:val="00C4707B"/>
    <w:rsid w:val="00C47C90"/>
    <w:rsid w:val="00C52774"/>
    <w:rsid w:val="00C52C6B"/>
    <w:rsid w:val="00C52F53"/>
    <w:rsid w:val="00C54A05"/>
    <w:rsid w:val="00C54CEF"/>
    <w:rsid w:val="00C61ECF"/>
    <w:rsid w:val="00C638D9"/>
    <w:rsid w:val="00C65B2B"/>
    <w:rsid w:val="00C665E2"/>
    <w:rsid w:val="00C6663D"/>
    <w:rsid w:val="00C73E96"/>
    <w:rsid w:val="00C758C4"/>
    <w:rsid w:val="00C76434"/>
    <w:rsid w:val="00C770F0"/>
    <w:rsid w:val="00C81AFC"/>
    <w:rsid w:val="00C81C9A"/>
    <w:rsid w:val="00C834F5"/>
    <w:rsid w:val="00C85317"/>
    <w:rsid w:val="00C85C62"/>
    <w:rsid w:val="00C85F8E"/>
    <w:rsid w:val="00C93F10"/>
    <w:rsid w:val="00C9451C"/>
    <w:rsid w:val="00C95C9A"/>
    <w:rsid w:val="00C960F6"/>
    <w:rsid w:val="00CA545F"/>
    <w:rsid w:val="00CA688C"/>
    <w:rsid w:val="00CA760E"/>
    <w:rsid w:val="00CB2439"/>
    <w:rsid w:val="00CB7841"/>
    <w:rsid w:val="00CC0267"/>
    <w:rsid w:val="00CC3005"/>
    <w:rsid w:val="00CC7BFE"/>
    <w:rsid w:val="00CD28EB"/>
    <w:rsid w:val="00CD427D"/>
    <w:rsid w:val="00CD4FED"/>
    <w:rsid w:val="00CD517C"/>
    <w:rsid w:val="00CD5B70"/>
    <w:rsid w:val="00CD7448"/>
    <w:rsid w:val="00CD7A1A"/>
    <w:rsid w:val="00CE1A7F"/>
    <w:rsid w:val="00CE4905"/>
    <w:rsid w:val="00CF0D4B"/>
    <w:rsid w:val="00CF1BAF"/>
    <w:rsid w:val="00CF2120"/>
    <w:rsid w:val="00CF4F5E"/>
    <w:rsid w:val="00CF67CC"/>
    <w:rsid w:val="00CF7D15"/>
    <w:rsid w:val="00D0057C"/>
    <w:rsid w:val="00D009A4"/>
    <w:rsid w:val="00D07B39"/>
    <w:rsid w:val="00D07F7D"/>
    <w:rsid w:val="00D10012"/>
    <w:rsid w:val="00D100F7"/>
    <w:rsid w:val="00D1032B"/>
    <w:rsid w:val="00D10756"/>
    <w:rsid w:val="00D12403"/>
    <w:rsid w:val="00D128E8"/>
    <w:rsid w:val="00D1497B"/>
    <w:rsid w:val="00D158DC"/>
    <w:rsid w:val="00D1595A"/>
    <w:rsid w:val="00D16120"/>
    <w:rsid w:val="00D22009"/>
    <w:rsid w:val="00D24CE7"/>
    <w:rsid w:val="00D25A8A"/>
    <w:rsid w:val="00D27F15"/>
    <w:rsid w:val="00D4438A"/>
    <w:rsid w:val="00D464F4"/>
    <w:rsid w:val="00D46E53"/>
    <w:rsid w:val="00D46F28"/>
    <w:rsid w:val="00D47121"/>
    <w:rsid w:val="00D5067E"/>
    <w:rsid w:val="00D51752"/>
    <w:rsid w:val="00D51FBB"/>
    <w:rsid w:val="00D53B76"/>
    <w:rsid w:val="00D5567E"/>
    <w:rsid w:val="00D57B3F"/>
    <w:rsid w:val="00D60B6F"/>
    <w:rsid w:val="00D6286C"/>
    <w:rsid w:val="00D633DE"/>
    <w:rsid w:val="00D6390D"/>
    <w:rsid w:val="00D65771"/>
    <w:rsid w:val="00D65CD1"/>
    <w:rsid w:val="00D6626A"/>
    <w:rsid w:val="00D67C46"/>
    <w:rsid w:val="00D7068A"/>
    <w:rsid w:val="00D71AB0"/>
    <w:rsid w:val="00D77BFA"/>
    <w:rsid w:val="00D8280D"/>
    <w:rsid w:val="00D83FD4"/>
    <w:rsid w:val="00D84611"/>
    <w:rsid w:val="00D86640"/>
    <w:rsid w:val="00D91786"/>
    <w:rsid w:val="00D931B6"/>
    <w:rsid w:val="00D93A64"/>
    <w:rsid w:val="00D94E93"/>
    <w:rsid w:val="00D96B06"/>
    <w:rsid w:val="00DA08CF"/>
    <w:rsid w:val="00DA2B08"/>
    <w:rsid w:val="00DA3D47"/>
    <w:rsid w:val="00DA4C17"/>
    <w:rsid w:val="00DA71B8"/>
    <w:rsid w:val="00DB2153"/>
    <w:rsid w:val="00DB2AA2"/>
    <w:rsid w:val="00DB2CD2"/>
    <w:rsid w:val="00DB2EC4"/>
    <w:rsid w:val="00DB582B"/>
    <w:rsid w:val="00DB7DCB"/>
    <w:rsid w:val="00DC0521"/>
    <w:rsid w:val="00DC11B2"/>
    <w:rsid w:val="00DC19DE"/>
    <w:rsid w:val="00DC2410"/>
    <w:rsid w:val="00DC4671"/>
    <w:rsid w:val="00DC5F86"/>
    <w:rsid w:val="00DC608F"/>
    <w:rsid w:val="00DC636F"/>
    <w:rsid w:val="00DC74F9"/>
    <w:rsid w:val="00DD2B26"/>
    <w:rsid w:val="00DE02B7"/>
    <w:rsid w:val="00DE0AAE"/>
    <w:rsid w:val="00DE3D87"/>
    <w:rsid w:val="00DE3F59"/>
    <w:rsid w:val="00DE5FF6"/>
    <w:rsid w:val="00DF01A1"/>
    <w:rsid w:val="00DF1DEC"/>
    <w:rsid w:val="00DF5279"/>
    <w:rsid w:val="00DF5E43"/>
    <w:rsid w:val="00DF5F97"/>
    <w:rsid w:val="00DF781A"/>
    <w:rsid w:val="00E0007F"/>
    <w:rsid w:val="00E02C02"/>
    <w:rsid w:val="00E036F8"/>
    <w:rsid w:val="00E06BF3"/>
    <w:rsid w:val="00E10EAF"/>
    <w:rsid w:val="00E133B8"/>
    <w:rsid w:val="00E1427C"/>
    <w:rsid w:val="00E1513D"/>
    <w:rsid w:val="00E15495"/>
    <w:rsid w:val="00E160E9"/>
    <w:rsid w:val="00E163BB"/>
    <w:rsid w:val="00E201FE"/>
    <w:rsid w:val="00E2080D"/>
    <w:rsid w:val="00E20810"/>
    <w:rsid w:val="00E21BCA"/>
    <w:rsid w:val="00E223F3"/>
    <w:rsid w:val="00E238A1"/>
    <w:rsid w:val="00E241E3"/>
    <w:rsid w:val="00E24777"/>
    <w:rsid w:val="00E25B8A"/>
    <w:rsid w:val="00E25E9C"/>
    <w:rsid w:val="00E268EC"/>
    <w:rsid w:val="00E304A4"/>
    <w:rsid w:val="00E3181A"/>
    <w:rsid w:val="00E32984"/>
    <w:rsid w:val="00E32B7C"/>
    <w:rsid w:val="00E3555D"/>
    <w:rsid w:val="00E364F7"/>
    <w:rsid w:val="00E40A59"/>
    <w:rsid w:val="00E40C5F"/>
    <w:rsid w:val="00E42487"/>
    <w:rsid w:val="00E431EA"/>
    <w:rsid w:val="00E4689F"/>
    <w:rsid w:val="00E47B96"/>
    <w:rsid w:val="00E47FED"/>
    <w:rsid w:val="00E51FB6"/>
    <w:rsid w:val="00E539C2"/>
    <w:rsid w:val="00E557E8"/>
    <w:rsid w:val="00E5620C"/>
    <w:rsid w:val="00E56532"/>
    <w:rsid w:val="00E57979"/>
    <w:rsid w:val="00E6000F"/>
    <w:rsid w:val="00E61026"/>
    <w:rsid w:val="00E61D34"/>
    <w:rsid w:val="00E622D6"/>
    <w:rsid w:val="00E64E3D"/>
    <w:rsid w:val="00E6547A"/>
    <w:rsid w:val="00E74169"/>
    <w:rsid w:val="00E75296"/>
    <w:rsid w:val="00E82A43"/>
    <w:rsid w:val="00E8375C"/>
    <w:rsid w:val="00E91952"/>
    <w:rsid w:val="00E91D72"/>
    <w:rsid w:val="00E921DF"/>
    <w:rsid w:val="00E94DC9"/>
    <w:rsid w:val="00E950C3"/>
    <w:rsid w:val="00E95C37"/>
    <w:rsid w:val="00E96CB9"/>
    <w:rsid w:val="00E96EB6"/>
    <w:rsid w:val="00E97CBC"/>
    <w:rsid w:val="00EA157E"/>
    <w:rsid w:val="00EA2690"/>
    <w:rsid w:val="00EA2809"/>
    <w:rsid w:val="00EA3A86"/>
    <w:rsid w:val="00EA4333"/>
    <w:rsid w:val="00EA718D"/>
    <w:rsid w:val="00EA75CD"/>
    <w:rsid w:val="00EB5E49"/>
    <w:rsid w:val="00EB71BD"/>
    <w:rsid w:val="00EC3E79"/>
    <w:rsid w:val="00EC40D3"/>
    <w:rsid w:val="00EC4805"/>
    <w:rsid w:val="00EC4A10"/>
    <w:rsid w:val="00EC7603"/>
    <w:rsid w:val="00ED1160"/>
    <w:rsid w:val="00ED27A7"/>
    <w:rsid w:val="00ED39F7"/>
    <w:rsid w:val="00ED6D48"/>
    <w:rsid w:val="00EE4833"/>
    <w:rsid w:val="00EE5304"/>
    <w:rsid w:val="00EE567C"/>
    <w:rsid w:val="00EF190C"/>
    <w:rsid w:val="00EF28CA"/>
    <w:rsid w:val="00EF442E"/>
    <w:rsid w:val="00EF55CC"/>
    <w:rsid w:val="00EF5B44"/>
    <w:rsid w:val="00F0023E"/>
    <w:rsid w:val="00F011AC"/>
    <w:rsid w:val="00F01DFD"/>
    <w:rsid w:val="00F02D01"/>
    <w:rsid w:val="00F04729"/>
    <w:rsid w:val="00F061AF"/>
    <w:rsid w:val="00F06E07"/>
    <w:rsid w:val="00F11CA9"/>
    <w:rsid w:val="00F139FB"/>
    <w:rsid w:val="00F17493"/>
    <w:rsid w:val="00F22BEF"/>
    <w:rsid w:val="00F23041"/>
    <w:rsid w:val="00F31427"/>
    <w:rsid w:val="00F35EE8"/>
    <w:rsid w:val="00F37183"/>
    <w:rsid w:val="00F40992"/>
    <w:rsid w:val="00F41971"/>
    <w:rsid w:val="00F42423"/>
    <w:rsid w:val="00F448C4"/>
    <w:rsid w:val="00F50239"/>
    <w:rsid w:val="00F546C3"/>
    <w:rsid w:val="00F55200"/>
    <w:rsid w:val="00F571E9"/>
    <w:rsid w:val="00F57271"/>
    <w:rsid w:val="00F620B9"/>
    <w:rsid w:val="00F72984"/>
    <w:rsid w:val="00F72F92"/>
    <w:rsid w:val="00F7559C"/>
    <w:rsid w:val="00F82F27"/>
    <w:rsid w:val="00F83EAC"/>
    <w:rsid w:val="00F83FCC"/>
    <w:rsid w:val="00F85FD5"/>
    <w:rsid w:val="00F8646D"/>
    <w:rsid w:val="00F8695B"/>
    <w:rsid w:val="00F912D8"/>
    <w:rsid w:val="00F93A7C"/>
    <w:rsid w:val="00F93F39"/>
    <w:rsid w:val="00F93F87"/>
    <w:rsid w:val="00F94914"/>
    <w:rsid w:val="00F95CFF"/>
    <w:rsid w:val="00F970D9"/>
    <w:rsid w:val="00F97B66"/>
    <w:rsid w:val="00FA2743"/>
    <w:rsid w:val="00FA5558"/>
    <w:rsid w:val="00FA5B58"/>
    <w:rsid w:val="00FA5EA6"/>
    <w:rsid w:val="00FA654F"/>
    <w:rsid w:val="00FA6614"/>
    <w:rsid w:val="00FA668C"/>
    <w:rsid w:val="00FB0264"/>
    <w:rsid w:val="00FB0DFB"/>
    <w:rsid w:val="00FB15A8"/>
    <w:rsid w:val="00FB32E2"/>
    <w:rsid w:val="00FB431E"/>
    <w:rsid w:val="00FB5DC4"/>
    <w:rsid w:val="00FB7A1F"/>
    <w:rsid w:val="00FC0B39"/>
    <w:rsid w:val="00FC1353"/>
    <w:rsid w:val="00FC1759"/>
    <w:rsid w:val="00FC1CAA"/>
    <w:rsid w:val="00FC76CB"/>
    <w:rsid w:val="00FD04BF"/>
    <w:rsid w:val="00FD0C7A"/>
    <w:rsid w:val="00FD2647"/>
    <w:rsid w:val="00FD33B2"/>
    <w:rsid w:val="00FD4B66"/>
    <w:rsid w:val="00FD4D7C"/>
    <w:rsid w:val="00FD7CC6"/>
    <w:rsid w:val="00FE0972"/>
    <w:rsid w:val="00FE1D21"/>
    <w:rsid w:val="00FE274C"/>
    <w:rsid w:val="00FE353F"/>
    <w:rsid w:val="00FE63FD"/>
    <w:rsid w:val="00FE64BC"/>
    <w:rsid w:val="00FF30CF"/>
    <w:rsid w:val="00FF3997"/>
    <w:rsid w:val="00FF47EC"/>
    <w:rsid w:val="00FF4FC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2A985"/>
  <w15:docId w15:val="{05D33020-D83B-4FD3-A023-331D82C45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96C"/>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DF01A1"/>
    <w:pPr>
      <w:widowControl w:val="0"/>
      <w:numPr>
        <w:numId w:val="45"/>
      </w:numPr>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Heading1"/>
    <w:next w:val="Normal"/>
    <w:link w:val="Heading2Char"/>
    <w:uiPriority w:val="9"/>
    <w:qFormat/>
    <w:rsid w:val="00F546C3"/>
    <w:pPr>
      <w:spacing w:after="200"/>
      <w:ind w:left="0" w:firstLine="0"/>
      <w:outlineLvl w:val="1"/>
    </w:pPr>
    <w:rPr>
      <w:rFonts w:eastAsiaTheme="minorEastAsia"/>
      <w:b w:val="0"/>
      <w:color w:val="197C7D"/>
      <w:spacing w:val="0"/>
      <w:kern w:val="0"/>
      <w:sz w:val="48"/>
      <w:szCs w:val="22"/>
      <w:lang w:eastAsia="ja-JP"/>
    </w:rPr>
  </w:style>
  <w:style w:type="paragraph" w:styleId="Heading3">
    <w:name w:val="heading 3"/>
    <w:next w:val="Normal"/>
    <w:link w:val="Heading3Char"/>
    <w:uiPriority w:val="9"/>
    <w:qFormat/>
    <w:rsid w:val="001F14C4"/>
    <w:pPr>
      <w:keepNext/>
      <w:keepLines/>
      <w:numPr>
        <w:ilvl w:val="1"/>
        <w:numId w:val="45"/>
      </w:numPr>
      <w:spacing w:after="200"/>
      <w:outlineLvl w:val="2"/>
    </w:pPr>
    <w:rPr>
      <w:rFonts w:ascii="Calibri" w:eastAsia="Times New Roman" w:hAnsi="Calibri"/>
      <w:b/>
      <w:bCs/>
      <w:sz w:val="32"/>
      <w:szCs w:val="22"/>
      <w:lang w:eastAsia="en-US"/>
    </w:rPr>
  </w:style>
  <w:style w:type="paragraph" w:styleId="Heading4">
    <w:name w:val="heading 4"/>
    <w:next w:val="Normal"/>
    <w:link w:val="Heading4Char"/>
    <w:uiPriority w:val="9"/>
    <w:qFormat/>
    <w:rsid w:val="00581231"/>
    <w:pPr>
      <w:keepNext/>
      <w:numPr>
        <w:ilvl w:val="2"/>
        <w:numId w:val="45"/>
      </w:numPr>
      <w:spacing w:after="20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numPr>
        <w:ilvl w:val="4"/>
        <w:numId w:val="45"/>
      </w:numPr>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2A0B7D"/>
    <w:pPr>
      <w:keepNext/>
      <w:keepLines/>
      <w:numPr>
        <w:ilvl w:val="5"/>
        <w:numId w:val="45"/>
      </w:numPr>
      <w:spacing w:before="40" w:after="0"/>
      <w:outlineLvl w:val="5"/>
    </w:pPr>
    <w:rPr>
      <w:rFonts w:asciiTheme="majorHAnsi" w:eastAsiaTheme="majorEastAsia" w:hAnsiTheme="majorHAnsi" w:cstheme="majorBidi"/>
      <w:color w:val="0C3D3E" w:themeColor="accent1" w:themeShade="7F"/>
    </w:rPr>
  </w:style>
  <w:style w:type="paragraph" w:styleId="Heading7">
    <w:name w:val="heading 7"/>
    <w:basedOn w:val="Normal"/>
    <w:next w:val="Normal"/>
    <w:link w:val="Heading7Char"/>
    <w:uiPriority w:val="9"/>
    <w:semiHidden/>
    <w:qFormat/>
    <w:rsid w:val="002A0B7D"/>
    <w:pPr>
      <w:keepNext/>
      <w:keepLines/>
      <w:numPr>
        <w:ilvl w:val="6"/>
        <w:numId w:val="45"/>
      </w:numPr>
      <w:spacing w:before="40" w:after="0"/>
      <w:outlineLvl w:val="6"/>
    </w:pPr>
    <w:rPr>
      <w:rFonts w:asciiTheme="majorHAnsi" w:eastAsiaTheme="majorEastAsia" w:hAnsiTheme="majorHAnsi" w:cstheme="majorBidi"/>
      <w:i/>
      <w:iCs/>
      <w:color w:val="0C3D3E" w:themeColor="accent1" w:themeShade="7F"/>
    </w:rPr>
  </w:style>
  <w:style w:type="paragraph" w:styleId="Heading8">
    <w:name w:val="heading 8"/>
    <w:basedOn w:val="Normal"/>
    <w:next w:val="Normal"/>
    <w:link w:val="Heading8Char"/>
    <w:uiPriority w:val="9"/>
    <w:semiHidden/>
    <w:qFormat/>
    <w:rsid w:val="002A0B7D"/>
    <w:pPr>
      <w:keepNext/>
      <w:keepLines/>
      <w:numPr>
        <w:ilvl w:val="7"/>
        <w:numId w:val="4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2A0B7D"/>
    <w:pPr>
      <w:keepNext/>
      <w:keepLines/>
      <w:numPr>
        <w:ilvl w:val="8"/>
        <w:numId w:val="4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9"/>
    <w:rsid w:val="00F546C3"/>
    <w:rPr>
      <w:rFonts w:ascii="Calibri" w:eastAsiaTheme="minorEastAsia" w:hAnsi="Calibri" w:cstheme="minorBidi"/>
      <w:bCs/>
      <w:color w:val="197C7D"/>
      <w:sz w:val="48"/>
      <w:szCs w:val="22"/>
      <w:lang w:eastAsia="ja-JP"/>
    </w:rPr>
  </w:style>
  <w:style w:type="character" w:customStyle="1" w:styleId="Heading3Char">
    <w:name w:val="Heading 3 Char"/>
    <w:basedOn w:val="DefaultParagraphFont"/>
    <w:link w:val="Heading3"/>
    <w:uiPriority w:val="9"/>
    <w:rsid w:val="001F14C4"/>
    <w:rPr>
      <w:rFonts w:ascii="Calibri" w:eastAsia="Times New Roman" w:hAnsi="Calibri"/>
      <w:b/>
      <w:bCs/>
      <w:sz w:val="32"/>
      <w:szCs w:val="22"/>
      <w:lang w:eastAsia="en-US"/>
    </w:rPr>
  </w:style>
  <w:style w:type="character" w:customStyle="1" w:styleId="Heading4Char">
    <w:name w:val="Heading 4 Char"/>
    <w:basedOn w:val="DefaultParagraphFont"/>
    <w:link w:val="Heading4"/>
    <w:uiPriority w:val="9"/>
    <w:rsid w:val="00581231"/>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basedOn w:val="Heading2"/>
    <w:next w:val="Normal"/>
    <w:uiPriority w:val="39"/>
    <w:qFormat/>
    <w:rsid w:val="00EC3E79"/>
    <w:pPr>
      <w:numPr>
        <w:numId w:val="0"/>
      </w:numPr>
    </w:pPr>
  </w:style>
  <w:style w:type="paragraph" w:styleId="TOC1">
    <w:name w:val="toc 1"/>
    <w:basedOn w:val="Normal"/>
    <w:next w:val="Normal"/>
    <w:uiPriority w:val="39"/>
    <w:unhideWhenUsed/>
    <w:qFormat/>
    <w:rsid w:val="00D5067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702054"/>
    <w:pPr>
      <w:tabs>
        <w:tab w:val="right" w:leader="dot" w:pos="9060"/>
      </w:tabs>
      <w:spacing w:before="120" w:after="120" w:line="240" w:lineRule="auto"/>
      <w:ind w:left="850" w:right="425" w:hanging="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953103"/>
    <w:pPr>
      <w:numPr>
        <w:numId w:val="44"/>
      </w:numPr>
      <w:spacing w:after="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99"/>
    <w:qFormat/>
    <w:rsid w:val="00123033"/>
    <w:pPr>
      <w:spacing w:before="120" w:after="120"/>
      <w:ind w:left="425" w:hanging="425"/>
      <w:contextualSpacing/>
    </w:pPr>
  </w:style>
  <w:style w:type="paragraph" w:styleId="ListNumber">
    <w:name w:val="List Number"/>
    <w:basedOn w:val="Normal"/>
    <w:uiPriority w:val="9"/>
    <w:qFormat/>
    <w:rsid w:val="00123033"/>
    <w:pPr>
      <w:numPr>
        <w:numId w:val="7"/>
      </w:numPr>
      <w:tabs>
        <w:tab w:val="left" w:pos="142"/>
      </w:tabs>
      <w:spacing w:before="120" w:after="120"/>
    </w:pPr>
  </w:style>
  <w:style w:type="paragraph" w:styleId="ListNumber2">
    <w:name w:val="List Number 2"/>
    <w:uiPriority w:val="10"/>
    <w:qFormat/>
    <w:rsid w:val="00884E3A"/>
    <w:pPr>
      <w:numPr>
        <w:ilvl w:val="1"/>
        <w:numId w:val="7"/>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7"/>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20"/>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5C65D7"/>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6"/>
      </w:numPr>
      <w:spacing w:before="60" w:after="60"/>
      <w:ind w:left="403"/>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11"/>
      </w:numPr>
      <w:tabs>
        <w:tab w:val="num" w:pos="284"/>
      </w:tabs>
      <w:ind w:left="568" w:hanging="284"/>
    </w:pPr>
  </w:style>
  <w:style w:type="numbering" w:customStyle="1" w:styleId="TableBulletlist">
    <w:name w:val="Table Bullet list"/>
    <w:uiPriority w:val="99"/>
    <w:pPr>
      <w:numPr>
        <w:numId w:val="9"/>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b,numbered,リスト段落1,列出段落,列出段落1"/>
    <w:basedOn w:val="Normal"/>
    <w:link w:val="ListParagraphChar"/>
    <w:uiPriority w:val="34"/>
    <w:qFormat/>
    <w:rsid w:val="006C261F"/>
    <w:pPr>
      <w:spacing w:after="0" w:line="240" w:lineRule="auto"/>
      <w:ind w:left="720"/>
    </w:pPr>
    <w:rPr>
      <w:rFonts w:ascii="Calibri" w:hAnsi="Calibri" w:cs="Calibri"/>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qFormat/>
    <w:locked/>
    <w:rsid w:val="002E45EE"/>
    <w:rPr>
      <w:rFonts w:ascii="Calibri" w:eastAsiaTheme="minorHAnsi" w:hAnsi="Calibri" w:cs="Calibri"/>
      <w:sz w:val="22"/>
      <w:szCs w:val="22"/>
      <w:lang w:eastAsia="en-US"/>
    </w:rPr>
  </w:style>
  <w:style w:type="character" w:customStyle="1" w:styleId="Heading6Char">
    <w:name w:val="Heading 6 Char"/>
    <w:basedOn w:val="DefaultParagraphFont"/>
    <w:link w:val="Heading6"/>
    <w:uiPriority w:val="9"/>
    <w:semiHidden/>
    <w:rsid w:val="002A0B7D"/>
    <w:rPr>
      <w:rFonts w:asciiTheme="majorHAnsi" w:eastAsiaTheme="majorEastAsia" w:hAnsiTheme="majorHAnsi" w:cstheme="majorBidi"/>
      <w:color w:val="0C3D3E" w:themeColor="accent1" w:themeShade="7F"/>
      <w:sz w:val="22"/>
      <w:szCs w:val="22"/>
      <w:lang w:eastAsia="en-US"/>
    </w:rPr>
  </w:style>
  <w:style w:type="character" w:customStyle="1" w:styleId="Heading7Char">
    <w:name w:val="Heading 7 Char"/>
    <w:basedOn w:val="DefaultParagraphFont"/>
    <w:link w:val="Heading7"/>
    <w:uiPriority w:val="9"/>
    <w:semiHidden/>
    <w:rsid w:val="002A0B7D"/>
    <w:rPr>
      <w:rFonts w:asciiTheme="majorHAnsi" w:eastAsiaTheme="majorEastAsia" w:hAnsiTheme="majorHAnsi" w:cstheme="majorBidi"/>
      <w:i/>
      <w:iCs/>
      <w:color w:val="0C3D3E" w:themeColor="accent1" w:themeShade="7F"/>
      <w:sz w:val="22"/>
      <w:szCs w:val="22"/>
      <w:lang w:eastAsia="en-US"/>
    </w:rPr>
  </w:style>
  <w:style w:type="character" w:customStyle="1" w:styleId="Heading8Char">
    <w:name w:val="Heading 8 Char"/>
    <w:basedOn w:val="DefaultParagraphFont"/>
    <w:link w:val="Heading8"/>
    <w:uiPriority w:val="9"/>
    <w:semiHidden/>
    <w:rsid w:val="002A0B7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2A0B7D"/>
    <w:rPr>
      <w:rFonts w:asciiTheme="majorHAnsi" w:eastAsiaTheme="majorEastAsia" w:hAnsiTheme="majorHAnsi" w:cstheme="majorBidi"/>
      <w:i/>
      <w:iCs/>
      <w:color w:val="272727" w:themeColor="text1" w:themeTint="D8"/>
      <w:sz w:val="21"/>
      <w:szCs w:val="21"/>
      <w:lang w:eastAsia="en-US"/>
    </w:rPr>
  </w:style>
  <w:style w:type="paragraph" w:styleId="Revision">
    <w:name w:val="Revision"/>
    <w:hidden/>
    <w:uiPriority w:val="99"/>
    <w:semiHidden/>
    <w:rsid w:val="00185909"/>
    <w:rPr>
      <w:rFonts w:asciiTheme="minorHAnsi" w:eastAsiaTheme="minorHAnsi" w:hAnsiTheme="minorHAnsi" w:cstheme="minorBidi"/>
      <w:kern w:val="2"/>
      <w:sz w:val="22"/>
      <w:szCs w:val="22"/>
      <w:lang w:eastAsia="en-US"/>
      <w14:ligatures w14:val="standardContextual"/>
    </w:rPr>
  </w:style>
  <w:style w:type="paragraph" w:customStyle="1" w:styleId="paragraph">
    <w:name w:val="paragraph"/>
    <w:basedOn w:val="Normal"/>
    <w:rsid w:val="0018590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185909"/>
  </w:style>
  <w:style w:type="character" w:customStyle="1" w:styleId="eop">
    <w:name w:val="eop"/>
    <w:basedOn w:val="DefaultParagraphFont"/>
    <w:rsid w:val="00185909"/>
  </w:style>
  <w:style w:type="character" w:styleId="Mention">
    <w:name w:val="Mention"/>
    <w:basedOn w:val="DefaultParagraphFont"/>
    <w:uiPriority w:val="99"/>
    <w:unhideWhenUsed/>
    <w:rsid w:val="00185909"/>
    <w:rPr>
      <w:color w:val="2B579A"/>
      <w:shd w:val="clear" w:color="auto" w:fill="E1DFDD"/>
    </w:rPr>
  </w:style>
  <w:style w:type="paragraph" w:customStyle="1" w:styleId="FootnoteLFSR">
    <w:name w:val="Footnote LFSR"/>
    <w:basedOn w:val="Normal"/>
    <w:link w:val="FootnoteLFSRChar"/>
    <w:qFormat/>
    <w:rsid w:val="00185909"/>
    <w:pPr>
      <w:keepLines/>
      <w:suppressAutoHyphens/>
      <w:autoSpaceDE w:val="0"/>
      <w:autoSpaceDN w:val="0"/>
      <w:adjustRightInd w:val="0"/>
      <w:spacing w:after="60" w:line="220" w:lineRule="atLeast"/>
      <w:ind w:left="312" w:hanging="312"/>
      <w:textAlignment w:val="center"/>
    </w:pPr>
    <w:rPr>
      <w:rFonts w:ascii="Cambria" w:hAnsi="Cambria" w:cs="Calibri"/>
      <w:color w:val="000000"/>
      <w:sz w:val="16"/>
      <w:szCs w:val="16"/>
      <w:lang w:val="en-US"/>
    </w:rPr>
  </w:style>
  <w:style w:type="character" w:customStyle="1" w:styleId="FootnoteLFSRChar">
    <w:name w:val="Footnote LFSR Char"/>
    <w:basedOn w:val="DefaultParagraphFont"/>
    <w:link w:val="FootnoteLFSR"/>
    <w:rsid w:val="00185909"/>
    <w:rPr>
      <w:rFonts w:eastAsiaTheme="minorHAnsi" w:cs="Calibri"/>
      <w:color w:val="000000"/>
      <w:sz w:val="16"/>
      <w:szCs w:val="16"/>
      <w:lang w:val="en-US" w:eastAsia="en-US"/>
    </w:rPr>
  </w:style>
  <w:style w:type="character" w:customStyle="1" w:styleId="cf01">
    <w:name w:val="cf01"/>
    <w:basedOn w:val="DefaultParagraphFont"/>
    <w:rsid w:val="00185909"/>
    <w:rPr>
      <w:rFonts w:ascii="Segoe UI" w:hAnsi="Segoe UI" w:cs="Segoe UI" w:hint="default"/>
      <w:sz w:val="18"/>
      <w:szCs w:val="18"/>
    </w:rPr>
  </w:style>
  <w:style w:type="paragraph" w:customStyle="1" w:styleId="pf0">
    <w:name w:val="pf0"/>
    <w:basedOn w:val="Normal"/>
    <w:rsid w:val="00185909"/>
    <w:pPr>
      <w:spacing w:beforeAutospacing="1" w:after="160" w:afterAutospacing="1" w:line="259" w:lineRule="auto"/>
    </w:pPr>
    <w:rPr>
      <w:rFonts w:ascii="Times New Roman" w:eastAsia="Times New Roman" w:hAnsi="Times New Roman" w:cs="Times New Roman"/>
      <w:kern w:val="2"/>
      <w:sz w:val="24"/>
      <w:szCs w:val="24"/>
      <w:lang w:eastAsia="en-AU"/>
      <w14:ligatures w14:val="standardContextual"/>
    </w:rPr>
  </w:style>
  <w:style w:type="character" w:customStyle="1" w:styleId="ui-provider">
    <w:name w:val="ui-provider"/>
    <w:basedOn w:val="DefaultParagraphFont"/>
    <w:rsid w:val="00185909"/>
  </w:style>
  <w:style w:type="character" w:styleId="SubtleEmphasis">
    <w:name w:val="Subtle Emphasis"/>
    <w:basedOn w:val="DefaultParagraphFont"/>
    <w:uiPriority w:val="19"/>
    <w:qFormat/>
    <w:rsid w:val="00185909"/>
    <w:rPr>
      <w:i/>
      <w:iCs/>
      <w:color w:val="404040" w:themeColor="text1" w:themeTint="BF"/>
    </w:rPr>
  </w:style>
  <w:style w:type="paragraph" w:styleId="NoSpacing">
    <w:name w:val="No Spacing"/>
    <w:uiPriority w:val="1"/>
    <w:qFormat/>
    <w:rsid w:val="00185909"/>
    <w:rPr>
      <w:rFonts w:asciiTheme="minorHAnsi" w:eastAsiaTheme="minorHAnsi" w:hAnsiTheme="minorHAnsi" w:cstheme="minorBidi"/>
      <w:kern w:val="2"/>
      <w:sz w:val="22"/>
      <w:szCs w:val="22"/>
      <w:lang w:eastAsia="en-US"/>
      <w14:ligatures w14:val="standardContextual"/>
    </w:rPr>
  </w:style>
  <w:style w:type="character" w:customStyle="1" w:styleId="cf11">
    <w:name w:val="cf11"/>
    <w:basedOn w:val="DefaultParagraphFont"/>
    <w:rsid w:val="00185909"/>
    <w:rPr>
      <w:rFonts w:ascii="Segoe UI" w:hAnsi="Segoe UI" w:cs="Segoe UI" w:hint="default"/>
      <w:b/>
      <w:bCs/>
      <w:sz w:val="18"/>
      <w:szCs w:val="18"/>
    </w:rPr>
  </w:style>
  <w:style w:type="paragraph" w:styleId="PlainText">
    <w:name w:val="Plain Text"/>
    <w:basedOn w:val="Normal"/>
    <w:link w:val="PlainTextChar"/>
    <w:uiPriority w:val="99"/>
    <w:semiHidden/>
    <w:unhideWhenUsed/>
    <w:rsid w:val="0018590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185909"/>
    <w:rPr>
      <w:rFonts w:ascii="Calibri" w:eastAsiaTheme="minorHAnsi" w:hAnsi="Calibri" w:cstheme="minorBidi"/>
      <w:sz w:val="22"/>
      <w:szCs w:val="21"/>
      <w:lang w:eastAsia="en-US"/>
    </w:rPr>
  </w:style>
  <w:style w:type="paragraph" w:customStyle="1" w:styleId="xmsonormal">
    <w:name w:val="x_msonormal"/>
    <w:basedOn w:val="Normal"/>
    <w:rsid w:val="00185909"/>
    <w:pPr>
      <w:spacing w:before="100" w:beforeAutospacing="1" w:after="100" w:afterAutospacing="1" w:line="240" w:lineRule="auto"/>
    </w:pPr>
    <w:rPr>
      <w:rFonts w:ascii="Calibri" w:hAnsi="Calibri" w:cs="Calibri"/>
      <w:lang w:eastAsia="en-AU"/>
    </w:rPr>
  </w:style>
  <w:style w:type="paragraph" w:styleId="TOC8">
    <w:name w:val="toc 8"/>
    <w:basedOn w:val="Normal"/>
    <w:next w:val="Normal"/>
    <w:autoRedefine/>
    <w:uiPriority w:val="39"/>
    <w:semiHidden/>
    <w:rsid w:val="00D5067E"/>
    <w:pPr>
      <w:spacing w:after="100"/>
      <w:ind w:left="1540"/>
    </w:pPr>
  </w:style>
  <w:style w:type="paragraph" w:customStyle="1" w:styleId="CoverTitle">
    <w:name w:val="Cover Title"/>
    <w:basedOn w:val="Heading1"/>
    <w:link w:val="CoverTitleChar"/>
    <w:qFormat/>
    <w:rsid w:val="0059249B"/>
    <w:pPr>
      <w:numPr>
        <w:numId w:val="0"/>
      </w:numPr>
      <w:spacing w:before="1300"/>
    </w:pPr>
    <w:rPr>
      <w:color w:val="FDB71A"/>
    </w:rPr>
  </w:style>
  <w:style w:type="character" w:customStyle="1" w:styleId="CoverTitleChar">
    <w:name w:val="Cover Title Char"/>
    <w:basedOn w:val="Heading1Char"/>
    <w:link w:val="CoverTitle"/>
    <w:rsid w:val="0059249B"/>
    <w:rPr>
      <w:rFonts w:ascii="Calibri" w:eastAsiaTheme="minorHAnsi" w:hAnsi="Calibri" w:cstheme="minorBidi"/>
      <w:b/>
      <w:bCs/>
      <w:color w:val="FDB71A"/>
      <w:spacing w:val="5"/>
      <w:kern w:val="28"/>
      <w:sz w:val="72"/>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aemo.com.au/consultations/current-and-closed-consultations/draft-2024-isp-consultation" TargetMode="External"/><Relationship Id="rId21" Type="http://schemas.openxmlformats.org/officeDocument/2006/relationships/image" Target="media/image4.emf"/><Relationship Id="rId34" Type="http://schemas.openxmlformats.org/officeDocument/2006/relationships/hyperlink" Target="https://next.agl.com.au/electrifynow" TargetMode="External"/><Relationship Id="rId42" Type="http://schemas.openxmlformats.org/officeDocument/2006/relationships/hyperlink" Target="https://arena.gov.au/projects/origin-energy-electric-vehicles-smart-charging-trial/" TargetMode="External"/><Relationship Id="rId47" Type="http://schemas.openxmlformats.org/officeDocument/2006/relationships/hyperlink" Target="https://assets.cleanenergycouncil.org.au/documents/Clean-Energy-Australia-Report-2023.pdf" TargetMode="External"/><Relationship Id="rId50" Type="http://schemas.openxmlformats.org/officeDocument/2006/relationships/hyperlink" Target="https://www.dcceew.gov.au/climate-change/publications/national-inventory-report-2021" TargetMode="External"/><Relationship Id="rId55" Type="http://schemas.openxmlformats.org/officeDocument/2006/relationships/hyperlink" Target="https://energyconsumersaustralia.com.au/publications/stepping-up" TargetMode="External"/><Relationship Id="rId63" Type="http://schemas.openxmlformats.org/officeDocument/2006/relationships/hyperlink" Target="https://www.fueleconomy.gov/feg/evtech.s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ceew.gov.au" TargetMode="External"/><Relationship Id="rId29" Type="http://schemas.openxmlformats.org/officeDocument/2006/relationships/hyperlink" Target="https://consult.dcceew.gov.au/electricity-and-energy-sector-plan-discussion-paper" TargetMode="Externa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footer" Target="footer1.xml"/><Relationship Id="rId37" Type="http://schemas.openxmlformats.org/officeDocument/2006/relationships/hyperlink" Target="https://aemo.com.au/-/media/files/major-publications/isp/2022/2022-documents/2022-integrated-system-plan-isp.pdf?la=en" TargetMode="External"/><Relationship Id="rId40" Type="http://schemas.openxmlformats.org/officeDocument/2006/relationships/hyperlink" Target="https://www.aemo.com.au/-/media/files/electricity/nem/5ms/program-information/2021/5ms-factsheet.pdf" TargetMode="External"/><Relationship Id="rId45" Type="http://schemas.openxmlformats.org/officeDocument/2006/relationships/hyperlink" Target="https://www.bca.com.au/australia_s_investment_drought" TargetMode="External"/><Relationship Id="rId53" Type="http://schemas.openxmlformats.org/officeDocument/2006/relationships/hyperlink" Target="https://www.energy.gov.au/energy-and-climate-change-ministerial-council/meetings-and-communiques" TargetMode="External"/><Relationship Id="rId58" Type="http://schemas.openxmlformats.org/officeDocument/2006/relationships/hyperlink" Target="https://www.iea.org/reports/netzero-roadmap-a-global-pathway-to-keep-the-15-0c-goal-in-reach" TargetMode="External"/><Relationship Id="rId5" Type="http://schemas.openxmlformats.org/officeDocument/2006/relationships/numbering" Target="numbering.xml"/><Relationship Id="rId61" Type="http://schemas.openxmlformats.org/officeDocument/2006/relationships/hyperlink" Target="https://www.jobsandskills.gov.au/data/skills-shortages-analysis" TargetMode="External"/><Relationship Id="rId19" Type="http://schemas.openxmlformats.org/officeDocument/2006/relationships/hyperlink" Target="https://www.dcceew.gov.au/about/commitment/privacy" TargetMode="Externa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chart" Target="charts/chart3.xml"/><Relationship Id="rId30" Type="http://schemas.openxmlformats.org/officeDocument/2006/relationships/hyperlink" Target="https://consult.dcceew.gov.au/electricity-and-energy-sector-plan-discussion-paper" TargetMode="External"/><Relationship Id="rId35" Type="http://schemas.openxmlformats.org/officeDocument/2006/relationships/hyperlink" Target="https://www.ausnetservices.com.au/news/ausnet-trial-to-look-at-impact-of-electrification-on-vulnerable-households" TargetMode="External"/><Relationship Id="rId43" Type="http://schemas.openxmlformats.org/officeDocument/2006/relationships/hyperlink" Target="https://arena.gov.au/renewable-energy/solar" TargetMode="External"/><Relationship Id="rId48" Type="http://schemas.openxmlformats.org/officeDocument/2006/relationships/hyperlink" Target="https://www.climateworkscentre.org/resource/pathways-to-industrial-decarbonisation-positioning-australian-industry-to-prosper-in-a-net-zero-global-economy/" TargetMode="External"/><Relationship Id="rId56" Type="http://schemas.openxmlformats.org/officeDocument/2006/relationships/hyperlink" Target="https://publications.csiro.au/publications/publication/PIcsiro:EP2023-0538"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energy.gov.au/energy-and-climate-change-ministerial-council" TargetMode="External"/><Relationship Id="rId3" Type="http://schemas.openxmlformats.org/officeDocument/2006/relationships/customXml" Target="../customXml/item3.xml"/><Relationship Id="rId12" Type="http://schemas.openxmlformats.org/officeDocument/2006/relationships/hyperlink" Target="https://creativecommons.org/licenses/by/4.0/legalcode" TargetMode="External"/><Relationship Id="rId17" Type="http://schemas.openxmlformats.org/officeDocument/2006/relationships/hyperlink" Target="https://consult.dcceew.gov.au/electricity-and-energy-sector-plan-discussion-paper" TargetMode="External"/><Relationship Id="rId25" Type="http://schemas.openxmlformats.org/officeDocument/2006/relationships/hyperlink" Target="https://www.energy.gov.au/energy-data/australian-energy-statistics/electricity-generation" TargetMode="External"/><Relationship Id="rId33" Type="http://schemas.openxmlformats.org/officeDocument/2006/relationships/header" Target="header2.xml"/><Relationship Id="rId38" Type="http://schemas.openxmlformats.org/officeDocument/2006/relationships/hyperlink" Target="https://aemo.com.au/-/media/files/electricity/nem/planning_and_forecasting/nem_esoo/2023/2023-electricitystatement-of-opportunities.pdf?la=en&amp;hash=D8CC2D9AC8D9F353194C9DD117095FB4" TargetMode="External"/><Relationship Id="rId46" Type="http://schemas.openxmlformats.org/officeDocument/2006/relationships/hyperlink" Target="https://www.dcceew.gov.au/sites/default/files/documents/what-existing-economic-studies-say-about-australias-cost-of-abatement_0.pdf" TargetMode="External"/><Relationship Id="rId59" Type="http://schemas.openxmlformats.org/officeDocument/2006/relationships/hyperlink" Target="https://www.iea.org/reports/world-energy-outlook-2023" TargetMode="External"/><Relationship Id="rId20" Type="http://schemas.openxmlformats.org/officeDocument/2006/relationships/image" Target="media/image3.emf"/><Relationship Id="rId41" Type="http://schemas.openxmlformats.org/officeDocument/2006/relationships/hyperlink" Target="https://aemo.com.au/-/media/files/initiatives/wem-reform-program/wem-reform-market-design-summary.pdf" TargetMode="External"/><Relationship Id="rId54" Type="http://schemas.openxmlformats.org/officeDocument/2006/relationships/hyperlink" Target="https://ecss.energyconsumersaustralia.com.au/sentiment-survey-dec-2023/" TargetMode="External"/><Relationship Id="rId62" Type="http://schemas.openxmlformats.org/officeDocument/2006/relationships/hyperlink" Target="https://environment.govt.nz/assets/Publications/Files/marginal-abatement-cost-curves-analysis_0.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ceew.gov.au/publications" TargetMode="External"/><Relationship Id="rId23" Type="http://schemas.openxmlformats.org/officeDocument/2006/relationships/hyperlink" Target="https://www.dcceew.gov.au/climate-change/publications/australias-emissions-projections-2023" TargetMode="External"/><Relationship Id="rId28" Type="http://schemas.openxmlformats.org/officeDocument/2006/relationships/hyperlink" Target="https://www.energy.gov.au/energy-data/australian-energy-statistics" TargetMode="External"/><Relationship Id="rId36" Type="http://schemas.openxmlformats.org/officeDocument/2006/relationships/hyperlink" Target="https://www.abs.gov.au/statistics/economy/price-indexes-and-inflation/monthly-consumer-price-index-indicator/nov-2023" TargetMode="External"/><Relationship Id="rId49" Type="http://schemas.openxmlformats.org/officeDocument/2006/relationships/hyperlink" Target="https://www.energy.gov.au/energy-data/australian-energy-statistics" TargetMode="External"/><Relationship Id="rId57" Type="http://schemas.openxmlformats.org/officeDocument/2006/relationships/hyperlink" Target="https://www.iea.org/energysystem/electricity/electrification" TargetMode="External"/><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hyperlink" Target="https://racefor2030.com.au/project/flexible-demand-and-demand-control-technology-and-development/" TargetMode="External"/><Relationship Id="rId52" Type="http://schemas.openxmlformats.org/officeDocument/2006/relationships/hyperlink" Target="https://www.energy.gov.au/energy-and-climate-change-ministerial-council/working-groups/governance-working-group/incorporating-emissions-reduction-objective-national-energy-objectives" TargetMode="External"/><Relationship Id="rId60" Type="http://schemas.openxmlformats.org/officeDocument/2006/relationships/hyperlink" Target="https://www.jobsandskills.gov.au/publications/the-clean-energy-generation"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pyright@dcceew.gov.au" TargetMode="External"/><Relationship Id="rId18" Type="http://schemas.openxmlformats.org/officeDocument/2006/relationships/hyperlink" Target="https://www.legislation.gov.au/C2004A03712/latest/versions" TargetMode="External"/><Relationship Id="rId39" Type="http://schemas.openxmlformats.org/officeDocument/2006/relationships/hyperlink" Target="https://aemo.com.au/-/media/files/stakeholder_consultation/consultations/nem-consultations/2023/draft-2024-isp-consultation/draft-2024-isp.pdf?la=en"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aemo.com.au/-/media/files/electricity/nem/5ms/program-information/2021/5ms-factsheet.pdf" TargetMode="External"/><Relationship Id="rId18" Type="http://schemas.openxmlformats.org/officeDocument/2006/relationships/hyperlink" Target="https://www.energy.gov.au/energy-data/australian-energy-statistics" TargetMode="External"/><Relationship Id="rId26" Type="http://schemas.openxmlformats.org/officeDocument/2006/relationships/hyperlink" Target="https://arena.gov.au/projects/origin-energy-electric-vehicles-smart-charging-trial/" TargetMode="External"/><Relationship Id="rId39" Type="http://schemas.openxmlformats.org/officeDocument/2006/relationships/hyperlink" Target="https://www.jobsandskills.gov.au/publications/the-clean-energy-generation" TargetMode="External"/><Relationship Id="rId21" Type="http://schemas.openxmlformats.org/officeDocument/2006/relationships/hyperlink" Target="https://www.fueleconomy.gov/feg/evtech.shtml" TargetMode="External"/><Relationship Id="rId34" Type="http://schemas.openxmlformats.org/officeDocument/2006/relationships/hyperlink" Target="https://aemo.com.au/en/energy-systems/gas/gas-forecasting-and-planning/gas-statement-of-opportunities-gsoo" TargetMode="External"/><Relationship Id="rId42" Type="http://schemas.openxmlformats.org/officeDocument/2006/relationships/hyperlink" Target="https://www.jobsandskills.gov.au/publications/the-clean-energy-generation" TargetMode="External"/><Relationship Id="rId47" Type="http://schemas.openxmlformats.org/officeDocument/2006/relationships/hyperlink" Target="https://arena.gov.au/renewable-energy/solar" TargetMode="External"/><Relationship Id="rId50" Type="http://schemas.openxmlformats.org/officeDocument/2006/relationships/hyperlink" Target="https://energyconsumersaustralia.com.au/publications/stepping-up" TargetMode="External"/><Relationship Id="rId7" Type="http://schemas.openxmlformats.org/officeDocument/2006/relationships/hyperlink" Target="https://www.dcceew.gov.au/sites/default/files/documents/annual-climate-change-statement-2023.pdf" TargetMode="External"/><Relationship Id="rId2" Type="http://schemas.openxmlformats.org/officeDocument/2006/relationships/hyperlink" Target="https://aemo.com.au/consultations/current-and-closed-consultations/draft-2024-isp-consultation" TargetMode="External"/><Relationship Id="rId16" Type="http://schemas.openxmlformats.org/officeDocument/2006/relationships/hyperlink" Target="https://www.energy.gov.au/energy-and-climate-change-ministerial-council/working-groups/governance-working-group/incorporating-emissions-reduction-objective-national-energy-objectives" TargetMode="External"/><Relationship Id="rId29" Type="http://schemas.openxmlformats.org/officeDocument/2006/relationships/hyperlink" Target="https://aemo.com.au/-/media/files/stakeholder_consultation/consultations/nem-consultations/2022/2023-inputs-assumptions-and-scenarios-consultation/supporting-materials-for-2023/csiro-climateworks-centre-2022-multisector-modelling-report.pdf" TargetMode="External"/><Relationship Id="rId11" Type="http://schemas.openxmlformats.org/officeDocument/2006/relationships/hyperlink" Target="https://www.oecd-ilibrary.org/environment/net-zero_da477dda-en" TargetMode="External"/><Relationship Id="rId24" Type="http://schemas.openxmlformats.org/officeDocument/2006/relationships/hyperlink" Target="https://next.agl.com.au/electrifynow" TargetMode="External"/><Relationship Id="rId32" Type="http://schemas.openxmlformats.org/officeDocument/2006/relationships/hyperlink" Target="https://territoryrenewableenergy.nt.gov.au/__data/assets/pdf_file/0011/1056782/darwin-katherine-electricity-system-plan-web.pdf?v=0.1.1" TargetMode="External"/><Relationship Id="rId37" Type="http://schemas.openxmlformats.org/officeDocument/2006/relationships/hyperlink" Target="https://www.energy.gov.au/energy-data/australian-petroleum-statistics" TargetMode="External"/><Relationship Id="rId40" Type="http://schemas.openxmlformats.org/officeDocument/2006/relationships/hyperlink" Target="https://www.jobsandskills.gov.au/publications/the-clean-energy-generation" TargetMode="External"/><Relationship Id="rId45" Type="http://schemas.openxmlformats.org/officeDocument/2006/relationships/hyperlink" Target="https://www.accc.gov.au/about-us/publications/serial-publications/inquiry-into-the-national-electricity-market-2018-25/inquiry-into-the-national-electricity-market-december-2023-report" TargetMode="External"/><Relationship Id="rId5" Type="http://schemas.openxmlformats.org/officeDocument/2006/relationships/hyperlink" Target="https://arena.gov.au/renewable-energy/solar" TargetMode="External"/><Relationship Id="rId15" Type="http://schemas.openxmlformats.org/officeDocument/2006/relationships/hyperlink" Target="https://www.energy.gov.au/energy-and-climate-change-ministerial-council" TargetMode="External"/><Relationship Id="rId23" Type="http://schemas.openxmlformats.org/officeDocument/2006/relationships/hyperlink" Target="https://racefor2030.com.au/project/flexible-demand-and-demand-control-technology-and-development/" TargetMode="External"/><Relationship Id="rId28" Type="http://schemas.openxmlformats.org/officeDocument/2006/relationships/hyperlink" Target="https://www.aihw.gov.au/reports/australias-welfare/home-ownership-and-housing-tenure" TargetMode="External"/><Relationship Id="rId36" Type="http://schemas.openxmlformats.org/officeDocument/2006/relationships/hyperlink" Target="https://www.dcceew.gov.au/climate-change/publications/national-inventory-report-2021" TargetMode="External"/><Relationship Id="rId49" Type="http://schemas.openxmlformats.org/officeDocument/2006/relationships/hyperlink" Target="https://www.energy.gov.au/energy-and-climate-change-ministerial-council/meetings-and-communiques" TargetMode="External"/><Relationship Id="rId10" Type="http://schemas.openxmlformats.org/officeDocument/2006/relationships/hyperlink" Target="https://www.dcceew.gov.au/sites/default/files/documents/community-engagement-review-report-minister-climate-change-energy.pdf" TargetMode="External"/><Relationship Id="rId19" Type="http://schemas.openxmlformats.org/officeDocument/2006/relationships/hyperlink" Target="https://www.climateworkscentre.org/resource/pathways-to-industrial-decarbonisation-positioning-australian-industry-to-prosper-in-a-net-zero-global-economy/" TargetMode="External"/><Relationship Id="rId31" Type="http://schemas.openxmlformats.org/officeDocument/2006/relationships/hyperlink" Target="https://aemo.com.au/-/media/files/electricity/wem/planning_and_forecasting/esoo/2023/2023-wholesale-electricity-market-electricity-statement-of-opportunities-wem-esoo.pdf" TargetMode="External"/><Relationship Id="rId44" Type="http://schemas.openxmlformats.org/officeDocument/2006/relationships/hyperlink" Target="https://ecss.energyconsumersaustralia.com.au/sentiment-survey-dec-2023/" TargetMode="External"/><Relationship Id="rId4" Type="http://schemas.openxmlformats.org/officeDocument/2006/relationships/hyperlink" Target="https://www.energy.gov.au/energy-data/australian-energy-statistics" TargetMode="External"/><Relationship Id="rId9" Type="http://schemas.openxmlformats.org/officeDocument/2006/relationships/hyperlink" Target="https://www.bca.com.au/australia_s_investment_drought" TargetMode="External"/><Relationship Id="rId14" Type="http://schemas.openxmlformats.org/officeDocument/2006/relationships/hyperlink" Target="https://aemo.com.au/-/media/files/initiatives/wem-reform-program/wem-reform-market-design-summary.pdf" TargetMode="External"/><Relationship Id="rId22" Type="http://schemas.openxmlformats.org/officeDocument/2006/relationships/hyperlink" Target="https://www.energyrating.gov.au/news-and-stories/its-now-easier-sell-energy-efficient-appliances" TargetMode="External"/><Relationship Id="rId27" Type="http://schemas.openxmlformats.org/officeDocument/2006/relationships/hyperlink" Target="https://www.aihw.gov.au/reports/australias-welfare/indigenous-housing" TargetMode="External"/><Relationship Id="rId30" Type="http://schemas.openxmlformats.org/officeDocument/2006/relationships/hyperlink" Target="https://aemo.com.au/-/media/files/electricity/nem/planning_and_forecasting/nem_esoo/2023/2023-electricity-statement-of-opportunities.pdf" TargetMode="External"/><Relationship Id="rId35" Type="http://schemas.openxmlformats.org/officeDocument/2006/relationships/hyperlink" Target="https://www.energy.gov.au/energy-data/australian-petroleum-statistics" TargetMode="External"/><Relationship Id="rId43" Type="http://schemas.openxmlformats.org/officeDocument/2006/relationships/hyperlink" Target="https://www.aer.gov.au/system/files/2023-11/Annual%20Retail%20Market%20Report%202022-23%20-%2030%20November%202023_1.pdf" TargetMode="External"/><Relationship Id="rId48" Type="http://schemas.openxmlformats.org/officeDocument/2006/relationships/hyperlink" Target="https://publications.csiro.au/publications/publication/PIcsiro:EP2023-0538" TargetMode="External"/><Relationship Id="rId8" Type="http://schemas.openxmlformats.org/officeDocument/2006/relationships/hyperlink" Target="https://www.climateworkscentre.org/resource/pathways-to-industrial-decarbonisation-positioning-australian-industry-to-prosper-in-a-net-zero-global-economy/" TargetMode="External"/><Relationship Id="rId3" Type="http://schemas.openxmlformats.org/officeDocument/2006/relationships/hyperlink" Target="https://www.dcceew.gov.au/climate-change/publications/national-greenhouse-gas-inventory-quarterly-update-june-2023" TargetMode="External"/><Relationship Id="rId12" Type="http://schemas.openxmlformats.org/officeDocument/2006/relationships/hyperlink" Target="https://consult.dcceew.gov.au/first-nations-clean-energy-strategy-consultation-paper" TargetMode="External"/><Relationship Id="rId17" Type="http://schemas.openxmlformats.org/officeDocument/2006/relationships/hyperlink" Target="https://esb-post2025-market-design.aemc.gov.au/transmission-and-access" TargetMode="External"/><Relationship Id="rId25" Type="http://schemas.openxmlformats.org/officeDocument/2006/relationships/hyperlink" Target="https://www.ausnetservices.com.au/news/ausnet-trial-to-look-at-impact-of-electrification-on-vulnerable-households" TargetMode="External"/><Relationship Id="rId33" Type="http://schemas.openxmlformats.org/officeDocument/2006/relationships/hyperlink" Target="https://www.energy.gov.au/energy-data/australian-energy-statistics" TargetMode="External"/><Relationship Id="rId38" Type="http://schemas.openxmlformats.org/officeDocument/2006/relationships/hyperlink" Target="https://consult.dcceew.gov.au/supply-of-renewable-diesel-australian-paraffinic-diesel-fuel-quality-standard" TargetMode="External"/><Relationship Id="rId46" Type="http://schemas.openxmlformats.org/officeDocument/2006/relationships/hyperlink" Target="https://energyconsumersaustralia.com.au/publications/stepping-up" TargetMode="External"/><Relationship Id="rId20" Type="http://schemas.openxmlformats.org/officeDocument/2006/relationships/hyperlink" Target="https://www.iea.org/reports/world-energy-outlook-2023" TargetMode="External"/><Relationship Id="rId41" Type="http://schemas.openxmlformats.org/officeDocument/2006/relationships/hyperlink" Target="https://www.jobsandskills.gov.au/publications/towards-national-jobs-and-skills-roadmap" TargetMode="External"/><Relationship Id="rId1" Type="http://schemas.openxmlformats.org/officeDocument/2006/relationships/hyperlink" Target="https://www.energy.gov.au/sites/default/files/Australian%20Energy%20Update%202023_0.pdf" TargetMode="External"/><Relationship Id="rId6" Type="http://schemas.openxmlformats.org/officeDocument/2006/relationships/hyperlink" Target="https://www.dcceew.gov.au/sites/default/files/documents/australias-emissions-projections-202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pvcdchdams01\extensis$\Design%20archives\DCCEEW%20Templates\DCCEEW%20Word%20templates\DCCEEW%20Report%20template-v3_turtl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oleObject" Target="https://deptagriculture.sharepoint.com/teams/DCCEEW-NationalEnergyTransformationDivision/Shared%20Documents/EEDA-Energy%20Transformation%20Strategic%20Coordination/2%20-%20Energy%20sector%20plan%20products/3%20-%20Discussion%20Paper/Charts%20and%20data/Australian%20Energy%20Statistics%202023%20"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'[Chart data.xlsx]Sheet1'!$S$6</c:f>
              <c:strCache>
                <c:ptCount val="1"/>
                <c:pt idx="0">
                  <c:v>Electricity</c:v>
                </c:pt>
              </c:strCache>
            </c:strRef>
          </c:tx>
          <c:spPr>
            <a:solidFill>
              <a:schemeClr val="accent1"/>
            </a:solidFill>
            <a:ln>
              <a:noFill/>
            </a:ln>
            <a:effectLst/>
          </c:spPr>
          <c:invertIfNegative val="0"/>
          <c:dPt>
            <c:idx val="4"/>
            <c:invertIfNegative val="0"/>
            <c:bubble3D val="0"/>
            <c:spPr>
              <a:solidFill>
                <a:schemeClr val="accent5"/>
              </a:solidFill>
              <a:ln>
                <a:noFill/>
              </a:ln>
              <a:effectLst/>
            </c:spPr>
            <c:extLst>
              <c:ext xmlns:c16="http://schemas.microsoft.com/office/drawing/2014/chart" uri="{C3380CC4-5D6E-409C-BE32-E72D297353CC}">
                <c16:uniqueId val="{00000001-EAF1-4241-88D5-F6E9C31A928D}"/>
              </c:ext>
            </c:extLst>
          </c:dPt>
          <c:cat>
            <c:strRef>
              <c:f>'[Chart data.xlsx]Sheet1'!$R$7:$R$11</c:f>
              <c:strCache>
                <c:ptCount val="5"/>
                <c:pt idx="0">
                  <c:v>Land use</c:v>
                </c:pt>
                <c:pt idx="1">
                  <c:v>Waste</c:v>
                </c:pt>
                <c:pt idx="2">
                  <c:v>Industrial processes</c:v>
                </c:pt>
                <c:pt idx="3">
                  <c:v>Agriculture</c:v>
                </c:pt>
                <c:pt idx="4">
                  <c:v>Emissions from energy </c:v>
                </c:pt>
              </c:strCache>
            </c:strRef>
          </c:cat>
          <c:val>
            <c:numRef>
              <c:f>'[Chart data.xlsx]Sheet1'!$S$7:$S$11</c:f>
              <c:numCache>
                <c:formatCode>0%</c:formatCode>
                <c:ptCount val="5"/>
                <c:pt idx="0">
                  <c:v>-0.14000000000000001</c:v>
                </c:pt>
                <c:pt idx="1">
                  <c:v>0.03</c:v>
                </c:pt>
                <c:pt idx="2">
                  <c:v>7.0000000000000007E-2</c:v>
                </c:pt>
                <c:pt idx="3">
                  <c:v>0.18</c:v>
                </c:pt>
                <c:pt idx="4">
                  <c:v>0.33</c:v>
                </c:pt>
              </c:numCache>
            </c:numRef>
          </c:val>
          <c:extLst>
            <c:ext xmlns:c16="http://schemas.microsoft.com/office/drawing/2014/chart" uri="{C3380CC4-5D6E-409C-BE32-E72D297353CC}">
              <c16:uniqueId val="{00000002-EAF1-4241-88D5-F6E9C31A928D}"/>
            </c:ext>
          </c:extLst>
        </c:ser>
        <c:ser>
          <c:idx val="1"/>
          <c:order val="1"/>
          <c:tx>
            <c:strRef>
              <c:f>'[Chart data.xlsx]Sheet1'!$T$6</c:f>
              <c:strCache>
                <c:ptCount val="1"/>
                <c:pt idx="0">
                  <c:v>Transport</c:v>
                </c:pt>
              </c:strCache>
            </c:strRef>
          </c:tx>
          <c:spPr>
            <a:pattFill prst="pct5">
              <a:fgClr>
                <a:schemeClr val="accent2">
                  <a:lumMod val="40000"/>
                  <a:lumOff val="60000"/>
                </a:schemeClr>
              </a:fgClr>
              <a:bgClr>
                <a:schemeClr val="accent2"/>
              </a:bgClr>
            </a:pattFill>
            <a:ln>
              <a:noFill/>
            </a:ln>
            <a:effectLst/>
          </c:spPr>
          <c:invertIfNegative val="0"/>
          <c:cat>
            <c:strRef>
              <c:f>'[Chart data.xlsx]Sheet1'!$R$7:$R$11</c:f>
              <c:strCache>
                <c:ptCount val="5"/>
                <c:pt idx="0">
                  <c:v>Land use</c:v>
                </c:pt>
                <c:pt idx="1">
                  <c:v>Waste</c:v>
                </c:pt>
                <c:pt idx="2">
                  <c:v>Industrial processes</c:v>
                </c:pt>
                <c:pt idx="3">
                  <c:v>Agriculture</c:v>
                </c:pt>
                <c:pt idx="4">
                  <c:v>Emissions from energy </c:v>
                </c:pt>
              </c:strCache>
            </c:strRef>
          </c:cat>
          <c:val>
            <c:numRef>
              <c:f>'[Chart data.xlsx]Sheet1'!$T$7:$T$11</c:f>
              <c:numCache>
                <c:formatCode>General</c:formatCode>
                <c:ptCount val="5"/>
                <c:pt idx="4" formatCode="0%">
                  <c:v>0.21</c:v>
                </c:pt>
              </c:numCache>
            </c:numRef>
          </c:val>
          <c:extLst>
            <c:ext xmlns:c16="http://schemas.microsoft.com/office/drawing/2014/chart" uri="{C3380CC4-5D6E-409C-BE32-E72D297353CC}">
              <c16:uniqueId val="{00000003-EAF1-4241-88D5-F6E9C31A928D}"/>
            </c:ext>
          </c:extLst>
        </c:ser>
        <c:ser>
          <c:idx val="2"/>
          <c:order val="2"/>
          <c:tx>
            <c:strRef>
              <c:f>'[Chart data.xlsx]Sheet1'!$U$6</c:f>
              <c:strCache>
                <c:ptCount val="1"/>
                <c:pt idx="0">
                  <c:v>Other sectors</c:v>
                </c:pt>
              </c:strCache>
            </c:strRef>
          </c:tx>
          <c:spPr>
            <a:pattFill prst="smConfetti">
              <a:fgClr>
                <a:schemeClr val="accent3">
                  <a:lumMod val="40000"/>
                  <a:lumOff val="60000"/>
                </a:schemeClr>
              </a:fgClr>
              <a:bgClr>
                <a:schemeClr val="accent3"/>
              </a:bgClr>
            </a:pattFill>
            <a:ln>
              <a:noFill/>
            </a:ln>
            <a:effectLst/>
          </c:spPr>
          <c:invertIfNegative val="0"/>
          <c:cat>
            <c:strRef>
              <c:f>'[Chart data.xlsx]Sheet1'!$R$7:$R$11</c:f>
              <c:strCache>
                <c:ptCount val="5"/>
                <c:pt idx="0">
                  <c:v>Land use</c:v>
                </c:pt>
                <c:pt idx="1">
                  <c:v>Waste</c:v>
                </c:pt>
                <c:pt idx="2">
                  <c:v>Industrial processes</c:v>
                </c:pt>
                <c:pt idx="3">
                  <c:v>Agriculture</c:v>
                </c:pt>
                <c:pt idx="4">
                  <c:v>Emissions from energy </c:v>
                </c:pt>
              </c:strCache>
            </c:strRef>
          </c:cat>
          <c:val>
            <c:numRef>
              <c:f>'[Chart data.xlsx]Sheet1'!$U$7:$U$11</c:f>
              <c:numCache>
                <c:formatCode>General</c:formatCode>
                <c:ptCount val="5"/>
                <c:pt idx="4" formatCode="0%">
                  <c:v>0.22</c:v>
                </c:pt>
              </c:numCache>
            </c:numRef>
          </c:val>
          <c:extLst>
            <c:ext xmlns:c16="http://schemas.microsoft.com/office/drawing/2014/chart" uri="{C3380CC4-5D6E-409C-BE32-E72D297353CC}">
              <c16:uniqueId val="{00000004-EAF1-4241-88D5-F6E9C31A928D}"/>
            </c:ext>
          </c:extLst>
        </c:ser>
        <c:ser>
          <c:idx val="3"/>
          <c:order val="3"/>
          <c:tx>
            <c:strRef>
              <c:f>'[Chart data.xlsx]Sheet1'!$V$6</c:f>
              <c:strCache>
                <c:ptCount val="1"/>
                <c:pt idx="0">
                  <c:v>Fugitive</c:v>
                </c:pt>
              </c:strCache>
            </c:strRef>
          </c:tx>
          <c:spPr>
            <a:pattFill prst="trellis">
              <a:fgClr>
                <a:schemeClr val="accent4"/>
              </a:fgClr>
              <a:bgClr>
                <a:schemeClr val="accent4">
                  <a:lumMod val="40000"/>
                  <a:lumOff val="60000"/>
                </a:schemeClr>
              </a:bgClr>
            </a:pattFill>
            <a:ln>
              <a:noFill/>
            </a:ln>
            <a:effectLst/>
          </c:spPr>
          <c:invertIfNegative val="0"/>
          <c:cat>
            <c:strRef>
              <c:f>'[Chart data.xlsx]Sheet1'!$R$7:$R$11</c:f>
              <c:strCache>
                <c:ptCount val="5"/>
                <c:pt idx="0">
                  <c:v>Land use</c:v>
                </c:pt>
                <c:pt idx="1">
                  <c:v>Waste</c:v>
                </c:pt>
                <c:pt idx="2">
                  <c:v>Industrial processes</c:v>
                </c:pt>
                <c:pt idx="3">
                  <c:v>Agriculture</c:v>
                </c:pt>
                <c:pt idx="4">
                  <c:v>Emissions from energy </c:v>
                </c:pt>
              </c:strCache>
            </c:strRef>
          </c:cat>
          <c:val>
            <c:numRef>
              <c:f>'[Chart data.xlsx]Sheet1'!$V$7:$V$11</c:f>
              <c:numCache>
                <c:formatCode>General</c:formatCode>
                <c:ptCount val="5"/>
                <c:pt idx="4" formatCode="0%">
                  <c:v>0.1</c:v>
                </c:pt>
              </c:numCache>
            </c:numRef>
          </c:val>
          <c:extLst>
            <c:ext xmlns:c16="http://schemas.microsoft.com/office/drawing/2014/chart" uri="{C3380CC4-5D6E-409C-BE32-E72D297353CC}">
              <c16:uniqueId val="{00000005-EAF1-4241-88D5-F6E9C31A928D}"/>
            </c:ext>
          </c:extLst>
        </c:ser>
        <c:dLbls>
          <c:showLegendKey val="0"/>
          <c:showVal val="0"/>
          <c:showCatName val="0"/>
          <c:showSerName val="0"/>
          <c:showPercent val="0"/>
          <c:showBubbleSize val="0"/>
        </c:dLbls>
        <c:gapWidth val="100"/>
        <c:overlap val="100"/>
        <c:axId val="513487871"/>
        <c:axId val="1938262527"/>
      </c:barChart>
      <c:catAx>
        <c:axId val="513487871"/>
        <c:scaling>
          <c:orientation val="minMax"/>
        </c:scaling>
        <c:delete val="0"/>
        <c:axPos val="l"/>
        <c:numFmt formatCode="General" sourceLinked="1"/>
        <c:majorTickMark val="none"/>
        <c:minorTickMark val="none"/>
        <c:tickLblPos val="low"/>
        <c:spPr>
          <a:noFill/>
          <a:ln w="9525" cap="flat" cmpd="sng" algn="ctr">
            <a:solidFill>
              <a:schemeClr val="tx2"/>
            </a:solidFill>
            <a:round/>
          </a:ln>
          <a:effectLst/>
        </c:spPr>
        <c:txPr>
          <a:bodyPr rot="-6000000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en-US"/>
          </a:p>
        </c:txPr>
        <c:crossAx val="1938262527"/>
        <c:crosses val="autoZero"/>
        <c:auto val="1"/>
        <c:lblAlgn val="ctr"/>
        <c:lblOffset val="100"/>
        <c:noMultiLvlLbl val="0"/>
      </c:catAx>
      <c:valAx>
        <c:axId val="193826252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en-US"/>
          </a:p>
        </c:txPr>
        <c:crossAx val="513487871"/>
        <c:crosses val="autoZero"/>
        <c:crossBetween val="between"/>
      </c:valAx>
      <c:spPr>
        <a:noFill/>
        <a:ln w="25400">
          <a:noFill/>
        </a:ln>
        <a:effectLst/>
      </c:spPr>
    </c:plotArea>
    <c:legend>
      <c:legendPos val="t"/>
      <c:overlay val="0"/>
      <c:spPr>
        <a:noFill/>
        <a:ln>
          <a:noFill/>
        </a:ln>
        <a:effectLst/>
      </c:spPr>
      <c:txPr>
        <a:bodyPr rot="0" spcFirstLastPara="1" vertOverflow="ellipsis" vert="horz" wrap="square" anchor="ctr" anchorCtr="1"/>
        <a:lstStyle/>
        <a:p>
          <a:pPr>
            <a:defRPr sz="9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50">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'[Chart data.xlsx]Fig 3 generation mix'!$C$9</c:f>
              <c:strCache>
                <c:ptCount val="1"/>
                <c:pt idx="0">
                  <c:v>Coal</c:v>
                </c:pt>
              </c:strCache>
            </c:strRef>
          </c:tx>
          <c:spPr>
            <a:solidFill>
              <a:schemeClr val="accent1"/>
            </a:solidFill>
            <a:ln>
              <a:noFill/>
            </a:ln>
            <a:effectLst/>
          </c:spPr>
          <c:invertIfNegative val="0"/>
          <c:cat>
            <c:strRef>
              <c:f>'[Chart data.xlsx]Fig 3 generation mix'!$B$10:$B$16</c:f>
              <c:strCache>
                <c:ptCount val="7"/>
                <c:pt idx="0">
                  <c:v>1996–97</c:v>
                </c:pt>
                <c:pt idx="1">
                  <c:v>2001–02</c:v>
                </c:pt>
                <c:pt idx="2">
                  <c:v>2006–07</c:v>
                </c:pt>
                <c:pt idx="3">
                  <c:v>2011–12</c:v>
                </c:pt>
                <c:pt idx="4">
                  <c:v>2016–17</c:v>
                </c:pt>
                <c:pt idx="5">
                  <c:v>2021–22</c:v>
                </c:pt>
                <c:pt idx="6">
                  <c:v>2022</c:v>
                </c:pt>
              </c:strCache>
            </c:strRef>
          </c:cat>
          <c:val>
            <c:numRef>
              <c:f>'[Chart data.xlsx]Fig 3 generation mix'!$C$10:$C$16</c:f>
              <c:numCache>
                <c:formatCode>General</c:formatCode>
                <c:ptCount val="7"/>
                <c:pt idx="0">
                  <c:v>82.8</c:v>
                </c:pt>
                <c:pt idx="1">
                  <c:v>77</c:v>
                </c:pt>
                <c:pt idx="2">
                  <c:v>76.8</c:v>
                </c:pt>
                <c:pt idx="3">
                  <c:v>68.5</c:v>
                </c:pt>
                <c:pt idx="4">
                  <c:v>62.699999999999996</c:v>
                </c:pt>
                <c:pt idx="5">
                  <c:v>49.2</c:v>
                </c:pt>
                <c:pt idx="6">
                  <c:v>47.2</c:v>
                </c:pt>
              </c:numCache>
            </c:numRef>
          </c:val>
          <c:extLst>
            <c:ext xmlns:c16="http://schemas.microsoft.com/office/drawing/2014/chart" uri="{C3380CC4-5D6E-409C-BE32-E72D297353CC}">
              <c16:uniqueId val="{00000000-D5C3-4F08-8F33-A5A0F775F886}"/>
            </c:ext>
          </c:extLst>
        </c:ser>
        <c:ser>
          <c:idx val="1"/>
          <c:order val="1"/>
          <c:tx>
            <c:strRef>
              <c:f>'[Chart data.xlsx]Fig 3 generation mix'!$D$9</c:f>
              <c:strCache>
                <c:ptCount val="1"/>
                <c:pt idx="0">
                  <c:v>Gas</c:v>
                </c:pt>
              </c:strCache>
            </c:strRef>
          </c:tx>
          <c:spPr>
            <a:pattFill prst="pct90">
              <a:fgClr>
                <a:srgbClr val="28A399"/>
              </a:fgClr>
              <a:bgClr>
                <a:schemeClr val="accent2">
                  <a:lumMod val="60000"/>
                  <a:lumOff val="40000"/>
                </a:schemeClr>
              </a:bgClr>
            </a:pattFill>
            <a:ln>
              <a:noFill/>
            </a:ln>
            <a:effectLst/>
          </c:spPr>
          <c:invertIfNegative val="0"/>
          <c:cat>
            <c:strRef>
              <c:f>'[Chart data.xlsx]Fig 3 generation mix'!$B$10:$B$16</c:f>
              <c:strCache>
                <c:ptCount val="7"/>
                <c:pt idx="0">
                  <c:v>1996–97</c:v>
                </c:pt>
                <c:pt idx="1">
                  <c:v>2001–02</c:v>
                </c:pt>
                <c:pt idx="2">
                  <c:v>2006–07</c:v>
                </c:pt>
                <c:pt idx="3">
                  <c:v>2011–12</c:v>
                </c:pt>
                <c:pt idx="4">
                  <c:v>2016–17</c:v>
                </c:pt>
                <c:pt idx="5">
                  <c:v>2021–22</c:v>
                </c:pt>
                <c:pt idx="6">
                  <c:v>2022</c:v>
                </c:pt>
              </c:strCache>
            </c:strRef>
          </c:cat>
          <c:val>
            <c:numRef>
              <c:f>'[Chart data.xlsx]Fig 3 generation mix'!$D$10:$D$16</c:f>
              <c:numCache>
                <c:formatCode>General</c:formatCode>
                <c:ptCount val="7"/>
                <c:pt idx="0">
                  <c:v>6.3</c:v>
                </c:pt>
                <c:pt idx="1">
                  <c:v>14.1</c:v>
                </c:pt>
                <c:pt idx="2">
                  <c:v>13.1</c:v>
                </c:pt>
                <c:pt idx="3">
                  <c:v>19.399999999999999</c:v>
                </c:pt>
                <c:pt idx="4">
                  <c:v>19.600000000000001</c:v>
                </c:pt>
                <c:pt idx="5">
                  <c:v>18.100000000000001</c:v>
                </c:pt>
                <c:pt idx="6">
                  <c:v>18.8</c:v>
                </c:pt>
              </c:numCache>
            </c:numRef>
          </c:val>
          <c:extLst>
            <c:ext xmlns:c16="http://schemas.microsoft.com/office/drawing/2014/chart" uri="{C3380CC4-5D6E-409C-BE32-E72D297353CC}">
              <c16:uniqueId val="{00000001-D5C3-4F08-8F33-A5A0F775F886}"/>
            </c:ext>
          </c:extLst>
        </c:ser>
        <c:ser>
          <c:idx val="2"/>
          <c:order val="2"/>
          <c:tx>
            <c:strRef>
              <c:f>'[Chart data.xlsx]Fig 3 generation mix'!$E$9</c:f>
              <c:strCache>
                <c:ptCount val="1"/>
                <c:pt idx="0">
                  <c:v>Renewables </c:v>
                </c:pt>
              </c:strCache>
            </c:strRef>
          </c:tx>
          <c:spPr>
            <a:pattFill prst="divot">
              <a:fgClr>
                <a:schemeClr val="accent3">
                  <a:lumMod val="60000"/>
                  <a:lumOff val="40000"/>
                </a:schemeClr>
              </a:fgClr>
              <a:bgClr>
                <a:schemeClr val="accent3"/>
              </a:bgClr>
            </a:pattFill>
            <a:ln>
              <a:noFill/>
            </a:ln>
            <a:effectLst/>
          </c:spPr>
          <c:invertIfNegative val="0"/>
          <c:cat>
            <c:strRef>
              <c:f>'[Chart data.xlsx]Fig 3 generation mix'!$B$10:$B$16</c:f>
              <c:strCache>
                <c:ptCount val="7"/>
                <c:pt idx="0">
                  <c:v>1996–97</c:v>
                </c:pt>
                <c:pt idx="1">
                  <c:v>2001–02</c:v>
                </c:pt>
                <c:pt idx="2">
                  <c:v>2006–07</c:v>
                </c:pt>
                <c:pt idx="3">
                  <c:v>2011–12</c:v>
                </c:pt>
                <c:pt idx="4">
                  <c:v>2016–17</c:v>
                </c:pt>
                <c:pt idx="5">
                  <c:v>2021–22</c:v>
                </c:pt>
                <c:pt idx="6">
                  <c:v>2022</c:v>
                </c:pt>
              </c:strCache>
            </c:strRef>
          </c:cat>
          <c:val>
            <c:numRef>
              <c:f>'[Chart data.xlsx]Fig 3 generation mix'!$E$10:$E$16</c:f>
              <c:numCache>
                <c:formatCode>General</c:formatCode>
                <c:ptCount val="7"/>
                <c:pt idx="0">
                  <c:v>9.8000000000000007</c:v>
                </c:pt>
                <c:pt idx="1">
                  <c:v>7.7</c:v>
                </c:pt>
                <c:pt idx="2">
                  <c:v>8.6999999999999993</c:v>
                </c:pt>
                <c:pt idx="3">
                  <c:v>10.6</c:v>
                </c:pt>
                <c:pt idx="4">
                  <c:v>15.7</c:v>
                </c:pt>
                <c:pt idx="5">
                  <c:v>30.9</c:v>
                </c:pt>
                <c:pt idx="6">
                  <c:v>32.299999999999997</c:v>
                </c:pt>
              </c:numCache>
            </c:numRef>
          </c:val>
          <c:extLst>
            <c:ext xmlns:c16="http://schemas.microsoft.com/office/drawing/2014/chart" uri="{C3380CC4-5D6E-409C-BE32-E72D297353CC}">
              <c16:uniqueId val="{00000002-D5C3-4F08-8F33-A5A0F775F886}"/>
            </c:ext>
          </c:extLst>
        </c:ser>
        <c:ser>
          <c:idx val="3"/>
          <c:order val="3"/>
          <c:tx>
            <c:strRef>
              <c:f>'[Chart data.xlsx]Fig 3 generation mix'!$F$9</c:f>
              <c:strCache>
                <c:ptCount val="1"/>
                <c:pt idx="0">
                  <c:v>Other </c:v>
                </c:pt>
              </c:strCache>
            </c:strRef>
          </c:tx>
          <c:spPr>
            <a:pattFill prst="wdDnDiag">
              <a:fgClr>
                <a:schemeClr val="accent4">
                  <a:lumMod val="40000"/>
                  <a:lumOff val="60000"/>
                </a:schemeClr>
              </a:fgClr>
              <a:bgClr>
                <a:schemeClr val="accent4"/>
              </a:bgClr>
            </a:pattFill>
            <a:ln>
              <a:noFill/>
            </a:ln>
            <a:effectLst/>
          </c:spPr>
          <c:invertIfNegative val="0"/>
          <c:cat>
            <c:strRef>
              <c:f>'[Chart data.xlsx]Fig 3 generation mix'!$B$10:$B$16</c:f>
              <c:strCache>
                <c:ptCount val="7"/>
                <c:pt idx="0">
                  <c:v>1996–97</c:v>
                </c:pt>
                <c:pt idx="1">
                  <c:v>2001–02</c:v>
                </c:pt>
                <c:pt idx="2">
                  <c:v>2006–07</c:v>
                </c:pt>
                <c:pt idx="3">
                  <c:v>2011–12</c:v>
                </c:pt>
                <c:pt idx="4">
                  <c:v>2016–17</c:v>
                </c:pt>
                <c:pt idx="5">
                  <c:v>2021–22</c:v>
                </c:pt>
                <c:pt idx="6">
                  <c:v>2022</c:v>
                </c:pt>
              </c:strCache>
            </c:strRef>
          </c:cat>
          <c:val>
            <c:numRef>
              <c:f>'[Chart data.xlsx]Fig 3 generation mix'!$F$10:$F$16</c:f>
              <c:numCache>
                <c:formatCode>General</c:formatCode>
                <c:ptCount val="7"/>
                <c:pt idx="0">
                  <c:v>1.2</c:v>
                </c:pt>
                <c:pt idx="1">
                  <c:v>1.1000000000000001</c:v>
                </c:pt>
                <c:pt idx="2">
                  <c:v>1.4</c:v>
                </c:pt>
                <c:pt idx="3">
                  <c:v>1.5</c:v>
                </c:pt>
                <c:pt idx="4">
                  <c:v>2</c:v>
                </c:pt>
                <c:pt idx="5">
                  <c:v>1.7</c:v>
                </c:pt>
                <c:pt idx="6">
                  <c:v>1.7</c:v>
                </c:pt>
              </c:numCache>
            </c:numRef>
          </c:val>
          <c:extLst>
            <c:ext xmlns:c16="http://schemas.microsoft.com/office/drawing/2014/chart" uri="{C3380CC4-5D6E-409C-BE32-E72D297353CC}">
              <c16:uniqueId val="{00000003-D5C3-4F08-8F33-A5A0F775F886}"/>
            </c:ext>
          </c:extLst>
        </c:ser>
        <c:dLbls>
          <c:showLegendKey val="0"/>
          <c:showVal val="0"/>
          <c:showCatName val="0"/>
          <c:showSerName val="0"/>
          <c:showPercent val="0"/>
          <c:showBubbleSize val="0"/>
        </c:dLbls>
        <c:gapWidth val="150"/>
        <c:overlap val="100"/>
        <c:axId val="920156544"/>
        <c:axId val="1147743248"/>
      </c:barChart>
      <c:lineChart>
        <c:grouping val="standard"/>
        <c:varyColors val="0"/>
        <c:dLbls>
          <c:showLegendKey val="0"/>
          <c:showVal val="0"/>
          <c:showCatName val="0"/>
          <c:showSerName val="0"/>
          <c:showPercent val="0"/>
          <c:showBubbleSize val="0"/>
        </c:dLbls>
        <c:marker val="1"/>
        <c:smooth val="0"/>
        <c:axId val="1806436847"/>
        <c:axId val="1938653823"/>
        <c:extLst>
          <c:ext xmlns:c15="http://schemas.microsoft.com/office/drawing/2012/chart" uri="{02D57815-91ED-43cb-92C2-25804820EDAC}">
            <c15:filteredLineSeries>
              <c15:ser>
                <c:idx val="4"/>
                <c:order val="4"/>
                <c:tx>
                  <c:v>Secondary axis</c:v>
                </c:tx>
                <c:spPr>
                  <a:ln w="28575" cap="rnd">
                    <a:solidFill>
                      <a:schemeClr val="accent5"/>
                    </a:solidFill>
                    <a:round/>
                  </a:ln>
                  <a:effectLst/>
                </c:spPr>
                <c:marker>
                  <c:symbol val="none"/>
                </c:marker>
                <c:cat>
                  <c:strRef>
                    <c:extLst>
                      <c:ext uri="{02D57815-91ED-43cb-92C2-25804820EDAC}">
                        <c15:formulaRef>
                          <c15:sqref>'[Chart data.xlsx]Fig 3 generation mix'!$B$10:$B$16</c15:sqref>
                        </c15:formulaRef>
                      </c:ext>
                    </c:extLst>
                    <c:strCache>
                      <c:ptCount val="7"/>
                      <c:pt idx="0">
                        <c:v>1996–97</c:v>
                      </c:pt>
                      <c:pt idx="1">
                        <c:v>2001–02</c:v>
                      </c:pt>
                      <c:pt idx="2">
                        <c:v>2006–07</c:v>
                      </c:pt>
                      <c:pt idx="3">
                        <c:v>2011–12</c:v>
                      </c:pt>
                      <c:pt idx="4">
                        <c:v>2016–17</c:v>
                      </c:pt>
                      <c:pt idx="5">
                        <c:v>2021–22</c:v>
                      </c:pt>
                      <c:pt idx="6">
                        <c:v>2022</c:v>
                      </c:pt>
                    </c:strCache>
                  </c:strRef>
                </c:cat>
                <c:val>
                  <c:numLit>
                    <c:formatCode>General</c:formatCode>
                    <c:ptCount val="1"/>
                    <c:pt idx="0">
                      <c:v>1</c:v>
                    </c:pt>
                  </c:numLit>
                </c:val>
                <c:smooth val="0"/>
                <c:extLst>
                  <c:ext xmlns:c16="http://schemas.microsoft.com/office/drawing/2014/chart" uri="{C3380CC4-5D6E-409C-BE32-E72D297353CC}">
                    <c16:uniqueId val="{00000004-D5C3-4F08-8F33-A5A0F775F886}"/>
                  </c:ext>
                </c:extLst>
              </c15:ser>
            </c15:filteredLineSeries>
          </c:ext>
        </c:extLst>
      </c:lineChart>
      <c:catAx>
        <c:axId val="92015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47743248"/>
        <c:crosses val="autoZero"/>
        <c:auto val="1"/>
        <c:lblAlgn val="ctr"/>
        <c:lblOffset val="100"/>
        <c:noMultiLvlLbl val="0"/>
      </c:catAx>
      <c:valAx>
        <c:axId val="1147743248"/>
        <c:scaling>
          <c:orientation val="minMax"/>
        </c:scaling>
        <c:delete val="0"/>
        <c:axPos val="l"/>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0156544"/>
        <c:crosses val="autoZero"/>
        <c:crossBetween val="between"/>
        <c:majorUnit val="0.2"/>
      </c:valAx>
      <c:valAx>
        <c:axId val="1938653823"/>
        <c:scaling>
          <c:orientation val="minMax"/>
          <c:max val="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6436847"/>
        <c:crosses val="max"/>
        <c:crossBetween val="between"/>
        <c:majorUnit val="0.2"/>
        <c:minorUnit val="5.000000000000001E-2"/>
      </c:valAx>
      <c:catAx>
        <c:axId val="1806436847"/>
        <c:scaling>
          <c:orientation val="minMax"/>
        </c:scaling>
        <c:delete val="1"/>
        <c:axPos val="b"/>
        <c:numFmt formatCode="General" sourceLinked="1"/>
        <c:majorTickMark val="out"/>
        <c:minorTickMark val="none"/>
        <c:tickLblPos val="nextTo"/>
        <c:crossAx val="193865382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197C7D"/>
              </a:solidFill>
              <a:ln>
                <a:noFill/>
              </a:ln>
              <a:effectLst/>
            </c:spPr>
            <c:extLst>
              <c:ext xmlns:c16="http://schemas.microsoft.com/office/drawing/2014/chart" uri="{C3380CC4-5D6E-409C-BE32-E72D297353CC}">
                <c16:uniqueId val="{00000001-AB4E-46F6-92E2-A8935A761EA6}"/>
              </c:ext>
            </c:extLst>
          </c:dPt>
          <c:dPt>
            <c:idx val="1"/>
            <c:invertIfNegative val="0"/>
            <c:bubble3D val="0"/>
            <c:spPr>
              <a:solidFill>
                <a:srgbClr val="197C7D"/>
              </a:solidFill>
              <a:ln>
                <a:noFill/>
              </a:ln>
              <a:effectLst/>
            </c:spPr>
            <c:extLst>
              <c:ext xmlns:c16="http://schemas.microsoft.com/office/drawing/2014/chart" uri="{C3380CC4-5D6E-409C-BE32-E72D297353CC}">
                <c16:uniqueId val="{00000003-AB4E-46F6-92E2-A8935A761EA6}"/>
              </c:ext>
            </c:extLst>
          </c:dPt>
          <c:dPt>
            <c:idx val="2"/>
            <c:invertIfNegative val="0"/>
            <c:bubble3D val="0"/>
            <c:spPr>
              <a:solidFill>
                <a:srgbClr val="197C7D"/>
              </a:solidFill>
              <a:ln>
                <a:noFill/>
              </a:ln>
              <a:effectLst/>
            </c:spPr>
            <c:extLst>
              <c:ext xmlns:c16="http://schemas.microsoft.com/office/drawing/2014/chart" uri="{C3380CC4-5D6E-409C-BE32-E72D297353CC}">
                <c16:uniqueId val="{00000005-AB4E-46F6-92E2-A8935A761EA6}"/>
              </c:ext>
            </c:extLst>
          </c:dPt>
          <c:cat>
            <c:strRef>
              <c:f>'[Australian Energy Statistics 2023 Table H.xlsx]TFEC fuel'!$T$25:$V$25</c:f>
              <c:strCache>
                <c:ptCount val="3"/>
                <c:pt idx="0">
                  <c:v>Electricity</c:v>
                </c:pt>
                <c:pt idx="1">
                  <c:v>Gas</c:v>
                </c:pt>
                <c:pt idx="2">
                  <c:v>Liquid fuels</c:v>
                </c:pt>
              </c:strCache>
            </c:strRef>
          </c:cat>
          <c:val>
            <c:numRef>
              <c:f>'[Australian Energy Statistics 2023 Table H.xlsx]TFEC fuel'!$T$26:$V$26</c:f>
              <c:numCache>
                <c:formatCode>General</c:formatCode>
                <c:ptCount val="3"/>
                <c:pt idx="0">
                  <c:v>21.00819375918346</c:v>
                </c:pt>
                <c:pt idx="1">
                  <c:v>23.930866466017918</c:v>
                </c:pt>
                <c:pt idx="2">
                  <c:v>48.26134511705353</c:v>
                </c:pt>
              </c:numCache>
            </c:numRef>
          </c:val>
          <c:extLst>
            <c:ext xmlns:c16="http://schemas.microsoft.com/office/drawing/2014/chart" uri="{C3380CC4-5D6E-409C-BE32-E72D297353CC}">
              <c16:uniqueId val="{00000006-AB4E-46F6-92E2-A8935A761EA6}"/>
            </c:ext>
          </c:extLst>
        </c:ser>
        <c:dLbls>
          <c:showLegendKey val="0"/>
          <c:showVal val="0"/>
          <c:showCatName val="0"/>
          <c:showSerName val="0"/>
          <c:showPercent val="0"/>
          <c:showBubbleSize val="0"/>
        </c:dLbls>
        <c:gapWidth val="182"/>
        <c:axId val="648502703"/>
        <c:axId val="1292219055"/>
      </c:barChart>
      <c:catAx>
        <c:axId val="6485027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2219055"/>
        <c:crosses val="autoZero"/>
        <c:auto val="1"/>
        <c:lblAlgn val="ctr"/>
        <c:lblOffset val="100"/>
        <c:noMultiLvlLbl val="0"/>
      </c:catAx>
      <c:valAx>
        <c:axId val="1292219055"/>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Share of total final energy consumption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85027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DCCEEW Chart colours">
    <a:dk1>
      <a:sysClr val="windowText" lastClr="000000"/>
    </a:dk1>
    <a:lt1>
      <a:sysClr val="window" lastClr="FFFFFF"/>
    </a:lt1>
    <a:dk2>
      <a:srgbClr val="44546A"/>
    </a:dk2>
    <a:lt2>
      <a:srgbClr val="E7E6E6"/>
    </a:lt2>
    <a:accent1>
      <a:srgbClr val="083A42"/>
    </a:accent1>
    <a:accent2>
      <a:srgbClr val="28A399"/>
    </a:accent2>
    <a:accent3>
      <a:srgbClr val="801650"/>
    </a:accent3>
    <a:accent4>
      <a:srgbClr val="FF5E00"/>
    </a:accent4>
    <a:accent5>
      <a:srgbClr val="06038D"/>
    </a:accent5>
    <a:accent6>
      <a:srgbClr val="418FDE"/>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DCCEEW Chart colours">
    <a:dk1>
      <a:sysClr val="windowText" lastClr="000000"/>
    </a:dk1>
    <a:lt1>
      <a:sysClr val="window" lastClr="FFFFFF"/>
    </a:lt1>
    <a:dk2>
      <a:srgbClr val="44546A"/>
    </a:dk2>
    <a:lt2>
      <a:srgbClr val="E7E6E6"/>
    </a:lt2>
    <a:accent1>
      <a:srgbClr val="083A42"/>
    </a:accent1>
    <a:accent2>
      <a:srgbClr val="28A399"/>
    </a:accent2>
    <a:accent3>
      <a:srgbClr val="801650"/>
    </a:accent3>
    <a:accent4>
      <a:srgbClr val="FF5E00"/>
    </a:accent4>
    <a:accent5>
      <a:srgbClr val="06038D"/>
    </a:accent5>
    <a:accent6>
      <a:srgbClr val="418FDE"/>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DED87065D38C4AB1804D031B5E90F8" ma:contentTypeVersion="26" ma:contentTypeDescription="Create a new document." ma:contentTypeScope="" ma:versionID="4ea8bf7805d00b405533ca4708a45f9d">
  <xsd:schema xmlns:xsd="http://www.w3.org/2001/XMLSchema" xmlns:xs="http://www.w3.org/2001/XMLSchema" xmlns:p="http://schemas.microsoft.com/office/2006/metadata/properties" xmlns:ns2="273d03dc-b7c1-44e9-9036-c016af1f05a9" xmlns:ns3="e739c3f4-2048-4c70-b396-4ba49b230377" xmlns:ns4="81c01dc6-2c49-4730-b140-874c95cac377" targetNamespace="http://schemas.microsoft.com/office/2006/metadata/properties" ma:root="true" ma:fieldsID="13bf66f0878e3d173300ebed1974656c" ns2:_="" ns3:_="" ns4:_="">
    <xsd:import namespace="273d03dc-b7c1-44e9-9036-c016af1f05a9"/>
    <xsd:import namespace="e739c3f4-2048-4c70-b396-4ba49b230377"/>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Notes" minOccurs="0"/>
                <xsd:element ref="ns2:Hyperlink" minOccurs="0"/>
                <xsd:element ref="ns2:_Flow_SignoffStatu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ead" minOccurs="0"/>
                <xsd:element ref="ns2:Meetingtype" minOccurs="0"/>
                <xsd:element ref="ns2:MediaServiceSearchProperties" minOccurs="0"/>
                <xsd:element ref="ns2:Incommentarytracker" minOccurs="0"/>
                <xsd:element ref="ns2:Inopportunities_x002d_barrierstrack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3d03dc-b7c1-44e9-9036-c016af1f05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Notes" ma:index="13" nillable="true" ma:displayName="Notes" ma:format="Dropdown" ma:internalName="Notes">
      <xsd:simpleType>
        <xsd:restriction base="dms:Text">
          <xsd:maxLength value="255"/>
        </xsd:restriction>
      </xsd:simpleType>
    </xsd:element>
    <xsd:element name="Hyperlink" ma:index="1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_Flow_SignoffStatus" ma:index="15" nillable="true" ma:displayName="Sign-off status" ma:internalName="Sign_x002d_off_x0020_status">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Lead" ma:index="25" nillable="true" ma:displayName="Assigned to"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etingtype" ma:index="26" nillable="true" ma:displayName="Meeting type" ma:format="Dropdown" ma:internalName="Meetingtype">
      <xsd:simpleType>
        <xsd:restriction base="dms:Choice">
          <xsd:enumeration value="Policy team"/>
          <xsd:enumeration value="Commonwealth entity"/>
          <xsd:enumeration value="External stakeholder"/>
          <xsd:enumeration value="States and territories"/>
          <xsd:enumeration value="Modelling"/>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Incommentarytracker" ma:index="28" nillable="true" ma:displayName="In commentary tracker" ma:default="0" ma:format="Dropdown" ma:internalName="Incommentarytracker">
      <xsd:simpleType>
        <xsd:restriction base="dms:Boolean"/>
      </xsd:simpleType>
    </xsd:element>
    <xsd:element name="Inopportunities_x002d_barrierstracker" ma:index="29" nillable="true" ma:displayName="In opportunities-barriers tracker" ma:default="0" ma:format="Dropdown" ma:internalName="Inopportunities_x002d_barrierstracke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739c3f4-2048-4c70-b396-4ba49b2303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e65219-de20-469e-9d46-b5f270ec42aa}" ma:internalName="TaxCatchAll" ma:showField="CatchAllData" ma:web="e739c3f4-2048-4c70-b396-4ba49b2303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73d03dc-b7c1-44e9-9036-c016af1f05a9">
      <Terms xmlns="http://schemas.microsoft.com/office/infopath/2007/PartnerControls"/>
    </lcf76f155ced4ddcb4097134ff3c332f>
    <_Flow_SignoffStatus xmlns="273d03dc-b7c1-44e9-9036-c016af1f05a9" xsi:nil="true"/>
    <Lead xmlns="273d03dc-b7c1-44e9-9036-c016af1f05a9">
      <UserInfo>
        <DisplayName/>
        <AccountId xsi:nil="true"/>
        <AccountType/>
      </UserInfo>
    </Lead>
    <Meetingtype xmlns="273d03dc-b7c1-44e9-9036-c016af1f05a9" xsi:nil="true"/>
    <Inopportunities_x002d_barrierstracker xmlns="273d03dc-b7c1-44e9-9036-c016af1f05a9">false</Inopportunities_x002d_barrierstracker>
    <Incommentarytracker xmlns="273d03dc-b7c1-44e9-9036-c016af1f05a9">false</Incommentarytracker>
    <Hyperlink xmlns="273d03dc-b7c1-44e9-9036-c016af1f05a9">
      <Url xsi:nil="true"/>
      <Description xsi:nil="true"/>
    </Hyperlink>
    <TaxCatchAll xmlns="81c01dc6-2c49-4730-b140-874c95cac377" xsi:nil="true"/>
    <Notes xmlns="273d03dc-b7c1-44e9-9036-c016af1f05a9" xsi:nil="true"/>
    <SharedWithUsers xmlns="e739c3f4-2048-4c70-b396-4ba49b230377">
      <UserInfo>
        <DisplayName>Bishop, Susannah</DisplayName>
        <AccountId>613</AccountId>
        <AccountType/>
      </UserInfo>
    </SharedWithUsers>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3DEDF4FA-2C9D-4338-BEB7-2BA9C22D70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3d03dc-b7c1-44e9-9036-c016af1f05a9"/>
    <ds:schemaRef ds:uri="e739c3f4-2048-4c70-b396-4ba49b230377"/>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purl.org/dc/terms/"/>
    <ds:schemaRef ds:uri="http://schemas.microsoft.com/office/infopath/2007/PartnerControls"/>
    <ds:schemaRef ds:uri="http://schemas.microsoft.com/office/2006/documentManagement/types"/>
    <ds:schemaRef ds:uri="http://purl.org/dc/elements/1.1/"/>
    <ds:schemaRef ds:uri="81c01dc6-2c49-4730-b140-874c95cac377"/>
    <ds:schemaRef ds:uri="http://www.w3.org/XML/1998/namespace"/>
    <ds:schemaRef ds:uri="http://schemas.openxmlformats.org/package/2006/metadata/core-properties"/>
    <ds:schemaRef ds:uri="http://schemas.microsoft.com/office/2006/metadata/properties"/>
    <ds:schemaRef ds:uri="e739c3f4-2048-4c70-b396-4ba49b230377"/>
    <ds:schemaRef ds:uri="273d03dc-b7c1-44e9-9036-c016af1f05a9"/>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DCCEEW Report template-v3_turtle</Template>
  <TotalTime>5</TotalTime>
  <Pages>44</Pages>
  <Words>15024</Words>
  <Characters>85639</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100463</CharactersWithSpaces>
  <SharedDoc>false</SharedDoc>
  <HLinks>
    <vt:vector size="792" baseType="variant">
      <vt:variant>
        <vt:i4>327702</vt:i4>
      </vt:variant>
      <vt:variant>
        <vt:i4>402</vt:i4>
      </vt:variant>
      <vt:variant>
        <vt:i4>0</vt:i4>
      </vt:variant>
      <vt:variant>
        <vt:i4>5</vt:i4>
      </vt:variant>
      <vt:variant>
        <vt:lpwstr>https://www.fueleconomy.gov/feg/evtech.shtml</vt:lpwstr>
      </vt:variant>
      <vt:variant>
        <vt:lpwstr/>
      </vt:variant>
      <vt:variant>
        <vt:i4>4325435</vt:i4>
      </vt:variant>
      <vt:variant>
        <vt:i4>399</vt:i4>
      </vt:variant>
      <vt:variant>
        <vt:i4>0</vt:i4>
      </vt:variant>
      <vt:variant>
        <vt:i4>5</vt:i4>
      </vt:variant>
      <vt:variant>
        <vt:lpwstr>https://environment.govt.nz/assets/Publications/Files/marginal-abatement-cost-curves-analysis_0.pdf</vt:lpwstr>
      </vt:variant>
      <vt:variant>
        <vt:lpwstr/>
      </vt:variant>
      <vt:variant>
        <vt:i4>7405695</vt:i4>
      </vt:variant>
      <vt:variant>
        <vt:i4>396</vt:i4>
      </vt:variant>
      <vt:variant>
        <vt:i4>0</vt:i4>
      </vt:variant>
      <vt:variant>
        <vt:i4>5</vt:i4>
      </vt:variant>
      <vt:variant>
        <vt:lpwstr>https://www.jobsandskills.gov.au/data/skills-shortages-analysis</vt:lpwstr>
      </vt:variant>
      <vt:variant>
        <vt:lpwstr/>
      </vt:variant>
      <vt:variant>
        <vt:i4>262223</vt:i4>
      </vt:variant>
      <vt:variant>
        <vt:i4>393</vt:i4>
      </vt:variant>
      <vt:variant>
        <vt:i4>0</vt:i4>
      </vt:variant>
      <vt:variant>
        <vt:i4>5</vt:i4>
      </vt:variant>
      <vt:variant>
        <vt:lpwstr>https://www.jobsandskills.gov.au/publications/the-clean-energy-generation</vt:lpwstr>
      </vt:variant>
      <vt:variant>
        <vt:lpwstr/>
      </vt:variant>
      <vt:variant>
        <vt:i4>5963779</vt:i4>
      </vt:variant>
      <vt:variant>
        <vt:i4>390</vt:i4>
      </vt:variant>
      <vt:variant>
        <vt:i4>0</vt:i4>
      </vt:variant>
      <vt:variant>
        <vt:i4>5</vt:i4>
      </vt:variant>
      <vt:variant>
        <vt:lpwstr>https://www.iea.org/reports/world-energy-outlook-2023</vt:lpwstr>
      </vt:variant>
      <vt:variant>
        <vt:lpwstr/>
      </vt:variant>
      <vt:variant>
        <vt:i4>5308509</vt:i4>
      </vt:variant>
      <vt:variant>
        <vt:i4>387</vt:i4>
      </vt:variant>
      <vt:variant>
        <vt:i4>0</vt:i4>
      </vt:variant>
      <vt:variant>
        <vt:i4>5</vt:i4>
      </vt:variant>
      <vt:variant>
        <vt:lpwstr>https://www.iea.org/reports/netzero-roadmap-a-global-pathway-to-keep-the-15-0c-goal-in-reach</vt:lpwstr>
      </vt:variant>
      <vt:variant>
        <vt:lpwstr/>
      </vt:variant>
      <vt:variant>
        <vt:i4>4456523</vt:i4>
      </vt:variant>
      <vt:variant>
        <vt:i4>384</vt:i4>
      </vt:variant>
      <vt:variant>
        <vt:i4>0</vt:i4>
      </vt:variant>
      <vt:variant>
        <vt:i4>5</vt:i4>
      </vt:variant>
      <vt:variant>
        <vt:lpwstr>https://www.iea.org/energysystem/electricity/electrification</vt:lpwstr>
      </vt:variant>
      <vt:variant>
        <vt:lpwstr/>
      </vt:variant>
      <vt:variant>
        <vt:i4>7798903</vt:i4>
      </vt:variant>
      <vt:variant>
        <vt:i4>381</vt:i4>
      </vt:variant>
      <vt:variant>
        <vt:i4>0</vt:i4>
      </vt:variant>
      <vt:variant>
        <vt:i4>5</vt:i4>
      </vt:variant>
      <vt:variant>
        <vt:lpwstr>https://publications.csiro.au/publications/publication/PIcsiro:EP2023-0538</vt:lpwstr>
      </vt:variant>
      <vt:variant>
        <vt:lpwstr/>
      </vt:variant>
      <vt:variant>
        <vt:i4>1900567</vt:i4>
      </vt:variant>
      <vt:variant>
        <vt:i4>378</vt:i4>
      </vt:variant>
      <vt:variant>
        <vt:i4>0</vt:i4>
      </vt:variant>
      <vt:variant>
        <vt:i4>5</vt:i4>
      </vt:variant>
      <vt:variant>
        <vt:lpwstr>https://energyconsumersaustralia.com.au/publications/stepping-up</vt:lpwstr>
      </vt:variant>
      <vt:variant>
        <vt:lpwstr/>
      </vt:variant>
      <vt:variant>
        <vt:i4>8126577</vt:i4>
      </vt:variant>
      <vt:variant>
        <vt:i4>375</vt:i4>
      </vt:variant>
      <vt:variant>
        <vt:i4>0</vt:i4>
      </vt:variant>
      <vt:variant>
        <vt:i4>5</vt:i4>
      </vt:variant>
      <vt:variant>
        <vt:lpwstr>https://ecss.energyconsumersaustralia.com.au/sentiment-survey-dec-2023/</vt:lpwstr>
      </vt:variant>
      <vt:variant>
        <vt:lpwstr/>
      </vt:variant>
      <vt:variant>
        <vt:i4>4456470</vt:i4>
      </vt:variant>
      <vt:variant>
        <vt:i4>372</vt:i4>
      </vt:variant>
      <vt:variant>
        <vt:i4>0</vt:i4>
      </vt:variant>
      <vt:variant>
        <vt:i4>5</vt:i4>
      </vt:variant>
      <vt:variant>
        <vt:lpwstr>https://www.energy.gov.au/energy-and-climate-change-ministerial-council/meetings-and-communiques</vt:lpwstr>
      </vt:variant>
      <vt:variant>
        <vt:lpwstr/>
      </vt:variant>
      <vt:variant>
        <vt:i4>7405683</vt:i4>
      </vt:variant>
      <vt:variant>
        <vt:i4>369</vt:i4>
      </vt:variant>
      <vt:variant>
        <vt:i4>0</vt:i4>
      </vt:variant>
      <vt:variant>
        <vt:i4>5</vt:i4>
      </vt:variant>
      <vt:variant>
        <vt:lpwstr>https://www.energy.gov.au/energy-and-climate-change-ministerial-council/working-groups/governance-working-group/incorporating-emissions-reduction-objective-national-energy-objectives</vt:lpwstr>
      </vt:variant>
      <vt:variant>
        <vt:lpwstr/>
      </vt:variant>
      <vt:variant>
        <vt:i4>7733354</vt:i4>
      </vt:variant>
      <vt:variant>
        <vt:i4>366</vt:i4>
      </vt:variant>
      <vt:variant>
        <vt:i4>0</vt:i4>
      </vt:variant>
      <vt:variant>
        <vt:i4>5</vt:i4>
      </vt:variant>
      <vt:variant>
        <vt:lpwstr>https://www.energy.gov.au/energy-and-climate-change-ministerial-council</vt:lpwstr>
      </vt:variant>
      <vt:variant>
        <vt:lpwstr/>
      </vt:variant>
      <vt:variant>
        <vt:i4>6160393</vt:i4>
      </vt:variant>
      <vt:variant>
        <vt:i4>363</vt:i4>
      </vt:variant>
      <vt:variant>
        <vt:i4>0</vt:i4>
      </vt:variant>
      <vt:variant>
        <vt:i4>5</vt:i4>
      </vt:variant>
      <vt:variant>
        <vt:lpwstr>https://www.dcceew.gov.au/climate-change/publications/national-inventory-report-2021</vt:lpwstr>
      </vt:variant>
      <vt:variant>
        <vt:lpwstr/>
      </vt:variant>
      <vt:variant>
        <vt:i4>6553723</vt:i4>
      </vt:variant>
      <vt:variant>
        <vt:i4>360</vt:i4>
      </vt:variant>
      <vt:variant>
        <vt:i4>0</vt:i4>
      </vt:variant>
      <vt:variant>
        <vt:i4>5</vt:i4>
      </vt:variant>
      <vt:variant>
        <vt:lpwstr>https://www.dcceew.gov.au/climate-change/publications/australias-emissions-projections-2023</vt:lpwstr>
      </vt:variant>
      <vt:variant>
        <vt:lpwstr/>
      </vt:variant>
      <vt:variant>
        <vt:i4>7077950</vt:i4>
      </vt:variant>
      <vt:variant>
        <vt:i4>357</vt:i4>
      </vt:variant>
      <vt:variant>
        <vt:i4>0</vt:i4>
      </vt:variant>
      <vt:variant>
        <vt:i4>5</vt:i4>
      </vt:variant>
      <vt:variant>
        <vt:lpwstr>https://www.energy.gov.au/energy-data/australian-energy-statistics</vt:lpwstr>
      </vt:variant>
      <vt:variant>
        <vt:lpwstr/>
      </vt:variant>
      <vt:variant>
        <vt:i4>2883687</vt:i4>
      </vt:variant>
      <vt:variant>
        <vt:i4>354</vt:i4>
      </vt:variant>
      <vt:variant>
        <vt:i4>0</vt:i4>
      </vt:variant>
      <vt:variant>
        <vt:i4>5</vt:i4>
      </vt:variant>
      <vt:variant>
        <vt:lpwstr>https://www.climateworkscentre.org/resource/pathways-to-industrial-decarbonisation-positioning-australian-industry-to-prosper-in-a-net-zero-global-economy/</vt:lpwstr>
      </vt:variant>
      <vt:variant>
        <vt:lpwstr/>
      </vt:variant>
      <vt:variant>
        <vt:i4>5439519</vt:i4>
      </vt:variant>
      <vt:variant>
        <vt:i4>351</vt:i4>
      </vt:variant>
      <vt:variant>
        <vt:i4>0</vt:i4>
      </vt:variant>
      <vt:variant>
        <vt:i4>5</vt:i4>
      </vt:variant>
      <vt:variant>
        <vt:lpwstr>https://assets.cleanenergycouncil.org.au/documents/Clean-Energy-Australia-Report-2023.pdf</vt:lpwstr>
      </vt:variant>
      <vt:variant>
        <vt:lpwstr/>
      </vt:variant>
      <vt:variant>
        <vt:i4>5505125</vt:i4>
      </vt:variant>
      <vt:variant>
        <vt:i4>348</vt:i4>
      </vt:variant>
      <vt:variant>
        <vt:i4>0</vt:i4>
      </vt:variant>
      <vt:variant>
        <vt:i4>5</vt:i4>
      </vt:variant>
      <vt:variant>
        <vt:lpwstr>https://www.dcceew.gov.au/sites/default/files/documents/what-existing-economic-studies-say-about-australias-cost-of-abatement_0.pdf</vt:lpwstr>
      </vt:variant>
      <vt:variant>
        <vt:lpwstr/>
      </vt:variant>
      <vt:variant>
        <vt:i4>7340040</vt:i4>
      </vt:variant>
      <vt:variant>
        <vt:i4>345</vt:i4>
      </vt:variant>
      <vt:variant>
        <vt:i4>0</vt:i4>
      </vt:variant>
      <vt:variant>
        <vt:i4>5</vt:i4>
      </vt:variant>
      <vt:variant>
        <vt:lpwstr>https://www.bca.com.au/australia_s_investment_drought</vt:lpwstr>
      </vt:variant>
      <vt:variant>
        <vt:lpwstr/>
      </vt:variant>
      <vt:variant>
        <vt:i4>6029384</vt:i4>
      </vt:variant>
      <vt:variant>
        <vt:i4>342</vt:i4>
      </vt:variant>
      <vt:variant>
        <vt:i4>0</vt:i4>
      </vt:variant>
      <vt:variant>
        <vt:i4>5</vt:i4>
      </vt:variant>
      <vt:variant>
        <vt:lpwstr>https://racefor2030.com.au/project/flexible-demand-and-demand-control-technology-and-development/</vt:lpwstr>
      </vt:variant>
      <vt:variant>
        <vt:lpwstr/>
      </vt:variant>
      <vt:variant>
        <vt:i4>3997728</vt:i4>
      </vt:variant>
      <vt:variant>
        <vt:i4>339</vt:i4>
      </vt:variant>
      <vt:variant>
        <vt:i4>0</vt:i4>
      </vt:variant>
      <vt:variant>
        <vt:i4>5</vt:i4>
      </vt:variant>
      <vt:variant>
        <vt:lpwstr>https://arena.gov.au/renewable-energy/solar</vt:lpwstr>
      </vt:variant>
      <vt:variant>
        <vt:lpwstr/>
      </vt:variant>
      <vt:variant>
        <vt:i4>8060965</vt:i4>
      </vt:variant>
      <vt:variant>
        <vt:i4>336</vt:i4>
      </vt:variant>
      <vt:variant>
        <vt:i4>0</vt:i4>
      </vt:variant>
      <vt:variant>
        <vt:i4>5</vt:i4>
      </vt:variant>
      <vt:variant>
        <vt:lpwstr>https://arena.gov.au/projects/origin-energy-electric-vehicles-smart-charging-trial/</vt:lpwstr>
      </vt:variant>
      <vt:variant>
        <vt:lpwstr/>
      </vt:variant>
      <vt:variant>
        <vt:i4>5308436</vt:i4>
      </vt:variant>
      <vt:variant>
        <vt:i4>333</vt:i4>
      </vt:variant>
      <vt:variant>
        <vt:i4>0</vt:i4>
      </vt:variant>
      <vt:variant>
        <vt:i4>5</vt:i4>
      </vt:variant>
      <vt:variant>
        <vt:lpwstr>https://aemo.com.au/-/media/files/initiatives/wem-reform-program/wem-reform-market-design-summary.pdf</vt:lpwstr>
      </vt:variant>
      <vt:variant>
        <vt:lpwstr/>
      </vt:variant>
      <vt:variant>
        <vt:i4>5701636</vt:i4>
      </vt:variant>
      <vt:variant>
        <vt:i4>330</vt:i4>
      </vt:variant>
      <vt:variant>
        <vt:i4>0</vt:i4>
      </vt:variant>
      <vt:variant>
        <vt:i4>5</vt:i4>
      </vt:variant>
      <vt:variant>
        <vt:lpwstr>https://www.aemo.com.au/-/media/files/electricity/nem/5ms/program-information/2021/5ms-factsheet.pdf</vt:lpwstr>
      </vt:variant>
      <vt:variant>
        <vt:lpwstr/>
      </vt:variant>
      <vt:variant>
        <vt:i4>8257629</vt:i4>
      </vt:variant>
      <vt:variant>
        <vt:i4>327</vt:i4>
      </vt:variant>
      <vt:variant>
        <vt:i4>0</vt:i4>
      </vt:variant>
      <vt:variant>
        <vt:i4>5</vt:i4>
      </vt:variant>
      <vt:variant>
        <vt:lpwstr>https://aemo.com.au/-/media/files/stakeholder_consultation/consultations/nem-consultations/2023/draft-2024-isp-consultation/draft-2024-isp.pdf?la=en</vt:lpwstr>
      </vt:variant>
      <vt:variant>
        <vt:lpwstr/>
      </vt:variant>
      <vt:variant>
        <vt:i4>2228310</vt:i4>
      </vt:variant>
      <vt:variant>
        <vt:i4>324</vt:i4>
      </vt:variant>
      <vt:variant>
        <vt:i4>0</vt:i4>
      </vt:variant>
      <vt:variant>
        <vt:i4>5</vt:i4>
      </vt:variant>
      <vt:variant>
        <vt:lpwstr>https://aemo.com.au/-/media/files/electricity/nem/planning_and_forecasting/nem_esoo/2023/2023-electricitystatement-of-opportunities.pdf?la=en&amp;hash=D8CC2D9AC8D9F353194C9DD117095FB4</vt:lpwstr>
      </vt:variant>
      <vt:variant>
        <vt:lpwstr/>
      </vt:variant>
      <vt:variant>
        <vt:i4>3670133</vt:i4>
      </vt:variant>
      <vt:variant>
        <vt:i4>321</vt:i4>
      </vt:variant>
      <vt:variant>
        <vt:i4>0</vt:i4>
      </vt:variant>
      <vt:variant>
        <vt:i4>5</vt:i4>
      </vt:variant>
      <vt:variant>
        <vt:lpwstr>https://aemo.com.au/-/media/files/major-publications/isp/2022/2022-documents/2022-integrated-system-plan-isp.pdf?la=en</vt:lpwstr>
      </vt:variant>
      <vt:variant>
        <vt:lpwstr/>
      </vt:variant>
      <vt:variant>
        <vt:i4>1441794</vt:i4>
      </vt:variant>
      <vt:variant>
        <vt:i4>318</vt:i4>
      </vt:variant>
      <vt:variant>
        <vt:i4>0</vt:i4>
      </vt:variant>
      <vt:variant>
        <vt:i4>5</vt:i4>
      </vt:variant>
      <vt:variant>
        <vt:lpwstr>https://www.abs.gov.au/statistics/economy/price-indexes-and-inflation/monthly-consumer-price-index-indicator/nov-2023</vt:lpwstr>
      </vt:variant>
      <vt:variant>
        <vt:lpwstr/>
      </vt:variant>
      <vt:variant>
        <vt:i4>6225988</vt:i4>
      </vt:variant>
      <vt:variant>
        <vt:i4>315</vt:i4>
      </vt:variant>
      <vt:variant>
        <vt:i4>0</vt:i4>
      </vt:variant>
      <vt:variant>
        <vt:i4>5</vt:i4>
      </vt:variant>
      <vt:variant>
        <vt:lpwstr>https://www.ausnetservices.com.au/news/ausnet-trial-to-look-at-impact-of-electrification-on-vulnerable-households</vt:lpwstr>
      </vt:variant>
      <vt:variant>
        <vt:lpwstr/>
      </vt:variant>
      <vt:variant>
        <vt:i4>5177358</vt:i4>
      </vt:variant>
      <vt:variant>
        <vt:i4>312</vt:i4>
      </vt:variant>
      <vt:variant>
        <vt:i4>0</vt:i4>
      </vt:variant>
      <vt:variant>
        <vt:i4>5</vt:i4>
      </vt:variant>
      <vt:variant>
        <vt:lpwstr>https://next.agl.com.au/electrifynow</vt:lpwstr>
      </vt:variant>
      <vt:variant>
        <vt:lpwstr/>
      </vt:variant>
      <vt:variant>
        <vt:i4>458839</vt:i4>
      </vt:variant>
      <vt:variant>
        <vt:i4>309</vt:i4>
      </vt:variant>
      <vt:variant>
        <vt:i4>0</vt:i4>
      </vt:variant>
      <vt:variant>
        <vt:i4>5</vt:i4>
      </vt:variant>
      <vt:variant>
        <vt:lpwstr>https://consult.dcceew.gov.au/electricity-and-energy-sector-plan-discussion-paper</vt:lpwstr>
      </vt:variant>
      <vt:variant>
        <vt:lpwstr/>
      </vt:variant>
      <vt:variant>
        <vt:i4>458839</vt:i4>
      </vt:variant>
      <vt:variant>
        <vt:i4>306</vt:i4>
      </vt:variant>
      <vt:variant>
        <vt:i4>0</vt:i4>
      </vt:variant>
      <vt:variant>
        <vt:i4>5</vt:i4>
      </vt:variant>
      <vt:variant>
        <vt:lpwstr>https://consult.dcceew.gov.au/electricity-and-energy-sector-plan-discussion-paper</vt:lpwstr>
      </vt:variant>
      <vt:variant>
        <vt:lpwstr/>
      </vt:variant>
      <vt:variant>
        <vt:i4>7077950</vt:i4>
      </vt:variant>
      <vt:variant>
        <vt:i4>300</vt:i4>
      </vt:variant>
      <vt:variant>
        <vt:i4>0</vt:i4>
      </vt:variant>
      <vt:variant>
        <vt:i4>5</vt:i4>
      </vt:variant>
      <vt:variant>
        <vt:lpwstr>https://www.energy.gov.au/energy-data/australian-energy-statistics</vt:lpwstr>
      </vt:variant>
      <vt:variant>
        <vt:lpwstr/>
      </vt:variant>
      <vt:variant>
        <vt:i4>7209081</vt:i4>
      </vt:variant>
      <vt:variant>
        <vt:i4>291</vt:i4>
      </vt:variant>
      <vt:variant>
        <vt:i4>0</vt:i4>
      </vt:variant>
      <vt:variant>
        <vt:i4>5</vt:i4>
      </vt:variant>
      <vt:variant>
        <vt:lpwstr>https://aemo.com.au/consultations/current-and-closed-consultations/draft-2024-isp-consultation</vt:lpwstr>
      </vt:variant>
      <vt:variant>
        <vt:lpwstr/>
      </vt:variant>
      <vt:variant>
        <vt:i4>65630</vt:i4>
      </vt:variant>
      <vt:variant>
        <vt:i4>285</vt:i4>
      </vt:variant>
      <vt:variant>
        <vt:i4>0</vt:i4>
      </vt:variant>
      <vt:variant>
        <vt:i4>5</vt:i4>
      </vt:variant>
      <vt:variant>
        <vt:lpwstr>https://www.energy.gov.au/energy-data/australian-energy-statistics/electricity-generation</vt:lpwstr>
      </vt:variant>
      <vt:variant>
        <vt:lpwstr/>
      </vt:variant>
      <vt:variant>
        <vt:i4>6553723</vt:i4>
      </vt:variant>
      <vt:variant>
        <vt:i4>276</vt:i4>
      </vt:variant>
      <vt:variant>
        <vt:i4>0</vt:i4>
      </vt:variant>
      <vt:variant>
        <vt:i4>5</vt:i4>
      </vt:variant>
      <vt:variant>
        <vt:lpwstr>https://www.dcceew.gov.au/climate-change/publications/australias-emissions-projections-2023</vt:lpwstr>
      </vt:variant>
      <vt:variant>
        <vt:lpwstr/>
      </vt:variant>
      <vt:variant>
        <vt:i4>3670126</vt:i4>
      </vt:variant>
      <vt:variant>
        <vt:i4>255</vt:i4>
      </vt:variant>
      <vt:variant>
        <vt:i4>0</vt:i4>
      </vt:variant>
      <vt:variant>
        <vt:i4>5</vt:i4>
      </vt:variant>
      <vt:variant>
        <vt:lpwstr>https://www.dcceew.gov.au/about/commitment/privacy</vt:lpwstr>
      </vt:variant>
      <vt:variant>
        <vt:lpwstr/>
      </vt:variant>
      <vt:variant>
        <vt:i4>3473468</vt:i4>
      </vt:variant>
      <vt:variant>
        <vt:i4>252</vt:i4>
      </vt:variant>
      <vt:variant>
        <vt:i4>0</vt:i4>
      </vt:variant>
      <vt:variant>
        <vt:i4>5</vt:i4>
      </vt:variant>
      <vt:variant>
        <vt:lpwstr>https://www.legislation.gov.au/C2004A03712/latest/versions</vt:lpwstr>
      </vt:variant>
      <vt:variant>
        <vt:lpwstr/>
      </vt:variant>
      <vt:variant>
        <vt:i4>458839</vt:i4>
      </vt:variant>
      <vt:variant>
        <vt:i4>249</vt:i4>
      </vt:variant>
      <vt:variant>
        <vt:i4>0</vt:i4>
      </vt:variant>
      <vt:variant>
        <vt:i4>5</vt:i4>
      </vt:variant>
      <vt:variant>
        <vt:lpwstr>https://consult.dcceew.gov.au/electricity-and-energy-sector-plan-discussion-paper</vt:lpwstr>
      </vt:variant>
      <vt:variant>
        <vt:lpwstr/>
      </vt:variant>
      <vt:variant>
        <vt:i4>1245232</vt:i4>
      </vt:variant>
      <vt:variant>
        <vt:i4>242</vt:i4>
      </vt:variant>
      <vt:variant>
        <vt:i4>0</vt:i4>
      </vt:variant>
      <vt:variant>
        <vt:i4>5</vt:i4>
      </vt:variant>
      <vt:variant>
        <vt:lpwstr/>
      </vt:variant>
      <vt:variant>
        <vt:lpwstr>_Toc161306073</vt:lpwstr>
      </vt:variant>
      <vt:variant>
        <vt:i4>1245232</vt:i4>
      </vt:variant>
      <vt:variant>
        <vt:i4>236</vt:i4>
      </vt:variant>
      <vt:variant>
        <vt:i4>0</vt:i4>
      </vt:variant>
      <vt:variant>
        <vt:i4>5</vt:i4>
      </vt:variant>
      <vt:variant>
        <vt:lpwstr/>
      </vt:variant>
      <vt:variant>
        <vt:lpwstr>_Toc161306072</vt:lpwstr>
      </vt:variant>
      <vt:variant>
        <vt:i4>1245233</vt:i4>
      </vt:variant>
      <vt:variant>
        <vt:i4>227</vt:i4>
      </vt:variant>
      <vt:variant>
        <vt:i4>0</vt:i4>
      </vt:variant>
      <vt:variant>
        <vt:i4>5</vt:i4>
      </vt:variant>
      <vt:variant>
        <vt:lpwstr/>
      </vt:variant>
      <vt:variant>
        <vt:lpwstr>_Toc161306170</vt:lpwstr>
      </vt:variant>
      <vt:variant>
        <vt:i4>1179697</vt:i4>
      </vt:variant>
      <vt:variant>
        <vt:i4>221</vt:i4>
      </vt:variant>
      <vt:variant>
        <vt:i4>0</vt:i4>
      </vt:variant>
      <vt:variant>
        <vt:i4>5</vt:i4>
      </vt:variant>
      <vt:variant>
        <vt:lpwstr/>
      </vt:variant>
      <vt:variant>
        <vt:lpwstr>_Toc161306169</vt:lpwstr>
      </vt:variant>
      <vt:variant>
        <vt:i4>1179697</vt:i4>
      </vt:variant>
      <vt:variant>
        <vt:i4>215</vt:i4>
      </vt:variant>
      <vt:variant>
        <vt:i4>0</vt:i4>
      </vt:variant>
      <vt:variant>
        <vt:i4>5</vt:i4>
      </vt:variant>
      <vt:variant>
        <vt:lpwstr/>
      </vt:variant>
      <vt:variant>
        <vt:lpwstr>_Toc161306168</vt:lpwstr>
      </vt:variant>
      <vt:variant>
        <vt:i4>1179697</vt:i4>
      </vt:variant>
      <vt:variant>
        <vt:i4>209</vt:i4>
      </vt:variant>
      <vt:variant>
        <vt:i4>0</vt:i4>
      </vt:variant>
      <vt:variant>
        <vt:i4>5</vt:i4>
      </vt:variant>
      <vt:variant>
        <vt:lpwstr/>
      </vt:variant>
      <vt:variant>
        <vt:lpwstr>_Toc161306167</vt:lpwstr>
      </vt:variant>
      <vt:variant>
        <vt:i4>1179697</vt:i4>
      </vt:variant>
      <vt:variant>
        <vt:i4>203</vt:i4>
      </vt:variant>
      <vt:variant>
        <vt:i4>0</vt:i4>
      </vt:variant>
      <vt:variant>
        <vt:i4>5</vt:i4>
      </vt:variant>
      <vt:variant>
        <vt:lpwstr/>
      </vt:variant>
      <vt:variant>
        <vt:lpwstr>_Toc161306166</vt:lpwstr>
      </vt:variant>
      <vt:variant>
        <vt:i4>1179696</vt:i4>
      </vt:variant>
      <vt:variant>
        <vt:i4>194</vt:i4>
      </vt:variant>
      <vt:variant>
        <vt:i4>0</vt:i4>
      </vt:variant>
      <vt:variant>
        <vt:i4>5</vt:i4>
      </vt:variant>
      <vt:variant>
        <vt:lpwstr/>
      </vt:variant>
      <vt:variant>
        <vt:lpwstr>_Toc161306060</vt:lpwstr>
      </vt:variant>
      <vt:variant>
        <vt:i4>1114160</vt:i4>
      </vt:variant>
      <vt:variant>
        <vt:i4>188</vt:i4>
      </vt:variant>
      <vt:variant>
        <vt:i4>0</vt:i4>
      </vt:variant>
      <vt:variant>
        <vt:i4>5</vt:i4>
      </vt:variant>
      <vt:variant>
        <vt:lpwstr/>
      </vt:variant>
      <vt:variant>
        <vt:lpwstr>_Toc161306059</vt:lpwstr>
      </vt:variant>
      <vt:variant>
        <vt:i4>1114160</vt:i4>
      </vt:variant>
      <vt:variant>
        <vt:i4>182</vt:i4>
      </vt:variant>
      <vt:variant>
        <vt:i4>0</vt:i4>
      </vt:variant>
      <vt:variant>
        <vt:i4>5</vt:i4>
      </vt:variant>
      <vt:variant>
        <vt:lpwstr/>
      </vt:variant>
      <vt:variant>
        <vt:lpwstr>_Toc161306058</vt:lpwstr>
      </vt:variant>
      <vt:variant>
        <vt:i4>1114160</vt:i4>
      </vt:variant>
      <vt:variant>
        <vt:i4>176</vt:i4>
      </vt:variant>
      <vt:variant>
        <vt:i4>0</vt:i4>
      </vt:variant>
      <vt:variant>
        <vt:i4>5</vt:i4>
      </vt:variant>
      <vt:variant>
        <vt:lpwstr/>
      </vt:variant>
      <vt:variant>
        <vt:lpwstr>_Toc161306057</vt:lpwstr>
      </vt:variant>
      <vt:variant>
        <vt:i4>1114160</vt:i4>
      </vt:variant>
      <vt:variant>
        <vt:i4>170</vt:i4>
      </vt:variant>
      <vt:variant>
        <vt:i4>0</vt:i4>
      </vt:variant>
      <vt:variant>
        <vt:i4>5</vt:i4>
      </vt:variant>
      <vt:variant>
        <vt:lpwstr/>
      </vt:variant>
      <vt:variant>
        <vt:lpwstr>_Toc161306056</vt:lpwstr>
      </vt:variant>
      <vt:variant>
        <vt:i4>1114160</vt:i4>
      </vt:variant>
      <vt:variant>
        <vt:i4>164</vt:i4>
      </vt:variant>
      <vt:variant>
        <vt:i4>0</vt:i4>
      </vt:variant>
      <vt:variant>
        <vt:i4>5</vt:i4>
      </vt:variant>
      <vt:variant>
        <vt:lpwstr/>
      </vt:variant>
      <vt:variant>
        <vt:lpwstr>_Toc161306055</vt:lpwstr>
      </vt:variant>
      <vt:variant>
        <vt:i4>1114160</vt:i4>
      </vt:variant>
      <vt:variant>
        <vt:i4>158</vt:i4>
      </vt:variant>
      <vt:variant>
        <vt:i4>0</vt:i4>
      </vt:variant>
      <vt:variant>
        <vt:i4>5</vt:i4>
      </vt:variant>
      <vt:variant>
        <vt:lpwstr/>
      </vt:variant>
      <vt:variant>
        <vt:lpwstr>_Toc161306054</vt:lpwstr>
      </vt:variant>
      <vt:variant>
        <vt:i4>1114160</vt:i4>
      </vt:variant>
      <vt:variant>
        <vt:i4>152</vt:i4>
      </vt:variant>
      <vt:variant>
        <vt:i4>0</vt:i4>
      </vt:variant>
      <vt:variant>
        <vt:i4>5</vt:i4>
      </vt:variant>
      <vt:variant>
        <vt:lpwstr/>
      </vt:variant>
      <vt:variant>
        <vt:lpwstr>_Toc161306053</vt:lpwstr>
      </vt:variant>
      <vt:variant>
        <vt:i4>1114160</vt:i4>
      </vt:variant>
      <vt:variant>
        <vt:i4>146</vt:i4>
      </vt:variant>
      <vt:variant>
        <vt:i4>0</vt:i4>
      </vt:variant>
      <vt:variant>
        <vt:i4>5</vt:i4>
      </vt:variant>
      <vt:variant>
        <vt:lpwstr/>
      </vt:variant>
      <vt:variant>
        <vt:lpwstr>_Toc161306052</vt:lpwstr>
      </vt:variant>
      <vt:variant>
        <vt:i4>1114160</vt:i4>
      </vt:variant>
      <vt:variant>
        <vt:i4>140</vt:i4>
      </vt:variant>
      <vt:variant>
        <vt:i4>0</vt:i4>
      </vt:variant>
      <vt:variant>
        <vt:i4>5</vt:i4>
      </vt:variant>
      <vt:variant>
        <vt:lpwstr/>
      </vt:variant>
      <vt:variant>
        <vt:lpwstr>_Toc161306051</vt:lpwstr>
      </vt:variant>
      <vt:variant>
        <vt:i4>1114160</vt:i4>
      </vt:variant>
      <vt:variant>
        <vt:i4>134</vt:i4>
      </vt:variant>
      <vt:variant>
        <vt:i4>0</vt:i4>
      </vt:variant>
      <vt:variant>
        <vt:i4>5</vt:i4>
      </vt:variant>
      <vt:variant>
        <vt:lpwstr/>
      </vt:variant>
      <vt:variant>
        <vt:lpwstr>_Toc161306050</vt:lpwstr>
      </vt:variant>
      <vt:variant>
        <vt:i4>1048624</vt:i4>
      </vt:variant>
      <vt:variant>
        <vt:i4>128</vt:i4>
      </vt:variant>
      <vt:variant>
        <vt:i4>0</vt:i4>
      </vt:variant>
      <vt:variant>
        <vt:i4>5</vt:i4>
      </vt:variant>
      <vt:variant>
        <vt:lpwstr/>
      </vt:variant>
      <vt:variant>
        <vt:lpwstr>_Toc161306049</vt:lpwstr>
      </vt:variant>
      <vt:variant>
        <vt:i4>1048624</vt:i4>
      </vt:variant>
      <vt:variant>
        <vt:i4>122</vt:i4>
      </vt:variant>
      <vt:variant>
        <vt:i4>0</vt:i4>
      </vt:variant>
      <vt:variant>
        <vt:i4>5</vt:i4>
      </vt:variant>
      <vt:variant>
        <vt:lpwstr/>
      </vt:variant>
      <vt:variant>
        <vt:lpwstr>_Toc161306048</vt:lpwstr>
      </vt:variant>
      <vt:variant>
        <vt:i4>1048624</vt:i4>
      </vt:variant>
      <vt:variant>
        <vt:i4>116</vt:i4>
      </vt:variant>
      <vt:variant>
        <vt:i4>0</vt:i4>
      </vt:variant>
      <vt:variant>
        <vt:i4>5</vt:i4>
      </vt:variant>
      <vt:variant>
        <vt:lpwstr/>
      </vt:variant>
      <vt:variant>
        <vt:lpwstr>_Toc161306047</vt:lpwstr>
      </vt:variant>
      <vt:variant>
        <vt:i4>1048624</vt:i4>
      </vt:variant>
      <vt:variant>
        <vt:i4>110</vt:i4>
      </vt:variant>
      <vt:variant>
        <vt:i4>0</vt:i4>
      </vt:variant>
      <vt:variant>
        <vt:i4>5</vt:i4>
      </vt:variant>
      <vt:variant>
        <vt:lpwstr/>
      </vt:variant>
      <vt:variant>
        <vt:lpwstr>_Toc161306046</vt:lpwstr>
      </vt:variant>
      <vt:variant>
        <vt:i4>1048624</vt:i4>
      </vt:variant>
      <vt:variant>
        <vt:i4>104</vt:i4>
      </vt:variant>
      <vt:variant>
        <vt:i4>0</vt:i4>
      </vt:variant>
      <vt:variant>
        <vt:i4>5</vt:i4>
      </vt:variant>
      <vt:variant>
        <vt:lpwstr/>
      </vt:variant>
      <vt:variant>
        <vt:lpwstr>_Toc161306045</vt:lpwstr>
      </vt:variant>
      <vt:variant>
        <vt:i4>1048624</vt:i4>
      </vt:variant>
      <vt:variant>
        <vt:i4>98</vt:i4>
      </vt:variant>
      <vt:variant>
        <vt:i4>0</vt:i4>
      </vt:variant>
      <vt:variant>
        <vt:i4>5</vt:i4>
      </vt:variant>
      <vt:variant>
        <vt:lpwstr/>
      </vt:variant>
      <vt:variant>
        <vt:lpwstr>_Toc161306044</vt:lpwstr>
      </vt:variant>
      <vt:variant>
        <vt:i4>1048624</vt:i4>
      </vt:variant>
      <vt:variant>
        <vt:i4>92</vt:i4>
      </vt:variant>
      <vt:variant>
        <vt:i4>0</vt:i4>
      </vt:variant>
      <vt:variant>
        <vt:i4>5</vt:i4>
      </vt:variant>
      <vt:variant>
        <vt:lpwstr/>
      </vt:variant>
      <vt:variant>
        <vt:lpwstr>_Toc161306043</vt:lpwstr>
      </vt:variant>
      <vt:variant>
        <vt:i4>1048624</vt:i4>
      </vt:variant>
      <vt:variant>
        <vt:i4>86</vt:i4>
      </vt:variant>
      <vt:variant>
        <vt:i4>0</vt:i4>
      </vt:variant>
      <vt:variant>
        <vt:i4>5</vt:i4>
      </vt:variant>
      <vt:variant>
        <vt:lpwstr/>
      </vt:variant>
      <vt:variant>
        <vt:lpwstr>_Toc161306042</vt:lpwstr>
      </vt:variant>
      <vt:variant>
        <vt:i4>1048624</vt:i4>
      </vt:variant>
      <vt:variant>
        <vt:i4>80</vt:i4>
      </vt:variant>
      <vt:variant>
        <vt:i4>0</vt:i4>
      </vt:variant>
      <vt:variant>
        <vt:i4>5</vt:i4>
      </vt:variant>
      <vt:variant>
        <vt:lpwstr/>
      </vt:variant>
      <vt:variant>
        <vt:lpwstr>_Toc161306041</vt:lpwstr>
      </vt:variant>
      <vt:variant>
        <vt:i4>1048624</vt:i4>
      </vt:variant>
      <vt:variant>
        <vt:i4>74</vt:i4>
      </vt:variant>
      <vt:variant>
        <vt:i4>0</vt:i4>
      </vt:variant>
      <vt:variant>
        <vt:i4>5</vt:i4>
      </vt:variant>
      <vt:variant>
        <vt:lpwstr/>
      </vt:variant>
      <vt:variant>
        <vt:lpwstr>_Toc161306040</vt:lpwstr>
      </vt:variant>
      <vt:variant>
        <vt:i4>1507376</vt:i4>
      </vt:variant>
      <vt:variant>
        <vt:i4>68</vt:i4>
      </vt:variant>
      <vt:variant>
        <vt:i4>0</vt:i4>
      </vt:variant>
      <vt:variant>
        <vt:i4>5</vt:i4>
      </vt:variant>
      <vt:variant>
        <vt:lpwstr/>
      </vt:variant>
      <vt:variant>
        <vt:lpwstr>_Toc161306039</vt:lpwstr>
      </vt:variant>
      <vt:variant>
        <vt:i4>1507376</vt:i4>
      </vt:variant>
      <vt:variant>
        <vt:i4>62</vt:i4>
      </vt:variant>
      <vt:variant>
        <vt:i4>0</vt:i4>
      </vt:variant>
      <vt:variant>
        <vt:i4>5</vt:i4>
      </vt:variant>
      <vt:variant>
        <vt:lpwstr/>
      </vt:variant>
      <vt:variant>
        <vt:lpwstr>_Toc161306038</vt:lpwstr>
      </vt:variant>
      <vt:variant>
        <vt:i4>1507376</vt:i4>
      </vt:variant>
      <vt:variant>
        <vt:i4>56</vt:i4>
      </vt:variant>
      <vt:variant>
        <vt:i4>0</vt:i4>
      </vt:variant>
      <vt:variant>
        <vt:i4>5</vt:i4>
      </vt:variant>
      <vt:variant>
        <vt:lpwstr/>
      </vt:variant>
      <vt:variant>
        <vt:lpwstr>_Toc161306037</vt:lpwstr>
      </vt:variant>
      <vt:variant>
        <vt:i4>1507376</vt:i4>
      </vt:variant>
      <vt:variant>
        <vt:i4>50</vt:i4>
      </vt:variant>
      <vt:variant>
        <vt:i4>0</vt:i4>
      </vt:variant>
      <vt:variant>
        <vt:i4>5</vt:i4>
      </vt:variant>
      <vt:variant>
        <vt:lpwstr/>
      </vt:variant>
      <vt:variant>
        <vt:lpwstr>_Toc161306036</vt:lpwstr>
      </vt:variant>
      <vt:variant>
        <vt:i4>1507376</vt:i4>
      </vt:variant>
      <vt:variant>
        <vt:i4>44</vt:i4>
      </vt:variant>
      <vt:variant>
        <vt:i4>0</vt:i4>
      </vt:variant>
      <vt:variant>
        <vt:i4>5</vt:i4>
      </vt:variant>
      <vt:variant>
        <vt:lpwstr/>
      </vt:variant>
      <vt:variant>
        <vt:lpwstr>_Toc161306035</vt:lpwstr>
      </vt:variant>
      <vt:variant>
        <vt:i4>1507376</vt:i4>
      </vt:variant>
      <vt:variant>
        <vt:i4>38</vt:i4>
      </vt:variant>
      <vt:variant>
        <vt:i4>0</vt:i4>
      </vt:variant>
      <vt:variant>
        <vt:i4>5</vt:i4>
      </vt:variant>
      <vt:variant>
        <vt:lpwstr/>
      </vt:variant>
      <vt:variant>
        <vt:lpwstr>_Toc161306034</vt:lpwstr>
      </vt:variant>
      <vt:variant>
        <vt:i4>1507376</vt:i4>
      </vt:variant>
      <vt:variant>
        <vt:i4>32</vt:i4>
      </vt:variant>
      <vt:variant>
        <vt:i4>0</vt:i4>
      </vt:variant>
      <vt:variant>
        <vt:i4>5</vt:i4>
      </vt:variant>
      <vt:variant>
        <vt:lpwstr/>
      </vt:variant>
      <vt:variant>
        <vt:lpwstr>_Toc161306033</vt:lpwstr>
      </vt:variant>
      <vt:variant>
        <vt:i4>1507376</vt:i4>
      </vt:variant>
      <vt:variant>
        <vt:i4>26</vt:i4>
      </vt:variant>
      <vt:variant>
        <vt:i4>0</vt:i4>
      </vt:variant>
      <vt:variant>
        <vt:i4>5</vt:i4>
      </vt:variant>
      <vt:variant>
        <vt:lpwstr/>
      </vt:variant>
      <vt:variant>
        <vt:lpwstr>_Toc161306032</vt:lpwstr>
      </vt:variant>
      <vt:variant>
        <vt:i4>1507376</vt:i4>
      </vt:variant>
      <vt:variant>
        <vt:i4>20</vt:i4>
      </vt:variant>
      <vt:variant>
        <vt:i4>0</vt:i4>
      </vt:variant>
      <vt:variant>
        <vt:i4>5</vt:i4>
      </vt:variant>
      <vt:variant>
        <vt:lpwstr/>
      </vt:variant>
      <vt:variant>
        <vt:lpwstr>_Toc161306031</vt:lpwstr>
      </vt:variant>
      <vt:variant>
        <vt:i4>1507376</vt:i4>
      </vt:variant>
      <vt:variant>
        <vt:i4>14</vt:i4>
      </vt:variant>
      <vt:variant>
        <vt:i4>0</vt:i4>
      </vt:variant>
      <vt:variant>
        <vt:i4>5</vt:i4>
      </vt:variant>
      <vt:variant>
        <vt:lpwstr/>
      </vt:variant>
      <vt:variant>
        <vt:lpwstr>_Toc161306030</vt:lpwstr>
      </vt:variant>
      <vt:variant>
        <vt:i4>6684728</vt:i4>
      </vt:variant>
      <vt:variant>
        <vt:i4>9</vt:i4>
      </vt:variant>
      <vt:variant>
        <vt:i4>0</vt:i4>
      </vt:variant>
      <vt:variant>
        <vt:i4>5</vt:i4>
      </vt:variant>
      <vt:variant>
        <vt:lpwstr>https://www.dcceew.gov.au/</vt:lpwstr>
      </vt:variant>
      <vt:variant>
        <vt:lpwstr/>
      </vt:variant>
      <vt:variant>
        <vt:i4>7602213</vt:i4>
      </vt:variant>
      <vt:variant>
        <vt:i4>6</vt:i4>
      </vt:variant>
      <vt:variant>
        <vt:i4>0</vt:i4>
      </vt:variant>
      <vt:variant>
        <vt:i4>5</vt:i4>
      </vt:variant>
      <vt:variant>
        <vt:lpwstr>https://www.dcceew.gov.au/publications</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1900567</vt:i4>
      </vt:variant>
      <vt:variant>
        <vt:i4>147</vt:i4>
      </vt:variant>
      <vt:variant>
        <vt:i4>0</vt:i4>
      </vt:variant>
      <vt:variant>
        <vt:i4>5</vt:i4>
      </vt:variant>
      <vt:variant>
        <vt:lpwstr>https://energyconsumersaustralia.com.au/publications/stepping-up</vt:lpwstr>
      </vt:variant>
      <vt:variant>
        <vt:lpwstr/>
      </vt:variant>
      <vt:variant>
        <vt:i4>4456470</vt:i4>
      </vt:variant>
      <vt:variant>
        <vt:i4>144</vt:i4>
      </vt:variant>
      <vt:variant>
        <vt:i4>0</vt:i4>
      </vt:variant>
      <vt:variant>
        <vt:i4>5</vt:i4>
      </vt:variant>
      <vt:variant>
        <vt:lpwstr>https://www.energy.gov.au/energy-and-climate-change-ministerial-council/meetings-and-communiques</vt:lpwstr>
      </vt:variant>
      <vt:variant>
        <vt:lpwstr/>
      </vt:variant>
      <vt:variant>
        <vt:i4>7798903</vt:i4>
      </vt:variant>
      <vt:variant>
        <vt:i4>141</vt:i4>
      </vt:variant>
      <vt:variant>
        <vt:i4>0</vt:i4>
      </vt:variant>
      <vt:variant>
        <vt:i4>5</vt:i4>
      </vt:variant>
      <vt:variant>
        <vt:lpwstr>https://publications.csiro.au/publications/publication/PIcsiro:EP2023-0538</vt:lpwstr>
      </vt:variant>
      <vt:variant>
        <vt:lpwstr/>
      </vt:variant>
      <vt:variant>
        <vt:i4>3997728</vt:i4>
      </vt:variant>
      <vt:variant>
        <vt:i4>138</vt:i4>
      </vt:variant>
      <vt:variant>
        <vt:i4>0</vt:i4>
      </vt:variant>
      <vt:variant>
        <vt:i4>5</vt:i4>
      </vt:variant>
      <vt:variant>
        <vt:lpwstr>https://arena.gov.au/renewable-energy/solar</vt:lpwstr>
      </vt:variant>
      <vt:variant>
        <vt:lpwstr/>
      </vt:variant>
      <vt:variant>
        <vt:i4>1900567</vt:i4>
      </vt:variant>
      <vt:variant>
        <vt:i4>135</vt:i4>
      </vt:variant>
      <vt:variant>
        <vt:i4>0</vt:i4>
      </vt:variant>
      <vt:variant>
        <vt:i4>5</vt:i4>
      </vt:variant>
      <vt:variant>
        <vt:lpwstr>https://energyconsumersaustralia.com.au/publications/stepping-up</vt:lpwstr>
      </vt:variant>
      <vt:variant>
        <vt:lpwstr/>
      </vt:variant>
      <vt:variant>
        <vt:i4>2031624</vt:i4>
      </vt:variant>
      <vt:variant>
        <vt:i4>132</vt:i4>
      </vt:variant>
      <vt:variant>
        <vt:i4>0</vt:i4>
      </vt:variant>
      <vt:variant>
        <vt:i4>5</vt:i4>
      </vt:variant>
      <vt:variant>
        <vt:lpwstr>https://www.accc.gov.au/about-us/publications/serial-publications/inquiry-into-the-national-electricity-market-2018-25/inquiry-into-the-national-electricity-market-december-2023-report</vt:lpwstr>
      </vt:variant>
      <vt:variant>
        <vt:lpwstr/>
      </vt:variant>
      <vt:variant>
        <vt:i4>8126577</vt:i4>
      </vt:variant>
      <vt:variant>
        <vt:i4>129</vt:i4>
      </vt:variant>
      <vt:variant>
        <vt:i4>0</vt:i4>
      </vt:variant>
      <vt:variant>
        <vt:i4>5</vt:i4>
      </vt:variant>
      <vt:variant>
        <vt:lpwstr>https://ecss.energyconsumersaustralia.com.au/sentiment-survey-dec-2023/</vt:lpwstr>
      </vt:variant>
      <vt:variant>
        <vt:lpwstr/>
      </vt:variant>
      <vt:variant>
        <vt:i4>4259876</vt:i4>
      </vt:variant>
      <vt:variant>
        <vt:i4>126</vt:i4>
      </vt:variant>
      <vt:variant>
        <vt:i4>0</vt:i4>
      </vt:variant>
      <vt:variant>
        <vt:i4>5</vt:i4>
      </vt:variant>
      <vt:variant>
        <vt:lpwstr>https://www.aer.gov.au/system/files/2023-11/Annual Retail Market Report 2022-23 - 30 November 2023_1.pdf</vt:lpwstr>
      </vt:variant>
      <vt:variant>
        <vt:lpwstr/>
      </vt:variant>
      <vt:variant>
        <vt:i4>262223</vt:i4>
      </vt:variant>
      <vt:variant>
        <vt:i4>123</vt:i4>
      </vt:variant>
      <vt:variant>
        <vt:i4>0</vt:i4>
      </vt:variant>
      <vt:variant>
        <vt:i4>5</vt:i4>
      </vt:variant>
      <vt:variant>
        <vt:lpwstr>https://www.jobsandskills.gov.au/publications/the-clean-energy-generation</vt:lpwstr>
      </vt:variant>
      <vt:variant>
        <vt:lpwstr/>
      </vt:variant>
      <vt:variant>
        <vt:i4>3473511</vt:i4>
      </vt:variant>
      <vt:variant>
        <vt:i4>120</vt:i4>
      </vt:variant>
      <vt:variant>
        <vt:i4>0</vt:i4>
      </vt:variant>
      <vt:variant>
        <vt:i4>5</vt:i4>
      </vt:variant>
      <vt:variant>
        <vt:lpwstr>https://www.jobsandskills.gov.au/publications/towards-national-jobs-and-skills-roadmap</vt:lpwstr>
      </vt:variant>
      <vt:variant>
        <vt:lpwstr/>
      </vt:variant>
      <vt:variant>
        <vt:i4>262223</vt:i4>
      </vt:variant>
      <vt:variant>
        <vt:i4>117</vt:i4>
      </vt:variant>
      <vt:variant>
        <vt:i4>0</vt:i4>
      </vt:variant>
      <vt:variant>
        <vt:i4>5</vt:i4>
      </vt:variant>
      <vt:variant>
        <vt:lpwstr>https://www.jobsandskills.gov.au/publications/the-clean-energy-generation</vt:lpwstr>
      </vt:variant>
      <vt:variant>
        <vt:lpwstr/>
      </vt:variant>
      <vt:variant>
        <vt:i4>262223</vt:i4>
      </vt:variant>
      <vt:variant>
        <vt:i4>114</vt:i4>
      </vt:variant>
      <vt:variant>
        <vt:i4>0</vt:i4>
      </vt:variant>
      <vt:variant>
        <vt:i4>5</vt:i4>
      </vt:variant>
      <vt:variant>
        <vt:lpwstr>https://www.jobsandskills.gov.au/publications/the-clean-energy-generation</vt:lpwstr>
      </vt:variant>
      <vt:variant>
        <vt:lpwstr/>
      </vt:variant>
      <vt:variant>
        <vt:i4>7733368</vt:i4>
      </vt:variant>
      <vt:variant>
        <vt:i4>111</vt:i4>
      </vt:variant>
      <vt:variant>
        <vt:i4>0</vt:i4>
      </vt:variant>
      <vt:variant>
        <vt:i4>5</vt:i4>
      </vt:variant>
      <vt:variant>
        <vt:lpwstr>https://consult.dcceew.gov.au/supply-of-renewable-diesel-australian-paraffinic-diesel-fuel-quality-standard</vt:lpwstr>
      </vt:variant>
      <vt:variant>
        <vt:lpwstr/>
      </vt:variant>
      <vt:variant>
        <vt:i4>4194318</vt:i4>
      </vt:variant>
      <vt:variant>
        <vt:i4>108</vt:i4>
      </vt:variant>
      <vt:variant>
        <vt:i4>0</vt:i4>
      </vt:variant>
      <vt:variant>
        <vt:i4>5</vt:i4>
      </vt:variant>
      <vt:variant>
        <vt:lpwstr>https://www.energy.gov.au/energy-data/australian-petroleum-statistics</vt:lpwstr>
      </vt:variant>
      <vt:variant>
        <vt:lpwstr/>
      </vt:variant>
      <vt:variant>
        <vt:i4>6160393</vt:i4>
      </vt:variant>
      <vt:variant>
        <vt:i4>105</vt:i4>
      </vt:variant>
      <vt:variant>
        <vt:i4>0</vt:i4>
      </vt:variant>
      <vt:variant>
        <vt:i4>5</vt:i4>
      </vt:variant>
      <vt:variant>
        <vt:lpwstr>https://www.dcceew.gov.au/climate-change/publications/national-inventory-report-2021</vt:lpwstr>
      </vt:variant>
      <vt:variant>
        <vt:lpwstr/>
      </vt:variant>
      <vt:variant>
        <vt:i4>4194318</vt:i4>
      </vt:variant>
      <vt:variant>
        <vt:i4>102</vt:i4>
      </vt:variant>
      <vt:variant>
        <vt:i4>0</vt:i4>
      </vt:variant>
      <vt:variant>
        <vt:i4>5</vt:i4>
      </vt:variant>
      <vt:variant>
        <vt:lpwstr>https://www.energy.gov.au/energy-data/australian-petroleum-statistics</vt:lpwstr>
      </vt:variant>
      <vt:variant>
        <vt:lpwstr/>
      </vt:variant>
      <vt:variant>
        <vt:i4>3407929</vt:i4>
      </vt:variant>
      <vt:variant>
        <vt:i4>99</vt:i4>
      </vt:variant>
      <vt:variant>
        <vt:i4>0</vt:i4>
      </vt:variant>
      <vt:variant>
        <vt:i4>5</vt:i4>
      </vt:variant>
      <vt:variant>
        <vt:lpwstr>https://aemo.com.au/en/energy-systems/gas/gas-forecasting-and-planning/gas-statement-of-opportunities-gsoo</vt:lpwstr>
      </vt:variant>
      <vt:variant>
        <vt:lpwstr/>
      </vt:variant>
      <vt:variant>
        <vt:i4>7077950</vt:i4>
      </vt:variant>
      <vt:variant>
        <vt:i4>96</vt:i4>
      </vt:variant>
      <vt:variant>
        <vt:i4>0</vt:i4>
      </vt:variant>
      <vt:variant>
        <vt:i4>5</vt:i4>
      </vt:variant>
      <vt:variant>
        <vt:lpwstr>https://www.energy.gov.au/energy-data/australian-energy-statistics</vt:lpwstr>
      </vt:variant>
      <vt:variant>
        <vt:lpwstr/>
      </vt:variant>
      <vt:variant>
        <vt:i4>1507445</vt:i4>
      </vt:variant>
      <vt:variant>
        <vt:i4>93</vt:i4>
      </vt:variant>
      <vt:variant>
        <vt:i4>0</vt:i4>
      </vt:variant>
      <vt:variant>
        <vt:i4>5</vt:i4>
      </vt:variant>
      <vt:variant>
        <vt:lpwstr>https://territoryrenewableenergy.nt.gov.au/__data/assets/pdf_file/0011/1056782/darwin-katherine-electricity-system-plan-web.pdf?v=0.1.1</vt:lpwstr>
      </vt:variant>
      <vt:variant>
        <vt:lpwstr/>
      </vt:variant>
      <vt:variant>
        <vt:i4>3014769</vt:i4>
      </vt:variant>
      <vt:variant>
        <vt:i4>90</vt:i4>
      </vt:variant>
      <vt:variant>
        <vt:i4>0</vt:i4>
      </vt:variant>
      <vt:variant>
        <vt:i4>5</vt:i4>
      </vt:variant>
      <vt:variant>
        <vt:lpwstr>https://aemo.com.au/-/media/files/electricity/wem/planning_and_forecasting/esoo/2023/2023-wholesale-electricity-market-electricity-statement-of-opportunities-wem-esoo.pdf</vt:lpwstr>
      </vt:variant>
      <vt:variant>
        <vt:lpwstr/>
      </vt:variant>
      <vt:variant>
        <vt:i4>131128</vt:i4>
      </vt:variant>
      <vt:variant>
        <vt:i4>87</vt:i4>
      </vt:variant>
      <vt:variant>
        <vt:i4>0</vt:i4>
      </vt:variant>
      <vt:variant>
        <vt:i4>5</vt:i4>
      </vt:variant>
      <vt:variant>
        <vt:lpwstr>https://aemo.com.au/-/media/files/electricity/nem/planning_and_forecasting/nem_esoo/2023/2023-electricity-statement-of-opportunities.pdf</vt:lpwstr>
      </vt:variant>
      <vt:variant>
        <vt:lpwstr/>
      </vt:variant>
      <vt:variant>
        <vt:i4>2818058</vt:i4>
      </vt:variant>
      <vt:variant>
        <vt:i4>84</vt:i4>
      </vt:variant>
      <vt:variant>
        <vt:i4>0</vt:i4>
      </vt:variant>
      <vt:variant>
        <vt:i4>5</vt:i4>
      </vt:variant>
      <vt:variant>
        <vt:lpwstr>https://aemo.com.au/-/media/files/stakeholder_consultation/consultations/nem-consultations/2022/2023-inputs-assumptions-and-scenarios-consultation/supporting-materials-for-2023/csiro-climateworks-centre-2022-multisector-modelling-report.pdf</vt:lpwstr>
      </vt:variant>
      <vt:variant>
        <vt:lpwstr/>
      </vt:variant>
      <vt:variant>
        <vt:i4>5832785</vt:i4>
      </vt:variant>
      <vt:variant>
        <vt:i4>81</vt:i4>
      </vt:variant>
      <vt:variant>
        <vt:i4>0</vt:i4>
      </vt:variant>
      <vt:variant>
        <vt:i4>5</vt:i4>
      </vt:variant>
      <vt:variant>
        <vt:lpwstr>https://www.aihw.gov.au/reports/australias-welfare/home-ownership-and-housing-tenure</vt:lpwstr>
      </vt:variant>
      <vt:variant>
        <vt:lpwstr/>
      </vt:variant>
      <vt:variant>
        <vt:i4>1245252</vt:i4>
      </vt:variant>
      <vt:variant>
        <vt:i4>78</vt:i4>
      </vt:variant>
      <vt:variant>
        <vt:i4>0</vt:i4>
      </vt:variant>
      <vt:variant>
        <vt:i4>5</vt:i4>
      </vt:variant>
      <vt:variant>
        <vt:lpwstr>https://www.aihw.gov.au/reports/australias-welfare/indigenous-housing</vt:lpwstr>
      </vt:variant>
      <vt:variant>
        <vt:lpwstr/>
      </vt:variant>
      <vt:variant>
        <vt:i4>8060965</vt:i4>
      </vt:variant>
      <vt:variant>
        <vt:i4>75</vt:i4>
      </vt:variant>
      <vt:variant>
        <vt:i4>0</vt:i4>
      </vt:variant>
      <vt:variant>
        <vt:i4>5</vt:i4>
      </vt:variant>
      <vt:variant>
        <vt:lpwstr>https://arena.gov.au/projects/origin-energy-electric-vehicles-smart-charging-trial/</vt:lpwstr>
      </vt:variant>
      <vt:variant>
        <vt:lpwstr/>
      </vt:variant>
      <vt:variant>
        <vt:i4>6225988</vt:i4>
      </vt:variant>
      <vt:variant>
        <vt:i4>72</vt:i4>
      </vt:variant>
      <vt:variant>
        <vt:i4>0</vt:i4>
      </vt:variant>
      <vt:variant>
        <vt:i4>5</vt:i4>
      </vt:variant>
      <vt:variant>
        <vt:lpwstr>https://www.ausnetservices.com.au/news/ausnet-trial-to-look-at-impact-of-electrification-on-vulnerable-households</vt:lpwstr>
      </vt:variant>
      <vt:variant>
        <vt:lpwstr/>
      </vt:variant>
      <vt:variant>
        <vt:i4>4522014</vt:i4>
      </vt:variant>
      <vt:variant>
        <vt:i4>69</vt:i4>
      </vt:variant>
      <vt:variant>
        <vt:i4>0</vt:i4>
      </vt:variant>
      <vt:variant>
        <vt:i4>5</vt:i4>
      </vt:variant>
      <vt:variant>
        <vt:lpwstr>https://next.agl.com.au/electrifynow</vt:lpwstr>
      </vt:variant>
      <vt:variant>
        <vt:lpwstr>:~:text=Electrify%20Now%20is%20an%20Australian,reduce%20their%20home's%20carbon%20emissions.</vt:lpwstr>
      </vt:variant>
      <vt:variant>
        <vt:i4>6029384</vt:i4>
      </vt:variant>
      <vt:variant>
        <vt:i4>66</vt:i4>
      </vt:variant>
      <vt:variant>
        <vt:i4>0</vt:i4>
      </vt:variant>
      <vt:variant>
        <vt:i4>5</vt:i4>
      </vt:variant>
      <vt:variant>
        <vt:lpwstr>https://racefor2030.com.au/project/flexible-demand-and-demand-control-technology-and-development/</vt:lpwstr>
      </vt:variant>
      <vt:variant>
        <vt:lpwstr/>
      </vt:variant>
      <vt:variant>
        <vt:i4>3604580</vt:i4>
      </vt:variant>
      <vt:variant>
        <vt:i4>63</vt:i4>
      </vt:variant>
      <vt:variant>
        <vt:i4>0</vt:i4>
      </vt:variant>
      <vt:variant>
        <vt:i4>5</vt:i4>
      </vt:variant>
      <vt:variant>
        <vt:lpwstr>https://www.energyrating.gov.au/news-and-stories/its-now-easier-sell-energy-efficient-appliances</vt:lpwstr>
      </vt:variant>
      <vt:variant>
        <vt:lpwstr>:~:text=In%20the%2010%20years%20since,billion%20in%20reduced%20energy%20bills.</vt:lpwstr>
      </vt:variant>
      <vt:variant>
        <vt:i4>327702</vt:i4>
      </vt:variant>
      <vt:variant>
        <vt:i4>60</vt:i4>
      </vt:variant>
      <vt:variant>
        <vt:i4>0</vt:i4>
      </vt:variant>
      <vt:variant>
        <vt:i4>5</vt:i4>
      </vt:variant>
      <vt:variant>
        <vt:lpwstr>https://www.fueleconomy.gov/feg/evtech.shtml</vt:lpwstr>
      </vt:variant>
      <vt:variant>
        <vt:lpwstr/>
      </vt:variant>
      <vt:variant>
        <vt:i4>5963779</vt:i4>
      </vt:variant>
      <vt:variant>
        <vt:i4>57</vt:i4>
      </vt:variant>
      <vt:variant>
        <vt:i4>0</vt:i4>
      </vt:variant>
      <vt:variant>
        <vt:i4>5</vt:i4>
      </vt:variant>
      <vt:variant>
        <vt:lpwstr>https://www.iea.org/reports/world-energy-outlook-2023</vt:lpwstr>
      </vt:variant>
      <vt:variant>
        <vt:lpwstr/>
      </vt:variant>
      <vt:variant>
        <vt:i4>2883687</vt:i4>
      </vt:variant>
      <vt:variant>
        <vt:i4>54</vt:i4>
      </vt:variant>
      <vt:variant>
        <vt:i4>0</vt:i4>
      </vt:variant>
      <vt:variant>
        <vt:i4>5</vt:i4>
      </vt:variant>
      <vt:variant>
        <vt:lpwstr>https://www.climateworkscentre.org/resource/pathways-to-industrial-decarbonisation-positioning-australian-industry-to-prosper-in-a-net-zero-global-economy/</vt:lpwstr>
      </vt:variant>
      <vt:variant>
        <vt:lpwstr/>
      </vt:variant>
      <vt:variant>
        <vt:i4>7077950</vt:i4>
      </vt:variant>
      <vt:variant>
        <vt:i4>51</vt:i4>
      </vt:variant>
      <vt:variant>
        <vt:i4>0</vt:i4>
      </vt:variant>
      <vt:variant>
        <vt:i4>5</vt:i4>
      </vt:variant>
      <vt:variant>
        <vt:lpwstr>https://www.energy.gov.au/energy-data/australian-energy-statistics</vt:lpwstr>
      </vt:variant>
      <vt:variant>
        <vt:lpwstr/>
      </vt:variant>
      <vt:variant>
        <vt:i4>7995489</vt:i4>
      </vt:variant>
      <vt:variant>
        <vt:i4>48</vt:i4>
      </vt:variant>
      <vt:variant>
        <vt:i4>0</vt:i4>
      </vt:variant>
      <vt:variant>
        <vt:i4>5</vt:i4>
      </vt:variant>
      <vt:variant>
        <vt:lpwstr>https://esb-post2025-market-design.aemc.gov.au/transmission-and-access</vt:lpwstr>
      </vt:variant>
      <vt:variant>
        <vt:lpwstr/>
      </vt:variant>
      <vt:variant>
        <vt:i4>7405683</vt:i4>
      </vt:variant>
      <vt:variant>
        <vt:i4>45</vt:i4>
      </vt:variant>
      <vt:variant>
        <vt:i4>0</vt:i4>
      </vt:variant>
      <vt:variant>
        <vt:i4>5</vt:i4>
      </vt:variant>
      <vt:variant>
        <vt:lpwstr>https://www.energy.gov.au/energy-and-climate-change-ministerial-council/working-groups/governance-working-group/incorporating-emissions-reduction-objective-national-energy-objectives</vt:lpwstr>
      </vt:variant>
      <vt:variant>
        <vt:lpwstr/>
      </vt:variant>
      <vt:variant>
        <vt:i4>7733354</vt:i4>
      </vt:variant>
      <vt:variant>
        <vt:i4>42</vt:i4>
      </vt:variant>
      <vt:variant>
        <vt:i4>0</vt:i4>
      </vt:variant>
      <vt:variant>
        <vt:i4>5</vt:i4>
      </vt:variant>
      <vt:variant>
        <vt:lpwstr>https://www.energy.gov.au/energy-and-climate-change-ministerial-council</vt:lpwstr>
      </vt:variant>
      <vt:variant>
        <vt:lpwstr/>
      </vt:variant>
      <vt:variant>
        <vt:i4>5308436</vt:i4>
      </vt:variant>
      <vt:variant>
        <vt:i4>39</vt:i4>
      </vt:variant>
      <vt:variant>
        <vt:i4>0</vt:i4>
      </vt:variant>
      <vt:variant>
        <vt:i4>5</vt:i4>
      </vt:variant>
      <vt:variant>
        <vt:lpwstr>https://aemo.com.au/-/media/files/initiatives/wem-reform-program/wem-reform-market-design-summary.pdf</vt:lpwstr>
      </vt:variant>
      <vt:variant>
        <vt:lpwstr/>
      </vt:variant>
      <vt:variant>
        <vt:i4>5701636</vt:i4>
      </vt:variant>
      <vt:variant>
        <vt:i4>36</vt:i4>
      </vt:variant>
      <vt:variant>
        <vt:i4>0</vt:i4>
      </vt:variant>
      <vt:variant>
        <vt:i4>5</vt:i4>
      </vt:variant>
      <vt:variant>
        <vt:lpwstr>https://www.aemo.com.au/-/media/files/electricity/nem/5ms/program-information/2021/5ms-factsheet.pdf</vt:lpwstr>
      </vt:variant>
      <vt:variant>
        <vt:lpwstr/>
      </vt:variant>
      <vt:variant>
        <vt:i4>196679</vt:i4>
      </vt:variant>
      <vt:variant>
        <vt:i4>33</vt:i4>
      </vt:variant>
      <vt:variant>
        <vt:i4>0</vt:i4>
      </vt:variant>
      <vt:variant>
        <vt:i4>5</vt:i4>
      </vt:variant>
      <vt:variant>
        <vt:lpwstr>https://consult.dcceew.gov.au/first-nations-clean-energy-strategy-consultation-paper</vt:lpwstr>
      </vt:variant>
      <vt:variant>
        <vt:lpwstr/>
      </vt:variant>
      <vt:variant>
        <vt:i4>8126490</vt:i4>
      </vt:variant>
      <vt:variant>
        <vt:i4>30</vt:i4>
      </vt:variant>
      <vt:variant>
        <vt:i4>0</vt:i4>
      </vt:variant>
      <vt:variant>
        <vt:i4>5</vt:i4>
      </vt:variant>
      <vt:variant>
        <vt:lpwstr>https://www.oecd-ilibrary.org/environment/net-zero_da477dda-en</vt:lpwstr>
      </vt:variant>
      <vt:variant>
        <vt:lpwstr/>
      </vt:variant>
      <vt:variant>
        <vt:i4>5701650</vt:i4>
      </vt:variant>
      <vt:variant>
        <vt:i4>27</vt:i4>
      </vt:variant>
      <vt:variant>
        <vt:i4>0</vt:i4>
      </vt:variant>
      <vt:variant>
        <vt:i4>5</vt:i4>
      </vt:variant>
      <vt:variant>
        <vt:lpwstr>https://www.dcceew.gov.au/sites/default/files/documents/community-engagement-review-report-minister-climate-change-energy.pdf</vt:lpwstr>
      </vt:variant>
      <vt:variant>
        <vt:lpwstr/>
      </vt:variant>
      <vt:variant>
        <vt:i4>7340040</vt:i4>
      </vt:variant>
      <vt:variant>
        <vt:i4>24</vt:i4>
      </vt:variant>
      <vt:variant>
        <vt:i4>0</vt:i4>
      </vt:variant>
      <vt:variant>
        <vt:i4>5</vt:i4>
      </vt:variant>
      <vt:variant>
        <vt:lpwstr>https://www.bca.com.au/australia_s_investment_drought</vt:lpwstr>
      </vt:variant>
      <vt:variant>
        <vt:lpwstr/>
      </vt:variant>
      <vt:variant>
        <vt:i4>2883687</vt:i4>
      </vt:variant>
      <vt:variant>
        <vt:i4>21</vt:i4>
      </vt:variant>
      <vt:variant>
        <vt:i4>0</vt:i4>
      </vt:variant>
      <vt:variant>
        <vt:i4>5</vt:i4>
      </vt:variant>
      <vt:variant>
        <vt:lpwstr>https://www.climateworkscentre.org/resource/pathways-to-industrial-decarbonisation-positioning-australian-industry-to-prosper-in-a-net-zero-global-economy/</vt:lpwstr>
      </vt:variant>
      <vt:variant>
        <vt:lpwstr/>
      </vt:variant>
      <vt:variant>
        <vt:i4>983061</vt:i4>
      </vt:variant>
      <vt:variant>
        <vt:i4>18</vt:i4>
      </vt:variant>
      <vt:variant>
        <vt:i4>0</vt:i4>
      </vt:variant>
      <vt:variant>
        <vt:i4>5</vt:i4>
      </vt:variant>
      <vt:variant>
        <vt:lpwstr>https://www.dcceew.gov.au/sites/default/files/documents/annual-climate-change-statement-2023.pdf</vt:lpwstr>
      </vt:variant>
      <vt:variant>
        <vt:lpwstr/>
      </vt:variant>
      <vt:variant>
        <vt:i4>4456471</vt:i4>
      </vt:variant>
      <vt:variant>
        <vt:i4>15</vt:i4>
      </vt:variant>
      <vt:variant>
        <vt:i4>0</vt:i4>
      </vt:variant>
      <vt:variant>
        <vt:i4>5</vt:i4>
      </vt:variant>
      <vt:variant>
        <vt:lpwstr>https://www.dcceew.gov.au/sites/default/files/documents/australias-emissions-projections-2023.pdf</vt:lpwstr>
      </vt:variant>
      <vt:variant>
        <vt:lpwstr/>
      </vt:variant>
      <vt:variant>
        <vt:i4>3997728</vt:i4>
      </vt:variant>
      <vt:variant>
        <vt:i4>12</vt:i4>
      </vt:variant>
      <vt:variant>
        <vt:i4>0</vt:i4>
      </vt:variant>
      <vt:variant>
        <vt:i4>5</vt:i4>
      </vt:variant>
      <vt:variant>
        <vt:lpwstr>https://arena.gov.au/renewable-energy/solar</vt:lpwstr>
      </vt:variant>
      <vt:variant>
        <vt:lpwstr/>
      </vt:variant>
      <vt:variant>
        <vt:i4>7077950</vt:i4>
      </vt:variant>
      <vt:variant>
        <vt:i4>9</vt:i4>
      </vt:variant>
      <vt:variant>
        <vt:i4>0</vt:i4>
      </vt:variant>
      <vt:variant>
        <vt:i4>5</vt:i4>
      </vt:variant>
      <vt:variant>
        <vt:lpwstr>https://www.energy.gov.au/energy-data/australian-energy-statistics</vt:lpwstr>
      </vt:variant>
      <vt:variant>
        <vt:lpwstr/>
      </vt:variant>
      <vt:variant>
        <vt:i4>2687100</vt:i4>
      </vt:variant>
      <vt:variant>
        <vt:i4>6</vt:i4>
      </vt:variant>
      <vt:variant>
        <vt:i4>0</vt:i4>
      </vt:variant>
      <vt:variant>
        <vt:i4>5</vt:i4>
      </vt:variant>
      <vt:variant>
        <vt:lpwstr>https://www.dcceew.gov.au/climate-change/publications/national-greenhouse-gas-inventory-quarterly-update-june-2023</vt:lpwstr>
      </vt:variant>
      <vt:variant>
        <vt:lpwstr/>
      </vt:variant>
      <vt:variant>
        <vt:i4>7209081</vt:i4>
      </vt:variant>
      <vt:variant>
        <vt:i4>3</vt:i4>
      </vt:variant>
      <vt:variant>
        <vt:i4>0</vt:i4>
      </vt:variant>
      <vt:variant>
        <vt:i4>5</vt:i4>
      </vt:variant>
      <vt:variant>
        <vt:lpwstr>https://aemo.com.au/consultations/current-and-closed-consultations/draft-2024-isp-consultation</vt:lpwstr>
      </vt:variant>
      <vt:variant>
        <vt:lpwstr/>
      </vt:variant>
      <vt:variant>
        <vt:i4>7602205</vt:i4>
      </vt:variant>
      <vt:variant>
        <vt:i4>0</vt:i4>
      </vt:variant>
      <vt:variant>
        <vt:i4>0</vt:i4>
      </vt:variant>
      <vt:variant>
        <vt:i4>5</vt:i4>
      </vt:variant>
      <vt:variant>
        <vt:lpwstr>https://www.energy.gov.au/sites/default/files/Australian Energy Update 2023_0.pdf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Lynch, Laura</dc:creator>
  <cp:keywords/>
  <cp:lastModifiedBy>Lin, Anita</cp:lastModifiedBy>
  <cp:revision>8</cp:revision>
  <cp:lastPrinted>2024-03-14T00:46:00Z</cp:lastPrinted>
  <dcterms:created xsi:type="dcterms:W3CDTF">2024-03-14T00:37:00Z</dcterms:created>
  <dcterms:modified xsi:type="dcterms:W3CDTF">2024-03-14T00:46:00Z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0x010100CBDED87065D38C4AB1804D031B5E90F8</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ies>
</file>