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BC2B6" w14:textId="45C3C09C" w:rsidR="00DF02AB" w:rsidRDefault="00DF02AB" w:rsidP="00D11ABF">
      <w:r>
        <w:rPr>
          <w:noProof/>
        </w:rPr>
        <w:drawing>
          <wp:anchor distT="0" distB="0" distL="114300" distR="114300" simplePos="0" relativeHeight="251658240" behindDoc="1" locked="0" layoutInCell="1" allowOverlap="1" wp14:anchorId="25F0AEA6" wp14:editId="3F70FB36">
            <wp:simplePos x="0" y="0"/>
            <wp:positionH relativeFrom="page">
              <wp:align>right</wp:align>
            </wp:positionH>
            <wp:positionV relativeFrom="paragraph">
              <wp:posOffset>-899851</wp:posOffset>
            </wp:positionV>
            <wp:extent cx="7549426" cy="10678786"/>
            <wp:effectExtent l="0" t="0" r="0" b="8890"/>
            <wp:wrapNone/>
            <wp:docPr id="13229853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5357"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9426" cy="10678786"/>
                    </a:xfrm>
                    <a:prstGeom prst="rect">
                      <a:avLst/>
                    </a:prstGeom>
                  </pic:spPr>
                </pic:pic>
              </a:graphicData>
            </a:graphic>
            <wp14:sizeRelH relativeFrom="page">
              <wp14:pctWidth>0</wp14:pctWidth>
            </wp14:sizeRelH>
            <wp14:sizeRelV relativeFrom="page">
              <wp14:pctHeight>0</wp14:pctHeight>
            </wp14:sizeRelV>
          </wp:anchor>
        </w:drawing>
      </w:r>
      <w:bookmarkStart w:id="0" w:name="_Hlk161389891"/>
    </w:p>
    <w:bookmarkEnd w:id="0"/>
    <w:p w14:paraId="57B2B580" w14:textId="3145099F" w:rsidR="00AC23ED" w:rsidRDefault="00AC23ED" w:rsidP="00220F67">
      <w:pPr>
        <w:pStyle w:val="FrontcoverH1"/>
        <w:spacing w:before="1300" w:line="240" w:lineRule="auto"/>
        <w:ind w:left="0" w:right="403"/>
        <w:jc w:val="left"/>
        <w:outlineLvl w:val="0"/>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Western Australia</w:t>
      </w:r>
    </w:p>
    <w:p w14:paraId="554CCDAE" w14:textId="66E0C356" w:rsidR="00DF7CEA" w:rsidRPr="003B5C55" w:rsidRDefault="00DF02AB" w:rsidP="00DF7CEA">
      <w:pPr>
        <w:pStyle w:val="FrontcoverH1"/>
        <w:ind w:left="0" w:right="403"/>
        <w:jc w:val="left"/>
        <w:rPr>
          <w:rFonts w:asciiTheme="minorHAnsi" w:hAnsiTheme="minorHAnsi" w:cstheme="minorHAnsi"/>
          <w:b/>
          <w:color w:val="FFFFFF" w:themeColor="background1"/>
          <w:sz w:val="72"/>
          <w:szCs w:val="72"/>
        </w:rPr>
      </w:pPr>
      <w:r w:rsidRPr="003B5C55">
        <w:rPr>
          <w:rFonts w:asciiTheme="minorHAnsi" w:hAnsiTheme="minorHAnsi" w:cstheme="minorHAnsi"/>
          <w:b/>
          <w:color w:val="FFFFFF" w:themeColor="background1"/>
          <w:sz w:val="72"/>
          <w:szCs w:val="72"/>
        </w:rPr>
        <w:t>Design Paper</w:t>
      </w:r>
    </w:p>
    <w:p w14:paraId="409A4E9F" w14:textId="77777777" w:rsidR="001C1D15" w:rsidRDefault="00B16572">
      <w:pPr>
        <w:rPr>
          <w:color w:val="B7DD79"/>
          <w:sz w:val="56"/>
          <w:szCs w:val="56"/>
        </w:rPr>
      </w:pPr>
      <w:r w:rsidRPr="792D236D">
        <w:rPr>
          <w:color w:val="B7DD79"/>
          <w:sz w:val="56"/>
          <w:szCs w:val="56"/>
        </w:rPr>
        <w:t>Capacity Investment Scheme</w:t>
      </w:r>
    </w:p>
    <w:p w14:paraId="3265DEBF" w14:textId="77777777" w:rsidR="001C1D15" w:rsidRDefault="001C1D15">
      <w:pPr>
        <w:rPr>
          <w:rFonts w:cstheme="minorHAnsi"/>
          <w:color w:val="B7DD79"/>
          <w:sz w:val="56"/>
          <w:szCs w:val="56"/>
        </w:rPr>
      </w:pPr>
    </w:p>
    <w:p w14:paraId="56FFF3C1" w14:textId="77777777" w:rsidR="001C1D15" w:rsidRDefault="001C1D15">
      <w:pPr>
        <w:rPr>
          <w:rFonts w:cstheme="minorHAnsi"/>
          <w:color w:val="B7DD79"/>
          <w:sz w:val="56"/>
          <w:szCs w:val="56"/>
        </w:rPr>
      </w:pPr>
    </w:p>
    <w:p w14:paraId="4B906777" w14:textId="5E51B44D" w:rsidR="00A66734" w:rsidRPr="00883254" w:rsidRDefault="4B5D6BE7" w:rsidP="41DEF497">
      <w:pPr>
        <w:rPr>
          <w:rFonts w:eastAsia="SimSun"/>
          <w:color w:val="B7DD79"/>
          <w:kern w:val="0"/>
          <w:sz w:val="56"/>
          <w:szCs w:val="56"/>
          <w14:ligatures w14:val="none"/>
        </w:rPr>
      </w:pPr>
      <w:r w:rsidRPr="41DEF497">
        <w:rPr>
          <w:color w:val="FFFFFF" w:themeColor="accent6"/>
          <w:sz w:val="48"/>
          <w:szCs w:val="48"/>
        </w:rPr>
        <w:t>April</w:t>
      </w:r>
      <w:r w:rsidR="001C1D15" w:rsidRPr="41DEF497">
        <w:rPr>
          <w:color w:val="FFFFFF" w:themeColor="accent6"/>
          <w:sz w:val="48"/>
          <w:szCs w:val="48"/>
        </w:rPr>
        <w:t xml:space="preserve"> 2024</w:t>
      </w:r>
      <w:r w:rsidR="001C1D15" w:rsidRPr="41DEF497">
        <w:rPr>
          <w:color w:val="B7DD79"/>
          <w:sz w:val="56"/>
          <w:szCs w:val="56"/>
        </w:rPr>
        <w:br w:type="page"/>
      </w:r>
    </w:p>
    <w:p w14:paraId="4B2EC0AA" w14:textId="77777777" w:rsidR="00132AB5" w:rsidRDefault="00132AB5" w:rsidP="00132AB5">
      <w:pPr>
        <w:pStyle w:val="Normalsmall"/>
      </w:pPr>
      <w:bookmarkStart w:id="1" w:name="_Toc107332553"/>
      <w:bookmarkStart w:id="2" w:name="_Toc19289802"/>
      <w:bookmarkStart w:id="3" w:name="_Toc19023739"/>
      <w:bookmarkStart w:id="4" w:name="_Toc118195038"/>
      <w:bookmarkStart w:id="5" w:name="_Toc118140974"/>
      <w:bookmarkStart w:id="6" w:name="_Toc118140208"/>
      <w:bookmarkStart w:id="7" w:name="_Toc118218122"/>
      <w:bookmarkStart w:id="8" w:name="_Toc118213440"/>
      <w:bookmarkStart w:id="9" w:name="_Toc118216312"/>
      <w:bookmarkStart w:id="10" w:name="_Toc118215783"/>
      <w:bookmarkStart w:id="11" w:name="_Toc117606275"/>
      <w:bookmarkStart w:id="12" w:name="_Toc117089149"/>
      <w:bookmarkStart w:id="13" w:name="_Toc116994838"/>
      <w:bookmarkStart w:id="14" w:name="_Toc116992526"/>
      <w:bookmarkStart w:id="15" w:name="_Toc116662784"/>
      <w:bookmarkStart w:id="16" w:name="_Toc116660778"/>
      <w:bookmarkStart w:id="17" w:name="_Toc116660117"/>
      <w:bookmarkStart w:id="18" w:name="_Toc116298241"/>
      <w:bookmarkStart w:id="19" w:name="_Toc116297028"/>
      <w:bookmarkStart w:id="20" w:name="_Toc116296995"/>
      <w:bookmarkStart w:id="21" w:name="_Toc116053349"/>
      <w:bookmarkStart w:id="22" w:name="_Toc116049871"/>
      <w:bookmarkStart w:id="23" w:name="_Toc115965844"/>
      <w:bookmarkStart w:id="24" w:name="_Toc121317903"/>
      <w:bookmarkStart w:id="25" w:name="_Toc139196494"/>
      <w:bookmarkStart w:id="26" w:name="_Ref141110591"/>
      <w:bookmarkStart w:id="27" w:name="_Toc148455977"/>
      <w:bookmarkStart w:id="28" w:name="_Toc161385845"/>
      <w:bookmarkStart w:id="29" w:name="_Toc161388235"/>
      <w:bookmarkStart w:id="30" w:name="_Toc161388535"/>
      <w:r>
        <w:lastRenderedPageBreak/>
        <w:t>© Commonwealth of Australia 2024</w:t>
      </w:r>
    </w:p>
    <w:p w14:paraId="5BA227AD" w14:textId="77777777" w:rsidR="00132AB5" w:rsidRDefault="00132AB5" w:rsidP="00132AB5">
      <w:pPr>
        <w:pStyle w:val="Normalsmall"/>
        <w:rPr>
          <w:rStyle w:val="Strong"/>
        </w:rPr>
      </w:pPr>
      <w:r>
        <w:rPr>
          <w:rStyle w:val="Strong"/>
        </w:rPr>
        <w:t>Ownership of intellectual property rights</w:t>
      </w:r>
    </w:p>
    <w:p w14:paraId="76D90397" w14:textId="77777777" w:rsidR="00132AB5" w:rsidRDefault="00132AB5" w:rsidP="00132AB5">
      <w:pPr>
        <w:pStyle w:val="Normalsmall"/>
      </w:pPr>
      <w:r>
        <w:t>Unless otherwise noted, copyright (and any other intellectual property rights) in this publication is owned by the Commonwealth of Australia (referred to as the Commonwealth).</w:t>
      </w:r>
    </w:p>
    <w:p w14:paraId="7E6BBFB2" w14:textId="77777777" w:rsidR="00132AB5" w:rsidRDefault="00132AB5" w:rsidP="00132AB5">
      <w:pPr>
        <w:pStyle w:val="Normalsmall"/>
        <w:rPr>
          <w:rStyle w:val="Strong"/>
        </w:rPr>
      </w:pPr>
      <w:r>
        <w:rPr>
          <w:rStyle w:val="Strong"/>
        </w:rPr>
        <w:t>Creative Commons licence</w:t>
      </w:r>
    </w:p>
    <w:p w14:paraId="06A61C02" w14:textId="77777777" w:rsidR="00132AB5" w:rsidRDefault="00132AB5" w:rsidP="00132AB5">
      <w:pPr>
        <w:pStyle w:val="Normalsmall"/>
      </w:pPr>
      <w:r>
        <w:t xml:space="preserve">All material in this publication is licensed under a </w:t>
      </w:r>
      <w:hyperlink r:id="rId12">
        <w:r w:rsidRPr="49F8FCC5">
          <w:rPr>
            <w:rStyle w:val="Hyperlink"/>
          </w:rPr>
          <w:t>Creative Commons Attribution 4.0 International Licence</w:t>
        </w:r>
      </w:hyperlink>
      <w:r>
        <w:t xml:space="preserve"> except content supplied by third parties, </w:t>
      </w:r>
      <w:bookmarkStart w:id="31" w:name="_Int_z7wKMSWk"/>
      <w:r>
        <w:t>logos</w:t>
      </w:r>
      <w:bookmarkEnd w:id="31"/>
      <w:r>
        <w:t xml:space="preserve"> and the Commonwealth Coat of Arms.</w:t>
      </w:r>
    </w:p>
    <w:p w14:paraId="2D8D3472" w14:textId="77777777" w:rsidR="00132AB5" w:rsidRPr="00364A4A" w:rsidRDefault="00132AB5" w:rsidP="00132AB5">
      <w:pPr>
        <w:pStyle w:val="Normalsmall"/>
      </w:pPr>
      <w:r>
        <w:t xml:space="preserve">Inquiries about the licence and any use of this document should be </w:t>
      </w:r>
      <w:r w:rsidRPr="00364A4A">
        <w:t xml:space="preserve">emailed to </w:t>
      </w:r>
      <w:hyperlink r:id="rId13" w:history="1">
        <w:r>
          <w:rPr>
            <w:rStyle w:val="Hyperlink"/>
          </w:rPr>
          <w:t>copyright@dcceew.gov.au</w:t>
        </w:r>
      </w:hyperlink>
      <w:r w:rsidRPr="00364A4A">
        <w:t>.</w:t>
      </w:r>
    </w:p>
    <w:p w14:paraId="1D21CA57" w14:textId="77777777" w:rsidR="00132AB5" w:rsidRPr="00364A4A" w:rsidRDefault="00132AB5" w:rsidP="00132AB5">
      <w:pPr>
        <w:pStyle w:val="Normalsmall"/>
      </w:pPr>
      <w:r w:rsidRPr="00364A4A">
        <w:rPr>
          <w:noProof/>
          <w:lang w:eastAsia="en-AU"/>
        </w:rPr>
        <w:drawing>
          <wp:inline distT="0" distB="0" distL="0" distR="0" wp14:anchorId="0EC0C917" wp14:editId="14EF3446">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5C25AD" w14:textId="77777777" w:rsidR="00132AB5" w:rsidRPr="00364A4A" w:rsidRDefault="00132AB5" w:rsidP="00132AB5">
      <w:pPr>
        <w:pStyle w:val="Normalsmall"/>
        <w:rPr>
          <w:rStyle w:val="Strong"/>
        </w:rPr>
      </w:pPr>
      <w:r w:rsidRPr="00364A4A">
        <w:rPr>
          <w:rStyle w:val="Strong"/>
        </w:rPr>
        <w:t>Cataloguing data</w:t>
      </w:r>
    </w:p>
    <w:p w14:paraId="4E1E2EEB" w14:textId="71009E19" w:rsidR="00132AB5" w:rsidRPr="009245DC" w:rsidRDefault="00132AB5" w:rsidP="00132AB5">
      <w:pPr>
        <w:pStyle w:val="Normalsmall"/>
      </w:pPr>
      <w:r>
        <w:t>This publication (and any material sourced from it) should be attributed as: DCCEEW 2024,</w:t>
      </w:r>
      <w:r w:rsidR="001C27E2">
        <w:t xml:space="preserve"> </w:t>
      </w:r>
      <w:r w:rsidR="00BF5D82" w:rsidRPr="41DEF497">
        <w:rPr>
          <w:i/>
          <w:iCs/>
        </w:rPr>
        <w:t xml:space="preserve">Western Australia </w:t>
      </w:r>
      <w:r w:rsidRPr="41DEF497">
        <w:rPr>
          <w:i/>
          <w:iCs/>
        </w:rPr>
        <w:t>Design Paper: Capacity Investment Scheme</w:t>
      </w:r>
      <w:r>
        <w:t>, Department of Climate Change, Energy, the Environment and Water, Canberra,</w:t>
      </w:r>
      <w:r w:rsidR="008D5F15">
        <w:t xml:space="preserve"> </w:t>
      </w:r>
      <w:r w:rsidR="57B5D202">
        <w:t>April</w:t>
      </w:r>
      <w:r>
        <w:t>. CC BY 4.0.</w:t>
      </w:r>
    </w:p>
    <w:p w14:paraId="76FADBBD" w14:textId="77777777" w:rsidR="00132AB5" w:rsidRDefault="00132AB5" w:rsidP="00132AB5">
      <w:pPr>
        <w:pStyle w:val="Normalsmall"/>
      </w:pPr>
      <w:r w:rsidRPr="009245DC">
        <w:t xml:space="preserve">This publication is available at </w:t>
      </w:r>
      <w:hyperlink r:id="rId15" w:history="1">
        <w:r w:rsidRPr="001852DC">
          <w:rPr>
            <w:rStyle w:val="Hyperlink"/>
          </w:rPr>
          <w:t>dcceew.gov.au/publications</w:t>
        </w:r>
      </w:hyperlink>
      <w:r w:rsidRPr="009245DC">
        <w:t>.</w:t>
      </w:r>
    </w:p>
    <w:p w14:paraId="10CCD0DB" w14:textId="77777777" w:rsidR="00132AB5" w:rsidRDefault="00132AB5" w:rsidP="00132AB5">
      <w:pPr>
        <w:pStyle w:val="Normalsmall"/>
        <w:spacing w:after="0"/>
      </w:pPr>
      <w:r w:rsidRPr="00D86640">
        <w:t>Department of Climate Change, Energy, the Environment and Water</w:t>
      </w:r>
    </w:p>
    <w:p w14:paraId="1C752A51" w14:textId="77777777" w:rsidR="00132AB5" w:rsidRPr="00364A4A" w:rsidRDefault="00132AB5" w:rsidP="00132AB5">
      <w:pPr>
        <w:pStyle w:val="Normalsmall"/>
        <w:spacing w:after="0"/>
      </w:pPr>
      <w:r w:rsidRPr="00364A4A">
        <w:t xml:space="preserve">GPO Box </w:t>
      </w:r>
      <w:r>
        <w:t>3090</w:t>
      </w:r>
      <w:r w:rsidRPr="00364A4A">
        <w:t xml:space="preserve"> Canberra ACT 2601</w:t>
      </w:r>
    </w:p>
    <w:p w14:paraId="55E52736" w14:textId="77777777" w:rsidR="00132AB5" w:rsidRPr="00364A4A" w:rsidRDefault="00132AB5" w:rsidP="00132AB5">
      <w:pPr>
        <w:pStyle w:val="Normalsmall"/>
        <w:spacing w:after="0"/>
      </w:pPr>
      <w:r w:rsidRPr="00364A4A">
        <w:t xml:space="preserve">Telephone </w:t>
      </w:r>
      <w:r w:rsidRPr="00D464F4">
        <w:t>1800 920 528</w:t>
      </w:r>
    </w:p>
    <w:p w14:paraId="531E2EE3" w14:textId="77777777" w:rsidR="00132AB5" w:rsidRPr="00364A4A" w:rsidRDefault="00132AB5" w:rsidP="00132AB5">
      <w:pPr>
        <w:pStyle w:val="Normalsmall"/>
      </w:pPr>
      <w:bookmarkStart w:id="32" w:name="_Hlk108621036"/>
      <w:r w:rsidRPr="00364A4A">
        <w:t xml:space="preserve">Web </w:t>
      </w:r>
      <w:hyperlink r:id="rId16" w:history="1">
        <w:r>
          <w:rPr>
            <w:rStyle w:val="Hyperlink"/>
          </w:rPr>
          <w:t>dcceew.gov.au</w:t>
        </w:r>
      </w:hyperlink>
    </w:p>
    <w:bookmarkEnd w:id="32"/>
    <w:p w14:paraId="47F9A65D" w14:textId="77777777" w:rsidR="00132AB5" w:rsidRDefault="00132AB5" w:rsidP="00132AB5">
      <w:pPr>
        <w:pStyle w:val="Normalsmall"/>
      </w:pPr>
      <w:r w:rsidRPr="00364A4A">
        <w:rPr>
          <w:rStyle w:val="Strong"/>
        </w:rPr>
        <w:t>Disclaimer</w:t>
      </w:r>
    </w:p>
    <w:p w14:paraId="4F7006D7" w14:textId="033CFA52" w:rsidR="00132AB5" w:rsidRDefault="00132AB5" w:rsidP="00132AB5">
      <w:pPr>
        <w:pStyle w:val="Normalsmall"/>
      </w:pPr>
      <w:r>
        <w:t>The Commonwealth of Australia, as represented by the Department of Climate Change, Energy, the Environment and Water, has produced this publication</w:t>
      </w:r>
      <w:r w:rsidR="008028FC">
        <w:t xml:space="preserve"> </w:t>
      </w:r>
      <w:r>
        <w:t xml:space="preserve">to provide high-level and initial guidance on the proposed </w:t>
      </w:r>
      <w:r w:rsidR="00B601BA">
        <w:t xml:space="preserve">rollout </w:t>
      </w:r>
      <w:r>
        <w:t>of the Capacity Investment Scheme (CIS)</w:t>
      </w:r>
      <w:r w:rsidR="00F967F5">
        <w:t xml:space="preserve"> in Western Australia</w:t>
      </w:r>
      <w:r>
        <w:t>. The rollout of</w:t>
      </w:r>
      <w:r w:rsidR="009072BE">
        <w:t xml:space="preserve"> the</w:t>
      </w:r>
      <w:r>
        <w:t xml:space="preserve"> CIS</w:t>
      </w:r>
      <w:r w:rsidR="008C1C3D">
        <w:t xml:space="preserve"> </w:t>
      </w:r>
      <w:r w:rsidR="00E12F57">
        <w:t xml:space="preserve">in Western Australia </w:t>
      </w:r>
      <w:r>
        <w:t xml:space="preserve">is presently under development and the information contained in </w:t>
      </w:r>
      <w:r w:rsidR="000D653D">
        <w:t xml:space="preserve">this </w:t>
      </w:r>
      <w:r>
        <w:t>publication is subject to change. This publication does not indicate commitment by the Australian Government to a particular course of action in relation to the CIS</w:t>
      </w:r>
      <w:r w:rsidR="009072BE">
        <w:t xml:space="preserve"> in Western Australia</w:t>
      </w:r>
      <w:r>
        <w:t xml:space="preserve"> or otherwise.</w:t>
      </w:r>
    </w:p>
    <w:p w14:paraId="17C343C5" w14:textId="555BBC3B" w:rsidR="00132AB5" w:rsidRDefault="00132AB5" w:rsidP="00132AB5">
      <w:pPr>
        <w:pStyle w:val="Normalsmall"/>
      </w:pPr>
      <w:r>
        <w:t>Any transaction implemented under the rollout of the CIS</w:t>
      </w:r>
      <w:r w:rsidR="00523998">
        <w:t xml:space="preserve"> in Western Australia</w:t>
      </w:r>
      <w:r>
        <w:t xml:space="preserve"> will have its own terms set out in relevant disclosure and process documents. The reader should make their own inquiries of all relevant information and take necessary legal and other professional advice, before taking any action. </w:t>
      </w:r>
    </w:p>
    <w:p w14:paraId="390B91FE" w14:textId="1B77B4CA" w:rsidR="00132AB5" w:rsidRDefault="00132AB5" w:rsidP="00132AB5">
      <w:pPr>
        <w:pStyle w:val="Normalsmall"/>
      </w:pPr>
      <w:r>
        <w:t>The Commonwealth has exercised due care and skill in preparing and compiling the information and data in this publication</w:t>
      </w:r>
      <w:r w:rsidR="00DD78AF">
        <w:t>, however</w:t>
      </w:r>
      <w:r>
        <w:t xml:space="preserve">, the Commonwealth, its employees and advisers </w:t>
      </w:r>
      <w:bookmarkStart w:id="33" w:name="_Int_8lewh5IY"/>
      <w:r>
        <w:t>disclaim</w:t>
      </w:r>
      <w:bookmarkEnd w:id="33"/>
      <w:r>
        <w:t xml:space="preserve"> all liability, including liability for negligence and for any loss, damage, injury, </w:t>
      </w:r>
      <w:bookmarkStart w:id="34" w:name="_Int_iacZA9Fb"/>
      <w:r>
        <w:t>expense</w:t>
      </w:r>
      <w:bookmarkEnd w:id="34"/>
      <w:r>
        <w:t xml:space="preserve"> or cost incurred by any person </w:t>
      </w:r>
      <w:bookmarkStart w:id="35" w:name="_Int_r2hjXYVG"/>
      <w:r>
        <w:t>as a result of</w:t>
      </w:r>
      <w:bookmarkEnd w:id="35"/>
      <w:r>
        <w:t xml:space="preserve"> accessing, </w:t>
      </w:r>
      <w:bookmarkStart w:id="36" w:name="_Int_0RzDb2YL"/>
      <w:r>
        <w:t>using</w:t>
      </w:r>
      <w:bookmarkEnd w:id="36"/>
      <w:r>
        <w:t xml:space="preserve"> or relying on any of the information or data in this publication to the maximum extent permitted by law. No representation expressed or implied is made as to the currency, accuracy, </w:t>
      </w:r>
      <w:bookmarkStart w:id="37" w:name="_Int_L05Xobgc"/>
      <w:proofErr w:type="gramStart"/>
      <w:r>
        <w:t>reliability</w:t>
      </w:r>
      <w:bookmarkEnd w:id="37"/>
      <w:proofErr w:type="gramEnd"/>
      <w:r>
        <w:t xml:space="preserve"> or completeness of the information contained in this publication.</w:t>
      </w:r>
    </w:p>
    <w:p w14:paraId="0BEC844F" w14:textId="77777777" w:rsidR="00132AB5" w:rsidRDefault="00132AB5" w:rsidP="00132AB5">
      <w:pPr>
        <w:pStyle w:val="Normalsmall"/>
      </w:pPr>
      <w:r>
        <w:rPr>
          <w:rStyle w:val="Strong"/>
        </w:rPr>
        <w:t>Acknowledgement of Country</w:t>
      </w:r>
    </w:p>
    <w:p w14:paraId="0B9C85AC" w14:textId="77777777" w:rsidR="00132AB5" w:rsidRDefault="00132AB5" w:rsidP="00132AB5">
      <w:pPr>
        <w:pStyle w:val="Normalsmall"/>
      </w:pPr>
      <w:r w:rsidRPr="00B8745D">
        <w:t xml:space="preserve">We acknowledge the Traditional Owners of Country throughout Australia and recognise their continuing connection to land, </w:t>
      </w:r>
      <w:bookmarkStart w:id="38" w:name="_Int_hjkG2ioG"/>
      <w:proofErr w:type="gramStart"/>
      <w:r w:rsidRPr="00B8745D">
        <w:t>waters</w:t>
      </w:r>
      <w:bookmarkEnd w:id="38"/>
      <w:proofErr w:type="gramEnd"/>
      <w:r w:rsidRPr="00B8745D">
        <w:t xml:space="preserve"> and culture. We pay our respects to their Elders past and present</w:t>
      </w:r>
      <w:r w:rsidRPr="00FC0B39">
        <w:t>.</w:t>
      </w:r>
    </w:p>
    <w:p w14:paraId="11FDBD45" w14:textId="77777777" w:rsidR="00BA7055" w:rsidRDefault="00BA7055" w:rsidP="00132AB5">
      <w:pPr>
        <w:pStyle w:val="Title"/>
      </w:pPr>
    </w:p>
    <w:p w14:paraId="6A5ACA7B" w14:textId="2A353E3F" w:rsidR="00746CC0" w:rsidRPr="00D56CB5" w:rsidRDefault="00BA7055">
      <w:pPr>
        <w:rPr>
          <w:rFonts w:eastAsiaTheme="majorEastAsia" w:cstheme="majorBidi"/>
          <w:spacing w:val="-10"/>
          <w:kern w:val="28"/>
          <w:sz w:val="36"/>
          <w:szCs w:val="56"/>
        </w:rPr>
      </w:pPr>
      <w:r>
        <w:br w:type="page"/>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sdt>
      <w:sdtPr>
        <w:rPr>
          <w:rFonts w:eastAsiaTheme="minorEastAsia" w:cstheme="minorBidi"/>
          <w:b/>
          <w:bCs/>
          <w:color w:val="auto"/>
          <w:kern w:val="2"/>
          <w:sz w:val="22"/>
          <w:szCs w:val="22"/>
          <w:lang w:val="en-AU"/>
          <w14:ligatures w14:val="standardContextual"/>
        </w:rPr>
        <w:id w:val="-1964267171"/>
        <w:docPartObj>
          <w:docPartGallery w:val="Table of Contents"/>
          <w:docPartUnique/>
        </w:docPartObj>
      </w:sdtPr>
      <w:sdtEndPr>
        <w:rPr>
          <w:b w:val="0"/>
          <w:bCs w:val="0"/>
        </w:rPr>
      </w:sdtEndPr>
      <w:sdtContent>
        <w:p w14:paraId="1A15A3D1" w14:textId="22E4FACA" w:rsidR="00C46A97" w:rsidRPr="003F5FEE" w:rsidRDefault="00C46A97" w:rsidP="00B06527">
          <w:pPr>
            <w:pStyle w:val="TOCHeading"/>
            <w:numPr>
              <w:ilvl w:val="0"/>
              <w:numId w:val="0"/>
            </w:numPr>
            <w:ind w:left="720" w:hanging="720"/>
            <w:rPr>
              <w:sz w:val="36"/>
              <w:szCs w:val="36"/>
            </w:rPr>
          </w:pPr>
          <w:r w:rsidRPr="003F5FEE">
            <w:rPr>
              <w:sz w:val="36"/>
              <w:szCs w:val="36"/>
            </w:rPr>
            <w:t>Contents</w:t>
          </w:r>
        </w:p>
        <w:p w14:paraId="3246572A" w14:textId="0D4063FE" w:rsidR="003A5986" w:rsidRDefault="00C46A97">
          <w:pPr>
            <w:pStyle w:val="TOC1"/>
            <w:rPr>
              <w:rFonts w:eastAsiaTheme="minorEastAsia"/>
              <w:b w:val="0"/>
              <w:bCs w:val="0"/>
              <w:lang w:val="en-GB" w:eastAsia="ja-JP"/>
            </w:rPr>
          </w:pPr>
          <w:r>
            <w:fldChar w:fldCharType="begin"/>
          </w:r>
          <w:r>
            <w:instrText xml:space="preserve"> TOC \</w:instrText>
          </w:r>
          <w:r w:rsidR="00094DB6">
            <w:instrText>h \z \t</w:instrText>
          </w:r>
          <w:r w:rsidR="00644EB5">
            <w:instrText xml:space="preserve"> "</w:instrText>
          </w:r>
          <w:r w:rsidR="00547CF8">
            <w:instrText>Heading L1 (BLUE)</w:instrText>
          </w:r>
          <w:r w:rsidR="007536B6">
            <w:instrText>,</w:instrText>
          </w:r>
          <w:r w:rsidR="006F4998">
            <w:instrText>1,Heading 2,2</w:instrText>
          </w:r>
          <w:r w:rsidR="00A152A0">
            <w:instrText>"</w:instrText>
          </w:r>
          <w:r>
            <w:instrText xml:space="preserve"> </w:instrText>
          </w:r>
          <w:r>
            <w:fldChar w:fldCharType="separate"/>
          </w:r>
          <w:hyperlink w:anchor="_Toc163162703" w:history="1">
            <w:r w:rsidR="003A5986" w:rsidRPr="0075665B">
              <w:rPr>
                <w:rStyle w:val="Hyperlink"/>
              </w:rPr>
              <w:t>1</w:t>
            </w:r>
            <w:r w:rsidR="003A5986">
              <w:rPr>
                <w:rFonts w:eastAsiaTheme="minorEastAsia"/>
                <w:b w:val="0"/>
                <w:bCs w:val="0"/>
                <w:lang w:val="en-GB" w:eastAsia="ja-JP"/>
              </w:rPr>
              <w:tab/>
            </w:r>
            <w:r w:rsidR="003A5986" w:rsidRPr="0075665B">
              <w:rPr>
                <w:rStyle w:val="Hyperlink"/>
              </w:rPr>
              <w:t>Introduction</w:t>
            </w:r>
            <w:r w:rsidR="003A5986">
              <w:rPr>
                <w:webHidden/>
              </w:rPr>
              <w:tab/>
            </w:r>
            <w:r w:rsidR="003A5986">
              <w:rPr>
                <w:webHidden/>
              </w:rPr>
              <w:fldChar w:fldCharType="begin"/>
            </w:r>
            <w:r w:rsidR="003A5986">
              <w:rPr>
                <w:webHidden/>
              </w:rPr>
              <w:instrText xml:space="preserve"> PAGEREF _Toc163162703 \h </w:instrText>
            </w:r>
            <w:r w:rsidR="003A5986">
              <w:rPr>
                <w:webHidden/>
              </w:rPr>
            </w:r>
            <w:r w:rsidR="003A5986">
              <w:rPr>
                <w:webHidden/>
              </w:rPr>
              <w:fldChar w:fldCharType="separate"/>
            </w:r>
            <w:r w:rsidR="003A5986">
              <w:rPr>
                <w:webHidden/>
              </w:rPr>
              <w:t>4</w:t>
            </w:r>
            <w:r w:rsidR="003A5986">
              <w:rPr>
                <w:webHidden/>
              </w:rPr>
              <w:fldChar w:fldCharType="end"/>
            </w:r>
          </w:hyperlink>
        </w:p>
        <w:p w14:paraId="4F8AA559" w14:textId="727DBBA0" w:rsidR="003A5986" w:rsidRDefault="00000000">
          <w:pPr>
            <w:pStyle w:val="TOC2"/>
            <w:rPr>
              <w:rFonts w:eastAsiaTheme="minorEastAsia"/>
              <w:noProof/>
              <w:lang w:val="en-GB" w:eastAsia="ja-JP"/>
            </w:rPr>
          </w:pPr>
          <w:hyperlink w:anchor="_Toc163162704" w:history="1">
            <w:r w:rsidR="003A5986" w:rsidRPr="0075665B">
              <w:rPr>
                <w:rStyle w:val="Hyperlink"/>
                <w:noProof/>
              </w:rPr>
              <w:t>1.1</w:t>
            </w:r>
            <w:r w:rsidR="003A5986">
              <w:rPr>
                <w:rFonts w:eastAsiaTheme="minorEastAsia"/>
                <w:noProof/>
                <w:lang w:val="en-GB" w:eastAsia="ja-JP"/>
              </w:rPr>
              <w:tab/>
            </w:r>
            <w:r w:rsidR="003A5986" w:rsidRPr="0075665B">
              <w:rPr>
                <w:rStyle w:val="Hyperlink"/>
                <w:noProof/>
              </w:rPr>
              <w:t>Background</w:t>
            </w:r>
            <w:r w:rsidR="003A5986">
              <w:rPr>
                <w:noProof/>
                <w:webHidden/>
              </w:rPr>
              <w:tab/>
            </w:r>
            <w:r w:rsidR="003A5986">
              <w:rPr>
                <w:noProof/>
                <w:webHidden/>
              </w:rPr>
              <w:fldChar w:fldCharType="begin"/>
            </w:r>
            <w:r w:rsidR="003A5986">
              <w:rPr>
                <w:noProof/>
                <w:webHidden/>
              </w:rPr>
              <w:instrText xml:space="preserve"> PAGEREF _Toc163162704 \h </w:instrText>
            </w:r>
            <w:r w:rsidR="003A5986">
              <w:rPr>
                <w:noProof/>
                <w:webHidden/>
              </w:rPr>
            </w:r>
            <w:r w:rsidR="003A5986">
              <w:rPr>
                <w:noProof/>
                <w:webHidden/>
              </w:rPr>
              <w:fldChar w:fldCharType="separate"/>
            </w:r>
            <w:r w:rsidR="003A5986">
              <w:rPr>
                <w:noProof/>
                <w:webHidden/>
              </w:rPr>
              <w:t>4</w:t>
            </w:r>
            <w:r w:rsidR="003A5986">
              <w:rPr>
                <w:noProof/>
                <w:webHidden/>
              </w:rPr>
              <w:fldChar w:fldCharType="end"/>
            </w:r>
          </w:hyperlink>
        </w:p>
        <w:p w14:paraId="14F61EED" w14:textId="405A9434" w:rsidR="003A5986" w:rsidRDefault="00000000">
          <w:pPr>
            <w:pStyle w:val="TOC2"/>
            <w:rPr>
              <w:rFonts w:eastAsiaTheme="minorEastAsia"/>
              <w:noProof/>
              <w:lang w:val="en-GB" w:eastAsia="ja-JP"/>
            </w:rPr>
          </w:pPr>
          <w:hyperlink w:anchor="_Toc163162705" w:history="1">
            <w:r w:rsidR="003A5986" w:rsidRPr="0075665B">
              <w:rPr>
                <w:rStyle w:val="Hyperlink"/>
                <w:noProof/>
              </w:rPr>
              <w:t>1.2</w:t>
            </w:r>
            <w:r w:rsidR="003A5986">
              <w:rPr>
                <w:rFonts w:eastAsiaTheme="minorEastAsia"/>
                <w:noProof/>
                <w:lang w:val="en-GB" w:eastAsia="ja-JP"/>
              </w:rPr>
              <w:tab/>
            </w:r>
            <w:r w:rsidR="003A5986" w:rsidRPr="0075665B">
              <w:rPr>
                <w:rStyle w:val="Hyperlink"/>
                <w:noProof/>
              </w:rPr>
              <w:t>Purpose of this paper and consultation process</w:t>
            </w:r>
            <w:r w:rsidR="003A5986">
              <w:rPr>
                <w:noProof/>
                <w:webHidden/>
              </w:rPr>
              <w:tab/>
            </w:r>
            <w:r w:rsidR="003A5986">
              <w:rPr>
                <w:noProof/>
                <w:webHidden/>
              </w:rPr>
              <w:fldChar w:fldCharType="begin"/>
            </w:r>
            <w:r w:rsidR="003A5986">
              <w:rPr>
                <w:noProof/>
                <w:webHidden/>
              </w:rPr>
              <w:instrText xml:space="preserve"> PAGEREF _Toc163162705 \h </w:instrText>
            </w:r>
            <w:r w:rsidR="003A5986">
              <w:rPr>
                <w:noProof/>
                <w:webHidden/>
              </w:rPr>
            </w:r>
            <w:r w:rsidR="003A5986">
              <w:rPr>
                <w:noProof/>
                <w:webHidden/>
              </w:rPr>
              <w:fldChar w:fldCharType="separate"/>
            </w:r>
            <w:r w:rsidR="003A5986">
              <w:rPr>
                <w:noProof/>
                <w:webHidden/>
              </w:rPr>
              <w:t>5</w:t>
            </w:r>
            <w:r w:rsidR="003A5986">
              <w:rPr>
                <w:noProof/>
                <w:webHidden/>
              </w:rPr>
              <w:fldChar w:fldCharType="end"/>
            </w:r>
          </w:hyperlink>
        </w:p>
        <w:p w14:paraId="410D2A89" w14:textId="5886EB9C" w:rsidR="003A5986" w:rsidRDefault="00000000">
          <w:pPr>
            <w:pStyle w:val="TOC1"/>
            <w:rPr>
              <w:rFonts w:eastAsiaTheme="minorEastAsia"/>
              <w:b w:val="0"/>
              <w:bCs w:val="0"/>
              <w:lang w:val="en-GB" w:eastAsia="ja-JP"/>
            </w:rPr>
          </w:pPr>
          <w:hyperlink w:anchor="_Toc163162706" w:history="1">
            <w:r w:rsidR="003A5986" w:rsidRPr="0075665B">
              <w:rPr>
                <w:rStyle w:val="Hyperlink"/>
              </w:rPr>
              <w:t>2</w:t>
            </w:r>
            <w:r w:rsidR="003A5986">
              <w:rPr>
                <w:rFonts w:eastAsiaTheme="minorEastAsia"/>
                <w:b w:val="0"/>
                <w:bCs w:val="0"/>
                <w:lang w:val="en-GB" w:eastAsia="ja-JP"/>
              </w:rPr>
              <w:tab/>
            </w:r>
            <w:r w:rsidR="003A5986" w:rsidRPr="0075665B">
              <w:rPr>
                <w:rStyle w:val="Hyperlink"/>
              </w:rPr>
              <w:t>Context</w:t>
            </w:r>
            <w:r w:rsidR="003A5986">
              <w:rPr>
                <w:webHidden/>
              </w:rPr>
              <w:tab/>
            </w:r>
            <w:r w:rsidR="003A5986">
              <w:rPr>
                <w:webHidden/>
              </w:rPr>
              <w:fldChar w:fldCharType="begin"/>
            </w:r>
            <w:r w:rsidR="003A5986">
              <w:rPr>
                <w:webHidden/>
              </w:rPr>
              <w:instrText xml:space="preserve"> PAGEREF _Toc163162706 \h </w:instrText>
            </w:r>
            <w:r w:rsidR="003A5986">
              <w:rPr>
                <w:webHidden/>
              </w:rPr>
            </w:r>
            <w:r w:rsidR="003A5986">
              <w:rPr>
                <w:webHidden/>
              </w:rPr>
              <w:fldChar w:fldCharType="separate"/>
            </w:r>
            <w:r w:rsidR="003A5986">
              <w:rPr>
                <w:webHidden/>
              </w:rPr>
              <w:t>6</w:t>
            </w:r>
            <w:r w:rsidR="003A5986">
              <w:rPr>
                <w:webHidden/>
              </w:rPr>
              <w:fldChar w:fldCharType="end"/>
            </w:r>
          </w:hyperlink>
        </w:p>
        <w:p w14:paraId="3125ABB4" w14:textId="56C44F37" w:rsidR="003A5986" w:rsidRDefault="00000000">
          <w:pPr>
            <w:pStyle w:val="TOC2"/>
            <w:rPr>
              <w:rFonts w:eastAsiaTheme="minorEastAsia"/>
              <w:noProof/>
              <w:lang w:val="en-GB" w:eastAsia="ja-JP"/>
            </w:rPr>
          </w:pPr>
          <w:hyperlink w:anchor="_Toc163162707" w:history="1">
            <w:r w:rsidR="003A5986" w:rsidRPr="0075665B">
              <w:rPr>
                <w:rStyle w:val="Hyperlink"/>
                <w:noProof/>
              </w:rPr>
              <w:t>2.1</w:t>
            </w:r>
            <w:r w:rsidR="003A5986">
              <w:rPr>
                <w:rFonts w:eastAsiaTheme="minorEastAsia"/>
                <w:noProof/>
                <w:lang w:val="en-GB" w:eastAsia="ja-JP"/>
              </w:rPr>
              <w:tab/>
            </w:r>
            <w:r w:rsidR="003A5986" w:rsidRPr="0075665B">
              <w:rPr>
                <w:rStyle w:val="Hyperlink"/>
                <w:noProof/>
              </w:rPr>
              <w:t>Overview of the CIS</w:t>
            </w:r>
            <w:r w:rsidR="003A5986">
              <w:rPr>
                <w:noProof/>
                <w:webHidden/>
              </w:rPr>
              <w:tab/>
            </w:r>
            <w:r w:rsidR="003A5986">
              <w:rPr>
                <w:noProof/>
                <w:webHidden/>
              </w:rPr>
              <w:fldChar w:fldCharType="begin"/>
            </w:r>
            <w:r w:rsidR="003A5986">
              <w:rPr>
                <w:noProof/>
                <w:webHidden/>
              </w:rPr>
              <w:instrText xml:space="preserve"> PAGEREF _Toc163162707 \h </w:instrText>
            </w:r>
            <w:r w:rsidR="003A5986">
              <w:rPr>
                <w:noProof/>
                <w:webHidden/>
              </w:rPr>
            </w:r>
            <w:r w:rsidR="003A5986">
              <w:rPr>
                <w:noProof/>
                <w:webHidden/>
              </w:rPr>
              <w:fldChar w:fldCharType="separate"/>
            </w:r>
            <w:r w:rsidR="003A5986">
              <w:rPr>
                <w:noProof/>
                <w:webHidden/>
              </w:rPr>
              <w:t>6</w:t>
            </w:r>
            <w:r w:rsidR="003A5986">
              <w:rPr>
                <w:noProof/>
                <w:webHidden/>
              </w:rPr>
              <w:fldChar w:fldCharType="end"/>
            </w:r>
          </w:hyperlink>
        </w:p>
        <w:p w14:paraId="0D38DB61" w14:textId="7D354A20" w:rsidR="003A5986" w:rsidRDefault="00000000">
          <w:pPr>
            <w:pStyle w:val="TOC2"/>
            <w:rPr>
              <w:rFonts w:eastAsiaTheme="minorEastAsia"/>
              <w:noProof/>
              <w:lang w:val="en-GB" w:eastAsia="ja-JP"/>
            </w:rPr>
          </w:pPr>
          <w:hyperlink w:anchor="_Toc163162708" w:history="1">
            <w:r w:rsidR="003A5986" w:rsidRPr="0075665B">
              <w:rPr>
                <w:rStyle w:val="Hyperlink"/>
                <w:noProof/>
              </w:rPr>
              <w:t>2.2</w:t>
            </w:r>
            <w:r w:rsidR="003A5986">
              <w:rPr>
                <w:rFonts w:eastAsiaTheme="minorEastAsia"/>
                <w:noProof/>
                <w:lang w:val="en-GB" w:eastAsia="ja-JP"/>
              </w:rPr>
              <w:tab/>
            </w:r>
            <w:r w:rsidR="003A5986" w:rsidRPr="0075665B">
              <w:rPr>
                <w:rStyle w:val="Hyperlink"/>
                <w:noProof/>
              </w:rPr>
              <w:t>Overview of the WEM</w:t>
            </w:r>
            <w:r w:rsidR="003A5986">
              <w:rPr>
                <w:noProof/>
                <w:webHidden/>
              </w:rPr>
              <w:tab/>
            </w:r>
            <w:r w:rsidR="003A5986">
              <w:rPr>
                <w:noProof/>
                <w:webHidden/>
              </w:rPr>
              <w:fldChar w:fldCharType="begin"/>
            </w:r>
            <w:r w:rsidR="003A5986">
              <w:rPr>
                <w:noProof/>
                <w:webHidden/>
              </w:rPr>
              <w:instrText xml:space="preserve"> PAGEREF _Toc163162708 \h </w:instrText>
            </w:r>
            <w:r w:rsidR="003A5986">
              <w:rPr>
                <w:noProof/>
                <w:webHidden/>
              </w:rPr>
            </w:r>
            <w:r w:rsidR="003A5986">
              <w:rPr>
                <w:noProof/>
                <w:webHidden/>
              </w:rPr>
              <w:fldChar w:fldCharType="separate"/>
            </w:r>
            <w:r w:rsidR="003A5986">
              <w:rPr>
                <w:noProof/>
                <w:webHidden/>
              </w:rPr>
              <w:t>7</w:t>
            </w:r>
            <w:r w:rsidR="003A5986">
              <w:rPr>
                <w:noProof/>
                <w:webHidden/>
              </w:rPr>
              <w:fldChar w:fldCharType="end"/>
            </w:r>
          </w:hyperlink>
        </w:p>
        <w:p w14:paraId="5944DA8C" w14:textId="247E7D2A" w:rsidR="003A5986" w:rsidRDefault="00000000">
          <w:pPr>
            <w:pStyle w:val="TOC1"/>
            <w:rPr>
              <w:rFonts w:eastAsiaTheme="minorEastAsia"/>
              <w:b w:val="0"/>
              <w:bCs w:val="0"/>
              <w:lang w:val="en-GB" w:eastAsia="ja-JP"/>
            </w:rPr>
          </w:pPr>
          <w:hyperlink w:anchor="_Toc163162709" w:history="1">
            <w:r w:rsidR="003A5986" w:rsidRPr="0075665B">
              <w:rPr>
                <w:rStyle w:val="Hyperlink"/>
              </w:rPr>
              <w:t>3</w:t>
            </w:r>
            <w:r w:rsidR="003A5986">
              <w:rPr>
                <w:rFonts w:eastAsiaTheme="minorEastAsia"/>
                <w:b w:val="0"/>
                <w:bCs w:val="0"/>
                <w:lang w:val="en-GB" w:eastAsia="ja-JP"/>
              </w:rPr>
              <w:tab/>
            </w:r>
            <w:r w:rsidR="003A5986" w:rsidRPr="0075665B">
              <w:rPr>
                <w:rStyle w:val="Hyperlink"/>
              </w:rPr>
              <w:t>Core design elements and delivery stages</w:t>
            </w:r>
            <w:r w:rsidR="003A5986">
              <w:rPr>
                <w:webHidden/>
              </w:rPr>
              <w:tab/>
            </w:r>
            <w:r w:rsidR="003A5986">
              <w:rPr>
                <w:webHidden/>
              </w:rPr>
              <w:fldChar w:fldCharType="begin"/>
            </w:r>
            <w:r w:rsidR="003A5986">
              <w:rPr>
                <w:webHidden/>
              </w:rPr>
              <w:instrText xml:space="preserve"> PAGEREF _Toc163162709 \h </w:instrText>
            </w:r>
            <w:r w:rsidR="003A5986">
              <w:rPr>
                <w:webHidden/>
              </w:rPr>
            </w:r>
            <w:r w:rsidR="003A5986">
              <w:rPr>
                <w:webHidden/>
              </w:rPr>
              <w:fldChar w:fldCharType="separate"/>
            </w:r>
            <w:r w:rsidR="003A5986">
              <w:rPr>
                <w:webHidden/>
              </w:rPr>
              <w:t>9</w:t>
            </w:r>
            <w:r w:rsidR="003A5986">
              <w:rPr>
                <w:webHidden/>
              </w:rPr>
              <w:fldChar w:fldCharType="end"/>
            </w:r>
          </w:hyperlink>
        </w:p>
        <w:p w14:paraId="4181238C" w14:textId="70780596" w:rsidR="003A5986" w:rsidRDefault="00000000">
          <w:pPr>
            <w:pStyle w:val="TOC2"/>
            <w:rPr>
              <w:rFonts w:eastAsiaTheme="minorEastAsia"/>
              <w:noProof/>
              <w:lang w:val="en-GB" w:eastAsia="ja-JP"/>
            </w:rPr>
          </w:pPr>
          <w:hyperlink w:anchor="_Toc163162710" w:history="1">
            <w:r w:rsidR="003A5986" w:rsidRPr="0075665B">
              <w:rPr>
                <w:rStyle w:val="Hyperlink"/>
                <w:noProof/>
              </w:rPr>
              <w:t>3.1</w:t>
            </w:r>
            <w:r w:rsidR="003A5986">
              <w:rPr>
                <w:rFonts w:eastAsiaTheme="minorEastAsia"/>
                <w:noProof/>
                <w:lang w:val="en-GB" w:eastAsia="ja-JP"/>
              </w:rPr>
              <w:tab/>
            </w:r>
            <w:r w:rsidR="003A5986" w:rsidRPr="0075665B">
              <w:rPr>
                <w:rStyle w:val="Hyperlink"/>
                <w:noProof/>
              </w:rPr>
              <w:t>Design principles</w:t>
            </w:r>
            <w:r w:rsidR="003A5986">
              <w:rPr>
                <w:noProof/>
                <w:webHidden/>
              </w:rPr>
              <w:tab/>
            </w:r>
            <w:r w:rsidR="003A5986">
              <w:rPr>
                <w:noProof/>
                <w:webHidden/>
              </w:rPr>
              <w:fldChar w:fldCharType="begin"/>
            </w:r>
            <w:r w:rsidR="003A5986">
              <w:rPr>
                <w:noProof/>
                <w:webHidden/>
              </w:rPr>
              <w:instrText xml:space="preserve"> PAGEREF _Toc163162710 \h </w:instrText>
            </w:r>
            <w:r w:rsidR="003A5986">
              <w:rPr>
                <w:noProof/>
                <w:webHidden/>
              </w:rPr>
            </w:r>
            <w:r w:rsidR="003A5986">
              <w:rPr>
                <w:noProof/>
                <w:webHidden/>
              </w:rPr>
              <w:fldChar w:fldCharType="separate"/>
            </w:r>
            <w:r w:rsidR="003A5986">
              <w:rPr>
                <w:noProof/>
                <w:webHidden/>
              </w:rPr>
              <w:t>9</w:t>
            </w:r>
            <w:r w:rsidR="003A5986">
              <w:rPr>
                <w:noProof/>
                <w:webHidden/>
              </w:rPr>
              <w:fldChar w:fldCharType="end"/>
            </w:r>
          </w:hyperlink>
        </w:p>
        <w:p w14:paraId="123D80E9" w14:textId="3390D2CA" w:rsidR="003A5986" w:rsidRDefault="00000000">
          <w:pPr>
            <w:pStyle w:val="TOC2"/>
            <w:rPr>
              <w:rFonts w:eastAsiaTheme="minorEastAsia"/>
              <w:noProof/>
              <w:lang w:val="en-GB" w:eastAsia="ja-JP"/>
            </w:rPr>
          </w:pPr>
          <w:hyperlink w:anchor="_Toc163162711" w:history="1">
            <w:r w:rsidR="003A5986" w:rsidRPr="0075665B">
              <w:rPr>
                <w:rStyle w:val="Hyperlink"/>
                <w:noProof/>
              </w:rPr>
              <w:t>3.2</w:t>
            </w:r>
            <w:r w:rsidR="003A5986">
              <w:rPr>
                <w:rFonts w:eastAsiaTheme="minorEastAsia"/>
                <w:noProof/>
                <w:lang w:val="en-GB" w:eastAsia="ja-JP"/>
              </w:rPr>
              <w:tab/>
            </w:r>
            <w:r w:rsidR="003A5986" w:rsidRPr="0075665B">
              <w:rPr>
                <w:rStyle w:val="Hyperlink"/>
                <w:noProof/>
              </w:rPr>
              <w:t>Ensuring complementarity between the CIS and WEM</w:t>
            </w:r>
            <w:r w:rsidR="003A5986">
              <w:rPr>
                <w:noProof/>
                <w:webHidden/>
              </w:rPr>
              <w:tab/>
            </w:r>
            <w:r w:rsidR="003A5986">
              <w:rPr>
                <w:noProof/>
                <w:webHidden/>
              </w:rPr>
              <w:fldChar w:fldCharType="begin"/>
            </w:r>
            <w:r w:rsidR="003A5986">
              <w:rPr>
                <w:noProof/>
                <w:webHidden/>
              </w:rPr>
              <w:instrText xml:space="preserve"> PAGEREF _Toc163162711 \h </w:instrText>
            </w:r>
            <w:r w:rsidR="003A5986">
              <w:rPr>
                <w:noProof/>
                <w:webHidden/>
              </w:rPr>
            </w:r>
            <w:r w:rsidR="003A5986">
              <w:rPr>
                <w:noProof/>
                <w:webHidden/>
              </w:rPr>
              <w:fldChar w:fldCharType="separate"/>
            </w:r>
            <w:r w:rsidR="003A5986">
              <w:rPr>
                <w:noProof/>
                <w:webHidden/>
              </w:rPr>
              <w:t>11</w:t>
            </w:r>
            <w:r w:rsidR="003A5986">
              <w:rPr>
                <w:noProof/>
                <w:webHidden/>
              </w:rPr>
              <w:fldChar w:fldCharType="end"/>
            </w:r>
          </w:hyperlink>
        </w:p>
        <w:p w14:paraId="5C873652" w14:textId="680295B9" w:rsidR="003A5986" w:rsidRDefault="00000000">
          <w:pPr>
            <w:pStyle w:val="TOC2"/>
            <w:rPr>
              <w:rFonts w:eastAsiaTheme="minorEastAsia"/>
              <w:noProof/>
              <w:lang w:val="en-GB" w:eastAsia="ja-JP"/>
            </w:rPr>
          </w:pPr>
          <w:hyperlink w:anchor="_Toc163162712" w:history="1">
            <w:r w:rsidR="003A5986" w:rsidRPr="0075665B">
              <w:rPr>
                <w:rStyle w:val="Hyperlink"/>
                <w:noProof/>
              </w:rPr>
              <w:t>3.3</w:t>
            </w:r>
            <w:r w:rsidR="003A5986">
              <w:rPr>
                <w:rFonts w:eastAsiaTheme="minorEastAsia"/>
                <w:noProof/>
                <w:lang w:val="en-GB" w:eastAsia="ja-JP"/>
              </w:rPr>
              <w:tab/>
            </w:r>
            <w:r w:rsidR="003A5986" w:rsidRPr="0075665B">
              <w:rPr>
                <w:rStyle w:val="Hyperlink"/>
                <w:noProof/>
              </w:rPr>
              <w:t>CIS tender process and design</w:t>
            </w:r>
            <w:r w:rsidR="003A5986">
              <w:rPr>
                <w:noProof/>
                <w:webHidden/>
              </w:rPr>
              <w:tab/>
            </w:r>
            <w:r w:rsidR="003A5986">
              <w:rPr>
                <w:noProof/>
                <w:webHidden/>
              </w:rPr>
              <w:fldChar w:fldCharType="begin"/>
            </w:r>
            <w:r w:rsidR="003A5986">
              <w:rPr>
                <w:noProof/>
                <w:webHidden/>
              </w:rPr>
              <w:instrText xml:space="preserve"> PAGEREF _Toc163162712 \h </w:instrText>
            </w:r>
            <w:r w:rsidR="003A5986">
              <w:rPr>
                <w:noProof/>
                <w:webHidden/>
              </w:rPr>
            </w:r>
            <w:r w:rsidR="003A5986">
              <w:rPr>
                <w:noProof/>
                <w:webHidden/>
              </w:rPr>
              <w:fldChar w:fldCharType="separate"/>
            </w:r>
            <w:r w:rsidR="003A5986">
              <w:rPr>
                <w:noProof/>
                <w:webHidden/>
              </w:rPr>
              <w:t>12</w:t>
            </w:r>
            <w:r w:rsidR="003A5986">
              <w:rPr>
                <w:noProof/>
                <w:webHidden/>
              </w:rPr>
              <w:fldChar w:fldCharType="end"/>
            </w:r>
          </w:hyperlink>
        </w:p>
        <w:p w14:paraId="4A3BD329" w14:textId="6290C19C" w:rsidR="003A5986" w:rsidRDefault="00000000">
          <w:pPr>
            <w:pStyle w:val="TOC2"/>
            <w:rPr>
              <w:rFonts w:eastAsiaTheme="minorEastAsia"/>
              <w:noProof/>
              <w:lang w:val="en-GB" w:eastAsia="ja-JP"/>
            </w:rPr>
          </w:pPr>
          <w:hyperlink w:anchor="_Toc163162713" w:history="1">
            <w:r w:rsidR="003A5986" w:rsidRPr="0075665B">
              <w:rPr>
                <w:rStyle w:val="Hyperlink"/>
                <w:noProof/>
              </w:rPr>
              <w:t>3.4</w:t>
            </w:r>
            <w:r w:rsidR="003A5986">
              <w:rPr>
                <w:rFonts w:eastAsiaTheme="minorEastAsia"/>
                <w:noProof/>
                <w:lang w:val="en-GB" w:eastAsia="ja-JP"/>
              </w:rPr>
              <w:tab/>
            </w:r>
            <w:r w:rsidR="003A5986" w:rsidRPr="0075665B">
              <w:rPr>
                <w:rStyle w:val="Hyperlink"/>
                <w:noProof/>
              </w:rPr>
              <w:t>CIS process timing</w:t>
            </w:r>
            <w:r w:rsidR="003A5986">
              <w:rPr>
                <w:noProof/>
                <w:webHidden/>
              </w:rPr>
              <w:tab/>
            </w:r>
            <w:r w:rsidR="003A5986">
              <w:rPr>
                <w:noProof/>
                <w:webHidden/>
              </w:rPr>
              <w:fldChar w:fldCharType="begin"/>
            </w:r>
            <w:r w:rsidR="003A5986">
              <w:rPr>
                <w:noProof/>
                <w:webHidden/>
              </w:rPr>
              <w:instrText xml:space="preserve"> PAGEREF _Toc163162713 \h </w:instrText>
            </w:r>
            <w:r w:rsidR="003A5986">
              <w:rPr>
                <w:noProof/>
                <w:webHidden/>
              </w:rPr>
            </w:r>
            <w:r w:rsidR="003A5986">
              <w:rPr>
                <w:noProof/>
                <w:webHidden/>
              </w:rPr>
              <w:fldChar w:fldCharType="separate"/>
            </w:r>
            <w:r w:rsidR="003A5986">
              <w:rPr>
                <w:noProof/>
                <w:webHidden/>
              </w:rPr>
              <w:t>13</w:t>
            </w:r>
            <w:r w:rsidR="003A5986">
              <w:rPr>
                <w:noProof/>
                <w:webHidden/>
              </w:rPr>
              <w:fldChar w:fldCharType="end"/>
            </w:r>
          </w:hyperlink>
        </w:p>
        <w:p w14:paraId="7420B0E5" w14:textId="44B7C543" w:rsidR="003A5986" w:rsidRDefault="00000000">
          <w:pPr>
            <w:pStyle w:val="TOC2"/>
            <w:rPr>
              <w:rFonts w:eastAsiaTheme="minorEastAsia"/>
              <w:noProof/>
              <w:lang w:val="en-GB" w:eastAsia="ja-JP"/>
            </w:rPr>
          </w:pPr>
          <w:hyperlink w:anchor="_Toc163162714" w:history="1">
            <w:r w:rsidR="003A5986" w:rsidRPr="0075665B">
              <w:rPr>
                <w:rStyle w:val="Hyperlink"/>
                <w:noProof/>
              </w:rPr>
              <w:t>3.5</w:t>
            </w:r>
            <w:r w:rsidR="003A5986">
              <w:rPr>
                <w:rFonts w:eastAsiaTheme="minorEastAsia"/>
                <w:noProof/>
                <w:lang w:val="en-GB" w:eastAsia="ja-JP"/>
              </w:rPr>
              <w:tab/>
            </w:r>
            <w:r w:rsidR="003A5986" w:rsidRPr="0075665B">
              <w:rPr>
                <w:rStyle w:val="Hyperlink"/>
                <w:noProof/>
              </w:rPr>
              <w:t>Eligibility Assessment</w:t>
            </w:r>
            <w:r w:rsidR="003A5986">
              <w:rPr>
                <w:noProof/>
                <w:webHidden/>
              </w:rPr>
              <w:tab/>
            </w:r>
            <w:r w:rsidR="003A5986">
              <w:rPr>
                <w:noProof/>
                <w:webHidden/>
              </w:rPr>
              <w:fldChar w:fldCharType="begin"/>
            </w:r>
            <w:r w:rsidR="003A5986">
              <w:rPr>
                <w:noProof/>
                <w:webHidden/>
              </w:rPr>
              <w:instrText xml:space="preserve"> PAGEREF _Toc163162714 \h </w:instrText>
            </w:r>
            <w:r w:rsidR="003A5986">
              <w:rPr>
                <w:noProof/>
                <w:webHidden/>
              </w:rPr>
            </w:r>
            <w:r w:rsidR="003A5986">
              <w:rPr>
                <w:noProof/>
                <w:webHidden/>
              </w:rPr>
              <w:fldChar w:fldCharType="separate"/>
            </w:r>
            <w:r w:rsidR="003A5986">
              <w:rPr>
                <w:noProof/>
                <w:webHidden/>
              </w:rPr>
              <w:t>15</w:t>
            </w:r>
            <w:r w:rsidR="003A5986">
              <w:rPr>
                <w:noProof/>
                <w:webHidden/>
              </w:rPr>
              <w:fldChar w:fldCharType="end"/>
            </w:r>
          </w:hyperlink>
        </w:p>
        <w:p w14:paraId="252F3BB3" w14:textId="54A04085" w:rsidR="003A5986" w:rsidRDefault="00000000">
          <w:pPr>
            <w:pStyle w:val="TOC2"/>
            <w:rPr>
              <w:rFonts w:eastAsiaTheme="minorEastAsia"/>
              <w:noProof/>
              <w:lang w:val="en-GB" w:eastAsia="ja-JP"/>
            </w:rPr>
          </w:pPr>
          <w:hyperlink w:anchor="_Toc163162715" w:history="1">
            <w:r w:rsidR="003A5986" w:rsidRPr="0075665B">
              <w:rPr>
                <w:rStyle w:val="Hyperlink"/>
                <w:noProof/>
              </w:rPr>
              <w:t>3.6</w:t>
            </w:r>
            <w:r w:rsidR="003A5986">
              <w:rPr>
                <w:rFonts w:eastAsiaTheme="minorEastAsia"/>
                <w:noProof/>
                <w:lang w:val="en-GB" w:eastAsia="ja-JP"/>
              </w:rPr>
              <w:tab/>
            </w:r>
            <w:r w:rsidR="003A5986" w:rsidRPr="0075665B">
              <w:rPr>
                <w:rStyle w:val="Hyperlink"/>
                <w:noProof/>
              </w:rPr>
              <w:t>CIS tender merit assessment</w:t>
            </w:r>
            <w:r w:rsidR="003A5986">
              <w:rPr>
                <w:noProof/>
                <w:webHidden/>
              </w:rPr>
              <w:tab/>
            </w:r>
            <w:r w:rsidR="003A5986">
              <w:rPr>
                <w:noProof/>
                <w:webHidden/>
              </w:rPr>
              <w:fldChar w:fldCharType="begin"/>
            </w:r>
            <w:r w:rsidR="003A5986">
              <w:rPr>
                <w:noProof/>
                <w:webHidden/>
              </w:rPr>
              <w:instrText xml:space="preserve"> PAGEREF _Toc163162715 \h </w:instrText>
            </w:r>
            <w:r w:rsidR="003A5986">
              <w:rPr>
                <w:noProof/>
                <w:webHidden/>
              </w:rPr>
            </w:r>
            <w:r w:rsidR="003A5986">
              <w:rPr>
                <w:noProof/>
                <w:webHidden/>
              </w:rPr>
              <w:fldChar w:fldCharType="separate"/>
            </w:r>
            <w:r w:rsidR="003A5986">
              <w:rPr>
                <w:noProof/>
                <w:webHidden/>
              </w:rPr>
              <w:t>18</w:t>
            </w:r>
            <w:r w:rsidR="003A5986">
              <w:rPr>
                <w:noProof/>
                <w:webHidden/>
              </w:rPr>
              <w:fldChar w:fldCharType="end"/>
            </w:r>
          </w:hyperlink>
        </w:p>
        <w:p w14:paraId="20121B45" w14:textId="44833FC7" w:rsidR="003A5986" w:rsidRDefault="00000000">
          <w:pPr>
            <w:pStyle w:val="TOC2"/>
            <w:rPr>
              <w:rFonts w:eastAsiaTheme="minorEastAsia"/>
              <w:noProof/>
              <w:lang w:val="en-GB" w:eastAsia="ja-JP"/>
            </w:rPr>
          </w:pPr>
          <w:hyperlink w:anchor="_Toc163162716" w:history="1">
            <w:r w:rsidR="003A5986" w:rsidRPr="0075665B">
              <w:rPr>
                <w:rStyle w:val="Hyperlink"/>
                <w:noProof/>
              </w:rPr>
              <w:t>3.7</w:t>
            </w:r>
            <w:r w:rsidR="003A5986">
              <w:rPr>
                <w:rFonts w:eastAsiaTheme="minorEastAsia"/>
                <w:noProof/>
                <w:lang w:val="en-GB" w:eastAsia="ja-JP"/>
              </w:rPr>
              <w:tab/>
            </w:r>
            <w:r w:rsidR="003A5986" w:rsidRPr="0075665B">
              <w:rPr>
                <w:rStyle w:val="Hyperlink"/>
                <w:noProof/>
              </w:rPr>
              <w:t>Setting the CIS contribution to capacity and reliability in the WEM</w:t>
            </w:r>
            <w:r w:rsidR="003A5986">
              <w:rPr>
                <w:noProof/>
                <w:webHidden/>
              </w:rPr>
              <w:tab/>
            </w:r>
            <w:r w:rsidR="003A5986">
              <w:rPr>
                <w:noProof/>
                <w:webHidden/>
              </w:rPr>
              <w:fldChar w:fldCharType="begin"/>
            </w:r>
            <w:r w:rsidR="003A5986">
              <w:rPr>
                <w:noProof/>
                <w:webHidden/>
              </w:rPr>
              <w:instrText xml:space="preserve"> PAGEREF _Toc163162716 \h </w:instrText>
            </w:r>
            <w:r w:rsidR="003A5986">
              <w:rPr>
                <w:noProof/>
                <w:webHidden/>
              </w:rPr>
            </w:r>
            <w:r w:rsidR="003A5986">
              <w:rPr>
                <w:noProof/>
                <w:webHidden/>
              </w:rPr>
              <w:fldChar w:fldCharType="separate"/>
            </w:r>
            <w:r w:rsidR="003A5986">
              <w:rPr>
                <w:noProof/>
                <w:webHidden/>
              </w:rPr>
              <w:t>21</w:t>
            </w:r>
            <w:r w:rsidR="003A5986">
              <w:rPr>
                <w:noProof/>
                <w:webHidden/>
              </w:rPr>
              <w:fldChar w:fldCharType="end"/>
            </w:r>
          </w:hyperlink>
        </w:p>
        <w:p w14:paraId="71ACE65A" w14:textId="6BC0851A" w:rsidR="003A5986" w:rsidRDefault="00000000">
          <w:pPr>
            <w:pStyle w:val="TOC2"/>
            <w:rPr>
              <w:rFonts w:eastAsiaTheme="minorEastAsia"/>
              <w:noProof/>
              <w:lang w:val="en-GB" w:eastAsia="ja-JP"/>
            </w:rPr>
          </w:pPr>
          <w:hyperlink w:anchor="_Toc163162717" w:history="1">
            <w:r w:rsidR="003A5986" w:rsidRPr="0075665B">
              <w:rPr>
                <w:rStyle w:val="Hyperlink"/>
                <w:noProof/>
              </w:rPr>
              <w:t>3.8</w:t>
            </w:r>
            <w:r w:rsidR="003A5986">
              <w:rPr>
                <w:rFonts w:eastAsiaTheme="minorEastAsia"/>
                <w:noProof/>
                <w:lang w:val="en-GB" w:eastAsia="ja-JP"/>
              </w:rPr>
              <w:tab/>
            </w:r>
            <w:r w:rsidR="003A5986" w:rsidRPr="0075665B">
              <w:rPr>
                <w:rStyle w:val="Hyperlink"/>
                <w:noProof/>
              </w:rPr>
              <w:t>Underwriting instrument design</w:t>
            </w:r>
            <w:r w:rsidR="003A5986">
              <w:rPr>
                <w:noProof/>
                <w:webHidden/>
              </w:rPr>
              <w:tab/>
            </w:r>
            <w:r w:rsidR="003A5986">
              <w:rPr>
                <w:noProof/>
                <w:webHidden/>
              </w:rPr>
              <w:fldChar w:fldCharType="begin"/>
            </w:r>
            <w:r w:rsidR="003A5986">
              <w:rPr>
                <w:noProof/>
                <w:webHidden/>
              </w:rPr>
              <w:instrText xml:space="preserve"> PAGEREF _Toc163162717 \h </w:instrText>
            </w:r>
            <w:r w:rsidR="003A5986">
              <w:rPr>
                <w:noProof/>
                <w:webHidden/>
              </w:rPr>
            </w:r>
            <w:r w:rsidR="003A5986">
              <w:rPr>
                <w:noProof/>
                <w:webHidden/>
              </w:rPr>
              <w:fldChar w:fldCharType="separate"/>
            </w:r>
            <w:r w:rsidR="003A5986">
              <w:rPr>
                <w:noProof/>
                <w:webHidden/>
              </w:rPr>
              <w:t>22</w:t>
            </w:r>
            <w:r w:rsidR="003A5986">
              <w:rPr>
                <w:noProof/>
                <w:webHidden/>
              </w:rPr>
              <w:fldChar w:fldCharType="end"/>
            </w:r>
          </w:hyperlink>
        </w:p>
        <w:p w14:paraId="110E050E" w14:textId="47D6946C" w:rsidR="003A5986" w:rsidRDefault="00000000">
          <w:pPr>
            <w:pStyle w:val="TOC1"/>
            <w:rPr>
              <w:rFonts w:eastAsiaTheme="minorEastAsia"/>
              <w:b w:val="0"/>
              <w:bCs w:val="0"/>
              <w:lang w:val="en-GB" w:eastAsia="ja-JP"/>
            </w:rPr>
          </w:pPr>
          <w:hyperlink w:anchor="_Toc163162718" w:history="1">
            <w:r w:rsidR="003A5986" w:rsidRPr="0075665B">
              <w:rPr>
                <w:rStyle w:val="Hyperlink"/>
              </w:rPr>
              <w:t>4</w:t>
            </w:r>
            <w:r w:rsidR="003A5986">
              <w:rPr>
                <w:rFonts w:eastAsiaTheme="minorEastAsia"/>
                <w:b w:val="0"/>
                <w:bCs w:val="0"/>
                <w:lang w:val="en-GB" w:eastAsia="ja-JP"/>
              </w:rPr>
              <w:tab/>
            </w:r>
            <w:r w:rsidR="003A5986" w:rsidRPr="0075665B">
              <w:rPr>
                <w:rStyle w:val="Hyperlink"/>
              </w:rPr>
              <w:t>Next steps</w:t>
            </w:r>
            <w:r w:rsidR="003A5986">
              <w:rPr>
                <w:webHidden/>
              </w:rPr>
              <w:tab/>
            </w:r>
            <w:r w:rsidR="003A5986">
              <w:rPr>
                <w:webHidden/>
              </w:rPr>
              <w:fldChar w:fldCharType="begin"/>
            </w:r>
            <w:r w:rsidR="003A5986">
              <w:rPr>
                <w:webHidden/>
              </w:rPr>
              <w:instrText xml:space="preserve"> PAGEREF _Toc163162718 \h </w:instrText>
            </w:r>
            <w:r w:rsidR="003A5986">
              <w:rPr>
                <w:webHidden/>
              </w:rPr>
            </w:r>
            <w:r w:rsidR="003A5986">
              <w:rPr>
                <w:webHidden/>
              </w:rPr>
              <w:fldChar w:fldCharType="separate"/>
            </w:r>
            <w:r w:rsidR="003A5986">
              <w:rPr>
                <w:webHidden/>
              </w:rPr>
              <w:t>24</w:t>
            </w:r>
            <w:r w:rsidR="003A5986">
              <w:rPr>
                <w:webHidden/>
              </w:rPr>
              <w:fldChar w:fldCharType="end"/>
            </w:r>
          </w:hyperlink>
        </w:p>
        <w:p w14:paraId="61E4B563" w14:textId="05822CCA" w:rsidR="003A5986" w:rsidRDefault="00000000">
          <w:pPr>
            <w:pStyle w:val="TOC2"/>
            <w:rPr>
              <w:rFonts w:eastAsiaTheme="minorEastAsia"/>
              <w:noProof/>
              <w:lang w:val="en-GB" w:eastAsia="ja-JP"/>
            </w:rPr>
          </w:pPr>
          <w:hyperlink w:anchor="_Toc163162719" w:history="1">
            <w:r w:rsidR="003A5986" w:rsidRPr="0075665B">
              <w:rPr>
                <w:rStyle w:val="Hyperlink"/>
                <w:noProof/>
              </w:rPr>
              <w:t>4.1</w:t>
            </w:r>
            <w:r w:rsidR="003A5986">
              <w:rPr>
                <w:rFonts w:eastAsiaTheme="minorEastAsia"/>
                <w:noProof/>
                <w:lang w:val="en-GB" w:eastAsia="ja-JP"/>
              </w:rPr>
              <w:tab/>
            </w:r>
            <w:r w:rsidR="003A5986" w:rsidRPr="0075665B">
              <w:rPr>
                <w:rStyle w:val="Hyperlink"/>
                <w:noProof/>
              </w:rPr>
              <w:t>Consultation and release of first WEM CIS tender</w:t>
            </w:r>
            <w:r w:rsidR="003A5986">
              <w:rPr>
                <w:noProof/>
                <w:webHidden/>
              </w:rPr>
              <w:tab/>
            </w:r>
            <w:r w:rsidR="003A5986">
              <w:rPr>
                <w:noProof/>
                <w:webHidden/>
              </w:rPr>
              <w:fldChar w:fldCharType="begin"/>
            </w:r>
            <w:r w:rsidR="003A5986">
              <w:rPr>
                <w:noProof/>
                <w:webHidden/>
              </w:rPr>
              <w:instrText xml:space="preserve"> PAGEREF _Toc163162719 \h </w:instrText>
            </w:r>
            <w:r w:rsidR="003A5986">
              <w:rPr>
                <w:noProof/>
                <w:webHidden/>
              </w:rPr>
            </w:r>
            <w:r w:rsidR="003A5986">
              <w:rPr>
                <w:noProof/>
                <w:webHidden/>
              </w:rPr>
              <w:fldChar w:fldCharType="separate"/>
            </w:r>
            <w:r w:rsidR="003A5986">
              <w:rPr>
                <w:noProof/>
                <w:webHidden/>
              </w:rPr>
              <w:t>24</w:t>
            </w:r>
            <w:r w:rsidR="003A5986">
              <w:rPr>
                <w:noProof/>
                <w:webHidden/>
              </w:rPr>
              <w:fldChar w:fldCharType="end"/>
            </w:r>
          </w:hyperlink>
        </w:p>
        <w:p w14:paraId="3C4FD6A7" w14:textId="1E0F85DC" w:rsidR="007D60F2" w:rsidRDefault="00C46A97" w:rsidP="007D60F2">
          <w:pPr>
            <w:rPr>
              <w:rFonts w:eastAsiaTheme="minorEastAsia"/>
              <w:b/>
            </w:rPr>
          </w:pPr>
          <w:r>
            <w:rPr>
              <w:b/>
              <w:bCs/>
              <w:noProof/>
            </w:rPr>
            <w:fldChar w:fldCharType="end"/>
          </w:r>
        </w:p>
      </w:sdtContent>
    </w:sdt>
    <w:p w14:paraId="5ACD69E5" w14:textId="77777777" w:rsidR="000B509C" w:rsidRPr="000B509C" w:rsidRDefault="000B509C" w:rsidP="00203FEA">
      <w:pPr>
        <w:spacing w:after="0" w:line="240" w:lineRule="auto"/>
      </w:pPr>
    </w:p>
    <w:p w14:paraId="659E260F" w14:textId="68599FF3" w:rsidR="00422614" w:rsidRPr="00D60CA3" w:rsidRDefault="00422614" w:rsidP="002B6ECF">
      <w:pPr>
        <w:pStyle w:val="TOCHeading2"/>
        <w:rPr>
          <w:b/>
        </w:rPr>
      </w:pPr>
      <w:r>
        <w:rPr>
          <w:rStyle w:val="Strong"/>
        </w:rPr>
        <w:t>Tables</w:t>
      </w:r>
    </w:p>
    <w:p w14:paraId="7F11BB39" w14:textId="29442B14" w:rsidR="00BA4620" w:rsidRPr="00CB686C" w:rsidRDefault="00D60CA3" w:rsidP="47048199">
      <w:pPr>
        <w:pStyle w:val="TableofFigures"/>
        <w:tabs>
          <w:tab w:val="right" w:leader="dot" w:pos="9060"/>
        </w:tabs>
        <w:rPr>
          <w:rFonts w:eastAsiaTheme="minorEastAsia"/>
          <w:noProof/>
          <w:kern w:val="2"/>
          <w:lang w:val="en-GB" w:eastAsia="ja-JP"/>
          <w14:ligatures w14:val="standardContextual"/>
        </w:rPr>
      </w:pPr>
      <w:r w:rsidRPr="47048199">
        <w:rPr>
          <w:rStyle w:val="Hyperlink"/>
          <w:kern w:val="2"/>
          <w14:ligatures w14:val="standardContextual"/>
        </w:rPr>
        <w:fldChar w:fldCharType="begin"/>
      </w:r>
      <w:r w:rsidRPr="00181204">
        <w:rPr>
          <w:rStyle w:val="Hyperlink"/>
          <w:kern w:val="2"/>
          <w14:ligatures w14:val="standardContextual"/>
        </w:rPr>
        <w:instrText xml:space="preserve"> TOC \h \z \c "Table" </w:instrText>
      </w:r>
      <w:r w:rsidRPr="47048199">
        <w:rPr>
          <w:rStyle w:val="Hyperlink"/>
          <w:kern w:val="2"/>
          <w14:ligatures w14:val="standardContextual"/>
        </w:rPr>
        <w:fldChar w:fldCharType="separate"/>
      </w:r>
      <w:hyperlink w:anchor="_Toc163162720" w:history="1">
        <w:r w:rsidR="00BA4620" w:rsidRPr="00CB686C">
          <w:rPr>
            <w:rStyle w:val="Hyperlink"/>
            <w:noProof/>
          </w:rPr>
          <w:t>Table 1 CIS Design Framework Principles</w:t>
        </w:r>
        <w:r w:rsidR="00BA4620" w:rsidRPr="00CB686C">
          <w:rPr>
            <w:noProof/>
            <w:webHidden/>
          </w:rPr>
          <w:tab/>
        </w:r>
        <w:r w:rsidR="00BA4620" w:rsidRPr="00CB686C">
          <w:rPr>
            <w:noProof/>
            <w:webHidden/>
          </w:rPr>
          <w:fldChar w:fldCharType="begin"/>
        </w:r>
        <w:r w:rsidR="00BA4620" w:rsidRPr="00CB686C">
          <w:rPr>
            <w:noProof/>
            <w:webHidden/>
          </w:rPr>
          <w:instrText xml:space="preserve"> PAGEREF _Toc163162720 \h </w:instrText>
        </w:r>
        <w:r w:rsidR="00BA4620" w:rsidRPr="00CB686C">
          <w:rPr>
            <w:noProof/>
            <w:webHidden/>
          </w:rPr>
        </w:r>
        <w:r w:rsidR="00BA4620" w:rsidRPr="00CB686C">
          <w:rPr>
            <w:noProof/>
            <w:webHidden/>
          </w:rPr>
          <w:fldChar w:fldCharType="separate"/>
        </w:r>
        <w:r w:rsidR="00BA4620" w:rsidRPr="00CB686C">
          <w:rPr>
            <w:noProof/>
            <w:webHidden/>
          </w:rPr>
          <w:t>9</w:t>
        </w:r>
        <w:r w:rsidR="00BA4620" w:rsidRPr="00CB686C">
          <w:rPr>
            <w:noProof/>
            <w:webHidden/>
          </w:rPr>
          <w:fldChar w:fldCharType="end"/>
        </w:r>
      </w:hyperlink>
    </w:p>
    <w:p w14:paraId="66487975" w14:textId="06C071CF" w:rsidR="00BA4620" w:rsidRPr="00CB686C" w:rsidRDefault="00000000" w:rsidP="47048199">
      <w:pPr>
        <w:pStyle w:val="TableofFigures"/>
        <w:tabs>
          <w:tab w:val="right" w:leader="dot" w:pos="9060"/>
        </w:tabs>
        <w:rPr>
          <w:rFonts w:eastAsiaTheme="minorEastAsia"/>
          <w:noProof/>
          <w:kern w:val="2"/>
          <w:lang w:val="en-GB" w:eastAsia="ja-JP"/>
          <w14:ligatures w14:val="standardContextual"/>
        </w:rPr>
      </w:pPr>
      <w:hyperlink w:anchor="_Toc163162721" w:history="1">
        <w:r w:rsidR="00BA4620" w:rsidRPr="00CB686C">
          <w:rPr>
            <w:rStyle w:val="Hyperlink"/>
            <w:rFonts w:ascii="Calibri" w:hAnsi="Calibri" w:cs="Calibri"/>
            <w:noProof/>
          </w:rPr>
          <w:t>Table 2 Distinctions between the CIS and RCM</w:t>
        </w:r>
        <w:r w:rsidR="00BA4620" w:rsidRPr="00CB686C">
          <w:rPr>
            <w:noProof/>
            <w:webHidden/>
          </w:rPr>
          <w:tab/>
        </w:r>
        <w:r w:rsidR="00BA4620" w:rsidRPr="00CB686C">
          <w:rPr>
            <w:noProof/>
            <w:webHidden/>
          </w:rPr>
          <w:fldChar w:fldCharType="begin"/>
        </w:r>
        <w:r w:rsidR="00BA4620" w:rsidRPr="00CB686C">
          <w:rPr>
            <w:noProof/>
            <w:webHidden/>
          </w:rPr>
          <w:instrText xml:space="preserve"> PAGEREF _Toc163162721 \h </w:instrText>
        </w:r>
        <w:r w:rsidR="00BA4620" w:rsidRPr="00CB686C">
          <w:rPr>
            <w:noProof/>
            <w:webHidden/>
          </w:rPr>
        </w:r>
        <w:r w:rsidR="00BA4620" w:rsidRPr="00CB686C">
          <w:rPr>
            <w:noProof/>
            <w:webHidden/>
          </w:rPr>
          <w:fldChar w:fldCharType="separate"/>
        </w:r>
        <w:r w:rsidR="00BA4620" w:rsidRPr="00CB686C">
          <w:rPr>
            <w:noProof/>
            <w:webHidden/>
          </w:rPr>
          <w:t>11</w:t>
        </w:r>
        <w:r w:rsidR="00BA4620" w:rsidRPr="00CB686C">
          <w:rPr>
            <w:noProof/>
            <w:webHidden/>
          </w:rPr>
          <w:fldChar w:fldCharType="end"/>
        </w:r>
      </w:hyperlink>
    </w:p>
    <w:p w14:paraId="0568722C" w14:textId="296D7157" w:rsidR="00BA4620" w:rsidRPr="00CB686C" w:rsidRDefault="00000000" w:rsidP="47048199">
      <w:pPr>
        <w:pStyle w:val="TableofFigures"/>
        <w:tabs>
          <w:tab w:val="right" w:leader="dot" w:pos="9060"/>
        </w:tabs>
        <w:rPr>
          <w:rFonts w:eastAsiaTheme="minorEastAsia"/>
          <w:noProof/>
          <w:kern w:val="2"/>
          <w:lang w:val="en-GB" w:eastAsia="ja-JP"/>
          <w14:ligatures w14:val="standardContextual"/>
        </w:rPr>
      </w:pPr>
      <w:hyperlink w:anchor="_Toc163162722" w:history="1">
        <w:r w:rsidR="00BA4620" w:rsidRPr="00CB686C">
          <w:rPr>
            <w:rStyle w:val="Hyperlink"/>
            <w:rFonts w:ascii="Calibri" w:hAnsi="Calibri" w:cs="Calibri"/>
            <w:noProof/>
          </w:rPr>
          <w:t>Table 3 Eligibility requirements for technology contributing to zero emissions</w:t>
        </w:r>
        <w:r w:rsidR="00BA4620" w:rsidRPr="00CB686C">
          <w:rPr>
            <w:noProof/>
            <w:webHidden/>
          </w:rPr>
          <w:tab/>
        </w:r>
        <w:r w:rsidR="00BA4620" w:rsidRPr="00CB686C">
          <w:rPr>
            <w:noProof/>
            <w:webHidden/>
          </w:rPr>
          <w:fldChar w:fldCharType="begin"/>
        </w:r>
        <w:r w:rsidR="00BA4620" w:rsidRPr="00CB686C">
          <w:rPr>
            <w:noProof/>
            <w:webHidden/>
          </w:rPr>
          <w:instrText xml:space="preserve"> PAGEREF _Toc163162722 \h </w:instrText>
        </w:r>
        <w:r w:rsidR="00BA4620" w:rsidRPr="00CB686C">
          <w:rPr>
            <w:noProof/>
            <w:webHidden/>
          </w:rPr>
        </w:r>
        <w:r w:rsidR="00BA4620" w:rsidRPr="00CB686C">
          <w:rPr>
            <w:noProof/>
            <w:webHidden/>
          </w:rPr>
          <w:fldChar w:fldCharType="separate"/>
        </w:r>
        <w:r w:rsidR="00BA4620" w:rsidRPr="00CB686C">
          <w:rPr>
            <w:noProof/>
            <w:webHidden/>
          </w:rPr>
          <w:t>15</w:t>
        </w:r>
        <w:r w:rsidR="00BA4620" w:rsidRPr="00CB686C">
          <w:rPr>
            <w:noProof/>
            <w:webHidden/>
          </w:rPr>
          <w:fldChar w:fldCharType="end"/>
        </w:r>
      </w:hyperlink>
    </w:p>
    <w:p w14:paraId="12F0AE58" w14:textId="6952A475" w:rsidR="00BA4620" w:rsidRPr="00CB686C" w:rsidRDefault="00000000" w:rsidP="47048199">
      <w:pPr>
        <w:pStyle w:val="TableofFigures"/>
        <w:tabs>
          <w:tab w:val="right" w:leader="dot" w:pos="9060"/>
        </w:tabs>
        <w:rPr>
          <w:rFonts w:eastAsiaTheme="minorEastAsia"/>
          <w:noProof/>
          <w:kern w:val="2"/>
          <w:lang w:val="en-GB" w:eastAsia="ja-JP"/>
          <w14:ligatures w14:val="standardContextual"/>
        </w:rPr>
      </w:pPr>
      <w:hyperlink w:anchor="_Toc163162723" w:history="1">
        <w:r w:rsidR="00BA4620" w:rsidRPr="00CB686C">
          <w:rPr>
            <w:rStyle w:val="Hyperlink"/>
            <w:rFonts w:ascii="Calibri" w:hAnsi="Calibri" w:cs="Calibri"/>
            <w:noProof/>
          </w:rPr>
          <w:t>Table 4 Summary of CISA commercial structure</w:t>
        </w:r>
        <w:r w:rsidR="00BA4620" w:rsidRPr="00CB686C">
          <w:rPr>
            <w:noProof/>
            <w:webHidden/>
          </w:rPr>
          <w:tab/>
        </w:r>
        <w:r w:rsidR="00BA4620" w:rsidRPr="00CB686C">
          <w:rPr>
            <w:noProof/>
            <w:webHidden/>
          </w:rPr>
          <w:fldChar w:fldCharType="begin"/>
        </w:r>
        <w:r w:rsidR="00BA4620" w:rsidRPr="00CB686C">
          <w:rPr>
            <w:noProof/>
            <w:webHidden/>
          </w:rPr>
          <w:instrText xml:space="preserve"> PAGEREF _Toc163162723 \h </w:instrText>
        </w:r>
        <w:r w:rsidR="00BA4620" w:rsidRPr="00CB686C">
          <w:rPr>
            <w:noProof/>
            <w:webHidden/>
          </w:rPr>
        </w:r>
        <w:r w:rsidR="00BA4620" w:rsidRPr="00CB686C">
          <w:rPr>
            <w:noProof/>
            <w:webHidden/>
          </w:rPr>
          <w:fldChar w:fldCharType="separate"/>
        </w:r>
        <w:r w:rsidR="00BA4620" w:rsidRPr="00CB686C">
          <w:rPr>
            <w:noProof/>
            <w:webHidden/>
          </w:rPr>
          <w:t>22</w:t>
        </w:r>
        <w:r w:rsidR="00BA4620" w:rsidRPr="00CB686C">
          <w:rPr>
            <w:noProof/>
            <w:webHidden/>
          </w:rPr>
          <w:fldChar w:fldCharType="end"/>
        </w:r>
      </w:hyperlink>
    </w:p>
    <w:p w14:paraId="63FCB048" w14:textId="365D2DD3" w:rsidR="00D60CA3" w:rsidRPr="00FF6FBF" w:rsidRDefault="00D60CA3" w:rsidP="00D60CA3">
      <w:pPr>
        <w:pStyle w:val="TOCHeading2"/>
        <w:rPr>
          <w:rFonts w:asciiTheme="minorHAnsi" w:hAnsiTheme="minorHAnsi"/>
          <w:color w:val="0070C0" w:themeColor="hyperlink"/>
          <w:kern w:val="2"/>
          <w:u w:val="single"/>
          <w14:ligatures w14:val="standardContextual"/>
        </w:rPr>
      </w:pPr>
      <w:r w:rsidRPr="47048199">
        <w:rPr>
          <w:rStyle w:val="Hyperlink"/>
          <w:rFonts w:asciiTheme="minorHAnsi" w:hAnsiTheme="minorHAnsi"/>
          <w:sz w:val="22"/>
        </w:rPr>
        <w:fldChar w:fldCharType="end"/>
      </w:r>
    </w:p>
    <w:p w14:paraId="062F5F71" w14:textId="77777777" w:rsidR="007D60F2" w:rsidRPr="003465FA" w:rsidRDefault="007D60F2" w:rsidP="007D60F2">
      <w:pPr>
        <w:pStyle w:val="TOCHeading2"/>
        <w:rPr>
          <w:b/>
          <w:bCs/>
        </w:rPr>
      </w:pPr>
      <w:r>
        <w:rPr>
          <w:rStyle w:val="Strong"/>
        </w:rPr>
        <w:t>Figures</w:t>
      </w:r>
    </w:p>
    <w:p w14:paraId="775D7E5C" w14:textId="3CD0562E" w:rsidR="00C47526" w:rsidRPr="00CB686C" w:rsidRDefault="009C4C6B" w:rsidP="47048199">
      <w:pPr>
        <w:pStyle w:val="TableofFigures"/>
        <w:tabs>
          <w:tab w:val="right" w:leader="dot" w:pos="9060"/>
        </w:tabs>
        <w:rPr>
          <w:rFonts w:eastAsiaTheme="minorEastAsia"/>
          <w:noProof/>
          <w:kern w:val="2"/>
          <w:lang w:val="en-GB" w:eastAsia="ja-JP"/>
          <w14:ligatures w14:val="standardContextual"/>
        </w:rPr>
      </w:pPr>
      <w:r>
        <w:fldChar w:fldCharType="begin"/>
      </w:r>
      <w:r>
        <w:instrText xml:space="preserve"> TOC \h \z \c "Figure" </w:instrText>
      </w:r>
      <w:r>
        <w:fldChar w:fldCharType="separate"/>
      </w:r>
      <w:hyperlink w:anchor="_Toc163162725" w:history="1">
        <w:r w:rsidR="00C47526" w:rsidRPr="00CB686C">
          <w:rPr>
            <w:rStyle w:val="Hyperlink"/>
            <w:rFonts w:ascii="Calibri" w:hAnsi="Calibri" w:cs="Calibri"/>
            <w:noProof/>
          </w:rPr>
          <w:t>Figure 1 Revenue Underwriting Design Instrument</w:t>
        </w:r>
        <w:r w:rsidR="00C47526" w:rsidRPr="00CB686C">
          <w:rPr>
            <w:noProof/>
            <w:webHidden/>
          </w:rPr>
          <w:tab/>
        </w:r>
        <w:r w:rsidR="00C47526" w:rsidRPr="00CB686C">
          <w:rPr>
            <w:noProof/>
            <w:webHidden/>
          </w:rPr>
          <w:fldChar w:fldCharType="begin"/>
        </w:r>
        <w:r w:rsidR="00C47526" w:rsidRPr="00CB686C">
          <w:rPr>
            <w:noProof/>
            <w:webHidden/>
          </w:rPr>
          <w:instrText xml:space="preserve"> PAGEREF _Toc163162725 \h </w:instrText>
        </w:r>
        <w:r w:rsidR="00C47526" w:rsidRPr="00CB686C">
          <w:rPr>
            <w:noProof/>
            <w:webHidden/>
          </w:rPr>
        </w:r>
        <w:r w:rsidR="00C47526" w:rsidRPr="00CB686C">
          <w:rPr>
            <w:noProof/>
            <w:webHidden/>
          </w:rPr>
          <w:fldChar w:fldCharType="separate"/>
        </w:r>
        <w:r w:rsidR="00C47526" w:rsidRPr="00CB686C">
          <w:rPr>
            <w:noProof/>
            <w:webHidden/>
          </w:rPr>
          <w:t>6</w:t>
        </w:r>
        <w:r w:rsidR="00C47526" w:rsidRPr="00CB686C">
          <w:rPr>
            <w:noProof/>
            <w:webHidden/>
          </w:rPr>
          <w:fldChar w:fldCharType="end"/>
        </w:r>
      </w:hyperlink>
    </w:p>
    <w:p w14:paraId="58C575D9" w14:textId="23212757" w:rsidR="00C47526" w:rsidRPr="00CB686C" w:rsidRDefault="00000000" w:rsidP="47048199">
      <w:pPr>
        <w:pStyle w:val="TableofFigures"/>
        <w:tabs>
          <w:tab w:val="right" w:leader="dot" w:pos="9060"/>
        </w:tabs>
        <w:rPr>
          <w:rFonts w:eastAsiaTheme="minorEastAsia"/>
          <w:noProof/>
          <w:kern w:val="2"/>
          <w:lang w:val="en-GB" w:eastAsia="ja-JP"/>
          <w14:ligatures w14:val="standardContextual"/>
        </w:rPr>
      </w:pPr>
      <w:hyperlink w:anchor="_Toc163162726" w:history="1">
        <w:r w:rsidR="00C47526" w:rsidRPr="00CB686C">
          <w:rPr>
            <w:rStyle w:val="Hyperlink"/>
            <w:rFonts w:ascii="Calibri" w:hAnsi="Calibri" w:cs="Calibri"/>
            <w:noProof/>
          </w:rPr>
          <w:t>Figure 2 Indicative timing of CIS tenders in the WEM</w:t>
        </w:r>
        <w:r w:rsidR="00C47526" w:rsidRPr="00CB686C">
          <w:rPr>
            <w:noProof/>
            <w:webHidden/>
          </w:rPr>
          <w:tab/>
        </w:r>
        <w:r w:rsidR="00C47526" w:rsidRPr="00CB686C">
          <w:rPr>
            <w:noProof/>
            <w:webHidden/>
          </w:rPr>
          <w:fldChar w:fldCharType="begin"/>
        </w:r>
        <w:r w:rsidR="00C47526" w:rsidRPr="00CB686C">
          <w:rPr>
            <w:noProof/>
            <w:webHidden/>
          </w:rPr>
          <w:instrText xml:space="preserve"> PAGEREF _Toc163162726 \h </w:instrText>
        </w:r>
        <w:r w:rsidR="00C47526" w:rsidRPr="00CB686C">
          <w:rPr>
            <w:noProof/>
            <w:webHidden/>
          </w:rPr>
        </w:r>
        <w:r w:rsidR="00C47526" w:rsidRPr="00CB686C">
          <w:rPr>
            <w:noProof/>
            <w:webHidden/>
          </w:rPr>
          <w:fldChar w:fldCharType="separate"/>
        </w:r>
        <w:r w:rsidR="00C47526" w:rsidRPr="00CB686C">
          <w:rPr>
            <w:noProof/>
            <w:webHidden/>
          </w:rPr>
          <w:t>13</w:t>
        </w:r>
        <w:r w:rsidR="00C47526" w:rsidRPr="00CB686C">
          <w:rPr>
            <w:noProof/>
            <w:webHidden/>
          </w:rPr>
          <w:fldChar w:fldCharType="end"/>
        </w:r>
      </w:hyperlink>
    </w:p>
    <w:p w14:paraId="2A46EB5D" w14:textId="42929325" w:rsidR="00C47526" w:rsidRPr="00CB686C" w:rsidRDefault="00000000" w:rsidP="47048199">
      <w:pPr>
        <w:pStyle w:val="TableofFigures"/>
        <w:tabs>
          <w:tab w:val="right" w:leader="dot" w:pos="9060"/>
        </w:tabs>
        <w:rPr>
          <w:rFonts w:eastAsiaTheme="minorEastAsia"/>
          <w:noProof/>
          <w:kern w:val="2"/>
          <w:lang w:val="en-GB" w:eastAsia="ja-JP"/>
          <w14:ligatures w14:val="standardContextual"/>
        </w:rPr>
      </w:pPr>
      <w:hyperlink w:anchor="_Toc163162727" w:history="1">
        <w:r w:rsidR="00C47526" w:rsidRPr="00CB686C">
          <w:rPr>
            <w:rStyle w:val="Hyperlink"/>
            <w:rFonts w:ascii="Calibri" w:hAnsi="Calibri" w:cs="Calibri"/>
            <w:noProof/>
          </w:rPr>
          <w:t>Figure 3 Indicative timing of CIS and RCM Certification of Reserve Capacity processes</w:t>
        </w:r>
        <w:r w:rsidR="00C47526" w:rsidRPr="00CB686C">
          <w:rPr>
            <w:noProof/>
            <w:webHidden/>
          </w:rPr>
          <w:tab/>
        </w:r>
        <w:r w:rsidR="00C47526" w:rsidRPr="00CB686C">
          <w:rPr>
            <w:noProof/>
            <w:webHidden/>
          </w:rPr>
          <w:fldChar w:fldCharType="begin"/>
        </w:r>
        <w:r w:rsidR="00C47526" w:rsidRPr="00CB686C">
          <w:rPr>
            <w:noProof/>
            <w:webHidden/>
          </w:rPr>
          <w:instrText xml:space="preserve"> PAGEREF _Toc163162727 \h </w:instrText>
        </w:r>
        <w:r w:rsidR="00C47526" w:rsidRPr="00CB686C">
          <w:rPr>
            <w:noProof/>
            <w:webHidden/>
          </w:rPr>
        </w:r>
        <w:r w:rsidR="00C47526" w:rsidRPr="00CB686C">
          <w:rPr>
            <w:noProof/>
            <w:webHidden/>
          </w:rPr>
          <w:fldChar w:fldCharType="separate"/>
        </w:r>
        <w:r w:rsidR="00C47526" w:rsidRPr="00CB686C">
          <w:rPr>
            <w:noProof/>
            <w:webHidden/>
          </w:rPr>
          <w:t>14</w:t>
        </w:r>
        <w:r w:rsidR="00C47526" w:rsidRPr="00CB686C">
          <w:rPr>
            <w:noProof/>
            <w:webHidden/>
          </w:rPr>
          <w:fldChar w:fldCharType="end"/>
        </w:r>
      </w:hyperlink>
    </w:p>
    <w:p w14:paraId="7DC006FA" w14:textId="6DE1E629" w:rsidR="00C47526" w:rsidRPr="00CB686C" w:rsidRDefault="00000000" w:rsidP="47048199">
      <w:pPr>
        <w:pStyle w:val="TableofFigures"/>
        <w:tabs>
          <w:tab w:val="right" w:leader="dot" w:pos="9060"/>
        </w:tabs>
        <w:rPr>
          <w:rFonts w:eastAsiaTheme="minorEastAsia"/>
          <w:noProof/>
          <w:kern w:val="2"/>
          <w:lang w:val="en-GB" w:eastAsia="ja-JP"/>
          <w14:ligatures w14:val="standardContextual"/>
        </w:rPr>
      </w:pPr>
      <w:hyperlink w:anchor="_Toc163162728" w:history="1">
        <w:r w:rsidR="00C47526" w:rsidRPr="00CB686C">
          <w:rPr>
            <w:rStyle w:val="Hyperlink"/>
            <w:rFonts w:ascii="Calibri" w:hAnsi="Calibri" w:cs="Calibri"/>
            <w:noProof/>
          </w:rPr>
          <w:t>Figure 4 CIS tender assessment stages</w:t>
        </w:r>
        <w:r w:rsidR="00C47526" w:rsidRPr="00CB686C">
          <w:rPr>
            <w:noProof/>
            <w:webHidden/>
          </w:rPr>
          <w:tab/>
        </w:r>
        <w:r w:rsidR="00C47526" w:rsidRPr="00CB686C">
          <w:rPr>
            <w:noProof/>
            <w:webHidden/>
          </w:rPr>
          <w:fldChar w:fldCharType="begin"/>
        </w:r>
        <w:r w:rsidR="00C47526" w:rsidRPr="00CB686C">
          <w:rPr>
            <w:noProof/>
            <w:webHidden/>
          </w:rPr>
          <w:instrText xml:space="preserve"> PAGEREF _Toc163162728 \h </w:instrText>
        </w:r>
        <w:r w:rsidR="00C47526" w:rsidRPr="00CB686C">
          <w:rPr>
            <w:noProof/>
            <w:webHidden/>
          </w:rPr>
        </w:r>
        <w:r w:rsidR="00C47526" w:rsidRPr="00CB686C">
          <w:rPr>
            <w:noProof/>
            <w:webHidden/>
          </w:rPr>
          <w:fldChar w:fldCharType="separate"/>
        </w:r>
        <w:r w:rsidR="00C47526" w:rsidRPr="00CB686C">
          <w:rPr>
            <w:noProof/>
            <w:webHidden/>
          </w:rPr>
          <w:t>18</w:t>
        </w:r>
        <w:r w:rsidR="00C47526" w:rsidRPr="00CB686C">
          <w:rPr>
            <w:noProof/>
            <w:webHidden/>
          </w:rPr>
          <w:fldChar w:fldCharType="end"/>
        </w:r>
      </w:hyperlink>
    </w:p>
    <w:p w14:paraId="07773452" w14:textId="4AD8ADDD" w:rsidR="00EB1D77" w:rsidRDefault="009C4C6B" w:rsidP="00D11ABF">
      <w:r>
        <w:fldChar w:fldCharType="end"/>
      </w:r>
      <w:r w:rsidR="00EB1D77">
        <w:br w:type="page"/>
      </w:r>
    </w:p>
    <w:p w14:paraId="622F76DD" w14:textId="07F1E088" w:rsidR="00EB1D77" w:rsidRPr="00920D57" w:rsidRDefault="00EB1D77" w:rsidP="00B96176">
      <w:pPr>
        <w:pStyle w:val="HEADINGL1BLUE"/>
      </w:pPr>
      <w:bookmarkStart w:id="39" w:name="_Toc161385847"/>
      <w:bookmarkStart w:id="40" w:name="_Toc163162703"/>
      <w:r w:rsidRPr="00920D57">
        <w:lastRenderedPageBreak/>
        <w:t>Introduction</w:t>
      </w:r>
      <w:bookmarkEnd w:id="39"/>
      <w:bookmarkEnd w:id="40"/>
    </w:p>
    <w:p w14:paraId="51EFE2B6" w14:textId="01FF02F7" w:rsidR="00EB1D77" w:rsidRPr="007E316A" w:rsidRDefault="00EB1D77" w:rsidP="00615FFE">
      <w:pPr>
        <w:pStyle w:val="Heading2"/>
      </w:pPr>
      <w:bookmarkStart w:id="41" w:name="_Ref157527227"/>
      <w:bookmarkStart w:id="42" w:name="_Toc161385848"/>
      <w:bookmarkStart w:id="43" w:name="_Toc161388237"/>
      <w:bookmarkStart w:id="44" w:name="_Toc161388537"/>
      <w:bookmarkStart w:id="45" w:name="_Toc163162704"/>
      <w:r w:rsidRPr="007E316A">
        <w:t>Background</w:t>
      </w:r>
      <w:bookmarkEnd w:id="41"/>
      <w:bookmarkEnd w:id="42"/>
      <w:bookmarkEnd w:id="43"/>
      <w:bookmarkEnd w:id="44"/>
      <w:bookmarkEnd w:id="45"/>
    </w:p>
    <w:p w14:paraId="1DA7D96C" w14:textId="78E168F0" w:rsidR="00615BB0" w:rsidRDefault="00B33DE4" w:rsidP="00B33DE4">
      <w:r>
        <w:t xml:space="preserve">On 23 November 2023, the </w:t>
      </w:r>
      <w:r w:rsidR="17561F1D">
        <w:t>Australian</w:t>
      </w:r>
      <w:r>
        <w:t xml:space="preserve"> Government announced an expansion of the Capacity Investment Scheme (CIS)</w:t>
      </w:r>
      <w:r w:rsidR="00B738F2">
        <w:rPr>
          <w:rStyle w:val="FootnoteReference"/>
        </w:rPr>
        <w:footnoteReference w:id="2"/>
      </w:r>
      <w:r>
        <w:t xml:space="preserve"> to </w:t>
      </w:r>
      <w:r w:rsidR="00615BB0">
        <w:t xml:space="preserve">support </w:t>
      </w:r>
      <w:r w:rsidR="00894981">
        <w:t xml:space="preserve">the development of 9 GW of dispatchable capacity and 23 GW of </w:t>
      </w:r>
      <w:r w:rsidR="04D1CF15">
        <w:t>renewable capacity</w:t>
      </w:r>
      <w:r w:rsidR="00894981">
        <w:t xml:space="preserve"> across Australia.</w:t>
      </w:r>
    </w:p>
    <w:p w14:paraId="1E1E8409" w14:textId="7D0E90EF" w:rsidR="00B33DE4" w:rsidRDefault="00894981" w:rsidP="00B33DE4">
      <w:r>
        <w:t>The Capacity Investment Scheme (CIS) is a revenue underwriting mechanism that seeks to provide</w:t>
      </w:r>
      <w:r w:rsidR="00B33DE4" w:rsidRPr="001D7942">
        <w:t xml:space="preserve"> </w:t>
      </w:r>
      <w:r w:rsidR="6318C1C1" w:rsidRPr="001D7942">
        <w:t xml:space="preserve"> </w:t>
      </w:r>
      <w:r w:rsidR="32967EE0">
        <w:t xml:space="preserve"> </w:t>
      </w:r>
      <w:r w:rsidR="3B2AB45A">
        <w:t xml:space="preserve"> </w:t>
      </w:r>
      <w:r w:rsidR="1494B050">
        <w:t xml:space="preserve"> </w:t>
      </w:r>
      <w:r w:rsidR="00B33DE4" w:rsidRPr="001D7942">
        <w:t>certainty for renewable investors and cheaper, cleaner energy for households and businesses</w:t>
      </w:r>
      <w:r w:rsidR="00D63402">
        <w:t>. It was launched in 2023</w:t>
      </w:r>
      <w:r w:rsidR="00BD3F13">
        <w:t xml:space="preserve">, with the pilot stage having </w:t>
      </w:r>
      <w:r w:rsidR="001E5EA0">
        <w:t xml:space="preserve">resulted in </w:t>
      </w:r>
      <w:r w:rsidR="00AA6669">
        <w:t>Capacity Investment Scheme Agreement</w:t>
      </w:r>
      <w:r w:rsidR="001E5EA0">
        <w:t>s</w:t>
      </w:r>
      <w:r w:rsidR="00AA6669">
        <w:t xml:space="preserve"> (CISAs)</w:t>
      </w:r>
      <w:r w:rsidR="001E5EA0">
        <w:t xml:space="preserve"> for over 1 GW of new </w:t>
      </w:r>
      <w:r w:rsidR="002430CC">
        <w:t>zero-emissions capacity in New South Wales (NSW)</w:t>
      </w:r>
      <w:r w:rsidR="00E92BCC">
        <w:t>, comprised of battery storage and virtual power plant projects</w:t>
      </w:r>
      <w:r w:rsidR="00295425">
        <w:rPr>
          <w:rStyle w:val="FootnoteReference"/>
        </w:rPr>
        <w:footnoteReference w:id="3"/>
      </w:r>
      <w:r w:rsidR="002430CC">
        <w:t>.</w:t>
      </w:r>
      <w:r w:rsidR="00BD3F13">
        <w:t xml:space="preserve"> </w:t>
      </w:r>
      <w:r w:rsidR="003A4E7A">
        <w:t>The next tender</w:t>
      </w:r>
      <w:r w:rsidR="00E618CB">
        <w:t xml:space="preserve">, spanning South Australia (SA) and Victoria, </w:t>
      </w:r>
      <w:r w:rsidR="004D2B14">
        <w:t>commenced in December 2023.</w:t>
      </w:r>
    </w:p>
    <w:tbl>
      <w:tblPr>
        <w:tblStyle w:val="TableGrid"/>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F2F3" w:themeFill="accent1" w:themeFillTint="33"/>
        <w:tblLook w:val="04A0" w:firstRow="1" w:lastRow="0" w:firstColumn="1" w:lastColumn="0" w:noHBand="0" w:noVBand="1"/>
      </w:tblPr>
      <w:tblGrid>
        <w:gridCol w:w="9295"/>
      </w:tblGrid>
      <w:tr w:rsidR="0059719D" w14:paraId="0BE897C4" w14:textId="77777777" w:rsidTr="00C85352">
        <w:trPr>
          <w:trHeight w:val="520"/>
        </w:trPr>
        <w:tc>
          <w:tcPr>
            <w:tcW w:w="9295" w:type="dxa"/>
            <w:shd w:val="clear" w:color="auto" w:fill="D8F2EE" w:themeFill="accent2" w:themeFillTint="33"/>
          </w:tcPr>
          <w:p w14:paraId="2AEAC732" w14:textId="2129C6BA" w:rsidR="0059719D" w:rsidRPr="00B11245" w:rsidRDefault="00915623" w:rsidP="00915623">
            <w:pPr>
              <w:spacing w:before="120" w:after="120"/>
              <w:rPr>
                <w:lang w:val="en-GB" w:eastAsia="en-AU"/>
              </w:rPr>
            </w:pPr>
            <w:r w:rsidRPr="00915623">
              <w:rPr>
                <w:lang w:val="en-GB" w:eastAsia="en-AU"/>
              </w:rPr>
              <w:t xml:space="preserve">The objective of the CIS is to encourage new investment in </w:t>
            </w:r>
            <w:r w:rsidR="00470518">
              <w:rPr>
                <w:lang w:val="en-GB" w:eastAsia="en-AU"/>
              </w:rPr>
              <w:t xml:space="preserve">renewable capacity and </w:t>
            </w:r>
            <w:r w:rsidRPr="00915623">
              <w:rPr>
                <w:lang w:val="en-GB" w:eastAsia="en-AU"/>
              </w:rPr>
              <w:t>clean dispatchable capacity to support reliability and reduce market volatility in Australia’s rapidly changing energy market</w:t>
            </w:r>
            <w:r w:rsidR="00470518">
              <w:rPr>
                <w:lang w:val="en-GB" w:eastAsia="en-AU"/>
              </w:rPr>
              <w:t>s</w:t>
            </w:r>
            <w:r w:rsidR="0059719D" w:rsidRPr="00B11245">
              <w:rPr>
                <w:lang w:val="en-GB" w:eastAsia="en-AU"/>
              </w:rPr>
              <w:t>.</w:t>
            </w:r>
          </w:p>
        </w:tc>
      </w:tr>
    </w:tbl>
    <w:p w14:paraId="14E9BBC4" w14:textId="7A83C5AF" w:rsidR="00496A8C" w:rsidRDefault="00CA0DB0" w:rsidP="0081552B">
      <w:pPr>
        <w:spacing w:before="240"/>
      </w:pPr>
      <w:r>
        <w:t xml:space="preserve">To support the design of </w:t>
      </w:r>
      <w:r w:rsidR="00F45A7C">
        <w:t>the CIS, the Department of Climate Change, Energy, the Environment and Water (</w:t>
      </w:r>
      <w:r w:rsidR="5433DF61">
        <w:t>DCCEEW</w:t>
      </w:r>
      <w:r w:rsidR="00F45A7C">
        <w:t xml:space="preserve">) released the CIS Public Consultation </w:t>
      </w:r>
      <w:r w:rsidR="00F808EB">
        <w:t>P</w:t>
      </w:r>
      <w:r w:rsidR="00F45A7C">
        <w:t xml:space="preserve">aper (NEM Paper) in August 2023 to gather </w:t>
      </w:r>
      <w:r w:rsidR="00B27E80">
        <w:t>feedback that would inform the design and delivery of the CIS</w:t>
      </w:r>
      <w:r w:rsidR="00473F13">
        <w:t xml:space="preserve">, with particular focus on application to the </w:t>
      </w:r>
      <w:r w:rsidR="00333B43">
        <w:t>National Electricity Market (NEM)</w:t>
      </w:r>
      <w:r w:rsidR="00333B43">
        <w:rPr>
          <w:rStyle w:val="FootnoteReference"/>
        </w:rPr>
        <w:footnoteReference w:id="4"/>
      </w:r>
      <w:r w:rsidR="00B27E80">
        <w:t>.</w:t>
      </w:r>
      <w:r w:rsidR="00B27E80" w:rsidRPr="00B27E80">
        <w:t xml:space="preserve"> </w:t>
      </w:r>
      <w:r w:rsidR="00B27E80">
        <w:t xml:space="preserve">The NEM Paper noted that the </w:t>
      </w:r>
      <w:r w:rsidR="00473F13">
        <w:t xml:space="preserve">different </w:t>
      </w:r>
      <w:r w:rsidR="00662561">
        <w:t xml:space="preserve">market </w:t>
      </w:r>
      <w:r w:rsidR="00473F13">
        <w:t xml:space="preserve">design of the </w:t>
      </w:r>
      <w:r w:rsidR="00B27E80">
        <w:t xml:space="preserve">Wholesale Electricity Market (WEM) </w:t>
      </w:r>
      <w:r w:rsidR="00BC74BE">
        <w:t>in Western Australia (WA)</w:t>
      </w:r>
      <w:r w:rsidR="00BC74BE">
        <w:rPr>
          <w:rStyle w:val="FootnoteReference"/>
        </w:rPr>
        <w:footnoteReference w:id="5"/>
      </w:r>
      <w:r w:rsidR="00BC74BE">
        <w:t xml:space="preserve"> </w:t>
      </w:r>
      <w:r w:rsidR="00662561">
        <w:t>would</w:t>
      </w:r>
      <w:r w:rsidR="00B27E80">
        <w:t xml:space="preserve"> </w:t>
      </w:r>
      <w:r w:rsidR="002A4057">
        <w:t>require specific design consideration</w:t>
      </w:r>
      <w:r w:rsidR="00E96433">
        <w:t xml:space="preserve"> when</w:t>
      </w:r>
      <w:r w:rsidR="00543D88">
        <w:t xml:space="preserve"> </w:t>
      </w:r>
      <w:r w:rsidR="00B27E80">
        <w:t>implement</w:t>
      </w:r>
      <w:r w:rsidR="00E96433">
        <w:t>ing</w:t>
      </w:r>
      <w:r w:rsidR="00B27E80">
        <w:t xml:space="preserve"> the CIS in the </w:t>
      </w:r>
      <w:proofErr w:type="gramStart"/>
      <w:r w:rsidR="00B27E80">
        <w:t>WEM</w:t>
      </w:r>
      <w:r w:rsidR="00662561">
        <w:t>, and</w:t>
      </w:r>
      <w:proofErr w:type="gramEnd"/>
      <w:r w:rsidR="00662561">
        <w:t xml:space="preserve"> committed to </w:t>
      </w:r>
      <w:r w:rsidR="005463C7">
        <w:t>further industry consultation</w:t>
      </w:r>
      <w:r w:rsidR="00B27E80">
        <w:t>.</w:t>
      </w:r>
    </w:p>
    <w:p w14:paraId="1596356A" w14:textId="1C8ABF12" w:rsidR="00797A3B" w:rsidRDefault="00EC3118" w:rsidP="0078143A">
      <w:r w:rsidRPr="00882779">
        <w:t>The Western Australian electricity sector is undergoing rapid transformatio</w:t>
      </w:r>
      <w:r w:rsidR="0062179E" w:rsidRPr="00882779">
        <w:t xml:space="preserve">n and will require </w:t>
      </w:r>
      <w:r w:rsidR="00F21201" w:rsidRPr="00882779">
        <w:t>significant</w:t>
      </w:r>
      <w:r w:rsidRPr="00882779">
        <w:t xml:space="preserve"> investment in new generation and storage capacity to secure a smooth transition.</w:t>
      </w:r>
      <w:r w:rsidR="002C7D6F" w:rsidRPr="00882779">
        <w:t xml:space="preserve"> </w:t>
      </w:r>
      <w:r w:rsidR="0078143A" w:rsidRPr="00882779">
        <w:t>The 2023</w:t>
      </w:r>
      <w:r w:rsidR="00EB0B72" w:rsidRPr="00882779">
        <w:t xml:space="preserve"> </w:t>
      </w:r>
      <w:r w:rsidR="00A255ED" w:rsidRPr="00882779">
        <w:t xml:space="preserve">WEM </w:t>
      </w:r>
      <w:r w:rsidR="0096320B" w:rsidRPr="00882779">
        <w:t xml:space="preserve">Electricity Statement of </w:t>
      </w:r>
      <w:r w:rsidR="00427C58" w:rsidRPr="00882779">
        <w:t>Opportunities (</w:t>
      </w:r>
      <w:r w:rsidR="0078143A" w:rsidRPr="00882779">
        <w:t>ESOO</w:t>
      </w:r>
      <w:r w:rsidR="002E6E23" w:rsidRPr="00882779">
        <w:t>)</w:t>
      </w:r>
      <w:r w:rsidR="00B365FF">
        <w:rPr>
          <w:rStyle w:val="FootnoteReference"/>
        </w:rPr>
        <w:footnoteReference w:id="6"/>
      </w:r>
      <w:r w:rsidR="002E6E23" w:rsidRPr="00882779">
        <w:t xml:space="preserve"> </w:t>
      </w:r>
      <w:r w:rsidR="008C157C" w:rsidRPr="00882779">
        <w:t xml:space="preserve">has projected </w:t>
      </w:r>
      <w:r w:rsidR="006D2719" w:rsidRPr="00882779">
        <w:t xml:space="preserve">the need </w:t>
      </w:r>
      <w:r w:rsidR="00A12C77" w:rsidRPr="00882779">
        <w:t xml:space="preserve">for </w:t>
      </w:r>
      <w:r w:rsidR="003B4D94" w:rsidRPr="00882779">
        <w:t xml:space="preserve">significant investment in new capacity </w:t>
      </w:r>
      <w:r w:rsidR="00086A26" w:rsidRPr="00882779">
        <w:t xml:space="preserve">over the coming decade </w:t>
      </w:r>
      <w:r w:rsidR="00C60C3A" w:rsidRPr="00882779">
        <w:t xml:space="preserve">to </w:t>
      </w:r>
      <w:r w:rsidR="00713ED4" w:rsidRPr="00882779">
        <w:t xml:space="preserve">meet </w:t>
      </w:r>
      <w:r w:rsidR="0078143A" w:rsidRPr="00882779">
        <w:t>grow</w:t>
      </w:r>
      <w:r w:rsidR="00185B9C" w:rsidRPr="00882779">
        <w:t>i</w:t>
      </w:r>
      <w:r w:rsidR="0078143A" w:rsidRPr="00882779">
        <w:t>n</w:t>
      </w:r>
      <w:r w:rsidR="00185B9C" w:rsidRPr="00882779">
        <w:t>g</w:t>
      </w:r>
      <w:r w:rsidR="0078143A" w:rsidRPr="00882779">
        <w:t xml:space="preserve"> electricity demand, </w:t>
      </w:r>
      <w:r w:rsidR="000215C2" w:rsidRPr="00882779">
        <w:t>replace</w:t>
      </w:r>
      <w:r w:rsidR="0078143A" w:rsidRPr="00882779">
        <w:t xml:space="preserve"> </w:t>
      </w:r>
      <w:r w:rsidR="00576F76" w:rsidRPr="00882779">
        <w:t xml:space="preserve">retiring </w:t>
      </w:r>
      <w:r w:rsidR="0078143A" w:rsidRPr="00882779">
        <w:t>coal</w:t>
      </w:r>
      <w:r w:rsidR="00301014" w:rsidRPr="00882779">
        <w:t xml:space="preserve">-fired </w:t>
      </w:r>
      <w:r w:rsidR="0078143A" w:rsidRPr="00882779">
        <w:t>generators</w:t>
      </w:r>
      <w:r w:rsidR="0078143A" w:rsidRPr="00882779">
        <w:rPr>
          <w:vertAlign w:val="superscript"/>
        </w:rPr>
        <w:footnoteReference w:id="7"/>
      </w:r>
      <w:r w:rsidR="0078143A" w:rsidRPr="00882779">
        <w:t xml:space="preserve"> and </w:t>
      </w:r>
      <w:r w:rsidR="00252093" w:rsidRPr="00882779">
        <w:t>to meet commitments from industry and government to reduce carbon emissions</w:t>
      </w:r>
      <w:r w:rsidR="000D2DE7" w:rsidRPr="00882779">
        <w:t>.</w:t>
      </w:r>
    </w:p>
    <w:tbl>
      <w:tblPr>
        <w:tblStyle w:val="TableGrid"/>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5"/>
      </w:tblGrid>
      <w:tr w:rsidR="00797A3B" w14:paraId="588704B4" w14:textId="77777777" w:rsidTr="31293663">
        <w:trPr>
          <w:trHeight w:val="520"/>
        </w:trPr>
        <w:tc>
          <w:tcPr>
            <w:tcW w:w="9295" w:type="dxa"/>
            <w:shd w:val="clear" w:color="auto" w:fill="D8F2EE" w:themeFill="accent2" w:themeFillTint="33"/>
          </w:tcPr>
          <w:p w14:paraId="59DBF2AF" w14:textId="1358E99F" w:rsidR="007067B7" w:rsidRDefault="35618530" w:rsidP="31293663">
            <w:pPr>
              <w:spacing w:before="120" w:after="120"/>
            </w:pPr>
            <w:r>
              <w:t xml:space="preserve">Subject to </w:t>
            </w:r>
            <w:r w:rsidR="36547FFC">
              <w:t xml:space="preserve">a </w:t>
            </w:r>
            <w:r>
              <w:t xml:space="preserve">final </w:t>
            </w:r>
            <w:r w:rsidR="217F37C8">
              <w:t xml:space="preserve">Renewable Energy Transformation Agreement </w:t>
            </w:r>
            <w:r w:rsidR="009B07A6">
              <w:t>being agreed by</w:t>
            </w:r>
            <w:r>
              <w:t xml:space="preserve"> the </w:t>
            </w:r>
            <w:r w:rsidR="009B07A6">
              <w:t xml:space="preserve">Commonwealth and </w:t>
            </w:r>
            <w:r>
              <w:t>WA Government</w:t>
            </w:r>
            <w:r w:rsidR="009B07A6">
              <w:t>s</w:t>
            </w:r>
            <w:r w:rsidR="6D9FD3FD">
              <w:t xml:space="preserve"> and the availability of suitably meritorious projects</w:t>
            </w:r>
            <w:r>
              <w:t>, t</w:t>
            </w:r>
            <w:r w:rsidR="007067B7">
              <w:t xml:space="preserve">he CIS </w:t>
            </w:r>
            <w:r w:rsidR="00A60801">
              <w:t>wi</w:t>
            </w:r>
            <w:r w:rsidR="007E67F7">
              <w:t>ll target a</w:t>
            </w:r>
            <w:r w:rsidR="54922E10">
              <w:t>n indicative</w:t>
            </w:r>
            <w:r w:rsidR="007E67F7">
              <w:t xml:space="preserve"> </w:t>
            </w:r>
            <w:r w:rsidR="00CE0D38">
              <w:t>6.5</w:t>
            </w:r>
            <w:r w:rsidR="003C6859">
              <w:t xml:space="preserve"> </w:t>
            </w:r>
            <w:r w:rsidR="00CE0D38">
              <w:t>TW</w:t>
            </w:r>
            <w:r w:rsidR="00753BDA">
              <w:t>h of VRE</w:t>
            </w:r>
            <w:r w:rsidR="003C6859">
              <w:t xml:space="preserve"> and 1.1 </w:t>
            </w:r>
            <w:r w:rsidR="00F858C0">
              <w:t>GW of four-hour equivalent</w:t>
            </w:r>
            <w:r w:rsidR="00AD4E74">
              <w:t xml:space="preserve"> dispatchable capacity</w:t>
            </w:r>
            <w:r w:rsidR="000A2A48">
              <w:t xml:space="preserve"> in the WEM</w:t>
            </w:r>
            <w:r w:rsidR="640218BF">
              <w:t xml:space="preserve"> over the period to 2030</w:t>
            </w:r>
            <w:r w:rsidR="001A135C">
              <w:t>.</w:t>
            </w:r>
          </w:p>
          <w:p w14:paraId="5C7390CE" w14:textId="78419B44" w:rsidR="00921E57" w:rsidRPr="00921E57" w:rsidRDefault="00797A3B" w:rsidP="00C85352">
            <w:pPr>
              <w:spacing w:before="120" w:after="120"/>
              <w:rPr>
                <w:lang w:val="en-GB" w:eastAsia="en-AU"/>
              </w:rPr>
            </w:pPr>
            <w:r>
              <w:t xml:space="preserve">DCCEEW is preparing to commence the first CIS tender for the WEM in </w:t>
            </w:r>
            <w:r w:rsidR="00F3393F">
              <w:t>June</w:t>
            </w:r>
            <w:r>
              <w:t xml:space="preserve"> 2024, w</w:t>
            </w:r>
            <w:r w:rsidR="005E213E">
              <w:t>ith an indicative target of 500</w:t>
            </w:r>
            <w:r w:rsidR="003C6859">
              <w:t xml:space="preserve"> </w:t>
            </w:r>
            <w:r w:rsidR="005E213E">
              <w:t>MW of clean dispatchable capa</w:t>
            </w:r>
            <w:r w:rsidR="003A745A">
              <w:t>city</w:t>
            </w:r>
          </w:p>
        </w:tc>
      </w:tr>
    </w:tbl>
    <w:p w14:paraId="50F3BFED" w14:textId="0ABCF7DE" w:rsidR="007D1AF6" w:rsidRPr="00882779" w:rsidRDefault="007D1AF6" w:rsidP="0078143A">
      <w:r>
        <w:lastRenderedPageBreak/>
        <w:t xml:space="preserve">Eligible </w:t>
      </w:r>
      <w:r w:rsidR="00F35CB2">
        <w:t xml:space="preserve">clean dispatchable </w:t>
      </w:r>
      <w:r>
        <w:t xml:space="preserve">projects </w:t>
      </w:r>
      <w:r w:rsidR="00985640">
        <w:t>for this tender:</w:t>
      </w:r>
    </w:p>
    <w:p w14:paraId="7C27A784" w14:textId="0DA44C74" w:rsidR="002F10A1" w:rsidRDefault="00DA55DB" w:rsidP="00C85352">
      <w:pPr>
        <w:pStyle w:val="ListParagraph"/>
        <w:numPr>
          <w:ilvl w:val="0"/>
          <w:numId w:val="52"/>
        </w:numPr>
      </w:pPr>
      <w:bookmarkStart w:id="46" w:name="_Ref157550286"/>
      <w:r>
        <w:t xml:space="preserve">are yet to reach financial close </w:t>
      </w:r>
      <w:r w:rsidR="00DA411C">
        <w:t xml:space="preserve">(or reached </w:t>
      </w:r>
      <w:r w:rsidR="002F10A1">
        <w:t xml:space="preserve">financial close </w:t>
      </w:r>
      <w:r w:rsidR="006472DA">
        <w:t xml:space="preserve">after </w:t>
      </w:r>
      <w:r>
        <w:t>the announcement of the Capacity Inv</w:t>
      </w:r>
      <w:r w:rsidR="006472DA">
        <w:t xml:space="preserve">estment Scheme on </w:t>
      </w:r>
      <w:r w:rsidR="002F10A1">
        <w:t>8 December 2022</w:t>
      </w:r>
      <w:proofErr w:type="gramStart"/>
      <w:r w:rsidR="00DA411C">
        <w:t>)</w:t>
      </w:r>
      <w:r w:rsidR="002F10A1">
        <w:t>;</w:t>
      </w:r>
      <w:proofErr w:type="gramEnd"/>
      <w:r w:rsidR="002F10A1">
        <w:t xml:space="preserve"> </w:t>
      </w:r>
    </w:p>
    <w:p w14:paraId="0934470F" w14:textId="2849139C" w:rsidR="00F63487" w:rsidRDefault="00A0292C" w:rsidP="00C85352">
      <w:pPr>
        <w:pStyle w:val="ListParagraph"/>
        <w:numPr>
          <w:ilvl w:val="0"/>
          <w:numId w:val="52"/>
        </w:numPr>
      </w:pPr>
      <w:r>
        <w:t xml:space="preserve">will </w:t>
      </w:r>
      <w:r w:rsidR="002F10A1">
        <w:t>be expected to participate in the 2025</w:t>
      </w:r>
      <w:r w:rsidR="54630964">
        <w:t xml:space="preserve"> Reserve Capacity Cycle</w:t>
      </w:r>
      <w:r w:rsidR="002F10A1">
        <w:t xml:space="preserve"> </w:t>
      </w:r>
      <w:r w:rsidR="69E2D970">
        <w:t>(</w:t>
      </w:r>
      <w:r w:rsidR="002F10A1">
        <w:t>RCC</w:t>
      </w:r>
      <w:r w:rsidR="7268C96B">
        <w:t>)</w:t>
      </w:r>
      <w:r w:rsidR="001247CC">
        <w:t xml:space="preserve"> </w:t>
      </w:r>
      <w:r w:rsidR="00906138">
        <w:t>o</w:t>
      </w:r>
      <w:r w:rsidR="0029566C">
        <w:t>r</w:t>
      </w:r>
      <w:r w:rsidR="00906138">
        <w:t xml:space="preserve"> </w:t>
      </w:r>
      <w:r w:rsidR="001247CC">
        <w:t>be participating in the 2024 RCC</w:t>
      </w:r>
      <w:r w:rsidR="002F10A1">
        <w:t>; and</w:t>
      </w:r>
    </w:p>
    <w:p w14:paraId="4A2F4CB4" w14:textId="41CBE38E" w:rsidR="007779B9" w:rsidRPr="00C85352" w:rsidRDefault="006A4939" w:rsidP="00C85352">
      <w:pPr>
        <w:pStyle w:val="ListParagraph"/>
        <w:numPr>
          <w:ilvl w:val="0"/>
          <w:numId w:val="52"/>
        </w:numPr>
      </w:pPr>
      <w:r>
        <w:t xml:space="preserve">will </w:t>
      </w:r>
      <w:r w:rsidR="002F10A1">
        <w:t>be expected to be in operation no later than 1 October 2027</w:t>
      </w:r>
      <w:r w:rsidR="00B47F74">
        <w:t xml:space="preserve"> (facilities receiving Capacity Credits </w:t>
      </w:r>
      <w:r w:rsidR="00D869B5">
        <w:t xml:space="preserve">(as described in section </w:t>
      </w:r>
      <w:r w:rsidR="00B85D50">
        <w:fldChar w:fldCharType="begin"/>
      </w:r>
      <w:r w:rsidR="00B85D50">
        <w:instrText xml:space="preserve"> REF _Ref163115791 \r \h </w:instrText>
      </w:r>
      <w:r w:rsidR="00B85D50">
        <w:fldChar w:fldCharType="separate"/>
      </w:r>
      <w:r w:rsidR="00B85D50">
        <w:t>2.2</w:t>
      </w:r>
      <w:r w:rsidR="00B85D50">
        <w:fldChar w:fldCharType="end"/>
      </w:r>
      <w:r w:rsidR="00D869B5">
        <w:t>below)</w:t>
      </w:r>
      <w:r w:rsidR="00B47F74">
        <w:t xml:space="preserve"> for the first time in the 2024 RCC</w:t>
      </w:r>
      <w:r w:rsidR="00DC21E1">
        <w:t xml:space="preserve"> will need to be operational no later than 1 October 2026 a</w:t>
      </w:r>
      <w:r w:rsidR="00BA5048">
        <w:t xml:space="preserve">nd will </w:t>
      </w:r>
      <w:r w:rsidR="0074168A">
        <w:t>be assessed</w:t>
      </w:r>
      <w:r w:rsidR="00D73E15">
        <w:t xml:space="preserve"> on th</w:t>
      </w:r>
      <w:r w:rsidR="00170962">
        <w:t>e</w:t>
      </w:r>
      <w:r w:rsidR="00D73E15">
        <w:t xml:space="preserve"> basis</w:t>
      </w:r>
      <w:r w:rsidR="00170962">
        <w:t xml:space="preserve"> </w:t>
      </w:r>
      <w:r w:rsidR="001A40A7">
        <w:t xml:space="preserve">as described in section </w:t>
      </w:r>
      <w:r w:rsidR="00AF5BD3">
        <w:fldChar w:fldCharType="begin"/>
      </w:r>
      <w:r w:rsidR="00AF5BD3">
        <w:instrText xml:space="preserve"> REF _Ref163116020 \r \h </w:instrText>
      </w:r>
      <w:r w:rsidR="00AF5BD3">
        <w:fldChar w:fldCharType="separate"/>
      </w:r>
      <w:r w:rsidR="00AF5BD3">
        <w:t>3.6.2</w:t>
      </w:r>
      <w:r w:rsidR="00AF5BD3">
        <w:fldChar w:fldCharType="end"/>
      </w:r>
      <w:r w:rsidR="00A836D9">
        <w:t xml:space="preserve"> below</w:t>
      </w:r>
      <w:r w:rsidR="00B47F74">
        <w:t>)</w:t>
      </w:r>
      <w:r w:rsidR="002F10A1">
        <w:t>.</w:t>
      </w:r>
    </w:p>
    <w:p w14:paraId="02F64DA7" w14:textId="154EB12D" w:rsidR="00B964A3" w:rsidRDefault="00721FD2" w:rsidP="19B18AF1">
      <w:pPr>
        <w:rPr>
          <w:lang w:val="en-GB" w:eastAsia="en-AU"/>
        </w:rPr>
      </w:pPr>
      <w:r>
        <w:rPr>
          <w:lang w:val="en-GB" w:eastAsia="en-AU"/>
        </w:rPr>
        <w:t>It is intended that f</w:t>
      </w:r>
      <w:r w:rsidR="007779B9" w:rsidRPr="19B18AF1">
        <w:rPr>
          <w:lang w:val="en-GB" w:eastAsia="en-AU"/>
        </w:rPr>
        <w:t>uture CIS tenders for the WEM, covering both renewable capacity and clean dispatchable capacity</w:t>
      </w:r>
      <w:r w:rsidR="009A1FE3" w:rsidRPr="19B18AF1">
        <w:rPr>
          <w:lang w:val="en-GB" w:eastAsia="en-AU"/>
        </w:rPr>
        <w:t xml:space="preserve"> w</w:t>
      </w:r>
      <w:r>
        <w:rPr>
          <w:lang w:val="en-GB" w:eastAsia="en-AU"/>
        </w:rPr>
        <w:t>ould</w:t>
      </w:r>
      <w:r w:rsidR="009A1FE3" w:rsidRPr="19B18AF1">
        <w:rPr>
          <w:lang w:val="en-GB" w:eastAsia="en-AU"/>
        </w:rPr>
        <w:t xml:space="preserve"> then be conducted on a</w:t>
      </w:r>
      <w:r w:rsidR="00B61DEA" w:rsidRPr="19B18AF1">
        <w:rPr>
          <w:lang w:val="en-GB" w:eastAsia="en-AU"/>
        </w:rPr>
        <w:t>n</w:t>
      </w:r>
      <w:r w:rsidR="0060191B" w:rsidRPr="19B18AF1">
        <w:rPr>
          <w:lang w:val="en-GB" w:eastAsia="en-AU"/>
        </w:rPr>
        <w:t xml:space="preserve"> annual basis, in advance of each year’s </w:t>
      </w:r>
      <w:r w:rsidR="01A0DC3B">
        <w:t>Reserve Capacity Mechanism (RCM)</w:t>
      </w:r>
      <w:r w:rsidR="01A0DC3B" w:rsidRPr="19B18AF1">
        <w:rPr>
          <w:lang w:val="en-GB" w:eastAsia="en-AU"/>
        </w:rPr>
        <w:t xml:space="preserve"> </w:t>
      </w:r>
      <w:r w:rsidR="0060191B" w:rsidRPr="19B18AF1">
        <w:rPr>
          <w:lang w:val="en-GB" w:eastAsia="en-AU"/>
        </w:rPr>
        <w:t>process.</w:t>
      </w:r>
    </w:p>
    <w:p w14:paraId="45CC31CC" w14:textId="6A44423B" w:rsidR="00EF2AE5" w:rsidRPr="00B964A3" w:rsidRDefault="00B61DEA" w:rsidP="000373EB">
      <w:pPr>
        <w:rPr>
          <w:lang w:val="en-GB" w:eastAsia="en-AU"/>
        </w:rPr>
      </w:pPr>
      <w:r>
        <w:t>T</w:t>
      </w:r>
      <w:r w:rsidR="00B964A3" w:rsidRPr="00B964A3">
        <w:t>he CIS will target a minimum of 6.5 TWh of VRE and 1.1 GW of four-hour equivalent dispatchable capacity in the WEM, subject to</w:t>
      </w:r>
      <w:r w:rsidR="004B24AD">
        <w:t xml:space="preserve"> a final Renewable Energy Transformation Agreement being agreed by the Commonwealth and WA Governments</w:t>
      </w:r>
      <w:r w:rsidR="00A66B3F">
        <w:t xml:space="preserve"> and</w:t>
      </w:r>
      <w:r w:rsidR="00B964A3" w:rsidRPr="00B964A3">
        <w:t xml:space="preserve"> the availability of suitably meritorious projects.</w:t>
      </w:r>
    </w:p>
    <w:p w14:paraId="0216C390" w14:textId="07EB0412" w:rsidR="005463C7" w:rsidRPr="0010665D" w:rsidRDefault="003F13D1" w:rsidP="00615FFE">
      <w:pPr>
        <w:pStyle w:val="Heading2"/>
      </w:pPr>
      <w:bookmarkStart w:id="47" w:name="_Toc161385849"/>
      <w:bookmarkStart w:id="48" w:name="_Toc161388238"/>
      <w:bookmarkStart w:id="49" w:name="_Toc161388538"/>
      <w:bookmarkStart w:id="50" w:name="_Ref162942873"/>
      <w:bookmarkStart w:id="51" w:name="_Ref162944419"/>
      <w:bookmarkStart w:id="52" w:name="_Toc163162705"/>
      <w:r w:rsidRPr="0010665D">
        <w:t>Purpose of this paper</w:t>
      </w:r>
      <w:r w:rsidR="00B00B7A" w:rsidRPr="0010665D">
        <w:t xml:space="preserve"> and consultation process</w:t>
      </w:r>
      <w:bookmarkEnd w:id="46"/>
      <w:bookmarkEnd w:id="47"/>
      <w:bookmarkEnd w:id="48"/>
      <w:bookmarkEnd w:id="49"/>
      <w:bookmarkEnd w:id="50"/>
      <w:bookmarkEnd w:id="51"/>
      <w:bookmarkEnd w:id="52"/>
    </w:p>
    <w:p w14:paraId="3DDFE212" w14:textId="5C308278" w:rsidR="008F5243" w:rsidRDefault="6A5AAA8E">
      <w:r>
        <w:t>This paper</w:t>
      </w:r>
      <w:r w:rsidR="009258E7">
        <w:t xml:space="preserve"> </w:t>
      </w:r>
      <w:r w:rsidR="00F315D5">
        <w:t xml:space="preserve">describes </w:t>
      </w:r>
      <w:r w:rsidR="009258E7">
        <w:t xml:space="preserve">relevant </w:t>
      </w:r>
      <w:r w:rsidR="008F5243">
        <w:t>aspects of the CIS and the WEM and</w:t>
      </w:r>
      <w:r>
        <w:t xml:space="preserve"> set</w:t>
      </w:r>
      <w:r w:rsidR="009C6788">
        <w:t>s</w:t>
      </w:r>
      <w:r>
        <w:t xml:space="preserve"> out the proposed design for implementation of the CIS in the WEM</w:t>
      </w:r>
      <w:r w:rsidR="00A06CBC">
        <w:t xml:space="preserve"> for both </w:t>
      </w:r>
      <w:r w:rsidR="00C54367">
        <w:t xml:space="preserve">clean </w:t>
      </w:r>
      <w:r w:rsidR="00726F0E">
        <w:t xml:space="preserve">dispatchable capacity and renewable </w:t>
      </w:r>
      <w:r w:rsidR="6ED982B7">
        <w:t>capacity</w:t>
      </w:r>
      <w:r w:rsidR="00726F0E">
        <w:t>.</w:t>
      </w:r>
      <w:r w:rsidR="008F5243">
        <w:t xml:space="preserve"> </w:t>
      </w:r>
      <w:r w:rsidR="00726F0E">
        <w:t>This CIS design</w:t>
      </w:r>
      <w:r w:rsidR="008F5243">
        <w:t xml:space="preserve"> seeks to complement</w:t>
      </w:r>
      <w:r w:rsidR="00D30387">
        <w:t xml:space="preserve"> WA WEM arrangements to support new investment</w:t>
      </w:r>
      <w:r w:rsidR="008F5243">
        <w:t>.</w:t>
      </w:r>
      <w:r w:rsidR="00D578C0">
        <w:t xml:space="preserve"> </w:t>
      </w:r>
    </w:p>
    <w:p w14:paraId="72B9F84C" w14:textId="17F91F5A" w:rsidR="009C62A7" w:rsidRDefault="526FEB3A" w:rsidP="000C3406">
      <w:r>
        <w:t>DCCEEW</w:t>
      </w:r>
      <w:r w:rsidR="00D578C0">
        <w:t xml:space="preserve"> seeks targeted feedback from stakeholders</w:t>
      </w:r>
      <w:r w:rsidR="006E728C">
        <w:t xml:space="preserve"> on the proposed CIS design for the WEM, with particular focus on</w:t>
      </w:r>
      <w:r w:rsidR="001E7A6C">
        <w:t>:</w:t>
      </w:r>
    </w:p>
    <w:p w14:paraId="3268B0FD" w14:textId="46BC26FF" w:rsidR="009C62A7" w:rsidRDefault="009C62A7" w:rsidP="009C62A7">
      <w:pPr>
        <w:pStyle w:val="ListParagraph"/>
        <w:numPr>
          <w:ilvl w:val="0"/>
          <w:numId w:val="76"/>
        </w:numPr>
      </w:pPr>
      <w:r>
        <w:t xml:space="preserve">interactions between the RCM processes and CIS </w:t>
      </w:r>
      <w:proofErr w:type="gramStart"/>
      <w:r>
        <w:t>tenders;</w:t>
      </w:r>
      <w:proofErr w:type="gramEnd"/>
    </w:p>
    <w:p w14:paraId="1F922EAF" w14:textId="01974AC6" w:rsidR="001E7A6C" w:rsidRDefault="009C62A7" w:rsidP="009C62A7">
      <w:pPr>
        <w:pStyle w:val="ListParagraph"/>
        <w:numPr>
          <w:ilvl w:val="0"/>
          <w:numId w:val="76"/>
        </w:numPr>
      </w:pPr>
      <w:r>
        <w:t>the design of the CIS products in the WEM</w:t>
      </w:r>
      <w:r w:rsidR="000C3406">
        <w:t>; and</w:t>
      </w:r>
    </w:p>
    <w:p w14:paraId="56C9B1DF" w14:textId="2D17881F" w:rsidR="000C3406" w:rsidRDefault="000C3406" w:rsidP="009C62A7">
      <w:pPr>
        <w:pStyle w:val="ListParagraph"/>
        <w:numPr>
          <w:ilvl w:val="0"/>
          <w:numId w:val="76"/>
        </w:numPr>
      </w:pPr>
      <w:r>
        <w:t>the proposed eligibility and merit criteria</w:t>
      </w:r>
    </w:p>
    <w:p w14:paraId="71F9A2A0" w14:textId="1115FA22" w:rsidR="00AE2D81" w:rsidRPr="00475900" w:rsidRDefault="00AE2D81" w:rsidP="00AE2D81">
      <w:pPr>
        <w:rPr>
          <w:lang w:val="en-GB" w:eastAsia="en-AU"/>
        </w:rPr>
      </w:pPr>
      <w:r w:rsidRPr="735928A4">
        <w:rPr>
          <w:lang w:val="en-GB" w:eastAsia="en-AU"/>
        </w:rPr>
        <w:t xml:space="preserve">You can submit feedback through the </w:t>
      </w:r>
      <w:r w:rsidR="0F417271" w:rsidRPr="735928A4">
        <w:rPr>
          <w:lang w:val="en-GB" w:eastAsia="en-AU"/>
        </w:rPr>
        <w:t>d</w:t>
      </w:r>
      <w:r w:rsidRPr="735928A4">
        <w:rPr>
          <w:lang w:val="en-GB" w:eastAsia="en-AU"/>
        </w:rPr>
        <w:t xml:space="preserve">epartment’s Consultation </w:t>
      </w:r>
      <w:r w:rsidR="6E21EE18" w:rsidRPr="735928A4">
        <w:rPr>
          <w:lang w:val="en-GB" w:eastAsia="en-AU"/>
        </w:rPr>
        <w:t>H</w:t>
      </w:r>
      <w:r w:rsidRPr="735928A4">
        <w:rPr>
          <w:lang w:val="en-GB" w:eastAsia="en-AU"/>
        </w:rPr>
        <w:t>ub (</w:t>
      </w:r>
      <w:hyperlink r:id="rId17" w:history="1">
        <w:r w:rsidRPr="735928A4">
          <w:rPr>
            <w:rStyle w:val="Hyperlink"/>
            <w:lang w:val="en-GB" w:eastAsia="en-AU"/>
          </w:rPr>
          <w:t>Have Your Say</w:t>
        </w:r>
      </w:hyperlink>
      <w:r w:rsidRPr="735928A4">
        <w:rPr>
          <w:lang w:val="en-GB" w:eastAsia="en-AU"/>
        </w:rPr>
        <w:t xml:space="preserve">). </w:t>
      </w:r>
    </w:p>
    <w:p w14:paraId="10E0D468" w14:textId="52D86A67" w:rsidR="00AE2D81" w:rsidRPr="00060B53" w:rsidRDefault="00AE2D81" w:rsidP="735928A4">
      <w:pPr>
        <w:rPr>
          <w:lang w:eastAsia="en-AU"/>
        </w:rPr>
      </w:pPr>
      <w:r w:rsidRPr="735928A4">
        <w:rPr>
          <w:lang w:eastAsia="en-AU"/>
        </w:rPr>
        <w:t xml:space="preserve">Submit your feedback by </w:t>
      </w:r>
      <w:r w:rsidR="27C46802" w:rsidRPr="00A80440">
        <w:rPr>
          <w:rFonts w:eastAsiaTheme="minorEastAsia"/>
          <w:lang w:eastAsia="en-AU"/>
        </w:rPr>
        <w:t>11:59am (AEST), Monday, 6 May 2024</w:t>
      </w:r>
      <w:r w:rsidRPr="735928A4">
        <w:rPr>
          <w:lang w:eastAsia="en-AU"/>
        </w:rPr>
        <w:t xml:space="preserve">.  </w:t>
      </w:r>
    </w:p>
    <w:p w14:paraId="1C414C10" w14:textId="1D5380AD" w:rsidR="00AE2D81" w:rsidRPr="00AE2D81" w:rsidRDefault="00AE2D81" w:rsidP="00AE2D81">
      <w:pPr>
        <w:rPr>
          <w:u w:val="single"/>
          <w:lang w:val="en-GB" w:eastAsia="en-AU"/>
        </w:rPr>
      </w:pPr>
      <w:r w:rsidRPr="00093A57">
        <w:rPr>
          <w:lang w:val="en-GB" w:eastAsia="en-AU"/>
        </w:rPr>
        <w:t xml:space="preserve">The </w:t>
      </w:r>
      <w:r w:rsidR="403E154A" w:rsidRPr="00093A57">
        <w:rPr>
          <w:lang w:val="en-GB" w:eastAsia="en-AU"/>
        </w:rPr>
        <w:t>department</w:t>
      </w:r>
      <w:r w:rsidRPr="00093A57">
        <w:rPr>
          <w:lang w:val="en-GB" w:eastAsia="en-AU"/>
        </w:rPr>
        <w:t xml:space="preserve"> will also conduct a</w:t>
      </w:r>
      <w:r w:rsidR="00351696" w:rsidRPr="00093A57">
        <w:rPr>
          <w:lang w:val="en-GB" w:eastAsia="en-AU"/>
        </w:rPr>
        <w:t>n</w:t>
      </w:r>
      <w:r w:rsidRPr="00093A57">
        <w:rPr>
          <w:lang w:val="en-GB" w:eastAsia="en-AU"/>
        </w:rPr>
        <w:t xml:space="preserve"> on-line stakeholder forum in </w:t>
      </w:r>
      <w:r w:rsidR="00653136" w:rsidRPr="00093A57">
        <w:rPr>
          <w:lang w:val="en-GB" w:eastAsia="en-AU"/>
        </w:rPr>
        <w:t>A</w:t>
      </w:r>
      <w:r w:rsidR="00E75D92" w:rsidRPr="00093A57">
        <w:rPr>
          <w:lang w:val="en-GB" w:eastAsia="en-AU"/>
        </w:rPr>
        <w:t>pril</w:t>
      </w:r>
      <w:r w:rsidRPr="00093A57">
        <w:rPr>
          <w:lang w:val="en-GB" w:eastAsia="en-AU"/>
        </w:rPr>
        <w:t xml:space="preserve">. Details of the </w:t>
      </w:r>
      <w:r w:rsidR="007B6F40" w:rsidRPr="00093A57">
        <w:rPr>
          <w:lang w:val="en-GB" w:eastAsia="en-AU"/>
        </w:rPr>
        <w:t xml:space="preserve">webinar </w:t>
      </w:r>
      <w:r w:rsidRPr="00093A57">
        <w:rPr>
          <w:lang w:val="en-GB" w:eastAsia="en-AU"/>
        </w:rPr>
        <w:t xml:space="preserve">and consultation materials, including this paper, future papers, and any public responses to stakeholder questions, will be posted on the </w:t>
      </w:r>
      <w:r w:rsidR="17B26E7A" w:rsidRPr="00093A57">
        <w:rPr>
          <w:lang w:val="en-GB" w:eastAsia="en-AU"/>
        </w:rPr>
        <w:t>d</w:t>
      </w:r>
      <w:r w:rsidRPr="00093A57">
        <w:rPr>
          <w:lang w:val="en-GB" w:eastAsia="en-AU"/>
        </w:rPr>
        <w:t>epartment’s Consultation hub (</w:t>
      </w:r>
      <w:hyperlink r:id="rId18">
        <w:r w:rsidRPr="00093A57">
          <w:rPr>
            <w:rStyle w:val="Hyperlink"/>
            <w:lang w:val="en-GB" w:eastAsia="en-AU"/>
          </w:rPr>
          <w:t>Have Your Say</w:t>
        </w:r>
      </w:hyperlink>
      <w:r w:rsidRPr="00093A57">
        <w:rPr>
          <w:lang w:val="en-GB" w:eastAsia="en-AU"/>
        </w:rPr>
        <w:t>) and</w:t>
      </w:r>
      <w:r w:rsidR="71E84340" w:rsidRPr="00093A57">
        <w:rPr>
          <w:lang w:val="en-GB" w:eastAsia="en-AU"/>
        </w:rPr>
        <w:t xml:space="preserve"> Capacity Investment Scheme webpage (</w:t>
      </w:r>
      <w:hyperlink r:id="rId19">
        <w:r w:rsidR="71E84340" w:rsidRPr="00093A57">
          <w:rPr>
            <w:rStyle w:val="Hyperlink"/>
          </w:rPr>
          <w:t xml:space="preserve">Capacity Investment Scheme | </w:t>
        </w:r>
        <w:r w:rsidR="3A9B267C" w:rsidRPr="00093A57">
          <w:rPr>
            <w:rStyle w:val="Hyperlink"/>
          </w:rPr>
          <w:t>dcceew</w:t>
        </w:r>
        <w:r w:rsidR="71E84340" w:rsidRPr="00093A57">
          <w:rPr>
            <w:rStyle w:val="Hyperlink"/>
          </w:rPr>
          <w:t>.gov.au</w:t>
        </w:r>
      </w:hyperlink>
      <w:r w:rsidR="71E84340" w:rsidRPr="00093A57">
        <w:rPr>
          <w:lang w:val="en-GB" w:eastAsia="en-AU"/>
        </w:rPr>
        <w:t>).</w:t>
      </w:r>
      <w:r w:rsidR="71E84340" w:rsidRPr="6788F9EF">
        <w:rPr>
          <w:lang w:val="en-GB" w:eastAsia="en-AU"/>
        </w:rPr>
        <w:t xml:space="preserve"> </w:t>
      </w:r>
    </w:p>
    <w:p w14:paraId="187389F3" w14:textId="252682B9" w:rsidR="0039762C" w:rsidRPr="00AF099D" w:rsidRDefault="0039762C" w:rsidP="00B96176">
      <w:pPr>
        <w:pStyle w:val="HEADINGL1BLUE"/>
        <w:ind w:left="0" w:firstLine="0"/>
      </w:pPr>
      <w:bookmarkStart w:id="53" w:name="_Toc161385850"/>
      <w:bookmarkStart w:id="54" w:name="_Toc163162706"/>
      <w:r w:rsidRPr="00AF099D">
        <w:lastRenderedPageBreak/>
        <w:t>Context</w:t>
      </w:r>
      <w:bookmarkEnd w:id="53"/>
      <w:bookmarkEnd w:id="54"/>
    </w:p>
    <w:p w14:paraId="47FB8CF9" w14:textId="6A8CFC31" w:rsidR="000F4484" w:rsidRDefault="00D76C9D" w:rsidP="00CD1A75">
      <w:r>
        <w:t xml:space="preserve">The CIS seeks to ensure that new capacity enters Australian energy markets </w:t>
      </w:r>
      <w:r w:rsidR="001F5305">
        <w:t xml:space="preserve">to support reliability and affordability, </w:t>
      </w:r>
      <w:r w:rsidR="00BA1A64">
        <w:t>in a way that complements existing markets</w:t>
      </w:r>
      <w:r w:rsidR="001F5305">
        <w:t xml:space="preserve"> and processes. </w:t>
      </w:r>
      <w:r>
        <w:t>T</w:t>
      </w:r>
      <w:r w:rsidR="00026E75">
        <w:t>o achieve this, t</w:t>
      </w:r>
      <w:r>
        <w:t xml:space="preserve">he </w:t>
      </w:r>
      <w:r w:rsidR="00FD1526">
        <w:t xml:space="preserve">design of the </w:t>
      </w:r>
      <w:r>
        <w:t xml:space="preserve">CIS </w:t>
      </w:r>
      <w:r w:rsidR="00AC6928">
        <w:t xml:space="preserve">must have regard to </w:t>
      </w:r>
      <w:proofErr w:type="gramStart"/>
      <w:r w:rsidR="00AC6928">
        <w:t xml:space="preserve">particular </w:t>
      </w:r>
      <w:r w:rsidR="00FD1526">
        <w:t>market</w:t>
      </w:r>
      <w:proofErr w:type="gramEnd"/>
      <w:r w:rsidR="00FD1526">
        <w:t xml:space="preserve"> </w:t>
      </w:r>
      <w:r w:rsidR="00AC6928">
        <w:t>characteristics</w:t>
      </w:r>
      <w:r w:rsidR="00FD1526">
        <w:t xml:space="preserve"> and design elements</w:t>
      </w:r>
      <w:r w:rsidR="00B92B8F">
        <w:t xml:space="preserve"> to avoid unintended impacts on existing electricity market functions and associated rules</w:t>
      </w:r>
      <w:r>
        <w:t>.</w:t>
      </w:r>
    </w:p>
    <w:p w14:paraId="1B7BF987" w14:textId="5F7E9882" w:rsidR="000F4484" w:rsidRDefault="00A723CA" w:rsidP="00CD1A75">
      <w:r>
        <w:t xml:space="preserve">This section sets out </w:t>
      </w:r>
      <w:r w:rsidR="001B2822">
        <w:t xml:space="preserve">design </w:t>
      </w:r>
      <w:r w:rsidR="00095D9D">
        <w:t xml:space="preserve">features </w:t>
      </w:r>
      <w:r w:rsidR="00641090">
        <w:t xml:space="preserve">of </w:t>
      </w:r>
      <w:r w:rsidR="00095D9D">
        <w:t>the CIS and WEM that are relevant to</w:t>
      </w:r>
      <w:r w:rsidR="00D14C49">
        <w:t xml:space="preserve"> the proposed implementation model for the CIS</w:t>
      </w:r>
      <w:r w:rsidR="00124887">
        <w:t xml:space="preserve"> in WA.</w:t>
      </w:r>
    </w:p>
    <w:p w14:paraId="34D94698" w14:textId="59077163" w:rsidR="3DE03F03" w:rsidRPr="008921A6" w:rsidRDefault="00B1718C" w:rsidP="00615FFE">
      <w:pPr>
        <w:pStyle w:val="Heading2"/>
      </w:pPr>
      <w:bookmarkStart w:id="55" w:name="_Toc161385851"/>
      <w:bookmarkStart w:id="56" w:name="_Toc161388239"/>
      <w:bookmarkStart w:id="57" w:name="_Toc161388539"/>
      <w:bookmarkStart w:id="58" w:name="_Toc163162707"/>
      <w:r w:rsidRPr="008921A6">
        <w:t>Overview of the CIS</w:t>
      </w:r>
      <w:bookmarkEnd w:id="55"/>
      <w:bookmarkEnd w:id="56"/>
      <w:bookmarkEnd w:id="57"/>
      <w:bookmarkEnd w:id="58"/>
      <w:r w:rsidRPr="008921A6">
        <w:t xml:space="preserve"> </w:t>
      </w:r>
    </w:p>
    <w:p w14:paraId="3E06CDA3" w14:textId="5E93639A" w:rsidR="007176ED" w:rsidRDefault="7539F137" w:rsidP="00E34A69">
      <w:r>
        <w:t xml:space="preserve">The CIS is a Commonwealth scheme available </w:t>
      </w:r>
      <w:r w:rsidR="7CB6E736">
        <w:t>in</w:t>
      </w:r>
      <w:r>
        <w:t xml:space="preserve"> all jurisdictions nationally. </w:t>
      </w:r>
      <w:r w:rsidR="005C72A6">
        <w:t xml:space="preserve">It </w:t>
      </w:r>
      <w:r w:rsidR="00E34A69" w:rsidRPr="00E34A69">
        <w:t>involves the Australian Government seeking competitive tender bids for renewable capacity and clean dispatchable capacity projects</w:t>
      </w:r>
      <w:r w:rsidR="00E34A69">
        <w:t xml:space="preserve"> </w:t>
      </w:r>
      <w:r>
        <w:t>to fill expected capacity gaps</w:t>
      </w:r>
      <w:r w:rsidR="005F037B">
        <w:t xml:space="preserve"> </w:t>
      </w:r>
      <w:r w:rsidR="00354A62">
        <w:t xml:space="preserve">and support the achievement of </w:t>
      </w:r>
      <w:r w:rsidR="005C72A6" w:rsidRPr="005C72A6">
        <w:t>the Australian Government’s 82% renewable electricity by 2030 target</w:t>
      </w:r>
      <w:r>
        <w:t xml:space="preserve">. </w:t>
      </w:r>
    </w:p>
    <w:p w14:paraId="58E2D123" w14:textId="69858599" w:rsidR="00FB50E9" w:rsidRDefault="42460700" w:rsidP="00E34A69">
      <w:r>
        <w:t>Selected p</w:t>
      </w:r>
      <w:r w:rsidR="7539F137">
        <w:t>rojects</w:t>
      </w:r>
      <w:r w:rsidR="00541369">
        <w:t xml:space="preserve"> are expected to</w:t>
      </w:r>
      <w:r w:rsidR="7539F137">
        <w:t xml:space="preserve"> be offered long-term</w:t>
      </w:r>
      <w:r w:rsidR="006B38D7">
        <w:t xml:space="preserve"> Australian Government </w:t>
      </w:r>
      <w:r w:rsidR="7539F137">
        <w:t>underwriting agreements for an agreed revenue ‘floor’ and ‘ceiling’.</w:t>
      </w:r>
      <w:r w:rsidR="007176ED">
        <w:t xml:space="preserve"> </w:t>
      </w:r>
      <w:r w:rsidR="00E00411" w:rsidRPr="007176ED">
        <w:t>This</w:t>
      </w:r>
      <w:r w:rsidR="005C5742">
        <w:t xml:space="preserve"> is intended to</w:t>
      </w:r>
      <w:r w:rsidR="00E00411" w:rsidRPr="007176ED">
        <w:t xml:space="preserve"> provide a long-term revenue safety-net that decreases financial risks for investors and encourages more investment when and where it is needed. </w:t>
      </w:r>
      <w:r w:rsidR="00E00411">
        <w:t xml:space="preserve">Similar revenue underwriting schemes are being used in Australia and internationally to support investment in the energy transition. </w:t>
      </w:r>
    </w:p>
    <w:p w14:paraId="7B348478" w14:textId="26752776" w:rsidR="0017031F" w:rsidRDefault="008853E1" w:rsidP="00E34A69">
      <w:r>
        <w:t xml:space="preserve">This contract structure is </w:t>
      </w:r>
      <w:r w:rsidR="00E12A48">
        <w:t xml:space="preserve">depicted </w:t>
      </w:r>
      <w:r w:rsidR="00323E2A">
        <w:t>schematically in Figure 1.</w:t>
      </w:r>
      <w:r w:rsidR="00FB50E9">
        <w:t xml:space="preserve"> Projects under </w:t>
      </w:r>
      <w:r w:rsidR="599F9554">
        <w:t>Capacity Investment Scheme Agreements (</w:t>
      </w:r>
      <w:r w:rsidR="00FB50E9">
        <w:t>CISAs</w:t>
      </w:r>
      <w:r w:rsidR="60B5A15B">
        <w:t>)</w:t>
      </w:r>
      <w:r w:rsidR="00DF3FA1">
        <w:t xml:space="preserve"> will have a revenue floor and ceiling agreed </w:t>
      </w:r>
      <w:r w:rsidR="00902182">
        <w:t>between the proponents and the Australian Government.</w:t>
      </w:r>
      <w:r w:rsidR="009F6CD6">
        <w:t xml:space="preserve">  If revenue earned by a project exceeds the net revenue ceiling, the owner pays the Australian Government an agreed percentage of revenue above the revenue ceiling.  The Australian Government would pay the project </w:t>
      </w:r>
      <w:r w:rsidR="7128D045">
        <w:t xml:space="preserve">an agreed percentage </w:t>
      </w:r>
      <w:r w:rsidR="002969A1">
        <w:t xml:space="preserve">when revenue is below the </w:t>
      </w:r>
      <w:r w:rsidR="008F791B">
        <w:t>revenue floor.</w:t>
      </w:r>
    </w:p>
    <w:p w14:paraId="4086BA3F" w14:textId="76137A54" w:rsidR="0017031F" w:rsidRPr="00C85352" w:rsidRDefault="0017031F" w:rsidP="00551A07">
      <w:pPr>
        <w:pStyle w:val="Caption"/>
        <w:keepNext/>
        <w:rPr>
          <w:rFonts w:ascii="Calibri" w:hAnsi="Calibri" w:cs="Calibri"/>
          <w:b/>
          <w:i w:val="0"/>
          <w:sz w:val="24"/>
          <w:szCs w:val="24"/>
        </w:rPr>
      </w:pPr>
      <w:bookmarkStart w:id="59" w:name="_Toc161401274"/>
      <w:bookmarkStart w:id="60" w:name="_Toc163162725"/>
      <w:r w:rsidRPr="00C85352">
        <w:rPr>
          <w:rFonts w:ascii="Calibri" w:hAnsi="Calibri" w:cs="Calibri"/>
          <w:b/>
          <w:i w:val="0"/>
          <w:sz w:val="24"/>
          <w:szCs w:val="24"/>
        </w:rPr>
        <w:t xml:space="preserve">Figure </w:t>
      </w:r>
      <w:r w:rsidR="00551A07" w:rsidRPr="00C85352">
        <w:rPr>
          <w:rFonts w:ascii="Calibri" w:hAnsi="Calibri" w:cs="Calibri"/>
          <w:b/>
          <w:i w:val="0"/>
          <w:sz w:val="24"/>
          <w:szCs w:val="24"/>
        </w:rPr>
        <w:fldChar w:fldCharType="begin"/>
      </w:r>
      <w:r w:rsidR="00551A07" w:rsidRPr="00C85352">
        <w:rPr>
          <w:rFonts w:ascii="Calibri" w:hAnsi="Calibri" w:cs="Calibri"/>
          <w:b/>
          <w:i w:val="0"/>
          <w:sz w:val="24"/>
          <w:szCs w:val="24"/>
        </w:rPr>
        <w:instrText xml:space="preserve"> SEQ Figure \* ARABIC </w:instrText>
      </w:r>
      <w:r w:rsidR="00551A07" w:rsidRPr="00C85352">
        <w:rPr>
          <w:rFonts w:ascii="Calibri" w:hAnsi="Calibri" w:cs="Calibri"/>
          <w:b/>
          <w:i w:val="0"/>
          <w:sz w:val="24"/>
          <w:szCs w:val="24"/>
        </w:rPr>
        <w:fldChar w:fldCharType="separate"/>
      </w:r>
      <w:r w:rsidR="00ED72D0">
        <w:rPr>
          <w:rFonts w:ascii="Calibri" w:hAnsi="Calibri" w:cs="Calibri"/>
          <w:b/>
          <w:i w:val="0"/>
          <w:noProof/>
          <w:sz w:val="24"/>
          <w:szCs w:val="24"/>
        </w:rPr>
        <w:t>1</w:t>
      </w:r>
      <w:r w:rsidR="00551A07" w:rsidRPr="00C85352">
        <w:rPr>
          <w:rFonts w:ascii="Calibri" w:hAnsi="Calibri" w:cs="Calibri"/>
          <w:b/>
          <w:i w:val="0"/>
          <w:sz w:val="24"/>
          <w:szCs w:val="24"/>
        </w:rPr>
        <w:fldChar w:fldCharType="end"/>
      </w:r>
      <w:r w:rsidR="00AE4781" w:rsidRPr="00C85352">
        <w:rPr>
          <w:rFonts w:ascii="Calibri" w:hAnsi="Calibri" w:cs="Calibri"/>
          <w:b/>
          <w:i w:val="0"/>
          <w:sz w:val="24"/>
          <w:szCs w:val="24"/>
        </w:rPr>
        <w:t xml:space="preserve"> Revenue Underwriting Design Instrument</w:t>
      </w:r>
      <w:bookmarkEnd w:id="59"/>
      <w:bookmarkEnd w:id="60"/>
    </w:p>
    <w:p w14:paraId="4112A282" w14:textId="2455AB87" w:rsidR="7539F137" w:rsidRPr="0017031F" w:rsidRDefault="00533481" w:rsidP="0017031F">
      <w:r>
        <w:rPr>
          <w:noProof/>
        </w:rPr>
        <w:drawing>
          <wp:inline distT="0" distB="0" distL="0" distR="0" wp14:anchorId="6C03E076" wp14:editId="3C104F59">
            <wp:extent cx="5731510" cy="2849880"/>
            <wp:effectExtent l="0" t="0" r="2540" b="7620"/>
            <wp:docPr id="528590992" name="Picture 528590992" descr="Figure 1 shows the CIS Design.  The owner pays commonwealth X% of revenue  above ceiling.  Commonwealth pays owner Y%  shortfall below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90992" name="Picture 528590992" descr="Figure 1 shows the CIS Design.  The owner pays commonwealth X% of revenue  above ceiling.  Commonwealth pays owner Y%  shortfall below floor"/>
                    <pic:cNvPicPr/>
                  </pic:nvPicPr>
                  <pic:blipFill rotWithShape="1">
                    <a:blip r:embed="rId20">
                      <a:extLst>
                        <a:ext uri="{28A0092B-C50C-407E-A947-70E740481C1C}">
                          <a14:useLocalDpi xmlns:a14="http://schemas.microsoft.com/office/drawing/2010/main" val="0"/>
                        </a:ext>
                      </a:extLst>
                    </a:blip>
                    <a:srcRect t="11237" b="7941"/>
                    <a:stretch/>
                  </pic:blipFill>
                  <pic:spPr bwMode="auto">
                    <a:xfrm>
                      <a:off x="0" y="0"/>
                      <a:ext cx="5731510" cy="2849880"/>
                    </a:xfrm>
                    <a:prstGeom prst="rect">
                      <a:avLst/>
                    </a:prstGeom>
                    <a:ln>
                      <a:noFill/>
                    </a:ln>
                    <a:extLst>
                      <a:ext uri="{53640926-AAD7-44D8-BBD7-CCE9431645EC}">
                        <a14:shadowObscured xmlns:a14="http://schemas.microsoft.com/office/drawing/2010/main"/>
                      </a:ext>
                    </a:extLst>
                  </pic:spPr>
                </pic:pic>
              </a:graphicData>
            </a:graphic>
          </wp:inline>
        </w:drawing>
      </w:r>
    </w:p>
    <w:p w14:paraId="3E2C627E" w14:textId="6FBDCC9E" w:rsidR="00B85C43" w:rsidRDefault="7539F137" w:rsidP="3C05099E">
      <w:r>
        <w:lastRenderedPageBreak/>
        <w:br/>
      </w:r>
      <w:r w:rsidR="004B5A61">
        <w:t>This contract structure</w:t>
      </w:r>
      <w:r w:rsidR="00491436">
        <w:t xml:space="preserve"> </w:t>
      </w:r>
      <w:r w:rsidR="00651C73">
        <w:t>is intended to</w:t>
      </w:r>
      <w:r w:rsidR="00491436">
        <w:t xml:space="preserve"> </w:t>
      </w:r>
      <w:r w:rsidR="002A5483" w:rsidRPr="002A5483">
        <w:t>preserve a level o</w:t>
      </w:r>
      <w:r w:rsidR="00ED7E58">
        <w:t>f</w:t>
      </w:r>
      <w:r w:rsidR="002A5483" w:rsidRPr="002A5483">
        <w:t xml:space="preserve"> price exposure for project proponents</w:t>
      </w:r>
      <w:r w:rsidR="002A5483">
        <w:t xml:space="preserve">, ensuring that they remain incentivised to </w:t>
      </w:r>
      <w:r w:rsidR="002A5483" w:rsidRPr="002A5483">
        <w:t xml:space="preserve">participate in </w:t>
      </w:r>
      <w:r w:rsidR="00B4436E">
        <w:t xml:space="preserve">wholesale spot </w:t>
      </w:r>
      <w:r w:rsidR="002A5483" w:rsidRPr="002A5483">
        <w:t>market</w:t>
      </w:r>
      <w:r w:rsidR="00B4436E">
        <w:t>s</w:t>
      </w:r>
      <w:r w:rsidR="00927E59">
        <w:t>,</w:t>
      </w:r>
      <w:r w:rsidR="00B5046A">
        <w:t xml:space="preserve"> and </w:t>
      </w:r>
      <w:r w:rsidR="00E4370D">
        <w:t xml:space="preserve">to </w:t>
      </w:r>
      <w:r w:rsidR="00B5046A">
        <w:t xml:space="preserve">pursue </w:t>
      </w:r>
      <w:r w:rsidR="00927E59">
        <w:t xml:space="preserve">contracts and </w:t>
      </w:r>
      <w:r w:rsidR="00B5046A">
        <w:t>alternative revenue streams to ensure more competitive financial bids</w:t>
      </w:r>
      <w:r w:rsidR="002A5483" w:rsidRPr="002A5483">
        <w:t>.</w:t>
      </w:r>
      <w:r w:rsidR="008D14AE">
        <w:t xml:space="preserve"> </w:t>
      </w:r>
      <w:r w:rsidR="00B85C43">
        <w:t xml:space="preserve">Except for limited performance requirements, </w:t>
      </w:r>
      <w:r w:rsidR="00651C73">
        <w:t xml:space="preserve">it is not intended that </w:t>
      </w:r>
      <w:r w:rsidR="00B85C43">
        <w:t xml:space="preserve">the CIS will impose </w:t>
      </w:r>
      <w:r w:rsidR="00560336">
        <w:t xml:space="preserve">additional </w:t>
      </w:r>
      <w:r w:rsidR="00B85C43">
        <w:t>operational requirements on projects</w:t>
      </w:r>
      <w:r w:rsidR="00901010">
        <w:t xml:space="preserve">, and CIS projects will </w:t>
      </w:r>
      <w:r w:rsidR="00586DFF" w:rsidRPr="3C05099E">
        <w:rPr>
          <w:lang w:val="en-GB" w:eastAsia="en-AU"/>
        </w:rPr>
        <w:t>remain subject to AEMO directions</w:t>
      </w:r>
      <w:r w:rsidR="00DD730A">
        <w:t>.</w:t>
      </w:r>
      <w:r w:rsidR="006C0C14">
        <w:t xml:space="preserve"> </w:t>
      </w:r>
      <w:r w:rsidR="008477A1">
        <w:t>C</w:t>
      </w:r>
      <w:r w:rsidR="00946763">
        <w:t xml:space="preserve">hanges to </w:t>
      </w:r>
      <w:r w:rsidR="00227468">
        <w:t>market</w:t>
      </w:r>
      <w:r w:rsidR="00946763">
        <w:t xml:space="preserve"> rules that may occur over time will apply to CIS projects.</w:t>
      </w:r>
    </w:p>
    <w:p w14:paraId="0581F047" w14:textId="362EBDD0" w:rsidR="007E691B" w:rsidRDefault="00752C5B" w:rsidP="3C05099E">
      <w:r>
        <w:t>The CIS includes two types of revenue underwriting contracts</w:t>
      </w:r>
      <w:r w:rsidR="0055609C">
        <w:t>, each of which can have a contract term of up to 15 years</w:t>
      </w:r>
      <w:r>
        <w:t>:</w:t>
      </w:r>
    </w:p>
    <w:p w14:paraId="67DC6185" w14:textId="67D34F30" w:rsidR="00752C5B" w:rsidRPr="00C85352" w:rsidRDefault="00837307" w:rsidP="00752C5B">
      <w:pPr>
        <w:pStyle w:val="ListParagraph"/>
        <w:numPr>
          <w:ilvl w:val="0"/>
          <w:numId w:val="34"/>
        </w:numPr>
        <w:rPr>
          <w:rFonts w:eastAsia="Calibri Light" w:cs="Calibri Light"/>
          <w:lang w:val="en-GB"/>
        </w:rPr>
      </w:pPr>
      <w:r>
        <w:rPr>
          <w:b/>
          <w:bCs/>
        </w:rPr>
        <w:t xml:space="preserve">Clean Dispatchable CISA: </w:t>
      </w:r>
      <w:r>
        <w:t xml:space="preserve">to support </w:t>
      </w:r>
      <w:r w:rsidR="00C500E0" w:rsidRPr="00C500E0">
        <w:t xml:space="preserve">projects that are registered or intend to be registered with AEMO </w:t>
      </w:r>
      <w:r w:rsidR="00C500E0">
        <w:t>in the WEM</w:t>
      </w:r>
      <w:r w:rsidR="00C500E0" w:rsidRPr="00C500E0">
        <w:t xml:space="preserve"> and capable of dispatching as a clean dispatchable generator at a registered capacity of two hours or more</w:t>
      </w:r>
      <w:r w:rsidR="00752C5B" w:rsidRPr="008F3A74">
        <w:t>;</w:t>
      </w:r>
      <w:r w:rsidR="00B52141">
        <w:t xml:space="preserve"> and</w:t>
      </w:r>
    </w:p>
    <w:p w14:paraId="320F0D7B" w14:textId="5F980054" w:rsidR="00B52141" w:rsidRPr="008F3A74" w:rsidRDefault="00B52141" w:rsidP="00752C5B">
      <w:pPr>
        <w:pStyle w:val="ListParagraph"/>
        <w:numPr>
          <w:ilvl w:val="0"/>
          <w:numId w:val="34"/>
        </w:numPr>
        <w:rPr>
          <w:rFonts w:eastAsia="Calibri Light" w:cs="Calibri Light"/>
          <w:lang w:val="en-GB"/>
        </w:rPr>
      </w:pPr>
      <w:r w:rsidRPr="31293663">
        <w:rPr>
          <w:b/>
          <w:bCs/>
        </w:rPr>
        <w:t>Generation CISA:</w:t>
      </w:r>
      <w:r>
        <w:t xml:space="preserve"> </w:t>
      </w:r>
      <w:r w:rsidR="0055609C">
        <w:t>to support clean renewable projects that are registered or intend to be registered with AEMO</w:t>
      </w:r>
      <w:r w:rsidR="201B9225">
        <w:t xml:space="preserve"> in the WEM</w:t>
      </w:r>
      <w:r w:rsidR="0055609C">
        <w:t xml:space="preserve"> for the central dispatch process.</w:t>
      </w:r>
    </w:p>
    <w:p w14:paraId="47FB8284" w14:textId="3E53E04E" w:rsidR="00D9444F" w:rsidRDefault="00C372B1" w:rsidP="00615FFE">
      <w:pPr>
        <w:pStyle w:val="Heading2"/>
      </w:pPr>
      <w:bookmarkStart w:id="61" w:name="_Toc161385852"/>
      <w:bookmarkStart w:id="62" w:name="_Toc161385957"/>
      <w:bookmarkStart w:id="63" w:name="_Toc161388178"/>
      <w:bookmarkStart w:id="64" w:name="_Toc161388206"/>
      <w:bookmarkStart w:id="65" w:name="_Toc161388240"/>
      <w:bookmarkStart w:id="66" w:name="_Toc161388540"/>
      <w:bookmarkStart w:id="67" w:name="_Toc161388575"/>
      <w:bookmarkStart w:id="68" w:name="_Toc161388716"/>
      <w:bookmarkStart w:id="69" w:name="_Toc161388788"/>
      <w:bookmarkStart w:id="70" w:name="_Toc161388931"/>
      <w:bookmarkStart w:id="71" w:name="_Toc161390047"/>
      <w:bookmarkStart w:id="72" w:name="_Toc161390457"/>
      <w:bookmarkStart w:id="73" w:name="_Toc161390477"/>
      <w:bookmarkStart w:id="74" w:name="_Toc161390496"/>
      <w:bookmarkStart w:id="75" w:name="_Toc161390525"/>
      <w:bookmarkStart w:id="76" w:name="_Toc161652782"/>
      <w:bookmarkStart w:id="77" w:name="_Toc161385853"/>
      <w:bookmarkStart w:id="78" w:name="_Toc161388241"/>
      <w:bookmarkStart w:id="79" w:name="_Toc161388541"/>
      <w:bookmarkStart w:id="80" w:name="_Ref163115791"/>
      <w:bookmarkStart w:id="81" w:name="_Toc16316270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Overview </w:t>
      </w:r>
      <w:r w:rsidR="00D9444F">
        <w:t>of the WEM</w:t>
      </w:r>
      <w:bookmarkEnd w:id="77"/>
      <w:bookmarkEnd w:id="78"/>
      <w:bookmarkEnd w:id="79"/>
      <w:bookmarkEnd w:id="80"/>
      <w:bookmarkEnd w:id="81"/>
    </w:p>
    <w:p w14:paraId="2AA99D7E" w14:textId="53B0450F" w:rsidR="00F26F30" w:rsidRDefault="00F26F30" w:rsidP="00D9444F">
      <w:pPr>
        <w:rPr>
          <w:rFonts w:eastAsia="Calibri Light" w:cs="Calibri Light"/>
          <w:lang w:val="en-GB"/>
        </w:rPr>
      </w:pPr>
      <w:r>
        <w:rPr>
          <w:rFonts w:eastAsia="Calibri Light" w:cs="Calibri Light"/>
          <w:lang w:val="en-GB"/>
        </w:rPr>
        <w:t xml:space="preserve">This section </w:t>
      </w:r>
      <w:r w:rsidR="003702B0">
        <w:rPr>
          <w:rFonts w:eastAsia="Calibri Light" w:cs="Calibri Light"/>
          <w:lang w:val="en-GB"/>
        </w:rPr>
        <w:t xml:space="preserve">provides a general overview of the </w:t>
      </w:r>
      <w:r w:rsidR="00021809">
        <w:rPr>
          <w:rFonts w:eastAsia="Calibri Light" w:cs="Calibri Light"/>
          <w:lang w:val="en-GB"/>
        </w:rPr>
        <w:t>operation of the Wholesale Electricity Market.</w:t>
      </w:r>
    </w:p>
    <w:p w14:paraId="7537F134" w14:textId="41F9E3EC" w:rsidR="00D44F24" w:rsidRPr="008F3A74" w:rsidRDefault="00E53CBB" w:rsidP="00D9444F">
      <w:r w:rsidRPr="00E53CBB">
        <w:rPr>
          <w:rFonts w:eastAsia="Calibri Light" w:cs="Calibri Light"/>
          <w:lang w:val="en-GB"/>
        </w:rPr>
        <w:t xml:space="preserve">The WEM operates in the </w:t>
      </w:r>
      <w:proofErr w:type="gramStart"/>
      <w:r w:rsidRPr="00E53CBB">
        <w:rPr>
          <w:rFonts w:eastAsia="Calibri Light" w:cs="Calibri Light"/>
          <w:lang w:val="en-GB"/>
        </w:rPr>
        <w:t>South West</w:t>
      </w:r>
      <w:proofErr w:type="gramEnd"/>
      <w:r w:rsidRPr="00E53CBB">
        <w:rPr>
          <w:rFonts w:eastAsia="Calibri Light" w:cs="Calibri Light"/>
          <w:lang w:val="en-GB"/>
        </w:rPr>
        <w:t xml:space="preserve"> Interconnected System (SWIS), which covers the south-west of </w:t>
      </w:r>
      <w:r w:rsidRPr="008F3A74">
        <w:rPr>
          <w:rFonts w:eastAsia="Calibri Light" w:cs="Calibri Light"/>
          <w:lang w:val="en-GB"/>
        </w:rPr>
        <w:t>WA.</w:t>
      </w:r>
      <w:r w:rsidR="00D44F24" w:rsidRPr="008F3A74">
        <w:rPr>
          <w:rFonts w:eastAsia="Calibri Light" w:cs="Calibri Light"/>
          <w:lang w:val="en-GB"/>
        </w:rPr>
        <w:t xml:space="preserve"> Its design</w:t>
      </w:r>
      <w:r w:rsidR="00392FC2">
        <w:rPr>
          <w:rStyle w:val="FootnoteReference"/>
          <w:rFonts w:eastAsia="Calibri Light" w:cs="Calibri Light"/>
          <w:lang w:val="en-GB"/>
        </w:rPr>
        <w:footnoteReference w:id="8"/>
      </w:r>
      <w:r w:rsidR="00D44F24" w:rsidRPr="008F3A74">
        <w:rPr>
          <w:rFonts w:eastAsia="Calibri Light" w:cs="Calibri Light"/>
          <w:lang w:val="en-GB"/>
        </w:rPr>
        <w:t xml:space="preserve"> </w:t>
      </w:r>
      <w:r w:rsidR="00032284" w:rsidRPr="008F3A74">
        <w:rPr>
          <w:rFonts w:eastAsia="Calibri Light" w:cs="Calibri Light"/>
          <w:lang w:val="en-GB"/>
        </w:rPr>
        <w:t xml:space="preserve">is </w:t>
      </w:r>
      <w:r w:rsidR="00A701FD" w:rsidRPr="008F3A74">
        <w:rPr>
          <w:rFonts w:eastAsia="Calibri Light" w:cs="Calibri Light"/>
          <w:lang w:val="en-GB"/>
        </w:rPr>
        <w:t xml:space="preserve">substantially </w:t>
      </w:r>
      <w:r w:rsidR="00D44F24" w:rsidRPr="008F3A74">
        <w:t>comprise</w:t>
      </w:r>
      <w:r w:rsidR="00032284" w:rsidRPr="008F3A74">
        <w:t>d of</w:t>
      </w:r>
      <w:r w:rsidR="00D44F24" w:rsidRPr="008F3A74">
        <w:t xml:space="preserve">: </w:t>
      </w:r>
    </w:p>
    <w:p w14:paraId="6DDCC98A" w14:textId="5215BE01" w:rsidR="00CA361D" w:rsidRPr="008F3A74" w:rsidRDefault="00CA361D" w:rsidP="00CA361D">
      <w:pPr>
        <w:pStyle w:val="ListParagraph"/>
        <w:numPr>
          <w:ilvl w:val="0"/>
          <w:numId w:val="34"/>
        </w:numPr>
        <w:rPr>
          <w:rFonts w:eastAsia="Calibri Light" w:cs="Calibri Light"/>
          <w:lang w:val="en-GB"/>
        </w:rPr>
      </w:pPr>
      <w:r w:rsidRPr="008F3A74">
        <w:t xml:space="preserve">the Reserve Capacity Mechanism (RCM), which seeks to procure capacity on behalf of the market to meet reliability </w:t>
      </w:r>
      <w:proofErr w:type="gramStart"/>
      <w:r w:rsidRPr="008F3A74">
        <w:t>goals;</w:t>
      </w:r>
      <w:proofErr w:type="gramEnd"/>
    </w:p>
    <w:p w14:paraId="1B5A3DB3" w14:textId="77777777" w:rsidR="00DF2790" w:rsidRPr="008F3A74" w:rsidRDefault="00DF2790" w:rsidP="00322519">
      <w:pPr>
        <w:pStyle w:val="ListParagraph"/>
        <w:numPr>
          <w:ilvl w:val="0"/>
          <w:numId w:val="34"/>
        </w:numPr>
        <w:rPr>
          <w:rFonts w:eastAsia="Calibri Light" w:cs="Calibri Light"/>
          <w:lang w:val="en-GB"/>
        </w:rPr>
      </w:pPr>
      <w:r w:rsidRPr="008F3A74">
        <w:t>t</w:t>
      </w:r>
      <w:r w:rsidR="00784581" w:rsidRPr="008F3A74">
        <w:t xml:space="preserve">he </w:t>
      </w:r>
      <w:proofErr w:type="gramStart"/>
      <w:r w:rsidR="00784581" w:rsidRPr="008F3A74">
        <w:t>Short</w:t>
      </w:r>
      <w:r w:rsidRPr="008F3A74">
        <w:t xml:space="preserve"> </w:t>
      </w:r>
      <w:r w:rsidR="00784581" w:rsidRPr="008F3A74">
        <w:t>Term</w:t>
      </w:r>
      <w:proofErr w:type="gramEnd"/>
      <w:r w:rsidR="00784581" w:rsidRPr="008F3A74">
        <w:t xml:space="preserve"> Energy Market</w:t>
      </w:r>
      <w:r w:rsidRPr="008F3A74">
        <w:t xml:space="preserve"> (STEM)</w:t>
      </w:r>
      <w:r w:rsidR="00784581" w:rsidRPr="008F3A74">
        <w:t xml:space="preserve">, which </w:t>
      </w:r>
      <w:r w:rsidRPr="008F3A74">
        <w:t>provides for</w:t>
      </w:r>
      <w:r w:rsidR="00D44F24" w:rsidRPr="008F3A74">
        <w:t xml:space="preserve"> </w:t>
      </w:r>
      <w:r w:rsidR="008B44E4" w:rsidRPr="008F3A74">
        <w:t xml:space="preserve">day-ahead </w:t>
      </w:r>
      <w:r w:rsidRPr="008F3A74">
        <w:t xml:space="preserve">wholesale trading of </w:t>
      </w:r>
      <w:r w:rsidR="00D44F24" w:rsidRPr="008F3A74">
        <w:t>electricity</w:t>
      </w:r>
      <w:r w:rsidRPr="008F3A74">
        <w:t>;</w:t>
      </w:r>
    </w:p>
    <w:p w14:paraId="33C0EA7F" w14:textId="105AA67E" w:rsidR="00B01087" w:rsidRPr="008F3A74" w:rsidRDefault="00DF2790" w:rsidP="00322519">
      <w:pPr>
        <w:pStyle w:val="ListParagraph"/>
        <w:numPr>
          <w:ilvl w:val="0"/>
          <w:numId w:val="34"/>
        </w:numPr>
        <w:rPr>
          <w:rFonts w:eastAsia="Calibri Light" w:cs="Calibri Light"/>
          <w:lang w:val="en-GB"/>
        </w:rPr>
      </w:pPr>
      <w:r>
        <w:t>the Real-Time Market (RTM)</w:t>
      </w:r>
      <w:r w:rsidR="00B01087">
        <w:t>, which provides for wholesale trading of electricity and procurement of Frequency Co</w:t>
      </w:r>
      <w:r w:rsidR="000D0E01">
        <w:t>-optimised</w:t>
      </w:r>
      <w:r w:rsidR="00B01087">
        <w:t xml:space="preserve"> Essential System Services</w:t>
      </w:r>
      <w:r w:rsidR="001A6D57">
        <w:t xml:space="preserve"> (FCESS)</w:t>
      </w:r>
      <w:r w:rsidR="002F2C77">
        <w:t xml:space="preserve">, and guides the dispatch of the power </w:t>
      </w:r>
      <w:proofErr w:type="gramStart"/>
      <w:r w:rsidR="002F2C77">
        <w:t>system</w:t>
      </w:r>
      <w:r w:rsidR="00B01087">
        <w:t>;</w:t>
      </w:r>
      <w:proofErr w:type="gramEnd"/>
      <w:r w:rsidR="00B01087">
        <w:t xml:space="preserve"> </w:t>
      </w:r>
    </w:p>
    <w:p w14:paraId="5010D7EF" w14:textId="77777777" w:rsidR="00080FB3" w:rsidRPr="00080FB3" w:rsidRDefault="002F2C77" w:rsidP="00322519">
      <w:pPr>
        <w:pStyle w:val="ListParagraph"/>
        <w:numPr>
          <w:ilvl w:val="0"/>
          <w:numId w:val="34"/>
        </w:numPr>
        <w:rPr>
          <w:rFonts w:eastAsia="Calibri Light" w:cs="Calibri Light"/>
          <w:lang w:val="en-GB"/>
        </w:rPr>
      </w:pPr>
      <w:r>
        <w:t xml:space="preserve">contract arrangements for </w:t>
      </w:r>
      <w:r w:rsidR="007629C4">
        <w:t xml:space="preserve">other </w:t>
      </w:r>
      <w:r>
        <w:t xml:space="preserve">Essential System Services </w:t>
      </w:r>
      <w:r w:rsidR="00A701FD">
        <w:t xml:space="preserve">and </w:t>
      </w:r>
      <w:r w:rsidR="007629C4">
        <w:t xml:space="preserve">backstop services </w:t>
      </w:r>
      <w:r w:rsidR="00A701FD">
        <w:t xml:space="preserve">that are </w:t>
      </w:r>
      <w:r w:rsidR="00F43C1E">
        <w:t>procured outside of the mechanisms above</w:t>
      </w:r>
      <w:r w:rsidR="00080FB3" w:rsidRPr="008F3A74">
        <w:t>; and</w:t>
      </w:r>
    </w:p>
    <w:p w14:paraId="20EBF622" w14:textId="1ED6B7DB" w:rsidR="00CA361D" w:rsidRPr="00F43C1E" w:rsidRDefault="00080FB3" w:rsidP="00322519">
      <w:pPr>
        <w:pStyle w:val="ListParagraph"/>
        <w:numPr>
          <w:ilvl w:val="0"/>
          <w:numId w:val="34"/>
        </w:numPr>
        <w:rPr>
          <w:rFonts w:eastAsia="Calibri Light" w:cs="Calibri Light"/>
          <w:lang w:val="en-GB"/>
        </w:rPr>
      </w:pPr>
      <w:r>
        <w:t>bilateral trading of energy and capacity also occurs directly between market participants</w:t>
      </w:r>
      <w:r w:rsidR="00930E5E">
        <w:t>.</w:t>
      </w:r>
    </w:p>
    <w:p w14:paraId="40FA5150" w14:textId="52661748" w:rsidR="00F43C1E" w:rsidRDefault="00720BA9" w:rsidP="0039527B">
      <w:pPr>
        <w:rPr>
          <w:lang w:val="en-GB" w:eastAsia="en-AU"/>
        </w:rPr>
      </w:pPr>
      <w:r>
        <w:rPr>
          <w:rFonts w:eastAsia="Calibri Light" w:cs="Calibri Light"/>
          <w:lang w:val="en-GB"/>
        </w:rPr>
        <w:t xml:space="preserve">The most significant differences from the </w:t>
      </w:r>
      <w:r w:rsidR="00283E9D">
        <w:rPr>
          <w:rFonts w:eastAsia="Calibri Light" w:cs="Calibri Light"/>
          <w:lang w:val="en-GB"/>
        </w:rPr>
        <w:t xml:space="preserve">design of the NEM are the RCM and the </w:t>
      </w:r>
      <w:r w:rsidR="0039527B">
        <w:rPr>
          <w:rFonts w:eastAsia="Calibri Light" w:cs="Calibri Light"/>
          <w:lang w:val="en-GB"/>
        </w:rPr>
        <w:t xml:space="preserve">substantial </w:t>
      </w:r>
      <w:r w:rsidR="00283E9D">
        <w:rPr>
          <w:rFonts w:eastAsia="Calibri Light" w:cs="Calibri Light"/>
          <w:lang w:val="en-GB"/>
        </w:rPr>
        <w:t>role of bilateral contracting</w:t>
      </w:r>
      <w:r w:rsidR="000A036B">
        <w:rPr>
          <w:rFonts w:eastAsia="Calibri Light" w:cs="Calibri Light"/>
          <w:lang w:val="en-GB"/>
        </w:rPr>
        <w:t xml:space="preserve"> between market participants</w:t>
      </w:r>
      <w:r w:rsidR="00283E9D">
        <w:rPr>
          <w:rFonts w:eastAsia="Calibri Light" w:cs="Calibri Light"/>
          <w:lang w:val="en-GB"/>
        </w:rPr>
        <w:t xml:space="preserve">. </w:t>
      </w:r>
      <w:r w:rsidR="0039527B">
        <w:rPr>
          <w:rFonts w:eastAsia="Calibri Light" w:cs="Calibri Light"/>
          <w:lang w:val="en-GB"/>
        </w:rPr>
        <w:t>These require</w:t>
      </w:r>
      <w:r w:rsidR="00910123">
        <w:rPr>
          <w:rFonts w:eastAsia="Calibri Light" w:cs="Calibri Light"/>
          <w:lang w:val="en-GB"/>
        </w:rPr>
        <w:t xml:space="preserve"> specific consideration </w:t>
      </w:r>
      <w:r w:rsidR="009F25DC">
        <w:rPr>
          <w:rFonts w:eastAsia="Calibri Light" w:cs="Calibri Light"/>
          <w:lang w:val="en-GB"/>
        </w:rPr>
        <w:t xml:space="preserve">to ensure </w:t>
      </w:r>
      <w:r w:rsidR="00A7084A">
        <w:rPr>
          <w:rFonts w:eastAsia="Calibri Light" w:cs="Calibri Light"/>
          <w:lang w:val="en-GB"/>
        </w:rPr>
        <w:t xml:space="preserve">that the CIS complements the operation of the </w:t>
      </w:r>
      <w:r w:rsidR="00E40596">
        <w:rPr>
          <w:rFonts w:eastAsia="Calibri Light" w:cs="Calibri Light"/>
          <w:lang w:val="en-GB"/>
        </w:rPr>
        <w:t xml:space="preserve">WEM </w:t>
      </w:r>
      <w:r w:rsidR="00A7084A">
        <w:rPr>
          <w:rFonts w:eastAsia="Calibri Light" w:cs="Calibri Light"/>
          <w:lang w:val="en-GB"/>
        </w:rPr>
        <w:t xml:space="preserve">to support </w:t>
      </w:r>
      <w:r w:rsidR="007704CE" w:rsidRPr="3C05099E">
        <w:rPr>
          <w:lang w:val="en-GB" w:eastAsia="en-AU"/>
        </w:rPr>
        <w:t>the entry of new investments</w:t>
      </w:r>
      <w:r w:rsidR="007704CE">
        <w:rPr>
          <w:lang w:val="en-GB" w:eastAsia="en-AU"/>
        </w:rPr>
        <w:t xml:space="preserve"> in renewable and clean dispatchable capacity.</w:t>
      </w:r>
    </w:p>
    <w:p w14:paraId="50936385" w14:textId="3699A5FD" w:rsidR="00E40596" w:rsidRPr="00D34AC2" w:rsidRDefault="00E40596" w:rsidP="0039527B">
      <w:pPr>
        <w:rPr>
          <w:b/>
          <w:bCs/>
        </w:rPr>
      </w:pPr>
      <w:r w:rsidRPr="00D34AC2">
        <w:rPr>
          <w:b/>
          <w:bCs/>
        </w:rPr>
        <w:t>Reserve Capacity Mechanism</w:t>
      </w:r>
    </w:p>
    <w:p w14:paraId="55C3B10E" w14:textId="6D9BE749" w:rsidR="00E76858" w:rsidRDefault="00B54F7C" w:rsidP="00976AFF">
      <w:pPr>
        <w:rPr>
          <w:lang w:val="en-GB" w:eastAsia="en-AU"/>
        </w:rPr>
      </w:pPr>
      <w:r>
        <w:rPr>
          <w:lang w:val="en-GB" w:eastAsia="en-AU"/>
        </w:rPr>
        <w:t>Th</w:t>
      </w:r>
      <w:r w:rsidR="00B77BFB">
        <w:rPr>
          <w:lang w:val="en-GB" w:eastAsia="en-AU"/>
        </w:rPr>
        <w:t>rough th</w:t>
      </w:r>
      <w:r>
        <w:rPr>
          <w:lang w:val="en-GB" w:eastAsia="en-AU"/>
        </w:rPr>
        <w:t>e RCM</w:t>
      </w:r>
      <w:r w:rsidR="00B77BFB">
        <w:rPr>
          <w:lang w:val="en-GB" w:eastAsia="en-AU"/>
        </w:rPr>
        <w:t xml:space="preserve">, qualifying generation, </w:t>
      </w:r>
      <w:proofErr w:type="gramStart"/>
      <w:r w:rsidR="00B77BFB">
        <w:rPr>
          <w:lang w:val="en-GB" w:eastAsia="en-AU"/>
        </w:rPr>
        <w:t>storage</w:t>
      </w:r>
      <w:proofErr w:type="gramEnd"/>
      <w:r w:rsidR="00B77BFB">
        <w:rPr>
          <w:lang w:val="en-GB" w:eastAsia="en-AU"/>
        </w:rPr>
        <w:t xml:space="preserve"> and demand response facilities are assigned</w:t>
      </w:r>
      <w:r w:rsidR="004215A0">
        <w:rPr>
          <w:lang w:val="en-GB" w:eastAsia="en-AU"/>
        </w:rPr>
        <w:t xml:space="preserve"> </w:t>
      </w:r>
      <w:r w:rsidR="005951C8">
        <w:rPr>
          <w:lang w:val="en-GB" w:eastAsia="en-AU"/>
        </w:rPr>
        <w:t>C</w:t>
      </w:r>
      <w:r w:rsidR="004215A0">
        <w:rPr>
          <w:lang w:val="en-GB" w:eastAsia="en-AU"/>
        </w:rPr>
        <w:t xml:space="preserve">apacity </w:t>
      </w:r>
      <w:r w:rsidR="005951C8">
        <w:rPr>
          <w:lang w:val="en-GB" w:eastAsia="en-AU"/>
        </w:rPr>
        <w:t>C</w:t>
      </w:r>
      <w:r w:rsidR="00E76858">
        <w:rPr>
          <w:lang w:val="en-GB" w:eastAsia="en-AU"/>
        </w:rPr>
        <w:t>redits</w:t>
      </w:r>
      <w:r w:rsidR="00936B77">
        <w:rPr>
          <w:lang w:val="en-GB" w:eastAsia="en-AU"/>
        </w:rPr>
        <w:t>, which requires them to make capacity available to the market during the relevant Capacity Year</w:t>
      </w:r>
      <w:r w:rsidR="002450BC">
        <w:rPr>
          <w:rStyle w:val="FootnoteReference"/>
          <w:lang w:val="en-GB" w:eastAsia="en-AU"/>
        </w:rPr>
        <w:footnoteReference w:id="9"/>
      </w:r>
      <w:r w:rsidR="00E76858">
        <w:rPr>
          <w:lang w:val="en-GB" w:eastAsia="en-AU"/>
        </w:rPr>
        <w:t xml:space="preserve">, </w:t>
      </w:r>
      <w:r w:rsidR="00D50378">
        <w:rPr>
          <w:lang w:val="en-GB" w:eastAsia="en-AU"/>
        </w:rPr>
        <w:t>and entitles</w:t>
      </w:r>
      <w:r w:rsidR="00E76858">
        <w:rPr>
          <w:lang w:val="en-GB" w:eastAsia="en-AU"/>
        </w:rPr>
        <w:t xml:space="preserve"> the facility owners to the capacity revenue stream</w:t>
      </w:r>
      <w:r w:rsidR="005951C8">
        <w:rPr>
          <w:lang w:val="en-GB" w:eastAsia="en-AU"/>
        </w:rPr>
        <w:t xml:space="preserve"> (Capacity Credits)</w:t>
      </w:r>
      <w:r w:rsidR="00473A36">
        <w:rPr>
          <w:lang w:val="en-GB" w:eastAsia="en-AU"/>
        </w:rPr>
        <w:t xml:space="preserve">. Eligibility is assessed annually by AEMO, two years ahead of the relevant Capacity Year, </w:t>
      </w:r>
      <w:r w:rsidR="0082063B">
        <w:rPr>
          <w:lang w:val="en-GB" w:eastAsia="en-AU"/>
        </w:rPr>
        <w:t xml:space="preserve">and facility </w:t>
      </w:r>
      <w:r w:rsidR="0082063B">
        <w:rPr>
          <w:lang w:val="en-GB" w:eastAsia="en-AU"/>
        </w:rPr>
        <w:lastRenderedPageBreak/>
        <w:t xml:space="preserve">owners or developers must provide AEMO with a high level of certainty of project capability and readiness. The </w:t>
      </w:r>
      <w:r w:rsidR="00976AFF">
        <w:rPr>
          <w:lang w:val="en-GB" w:eastAsia="en-AU"/>
        </w:rPr>
        <w:t xml:space="preserve">assessment includes </w:t>
      </w:r>
      <w:r w:rsidR="00F339A6">
        <w:rPr>
          <w:lang w:val="en-GB" w:eastAsia="en-AU"/>
        </w:rPr>
        <w:t>validation of:</w:t>
      </w:r>
    </w:p>
    <w:p w14:paraId="103D6B26" w14:textId="1104C519" w:rsidR="00F339A6" w:rsidRDefault="003763D3" w:rsidP="00F339A6">
      <w:pPr>
        <w:pStyle w:val="ListParagraph"/>
        <w:numPr>
          <w:ilvl w:val="0"/>
          <w:numId w:val="34"/>
        </w:numPr>
        <w:rPr>
          <w:lang w:val="en-GB" w:eastAsia="en-AU"/>
        </w:rPr>
      </w:pPr>
      <w:r>
        <w:rPr>
          <w:lang w:val="en-GB" w:eastAsia="en-AU"/>
        </w:rPr>
        <w:t>the t</w:t>
      </w:r>
      <w:r w:rsidR="00F339A6">
        <w:rPr>
          <w:lang w:val="en-GB" w:eastAsia="en-AU"/>
        </w:rPr>
        <w:t>echnical capability</w:t>
      </w:r>
      <w:r w:rsidR="006E319D">
        <w:rPr>
          <w:lang w:val="en-GB" w:eastAsia="en-AU"/>
        </w:rPr>
        <w:t xml:space="preserve"> and reliability</w:t>
      </w:r>
      <w:r w:rsidR="00F339A6">
        <w:rPr>
          <w:lang w:val="en-GB" w:eastAsia="en-AU"/>
        </w:rPr>
        <w:t xml:space="preserve"> of the </w:t>
      </w:r>
      <w:proofErr w:type="gramStart"/>
      <w:r w:rsidR="00084940">
        <w:rPr>
          <w:lang w:val="en-GB" w:eastAsia="en-AU"/>
        </w:rPr>
        <w:t>f</w:t>
      </w:r>
      <w:r w:rsidR="00F339A6">
        <w:rPr>
          <w:lang w:val="en-GB" w:eastAsia="en-AU"/>
        </w:rPr>
        <w:t>acility</w:t>
      </w:r>
      <w:r>
        <w:rPr>
          <w:lang w:val="en-GB" w:eastAsia="en-AU"/>
        </w:rPr>
        <w:t>;</w:t>
      </w:r>
      <w:proofErr w:type="gramEnd"/>
    </w:p>
    <w:p w14:paraId="5A9A4E91" w14:textId="1343858E" w:rsidR="00F339A6" w:rsidRDefault="00F339A6" w:rsidP="00F339A6">
      <w:pPr>
        <w:pStyle w:val="ListParagraph"/>
        <w:numPr>
          <w:ilvl w:val="0"/>
          <w:numId w:val="34"/>
        </w:numPr>
        <w:rPr>
          <w:lang w:val="en-GB" w:eastAsia="en-AU"/>
        </w:rPr>
      </w:pPr>
      <w:r>
        <w:rPr>
          <w:lang w:val="en-GB" w:eastAsia="en-AU"/>
        </w:rPr>
        <w:t xml:space="preserve">environmental </w:t>
      </w:r>
      <w:proofErr w:type="gramStart"/>
      <w:r>
        <w:rPr>
          <w:lang w:val="en-GB" w:eastAsia="en-AU"/>
        </w:rPr>
        <w:t>approvals</w:t>
      </w:r>
      <w:r w:rsidR="003763D3">
        <w:rPr>
          <w:lang w:val="en-GB" w:eastAsia="en-AU"/>
        </w:rPr>
        <w:t>;</w:t>
      </w:r>
      <w:proofErr w:type="gramEnd"/>
    </w:p>
    <w:p w14:paraId="013ECE80" w14:textId="005497C1" w:rsidR="00F339A6" w:rsidRDefault="003763D3" w:rsidP="00F339A6">
      <w:pPr>
        <w:pStyle w:val="ListParagraph"/>
        <w:numPr>
          <w:ilvl w:val="0"/>
          <w:numId w:val="34"/>
        </w:numPr>
        <w:rPr>
          <w:lang w:val="en-GB" w:eastAsia="en-AU"/>
        </w:rPr>
      </w:pPr>
      <w:r>
        <w:rPr>
          <w:lang w:val="en-GB" w:eastAsia="en-AU"/>
        </w:rPr>
        <w:t>n</w:t>
      </w:r>
      <w:r w:rsidR="00F339A6">
        <w:rPr>
          <w:lang w:val="en-GB" w:eastAsia="en-AU"/>
        </w:rPr>
        <w:t xml:space="preserve">etwork connection </w:t>
      </w:r>
      <w:r w:rsidR="00416575">
        <w:rPr>
          <w:lang w:val="en-GB" w:eastAsia="en-AU"/>
        </w:rPr>
        <w:t xml:space="preserve">contracts or (for new facilities) the status of a network connection </w:t>
      </w:r>
      <w:proofErr w:type="gramStart"/>
      <w:r w:rsidR="00416575">
        <w:rPr>
          <w:lang w:val="en-GB" w:eastAsia="en-AU"/>
        </w:rPr>
        <w:t>application</w:t>
      </w:r>
      <w:r>
        <w:rPr>
          <w:lang w:val="en-GB" w:eastAsia="en-AU"/>
        </w:rPr>
        <w:t>;</w:t>
      </w:r>
      <w:proofErr w:type="gramEnd"/>
    </w:p>
    <w:p w14:paraId="16DC9544" w14:textId="2B4EE503" w:rsidR="00416575" w:rsidRDefault="00D8178D" w:rsidP="00F339A6">
      <w:pPr>
        <w:pStyle w:val="ListParagraph"/>
        <w:numPr>
          <w:ilvl w:val="0"/>
          <w:numId w:val="34"/>
        </w:numPr>
        <w:rPr>
          <w:lang w:val="en-GB" w:eastAsia="en-AU"/>
        </w:rPr>
      </w:pPr>
      <w:r>
        <w:rPr>
          <w:lang w:val="en-GB" w:eastAsia="en-AU"/>
        </w:rPr>
        <w:t xml:space="preserve">transmission capacity and </w:t>
      </w:r>
      <w:proofErr w:type="gramStart"/>
      <w:r>
        <w:rPr>
          <w:lang w:val="en-GB" w:eastAsia="en-AU"/>
        </w:rPr>
        <w:t>constraints;</w:t>
      </w:r>
      <w:proofErr w:type="gramEnd"/>
    </w:p>
    <w:p w14:paraId="6F6863CB" w14:textId="46DA17CF" w:rsidR="00F70250" w:rsidRDefault="00F70250" w:rsidP="00F339A6">
      <w:pPr>
        <w:pStyle w:val="ListParagraph"/>
        <w:numPr>
          <w:ilvl w:val="0"/>
          <w:numId w:val="34"/>
        </w:numPr>
        <w:rPr>
          <w:lang w:val="en-GB" w:eastAsia="en-AU"/>
        </w:rPr>
      </w:pPr>
      <w:r>
        <w:rPr>
          <w:lang w:val="en-GB" w:eastAsia="en-AU"/>
        </w:rPr>
        <w:t>fuel availability</w:t>
      </w:r>
      <w:r w:rsidR="002564FC">
        <w:rPr>
          <w:lang w:val="en-GB" w:eastAsia="en-AU"/>
        </w:rPr>
        <w:t>;</w:t>
      </w:r>
      <w:r w:rsidR="007C2F0D">
        <w:rPr>
          <w:lang w:val="en-GB" w:eastAsia="en-AU"/>
        </w:rPr>
        <w:t xml:space="preserve"> and</w:t>
      </w:r>
    </w:p>
    <w:p w14:paraId="475301D3" w14:textId="43E93A30" w:rsidR="002564FC" w:rsidRPr="00F339A6" w:rsidRDefault="002564FC" w:rsidP="00F339A6">
      <w:pPr>
        <w:pStyle w:val="ListParagraph"/>
        <w:numPr>
          <w:ilvl w:val="0"/>
          <w:numId w:val="34"/>
        </w:numPr>
        <w:rPr>
          <w:lang w:val="en-GB" w:eastAsia="en-AU"/>
        </w:rPr>
      </w:pPr>
      <w:r>
        <w:rPr>
          <w:lang w:val="en-GB" w:eastAsia="en-AU"/>
        </w:rPr>
        <w:t>for new facilities</w:t>
      </w:r>
      <w:r w:rsidR="007C2F0D">
        <w:rPr>
          <w:lang w:val="en-GB" w:eastAsia="en-AU"/>
        </w:rPr>
        <w:t>,</w:t>
      </w:r>
      <w:r>
        <w:rPr>
          <w:lang w:val="en-GB" w:eastAsia="en-AU"/>
        </w:rPr>
        <w:t xml:space="preserve"> project timing and the firmness of financial commitment</w:t>
      </w:r>
      <w:r w:rsidR="006E319D">
        <w:rPr>
          <w:lang w:val="en-GB" w:eastAsia="en-AU"/>
        </w:rPr>
        <w:t>.</w:t>
      </w:r>
    </w:p>
    <w:p w14:paraId="599EB0A5" w14:textId="55478265" w:rsidR="005477F6" w:rsidRDefault="00976AFF" w:rsidP="00346F3F">
      <w:r w:rsidRPr="00F069EF">
        <w:rPr>
          <w:lang w:val="en-GB" w:eastAsia="en-AU"/>
        </w:rPr>
        <w:t xml:space="preserve">Holders of </w:t>
      </w:r>
      <w:r w:rsidR="00D9444F" w:rsidRPr="00F069EF">
        <w:t>Capacity Credits receiv</w:t>
      </w:r>
      <w:r w:rsidRPr="00F069EF">
        <w:t>e</w:t>
      </w:r>
      <w:r w:rsidR="00D9444F" w:rsidRPr="00F069EF">
        <w:t xml:space="preserve"> payments</w:t>
      </w:r>
      <w:r w:rsidRPr="00F069EF">
        <w:t xml:space="preserve"> for their capacity</w:t>
      </w:r>
      <w:r w:rsidR="00D075D4">
        <w:rPr>
          <w:rStyle w:val="FootnoteReference"/>
        </w:rPr>
        <w:footnoteReference w:id="10"/>
      </w:r>
      <w:r w:rsidRPr="00F069EF">
        <w:t>,</w:t>
      </w:r>
      <w:r w:rsidR="00D9444F" w:rsidRPr="00F069EF">
        <w:t xml:space="preserve"> either through trading </w:t>
      </w:r>
      <w:r w:rsidR="00AB2DC7" w:rsidRPr="00F069EF">
        <w:t xml:space="preserve">bilaterally </w:t>
      </w:r>
      <w:r w:rsidR="00D9444F" w:rsidRPr="00F069EF">
        <w:t xml:space="preserve">with market customers who are required to obtain </w:t>
      </w:r>
      <w:r w:rsidR="00F069EF" w:rsidRPr="00F069EF">
        <w:t xml:space="preserve">Capacity Credits </w:t>
      </w:r>
      <w:r w:rsidR="00D9444F" w:rsidRPr="00F069EF">
        <w:t xml:space="preserve">or </w:t>
      </w:r>
      <w:r w:rsidR="00F069EF" w:rsidRPr="00F069EF">
        <w:t xml:space="preserve">through </w:t>
      </w:r>
      <w:r w:rsidR="00D9444F" w:rsidRPr="00F069EF">
        <w:t>payment from AEMO at the Reserve Capacity Price</w:t>
      </w:r>
      <w:r w:rsidR="005115C3">
        <w:t xml:space="preserve">, which is </w:t>
      </w:r>
      <w:r w:rsidR="00346F3F">
        <w:t xml:space="preserve">determined by a </w:t>
      </w:r>
      <w:r w:rsidR="00237DEE">
        <w:t>Benchmark Reserve Capacity Price</w:t>
      </w:r>
      <w:r w:rsidR="00346F3F">
        <w:t xml:space="preserve">, </w:t>
      </w:r>
      <w:r w:rsidR="00237DEE">
        <w:t xml:space="preserve">and the </w:t>
      </w:r>
      <w:r w:rsidR="00782385">
        <w:t>supply-demand balance in the RCM</w:t>
      </w:r>
      <w:r w:rsidR="00782385">
        <w:rPr>
          <w:rStyle w:val="FootnoteReference"/>
        </w:rPr>
        <w:footnoteReference w:id="11"/>
      </w:r>
      <w:r w:rsidR="00B666CA" w:rsidRPr="00F069EF">
        <w:t>.</w:t>
      </w:r>
      <w:r w:rsidR="005813B6">
        <w:t xml:space="preserve"> </w:t>
      </w:r>
      <w:r w:rsidR="005477F6">
        <w:t xml:space="preserve">The Reserve Capacity Price </w:t>
      </w:r>
      <w:r w:rsidR="000D611A">
        <w:t xml:space="preserve">is redetermined annually and can </w:t>
      </w:r>
      <w:r w:rsidR="00EE6579">
        <w:t>shift materially from year-to-year</w:t>
      </w:r>
      <w:r w:rsidR="00F523E8">
        <w:t xml:space="preserve">, for example due to </w:t>
      </w:r>
      <w:r w:rsidR="00EE6579">
        <w:t>swings in the supply-demand balance</w:t>
      </w:r>
      <w:r w:rsidR="00F523E8">
        <w:t>. While a participant may seek a five-year fixed capacity price</w:t>
      </w:r>
      <w:r w:rsidR="008F5D42">
        <w:t xml:space="preserve"> for a new project, this </w:t>
      </w:r>
      <w:r w:rsidR="001735F5">
        <w:t>can</w:t>
      </w:r>
      <w:r w:rsidR="008F5D42">
        <w:t xml:space="preserve"> result in the p</w:t>
      </w:r>
      <w:r w:rsidR="001735F5">
        <w:t xml:space="preserve">articipant moving lower in the Capacity Credit </w:t>
      </w:r>
      <w:r w:rsidR="0009451A">
        <w:t>assignment</w:t>
      </w:r>
      <w:r w:rsidR="001735F5">
        <w:t xml:space="preserve"> priority order</w:t>
      </w:r>
      <w:r w:rsidR="000E4111">
        <w:t xml:space="preserve"> and increase the risk of a lower (or zero) Capacity Credit allocation.</w:t>
      </w:r>
    </w:p>
    <w:p w14:paraId="26C531C2" w14:textId="5CB2FCF2" w:rsidR="00B666CA" w:rsidRDefault="005813B6" w:rsidP="00346F3F">
      <w:r>
        <w:t xml:space="preserve">In return, Capacity Credit holders must meet obligations to </w:t>
      </w:r>
      <w:r w:rsidR="002A6D3C">
        <w:t>make their capacity available in the energy markets (STEM and RTM) and refund capacity payments if they fail to do so.</w:t>
      </w:r>
    </w:p>
    <w:p w14:paraId="3BC736B3" w14:textId="5867447A" w:rsidR="00F305A5" w:rsidRPr="00C42A67" w:rsidRDefault="00F305A5" w:rsidP="00F305A5">
      <w:pPr>
        <w:rPr>
          <w:b/>
          <w:bCs/>
        </w:rPr>
      </w:pPr>
      <w:r>
        <w:rPr>
          <w:b/>
          <w:bCs/>
        </w:rPr>
        <w:t>Bilateral contracting</w:t>
      </w:r>
      <w:r w:rsidR="00E4769A">
        <w:rPr>
          <w:b/>
          <w:bCs/>
        </w:rPr>
        <w:t xml:space="preserve"> and net settlement</w:t>
      </w:r>
    </w:p>
    <w:p w14:paraId="247DD0B0" w14:textId="32BA359B" w:rsidR="00F305A5" w:rsidRDefault="00B8552B" w:rsidP="00346F3F">
      <w:proofErr w:type="gramStart"/>
      <w:r>
        <w:t>The majority of</w:t>
      </w:r>
      <w:proofErr w:type="gramEnd"/>
      <w:r>
        <w:t xml:space="preserve"> the energy and Capacity Credits in the WEM are traded bilaterally, either between market participants or </w:t>
      </w:r>
      <w:r w:rsidR="001B2CB8">
        <w:t xml:space="preserve">between the generation and retail arms of </w:t>
      </w:r>
      <w:r w:rsidR="001F1338">
        <w:t xml:space="preserve">a </w:t>
      </w:r>
      <w:r w:rsidR="001B2CB8">
        <w:t>gentailer.</w:t>
      </w:r>
      <w:r w:rsidR="00E4769A">
        <w:t xml:space="preserve"> </w:t>
      </w:r>
      <w:r w:rsidR="00A41610">
        <w:t>This practice was in place before the commencement of the WEM and has continued</w:t>
      </w:r>
      <w:r w:rsidR="00B50EAC">
        <w:t xml:space="preserve">, largely due to the </w:t>
      </w:r>
      <w:r w:rsidR="00E050B4">
        <w:t>WEM’s unique</w:t>
      </w:r>
      <w:r w:rsidR="00B50EAC">
        <w:t xml:space="preserve"> market structure and the lack of </w:t>
      </w:r>
      <w:r w:rsidR="00112185">
        <w:t>liquid contract and hedging product markets, as exist for the NEM.</w:t>
      </w:r>
      <w:r w:rsidR="00F678D3">
        <w:t xml:space="preserve"> </w:t>
      </w:r>
      <w:r w:rsidR="0097360F">
        <w:t xml:space="preserve">Bilateral contracting tends to be more concentrated </w:t>
      </w:r>
      <w:r w:rsidR="0014126C">
        <w:t xml:space="preserve">towards larger market participants, with smaller </w:t>
      </w:r>
      <w:r w:rsidR="005464A7">
        <w:t>retailers</w:t>
      </w:r>
      <w:r w:rsidR="0014126C">
        <w:t xml:space="preserve"> </w:t>
      </w:r>
      <w:r w:rsidR="00C05D58">
        <w:t>predominantly</w:t>
      </w:r>
      <w:r w:rsidR="005464A7">
        <w:t xml:space="preserve"> </w:t>
      </w:r>
      <w:r w:rsidR="00C05D58">
        <w:t xml:space="preserve">purchasing their </w:t>
      </w:r>
      <w:r w:rsidR="005464A7">
        <w:t>requirements directly through the market due to the lower transaction costs.</w:t>
      </w:r>
    </w:p>
    <w:p w14:paraId="70A8883D" w14:textId="171E8944" w:rsidR="00A25976" w:rsidRPr="00F069EF" w:rsidRDefault="004B5E69" w:rsidP="00346F3F">
      <w:r>
        <w:t xml:space="preserve">The WEM offers </w:t>
      </w:r>
      <w:r w:rsidR="00AC78D7">
        <w:t xml:space="preserve">market </w:t>
      </w:r>
      <w:r>
        <w:t>participants the ability to declare bilateral trades to AEMO</w:t>
      </w:r>
      <w:r w:rsidR="00EA0B7F">
        <w:t xml:space="preserve"> so that these can be netted out of the central market settlement process</w:t>
      </w:r>
      <w:r w:rsidR="00ED406E">
        <w:t>. This is common practice for participants, who can mitigate their prudential exposure through this mechanism</w:t>
      </w:r>
      <w:r w:rsidR="00EA0B7F">
        <w:t xml:space="preserve">. </w:t>
      </w:r>
      <w:r w:rsidR="001A3F6D">
        <w:t>For each relevant time interval, p</w:t>
      </w:r>
      <w:r w:rsidR="00760674">
        <w:t>art</w:t>
      </w:r>
      <w:r w:rsidR="00AC78D7">
        <w:t xml:space="preserve">icipants declare the identity of the </w:t>
      </w:r>
      <w:r w:rsidR="00C9625A">
        <w:t>counterparties</w:t>
      </w:r>
      <w:r w:rsidR="0009009F">
        <w:t xml:space="preserve"> </w:t>
      </w:r>
      <w:r w:rsidR="001A3F6D">
        <w:t>and</w:t>
      </w:r>
      <w:r w:rsidR="00AC78D7">
        <w:t xml:space="preserve"> the quantity of the relevant commodity being traded (i.</w:t>
      </w:r>
      <w:r w:rsidR="009F2D0B">
        <w:t>e., the number of MWh or Capacity Credits)</w:t>
      </w:r>
      <w:r w:rsidR="001A3F6D">
        <w:t>, from which AEMO deducts the traded quantity from both participants’ settlement statements.</w:t>
      </w:r>
      <w:r w:rsidR="007D23B1">
        <w:t xml:space="preserve"> </w:t>
      </w:r>
      <w:r w:rsidR="00B3739D">
        <w:t>N</w:t>
      </w:r>
      <w:r w:rsidR="007D23B1">
        <w:t>o contract prices are declared</w:t>
      </w:r>
      <w:r w:rsidR="00B3739D">
        <w:t xml:space="preserve"> to AEMO, and the bilateral trade </w:t>
      </w:r>
      <w:r w:rsidR="00ED406E">
        <w:t xml:space="preserve">quantity </w:t>
      </w:r>
      <w:r w:rsidR="00B3739D">
        <w:t>information remains confidential to the relevant participants and AEMO</w:t>
      </w:r>
      <w:r w:rsidR="007D23B1">
        <w:t>.</w:t>
      </w:r>
    </w:p>
    <w:p w14:paraId="231F08D5" w14:textId="216FE0B3" w:rsidR="00796443" w:rsidRPr="00920D57" w:rsidRDefault="00603838" w:rsidP="00B96176">
      <w:pPr>
        <w:pStyle w:val="HEADINGL1BLUE"/>
        <w:ind w:left="0" w:firstLine="0"/>
      </w:pPr>
      <w:bookmarkStart w:id="82" w:name="_Toc161385854"/>
      <w:bookmarkStart w:id="83" w:name="_Toc163162709"/>
      <w:r w:rsidRPr="00603838">
        <w:lastRenderedPageBreak/>
        <w:t xml:space="preserve">Core design elements and delivery </w:t>
      </w:r>
      <w:proofErr w:type="gramStart"/>
      <w:r w:rsidRPr="00603838">
        <w:t>stages</w:t>
      </w:r>
      <w:bookmarkEnd w:id="82"/>
      <w:bookmarkEnd w:id="83"/>
      <w:proofErr w:type="gramEnd"/>
    </w:p>
    <w:p w14:paraId="5E5684EA" w14:textId="64F12377" w:rsidR="00034D48" w:rsidRDefault="006B379D" w:rsidP="00034D48">
      <w:pPr>
        <w:rPr>
          <w:lang w:val="en-GB" w:eastAsia="en-AU"/>
        </w:rPr>
      </w:pPr>
      <w:r>
        <w:rPr>
          <w:lang w:val="en-GB" w:eastAsia="en-AU"/>
        </w:rPr>
        <w:t xml:space="preserve">The proposed design for implementation of the CIS in the WEM </w:t>
      </w:r>
      <w:r w:rsidR="00BE0B13">
        <w:rPr>
          <w:lang w:val="en-GB" w:eastAsia="en-AU"/>
        </w:rPr>
        <w:t>closely mirrors the CIS tenders in the NEM</w:t>
      </w:r>
      <w:r w:rsidR="00CA1C42">
        <w:rPr>
          <w:lang w:val="en-GB" w:eastAsia="en-AU"/>
        </w:rPr>
        <w:t>, with</w:t>
      </w:r>
      <w:r w:rsidR="00BE0B13">
        <w:rPr>
          <w:lang w:val="en-GB" w:eastAsia="en-AU"/>
        </w:rPr>
        <w:t xml:space="preserve"> differences </w:t>
      </w:r>
      <w:r w:rsidR="00CA1C42">
        <w:rPr>
          <w:lang w:val="en-GB" w:eastAsia="en-AU"/>
        </w:rPr>
        <w:t xml:space="preserve">predominantly </w:t>
      </w:r>
      <w:r w:rsidR="00BE0B13">
        <w:rPr>
          <w:lang w:val="en-GB" w:eastAsia="en-AU"/>
        </w:rPr>
        <w:t xml:space="preserve">focused on </w:t>
      </w:r>
      <w:r w:rsidR="00CA1C42">
        <w:rPr>
          <w:lang w:val="en-GB" w:eastAsia="en-AU"/>
        </w:rPr>
        <w:t>ensuring</w:t>
      </w:r>
      <w:r w:rsidR="00AC5FC7">
        <w:rPr>
          <w:lang w:val="en-GB" w:eastAsia="en-AU"/>
        </w:rPr>
        <w:t xml:space="preserve"> alignment </w:t>
      </w:r>
      <w:r w:rsidR="00CA1C42">
        <w:rPr>
          <w:lang w:val="en-GB" w:eastAsia="en-AU"/>
        </w:rPr>
        <w:t xml:space="preserve">between </w:t>
      </w:r>
      <w:r w:rsidR="00AC5FC7">
        <w:rPr>
          <w:lang w:val="en-GB" w:eastAsia="en-AU"/>
        </w:rPr>
        <w:t xml:space="preserve">the </w:t>
      </w:r>
      <w:r w:rsidR="00CA1C42">
        <w:rPr>
          <w:lang w:val="en-GB" w:eastAsia="en-AU"/>
        </w:rPr>
        <w:t xml:space="preserve">CIS and </w:t>
      </w:r>
      <w:r w:rsidR="00707D8A">
        <w:rPr>
          <w:lang w:val="en-GB" w:eastAsia="en-AU"/>
        </w:rPr>
        <w:t xml:space="preserve">WEM </w:t>
      </w:r>
      <w:r w:rsidR="00CA1C42">
        <w:rPr>
          <w:lang w:val="en-GB" w:eastAsia="en-AU"/>
        </w:rPr>
        <w:t>processes</w:t>
      </w:r>
      <w:r w:rsidR="00CA1C42" w:rsidRPr="00034D48">
        <w:rPr>
          <w:lang w:val="en-GB" w:eastAsia="en-AU"/>
        </w:rPr>
        <w:t>.</w:t>
      </w:r>
      <w:r w:rsidR="00034D48" w:rsidRPr="00034D48">
        <w:rPr>
          <w:lang w:val="en-GB" w:eastAsia="en-AU"/>
        </w:rPr>
        <w:t xml:space="preserve"> Every effort has been made to ensure that the CIS Tender Process and the RCM Process are not duplicative, and that the CIS Process serves to provide the RCM Process with a pipeline of quality, bankable projects through its technical criteria and provision of financial assurance.</w:t>
      </w:r>
    </w:p>
    <w:p w14:paraId="0EA1CA74" w14:textId="5A7D6B72" w:rsidR="00FE32DE" w:rsidRDefault="008C5C32" w:rsidP="3C05099E">
      <w:r>
        <w:t xml:space="preserve">This section </w:t>
      </w:r>
      <w:r w:rsidR="00DA4F07">
        <w:t xml:space="preserve">describes specific considerations to ensure complementarity between the CIS and the </w:t>
      </w:r>
      <w:proofErr w:type="gramStart"/>
      <w:r w:rsidR="00DA4F07">
        <w:t>WEM, and</w:t>
      </w:r>
      <w:proofErr w:type="gramEnd"/>
      <w:r w:rsidR="00DA4F07">
        <w:t xml:space="preserve"> </w:t>
      </w:r>
      <w:r>
        <w:t>lays out details of the proposed CIS design for the WEM</w:t>
      </w:r>
      <w:r w:rsidR="0079018C">
        <w:t>.</w:t>
      </w:r>
      <w:r w:rsidR="00330B0F">
        <w:t xml:space="preserve"> </w:t>
      </w:r>
    </w:p>
    <w:p w14:paraId="2886C055" w14:textId="77777777" w:rsidR="00C5423C" w:rsidRDefault="00C5423C" w:rsidP="3C05099E"/>
    <w:p w14:paraId="49AB41EC" w14:textId="20FB8251" w:rsidR="008E23B4" w:rsidRPr="000C2630" w:rsidRDefault="008E23B4" w:rsidP="008A2A6E">
      <w:pPr>
        <w:pStyle w:val="Heading2"/>
      </w:pPr>
      <w:bookmarkStart w:id="84" w:name="_Toc163162710"/>
      <w:r>
        <w:t xml:space="preserve">Design </w:t>
      </w:r>
      <w:proofErr w:type="gramStart"/>
      <w:r>
        <w:t>principles</w:t>
      </w:r>
      <w:bookmarkEnd w:id="84"/>
      <w:proofErr w:type="gramEnd"/>
      <w:r>
        <w:t xml:space="preserve"> </w:t>
      </w:r>
    </w:p>
    <w:p w14:paraId="186F6112" w14:textId="00E43DDC" w:rsidR="00CB42C4" w:rsidRDefault="008E23B4" w:rsidP="008E23B4">
      <w:r>
        <w:t>The CIS provides a national framework to support the rollout of renewable capacity and clean dispatchable capacity across jurisdictions. To support the achievement of the CIS policy objectives, Table 1 displays the framework design principles.</w:t>
      </w:r>
    </w:p>
    <w:p w14:paraId="028E827A" w14:textId="72DEE1BF" w:rsidR="004A7E14" w:rsidRPr="00C85352" w:rsidRDefault="004A7E14" w:rsidP="00CB42C4">
      <w:pPr>
        <w:pStyle w:val="Caption"/>
        <w:rPr>
          <w:rFonts w:cstheme="minorHAnsi"/>
          <w:b/>
          <w:bCs/>
          <w:i w:val="0"/>
          <w:iCs w:val="0"/>
          <w:sz w:val="24"/>
          <w:szCs w:val="24"/>
        </w:rPr>
      </w:pPr>
      <w:bookmarkStart w:id="85" w:name="_Ref159408416"/>
      <w:bookmarkStart w:id="86" w:name="_Toc159530368"/>
      <w:bookmarkStart w:id="87" w:name="_Toc160021102"/>
      <w:bookmarkStart w:id="88" w:name="_Toc163162720"/>
      <w:r w:rsidRPr="00C85352">
        <w:rPr>
          <w:rFonts w:cstheme="minorHAnsi"/>
          <w:b/>
          <w:bCs/>
          <w:i w:val="0"/>
          <w:iCs w:val="0"/>
          <w:sz w:val="24"/>
          <w:szCs w:val="24"/>
        </w:rPr>
        <w:t xml:space="preserve">Table </w:t>
      </w:r>
      <w:r w:rsidRPr="00C85352">
        <w:rPr>
          <w:rFonts w:cstheme="minorHAnsi"/>
          <w:b/>
          <w:bCs/>
          <w:i w:val="0"/>
          <w:iCs w:val="0"/>
          <w:sz w:val="24"/>
          <w:szCs w:val="24"/>
        </w:rPr>
        <w:fldChar w:fldCharType="begin"/>
      </w:r>
      <w:r w:rsidRPr="00C85352">
        <w:rPr>
          <w:rFonts w:cstheme="minorHAnsi"/>
          <w:b/>
          <w:bCs/>
          <w:i w:val="0"/>
          <w:iCs w:val="0"/>
          <w:sz w:val="24"/>
          <w:szCs w:val="24"/>
        </w:rPr>
        <w:instrText>SEQ Table \* ARABIC</w:instrText>
      </w:r>
      <w:r w:rsidRPr="00C85352">
        <w:rPr>
          <w:rFonts w:cstheme="minorHAnsi"/>
          <w:b/>
          <w:bCs/>
          <w:i w:val="0"/>
          <w:iCs w:val="0"/>
          <w:sz w:val="24"/>
          <w:szCs w:val="24"/>
        </w:rPr>
        <w:fldChar w:fldCharType="separate"/>
      </w:r>
      <w:r w:rsidR="003F69C1">
        <w:rPr>
          <w:rFonts w:cstheme="minorHAnsi"/>
          <w:b/>
          <w:bCs/>
          <w:i w:val="0"/>
          <w:iCs w:val="0"/>
          <w:noProof/>
          <w:sz w:val="24"/>
          <w:szCs w:val="24"/>
        </w:rPr>
        <w:t>1</w:t>
      </w:r>
      <w:r w:rsidRPr="00C85352">
        <w:rPr>
          <w:rFonts w:cstheme="minorHAnsi"/>
          <w:b/>
          <w:bCs/>
          <w:i w:val="0"/>
          <w:iCs w:val="0"/>
          <w:sz w:val="24"/>
          <w:szCs w:val="24"/>
        </w:rPr>
        <w:fldChar w:fldCharType="end"/>
      </w:r>
      <w:bookmarkEnd w:id="85"/>
      <w:r w:rsidRPr="00C85352">
        <w:rPr>
          <w:rFonts w:cstheme="minorHAnsi"/>
          <w:b/>
          <w:bCs/>
          <w:i w:val="0"/>
          <w:iCs w:val="0"/>
          <w:sz w:val="24"/>
          <w:szCs w:val="24"/>
        </w:rPr>
        <w:t xml:space="preserve"> </w:t>
      </w:r>
      <w:r w:rsidR="00786B7D">
        <w:rPr>
          <w:rFonts w:cstheme="minorHAnsi"/>
          <w:b/>
          <w:bCs/>
          <w:i w:val="0"/>
          <w:iCs w:val="0"/>
          <w:sz w:val="24"/>
          <w:szCs w:val="24"/>
        </w:rPr>
        <w:t xml:space="preserve">CIS </w:t>
      </w:r>
      <w:r w:rsidRPr="00C85352">
        <w:rPr>
          <w:rFonts w:cstheme="minorHAnsi"/>
          <w:b/>
          <w:bCs/>
          <w:i w:val="0"/>
          <w:iCs w:val="0"/>
          <w:sz w:val="24"/>
          <w:szCs w:val="24"/>
        </w:rPr>
        <w:t>Design Framework Principles</w:t>
      </w:r>
      <w:bookmarkEnd w:id="86"/>
      <w:bookmarkEnd w:id="87"/>
      <w:bookmarkEnd w:id="88"/>
    </w:p>
    <w:tbl>
      <w:tblPr>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00" w:firstRow="0" w:lastRow="0" w:firstColumn="0" w:lastColumn="0" w:noHBand="0" w:noVBand="1"/>
      </w:tblPr>
      <w:tblGrid>
        <w:gridCol w:w="3297"/>
        <w:gridCol w:w="5345"/>
      </w:tblGrid>
      <w:tr w:rsidR="004A7E14" w:rsidRPr="00D04EAD" w14:paraId="4E15E0D3" w14:textId="77777777" w:rsidTr="00651A50">
        <w:trPr>
          <w:tblHeader/>
        </w:trPr>
        <w:tc>
          <w:tcPr>
            <w:tcW w:w="3297" w:type="dxa"/>
            <w:shd w:val="clear" w:color="auto" w:fill="197C7D" w:themeFill="accent1"/>
            <w:noWrap/>
            <w:vAlign w:val="center"/>
          </w:tcPr>
          <w:p w14:paraId="3030240A" w14:textId="77777777" w:rsidR="004A7E14" w:rsidRPr="00A548EC" w:rsidRDefault="004A7E14">
            <w:pPr>
              <w:pStyle w:val="TableHeading"/>
              <w:rPr>
                <w:color w:val="FFFFFF" w:themeColor="background1"/>
                <w:sz w:val="20"/>
                <w:szCs w:val="24"/>
              </w:rPr>
            </w:pPr>
            <w:r>
              <w:rPr>
                <w:color w:val="FFFFFF" w:themeColor="background1"/>
                <w:sz w:val="20"/>
                <w:szCs w:val="24"/>
              </w:rPr>
              <w:t xml:space="preserve">Maintaining momentum </w:t>
            </w:r>
          </w:p>
        </w:tc>
        <w:tc>
          <w:tcPr>
            <w:tcW w:w="5345" w:type="dxa"/>
            <w:shd w:val="clear" w:color="auto" w:fill="auto"/>
            <w:vAlign w:val="center"/>
          </w:tcPr>
          <w:p w14:paraId="41E3636F" w14:textId="77777777" w:rsidR="004A7E14" w:rsidRDefault="004A7E14">
            <w:pPr>
              <w:pStyle w:val="TableText0"/>
              <w:rPr>
                <w:rFonts w:cstheme="minorHAnsi"/>
                <w:b/>
                <w:bCs/>
              </w:rPr>
            </w:pPr>
            <w:r w:rsidRPr="009F40CC">
              <w:t xml:space="preserve">Support the continued progress and bring forward investment in projects in </w:t>
            </w:r>
            <w:r w:rsidRPr="009F40CC">
              <w:rPr>
                <w:rFonts w:cstheme="minorHAnsi"/>
                <w:b/>
              </w:rPr>
              <w:t>various stages of development to enable the capacity and generation targets to be achieved by 2030</w:t>
            </w:r>
            <w:r>
              <w:rPr>
                <w:rStyle w:val="FootnoteReference"/>
                <w:rFonts w:cstheme="minorHAnsi"/>
                <w:b/>
              </w:rPr>
              <w:footnoteReference w:id="12"/>
            </w:r>
            <w:r w:rsidRPr="009F40CC">
              <w:rPr>
                <w:rFonts w:cstheme="minorHAnsi"/>
                <w:b/>
                <w:bCs/>
              </w:rPr>
              <w:t xml:space="preserve">. </w:t>
            </w:r>
          </w:p>
          <w:p w14:paraId="4B6A74F6" w14:textId="4C6AB532" w:rsidR="004A7E14" w:rsidRPr="009F40CC" w:rsidRDefault="004A7E14">
            <w:pPr>
              <w:pStyle w:val="TableText0"/>
              <w:rPr>
                <w:b/>
              </w:rPr>
            </w:pPr>
            <w:r>
              <w:t xml:space="preserve">Further details on the development status eligibility requirements are provided in section </w:t>
            </w:r>
            <w:r w:rsidR="003B4955">
              <w:fldChar w:fldCharType="begin"/>
            </w:r>
            <w:r w:rsidR="003B4955">
              <w:instrText xml:space="preserve"> REF _Ref157085435 \r \h </w:instrText>
            </w:r>
            <w:r w:rsidR="003B4955">
              <w:fldChar w:fldCharType="separate"/>
            </w:r>
            <w:r w:rsidR="003B4955">
              <w:t>3.5</w:t>
            </w:r>
            <w:r w:rsidR="003B4955">
              <w:fldChar w:fldCharType="end"/>
            </w:r>
            <w:r>
              <w:t xml:space="preserve">. </w:t>
            </w:r>
          </w:p>
        </w:tc>
      </w:tr>
      <w:tr w:rsidR="004A7E14" w:rsidRPr="00D04EAD" w14:paraId="159DB0A5" w14:textId="77777777" w:rsidTr="00651A50">
        <w:trPr>
          <w:trHeight w:val="1108"/>
          <w:tblHeader/>
        </w:trPr>
        <w:tc>
          <w:tcPr>
            <w:tcW w:w="3297" w:type="dxa"/>
            <w:shd w:val="clear" w:color="auto" w:fill="197C7D" w:themeFill="accent1"/>
            <w:noWrap/>
            <w:vAlign w:val="center"/>
          </w:tcPr>
          <w:p w14:paraId="385EE83A" w14:textId="77777777" w:rsidR="004A7E14" w:rsidRPr="00A548EC" w:rsidRDefault="004A7E14">
            <w:pPr>
              <w:pStyle w:val="TableHeading"/>
              <w:rPr>
                <w:color w:val="FFFFFF" w:themeColor="background1"/>
                <w:sz w:val="20"/>
                <w:szCs w:val="24"/>
              </w:rPr>
            </w:pPr>
            <w:r w:rsidRPr="00A548EC">
              <w:rPr>
                <w:color w:val="FFFFFF" w:themeColor="background1"/>
                <w:sz w:val="20"/>
                <w:szCs w:val="24"/>
              </w:rPr>
              <w:t>Stimulating investment</w:t>
            </w:r>
          </w:p>
        </w:tc>
        <w:tc>
          <w:tcPr>
            <w:tcW w:w="5345" w:type="dxa"/>
            <w:shd w:val="clear" w:color="auto" w:fill="auto"/>
            <w:vAlign w:val="center"/>
          </w:tcPr>
          <w:p w14:paraId="0FE66AD9" w14:textId="2191F5EC" w:rsidR="004A7E14" w:rsidRPr="00CB42C4" w:rsidRDefault="004A7E14">
            <w:pPr>
              <w:pStyle w:val="TableText0"/>
              <w:rPr>
                <w:rFonts w:cstheme="minorHAnsi"/>
                <w:b/>
                <w:bCs/>
              </w:rPr>
            </w:pPr>
            <w:r w:rsidRPr="00CB42C4">
              <w:rPr>
                <w:szCs w:val="18"/>
              </w:rPr>
              <w:t>Provide long</w:t>
            </w:r>
            <w:r w:rsidRPr="009F40CC">
              <w:t xml:space="preserve">-term </w:t>
            </w:r>
            <w:r w:rsidRPr="009F40CC">
              <w:rPr>
                <w:rFonts w:cstheme="minorHAnsi"/>
                <w:b/>
              </w:rPr>
              <w:t>certainty for financiers through a combination of the long-term financial underwriting offered to Projects, and a clear and transparent tender process used to set key commercial terms in the CISA.</w:t>
            </w:r>
          </w:p>
        </w:tc>
      </w:tr>
      <w:tr w:rsidR="004A7E14" w:rsidRPr="00D04EAD" w14:paraId="3E62AB98" w14:textId="77777777" w:rsidTr="00651A50">
        <w:tc>
          <w:tcPr>
            <w:tcW w:w="3297" w:type="dxa"/>
            <w:shd w:val="clear" w:color="auto" w:fill="197C7D" w:themeFill="accent1"/>
            <w:noWrap/>
            <w:vAlign w:val="center"/>
          </w:tcPr>
          <w:p w14:paraId="5D8E6B0D" w14:textId="77777777" w:rsidR="004A7E14" w:rsidRDefault="004A7E14">
            <w:pPr>
              <w:pStyle w:val="TableHeading"/>
              <w:rPr>
                <w:color w:val="FFFFFF" w:themeColor="background1"/>
                <w:sz w:val="20"/>
                <w:szCs w:val="24"/>
                <w:lang w:val="en-GB" w:eastAsia="en-GB"/>
              </w:rPr>
            </w:pPr>
            <w:r>
              <w:rPr>
                <w:color w:val="FFFFFF" w:themeColor="background1"/>
                <w:sz w:val="20"/>
                <w:szCs w:val="24"/>
                <w:lang w:val="en-GB" w:eastAsia="en-GB"/>
              </w:rPr>
              <w:t xml:space="preserve">Complementing existing </w:t>
            </w:r>
            <w:r w:rsidRPr="00131DD1">
              <w:rPr>
                <w:color w:val="FFFFFF" w:themeColor="background1"/>
                <w:sz w:val="20"/>
                <w:szCs w:val="24"/>
                <w:lang w:val="en-GB" w:eastAsia="en-GB"/>
              </w:rPr>
              <w:t xml:space="preserve">market </w:t>
            </w:r>
            <w:r>
              <w:rPr>
                <w:color w:val="FFFFFF" w:themeColor="background1"/>
                <w:sz w:val="20"/>
                <w:szCs w:val="24"/>
                <w:lang w:val="en-GB" w:eastAsia="en-GB"/>
              </w:rPr>
              <w:t>operations</w:t>
            </w:r>
          </w:p>
        </w:tc>
        <w:tc>
          <w:tcPr>
            <w:tcW w:w="5345" w:type="dxa"/>
            <w:shd w:val="clear" w:color="auto" w:fill="auto"/>
            <w:vAlign w:val="center"/>
          </w:tcPr>
          <w:p w14:paraId="3BADCC02" w14:textId="77942889" w:rsidR="004A7E14" w:rsidRPr="001E7AB4" w:rsidRDefault="004A7E14">
            <w:pPr>
              <w:pStyle w:val="TableText0"/>
              <w:rPr>
                <w:rFonts w:cstheme="minorHAnsi"/>
                <w:b/>
                <w:bCs/>
                <w:szCs w:val="18"/>
              </w:rPr>
            </w:pPr>
            <w:r w:rsidRPr="00B253EB">
              <w:rPr>
                <w:szCs w:val="18"/>
              </w:rPr>
              <w:t xml:space="preserve">Minimise impact on wholesale electricity market functions and associated rules. Apart from a limited set of performance requirements specific to each CISA, </w:t>
            </w:r>
            <w:r w:rsidR="003E5014">
              <w:rPr>
                <w:szCs w:val="18"/>
              </w:rPr>
              <w:t>it is not intended that</w:t>
            </w:r>
            <w:r w:rsidRPr="00B253EB">
              <w:rPr>
                <w:szCs w:val="18"/>
              </w:rPr>
              <w:t xml:space="preserve"> the CIS </w:t>
            </w:r>
            <w:r w:rsidR="00424818">
              <w:rPr>
                <w:szCs w:val="18"/>
              </w:rPr>
              <w:t>will</w:t>
            </w:r>
            <w:r w:rsidRPr="00B253EB">
              <w:rPr>
                <w:szCs w:val="18"/>
              </w:rPr>
              <w:t xml:space="preserve"> impose operational requirements on projects. </w:t>
            </w:r>
          </w:p>
          <w:p w14:paraId="15782CFD" w14:textId="09E40CC1" w:rsidR="004A7E14" w:rsidRPr="009F40CC" w:rsidRDefault="004A7E14">
            <w:pPr>
              <w:pStyle w:val="TableText0"/>
            </w:pPr>
            <w:r>
              <w:t>Project Operators will be able to sign a CISA and other wholesale contracts, such as swap contracts and tolling agreements. .</w:t>
            </w:r>
          </w:p>
        </w:tc>
      </w:tr>
      <w:tr w:rsidR="004A7E14" w:rsidRPr="00D04EAD" w14:paraId="2B16CC31" w14:textId="77777777" w:rsidTr="00651A50">
        <w:tc>
          <w:tcPr>
            <w:tcW w:w="3297" w:type="dxa"/>
            <w:shd w:val="clear" w:color="auto" w:fill="197C7D" w:themeFill="accent1"/>
            <w:noWrap/>
            <w:vAlign w:val="center"/>
          </w:tcPr>
          <w:p w14:paraId="6A5DBD35" w14:textId="77777777" w:rsidR="004A7E14" w:rsidRPr="00A548EC" w:rsidRDefault="004A7E14">
            <w:pPr>
              <w:pStyle w:val="TableHeading"/>
              <w:rPr>
                <w:color w:val="FFFFFF" w:themeColor="background1"/>
                <w:sz w:val="20"/>
                <w:szCs w:val="24"/>
                <w:lang w:val="en-GB" w:eastAsia="en-GB"/>
              </w:rPr>
            </w:pPr>
            <w:r>
              <w:rPr>
                <w:color w:val="FFFFFF" w:themeColor="background1"/>
                <w:sz w:val="20"/>
                <w:szCs w:val="24"/>
                <w:lang w:val="en-GB" w:eastAsia="en-GB"/>
              </w:rPr>
              <w:t>CIS process and tender product adaptability</w:t>
            </w:r>
          </w:p>
        </w:tc>
        <w:tc>
          <w:tcPr>
            <w:tcW w:w="5345" w:type="dxa"/>
            <w:shd w:val="clear" w:color="auto" w:fill="auto"/>
            <w:vAlign w:val="center"/>
          </w:tcPr>
          <w:p w14:paraId="2930960A" w14:textId="77777777" w:rsidR="004A7E14" w:rsidRPr="009F40CC" w:rsidRDefault="004A7E14">
            <w:pPr>
              <w:pStyle w:val="TableText0"/>
              <w:rPr>
                <w:sz w:val="20"/>
                <w:szCs w:val="20"/>
                <w:lang w:val="en-GB" w:eastAsia="en-GB"/>
              </w:rPr>
            </w:pPr>
            <w:r>
              <w:t>M</w:t>
            </w:r>
            <w:r w:rsidRPr="60295F3D">
              <w:t>itigate risks of a disorderly transition by selecting projects that support energy system reliability and lower electricity prices</w:t>
            </w:r>
            <w:r w:rsidRPr="60295F3D">
              <w:rPr>
                <w:lang w:val="en-GB" w:eastAsia="en-GB"/>
              </w:rPr>
              <w:t>.</w:t>
            </w:r>
          </w:p>
          <w:p w14:paraId="47F8B3CE" w14:textId="3018DE91" w:rsidR="004A7E14" w:rsidRPr="00B75190" w:rsidRDefault="004A7E14">
            <w:pPr>
              <w:pStyle w:val="TableText0"/>
              <w:rPr>
                <w:b/>
                <w:szCs w:val="18"/>
              </w:rPr>
            </w:pPr>
            <w:r>
              <w:rPr>
                <w:szCs w:val="18"/>
              </w:rPr>
              <w:t xml:space="preserve">The </w:t>
            </w:r>
            <w:r w:rsidRPr="00B75190">
              <w:rPr>
                <w:szCs w:val="18"/>
                <w:lang w:val="en-GB" w:eastAsia="en-GB"/>
              </w:rPr>
              <w:t>process</w:t>
            </w:r>
            <w:r>
              <w:rPr>
                <w:szCs w:val="18"/>
                <w:lang w:val="en-GB" w:eastAsia="en-GB"/>
              </w:rPr>
              <w:t xml:space="preserve"> and </w:t>
            </w:r>
            <w:r w:rsidR="006C5838">
              <w:rPr>
                <w:szCs w:val="18"/>
                <w:lang w:val="en-GB" w:eastAsia="en-GB"/>
              </w:rPr>
              <w:t>form of</w:t>
            </w:r>
            <w:r>
              <w:rPr>
                <w:szCs w:val="18"/>
                <w:lang w:val="en-GB" w:eastAsia="en-GB"/>
              </w:rPr>
              <w:t xml:space="preserve"> CISA products will be adaptable with the ability to </w:t>
            </w:r>
            <w:r w:rsidRPr="00B75190">
              <w:rPr>
                <w:szCs w:val="18"/>
                <w:lang w:val="en-GB" w:eastAsia="en-GB"/>
              </w:rPr>
              <w:t xml:space="preserve">respond to changing market </w:t>
            </w:r>
            <w:r>
              <w:rPr>
                <w:szCs w:val="18"/>
                <w:lang w:val="en-GB" w:eastAsia="en-GB"/>
              </w:rPr>
              <w:t>conditions as the scheme progresses</w:t>
            </w:r>
            <w:r w:rsidR="00575C86">
              <w:rPr>
                <w:szCs w:val="18"/>
                <w:lang w:val="en-GB" w:eastAsia="en-GB"/>
              </w:rPr>
              <w:t xml:space="preserve"> and where consistent with the objectives of the scheme</w:t>
            </w:r>
            <w:r>
              <w:rPr>
                <w:szCs w:val="18"/>
                <w:lang w:val="en-GB" w:eastAsia="en-GB"/>
              </w:rPr>
              <w:t xml:space="preserve">. </w:t>
            </w:r>
          </w:p>
        </w:tc>
      </w:tr>
      <w:tr w:rsidR="004A7E14" w:rsidRPr="00D04EAD" w14:paraId="31BD73D8" w14:textId="77777777" w:rsidTr="00651A50">
        <w:tc>
          <w:tcPr>
            <w:tcW w:w="3297" w:type="dxa"/>
            <w:shd w:val="clear" w:color="auto" w:fill="197C7D" w:themeFill="accent1"/>
            <w:noWrap/>
            <w:vAlign w:val="center"/>
          </w:tcPr>
          <w:p w14:paraId="24A42BED" w14:textId="77777777" w:rsidR="004A7E14" w:rsidRDefault="004A7E14">
            <w:pPr>
              <w:pStyle w:val="TableHeading"/>
              <w:rPr>
                <w:color w:val="FFFFFF" w:themeColor="background1"/>
                <w:sz w:val="20"/>
                <w:szCs w:val="24"/>
                <w:lang w:val="en-GB" w:eastAsia="en-GB"/>
              </w:rPr>
            </w:pPr>
            <w:r>
              <w:rPr>
                <w:color w:val="FFFFFF" w:themeColor="background1"/>
                <w:sz w:val="20"/>
                <w:szCs w:val="24"/>
                <w:lang w:val="en-GB" w:eastAsia="en-GB"/>
              </w:rPr>
              <w:t>Supporting our local communities and first nations people</w:t>
            </w:r>
          </w:p>
        </w:tc>
        <w:tc>
          <w:tcPr>
            <w:tcW w:w="5345" w:type="dxa"/>
            <w:shd w:val="clear" w:color="auto" w:fill="auto"/>
            <w:vAlign w:val="center"/>
          </w:tcPr>
          <w:p w14:paraId="4935D872" w14:textId="77777777" w:rsidR="004A7E14" w:rsidRDefault="004A7E14">
            <w:pPr>
              <w:pStyle w:val="TableText0"/>
              <w:rPr>
                <w:szCs w:val="18"/>
              </w:rPr>
            </w:pPr>
            <w:r>
              <w:rPr>
                <w:szCs w:val="18"/>
              </w:rPr>
              <w:t>Facilitate shared benefits to regional communities, support the industries that will drive our future economy and help First Nations people preserve their unique culture and heritage and remain on Country.</w:t>
            </w:r>
          </w:p>
        </w:tc>
      </w:tr>
    </w:tbl>
    <w:p w14:paraId="1A7B0D7B" w14:textId="77777777" w:rsidR="008E23B4" w:rsidRDefault="008E23B4" w:rsidP="008E23B4"/>
    <w:p w14:paraId="2C849097" w14:textId="73AB7627" w:rsidR="008E23B4" w:rsidRDefault="008E23B4" w:rsidP="00093A57">
      <w:pPr>
        <w:pStyle w:val="Heading3"/>
      </w:pPr>
      <w:r>
        <w:lastRenderedPageBreak/>
        <w:t>Complementing the operation of Australia’s electricity systems or markets</w:t>
      </w:r>
    </w:p>
    <w:p w14:paraId="74ABB57D" w14:textId="74370FE1" w:rsidR="008E23B4" w:rsidRDefault="008E23B4" w:rsidP="008E23B4">
      <w:r>
        <w:t>The expanded CIS seeks to ensure that new renewable capacity and clean dispatchable capacity enters Australian energy markets with limited impact on electricity market functions and associated rules while supporting reliability and affordability. The CIS is intended to support and facilitate Australia’s existing suite of Australian Government and jurisdictional energy policies and markets.</w:t>
      </w:r>
    </w:p>
    <w:p w14:paraId="7A5E64EF" w14:textId="5E0D5477" w:rsidR="008E23B4" w:rsidRDefault="008E23B4" w:rsidP="008E23B4">
      <w:r>
        <w:t xml:space="preserve">Changes to the </w:t>
      </w:r>
      <w:r w:rsidR="00B7006C">
        <w:t>Wholesale Electricity</w:t>
      </w:r>
      <w:r w:rsidR="000C2108">
        <w:t xml:space="preserve"> Market</w:t>
      </w:r>
      <w:r>
        <w:t xml:space="preserve"> Rules (</w:t>
      </w:r>
      <w:r w:rsidR="000C2108">
        <w:t>WEM Rules</w:t>
      </w:r>
      <w:r>
        <w:t xml:space="preserve">) that happen over time will apply to CIS projects. </w:t>
      </w:r>
      <w:r w:rsidR="007B1D5D">
        <w:t>For example, changes to the Reserve Capacity Mechanism being contemplated by the W</w:t>
      </w:r>
      <w:r w:rsidR="001832F0">
        <w:t xml:space="preserve">holesale </w:t>
      </w:r>
      <w:r w:rsidR="007B1D5D">
        <w:t>E</w:t>
      </w:r>
      <w:r w:rsidR="001832F0">
        <w:t xml:space="preserve">lectricity </w:t>
      </w:r>
      <w:r w:rsidR="007B1D5D">
        <w:t>M</w:t>
      </w:r>
      <w:r w:rsidR="001832F0">
        <w:t>arket</w:t>
      </w:r>
      <w:r w:rsidR="007B1D5D">
        <w:t xml:space="preserve"> Investment Certainty Review</w:t>
      </w:r>
      <w:r w:rsidR="00750B02">
        <w:t xml:space="preserve"> working group of the Market Advisory Committee</w:t>
      </w:r>
      <w:r w:rsidR="007B1D5D">
        <w:t xml:space="preserve"> </w:t>
      </w:r>
      <w:r>
        <w:t>w</w:t>
      </w:r>
      <w:r w:rsidR="005E3996">
        <w:t>ould</w:t>
      </w:r>
      <w:r>
        <w:t xml:space="preserve"> apply to projects supported by the CIS</w:t>
      </w:r>
      <w:r w:rsidR="00212713">
        <w:t xml:space="preserve">. </w:t>
      </w:r>
      <w:r>
        <w:t>Like all generators, CIS projects will remain subject to AEMO</w:t>
      </w:r>
      <w:r w:rsidR="006B5719">
        <w:t xml:space="preserve"> or</w:t>
      </w:r>
      <w:r w:rsidR="0067586C">
        <w:t xml:space="preserve"> Economic Regulation Authority</w:t>
      </w:r>
      <w:r>
        <w:t xml:space="preserve"> directions under the </w:t>
      </w:r>
      <w:r w:rsidR="00D139DB">
        <w:t>WEM Rules</w:t>
      </w:r>
      <w:r>
        <w:t>.</w:t>
      </w:r>
    </w:p>
    <w:p w14:paraId="173F77A4" w14:textId="77777777" w:rsidR="008E23B4" w:rsidRDefault="008E23B4" w:rsidP="008E23B4">
      <w:r>
        <w:t xml:space="preserve">The CIS will complement other Australian Government, state and territory government policies and actions by businesses and communities to underpin Australia’s transformation to net zero emissions by 2050 and 82 per cent renewable energy in the on-grid electricity sector by 2030. </w:t>
      </w:r>
    </w:p>
    <w:p w14:paraId="78DD9C5A" w14:textId="77777777" w:rsidR="008E23B4" w:rsidRDefault="008E23B4" w:rsidP="008E23B4">
      <w:r>
        <w:t xml:space="preserve">This includes integration with the delivery of new transmission infrastructure, including through the Australian Government’s $20 billion Rewiring the Nation program. This new transmission infrastructure will connect Australia’s electricity grids to regions with rich renewable resource potential and reinforce and interconnect the existing network to deliver reliable renewable energy to consumers in cities, </w:t>
      </w:r>
      <w:proofErr w:type="gramStart"/>
      <w:r>
        <w:t>towns</w:t>
      </w:r>
      <w:proofErr w:type="gramEnd"/>
      <w:r>
        <w:t xml:space="preserve"> and regional communities.</w:t>
      </w:r>
    </w:p>
    <w:p w14:paraId="7FE2490B" w14:textId="77777777" w:rsidR="007F12B2" w:rsidRDefault="007F12B2" w:rsidP="008E23B4">
      <w:r w:rsidRPr="007F12B2">
        <w:t>The allocation of capacity to be tendered in each jurisdiction through the CIS will be determined through Renewable Energy Transformation Agreements (RETAs) between Commonwealth and respective state and territory governments, which also detail how the governments will work together to provide a favourable enabling environment for the investment in new renewables projects supported by the CIS and achieve shared objectives in the renewable energy transformation.</w:t>
      </w:r>
    </w:p>
    <w:p w14:paraId="45C12F90" w14:textId="715FB652" w:rsidR="008E23B4" w:rsidRDefault="008E23B4" w:rsidP="008E23B4">
      <w:r>
        <w:t xml:space="preserve">In November 2023 the Energy and Climate Change Ministerial Council (ECMC) agreed that CIS investment will continue to be delivered working with state systems, including the NSW Electricity Infrastructure Roadmap (Long Term Energy Service Agreements), the Victorian Renewable Energy Target and the Western Australian Reserve Capacity Mechanism. </w:t>
      </w:r>
    </w:p>
    <w:p w14:paraId="18EADD3E" w14:textId="77777777" w:rsidR="00432698" w:rsidRDefault="00432698" w:rsidP="008E23B4"/>
    <w:p w14:paraId="0A0CD28A" w14:textId="77777777" w:rsidR="008E23B4" w:rsidRDefault="008E23B4" w:rsidP="00093A57">
      <w:pPr>
        <w:pStyle w:val="Heading3"/>
      </w:pPr>
      <w:r>
        <w:t>CIS product and tender process adaptability</w:t>
      </w:r>
    </w:p>
    <w:p w14:paraId="28F5B055" w14:textId="3A2CE811" w:rsidR="008E23B4" w:rsidRDefault="008E23B4" w:rsidP="008E23B4">
      <w:r>
        <w:t>Certain states and territories have existing schemes in place, and CIS underwriting contracts (CISA products) along with the tender process will be designed to ensure that</w:t>
      </w:r>
      <w:r w:rsidR="001F09C6">
        <w:t>, where possible and consistent with the objectives of the CIS,</w:t>
      </w:r>
      <w:r>
        <w:t xml:space="preserve"> the CIS complements those schemes and supports state and territory governments to achieve their renewable energy targets. </w:t>
      </w:r>
    </w:p>
    <w:p w14:paraId="17228579" w14:textId="77777777" w:rsidR="008E23B4" w:rsidRDefault="008E23B4" w:rsidP="008E23B4">
      <w:r>
        <w:t>Australia’s energy markets are in a period of substantial change. The CIS is designed to accommodate new and changing business models and to provide investors with the confidence to continue to develop projects in this environment of change. The CIS aims to complement the current reliability framework and support the entry of new investments during a period of rapid transformation.</w:t>
      </w:r>
    </w:p>
    <w:p w14:paraId="5015ECDB" w14:textId="3836B015" w:rsidR="00F2416A" w:rsidRDefault="00F2416A" w:rsidP="008E23B4"/>
    <w:p w14:paraId="4D045334" w14:textId="77777777" w:rsidR="00190E2F" w:rsidRDefault="00190E2F" w:rsidP="3C05099E"/>
    <w:p w14:paraId="537E9D6A" w14:textId="11EA69D2" w:rsidR="00AD5A5D" w:rsidRDefault="00AD5A5D" w:rsidP="00615FFE">
      <w:pPr>
        <w:pStyle w:val="Heading2"/>
      </w:pPr>
      <w:bookmarkStart w:id="89" w:name="_Toc161385855"/>
      <w:bookmarkStart w:id="90" w:name="_Toc161388242"/>
      <w:bookmarkStart w:id="91" w:name="_Toc161388542"/>
      <w:bookmarkStart w:id="92" w:name="_Toc163162711"/>
      <w:r>
        <w:lastRenderedPageBreak/>
        <w:t>Ensuring c</w:t>
      </w:r>
      <w:r w:rsidRPr="00FD5127">
        <w:t xml:space="preserve">omplementarity </w:t>
      </w:r>
      <w:r>
        <w:t xml:space="preserve">between the CIS and </w:t>
      </w:r>
      <w:r w:rsidR="001A34ED">
        <w:t>WEM</w:t>
      </w:r>
      <w:bookmarkEnd w:id="89"/>
      <w:bookmarkEnd w:id="90"/>
      <w:bookmarkEnd w:id="91"/>
      <w:bookmarkEnd w:id="92"/>
    </w:p>
    <w:p w14:paraId="3B69CBF1" w14:textId="250DF790" w:rsidR="00AD5A5D" w:rsidRDefault="00AD5A5D" w:rsidP="00AD5A5D">
      <w:pPr>
        <w:rPr>
          <w:lang w:val="en-GB" w:eastAsia="en-AU"/>
        </w:rPr>
      </w:pPr>
      <w:r>
        <w:rPr>
          <w:lang w:val="en-GB" w:eastAsia="en-AU"/>
        </w:rPr>
        <w:t xml:space="preserve">At first glance, the CIS and RCM may appear to have similar objectives and processes, including a years-ahead </w:t>
      </w:r>
      <w:r w:rsidR="00DA3BE1">
        <w:rPr>
          <w:lang w:val="en-GB" w:eastAsia="en-AU"/>
        </w:rPr>
        <w:t>tender process</w:t>
      </w:r>
      <w:r>
        <w:rPr>
          <w:lang w:val="en-GB" w:eastAsia="en-AU"/>
        </w:rPr>
        <w:t xml:space="preserve"> and eligibility assessment. However, </w:t>
      </w:r>
      <w:r w:rsidR="00925AE1" w:rsidRPr="001755B2">
        <w:rPr>
          <w:rFonts w:cstheme="minorHAnsi"/>
          <w:lang w:val="en-GB" w:eastAsia="en-AU"/>
        </w:rPr>
        <w:fldChar w:fldCharType="begin"/>
      </w:r>
      <w:r w:rsidR="00925AE1" w:rsidRPr="001755B2">
        <w:rPr>
          <w:rFonts w:cstheme="minorHAnsi"/>
          <w:lang w:val="en-GB" w:eastAsia="en-AU"/>
        </w:rPr>
        <w:instrText xml:space="preserve"> REF _Ref162968163 \h  \* MERGEFORMAT </w:instrText>
      </w:r>
      <w:r w:rsidR="00925AE1" w:rsidRPr="001755B2">
        <w:rPr>
          <w:rFonts w:cstheme="minorHAnsi"/>
          <w:lang w:val="en-GB" w:eastAsia="en-AU"/>
        </w:rPr>
      </w:r>
      <w:r w:rsidR="00925AE1" w:rsidRPr="001755B2">
        <w:rPr>
          <w:rFonts w:cstheme="minorHAnsi"/>
          <w:lang w:val="en-GB" w:eastAsia="en-AU"/>
        </w:rPr>
        <w:fldChar w:fldCharType="separate"/>
      </w:r>
      <w:r w:rsidR="00925AE1" w:rsidRPr="001755B2">
        <w:rPr>
          <w:rFonts w:cstheme="minorHAnsi"/>
        </w:rPr>
        <w:t xml:space="preserve">Table </w:t>
      </w:r>
      <w:r w:rsidR="00925AE1" w:rsidRPr="001755B2">
        <w:rPr>
          <w:rFonts w:cstheme="minorHAnsi"/>
          <w:noProof/>
        </w:rPr>
        <w:t>2</w:t>
      </w:r>
      <w:r w:rsidR="00925AE1" w:rsidRPr="001755B2">
        <w:rPr>
          <w:rFonts w:cstheme="minorHAnsi"/>
          <w:lang w:val="en-GB" w:eastAsia="en-AU"/>
        </w:rPr>
        <w:fldChar w:fldCharType="end"/>
      </w:r>
      <w:r>
        <w:rPr>
          <w:lang w:val="en-GB" w:eastAsia="en-AU"/>
        </w:rPr>
        <w:t xml:space="preserve"> outlines critical distinctions in the nature of the revenue support provided under the two schemes, the time horizon and the degree of project certainty required for eligibility, which are important considerations in ensuring that the two mechanisms are complementary in incentivising investment in new capacity in the WEM. </w:t>
      </w:r>
    </w:p>
    <w:p w14:paraId="64C1AD9F" w14:textId="09FD2291" w:rsidR="00AD5A5D" w:rsidRDefault="00AD5A5D" w:rsidP="00AD5A5D">
      <w:pPr>
        <w:rPr>
          <w:lang w:val="en-GB" w:eastAsia="en-AU"/>
        </w:rPr>
      </w:pPr>
      <w:r w:rsidRPr="3C05099E">
        <w:rPr>
          <w:lang w:val="en-GB" w:eastAsia="en-AU"/>
        </w:rPr>
        <w:t xml:space="preserve">To ensure that the CIS would not be a competing policy, all CIS underwriting contracts in the WEM will require projects to participate in the RCM process and </w:t>
      </w:r>
      <w:r w:rsidR="009B0647">
        <w:rPr>
          <w:lang w:val="en-GB" w:eastAsia="en-AU"/>
        </w:rPr>
        <w:t xml:space="preserve">be </w:t>
      </w:r>
      <w:r w:rsidRPr="3C05099E">
        <w:rPr>
          <w:lang w:val="en-GB" w:eastAsia="en-AU"/>
        </w:rPr>
        <w:t xml:space="preserve">eligible to receive Capacity Credits </w:t>
      </w:r>
      <w:r w:rsidR="0089122A">
        <w:rPr>
          <w:lang w:val="en-GB" w:eastAsia="en-AU"/>
        </w:rPr>
        <w:t xml:space="preserve">in order </w:t>
      </w:r>
      <w:r w:rsidRPr="3C05099E">
        <w:rPr>
          <w:lang w:val="en-GB" w:eastAsia="en-AU"/>
        </w:rPr>
        <w:t>to receive CIS payments</w:t>
      </w:r>
      <w:r>
        <w:rPr>
          <w:lang w:val="en-GB" w:eastAsia="en-AU"/>
        </w:rPr>
        <w:t xml:space="preserve">, as noted in </w:t>
      </w:r>
      <w:r w:rsidRPr="00EE3681">
        <w:rPr>
          <w:lang w:val="en-GB" w:eastAsia="en-AU"/>
        </w:rPr>
        <w:t>section</w:t>
      </w:r>
      <w:r>
        <w:rPr>
          <w:lang w:val="en-GB" w:eastAsia="en-AU"/>
        </w:rPr>
        <w:t xml:space="preserve"> </w:t>
      </w:r>
      <w:r w:rsidRPr="00EE3681">
        <w:rPr>
          <w:lang w:val="en-GB" w:eastAsia="en-AU"/>
        </w:rPr>
        <w:fldChar w:fldCharType="begin"/>
      </w:r>
      <w:r w:rsidRPr="00EE3681">
        <w:rPr>
          <w:lang w:val="en-GB" w:eastAsia="en-AU"/>
        </w:rPr>
        <w:instrText xml:space="preserve"> REF _Ref157085435 \r \h </w:instrText>
      </w:r>
      <w:r w:rsidR="00EE3681">
        <w:rPr>
          <w:lang w:val="en-GB" w:eastAsia="en-AU"/>
        </w:rPr>
        <w:instrText xml:space="preserve"> \* MERGEFORMAT </w:instrText>
      </w:r>
      <w:r w:rsidRPr="00EE3681">
        <w:rPr>
          <w:lang w:val="en-GB" w:eastAsia="en-AU"/>
        </w:rPr>
      </w:r>
      <w:r w:rsidRPr="00EE3681">
        <w:rPr>
          <w:lang w:val="en-GB" w:eastAsia="en-AU"/>
        </w:rPr>
        <w:fldChar w:fldCharType="separate"/>
      </w:r>
      <w:r w:rsidR="00C626DE" w:rsidRPr="00EE3681">
        <w:rPr>
          <w:lang w:val="en-GB" w:eastAsia="en-AU"/>
        </w:rPr>
        <w:t>3.4</w:t>
      </w:r>
      <w:r w:rsidRPr="00EE3681">
        <w:rPr>
          <w:lang w:val="en-GB" w:eastAsia="en-AU"/>
        </w:rPr>
        <w:fldChar w:fldCharType="end"/>
      </w:r>
      <w:r w:rsidRPr="3C05099E">
        <w:rPr>
          <w:lang w:val="en-GB" w:eastAsia="en-AU"/>
        </w:rPr>
        <w:t>.</w:t>
      </w:r>
    </w:p>
    <w:p w14:paraId="3334E137" w14:textId="7F5C985D" w:rsidR="00831371" w:rsidRPr="00C85352" w:rsidRDefault="005E4B6B" w:rsidP="00D410C8">
      <w:pPr>
        <w:pStyle w:val="Caption"/>
        <w:rPr>
          <w:rFonts w:ascii="Calibri" w:hAnsi="Calibri" w:cs="Calibri"/>
          <w:b/>
          <w:i w:val="0"/>
          <w:sz w:val="32"/>
          <w:szCs w:val="32"/>
        </w:rPr>
      </w:pPr>
      <w:bookmarkStart w:id="93" w:name="_Toc161401671"/>
      <w:r>
        <w:rPr>
          <w:i w:val="0"/>
          <w:iCs w:val="0"/>
          <w:sz w:val="22"/>
          <w:szCs w:val="22"/>
          <w:lang w:val="en-GB" w:eastAsia="en-AU"/>
        </w:rPr>
        <w:t xml:space="preserve">There are sufficient differences between the RCM and CIS to indicate that they can be complementary in incentivising investment in new capacity in the WEM. </w:t>
      </w:r>
      <w:r w:rsidR="00CD5D7A">
        <w:rPr>
          <w:i w:val="0"/>
          <w:iCs w:val="0"/>
          <w:sz w:val="22"/>
          <w:szCs w:val="22"/>
          <w:lang w:val="en-GB" w:eastAsia="en-AU"/>
        </w:rPr>
        <w:t xml:space="preserve">Table 2 </w:t>
      </w:r>
      <w:r w:rsidR="001A753D">
        <w:rPr>
          <w:i w:val="0"/>
          <w:iCs w:val="0"/>
          <w:sz w:val="22"/>
          <w:szCs w:val="22"/>
          <w:lang w:val="en-GB" w:eastAsia="en-AU"/>
        </w:rPr>
        <w:t>shows d</w:t>
      </w:r>
      <w:r w:rsidR="31442376" w:rsidRPr="4EF37FD1">
        <w:rPr>
          <w:i w:val="0"/>
          <w:iCs w:val="0"/>
          <w:sz w:val="22"/>
          <w:szCs w:val="22"/>
          <w:lang w:val="en-GB" w:eastAsia="en-AU"/>
        </w:rPr>
        <w:t>istinctions</w:t>
      </w:r>
      <w:r w:rsidR="006E36D3">
        <w:rPr>
          <w:i w:val="0"/>
          <w:iCs w:val="0"/>
          <w:sz w:val="22"/>
          <w:szCs w:val="22"/>
          <w:lang w:val="en-GB" w:eastAsia="en-AU"/>
        </w:rPr>
        <w:t xml:space="preserve"> between the CIS and RCM</w:t>
      </w:r>
      <w:r w:rsidR="00D51FFF">
        <w:rPr>
          <w:i w:val="0"/>
          <w:iCs w:val="0"/>
          <w:sz w:val="22"/>
          <w:szCs w:val="22"/>
          <w:lang w:val="en-GB" w:eastAsia="en-AU"/>
        </w:rPr>
        <w:t>.</w:t>
      </w:r>
    </w:p>
    <w:p w14:paraId="752E9B21" w14:textId="5CD8A982" w:rsidR="00AD5A5D" w:rsidRDefault="00DD19EF" w:rsidP="00251445">
      <w:pPr>
        <w:pStyle w:val="Caption"/>
        <w:keepNext/>
        <w:rPr>
          <w:rFonts w:ascii="Segoe UI" w:hAnsi="Segoe UI" w:cs="Segoe UI"/>
        </w:rPr>
      </w:pPr>
      <w:bookmarkStart w:id="94" w:name="_Ref162968163"/>
      <w:bookmarkStart w:id="95" w:name="_Toc163162721"/>
      <w:r w:rsidRPr="00C85352">
        <w:rPr>
          <w:rFonts w:ascii="Calibri" w:hAnsi="Calibri" w:cs="Calibri"/>
          <w:b/>
          <w:i w:val="0"/>
          <w:iCs w:val="0"/>
          <w:sz w:val="24"/>
          <w:szCs w:val="24"/>
        </w:rPr>
        <w:t xml:space="preserve">Table </w:t>
      </w:r>
      <w:r w:rsidRPr="00C85352">
        <w:rPr>
          <w:rFonts w:ascii="Calibri" w:hAnsi="Calibri" w:cs="Calibri"/>
          <w:b/>
          <w:i w:val="0"/>
          <w:iCs w:val="0"/>
          <w:sz w:val="24"/>
          <w:szCs w:val="24"/>
        </w:rPr>
        <w:fldChar w:fldCharType="begin"/>
      </w:r>
      <w:r w:rsidRPr="00C85352">
        <w:rPr>
          <w:rFonts w:ascii="Calibri" w:hAnsi="Calibri" w:cs="Calibri"/>
          <w:b/>
          <w:i w:val="0"/>
          <w:iCs w:val="0"/>
          <w:sz w:val="24"/>
          <w:szCs w:val="24"/>
        </w:rPr>
        <w:instrText xml:space="preserve"> SEQ Table \* ARABIC </w:instrText>
      </w:r>
      <w:r w:rsidRPr="00C85352">
        <w:rPr>
          <w:rFonts w:ascii="Calibri" w:hAnsi="Calibri" w:cs="Calibri"/>
          <w:b/>
          <w:i w:val="0"/>
          <w:iCs w:val="0"/>
          <w:sz w:val="24"/>
          <w:szCs w:val="24"/>
        </w:rPr>
        <w:fldChar w:fldCharType="separate"/>
      </w:r>
      <w:r w:rsidR="003F69C1">
        <w:rPr>
          <w:rFonts w:ascii="Calibri" w:hAnsi="Calibri" w:cs="Calibri"/>
          <w:b/>
          <w:i w:val="0"/>
          <w:iCs w:val="0"/>
          <w:noProof/>
          <w:sz w:val="24"/>
          <w:szCs w:val="24"/>
        </w:rPr>
        <w:t>2</w:t>
      </w:r>
      <w:r w:rsidRPr="00C85352">
        <w:rPr>
          <w:rFonts w:ascii="Calibri" w:hAnsi="Calibri" w:cs="Calibri"/>
          <w:b/>
          <w:i w:val="0"/>
          <w:iCs w:val="0"/>
          <w:sz w:val="24"/>
          <w:szCs w:val="24"/>
        </w:rPr>
        <w:fldChar w:fldCharType="end"/>
      </w:r>
      <w:bookmarkEnd w:id="94"/>
      <w:r w:rsidRPr="00C85352">
        <w:rPr>
          <w:rFonts w:ascii="Calibri" w:hAnsi="Calibri" w:cs="Calibri"/>
          <w:b/>
          <w:i w:val="0"/>
          <w:iCs w:val="0"/>
          <w:sz w:val="24"/>
          <w:szCs w:val="24"/>
        </w:rPr>
        <w:t xml:space="preserve"> Distinctions between</w:t>
      </w:r>
      <w:r>
        <w:rPr>
          <w:rFonts w:ascii="Calibri" w:hAnsi="Calibri" w:cs="Calibri"/>
          <w:b/>
          <w:i w:val="0"/>
          <w:sz w:val="24"/>
          <w:szCs w:val="24"/>
        </w:rPr>
        <w:t xml:space="preserve"> </w:t>
      </w:r>
      <w:r>
        <w:rPr>
          <w:rFonts w:ascii="Calibri" w:hAnsi="Calibri" w:cs="Calibri"/>
          <w:b/>
          <w:bCs/>
          <w:i w:val="0"/>
          <w:iCs w:val="0"/>
          <w:sz w:val="24"/>
          <w:szCs w:val="24"/>
        </w:rPr>
        <w:t>the</w:t>
      </w:r>
      <w:r w:rsidRPr="00C85352">
        <w:rPr>
          <w:rFonts w:ascii="Calibri" w:hAnsi="Calibri" w:cs="Calibri"/>
          <w:b/>
          <w:i w:val="0"/>
          <w:iCs w:val="0"/>
          <w:sz w:val="24"/>
          <w:szCs w:val="24"/>
        </w:rPr>
        <w:t xml:space="preserve"> CIS and RCM</w:t>
      </w:r>
      <w:bookmarkEnd w:id="93"/>
      <w:bookmarkEnd w:id="95"/>
    </w:p>
    <w:tbl>
      <w:tblPr>
        <w:tblStyle w:val="GridTable4-Accent1"/>
        <w:tblW w:w="0" w:type="auto"/>
        <w:tblLook w:val="04A0" w:firstRow="1" w:lastRow="0" w:firstColumn="1" w:lastColumn="0" w:noHBand="0" w:noVBand="1"/>
      </w:tblPr>
      <w:tblGrid>
        <w:gridCol w:w="1035"/>
        <w:gridCol w:w="3384"/>
        <w:gridCol w:w="4201"/>
      </w:tblGrid>
      <w:tr w:rsidR="00AD5A5D" w:rsidRPr="008D7498" w14:paraId="2BDEAB88" w14:textId="77777777" w:rsidTr="00D34A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802302F" w14:textId="77777777" w:rsidR="00AD5A5D" w:rsidRPr="00232C31" w:rsidRDefault="00AD5A5D" w:rsidP="0059096B">
            <w:pPr>
              <w:jc w:val="center"/>
              <w:rPr>
                <w:lang w:val="en-GB" w:eastAsia="en-AU"/>
              </w:rPr>
            </w:pPr>
          </w:p>
        </w:tc>
        <w:tc>
          <w:tcPr>
            <w:tcW w:w="3384" w:type="dxa"/>
          </w:tcPr>
          <w:p w14:paraId="26FF43D5" w14:textId="77777777" w:rsidR="00AD5A5D" w:rsidRPr="008D7498" w:rsidRDefault="00AD5A5D" w:rsidP="0059096B">
            <w:pPr>
              <w:jc w:val="center"/>
              <w:cnfStyle w:val="100000000000" w:firstRow="1" w:lastRow="0" w:firstColumn="0" w:lastColumn="0" w:oddVBand="0" w:evenVBand="0" w:oddHBand="0" w:evenHBand="0" w:firstRowFirstColumn="0" w:firstRowLastColumn="0" w:lastRowFirstColumn="0" w:lastRowLastColumn="0"/>
              <w:rPr>
                <w:lang w:val="en-GB" w:eastAsia="en-AU"/>
              </w:rPr>
            </w:pPr>
            <w:r w:rsidRPr="008D7498">
              <w:rPr>
                <w:lang w:val="en-GB" w:eastAsia="en-AU"/>
              </w:rPr>
              <w:t>RCM</w:t>
            </w:r>
          </w:p>
        </w:tc>
        <w:tc>
          <w:tcPr>
            <w:tcW w:w="4201" w:type="dxa"/>
          </w:tcPr>
          <w:p w14:paraId="29DA042B" w14:textId="77777777" w:rsidR="00AD5A5D" w:rsidRPr="008D7498" w:rsidRDefault="00AD5A5D" w:rsidP="0059096B">
            <w:pPr>
              <w:jc w:val="center"/>
              <w:cnfStyle w:val="100000000000" w:firstRow="1" w:lastRow="0" w:firstColumn="0" w:lastColumn="0" w:oddVBand="0" w:evenVBand="0" w:oddHBand="0" w:evenHBand="0" w:firstRowFirstColumn="0" w:firstRowLastColumn="0" w:lastRowFirstColumn="0" w:lastRowLastColumn="0"/>
              <w:rPr>
                <w:lang w:val="en-GB" w:eastAsia="en-AU"/>
              </w:rPr>
            </w:pPr>
            <w:r w:rsidRPr="008D7498">
              <w:rPr>
                <w:lang w:val="en-GB" w:eastAsia="en-AU"/>
              </w:rPr>
              <w:t>CIS</w:t>
            </w:r>
          </w:p>
        </w:tc>
      </w:tr>
      <w:tr w:rsidR="00AD5A5D" w:rsidRPr="00042550" w14:paraId="66D74FE1" w14:textId="77777777" w:rsidTr="00D34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6745F1" w14:textId="77777777" w:rsidR="00AD5A5D" w:rsidRPr="00042550" w:rsidRDefault="00AD5A5D" w:rsidP="0059096B">
            <w:pPr>
              <w:rPr>
                <w:lang w:val="en-GB" w:eastAsia="en-AU"/>
              </w:rPr>
            </w:pPr>
            <w:r w:rsidRPr="00042550">
              <w:rPr>
                <w:lang w:val="en-GB" w:eastAsia="en-AU"/>
              </w:rPr>
              <w:t xml:space="preserve">Nature of revenue support </w:t>
            </w:r>
          </w:p>
        </w:tc>
        <w:tc>
          <w:tcPr>
            <w:tcW w:w="3384" w:type="dxa"/>
          </w:tcPr>
          <w:p w14:paraId="4CF2F79B" w14:textId="7F68A989" w:rsidR="00AD5A5D" w:rsidRPr="00042550" w:rsidRDefault="00AD5A5D" w:rsidP="0059096B">
            <w:pPr>
              <w:cnfStyle w:val="000000100000" w:firstRow="0" w:lastRow="0" w:firstColumn="0" w:lastColumn="0" w:oddVBand="0" w:evenVBand="0" w:oddHBand="1" w:evenHBand="0" w:firstRowFirstColumn="0" w:firstRowLastColumn="0" w:lastRowFirstColumn="0" w:lastRowLastColumn="0"/>
              <w:rPr>
                <w:lang w:val="en-GB" w:eastAsia="en-AU"/>
              </w:rPr>
            </w:pPr>
            <w:r w:rsidRPr="00042550">
              <w:rPr>
                <w:lang w:val="en-GB" w:eastAsia="en-AU"/>
              </w:rPr>
              <w:t xml:space="preserve">The RCM provides a </w:t>
            </w:r>
            <w:r w:rsidRPr="00042550">
              <w:rPr>
                <w:b/>
                <w:bCs/>
                <w:lang w:val="en-GB" w:eastAsia="en-AU"/>
              </w:rPr>
              <w:t>short-term price signal</w:t>
            </w:r>
            <w:r w:rsidRPr="00042550">
              <w:rPr>
                <w:lang w:val="en-GB" w:eastAsia="en-AU"/>
              </w:rPr>
              <w:t xml:space="preserve"> through the Reserve Capacity Price, calculated annually. Facilities receive Capacity Credits if they are deemed eligible and fulfil their capacity commitments made through the RCM.</w:t>
            </w:r>
          </w:p>
        </w:tc>
        <w:tc>
          <w:tcPr>
            <w:tcW w:w="4201" w:type="dxa"/>
          </w:tcPr>
          <w:p w14:paraId="2011D2F9" w14:textId="2C8C7CCF" w:rsidR="00B8136B" w:rsidRPr="00B8136B" w:rsidRDefault="00AD5A5D" w:rsidP="00B7543F">
            <w:pPr>
              <w:cnfStyle w:val="000000100000" w:firstRow="0" w:lastRow="0" w:firstColumn="0" w:lastColumn="0" w:oddVBand="0" w:evenVBand="0" w:oddHBand="1" w:evenHBand="0" w:firstRowFirstColumn="0" w:firstRowLastColumn="0" w:lastRowFirstColumn="0" w:lastRowLastColumn="0"/>
              <w:rPr>
                <w:lang w:val="en-GB" w:eastAsia="en-AU"/>
              </w:rPr>
            </w:pPr>
            <w:r w:rsidRPr="00042550">
              <w:rPr>
                <w:lang w:val="en-GB" w:eastAsia="en-AU"/>
              </w:rPr>
              <w:t xml:space="preserve">The CIS provides a </w:t>
            </w:r>
            <w:r w:rsidRPr="00042550">
              <w:rPr>
                <w:b/>
                <w:bCs/>
                <w:lang w:val="en-GB" w:eastAsia="en-AU"/>
              </w:rPr>
              <w:t>long-term price guarantee</w:t>
            </w:r>
            <w:r w:rsidRPr="00042550">
              <w:rPr>
                <w:lang w:val="en-GB" w:eastAsia="en-AU"/>
              </w:rPr>
              <w:t xml:space="preserve"> to new capacity through an underwriting agreement </w:t>
            </w:r>
            <w:r w:rsidR="00695CEB" w:rsidRPr="001851D2">
              <w:rPr>
                <w:lang w:val="en-GB" w:eastAsia="en-AU"/>
              </w:rPr>
              <w:t>of up to</w:t>
            </w:r>
            <w:r w:rsidRPr="001851D2">
              <w:rPr>
                <w:lang w:val="en-GB" w:eastAsia="en-AU"/>
              </w:rPr>
              <w:t xml:space="preserve"> 15</w:t>
            </w:r>
            <w:r w:rsidR="00695CEB" w:rsidRPr="001851D2">
              <w:rPr>
                <w:lang w:val="en-GB" w:eastAsia="en-AU"/>
              </w:rPr>
              <w:t xml:space="preserve"> </w:t>
            </w:r>
            <w:r w:rsidRPr="001851D2">
              <w:rPr>
                <w:lang w:val="en-GB" w:eastAsia="en-AU"/>
              </w:rPr>
              <w:t>year</w:t>
            </w:r>
            <w:r w:rsidR="00695CEB" w:rsidRPr="001851D2">
              <w:rPr>
                <w:lang w:val="en-GB" w:eastAsia="en-AU"/>
              </w:rPr>
              <w:t>s</w:t>
            </w:r>
            <w:r w:rsidRPr="00042550">
              <w:rPr>
                <w:lang w:val="en-GB" w:eastAsia="en-AU"/>
              </w:rPr>
              <w:t>. The underwrite allows new capacity to be built and the CIS</w:t>
            </w:r>
            <w:r>
              <w:rPr>
                <w:lang w:val="en-GB" w:eastAsia="en-AU"/>
              </w:rPr>
              <w:t>A</w:t>
            </w:r>
            <w:r w:rsidRPr="00042550">
              <w:rPr>
                <w:lang w:val="en-GB" w:eastAsia="en-AU"/>
              </w:rPr>
              <w:t xml:space="preserve"> is designed to incorporate and adapt to a variety of short-term price signals. The long-term signal provided via the CIS has been structured to support both debt and equity investors.</w:t>
            </w:r>
            <w:r w:rsidR="00957BF4">
              <w:rPr>
                <w:lang w:val="en-GB" w:eastAsia="en-AU"/>
              </w:rPr>
              <w:t xml:space="preserve"> </w:t>
            </w:r>
          </w:p>
        </w:tc>
      </w:tr>
      <w:tr w:rsidR="00AD5A5D" w:rsidRPr="008D7498" w14:paraId="002ED74A" w14:textId="77777777" w:rsidTr="00D34AC2">
        <w:tc>
          <w:tcPr>
            <w:cnfStyle w:val="001000000000" w:firstRow="0" w:lastRow="0" w:firstColumn="1" w:lastColumn="0" w:oddVBand="0" w:evenVBand="0" w:oddHBand="0" w:evenHBand="0" w:firstRowFirstColumn="0" w:firstRowLastColumn="0" w:lastRowFirstColumn="0" w:lastRowLastColumn="0"/>
            <w:tcW w:w="0" w:type="dxa"/>
          </w:tcPr>
          <w:p w14:paraId="6D205822" w14:textId="77777777" w:rsidR="00AD5A5D" w:rsidRPr="008D7498" w:rsidRDefault="00AD5A5D" w:rsidP="0059096B">
            <w:pPr>
              <w:rPr>
                <w:lang w:val="en-GB" w:eastAsia="en-AU"/>
              </w:rPr>
            </w:pPr>
            <w:r w:rsidRPr="008D7498">
              <w:rPr>
                <w:lang w:val="en-GB" w:eastAsia="en-AU"/>
              </w:rPr>
              <w:t>Time Horizon</w:t>
            </w:r>
          </w:p>
        </w:tc>
        <w:tc>
          <w:tcPr>
            <w:tcW w:w="3384" w:type="dxa"/>
          </w:tcPr>
          <w:p w14:paraId="0CE1F1B0" w14:textId="77777777" w:rsidR="00AD5A5D" w:rsidRPr="008D7498" w:rsidRDefault="00AD5A5D" w:rsidP="0059096B">
            <w:pPr>
              <w:cnfStyle w:val="000000000000" w:firstRow="0" w:lastRow="0" w:firstColumn="0" w:lastColumn="0" w:oddVBand="0" w:evenVBand="0" w:oddHBand="0" w:evenHBand="0" w:firstRowFirstColumn="0" w:firstRowLastColumn="0" w:lastRowFirstColumn="0" w:lastRowLastColumn="0"/>
              <w:rPr>
                <w:lang w:val="en-GB" w:eastAsia="en-AU"/>
              </w:rPr>
            </w:pPr>
            <w:r w:rsidRPr="008D7498">
              <w:rPr>
                <w:lang w:val="en-GB" w:eastAsia="en-AU"/>
              </w:rPr>
              <w:t>AEMO assesses facility eligibility and assigns Capacity Credits two years ahead of the relevant delivery year.</w:t>
            </w:r>
          </w:p>
        </w:tc>
        <w:tc>
          <w:tcPr>
            <w:tcW w:w="4201" w:type="dxa"/>
          </w:tcPr>
          <w:p w14:paraId="53019E9D" w14:textId="75890693" w:rsidR="00AD5A5D" w:rsidRPr="008D7498" w:rsidRDefault="00AD5A5D" w:rsidP="0059096B">
            <w:pPr>
              <w:cnfStyle w:val="000000000000" w:firstRow="0" w:lastRow="0" w:firstColumn="0" w:lastColumn="0" w:oddVBand="0" w:evenVBand="0" w:oddHBand="0" w:evenHBand="0" w:firstRowFirstColumn="0" w:firstRowLastColumn="0" w:lastRowFirstColumn="0" w:lastRowLastColumn="0"/>
              <w:rPr>
                <w:lang w:val="en-GB" w:eastAsia="en-AU"/>
              </w:rPr>
            </w:pPr>
            <w:r w:rsidRPr="008D7498">
              <w:rPr>
                <w:lang w:val="en-GB" w:eastAsia="en-AU"/>
              </w:rPr>
              <w:t xml:space="preserve">CIS tenders will nominate a targeted commissioning date for eligibility. The </w:t>
            </w:r>
            <w:r w:rsidR="007C34B7">
              <w:rPr>
                <w:lang w:val="en-GB" w:eastAsia="en-AU"/>
              </w:rPr>
              <w:t>tender process will operate approximately one year ahead of the RCM process (though</w:t>
            </w:r>
            <w:r w:rsidRPr="008D7498">
              <w:rPr>
                <w:lang w:val="en-GB" w:eastAsia="en-AU"/>
              </w:rPr>
              <w:t xml:space="preserve"> may vary between tenders, subject to the timing of reliability requirements and other specific considerations</w:t>
            </w:r>
            <w:r w:rsidR="00A471EC">
              <w:rPr>
                <w:lang w:val="en-GB" w:eastAsia="en-AU"/>
              </w:rPr>
              <w:t>)</w:t>
            </w:r>
            <w:r w:rsidRPr="008D7498">
              <w:rPr>
                <w:lang w:val="en-GB" w:eastAsia="en-AU"/>
              </w:rPr>
              <w:t>.</w:t>
            </w:r>
            <w:r>
              <w:rPr>
                <w:lang w:val="en-GB" w:eastAsia="en-AU"/>
              </w:rPr>
              <w:t xml:space="preserve"> </w:t>
            </w:r>
          </w:p>
        </w:tc>
      </w:tr>
      <w:tr w:rsidR="00AD5A5D" w:rsidRPr="00A369E1" w14:paraId="1248F08E" w14:textId="77777777" w:rsidTr="00D34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05D4BA" w14:textId="77777777" w:rsidR="00AD5A5D" w:rsidRPr="00A369E1" w:rsidRDefault="00AD5A5D" w:rsidP="0059096B">
            <w:pPr>
              <w:spacing w:line="259" w:lineRule="auto"/>
              <w:rPr>
                <w:lang w:val="en-GB" w:eastAsia="en-AU"/>
              </w:rPr>
            </w:pPr>
            <w:r w:rsidRPr="00A369E1">
              <w:rPr>
                <w:lang w:val="en-GB" w:eastAsia="en-AU"/>
              </w:rPr>
              <w:t>Degree of project certainty</w:t>
            </w:r>
          </w:p>
        </w:tc>
        <w:tc>
          <w:tcPr>
            <w:tcW w:w="3384" w:type="dxa"/>
          </w:tcPr>
          <w:p w14:paraId="1ABEA8CF" w14:textId="24CE286B" w:rsidR="00AD5A5D" w:rsidRPr="00A369E1" w:rsidRDefault="00AD5A5D" w:rsidP="0059096B">
            <w:pPr>
              <w:spacing w:line="259" w:lineRule="auto"/>
              <w:cnfStyle w:val="000000100000" w:firstRow="0" w:lastRow="0" w:firstColumn="0" w:lastColumn="0" w:oddVBand="0" w:evenVBand="0" w:oddHBand="1" w:evenHBand="0" w:firstRowFirstColumn="0" w:firstRowLastColumn="0" w:lastRowFirstColumn="0" w:lastRowLastColumn="0"/>
              <w:rPr>
                <w:lang w:val="en-GB" w:eastAsia="en-AU"/>
              </w:rPr>
            </w:pPr>
            <w:r w:rsidRPr="00A369E1">
              <w:rPr>
                <w:lang w:val="en-GB" w:eastAsia="en-AU"/>
              </w:rPr>
              <w:t>The RCM requires a high level of project certainty plus financial commitment for a facility to be eligible to receive Capacity Credits.</w:t>
            </w:r>
          </w:p>
        </w:tc>
        <w:tc>
          <w:tcPr>
            <w:tcW w:w="4201" w:type="dxa"/>
          </w:tcPr>
          <w:p w14:paraId="1F5EC8C5" w14:textId="58DDDBC7" w:rsidR="00AD5A5D" w:rsidRPr="00A369E1" w:rsidRDefault="00AD5A5D" w:rsidP="0059096B">
            <w:pPr>
              <w:spacing w:line="259" w:lineRule="auto"/>
              <w:cnfStyle w:val="000000100000" w:firstRow="0" w:lastRow="0" w:firstColumn="0" w:lastColumn="0" w:oddVBand="0" w:evenVBand="0" w:oddHBand="1" w:evenHBand="0" w:firstRowFirstColumn="0" w:firstRowLastColumn="0" w:lastRowFirstColumn="0" w:lastRowLastColumn="0"/>
              <w:rPr>
                <w:lang w:val="en-GB" w:eastAsia="en-AU"/>
              </w:rPr>
            </w:pPr>
            <w:r w:rsidRPr="00A369E1">
              <w:rPr>
                <w:lang w:val="en-GB" w:eastAsia="en-AU"/>
              </w:rPr>
              <w:t>CIS</w:t>
            </w:r>
            <w:r>
              <w:rPr>
                <w:lang w:val="en-GB" w:eastAsia="en-AU"/>
              </w:rPr>
              <w:t>A</w:t>
            </w:r>
            <w:r w:rsidRPr="00A369E1">
              <w:rPr>
                <w:lang w:val="en-GB" w:eastAsia="en-AU"/>
              </w:rPr>
              <w:t xml:space="preserve">s may be awarded to projects in advance of </w:t>
            </w:r>
            <w:r w:rsidR="00F7507A">
              <w:rPr>
                <w:lang w:val="en-GB" w:eastAsia="en-AU"/>
              </w:rPr>
              <w:t>a final investment decision</w:t>
            </w:r>
            <w:r w:rsidRPr="00A369E1">
              <w:rPr>
                <w:lang w:val="en-GB" w:eastAsia="en-AU"/>
              </w:rPr>
              <w:t xml:space="preserve"> </w:t>
            </w:r>
            <w:r w:rsidR="00F7507A">
              <w:rPr>
                <w:lang w:val="en-GB" w:eastAsia="en-AU"/>
              </w:rPr>
              <w:t>(</w:t>
            </w:r>
            <w:r w:rsidRPr="00A369E1">
              <w:rPr>
                <w:lang w:val="en-GB" w:eastAsia="en-AU"/>
              </w:rPr>
              <w:t>FID</w:t>
            </w:r>
            <w:r w:rsidR="00F7507A">
              <w:rPr>
                <w:lang w:val="en-GB" w:eastAsia="en-AU"/>
              </w:rPr>
              <w:t>)</w:t>
            </w:r>
            <w:r w:rsidRPr="00A369E1">
              <w:rPr>
                <w:lang w:val="en-GB" w:eastAsia="en-AU"/>
              </w:rPr>
              <w:t xml:space="preserve">, subject to meeting the CIS eligibility requirements and </w:t>
            </w:r>
            <w:r>
              <w:rPr>
                <w:lang w:val="en-GB" w:eastAsia="en-AU"/>
              </w:rPr>
              <w:t>merit assessment</w:t>
            </w:r>
            <w:r w:rsidRPr="00A369E1">
              <w:rPr>
                <w:lang w:val="en-GB" w:eastAsia="en-AU"/>
              </w:rPr>
              <w:t>.</w:t>
            </w:r>
          </w:p>
        </w:tc>
      </w:tr>
    </w:tbl>
    <w:p w14:paraId="134139E7" w14:textId="77777777" w:rsidR="00AD5A5D" w:rsidRDefault="00AD5A5D" w:rsidP="00CE1500">
      <w:pPr>
        <w:rPr>
          <w:lang w:val="en-GB" w:eastAsia="en-AU"/>
        </w:rPr>
      </w:pPr>
    </w:p>
    <w:p w14:paraId="546F2016" w14:textId="56A27ED7" w:rsidR="00C52CE4" w:rsidRDefault="0076799B" w:rsidP="00CE1500">
      <w:pPr>
        <w:rPr>
          <w:lang w:val="en-GB" w:eastAsia="en-AU"/>
        </w:rPr>
      </w:pPr>
      <w:r>
        <w:rPr>
          <w:lang w:val="en-GB" w:eastAsia="en-AU"/>
        </w:rPr>
        <w:t xml:space="preserve">The CIS process </w:t>
      </w:r>
      <w:r w:rsidRPr="2C544318">
        <w:rPr>
          <w:lang w:val="en-GB" w:eastAsia="en-AU"/>
        </w:rPr>
        <w:t>seek</w:t>
      </w:r>
      <w:r w:rsidR="72770D7A" w:rsidRPr="2C544318">
        <w:rPr>
          <w:lang w:val="en-GB" w:eastAsia="en-AU"/>
        </w:rPr>
        <w:t>s</w:t>
      </w:r>
      <w:r>
        <w:rPr>
          <w:lang w:val="en-GB" w:eastAsia="en-AU"/>
        </w:rPr>
        <w:t xml:space="preserve"> to leverage </w:t>
      </w:r>
      <w:r w:rsidR="005A0BFF">
        <w:rPr>
          <w:lang w:val="en-GB" w:eastAsia="en-AU"/>
        </w:rPr>
        <w:t>existing RCM processes around security deposits and capacity refund payments</w:t>
      </w:r>
      <w:r w:rsidR="00C52CE4">
        <w:rPr>
          <w:lang w:val="en-GB" w:eastAsia="en-AU"/>
        </w:rPr>
        <w:t xml:space="preserve"> to minimise duplicative arrangements</w:t>
      </w:r>
      <w:r w:rsidR="005A0BFF">
        <w:rPr>
          <w:lang w:val="en-GB" w:eastAsia="en-AU"/>
        </w:rPr>
        <w:t>.</w:t>
      </w:r>
    </w:p>
    <w:p w14:paraId="6D9B1C3F" w14:textId="12D9FBA6" w:rsidR="0076799B" w:rsidRDefault="00C52CE4" w:rsidP="00C52CE4">
      <w:pPr>
        <w:pStyle w:val="ListParagraph"/>
        <w:numPr>
          <w:ilvl w:val="0"/>
          <w:numId w:val="34"/>
        </w:numPr>
        <w:rPr>
          <w:lang w:val="en-GB" w:eastAsia="en-AU"/>
        </w:rPr>
      </w:pPr>
      <w:r>
        <w:rPr>
          <w:lang w:val="en-GB" w:eastAsia="en-AU"/>
        </w:rPr>
        <w:t xml:space="preserve">A Project Owner </w:t>
      </w:r>
      <w:r w:rsidR="000D1465">
        <w:rPr>
          <w:lang w:val="en-GB" w:eastAsia="en-AU"/>
        </w:rPr>
        <w:t>may</w:t>
      </w:r>
      <w:r>
        <w:rPr>
          <w:lang w:val="en-GB" w:eastAsia="en-AU"/>
        </w:rPr>
        <w:t xml:space="preserve"> be </w:t>
      </w:r>
      <w:r w:rsidR="004D02F9">
        <w:rPr>
          <w:lang w:val="en-GB" w:eastAsia="en-AU"/>
        </w:rPr>
        <w:t>required to provide a</w:t>
      </w:r>
      <w:r w:rsidR="00F25889">
        <w:rPr>
          <w:lang w:val="en-GB" w:eastAsia="en-AU"/>
        </w:rPr>
        <w:t xml:space="preserve"> bank guarantee</w:t>
      </w:r>
      <w:r w:rsidR="004D02F9">
        <w:rPr>
          <w:lang w:val="en-GB" w:eastAsia="en-AU"/>
        </w:rPr>
        <w:t xml:space="preserve"> as part of the CIS process, but this </w:t>
      </w:r>
      <w:r w:rsidR="007C2AD4">
        <w:rPr>
          <w:lang w:val="en-GB" w:eastAsia="en-AU"/>
        </w:rPr>
        <w:t>would expectedly</w:t>
      </w:r>
      <w:r w:rsidR="004D02F9">
        <w:rPr>
          <w:lang w:val="en-GB" w:eastAsia="en-AU"/>
        </w:rPr>
        <w:t xml:space="preserve"> be re</w:t>
      </w:r>
      <w:r w:rsidR="005262B1">
        <w:rPr>
          <w:lang w:val="en-GB" w:eastAsia="en-AU"/>
        </w:rPr>
        <w:t>leased</w:t>
      </w:r>
      <w:r w:rsidR="004D02F9">
        <w:rPr>
          <w:lang w:val="en-GB" w:eastAsia="en-AU"/>
        </w:rPr>
        <w:t xml:space="preserve"> </w:t>
      </w:r>
      <w:r w:rsidR="002C26CB">
        <w:rPr>
          <w:lang w:val="en-GB" w:eastAsia="en-AU"/>
        </w:rPr>
        <w:t>after the Project Owner has provided Reserve Capacity Security to AEMO</w:t>
      </w:r>
      <w:r w:rsidR="00CD45F1">
        <w:rPr>
          <w:lang w:val="en-GB" w:eastAsia="en-AU"/>
        </w:rPr>
        <w:t xml:space="preserve"> as required under the WEM Rules</w:t>
      </w:r>
      <w:r w:rsidR="00502910">
        <w:rPr>
          <w:lang w:val="en-GB" w:eastAsia="en-AU"/>
        </w:rPr>
        <w:t>.</w:t>
      </w:r>
      <w:r w:rsidR="00502910">
        <w:rPr>
          <w:rStyle w:val="FootnoteReference"/>
          <w:lang w:val="en-GB" w:eastAsia="en-AU"/>
        </w:rPr>
        <w:footnoteReference w:id="13"/>
      </w:r>
    </w:p>
    <w:p w14:paraId="529A3AA6" w14:textId="4F97CDF2" w:rsidR="008C04C8" w:rsidRPr="00C52CE4" w:rsidRDefault="008C04C8" w:rsidP="00D34AC2">
      <w:pPr>
        <w:pStyle w:val="ListParagraph"/>
        <w:numPr>
          <w:ilvl w:val="0"/>
          <w:numId w:val="34"/>
        </w:numPr>
        <w:rPr>
          <w:lang w:val="en-GB" w:eastAsia="en-AU"/>
        </w:rPr>
      </w:pPr>
      <w:r>
        <w:rPr>
          <w:lang w:val="en-GB" w:eastAsia="en-AU"/>
        </w:rPr>
        <w:lastRenderedPageBreak/>
        <w:t xml:space="preserve">A Project Owner will need to </w:t>
      </w:r>
      <w:r w:rsidR="008813C0">
        <w:rPr>
          <w:lang w:val="en-GB" w:eastAsia="en-AU"/>
        </w:rPr>
        <w:t xml:space="preserve">provide Reserve Capacity refund payments to AEMO, as required under the WEM Rules and </w:t>
      </w:r>
      <w:r w:rsidR="0023566B">
        <w:rPr>
          <w:lang w:val="en-GB" w:eastAsia="en-AU"/>
        </w:rPr>
        <w:t>it is not intended that they would</w:t>
      </w:r>
      <w:r w:rsidR="008813C0">
        <w:rPr>
          <w:lang w:val="en-GB" w:eastAsia="en-AU"/>
        </w:rPr>
        <w:t xml:space="preserve"> be subject to additional liquidated damages under a CISA.</w:t>
      </w:r>
      <w:r w:rsidR="00957F3B">
        <w:rPr>
          <w:lang w:val="en-GB" w:eastAsia="en-AU"/>
        </w:rPr>
        <w:t xml:space="preserve"> However,</w:t>
      </w:r>
      <w:r w:rsidR="0013228A">
        <w:rPr>
          <w:lang w:val="en-GB" w:eastAsia="en-AU"/>
        </w:rPr>
        <w:t xml:space="preserve"> it is expected that</w:t>
      </w:r>
      <w:r w:rsidR="00957F3B">
        <w:rPr>
          <w:lang w:val="en-GB" w:eastAsia="en-AU"/>
        </w:rPr>
        <w:t xml:space="preserve"> Reserve Capacity refunds will not </w:t>
      </w:r>
      <w:r w:rsidR="00F232A9">
        <w:rPr>
          <w:lang w:val="en-GB" w:eastAsia="en-AU"/>
        </w:rPr>
        <w:t xml:space="preserve">be netted off project revenues for the purposes of the </w:t>
      </w:r>
      <w:r w:rsidR="000C3F65">
        <w:rPr>
          <w:lang w:val="en-GB" w:eastAsia="en-AU"/>
        </w:rPr>
        <w:t>underwriting calculations under a CISA.</w:t>
      </w:r>
    </w:p>
    <w:p w14:paraId="3E696434" w14:textId="48FDC59D" w:rsidR="00CE1500" w:rsidRDefault="00EC13D8" w:rsidP="00CE1500">
      <w:pPr>
        <w:rPr>
          <w:lang w:val="en-GB" w:eastAsia="en-AU"/>
        </w:rPr>
      </w:pPr>
      <w:r w:rsidRPr="00EC13D8">
        <w:rPr>
          <w:lang w:val="en-GB" w:eastAsia="en-AU"/>
        </w:rPr>
        <w:t xml:space="preserve">Different </w:t>
      </w:r>
      <w:r w:rsidR="00DA182F">
        <w:rPr>
          <w:lang w:val="en-GB" w:eastAsia="en-AU"/>
        </w:rPr>
        <w:t>bid parameters</w:t>
      </w:r>
      <w:r w:rsidRPr="00EC13D8">
        <w:rPr>
          <w:lang w:val="en-GB" w:eastAsia="en-AU"/>
        </w:rPr>
        <w:t xml:space="preserve"> </w:t>
      </w:r>
      <w:r w:rsidR="00253FCB">
        <w:rPr>
          <w:lang w:val="en-GB" w:eastAsia="en-AU"/>
        </w:rPr>
        <w:t>for the revenue floor</w:t>
      </w:r>
      <w:r w:rsidR="007B2853">
        <w:rPr>
          <w:lang w:val="en-GB" w:eastAsia="en-AU"/>
        </w:rPr>
        <w:t xml:space="preserve"> and</w:t>
      </w:r>
      <w:r w:rsidR="00253FCB">
        <w:rPr>
          <w:lang w:val="en-GB" w:eastAsia="en-AU"/>
        </w:rPr>
        <w:t xml:space="preserve"> ceiling</w:t>
      </w:r>
      <w:r w:rsidR="005E5C43" w:rsidRPr="00EC13D8">
        <w:rPr>
          <w:lang w:val="en-GB" w:eastAsia="en-AU"/>
        </w:rPr>
        <w:t xml:space="preserve"> </w:t>
      </w:r>
      <w:r w:rsidR="00001602">
        <w:rPr>
          <w:lang w:val="en-GB" w:eastAsia="en-AU"/>
        </w:rPr>
        <w:t>are expected to</w:t>
      </w:r>
      <w:r w:rsidR="005E5C43" w:rsidRPr="00EC13D8">
        <w:rPr>
          <w:lang w:val="en-GB" w:eastAsia="en-AU"/>
        </w:rPr>
        <w:t xml:space="preserve"> be employed for </w:t>
      </w:r>
      <w:r w:rsidR="00AA05DC" w:rsidRPr="00AA05DC">
        <w:rPr>
          <w:lang w:val="en-GB" w:eastAsia="en-AU"/>
        </w:rPr>
        <w:t>Clean Dispatchable CISA</w:t>
      </w:r>
      <w:r w:rsidR="00AA05DC">
        <w:rPr>
          <w:lang w:val="en-GB" w:eastAsia="en-AU"/>
        </w:rPr>
        <w:t>s</w:t>
      </w:r>
      <w:r w:rsidR="00AA05DC" w:rsidRPr="00AA05DC" w:rsidDel="00AA05DC">
        <w:rPr>
          <w:lang w:val="en-GB" w:eastAsia="en-AU"/>
        </w:rPr>
        <w:t xml:space="preserve"> </w:t>
      </w:r>
      <w:r w:rsidR="005E5C43" w:rsidRPr="00EC13D8">
        <w:rPr>
          <w:lang w:val="en-GB" w:eastAsia="en-AU"/>
        </w:rPr>
        <w:t xml:space="preserve">and </w:t>
      </w:r>
      <w:r w:rsidR="00AA05DC">
        <w:rPr>
          <w:lang w:val="en-GB" w:eastAsia="en-AU"/>
        </w:rPr>
        <w:t>Generation CISAs</w:t>
      </w:r>
      <w:r>
        <w:rPr>
          <w:lang w:val="en-GB" w:eastAsia="en-AU"/>
        </w:rPr>
        <w:t xml:space="preserve">, reflecting the different </w:t>
      </w:r>
      <w:r w:rsidR="00E90E8D">
        <w:rPr>
          <w:lang w:val="en-GB" w:eastAsia="en-AU"/>
        </w:rPr>
        <w:t xml:space="preserve">revenue streams </w:t>
      </w:r>
      <w:r w:rsidR="006C2AE0">
        <w:rPr>
          <w:lang w:val="en-GB" w:eastAsia="en-AU"/>
        </w:rPr>
        <w:t xml:space="preserve">in the WEM and different </w:t>
      </w:r>
      <w:r>
        <w:rPr>
          <w:lang w:val="en-GB" w:eastAsia="en-AU"/>
        </w:rPr>
        <w:t>facility operating characteristics</w:t>
      </w:r>
      <w:r w:rsidRPr="00EC13D8">
        <w:rPr>
          <w:lang w:val="en-GB" w:eastAsia="en-AU"/>
        </w:rPr>
        <w:t>:</w:t>
      </w:r>
    </w:p>
    <w:p w14:paraId="7199347D" w14:textId="1F4713FE" w:rsidR="00EC13D8" w:rsidRDefault="006C2AE0" w:rsidP="00EC13D8">
      <w:pPr>
        <w:pStyle w:val="ListParagraph"/>
        <w:numPr>
          <w:ilvl w:val="0"/>
          <w:numId w:val="34"/>
        </w:numPr>
        <w:rPr>
          <w:lang w:val="en-GB" w:eastAsia="en-AU"/>
        </w:rPr>
      </w:pPr>
      <w:r>
        <w:rPr>
          <w:lang w:val="en-GB" w:eastAsia="en-AU"/>
        </w:rPr>
        <w:t xml:space="preserve">For </w:t>
      </w:r>
      <w:r w:rsidR="00AA05DC">
        <w:rPr>
          <w:lang w:val="en-GB" w:eastAsia="en-AU"/>
        </w:rPr>
        <w:t>Clean D</w:t>
      </w:r>
      <w:r>
        <w:rPr>
          <w:lang w:val="en-GB" w:eastAsia="en-AU"/>
        </w:rPr>
        <w:t xml:space="preserve">ispatchable </w:t>
      </w:r>
      <w:r w:rsidR="00AA05DC">
        <w:rPr>
          <w:lang w:val="en-GB" w:eastAsia="en-AU"/>
        </w:rPr>
        <w:t>CISAs</w:t>
      </w:r>
      <w:r>
        <w:rPr>
          <w:lang w:val="en-GB" w:eastAsia="en-AU"/>
        </w:rPr>
        <w:t xml:space="preserve">, proponents will bid </w:t>
      </w:r>
      <w:r w:rsidR="00710C08">
        <w:rPr>
          <w:lang w:val="en-GB" w:eastAsia="en-AU"/>
        </w:rPr>
        <w:t xml:space="preserve">the floor and ceiling </w:t>
      </w:r>
      <w:r w:rsidR="008838DF">
        <w:rPr>
          <w:lang w:val="en-GB" w:eastAsia="en-AU"/>
        </w:rPr>
        <w:t>revenues</w:t>
      </w:r>
      <w:r w:rsidR="00710C08">
        <w:rPr>
          <w:lang w:val="en-GB" w:eastAsia="en-AU"/>
        </w:rPr>
        <w:t xml:space="preserve"> with reference to t</w:t>
      </w:r>
      <w:r w:rsidR="00EC13D8">
        <w:rPr>
          <w:lang w:val="en-GB" w:eastAsia="en-AU"/>
        </w:rPr>
        <w:t xml:space="preserve">otal </w:t>
      </w:r>
      <w:r w:rsidR="00710C08">
        <w:rPr>
          <w:lang w:val="en-GB" w:eastAsia="en-AU"/>
        </w:rPr>
        <w:t xml:space="preserve">facility </w:t>
      </w:r>
      <w:r w:rsidR="00EC13D8">
        <w:rPr>
          <w:lang w:val="en-GB" w:eastAsia="en-AU"/>
        </w:rPr>
        <w:t>revenue</w:t>
      </w:r>
      <w:r w:rsidR="006034E1">
        <w:rPr>
          <w:lang w:val="en-GB" w:eastAsia="en-AU"/>
        </w:rPr>
        <w:t xml:space="preserve"> per unit </w:t>
      </w:r>
      <w:r w:rsidR="00BD3C47">
        <w:rPr>
          <w:lang w:val="en-GB" w:eastAsia="en-AU"/>
        </w:rPr>
        <w:t xml:space="preserve">of </w:t>
      </w:r>
      <w:r w:rsidR="00D10ACA">
        <w:rPr>
          <w:lang w:val="en-GB" w:eastAsia="en-AU"/>
        </w:rPr>
        <w:t>rated</w:t>
      </w:r>
      <w:r w:rsidR="009636F7">
        <w:rPr>
          <w:lang w:val="en-GB" w:eastAsia="en-AU"/>
        </w:rPr>
        <w:t xml:space="preserve"> </w:t>
      </w:r>
      <w:r w:rsidR="006034E1">
        <w:rPr>
          <w:lang w:val="en-GB" w:eastAsia="en-AU"/>
        </w:rPr>
        <w:t>capacity ($/MW)</w:t>
      </w:r>
      <w:r w:rsidR="0030191C">
        <w:rPr>
          <w:lang w:val="en-GB" w:eastAsia="en-AU"/>
        </w:rPr>
        <w:t xml:space="preserve">, </w:t>
      </w:r>
      <w:r w:rsidR="00B63F6E">
        <w:rPr>
          <w:lang w:val="en-GB" w:eastAsia="en-AU"/>
        </w:rPr>
        <w:t xml:space="preserve">which is considered appropriate </w:t>
      </w:r>
      <w:r w:rsidR="003B16BA">
        <w:rPr>
          <w:lang w:val="en-GB" w:eastAsia="en-AU"/>
        </w:rPr>
        <w:t xml:space="preserve">given the wide range of revenue streams that </w:t>
      </w:r>
      <w:r w:rsidR="00BC6760">
        <w:rPr>
          <w:lang w:val="en-GB" w:eastAsia="en-AU"/>
        </w:rPr>
        <w:t>facilities are likely to earn</w:t>
      </w:r>
      <w:r w:rsidR="001A6D57">
        <w:rPr>
          <w:lang w:val="en-GB" w:eastAsia="en-AU"/>
        </w:rPr>
        <w:t>, and the real-time trade-offs between revenue streams (e.g., between energy and FCESS)</w:t>
      </w:r>
      <w:r w:rsidR="00BC6760">
        <w:rPr>
          <w:lang w:val="en-GB" w:eastAsia="en-AU"/>
        </w:rPr>
        <w:t>; and</w:t>
      </w:r>
    </w:p>
    <w:p w14:paraId="146E3699" w14:textId="0AC64D56" w:rsidR="00BC6760" w:rsidRDefault="00710C08" w:rsidP="00D34AC2">
      <w:pPr>
        <w:pStyle w:val="ListParagraph"/>
        <w:numPr>
          <w:ilvl w:val="0"/>
          <w:numId w:val="34"/>
        </w:numPr>
        <w:rPr>
          <w:lang w:val="en-GB" w:eastAsia="en-AU"/>
        </w:rPr>
      </w:pPr>
      <w:r>
        <w:rPr>
          <w:lang w:val="en-GB" w:eastAsia="en-AU"/>
        </w:rPr>
        <w:t xml:space="preserve">For </w:t>
      </w:r>
      <w:r w:rsidR="00AA05DC">
        <w:rPr>
          <w:lang w:val="en-GB" w:eastAsia="en-AU"/>
        </w:rPr>
        <w:t>Generation CISAs</w:t>
      </w:r>
      <w:r>
        <w:rPr>
          <w:lang w:val="en-GB" w:eastAsia="en-AU"/>
        </w:rPr>
        <w:t xml:space="preserve">, proponents will </w:t>
      </w:r>
      <w:r w:rsidR="006742D8">
        <w:rPr>
          <w:lang w:val="en-GB" w:eastAsia="en-AU"/>
        </w:rPr>
        <w:t>bid a</w:t>
      </w:r>
      <w:r w:rsidR="009A6026">
        <w:rPr>
          <w:lang w:val="en-GB" w:eastAsia="en-AU"/>
        </w:rPr>
        <w:t xml:space="preserve"> </w:t>
      </w:r>
      <w:r w:rsidR="006742D8">
        <w:rPr>
          <w:lang w:val="en-GB" w:eastAsia="en-AU"/>
        </w:rPr>
        <w:t>combination</w:t>
      </w:r>
      <w:r w:rsidR="009A6026">
        <w:rPr>
          <w:lang w:val="en-GB" w:eastAsia="en-AU"/>
        </w:rPr>
        <w:t xml:space="preserve"> of </w:t>
      </w:r>
      <w:r w:rsidR="00FB7F0C">
        <w:rPr>
          <w:lang w:val="en-GB" w:eastAsia="en-AU"/>
        </w:rPr>
        <w:t xml:space="preserve">fixed ($/MW) and variable ($/MWh) metrics for </w:t>
      </w:r>
      <w:r w:rsidR="008838DF">
        <w:rPr>
          <w:lang w:val="en-GB" w:eastAsia="en-AU"/>
        </w:rPr>
        <w:t>determining the floor and ceiling reven</w:t>
      </w:r>
      <w:r w:rsidR="0036629D">
        <w:rPr>
          <w:lang w:val="en-GB" w:eastAsia="en-AU"/>
        </w:rPr>
        <w:t>ues</w:t>
      </w:r>
      <w:r w:rsidR="00FB7F0C">
        <w:rPr>
          <w:lang w:val="en-GB" w:eastAsia="en-AU"/>
        </w:rPr>
        <w:t xml:space="preserve">, </w:t>
      </w:r>
      <w:r w:rsidR="0036629D">
        <w:rPr>
          <w:lang w:val="en-GB" w:eastAsia="en-AU"/>
        </w:rPr>
        <w:t xml:space="preserve">which </w:t>
      </w:r>
      <w:r w:rsidR="00642A51">
        <w:rPr>
          <w:lang w:val="en-GB" w:eastAsia="en-AU"/>
        </w:rPr>
        <w:t>align</w:t>
      </w:r>
      <w:r w:rsidR="0036629D">
        <w:rPr>
          <w:lang w:val="en-GB" w:eastAsia="en-AU"/>
        </w:rPr>
        <w:t>s</w:t>
      </w:r>
      <w:r w:rsidR="00642A51">
        <w:rPr>
          <w:lang w:val="en-GB" w:eastAsia="en-AU"/>
        </w:rPr>
        <w:t xml:space="preserve"> more closely with</w:t>
      </w:r>
      <w:r w:rsidR="00FB7F0C">
        <w:rPr>
          <w:lang w:val="en-GB" w:eastAsia="en-AU"/>
        </w:rPr>
        <w:t xml:space="preserve"> the </w:t>
      </w:r>
      <w:r w:rsidR="00642A51">
        <w:rPr>
          <w:lang w:val="en-GB" w:eastAsia="en-AU"/>
        </w:rPr>
        <w:t>energy and capacity income streams under the WEM</w:t>
      </w:r>
      <w:r w:rsidR="005F187E">
        <w:rPr>
          <w:lang w:val="en-GB" w:eastAsia="en-AU"/>
        </w:rPr>
        <w:t xml:space="preserve"> Rules</w:t>
      </w:r>
      <w:r w:rsidR="00642A51">
        <w:rPr>
          <w:lang w:val="en-GB" w:eastAsia="en-AU"/>
        </w:rPr>
        <w:t>.</w:t>
      </w:r>
      <w:r w:rsidR="00FB7F0C">
        <w:rPr>
          <w:lang w:val="en-GB" w:eastAsia="en-AU"/>
        </w:rPr>
        <w:t xml:space="preserve"> </w:t>
      </w:r>
    </w:p>
    <w:p w14:paraId="218163A2" w14:textId="6E774584" w:rsidR="00EC13D8" w:rsidRDefault="002F321C" w:rsidP="00D34AC2">
      <w:pPr>
        <w:rPr>
          <w:lang w:val="en-GB" w:eastAsia="en-AU"/>
        </w:rPr>
      </w:pPr>
      <w:r>
        <w:rPr>
          <w:lang w:val="en-GB" w:eastAsia="en-AU"/>
        </w:rPr>
        <w:t xml:space="preserve">In addition, recognising the prevalence of bilateral contracting in the WEM, </w:t>
      </w:r>
      <w:r w:rsidR="007F503D">
        <w:rPr>
          <w:lang w:val="en-GB" w:eastAsia="en-AU"/>
        </w:rPr>
        <w:t xml:space="preserve">a CISA will oblige a project owner to share information about revenue earned under bilateral contracts in order </w:t>
      </w:r>
      <w:r w:rsidR="009E0566">
        <w:rPr>
          <w:lang w:val="en-GB" w:eastAsia="en-AU"/>
        </w:rPr>
        <w:t>that this may be included in underwriting calculations</w:t>
      </w:r>
      <w:r w:rsidR="00305007">
        <w:rPr>
          <w:lang w:val="en-GB" w:eastAsia="en-AU"/>
        </w:rPr>
        <w:t xml:space="preserve">. </w:t>
      </w:r>
    </w:p>
    <w:p w14:paraId="05B196F4" w14:textId="77777777" w:rsidR="00F2416A" w:rsidRPr="00D34AC2" w:rsidRDefault="00F2416A" w:rsidP="00D34AC2">
      <w:pPr>
        <w:rPr>
          <w:lang w:val="en-GB" w:eastAsia="en-AU"/>
        </w:rPr>
      </w:pPr>
    </w:p>
    <w:p w14:paraId="754C2CFA" w14:textId="77777777" w:rsidR="00091D2A" w:rsidRPr="007E144D" w:rsidRDefault="00091D2A" w:rsidP="00615FFE">
      <w:pPr>
        <w:pStyle w:val="Heading2"/>
      </w:pPr>
      <w:bookmarkStart w:id="96" w:name="_Toc161385856"/>
      <w:bookmarkStart w:id="97" w:name="_Toc161388243"/>
      <w:bookmarkStart w:id="98" w:name="_Toc161388543"/>
      <w:bookmarkStart w:id="99" w:name="_Toc163162712"/>
      <w:r w:rsidRPr="007E144D">
        <w:t>CIS tender process and design</w:t>
      </w:r>
      <w:bookmarkEnd w:id="96"/>
      <w:bookmarkEnd w:id="97"/>
      <w:bookmarkEnd w:id="98"/>
      <w:bookmarkEnd w:id="99"/>
    </w:p>
    <w:p w14:paraId="06666B16" w14:textId="149CF209" w:rsidR="00091D2A" w:rsidRPr="00F15961" w:rsidRDefault="00091D2A" w:rsidP="00091D2A">
      <w:r w:rsidRPr="00F15961">
        <w:t xml:space="preserve">The CIS will </w:t>
      </w:r>
      <w:r w:rsidR="00F15961" w:rsidRPr="00F15961">
        <w:t>utilise</w:t>
      </w:r>
      <w:r w:rsidRPr="00F15961">
        <w:t xml:space="preserve"> robust, transparent processes and institutions to ensure market trust in the tender process. The CIS in the WEM is expected to be delivered in the following way: </w:t>
      </w:r>
    </w:p>
    <w:p w14:paraId="2226CCA3" w14:textId="3CBFDE22" w:rsidR="00091D2A" w:rsidRPr="00F15961" w:rsidRDefault="00091D2A" w:rsidP="005F7B30">
      <w:pPr>
        <w:pStyle w:val="ListParagraph"/>
        <w:numPr>
          <w:ilvl w:val="0"/>
          <w:numId w:val="34"/>
        </w:numPr>
        <w:rPr>
          <w:lang w:val="en-GB" w:eastAsia="en-AU"/>
        </w:rPr>
      </w:pPr>
      <w:r w:rsidRPr="00F15961">
        <w:rPr>
          <w:lang w:val="en-GB" w:eastAsia="en-AU"/>
        </w:rPr>
        <w:t>the</w:t>
      </w:r>
      <w:r w:rsidR="00991580">
        <w:rPr>
          <w:lang w:val="en-GB" w:eastAsia="en-AU"/>
        </w:rPr>
        <w:t xml:space="preserve"> Australian Government</w:t>
      </w:r>
      <w:r w:rsidRPr="00F15961">
        <w:rPr>
          <w:lang w:val="en-GB" w:eastAsia="en-AU"/>
        </w:rPr>
        <w:t xml:space="preserve"> will set objectives, commercial in-confidence financial budgets and</w:t>
      </w:r>
      <w:r w:rsidR="002436EB">
        <w:rPr>
          <w:lang w:val="en-GB" w:eastAsia="en-AU"/>
        </w:rPr>
        <w:t>, through agreement with the Western Australian Government,</w:t>
      </w:r>
      <w:r w:rsidRPr="00F15961">
        <w:rPr>
          <w:lang w:val="en-GB" w:eastAsia="en-AU"/>
        </w:rPr>
        <w:t xml:space="preserve"> MW capacity targets</w:t>
      </w:r>
      <w:r w:rsidR="00C66230" w:rsidRPr="00796DB8">
        <w:rPr>
          <w:vertAlign w:val="superscript"/>
        </w:rPr>
        <w:footnoteReference w:id="14"/>
      </w:r>
      <w:r w:rsidRPr="00F15961">
        <w:rPr>
          <w:lang w:val="en-GB" w:eastAsia="en-AU"/>
        </w:rPr>
        <w:t xml:space="preserve"> </w:t>
      </w:r>
      <w:r w:rsidR="00F5730D">
        <w:rPr>
          <w:lang w:val="en-GB" w:eastAsia="en-AU"/>
        </w:rPr>
        <w:t xml:space="preserve">and a target commercial operation date </w:t>
      </w:r>
      <w:r w:rsidRPr="00F15961">
        <w:rPr>
          <w:lang w:val="en-GB" w:eastAsia="en-AU"/>
        </w:rPr>
        <w:t xml:space="preserve">for </w:t>
      </w:r>
      <w:r w:rsidR="00F5730D">
        <w:rPr>
          <w:lang w:val="en-GB" w:eastAsia="en-AU"/>
        </w:rPr>
        <w:t>a</w:t>
      </w:r>
      <w:r w:rsidRPr="00F15961">
        <w:rPr>
          <w:lang w:val="en-GB" w:eastAsia="en-AU"/>
        </w:rPr>
        <w:t xml:space="preserve"> CIS </w:t>
      </w:r>
      <w:r w:rsidR="00F5730D">
        <w:rPr>
          <w:lang w:val="en-GB" w:eastAsia="en-AU"/>
        </w:rPr>
        <w:t xml:space="preserve">Tender </w:t>
      </w:r>
      <w:proofErr w:type="gramStart"/>
      <w:r w:rsidR="00F5730D">
        <w:rPr>
          <w:lang w:val="en-GB" w:eastAsia="en-AU"/>
        </w:rPr>
        <w:t>Process</w:t>
      </w:r>
      <w:r w:rsidRPr="00F15961">
        <w:rPr>
          <w:lang w:val="en-GB" w:eastAsia="en-AU"/>
        </w:rPr>
        <w:t>;</w:t>
      </w:r>
      <w:proofErr w:type="gramEnd"/>
      <w:r w:rsidRPr="00F15961">
        <w:rPr>
          <w:lang w:val="en-GB" w:eastAsia="en-AU"/>
        </w:rPr>
        <w:t xml:space="preserve"> </w:t>
      </w:r>
    </w:p>
    <w:p w14:paraId="4585520C" w14:textId="033625F7" w:rsidR="00091D2A" w:rsidRPr="002436EB" w:rsidRDefault="00091D2A" w:rsidP="005F7B30">
      <w:pPr>
        <w:pStyle w:val="ListParagraph"/>
        <w:numPr>
          <w:ilvl w:val="0"/>
          <w:numId w:val="34"/>
        </w:numPr>
        <w:rPr>
          <w:lang w:val="en-GB" w:eastAsia="en-AU"/>
        </w:rPr>
      </w:pPr>
      <w:r w:rsidRPr="005F7B30">
        <w:rPr>
          <w:lang w:val="en-GB" w:eastAsia="en-AU"/>
        </w:rPr>
        <w:t xml:space="preserve">the CIS tenders will be run by an appropriately qualified body (Tender Delivery Partner), </w:t>
      </w:r>
      <w:r w:rsidRPr="002436EB">
        <w:rPr>
          <w:lang w:val="en-GB" w:eastAsia="en-AU"/>
        </w:rPr>
        <w:t xml:space="preserve">in accordance with </w:t>
      </w:r>
      <w:r w:rsidR="00FD26D3">
        <w:rPr>
          <w:lang w:val="en-GB" w:eastAsia="en-AU"/>
        </w:rPr>
        <w:t xml:space="preserve">CIS </w:t>
      </w:r>
      <w:r w:rsidR="00405317">
        <w:rPr>
          <w:lang w:val="en-GB" w:eastAsia="en-AU"/>
        </w:rPr>
        <w:t>t</w:t>
      </w:r>
      <w:r w:rsidRPr="002436EB">
        <w:rPr>
          <w:lang w:val="en-GB" w:eastAsia="en-AU"/>
        </w:rPr>
        <w:t xml:space="preserve">ender </w:t>
      </w:r>
      <w:r w:rsidR="00405317">
        <w:rPr>
          <w:lang w:val="en-GB" w:eastAsia="en-AU"/>
        </w:rPr>
        <w:t>g</w:t>
      </w:r>
      <w:r w:rsidRPr="002436EB">
        <w:rPr>
          <w:lang w:val="en-GB" w:eastAsia="en-AU"/>
        </w:rPr>
        <w:t>uidelines</w:t>
      </w:r>
      <w:r w:rsidR="0002669F">
        <w:rPr>
          <w:lang w:val="en-GB" w:eastAsia="en-AU"/>
        </w:rPr>
        <w:t xml:space="preserve"> to be developed</w:t>
      </w:r>
      <w:r w:rsidR="00405317">
        <w:rPr>
          <w:lang w:val="en-GB" w:eastAsia="en-AU"/>
        </w:rPr>
        <w:t xml:space="preserve"> (CIS </w:t>
      </w:r>
      <w:r w:rsidR="00FD26D3">
        <w:rPr>
          <w:lang w:val="en-GB" w:eastAsia="en-AU"/>
        </w:rPr>
        <w:t>T</w:t>
      </w:r>
      <w:r w:rsidRPr="002436EB">
        <w:rPr>
          <w:lang w:val="en-GB" w:eastAsia="en-AU"/>
        </w:rPr>
        <w:t xml:space="preserve">ender </w:t>
      </w:r>
      <w:r w:rsidR="00FD26D3">
        <w:rPr>
          <w:lang w:val="en-GB" w:eastAsia="en-AU"/>
        </w:rPr>
        <w:t>G</w:t>
      </w:r>
      <w:r w:rsidRPr="002436EB">
        <w:rPr>
          <w:lang w:val="en-GB" w:eastAsia="en-AU"/>
        </w:rPr>
        <w:t>uidelines</w:t>
      </w:r>
      <w:proofErr w:type="gramStart"/>
      <w:r w:rsidR="00405317">
        <w:rPr>
          <w:lang w:val="en-GB" w:eastAsia="en-AU"/>
        </w:rPr>
        <w:t>)</w:t>
      </w:r>
      <w:r w:rsidRPr="002436EB">
        <w:rPr>
          <w:lang w:val="en-GB" w:eastAsia="en-AU"/>
        </w:rPr>
        <w:t>;</w:t>
      </w:r>
      <w:proofErr w:type="gramEnd"/>
      <w:r w:rsidRPr="002436EB">
        <w:rPr>
          <w:lang w:val="en-GB" w:eastAsia="en-AU"/>
        </w:rPr>
        <w:t xml:space="preserve"> </w:t>
      </w:r>
    </w:p>
    <w:p w14:paraId="3145199B" w14:textId="17EAAC23" w:rsidR="0053662D" w:rsidRPr="0053662D" w:rsidRDefault="0067566D" w:rsidP="005F7B30">
      <w:pPr>
        <w:pStyle w:val="ListParagraph"/>
        <w:numPr>
          <w:ilvl w:val="0"/>
          <w:numId w:val="34"/>
        </w:numPr>
        <w:rPr>
          <w:lang w:val="en-GB" w:eastAsia="en-AU"/>
        </w:rPr>
      </w:pPr>
      <w:r>
        <w:rPr>
          <w:lang w:val="en-GB" w:eastAsia="en-AU"/>
        </w:rPr>
        <w:t>t</w:t>
      </w:r>
      <w:r w:rsidR="00091D2A" w:rsidRPr="0053662D">
        <w:rPr>
          <w:lang w:val="en-GB" w:eastAsia="en-AU"/>
        </w:rPr>
        <w:t xml:space="preserve">he Tender Delivery Partner will recommend projects for underwriting by the </w:t>
      </w:r>
      <w:r w:rsidR="00991580">
        <w:rPr>
          <w:lang w:val="en-GB" w:eastAsia="en-AU"/>
        </w:rPr>
        <w:t>Australian Government</w:t>
      </w:r>
      <w:r w:rsidR="00FD26D3">
        <w:rPr>
          <w:lang w:val="en-GB" w:eastAsia="en-AU"/>
        </w:rPr>
        <w:t xml:space="preserve"> </w:t>
      </w:r>
      <w:r w:rsidR="00091D2A" w:rsidRPr="0053662D">
        <w:rPr>
          <w:lang w:val="en-GB" w:eastAsia="en-AU"/>
        </w:rPr>
        <w:t xml:space="preserve">based on each </w:t>
      </w:r>
      <w:r w:rsidR="0053662D" w:rsidRPr="0053662D">
        <w:rPr>
          <w:lang w:val="en-GB" w:eastAsia="en-AU"/>
        </w:rPr>
        <w:t>applicant</w:t>
      </w:r>
      <w:r w:rsidR="00091D2A" w:rsidRPr="0053662D">
        <w:rPr>
          <w:lang w:val="en-GB" w:eastAsia="en-AU"/>
        </w:rPr>
        <w:t>’</w:t>
      </w:r>
      <w:r w:rsidR="0053662D" w:rsidRPr="0053662D">
        <w:rPr>
          <w:lang w:val="en-GB" w:eastAsia="en-AU"/>
        </w:rPr>
        <w:t>s</w:t>
      </w:r>
      <w:r w:rsidR="00091D2A" w:rsidRPr="0053662D">
        <w:rPr>
          <w:lang w:val="en-GB" w:eastAsia="en-AU"/>
        </w:rPr>
        <w:t xml:space="preserve"> performance against the eligibility and merit criteria</w:t>
      </w:r>
      <w:r w:rsidR="0053662D" w:rsidRPr="0053662D">
        <w:rPr>
          <w:lang w:val="en-GB" w:eastAsia="en-AU"/>
        </w:rPr>
        <w:t>;</w:t>
      </w:r>
      <w:r w:rsidR="00091D2A" w:rsidRPr="0053662D">
        <w:rPr>
          <w:lang w:val="en-GB" w:eastAsia="en-AU"/>
        </w:rPr>
        <w:t xml:space="preserve"> and </w:t>
      </w:r>
    </w:p>
    <w:p w14:paraId="26A95F1E" w14:textId="20DA784F" w:rsidR="00091D2A" w:rsidRPr="0053662D" w:rsidRDefault="00091D2A" w:rsidP="005F7B30">
      <w:pPr>
        <w:pStyle w:val="ListParagraph"/>
        <w:numPr>
          <w:ilvl w:val="0"/>
          <w:numId w:val="34"/>
        </w:numPr>
        <w:rPr>
          <w:lang w:val="en-GB" w:eastAsia="en-AU"/>
        </w:rPr>
      </w:pPr>
      <w:r w:rsidRPr="0053662D">
        <w:rPr>
          <w:lang w:val="en-GB" w:eastAsia="en-AU"/>
        </w:rPr>
        <w:t xml:space="preserve">the </w:t>
      </w:r>
      <w:r w:rsidR="00991580">
        <w:rPr>
          <w:lang w:val="en-GB" w:eastAsia="en-AU"/>
        </w:rPr>
        <w:t>Australian Government</w:t>
      </w:r>
      <w:r w:rsidRPr="0053662D">
        <w:rPr>
          <w:lang w:val="en-GB" w:eastAsia="en-AU"/>
        </w:rPr>
        <w:t xml:space="preserve"> </w:t>
      </w:r>
      <w:r w:rsidR="0053662D" w:rsidRPr="0053662D">
        <w:rPr>
          <w:lang w:val="en-GB" w:eastAsia="en-AU"/>
        </w:rPr>
        <w:t xml:space="preserve">will </w:t>
      </w:r>
      <w:r w:rsidRPr="0053662D">
        <w:rPr>
          <w:lang w:val="en-GB" w:eastAsia="en-AU"/>
        </w:rPr>
        <w:t>make final contracting decisions based on</w:t>
      </w:r>
      <w:r w:rsidR="0053662D" w:rsidRPr="0053662D">
        <w:rPr>
          <w:lang w:val="en-GB" w:eastAsia="en-AU"/>
        </w:rPr>
        <w:t xml:space="preserve"> the</w:t>
      </w:r>
      <w:r w:rsidRPr="0053662D">
        <w:rPr>
          <w:lang w:val="en-GB" w:eastAsia="en-AU"/>
        </w:rPr>
        <w:t xml:space="preserve"> recommendations</w:t>
      </w:r>
      <w:r w:rsidR="0053662D" w:rsidRPr="0053662D">
        <w:rPr>
          <w:lang w:val="en-GB" w:eastAsia="en-AU"/>
        </w:rPr>
        <w:t xml:space="preserve"> of the Tender Delivery Partner</w:t>
      </w:r>
      <w:r w:rsidRPr="0053662D">
        <w:rPr>
          <w:lang w:val="en-GB" w:eastAsia="en-AU"/>
        </w:rPr>
        <w:t>.</w:t>
      </w:r>
    </w:p>
    <w:p w14:paraId="5CE24E53" w14:textId="28BC5E4D" w:rsidR="003D764E" w:rsidRDefault="003D764E" w:rsidP="003D764E">
      <w:r w:rsidRPr="003D764E">
        <w:t xml:space="preserve">Successful proponents will receive underwriting contracts </w:t>
      </w:r>
      <w:r w:rsidR="00923406">
        <w:t>in the form of CISAs</w:t>
      </w:r>
      <w:r w:rsidRPr="003D764E">
        <w:t xml:space="preserve"> provided by the </w:t>
      </w:r>
      <w:r w:rsidR="00991580">
        <w:t xml:space="preserve">Australian Government </w:t>
      </w:r>
      <w:r w:rsidRPr="003D764E">
        <w:t>to support the introduction of new, long term zero</w:t>
      </w:r>
      <w:r w:rsidR="00566584">
        <w:t>-</w:t>
      </w:r>
      <w:r w:rsidRPr="003D764E">
        <w:t>emission capacity that will align with both the CIS and RCM eligibility requirements.</w:t>
      </w:r>
      <w:r w:rsidR="00882661">
        <w:t xml:space="preserve"> Further details of the form of these contracts </w:t>
      </w:r>
      <w:r w:rsidR="00055616">
        <w:t xml:space="preserve">are provided in </w:t>
      </w:r>
      <w:r w:rsidR="00055616" w:rsidRPr="00FD26D3">
        <w:t xml:space="preserve">section </w:t>
      </w:r>
      <w:r w:rsidR="00055616" w:rsidRPr="00FD26D3">
        <w:fldChar w:fldCharType="begin"/>
      </w:r>
      <w:r w:rsidR="00055616" w:rsidRPr="00FD26D3">
        <w:instrText xml:space="preserve"> REF _Ref157408722 \r \h </w:instrText>
      </w:r>
      <w:r w:rsidR="00EC35FA" w:rsidRPr="00FD26D3">
        <w:instrText xml:space="preserve"> \* MERGEFORMAT </w:instrText>
      </w:r>
      <w:r w:rsidR="00055616" w:rsidRPr="00FD26D3">
        <w:fldChar w:fldCharType="separate"/>
      </w:r>
      <w:r w:rsidR="00C626DE">
        <w:t>3.7</w:t>
      </w:r>
      <w:r w:rsidR="00055616" w:rsidRPr="00FD26D3">
        <w:fldChar w:fldCharType="end"/>
      </w:r>
      <w:r w:rsidR="00055616" w:rsidRPr="00FD26D3">
        <w:t>.</w:t>
      </w:r>
    </w:p>
    <w:p w14:paraId="064DD50E" w14:textId="77777777" w:rsidR="00F2416A" w:rsidRDefault="00F2416A" w:rsidP="003D764E"/>
    <w:p w14:paraId="08C725C3" w14:textId="77777777" w:rsidR="006816AA" w:rsidRPr="00796443" w:rsidRDefault="006816AA" w:rsidP="00615FFE">
      <w:pPr>
        <w:pStyle w:val="Heading2"/>
      </w:pPr>
      <w:bookmarkStart w:id="100" w:name="_Ref157553448"/>
      <w:bookmarkStart w:id="101" w:name="_Toc161385857"/>
      <w:bookmarkStart w:id="102" w:name="_Toc161388244"/>
      <w:bookmarkStart w:id="103" w:name="_Toc161388544"/>
      <w:bookmarkStart w:id="104" w:name="_Toc163162713"/>
      <w:r>
        <w:lastRenderedPageBreak/>
        <w:t>CIS process timing</w:t>
      </w:r>
      <w:bookmarkEnd w:id="100"/>
      <w:bookmarkEnd w:id="101"/>
      <w:bookmarkEnd w:id="102"/>
      <w:bookmarkEnd w:id="103"/>
      <w:bookmarkEnd w:id="104"/>
    </w:p>
    <w:p w14:paraId="3CA71124" w14:textId="74E364CA" w:rsidR="00AD00F4" w:rsidRDefault="006A31CB" w:rsidP="00E67CCE">
      <w:pPr>
        <w:rPr>
          <w:lang w:val="en-GB" w:eastAsia="en-AU"/>
        </w:rPr>
      </w:pPr>
      <w:r>
        <w:rPr>
          <w:lang w:val="en-GB" w:eastAsia="en-AU"/>
        </w:rPr>
        <w:t xml:space="preserve">The timing of the CIS tender process must strike a balance between </w:t>
      </w:r>
      <w:r w:rsidR="006816AA" w:rsidRPr="00717560">
        <w:rPr>
          <w:lang w:val="en-GB" w:eastAsia="en-AU"/>
        </w:rPr>
        <w:t>ensur</w:t>
      </w:r>
      <w:r>
        <w:rPr>
          <w:lang w:val="en-GB" w:eastAsia="en-AU"/>
        </w:rPr>
        <w:t>ing</w:t>
      </w:r>
      <w:r w:rsidR="006816AA" w:rsidRPr="00717560">
        <w:rPr>
          <w:lang w:val="en-GB" w:eastAsia="en-AU"/>
        </w:rPr>
        <w:t xml:space="preserve"> that the CIS </w:t>
      </w:r>
      <w:r w:rsidR="001F6C83">
        <w:rPr>
          <w:lang w:val="en-GB" w:eastAsia="en-AU"/>
        </w:rPr>
        <w:t>promotes</w:t>
      </w:r>
      <w:r w:rsidR="006816AA" w:rsidRPr="00717560">
        <w:rPr>
          <w:lang w:val="en-GB" w:eastAsia="en-AU"/>
        </w:rPr>
        <w:t xml:space="preserve"> bring</w:t>
      </w:r>
      <w:r w:rsidR="001F6C83">
        <w:rPr>
          <w:lang w:val="en-GB" w:eastAsia="en-AU"/>
        </w:rPr>
        <w:t>ing</w:t>
      </w:r>
      <w:r w:rsidR="006816AA" w:rsidRPr="00717560">
        <w:rPr>
          <w:lang w:val="en-GB" w:eastAsia="en-AU"/>
        </w:rPr>
        <w:t xml:space="preserve"> forward investment in capacity in a manner that provides genuine additionality</w:t>
      </w:r>
      <w:r w:rsidR="009104FB">
        <w:rPr>
          <w:lang w:val="en-GB" w:eastAsia="en-AU"/>
        </w:rPr>
        <w:t xml:space="preserve"> and avoid</w:t>
      </w:r>
      <w:r w:rsidR="0098308F">
        <w:rPr>
          <w:lang w:val="en-GB" w:eastAsia="en-AU"/>
        </w:rPr>
        <w:t>s</w:t>
      </w:r>
      <w:r w:rsidR="009104FB">
        <w:rPr>
          <w:lang w:val="en-GB" w:eastAsia="en-AU"/>
        </w:rPr>
        <w:t xml:space="preserve"> perverse incentives to </w:t>
      </w:r>
      <w:r w:rsidR="00CF030A">
        <w:rPr>
          <w:lang w:val="en-GB" w:eastAsia="en-AU"/>
        </w:rPr>
        <w:t>delay the commencement of new capacity.</w:t>
      </w:r>
      <w:r w:rsidR="006816AA" w:rsidRPr="00717560">
        <w:rPr>
          <w:lang w:val="en-GB" w:eastAsia="en-AU"/>
        </w:rPr>
        <w:t xml:space="preserve"> </w:t>
      </w:r>
      <w:r w:rsidR="00452763">
        <w:rPr>
          <w:lang w:val="en-GB" w:eastAsia="en-AU"/>
        </w:rPr>
        <w:t xml:space="preserve">To achieve this, </w:t>
      </w:r>
      <w:r w:rsidR="006816AA" w:rsidRPr="00717560">
        <w:rPr>
          <w:lang w:val="en-GB" w:eastAsia="en-AU"/>
        </w:rPr>
        <w:t xml:space="preserve">the CIS Tender Process </w:t>
      </w:r>
      <w:r w:rsidR="00762769" w:rsidRPr="00717560">
        <w:rPr>
          <w:lang w:val="en-GB" w:eastAsia="en-AU"/>
        </w:rPr>
        <w:t>will be run</w:t>
      </w:r>
      <w:r w:rsidR="00762769" w:rsidRPr="00717560">
        <w:t xml:space="preserve"> in advance of the WEM RCM process</w:t>
      </w:r>
      <w:r w:rsidR="00762769">
        <w:t xml:space="preserve"> </w:t>
      </w:r>
      <w:r w:rsidR="0020772B">
        <w:rPr>
          <w:lang w:val="en-GB" w:eastAsia="en-AU"/>
        </w:rPr>
        <w:t xml:space="preserve">for </w:t>
      </w:r>
      <w:r w:rsidR="00452763">
        <w:rPr>
          <w:lang w:val="en-GB" w:eastAsia="en-AU"/>
        </w:rPr>
        <w:t xml:space="preserve">a </w:t>
      </w:r>
      <w:r w:rsidR="009A0C21">
        <w:rPr>
          <w:lang w:val="en-GB" w:eastAsia="en-AU"/>
        </w:rPr>
        <w:t>specified</w:t>
      </w:r>
      <w:r w:rsidR="0020772B">
        <w:rPr>
          <w:lang w:val="en-GB" w:eastAsia="en-AU"/>
        </w:rPr>
        <w:t xml:space="preserve"> </w:t>
      </w:r>
      <w:r w:rsidR="006077D2">
        <w:rPr>
          <w:lang w:val="en-GB" w:eastAsia="en-AU"/>
        </w:rPr>
        <w:t>Target Commercial Operation Date (Target COD)</w:t>
      </w:r>
      <w:r w:rsidR="00B75206">
        <w:rPr>
          <w:rStyle w:val="FootnoteReference"/>
          <w:lang w:val="en-GB" w:eastAsia="en-AU"/>
        </w:rPr>
        <w:footnoteReference w:id="15"/>
      </w:r>
      <w:r w:rsidR="00452763">
        <w:rPr>
          <w:lang w:val="en-GB" w:eastAsia="en-AU"/>
        </w:rPr>
        <w:t>, while enabling participation of proj</w:t>
      </w:r>
      <w:r w:rsidR="00197330">
        <w:rPr>
          <w:lang w:val="en-GB" w:eastAsia="en-AU"/>
        </w:rPr>
        <w:t>ects that participate in earlier RCM processes</w:t>
      </w:r>
      <w:r w:rsidR="003F1DF3">
        <w:rPr>
          <w:lang w:val="en-GB" w:eastAsia="en-AU"/>
        </w:rPr>
        <w:t>.</w:t>
      </w:r>
    </w:p>
    <w:p w14:paraId="7D5B40E5" w14:textId="3BC131FA" w:rsidR="00191612" w:rsidRDefault="000C00BB" w:rsidP="00746227">
      <w:pPr>
        <w:rPr>
          <w:highlight w:val="yellow"/>
          <w:lang w:val="en-GB" w:eastAsia="en-AU"/>
        </w:rPr>
      </w:pPr>
      <w:r w:rsidRPr="00093A57">
        <w:rPr>
          <w:lang w:val="en-GB" w:eastAsia="en-AU"/>
        </w:rPr>
        <w:t>T</w:t>
      </w:r>
      <w:r w:rsidR="00172961" w:rsidRPr="00093A57">
        <w:rPr>
          <w:lang w:val="en-GB" w:eastAsia="en-AU"/>
        </w:rPr>
        <w:t>he first WEM CIS tender</w:t>
      </w:r>
      <w:r w:rsidR="001E59B3" w:rsidRPr="00093A57">
        <w:rPr>
          <w:lang w:val="en-GB" w:eastAsia="en-AU"/>
        </w:rPr>
        <w:t xml:space="preserve"> process</w:t>
      </w:r>
      <w:r w:rsidR="004F5F8A" w:rsidRPr="00093A57">
        <w:rPr>
          <w:lang w:val="en-GB" w:eastAsia="en-AU"/>
        </w:rPr>
        <w:t xml:space="preserve"> is currently proposed </w:t>
      </w:r>
      <w:r w:rsidR="001E59B3" w:rsidRPr="00093A57">
        <w:rPr>
          <w:lang w:val="en-GB" w:eastAsia="en-AU"/>
        </w:rPr>
        <w:t>to</w:t>
      </w:r>
      <w:r w:rsidR="004F5F8A" w:rsidRPr="00093A57">
        <w:rPr>
          <w:lang w:val="en-GB" w:eastAsia="en-AU"/>
        </w:rPr>
        <w:t xml:space="preserve"> run from approximately </w:t>
      </w:r>
      <w:r w:rsidR="00D244DF" w:rsidRPr="00093A57">
        <w:rPr>
          <w:lang w:val="en-GB" w:eastAsia="en-AU"/>
        </w:rPr>
        <w:t>June</w:t>
      </w:r>
      <w:r w:rsidR="004F5F8A" w:rsidRPr="00093A57">
        <w:rPr>
          <w:lang w:val="en-GB" w:eastAsia="en-AU"/>
        </w:rPr>
        <w:t xml:space="preserve"> 2024 to February 2025</w:t>
      </w:r>
      <w:r w:rsidR="00746227" w:rsidRPr="00060B53">
        <w:rPr>
          <w:lang w:val="en-GB" w:eastAsia="en-AU"/>
        </w:rPr>
        <w:t xml:space="preserve">, </w:t>
      </w:r>
      <w:r w:rsidR="002712C6" w:rsidRPr="00060B53">
        <w:rPr>
          <w:lang w:val="en-GB" w:eastAsia="en-AU"/>
        </w:rPr>
        <w:t>and will</w:t>
      </w:r>
      <w:r w:rsidR="002712C6" w:rsidRPr="005F7B30">
        <w:rPr>
          <w:lang w:val="en-GB" w:eastAsia="en-AU"/>
        </w:rPr>
        <w:t xml:space="preserve"> be open to el</w:t>
      </w:r>
      <w:r w:rsidR="00191612" w:rsidRPr="005F7B30">
        <w:rPr>
          <w:lang w:val="en-GB" w:eastAsia="en-AU"/>
        </w:rPr>
        <w:t xml:space="preserve">igible </w:t>
      </w:r>
      <w:r w:rsidR="00F35CB2">
        <w:rPr>
          <w:lang w:val="en-GB" w:eastAsia="en-AU"/>
        </w:rPr>
        <w:t xml:space="preserve">clean dispatchable </w:t>
      </w:r>
      <w:r w:rsidR="00191612" w:rsidRPr="005F7B30">
        <w:rPr>
          <w:lang w:val="en-GB" w:eastAsia="en-AU"/>
        </w:rPr>
        <w:t>projects that:</w:t>
      </w:r>
    </w:p>
    <w:p w14:paraId="103D8C02" w14:textId="77777777" w:rsidR="00D244DF" w:rsidRDefault="00D244DF" w:rsidP="00C85352">
      <w:pPr>
        <w:pStyle w:val="ListParagraph"/>
        <w:numPr>
          <w:ilvl w:val="0"/>
          <w:numId w:val="52"/>
        </w:numPr>
      </w:pPr>
      <w:r>
        <w:t>are yet to reach financial close (or reached financial close after the announcement of the Capacity Investment Scheme on 8 December 2022</w:t>
      </w:r>
      <w:proofErr w:type="gramStart"/>
      <w:r>
        <w:t>);</w:t>
      </w:r>
      <w:proofErr w:type="gramEnd"/>
      <w:r>
        <w:t xml:space="preserve"> </w:t>
      </w:r>
    </w:p>
    <w:p w14:paraId="2430DA42" w14:textId="43B5F869" w:rsidR="00D244DF" w:rsidRDefault="007E0B88" w:rsidP="00C85352">
      <w:pPr>
        <w:pStyle w:val="ListParagraph"/>
        <w:numPr>
          <w:ilvl w:val="0"/>
          <w:numId w:val="52"/>
        </w:numPr>
      </w:pPr>
      <w:r>
        <w:t>are</w:t>
      </w:r>
      <w:r w:rsidR="00D244DF">
        <w:t xml:space="preserve"> expected to participate in the 2025 RCC or </w:t>
      </w:r>
      <w:r w:rsidR="008974B7">
        <w:t>to</w:t>
      </w:r>
      <w:r w:rsidR="00D244DF">
        <w:t xml:space="preserve"> </w:t>
      </w:r>
      <w:r w:rsidR="00124C9D">
        <w:t xml:space="preserve">participate </w:t>
      </w:r>
      <w:r w:rsidR="00D244DF">
        <w:t>in the 2024 RCC; and</w:t>
      </w:r>
    </w:p>
    <w:p w14:paraId="0131CBEE" w14:textId="49F32248" w:rsidR="00D244DF" w:rsidRDefault="00F1649F" w:rsidP="00D244DF">
      <w:pPr>
        <w:pStyle w:val="ListParagraph"/>
        <w:numPr>
          <w:ilvl w:val="0"/>
          <w:numId w:val="52"/>
        </w:numPr>
      </w:pPr>
      <w:r>
        <w:t>are</w:t>
      </w:r>
      <w:r w:rsidR="00D244DF">
        <w:t xml:space="preserve"> expected to be in operation no later than 1 October 2027 (facilities receiving Capacity Credits for the first time in the 2024 RCC will need to be operational no later than 1 October 2026 as per their </w:t>
      </w:r>
      <w:r w:rsidR="00BF78A0">
        <w:t>RCM</w:t>
      </w:r>
      <w:r w:rsidR="00D244DF">
        <w:t xml:space="preserve"> obligations).</w:t>
      </w:r>
    </w:p>
    <w:p w14:paraId="2BECC94C" w14:textId="77777777" w:rsidR="00B60864" w:rsidRDefault="004D2BFB" w:rsidP="00B53CBF">
      <w:pPr>
        <w:rPr>
          <w:lang w:val="en-GB" w:eastAsia="en-AU"/>
        </w:rPr>
      </w:pPr>
      <w:r>
        <w:rPr>
          <w:lang w:val="en-GB" w:eastAsia="en-AU"/>
        </w:rPr>
        <w:t xml:space="preserve">This is </w:t>
      </w:r>
      <w:r w:rsidR="00746227" w:rsidRPr="0086496F">
        <w:rPr>
          <w:lang w:val="en-GB" w:eastAsia="en-AU"/>
        </w:rPr>
        <w:t xml:space="preserve">in advance of the capacity </w:t>
      </w:r>
      <w:r w:rsidR="00B273D2" w:rsidRPr="0086496F">
        <w:rPr>
          <w:lang w:val="en-GB" w:eastAsia="en-AU"/>
        </w:rPr>
        <w:t xml:space="preserve">assessment processes of the 2025 </w:t>
      </w:r>
      <w:r w:rsidR="00A9709B" w:rsidRPr="0086496F">
        <w:rPr>
          <w:lang w:val="en-GB" w:eastAsia="en-AU"/>
        </w:rPr>
        <w:t xml:space="preserve">RCM </w:t>
      </w:r>
      <w:r w:rsidR="00B273D2" w:rsidRPr="0086496F">
        <w:rPr>
          <w:lang w:val="en-GB" w:eastAsia="en-AU"/>
        </w:rPr>
        <w:t>cycle</w:t>
      </w:r>
      <w:r w:rsidR="0030662D" w:rsidRPr="0086496F">
        <w:rPr>
          <w:lang w:val="en-GB" w:eastAsia="en-AU"/>
        </w:rPr>
        <w:t xml:space="preserve">, for which applications are scheduled to close on </w:t>
      </w:r>
      <w:r w:rsidR="00355A03" w:rsidRPr="0086496F">
        <w:rPr>
          <w:lang w:val="en-GB" w:eastAsia="en-AU"/>
        </w:rPr>
        <w:t>24 June 2025</w:t>
      </w:r>
      <w:r w:rsidR="0086496F" w:rsidRPr="00FA03D1">
        <w:rPr>
          <w:rStyle w:val="FootnoteReference"/>
          <w:lang w:val="en-GB" w:eastAsia="en-AU"/>
        </w:rPr>
        <w:footnoteReference w:id="16"/>
      </w:r>
      <w:r w:rsidR="00A9709B" w:rsidRPr="00C85352">
        <w:rPr>
          <w:rStyle w:val="FootnoteReference"/>
        </w:rPr>
        <w:t>.</w:t>
      </w:r>
      <w:r w:rsidR="00A9709B" w:rsidRPr="0086496F">
        <w:rPr>
          <w:lang w:val="en-GB" w:eastAsia="en-AU"/>
        </w:rPr>
        <w:t xml:space="preserve"> </w:t>
      </w:r>
      <w:r w:rsidR="002203AF">
        <w:rPr>
          <w:lang w:val="en-GB" w:eastAsia="en-AU"/>
        </w:rPr>
        <w:t xml:space="preserve">This proposed timeline is shown in Figure 2 below. </w:t>
      </w:r>
      <w:r w:rsidR="00FE73C8" w:rsidRPr="0086496F">
        <w:rPr>
          <w:lang w:val="en-GB" w:eastAsia="en-AU"/>
        </w:rPr>
        <w:t xml:space="preserve">Precise timing </w:t>
      </w:r>
      <w:r w:rsidR="00355A03" w:rsidRPr="0086496F">
        <w:rPr>
          <w:lang w:val="en-GB" w:eastAsia="en-AU"/>
        </w:rPr>
        <w:t xml:space="preserve">for the CIS Tender Process </w:t>
      </w:r>
      <w:r w:rsidR="00FE73C8" w:rsidRPr="0086496F">
        <w:rPr>
          <w:lang w:val="en-GB" w:eastAsia="en-AU"/>
        </w:rPr>
        <w:t>will be made clear in the CIS Tender Guidelines.</w:t>
      </w:r>
      <w:r w:rsidR="00174A8B">
        <w:rPr>
          <w:lang w:val="en-GB" w:eastAsia="en-AU"/>
        </w:rPr>
        <w:t xml:space="preserve"> </w:t>
      </w:r>
    </w:p>
    <w:p w14:paraId="689B57DA" w14:textId="520DECC9" w:rsidR="00BD05E5" w:rsidRDefault="00CD78EA" w:rsidP="00B53CBF">
      <w:pPr>
        <w:rPr>
          <w:lang w:val="en-GB" w:eastAsia="en-AU"/>
        </w:rPr>
      </w:pPr>
      <w:r>
        <w:rPr>
          <w:lang w:val="en-GB" w:eastAsia="en-AU"/>
        </w:rPr>
        <w:t xml:space="preserve">It is intended that </w:t>
      </w:r>
      <w:r w:rsidR="00174A8B">
        <w:rPr>
          <w:lang w:val="en-GB" w:eastAsia="en-AU"/>
        </w:rPr>
        <w:t xml:space="preserve">CIS </w:t>
      </w:r>
      <w:r w:rsidR="00216B8A">
        <w:rPr>
          <w:lang w:val="en-GB" w:eastAsia="en-AU"/>
        </w:rPr>
        <w:t xml:space="preserve">tenders in future years will </w:t>
      </w:r>
      <w:r w:rsidR="00846B75">
        <w:rPr>
          <w:lang w:val="en-GB" w:eastAsia="en-AU"/>
        </w:rPr>
        <w:t>be in advance of that year’s RCM process in a similar manner.</w:t>
      </w:r>
    </w:p>
    <w:p w14:paraId="6A793494" w14:textId="278BDD5B" w:rsidR="000D33E8" w:rsidRPr="000D33E8" w:rsidRDefault="000D33E8" w:rsidP="31293663">
      <w:pPr>
        <w:pStyle w:val="Caption"/>
        <w:rPr>
          <w:rFonts w:ascii="Calibri" w:hAnsi="Calibri" w:cs="Calibri"/>
          <w:b/>
          <w:bCs/>
          <w:i w:val="0"/>
          <w:iCs w:val="0"/>
          <w:sz w:val="24"/>
          <w:szCs w:val="24"/>
          <w:lang w:val="en-GB" w:eastAsia="en-AU"/>
        </w:rPr>
      </w:pPr>
      <w:bookmarkStart w:id="105" w:name="_Toc163162726"/>
      <w:r w:rsidRPr="31293663">
        <w:rPr>
          <w:rFonts w:ascii="Calibri" w:hAnsi="Calibri" w:cs="Calibri"/>
          <w:b/>
          <w:bCs/>
          <w:i w:val="0"/>
          <w:iCs w:val="0"/>
          <w:sz w:val="24"/>
          <w:szCs w:val="24"/>
        </w:rPr>
        <w:t xml:space="preserve">Figure </w:t>
      </w:r>
      <w:r w:rsidRPr="31293663">
        <w:rPr>
          <w:rFonts w:ascii="Calibri" w:hAnsi="Calibri" w:cs="Calibri"/>
          <w:b/>
          <w:bCs/>
          <w:i w:val="0"/>
          <w:iCs w:val="0"/>
          <w:sz w:val="24"/>
          <w:szCs w:val="24"/>
        </w:rPr>
        <w:fldChar w:fldCharType="begin"/>
      </w:r>
      <w:r w:rsidRPr="31293663">
        <w:rPr>
          <w:rFonts w:ascii="Calibri" w:hAnsi="Calibri" w:cs="Calibri"/>
          <w:b/>
          <w:bCs/>
          <w:i w:val="0"/>
          <w:iCs w:val="0"/>
          <w:sz w:val="24"/>
          <w:szCs w:val="24"/>
        </w:rPr>
        <w:instrText xml:space="preserve"> SEQ Figure \* ARABIC </w:instrText>
      </w:r>
      <w:r w:rsidRPr="31293663">
        <w:rPr>
          <w:rFonts w:ascii="Calibri" w:hAnsi="Calibri" w:cs="Calibri"/>
          <w:b/>
          <w:bCs/>
          <w:i w:val="0"/>
          <w:iCs w:val="0"/>
          <w:sz w:val="24"/>
          <w:szCs w:val="24"/>
        </w:rPr>
        <w:fldChar w:fldCharType="separate"/>
      </w:r>
      <w:r w:rsidR="00ED72D0">
        <w:rPr>
          <w:rFonts w:ascii="Calibri" w:hAnsi="Calibri" w:cs="Calibri"/>
          <w:b/>
          <w:bCs/>
          <w:i w:val="0"/>
          <w:iCs w:val="0"/>
          <w:noProof/>
          <w:sz w:val="24"/>
          <w:szCs w:val="24"/>
        </w:rPr>
        <w:t>2</w:t>
      </w:r>
      <w:r w:rsidRPr="31293663">
        <w:rPr>
          <w:rFonts w:ascii="Calibri" w:hAnsi="Calibri" w:cs="Calibri"/>
          <w:b/>
          <w:bCs/>
          <w:i w:val="0"/>
          <w:iCs w:val="0"/>
          <w:sz w:val="24"/>
          <w:szCs w:val="24"/>
        </w:rPr>
        <w:fldChar w:fldCharType="end"/>
      </w:r>
      <w:r w:rsidRPr="31293663">
        <w:rPr>
          <w:rFonts w:ascii="Calibri" w:hAnsi="Calibri" w:cs="Calibri"/>
          <w:b/>
          <w:bCs/>
          <w:i w:val="0"/>
          <w:iCs w:val="0"/>
          <w:sz w:val="24"/>
          <w:szCs w:val="24"/>
        </w:rPr>
        <w:t xml:space="preserve"> Indicative timing of CIS tenders in the WEM</w:t>
      </w:r>
      <w:bookmarkEnd w:id="105"/>
    </w:p>
    <w:p w14:paraId="0338E2C3" w14:textId="38419874" w:rsidR="000D33E8" w:rsidRDefault="0002281D" w:rsidP="00B53CBF">
      <w:pPr>
        <w:rPr>
          <w:lang w:val="en-GB" w:eastAsia="en-AU"/>
        </w:rPr>
      </w:pPr>
      <w:r w:rsidRPr="0002281D">
        <w:rPr>
          <w:noProof/>
          <w:lang w:val="en-GB" w:eastAsia="en-AU"/>
        </w:rPr>
        <w:drawing>
          <wp:inline distT="0" distB="0" distL="0" distR="0" wp14:anchorId="47825D5A" wp14:editId="406802F8">
            <wp:extent cx="5759450" cy="1962150"/>
            <wp:effectExtent l="0" t="0" r="0" b="0"/>
            <wp:docPr id="891158577" name="Picture 1" descr="Figure 2 shows the indicative timing of CIS tenders in the WEM. Auction 1 is clean dispatchable CISA only and is scheduled for half 2 of 2024; auctions 2 &amp; 3 are both for both generation and clean dispatchable capacity and occur in half 2 of 2025 and 202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58577" name="Picture 1" descr="Figure 2 shows the indicative timing of CIS tenders in the WEM. Auction 1 is clean dispatchable CISA only and is scheduled for half 2 of 2024; auctions 2 &amp; 3 are both for both generation and clean dispatchable capacity and occur in half 2 of 2025 and 2026 respectively."/>
                    <pic:cNvPicPr/>
                  </pic:nvPicPr>
                  <pic:blipFill>
                    <a:blip r:embed="rId21"/>
                    <a:stretch>
                      <a:fillRect/>
                    </a:stretch>
                  </pic:blipFill>
                  <pic:spPr>
                    <a:xfrm>
                      <a:off x="0" y="0"/>
                      <a:ext cx="5759450" cy="1962150"/>
                    </a:xfrm>
                    <a:prstGeom prst="rect">
                      <a:avLst/>
                    </a:prstGeom>
                  </pic:spPr>
                </pic:pic>
              </a:graphicData>
            </a:graphic>
          </wp:inline>
        </w:drawing>
      </w:r>
    </w:p>
    <w:p w14:paraId="62BAF2B7" w14:textId="77777777" w:rsidR="00CB42C4" w:rsidRDefault="00CB42C4" w:rsidP="00B53CBF">
      <w:pPr>
        <w:rPr>
          <w:lang w:val="en-GB" w:eastAsia="en-AU"/>
        </w:rPr>
      </w:pPr>
    </w:p>
    <w:p w14:paraId="0C1779E0" w14:textId="77777777" w:rsidR="00CB42C4" w:rsidRDefault="00CB42C4" w:rsidP="00B53CBF">
      <w:pPr>
        <w:rPr>
          <w:lang w:val="en-GB" w:eastAsia="en-AU"/>
        </w:rPr>
      </w:pPr>
    </w:p>
    <w:p w14:paraId="198B5522" w14:textId="77777777" w:rsidR="00CB42C4" w:rsidRDefault="00CB42C4" w:rsidP="00B53CBF">
      <w:pPr>
        <w:rPr>
          <w:lang w:val="en-GB" w:eastAsia="en-AU"/>
        </w:rPr>
      </w:pPr>
    </w:p>
    <w:p w14:paraId="59DB4730" w14:textId="77777777" w:rsidR="00CB42C4" w:rsidRDefault="00CB42C4" w:rsidP="00B53CBF">
      <w:pPr>
        <w:rPr>
          <w:lang w:val="en-GB" w:eastAsia="en-AU"/>
        </w:rPr>
      </w:pPr>
    </w:p>
    <w:p w14:paraId="759AE74E" w14:textId="77777777" w:rsidR="00CB42C4" w:rsidRDefault="00CB42C4" w:rsidP="00B53CBF">
      <w:pPr>
        <w:rPr>
          <w:lang w:val="en-GB" w:eastAsia="en-AU"/>
        </w:rPr>
      </w:pPr>
    </w:p>
    <w:p w14:paraId="586B6FCC" w14:textId="239F2517" w:rsidR="00B23449" w:rsidRPr="00C85352" w:rsidRDefault="00D41FFD" w:rsidP="31293663">
      <w:pPr>
        <w:pStyle w:val="Caption"/>
        <w:rPr>
          <w:rFonts w:ascii="Calibri" w:hAnsi="Calibri" w:cs="Calibri"/>
          <w:b/>
          <w:bCs/>
          <w:sz w:val="24"/>
          <w:szCs w:val="24"/>
          <w:lang w:val="en-GB" w:eastAsia="en-AU"/>
        </w:rPr>
      </w:pPr>
      <w:bookmarkStart w:id="106" w:name="_Toc163162727"/>
      <w:r w:rsidRPr="31293663">
        <w:rPr>
          <w:rFonts w:ascii="Calibri" w:hAnsi="Calibri" w:cs="Calibri"/>
          <w:b/>
          <w:bCs/>
          <w:i w:val="0"/>
          <w:iCs w:val="0"/>
          <w:sz w:val="24"/>
          <w:szCs w:val="24"/>
        </w:rPr>
        <w:lastRenderedPageBreak/>
        <w:t xml:space="preserve">Figure </w:t>
      </w:r>
      <w:r w:rsidRPr="31293663">
        <w:rPr>
          <w:rFonts w:ascii="Calibri" w:hAnsi="Calibri" w:cs="Calibri"/>
          <w:b/>
          <w:bCs/>
          <w:i w:val="0"/>
          <w:iCs w:val="0"/>
          <w:sz w:val="24"/>
          <w:szCs w:val="24"/>
        </w:rPr>
        <w:fldChar w:fldCharType="begin"/>
      </w:r>
      <w:r w:rsidRPr="31293663">
        <w:rPr>
          <w:rFonts w:ascii="Calibri" w:hAnsi="Calibri" w:cs="Calibri"/>
          <w:b/>
          <w:bCs/>
          <w:i w:val="0"/>
          <w:iCs w:val="0"/>
          <w:sz w:val="24"/>
          <w:szCs w:val="24"/>
        </w:rPr>
        <w:instrText xml:space="preserve"> SEQ Figure \* ARABIC </w:instrText>
      </w:r>
      <w:r w:rsidRPr="31293663">
        <w:rPr>
          <w:rFonts w:ascii="Calibri" w:hAnsi="Calibri" w:cs="Calibri"/>
          <w:b/>
          <w:bCs/>
          <w:i w:val="0"/>
          <w:iCs w:val="0"/>
          <w:sz w:val="24"/>
          <w:szCs w:val="24"/>
        </w:rPr>
        <w:fldChar w:fldCharType="separate"/>
      </w:r>
      <w:r w:rsidR="00ED72D0">
        <w:rPr>
          <w:rFonts w:ascii="Calibri" w:hAnsi="Calibri" w:cs="Calibri"/>
          <w:b/>
          <w:bCs/>
          <w:i w:val="0"/>
          <w:iCs w:val="0"/>
          <w:noProof/>
          <w:sz w:val="24"/>
          <w:szCs w:val="24"/>
        </w:rPr>
        <w:t>3</w:t>
      </w:r>
      <w:r w:rsidRPr="31293663">
        <w:rPr>
          <w:rFonts w:ascii="Calibri" w:hAnsi="Calibri" w:cs="Calibri"/>
          <w:b/>
          <w:bCs/>
          <w:i w:val="0"/>
          <w:iCs w:val="0"/>
          <w:sz w:val="24"/>
          <w:szCs w:val="24"/>
        </w:rPr>
        <w:fldChar w:fldCharType="end"/>
      </w:r>
      <w:r w:rsidRPr="31293663">
        <w:rPr>
          <w:rFonts w:ascii="Calibri" w:hAnsi="Calibri" w:cs="Calibri"/>
          <w:b/>
          <w:bCs/>
          <w:i w:val="0"/>
          <w:iCs w:val="0"/>
          <w:sz w:val="24"/>
          <w:szCs w:val="24"/>
        </w:rPr>
        <w:t xml:space="preserve"> Indicative timing of CIS and RCM </w:t>
      </w:r>
      <w:r w:rsidR="0078317C">
        <w:rPr>
          <w:rFonts w:ascii="Calibri" w:hAnsi="Calibri" w:cs="Calibri"/>
          <w:b/>
          <w:bCs/>
          <w:i w:val="0"/>
          <w:iCs w:val="0"/>
          <w:sz w:val="24"/>
          <w:szCs w:val="24"/>
        </w:rPr>
        <w:t xml:space="preserve">Certification of Reserve Capacity </w:t>
      </w:r>
      <w:r w:rsidRPr="31293663">
        <w:rPr>
          <w:rFonts w:ascii="Calibri" w:hAnsi="Calibri" w:cs="Calibri"/>
          <w:b/>
          <w:bCs/>
          <w:i w:val="0"/>
          <w:iCs w:val="0"/>
          <w:sz w:val="24"/>
          <w:szCs w:val="24"/>
        </w:rPr>
        <w:t>processes</w:t>
      </w:r>
      <w:bookmarkEnd w:id="106"/>
    </w:p>
    <w:p w14:paraId="05991532" w14:textId="20FA7274" w:rsidR="002203AF" w:rsidRPr="006623E2" w:rsidRDefault="00C92702" w:rsidP="00746227">
      <w:pPr>
        <w:rPr>
          <w:lang w:val="en-GB" w:eastAsia="en-AU"/>
        </w:rPr>
      </w:pPr>
      <w:r w:rsidRPr="00C92702">
        <w:rPr>
          <w:noProof/>
          <w:lang w:val="en-GB" w:eastAsia="en-AU"/>
        </w:rPr>
        <w:drawing>
          <wp:inline distT="0" distB="0" distL="0" distR="0" wp14:anchorId="71AC02C9" wp14:editId="47E09DE1">
            <wp:extent cx="5759450" cy="3505200"/>
            <wp:effectExtent l="0" t="0" r="0" b="0"/>
            <wp:docPr id="5311253" name="Picture 1" descr="Figure 3 displays the timing between the  first CIS tender and the WEM CRC process. CIS tender 1 opens in Q3 2024 and closes in Q1 2025; CIS projects would then need to reach financial close before CRC applications close at the end of Q2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253" name="Picture 1" descr="Figure 3 displays the timing between the  first CIS tender and the WEM CRC process. CIS tender 1 opens in Q3 2024 and closes in Q1 2025; CIS projects would then need to reach financial close before CRC applications close at the end of Q2 2025 "/>
                    <pic:cNvPicPr/>
                  </pic:nvPicPr>
                  <pic:blipFill rotWithShape="1">
                    <a:blip r:embed="rId22"/>
                    <a:srcRect t="1" b="2266"/>
                    <a:stretch/>
                  </pic:blipFill>
                  <pic:spPr bwMode="auto">
                    <a:xfrm>
                      <a:off x="0" y="0"/>
                      <a:ext cx="5759450" cy="3505200"/>
                    </a:xfrm>
                    <a:prstGeom prst="rect">
                      <a:avLst/>
                    </a:prstGeom>
                    <a:ln>
                      <a:noFill/>
                    </a:ln>
                    <a:extLst>
                      <a:ext uri="{53640926-AAD7-44D8-BBD7-CCE9431645EC}">
                        <a14:shadowObscured xmlns:a14="http://schemas.microsoft.com/office/drawing/2010/main"/>
                      </a:ext>
                    </a:extLst>
                  </pic:spPr>
                </pic:pic>
              </a:graphicData>
            </a:graphic>
          </wp:inline>
        </w:drawing>
      </w:r>
      <w:r w:rsidR="19C7DBBB" w:rsidRPr="5EEFA509">
        <w:rPr>
          <w:lang w:val="en-GB" w:eastAsia="en-AU"/>
        </w:rPr>
        <w:t xml:space="preserve"> </w:t>
      </w:r>
    </w:p>
    <w:p w14:paraId="2DFFC9B6" w14:textId="0F76F083" w:rsidR="005E1D75" w:rsidRDefault="00453EB3" w:rsidP="005E1D75">
      <w:pPr>
        <w:rPr>
          <w:lang w:val="en-GB" w:eastAsia="en-AU"/>
        </w:rPr>
      </w:pPr>
      <w:r w:rsidRPr="00327D4A">
        <w:rPr>
          <w:lang w:val="en-GB" w:eastAsia="en-AU"/>
        </w:rPr>
        <w:t xml:space="preserve">The </w:t>
      </w:r>
      <w:r w:rsidR="00235C59" w:rsidRPr="00327D4A">
        <w:rPr>
          <w:lang w:val="en-GB" w:eastAsia="en-AU"/>
        </w:rPr>
        <w:t xml:space="preserve">primary </w:t>
      </w:r>
      <w:r w:rsidRPr="00327D4A">
        <w:rPr>
          <w:lang w:val="en-GB" w:eastAsia="en-AU"/>
        </w:rPr>
        <w:t xml:space="preserve">purpose </w:t>
      </w:r>
      <w:r w:rsidR="00235C59" w:rsidRPr="00327D4A">
        <w:rPr>
          <w:lang w:val="en-GB" w:eastAsia="en-AU"/>
        </w:rPr>
        <w:t xml:space="preserve">for </w:t>
      </w:r>
      <w:r w:rsidR="00B256F0" w:rsidRPr="00327D4A">
        <w:t xml:space="preserve">conducting the CIS Tender Process ahead of the RCM process </w:t>
      </w:r>
      <w:r w:rsidR="00235C59" w:rsidRPr="00327D4A">
        <w:rPr>
          <w:lang w:val="en-GB" w:eastAsia="en-AU"/>
        </w:rPr>
        <w:t>is</w:t>
      </w:r>
      <w:r w:rsidRPr="00327D4A">
        <w:rPr>
          <w:lang w:val="en-GB" w:eastAsia="en-AU"/>
        </w:rPr>
        <w:t xml:space="preserve"> to allow projects </w:t>
      </w:r>
      <w:r w:rsidR="00EC6E36">
        <w:rPr>
          <w:lang w:val="en-GB" w:eastAsia="en-AU"/>
        </w:rPr>
        <w:t xml:space="preserve">to </w:t>
      </w:r>
      <w:r w:rsidR="00EC6E36" w:rsidRPr="00327D4A">
        <w:rPr>
          <w:lang w:val="en-GB" w:eastAsia="en-AU"/>
        </w:rPr>
        <w:t xml:space="preserve">achieve the level of financial commitment required </w:t>
      </w:r>
      <w:r w:rsidR="00EC6E36">
        <w:rPr>
          <w:lang w:val="en-GB" w:eastAsia="en-AU"/>
        </w:rPr>
        <w:t xml:space="preserve">for a facility </w:t>
      </w:r>
      <w:r w:rsidR="00EC6E36" w:rsidRPr="00327D4A">
        <w:rPr>
          <w:lang w:val="en-GB" w:eastAsia="en-AU"/>
        </w:rPr>
        <w:t>to be eligible for Capacity Credits</w:t>
      </w:r>
      <w:r w:rsidR="00840401">
        <w:rPr>
          <w:lang w:val="en-GB" w:eastAsia="en-AU"/>
        </w:rPr>
        <w:t xml:space="preserve">. </w:t>
      </w:r>
      <w:r w:rsidR="000A5BC7">
        <w:rPr>
          <w:lang w:val="en-GB" w:eastAsia="en-AU"/>
        </w:rPr>
        <w:t>It is intended that this may e</w:t>
      </w:r>
      <w:r w:rsidR="00840401">
        <w:rPr>
          <w:lang w:val="en-GB" w:eastAsia="en-AU"/>
        </w:rPr>
        <w:t xml:space="preserve">nabling projects </w:t>
      </w:r>
      <w:r w:rsidRPr="00327D4A">
        <w:rPr>
          <w:lang w:val="en-GB" w:eastAsia="en-AU"/>
        </w:rPr>
        <w:t xml:space="preserve">that </w:t>
      </w:r>
      <w:r w:rsidR="00235C59" w:rsidRPr="00327D4A">
        <w:rPr>
          <w:lang w:val="en-GB" w:eastAsia="en-AU"/>
        </w:rPr>
        <w:t>must</w:t>
      </w:r>
      <w:r w:rsidRPr="00327D4A">
        <w:rPr>
          <w:lang w:val="en-GB" w:eastAsia="en-AU"/>
        </w:rPr>
        <w:t xml:space="preserve"> demonstrate a guaranteed minimum revenue to </w:t>
      </w:r>
      <w:r w:rsidR="00840401">
        <w:rPr>
          <w:lang w:val="en-GB" w:eastAsia="en-AU"/>
        </w:rPr>
        <w:t>obtain</w:t>
      </w:r>
      <w:r w:rsidRPr="00327D4A">
        <w:rPr>
          <w:lang w:val="en-GB" w:eastAsia="en-AU"/>
        </w:rPr>
        <w:t xml:space="preserve"> finance </w:t>
      </w:r>
      <w:proofErr w:type="gramStart"/>
      <w:r w:rsidR="00452AF9">
        <w:rPr>
          <w:lang w:val="en-GB" w:eastAsia="en-AU"/>
        </w:rPr>
        <w:t xml:space="preserve">have </w:t>
      </w:r>
      <w:r w:rsidRPr="00327D4A">
        <w:rPr>
          <w:lang w:val="en-GB" w:eastAsia="en-AU"/>
        </w:rPr>
        <w:t>the ability to</w:t>
      </w:r>
      <w:proofErr w:type="gramEnd"/>
      <w:r w:rsidRPr="00327D4A">
        <w:rPr>
          <w:lang w:val="en-GB" w:eastAsia="en-AU"/>
        </w:rPr>
        <w:t xml:space="preserve"> use </w:t>
      </w:r>
      <w:r w:rsidR="00AC2CFA" w:rsidRPr="00327D4A">
        <w:rPr>
          <w:lang w:val="en-GB" w:eastAsia="en-AU"/>
        </w:rPr>
        <w:t>a</w:t>
      </w:r>
      <w:r w:rsidRPr="00327D4A">
        <w:rPr>
          <w:lang w:val="en-GB" w:eastAsia="en-AU"/>
        </w:rPr>
        <w:t xml:space="preserve"> CIS</w:t>
      </w:r>
      <w:r w:rsidR="00AA6669">
        <w:rPr>
          <w:lang w:val="en-GB" w:eastAsia="en-AU"/>
        </w:rPr>
        <w:t xml:space="preserve">A </w:t>
      </w:r>
      <w:r w:rsidRPr="00327D4A">
        <w:rPr>
          <w:lang w:val="en-GB" w:eastAsia="en-AU"/>
        </w:rPr>
        <w:t xml:space="preserve">to achieve bankability. </w:t>
      </w:r>
      <w:r w:rsidR="005E1D75" w:rsidRPr="00327D4A">
        <w:rPr>
          <w:lang w:val="en-GB" w:eastAsia="en-AU"/>
        </w:rPr>
        <w:t>This enables the greatest level of complementarity with the RCM while providing the best method to bring genuine additional clean capacity into WA’s existing capacity market</w:t>
      </w:r>
      <w:r w:rsidR="00E43920" w:rsidRPr="00327D4A">
        <w:rPr>
          <w:lang w:val="en-GB" w:eastAsia="en-AU"/>
        </w:rPr>
        <w:t>.</w:t>
      </w:r>
    </w:p>
    <w:p w14:paraId="3F528C83" w14:textId="7BB4EA58" w:rsidR="005A4AF2" w:rsidRPr="00833666" w:rsidRDefault="007840E5" w:rsidP="005A4AF2">
      <w:r>
        <w:t>T</w:t>
      </w:r>
      <w:r w:rsidR="005A4AF2" w:rsidRPr="00833666">
        <w:t xml:space="preserve">he CIS would </w:t>
      </w:r>
      <w:r w:rsidR="00424427">
        <w:t>otherwise</w:t>
      </w:r>
      <w:r w:rsidR="005A4AF2" w:rsidRPr="00833666">
        <w:t xml:space="preserve"> operate separately from the RCM process, which is already well understood by WEM participants, and </w:t>
      </w:r>
      <w:r w:rsidR="00E75237">
        <w:t xml:space="preserve">is not </w:t>
      </w:r>
      <w:r w:rsidR="00191021">
        <w:t>intended to</w:t>
      </w:r>
      <w:r w:rsidR="005A4AF2" w:rsidRPr="00833666">
        <w:t xml:space="preserve"> affect its timelines or rules.</w:t>
      </w:r>
      <w:r w:rsidR="0065342D">
        <w:t xml:space="preserve"> </w:t>
      </w:r>
      <w:r w:rsidR="00B70E2A">
        <w:t xml:space="preserve">It is anticipated that there may be some </w:t>
      </w:r>
      <w:r w:rsidR="00E8426B">
        <w:t xml:space="preserve">aspects of </w:t>
      </w:r>
      <w:r w:rsidR="00CD45F1">
        <w:t>the assessments</w:t>
      </w:r>
      <w:r w:rsidR="00B70E2A">
        <w:t xml:space="preserve"> of projects across the CIS and RCM processes</w:t>
      </w:r>
      <w:r w:rsidR="00E8426B">
        <w:t xml:space="preserve"> which may require applicants to provide similar information in support of their proposed projects</w:t>
      </w:r>
      <w:r w:rsidR="00B70E2A">
        <w:t xml:space="preserve">, particularly given the </w:t>
      </w:r>
      <w:r w:rsidR="003C6395">
        <w:t xml:space="preserve">different timing of the processes. </w:t>
      </w:r>
      <w:r w:rsidR="00DF3C5C">
        <w:t>However, given the intention for CIS</w:t>
      </w:r>
      <w:r w:rsidR="000D338E">
        <w:t>A</w:t>
      </w:r>
      <w:r w:rsidR="00DF3C5C">
        <w:t>s to support projects through the RCM process, CIS</w:t>
      </w:r>
      <w:r w:rsidR="000D338E">
        <w:t>A</w:t>
      </w:r>
      <w:r w:rsidR="00DF3C5C">
        <w:t xml:space="preserve">s for the WEM will </w:t>
      </w:r>
      <w:r w:rsidR="00B15537">
        <w:t xml:space="preserve">expectedly </w:t>
      </w:r>
      <w:r w:rsidR="00DF3C5C">
        <w:t xml:space="preserve">contain provisions that </w:t>
      </w:r>
      <w:r w:rsidR="00FE57F4">
        <w:t xml:space="preserve">would </w:t>
      </w:r>
      <w:r w:rsidR="00DF3C5C">
        <w:t>allow</w:t>
      </w:r>
      <w:r w:rsidR="00D73E5B">
        <w:t xml:space="preserve"> for relevant </w:t>
      </w:r>
      <w:r w:rsidR="00305305">
        <w:t xml:space="preserve">CIS assessment and </w:t>
      </w:r>
      <w:r w:rsidR="00D73E5B">
        <w:t>contract information to be shared with AEMO</w:t>
      </w:r>
      <w:r w:rsidR="00305305">
        <w:t xml:space="preserve"> to </w:t>
      </w:r>
      <w:r w:rsidR="00A53CB2">
        <w:t xml:space="preserve">facilitate and support </w:t>
      </w:r>
      <w:r w:rsidR="00521324">
        <w:t xml:space="preserve">AEMO’s </w:t>
      </w:r>
      <w:r w:rsidR="003C6395">
        <w:t xml:space="preserve">RCM </w:t>
      </w:r>
      <w:r w:rsidR="00521324">
        <w:t>assessments</w:t>
      </w:r>
      <w:r w:rsidR="00406B31">
        <w:t xml:space="preserve"> for relevant projects</w:t>
      </w:r>
      <w:r w:rsidR="00D73E5B">
        <w:t>.</w:t>
      </w:r>
    </w:p>
    <w:p w14:paraId="4CDADBD7" w14:textId="668F1E2A" w:rsidR="00A57FC0" w:rsidRDefault="004368E9" w:rsidP="006816AA">
      <w:pPr>
        <w:rPr>
          <w:lang w:val="en-GB" w:eastAsia="en-AU"/>
        </w:rPr>
      </w:pPr>
      <w:r>
        <w:rPr>
          <w:lang w:val="en-GB" w:eastAsia="en-AU"/>
        </w:rPr>
        <w:t>Relative to the RCM, t</w:t>
      </w:r>
      <w:r w:rsidR="0098211A">
        <w:rPr>
          <w:lang w:val="en-GB" w:eastAsia="en-AU"/>
        </w:rPr>
        <w:t>he CIS</w:t>
      </w:r>
      <w:r w:rsidR="00496945">
        <w:rPr>
          <w:lang w:val="en-GB" w:eastAsia="en-AU"/>
        </w:rPr>
        <w:t xml:space="preserve"> is expected to</w:t>
      </w:r>
      <w:r w:rsidR="0098211A">
        <w:rPr>
          <w:lang w:val="en-GB" w:eastAsia="en-AU"/>
        </w:rPr>
        <w:t xml:space="preserve"> support projects with a wider range of </w:t>
      </w:r>
      <w:r>
        <w:rPr>
          <w:lang w:val="en-GB" w:eastAsia="en-AU"/>
        </w:rPr>
        <w:t xml:space="preserve">commencement dates as it </w:t>
      </w:r>
      <w:r w:rsidR="00B45DBB">
        <w:rPr>
          <w:lang w:val="en-GB" w:eastAsia="en-AU"/>
        </w:rPr>
        <w:t>does not adhere to the RCM’s annual, two-year-</w:t>
      </w:r>
      <w:r w:rsidR="00B45DBB" w:rsidRPr="004070A6">
        <w:rPr>
          <w:lang w:val="en-GB" w:eastAsia="en-AU"/>
        </w:rPr>
        <w:t>ahead cycle</w:t>
      </w:r>
      <w:r w:rsidR="00AF511C" w:rsidRPr="004070A6">
        <w:rPr>
          <w:lang w:val="en-GB" w:eastAsia="en-AU"/>
        </w:rPr>
        <w:t xml:space="preserve">. </w:t>
      </w:r>
      <w:r w:rsidR="00A57FC0" w:rsidRPr="00D34AC2">
        <w:t xml:space="preserve">The CIS Tender Process will be open to all projects that achieve, or are expected to achieve, financial close from </w:t>
      </w:r>
      <w:r w:rsidR="004407D7">
        <w:t>the relevant announcement onwards</w:t>
      </w:r>
      <w:r w:rsidR="00A57FC0" w:rsidRPr="00D34AC2">
        <w:t xml:space="preserve"> </w:t>
      </w:r>
      <w:r w:rsidR="004407D7">
        <w:t xml:space="preserve">(8 December 2022 for </w:t>
      </w:r>
      <w:r w:rsidR="00530FE2">
        <w:t>C</w:t>
      </w:r>
      <w:r w:rsidR="004407D7">
        <w:t xml:space="preserve">lean </w:t>
      </w:r>
      <w:r w:rsidR="00530FE2">
        <w:t>D</w:t>
      </w:r>
      <w:r w:rsidR="004407D7">
        <w:t xml:space="preserve">ispatchable </w:t>
      </w:r>
      <w:r w:rsidR="00DC6C2E">
        <w:t>CISA tenders</w:t>
      </w:r>
      <w:r w:rsidR="004407D7">
        <w:t xml:space="preserve">, or </w:t>
      </w:r>
      <w:r w:rsidR="00DA3A69">
        <w:t xml:space="preserve">23 </w:t>
      </w:r>
      <w:r w:rsidR="00C768A1">
        <w:t xml:space="preserve">November 2023 for </w:t>
      </w:r>
      <w:r w:rsidR="00530FE2">
        <w:t xml:space="preserve">Generation CISA </w:t>
      </w:r>
      <w:r w:rsidR="00DC6C2E">
        <w:t>tenders</w:t>
      </w:r>
      <w:r w:rsidR="00C768A1">
        <w:t>)</w:t>
      </w:r>
      <w:r w:rsidR="00A57FC0">
        <w:t>.</w:t>
      </w:r>
      <w:r w:rsidR="00A57FC0" w:rsidRPr="00D34AC2">
        <w:t xml:space="preserve"> This eligibility is intended to avoid creating a perverse incentive for a </w:t>
      </w:r>
      <w:proofErr w:type="gramStart"/>
      <w:r w:rsidR="00A57FC0" w:rsidRPr="00D34AC2">
        <w:t>project owner</w:t>
      </w:r>
      <w:r w:rsidR="00505514">
        <w:t>s</w:t>
      </w:r>
      <w:proofErr w:type="gramEnd"/>
      <w:r w:rsidR="00A57FC0" w:rsidRPr="00D34AC2">
        <w:t xml:space="preserve"> to opt out of 2024 RCM cycle. </w:t>
      </w:r>
    </w:p>
    <w:p w14:paraId="4E878682" w14:textId="1B851630" w:rsidR="006816AA" w:rsidRDefault="00AF511C" w:rsidP="006816AA">
      <w:pPr>
        <w:rPr>
          <w:lang w:val="en-GB" w:eastAsia="en-AU"/>
        </w:rPr>
      </w:pPr>
      <w:r>
        <w:rPr>
          <w:lang w:val="en-GB" w:eastAsia="en-AU"/>
        </w:rPr>
        <w:t xml:space="preserve">Given </w:t>
      </w:r>
      <w:r w:rsidR="00831337">
        <w:rPr>
          <w:lang w:val="en-GB" w:eastAsia="en-AU"/>
        </w:rPr>
        <w:t xml:space="preserve">that the CIS </w:t>
      </w:r>
      <w:r w:rsidR="00351A3A">
        <w:rPr>
          <w:lang w:val="en-GB" w:eastAsia="en-AU"/>
        </w:rPr>
        <w:t xml:space="preserve">tender process </w:t>
      </w:r>
      <w:r w:rsidR="00831337">
        <w:rPr>
          <w:lang w:val="en-GB" w:eastAsia="en-AU"/>
        </w:rPr>
        <w:t xml:space="preserve">will occur </w:t>
      </w:r>
      <w:r w:rsidR="002C13F5">
        <w:rPr>
          <w:lang w:val="en-GB" w:eastAsia="en-AU"/>
        </w:rPr>
        <w:t xml:space="preserve">approximately </w:t>
      </w:r>
      <w:r w:rsidR="004070A6">
        <w:rPr>
          <w:lang w:val="en-GB" w:eastAsia="en-AU"/>
        </w:rPr>
        <w:t xml:space="preserve">three </w:t>
      </w:r>
      <w:r w:rsidR="002C13F5">
        <w:rPr>
          <w:lang w:val="en-GB" w:eastAsia="en-AU"/>
        </w:rPr>
        <w:t xml:space="preserve">years ahead of the Target COD, </w:t>
      </w:r>
      <w:r w:rsidR="00155FF7">
        <w:rPr>
          <w:lang w:val="en-GB" w:eastAsia="en-AU"/>
        </w:rPr>
        <w:t xml:space="preserve">a lower level of project certainty </w:t>
      </w:r>
      <w:r w:rsidR="00E41859">
        <w:rPr>
          <w:lang w:val="en-GB" w:eastAsia="en-AU"/>
        </w:rPr>
        <w:t>may</w:t>
      </w:r>
      <w:r w:rsidR="00155FF7">
        <w:rPr>
          <w:lang w:val="en-GB" w:eastAsia="en-AU"/>
        </w:rPr>
        <w:t xml:space="preserve"> be required compared to </w:t>
      </w:r>
      <w:r w:rsidR="00CA152B">
        <w:rPr>
          <w:lang w:val="en-GB" w:eastAsia="en-AU"/>
        </w:rPr>
        <w:t>the RCM, acknowledging the potentially longer project lead time</w:t>
      </w:r>
      <w:r w:rsidR="00B45DBB">
        <w:rPr>
          <w:lang w:val="en-GB" w:eastAsia="en-AU"/>
        </w:rPr>
        <w:t xml:space="preserve">. </w:t>
      </w:r>
    </w:p>
    <w:p w14:paraId="457875C7" w14:textId="77777777" w:rsidR="00F2416A" w:rsidRDefault="00F2416A" w:rsidP="006816AA">
      <w:pPr>
        <w:rPr>
          <w:lang w:val="en-GB" w:eastAsia="en-AU"/>
        </w:rPr>
      </w:pPr>
    </w:p>
    <w:p w14:paraId="4A4E0C81" w14:textId="77777777" w:rsidR="00091D2A" w:rsidRDefault="00091D2A" w:rsidP="00615FFE">
      <w:pPr>
        <w:pStyle w:val="Heading2"/>
      </w:pPr>
      <w:bookmarkStart w:id="107" w:name="_Ref157085435"/>
      <w:bookmarkStart w:id="108" w:name="_Toc161385858"/>
      <w:bookmarkStart w:id="109" w:name="_Toc161388245"/>
      <w:bookmarkStart w:id="110" w:name="_Toc161388545"/>
      <w:bookmarkStart w:id="111" w:name="_Toc163162714"/>
      <w:r>
        <w:lastRenderedPageBreak/>
        <w:t>Eligibility Assessment</w:t>
      </w:r>
      <w:bookmarkEnd w:id="107"/>
      <w:bookmarkEnd w:id="108"/>
      <w:bookmarkEnd w:id="109"/>
      <w:bookmarkEnd w:id="110"/>
      <w:bookmarkEnd w:id="111"/>
    </w:p>
    <w:p w14:paraId="18395371" w14:textId="3913D596" w:rsidR="006816AA" w:rsidRPr="00761D55" w:rsidRDefault="006816AA" w:rsidP="006816AA">
      <w:r w:rsidRPr="00761D55">
        <w:t>This section provides an overview of the expected key proponent and project eligibility criteria that potential</w:t>
      </w:r>
      <w:r w:rsidR="00761D55" w:rsidRPr="00761D55">
        <w:t xml:space="preserve"> CIS</w:t>
      </w:r>
      <w:r w:rsidRPr="00761D55">
        <w:t xml:space="preserve"> tender proponents or projects will need to satisfy. The final eligibility criteria may vary and will be outlined in the CIS </w:t>
      </w:r>
      <w:r w:rsidR="00761D55" w:rsidRPr="00761D55">
        <w:t>Tender Guidelines</w:t>
      </w:r>
      <w:r w:rsidRPr="00761D55">
        <w:t>.</w:t>
      </w:r>
    </w:p>
    <w:p w14:paraId="10EBAA2E" w14:textId="4ACA454D" w:rsidR="00404B58" w:rsidRDefault="006816AA" w:rsidP="006816AA">
      <w:r w:rsidRPr="003F7562">
        <w:t>The purpose of specifying eligibility criteria is to establish minimum standards for participating in a CIS tender. Eligibility criteria are intended to achieve consistency and transparency of decision-making and may save proponents money by clearly indicating when projects are sufficiently progressed to participate in a CIS tender.</w:t>
      </w:r>
      <w:r w:rsidR="001135F8">
        <w:t xml:space="preserve"> </w:t>
      </w:r>
      <w:r w:rsidR="00973B6F">
        <w:t>In general, most</w:t>
      </w:r>
      <w:r w:rsidR="00404B58">
        <w:t xml:space="preserve"> of the eligibility requirements set out below are </w:t>
      </w:r>
      <w:r w:rsidR="00654F1F">
        <w:t>expected to be</w:t>
      </w:r>
      <w:r w:rsidR="00FB79E0">
        <w:t xml:space="preserve"> </w:t>
      </w:r>
      <w:r w:rsidR="00404B58">
        <w:t>common with CIS tender processes in the NEM.</w:t>
      </w:r>
    </w:p>
    <w:p w14:paraId="2F4280F7" w14:textId="77777777" w:rsidR="00091D2A" w:rsidRPr="006D7828" w:rsidRDefault="00091D2A" w:rsidP="00093A57">
      <w:pPr>
        <w:pStyle w:val="Heading3"/>
      </w:pPr>
      <w:bookmarkStart w:id="112" w:name="_Ref159847139"/>
      <w:bookmarkStart w:id="113" w:name="_Toc161385859"/>
      <w:bookmarkStart w:id="114" w:name="_Toc161388246"/>
      <w:bookmarkStart w:id="115" w:name="_Toc161388546"/>
      <w:r w:rsidRPr="006D7828">
        <w:t>Registration with AEMO, ownership and minimum size</w:t>
      </w:r>
      <w:bookmarkEnd w:id="112"/>
      <w:bookmarkEnd w:id="113"/>
      <w:bookmarkEnd w:id="114"/>
      <w:bookmarkEnd w:id="115"/>
    </w:p>
    <w:p w14:paraId="449F05E5" w14:textId="006FD2C3" w:rsidR="00F86888" w:rsidRDefault="00F86888" w:rsidP="00091D2A">
      <w:pPr>
        <w:rPr>
          <w:lang w:val="en-GB" w:eastAsia="en-AU"/>
        </w:rPr>
      </w:pPr>
      <w:r>
        <w:rPr>
          <w:lang w:val="en-GB" w:eastAsia="en-AU"/>
        </w:rPr>
        <w:t xml:space="preserve">The project </w:t>
      </w:r>
      <w:r w:rsidR="00406A00">
        <w:rPr>
          <w:lang w:val="en-GB" w:eastAsia="en-AU"/>
        </w:rPr>
        <w:t xml:space="preserve">proponent must be a special purpose vehicle (SPV) that owns the project, </w:t>
      </w:r>
      <w:r w:rsidR="00406A00" w:rsidRPr="00406A00">
        <w:rPr>
          <w:lang w:val="en-GB" w:eastAsia="en-AU"/>
        </w:rPr>
        <w:t>including all assets and legal rights and permissions reasonably required to undertake the project</w:t>
      </w:r>
      <w:r w:rsidR="00406A00">
        <w:rPr>
          <w:lang w:val="en-GB" w:eastAsia="en-AU"/>
        </w:rPr>
        <w:t>. This requirement enables the revenues and costs of the project to be separately assessed and monitored during the term of a CISA.</w:t>
      </w:r>
      <w:r w:rsidR="004850F0">
        <w:rPr>
          <w:lang w:val="en-GB" w:eastAsia="en-AU"/>
        </w:rPr>
        <w:t xml:space="preserve"> </w:t>
      </w:r>
      <w:r w:rsidR="004850F0" w:rsidRPr="000B4852">
        <w:rPr>
          <w:lang w:val="en-GB" w:eastAsia="en-AU"/>
        </w:rPr>
        <w:t>Both publicly and privately owned projects will be eligible for CIS tenders.</w:t>
      </w:r>
    </w:p>
    <w:p w14:paraId="787EFF4A" w14:textId="4B533457" w:rsidR="00D13F80" w:rsidRPr="008E508C" w:rsidRDefault="00FE458E" w:rsidP="00091D2A">
      <w:pPr>
        <w:rPr>
          <w:lang w:val="en-GB" w:eastAsia="en-AU"/>
        </w:rPr>
      </w:pPr>
      <w:r w:rsidRPr="008E508C">
        <w:rPr>
          <w:lang w:val="en-GB" w:eastAsia="en-AU"/>
        </w:rPr>
        <w:t>The p</w:t>
      </w:r>
      <w:r w:rsidR="00091D2A" w:rsidRPr="008E508C">
        <w:rPr>
          <w:lang w:val="en-GB" w:eastAsia="en-AU"/>
        </w:rPr>
        <w:t>roject</w:t>
      </w:r>
      <w:r w:rsidRPr="008E508C">
        <w:rPr>
          <w:lang w:val="en-GB" w:eastAsia="en-AU"/>
        </w:rPr>
        <w:t xml:space="preserve"> proponent</w:t>
      </w:r>
      <w:r w:rsidR="00091D2A" w:rsidRPr="008E508C">
        <w:rPr>
          <w:lang w:val="en-GB" w:eastAsia="en-AU"/>
        </w:rPr>
        <w:t xml:space="preserve"> must be registered with AEMO</w:t>
      </w:r>
      <w:r w:rsidRPr="008E508C">
        <w:rPr>
          <w:lang w:val="en-GB" w:eastAsia="en-AU"/>
        </w:rPr>
        <w:t xml:space="preserve">, </w:t>
      </w:r>
      <w:r w:rsidR="00406A00">
        <w:rPr>
          <w:lang w:val="en-GB" w:eastAsia="en-AU"/>
        </w:rPr>
        <w:t xml:space="preserve">or </w:t>
      </w:r>
      <w:r w:rsidRPr="008E508C">
        <w:rPr>
          <w:lang w:val="en-GB" w:eastAsia="en-AU"/>
        </w:rPr>
        <w:t xml:space="preserve">have undertaken preliminary </w:t>
      </w:r>
      <w:r w:rsidR="00CC5065" w:rsidRPr="008E508C">
        <w:rPr>
          <w:lang w:val="en-GB" w:eastAsia="en-AU"/>
        </w:rPr>
        <w:t xml:space="preserve">facility </w:t>
      </w:r>
      <w:r w:rsidRPr="008E508C">
        <w:rPr>
          <w:lang w:val="en-GB" w:eastAsia="en-AU"/>
        </w:rPr>
        <w:t>registration processes</w:t>
      </w:r>
      <w:r w:rsidR="00125025" w:rsidRPr="008E508C">
        <w:rPr>
          <w:rStyle w:val="FootnoteReference"/>
          <w:lang w:val="en-GB" w:eastAsia="en-AU"/>
        </w:rPr>
        <w:footnoteReference w:id="17"/>
      </w:r>
      <w:r w:rsidR="008B6880">
        <w:rPr>
          <w:lang w:val="en-GB" w:eastAsia="en-AU"/>
        </w:rPr>
        <w:t>,</w:t>
      </w:r>
      <w:r w:rsidR="00091D2A" w:rsidRPr="008E508C">
        <w:rPr>
          <w:lang w:val="en-GB" w:eastAsia="en-AU"/>
        </w:rPr>
        <w:t xml:space="preserve"> and </w:t>
      </w:r>
      <w:r w:rsidR="00863E6D" w:rsidRPr="008E508C">
        <w:rPr>
          <w:lang w:val="en-GB" w:eastAsia="en-AU"/>
        </w:rPr>
        <w:t xml:space="preserve">be </w:t>
      </w:r>
      <w:r w:rsidR="00091D2A" w:rsidRPr="008E508C">
        <w:rPr>
          <w:lang w:val="en-GB" w:eastAsia="en-AU"/>
        </w:rPr>
        <w:t xml:space="preserve">intending to participate in the </w:t>
      </w:r>
      <w:r w:rsidR="00863E6D" w:rsidRPr="008E508C">
        <w:rPr>
          <w:lang w:val="en-GB" w:eastAsia="en-AU"/>
        </w:rPr>
        <w:t xml:space="preserve">WEM’s central dispatch mechanism and </w:t>
      </w:r>
      <w:r w:rsidR="00091D2A" w:rsidRPr="008E508C">
        <w:rPr>
          <w:lang w:val="en-GB" w:eastAsia="en-AU"/>
        </w:rPr>
        <w:t xml:space="preserve">RCM. </w:t>
      </w:r>
      <w:r w:rsidR="001E7E37" w:rsidRPr="008E508C">
        <w:rPr>
          <w:lang w:val="en-GB" w:eastAsia="en-AU"/>
        </w:rPr>
        <w:t>The requirement to participate in the RCM ensures that projects supported by the CIS meet the performance requirements of the RCM and support the reliability of the WEM.</w:t>
      </w:r>
      <w:r w:rsidR="00E20C00">
        <w:rPr>
          <w:lang w:val="en-GB" w:eastAsia="en-AU"/>
        </w:rPr>
        <w:t xml:space="preserve"> </w:t>
      </w:r>
      <w:r w:rsidR="00091D2A" w:rsidRPr="008E508C">
        <w:rPr>
          <w:lang w:val="en-GB" w:eastAsia="en-AU"/>
        </w:rPr>
        <w:t xml:space="preserve">The </w:t>
      </w:r>
      <w:r w:rsidR="008E508C" w:rsidRPr="008E508C">
        <w:rPr>
          <w:lang w:val="en-GB" w:eastAsia="en-AU"/>
        </w:rPr>
        <w:t xml:space="preserve">CIS Tender Guidelines </w:t>
      </w:r>
      <w:r w:rsidR="00091D2A" w:rsidRPr="008E508C">
        <w:rPr>
          <w:lang w:val="en-GB" w:eastAsia="en-AU"/>
        </w:rPr>
        <w:t>will outline further requirements on the form of AEMO registration required.</w:t>
      </w:r>
      <w:r w:rsidR="001E7E37">
        <w:rPr>
          <w:lang w:val="en-GB" w:eastAsia="en-AU"/>
        </w:rPr>
        <w:t xml:space="preserve"> </w:t>
      </w:r>
    </w:p>
    <w:p w14:paraId="2D29CE48" w14:textId="1CD6C614" w:rsidR="000B4852" w:rsidRPr="000B4852" w:rsidRDefault="00091D2A" w:rsidP="00091D2A">
      <w:pPr>
        <w:rPr>
          <w:lang w:val="en-GB" w:eastAsia="en-AU"/>
        </w:rPr>
      </w:pPr>
      <w:r w:rsidRPr="00404373">
        <w:rPr>
          <w:lang w:val="en-GB" w:eastAsia="en-AU"/>
        </w:rPr>
        <w:t xml:space="preserve">It is expected that </w:t>
      </w:r>
      <w:r w:rsidR="00DA6AEE" w:rsidRPr="00404373">
        <w:rPr>
          <w:lang w:val="en-GB" w:eastAsia="en-AU"/>
        </w:rPr>
        <w:t>all</w:t>
      </w:r>
      <w:r w:rsidRPr="00404373">
        <w:rPr>
          <w:lang w:val="en-GB" w:eastAsia="en-AU"/>
        </w:rPr>
        <w:t xml:space="preserve"> projects must have a capacity equal to or greater than </w:t>
      </w:r>
      <w:r w:rsidR="00866B8B">
        <w:rPr>
          <w:lang w:val="en-GB" w:eastAsia="en-AU"/>
        </w:rPr>
        <w:t>3</w:t>
      </w:r>
      <w:r w:rsidR="00DA6AEE" w:rsidRPr="00404373">
        <w:rPr>
          <w:lang w:val="en-GB" w:eastAsia="en-AU"/>
        </w:rPr>
        <w:t>0 MW</w:t>
      </w:r>
      <w:r w:rsidR="00E21090">
        <w:rPr>
          <w:lang w:val="en-GB" w:eastAsia="en-AU"/>
        </w:rPr>
        <w:t>.</w:t>
      </w:r>
      <w:r w:rsidR="00DA6AEE" w:rsidRPr="00404373">
        <w:rPr>
          <w:lang w:val="en-GB" w:eastAsia="en-AU"/>
        </w:rPr>
        <w:t xml:space="preserve"> </w:t>
      </w:r>
      <w:r w:rsidRPr="00404373">
        <w:rPr>
          <w:lang w:val="en-GB" w:eastAsia="en-AU"/>
        </w:rPr>
        <w:t>This</w:t>
      </w:r>
      <w:r w:rsidR="000A536D">
        <w:rPr>
          <w:lang w:val="en-GB" w:eastAsia="en-AU"/>
        </w:rPr>
        <w:t xml:space="preserve"> is</w:t>
      </w:r>
      <w:r w:rsidR="00F273FC">
        <w:rPr>
          <w:lang w:val="en-GB" w:eastAsia="en-AU"/>
        </w:rPr>
        <w:t xml:space="preserve"> intended to</w:t>
      </w:r>
      <w:r w:rsidRPr="00404373">
        <w:rPr>
          <w:lang w:val="en-GB" w:eastAsia="en-AU"/>
        </w:rPr>
        <w:t xml:space="preserve"> balance the costs of participating in the tender, </w:t>
      </w:r>
      <w:r w:rsidR="003E4ADB">
        <w:rPr>
          <w:lang w:val="en-GB" w:eastAsia="en-AU"/>
        </w:rPr>
        <w:t xml:space="preserve">and </w:t>
      </w:r>
      <w:r w:rsidRPr="00404373">
        <w:rPr>
          <w:lang w:val="en-GB" w:eastAsia="en-AU"/>
        </w:rPr>
        <w:t>the costs and complexity of evaluating project</w:t>
      </w:r>
      <w:r w:rsidR="00493C11" w:rsidRPr="00404373">
        <w:rPr>
          <w:lang w:val="en-GB" w:eastAsia="en-AU"/>
        </w:rPr>
        <w:t>s</w:t>
      </w:r>
      <w:r w:rsidRPr="00404373">
        <w:rPr>
          <w:lang w:val="en-GB" w:eastAsia="en-AU"/>
        </w:rPr>
        <w:t xml:space="preserve">, </w:t>
      </w:r>
      <w:r w:rsidR="003E4ADB">
        <w:rPr>
          <w:lang w:val="en-GB" w:eastAsia="en-AU"/>
        </w:rPr>
        <w:t>while</w:t>
      </w:r>
      <w:r w:rsidR="003E4ADB" w:rsidRPr="00404373">
        <w:rPr>
          <w:lang w:val="en-GB" w:eastAsia="en-AU"/>
        </w:rPr>
        <w:t xml:space="preserve"> </w:t>
      </w:r>
      <w:r w:rsidRPr="00404373">
        <w:rPr>
          <w:lang w:val="en-GB" w:eastAsia="en-AU"/>
        </w:rPr>
        <w:t xml:space="preserve">ensuring that projects supported through the CIS make a </w:t>
      </w:r>
      <w:r w:rsidR="00F8190B">
        <w:rPr>
          <w:lang w:val="en-GB" w:eastAsia="en-AU"/>
        </w:rPr>
        <w:t xml:space="preserve">material </w:t>
      </w:r>
      <w:r w:rsidRPr="00404373">
        <w:rPr>
          <w:lang w:val="en-GB" w:eastAsia="en-AU"/>
        </w:rPr>
        <w:t>contribution to the RCM</w:t>
      </w:r>
      <w:r w:rsidRPr="000B4852">
        <w:rPr>
          <w:lang w:val="en-GB" w:eastAsia="en-AU"/>
        </w:rPr>
        <w:t>.</w:t>
      </w:r>
    </w:p>
    <w:p w14:paraId="71004AC4" w14:textId="77777777" w:rsidR="007E15D3" w:rsidRPr="00B67EB4" w:rsidRDefault="007E15D3" w:rsidP="00093A57">
      <w:pPr>
        <w:pStyle w:val="Heading3"/>
      </w:pPr>
      <w:bookmarkStart w:id="116" w:name="_Toc161385860"/>
      <w:bookmarkStart w:id="117" w:name="_Toc161388247"/>
      <w:bookmarkStart w:id="118" w:name="_Toc161388547"/>
      <w:r w:rsidRPr="00B67EB4">
        <w:t xml:space="preserve">Technology contributing to zero emissions and </w:t>
      </w:r>
      <w:proofErr w:type="gramStart"/>
      <w:r w:rsidRPr="00B67EB4">
        <w:t>reliability</w:t>
      </w:r>
      <w:bookmarkEnd w:id="116"/>
      <w:bookmarkEnd w:id="117"/>
      <w:bookmarkEnd w:id="118"/>
      <w:proofErr w:type="gramEnd"/>
    </w:p>
    <w:p w14:paraId="081A4245" w14:textId="5B7EDB4A" w:rsidR="00BE4DBA" w:rsidRDefault="007E15D3" w:rsidP="007E15D3">
      <w:pPr>
        <w:rPr>
          <w:lang w:val="en-GB" w:eastAsia="en-AU"/>
        </w:rPr>
      </w:pPr>
      <w:r w:rsidRPr="00CA7693">
        <w:rPr>
          <w:lang w:val="en-GB" w:eastAsia="en-AU"/>
        </w:rPr>
        <w:t>Detailed eligibility requirements (</w:t>
      </w:r>
      <w:r w:rsidR="00B26737">
        <w:rPr>
          <w:lang w:val="en-GB" w:eastAsia="en-AU"/>
        </w:rPr>
        <w:t>and</w:t>
      </w:r>
      <w:r w:rsidRPr="00CA7693">
        <w:rPr>
          <w:lang w:val="en-GB" w:eastAsia="en-AU"/>
        </w:rPr>
        <w:t xml:space="preserve"> merit criteria) related to emissions </w:t>
      </w:r>
      <w:r w:rsidR="004B03EB" w:rsidRPr="00D00792">
        <w:rPr>
          <w:lang w:val="en-GB" w:eastAsia="en-AU"/>
        </w:rPr>
        <w:t xml:space="preserve">and reliability </w:t>
      </w:r>
      <w:r w:rsidR="005874EC">
        <w:rPr>
          <w:lang w:val="en-GB" w:eastAsia="en-AU"/>
        </w:rPr>
        <w:t xml:space="preserve">contributions </w:t>
      </w:r>
      <w:r w:rsidRPr="00CA7693">
        <w:rPr>
          <w:lang w:val="en-GB" w:eastAsia="en-AU"/>
        </w:rPr>
        <w:t>will be provided for each tender round</w:t>
      </w:r>
      <w:r w:rsidR="00F273FC">
        <w:rPr>
          <w:lang w:val="en-GB" w:eastAsia="en-AU"/>
        </w:rPr>
        <w:t xml:space="preserve"> in the CIS Tender Guidelines</w:t>
      </w:r>
      <w:r w:rsidR="00BE4DBA">
        <w:rPr>
          <w:lang w:val="en-GB" w:eastAsia="en-AU"/>
        </w:rPr>
        <w:t>.</w:t>
      </w:r>
    </w:p>
    <w:p w14:paraId="334126F5" w14:textId="3590CE3F" w:rsidR="007E15D3" w:rsidRPr="00CA7693" w:rsidRDefault="00BE4DBA" w:rsidP="007E15D3">
      <w:pPr>
        <w:rPr>
          <w:lang w:val="en-GB" w:eastAsia="en-AU"/>
        </w:rPr>
      </w:pPr>
      <w:r>
        <w:rPr>
          <w:lang w:val="en-GB" w:eastAsia="en-AU"/>
        </w:rPr>
        <w:t xml:space="preserve">To meet </w:t>
      </w:r>
      <w:r w:rsidR="00D00792">
        <w:rPr>
          <w:lang w:val="en-GB" w:eastAsia="en-AU"/>
        </w:rPr>
        <w:t>the zero-emissions objective of the CIS</w:t>
      </w:r>
      <w:r w:rsidR="007E15D3" w:rsidRPr="00CA7693">
        <w:rPr>
          <w:lang w:val="en-GB" w:eastAsia="en-AU"/>
        </w:rPr>
        <w:t>, it is expected that projects</w:t>
      </w:r>
      <w:r w:rsidR="00F273FC">
        <w:rPr>
          <w:lang w:val="en-GB" w:eastAsia="en-AU"/>
        </w:rPr>
        <w:t xml:space="preserve"> will have the following features</w:t>
      </w:r>
      <w:r w:rsidR="007E15D3" w:rsidRPr="00CA7693">
        <w:rPr>
          <w:lang w:val="en-GB" w:eastAsia="en-AU"/>
        </w:rPr>
        <w:t>:</w:t>
      </w:r>
    </w:p>
    <w:p w14:paraId="3CEDD194" w14:textId="2B2A9C0C" w:rsidR="007C2E69" w:rsidRPr="008C3D0D" w:rsidRDefault="003F69C1" w:rsidP="00C85352">
      <w:pPr>
        <w:pStyle w:val="Caption"/>
        <w:keepNext/>
      </w:pPr>
      <w:bookmarkStart w:id="119" w:name="_Toc159530370"/>
      <w:bookmarkStart w:id="120" w:name="_Toc160021105"/>
      <w:bookmarkStart w:id="121" w:name="_Toc163162722"/>
      <w:r w:rsidRPr="00C85352">
        <w:rPr>
          <w:rFonts w:ascii="Calibri" w:hAnsi="Calibri" w:cs="Calibri"/>
          <w:b/>
          <w:i w:val="0"/>
          <w:iCs w:val="0"/>
          <w:sz w:val="24"/>
          <w:szCs w:val="24"/>
        </w:rPr>
        <w:t xml:space="preserve">Table </w:t>
      </w:r>
      <w:r w:rsidRPr="00C85352">
        <w:rPr>
          <w:rFonts w:ascii="Calibri" w:hAnsi="Calibri" w:cs="Calibri"/>
          <w:b/>
          <w:i w:val="0"/>
          <w:iCs w:val="0"/>
          <w:sz w:val="24"/>
          <w:szCs w:val="24"/>
        </w:rPr>
        <w:fldChar w:fldCharType="begin"/>
      </w:r>
      <w:r w:rsidRPr="00C85352">
        <w:rPr>
          <w:rFonts w:ascii="Calibri" w:hAnsi="Calibri" w:cs="Calibri"/>
          <w:b/>
          <w:i w:val="0"/>
          <w:iCs w:val="0"/>
          <w:sz w:val="24"/>
          <w:szCs w:val="24"/>
        </w:rPr>
        <w:instrText xml:space="preserve"> SEQ Table \* ARABIC </w:instrText>
      </w:r>
      <w:r w:rsidRPr="00C85352">
        <w:rPr>
          <w:rFonts w:ascii="Calibri" w:hAnsi="Calibri" w:cs="Calibri"/>
          <w:b/>
          <w:i w:val="0"/>
          <w:iCs w:val="0"/>
          <w:sz w:val="24"/>
          <w:szCs w:val="24"/>
        </w:rPr>
        <w:fldChar w:fldCharType="separate"/>
      </w:r>
      <w:r w:rsidRPr="00C85352">
        <w:rPr>
          <w:rFonts w:ascii="Calibri" w:hAnsi="Calibri" w:cs="Calibri"/>
          <w:b/>
          <w:i w:val="0"/>
          <w:iCs w:val="0"/>
          <w:sz w:val="24"/>
          <w:szCs w:val="24"/>
        </w:rPr>
        <w:t>3</w:t>
      </w:r>
      <w:r w:rsidRPr="00C85352">
        <w:rPr>
          <w:rFonts w:ascii="Calibri" w:hAnsi="Calibri" w:cs="Calibri"/>
          <w:b/>
          <w:i w:val="0"/>
          <w:iCs w:val="0"/>
          <w:sz w:val="24"/>
          <w:szCs w:val="24"/>
        </w:rPr>
        <w:fldChar w:fldCharType="end"/>
      </w:r>
      <w:r w:rsidRPr="00C85352">
        <w:rPr>
          <w:rFonts w:ascii="Calibri" w:hAnsi="Calibri" w:cs="Calibri"/>
          <w:b/>
          <w:i w:val="0"/>
          <w:iCs w:val="0"/>
          <w:sz w:val="24"/>
          <w:szCs w:val="24"/>
        </w:rPr>
        <w:t xml:space="preserve"> Eligibility requirements for technology contributing to zero emissions</w:t>
      </w:r>
      <w:bookmarkEnd w:id="119"/>
      <w:bookmarkEnd w:id="120"/>
      <w:bookmarkEnd w:id="121"/>
    </w:p>
    <w:tbl>
      <w:tblPr>
        <w:tblStyle w:val="GridTable4-Accent1"/>
        <w:tblW w:w="5000" w:type="pct"/>
        <w:tblLayout w:type="fixed"/>
        <w:tblLook w:val="06A0" w:firstRow="1" w:lastRow="0" w:firstColumn="1" w:lastColumn="0" w:noHBand="1" w:noVBand="1"/>
      </w:tblPr>
      <w:tblGrid>
        <w:gridCol w:w="4530"/>
        <w:gridCol w:w="4530"/>
      </w:tblGrid>
      <w:tr w:rsidR="007C2E69" w:rsidRPr="00D02C68" w14:paraId="6DEF7A7C" w14:textId="77777777" w:rsidTr="312936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00" w:type="pct"/>
          </w:tcPr>
          <w:p w14:paraId="0A8DE7A5" w14:textId="77777777" w:rsidR="007C2E69" w:rsidRPr="00057E63" w:rsidRDefault="007C2E69">
            <w:pPr>
              <w:pStyle w:val="TableHeading"/>
              <w:rPr>
                <w:b/>
              </w:rPr>
            </w:pPr>
            <w:r w:rsidRPr="00057E63">
              <w:rPr>
                <w:b/>
              </w:rPr>
              <w:t>Clean Dispatchable CISA</w:t>
            </w:r>
          </w:p>
        </w:tc>
        <w:tc>
          <w:tcPr>
            <w:tcW w:w="2500" w:type="pct"/>
          </w:tcPr>
          <w:p w14:paraId="00FC665C" w14:textId="77777777" w:rsidR="007C2E69" w:rsidRPr="00057E63" w:rsidRDefault="007C2E69">
            <w:pPr>
              <w:pStyle w:val="TableHeading"/>
              <w:cnfStyle w:val="100000000000" w:firstRow="1" w:lastRow="0" w:firstColumn="0" w:lastColumn="0" w:oddVBand="0" w:evenVBand="0" w:oddHBand="0" w:evenHBand="0" w:firstRowFirstColumn="0" w:firstRowLastColumn="0" w:lastRowFirstColumn="0" w:lastRowLastColumn="0"/>
              <w:rPr>
                <w:b/>
              </w:rPr>
            </w:pPr>
            <w:r w:rsidRPr="00057E63">
              <w:rPr>
                <w:b/>
              </w:rPr>
              <w:t>Generation CISA</w:t>
            </w:r>
          </w:p>
        </w:tc>
      </w:tr>
      <w:tr w:rsidR="007C2E69" w:rsidRPr="00D02C68" w14:paraId="78997604" w14:textId="77777777" w:rsidTr="31293663">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73AE78E" w14:textId="77777777" w:rsidR="007C2E69" w:rsidRPr="00B75190" w:rsidRDefault="007C2E69">
            <w:pPr>
              <w:pStyle w:val="TableText0"/>
              <w:rPr>
                <w:b w:val="0"/>
              </w:rPr>
            </w:pPr>
            <w:r w:rsidRPr="00DF696D">
              <w:rPr>
                <w:b w:val="0"/>
              </w:rPr>
              <w:t xml:space="preserve">The project’s fuel source must either: </w:t>
            </w:r>
          </w:p>
          <w:p w14:paraId="78F32052" w14:textId="77777777" w:rsidR="00F4235D" w:rsidRPr="00093A57" w:rsidRDefault="007C2E69" w:rsidP="00E142B8">
            <w:pPr>
              <w:pStyle w:val="TableBullet1"/>
              <w:rPr>
                <w:b w:val="0"/>
              </w:rPr>
            </w:pPr>
            <w:r w:rsidRPr="00DF696D">
              <w:rPr>
                <w:b w:val="0"/>
              </w:rPr>
              <w:t xml:space="preserve">be an eligible renewable energy source, as described in Section 17 </w:t>
            </w:r>
            <w:r w:rsidRPr="00FC7B1B">
              <w:rPr>
                <w:b w:val="0"/>
              </w:rPr>
              <w:t>of the</w:t>
            </w:r>
            <w:r w:rsidRPr="00B75190">
              <w:rPr>
                <w:i/>
              </w:rPr>
              <w:t xml:space="preserve"> Renewable Energy (Electricity) Act 2000</w:t>
            </w:r>
            <w:r w:rsidRPr="00DF696D">
              <w:rPr>
                <w:b w:val="0"/>
              </w:rPr>
              <w:t xml:space="preserve"> (Commonwealth) and eligible to create large-scale generation certificates under that </w:t>
            </w:r>
            <w:proofErr w:type="gramStart"/>
            <w:r w:rsidRPr="00DF696D">
              <w:rPr>
                <w:b w:val="0"/>
              </w:rPr>
              <w:t>Act;</w:t>
            </w:r>
            <w:proofErr w:type="gramEnd"/>
            <w:r w:rsidRPr="00DF696D">
              <w:rPr>
                <w:b w:val="0"/>
              </w:rPr>
              <w:t xml:space="preserve"> </w:t>
            </w:r>
          </w:p>
          <w:p w14:paraId="136591A5" w14:textId="415AA346" w:rsidR="007C2E69" w:rsidRPr="00E142B8" w:rsidRDefault="007C2E69" w:rsidP="00093A57">
            <w:pPr>
              <w:pStyle w:val="TableBullet1"/>
              <w:rPr>
                <w:b w:val="0"/>
              </w:rPr>
            </w:pPr>
            <w:r w:rsidRPr="00DF696D">
              <w:rPr>
                <w:b w:val="0"/>
              </w:rPr>
              <w:t xml:space="preserve">or </w:t>
            </w:r>
            <w:r w:rsidRPr="00E142B8">
              <w:rPr>
                <w:b w:val="0"/>
              </w:rPr>
              <w:t xml:space="preserve">charge from the </w:t>
            </w:r>
            <w:r w:rsidR="7C426F6C" w:rsidRPr="00E142B8">
              <w:rPr>
                <w:b w:val="0"/>
              </w:rPr>
              <w:t>W</w:t>
            </w:r>
            <w:r w:rsidRPr="00E142B8">
              <w:rPr>
                <w:b w:val="0"/>
              </w:rPr>
              <w:t xml:space="preserve">EM; or </w:t>
            </w:r>
          </w:p>
          <w:p w14:paraId="3A911DB7" w14:textId="77777777" w:rsidR="007C2E69" w:rsidRPr="00B75190" w:rsidRDefault="007C2E69" w:rsidP="787FAC18">
            <w:pPr>
              <w:pStyle w:val="TableBullet1"/>
              <w:numPr>
                <w:ilvl w:val="0"/>
                <w:numId w:val="0"/>
              </w:numPr>
              <w:rPr>
                <w:b w:val="0"/>
              </w:rPr>
            </w:pPr>
            <w:r w:rsidRPr="00DF696D">
              <w:rPr>
                <w:b w:val="0"/>
              </w:rPr>
              <w:lastRenderedPageBreak/>
              <w:t xml:space="preserve">a combination of the above. </w:t>
            </w:r>
          </w:p>
          <w:p w14:paraId="6C2DC6DA" w14:textId="77777777" w:rsidR="007C2E69" w:rsidRPr="00B75190" w:rsidRDefault="007C2E69">
            <w:pPr>
              <w:pStyle w:val="TableText0"/>
              <w:rPr>
                <w:b w:val="0"/>
              </w:rPr>
            </w:pPr>
            <w:r w:rsidRPr="00DF696D">
              <w:rPr>
                <w:b w:val="0"/>
              </w:rPr>
              <w:t xml:space="preserve">Projects that: </w:t>
            </w:r>
          </w:p>
          <w:p w14:paraId="33327D13" w14:textId="3C82A5B1" w:rsidR="007C2E69" w:rsidRPr="00093A57" w:rsidRDefault="007C2E69" w:rsidP="00093A57">
            <w:pPr>
              <w:pStyle w:val="TableBullet1"/>
              <w:rPr>
                <w:b w:val="0"/>
                <w:bCs w:val="0"/>
              </w:rPr>
            </w:pPr>
            <w:r w:rsidRPr="00B06891">
              <w:t>are virtual power plants, demand response or other virtual aggregation and flexible loads</w:t>
            </w:r>
            <w:r w:rsidR="00CD45F1">
              <w:t xml:space="preserve"> will not be eligible for the 2024 tender but</w:t>
            </w:r>
            <w:r w:rsidRPr="00B06891">
              <w:t xml:space="preserve"> may be eligible in future CIS tenders</w:t>
            </w:r>
            <w:r w:rsidR="3CA3A4AB" w:rsidRPr="00B06891">
              <w:t>.</w:t>
            </w:r>
            <w:r w:rsidRPr="00B06891">
              <w:t xml:space="preserve"> </w:t>
            </w:r>
          </w:p>
          <w:p w14:paraId="32F520B0" w14:textId="77777777" w:rsidR="007C2E69" w:rsidRPr="00FF2082" w:rsidRDefault="007C2E69" w:rsidP="00093A57">
            <w:pPr>
              <w:pStyle w:val="TableBullet1"/>
            </w:pPr>
            <w:r w:rsidRPr="00DF696D">
              <w:t>use native forest wood waste are not eligible.</w:t>
            </w:r>
          </w:p>
        </w:tc>
        <w:tc>
          <w:tcPr>
            <w:tcW w:w="2500" w:type="pct"/>
          </w:tcPr>
          <w:p w14:paraId="00F3D12A" w14:textId="68D811AA" w:rsidR="007C2E69" w:rsidRPr="00FF2082" w:rsidRDefault="007C2E69">
            <w:pPr>
              <w:pStyle w:val="TableText0"/>
              <w:cnfStyle w:val="000000000000" w:firstRow="0" w:lastRow="0" w:firstColumn="0" w:lastColumn="0" w:oddVBand="0" w:evenVBand="0" w:oddHBand="0" w:evenHBand="0" w:firstRowFirstColumn="0" w:firstRowLastColumn="0" w:lastRowFirstColumn="0" w:lastRowLastColumn="0"/>
            </w:pPr>
            <w:r w:rsidRPr="00FF2082">
              <w:lastRenderedPageBreak/>
              <w:t>The project must:</w:t>
            </w:r>
          </w:p>
          <w:p w14:paraId="24ABE7D7" w14:textId="77777777" w:rsidR="007C2E69" w:rsidRPr="00FF2082" w:rsidRDefault="007C2E69" w:rsidP="787FAC18">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rsidRPr="00FF2082">
              <w:t xml:space="preserve">be an eligible renewable energy source, as described in Section 17 of the </w:t>
            </w:r>
            <w:r w:rsidRPr="002B1194">
              <w:rPr>
                <w:b/>
                <w:i/>
              </w:rPr>
              <w:t>Renewable Energy (Electricity) Act 2000</w:t>
            </w:r>
            <w:r w:rsidRPr="00FF2082">
              <w:t xml:space="preserve"> (Commonwealth) and eligible to create large-scale generation certificates under that Act; and</w:t>
            </w:r>
          </w:p>
          <w:p w14:paraId="71E9E3B1" w14:textId="14DBCFDA" w:rsidR="007C2E69" w:rsidRPr="00DB58EF" w:rsidRDefault="007C2E69" w:rsidP="00093A57">
            <w:pPr>
              <w:pStyle w:val="TableBullet1"/>
              <w:cnfStyle w:val="000000000000" w:firstRow="0" w:lastRow="0" w:firstColumn="0" w:lastColumn="0" w:oddVBand="0" w:evenVBand="0" w:oddHBand="0" w:evenHBand="0" w:firstRowFirstColumn="0" w:firstRowLastColumn="0" w:lastRowFirstColumn="0" w:lastRowLastColumn="0"/>
            </w:pPr>
            <w:r>
              <w:t>be eligible to be registered</w:t>
            </w:r>
            <w:r w:rsidR="53A6DB42">
              <w:t xml:space="preserve"> with AEMO</w:t>
            </w:r>
            <w:r>
              <w:t xml:space="preserve"> </w:t>
            </w:r>
            <w:r w:rsidR="37393A27">
              <w:t>in the WEM</w:t>
            </w:r>
            <w:r w:rsidR="45E2D8C8">
              <w:t xml:space="preserve"> for the central dispatch process</w:t>
            </w:r>
            <w:r>
              <w:t>.</w:t>
            </w:r>
          </w:p>
          <w:p w14:paraId="34D0F8AC" w14:textId="77777777" w:rsidR="007C2E69" w:rsidRPr="001852DC" w:rsidRDefault="007C2E69">
            <w:pPr>
              <w:pStyle w:val="TableText0"/>
              <w:cnfStyle w:val="000000000000" w:firstRow="0" w:lastRow="0" w:firstColumn="0" w:lastColumn="0" w:oddVBand="0" w:evenVBand="0" w:oddHBand="0" w:evenHBand="0" w:firstRowFirstColumn="0" w:firstRowLastColumn="0" w:lastRowFirstColumn="0" w:lastRowLastColumn="0"/>
            </w:pPr>
            <w:r w:rsidRPr="001852DC">
              <w:lastRenderedPageBreak/>
              <w:t xml:space="preserve">Projects that: </w:t>
            </w:r>
          </w:p>
          <w:p w14:paraId="4FE0A7FD" w14:textId="77777777" w:rsidR="007C2E69" w:rsidRPr="001852DC" w:rsidRDefault="007C2E69" w:rsidP="00093A57">
            <w:pPr>
              <w:pStyle w:val="TableBullet1"/>
              <w:cnfStyle w:val="000000000000" w:firstRow="0" w:lastRow="0" w:firstColumn="0" w:lastColumn="0" w:oddVBand="0" w:evenVBand="0" w:oddHBand="0" w:evenHBand="0" w:firstRowFirstColumn="0" w:firstRowLastColumn="0" w:lastRowFirstColumn="0" w:lastRowLastColumn="0"/>
              <w:rPr>
                <w:b/>
              </w:rPr>
            </w:pPr>
            <w:r w:rsidRPr="001852DC">
              <w:t>use native forest wood waste are not eligible.</w:t>
            </w:r>
          </w:p>
        </w:tc>
      </w:tr>
    </w:tbl>
    <w:p w14:paraId="7DEF3D5B" w14:textId="77777777" w:rsidR="00305AC6" w:rsidRDefault="00305AC6" w:rsidP="00D00792">
      <w:pPr>
        <w:rPr>
          <w:lang w:val="en-GB" w:eastAsia="en-AU"/>
        </w:rPr>
      </w:pPr>
    </w:p>
    <w:p w14:paraId="305AF6DC" w14:textId="45663AEC" w:rsidR="00D00792" w:rsidRPr="00D00792" w:rsidRDefault="00D00792" w:rsidP="00D00792">
      <w:pPr>
        <w:rPr>
          <w:lang w:val="en-GB" w:eastAsia="en-AU"/>
        </w:rPr>
      </w:pPr>
      <w:r>
        <w:rPr>
          <w:lang w:val="en-GB" w:eastAsia="en-AU"/>
        </w:rPr>
        <w:t xml:space="preserve">To meet the reliability objectives, projects will be expected to meet </w:t>
      </w:r>
      <w:r w:rsidR="00C009AF">
        <w:rPr>
          <w:lang w:val="en-GB" w:eastAsia="en-AU"/>
        </w:rPr>
        <w:t>the same minimum standards for Capacity Credit eligibility that are stipulated in the WEM Rules. For example:</w:t>
      </w:r>
    </w:p>
    <w:p w14:paraId="47D30BAE" w14:textId="32D582BB" w:rsidR="00FE3F29" w:rsidRDefault="00150B1F" w:rsidP="00C009AF">
      <w:pPr>
        <w:pStyle w:val="ListParagraph"/>
        <w:numPr>
          <w:ilvl w:val="0"/>
          <w:numId w:val="15"/>
        </w:numPr>
        <w:rPr>
          <w:lang w:val="en-GB" w:eastAsia="en-AU"/>
        </w:rPr>
      </w:pPr>
      <w:r>
        <w:rPr>
          <w:lang w:val="en-GB" w:eastAsia="en-AU"/>
        </w:rPr>
        <w:t xml:space="preserve">storage projects will be assessed according to their ability </w:t>
      </w:r>
      <w:r w:rsidR="008A679E">
        <w:rPr>
          <w:lang w:val="en-GB" w:eastAsia="en-AU"/>
        </w:rPr>
        <w:t xml:space="preserve">to supply to the grid over the </w:t>
      </w:r>
      <w:r w:rsidR="007C2E69">
        <w:rPr>
          <w:lang w:val="en-GB" w:eastAsia="en-AU"/>
        </w:rPr>
        <w:t>Electric Storage Resource (</w:t>
      </w:r>
      <w:r w:rsidR="00D87766">
        <w:rPr>
          <w:lang w:val="en-GB" w:eastAsia="en-AU"/>
        </w:rPr>
        <w:t>ESR</w:t>
      </w:r>
      <w:r w:rsidR="007C2E69">
        <w:rPr>
          <w:lang w:val="en-GB" w:eastAsia="en-AU"/>
        </w:rPr>
        <w:t>)</w:t>
      </w:r>
      <w:r w:rsidR="00D87766">
        <w:rPr>
          <w:lang w:val="en-GB" w:eastAsia="en-AU"/>
        </w:rPr>
        <w:t xml:space="preserve"> D</w:t>
      </w:r>
      <w:r w:rsidR="008A679E">
        <w:rPr>
          <w:lang w:val="en-GB" w:eastAsia="en-AU"/>
        </w:rPr>
        <w:t xml:space="preserve">uration </w:t>
      </w:r>
      <w:r w:rsidR="00D87766">
        <w:rPr>
          <w:lang w:val="en-GB" w:eastAsia="en-AU"/>
        </w:rPr>
        <w:t>Requirement</w:t>
      </w:r>
      <w:r w:rsidR="00335B59">
        <w:rPr>
          <w:rStyle w:val="FootnoteReference"/>
          <w:lang w:val="en-GB" w:eastAsia="en-AU"/>
        </w:rPr>
        <w:footnoteReference w:id="18"/>
      </w:r>
      <w:r w:rsidR="008A679E">
        <w:rPr>
          <w:lang w:val="en-GB" w:eastAsia="en-AU"/>
        </w:rPr>
        <w:t xml:space="preserve">; </w:t>
      </w:r>
      <w:r w:rsidR="00441F17">
        <w:rPr>
          <w:lang w:val="en-GB" w:eastAsia="en-AU"/>
        </w:rPr>
        <w:t>and</w:t>
      </w:r>
    </w:p>
    <w:p w14:paraId="75BDD00C" w14:textId="080E6E5F" w:rsidR="00AB4890" w:rsidRDefault="00AB4890" w:rsidP="00AB4890">
      <w:r>
        <w:t>Thermal generation such as coal and gas is not eligible for the CIS. Projects using fuel where coal or gas form a part of the blended fuel will also not be eligible.</w:t>
      </w:r>
    </w:p>
    <w:p w14:paraId="2185942B" w14:textId="1CE60241" w:rsidR="00164B39" w:rsidRDefault="0014424F" w:rsidP="00405FCC">
      <w:pPr>
        <w:rPr>
          <w:lang w:val="en-GB" w:eastAsia="en-AU"/>
        </w:rPr>
      </w:pPr>
      <w:r>
        <w:t xml:space="preserve">A hybrid project is one that comprises two or more </w:t>
      </w:r>
      <w:r w:rsidR="00052958">
        <w:t xml:space="preserve">co-located </w:t>
      </w:r>
      <w:r>
        <w:t xml:space="preserve">Facility Technology Types, as defined in </w:t>
      </w:r>
      <w:r w:rsidR="001B769F">
        <w:t>the WEM Rules</w:t>
      </w:r>
      <w:r w:rsidR="00CE11F7">
        <w:t xml:space="preserve">. </w:t>
      </w:r>
      <w:r w:rsidR="00CE11F7">
        <w:rPr>
          <w:lang w:val="en-GB" w:eastAsia="en-AU"/>
        </w:rPr>
        <w:t xml:space="preserve">Hybrid projects will be able to participate in </w:t>
      </w:r>
      <w:r w:rsidR="00164B39">
        <w:rPr>
          <w:lang w:val="en-GB" w:eastAsia="en-AU"/>
        </w:rPr>
        <w:t>the CIS</w:t>
      </w:r>
      <w:r w:rsidR="00F7091C">
        <w:rPr>
          <w:lang w:val="en-GB" w:eastAsia="en-AU"/>
        </w:rPr>
        <w:t xml:space="preserve"> as follows</w:t>
      </w:r>
      <w:r w:rsidR="00164B39">
        <w:rPr>
          <w:lang w:val="en-GB" w:eastAsia="en-AU"/>
        </w:rPr>
        <w:t>:</w:t>
      </w:r>
    </w:p>
    <w:p w14:paraId="64457B10" w14:textId="3CCF6CC9" w:rsidR="002B7836" w:rsidRDefault="00D74477" w:rsidP="005F7B30">
      <w:pPr>
        <w:pStyle w:val="ListParagraph"/>
        <w:numPr>
          <w:ilvl w:val="0"/>
          <w:numId w:val="15"/>
        </w:numPr>
        <w:rPr>
          <w:lang w:val="en-GB" w:eastAsia="en-AU"/>
        </w:rPr>
      </w:pPr>
      <w:r w:rsidRPr="25C80561">
        <w:rPr>
          <w:lang w:val="en-GB" w:eastAsia="en-AU"/>
        </w:rPr>
        <w:t xml:space="preserve">A CISA </w:t>
      </w:r>
      <w:r w:rsidR="002E15B2" w:rsidRPr="25C80561">
        <w:rPr>
          <w:lang w:val="en-GB" w:eastAsia="en-AU"/>
        </w:rPr>
        <w:t xml:space="preserve">can apply to </w:t>
      </w:r>
      <w:proofErr w:type="gramStart"/>
      <w:r w:rsidR="002E15B2" w:rsidRPr="25C80561">
        <w:rPr>
          <w:lang w:val="en-GB" w:eastAsia="en-AU"/>
        </w:rPr>
        <w:t>all of</w:t>
      </w:r>
      <w:proofErr w:type="gramEnd"/>
      <w:r w:rsidR="002E15B2" w:rsidRPr="25C80561">
        <w:rPr>
          <w:lang w:val="en-GB" w:eastAsia="en-AU"/>
        </w:rPr>
        <w:t xml:space="preserve"> the components (Facility Technology Types) of</w:t>
      </w:r>
      <w:r w:rsidR="000D54BD" w:rsidRPr="25C80561">
        <w:rPr>
          <w:lang w:val="en-GB" w:eastAsia="en-AU"/>
        </w:rPr>
        <w:t xml:space="preserve"> a </w:t>
      </w:r>
      <w:r w:rsidR="00490889" w:rsidRPr="25C80561">
        <w:rPr>
          <w:lang w:val="en-GB" w:eastAsia="en-AU"/>
        </w:rPr>
        <w:t>hybrid project</w:t>
      </w:r>
      <w:r w:rsidR="002B7836" w:rsidRPr="25C80561">
        <w:rPr>
          <w:lang w:val="en-GB" w:eastAsia="en-AU"/>
        </w:rPr>
        <w:t>.</w:t>
      </w:r>
    </w:p>
    <w:p w14:paraId="1C91F889" w14:textId="3EF13CD9" w:rsidR="00164B39" w:rsidRDefault="00656289" w:rsidP="005F7B30">
      <w:pPr>
        <w:pStyle w:val="ListParagraph"/>
        <w:numPr>
          <w:ilvl w:val="0"/>
          <w:numId w:val="15"/>
        </w:numPr>
        <w:rPr>
          <w:lang w:val="en-GB" w:eastAsia="en-AU"/>
        </w:rPr>
      </w:pPr>
      <w:r>
        <w:rPr>
          <w:lang w:val="en-GB" w:eastAsia="en-AU"/>
        </w:rPr>
        <w:t xml:space="preserve">Each Facility Technology Type must be a </w:t>
      </w:r>
      <w:r w:rsidR="00E058ED">
        <w:rPr>
          <w:lang w:val="en-GB" w:eastAsia="en-AU"/>
        </w:rPr>
        <w:t xml:space="preserve">Separately Certified </w:t>
      </w:r>
      <w:r w:rsidR="002F1C71">
        <w:rPr>
          <w:lang w:val="en-GB" w:eastAsia="en-AU"/>
        </w:rPr>
        <w:t xml:space="preserve">Component </w:t>
      </w:r>
      <w:r w:rsidR="00AB799F">
        <w:rPr>
          <w:lang w:val="en-GB" w:eastAsia="en-AU"/>
        </w:rPr>
        <w:t xml:space="preserve">under the RCM and the </w:t>
      </w:r>
      <w:proofErr w:type="gramStart"/>
      <w:r w:rsidR="00AB799F">
        <w:rPr>
          <w:lang w:val="en-GB" w:eastAsia="en-AU"/>
        </w:rPr>
        <w:t xml:space="preserve">WEM Rules, </w:t>
      </w:r>
      <w:r w:rsidR="002F1C71">
        <w:rPr>
          <w:lang w:val="en-GB" w:eastAsia="en-AU"/>
        </w:rPr>
        <w:t>and</w:t>
      </w:r>
      <w:proofErr w:type="gramEnd"/>
      <w:r w:rsidR="002F1C71">
        <w:rPr>
          <w:lang w:val="en-GB" w:eastAsia="en-AU"/>
        </w:rPr>
        <w:t xml:space="preserve"> receive Capacity Credits</w:t>
      </w:r>
      <w:r w:rsidR="00164B39">
        <w:rPr>
          <w:lang w:val="en-GB" w:eastAsia="en-AU"/>
        </w:rPr>
        <w:t>.</w:t>
      </w:r>
    </w:p>
    <w:p w14:paraId="1616730F" w14:textId="27EDEC62" w:rsidR="006D207D" w:rsidRDefault="002F1C71" w:rsidP="005F7B30">
      <w:pPr>
        <w:pStyle w:val="ListParagraph"/>
        <w:numPr>
          <w:ilvl w:val="0"/>
          <w:numId w:val="15"/>
        </w:numPr>
        <w:rPr>
          <w:lang w:val="en-GB" w:eastAsia="en-AU"/>
        </w:rPr>
      </w:pPr>
      <w:r>
        <w:rPr>
          <w:lang w:val="en-GB" w:eastAsia="en-AU"/>
        </w:rPr>
        <w:t xml:space="preserve">Hybrid projects </w:t>
      </w:r>
      <w:r w:rsidR="006D207D">
        <w:rPr>
          <w:lang w:val="en-GB" w:eastAsia="en-AU"/>
        </w:rPr>
        <w:t xml:space="preserve">that include </w:t>
      </w:r>
      <w:r w:rsidR="00AF4564">
        <w:rPr>
          <w:lang w:val="en-GB" w:eastAsia="en-AU"/>
        </w:rPr>
        <w:t>one or more</w:t>
      </w:r>
      <w:r w:rsidR="006D207D">
        <w:rPr>
          <w:lang w:val="en-GB" w:eastAsia="en-AU"/>
        </w:rPr>
        <w:t xml:space="preserve"> Intermittent Generation System</w:t>
      </w:r>
      <w:r w:rsidR="00AF4564">
        <w:rPr>
          <w:lang w:val="en-GB" w:eastAsia="en-AU"/>
        </w:rPr>
        <w:t>s</w:t>
      </w:r>
      <w:r w:rsidR="006D207D">
        <w:rPr>
          <w:lang w:val="en-GB" w:eastAsia="en-AU"/>
        </w:rPr>
        <w:t xml:space="preserve"> will only be eligible </w:t>
      </w:r>
      <w:r w:rsidR="00646A7A">
        <w:rPr>
          <w:lang w:val="en-GB" w:eastAsia="en-AU"/>
        </w:rPr>
        <w:t xml:space="preserve">for </w:t>
      </w:r>
      <w:r w:rsidR="006D207D">
        <w:rPr>
          <w:lang w:val="en-GB" w:eastAsia="en-AU"/>
        </w:rPr>
        <w:t>the Generation CISA</w:t>
      </w:r>
      <w:r w:rsidR="00646A7A">
        <w:rPr>
          <w:rStyle w:val="FootnoteReference"/>
          <w:lang w:val="en-GB" w:eastAsia="en-AU"/>
        </w:rPr>
        <w:footnoteReference w:id="19"/>
      </w:r>
      <w:r w:rsidR="006D207D">
        <w:rPr>
          <w:lang w:val="en-GB" w:eastAsia="en-AU"/>
        </w:rPr>
        <w:t>.</w:t>
      </w:r>
    </w:p>
    <w:p w14:paraId="26F85B1D" w14:textId="47B82460" w:rsidR="00164B39" w:rsidRDefault="00000304" w:rsidP="005F7B30">
      <w:pPr>
        <w:pStyle w:val="ListParagraph"/>
        <w:numPr>
          <w:ilvl w:val="0"/>
          <w:numId w:val="15"/>
        </w:numPr>
        <w:rPr>
          <w:lang w:val="en-GB" w:eastAsia="en-AU"/>
        </w:rPr>
      </w:pPr>
      <w:r>
        <w:rPr>
          <w:lang w:val="en-GB" w:eastAsia="en-AU"/>
        </w:rPr>
        <w:t xml:space="preserve">Hybrid projects that include only clean dispatchable technologies (e.g., solar thermal and battery storage) </w:t>
      </w:r>
      <w:r w:rsidR="003B1F8C">
        <w:rPr>
          <w:lang w:val="en-GB" w:eastAsia="en-AU"/>
        </w:rPr>
        <w:t>will be eligible for the Clean Dispatchable CISA</w:t>
      </w:r>
      <w:r w:rsidR="00164B39">
        <w:rPr>
          <w:lang w:val="en-GB" w:eastAsia="en-AU"/>
        </w:rPr>
        <w:t>.</w:t>
      </w:r>
    </w:p>
    <w:p w14:paraId="20CC3BFB" w14:textId="1045D515" w:rsidR="00164B39" w:rsidRDefault="00164B39" w:rsidP="00164B39">
      <w:pPr>
        <w:rPr>
          <w:lang w:val="en-GB" w:eastAsia="en-AU"/>
        </w:rPr>
      </w:pPr>
      <w:r>
        <w:rPr>
          <w:lang w:val="en-GB" w:eastAsia="en-AU"/>
        </w:rPr>
        <w:t xml:space="preserve">For clarity, projects that combine multiple generation assets (e.g., wind and solar), or multiple energy storage assets (e.g., </w:t>
      </w:r>
      <w:bookmarkStart w:id="122" w:name="_Int_nMR17z5i"/>
      <w:r>
        <w:rPr>
          <w:lang w:val="en-GB" w:eastAsia="en-AU"/>
        </w:rPr>
        <w:t>BESS</w:t>
      </w:r>
      <w:bookmarkEnd w:id="122"/>
      <w:r>
        <w:rPr>
          <w:lang w:val="en-GB" w:eastAsia="en-AU"/>
        </w:rPr>
        <w:t xml:space="preserve"> and pumped hydro), that share a common connection point are not expected to be considered a hybrid project</w:t>
      </w:r>
      <w:r w:rsidR="005E54FD">
        <w:rPr>
          <w:lang w:val="en-GB" w:eastAsia="en-AU"/>
        </w:rPr>
        <w:t xml:space="preserve"> for the purposes of the CIS</w:t>
      </w:r>
      <w:r>
        <w:rPr>
          <w:lang w:val="en-GB" w:eastAsia="en-AU"/>
        </w:rPr>
        <w:t>. Instead, these projects will be treated as either a single generation or clean dispatchable project for assessment and contracting.</w:t>
      </w:r>
    </w:p>
    <w:p w14:paraId="22715C74" w14:textId="7E586504" w:rsidR="00410EBC" w:rsidRDefault="00164B39" w:rsidP="00164B39">
      <w:r>
        <w:t xml:space="preserve">The </w:t>
      </w:r>
      <w:r w:rsidR="003F3EF9">
        <w:t>G</w:t>
      </w:r>
      <w:r>
        <w:t>eneration CISA will accommodate multiple hybrid contract configurations and may require amendments and additional obligations to enable novel hybrid project configurations.</w:t>
      </w:r>
      <w:r w:rsidR="00DA2288">
        <w:t xml:space="preserve"> </w:t>
      </w:r>
    </w:p>
    <w:p w14:paraId="28A70124" w14:textId="20284B1B" w:rsidR="00E62348" w:rsidRPr="00AB4890" w:rsidRDefault="00E62348" w:rsidP="00A46610">
      <w:pPr>
        <w:rPr>
          <w:lang w:val="en-GB" w:eastAsia="en-AU"/>
        </w:rPr>
      </w:pPr>
      <w:r>
        <w:t xml:space="preserve">Proponents may also submit tenders in respect of </w:t>
      </w:r>
      <w:r w:rsidR="00A46610">
        <w:t xml:space="preserve">expansion projects to existing storage or generation assets, or the addition of new storage or generation assets to existing </w:t>
      </w:r>
      <w:r w:rsidR="00733501">
        <w:t>facilities</w:t>
      </w:r>
      <w:r w:rsidR="00A46610">
        <w:t>.</w:t>
      </w:r>
    </w:p>
    <w:p w14:paraId="5A50ECAF" w14:textId="44D62001" w:rsidR="007E15D3" w:rsidRPr="006D7828" w:rsidRDefault="009E4D0B" w:rsidP="00093A57">
      <w:pPr>
        <w:pStyle w:val="Heading3"/>
      </w:pPr>
      <w:bookmarkStart w:id="123" w:name="_Toc161385861"/>
      <w:bookmarkStart w:id="124" w:name="_Toc161388248"/>
      <w:bookmarkStart w:id="125" w:name="_Toc161388548"/>
      <w:r w:rsidRPr="006D7828">
        <w:t xml:space="preserve">Expected development status of connection </w:t>
      </w:r>
      <w:proofErr w:type="gramStart"/>
      <w:r w:rsidRPr="006D7828">
        <w:t>approvals</w:t>
      </w:r>
      <w:bookmarkEnd w:id="123"/>
      <w:bookmarkEnd w:id="124"/>
      <w:bookmarkEnd w:id="125"/>
      <w:proofErr w:type="gramEnd"/>
    </w:p>
    <w:p w14:paraId="19414FD1" w14:textId="4D369889" w:rsidR="009533FB" w:rsidRPr="00FA1903" w:rsidRDefault="007E15D3" w:rsidP="00C85352">
      <w:r w:rsidRPr="00FA1903">
        <w:t xml:space="preserve">It is expected that </w:t>
      </w:r>
      <w:r w:rsidR="00D53672">
        <w:t xml:space="preserve">projects will have made </w:t>
      </w:r>
      <w:r w:rsidR="009D6E5A">
        <w:t>progress towards obtaining connection approval</w:t>
      </w:r>
      <w:r w:rsidR="004C7B42">
        <w:t xml:space="preserve"> [upon application to participate in the CIS]</w:t>
      </w:r>
      <w:r w:rsidR="009D6E5A">
        <w:t xml:space="preserve">. </w:t>
      </w:r>
      <w:r w:rsidR="004C7B42">
        <w:t>To be regarded as having made such progress, the proponent for the relevant p</w:t>
      </w:r>
      <w:r w:rsidR="009D6E5A">
        <w:t xml:space="preserve">rojects must: </w:t>
      </w:r>
      <w:r w:rsidR="000D231D">
        <w:t>have received a response to a con</w:t>
      </w:r>
      <w:r w:rsidR="00D50C6A">
        <w:t xml:space="preserve">nection enquiry, or have </w:t>
      </w:r>
      <w:proofErr w:type="gramStart"/>
      <w:r w:rsidR="00CC2B25">
        <w:t>entered into</w:t>
      </w:r>
      <w:proofErr w:type="gramEnd"/>
      <w:r w:rsidR="00CC2B25">
        <w:t xml:space="preserve"> an access contract</w:t>
      </w:r>
      <w:r w:rsidR="00A01F08">
        <w:t>, or be seeking to modify an existing access contract</w:t>
      </w:r>
      <w:r w:rsidR="00B974A4">
        <w:t xml:space="preserve">. </w:t>
      </w:r>
      <w:r w:rsidR="00F2042D">
        <w:t xml:space="preserve">If the proponent does not meet </w:t>
      </w:r>
      <w:r w:rsidR="00F2042D">
        <w:lastRenderedPageBreak/>
        <w:t>the above criteria</w:t>
      </w:r>
      <w:r w:rsidR="002A7B84">
        <w:t>, they must establish to the Tender Delivery Partner</w:t>
      </w:r>
      <w:r w:rsidR="00131CCF">
        <w:t>’s satisfaction that they are highly likely to satisfy one of these criteria</w:t>
      </w:r>
      <w:r w:rsidR="009531F9">
        <w:t xml:space="preserve"> within a reasonable </w:t>
      </w:r>
      <w:proofErr w:type="gramStart"/>
      <w:r w:rsidR="009531F9">
        <w:t>period of time</w:t>
      </w:r>
      <w:proofErr w:type="gramEnd"/>
      <w:r w:rsidR="009531F9">
        <w:t>.</w:t>
      </w:r>
    </w:p>
    <w:p w14:paraId="1588110F" w14:textId="0944D52E" w:rsidR="007E15D3" w:rsidRPr="00751CBA" w:rsidRDefault="007E15D3" w:rsidP="00093A57">
      <w:pPr>
        <w:pStyle w:val="Heading3"/>
      </w:pPr>
      <w:bookmarkStart w:id="126" w:name="_Toc161385862"/>
      <w:bookmarkStart w:id="127" w:name="_Toc161388249"/>
      <w:bookmarkStart w:id="128" w:name="_Toc161388549"/>
      <w:r w:rsidRPr="00751CBA">
        <w:t>Participation in other schemes</w:t>
      </w:r>
      <w:bookmarkEnd w:id="126"/>
      <w:bookmarkEnd w:id="127"/>
      <w:bookmarkEnd w:id="128"/>
    </w:p>
    <w:p w14:paraId="20031BE2" w14:textId="3771E118" w:rsidR="007E15D3" w:rsidRDefault="007E15D3" w:rsidP="007E15D3">
      <w:pPr>
        <w:rPr>
          <w:lang w:val="en-GB" w:eastAsia="en-AU"/>
        </w:rPr>
      </w:pPr>
      <w:r w:rsidRPr="00DE5443">
        <w:rPr>
          <w:lang w:val="en-GB" w:eastAsia="en-AU"/>
        </w:rPr>
        <w:t xml:space="preserve">Projects that are already, or will be, in receipt of revenue support from </w:t>
      </w:r>
      <w:r w:rsidR="000E44AB" w:rsidRPr="00DE5443">
        <w:rPr>
          <w:lang w:val="en-GB" w:eastAsia="en-AU"/>
        </w:rPr>
        <w:t>either the</w:t>
      </w:r>
      <w:r w:rsidRPr="00DE5443">
        <w:rPr>
          <w:lang w:val="en-GB" w:eastAsia="en-AU"/>
        </w:rPr>
        <w:t xml:space="preserve"> </w:t>
      </w:r>
      <w:r w:rsidR="00A21E73">
        <w:rPr>
          <w:lang w:val="en-GB" w:eastAsia="en-AU"/>
        </w:rPr>
        <w:t xml:space="preserve">Australian </w:t>
      </w:r>
      <w:r w:rsidRPr="00DE5443">
        <w:rPr>
          <w:lang w:val="en-GB" w:eastAsia="en-AU"/>
        </w:rPr>
        <w:t xml:space="preserve">or </w:t>
      </w:r>
      <w:r w:rsidR="00DE5443" w:rsidRPr="00DE5443">
        <w:rPr>
          <w:lang w:val="en-GB" w:eastAsia="en-AU"/>
        </w:rPr>
        <w:t>WA</w:t>
      </w:r>
      <w:r w:rsidRPr="00DE5443">
        <w:rPr>
          <w:lang w:val="en-GB" w:eastAsia="en-AU"/>
        </w:rPr>
        <w:t xml:space="preserve"> </w:t>
      </w:r>
      <w:r w:rsidR="00B82F08">
        <w:rPr>
          <w:lang w:val="en-GB" w:eastAsia="en-AU"/>
        </w:rPr>
        <w:t>G</w:t>
      </w:r>
      <w:r w:rsidRPr="00DE5443">
        <w:rPr>
          <w:lang w:val="en-GB" w:eastAsia="en-AU"/>
        </w:rPr>
        <w:t>overnment</w:t>
      </w:r>
      <w:r w:rsidR="00B82F08">
        <w:rPr>
          <w:lang w:val="en-GB" w:eastAsia="en-AU"/>
        </w:rPr>
        <w:t>s</w:t>
      </w:r>
      <w:r w:rsidRPr="00DE5443">
        <w:rPr>
          <w:lang w:val="en-GB" w:eastAsia="en-AU"/>
        </w:rPr>
        <w:t xml:space="preserve"> will not be eligible for the CIS tenders. This is distinct from public ownership</w:t>
      </w:r>
      <w:r w:rsidR="00BF08F0" w:rsidRPr="00DE5443">
        <w:rPr>
          <w:lang w:val="en-GB" w:eastAsia="en-AU"/>
        </w:rPr>
        <w:t>,</w:t>
      </w:r>
      <w:r w:rsidRPr="00DE5443">
        <w:rPr>
          <w:lang w:val="en-GB" w:eastAsia="en-AU"/>
        </w:rPr>
        <w:t xml:space="preserve"> which is not a disqualifying criterion under the CIS. Revenue support refers to periodic and/or ongoing payments that are of a similar nature to </w:t>
      </w:r>
      <w:r w:rsidR="003B67F8">
        <w:rPr>
          <w:lang w:val="en-GB" w:eastAsia="en-AU"/>
        </w:rPr>
        <w:t>funding available under a</w:t>
      </w:r>
      <w:r w:rsidRPr="00DE5443">
        <w:rPr>
          <w:lang w:val="en-GB" w:eastAsia="en-AU"/>
        </w:rPr>
        <w:t xml:space="preserve"> CIS product.</w:t>
      </w:r>
    </w:p>
    <w:p w14:paraId="052DCF60" w14:textId="5FF82510" w:rsidR="00C4071B" w:rsidRPr="00DE5443" w:rsidRDefault="00C4071B" w:rsidP="007E15D3">
      <w:pPr>
        <w:rPr>
          <w:lang w:val="en-GB" w:eastAsia="en-AU"/>
        </w:rPr>
      </w:pPr>
      <w:r>
        <w:rPr>
          <w:lang w:val="en-GB" w:eastAsia="en-AU"/>
        </w:rPr>
        <w:t>Projects</w:t>
      </w:r>
      <w:r w:rsidR="00ED6314">
        <w:rPr>
          <w:lang w:val="en-GB" w:eastAsia="en-AU"/>
        </w:rPr>
        <w:t xml:space="preserve"> that </w:t>
      </w:r>
      <w:r w:rsidR="00F15313">
        <w:rPr>
          <w:lang w:val="en-GB" w:eastAsia="en-AU"/>
        </w:rPr>
        <w:t xml:space="preserve">have </w:t>
      </w:r>
      <w:proofErr w:type="gramStart"/>
      <w:r w:rsidR="00F15313">
        <w:rPr>
          <w:lang w:val="en-GB" w:eastAsia="en-AU"/>
        </w:rPr>
        <w:t>entered into</w:t>
      </w:r>
      <w:proofErr w:type="gramEnd"/>
      <w:r w:rsidR="00F15313">
        <w:rPr>
          <w:lang w:val="en-GB" w:eastAsia="en-AU"/>
        </w:rPr>
        <w:t xml:space="preserve"> </w:t>
      </w:r>
      <w:r w:rsidR="00210D34">
        <w:rPr>
          <w:lang w:val="en-GB" w:eastAsia="en-AU"/>
        </w:rPr>
        <w:t>a contract</w:t>
      </w:r>
      <w:r w:rsidR="00340F6C">
        <w:rPr>
          <w:lang w:val="en-GB" w:eastAsia="en-AU"/>
        </w:rPr>
        <w:t xml:space="preserve"> with AEMO </w:t>
      </w:r>
      <w:r w:rsidR="00210D34">
        <w:rPr>
          <w:lang w:val="en-GB" w:eastAsia="en-AU"/>
        </w:rPr>
        <w:t>under the Non-Co-optimised Essential System Services (NCESS) framework</w:t>
      </w:r>
      <w:r w:rsidR="00340F6C">
        <w:rPr>
          <w:lang w:val="en-GB" w:eastAsia="en-AU"/>
        </w:rPr>
        <w:t xml:space="preserve"> prior to their commercial operation are not expected to be eligible </w:t>
      </w:r>
      <w:r w:rsidR="00923AAD">
        <w:rPr>
          <w:lang w:val="en-GB" w:eastAsia="en-AU"/>
        </w:rPr>
        <w:t>for CIS tenders.</w:t>
      </w:r>
    </w:p>
    <w:p w14:paraId="32516B41" w14:textId="39AF577D" w:rsidR="007E15D3" w:rsidRPr="00A95099" w:rsidRDefault="007E15D3" w:rsidP="007E15D3">
      <w:pPr>
        <w:rPr>
          <w:lang w:val="en-GB" w:eastAsia="en-AU"/>
        </w:rPr>
      </w:pPr>
      <w:r w:rsidRPr="00A95099">
        <w:rPr>
          <w:lang w:val="en-GB" w:eastAsia="en-AU"/>
        </w:rPr>
        <w:t xml:space="preserve">The purpose of this eligibility requirement is to ensure that projects do not access duplicate sources of government support. The following forms of support are not expected to be considered revenue support, and projects in receipt of these forms of support will remain eligible for CIS tenders: </w:t>
      </w:r>
    </w:p>
    <w:p w14:paraId="788C7D01" w14:textId="77BE87B4" w:rsidR="007E15D3" w:rsidRPr="00A95099" w:rsidRDefault="007E15D3" w:rsidP="007E15D3">
      <w:pPr>
        <w:pStyle w:val="ListParagraph"/>
        <w:numPr>
          <w:ilvl w:val="0"/>
          <w:numId w:val="17"/>
        </w:numPr>
        <w:rPr>
          <w:lang w:val="en-GB" w:eastAsia="en-AU"/>
        </w:rPr>
      </w:pPr>
      <w:r w:rsidRPr="00A95099">
        <w:rPr>
          <w:lang w:val="en-GB" w:eastAsia="en-AU"/>
        </w:rPr>
        <w:t>certificates created under a</w:t>
      </w:r>
      <w:r w:rsidR="007F4C73">
        <w:rPr>
          <w:lang w:val="en-GB" w:eastAsia="en-AU"/>
        </w:rPr>
        <w:t>n Australian Government</w:t>
      </w:r>
      <w:r w:rsidRPr="00A95099">
        <w:rPr>
          <w:lang w:val="en-GB" w:eastAsia="en-AU"/>
        </w:rPr>
        <w:t xml:space="preserve"> certificate scheme, including large-scale generation certificates (LGCs) received through participation in the Renewable Energy Certificate Market</w:t>
      </w:r>
      <w:r w:rsidR="007801AD">
        <w:rPr>
          <w:lang w:val="en-GB" w:eastAsia="en-AU"/>
        </w:rPr>
        <w:t xml:space="preserve"> and the</w:t>
      </w:r>
      <w:r w:rsidR="009F1C10">
        <w:rPr>
          <w:lang w:val="en-GB" w:eastAsia="en-AU"/>
        </w:rPr>
        <w:t xml:space="preserve"> Renewable Energy Guarantee of Origin (REGO) scheme</w:t>
      </w:r>
      <w:proofErr w:type="gramStart"/>
      <w:r w:rsidR="009F1C10" w:rsidRPr="00637EE9">
        <w:rPr>
          <w:lang w:val="en-GB" w:eastAsia="en-AU"/>
        </w:rPr>
        <w:t>.</w:t>
      </w:r>
      <w:r w:rsidRPr="00A95099">
        <w:rPr>
          <w:lang w:val="en-GB" w:eastAsia="en-AU"/>
        </w:rPr>
        <w:t>;</w:t>
      </w:r>
      <w:proofErr w:type="gramEnd"/>
      <w:r w:rsidRPr="00A95099">
        <w:rPr>
          <w:lang w:val="en-GB" w:eastAsia="en-AU"/>
        </w:rPr>
        <w:t xml:space="preserve"> </w:t>
      </w:r>
    </w:p>
    <w:p w14:paraId="40A4967F" w14:textId="7296294B" w:rsidR="007E15D3" w:rsidRPr="00A95099" w:rsidRDefault="007E15D3" w:rsidP="007E15D3">
      <w:pPr>
        <w:pStyle w:val="ListParagraph"/>
        <w:numPr>
          <w:ilvl w:val="0"/>
          <w:numId w:val="17"/>
        </w:numPr>
        <w:rPr>
          <w:lang w:val="en-GB" w:eastAsia="en-AU"/>
        </w:rPr>
      </w:pPr>
      <w:r w:rsidRPr="00A95099">
        <w:rPr>
          <w:lang w:val="en-GB" w:eastAsia="en-AU"/>
        </w:rPr>
        <w:t xml:space="preserve">Capacity Credits assigned through the </w:t>
      </w:r>
      <w:proofErr w:type="gramStart"/>
      <w:r w:rsidRPr="00A95099">
        <w:rPr>
          <w:lang w:val="en-GB" w:eastAsia="en-AU"/>
        </w:rPr>
        <w:t>RCM</w:t>
      </w:r>
      <w:r w:rsidR="00CE19A0">
        <w:rPr>
          <w:lang w:val="en-GB" w:eastAsia="en-AU"/>
        </w:rPr>
        <w:t>;</w:t>
      </w:r>
      <w:proofErr w:type="gramEnd"/>
    </w:p>
    <w:p w14:paraId="052E636D" w14:textId="7C5F8EE1" w:rsidR="007E15D3" w:rsidRPr="00CE19A0" w:rsidRDefault="007E15D3" w:rsidP="007E15D3">
      <w:pPr>
        <w:pStyle w:val="ListParagraph"/>
        <w:numPr>
          <w:ilvl w:val="0"/>
          <w:numId w:val="17"/>
        </w:numPr>
        <w:rPr>
          <w:lang w:val="en-GB" w:eastAsia="en-AU"/>
        </w:rPr>
      </w:pPr>
      <w:r w:rsidRPr="00CE19A0">
        <w:rPr>
          <w:lang w:val="en-GB" w:eastAsia="en-AU"/>
        </w:rPr>
        <w:t>investment received from a Commonwealth or State government body (e.g.</w:t>
      </w:r>
      <w:r w:rsidR="00CE19A0" w:rsidRPr="00CE19A0">
        <w:rPr>
          <w:lang w:val="en-GB" w:eastAsia="en-AU"/>
        </w:rPr>
        <w:t>,</w:t>
      </w:r>
      <w:r w:rsidRPr="00CE19A0">
        <w:rPr>
          <w:lang w:val="en-GB" w:eastAsia="en-AU"/>
        </w:rPr>
        <w:t xml:space="preserve"> the CEFC</w:t>
      </w:r>
      <w:proofErr w:type="gramStart"/>
      <w:r w:rsidRPr="00CE19A0">
        <w:rPr>
          <w:lang w:val="en-GB" w:eastAsia="en-AU"/>
        </w:rPr>
        <w:t>);</w:t>
      </w:r>
      <w:proofErr w:type="gramEnd"/>
      <w:r w:rsidRPr="00CE19A0">
        <w:rPr>
          <w:lang w:val="en-GB" w:eastAsia="en-AU"/>
        </w:rPr>
        <w:t xml:space="preserve"> </w:t>
      </w:r>
    </w:p>
    <w:p w14:paraId="5FA9058B" w14:textId="31A1A3AE" w:rsidR="007E15D3" w:rsidRPr="00CE19A0" w:rsidRDefault="007E15D3" w:rsidP="007E15D3">
      <w:pPr>
        <w:pStyle w:val="ListParagraph"/>
        <w:numPr>
          <w:ilvl w:val="0"/>
          <w:numId w:val="17"/>
        </w:numPr>
        <w:rPr>
          <w:lang w:val="en-GB" w:eastAsia="en-AU"/>
        </w:rPr>
      </w:pPr>
      <w:r w:rsidRPr="00CE19A0">
        <w:rPr>
          <w:lang w:val="en-GB" w:eastAsia="en-AU"/>
        </w:rPr>
        <w:t>grants from a</w:t>
      </w:r>
      <w:r w:rsidR="00025C68">
        <w:rPr>
          <w:lang w:val="en-GB" w:eastAsia="en-AU"/>
        </w:rPr>
        <w:t>n Australian Government</w:t>
      </w:r>
      <w:r w:rsidRPr="00CE19A0">
        <w:rPr>
          <w:lang w:val="en-GB" w:eastAsia="en-AU"/>
        </w:rPr>
        <w:t xml:space="preserve"> (e.g.</w:t>
      </w:r>
      <w:r w:rsidR="00CE19A0" w:rsidRPr="00CE19A0">
        <w:rPr>
          <w:lang w:val="en-GB" w:eastAsia="en-AU"/>
        </w:rPr>
        <w:t>,</w:t>
      </w:r>
      <w:r w:rsidRPr="00CE19A0">
        <w:rPr>
          <w:lang w:val="en-GB" w:eastAsia="en-AU"/>
        </w:rPr>
        <w:t xml:space="preserve"> ARENA) or State government body, whether repayable or not</w:t>
      </w:r>
      <w:r w:rsidR="00CF473E">
        <w:rPr>
          <w:rStyle w:val="FootnoteReference"/>
          <w:lang w:val="en-GB" w:eastAsia="en-AU"/>
        </w:rPr>
        <w:footnoteReference w:id="20"/>
      </w:r>
      <w:r w:rsidRPr="00CE19A0">
        <w:rPr>
          <w:lang w:val="en-GB" w:eastAsia="en-AU"/>
        </w:rPr>
        <w:t xml:space="preserve">; or </w:t>
      </w:r>
    </w:p>
    <w:p w14:paraId="72468121" w14:textId="211122DA" w:rsidR="007E15D3" w:rsidRPr="002D017C" w:rsidRDefault="007E15D3" w:rsidP="007E15D3">
      <w:pPr>
        <w:pStyle w:val="ListParagraph"/>
        <w:numPr>
          <w:ilvl w:val="0"/>
          <w:numId w:val="17"/>
        </w:numPr>
        <w:rPr>
          <w:lang w:val="en-GB" w:eastAsia="en-AU"/>
        </w:rPr>
      </w:pPr>
      <w:r w:rsidRPr="002D017C">
        <w:rPr>
          <w:lang w:val="en-GB" w:eastAsia="en-AU"/>
        </w:rPr>
        <w:t xml:space="preserve">other forms of financial support from </w:t>
      </w:r>
      <w:r w:rsidR="002D017C" w:rsidRPr="002D017C">
        <w:rPr>
          <w:lang w:val="en-GB" w:eastAsia="en-AU"/>
        </w:rPr>
        <w:t>the WA</w:t>
      </w:r>
      <w:r w:rsidRPr="002D017C">
        <w:rPr>
          <w:lang w:val="en-GB" w:eastAsia="en-AU"/>
        </w:rPr>
        <w:t xml:space="preserve"> </w:t>
      </w:r>
      <w:r w:rsidR="00BE7640">
        <w:rPr>
          <w:lang w:val="en-GB" w:eastAsia="en-AU"/>
        </w:rPr>
        <w:t>Government</w:t>
      </w:r>
      <w:r w:rsidRPr="002D017C">
        <w:rPr>
          <w:lang w:val="en-GB" w:eastAsia="en-AU"/>
        </w:rPr>
        <w:t xml:space="preserve"> or</w:t>
      </w:r>
      <w:r w:rsidR="00772B41">
        <w:rPr>
          <w:lang w:val="en-GB" w:eastAsia="en-AU"/>
        </w:rPr>
        <w:t xml:space="preserve"> Australian Government</w:t>
      </w:r>
      <w:r w:rsidRPr="002D017C">
        <w:rPr>
          <w:lang w:val="en-GB" w:eastAsia="en-AU"/>
        </w:rPr>
        <w:t xml:space="preserve"> where the relevant government intends the financial support to be complementary to the CIS. </w:t>
      </w:r>
    </w:p>
    <w:p w14:paraId="15D4D4D0" w14:textId="77777777" w:rsidR="007E15D3" w:rsidRPr="006D7828" w:rsidRDefault="007E15D3" w:rsidP="00093A57">
      <w:pPr>
        <w:pStyle w:val="Heading3"/>
      </w:pPr>
      <w:bookmarkStart w:id="129" w:name="_Toc161385863"/>
      <w:bookmarkStart w:id="130" w:name="_Toc161388250"/>
      <w:bookmarkStart w:id="131" w:name="_Toc161388550"/>
      <w:r w:rsidRPr="006D7828">
        <w:t xml:space="preserve">Technology, </w:t>
      </w:r>
      <w:proofErr w:type="gramStart"/>
      <w:r w:rsidRPr="006D7828">
        <w:t>timing</w:t>
      </w:r>
      <w:proofErr w:type="gramEnd"/>
      <w:r w:rsidRPr="006D7828">
        <w:t xml:space="preserve"> and delivery risk</w:t>
      </w:r>
      <w:bookmarkEnd w:id="129"/>
      <w:bookmarkEnd w:id="130"/>
      <w:bookmarkEnd w:id="131"/>
    </w:p>
    <w:p w14:paraId="20F4F2ED" w14:textId="05BB23F3" w:rsidR="007E15D3" w:rsidRPr="003B1AEB" w:rsidRDefault="007E15D3" w:rsidP="007E15D3">
      <w:r w:rsidRPr="003B1AEB">
        <w:t xml:space="preserve">The CIS is a program to improve reliability in Australia’s electricity grids. CIS tender eligibility and merit criteria will focus on projects that adopt established, proven technologies where the delivery risks associated with </w:t>
      </w:r>
      <w:r w:rsidR="00624100">
        <w:t xml:space="preserve">the </w:t>
      </w:r>
      <w:r w:rsidRPr="003B1AEB">
        <w:t xml:space="preserve">project, and the project’s commissioning date, are reasonably assessable.  </w:t>
      </w:r>
    </w:p>
    <w:p w14:paraId="70182CE3" w14:textId="6018701F" w:rsidR="007E15D3" w:rsidRPr="00BA0E3A" w:rsidRDefault="007E15D3" w:rsidP="007E15D3">
      <w:r w:rsidRPr="00BA0E3A">
        <w:t xml:space="preserve">Due to the need to participate in an upcoming or previously run RCM process, tenders </w:t>
      </w:r>
      <w:r w:rsidR="00E818D0">
        <w:t>will be expected to</w:t>
      </w:r>
      <w:r w:rsidRPr="00BA0E3A">
        <w:t xml:space="preserve">contain targeted commissioning dates, and this could constrain eligibility in some circumstances. For example, projects participating in the 2024 </w:t>
      </w:r>
      <w:r w:rsidR="0016772D">
        <w:t>CIS</w:t>
      </w:r>
      <w:r w:rsidR="0016772D" w:rsidRPr="00BA0E3A">
        <w:t xml:space="preserve"> </w:t>
      </w:r>
      <w:r w:rsidR="0016772D">
        <w:t>t</w:t>
      </w:r>
      <w:r w:rsidRPr="00BA0E3A">
        <w:t xml:space="preserve">ender </w:t>
      </w:r>
      <w:r w:rsidR="0016772D">
        <w:t>p</w:t>
      </w:r>
      <w:r w:rsidRPr="00BA0E3A">
        <w:t xml:space="preserve">rocess </w:t>
      </w:r>
      <w:r w:rsidR="009F44FE">
        <w:t xml:space="preserve">would </w:t>
      </w:r>
      <w:r w:rsidR="00FB2BDA">
        <w:t xml:space="preserve">need to participate in </w:t>
      </w:r>
      <w:r w:rsidRPr="00BA0E3A">
        <w:t xml:space="preserve">the 2025 RCM </w:t>
      </w:r>
      <w:r w:rsidR="00BB5215">
        <w:t>process</w:t>
      </w:r>
      <w:r w:rsidR="00FB2BDA">
        <w:rPr>
          <w:rStyle w:val="FootnoteReference"/>
        </w:rPr>
        <w:footnoteReference w:id="21"/>
      </w:r>
      <w:r w:rsidR="00BB5215">
        <w:t xml:space="preserve"> </w:t>
      </w:r>
      <w:r w:rsidR="00FB2BDA">
        <w:t>and</w:t>
      </w:r>
      <w:r w:rsidRPr="00BA0E3A">
        <w:t xml:space="preserve"> provide capacity in the 2027-28 Capacity Year</w:t>
      </w:r>
      <w:r w:rsidR="00BA0E3A" w:rsidRPr="00BA0E3A">
        <w:t>, which commences on 1 October 2027</w:t>
      </w:r>
      <w:r w:rsidRPr="00BA0E3A">
        <w:t>. Projects unable to meet these requirements are expected to be ineligible.</w:t>
      </w:r>
      <w:r w:rsidR="007D7E04">
        <w:t xml:space="preserve"> </w:t>
      </w:r>
      <w:r w:rsidR="007D7E04" w:rsidRPr="007D7E04">
        <w:t xml:space="preserve">Similarly, projects participating in the 2024 CIS tender and the 2024 RCM process </w:t>
      </w:r>
      <w:r w:rsidR="00C0462C">
        <w:t>are expected to be required to</w:t>
      </w:r>
      <w:r w:rsidR="007D7E04" w:rsidRPr="007D7E04">
        <w:t xml:space="preserve"> provide capacity in the 2026-27 Capacity Year, which commences on 1 October 2026.</w:t>
      </w:r>
    </w:p>
    <w:p w14:paraId="6A7EE28B" w14:textId="77777777" w:rsidR="007E15D3" w:rsidRPr="00BA0E3A" w:rsidRDefault="007E15D3" w:rsidP="00093A57">
      <w:pPr>
        <w:pStyle w:val="Heading3"/>
      </w:pPr>
      <w:bookmarkStart w:id="132" w:name="_Toc161385864"/>
      <w:bookmarkStart w:id="133" w:name="_Toc161388251"/>
      <w:bookmarkStart w:id="134" w:name="_Toc161388551"/>
      <w:r w:rsidRPr="00BA0E3A">
        <w:t>Compliance with the law</w:t>
      </w:r>
      <w:bookmarkEnd w:id="132"/>
      <w:bookmarkEnd w:id="133"/>
      <w:bookmarkEnd w:id="134"/>
    </w:p>
    <w:p w14:paraId="12B8DF54" w14:textId="49405C0A" w:rsidR="005641C1" w:rsidRDefault="007E15D3" w:rsidP="007E15D3">
      <w:r w:rsidRPr="00854684">
        <w:t>To be eligible to participate in a CIS tender</w:t>
      </w:r>
      <w:r w:rsidR="00BA0E3A" w:rsidRPr="00854684">
        <w:t>,</w:t>
      </w:r>
      <w:r w:rsidRPr="00854684">
        <w:t xml:space="preserve"> a proponent and project will need to be compliant with applicable State and Commonwealth law and may be asked to produce evidence of compliance</w:t>
      </w:r>
      <w:r w:rsidR="009D6E5A">
        <w:t>.</w:t>
      </w:r>
    </w:p>
    <w:p w14:paraId="20C5E5DC" w14:textId="5395BD2E" w:rsidR="007E15D3" w:rsidRDefault="007E15D3" w:rsidP="007E15D3">
      <w:r>
        <w:lastRenderedPageBreak/>
        <w:t xml:space="preserve"> </w:t>
      </w:r>
      <w:r w:rsidR="00CF3299">
        <w:t>This will include:</w:t>
      </w:r>
    </w:p>
    <w:p w14:paraId="122040EE" w14:textId="6B6CEB1C" w:rsidR="00CF3299" w:rsidRDefault="00CA5F9F" w:rsidP="00CA5F9F">
      <w:pPr>
        <w:pStyle w:val="ListParagraph"/>
        <w:numPr>
          <w:ilvl w:val="0"/>
          <w:numId w:val="70"/>
        </w:numPr>
      </w:pPr>
      <w:r>
        <w:t>The Proponent must not have had a judicial decision relating to employee entitlements made against it (not including decisions under appeal), where the Proponent has failed to pay any amounts required to be paid following that judicial decision.</w:t>
      </w:r>
    </w:p>
    <w:p w14:paraId="0DF4B1BD" w14:textId="6E451614" w:rsidR="00CA5F9F" w:rsidRDefault="00CA5F9F" w:rsidP="00CA5F9F">
      <w:pPr>
        <w:pStyle w:val="ListParagraph"/>
        <w:numPr>
          <w:ilvl w:val="0"/>
          <w:numId w:val="70"/>
        </w:numPr>
      </w:pPr>
      <w:r>
        <w:t xml:space="preserve">The Proponent must not have been named as an organisation that has not complied with the </w:t>
      </w:r>
      <w:r w:rsidRPr="00CA5F9F">
        <w:rPr>
          <w:i/>
          <w:iCs/>
        </w:rPr>
        <w:t>Workplace Gender Equality Act 2012</w:t>
      </w:r>
      <w:r>
        <w:t xml:space="preserve"> (Cth).</w:t>
      </w:r>
    </w:p>
    <w:p w14:paraId="59E53AEC" w14:textId="0F092E62" w:rsidR="0026518B" w:rsidRDefault="0026518B" w:rsidP="0026518B">
      <w:pPr>
        <w:pStyle w:val="ListParagraph"/>
        <w:numPr>
          <w:ilvl w:val="0"/>
          <w:numId w:val="70"/>
        </w:numPr>
      </w:pPr>
      <w:r>
        <w:t>The Proponent must not, within the previous 10 years, have been subject to an inquiry by the National Anti</w:t>
      </w:r>
      <w:r w:rsidR="00AA19D3">
        <w:t>-</w:t>
      </w:r>
      <w:r>
        <w:t>Corruption Commission, or an equivalent State body in a jurisdiction in</w:t>
      </w:r>
      <w:r w:rsidR="00AA19D3">
        <w:t xml:space="preserve"> </w:t>
      </w:r>
      <w:r>
        <w:t>Australia, where a finding has been</w:t>
      </w:r>
      <w:r w:rsidR="00AA19D3">
        <w:t xml:space="preserve"> </w:t>
      </w:r>
      <w:r>
        <w:t>made against the Proponent (including that the Proponent has engaged in corrupt conduct).</w:t>
      </w:r>
    </w:p>
    <w:p w14:paraId="1498EF95" w14:textId="3589302F" w:rsidR="00023E96" w:rsidRDefault="00023E96" w:rsidP="00023E96">
      <w:pPr>
        <w:pStyle w:val="ListParagraph"/>
        <w:numPr>
          <w:ilvl w:val="0"/>
          <w:numId w:val="70"/>
        </w:numPr>
      </w:pPr>
      <w:r>
        <w:t>The Proponent must not be named as an organisation on the Trade Consolidated List maintained by the Australian Sanctions Office within the Department of Foreign Affairs</w:t>
      </w:r>
      <w:r w:rsidR="0023409C">
        <w:t xml:space="preserve"> and Trade</w:t>
      </w:r>
    </w:p>
    <w:p w14:paraId="2D384ECD" w14:textId="070A5ED3" w:rsidR="009E17C0" w:rsidRDefault="009E17C0" w:rsidP="009E17C0">
      <w:pPr>
        <w:pStyle w:val="ListParagraph"/>
        <w:numPr>
          <w:ilvl w:val="0"/>
          <w:numId w:val="70"/>
        </w:numPr>
      </w:pPr>
      <w:r>
        <w:t>If the Proponent is a ‘Reporting Entity’ under the Modern Slavery Act 2018 (Cth) the Proponent must have complied with its obligations under that Act.</w:t>
      </w:r>
    </w:p>
    <w:p w14:paraId="622F4B10" w14:textId="21A3D445" w:rsidR="00660713" w:rsidRPr="00F87BE0" w:rsidRDefault="00660713" w:rsidP="00615FFE">
      <w:pPr>
        <w:pStyle w:val="Heading2"/>
      </w:pPr>
      <w:bookmarkStart w:id="135" w:name="_Toc161385865"/>
      <w:bookmarkStart w:id="136" w:name="_Toc161388252"/>
      <w:bookmarkStart w:id="137" w:name="_Toc161388552"/>
      <w:bookmarkStart w:id="138" w:name="_Toc163162715"/>
      <w:r>
        <w:t xml:space="preserve">CIS tender </w:t>
      </w:r>
      <w:r w:rsidR="00F425A6" w:rsidRPr="00F87BE0">
        <w:t>merit assessment</w:t>
      </w:r>
      <w:bookmarkEnd w:id="135"/>
      <w:bookmarkEnd w:id="136"/>
      <w:bookmarkEnd w:id="137"/>
      <w:bookmarkEnd w:id="138"/>
    </w:p>
    <w:p w14:paraId="4B5F8E29" w14:textId="77777777" w:rsidR="00660713" w:rsidRPr="00CE5539" w:rsidRDefault="00660713" w:rsidP="00660713">
      <w:r w:rsidRPr="00CE5539">
        <w:t>The objective of CIS tenders will be to select the projects that demonstrate the highest levels of merit, as assessed against objective merit criteria. This section provides an overview of how projects could be merit assessed during CIS tenders in the WEM. Successful projects will be expected to perform strongly against all criteria.</w:t>
      </w:r>
    </w:p>
    <w:p w14:paraId="2BDDA392" w14:textId="77777777" w:rsidR="00660713" w:rsidRPr="002B3F29" w:rsidRDefault="00660713" w:rsidP="00093A57">
      <w:pPr>
        <w:pStyle w:val="Heading3"/>
      </w:pPr>
      <w:bookmarkStart w:id="139" w:name="_Toc161385866"/>
      <w:bookmarkStart w:id="140" w:name="_Toc161388253"/>
      <w:bookmarkStart w:id="141" w:name="_Toc161388553"/>
      <w:r w:rsidRPr="002B3F29">
        <w:t>Overview of merit assessment process</w:t>
      </w:r>
      <w:bookmarkEnd w:id="139"/>
      <w:bookmarkEnd w:id="140"/>
      <w:bookmarkEnd w:id="141"/>
    </w:p>
    <w:p w14:paraId="168CFFD8" w14:textId="264A536D" w:rsidR="00584669" w:rsidRDefault="00660713" w:rsidP="00C85352">
      <w:r w:rsidRPr="002B3F29">
        <w:t>Merit assessment of project bids will be conducted in two stages</w:t>
      </w:r>
      <w:r w:rsidR="00FE1D87">
        <w:t>, as shown in Figure 3</w:t>
      </w:r>
      <w:r w:rsidRPr="002B3F29">
        <w:t xml:space="preserve">: </w:t>
      </w:r>
    </w:p>
    <w:p w14:paraId="21F71678" w14:textId="3B131B9E" w:rsidR="00ED72D0" w:rsidRPr="00C85352" w:rsidRDefault="00ED72D0" w:rsidP="00ED72D0">
      <w:pPr>
        <w:pStyle w:val="Caption"/>
        <w:rPr>
          <w:rFonts w:ascii="Calibri" w:hAnsi="Calibri" w:cs="Calibri"/>
          <w:b/>
          <w:sz w:val="24"/>
          <w:szCs w:val="24"/>
        </w:rPr>
      </w:pPr>
      <w:bookmarkStart w:id="142" w:name="_Toc163162728"/>
      <w:r w:rsidRPr="00ED72D0">
        <w:rPr>
          <w:rFonts w:ascii="Calibri" w:hAnsi="Calibri" w:cs="Calibri"/>
          <w:b/>
          <w:bCs/>
          <w:i w:val="0"/>
          <w:iCs w:val="0"/>
          <w:sz w:val="24"/>
          <w:szCs w:val="24"/>
        </w:rPr>
        <w:t xml:space="preserve">Figure </w:t>
      </w:r>
      <w:r w:rsidRPr="00ED72D0">
        <w:rPr>
          <w:rFonts w:ascii="Calibri" w:hAnsi="Calibri" w:cs="Calibri"/>
          <w:b/>
          <w:bCs/>
          <w:i w:val="0"/>
          <w:iCs w:val="0"/>
          <w:sz w:val="24"/>
          <w:szCs w:val="24"/>
        </w:rPr>
        <w:fldChar w:fldCharType="begin"/>
      </w:r>
      <w:r w:rsidRPr="00ED72D0">
        <w:rPr>
          <w:rFonts w:ascii="Calibri" w:hAnsi="Calibri" w:cs="Calibri"/>
          <w:b/>
          <w:bCs/>
          <w:i w:val="0"/>
          <w:iCs w:val="0"/>
          <w:sz w:val="24"/>
          <w:szCs w:val="24"/>
        </w:rPr>
        <w:instrText xml:space="preserve"> SEQ Figure \* ARABIC </w:instrText>
      </w:r>
      <w:r w:rsidRPr="00ED72D0">
        <w:rPr>
          <w:rFonts w:ascii="Calibri" w:hAnsi="Calibri" w:cs="Calibri"/>
          <w:b/>
          <w:bCs/>
          <w:i w:val="0"/>
          <w:iCs w:val="0"/>
          <w:sz w:val="24"/>
          <w:szCs w:val="24"/>
        </w:rPr>
        <w:fldChar w:fldCharType="separate"/>
      </w:r>
      <w:r w:rsidRPr="00ED72D0">
        <w:rPr>
          <w:rFonts w:ascii="Calibri" w:hAnsi="Calibri" w:cs="Calibri"/>
          <w:b/>
          <w:bCs/>
          <w:i w:val="0"/>
          <w:iCs w:val="0"/>
          <w:sz w:val="24"/>
          <w:szCs w:val="24"/>
        </w:rPr>
        <w:t>4</w:t>
      </w:r>
      <w:r w:rsidRPr="00ED72D0">
        <w:rPr>
          <w:rFonts w:ascii="Calibri" w:hAnsi="Calibri" w:cs="Calibri"/>
          <w:b/>
          <w:bCs/>
          <w:i w:val="0"/>
          <w:iCs w:val="0"/>
          <w:sz w:val="24"/>
          <w:szCs w:val="24"/>
        </w:rPr>
        <w:fldChar w:fldCharType="end"/>
      </w:r>
      <w:r w:rsidRPr="00ED72D0">
        <w:rPr>
          <w:rFonts w:ascii="Calibri" w:hAnsi="Calibri" w:cs="Calibri"/>
          <w:b/>
          <w:bCs/>
          <w:i w:val="0"/>
          <w:iCs w:val="0"/>
          <w:sz w:val="24"/>
          <w:szCs w:val="24"/>
        </w:rPr>
        <w:t xml:space="preserve"> </w:t>
      </w:r>
      <w:r w:rsidRPr="00C85352">
        <w:rPr>
          <w:rFonts w:ascii="Calibri" w:hAnsi="Calibri" w:cs="Calibri"/>
          <w:b/>
          <w:bCs/>
          <w:i w:val="0"/>
          <w:iCs w:val="0"/>
          <w:sz w:val="24"/>
          <w:szCs w:val="24"/>
        </w:rPr>
        <w:t>CIS tender assessment stages</w:t>
      </w:r>
      <w:bookmarkEnd w:id="142"/>
    </w:p>
    <w:p w14:paraId="4C5706D6" w14:textId="77777777" w:rsidR="00660713" w:rsidRPr="002B3F29" w:rsidRDefault="00660713" w:rsidP="00660713">
      <w:pPr>
        <w:jc w:val="center"/>
      </w:pPr>
      <w:r w:rsidRPr="002B3F29">
        <w:rPr>
          <w:noProof/>
        </w:rPr>
        <w:drawing>
          <wp:inline distT="0" distB="0" distL="0" distR="0" wp14:anchorId="70F67648" wp14:editId="43C7AE47">
            <wp:extent cx="5486400" cy="2186609"/>
            <wp:effectExtent l="19050" t="0" r="19050" b="23495"/>
            <wp:docPr id="3" name="Diagram 3" descr="Project bid stage (Stage A): projects will be assessed against their technical, commercial and social licence merit. Strongest performing projects will then be shortlisted and invited to submit a bid for Stage B. Projects may be asked to provide an indicative financial bid at the project bid stage. &#10;Financial bid stage (Stage B): projects will be assessed against their contribution to the policy objectives of the CIS, being contribution to reliability and lower prices for consumers. At this stage, projects will be expected to provide pricing bid variables for competitive assess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1AE0B7F" w14:textId="230E2106" w:rsidR="00660713" w:rsidRPr="001E03D7" w:rsidRDefault="00660713" w:rsidP="002B3F29">
      <w:r w:rsidRPr="001E03D7">
        <w:t>Weighting may be assigned to the merit criteria at either Stage A or Stage B</w:t>
      </w:r>
      <w:r w:rsidR="00E35415">
        <w:t>.</w:t>
      </w:r>
      <w:r w:rsidRPr="001E03D7">
        <w:t xml:space="preserve"> </w:t>
      </w:r>
      <w:r w:rsidR="00021877" w:rsidRPr="00021877">
        <w:t xml:space="preserve">Projects that can demonstrate high benefits for a low cost will be more likely to be successful. The consideration of the benefits and costs will be the primary consideration in the </w:t>
      </w:r>
      <w:proofErr w:type="gramStart"/>
      <w:r w:rsidR="00021877" w:rsidRPr="00021877">
        <w:t>Financial</w:t>
      </w:r>
      <w:proofErr w:type="gramEnd"/>
      <w:r w:rsidR="00021877" w:rsidRPr="00021877">
        <w:t xml:space="preserve"> bid stage.</w:t>
      </w:r>
      <w:r w:rsidRPr="001E03D7">
        <w:t xml:space="preserve"> Minimum requirements for each merit criteria may also be used to ensure all projects supported by the CIS achieve a minimum standard across all the merit criteria. </w:t>
      </w:r>
    </w:p>
    <w:p w14:paraId="4CFBD31D" w14:textId="67174C1F" w:rsidR="00660713" w:rsidRPr="00437A13" w:rsidRDefault="00660713" w:rsidP="00093A57">
      <w:pPr>
        <w:pStyle w:val="Heading3"/>
      </w:pPr>
      <w:bookmarkStart w:id="143" w:name="_Toc161385867"/>
      <w:bookmarkStart w:id="144" w:name="_Toc161388254"/>
      <w:bookmarkStart w:id="145" w:name="_Toc161388554"/>
      <w:bookmarkStart w:id="146" w:name="_Ref163116020"/>
      <w:r w:rsidRPr="00437A13">
        <w:lastRenderedPageBreak/>
        <w:t xml:space="preserve">Project bid (Stage A) – technical, </w:t>
      </w:r>
      <w:proofErr w:type="gramStart"/>
      <w:r w:rsidRPr="00437A13">
        <w:t>commercial</w:t>
      </w:r>
      <w:proofErr w:type="gramEnd"/>
      <w:r w:rsidRPr="00437A13">
        <w:t xml:space="preserve"> and social licence assessment</w:t>
      </w:r>
      <w:bookmarkEnd w:id="143"/>
      <w:bookmarkEnd w:id="144"/>
      <w:bookmarkEnd w:id="145"/>
      <w:bookmarkEnd w:id="146"/>
    </w:p>
    <w:p w14:paraId="73DEE06A" w14:textId="77777777" w:rsidR="00660713" w:rsidRPr="00437A13" w:rsidRDefault="00660713" w:rsidP="00660713">
      <w:r w:rsidRPr="00437A13">
        <w:t xml:space="preserve">The initial stage of the CIS tender will assess a project’s technical, </w:t>
      </w:r>
      <w:proofErr w:type="gramStart"/>
      <w:r w:rsidRPr="00437A13">
        <w:t>commercial</w:t>
      </w:r>
      <w:proofErr w:type="gramEnd"/>
      <w:r w:rsidRPr="00437A13">
        <w:t xml:space="preserve"> and social licence merit. </w:t>
      </w:r>
    </w:p>
    <w:p w14:paraId="48543D64" w14:textId="77777777" w:rsidR="00660713" w:rsidRPr="00575B12" w:rsidRDefault="00660713" w:rsidP="00660713">
      <w:bookmarkStart w:id="147" w:name="_Toc139196524"/>
      <w:r w:rsidRPr="00575B12">
        <w:rPr>
          <w:b/>
          <w:bCs/>
        </w:rPr>
        <w:t>Project technical and c</w:t>
      </w:r>
      <w:bookmarkEnd w:id="147"/>
      <w:r w:rsidRPr="00575B12">
        <w:rPr>
          <w:b/>
          <w:bCs/>
        </w:rPr>
        <w:t xml:space="preserve">ommercial viability </w:t>
      </w:r>
    </w:p>
    <w:p w14:paraId="62C3FAF8" w14:textId="7FAE4991" w:rsidR="00660713" w:rsidRPr="00575B12" w:rsidRDefault="00660713" w:rsidP="00660713">
      <w:r w:rsidRPr="00575B12">
        <w:t xml:space="preserve">A project’s credibility to reaching </w:t>
      </w:r>
      <w:r w:rsidR="00575B12" w:rsidRPr="00575B12">
        <w:t xml:space="preserve">the Target </w:t>
      </w:r>
      <w:r w:rsidRPr="00575B12">
        <w:t xml:space="preserve">COD is assessed by examining a project’s progress against key development milestones. This includes: </w:t>
      </w:r>
    </w:p>
    <w:p w14:paraId="137FED8A" w14:textId="06A922F6" w:rsidR="00660713" w:rsidRPr="00575B12" w:rsidRDefault="00116371" w:rsidP="00660713">
      <w:pPr>
        <w:pStyle w:val="ListParagraph"/>
        <w:numPr>
          <w:ilvl w:val="0"/>
          <w:numId w:val="20"/>
        </w:numPr>
      </w:pPr>
      <w:r>
        <w:t>p</w:t>
      </w:r>
      <w:r w:rsidR="00660713" w:rsidRPr="00575B12">
        <w:t xml:space="preserve">rogress to securing all relevant land, planning and connections </w:t>
      </w:r>
      <w:proofErr w:type="gramStart"/>
      <w:r w:rsidR="00660713" w:rsidRPr="00575B12">
        <w:t>approvals;</w:t>
      </w:r>
      <w:proofErr w:type="gramEnd"/>
    </w:p>
    <w:p w14:paraId="2DC87AC3" w14:textId="21AEEF91" w:rsidR="00660713" w:rsidRPr="00575B12" w:rsidRDefault="00116371" w:rsidP="00660713">
      <w:pPr>
        <w:pStyle w:val="ListParagraph"/>
        <w:numPr>
          <w:ilvl w:val="0"/>
          <w:numId w:val="20"/>
        </w:numPr>
      </w:pPr>
      <w:r>
        <w:t>p</w:t>
      </w:r>
      <w:r w:rsidR="00660713" w:rsidRPr="00575B12">
        <w:t>rogress to securing all relevant construction procurement and financing documents; and</w:t>
      </w:r>
    </w:p>
    <w:p w14:paraId="7F1A4415" w14:textId="4F2949FE" w:rsidR="00660713" w:rsidRPr="00575B12" w:rsidRDefault="00116371" w:rsidP="00660713">
      <w:pPr>
        <w:pStyle w:val="ListParagraph"/>
        <w:numPr>
          <w:ilvl w:val="0"/>
          <w:numId w:val="20"/>
        </w:numPr>
      </w:pPr>
      <w:r>
        <w:t>d</w:t>
      </w:r>
      <w:r w:rsidR="00660713" w:rsidRPr="00575B12">
        <w:t xml:space="preserve">emonstrated understanding of key project risks to timely project completion, and appropriate mitigation measures. </w:t>
      </w:r>
    </w:p>
    <w:p w14:paraId="62A5E843" w14:textId="1781C5FB" w:rsidR="003256CD" w:rsidRDefault="00660713" w:rsidP="00294A9D">
      <w:r w:rsidRPr="00575B12">
        <w:t>Successful projects will have the target FID or financial close (FC) and COD key dates as contracted milestones.</w:t>
      </w:r>
    </w:p>
    <w:p w14:paraId="6B712236" w14:textId="48491CAE" w:rsidR="00294A9D" w:rsidRDefault="00294A9D" w:rsidP="00294A9D">
      <w:pPr>
        <w:rPr>
          <w:lang w:val="en-GB" w:eastAsia="en-AU"/>
        </w:rPr>
      </w:pPr>
      <w:r>
        <w:rPr>
          <w:lang w:val="en-GB" w:eastAsia="en-AU"/>
        </w:rPr>
        <w:t xml:space="preserve">Projects participating in the 2024 CIS tender will be merit assessed against their </w:t>
      </w:r>
      <w:r w:rsidR="00C10199">
        <w:rPr>
          <w:lang w:val="en-GB" w:eastAsia="en-AU"/>
        </w:rPr>
        <w:t>pathway</w:t>
      </w:r>
      <w:r>
        <w:rPr>
          <w:lang w:val="en-GB" w:eastAsia="en-AU"/>
        </w:rPr>
        <w:t xml:space="preserve"> to reaching COD </w:t>
      </w:r>
      <w:r w:rsidR="002656B0">
        <w:rPr>
          <w:lang w:val="en-GB" w:eastAsia="en-AU"/>
        </w:rPr>
        <w:t>no later than:</w:t>
      </w:r>
    </w:p>
    <w:p w14:paraId="117C9744" w14:textId="77777777" w:rsidR="00294A9D" w:rsidRDefault="00294A9D" w:rsidP="00294A9D">
      <w:pPr>
        <w:pStyle w:val="ListParagraph"/>
        <w:numPr>
          <w:ilvl w:val="0"/>
          <w:numId w:val="34"/>
        </w:numPr>
        <w:rPr>
          <w:lang w:val="en-GB" w:eastAsia="en-AU"/>
        </w:rPr>
      </w:pPr>
      <w:r w:rsidRPr="00FB4135">
        <w:rPr>
          <w:lang w:val="en-GB" w:eastAsia="en-AU"/>
        </w:rPr>
        <w:t xml:space="preserve">1 October 2027 for facilities receiving Capacity Credits for the first time in the 2025 </w:t>
      </w:r>
      <w:proofErr w:type="gramStart"/>
      <w:r w:rsidRPr="00FB4135">
        <w:rPr>
          <w:lang w:val="en-GB" w:eastAsia="en-AU"/>
        </w:rPr>
        <w:t>RCC</w:t>
      </w:r>
      <w:proofErr w:type="gramEnd"/>
    </w:p>
    <w:p w14:paraId="73C3D6B4" w14:textId="77777777" w:rsidR="00294A9D" w:rsidRDefault="00294A9D" w:rsidP="00294A9D">
      <w:pPr>
        <w:pStyle w:val="ListParagraph"/>
        <w:numPr>
          <w:ilvl w:val="0"/>
          <w:numId w:val="34"/>
        </w:numPr>
        <w:rPr>
          <w:lang w:val="en-GB" w:eastAsia="en-AU"/>
        </w:rPr>
      </w:pPr>
      <w:r w:rsidRPr="00FB4135">
        <w:rPr>
          <w:lang w:val="en-GB" w:eastAsia="en-AU"/>
        </w:rPr>
        <w:t xml:space="preserve">1 October 2026 for facilities receiving Capacity Credits for the first time in the 2024 </w:t>
      </w:r>
      <w:proofErr w:type="gramStart"/>
      <w:r w:rsidRPr="00FB4135">
        <w:rPr>
          <w:lang w:val="en-GB" w:eastAsia="en-AU"/>
        </w:rPr>
        <w:t>RCC</w:t>
      </w:r>
      <w:proofErr w:type="gramEnd"/>
    </w:p>
    <w:p w14:paraId="3E3D592E" w14:textId="6894F6C9" w:rsidR="00294A9D" w:rsidRPr="00575B12" w:rsidRDefault="002656B0" w:rsidP="00660713">
      <w:r w:rsidRPr="00575B12">
        <w:t xml:space="preserve">This </w:t>
      </w:r>
      <w:r>
        <w:t>requirement seeks</w:t>
      </w:r>
      <w:r w:rsidRPr="00575B12">
        <w:t xml:space="preserve"> to ensure that successful projects can contribute to capacity requirements in the Capacity Year for which they </w:t>
      </w:r>
      <w:r w:rsidR="00C23CE7">
        <w:t>have</w:t>
      </w:r>
      <w:r w:rsidRPr="00575B12">
        <w:t xml:space="preserve"> received Capacity Credits.</w:t>
      </w:r>
    </w:p>
    <w:p w14:paraId="7919BAAA" w14:textId="77777777" w:rsidR="00660713" w:rsidRPr="00D47890" w:rsidRDefault="00660713" w:rsidP="00660713">
      <w:r w:rsidRPr="00D47890">
        <w:rPr>
          <w:b/>
          <w:bCs/>
        </w:rPr>
        <w:t xml:space="preserve">Proponent capability </w:t>
      </w:r>
    </w:p>
    <w:p w14:paraId="6B1AF721" w14:textId="69392165" w:rsidR="00660713" w:rsidRPr="00D47890" w:rsidRDefault="00660713" w:rsidP="00660713">
      <w:r w:rsidRPr="00D47890">
        <w:t>A project proponent</w:t>
      </w:r>
      <w:r w:rsidR="00E17940">
        <w:t>’s</w:t>
      </w:r>
      <w:r w:rsidRPr="00D47890">
        <w:t xml:space="preserve"> capability, </w:t>
      </w:r>
      <w:proofErr w:type="gramStart"/>
      <w:r w:rsidRPr="00D47890">
        <w:t>capacity</w:t>
      </w:r>
      <w:proofErr w:type="gramEnd"/>
      <w:r w:rsidRPr="00D47890">
        <w:t xml:space="preserve"> and track record to deliver projects of a similar size and type will also be assessed. Other key relevant entities involved in the project delivery will also be considered. This is to ensure that reliable organisations are provided government support to deliver their projects.</w:t>
      </w:r>
    </w:p>
    <w:p w14:paraId="04879212" w14:textId="25E04E98" w:rsidR="00660713" w:rsidRPr="00D47890" w:rsidRDefault="00660713" w:rsidP="00660713">
      <w:r w:rsidRPr="00D47890">
        <w:t xml:space="preserve">A proponent’s capability to deliver </w:t>
      </w:r>
      <w:r w:rsidR="00D47890" w:rsidRPr="00D47890">
        <w:t>its</w:t>
      </w:r>
      <w:r w:rsidRPr="00D47890">
        <w:t xml:space="preserve"> proposed project is assessed by considering the prior and current experience of the proponent. The proponent’s project delivery contracting structure, procurement strategy and quality of </w:t>
      </w:r>
      <w:r w:rsidR="00A16276">
        <w:t>its</w:t>
      </w:r>
      <w:r w:rsidR="00A16276" w:rsidRPr="00D47890">
        <w:t xml:space="preserve"> </w:t>
      </w:r>
      <w:r w:rsidRPr="00D47890">
        <w:t xml:space="preserve">delivery plan will also be considered. </w:t>
      </w:r>
    </w:p>
    <w:p w14:paraId="5FFB715D" w14:textId="77777777" w:rsidR="00660713" w:rsidRPr="00FF252A" w:rsidRDefault="00660713" w:rsidP="00660713">
      <w:r w:rsidRPr="00FF252A">
        <w:rPr>
          <w:b/>
          <w:bCs/>
        </w:rPr>
        <w:t xml:space="preserve">Social licence, </w:t>
      </w:r>
      <w:proofErr w:type="gramStart"/>
      <w:r w:rsidRPr="00FF252A">
        <w:rPr>
          <w:b/>
          <w:bCs/>
        </w:rPr>
        <w:t>employment</w:t>
      </w:r>
      <w:proofErr w:type="gramEnd"/>
      <w:r w:rsidRPr="00FF252A">
        <w:rPr>
          <w:b/>
          <w:bCs/>
        </w:rPr>
        <w:t xml:space="preserve"> and local benefits </w:t>
      </w:r>
    </w:p>
    <w:p w14:paraId="4E80BBB0" w14:textId="77777777" w:rsidR="002C7C5C" w:rsidRPr="00637EE9" w:rsidRDefault="002C7C5C" w:rsidP="002C7C5C">
      <w:pPr>
        <w:rPr>
          <w:lang w:val="en-GB" w:eastAsia="en-AU"/>
        </w:rPr>
      </w:pPr>
      <w:r w:rsidRPr="00637EE9">
        <w:rPr>
          <w:lang w:val="en-GB" w:eastAsia="en-AU"/>
        </w:rPr>
        <w:t xml:space="preserve">Proponents and projects will be assessed on their approach and quality of engagement with </w:t>
      </w:r>
      <w:r>
        <w:rPr>
          <w:lang w:val="en-GB" w:eastAsia="en-AU"/>
        </w:rPr>
        <w:t xml:space="preserve">Australian supply chains, local </w:t>
      </w:r>
      <w:bookmarkStart w:id="148" w:name="_Int_ZbqthTm5"/>
      <w:proofErr w:type="gramStart"/>
      <w:r w:rsidRPr="00637EE9">
        <w:rPr>
          <w:lang w:val="en-GB" w:eastAsia="en-AU"/>
        </w:rPr>
        <w:t>communities</w:t>
      </w:r>
      <w:bookmarkEnd w:id="148"/>
      <w:proofErr w:type="gramEnd"/>
      <w:r w:rsidRPr="00637EE9">
        <w:rPr>
          <w:lang w:val="en-GB" w:eastAsia="en-AU"/>
        </w:rPr>
        <w:t xml:space="preserve"> and First Nations people. This may include:</w:t>
      </w:r>
    </w:p>
    <w:p w14:paraId="3BAD1F30" w14:textId="77777777" w:rsidR="002C7C5C" w:rsidRDefault="002C7C5C" w:rsidP="002C7C5C">
      <w:pPr>
        <w:pStyle w:val="ListBullet"/>
        <w:rPr>
          <w:lang w:val="en-GB" w:eastAsia="en-AU"/>
        </w:rPr>
      </w:pPr>
      <w:r>
        <w:rPr>
          <w:lang w:val="en-GB" w:eastAsia="en-AU"/>
        </w:rPr>
        <w:t>Demonstrated efforts to understand Australian supply chain capabilities and to support the development and use of local supply chains in both CAPEX and OPEX project plans.</w:t>
      </w:r>
    </w:p>
    <w:p w14:paraId="7B923C84" w14:textId="77777777" w:rsidR="002C7C5C" w:rsidRDefault="002C7C5C" w:rsidP="002C7C5C">
      <w:pPr>
        <w:pStyle w:val="ListBullet"/>
        <w:rPr>
          <w:lang w:val="en-GB" w:eastAsia="en-AU"/>
        </w:rPr>
      </w:pPr>
      <w:r>
        <w:rPr>
          <w:lang w:val="en-GB" w:eastAsia="en-AU"/>
        </w:rPr>
        <w:t xml:space="preserve">Demonstrated understanding of and commitment to worker outcomes, including </w:t>
      </w:r>
      <w:bookmarkStart w:id="149" w:name="_Int_TPvKXqwZ"/>
      <w:r>
        <w:rPr>
          <w:lang w:val="en-GB" w:eastAsia="en-AU"/>
        </w:rPr>
        <w:t>pay and conditions</w:t>
      </w:r>
      <w:bookmarkEnd w:id="149"/>
      <w:r>
        <w:rPr>
          <w:lang w:val="en-GB" w:eastAsia="en-AU"/>
        </w:rPr>
        <w:t xml:space="preserve"> and training including apprenticeships.</w:t>
      </w:r>
    </w:p>
    <w:p w14:paraId="34288A1E" w14:textId="77777777" w:rsidR="002C7C5C" w:rsidRPr="00637EE9" w:rsidRDefault="002C7C5C" w:rsidP="002C7C5C">
      <w:pPr>
        <w:pStyle w:val="ListBullet"/>
        <w:rPr>
          <w:lang w:val="en-GB" w:eastAsia="en-AU"/>
        </w:rPr>
      </w:pPr>
      <w:r w:rsidRPr="00637EE9">
        <w:rPr>
          <w:lang w:val="en-GB" w:eastAsia="en-AU"/>
        </w:rPr>
        <w:t>Demonstrated understanding of local community and stakeholders, including stakeholder mapping.</w:t>
      </w:r>
    </w:p>
    <w:p w14:paraId="1247659C" w14:textId="77777777" w:rsidR="002C7C5C" w:rsidRPr="00637EE9" w:rsidRDefault="002C7C5C" w:rsidP="002C7C5C">
      <w:pPr>
        <w:pStyle w:val="ListBullet"/>
        <w:rPr>
          <w:lang w:val="en-GB" w:eastAsia="en-AU"/>
        </w:rPr>
      </w:pPr>
      <w:r w:rsidRPr="00637EE9">
        <w:rPr>
          <w:lang w:val="en-GB" w:eastAsia="en-AU"/>
        </w:rPr>
        <w:t>Summary of community and First Nations consultations that have occurred to date.</w:t>
      </w:r>
    </w:p>
    <w:p w14:paraId="5811DACD" w14:textId="5691D686" w:rsidR="002C7C5C" w:rsidRPr="00637EE9" w:rsidRDefault="002C7C5C" w:rsidP="3F3811E2">
      <w:pPr>
        <w:pStyle w:val="ListBullet"/>
        <w:numPr>
          <w:ilvl w:val="0"/>
          <w:numId w:val="0"/>
        </w:numPr>
        <w:rPr>
          <w:lang w:val="en-GB" w:eastAsia="en-AU"/>
        </w:rPr>
      </w:pPr>
      <w:r w:rsidRPr="00637EE9">
        <w:rPr>
          <w:lang w:val="en-GB" w:eastAsia="en-AU"/>
        </w:rPr>
        <w:t>Evidence of having considered or incorporated community and First Nations groups</w:t>
      </w:r>
      <w:r>
        <w:rPr>
          <w:lang w:val="en-GB" w:eastAsia="en-AU"/>
        </w:rPr>
        <w:t>’</w:t>
      </w:r>
      <w:r w:rsidRPr="00637EE9">
        <w:rPr>
          <w:lang w:val="en-GB" w:eastAsia="en-AU"/>
        </w:rPr>
        <w:t xml:space="preserve"> feedback during project design, </w:t>
      </w:r>
      <w:bookmarkStart w:id="150" w:name="_Int_TnpX7bSy"/>
      <w:proofErr w:type="gramStart"/>
      <w:r w:rsidRPr="00637EE9">
        <w:rPr>
          <w:lang w:val="en-GB" w:eastAsia="en-AU"/>
        </w:rPr>
        <w:t>development</w:t>
      </w:r>
      <w:bookmarkEnd w:id="150"/>
      <w:proofErr w:type="gramEnd"/>
      <w:r w:rsidRPr="00637EE9">
        <w:rPr>
          <w:lang w:val="en-GB" w:eastAsia="en-AU"/>
        </w:rPr>
        <w:t xml:space="preserve"> and future implementation.</w:t>
      </w:r>
    </w:p>
    <w:p w14:paraId="4003CF1A" w14:textId="77777777" w:rsidR="002C7C5C" w:rsidRPr="00637EE9" w:rsidRDefault="002C7C5C" w:rsidP="002C7C5C">
      <w:pPr>
        <w:pStyle w:val="ListBullet"/>
        <w:rPr>
          <w:lang w:val="en-GB" w:eastAsia="en-AU"/>
        </w:rPr>
      </w:pPr>
      <w:r w:rsidRPr="00637EE9">
        <w:rPr>
          <w:lang w:val="en-GB" w:eastAsia="en-AU"/>
        </w:rPr>
        <w:lastRenderedPageBreak/>
        <w:t xml:space="preserve">Summary of planned </w:t>
      </w:r>
      <w:r>
        <w:rPr>
          <w:lang w:val="en-GB" w:eastAsia="en-AU"/>
        </w:rPr>
        <w:t>engagement</w:t>
      </w:r>
      <w:r w:rsidRPr="00637EE9">
        <w:rPr>
          <w:lang w:val="en-GB" w:eastAsia="en-AU"/>
        </w:rPr>
        <w:t xml:space="preserve"> activities in the future.</w:t>
      </w:r>
    </w:p>
    <w:p w14:paraId="6D2CF01C" w14:textId="77777777" w:rsidR="002C7C5C" w:rsidRDefault="002C7C5C" w:rsidP="002C7C5C">
      <w:pPr>
        <w:pStyle w:val="ListBullet"/>
        <w:rPr>
          <w:lang w:val="en-GB" w:eastAsia="en-AU"/>
        </w:rPr>
      </w:pPr>
      <w:r w:rsidRPr="00637EE9">
        <w:rPr>
          <w:lang w:val="en-GB" w:eastAsia="en-AU"/>
        </w:rPr>
        <w:t xml:space="preserve">Approach to local community engagement activities </w:t>
      </w:r>
      <w:r>
        <w:rPr>
          <w:lang w:val="en-GB" w:eastAsia="en-AU"/>
        </w:rPr>
        <w:t xml:space="preserve">and benefit sharing </w:t>
      </w:r>
      <w:r w:rsidRPr="00637EE9">
        <w:rPr>
          <w:lang w:val="en-GB" w:eastAsia="en-AU"/>
        </w:rPr>
        <w:t>that reflect the potential future impacts on the community.</w:t>
      </w:r>
    </w:p>
    <w:p w14:paraId="70044FF0" w14:textId="77777777" w:rsidR="002C7C5C" w:rsidRDefault="002C7C5C" w:rsidP="002C7C5C">
      <w:pPr>
        <w:pStyle w:val="ListBullet"/>
        <w:rPr>
          <w:lang w:val="en-GB" w:eastAsia="en-AU"/>
        </w:rPr>
      </w:pPr>
      <w:r>
        <w:rPr>
          <w:lang w:val="en-GB" w:eastAsia="en-AU"/>
        </w:rPr>
        <w:t xml:space="preserve">Adherence to any future community engagement guidelines or standards for renewable energy proponents as defined by the </w:t>
      </w:r>
      <w:r w:rsidRPr="6542C918">
        <w:rPr>
          <w:lang w:val="en-GB" w:eastAsia="en-AU"/>
        </w:rPr>
        <w:t xml:space="preserve">Australian </w:t>
      </w:r>
      <w:r w:rsidRPr="58B28B4B">
        <w:rPr>
          <w:lang w:val="en-GB" w:eastAsia="en-AU"/>
        </w:rPr>
        <w:t>Government</w:t>
      </w:r>
      <w:r w:rsidRPr="6542C918">
        <w:rPr>
          <w:lang w:val="en-GB" w:eastAsia="en-AU"/>
        </w:rPr>
        <w:t xml:space="preserve"> </w:t>
      </w:r>
      <w:r>
        <w:rPr>
          <w:lang w:val="en-GB" w:eastAsia="en-AU"/>
        </w:rPr>
        <w:t>and/or state and territory governments.</w:t>
      </w:r>
    </w:p>
    <w:p w14:paraId="707BAE6F" w14:textId="77777777" w:rsidR="002C7C5C" w:rsidRPr="00637EE9" w:rsidRDefault="002C7C5C" w:rsidP="002C7C5C">
      <w:pPr>
        <w:pStyle w:val="ListBullet"/>
        <w:rPr>
          <w:lang w:val="en-GB" w:eastAsia="en-AU"/>
        </w:rPr>
      </w:pPr>
      <w:r>
        <w:rPr>
          <w:lang w:val="en-GB" w:eastAsia="en-AU"/>
        </w:rPr>
        <w:t>Summary of planned approach to decommissioning and remediation.</w:t>
      </w:r>
    </w:p>
    <w:p w14:paraId="53DFC917" w14:textId="773A81E1" w:rsidR="002C7C5C" w:rsidRDefault="002C7C5C" w:rsidP="002C7C5C">
      <w:pPr>
        <w:rPr>
          <w:lang w:val="en-GB" w:eastAsia="en-AU"/>
        </w:rPr>
      </w:pPr>
      <w:r w:rsidRPr="00637EE9">
        <w:rPr>
          <w:lang w:val="en-GB" w:eastAsia="en-AU"/>
        </w:rPr>
        <w:t>It is important to note that State</w:t>
      </w:r>
      <w:r>
        <w:rPr>
          <w:lang w:val="en-GB" w:eastAsia="en-AU"/>
        </w:rPr>
        <w:t xml:space="preserve"> and Territory g</w:t>
      </w:r>
      <w:r w:rsidRPr="00637EE9">
        <w:rPr>
          <w:lang w:val="en-GB" w:eastAsia="en-AU"/>
        </w:rPr>
        <w:t xml:space="preserve">overnments have the flexibility to create local requirements for community and First Nations engagement through regulation or legislation. These requirements could vary across </w:t>
      </w:r>
      <w:bookmarkStart w:id="151" w:name="_Int_xY3ze8rI"/>
      <w:r w:rsidRPr="00637EE9">
        <w:rPr>
          <w:lang w:val="en-GB" w:eastAsia="en-AU"/>
        </w:rPr>
        <w:t>jurisdictions</w:t>
      </w:r>
      <w:bookmarkEnd w:id="151"/>
      <w:r w:rsidRPr="00637EE9">
        <w:rPr>
          <w:lang w:val="en-GB" w:eastAsia="en-AU"/>
        </w:rPr>
        <w:t xml:space="preserve"> and could include geographic restrictions based on renewable energy zones, or targets for categories of workers. The CIS</w:t>
      </w:r>
      <w:r>
        <w:rPr>
          <w:lang w:val="en-GB" w:eastAsia="en-AU"/>
        </w:rPr>
        <w:t>A is expected to</w:t>
      </w:r>
      <w:r w:rsidRPr="00637EE9">
        <w:rPr>
          <w:lang w:val="en-GB" w:eastAsia="en-AU"/>
        </w:rPr>
        <w:t xml:space="preserve"> support this by requiring compliance with </w:t>
      </w:r>
      <w:r w:rsidR="49515570" w:rsidRPr="170F23BE">
        <w:rPr>
          <w:lang w:val="en-GB" w:eastAsia="en-AU"/>
        </w:rPr>
        <w:t xml:space="preserve">relevant </w:t>
      </w:r>
      <w:r w:rsidR="242D22A3" w:rsidRPr="22491F91">
        <w:rPr>
          <w:lang w:val="en-GB" w:eastAsia="en-AU"/>
        </w:rPr>
        <w:t xml:space="preserve">WA </w:t>
      </w:r>
      <w:proofErr w:type="gramStart"/>
      <w:r w:rsidR="242D22A3" w:rsidRPr="22491F91">
        <w:rPr>
          <w:lang w:val="en-GB" w:eastAsia="en-AU"/>
        </w:rPr>
        <w:t>government</w:t>
      </w:r>
      <w:r w:rsidR="612D788B" w:rsidRPr="22491F91">
        <w:rPr>
          <w:lang w:val="en-GB" w:eastAsia="en-AU"/>
        </w:rPr>
        <w:t xml:space="preserve"> imposed</w:t>
      </w:r>
      <w:proofErr w:type="gramEnd"/>
      <w:r w:rsidR="612D788B" w:rsidRPr="22491F91">
        <w:rPr>
          <w:lang w:val="en-GB" w:eastAsia="en-AU"/>
        </w:rPr>
        <w:t xml:space="preserve"> </w:t>
      </w:r>
      <w:r w:rsidRPr="22491F91">
        <w:rPr>
          <w:lang w:val="en-GB" w:eastAsia="en-AU"/>
        </w:rPr>
        <w:t>requirements.</w:t>
      </w:r>
    </w:p>
    <w:p w14:paraId="4B325F6E" w14:textId="195E39B8" w:rsidR="002C7C5C" w:rsidRDefault="002C7C5C" w:rsidP="002C7C5C">
      <w:r>
        <w:t xml:space="preserve">The national consultation on the </w:t>
      </w:r>
      <w:hyperlink r:id="rId28" w:history="1">
        <w:r w:rsidRPr="00DC2406">
          <w:rPr>
            <w:rStyle w:val="Hyperlink"/>
          </w:rPr>
          <w:t>First Nations Clean Energy Strategy</w:t>
        </w:r>
      </w:hyperlink>
      <w:r>
        <w:t xml:space="preserve"> has identified clear themes regarding First Nations participation and benefit sharing, including examples from international </w:t>
      </w:r>
      <w:bookmarkStart w:id="152" w:name="_Int_beX0nuGP"/>
      <w:r>
        <w:t>jurisdictions</w:t>
      </w:r>
      <w:bookmarkEnd w:id="152"/>
      <w:r>
        <w:t>, such as Canada, and domestically in the resource</w:t>
      </w:r>
      <w:r w:rsidR="00D603E7">
        <w:t>s</w:t>
      </w:r>
      <w:r>
        <w:t xml:space="preserve"> sector. Understanding options to support greater participation is encouraged.</w:t>
      </w:r>
    </w:p>
    <w:p w14:paraId="6683E443" w14:textId="7D616E6C" w:rsidR="002C7C5C" w:rsidRPr="004D26A1" w:rsidRDefault="002C7C5C" w:rsidP="002C7C5C">
      <w:pPr>
        <w:rPr>
          <w:rFonts w:ascii="Calibri" w:hAnsi="Calibri" w:cs="Calibri"/>
        </w:rPr>
      </w:pPr>
      <w:r>
        <w:t xml:space="preserve">The recently concluded </w:t>
      </w:r>
      <w:hyperlink r:id="rId29" w:history="1">
        <w:r w:rsidRPr="00DC2406">
          <w:rPr>
            <w:rStyle w:val="Hyperlink"/>
          </w:rPr>
          <w:t>Community Engagement Review</w:t>
        </w:r>
      </w:hyperlink>
      <w:r>
        <w:t xml:space="preserve"> conducted by the Australian Energy Infrastructure Commissioner recommends that a voluntary renewable energy developer community engagement ratings scheme be established and that a positive rating be a requirement for a project to receive government support, including through the CIS. This is currently under consideration by the Energy and Climate Ministerial Council.</w:t>
      </w:r>
    </w:p>
    <w:p w14:paraId="03459995" w14:textId="02A0B1C1" w:rsidR="000B5461" w:rsidRPr="00AE57A3" w:rsidRDefault="000B5461" w:rsidP="000B5461">
      <w:pPr>
        <w:rPr>
          <w:b/>
          <w:bCs/>
        </w:rPr>
      </w:pPr>
      <w:r w:rsidRPr="00AE57A3">
        <w:rPr>
          <w:b/>
          <w:bCs/>
        </w:rPr>
        <w:t>Contribution to system reliability</w:t>
      </w:r>
    </w:p>
    <w:p w14:paraId="446AB904" w14:textId="3DBD0515" w:rsidR="000B5461" w:rsidRDefault="000B5461" w:rsidP="000B5461">
      <w:pPr>
        <w:spacing w:after="240" w:line="276" w:lineRule="auto"/>
      </w:pPr>
      <w:r>
        <w:t>The CIS assessment will include a limited review of contribution to reliability, with the aim of reflecting the same principles that are used in the RCM certification and Capacity Credit assignment processes. These RCM processes assess the reliability contribution in more detail, including thorough consideration of plant technical capability at different temperatures, the alignment of renewable capacity facility output with system need through the Relevant Level Method (RLM)</w:t>
      </w:r>
      <w:r w:rsidRPr="00094156">
        <w:rPr>
          <w:rStyle w:val="FootnoteReference"/>
          <w:lang w:val="en-GB" w:eastAsia="en-AU"/>
        </w:rPr>
        <w:footnoteReference w:id="22"/>
      </w:r>
      <w:r>
        <w:t xml:space="preserve">, and analysis of network capacity and constraints through the </w:t>
      </w:r>
      <w:r w:rsidRPr="00A93E1E">
        <w:rPr>
          <w:lang w:val="en-GB" w:eastAsia="en-AU"/>
        </w:rPr>
        <w:t>Network Access Quantity (NAQ)</w:t>
      </w:r>
      <w:r w:rsidRPr="00A93E1E">
        <w:rPr>
          <w:rStyle w:val="FootnoteReference"/>
          <w:lang w:val="en-GB" w:eastAsia="en-AU"/>
        </w:rPr>
        <w:footnoteReference w:id="23"/>
      </w:r>
      <w:r w:rsidRPr="00A93E1E">
        <w:rPr>
          <w:lang w:val="en-GB" w:eastAsia="en-AU"/>
        </w:rPr>
        <w:t xml:space="preserve"> processes</w:t>
      </w:r>
      <w:r>
        <w:t>. It is not intended</w:t>
      </w:r>
      <w:r w:rsidR="0074412E">
        <w:t xml:space="preserve"> that the CIS tender process would</w:t>
      </w:r>
      <w:r>
        <w:t xml:space="preserve"> duplicate </w:t>
      </w:r>
      <w:r w:rsidR="0074412E">
        <w:t>those aspects of the RCM process</w:t>
      </w:r>
      <w:r>
        <w:t xml:space="preserve">. </w:t>
      </w:r>
    </w:p>
    <w:p w14:paraId="687A5788" w14:textId="77777777" w:rsidR="000B5461" w:rsidRPr="00EF6BC1" w:rsidRDefault="000B5461" w:rsidP="00660713">
      <w:pPr>
        <w:rPr>
          <w:i/>
          <w:iCs/>
        </w:rPr>
      </w:pPr>
    </w:p>
    <w:p w14:paraId="5FEDBB6A" w14:textId="69CFF521" w:rsidR="00660713" w:rsidRPr="000374F5" w:rsidRDefault="00660713" w:rsidP="00093A57">
      <w:pPr>
        <w:pStyle w:val="Heading3"/>
      </w:pPr>
      <w:bookmarkStart w:id="153" w:name="_Toc161385868"/>
      <w:bookmarkStart w:id="154" w:name="_Toc161388255"/>
      <w:bookmarkStart w:id="155" w:name="_Toc161388555"/>
      <w:r w:rsidRPr="000374F5">
        <w:t xml:space="preserve">Financial bid (Stage B) – </w:t>
      </w:r>
      <w:r w:rsidR="000B5461">
        <w:t>financial</w:t>
      </w:r>
      <w:r w:rsidRPr="000374F5">
        <w:t xml:space="preserve"> assessment</w:t>
      </w:r>
      <w:bookmarkEnd w:id="153"/>
      <w:bookmarkEnd w:id="154"/>
      <w:bookmarkEnd w:id="155"/>
    </w:p>
    <w:p w14:paraId="3E3BCDDA" w14:textId="77777777" w:rsidR="00660713" w:rsidRPr="000374F5" w:rsidRDefault="00660713" w:rsidP="00660713">
      <w:r w:rsidRPr="000374F5">
        <w:t>The second stage of the merit assessment will require proponents to submit pricing bid variables. Projects will be assessed against the CIS’s policy objectives to support system reliability at a minimal cost to taxpayers.</w:t>
      </w:r>
    </w:p>
    <w:p w14:paraId="30A926FD" w14:textId="2C322DD7" w:rsidR="00660713" w:rsidRPr="00E1479A" w:rsidRDefault="000B5461" w:rsidP="00660713">
      <w:pPr>
        <w:rPr>
          <w:b/>
          <w:bCs/>
        </w:rPr>
      </w:pPr>
      <w:bookmarkStart w:id="156" w:name="_Hlk141439700"/>
      <w:r>
        <w:rPr>
          <w:b/>
          <w:bCs/>
        </w:rPr>
        <w:t>Financial Value</w:t>
      </w:r>
    </w:p>
    <w:bookmarkEnd w:id="156"/>
    <w:p w14:paraId="18FB8691" w14:textId="26D53734" w:rsidR="00E55A87" w:rsidRDefault="00E55A87" w:rsidP="00E55A87">
      <w:r>
        <w:t>Generation Projects</w:t>
      </w:r>
    </w:p>
    <w:p w14:paraId="04663A94" w14:textId="77777777" w:rsidR="00E55A87" w:rsidRDefault="00E55A87" w:rsidP="00E55A87">
      <w:r>
        <w:lastRenderedPageBreak/>
        <w:t xml:space="preserve">Projects will be assessed on their value to taxpayers and electricity consumers against forecast cost to the Australian Government across a range of future market scenarios, </w:t>
      </w:r>
      <w:proofErr w:type="gramStart"/>
      <w:r>
        <w:t>taking into account</w:t>
      </w:r>
      <w:proofErr w:type="gramEnd"/>
      <w:r>
        <w:t xml:space="preserve"> the dispatch-weighted prices (i.e. the value of energy) likely to be received by projects. The assessment may consider modelling of several future wholesale electricity market scenarios based on technical information provided by projects and will include consideration of reliability benefits. </w:t>
      </w:r>
    </w:p>
    <w:p w14:paraId="60E1E155" w14:textId="77777777" w:rsidR="00E55A87" w:rsidRDefault="00E55A87" w:rsidP="00E55A87">
      <w:r>
        <w:t>Clean Dispatchable Projects</w:t>
      </w:r>
    </w:p>
    <w:p w14:paraId="548E621A" w14:textId="51F70603" w:rsidR="00E55A87" w:rsidRDefault="00E55A87" w:rsidP="00E55A87">
      <w:r>
        <w:t xml:space="preserve">A similar approach as outlined above will be applied for Clean Dispatchable Projects. However, the Project’s impact on reliability and on broader system benefits will be weighted more heavily. Furthermore, the Project’s ability to reduce market price volatility will be considered. </w:t>
      </w:r>
    </w:p>
    <w:p w14:paraId="755672AF" w14:textId="77777777" w:rsidR="00E55A87" w:rsidRPr="00C85352" w:rsidRDefault="00E55A87" w:rsidP="00E55A87">
      <w:pPr>
        <w:rPr>
          <w:b/>
          <w:bCs/>
        </w:rPr>
      </w:pPr>
      <w:r w:rsidRPr="00C85352">
        <w:rPr>
          <w:b/>
          <w:bCs/>
        </w:rPr>
        <w:t>Commercial departures</w:t>
      </w:r>
    </w:p>
    <w:p w14:paraId="107A8B5A" w14:textId="77777777" w:rsidR="00E55A87" w:rsidRDefault="00E55A87" w:rsidP="00E55A87">
      <w:r>
        <w:t>Stage B will also assess the competitiveness of a project’s key bid variables, proposed commercial risk allocation and additional administrative burden from the proforma Project Documents.</w:t>
      </w:r>
    </w:p>
    <w:p w14:paraId="4840C533" w14:textId="77777777" w:rsidR="00E55A87" w:rsidRPr="00C85352" w:rsidRDefault="00E55A87" w:rsidP="00E55A87">
      <w:pPr>
        <w:rPr>
          <w:b/>
          <w:bCs/>
        </w:rPr>
      </w:pPr>
      <w:r w:rsidRPr="00C85352">
        <w:rPr>
          <w:b/>
          <w:bCs/>
        </w:rPr>
        <w:t>Social licence commitments</w:t>
      </w:r>
    </w:p>
    <w:p w14:paraId="77DA16A2" w14:textId="77777777" w:rsidR="00E55A87" w:rsidRDefault="00E55A87" w:rsidP="00E55A87">
      <w:r>
        <w:t xml:space="preserve">Proponents and projects will be assessed on their social licence commitments and shared benefits established, or to be established within the project’s community. These assessments may consider if the project has: </w:t>
      </w:r>
    </w:p>
    <w:p w14:paraId="04A32E48" w14:textId="77777777" w:rsidR="00E55A87" w:rsidRDefault="00E55A87" w:rsidP="00E55A87">
      <w:r>
        <w:t>•</w:t>
      </w:r>
      <w:r>
        <w:tab/>
        <w:t>Incorporated local community interests in the design process.</w:t>
      </w:r>
    </w:p>
    <w:p w14:paraId="03332327" w14:textId="77777777" w:rsidR="00E55A87" w:rsidRDefault="00E55A87" w:rsidP="00E55A87">
      <w:r>
        <w:t>•</w:t>
      </w:r>
      <w:r>
        <w:tab/>
        <w:t>Committed to include local employment and training of apprentices.</w:t>
      </w:r>
    </w:p>
    <w:p w14:paraId="5BD83BF9" w14:textId="77777777" w:rsidR="00E55A87" w:rsidRDefault="00E55A87" w:rsidP="00E55A87">
      <w:r>
        <w:t>•</w:t>
      </w:r>
      <w:r>
        <w:tab/>
        <w:t>Demonstrated benefits to the Australian supply chain market.</w:t>
      </w:r>
    </w:p>
    <w:p w14:paraId="0A8D7CB9" w14:textId="2C8DAE41" w:rsidR="00660713" w:rsidRDefault="00E55A87" w:rsidP="00660713">
      <w:r>
        <w:t xml:space="preserve">This merit criterion may also consider the degree to which a project demonstrates substantial development of strategies and activities to ensure the successful implementation of their social licence commitments. </w:t>
      </w:r>
    </w:p>
    <w:p w14:paraId="6AE395AA" w14:textId="77777777" w:rsidR="00462C9B" w:rsidRDefault="00462C9B" w:rsidP="00615FFE">
      <w:pPr>
        <w:pStyle w:val="Heading2"/>
      </w:pPr>
      <w:bookmarkStart w:id="157" w:name="_Toc161388194"/>
      <w:bookmarkStart w:id="158" w:name="_Toc161388222"/>
      <w:bookmarkStart w:id="159" w:name="_Toc161388256"/>
      <w:bookmarkStart w:id="160" w:name="_Toc161388556"/>
      <w:bookmarkStart w:id="161" w:name="_Toc161388591"/>
      <w:bookmarkStart w:id="162" w:name="_Toc161388733"/>
      <w:bookmarkStart w:id="163" w:name="_Toc161388805"/>
      <w:bookmarkStart w:id="164" w:name="_Toc161388939"/>
      <w:bookmarkStart w:id="165" w:name="_Toc161390055"/>
      <w:bookmarkStart w:id="166" w:name="_Toc161390465"/>
      <w:bookmarkStart w:id="167" w:name="_Toc161390485"/>
      <w:bookmarkStart w:id="168" w:name="_Toc161390504"/>
      <w:bookmarkStart w:id="169" w:name="_Toc161390533"/>
      <w:bookmarkStart w:id="170" w:name="_Toc161652790"/>
      <w:bookmarkStart w:id="171" w:name="_Toc148455986"/>
      <w:bookmarkStart w:id="172" w:name="_Ref157408629"/>
      <w:bookmarkStart w:id="173" w:name="_Toc161385869"/>
      <w:bookmarkStart w:id="174" w:name="_Toc161388257"/>
      <w:bookmarkStart w:id="175" w:name="_Toc161388557"/>
      <w:bookmarkStart w:id="176" w:name="_Toc16316271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t>Setting the CIS contribution to capacity and reliability in the WEM</w:t>
      </w:r>
      <w:bookmarkEnd w:id="171"/>
      <w:bookmarkEnd w:id="172"/>
      <w:bookmarkEnd w:id="173"/>
      <w:bookmarkEnd w:id="174"/>
      <w:bookmarkEnd w:id="175"/>
      <w:bookmarkEnd w:id="176"/>
    </w:p>
    <w:p w14:paraId="13A7A94B" w14:textId="6BC86116" w:rsidR="00F814C9" w:rsidRDefault="002339FF" w:rsidP="00CC3618">
      <w:r w:rsidRPr="00F87ADC">
        <w:rPr>
          <w:lang w:val="en-GB" w:eastAsia="en-AU"/>
        </w:rPr>
        <w:t xml:space="preserve">As outlined in section </w:t>
      </w:r>
      <w:r w:rsidRPr="00F87ADC">
        <w:rPr>
          <w:lang w:val="en-GB" w:eastAsia="en-AU"/>
        </w:rPr>
        <w:fldChar w:fldCharType="begin"/>
      </w:r>
      <w:r w:rsidRPr="00F87ADC">
        <w:rPr>
          <w:lang w:val="en-GB" w:eastAsia="en-AU"/>
        </w:rPr>
        <w:instrText xml:space="preserve"> REF _Ref157527227 \r \h </w:instrText>
      </w:r>
      <w:r w:rsidR="00F87ADC">
        <w:rPr>
          <w:lang w:val="en-GB" w:eastAsia="en-AU"/>
        </w:rPr>
        <w:instrText xml:space="preserve"> \* MERGEFORMAT </w:instrText>
      </w:r>
      <w:r w:rsidRPr="00F87ADC">
        <w:rPr>
          <w:lang w:val="en-GB" w:eastAsia="en-AU"/>
        </w:rPr>
      </w:r>
      <w:r w:rsidRPr="00F87ADC">
        <w:rPr>
          <w:lang w:val="en-GB" w:eastAsia="en-AU"/>
        </w:rPr>
        <w:fldChar w:fldCharType="separate"/>
      </w:r>
      <w:r w:rsidR="00C626DE">
        <w:rPr>
          <w:lang w:val="en-GB" w:eastAsia="en-AU"/>
        </w:rPr>
        <w:t>1.1</w:t>
      </w:r>
      <w:r w:rsidRPr="00F87ADC">
        <w:rPr>
          <w:lang w:val="en-GB" w:eastAsia="en-AU"/>
        </w:rPr>
        <w:fldChar w:fldCharType="end"/>
      </w:r>
      <w:r w:rsidRPr="00F87ADC">
        <w:rPr>
          <w:lang w:val="en-GB" w:eastAsia="en-AU"/>
        </w:rPr>
        <w:t xml:space="preserve">, the CIS </w:t>
      </w:r>
      <w:r w:rsidR="00F87ADC" w:rsidRPr="00F87ADC">
        <w:rPr>
          <w:lang w:val="en-GB" w:eastAsia="en-AU"/>
        </w:rPr>
        <w:t xml:space="preserve">will seek to support </w:t>
      </w:r>
      <w:r w:rsidR="00F87ADC" w:rsidRPr="00F87ADC">
        <w:t xml:space="preserve">the development of 9 GW of dispatchable capacity and 23 GW of </w:t>
      </w:r>
      <w:r w:rsidR="64797053" w:rsidRPr="00F87ADC">
        <w:t>renewable capacity</w:t>
      </w:r>
      <w:r w:rsidR="00F87ADC" w:rsidRPr="00F87ADC">
        <w:t xml:space="preserve"> across Australia. The allocation of these capacity targets between individual jurisdictions</w:t>
      </w:r>
      <w:r w:rsidR="000E1E78">
        <w:t xml:space="preserve"> will be </w:t>
      </w:r>
      <w:r w:rsidR="00554C37">
        <w:t xml:space="preserve">specified </w:t>
      </w:r>
      <w:r w:rsidR="000E1E78">
        <w:t xml:space="preserve">through </w:t>
      </w:r>
      <w:r w:rsidR="00554C37">
        <w:t>agreements</w:t>
      </w:r>
      <w:r w:rsidR="00E12DAC">
        <w:t xml:space="preserve"> </w:t>
      </w:r>
      <w:r w:rsidR="00673A87">
        <w:t xml:space="preserve">between the </w:t>
      </w:r>
      <w:r w:rsidR="00DC2133">
        <w:rPr>
          <w:lang w:val="en-GB" w:eastAsia="en-AU"/>
        </w:rPr>
        <w:t xml:space="preserve">Australian Government </w:t>
      </w:r>
      <w:r w:rsidR="00673A87">
        <w:t>and individual states and territories</w:t>
      </w:r>
      <w:r w:rsidR="00E401F6">
        <w:t xml:space="preserve"> – Renewable Energy </w:t>
      </w:r>
      <w:r w:rsidR="00CA7C66">
        <w:t>Transformation Agreements</w:t>
      </w:r>
      <w:r w:rsidR="002A6060">
        <w:t xml:space="preserve"> (RETAs)</w:t>
      </w:r>
      <w:r w:rsidR="00E401F6">
        <w:t>.</w:t>
      </w:r>
      <w:r w:rsidR="00AC50DF">
        <w:t xml:space="preserve"> </w:t>
      </w:r>
    </w:p>
    <w:p w14:paraId="7A7648B2" w14:textId="1778C6BB" w:rsidR="00930DF1" w:rsidRDefault="00930DF1" w:rsidP="00CC3618">
      <w:pPr>
        <w:rPr>
          <w:lang w:val="en-GB" w:eastAsia="en-AU"/>
        </w:rPr>
      </w:pPr>
      <w:r w:rsidRPr="001B1FE6">
        <w:rPr>
          <w:lang w:val="en-GB" w:eastAsia="en-AU"/>
        </w:rPr>
        <w:t xml:space="preserve">The CIS aims to make a meaningful contribution to </w:t>
      </w:r>
      <w:r w:rsidR="00B06ABE">
        <w:rPr>
          <w:lang w:val="en-GB" w:eastAsia="en-AU"/>
        </w:rPr>
        <w:t>achieving</w:t>
      </w:r>
      <w:r w:rsidRPr="001B1FE6">
        <w:rPr>
          <w:lang w:val="en-GB" w:eastAsia="en-AU"/>
        </w:rPr>
        <w:t xml:space="preserve"> near-term and medium-term capacity </w:t>
      </w:r>
      <w:r w:rsidRPr="00AC50DF">
        <w:rPr>
          <w:lang w:val="en-GB" w:eastAsia="en-AU"/>
        </w:rPr>
        <w:t xml:space="preserve">requirements </w:t>
      </w:r>
      <w:r w:rsidR="00B06ABE">
        <w:rPr>
          <w:lang w:val="en-GB" w:eastAsia="en-AU"/>
        </w:rPr>
        <w:t>which are currently forecast</w:t>
      </w:r>
      <w:r w:rsidRPr="00AC50DF">
        <w:rPr>
          <w:lang w:val="en-GB" w:eastAsia="en-AU"/>
        </w:rPr>
        <w:t xml:space="preserve"> in the WEM. </w:t>
      </w:r>
      <w:r w:rsidR="00AC50DF" w:rsidRPr="00AC50DF">
        <w:t>Substantial volumes of dispatchable and non-dispatchable capacity are also expected to be built outside of the CIS, including by investors responding to market price signals and potentially through Western Australian Government support.</w:t>
      </w:r>
      <w:r w:rsidR="008C2E50" w:rsidRPr="008C2E50">
        <w:rPr>
          <w:lang w:val="en-GB" w:eastAsia="en-AU"/>
        </w:rPr>
        <w:t xml:space="preserve"> </w:t>
      </w:r>
    </w:p>
    <w:p w14:paraId="77FC971B" w14:textId="749F56E0" w:rsidR="00545481" w:rsidRPr="00C85352" w:rsidRDefault="6FD981C4" w:rsidP="00C85352">
      <w:pPr>
        <w:spacing w:before="120" w:after="120"/>
        <w:rPr>
          <w:lang w:val="en-GB" w:eastAsia="en-AU"/>
        </w:rPr>
      </w:pPr>
      <w:r>
        <w:t xml:space="preserve"> Subject to a final Renewable Energy Transformation Agreement being agreed by the Commonwealth and WA Governments and the availability of suitably meritorious projects, the CIS is expected target an indicative 6.5 TWh of VRE and 1.1 GW of four-hour equivalent dispatchable capacity in the WEM over the period to 2030.</w:t>
      </w:r>
      <w:r w:rsidR="000760B1">
        <w:t xml:space="preserve"> </w:t>
      </w:r>
      <w:r>
        <w:t>DCCEEW is preparing to commence the first CIS tender for the WEM in June 2024, with an indicative target of 500 MW of clean dispatchable capacity</w:t>
      </w:r>
      <w:r w:rsidR="00545481" w:rsidRPr="00093A57">
        <w:t>.</w:t>
      </w:r>
    </w:p>
    <w:p w14:paraId="35457783" w14:textId="77777777" w:rsidR="005641C1" w:rsidRPr="001B1FE6" w:rsidRDefault="005641C1" w:rsidP="00CC3618">
      <w:pPr>
        <w:rPr>
          <w:lang w:val="en-GB" w:eastAsia="en-AU"/>
        </w:rPr>
      </w:pPr>
    </w:p>
    <w:p w14:paraId="107AD04D" w14:textId="77777777" w:rsidR="00A41E22" w:rsidRDefault="00A41E22" w:rsidP="00615FFE">
      <w:pPr>
        <w:pStyle w:val="Heading2"/>
      </w:pPr>
      <w:bookmarkStart w:id="177" w:name="_Ref157408722"/>
      <w:bookmarkStart w:id="178" w:name="_Toc161385870"/>
      <w:bookmarkStart w:id="179" w:name="_Toc161388258"/>
      <w:bookmarkStart w:id="180" w:name="_Toc161388558"/>
      <w:bookmarkStart w:id="181" w:name="_Toc163162717"/>
      <w:r>
        <w:lastRenderedPageBreak/>
        <w:t>Underwriting instrument design</w:t>
      </w:r>
      <w:bookmarkEnd w:id="177"/>
      <w:bookmarkEnd w:id="178"/>
      <w:bookmarkEnd w:id="179"/>
      <w:bookmarkEnd w:id="180"/>
      <w:bookmarkEnd w:id="181"/>
    </w:p>
    <w:p w14:paraId="7E05BB00" w14:textId="1FD4C76A" w:rsidR="00D637F3" w:rsidRDefault="00A23451" w:rsidP="00CC3618">
      <w:pPr>
        <w:rPr>
          <w:lang w:val="en-GB" w:eastAsia="en-AU"/>
        </w:rPr>
      </w:pPr>
      <w:r w:rsidRPr="00346DC4">
        <w:rPr>
          <w:lang w:val="en-GB" w:eastAsia="en-AU"/>
        </w:rPr>
        <w:t xml:space="preserve">An objective of the CIS is to accelerate the deployment of renewable capacity in the WEM by reducing risk to investors. This section outlines the commercial key features </w:t>
      </w:r>
      <w:r w:rsidR="00C93482">
        <w:rPr>
          <w:lang w:val="en-GB" w:eastAsia="en-AU"/>
        </w:rPr>
        <w:t>intended to be reflected in</w:t>
      </w:r>
      <w:r w:rsidRPr="00346DC4">
        <w:rPr>
          <w:lang w:val="en-GB" w:eastAsia="en-AU"/>
        </w:rPr>
        <w:t xml:space="preserve"> the underwriting agreement.</w:t>
      </w:r>
    </w:p>
    <w:p w14:paraId="1BCF640F" w14:textId="2D80626C" w:rsidR="00346DC4" w:rsidRPr="006D7828" w:rsidRDefault="00346DC4" w:rsidP="00093A57">
      <w:pPr>
        <w:pStyle w:val="Heading3"/>
      </w:pPr>
      <w:bookmarkStart w:id="182" w:name="_Toc161385871"/>
      <w:bookmarkStart w:id="183" w:name="_Toc161388259"/>
      <w:bookmarkStart w:id="184" w:name="_Toc161388559"/>
      <w:r w:rsidRPr="006D7828">
        <w:t>Principles of the CIS</w:t>
      </w:r>
      <w:r w:rsidR="00ED2935">
        <w:t>A</w:t>
      </w:r>
      <w:r w:rsidRPr="006D7828">
        <w:t xml:space="preserve"> commercial structure</w:t>
      </w:r>
      <w:bookmarkEnd w:id="182"/>
      <w:bookmarkEnd w:id="183"/>
      <w:bookmarkEnd w:id="184"/>
    </w:p>
    <w:p w14:paraId="7E3E52AF" w14:textId="77777777" w:rsidR="00346DC4" w:rsidRPr="00346DC4" w:rsidRDefault="00346DC4" w:rsidP="00CC3618">
      <w:pPr>
        <w:rPr>
          <w:lang w:val="en-GB" w:eastAsia="en-AU"/>
        </w:rPr>
      </w:pPr>
      <w:r w:rsidRPr="00346DC4">
        <w:rPr>
          <w:lang w:val="en-GB" w:eastAsia="en-AU"/>
        </w:rPr>
        <w:t>The CIS commercial structure is intended to deliver the broader objectives of the CIS, and to ensure that the following subsidiary objectives are achieved:</w:t>
      </w:r>
    </w:p>
    <w:p w14:paraId="37F70F77" w14:textId="77777777" w:rsidR="00346DC4" w:rsidRPr="00346DC4" w:rsidRDefault="00346DC4" w:rsidP="00346DC4">
      <w:pPr>
        <w:pStyle w:val="ListParagraph"/>
        <w:numPr>
          <w:ilvl w:val="0"/>
          <w:numId w:val="21"/>
        </w:numPr>
        <w:rPr>
          <w:lang w:val="en-GB" w:eastAsia="en-AU"/>
        </w:rPr>
      </w:pPr>
      <w:r w:rsidRPr="00346DC4">
        <w:rPr>
          <w:lang w:val="en-GB" w:eastAsia="en-AU"/>
        </w:rPr>
        <w:t xml:space="preserve">Investor certainty is increased through a combination of the long-term underwriting and the tender process. The tender process is used to set key commercial terms in the CIS underwriting </w:t>
      </w:r>
      <w:proofErr w:type="gramStart"/>
      <w:r w:rsidRPr="00346DC4">
        <w:rPr>
          <w:lang w:val="en-GB" w:eastAsia="en-AU"/>
        </w:rPr>
        <w:t>agreement;</w:t>
      </w:r>
      <w:proofErr w:type="gramEnd"/>
    </w:p>
    <w:p w14:paraId="1C1926DE" w14:textId="77777777" w:rsidR="00346DC4" w:rsidRPr="00346DC4" w:rsidRDefault="00346DC4" w:rsidP="00346DC4">
      <w:pPr>
        <w:pStyle w:val="ListParagraph"/>
        <w:numPr>
          <w:ilvl w:val="0"/>
          <w:numId w:val="21"/>
        </w:numPr>
        <w:rPr>
          <w:lang w:val="en-GB" w:eastAsia="en-AU"/>
        </w:rPr>
      </w:pPr>
      <w:r w:rsidRPr="00346DC4">
        <w:rPr>
          <w:lang w:val="en-GB" w:eastAsia="en-AU"/>
        </w:rPr>
        <w:t>Limited to no impact on WEM and RCM functions. Except for performance and RCM engagement requirements, the CIS is not seeking to impose operational requirements on projects. The operation of projects contracted under the CIS are expected to be directed by the WEM and RCM and their associated rules; and</w:t>
      </w:r>
    </w:p>
    <w:p w14:paraId="0BF4D5F0" w14:textId="2F2E1443" w:rsidR="00346DC4" w:rsidRPr="00346DC4" w:rsidRDefault="00346DC4" w:rsidP="00346DC4">
      <w:pPr>
        <w:pStyle w:val="ListParagraph"/>
        <w:numPr>
          <w:ilvl w:val="0"/>
          <w:numId w:val="21"/>
        </w:numPr>
        <w:rPr>
          <w:lang w:val="en-GB" w:eastAsia="en-AU"/>
        </w:rPr>
      </w:pPr>
      <w:r w:rsidRPr="00346DC4">
        <w:rPr>
          <w:lang w:val="en-GB" w:eastAsia="en-AU"/>
        </w:rPr>
        <w:t xml:space="preserve">Flexibility in contracting and participating in the wholesale contracts market. Projects will be able to sign a CIS underwriting agreement </w:t>
      </w:r>
      <w:r w:rsidR="00BF0D08">
        <w:rPr>
          <w:lang w:val="en-GB" w:eastAsia="en-AU"/>
        </w:rPr>
        <w:t>(CISA)</w:t>
      </w:r>
      <w:r w:rsidRPr="00346DC4">
        <w:rPr>
          <w:lang w:val="en-GB" w:eastAsia="en-AU"/>
        </w:rPr>
        <w:t xml:space="preserve"> and other wholesale contracts. </w:t>
      </w:r>
    </w:p>
    <w:p w14:paraId="4AC01002" w14:textId="40A275BC" w:rsidR="00346DC4" w:rsidRPr="00346DC4" w:rsidRDefault="00346DC4" w:rsidP="00CC3618">
      <w:pPr>
        <w:rPr>
          <w:lang w:val="en-GB" w:eastAsia="en-AU"/>
        </w:rPr>
      </w:pPr>
      <w:r w:rsidRPr="00346DC4">
        <w:rPr>
          <w:lang w:val="en-GB" w:eastAsia="en-AU"/>
        </w:rPr>
        <w:t xml:space="preserve">A limited set of operational requirements </w:t>
      </w:r>
      <w:r w:rsidR="009D6B80">
        <w:rPr>
          <w:lang w:val="en-GB" w:eastAsia="en-AU"/>
        </w:rPr>
        <w:t>are expected to</w:t>
      </w:r>
      <w:r w:rsidRPr="00346DC4">
        <w:rPr>
          <w:lang w:val="en-GB" w:eastAsia="en-AU"/>
        </w:rPr>
        <w:t xml:space="preserve"> be included in the CIS underwriting agreement. These performance and participation requirements supplement the existing price signals and rules to ensure that projects receiving financial support from the </w:t>
      </w:r>
      <w:r w:rsidR="001129E5">
        <w:rPr>
          <w:lang w:val="en-GB" w:eastAsia="en-AU"/>
        </w:rPr>
        <w:t xml:space="preserve">Australian Government </w:t>
      </w:r>
      <w:r w:rsidRPr="00346DC4">
        <w:rPr>
          <w:lang w:val="en-GB" w:eastAsia="en-AU"/>
        </w:rPr>
        <w:t xml:space="preserve">participate in the WEM and RCM. They are summarised in section </w:t>
      </w:r>
      <w:r w:rsidRPr="00346DC4">
        <w:rPr>
          <w:lang w:val="en-GB" w:eastAsia="en-AU"/>
        </w:rPr>
        <w:fldChar w:fldCharType="begin"/>
      </w:r>
      <w:r w:rsidRPr="00346DC4">
        <w:rPr>
          <w:lang w:val="en-GB" w:eastAsia="en-AU"/>
        </w:rPr>
        <w:instrText xml:space="preserve"> REF _Ref157547309 \r \h </w:instrText>
      </w:r>
      <w:r>
        <w:rPr>
          <w:lang w:val="en-GB" w:eastAsia="en-AU"/>
        </w:rPr>
        <w:instrText xml:space="preserve"> \* MERGEFORMAT </w:instrText>
      </w:r>
      <w:r w:rsidRPr="00346DC4">
        <w:rPr>
          <w:lang w:val="en-GB" w:eastAsia="en-AU"/>
        </w:rPr>
      </w:r>
      <w:r w:rsidRPr="00346DC4">
        <w:rPr>
          <w:lang w:val="en-GB" w:eastAsia="en-AU"/>
        </w:rPr>
        <w:fldChar w:fldCharType="separate"/>
      </w:r>
      <w:r w:rsidR="006B659E">
        <w:rPr>
          <w:lang w:val="en-GB" w:eastAsia="en-AU"/>
        </w:rPr>
        <w:t>3.8.2</w:t>
      </w:r>
      <w:r w:rsidRPr="00346DC4">
        <w:rPr>
          <w:lang w:val="en-GB" w:eastAsia="en-AU"/>
        </w:rPr>
        <w:fldChar w:fldCharType="end"/>
      </w:r>
      <w:r w:rsidRPr="00346DC4">
        <w:rPr>
          <w:lang w:val="en-GB" w:eastAsia="en-AU"/>
        </w:rPr>
        <w:t>.</w:t>
      </w:r>
    </w:p>
    <w:p w14:paraId="39A873E5" w14:textId="79B184CC" w:rsidR="00A41E22" w:rsidRPr="006D7828" w:rsidRDefault="00A41E22" w:rsidP="00093A57">
      <w:pPr>
        <w:pStyle w:val="Heading3"/>
      </w:pPr>
      <w:bookmarkStart w:id="185" w:name="_Ref157547309"/>
      <w:bookmarkStart w:id="186" w:name="_Toc161385872"/>
      <w:bookmarkStart w:id="187" w:name="_Toc161388260"/>
      <w:bookmarkStart w:id="188" w:name="_Toc161388560"/>
      <w:r w:rsidRPr="006D7828">
        <w:t>Summary of the CIS</w:t>
      </w:r>
      <w:r w:rsidR="00ED2935">
        <w:t>A</w:t>
      </w:r>
      <w:r w:rsidRPr="006D7828">
        <w:t xml:space="preserve"> commercial structure</w:t>
      </w:r>
      <w:bookmarkEnd w:id="185"/>
      <w:bookmarkEnd w:id="186"/>
      <w:bookmarkEnd w:id="187"/>
      <w:bookmarkEnd w:id="188"/>
    </w:p>
    <w:p w14:paraId="0E72E466" w14:textId="04138300" w:rsidR="00A41E22" w:rsidRDefault="00A41E22" w:rsidP="00CC3618">
      <w:pPr>
        <w:rPr>
          <w:lang w:val="en-GB" w:eastAsia="en-AU"/>
        </w:rPr>
      </w:pPr>
      <w:r w:rsidRPr="006D7828">
        <w:rPr>
          <w:lang w:val="en-GB" w:eastAsia="en-AU"/>
        </w:rPr>
        <w:t xml:space="preserve">The high-level overview of the </w:t>
      </w:r>
      <w:r w:rsidR="00102181">
        <w:rPr>
          <w:lang w:val="en-GB" w:eastAsia="en-AU"/>
        </w:rPr>
        <w:t>expected</w:t>
      </w:r>
      <w:r w:rsidRPr="006D7828">
        <w:rPr>
          <w:lang w:val="en-GB" w:eastAsia="en-AU"/>
        </w:rPr>
        <w:t xml:space="preserve"> CIS</w:t>
      </w:r>
      <w:r w:rsidR="00102181">
        <w:rPr>
          <w:lang w:val="en-GB" w:eastAsia="en-AU"/>
        </w:rPr>
        <w:t>A</w:t>
      </w:r>
      <w:r w:rsidRPr="006D7828">
        <w:rPr>
          <w:lang w:val="en-GB" w:eastAsia="en-AU"/>
        </w:rPr>
        <w:t xml:space="preserve"> commercial structure </w:t>
      </w:r>
      <w:r w:rsidR="005E2A23">
        <w:rPr>
          <w:lang w:val="en-GB" w:eastAsia="en-AU"/>
        </w:rPr>
        <w:t>for Generation CISAs and</w:t>
      </w:r>
      <w:r w:rsidR="005E2A23" w:rsidRPr="005E2A23">
        <w:rPr>
          <w:lang w:val="en-GB" w:eastAsia="en-AU"/>
        </w:rPr>
        <w:t xml:space="preserve"> </w:t>
      </w:r>
      <w:r w:rsidR="005E2A23">
        <w:rPr>
          <w:lang w:val="en-GB" w:eastAsia="en-AU"/>
        </w:rPr>
        <w:t>Clean Dispatchable CISAs are</w:t>
      </w:r>
      <w:r w:rsidRPr="006D7828">
        <w:rPr>
          <w:lang w:val="en-GB" w:eastAsia="en-AU"/>
        </w:rPr>
        <w:t xml:space="preserve"> provided in </w:t>
      </w:r>
      <w:r w:rsidR="005E2A23" w:rsidRPr="005E2A23">
        <w:rPr>
          <w:lang w:val="en-GB" w:eastAsia="en-AU"/>
        </w:rPr>
        <w:fldChar w:fldCharType="begin"/>
      </w:r>
      <w:r w:rsidR="005E2A23" w:rsidRPr="005E2A23">
        <w:rPr>
          <w:lang w:val="en-GB" w:eastAsia="en-AU"/>
        </w:rPr>
        <w:instrText xml:space="preserve"> REF _Ref163459093 \h  \* MERGEFORMAT </w:instrText>
      </w:r>
      <w:r w:rsidR="005E2A23" w:rsidRPr="005E2A23">
        <w:rPr>
          <w:lang w:val="en-GB" w:eastAsia="en-AU"/>
        </w:rPr>
      </w:r>
      <w:r w:rsidR="005E2A23" w:rsidRPr="005E2A23">
        <w:rPr>
          <w:lang w:val="en-GB" w:eastAsia="en-AU"/>
        </w:rPr>
        <w:fldChar w:fldCharType="separate"/>
      </w:r>
      <w:r w:rsidR="005E2A23" w:rsidRPr="005E2A23">
        <w:rPr>
          <w:rFonts w:ascii="Calibri" w:hAnsi="Calibri" w:cs="Calibri"/>
          <w:sz w:val="24"/>
          <w:szCs w:val="24"/>
        </w:rPr>
        <w:t xml:space="preserve">Table </w:t>
      </w:r>
      <w:r w:rsidR="005E2A23" w:rsidRPr="005E2A23">
        <w:rPr>
          <w:rFonts w:ascii="Calibri" w:hAnsi="Calibri" w:cs="Calibri"/>
          <w:noProof/>
          <w:sz w:val="24"/>
          <w:szCs w:val="24"/>
        </w:rPr>
        <w:t>4</w:t>
      </w:r>
      <w:r w:rsidR="005E2A23" w:rsidRPr="005E2A23">
        <w:rPr>
          <w:lang w:val="en-GB" w:eastAsia="en-AU"/>
        </w:rPr>
        <w:fldChar w:fldCharType="end"/>
      </w:r>
      <w:r w:rsidR="005E2A23" w:rsidRPr="005E2A23">
        <w:rPr>
          <w:lang w:val="en-GB" w:eastAsia="en-AU"/>
        </w:rPr>
        <w:t xml:space="preserve"> and </w:t>
      </w:r>
      <w:r w:rsidR="005E2A23" w:rsidRPr="005E2A23">
        <w:rPr>
          <w:lang w:val="en-GB" w:eastAsia="en-AU"/>
        </w:rPr>
        <w:fldChar w:fldCharType="begin"/>
      </w:r>
      <w:r w:rsidR="005E2A23" w:rsidRPr="005E2A23">
        <w:rPr>
          <w:lang w:val="en-GB" w:eastAsia="en-AU"/>
        </w:rPr>
        <w:instrText xml:space="preserve"> REF _Ref163459097 \h  \* MERGEFORMAT </w:instrText>
      </w:r>
      <w:r w:rsidR="005E2A23" w:rsidRPr="005E2A23">
        <w:rPr>
          <w:lang w:val="en-GB" w:eastAsia="en-AU"/>
        </w:rPr>
      </w:r>
      <w:r w:rsidR="005E2A23" w:rsidRPr="005E2A23">
        <w:rPr>
          <w:lang w:val="en-GB" w:eastAsia="en-AU"/>
        </w:rPr>
        <w:fldChar w:fldCharType="separate"/>
      </w:r>
      <w:r w:rsidR="005E2A23" w:rsidRPr="005E2A23">
        <w:rPr>
          <w:rFonts w:ascii="Calibri" w:hAnsi="Calibri" w:cs="Calibri"/>
          <w:sz w:val="24"/>
          <w:szCs w:val="24"/>
        </w:rPr>
        <w:t xml:space="preserve">Table </w:t>
      </w:r>
      <w:r w:rsidR="005E2A23" w:rsidRPr="005E2A23">
        <w:rPr>
          <w:rFonts w:ascii="Calibri" w:hAnsi="Calibri" w:cs="Calibri"/>
          <w:noProof/>
          <w:sz w:val="24"/>
          <w:szCs w:val="24"/>
        </w:rPr>
        <w:t>4</w:t>
      </w:r>
      <w:r w:rsidR="005E2A23" w:rsidRPr="005E2A23">
        <w:rPr>
          <w:lang w:val="en-GB" w:eastAsia="en-AU"/>
        </w:rPr>
        <w:fldChar w:fldCharType="end"/>
      </w:r>
      <w:r w:rsidRPr="005E2A23">
        <w:rPr>
          <w:lang w:val="en-GB" w:eastAsia="en-AU"/>
        </w:rPr>
        <w:t xml:space="preserve"> </w:t>
      </w:r>
      <w:r w:rsidR="005E2A23" w:rsidRPr="005E2A23">
        <w:rPr>
          <w:lang w:val="en-GB" w:eastAsia="en-AU"/>
        </w:rPr>
        <w:t>below</w:t>
      </w:r>
      <w:r w:rsidR="005E2A23">
        <w:rPr>
          <w:lang w:val="en-GB" w:eastAsia="en-AU"/>
        </w:rPr>
        <w:t>, respectively.</w:t>
      </w:r>
    </w:p>
    <w:p w14:paraId="0CDF8F50" w14:textId="77777777" w:rsidR="00EB10B7" w:rsidRPr="006D7828" w:rsidRDefault="00EB10B7" w:rsidP="00CC3618">
      <w:pPr>
        <w:rPr>
          <w:lang w:val="en-GB" w:eastAsia="en-AU"/>
        </w:rPr>
      </w:pPr>
    </w:p>
    <w:p w14:paraId="2F79DBAE" w14:textId="77777777" w:rsidR="0027735D" w:rsidRPr="00211B65" w:rsidRDefault="0027735D" w:rsidP="0027735D">
      <w:pPr>
        <w:pStyle w:val="Caption"/>
        <w:rPr>
          <w:rFonts w:ascii="Calibri" w:hAnsi="Calibri" w:cs="Calibri"/>
          <w:b/>
          <w:sz w:val="24"/>
          <w:szCs w:val="24"/>
          <w:lang w:val="en-GB" w:eastAsia="en-AU"/>
        </w:rPr>
      </w:pPr>
      <w:bookmarkStart w:id="189" w:name="_Ref163459093"/>
      <w:bookmarkStart w:id="190" w:name="_Toc162947064"/>
      <w:r w:rsidRPr="00211B65">
        <w:rPr>
          <w:rFonts w:ascii="Calibri" w:hAnsi="Calibri" w:cs="Calibri"/>
          <w:b/>
          <w:bCs/>
          <w:i w:val="0"/>
          <w:iCs w:val="0"/>
          <w:sz w:val="24"/>
          <w:szCs w:val="24"/>
        </w:rPr>
        <w:t xml:space="preserve">Table </w:t>
      </w:r>
      <w:r w:rsidRPr="6B0C223A">
        <w:rPr>
          <w:rFonts w:ascii="Calibri" w:hAnsi="Calibri" w:cs="Calibri"/>
          <w:b/>
          <w:i w:val="0"/>
          <w:sz w:val="24"/>
          <w:szCs w:val="24"/>
        </w:rPr>
        <w:fldChar w:fldCharType="begin"/>
      </w:r>
      <w:r w:rsidRPr="6B0C223A">
        <w:rPr>
          <w:rFonts w:ascii="Calibri" w:hAnsi="Calibri" w:cs="Calibri"/>
          <w:b/>
          <w:i w:val="0"/>
          <w:sz w:val="24"/>
          <w:szCs w:val="24"/>
        </w:rPr>
        <w:instrText xml:space="preserve"> SEQ Table \* ARABIC </w:instrText>
      </w:r>
      <w:r w:rsidRPr="6B0C223A">
        <w:rPr>
          <w:rFonts w:ascii="Calibri" w:hAnsi="Calibri" w:cs="Calibri"/>
          <w:b/>
          <w:i w:val="0"/>
          <w:sz w:val="24"/>
          <w:szCs w:val="24"/>
        </w:rPr>
        <w:fldChar w:fldCharType="separate"/>
      </w:r>
      <w:r>
        <w:rPr>
          <w:rFonts w:ascii="Calibri" w:hAnsi="Calibri" w:cs="Calibri"/>
          <w:b/>
          <w:i w:val="0"/>
          <w:noProof/>
          <w:sz w:val="24"/>
          <w:szCs w:val="24"/>
        </w:rPr>
        <w:t>4</w:t>
      </w:r>
      <w:r w:rsidRPr="6B0C223A">
        <w:rPr>
          <w:rFonts w:ascii="Calibri" w:hAnsi="Calibri" w:cs="Calibri"/>
          <w:b/>
          <w:i w:val="0"/>
          <w:sz w:val="24"/>
          <w:szCs w:val="24"/>
        </w:rPr>
        <w:fldChar w:fldCharType="end"/>
      </w:r>
      <w:bookmarkEnd w:id="189"/>
      <w:r w:rsidRPr="00211B65">
        <w:rPr>
          <w:rFonts w:ascii="Calibri" w:hAnsi="Calibri" w:cs="Calibri"/>
          <w:b/>
          <w:bCs/>
          <w:i w:val="0"/>
          <w:iCs w:val="0"/>
          <w:sz w:val="24"/>
          <w:szCs w:val="24"/>
        </w:rPr>
        <w:t xml:space="preserve"> Summary of </w:t>
      </w:r>
      <w:r>
        <w:rPr>
          <w:rFonts w:ascii="Calibri" w:hAnsi="Calibri" w:cs="Calibri"/>
          <w:b/>
          <w:bCs/>
          <w:i w:val="0"/>
          <w:iCs w:val="0"/>
          <w:sz w:val="24"/>
          <w:szCs w:val="24"/>
        </w:rPr>
        <w:t xml:space="preserve">Generation </w:t>
      </w:r>
      <w:r w:rsidRPr="00211B65">
        <w:rPr>
          <w:rFonts w:ascii="Calibri" w:hAnsi="Calibri" w:cs="Calibri"/>
          <w:b/>
          <w:bCs/>
          <w:i w:val="0"/>
          <w:iCs w:val="0"/>
          <w:sz w:val="24"/>
          <w:szCs w:val="24"/>
        </w:rPr>
        <w:t>CISA commercial structure</w:t>
      </w:r>
      <w:bookmarkEnd w:id="190"/>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89"/>
        <w:gridCol w:w="6937"/>
      </w:tblGrid>
      <w:tr w:rsidR="0027735D" w:rsidRPr="00646D34" w14:paraId="02649B53" w14:textId="77777777" w:rsidTr="005D6C0B">
        <w:trPr>
          <w:trHeight w:val="25"/>
          <w:tblHeader/>
        </w:trPr>
        <w:tc>
          <w:tcPr>
            <w:tcW w:w="2089" w:type="dxa"/>
            <w:shd w:val="clear" w:color="auto" w:fill="197C7D"/>
            <w:noWrap/>
            <w:vAlign w:val="bottom"/>
            <w:hideMark/>
          </w:tcPr>
          <w:p w14:paraId="70ED7049" w14:textId="77777777" w:rsidR="0027735D" w:rsidRPr="00646D34" w:rsidRDefault="0027735D" w:rsidP="005D6C0B">
            <w:pPr>
              <w:keepNext/>
              <w:spacing w:before="60" w:after="60" w:line="240" w:lineRule="auto"/>
              <w:rPr>
                <w:rFonts w:ascii="Calibri" w:eastAsia="Calibri" w:hAnsi="Calibri" w:cs="Arial"/>
                <w:b/>
                <w:color w:val="FFFFFF"/>
                <w:sz w:val="18"/>
              </w:rPr>
            </w:pPr>
            <w:r w:rsidRPr="00646D34">
              <w:rPr>
                <w:rFonts w:ascii="Calibri" w:eastAsia="Calibri" w:hAnsi="Calibri" w:cs="Arial"/>
                <w:b/>
                <w:color w:val="FFFFFF"/>
                <w:sz w:val="18"/>
                <w:lang w:eastAsia="en-GB"/>
              </w:rPr>
              <w:t>Term</w:t>
            </w:r>
          </w:p>
        </w:tc>
        <w:tc>
          <w:tcPr>
            <w:tcW w:w="6937" w:type="dxa"/>
            <w:shd w:val="clear" w:color="auto" w:fill="197C7D"/>
          </w:tcPr>
          <w:p w14:paraId="5FF984B2" w14:textId="77777777" w:rsidR="0027735D" w:rsidRPr="00646D34" w:rsidRDefault="0027735D" w:rsidP="005D6C0B">
            <w:pPr>
              <w:keepNext/>
              <w:spacing w:before="60" w:after="60" w:line="240" w:lineRule="auto"/>
              <w:rPr>
                <w:rFonts w:ascii="Calibri" w:eastAsia="Calibri" w:hAnsi="Calibri" w:cs="Arial"/>
                <w:b/>
                <w:color w:val="FFFFFF"/>
                <w:sz w:val="18"/>
              </w:rPr>
            </w:pPr>
            <w:r w:rsidRPr="00646D34">
              <w:rPr>
                <w:rFonts w:ascii="Calibri" w:eastAsia="Calibri" w:hAnsi="Calibri" w:cs="Arial"/>
                <w:b/>
                <w:color w:val="FFFFFF"/>
                <w:sz w:val="18"/>
                <w:lang w:eastAsia="en-GB"/>
              </w:rPr>
              <w:t>Generation CISA</w:t>
            </w:r>
          </w:p>
        </w:tc>
      </w:tr>
      <w:tr w:rsidR="0027735D" w:rsidRPr="00646D34" w14:paraId="0ABCB7F0" w14:textId="77777777" w:rsidTr="005D6C0B">
        <w:trPr>
          <w:trHeight w:val="25"/>
        </w:trPr>
        <w:tc>
          <w:tcPr>
            <w:tcW w:w="2089" w:type="dxa"/>
            <w:vMerge w:val="restart"/>
            <w:shd w:val="clear" w:color="auto" w:fill="197C7D"/>
            <w:noWrap/>
          </w:tcPr>
          <w:p w14:paraId="68A77FE3"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 xml:space="preserve">Project characteristics </w:t>
            </w:r>
          </w:p>
        </w:tc>
        <w:tc>
          <w:tcPr>
            <w:tcW w:w="6937" w:type="dxa"/>
          </w:tcPr>
          <w:p w14:paraId="7CE22545"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The CISA will include a description of the project characteristics (e.g., nameplate capacity, technology). The Project Operator will be required to preserve the agreed project characteristics over the life of the agreement.</w:t>
            </w:r>
          </w:p>
        </w:tc>
      </w:tr>
      <w:tr w:rsidR="0027735D" w:rsidRPr="00646D34" w14:paraId="747C2AA2" w14:textId="77777777" w:rsidTr="005D6C0B">
        <w:trPr>
          <w:trHeight w:val="25"/>
        </w:trPr>
        <w:tc>
          <w:tcPr>
            <w:tcW w:w="2089" w:type="dxa"/>
            <w:vMerge/>
            <w:noWrap/>
          </w:tcPr>
          <w:p w14:paraId="04E92D03" w14:textId="77777777" w:rsidR="0027735D" w:rsidRPr="00646D34" w:rsidRDefault="0027735D" w:rsidP="005D6C0B">
            <w:pPr>
              <w:overflowPunct w:val="0"/>
              <w:autoSpaceDE w:val="0"/>
              <w:autoSpaceDN w:val="0"/>
              <w:adjustRightInd w:val="0"/>
              <w:spacing w:before="40" w:after="40" w:line="220" w:lineRule="atLeast"/>
              <w:ind w:left="102"/>
              <w:rPr>
                <w:rFonts w:ascii="Cambria" w:eastAsia="Times New Roman" w:hAnsi="Cambria" w:cs="Cambria"/>
                <w:i/>
                <w:iCs/>
                <w:color w:val="FFFFFF"/>
                <w:sz w:val="20"/>
                <w:szCs w:val="20"/>
                <w:lang w:eastAsia="en-GB"/>
              </w:rPr>
            </w:pPr>
          </w:p>
        </w:tc>
        <w:tc>
          <w:tcPr>
            <w:tcW w:w="6937" w:type="dxa"/>
          </w:tcPr>
          <w:p w14:paraId="00706FC3" w14:textId="77777777" w:rsidR="0027735D" w:rsidRPr="00646D34" w:rsidRDefault="0027735D" w:rsidP="005D6C0B">
            <w:pPr>
              <w:tabs>
                <w:tab w:val="left" w:pos="357"/>
              </w:tabs>
              <w:spacing w:before="40" w:after="40" w:line="220" w:lineRule="atLeast"/>
              <w:rPr>
                <w:rFonts w:ascii="Cambria" w:eastAsia="Times New Roman" w:hAnsi="Cambria" w:cs="Cambria"/>
                <w:color w:val="000000"/>
                <w:sz w:val="20"/>
                <w:szCs w:val="20"/>
                <w:lang w:eastAsia="en-AU"/>
              </w:rPr>
            </w:pPr>
            <w:r w:rsidRPr="00646D34">
              <w:rPr>
                <w:rFonts w:ascii="Calibri" w:eastAsia="Calibri" w:hAnsi="Calibri" w:cs="Arial"/>
                <w:sz w:val="18"/>
              </w:rPr>
              <w:t xml:space="preserve">For a Project assessed as a hybrid project, this will include both generation and storage elements of the Project. </w:t>
            </w:r>
          </w:p>
        </w:tc>
      </w:tr>
      <w:tr w:rsidR="0027735D" w:rsidRPr="00646D34" w14:paraId="7A9DEBC8" w14:textId="77777777" w:rsidTr="005D6C0B">
        <w:trPr>
          <w:trHeight w:val="25"/>
        </w:trPr>
        <w:tc>
          <w:tcPr>
            <w:tcW w:w="2089" w:type="dxa"/>
            <w:shd w:val="clear" w:color="auto" w:fill="197C7D"/>
            <w:noWrap/>
          </w:tcPr>
          <w:p w14:paraId="5A7C7BCB"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Support Term</w:t>
            </w:r>
          </w:p>
          <w:p w14:paraId="74A5F22F"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(Bid Variable)</w:t>
            </w:r>
          </w:p>
        </w:tc>
        <w:tc>
          <w:tcPr>
            <w:tcW w:w="6937" w:type="dxa"/>
          </w:tcPr>
          <w:p w14:paraId="1D48F44E" w14:textId="77777777" w:rsidR="0027735D"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Up to a maximum of 15 years.</w:t>
            </w:r>
          </w:p>
          <w:p w14:paraId="12D1184D" w14:textId="77777777" w:rsidR="0027735D" w:rsidRPr="00646D34" w:rsidRDefault="0027735D" w:rsidP="005D6C0B">
            <w:pPr>
              <w:spacing w:before="60" w:after="60" w:line="240" w:lineRule="auto"/>
              <w:rPr>
                <w:rFonts w:ascii="Calibri" w:eastAsia="Calibri" w:hAnsi="Calibri" w:cs="Arial"/>
                <w:sz w:val="18"/>
              </w:rPr>
            </w:pPr>
            <w:r w:rsidRPr="00692E8F">
              <w:rPr>
                <w:rFonts w:ascii="Calibri" w:eastAsia="Calibri" w:hAnsi="Calibri" w:cs="Arial"/>
                <w:sz w:val="18"/>
              </w:rPr>
              <w:t>The CISA will commence on 1 October of the first year after CISA award for which the Project holds Capacity Credits.</w:t>
            </w:r>
          </w:p>
        </w:tc>
      </w:tr>
      <w:tr w:rsidR="0027735D" w:rsidRPr="00646D34" w14:paraId="1024D9E1" w14:textId="77777777" w:rsidTr="005D6C0B">
        <w:trPr>
          <w:trHeight w:val="25"/>
        </w:trPr>
        <w:tc>
          <w:tcPr>
            <w:tcW w:w="2089" w:type="dxa"/>
            <w:vMerge w:val="restart"/>
            <w:shd w:val="clear" w:color="auto" w:fill="197C7D"/>
            <w:noWrap/>
          </w:tcPr>
          <w:p w14:paraId="176B3F23"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Payment mechanism</w:t>
            </w:r>
          </w:p>
          <w:p w14:paraId="0861CF5A"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(Multiple Bid Variables)</w:t>
            </w:r>
          </w:p>
        </w:tc>
        <w:tc>
          <w:tcPr>
            <w:tcW w:w="6937" w:type="dxa"/>
          </w:tcPr>
          <w:p w14:paraId="2B5C5490"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Quarterly payments will be made in the first three quarters. At the end of the </w:t>
            </w:r>
            <w:bookmarkStart w:id="191" w:name="_Int_ECvFv5SJ"/>
            <w:r w:rsidRPr="00646D34">
              <w:rPr>
                <w:rFonts w:ascii="Calibri" w:eastAsia="Calibri" w:hAnsi="Calibri" w:cs="Arial"/>
                <w:sz w:val="18"/>
              </w:rPr>
              <w:t>financial year</w:t>
            </w:r>
            <w:bookmarkEnd w:id="191"/>
            <w:r w:rsidRPr="00646D34">
              <w:rPr>
                <w:rFonts w:ascii="Calibri" w:eastAsia="Calibri" w:hAnsi="Calibri" w:cs="Arial"/>
                <w:sz w:val="18"/>
              </w:rPr>
              <w:t>, an annual reconciliation payment (Annual Adjustment Payment) will be made, subject to an annual payment cap.</w:t>
            </w:r>
          </w:p>
        </w:tc>
      </w:tr>
      <w:tr w:rsidR="0027735D" w:rsidRPr="00646D34" w14:paraId="637A7C36" w14:textId="77777777" w:rsidTr="005D6C0B">
        <w:trPr>
          <w:trHeight w:val="25"/>
        </w:trPr>
        <w:tc>
          <w:tcPr>
            <w:tcW w:w="2089" w:type="dxa"/>
            <w:vMerge/>
            <w:noWrap/>
          </w:tcPr>
          <w:p w14:paraId="70C73DBD" w14:textId="77777777" w:rsidR="0027735D" w:rsidRPr="00646D34" w:rsidRDefault="0027735D" w:rsidP="005D6C0B">
            <w:pPr>
              <w:overflowPunct w:val="0"/>
              <w:autoSpaceDE w:val="0"/>
              <w:autoSpaceDN w:val="0"/>
              <w:adjustRightInd w:val="0"/>
              <w:spacing w:before="40" w:after="40" w:line="220" w:lineRule="atLeast"/>
              <w:ind w:left="102"/>
              <w:rPr>
                <w:rFonts w:ascii="Cambria" w:eastAsia="Times New Roman" w:hAnsi="Cambria" w:cs="Cambria"/>
                <w:i/>
                <w:iCs/>
                <w:color w:val="FFFFFF"/>
                <w:sz w:val="20"/>
                <w:szCs w:val="20"/>
                <w:lang w:eastAsia="en-GB"/>
              </w:rPr>
            </w:pPr>
          </w:p>
        </w:tc>
        <w:tc>
          <w:tcPr>
            <w:tcW w:w="6937" w:type="dxa"/>
          </w:tcPr>
          <w:p w14:paraId="269873EC" w14:textId="77777777" w:rsidR="0027735D" w:rsidRDefault="0027735D" w:rsidP="005D6C0B">
            <w:pPr>
              <w:pStyle w:val="MACtablebulletL1"/>
              <w:numPr>
                <w:ilvl w:val="0"/>
                <w:numId w:val="0"/>
              </w:numPr>
              <w:rPr>
                <w:rFonts w:ascii="Calibri" w:eastAsia="Calibri" w:hAnsi="Calibri" w:cs="Arial"/>
              </w:rPr>
            </w:pPr>
            <w:r>
              <w:rPr>
                <w:rFonts w:ascii="Calibri" w:eastAsia="Calibri" w:hAnsi="Calibri" w:cs="Arial"/>
              </w:rPr>
              <w:t xml:space="preserve">The floor and ceiling for the Generation CISA will each have two components: </w:t>
            </w:r>
          </w:p>
          <w:p w14:paraId="41A3ECBE" w14:textId="77777777" w:rsidR="0027735D" w:rsidRDefault="0027735D" w:rsidP="005D6C0B">
            <w:pPr>
              <w:pStyle w:val="MACtablebulletL1"/>
              <w:numPr>
                <w:ilvl w:val="0"/>
                <w:numId w:val="75"/>
              </w:numPr>
              <w:rPr>
                <w:rFonts w:ascii="Calibri" w:eastAsia="Calibri" w:hAnsi="Calibri" w:cs="Arial"/>
              </w:rPr>
            </w:pPr>
            <w:r>
              <w:rPr>
                <w:rFonts w:ascii="Calibri" w:eastAsia="Calibri" w:hAnsi="Calibri" w:cs="Arial"/>
              </w:rPr>
              <w:t>an energy component, bid as $/MWh of generation in the relevant support year</w:t>
            </w:r>
          </w:p>
          <w:p w14:paraId="48BDFDDB" w14:textId="77777777" w:rsidR="0027735D" w:rsidRDefault="0027735D" w:rsidP="005D6C0B">
            <w:pPr>
              <w:pStyle w:val="MACtablebulletL1"/>
              <w:numPr>
                <w:ilvl w:val="0"/>
                <w:numId w:val="75"/>
              </w:numPr>
              <w:rPr>
                <w:rFonts w:ascii="Calibri" w:eastAsia="Calibri" w:hAnsi="Calibri" w:cs="Arial"/>
              </w:rPr>
            </w:pPr>
            <w:r>
              <w:rPr>
                <w:rFonts w:ascii="Calibri" w:eastAsia="Calibri" w:hAnsi="Calibri" w:cs="Arial"/>
              </w:rPr>
              <w:t>a capacity component, bid as $/MW of Capacity Credits held by the project in the relevant support year</w:t>
            </w:r>
          </w:p>
          <w:p w14:paraId="3BC08351" w14:textId="77777777" w:rsidR="0027735D" w:rsidRPr="005A1EE1" w:rsidRDefault="0027735D" w:rsidP="005D6C0B">
            <w:pPr>
              <w:pStyle w:val="MACtablebulletL1"/>
              <w:numPr>
                <w:ilvl w:val="0"/>
                <w:numId w:val="0"/>
              </w:numPr>
              <w:rPr>
                <w:rFonts w:ascii="Calibri" w:eastAsia="Calibri" w:hAnsi="Calibri" w:cs="Arial"/>
              </w:rPr>
            </w:pPr>
          </w:p>
        </w:tc>
      </w:tr>
      <w:tr w:rsidR="0027735D" w:rsidRPr="00646D34" w14:paraId="3E177EAB" w14:textId="77777777" w:rsidTr="005D6C0B">
        <w:trPr>
          <w:trHeight w:val="25"/>
        </w:trPr>
        <w:tc>
          <w:tcPr>
            <w:tcW w:w="2089" w:type="dxa"/>
            <w:vMerge/>
            <w:noWrap/>
          </w:tcPr>
          <w:p w14:paraId="6CFC0FE3" w14:textId="77777777" w:rsidR="0027735D" w:rsidRPr="00646D34" w:rsidRDefault="0027735D" w:rsidP="005D6C0B">
            <w:pPr>
              <w:overflowPunct w:val="0"/>
              <w:autoSpaceDE w:val="0"/>
              <w:autoSpaceDN w:val="0"/>
              <w:adjustRightInd w:val="0"/>
              <w:spacing w:before="40" w:after="40" w:line="220" w:lineRule="atLeast"/>
              <w:ind w:left="102"/>
              <w:rPr>
                <w:rFonts w:ascii="Cambria" w:eastAsia="Times New Roman" w:hAnsi="Cambria" w:cs="Cambria"/>
                <w:i/>
                <w:iCs/>
                <w:color w:val="FFFFFF"/>
                <w:sz w:val="20"/>
                <w:szCs w:val="20"/>
                <w:lang w:eastAsia="en-GB"/>
              </w:rPr>
            </w:pPr>
          </w:p>
        </w:tc>
        <w:tc>
          <w:tcPr>
            <w:tcW w:w="6937" w:type="dxa"/>
          </w:tcPr>
          <w:p w14:paraId="1CFA635D"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The underwriting mechanism will be based on a project’s net revenue, which is the sum of all revenue for the project minus costs from:</w:t>
            </w:r>
          </w:p>
          <w:p w14:paraId="4CC2AFD7" w14:textId="77777777" w:rsidR="0027735D" w:rsidRPr="00646D34" w:rsidRDefault="0027735D" w:rsidP="005D6C0B">
            <w:pPr>
              <w:numPr>
                <w:ilvl w:val="0"/>
                <w:numId w:val="73"/>
              </w:numPr>
              <w:spacing w:before="60" w:after="60" w:line="240" w:lineRule="auto"/>
              <w:rPr>
                <w:rFonts w:ascii="Calibri" w:eastAsia="Calibri" w:hAnsi="Calibri" w:cs="Arial"/>
                <w:sz w:val="18"/>
              </w:rPr>
            </w:pPr>
            <w:r w:rsidRPr="00646D34">
              <w:rPr>
                <w:rFonts w:ascii="Calibri" w:eastAsia="Calibri" w:hAnsi="Calibri" w:cs="Arial"/>
                <w:sz w:val="18"/>
              </w:rPr>
              <w:t>for storage projects, costs in relation to the import of electricity from the network</w:t>
            </w:r>
          </w:p>
          <w:p w14:paraId="63E0A8C4" w14:textId="77777777" w:rsidR="0027735D" w:rsidRPr="00646D34" w:rsidRDefault="0027735D" w:rsidP="005D6C0B">
            <w:pPr>
              <w:numPr>
                <w:ilvl w:val="0"/>
                <w:numId w:val="73"/>
              </w:numPr>
              <w:spacing w:before="60" w:after="60" w:line="240" w:lineRule="auto"/>
              <w:rPr>
                <w:rFonts w:ascii="Calibri" w:eastAsia="Calibri" w:hAnsi="Calibri" w:cs="Arial"/>
                <w:sz w:val="18"/>
              </w:rPr>
            </w:pPr>
            <w:r w:rsidRPr="00646D34">
              <w:rPr>
                <w:rFonts w:ascii="Calibri" w:eastAsia="Calibri" w:hAnsi="Calibri" w:cs="Arial"/>
                <w:sz w:val="18"/>
              </w:rPr>
              <w:t xml:space="preserve">costs for </w:t>
            </w:r>
            <w:r>
              <w:rPr>
                <w:rFonts w:ascii="Calibri" w:eastAsia="Calibri" w:hAnsi="Calibri" w:cs="Arial"/>
                <w:sz w:val="18"/>
              </w:rPr>
              <w:t>Essential System Services, Market Participant fees and market suspension compensation under the WEM Rules</w:t>
            </w:r>
          </w:p>
          <w:p w14:paraId="3CB742FE" w14:textId="77777777" w:rsidR="0027735D" w:rsidRPr="00646D34" w:rsidRDefault="0027735D" w:rsidP="005D6C0B">
            <w:pPr>
              <w:numPr>
                <w:ilvl w:val="0"/>
                <w:numId w:val="73"/>
              </w:numPr>
              <w:spacing w:before="60" w:after="60" w:line="240" w:lineRule="auto"/>
              <w:rPr>
                <w:rFonts w:ascii="Calibri" w:eastAsia="Calibri" w:hAnsi="Calibri" w:cs="Arial"/>
                <w:sz w:val="18"/>
              </w:rPr>
            </w:pPr>
            <w:r w:rsidRPr="00646D34">
              <w:rPr>
                <w:rFonts w:ascii="Calibri" w:eastAsia="Calibri" w:hAnsi="Calibri" w:cs="Arial"/>
                <w:sz w:val="18"/>
              </w:rPr>
              <w:t>any payments under an Eligible Wholesale Contract (excluding liquidated damages, warranty payments, or non-performance payments).</w:t>
            </w:r>
          </w:p>
          <w:p w14:paraId="5D91D14E"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All other operating costs, taxes, fines and penalties, </w:t>
            </w:r>
            <w:r w:rsidRPr="00571810">
              <w:rPr>
                <w:rFonts w:ascii="Calibri" w:eastAsia="Calibri" w:hAnsi="Calibri" w:cs="Arial"/>
                <w:sz w:val="18"/>
              </w:rPr>
              <w:t xml:space="preserve">payments made through the AEMO settlement process arising </w:t>
            </w:r>
            <w:proofErr w:type="gramStart"/>
            <w:r w:rsidRPr="00571810">
              <w:rPr>
                <w:rFonts w:ascii="Calibri" w:eastAsia="Calibri" w:hAnsi="Calibri" w:cs="Arial"/>
                <w:sz w:val="18"/>
              </w:rPr>
              <w:t>as a result of</w:t>
            </w:r>
            <w:proofErr w:type="gramEnd"/>
            <w:r w:rsidRPr="00571810">
              <w:rPr>
                <w:rFonts w:ascii="Calibri" w:eastAsia="Calibri" w:hAnsi="Calibri" w:cs="Arial"/>
                <w:sz w:val="18"/>
              </w:rPr>
              <w:t xml:space="preserve"> prices below $0/MWh</w:t>
            </w:r>
            <w:r w:rsidRPr="00646D34">
              <w:rPr>
                <w:rFonts w:ascii="Calibri" w:eastAsia="Calibri" w:hAnsi="Calibri" w:cs="Arial"/>
                <w:sz w:val="18"/>
              </w:rPr>
              <w:t>, and debt financing interest and other costs are excluded from the calculation of net revenue.</w:t>
            </w:r>
          </w:p>
        </w:tc>
      </w:tr>
      <w:tr w:rsidR="0027735D" w:rsidRPr="00646D34" w14:paraId="01A40BC3" w14:textId="77777777" w:rsidTr="005D6C0B">
        <w:trPr>
          <w:trHeight w:val="25"/>
        </w:trPr>
        <w:tc>
          <w:tcPr>
            <w:tcW w:w="2089" w:type="dxa"/>
            <w:shd w:val="clear" w:color="auto" w:fill="197C7D"/>
            <w:noWrap/>
          </w:tcPr>
          <w:p w14:paraId="26633E17"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E87A3C">
              <w:rPr>
                <w:rFonts w:ascii="Calibri" w:eastAsia="Calibri" w:hAnsi="Calibri" w:cs="Arial"/>
                <w:b/>
                <w:color w:val="FFFFFF"/>
                <w:sz w:val="18"/>
                <w:lang w:eastAsia="en-GB"/>
              </w:rPr>
              <w:t xml:space="preserve">Annual </w:t>
            </w:r>
            <w:r>
              <w:rPr>
                <w:rFonts w:ascii="Calibri" w:eastAsia="Calibri" w:hAnsi="Calibri" w:cs="Arial"/>
                <w:b/>
                <w:color w:val="FFFFFF"/>
                <w:sz w:val="18"/>
                <w:lang w:eastAsia="en-GB"/>
              </w:rPr>
              <w:t xml:space="preserve">Payment </w:t>
            </w:r>
            <w:r w:rsidRPr="00E87A3C">
              <w:rPr>
                <w:rFonts w:ascii="Calibri" w:eastAsia="Calibri" w:hAnsi="Calibri" w:cs="Arial"/>
                <w:b/>
                <w:color w:val="FFFFFF"/>
                <w:sz w:val="18"/>
                <w:lang w:eastAsia="en-GB"/>
              </w:rPr>
              <w:t>Cap</w:t>
            </w:r>
          </w:p>
        </w:tc>
        <w:tc>
          <w:tcPr>
            <w:tcW w:w="6937" w:type="dxa"/>
          </w:tcPr>
          <w:p w14:paraId="4851B546" w14:textId="77777777" w:rsidR="0027735D" w:rsidRPr="00CF3374" w:rsidRDefault="0027735D" w:rsidP="005D6C0B">
            <w:pPr>
              <w:pStyle w:val="MACtablebulletL1"/>
              <w:numPr>
                <w:ilvl w:val="0"/>
                <w:numId w:val="0"/>
              </w:numPr>
              <w:rPr>
                <w:rFonts w:asciiTheme="minorHAnsi" w:hAnsiTheme="minorHAnsi" w:cstheme="minorHAnsi"/>
                <w:szCs w:val="18"/>
              </w:rPr>
            </w:pPr>
            <w:r>
              <w:rPr>
                <w:rFonts w:asciiTheme="minorHAnsi" w:hAnsiTheme="minorHAnsi" w:cstheme="minorHAnsi"/>
                <w:szCs w:val="18"/>
              </w:rPr>
              <w:t>P</w:t>
            </w:r>
            <w:r w:rsidRPr="00E87A3C">
              <w:rPr>
                <w:rFonts w:asciiTheme="minorHAnsi" w:hAnsiTheme="minorHAnsi" w:cstheme="minorHAnsi"/>
                <w:szCs w:val="18"/>
              </w:rPr>
              <w:t xml:space="preserve">ayments from the Commonwealth to the Project Operator </w:t>
            </w:r>
            <w:r>
              <w:rPr>
                <w:rFonts w:asciiTheme="minorHAnsi" w:hAnsiTheme="minorHAnsi" w:cstheme="minorHAnsi"/>
                <w:szCs w:val="18"/>
              </w:rPr>
              <w:t xml:space="preserve">or payments from the Project Operator to the Commonwealth </w:t>
            </w:r>
            <w:r w:rsidRPr="00E87A3C">
              <w:rPr>
                <w:rFonts w:asciiTheme="minorHAnsi" w:hAnsiTheme="minorHAnsi" w:cstheme="minorHAnsi"/>
                <w:szCs w:val="18"/>
              </w:rPr>
              <w:t>will not exceed the Annual Payment Cap</w:t>
            </w:r>
            <w:r>
              <w:rPr>
                <w:rFonts w:asciiTheme="minorHAnsi" w:hAnsiTheme="minorHAnsi" w:cstheme="minorHAnsi"/>
                <w:szCs w:val="18"/>
              </w:rPr>
              <w:t xml:space="preserve"> in a single support year</w:t>
            </w:r>
            <w:r w:rsidRPr="00E87A3C">
              <w:rPr>
                <w:rFonts w:asciiTheme="minorHAnsi" w:hAnsiTheme="minorHAnsi" w:cstheme="minorHAnsi"/>
                <w:szCs w:val="18"/>
              </w:rPr>
              <w:t>. The Annual Payment Cap is a</w:t>
            </w:r>
            <w:r>
              <w:rPr>
                <w:rFonts w:asciiTheme="minorHAnsi" w:hAnsiTheme="minorHAnsi" w:cstheme="minorHAnsi"/>
                <w:szCs w:val="18"/>
              </w:rPr>
              <w:t xml:space="preserve"> single</w:t>
            </w:r>
            <w:r w:rsidRPr="00E87A3C">
              <w:rPr>
                <w:rFonts w:asciiTheme="minorHAnsi" w:hAnsiTheme="minorHAnsi" w:cstheme="minorHAnsi"/>
                <w:szCs w:val="18"/>
              </w:rPr>
              <w:t xml:space="preserve"> </w:t>
            </w:r>
            <w:r>
              <w:rPr>
                <w:rFonts w:asciiTheme="minorHAnsi" w:hAnsiTheme="minorHAnsi" w:cstheme="minorHAnsi"/>
                <w:szCs w:val="18"/>
              </w:rPr>
              <w:t>symmetrical value</w:t>
            </w:r>
            <w:r w:rsidRPr="00E87A3C">
              <w:rPr>
                <w:rFonts w:asciiTheme="minorHAnsi" w:hAnsiTheme="minorHAnsi" w:cstheme="minorHAnsi"/>
                <w:szCs w:val="18"/>
              </w:rPr>
              <w:t xml:space="preserve"> to be </w:t>
            </w:r>
            <w:r>
              <w:rPr>
                <w:rFonts w:asciiTheme="minorHAnsi" w:hAnsiTheme="minorHAnsi" w:cstheme="minorHAnsi"/>
                <w:szCs w:val="18"/>
              </w:rPr>
              <w:t>bid</w:t>
            </w:r>
            <w:r w:rsidRPr="00E87A3C">
              <w:rPr>
                <w:rFonts w:asciiTheme="minorHAnsi" w:hAnsiTheme="minorHAnsi" w:cstheme="minorHAnsi"/>
                <w:szCs w:val="18"/>
              </w:rPr>
              <w:t xml:space="preserve"> by proponents during the tender process. </w:t>
            </w:r>
          </w:p>
        </w:tc>
      </w:tr>
      <w:tr w:rsidR="0027735D" w:rsidRPr="00646D34" w14:paraId="4C8361A9" w14:textId="77777777" w:rsidTr="005D6C0B">
        <w:trPr>
          <w:trHeight w:val="25"/>
        </w:trPr>
        <w:tc>
          <w:tcPr>
            <w:tcW w:w="2089" w:type="dxa"/>
            <w:shd w:val="clear" w:color="auto" w:fill="197C7D"/>
            <w:noWrap/>
          </w:tcPr>
          <w:p w14:paraId="0D63D657"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Contracted Percentage</w:t>
            </w:r>
          </w:p>
          <w:p w14:paraId="4A22784F"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(Bid Variable)</w:t>
            </w:r>
          </w:p>
        </w:tc>
        <w:tc>
          <w:tcPr>
            <w:tcW w:w="6937" w:type="dxa"/>
          </w:tcPr>
          <w:p w14:paraId="276E5697"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The CISA may relate to some or </w:t>
            </w:r>
            <w:bookmarkStart w:id="192" w:name="_Int_2kdcMbCf"/>
            <w:proofErr w:type="gramStart"/>
            <w:r w:rsidRPr="00646D34">
              <w:rPr>
                <w:rFonts w:ascii="Calibri" w:eastAsia="Calibri" w:hAnsi="Calibri" w:cs="Arial"/>
                <w:sz w:val="18"/>
              </w:rPr>
              <w:t>all of</w:t>
            </w:r>
            <w:bookmarkEnd w:id="192"/>
            <w:proofErr w:type="gramEnd"/>
            <w:r w:rsidRPr="00646D34">
              <w:rPr>
                <w:rFonts w:ascii="Calibri" w:eastAsia="Calibri" w:hAnsi="Calibri" w:cs="Arial"/>
                <w:sz w:val="18"/>
              </w:rPr>
              <w:t xml:space="preserve"> the Project’s capacity. Where a Project bids and receives a CISA for less than 100% of its capacity, the Contracted Percentage is less than 100%. </w:t>
            </w:r>
          </w:p>
          <w:p w14:paraId="4EFC9F98"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Where a Project bids and receives a CISA for less than 100% of its capacity, the Quarterly Payment and the Annual Adjustment Payment will be reduced to the percentage of the Project’s capacity covered by the CISA. </w:t>
            </w:r>
          </w:p>
        </w:tc>
      </w:tr>
      <w:tr w:rsidR="0027735D" w:rsidRPr="00646D34" w14:paraId="12201C24" w14:textId="77777777" w:rsidTr="005D6C0B">
        <w:trPr>
          <w:trHeight w:val="25"/>
        </w:trPr>
        <w:tc>
          <w:tcPr>
            <w:tcW w:w="2089" w:type="dxa"/>
            <w:shd w:val="clear" w:color="auto" w:fill="197C7D"/>
            <w:noWrap/>
          </w:tcPr>
          <w:p w14:paraId="67466942"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Escalation</w:t>
            </w:r>
          </w:p>
        </w:tc>
        <w:tc>
          <w:tcPr>
            <w:tcW w:w="6937" w:type="dxa"/>
          </w:tcPr>
          <w:p w14:paraId="1340F327"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The Floor Price and Sharing/Ceiling Price will be bid</w:t>
            </w:r>
            <w:r>
              <w:rPr>
                <w:rFonts w:ascii="Calibri" w:eastAsia="Calibri" w:hAnsi="Calibri" w:cs="Arial"/>
                <w:sz w:val="18"/>
              </w:rPr>
              <w:t xml:space="preserve"> as a combination of</w:t>
            </w:r>
            <w:r w:rsidRPr="00646D34">
              <w:rPr>
                <w:rFonts w:ascii="Calibri" w:eastAsia="Calibri" w:hAnsi="Calibri" w:cs="Arial"/>
                <w:sz w:val="18"/>
              </w:rPr>
              <w:t xml:space="preserve"> $/MWh</w:t>
            </w:r>
            <w:r>
              <w:rPr>
                <w:rFonts w:ascii="Calibri" w:eastAsia="Calibri" w:hAnsi="Calibri" w:cs="Arial"/>
                <w:sz w:val="18"/>
              </w:rPr>
              <w:t xml:space="preserve"> and $/MW</w:t>
            </w:r>
            <w:r w:rsidRPr="00646D34">
              <w:rPr>
                <w:rFonts w:ascii="Calibri" w:eastAsia="Calibri" w:hAnsi="Calibri" w:cs="Arial"/>
                <w:sz w:val="18"/>
              </w:rPr>
              <w:t xml:space="preserve"> for each supported year. Proponents can incorporate escalation into their bid. </w:t>
            </w:r>
          </w:p>
          <w:p w14:paraId="3DBCE168" w14:textId="77777777" w:rsidR="0027735D" w:rsidRPr="00646D34" w:rsidRDefault="0027735D" w:rsidP="005D6C0B">
            <w:pPr>
              <w:spacing w:before="60" w:after="60" w:line="240" w:lineRule="auto"/>
              <w:rPr>
                <w:rFonts w:ascii="Calibri" w:eastAsia="Calibri" w:hAnsi="Calibri" w:cs="Arial"/>
                <w:sz w:val="18"/>
              </w:rPr>
            </w:pPr>
          </w:p>
        </w:tc>
      </w:tr>
      <w:tr w:rsidR="0027735D" w:rsidRPr="00646D34" w14:paraId="1D659B2D" w14:textId="77777777" w:rsidTr="005D6C0B">
        <w:trPr>
          <w:trHeight w:val="25"/>
        </w:trPr>
        <w:tc>
          <w:tcPr>
            <w:tcW w:w="2089" w:type="dxa"/>
            <w:shd w:val="clear" w:color="auto" w:fill="197C7D"/>
            <w:noWrap/>
          </w:tcPr>
          <w:p w14:paraId="74E43DE2" w14:textId="77777777" w:rsidR="0027735D" w:rsidRPr="00646D34" w:rsidRDefault="0027735D" w:rsidP="005D6C0B">
            <w:pPr>
              <w:keepNext/>
              <w:spacing w:before="60" w:after="60" w:line="240" w:lineRule="auto"/>
              <w:rPr>
                <w:rFonts w:ascii="Calibri" w:eastAsia="Calibri" w:hAnsi="Calibri" w:cs="Arial"/>
                <w:b/>
                <w:iCs/>
                <w:color w:val="FFFFFF"/>
                <w:sz w:val="18"/>
                <w:lang w:eastAsia="en-GB"/>
              </w:rPr>
            </w:pPr>
            <w:r w:rsidRPr="00646D34">
              <w:rPr>
                <w:rFonts w:ascii="Calibri" w:eastAsia="Calibri" w:hAnsi="Calibri" w:cs="Arial"/>
                <w:b/>
                <w:color w:val="FFFFFF"/>
                <w:sz w:val="18"/>
                <w:lang w:eastAsia="en-GB"/>
              </w:rPr>
              <w:t>Performance requirements</w:t>
            </w:r>
          </w:p>
        </w:tc>
        <w:tc>
          <w:tcPr>
            <w:tcW w:w="6937" w:type="dxa"/>
          </w:tcPr>
          <w:p w14:paraId="7326F8C4" w14:textId="77777777" w:rsidR="0027735D" w:rsidRPr="00236945" w:rsidRDefault="0027735D" w:rsidP="005D6C0B">
            <w:p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The CISA will involve a limited set of performance requirements</w:t>
            </w:r>
            <w:r>
              <w:rPr>
                <w:rFonts w:eastAsia="Calibri Light" w:cstheme="minorHAnsi"/>
                <w:color w:val="000000" w:themeColor="text1"/>
                <w:sz w:val="18"/>
                <w:szCs w:val="18"/>
              </w:rPr>
              <w:t>, including</w:t>
            </w:r>
            <w:r w:rsidRPr="00236945">
              <w:rPr>
                <w:rFonts w:eastAsia="Calibri Light" w:cstheme="minorHAnsi"/>
                <w:color w:val="000000" w:themeColor="text1"/>
                <w:sz w:val="18"/>
                <w:szCs w:val="18"/>
              </w:rPr>
              <w:t xml:space="preserve"> requiring the Project Operator to:</w:t>
            </w:r>
          </w:p>
          <w:p w14:paraId="3922662C"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operate the project in accordance with best industry practice, including maximising availability of the Project and revenues for the Project</w:t>
            </w:r>
            <w:r w:rsidRPr="00236945">
              <w:rPr>
                <w:rStyle w:val="FootnoteReference"/>
                <w:rFonts w:eastAsia="Calibri Light" w:cstheme="minorHAnsi"/>
                <w:color w:val="000000" w:themeColor="text1"/>
                <w:sz w:val="18"/>
                <w:szCs w:val="18"/>
              </w:rPr>
              <w:footnoteReference w:id="24"/>
            </w:r>
            <w:r w:rsidRPr="00236945">
              <w:rPr>
                <w:rFonts w:eastAsia="Calibri Light" w:cstheme="minorHAnsi"/>
                <w:color w:val="000000" w:themeColor="text1"/>
                <w:sz w:val="18"/>
                <w:szCs w:val="18"/>
              </w:rPr>
              <w:t>;</w:t>
            </w:r>
          </w:p>
          <w:p w14:paraId="77B68045"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Pr>
                <w:rFonts w:eastAsia="Calibri Light" w:cstheme="minorHAnsi"/>
                <w:color w:val="000000" w:themeColor="text1"/>
                <w:sz w:val="18"/>
                <w:szCs w:val="18"/>
              </w:rPr>
              <w:t xml:space="preserve">participate in the RCM and </w:t>
            </w:r>
            <w:r w:rsidRPr="00236945">
              <w:rPr>
                <w:rFonts w:eastAsia="Calibri Light" w:cstheme="minorHAnsi"/>
                <w:color w:val="000000" w:themeColor="text1"/>
                <w:sz w:val="18"/>
                <w:szCs w:val="18"/>
              </w:rPr>
              <w:t xml:space="preserve">make the Project available in line with its performance obligations under the </w:t>
            </w:r>
            <w:proofErr w:type="gramStart"/>
            <w:r w:rsidRPr="00236945">
              <w:rPr>
                <w:rFonts w:eastAsia="Calibri Light" w:cstheme="minorHAnsi"/>
                <w:color w:val="000000" w:themeColor="text1"/>
                <w:sz w:val="18"/>
                <w:szCs w:val="18"/>
              </w:rPr>
              <w:t>RCM;</w:t>
            </w:r>
            <w:proofErr w:type="gramEnd"/>
            <w:r w:rsidRPr="00236945">
              <w:rPr>
                <w:rFonts w:eastAsia="Calibri Light" w:cstheme="minorHAnsi"/>
                <w:color w:val="000000" w:themeColor="text1"/>
                <w:sz w:val="18"/>
                <w:szCs w:val="18"/>
              </w:rPr>
              <w:t xml:space="preserve"> </w:t>
            </w:r>
          </w:p>
          <w:p w14:paraId="2F63D28D"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respond to price signals in relevant markets; and</w:t>
            </w:r>
          </w:p>
          <w:p w14:paraId="23912BE3"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comply generally with its obligations under the WEM Rules.</w:t>
            </w:r>
          </w:p>
          <w:p w14:paraId="134D73F1" w14:textId="77777777" w:rsidR="0027735D" w:rsidRPr="00C85352" w:rsidRDefault="0027735D" w:rsidP="005D6C0B">
            <w:p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Where these performance requirements are not regularly met the Commonwealth will have a termination right.</w:t>
            </w:r>
          </w:p>
        </w:tc>
      </w:tr>
      <w:tr w:rsidR="0027735D" w:rsidRPr="00646D34" w14:paraId="7438D440" w14:textId="77777777" w:rsidTr="005D6C0B">
        <w:trPr>
          <w:trHeight w:val="25"/>
        </w:trPr>
        <w:tc>
          <w:tcPr>
            <w:tcW w:w="2089" w:type="dxa"/>
            <w:shd w:val="clear" w:color="auto" w:fill="197C7D"/>
            <w:noWrap/>
          </w:tcPr>
          <w:p w14:paraId="5DFED0C8"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Ownership Structure</w:t>
            </w:r>
          </w:p>
        </w:tc>
        <w:tc>
          <w:tcPr>
            <w:tcW w:w="6937" w:type="dxa"/>
          </w:tcPr>
          <w:p w14:paraId="139C74C8" w14:textId="77777777" w:rsidR="0027735D" w:rsidRPr="00646D34" w:rsidRDefault="0027735D" w:rsidP="005D6C0B">
            <w:pPr>
              <w:spacing w:before="60" w:after="60" w:line="240" w:lineRule="auto"/>
              <w:rPr>
                <w:rFonts w:ascii="Calibri" w:eastAsia="Calibri" w:hAnsi="Calibri" w:cs="Arial"/>
                <w:sz w:val="18"/>
              </w:rPr>
            </w:pPr>
            <w:r w:rsidRPr="00342B33">
              <w:rPr>
                <w:rFonts w:ascii="Calibri" w:eastAsia="Calibri" w:hAnsi="Calibri" w:cs="Arial"/>
                <w:sz w:val="18"/>
              </w:rPr>
              <w:t>The Project Operator must be a special purpose vehicle (SPV) and that SPV must own the project, including all assets and legal rights and permissions reasonably required to undertake the project. The SPV must be the registered electricity market participant and receive all economic value associated with the Project. The SPV must be the counterparty to all revenue contracts associated with the Project. The SPV must not carry on any other business other than the Project.</w:t>
            </w:r>
          </w:p>
        </w:tc>
      </w:tr>
    </w:tbl>
    <w:p w14:paraId="433392E9" w14:textId="77777777" w:rsidR="0027735D" w:rsidRPr="0057702C" w:rsidRDefault="0027735D" w:rsidP="0027735D">
      <w:pPr>
        <w:keepNext/>
        <w:rPr>
          <w:b/>
          <w:bCs/>
          <w:lang w:val="en-GB" w:eastAsia="en-AU"/>
        </w:rPr>
      </w:pPr>
    </w:p>
    <w:p w14:paraId="0DD1E5DB" w14:textId="77777777" w:rsidR="0027735D" w:rsidRDefault="0027735D" w:rsidP="0027735D">
      <w:pPr>
        <w:pStyle w:val="Caption"/>
        <w:rPr>
          <w:rFonts w:ascii="Calibri" w:hAnsi="Calibri" w:cs="Calibri"/>
          <w:b/>
          <w:bCs/>
          <w:i w:val="0"/>
          <w:iCs w:val="0"/>
          <w:sz w:val="24"/>
          <w:szCs w:val="24"/>
        </w:rPr>
      </w:pPr>
    </w:p>
    <w:p w14:paraId="66AF0EE3" w14:textId="77777777" w:rsidR="0027735D" w:rsidRDefault="0027735D" w:rsidP="0027735D">
      <w:pPr>
        <w:pStyle w:val="Caption"/>
        <w:rPr>
          <w:rFonts w:ascii="Calibri" w:hAnsi="Calibri" w:cs="Calibri"/>
          <w:b/>
          <w:bCs/>
          <w:i w:val="0"/>
          <w:iCs w:val="0"/>
          <w:sz w:val="24"/>
          <w:szCs w:val="24"/>
        </w:rPr>
      </w:pPr>
    </w:p>
    <w:p w14:paraId="44336873" w14:textId="77777777" w:rsidR="0027735D" w:rsidRDefault="0027735D" w:rsidP="0027735D">
      <w:pPr>
        <w:pStyle w:val="Caption"/>
        <w:rPr>
          <w:rFonts w:ascii="Calibri" w:hAnsi="Calibri" w:cs="Calibri"/>
          <w:b/>
          <w:bCs/>
          <w:i w:val="0"/>
          <w:iCs w:val="0"/>
          <w:sz w:val="24"/>
          <w:szCs w:val="24"/>
        </w:rPr>
      </w:pPr>
    </w:p>
    <w:p w14:paraId="038011A5" w14:textId="77777777" w:rsidR="0027735D" w:rsidRDefault="0027735D" w:rsidP="0027735D">
      <w:pPr>
        <w:pStyle w:val="Caption"/>
        <w:rPr>
          <w:rFonts w:ascii="Calibri" w:hAnsi="Calibri" w:cs="Calibri"/>
          <w:b/>
          <w:bCs/>
          <w:i w:val="0"/>
          <w:iCs w:val="0"/>
          <w:sz w:val="24"/>
          <w:szCs w:val="24"/>
        </w:rPr>
      </w:pPr>
    </w:p>
    <w:p w14:paraId="00A1E7AE" w14:textId="77777777" w:rsidR="0027735D" w:rsidRDefault="0027735D" w:rsidP="0027735D">
      <w:pPr>
        <w:pStyle w:val="Caption"/>
        <w:rPr>
          <w:rFonts w:ascii="Calibri" w:hAnsi="Calibri" w:cs="Calibri"/>
          <w:b/>
          <w:bCs/>
          <w:i w:val="0"/>
          <w:iCs w:val="0"/>
          <w:sz w:val="24"/>
          <w:szCs w:val="24"/>
        </w:rPr>
      </w:pPr>
    </w:p>
    <w:p w14:paraId="2C97D1A2" w14:textId="63319805" w:rsidR="0027735D" w:rsidRPr="00211B65" w:rsidRDefault="0027735D" w:rsidP="0027735D">
      <w:pPr>
        <w:pStyle w:val="Caption"/>
        <w:rPr>
          <w:rFonts w:ascii="Calibri" w:hAnsi="Calibri" w:cs="Calibri"/>
          <w:b/>
          <w:sz w:val="24"/>
          <w:szCs w:val="24"/>
          <w:lang w:val="en-GB" w:eastAsia="en-AU"/>
        </w:rPr>
      </w:pPr>
      <w:bookmarkStart w:id="193" w:name="_Ref163459097"/>
      <w:r w:rsidRPr="00211B65">
        <w:rPr>
          <w:rFonts w:ascii="Calibri" w:hAnsi="Calibri" w:cs="Calibri"/>
          <w:b/>
          <w:bCs/>
          <w:i w:val="0"/>
          <w:iCs w:val="0"/>
          <w:sz w:val="24"/>
          <w:szCs w:val="24"/>
        </w:rPr>
        <w:lastRenderedPageBreak/>
        <w:t xml:space="preserve">Table </w:t>
      </w:r>
      <w:r w:rsidRPr="6B0C223A">
        <w:rPr>
          <w:rFonts w:ascii="Calibri" w:hAnsi="Calibri" w:cs="Calibri"/>
          <w:b/>
          <w:i w:val="0"/>
          <w:sz w:val="24"/>
          <w:szCs w:val="24"/>
        </w:rPr>
        <w:fldChar w:fldCharType="begin"/>
      </w:r>
      <w:r w:rsidRPr="6B0C223A">
        <w:rPr>
          <w:rFonts w:ascii="Calibri" w:hAnsi="Calibri" w:cs="Calibri"/>
          <w:b/>
          <w:i w:val="0"/>
          <w:sz w:val="24"/>
          <w:szCs w:val="24"/>
        </w:rPr>
        <w:instrText xml:space="preserve"> SEQ Table \* ARABIC </w:instrText>
      </w:r>
      <w:r w:rsidRPr="6B0C223A">
        <w:rPr>
          <w:rFonts w:ascii="Calibri" w:hAnsi="Calibri" w:cs="Calibri"/>
          <w:b/>
          <w:i w:val="0"/>
          <w:sz w:val="24"/>
          <w:szCs w:val="24"/>
        </w:rPr>
        <w:fldChar w:fldCharType="separate"/>
      </w:r>
      <w:r>
        <w:rPr>
          <w:rFonts w:ascii="Calibri" w:hAnsi="Calibri" w:cs="Calibri"/>
          <w:b/>
          <w:i w:val="0"/>
          <w:noProof/>
          <w:sz w:val="24"/>
          <w:szCs w:val="24"/>
        </w:rPr>
        <w:t>4</w:t>
      </w:r>
      <w:r w:rsidRPr="6B0C223A">
        <w:rPr>
          <w:rFonts w:ascii="Calibri" w:hAnsi="Calibri" w:cs="Calibri"/>
          <w:b/>
          <w:i w:val="0"/>
          <w:sz w:val="24"/>
          <w:szCs w:val="24"/>
        </w:rPr>
        <w:fldChar w:fldCharType="end"/>
      </w:r>
      <w:bookmarkEnd w:id="193"/>
      <w:r w:rsidRPr="00211B65">
        <w:rPr>
          <w:rFonts w:ascii="Calibri" w:hAnsi="Calibri" w:cs="Calibri"/>
          <w:b/>
          <w:bCs/>
          <w:i w:val="0"/>
          <w:iCs w:val="0"/>
          <w:sz w:val="24"/>
          <w:szCs w:val="24"/>
        </w:rPr>
        <w:t xml:space="preserve"> Summary of </w:t>
      </w:r>
      <w:r>
        <w:rPr>
          <w:rFonts w:ascii="Calibri" w:hAnsi="Calibri" w:cs="Calibri"/>
          <w:b/>
          <w:bCs/>
          <w:i w:val="0"/>
          <w:iCs w:val="0"/>
          <w:sz w:val="24"/>
          <w:szCs w:val="24"/>
        </w:rPr>
        <w:t xml:space="preserve">Clean Dispatchable </w:t>
      </w:r>
      <w:r w:rsidRPr="00211B65">
        <w:rPr>
          <w:rFonts w:ascii="Calibri" w:hAnsi="Calibri" w:cs="Calibri"/>
          <w:b/>
          <w:bCs/>
          <w:i w:val="0"/>
          <w:iCs w:val="0"/>
          <w:sz w:val="24"/>
          <w:szCs w:val="24"/>
        </w:rPr>
        <w:t>CISA commercial structure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89"/>
        <w:gridCol w:w="6937"/>
      </w:tblGrid>
      <w:tr w:rsidR="0027735D" w:rsidRPr="00646D34" w14:paraId="592E4C89" w14:textId="77777777" w:rsidTr="005D6C0B">
        <w:trPr>
          <w:trHeight w:val="25"/>
          <w:tblHeader/>
        </w:trPr>
        <w:tc>
          <w:tcPr>
            <w:tcW w:w="2089" w:type="dxa"/>
            <w:shd w:val="clear" w:color="auto" w:fill="197C7D"/>
            <w:noWrap/>
            <w:vAlign w:val="bottom"/>
            <w:hideMark/>
          </w:tcPr>
          <w:p w14:paraId="5751F749" w14:textId="77777777" w:rsidR="0027735D" w:rsidRPr="00646D34" w:rsidRDefault="0027735D" w:rsidP="005D6C0B">
            <w:pPr>
              <w:keepNext/>
              <w:spacing w:before="60" w:after="60" w:line="240" w:lineRule="auto"/>
              <w:rPr>
                <w:rFonts w:ascii="Calibri" w:eastAsia="Calibri" w:hAnsi="Calibri" w:cs="Arial"/>
                <w:b/>
                <w:color w:val="FFFFFF"/>
                <w:sz w:val="18"/>
              </w:rPr>
            </w:pPr>
            <w:r w:rsidRPr="00646D34">
              <w:rPr>
                <w:rFonts w:ascii="Calibri" w:eastAsia="Calibri" w:hAnsi="Calibri" w:cs="Arial"/>
                <w:b/>
                <w:color w:val="FFFFFF"/>
                <w:sz w:val="18"/>
                <w:lang w:eastAsia="en-GB"/>
              </w:rPr>
              <w:t>Term</w:t>
            </w:r>
          </w:p>
        </w:tc>
        <w:tc>
          <w:tcPr>
            <w:tcW w:w="6937" w:type="dxa"/>
            <w:shd w:val="clear" w:color="auto" w:fill="197C7D"/>
          </w:tcPr>
          <w:p w14:paraId="7E8897A3" w14:textId="77777777" w:rsidR="0027735D" w:rsidRPr="00646D34" w:rsidRDefault="0027735D" w:rsidP="005D6C0B">
            <w:pPr>
              <w:keepNext/>
              <w:spacing w:before="60" w:after="60" w:line="240" w:lineRule="auto"/>
              <w:rPr>
                <w:rFonts w:ascii="Calibri" w:eastAsia="Calibri" w:hAnsi="Calibri" w:cs="Arial"/>
                <w:b/>
                <w:color w:val="FFFFFF"/>
                <w:sz w:val="18"/>
              </w:rPr>
            </w:pPr>
            <w:r w:rsidRPr="00646D34">
              <w:rPr>
                <w:rFonts w:ascii="Calibri" w:eastAsia="Calibri" w:hAnsi="Calibri" w:cs="Arial"/>
                <w:b/>
                <w:color w:val="FFFFFF"/>
                <w:sz w:val="18"/>
                <w:lang w:eastAsia="en-GB"/>
              </w:rPr>
              <w:t>Clean Dispatchable CISA</w:t>
            </w:r>
          </w:p>
        </w:tc>
      </w:tr>
      <w:tr w:rsidR="0027735D" w:rsidRPr="00646D34" w14:paraId="02CB4CA1" w14:textId="77777777" w:rsidTr="005D6C0B">
        <w:trPr>
          <w:trHeight w:val="25"/>
        </w:trPr>
        <w:tc>
          <w:tcPr>
            <w:tcW w:w="2089" w:type="dxa"/>
            <w:shd w:val="clear" w:color="auto" w:fill="197C7D"/>
            <w:noWrap/>
          </w:tcPr>
          <w:p w14:paraId="603B1B94"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 xml:space="preserve">Project characteristics </w:t>
            </w:r>
          </w:p>
        </w:tc>
        <w:tc>
          <w:tcPr>
            <w:tcW w:w="6937" w:type="dxa"/>
          </w:tcPr>
          <w:p w14:paraId="569DE79D"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The CISA will include a description of the project characteristics (e.g., nameplate capacity, technology). The Project Operator will be required to preserve the agreed project characteristics over the life of the agreement.</w:t>
            </w:r>
          </w:p>
        </w:tc>
      </w:tr>
      <w:tr w:rsidR="0027735D" w:rsidRPr="00646D34" w14:paraId="43F94CE1" w14:textId="77777777" w:rsidTr="005D6C0B">
        <w:trPr>
          <w:trHeight w:val="25"/>
        </w:trPr>
        <w:tc>
          <w:tcPr>
            <w:tcW w:w="2089" w:type="dxa"/>
            <w:shd w:val="clear" w:color="auto" w:fill="197C7D"/>
            <w:noWrap/>
          </w:tcPr>
          <w:p w14:paraId="4C4760C1"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Support Term</w:t>
            </w:r>
          </w:p>
          <w:p w14:paraId="6957A2A8"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(Bid Variable)</w:t>
            </w:r>
          </w:p>
        </w:tc>
        <w:tc>
          <w:tcPr>
            <w:tcW w:w="6937" w:type="dxa"/>
          </w:tcPr>
          <w:p w14:paraId="6207F001" w14:textId="77777777" w:rsidR="0027735D"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Up to a maximum of 15 years.</w:t>
            </w:r>
          </w:p>
          <w:p w14:paraId="658F428F" w14:textId="77777777" w:rsidR="0027735D" w:rsidRPr="00646D34" w:rsidRDefault="0027735D" w:rsidP="005D6C0B">
            <w:pPr>
              <w:spacing w:before="60" w:after="60" w:line="240" w:lineRule="auto"/>
              <w:rPr>
                <w:rFonts w:ascii="Calibri" w:eastAsia="Calibri" w:hAnsi="Calibri" w:cs="Arial"/>
                <w:sz w:val="18"/>
              </w:rPr>
            </w:pPr>
            <w:r w:rsidRPr="00692E8F">
              <w:rPr>
                <w:rFonts w:ascii="Calibri" w:eastAsia="Calibri" w:hAnsi="Calibri" w:cs="Arial"/>
                <w:sz w:val="18"/>
              </w:rPr>
              <w:t>The CISA will commence on 1 October of the first year after CISA award for which the Project holds Capacity Credits.</w:t>
            </w:r>
          </w:p>
        </w:tc>
      </w:tr>
      <w:tr w:rsidR="0027735D" w:rsidRPr="00646D34" w14:paraId="4B87CD3A" w14:textId="77777777" w:rsidTr="005D6C0B">
        <w:trPr>
          <w:trHeight w:val="25"/>
        </w:trPr>
        <w:tc>
          <w:tcPr>
            <w:tcW w:w="2089" w:type="dxa"/>
            <w:vMerge w:val="restart"/>
            <w:shd w:val="clear" w:color="auto" w:fill="197C7D"/>
            <w:noWrap/>
          </w:tcPr>
          <w:p w14:paraId="4E0720EA"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Payment mechanism</w:t>
            </w:r>
          </w:p>
          <w:p w14:paraId="02868E4C"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(Multiple Bid Variables)</w:t>
            </w:r>
          </w:p>
        </w:tc>
        <w:tc>
          <w:tcPr>
            <w:tcW w:w="6937" w:type="dxa"/>
          </w:tcPr>
          <w:p w14:paraId="7F0DB28D"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Quarterly payments will be made in the first three quarters. At the end of the financial year, an annual reconciliation payment (Annual Adjustment Payment) will be made, subject to an annual payment cap.</w:t>
            </w:r>
          </w:p>
        </w:tc>
      </w:tr>
      <w:tr w:rsidR="0027735D" w:rsidRPr="00646D34" w14:paraId="3B30DE08" w14:textId="77777777" w:rsidTr="005D6C0B">
        <w:trPr>
          <w:trHeight w:val="25"/>
        </w:trPr>
        <w:tc>
          <w:tcPr>
            <w:tcW w:w="2089" w:type="dxa"/>
            <w:vMerge/>
            <w:noWrap/>
          </w:tcPr>
          <w:p w14:paraId="33D8FA2B" w14:textId="77777777" w:rsidR="0027735D" w:rsidRPr="00646D34" w:rsidRDefault="0027735D" w:rsidP="005D6C0B">
            <w:pPr>
              <w:overflowPunct w:val="0"/>
              <w:autoSpaceDE w:val="0"/>
              <w:autoSpaceDN w:val="0"/>
              <w:adjustRightInd w:val="0"/>
              <w:spacing w:before="40" w:after="40" w:line="220" w:lineRule="atLeast"/>
              <w:ind w:left="102"/>
              <w:rPr>
                <w:rFonts w:ascii="Cambria" w:eastAsia="Times New Roman" w:hAnsi="Cambria" w:cs="Cambria"/>
                <w:i/>
                <w:iCs/>
                <w:color w:val="FFFFFF"/>
                <w:sz w:val="20"/>
                <w:szCs w:val="20"/>
                <w:lang w:eastAsia="en-GB"/>
              </w:rPr>
            </w:pPr>
          </w:p>
        </w:tc>
        <w:tc>
          <w:tcPr>
            <w:tcW w:w="6937" w:type="dxa"/>
          </w:tcPr>
          <w:p w14:paraId="26022421" w14:textId="77777777" w:rsidR="0027735D" w:rsidRPr="005A1EE1" w:rsidRDefault="0027735D" w:rsidP="005D6C0B">
            <w:pPr>
              <w:pStyle w:val="MACtablebulletL1"/>
              <w:numPr>
                <w:ilvl w:val="0"/>
                <w:numId w:val="0"/>
              </w:numPr>
              <w:rPr>
                <w:rFonts w:ascii="Calibri" w:eastAsia="Calibri" w:hAnsi="Calibri" w:cs="Arial"/>
              </w:rPr>
            </w:pPr>
            <w:r w:rsidRPr="005A1EE1">
              <w:rPr>
                <w:rFonts w:ascii="Calibri" w:hAnsi="Calibri" w:cs="Arial"/>
              </w:rPr>
              <w:t xml:space="preserve">The </w:t>
            </w:r>
            <w:r>
              <w:rPr>
                <w:rFonts w:ascii="Calibri" w:hAnsi="Calibri" w:cs="Arial"/>
              </w:rPr>
              <w:t>floor and ceiling of the Clean Dispatchable CISA will be bid as $/MW of Capacity Credits held by the project in the relevant support year</w:t>
            </w:r>
          </w:p>
        </w:tc>
      </w:tr>
      <w:tr w:rsidR="0027735D" w:rsidRPr="00646D34" w14:paraId="1E8CBFA5" w14:textId="77777777" w:rsidTr="005D6C0B">
        <w:trPr>
          <w:trHeight w:val="25"/>
        </w:trPr>
        <w:tc>
          <w:tcPr>
            <w:tcW w:w="2089" w:type="dxa"/>
            <w:vMerge/>
            <w:noWrap/>
          </w:tcPr>
          <w:p w14:paraId="5CC29CCA" w14:textId="77777777" w:rsidR="0027735D" w:rsidRPr="00646D34" w:rsidRDefault="0027735D" w:rsidP="005D6C0B">
            <w:pPr>
              <w:overflowPunct w:val="0"/>
              <w:autoSpaceDE w:val="0"/>
              <w:autoSpaceDN w:val="0"/>
              <w:adjustRightInd w:val="0"/>
              <w:spacing w:before="40" w:after="40" w:line="220" w:lineRule="atLeast"/>
              <w:ind w:left="102"/>
              <w:rPr>
                <w:rFonts w:ascii="Cambria" w:eastAsia="Times New Roman" w:hAnsi="Cambria" w:cs="Cambria"/>
                <w:i/>
                <w:iCs/>
                <w:color w:val="FFFFFF"/>
                <w:sz w:val="20"/>
                <w:szCs w:val="20"/>
                <w:lang w:eastAsia="en-GB"/>
              </w:rPr>
            </w:pPr>
          </w:p>
        </w:tc>
        <w:tc>
          <w:tcPr>
            <w:tcW w:w="6937" w:type="dxa"/>
          </w:tcPr>
          <w:p w14:paraId="3105E0F4"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The underwriting mechanism will be based on a project’s net revenue, which is the sum of all revenue for the project minus costs from:</w:t>
            </w:r>
          </w:p>
          <w:p w14:paraId="4993B5E0" w14:textId="77777777" w:rsidR="0027735D" w:rsidRPr="00646D34" w:rsidRDefault="0027735D" w:rsidP="005D6C0B">
            <w:pPr>
              <w:numPr>
                <w:ilvl w:val="0"/>
                <w:numId w:val="73"/>
              </w:numPr>
              <w:spacing w:before="60" w:after="60" w:line="240" w:lineRule="auto"/>
              <w:rPr>
                <w:rFonts w:ascii="Calibri" w:eastAsia="Calibri" w:hAnsi="Calibri" w:cs="Arial"/>
                <w:sz w:val="18"/>
              </w:rPr>
            </w:pPr>
            <w:r w:rsidRPr="00646D34">
              <w:rPr>
                <w:rFonts w:ascii="Calibri" w:eastAsia="Calibri" w:hAnsi="Calibri" w:cs="Arial"/>
                <w:sz w:val="18"/>
              </w:rPr>
              <w:t>for storage projects, costs in relation to the import of electricity from the network</w:t>
            </w:r>
          </w:p>
          <w:p w14:paraId="42B525EC" w14:textId="77777777" w:rsidR="0027735D" w:rsidRPr="00646D34" w:rsidRDefault="0027735D" w:rsidP="005D6C0B">
            <w:pPr>
              <w:numPr>
                <w:ilvl w:val="0"/>
                <w:numId w:val="73"/>
              </w:numPr>
              <w:spacing w:before="60" w:after="60" w:line="240" w:lineRule="auto"/>
              <w:rPr>
                <w:rFonts w:ascii="Calibri" w:eastAsia="Calibri" w:hAnsi="Calibri" w:cs="Arial"/>
                <w:sz w:val="18"/>
              </w:rPr>
            </w:pPr>
            <w:r w:rsidRPr="00646D34">
              <w:rPr>
                <w:rFonts w:ascii="Calibri" w:eastAsia="Calibri" w:hAnsi="Calibri" w:cs="Arial"/>
                <w:sz w:val="18"/>
              </w:rPr>
              <w:t xml:space="preserve">costs for </w:t>
            </w:r>
            <w:r>
              <w:rPr>
                <w:rFonts w:ascii="Calibri" w:eastAsia="Calibri" w:hAnsi="Calibri" w:cs="Arial"/>
                <w:sz w:val="18"/>
              </w:rPr>
              <w:t>Essential System Services, Market Participant fees and market suspension compensation under the WEM Rules</w:t>
            </w:r>
          </w:p>
          <w:p w14:paraId="3A7C9684" w14:textId="77777777" w:rsidR="0027735D" w:rsidRPr="00646D34" w:rsidRDefault="0027735D" w:rsidP="005D6C0B">
            <w:pPr>
              <w:numPr>
                <w:ilvl w:val="0"/>
                <w:numId w:val="73"/>
              </w:numPr>
              <w:spacing w:before="60" w:after="60" w:line="240" w:lineRule="auto"/>
              <w:rPr>
                <w:rFonts w:ascii="Calibri" w:eastAsia="Calibri" w:hAnsi="Calibri" w:cs="Arial"/>
                <w:sz w:val="18"/>
              </w:rPr>
            </w:pPr>
            <w:r w:rsidRPr="00646D34">
              <w:rPr>
                <w:rFonts w:ascii="Calibri" w:eastAsia="Calibri" w:hAnsi="Calibri" w:cs="Arial"/>
                <w:sz w:val="18"/>
              </w:rPr>
              <w:t>any payments under an Eligible Wholesale Contract (excluding liquidated damages, warranty payments, or non-performance payments).</w:t>
            </w:r>
          </w:p>
          <w:p w14:paraId="58A7203E"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All other operating costs, taxes, fines and penalties, </w:t>
            </w:r>
            <w:r w:rsidRPr="00571810">
              <w:rPr>
                <w:rFonts w:ascii="Calibri" w:eastAsia="Calibri" w:hAnsi="Calibri" w:cs="Arial"/>
                <w:sz w:val="18"/>
              </w:rPr>
              <w:t xml:space="preserve">payments made through the AEMO settlement process arising </w:t>
            </w:r>
            <w:proofErr w:type="gramStart"/>
            <w:r w:rsidRPr="00571810">
              <w:rPr>
                <w:rFonts w:ascii="Calibri" w:eastAsia="Calibri" w:hAnsi="Calibri" w:cs="Arial"/>
                <w:sz w:val="18"/>
              </w:rPr>
              <w:t>as a result of</w:t>
            </w:r>
            <w:proofErr w:type="gramEnd"/>
            <w:r w:rsidRPr="00571810">
              <w:rPr>
                <w:rFonts w:ascii="Calibri" w:eastAsia="Calibri" w:hAnsi="Calibri" w:cs="Arial"/>
                <w:sz w:val="18"/>
              </w:rPr>
              <w:t xml:space="preserve"> prices below $0/MWh</w:t>
            </w:r>
            <w:r w:rsidRPr="00646D34">
              <w:rPr>
                <w:rFonts w:ascii="Calibri" w:eastAsia="Calibri" w:hAnsi="Calibri" w:cs="Arial"/>
                <w:sz w:val="18"/>
              </w:rPr>
              <w:t>, and debt financing interest and other costs are excluded from the calculation of net revenue.</w:t>
            </w:r>
          </w:p>
        </w:tc>
      </w:tr>
      <w:tr w:rsidR="0027735D" w:rsidRPr="00646D34" w14:paraId="4D34FCA4" w14:textId="77777777" w:rsidTr="005D6C0B">
        <w:trPr>
          <w:trHeight w:val="25"/>
        </w:trPr>
        <w:tc>
          <w:tcPr>
            <w:tcW w:w="2089" w:type="dxa"/>
            <w:shd w:val="clear" w:color="auto" w:fill="197C7D"/>
            <w:noWrap/>
          </w:tcPr>
          <w:p w14:paraId="18A0DD9B"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E87A3C">
              <w:rPr>
                <w:rFonts w:ascii="Calibri" w:eastAsia="Calibri" w:hAnsi="Calibri" w:cs="Arial"/>
                <w:b/>
                <w:color w:val="FFFFFF"/>
                <w:sz w:val="18"/>
                <w:lang w:eastAsia="en-GB"/>
              </w:rPr>
              <w:lastRenderedPageBreak/>
              <w:t xml:space="preserve">Annual </w:t>
            </w:r>
            <w:r>
              <w:rPr>
                <w:rFonts w:ascii="Calibri" w:eastAsia="Calibri" w:hAnsi="Calibri" w:cs="Arial"/>
                <w:b/>
                <w:color w:val="FFFFFF"/>
                <w:sz w:val="18"/>
                <w:lang w:eastAsia="en-GB"/>
              </w:rPr>
              <w:t xml:space="preserve">Payment </w:t>
            </w:r>
            <w:r w:rsidRPr="00E87A3C">
              <w:rPr>
                <w:rFonts w:ascii="Calibri" w:eastAsia="Calibri" w:hAnsi="Calibri" w:cs="Arial"/>
                <w:b/>
                <w:color w:val="FFFFFF"/>
                <w:sz w:val="18"/>
                <w:lang w:eastAsia="en-GB"/>
              </w:rPr>
              <w:t>Cap</w:t>
            </w:r>
          </w:p>
        </w:tc>
        <w:tc>
          <w:tcPr>
            <w:tcW w:w="6937" w:type="dxa"/>
          </w:tcPr>
          <w:p w14:paraId="6E6253C7" w14:textId="77777777" w:rsidR="0027735D" w:rsidRPr="00CF3374" w:rsidRDefault="0027735D" w:rsidP="005D6C0B">
            <w:pPr>
              <w:pStyle w:val="MACtablebulletL1"/>
              <w:numPr>
                <w:ilvl w:val="0"/>
                <w:numId w:val="0"/>
              </w:numPr>
              <w:rPr>
                <w:rFonts w:asciiTheme="minorHAnsi" w:hAnsiTheme="minorHAnsi" w:cstheme="minorHAnsi"/>
                <w:szCs w:val="18"/>
              </w:rPr>
            </w:pPr>
            <w:r>
              <w:rPr>
                <w:rFonts w:asciiTheme="minorHAnsi" w:hAnsiTheme="minorHAnsi" w:cstheme="minorHAnsi"/>
                <w:szCs w:val="18"/>
              </w:rPr>
              <w:t>P</w:t>
            </w:r>
            <w:r w:rsidRPr="00E87A3C">
              <w:rPr>
                <w:rFonts w:asciiTheme="minorHAnsi" w:hAnsiTheme="minorHAnsi" w:cstheme="minorHAnsi"/>
                <w:szCs w:val="18"/>
              </w:rPr>
              <w:t xml:space="preserve">ayments from the Commonwealth to the Project Operator </w:t>
            </w:r>
            <w:r>
              <w:rPr>
                <w:rFonts w:asciiTheme="minorHAnsi" w:hAnsiTheme="minorHAnsi" w:cstheme="minorHAnsi"/>
                <w:szCs w:val="18"/>
              </w:rPr>
              <w:t xml:space="preserve">or payments from the Project Operator to the Commonwealth </w:t>
            </w:r>
            <w:r w:rsidRPr="00E87A3C">
              <w:rPr>
                <w:rFonts w:asciiTheme="minorHAnsi" w:hAnsiTheme="minorHAnsi" w:cstheme="minorHAnsi"/>
                <w:szCs w:val="18"/>
              </w:rPr>
              <w:t>will not exceed the Annual Payment Cap</w:t>
            </w:r>
            <w:r>
              <w:rPr>
                <w:rFonts w:asciiTheme="minorHAnsi" w:hAnsiTheme="minorHAnsi" w:cstheme="minorHAnsi"/>
                <w:szCs w:val="18"/>
              </w:rPr>
              <w:t xml:space="preserve"> in a single support year</w:t>
            </w:r>
            <w:r w:rsidRPr="00E87A3C">
              <w:rPr>
                <w:rFonts w:asciiTheme="minorHAnsi" w:hAnsiTheme="minorHAnsi" w:cstheme="minorHAnsi"/>
                <w:szCs w:val="18"/>
              </w:rPr>
              <w:t>. The Annual Payment Cap is a</w:t>
            </w:r>
            <w:r>
              <w:rPr>
                <w:rFonts w:asciiTheme="minorHAnsi" w:hAnsiTheme="minorHAnsi" w:cstheme="minorHAnsi"/>
                <w:szCs w:val="18"/>
              </w:rPr>
              <w:t xml:space="preserve"> single</w:t>
            </w:r>
            <w:r w:rsidRPr="00E87A3C">
              <w:rPr>
                <w:rFonts w:asciiTheme="minorHAnsi" w:hAnsiTheme="minorHAnsi" w:cstheme="minorHAnsi"/>
                <w:szCs w:val="18"/>
              </w:rPr>
              <w:t xml:space="preserve"> </w:t>
            </w:r>
            <w:r>
              <w:rPr>
                <w:rFonts w:asciiTheme="minorHAnsi" w:hAnsiTheme="minorHAnsi" w:cstheme="minorHAnsi"/>
                <w:szCs w:val="18"/>
              </w:rPr>
              <w:t>symmetrical value</w:t>
            </w:r>
            <w:r w:rsidRPr="00E87A3C">
              <w:rPr>
                <w:rFonts w:asciiTheme="minorHAnsi" w:hAnsiTheme="minorHAnsi" w:cstheme="minorHAnsi"/>
                <w:szCs w:val="18"/>
              </w:rPr>
              <w:t xml:space="preserve"> to be </w:t>
            </w:r>
            <w:r>
              <w:rPr>
                <w:rFonts w:asciiTheme="minorHAnsi" w:hAnsiTheme="minorHAnsi" w:cstheme="minorHAnsi"/>
                <w:szCs w:val="18"/>
              </w:rPr>
              <w:t>bid</w:t>
            </w:r>
            <w:r w:rsidRPr="00E87A3C">
              <w:rPr>
                <w:rFonts w:asciiTheme="minorHAnsi" w:hAnsiTheme="minorHAnsi" w:cstheme="minorHAnsi"/>
                <w:szCs w:val="18"/>
              </w:rPr>
              <w:t xml:space="preserve"> by proponents during the tender process. </w:t>
            </w:r>
          </w:p>
        </w:tc>
      </w:tr>
      <w:tr w:rsidR="0027735D" w:rsidRPr="00646D34" w14:paraId="795A0504" w14:textId="77777777" w:rsidTr="005D6C0B">
        <w:trPr>
          <w:trHeight w:val="25"/>
        </w:trPr>
        <w:tc>
          <w:tcPr>
            <w:tcW w:w="2089" w:type="dxa"/>
            <w:shd w:val="clear" w:color="auto" w:fill="197C7D"/>
            <w:noWrap/>
          </w:tcPr>
          <w:p w14:paraId="04CD0975"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Contracted Percentage</w:t>
            </w:r>
          </w:p>
          <w:p w14:paraId="48F073DE"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(Bid Variable)</w:t>
            </w:r>
          </w:p>
        </w:tc>
        <w:tc>
          <w:tcPr>
            <w:tcW w:w="6937" w:type="dxa"/>
          </w:tcPr>
          <w:p w14:paraId="4B99E57D"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The CISA may relate to some or </w:t>
            </w:r>
            <w:proofErr w:type="gramStart"/>
            <w:r w:rsidRPr="00646D34">
              <w:rPr>
                <w:rFonts w:ascii="Calibri" w:eastAsia="Calibri" w:hAnsi="Calibri" w:cs="Arial"/>
                <w:sz w:val="18"/>
              </w:rPr>
              <w:t>all of</w:t>
            </w:r>
            <w:proofErr w:type="gramEnd"/>
            <w:r w:rsidRPr="00646D34">
              <w:rPr>
                <w:rFonts w:ascii="Calibri" w:eastAsia="Calibri" w:hAnsi="Calibri" w:cs="Arial"/>
                <w:sz w:val="18"/>
              </w:rPr>
              <w:t xml:space="preserve"> the Project’s capacity. Where a Project bids and receives a CISA for less than 100% of its capacity, the Contracted Percentage is less than 100%. </w:t>
            </w:r>
          </w:p>
          <w:p w14:paraId="6A05BE14"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 xml:space="preserve">Where a Project bids and receives a CISA for less than 100% of its capacity, the Quarterly Payment and the Annual Adjustment Payment will be reduced to the percentage of the Project’s capacity covered by the CISA. </w:t>
            </w:r>
          </w:p>
        </w:tc>
      </w:tr>
      <w:tr w:rsidR="0027735D" w:rsidRPr="00646D34" w14:paraId="175335BB" w14:textId="77777777" w:rsidTr="005D6C0B">
        <w:trPr>
          <w:trHeight w:val="25"/>
        </w:trPr>
        <w:tc>
          <w:tcPr>
            <w:tcW w:w="2089" w:type="dxa"/>
            <w:shd w:val="clear" w:color="auto" w:fill="197C7D"/>
            <w:noWrap/>
          </w:tcPr>
          <w:p w14:paraId="0D7F5F0C"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Escalation</w:t>
            </w:r>
          </w:p>
        </w:tc>
        <w:tc>
          <w:tcPr>
            <w:tcW w:w="6937" w:type="dxa"/>
          </w:tcPr>
          <w:p w14:paraId="6A6DF4BF" w14:textId="77777777" w:rsidR="0027735D" w:rsidRPr="00646D34" w:rsidRDefault="0027735D" w:rsidP="005D6C0B">
            <w:pPr>
              <w:spacing w:before="60" w:after="60" w:line="240" w:lineRule="auto"/>
              <w:rPr>
                <w:rFonts w:ascii="Calibri" w:eastAsia="Calibri" w:hAnsi="Calibri" w:cs="Arial"/>
                <w:sz w:val="18"/>
              </w:rPr>
            </w:pPr>
            <w:r w:rsidRPr="00646D34">
              <w:rPr>
                <w:rFonts w:ascii="Calibri" w:eastAsia="Calibri" w:hAnsi="Calibri" w:cs="Arial"/>
                <w:sz w:val="18"/>
              </w:rPr>
              <w:t>The Floor Price and Sharing/Ceiling Price will be bid</w:t>
            </w:r>
            <w:r>
              <w:rPr>
                <w:rFonts w:ascii="Calibri" w:eastAsia="Calibri" w:hAnsi="Calibri" w:cs="Arial"/>
                <w:sz w:val="18"/>
              </w:rPr>
              <w:t xml:space="preserve"> ($/MW)</w:t>
            </w:r>
            <w:r w:rsidRPr="00646D34">
              <w:rPr>
                <w:rFonts w:ascii="Calibri" w:eastAsia="Calibri" w:hAnsi="Calibri" w:cs="Arial"/>
                <w:sz w:val="18"/>
              </w:rPr>
              <w:t xml:space="preserve"> for each supported year. Proponents can incorporate escalation into their bid.</w:t>
            </w:r>
          </w:p>
        </w:tc>
      </w:tr>
      <w:tr w:rsidR="0027735D" w:rsidRPr="00646D34" w14:paraId="07CC9DCB" w14:textId="77777777" w:rsidTr="005D6C0B">
        <w:trPr>
          <w:trHeight w:val="25"/>
        </w:trPr>
        <w:tc>
          <w:tcPr>
            <w:tcW w:w="2089" w:type="dxa"/>
            <w:shd w:val="clear" w:color="auto" w:fill="197C7D"/>
            <w:noWrap/>
          </w:tcPr>
          <w:p w14:paraId="6E410173" w14:textId="77777777" w:rsidR="0027735D" w:rsidRPr="00646D34" w:rsidRDefault="0027735D" w:rsidP="005D6C0B">
            <w:pPr>
              <w:keepNext/>
              <w:spacing w:before="60" w:after="60" w:line="240" w:lineRule="auto"/>
              <w:rPr>
                <w:rFonts w:ascii="Calibri" w:eastAsia="Calibri" w:hAnsi="Calibri" w:cs="Arial"/>
                <w:b/>
                <w:iCs/>
                <w:color w:val="FFFFFF"/>
                <w:sz w:val="18"/>
                <w:lang w:eastAsia="en-GB"/>
              </w:rPr>
            </w:pPr>
            <w:r w:rsidRPr="00646D34">
              <w:rPr>
                <w:rFonts w:ascii="Calibri" w:eastAsia="Calibri" w:hAnsi="Calibri" w:cs="Arial"/>
                <w:b/>
                <w:color w:val="FFFFFF"/>
                <w:sz w:val="18"/>
                <w:lang w:eastAsia="en-GB"/>
              </w:rPr>
              <w:t>Performance requirements</w:t>
            </w:r>
          </w:p>
        </w:tc>
        <w:tc>
          <w:tcPr>
            <w:tcW w:w="6937" w:type="dxa"/>
          </w:tcPr>
          <w:p w14:paraId="4EE193A9" w14:textId="77777777" w:rsidR="0027735D" w:rsidRPr="00236945" w:rsidRDefault="0027735D" w:rsidP="005D6C0B">
            <w:p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The CISA will involve a limited set of performance requirements</w:t>
            </w:r>
            <w:r>
              <w:rPr>
                <w:rFonts w:eastAsia="Calibri Light" w:cstheme="minorHAnsi"/>
                <w:color w:val="000000" w:themeColor="text1"/>
                <w:sz w:val="18"/>
                <w:szCs w:val="18"/>
              </w:rPr>
              <w:t>, including</w:t>
            </w:r>
            <w:r w:rsidRPr="00236945">
              <w:rPr>
                <w:rFonts w:eastAsia="Calibri Light" w:cstheme="minorHAnsi"/>
                <w:color w:val="000000" w:themeColor="text1"/>
                <w:sz w:val="18"/>
                <w:szCs w:val="18"/>
              </w:rPr>
              <w:t xml:space="preserve"> requiring the Project Operator to:</w:t>
            </w:r>
          </w:p>
          <w:p w14:paraId="3EEA900A"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operate the project in accordance with best industry practice, including maximising availability of the Project and revenues for the Project</w:t>
            </w:r>
            <w:r w:rsidRPr="00236945">
              <w:rPr>
                <w:rStyle w:val="FootnoteReference"/>
                <w:rFonts w:eastAsia="Calibri Light" w:cstheme="minorHAnsi"/>
                <w:color w:val="000000" w:themeColor="text1"/>
                <w:sz w:val="18"/>
                <w:szCs w:val="18"/>
              </w:rPr>
              <w:footnoteReference w:id="25"/>
            </w:r>
            <w:r w:rsidRPr="00236945">
              <w:rPr>
                <w:rFonts w:eastAsia="Calibri Light" w:cstheme="minorHAnsi"/>
                <w:color w:val="000000" w:themeColor="text1"/>
                <w:sz w:val="18"/>
                <w:szCs w:val="18"/>
              </w:rPr>
              <w:t>;</w:t>
            </w:r>
          </w:p>
          <w:p w14:paraId="47A49AB6"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Pr>
                <w:rFonts w:eastAsia="Calibri Light" w:cstheme="minorHAnsi"/>
                <w:color w:val="000000" w:themeColor="text1"/>
                <w:sz w:val="18"/>
                <w:szCs w:val="18"/>
              </w:rPr>
              <w:t xml:space="preserve">participate in the RCM and </w:t>
            </w:r>
            <w:r w:rsidRPr="00236945">
              <w:rPr>
                <w:rFonts w:eastAsia="Calibri Light" w:cstheme="minorHAnsi"/>
                <w:color w:val="000000" w:themeColor="text1"/>
                <w:sz w:val="18"/>
                <w:szCs w:val="18"/>
              </w:rPr>
              <w:t xml:space="preserve">make the Project available in line with its performance obligations under the </w:t>
            </w:r>
            <w:proofErr w:type="gramStart"/>
            <w:r w:rsidRPr="00236945">
              <w:rPr>
                <w:rFonts w:eastAsia="Calibri Light" w:cstheme="minorHAnsi"/>
                <w:color w:val="000000" w:themeColor="text1"/>
                <w:sz w:val="18"/>
                <w:szCs w:val="18"/>
              </w:rPr>
              <w:t>RCM;</w:t>
            </w:r>
            <w:proofErr w:type="gramEnd"/>
            <w:r w:rsidRPr="00236945">
              <w:rPr>
                <w:rFonts w:eastAsia="Calibri Light" w:cstheme="minorHAnsi"/>
                <w:color w:val="000000" w:themeColor="text1"/>
                <w:sz w:val="18"/>
                <w:szCs w:val="18"/>
              </w:rPr>
              <w:t xml:space="preserve"> </w:t>
            </w:r>
          </w:p>
          <w:p w14:paraId="10D0121C"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respond to price signals in relevant markets; and</w:t>
            </w:r>
          </w:p>
          <w:p w14:paraId="1953756B" w14:textId="77777777" w:rsidR="0027735D" w:rsidRPr="00236945" w:rsidRDefault="0027735D" w:rsidP="005D6C0B">
            <w:pPr>
              <w:pStyle w:val="ListParagraph"/>
              <w:numPr>
                <w:ilvl w:val="0"/>
                <w:numId w:val="74"/>
              </w:num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comply generally with its obligations under the WEM Rules.</w:t>
            </w:r>
          </w:p>
          <w:p w14:paraId="31CC5B05" w14:textId="77777777" w:rsidR="0027735D" w:rsidRPr="00C85352" w:rsidRDefault="0027735D" w:rsidP="005D6C0B">
            <w:pPr>
              <w:spacing w:before="40" w:after="40" w:line="220" w:lineRule="atLeast"/>
              <w:rPr>
                <w:rFonts w:eastAsia="Calibri Light" w:cstheme="minorHAnsi"/>
                <w:color w:val="000000" w:themeColor="text1"/>
                <w:sz w:val="18"/>
                <w:szCs w:val="18"/>
              </w:rPr>
            </w:pPr>
            <w:r w:rsidRPr="00236945">
              <w:rPr>
                <w:rFonts w:eastAsia="Calibri Light" w:cstheme="minorHAnsi"/>
                <w:color w:val="000000" w:themeColor="text1"/>
                <w:sz w:val="18"/>
                <w:szCs w:val="18"/>
              </w:rPr>
              <w:t>Where these performance requirements are not regularly met the Commonwealth will have a termination right.</w:t>
            </w:r>
          </w:p>
        </w:tc>
      </w:tr>
      <w:tr w:rsidR="0027735D" w:rsidRPr="00646D34" w14:paraId="652E597A" w14:textId="77777777" w:rsidTr="005D6C0B">
        <w:trPr>
          <w:trHeight w:val="25"/>
        </w:trPr>
        <w:tc>
          <w:tcPr>
            <w:tcW w:w="2089" w:type="dxa"/>
            <w:shd w:val="clear" w:color="auto" w:fill="197C7D"/>
            <w:noWrap/>
          </w:tcPr>
          <w:p w14:paraId="4FCE3974" w14:textId="77777777" w:rsidR="0027735D" w:rsidRPr="00646D34" w:rsidRDefault="0027735D" w:rsidP="005D6C0B">
            <w:pPr>
              <w:keepNext/>
              <w:spacing w:before="60" w:after="60" w:line="240" w:lineRule="auto"/>
              <w:rPr>
                <w:rFonts w:ascii="Calibri" w:eastAsia="Calibri" w:hAnsi="Calibri" w:cs="Arial"/>
                <w:b/>
                <w:color w:val="FFFFFF"/>
                <w:sz w:val="18"/>
                <w:lang w:eastAsia="en-GB"/>
              </w:rPr>
            </w:pPr>
            <w:r w:rsidRPr="00646D34">
              <w:rPr>
                <w:rFonts w:ascii="Calibri" w:eastAsia="Calibri" w:hAnsi="Calibri" w:cs="Arial"/>
                <w:b/>
                <w:color w:val="FFFFFF"/>
                <w:sz w:val="18"/>
                <w:lang w:eastAsia="en-GB"/>
              </w:rPr>
              <w:t>Ownership Structure</w:t>
            </w:r>
          </w:p>
        </w:tc>
        <w:tc>
          <w:tcPr>
            <w:tcW w:w="6937" w:type="dxa"/>
          </w:tcPr>
          <w:p w14:paraId="357F06A3" w14:textId="77777777" w:rsidR="0027735D" w:rsidRPr="00646D34" w:rsidRDefault="0027735D" w:rsidP="005D6C0B">
            <w:pPr>
              <w:spacing w:before="60" w:after="60" w:line="240" w:lineRule="auto"/>
              <w:rPr>
                <w:rFonts w:ascii="Calibri" w:eastAsia="Calibri" w:hAnsi="Calibri" w:cs="Arial"/>
                <w:sz w:val="18"/>
              </w:rPr>
            </w:pPr>
            <w:r w:rsidRPr="00342B33">
              <w:rPr>
                <w:rFonts w:ascii="Calibri" w:eastAsia="Calibri" w:hAnsi="Calibri" w:cs="Arial"/>
                <w:sz w:val="18"/>
              </w:rPr>
              <w:t>The Project Operator must be a special purpose vehicle (SPV) and that SPV must own the project, including all assets and legal rights and permissions reasonably required to undertake the project. The SPV must be the registered electricity market participant and receive all economic value associated with the Project. The SPV must be the counterparty to all revenue contracts associated with the Project. The SPV must not carry on any other business other than the Project.</w:t>
            </w:r>
          </w:p>
        </w:tc>
      </w:tr>
    </w:tbl>
    <w:p w14:paraId="102C0994" w14:textId="77777777" w:rsidR="00A41E22" w:rsidRPr="00D637F3" w:rsidRDefault="00A41E22" w:rsidP="00A41E22">
      <w:pPr>
        <w:rPr>
          <w:highlight w:val="yellow"/>
          <w:lang w:val="en-GB" w:eastAsia="en-AU"/>
        </w:rPr>
      </w:pPr>
    </w:p>
    <w:p w14:paraId="28BC6247" w14:textId="4322325F" w:rsidR="00403331" w:rsidRPr="007E144D" w:rsidRDefault="00764507" w:rsidP="00B96176">
      <w:pPr>
        <w:pStyle w:val="HEADINGL1BLUE"/>
        <w:ind w:left="0" w:firstLine="0"/>
      </w:pPr>
      <w:bookmarkStart w:id="194" w:name="_Toc161385873"/>
      <w:bookmarkStart w:id="195" w:name="_Toc161388261"/>
      <w:bookmarkStart w:id="196" w:name="_Toc161388561"/>
      <w:bookmarkStart w:id="197" w:name="_Toc163162718"/>
      <w:r>
        <w:lastRenderedPageBreak/>
        <w:t>Next steps</w:t>
      </w:r>
      <w:bookmarkEnd w:id="194"/>
      <w:bookmarkEnd w:id="195"/>
      <w:bookmarkEnd w:id="196"/>
      <w:bookmarkEnd w:id="197"/>
    </w:p>
    <w:p w14:paraId="7251DA73" w14:textId="46C44037" w:rsidR="00B8795C" w:rsidRDefault="00573CE3" w:rsidP="00615FFE">
      <w:pPr>
        <w:pStyle w:val="Heading2"/>
      </w:pPr>
      <w:bookmarkStart w:id="198" w:name="_Toc140081634"/>
      <w:bookmarkStart w:id="199" w:name="_Toc161385874"/>
      <w:bookmarkStart w:id="200" w:name="_Toc161388262"/>
      <w:bookmarkStart w:id="201" w:name="_Toc161388562"/>
      <w:bookmarkStart w:id="202" w:name="_Toc163162719"/>
      <w:bookmarkEnd w:id="198"/>
      <w:r>
        <w:t>Consultation and release of first WEM CIS tender</w:t>
      </w:r>
      <w:bookmarkEnd w:id="199"/>
      <w:bookmarkEnd w:id="200"/>
      <w:bookmarkEnd w:id="201"/>
      <w:bookmarkEnd w:id="202"/>
    </w:p>
    <w:p w14:paraId="1E64CB74" w14:textId="5FC717A0" w:rsidR="00F9150D" w:rsidRDefault="00573CE3" w:rsidP="00F9150D">
      <w:r>
        <w:rPr>
          <w:lang w:val="en-GB" w:eastAsia="en-AU"/>
        </w:rPr>
        <w:t>As noted in section</w:t>
      </w:r>
      <w:r w:rsidR="00C32164">
        <w:rPr>
          <w:lang w:val="en-GB" w:eastAsia="en-AU"/>
        </w:rPr>
        <w:t xml:space="preserve"> </w:t>
      </w:r>
      <w:r w:rsidR="00693721">
        <w:rPr>
          <w:lang w:val="en-GB" w:eastAsia="en-AU"/>
        </w:rPr>
        <w:fldChar w:fldCharType="begin"/>
      </w:r>
      <w:r w:rsidR="00693721">
        <w:rPr>
          <w:lang w:val="en-GB" w:eastAsia="en-AU"/>
        </w:rPr>
        <w:instrText xml:space="preserve"> REF _Ref162944419 \r \h </w:instrText>
      </w:r>
      <w:r w:rsidR="00693721">
        <w:rPr>
          <w:lang w:val="en-GB" w:eastAsia="en-AU"/>
        </w:rPr>
      </w:r>
      <w:r w:rsidR="00693721">
        <w:rPr>
          <w:lang w:val="en-GB" w:eastAsia="en-AU"/>
        </w:rPr>
        <w:fldChar w:fldCharType="separate"/>
      </w:r>
      <w:r w:rsidR="00693721">
        <w:rPr>
          <w:lang w:val="en-GB" w:eastAsia="en-AU"/>
        </w:rPr>
        <w:t>1.2</w:t>
      </w:r>
      <w:r w:rsidR="00693721">
        <w:rPr>
          <w:lang w:val="en-GB" w:eastAsia="en-AU"/>
        </w:rPr>
        <w:fldChar w:fldCharType="end"/>
      </w:r>
      <w:r w:rsidR="005E1371">
        <w:rPr>
          <w:lang w:val="en-GB" w:eastAsia="en-AU"/>
        </w:rPr>
        <w:t>,</w:t>
      </w:r>
      <w:r w:rsidR="00C24027">
        <w:rPr>
          <w:lang w:val="en-GB" w:eastAsia="en-AU"/>
        </w:rPr>
        <w:t xml:space="preserve"> </w:t>
      </w:r>
      <w:r w:rsidR="007F354D">
        <w:rPr>
          <w:lang w:val="en-GB" w:eastAsia="en-AU"/>
        </w:rPr>
        <w:t xml:space="preserve">the </w:t>
      </w:r>
      <w:r w:rsidR="747EDF2D">
        <w:rPr>
          <w:lang w:val="en-GB" w:eastAsia="en-AU"/>
        </w:rPr>
        <w:t>d</w:t>
      </w:r>
      <w:r w:rsidR="007F354D">
        <w:rPr>
          <w:lang w:val="en-GB" w:eastAsia="en-AU"/>
        </w:rPr>
        <w:t>epartment</w:t>
      </w:r>
      <w:r w:rsidR="007F354D">
        <w:t xml:space="preserve"> seeks targeted feedback from stakeholders on the proposed CIS design for the WEM, with particular focus </w:t>
      </w:r>
      <w:r w:rsidR="00F9150D">
        <w:t>on:</w:t>
      </w:r>
    </w:p>
    <w:p w14:paraId="2F8DBEA1" w14:textId="77777777" w:rsidR="00C45A92" w:rsidRDefault="00C45A92" w:rsidP="00C45A92">
      <w:pPr>
        <w:pStyle w:val="ListParagraph"/>
        <w:numPr>
          <w:ilvl w:val="0"/>
          <w:numId w:val="34"/>
        </w:numPr>
      </w:pPr>
      <w:r>
        <w:t xml:space="preserve">interactions between the RCM processes and CIS </w:t>
      </w:r>
      <w:proofErr w:type="gramStart"/>
      <w:r>
        <w:t>tenders;</w:t>
      </w:r>
      <w:proofErr w:type="gramEnd"/>
    </w:p>
    <w:p w14:paraId="6BD6E9C6" w14:textId="77777777" w:rsidR="00C45A92" w:rsidRDefault="00C45A92" w:rsidP="00C45A92">
      <w:pPr>
        <w:pStyle w:val="ListParagraph"/>
        <w:numPr>
          <w:ilvl w:val="0"/>
          <w:numId w:val="34"/>
        </w:numPr>
      </w:pPr>
      <w:r>
        <w:t>the design of the CIS products in the WEM; and</w:t>
      </w:r>
    </w:p>
    <w:p w14:paraId="6C3E6F25" w14:textId="349BD860" w:rsidR="00FE7707" w:rsidRPr="00C45A92" w:rsidRDefault="00C45A92" w:rsidP="00C45A92">
      <w:pPr>
        <w:pStyle w:val="ListParagraph"/>
        <w:numPr>
          <w:ilvl w:val="0"/>
          <w:numId w:val="34"/>
        </w:numPr>
      </w:pPr>
      <w:r>
        <w:t>the proposed eligibility and merit criteria</w:t>
      </w:r>
    </w:p>
    <w:p w14:paraId="5E0298CD" w14:textId="028E0686" w:rsidR="00897E57" w:rsidRDefault="007F354D" w:rsidP="00C25AB1">
      <w:pPr>
        <w:rPr>
          <w:color w:val="FF0000"/>
          <w:highlight w:val="yellow"/>
          <w:lang w:val="en-GB" w:eastAsia="en-AU"/>
        </w:rPr>
      </w:pPr>
      <w:r w:rsidRPr="0FA909E8">
        <w:rPr>
          <w:lang w:val="en-GB" w:eastAsia="en-AU"/>
        </w:rPr>
        <w:t>You can submit feedback through the Department’s Consultation hub (</w:t>
      </w:r>
      <w:hyperlink r:id="rId30">
        <w:r w:rsidRPr="0FA909E8">
          <w:rPr>
            <w:rStyle w:val="Hyperlink"/>
            <w:lang w:val="en-GB" w:eastAsia="en-AU"/>
          </w:rPr>
          <w:t>Have Your Say</w:t>
        </w:r>
      </w:hyperlink>
      <w:r w:rsidRPr="0FA909E8">
        <w:rPr>
          <w:lang w:val="en-GB" w:eastAsia="en-AU"/>
        </w:rPr>
        <w:t xml:space="preserve">) by </w:t>
      </w:r>
      <w:r w:rsidR="00C45A92" w:rsidRPr="0FA909E8">
        <w:rPr>
          <w:lang w:val="en-GB" w:eastAsia="en-AU"/>
        </w:rPr>
        <w:t>10</w:t>
      </w:r>
      <w:r w:rsidRPr="0FA909E8">
        <w:rPr>
          <w:lang w:val="en-GB" w:eastAsia="en-AU"/>
        </w:rPr>
        <w:t>:00</w:t>
      </w:r>
      <w:r w:rsidR="00C45A92" w:rsidRPr="0FA909E8">
        <w:rPr>
          <w:lang w:val="en-GB" w:eastAsia="en-AU"/>
        </w:rPr>
        <w:t>a</w:t>
      </w:r>
      <w:r w:rsidRPr="0FA909E8">
        <w:rPr>
          <w:lang w:val="en-GB" w:eastAsia="en-AU"/>
        </w:rPr>
        <w:t xml:space="preserve">m AWST </w:t>
      </w:r>
      <w:r w:rsidR="44B4BC6A" w:rsidRPr="0FA909E8">
        <w:rPr>
          <w:lang w:val="en-GB" w:eastAsia="en-AU"/>
        </w:rPr>
        <w:t>6 May</w:t>
      </w:r>
      <w:r w:rsidRPr="0FA909E8">
        <w:rPr>
          <w:lang w:val="en-GB" w:eastAsia="en-AU"/>
        </w:rPr>
        <w:t xml:space="preserve"> 2024.</w:t>
      </w:r>
      <w:r w:rsidR="00C25AB1" w:rsidRPr="0FA909E8">
        <w:rPr>
          <w:lang w:val="en-GB" w:eastAsia="en-AU"/>
        </w:rPr>
        <w:t xml:space="preserve"> </w:t>
      </w:r>
      <w:r w:rsidR="00B61525" w:rsidRPr="0FA909E8">
        <w:rPr>
          <w:lang w:val="en-GB" w:eastAsia="en-AU"/>
        </w:rPr>
        <w:t xml:space="preserve">The </w:t>
      </w:r>
      <w:r w:rsidR="78371C80" w:rsidRPr="0FA909E8">
        <w:rPr>
          <w:lang w:val="en-GB" w:eastAsia="en-AU"/>
        </w:rPr>
        <w:t>d</w:t>
      </w:r>
      <w:r w:rsidR="00B61525" w:rsidRPr="0FA909E8">
        <w:rPr>
          <w:lang w:val="en-GB" w:eastAsia="en-AU"/>
        </w:rPr>
        <w:t>epartment</w:t>
      </w:r>
      <w:r w:rsidR="00D44F81" w:rsidRPr="0FA909E8">
        <w:rPr>
          <w:lang w:val="en-GB" w:eastAsia="en-AU"/>
        </w:rPr>
        <w:t xml:space="preserve"> may</w:t>
      </w:r>
      <w:r w:rsidR="00B61525" w:rsidRPr="0FA909E8">
        <w:rPr>
          <w:lang w:val="en-GB" w:eastAsia="en-AU"/>
        </w:rPr>
        <w:t xml:space="preserve"> consider submissions in the development of the </w:t>
      </w:r>
      <w:r w:rsidR="00B23EBA" w:rsidRPr="0FA909E8">
        <w:rPr>
          <w:lang w:val="en-GB" w:eastAsia="en-AU"/>
        </w:rPr>
        <w:t xml:space="preserve">CIS Tender Guidelines that will provide information to </w:t>
      </w:r>
      <w:r w:rsidR="001C590A" w:rsidRPr="0FA909E8">
        <w:rPr>
          <w:lang w:val="en-GB" w:eastAsia="en-AU"/>
        </w:rPr>
        <w:t xml:space="preserve">project owners and developers, and their associates, </w:t>
      </w:r>
      <w:r w:rsidR="008F5C87" w:rsidRPr="0FA909E8">
        <w:rPr>
          <w:lang w:val="en-GB" w:eastAsia="en-AU"/>
        </w:rPr>
        <w:t xml:space="preserve">for participation in the first WEM CIS tender process. </w:t>
      </w:r>
    </w:p>
    <w:p w14:paraId="7E5AE9BB" w14:textId="77777777" w:rsidR="00F2416A" w:rsidRPr="00897E57" w:rsidRDefault="00F2416A" w:rsidP="00897E57">
      <w:pPr>
        <w:rPr>
          <w:color w:val="FF0000"/>
          <w:highlight w:val="yellow"/>
          <w:lang w:val="en-GB" w:eastAsia="en-AU"/>
        </w:rPr>
      </w:pPr>
    </w:p>
    <w:p w14:paraId="07E5D9E4" w14:textId="77777777" w:rsidR="00764507" w:rsidRPr="00764507" w:rsidRDefault="00764507" w:rsidP="00764507">
      <w:pPr>
        <w:rPr>
          <w:lang w:val="en-GB" w:eastAsia="en-AU"/>
        </w:rPr>
      </w:pPr>
    </w:p>
    <w:p w14:paraId="130823D8" w14:textId="77777777" w:rsidR="00803D69" w:rsidRDefault="00803D69" w:rsidP="00BF61D7">
      <w:pPr>
        <w:rPr>
          <w:lang w:val="en-GB" w:eastAsia="en-AU"/>
        </w:rPr>
      </w:pPr>
    </w:p>
    <w:p w14:paraId="1B264C42" w14:textId="77777777" w:rsidR="00585BF4" w:rsidRPr="00815E23" w:rsidRDefault="00585BF4" w:rsidP="00E4378C">
      <w:pPr>
        <w:rPr>
          <w:i/>
          <w:iCs/>
        </w:rPr>
      </w:pPr>
    </w:p>
    <w:sectPr w:rsidR="00585BF4" w:rsidRPr="00815E23" w:rsidSect="0084068F">
      <w:headerReference w:type="default" r:id="rId31"/>
      <w:footerReference w:type="even" r:id="rId32"/>
      <w:footerReference w:type="default" r:id="rId33"/>
      <w:headerReference w:type="first" r:id="rId34"/>
      <w:footerReference w:type="first" r:id="rId35"/>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A678" w14:textId="77777777" w:rsidR="0084068F" w:rsidRDefault="0084068F" w:rsidP="00DF7CEA">
      <w:pPr>
        <w:spacing w:after="0" w:line="240" w:lineRule="auto"/>
      </w:pPr>
      <w:r>
        <w:separator/>
      </w:r>
    </w:p>
  </w:endnote>
  <w:endnote w:type="continuationSeparator" w:id="0">
    <w:p w14:paraId="445A2F22" w14:textId="77777777" w:rsidR="0084068F" w:rsidRDefault="0084068F" w:rsidP="00DF7CEA">
      <w:pPr>
        <w:spacing w:after="0" w:line="240" w:lineRule="auto"/>
      </w:pPr>
      <w:r>
        <w:continuationSeparator/>
      </w:r>
    </w:p>
  </w:endnote>
  <w:endnote w:type="continuationNotice" w:id="1">
    <w:p w14:paraId="6D7F5E05" w14:textId="77777777" w:rsidR="0084068F" w:rsidRDefault="00840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 LT 45 Lt">
    <w:altName w:val="Segoe Script"/>
    <w:charset w:val="00"/>
    <w:family w:val="swiss"/>
    <w:pitch w:val="variable"/>
    <w:sig w:usb0="8000002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AB52" w14:textId="0B4D11E7" w:rsidR="008C6FD4" w:rsidRDefault="008C6F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967404"/>
      <w:docPartObj>
        <w:docPartGallery w:val="Page Numbers (Bottom of Page)"/>
        <w:docPartUnique/>
      </w:docPartObj>
    </w:sdtPr>
    <w:sdtEndPr>
      <w:rPr>
        <w:noProof/>
      </w:rPr>
    </w:sdtEndPr>
    <w:sdtContent>
      <w:p w14:paraId="605E59E2" w14:textId="006FB28D" w:rsidR="005F162F" w:rsidRDefault="005F162F" w:rsidP="008C378E">
        <w:pPr>
          <w:pStyle w:val="Footer"/>
          <w:spacing w:after="120"/>
          <w:jc w:val="center"/>
        </w:pPr>
        <w:r w:rsidRPr="00D86640">
          <w:t>Department of Climate Change, Energy, the Environment and Water</w:t>
        </w:r>
      </w:p>
      <w:p w14:paraId="5975B8E8" w14:textId="57EC6EB2" w:rsidR="00A22825" w:rsidRDefault="005F162F">
        <w:r>
          <w:fldChar w:fldCharType="begin"/>
        </w:r>
        <w:r>
          <w:instrText>PAGE</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CAEE" w14:textId="73B84D80" w:rsidR="008C6FD4" w:rsidRDefault="008C6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34B2F" w14:textId="77777777" w:rsidR="0084068F" w:rsidRDefault="0084068F" w:rsidP="00DF7CEA">
      <w:pPr>
        <w:spacing w:after="0" w:line="240" w:lineRule="auto"/>
      </w:pPr>
      <w:r>
        <w:separator/>
      </w:r>
    </w:p>
  </w:footnote>
  <w:footnote w:type="continuationSeparator" w:id="0">
    <w:p w14:paraId="74832CE0" w14:textId="77777777" w:rsidR="0084068F" w:rsidRDefault="0084068F" w:rsidP="00DF7CEA">
      <w:pPr>
        <w:spacing w:after="0" w:line="240" w:lineRule="auto"/>
      </w:pPr>
      <w:r>
        <w:continuationSeparator/>
      </w:r>
    </w:p>
  </w:footnote>
  <w:footnote w:type="continuationNotice" w:id="1">
    <w:p w14:paraId="0758A332" w14:textId="77777777" w:rsidR="0084068F" w:rsidRDefault="0084068F">
      <w:pPr>
        <w:spacing w:after="0" w:line="240" w:lineRule="auto"/>
      </w:pPr>
    </w:p>
  </w:footnote>
  <w:footnote w:id="2">
    <w:p w14:paraId="64E3B012" w14:textId="11C37078" w:rsidR="00B738F2" w:rsidRPr="00B365FF" w:rsidRDefault="00B738F2">
      <w:pPr>
        <w:pStyle w:val="FootnoteText"/>
        <w:rPr>
          <w:sz w:val="18"/>
          <w:szCs w:val="18"/>
        </w:rPr>
      </w:pPr>
      <w:r w:rsidRPr="00B365FF">
        <w:rPr>
          <w:rStyle w:val="FootnoteReference"/>
          <w:sz w:val="18"/>
          <w:szCs w:val="18"/>
        </w:rPr>
        <w:footnoteRef/>
      </w:r>
      <w:r w:rsidRPr="00B365FF">
        <w:rPr>
          <w:sz w:val="18"/>
          <w:szCs w:val="18"/>
        </w:rPr>
        <w:t xml:space="preserve"> </w:t>
      </w:r>
      <w:hyperlink r:id="rId1" w:history="1">
        <w:r w:rsidRPr="00B365FF">
          <w:rPr>
            <w:rStyle w:val="Hyperlink"/>
            <w:sz w:val="18"/>
            <w:szCs w:val="18"/>
          </w:rPr>
          <w:t>Delivering more reliable energy for all Australians | Ministers (dcceew.gov.au)</w:t>
        </w:r>
      </w:hyperlink>
    </w:p>
  </w:footnote>
  <w:footnote w:id="3">
    <w:p w14:paraId="3E988E7A" w14:textId="52C47F82" w:rsidR="00295425" w:rsidRPr="00B365FF" w:rsidRDefault="00295425">
      <w:pPr>
        <w:pStyle w:val="FootnoteText"/>
        <w:rPr>
          <w:sz w:val="18"/>
          <w:szCs w:val="18"/>
        </w:rPr>
      </w:pPr>
      <w:r w:rsidRPr="00B365FF">
        <w:rPr>
          <w:rStyle w:val="FootnoteReference"/>
          <w:sz w:val="18"/>
          <w:szCs w:val="18"/>
        </w:rPr>
        <w:footnoteRef/>
      </w:r>
      <w:r w:rsidRPr="00B365FF">
        <w:rPr>
          <w:sz w:val="18"/>
          <w:szCs w:val="18"/>
        </w:rPr>
        <w:t xml:space="preserve"> </w:t>
      </w:r>
      <w:hyperlink r:id="rId2" w:history="1">
        <w:r w:rsidRPr="00B365FF">
          <w:rPr>
            <w:rStyle w:val="Hyperlink"/>
            <w:sz w:val="18"/>
            <w:szCs w:val="18"/>
          </w:rPr>
          <w:t>Joint media release: Capacity Investment Scheme supports NSW to deliver 1GW of cleaner, cheaper, more reliable energy for NSW | Ministers (dcceew.gov.au)</w:t>
        </w:r>
      </w:hyperlink>
    </w:p>
  </w:footnote>
  <w:footnote w:id="4">
    <w:p w14:paraId="5A808170" w14:textId="0D1EACD6" w:rsidR="00333B43" w:rsidRPr="00B365FF" w:rsidRDefault="00333B43">
      <w:pPr>
        <w:pStyle w:val="FootnoteText"/>
        <w:rPr>
          <w:sz w:val="18"/>
          <w:szCs w:val="18"/>
        </w:rPr>
      </w:pPr>
      <w:r w:rsidRPr="00B365FF">
        <w:rPr>
          <w:rStyle w:val="FootnoteReference"/>
          <w:sz w:val="18"/>
          <w:szCs w:val="18"/>
        </w:rPr>
        <w:footnoteRef/>
      </w:r>
      <w:r w:rsidRPr="00B365FF">
        <w:rPr>
          <w:sz w:val="18"/>
          <w:szCs w:val="18"/>
        </w:rPr>
        <w:t xml:space="preserve"> The NEM operates across NSW, Queensland, SA, Tasmania and Victoria.</w:t>
      </w:r>
    </w:p>
  </w:footnote>
  <w:footnote w:id="5">
    <w:p w14:paraId="14A1E173" w14:textId="1E20D102" w:rsidR="00BC74BE" w:rsidRPr="00B365FF" w:rsidRDefault="00BC74BE">
      <w:pPr>
        <w:pStyle w:val="FootnoteText"/>
        <w:rPr>
          <w:sz w:val="18"/>
          <w:szCs w:val="18"/>
        </w:rPr>
      </w:pPr>
      <w:r w:rsidRPr="00B365FF">
        <w:rPr>
          <w:rStyle w:val="FootnoteReference"/>
          <w:sz w:val="18"/>
          <w:szCs w:val="18"/>
        </w:rPr>
        <w:footnoteRef/>
      </w:r>
      <w:r w:rsidRPr="00B365FF">
        <w:rPr>
          <w:sz w:val="18"/>
          <w:szCs w:val="18"/>
        </w:rPr>
        <w:t xml:space="preserve"> The WEM operates in the South West Interconnected System (SWIS), which </w:t>
      </w:r>
      <w:r w:rsidR="00864B84" w:rsidRPr="00B365FF">
        <w:rPr>
          <w:sz w:val="18"/>
          <w:szCs w:val="18"/>
        </w:rPr>
        <w:t>covers the south-west of WA.</w:t>
      </w:r>
    </w:p>
  </w:footnote>
  <w:footnote w:id="6">
    <w:p w14:paraId="10E99F76" w14:textId="11855534" w:rsidR="00B365FF" w:rsidRDefault="00B365FF">
      <w:pPr>
        <w:pStyle w:val="FootnoteText"/>
      </w:pPr>
      <w:r w:rsidRPr="00B365FF">
        <w:rPr>
          <w:rStyle w:val="FootnoteReference"/>
          <w:sz w:val="18"/>
          <w:szCs w:val="18"/>
        </w:rPr>
        <w:footnoteRef/>
      </w:r>
      <w:r w:rsidRPr="00B365FF">
        <w:rPr>
          <w:sz w:val="18"/>
          <w:szCs w:val="18"/>
        </w:rPr>
        <w:t xml:space="preserve"> </w:t>
      </w:r>
      <w:hyperlink r:id="rId3" w:history="1">
        <w:r w:rsidRPr="00B365FF">
          <w:rPr>
            <w:rStyle w:val="Hyperlink"/>
            <w:sz w:val="18"/>
            <w:szCs w:val="18"/>
          </w:rPr>
          <w:t>2023-wholesale-electricity-market-electricity-statement-of-opportunities-wem-esoo.pdf (aemo.com.au)</w:t>
        </w:r>
      </w:hyperlink>
    </w:p>
  </w:footnote>
  <w:footnote w:id="7">
    <w:p w14:paraId="50943C61" w14:textId="77777777" w:rsidR="0078143A" w:rsidRPr="003E0E90" w:rsidRDefault="0078143A" w:rsidP="0059096B">
      <w:pPr>
        <w:pStyle w:val="FootnoteText"/>
        <w:spacing w:after="120"/>
        <w:rPr>
          <w:sz w:val="18"/>
          <w:szCs w:val="18"/>
        </w:rPr>
      </w:pPr>
      <w:r w:rsidRPr="003E0E90">
        <w:rPr>
          <w:rStyle w:val="FootnoteReference"/>
          <w:sz w:val="18"/>
          <w:szCs w:val="18"/>
        </w:rPr>
        <w:footnoteRef/>
      </w:r>
      <w:r w:rsidRPr="003E0E90">
        <w:rPr>
          <w:sz w:val="18"/>
          <w:szCs w:val="18"/>
        </w:rPr>
        <w:t xml:space="preserve"> </w:t>
      </w:r>
      <w:r w:rsidRPr="00582C94">
        <w:rPr>
          <w:sz w:val="18"/>
          <w:szCs w:val="18"/>
        </w:rPr>
        <w:t>Muja C Unit 6 - October 2024 – (196MW of Capacity Credits)</w:t>
      </w:r>
      <w:r w:rsidRPr="003E0E90">
        <w:rPr>
          <w:sz w:val="18"/>
          <w:szCs w:val="18"/>
        </w:rPr>
        <w:t xml:space="preserve"> </w:t>
      </w:r>
      <w:r w:rsidRPr="00582C94">
        <w:rPr>
          <w:sz w:val="18"/>
          <w:szCs w:val="18"/>
        </w:rPr>
        <w:t>Collie Power Station - October 2027 (317.2MW of Capacity Credits)</w:t>
      </w:r>
      <w:r w:rsidRPr="003E0E90">
        <w:rPr>
          <w:sz w:val="18"/>
          <w:szCs w:val="18"/>
        </w:rPr>
        <w:t xml:space="preserve">, </w:t>
      </w:r>
      <w:r w:rsidRPr="00582C94">
        <w:rPr>
          <w:sz w:val="18"/>
          <w:szCs w:val="18"/>
        </w:rPr>
        <w:t>Muja D Unit 7 &amp; 8 - October 2029 (422MW of Capacity Credits)</w:t>
      </w:r>
    </w:p>
  </w:footnote>
  <w:footnote w:id="8">
    <w:p w14:paraId="3129AAA1" w14:textId="1B496CF3" w:rsidR="00392FC2" w:rsidRPr="007064EF" w:rsidRDefault="00392FC2" w:rsidP="002F486D">
      <w:pPr>
        <w:pStyle w:val="FootnoteText"/>
        <w:rPr>
          <w:sz w:val="18"/>
          <w:szCs w:val="18"/>
        </w:rPr>
      </w:pPr>
      <w:r w:rsidRPr="007064EF">
        <w:rPr>
          <w:rStyle w:val="FootnoteReference"/>
          <w:sz w:val="18"/>
          <w:szCs w:val="18"/>
        </w:rPr>
        <w:footnoteRef/>
      </w:r>
      <w:r w:rsidRPr="007064EF">
        <w:rPr>
          <w:sz w:val="18"/>
          <w:szCs w:val="18"/>
        </w:rPr>
        <w:t xml:space="preserve"> </w:t>
      </w:r>
      <w:r w:rsidR="002F486D" w:rsidRPr="007064EF">
        <w:rPr>
          <w:sz w:val="18"/>
          <w:szCs w:val="18"/>
        </w:rPr>
        <w:t xml:space="preserve">Details of the WEM, including a detailed Wholesale Electricity Market Design Summary report, are available at </w:t>
      </w:r>
      <w:hyperlink r:id="rId4" w:history="1">
        <w:r w:rsidR="007064EF" w:rsidRPr="007064EF">
          <w:rPr>
            <w:rStyle w:val="Hyperlink"/>
            <w:sz w:val="18"/>
            <w:szCs w:val="18"/>
          </w:rPr>
          <w:t>https://aemo.com.au/energy-systems/electricity/wholesale-electricity-market-wem/about-the-wholesale-electricity-market-wa-wem</w:t>
        </w:r>
      </w:hyperlink>
      <w:r w:rsidR="007064EF" w:rsidRPr="007064EF">
        <w:rPr>
          <w:sz w:val="18"/>
          <w:szCs w:val="18"/>
        </w:rPr>
        <w:t>.</w:t>
      </w:r>
    </w:p>
  </w:footnote>
  <w:footnote w:id="9">
    <w:p w14:paraId="37BD20AC" w14:textId="77777777" w:rsidR="002450BC" w:rsidRPr="00473A36" w:rsidRDefault="002450BC" w:rsidP="002450BC">
      <w:pPr>
        <w:pStyle w:val="FootnoteText"/>
        <w:rPr>
          <w:sz w:val="18"/>
          <w:szCs w:val="18"/>
        </w:rPr>
      </w:pPr>
      <w:r w:rsidRPr="00473A36">
        <w:rPr>
          <w:rStyle w:val="FootnoteReference"/>
          <w:sz w:val="18"/>
          <w:szCs w:val="18"/>
        </w:rPr>
        <w:footnoteRef/>
      </w:r>
      <w:r w:rsidRPr="00473A36">
        <w:rPr>
          <w:sz w:val="18"/>
          <w:szCs w:val="18"/>
        </w:rPr>
        <w:t xml:space="preserve"> A Capacity Year runs from 1 October to 30 September.</w:t>
      </w:r>
    </w:p>
  </w:footnote>
  <w:footnote w:id="10">
    <w:p w14:paraId="79BA00A8" w14:textId="1697779C" w:rsidR="00D075D4" w:rsidRPr="00E57FD8" w:rsidRDefault="00D075D4">
      <w:pPr>
        <w:pStyle w:val="FootnoteText"/>
        <w:rPr>
          <w:sz w:val="18"/>
          <w:szCs w:val="18"/>
        </w:rPr>
      </w:pPr>
      <w:r w:rsidRPr="00E57FD8">
        <w:rPr>
          <w:rStyle w:val="FootnoteReference"/>
          <w:sz w:val="18"/>
          <w:szCs w:val="18"/>
        </w:rPr>
        <w:footnoteRef/>
      </w:r>
      <w:r w:rsidRPr="00E57FD8">
        <w:rPr>
          <w:sz w:val="18"/>
          <w:szCs w:val="18"/>
        </w:rPr>
        <w:t xml:space="preserve"> </w:t>
      </w:r>
      <w:r w:rsidR="00E57FD8">
        <w:rPr>
          <w:sz w:val="18"/>
          <w:szCs w:val="18"/>
        </w:rPr>
        <w:t xml:space="preserve">The price cap for energy is significantly lower than that of the NEM </w:t>
      </w:r>
      <w:r w:rsidR="00DB7964">
        <w:rPr>
          <w:sz w:val="18"/>
          <w:szCs w:val="18"/>
        </w:rPr>
        <w:t>–</w:t>
      </w:r>
      <w:r w:rsidR="00E57FD8">
        <w:rPr>
          <w:sz w:val="18"/>
          <w:szCs w:val="18"/>
        </w:rPr>
        <w:t xml:space="preserve"> </w:t>
      </w:r>
      <w:r w:rsidR="00DB7964">
        <w:rPr>
          <w:sz w:val="18"/>
          <w:szCs w:val="18"/>
        </w:rPr>
        <w:t xml:space="preserve">$738/MWh compared with </w:t>
      </w:r>
      <w:r w:rsidR="00991A35">
        <w:rPr>
          <w:sz w:val="18"/>
          <w:szCs w:val="18"/>
        </w:rPr>
        <w:t>$16,600/MWh</w:t>
      </w:r>
      <w:r w:rsidR="00494B48">
        <w:rPr>
          <w:sz w:val="18"/>
          <w:szCs w:val="18"/>
        </w:rPr>
        <w:t>, as at 31 January 2024.</w:t>
      </w:r>
      <w:r w:rsidR="00903E19">
        <w:rPr>
          <w:sz w:val="18"/>
          <w:szCs w:val="18"/>
        </w:rPr>
        <w:t xml:space="preserve"> </w:t>
      </w:r>
    </w:p>
  </w:footnote>
  <w:footnote w:id="11">
    <w:p w14:paraId="785E0449" w14:textId="433CF80E" w:rsidR="00782385" w:rsidRPr="00782385" w:rsidRDefault="00782385">
      <w:pPr>
        <w:pStyle w:val="FootnoteText"/>
        <w:rPr>
          <w:sz w:val="18"/>
          <w:szCs w:val="18"/>
        </w:rPr>
      </w:pPr>
      <w:r w:rsidRPr="00782385">
        <w:rPr>
          <w:rStyle w:val="FootnoteReference"/>
          <w:sz w:val="18"/>
          <w:szCs w:val="18"/>
        </w:rPr>
        <w:footnoteRef/>
      </w:r>
      <w:r w:rsidRPr="00782385">
        <w:rPr>
          <w:sz w:val="18"/>
          <w:szCs w:val="18"/>
        </w:rPr>
        <w:t xml:space="preserve"> </w:t>
      </w:r>
      <w:r>
        <w:rPr>
          <w:sz w:val="18"/>
          <w:szCs w:val="18"/>
        </w:rPr>
        <w:t xml:space="preserve">The supply-demand balance is calculated from the </w:t>
      </w:r>
      <w:r w:rsidR="00CB7EE5">
        <w:rPr>
          <w:sz w:val="18"/>
          <w:szCs w:val="18"/>
        </w:rPr>
        <w:t>Reserve Capacity Requirement and the final quantity of Capacity Credits assigned for the relevant Capacity Year.</w:t>
      </w:r>
    </w:p>
  </w:footnote>
  <w:footnote w:id="12">
    <w:p w14:paraId="4C11E48F" w14:textId="77777777" w:rsidR="004A7E14" w:rsidRPr="00DD1CC5" w:rsidRDefault="004A7E14" w:rsidP="004A7E14">
      <w:pPr>
        <w:pStyle w:val="FootnoteText"/>
      </w:pPr>
      <w:r>
        <w:rPr>
          <w:rStyle w:val="FootnoteReference"/>
        </w:rPr>
        <w:footnoteRef/>
      </w:r>
      <w:r>
        <w:t xml:space="preserve"> </w:t>
      </w:r>
      <w:r w:rsidRPr="00B75190">
        <w:rPr>
          <w:rFonts w:cstheme="minorHAnsi"/>
        </w:rPr>
        <w:t>This includes uncommitted and committed projects that reached committed status after the 23</w:t>
      </w:r>
      <w:r>
        <w:rPr>
          <w:rFonts w:cstheme="minorHAnsi"/>
        </w:rPr>
        <w:t> </w:t>
      </w:r>
      <w:r w:rsidRPr="00B75190">
        <w:rPr>
          <w:rFonts w:cstheme="minorHAnsi"/>
        </w:rPr>
        <w:t>November</w:t>
      </w:r>
      <w:r>
        <w:rPr>
          <w:rFonts w:cstheme="minorHAnsi"/>
        </w:rPr>
        <w:t> </w:t>
      </w:r>
      <w:r w:rsidRPr="00B75190">
        <w:rPr>
          <w:rFonts w:cstheme="minorHAnsi"/>
        </w:rPr>
        <w:t>2023 expanded CIS announcement.</w:t>
      </w:r>
    </w:p>
  </w:footnote>
  <w:footnote w:id="13">
    <w:p w14:paraId="4DF3C5F2" w14:textId="36624AC7" w:rsidR="00502910" w:rsidRPr="00D34AC2" w:rsidRDefault="00502910">
      <w:pPr>
        <w:pStyle w:val="FootnoteText"/>
        <w:rPr>
          <w:sz w:val="18"/>
          <w:szCs w:val="18"/>
        </w:rPr>
      </w:pPr>
      <w:r w:rsidRPr="00D34AC2">
        <w:rPr>
          <w:rStyle w:val="FootnoteReference"/>
          <w:sz w:val="18"/>
          <w:szCs w:val="18"/>
        </w:rPr>
        <w:footnoteRef/>
      </w:r>
      <w:r w:rsidRPr="00D34AC2">
        <w:rPr>
          <w:sz w:val="18"/>
          <w:szCs w:val="18"/>
        </w:rPr>
        <w:t xml:space="preserve"> It is expected that </w:t>
      </w:r>
      <w:r w:rsidR="009907D1" w:rsidRPr="00D34AC2">
        <w:rPr>
          <w:sz w:val="18"/>
          <w:szCs w:val="18"/>
        </w:rPr>
        <w:t xml:space="preserve">a CIS security deposit will be significantly smaller than the </w:t>
      </w:r>
      <w:r w:rsidRPr="00D34AC2">
        <w:rPr>
          <w:sz w:val="18"/>
          <w:szCs w:val="18"/>
        </w:rPr>
        <w:t xml:space="preserve">Reserve Capacity Security </w:t>
      </w:r>
      <w:r w:rsidR="009907D1" w:rsidRPr="00D34AC2">
        <w:rPr>
          <w:sz w:val="18"/>
          <w:szCs w:val="18"/>
        </w:rPr>
        <w:t>requirement under section 4.13 of the WEM Rules.</w:t>
      </w:r>
      <w:r w:rsidR="003C0C8D">
        <w:rPr>
          <w:sz w:val="18"/>
          <w:szCs w:val="18"/>
        </w:rPr>
        <w:t xml:space="preserve"> AEMO will hold the Reserve Capacity Security until </w:t>
      </w:r>
      <w:r w:rsidR="008C04C8">
        <w:rPr>
          <w:sz w:val="18"/>
          <w:szCs w:val="18"/>
        </w:rPr>
        <w:t>the facility enters commercial operation and demonstrates its capacity.</w:t>
      </w:r>
    </w:p>
  </w:footnote>
  <w:footnote w:id="14">
    <w:p w14:paraId="02F04F34" w14:textId="38AAADB9" w:rsidR="00C66230" w:rsidRPr="00C66230" w:rsidRDefault="00C66230">
      <w:pPr>
        <w:pStyle w:val="FootnoteText"/>
        <w:rPr>
          <w:sz w:val="18"/>
          <w:szCs w:val="18"/>
        </w:rPr>
      </w:pPr>
      <w:r w:rsidRPr="00C66230">
        <w:rPr>
          <w:rStyle w:val="FootnoteReference"/>
          <w:sz w:val="18"/>
          <w:szCs w:val="18"/>
        </w:rPr>
        <w:footnoteRef/>
      </w:r>
      <w:r w:rsidRPr="00C66230">
        <w:rPr>
          <w:sz w:val="18"/>
          <w:szCs w:val="18"/>
        </w:rPr>
        <w:t xml:space="preserve"> See </w:t>
      </w:r>
      <w:r w:rsidRPr="00093A57">
        <w:rPr>
          <w:sz w:val="18"/>
          <w:szCs w:val="18"/>
        </w:rPr>
        <w:t xml:space="preserve">section </w:t>
      </w:r>
      <w:r w:rsidRPr="00060B53">
        <w:rPr>
          <w:sz w:val="18"/>
          <w:szCs w:val="18"/>
        </w:rPr>
        <w:fldChar w:fldCharType="begin"/>
      </w:r>
      <w:r w:rsidRPr="00093A57">
        <w:rPr>
          <w:sz w:val="18"/>
          <w:szCs w:val="18"/>
        </w:rPr>
        <w:instrText xml:space="preserve"> REF _Ref157408629 \r \h  \* MERGEFORMAT </w:instrText>
      </w:r>
      <w:r w:rsidRPr="00060B53">
        <w:rPr>
          <w:sz w:val="18"/>
          <w:szCs w:val="18"/>
        </w:rPr>
      </w:r>
      <w:r w:rsidRPr="00060B53">
        <w:rPr>
          <w:sz w:val="18"/>
          <w:szCs w:val="18"/>
        </w:rPr>
        <w:fldChar w:fldCharType="separate"/>
      </w:r>
      <w:r w:rsidR="00C626DE" w:rsidRPr="00093A57">
        <w:rPr>
          <w:sz w:val="18"/>
          <w:szCs w:val="18"/>
        </w:rPr>
        <w:t>3.6</w:t>
      </w:r>
      <w:r w:rsidRPr="00060B53">
        <w:rPr>
          <w:sz w:val="18"/>
          <w:szCs w:val="18"/>
        </w:rPr>
        <w:fldChar w:fldCharType="end"/>
      </w:r>
    </w:p>
  </w:footnote>
  <w:footnote w:id="15">
    <w:p w14:paraId="2D31C816" w14:textId="7E07CF3A" w:rsidR="00B75206" w:rsidRPr="005F7B30" w:rsidRDefault="00B75206">
      <w:pPr>
        <w:pStyle w:val="FootnoteText"/>
        <w:rPr>
          <w:sz w:val="18"/>
          <w:szCs w:val="18"/>
        </w:rPr>
      </w:pPr>
      <w:r w:rsidRPr="005F7B30">
        <w:rPr>
          <w:rStyle w:val="FootnoteReference"/>
          <w:sz w:val="18"/>
          <w:szCs w:val="18"/>
        </w:rPr>
        <w:footnoteRef/>
      </w:r>
      <w:r w:rsidRPr="005F7B30">
        <w:rPr>
          <w:sz w:val="18"/>
          <w:szCs w:val="18"/>
        </w:rPr>
        <w:t xml:space="preserve"> The Target COD is the </w:t>
      </w:r>
      <w:r w:rsidR="00AB48C1" w:rsidRPr="005F7B30">
        <w:rPr>
          <w:sz w:val="18"/>
          <w:szCs w:val="18"/>
        </w:rPr>
        <w:t>latest expected COD that will be eligible for participation in the CIS tender. This does not preclude projects that commence commercial operation before the Target COD.</w:t>
      </w:r>
    </w:p>
  </w:footnote>
  <w:footnote w:id="16">
    <w:p w14:paraId="02DA64E2" w14:textId="1714C588" w:rsidR="0086496F" w:rsidRPr="0015256A" w:rsidRDefault="0086496F">
      <w:pPr>
        <w:pStyle w:val="FootnoteText"/>
        <w:rPr>
          <w:sz w:val="18"/>
          <w:szCs w:val="18"/>
        </w:rPr>
      </w:pPr>
      <w:r w:rsidRPr="0015256A">
        <w:rPr>
          <w:rStyle w:val="FootnoteReference"/>
          <w:sz w:val="18"/>
          <w:szCs w:val="18"/>
        </w:rPr>
        <w:footnoteRef/>
      </w:r>
      <w:r w:rsidRPr="0015256A">
        <w:rPr>
          <w:sz w:val="18"/>
          <w:szCs w:val="18"/>
        </w:rPr>
        <w:t xml:space="preserve"> </w:t>
      </w:r>
      <w:r w:rsidR="0015256A" w:rsidRPr="0015256A">
        <w:rPr>
          <w:sz w:val="18"/>
          <w:szCs w:val="18"/>
        </w:rPr>
        <w:t>As specified in clause 4.1.11 of the WEM Rules.</w:t>
      </w:r>
    </w:p>
  </w:footnote>
  <w:footnote w:id="17">
    <w:p w14:paraId="73898B6B" w14:textId="0BED9D83" w:rsidR="00125025" w:rsidRPr="006A5FE6" w:rsidRDefault="00125025">
      <w:pPr>
        <w:pStyle w:val="FootnoteText"/>
        <w:rPr>
          <w:sz w:val="18"/>
          <w:szCs w:val="18"/>
        </w:rPr>
      </w:pPr>
      <w:r w:rsidRPr="006A5FE6">
        <w:rPr>
          <w:rStyle w:val="FootnoteReference"/>
          <w:sz w:val="18"/>
          <w:szCs w:val="18"/>
        </w:rPr>
        <w:footnoteRef/>
      </w:r>
      <w:r w:rsidRPr="006A5FE6">
        <w:rPr>
          <w:sz w:val="18"/>
          <w:szCs w:val="18"/>
        </w:rPr>
        <w:t xml:space="preserve"> Facility registration processes differ between the WEM and NEM. In the WEM, </w:t>
      </w:r>
      <w:r w:rsidR="00180762" w:rsidRPr="006A5FE6">
        <w:rPr>
          <w:sz w:val="18"/>
          <w:szCs w:val="18"/>
        </w:rPr>
        <w:t xml:space="preserve">formal </w:t>
      </w:r>
      <w:r w:rsidR="00E57BC1" w:rsidRPr="006A5FE6">
        <w:rPr>
          <w:sz w:val="18"/>
          <w:szCs w:val="18"/>
        </w:rPr>
        <w:t xml:space="preserve">facility registration occurs </w:t>
      </w:r>
      <w:r w:rsidR="00180762" w:rsidRPr="006A5FE6">
        <w:rPr>
          <w:sz w:val="18"/>
          <w:szCs w:val="18"/>
        </w:rPr>
        <w:t>just prior to a facility commencing commercial operation, o</w:t>
      </w:r>
      <w:r w:rsidR="00E96E18" w:rsidRPr="006A5FE6">
        <w:rPr>
          <w:sz w:val="18"/>
          <w:szCs w:val="18"/>
        </w:rPr>
        <w:t xml:space="preserve">nce </w:t>
      </w:r>
      <w:r w:rsidR="006A5FE6" w:rsidRPr="006A5FE6">
        <w:rPr>
          <w:sz w:val="18"/>
          <w:szCs w:val="18"/>
        </w:rPr>
        <w:t xml:space="preserve">all </w:t>
      </w:r>
      <w:r w:rsidR="003D3C8E">
        <w:rPr>
          <w:sz w:val="18"/>
          <w:szCs w:val="18"/>
        </w:rPr>
        <w:t xml:space="preserve">facility </w:t>
      </w:r>
      <w:r w:rsidR="003D3C8E" w:rsidRPr="006A5FE6">
        <w:rPr>
          <w:sz w:val="18"/>
          <w:szCs w:val="18"/>
        </w:rPr>
        <w:t>standing data</w:t>
      </w:r>
      <w:r w:rsidR="006A5FE6" w:rsidRPr="006A5FE6">
        <w:rPr>
          <w:sz w:val="18"/>
          <w:szCs w:val="18"/>
        </w:rPr>
        <w:t xml:space="preserve"> and details of control and communication systems are known.</w:t>
      </w:r>
      <w:r w:rsidR="00180762" w:rsidRPr="006A5FE6">
        <w:rPr>
          <w:sz w:val="18"/>
          <w:szCs w:val="18"/>
        </w:rPr>
        <w:t xml:space="preserve"> </w:t>
      </w:r>
      <w:r w:rsidR="00D23F52">
        <w:rPr>
          <w:sz w:val="18"/>
          <w:szCs w:val="18"/>
        </w:rPr>
        <w:t>Ahead of this,</w:t>
      </w:r>
      <w:r w:rsidR="00E57BC1" w:rsidRPr="006A5FE6">
        <w:rPr>
          <w:sz w:val="18"/>
          <w:szCs w:val="18"/>
        </w:rPr>
        <w:t xml:space="preserve"> </w:t>
      </w:r>
      <w:r w:rsidRPr="006A5FE6">
        <w:rPr>
          <w:sz w:val="18"/>
          <w:szCs w:val="18"/>
        </w:rPr>
        <w:t xml:space="preserve">a project owner </w:t>
      </w:r>
      <w:r w:rsidR="00E57BC1" w:rsidRPr="006A5FE6">
        <w:rPr>
          <w:sz w:val="18"/>
          <w:szCs w:val="18"/>
        </w:rPr>
        <w:t>may create an intending facility name</w:t>
      </w:r>
      <w:r w:rsidR="00391395">
        <w:rPr>
          <w:sz w:val="18"/>
          <w:szCs w:val="18"/>
        </w:rPr>
        <w:t xml:space="preserve"> and may lodge applications for certification of capacity and Capacity Credits against this placeholder.</w:t>
      </w:r>
    </w:p>
  </w:footnote>
  <w:footnote w:id="18">
    <w:p w14:paraId="724EB4B7" w14:textId="68FEA8F1" w:rsidR="00335B59" w:rsidRPr="005E6343" w:rsidRDefault="00335B59">
      <w:pPr>
        <w:pStyle w:val="FootnoteText"/>
        <w:rPr>
          <w:sz w:val="18"/>
          <w:szCs w:val="18"/>
        </w:rPr>
      </w:pPr>
      <w:r w:rsidRPr="005E6343">
        <w:rPr>
          <w:rStyle w:val="FootnoteReference"/>
          <w:sz w:val="18"/>
          <w:szCs w:val="18"/>
        </w:rPr>
        <w:footnoteRef/>
      </w:r>
      <w:r w:rsidRPr="005E6343">
        <w:rPr>
          <w:sz w:val="18"/>
          <w:szCs w:val="18"/>
        </w:rPr>
        <w:t xml:space="preserve"> </w:t>
      </w:r>
      <w:r w:rsidR="00785194" w:rsidRPr="005E6343">
        <w:rPr>
          <w:sz w:val="18"/>
          <w:szCs w:val="18"/>
        </w:rPr>
        <w:t xml:space="preserve">This requirement has previously been set at </w:t>
      </w:r>
      <w:r w:rsidR="007C7F07" w:rsidRPr="005E6343">
        <w:rPr>
          <w:sz w:val="18"/>
          <w:szCs w:val="18"/>
        </w:rPr>
        <w:t xml:space="preserve">four hours (eight Trading Intervals). Starting from the 2025 RCM cycle, the </w:t>
      </w:r>
      <w:r w:rsidR="00567324">
        <w:rPr>
          <w:sz w:val="18"/>
          <w:szCs w:val="18"/>
        </w:rPr>
        <w:t>ESR Duration Requirement</w:t>
      </w:r>
      <w:r w:rsidR="007C7F07" w:rsidRPr="005E6343">
        <w:rPr>
          <w:sz w:val="18"/>
          <w:szCs w:val="18"/>
        </w:rPr>
        <w:t xml:space="preserve"> will be determined annually by AEMO</w:t>
      </w:r>
      <w:r w:rsidR="005E6343" w:rsidRPr="005E6343">
        <w:rPr>
          <w:sz w:val="18"/>
          <w:szCs w:val="18"/>
        </w:rPr>
        <w:t>.</w:t>
      </w:r>
      <w:r w:rsidR="0062058C">
        <w:rPr>
          <w:sz w:val="18"/>
          <w:szCs w:val="18"/>
        </w:rPr>
        <w:t xml:space="preserve"> </w:t>
      </w:r>
    </w:p>
  </w:footnote>
  <w:footnote w:id="19">
    <w:p w14:paraId="61AB0C1A" w14:textId="148DD75C" w:rsidR="00646A7A" w:rsidRPr="00C85352" w:rsidRDefault="00646A7A">
      <w:pPr>
        <w:pStyle w:val="FootnoteText"/>
        <w:rPr>
          <w:sz w:val="18"/>
          <w:szCs w:val="18"/>
        </w:rPr>
      </w:pPr>
      <w:r w:rsidRPr="00C85352">
        <w:rPr>
          <w:rStyle w:val="FootnoteReference"/>
          <w:sz w:val="18"/>
          <w:szCs w:val="18"/>
        </w:rPr>
        <w:footnoteRef/>
      </w:r>
      <w:r w:rsidRPr="00C85352">
        <w:rPr>
          <w:sz w:val="18"/>
          <w:szCs w:val="18"/>
        </w:rPr>
        <w:t xml:space="preserve"> Such a project may </w:t>
      </w:r>
      <w:r w:rsidR="00594BF5" w:rsidRPr="00C85352">
        <w:rPr>
          <w:sz w:val="18"/>
          <w:szCs w:val="18"/>
        </w:rPr>
        <w:t>include a dispatchable technology such as an Electric Storage Resource. The storage component of the project may still be underwritten by a Generation CISA but will not be eligible for the Clean Dispatchable CISA.</w:t>
      </w:r>
    </w:p>
  </w:footnote>
  <w:footnote w:id="20">
    <w:p w14:paraId="76EAC8FF" w14:textId="5A8753F2" w:rsidR="00CF473E" w:rsidRPr="00D34AC2" w:rsidRDefault="00CF473E">
      <w:pPr>
        <w:pStyle w:val="FootnoteText"/>
        <w:rPr>
          <w:sz w:val="18"/>
          <w:szCs w:val="18"/>
        </w:rPr>
      </w:pPr>
      <w:r w:rsidRPr="00D34AC2">
        <w:rPr>
          <w:rStyle w:val="FootnoteReference"/>
          <w:sz w:val="18"/>
          <w:szCs w:val="18"/>
        </w:rPr>
        <w:footnoteRef/>
      </w:r>
      <w:r w:rsidRPr="00D34AC2">
        <w:rPr>
          <w:sz w:val="18"/>
          <w:szCs w:val="18"/>
        </w:rPr>
        <w:t xml:space="preserve"> The CIS complements other Commonwealth government programs, such as those run by ARENA, which aim to support the demonstration of emerging technologies.</w:t>
      </w:r>
    </w:p>
  </w:footnote>
  <w:footnote w:id="21">
    <w:p w14:paraId="5CCAB1B0" w14:textId="245F996D" w:rsidR="00FB2BDA" w:rsidRPr="005F7B30" w:rsidRDefault="00FB2BDA">
      <w:pPr>
        <w:pStyle w:val="FootnoteText"/>
        <w:rPr>
          <w:sz w:val="18"/>
          <w:szCs w:val="18"/>
        </w:rPr>
      </w:pPr>
      <w:r w:rsidRPr="005F7B30">
        <w:rPr>
          <w:rStyle w:val="FootnoteReference"/>
          <w:sz w:val="18"/>
          <w:szCs w:val="18"/>
        </w:rPr>
        <w:footnoteRef/>
      </w:r>
      <w:r w:rsidRPr="005F7B30">
        <w:rPr>
          <w:sz w:val="18"/>
          <w:szCs w:val="18"/>
        </w:rPr>
        <w:t xml:space="preserve"> Eligible projects may </w:t>
      </w:r>
      <w:r>
        <w:rPr>
          <w:sz w:val="18"/>
          <w:szCs w:val="18"/>
        </w:rPr>
        <w:t xml:space="preserve">also </w:t>
      </w:r>
      <w:r w:rsidRPr="005F7B30">
        <w:rPr>
          <w:sz w:val="18"/>
          <w:szCs w:val="18"/>
        </w:rPr>
        <w:t>participate in earlier RCM cycle</w:t>
      </w:r>
      <w:r>
        <w:rPr>
          <w:sz w:val="18"/>
          <w:szCs w:val="18"/>
        </w:rPr>
        <w:t>s.</w:t>
      </w:r>
    </w:p>
  </w:footnote>
  <w:footnote w:id="22">
    <w:p w14:paraId="5411C7B9" w14:textId="77777777" w:rsidR="000B5461" w:rsidRPr="00BE57C6" w:rsidRDefault="000B5461" w:rsidP="000B5461">
      <w:pPr>
        <w:pStyle w:val="FootnoteText"/>
        <w:rPr>
          <w:sz w:val="18"/>
          <w:szCs w:val="18"/>
        </w:rPr>
      </w:pPr>
      <w:r w:rsidRPr="00BE57C6">
        <w:rPr>
          <w:rStyle w:val="FootnoteReference"/>
          <w:sz w:val="18"/>
          <w:szCs w:val="18"/>
        </w:rPr>
        <w:footnoteRef/>
      </w:r>
      <w:r w:rsidRPr="00BE57C6">
        <w:rPr>
          <w:sz w:val="18"/>
          <w:szCs w:val="18"/>
        </w:rPr>
        <w:t xml:space="preserve"> The </w:t>
      </w:r>
      <w:r>
        <w:rPr>
          <w:sz w:val="18"/>
          <w:szCs w:val="18"/>
        </w:rPr>
        <w:t>RLM</w:t>
      </w:r>
      <w:r w:rsidRPr="00BE57C6">
        <w:rPr>
          <w:sz w:val="18"/>
          <w:szCs w:val="18"/>
        </w:rPr>
        <w:t xml:space="preserve"> is used for determining the reliability contribution of VRE facilities, based on the effective load-carrying capacity of each facility. </w:t>
      </w:r>
    </w:p>
  </w:footnote>
  <w:footnote w:id="23">
    <w:p w14:paraId="4927DBA6" w14:textId="77777777" w:rsidR="000B5461" w:rsidRPr="006B45AF" w:rsidRDefault="000B5461" w:rsidP="000B5461">
      <w:pPr>
        <w:pStyle w:val="FootnoteText"/>
        <w:rPr>
          <w:sz w:val="18"/>
          <w:szCs w:val="18"/>
        </w:rPr>
      </w:pPr>
      <w:r w:rsidRPr="006B45AF">
        <w:rPr>
          <w:rStyle w:val="FootnoteReference"/>
          <w:sz w:val="18"/>
          <w:szCs w:val="18"/>
        </w:rPr>
        <w:footnoteRef/>
      </w:r>
      <w:r w:rsidRPr="006B45AF">
        <w:rPr>
          <w:sz w:val="18"/>
          <w:szCs w:val="18"/>
        </w:rPr>
        <w:t xml:space="preserve"> The NAQ process models the available network capacity to enable a facility to provide its capacity during times of greatest system need, placing a cap on the quantity of Capacity Credits that may be allocated to a facility.</w:t>
      </w:r>
    </w:p>
  </w:footnote>
  <w:footnote w:id="24">
    <w:p w14:paraId="28BC686A" w14:textId="77777777" w:rsidR="0027735D" w:rsidRPr="00D34AC2" w:rsidRDefault="0027735D" w:rsidP="0027735D">
      <w:pPr>
        <w:pStyle w:val="FootnoteText"/>
        <w:rPr>
          <w:sz w:val="18"/>
          <w:szCs w:val="18"/>
        </w:rPr>
      </w:pPr>
      <w:r w:rsidRPr="00D34AC2">
        <w:rPr>
          <w:rStyle w:val="FootnoteReference"/>
          <w:sz w:val="18"/>
          <w:szCs w:val="18"/>
        </w:rPr>
        <w:footnoteRef/>
      </w:r>
      <w:r w:rsidRPr="00D34AC2">
        <w:rPr>
          <w:sz w:val="18"/>
          <w:szCs w:val="18"/>
        </w:rPr>
        <w:t xml:space="preserve"> This will include re-applying annually for capacity certification and assignment of Capacity Credits through the RCM</w:t>
      </w:r>
      <w:r>
        <w:rPr>
          <w:sz w:val="18"/>
          <w:szCs w:val="18"/>
        </w:rPr>
        <w:t>.</w:t>
      </w:r>
    </w:p>
  </w:footnote>
  <w:footnote w:id="25">
    <w:p w14:paraId="5EFE85C5" w14:textId="77777777" w:rsidR="0027735D" w:rsidRPr="00D34AC2" w:rsidRDefault="0027735D" w:rsidP="0027735D">
      <w:pPr>
        <w:pStyle w:val="FootnoteText"/>
        <w:rPr>
          <w:sz w:val="18"/>
          <w:szCs w:val="18"/>
        </w:rPr>
      </w:pPr>
      <w:r w:rsidRPr="00D34AC2">
        <w:rPr>
          <w:rStyle w:val="FootnoteReference"/>
          <w:sz w:val="18"/>
          <w:szCs w:val="18"/>
        </w:rPr>
        <w:footnoteRef/>
      </w:r>
      <w:r w:rsidRPr="00D34AC2">
        <w:rPr>
          <w:sz w:val="18"/>
          <w:szCs w:val="18"/>
        </w:rPr>
        <w:t xml:space="preserve"> This will include re-applying annually for capacity certification and assignment of Capacity Credits through the RCM</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27C5" w14:textId="3519C501" w:rsidR="005B0BAF" w:rsidRDefault="005B0BAF" w:rsidP="005B0BAF">
    <w:pPr>
      <w:pStyle w:val="Header"/>
      <w:jc w:val="center"/>
    </w:pPr>
    <w:r>
      <w:t>Western Australia Design Paper – Capacity Investment Scheme</w:t>
    </w:r>
  </w:p>
  <w:p w14:paraId="3BB29A1E" w14:textId="359F3F3E" w:rsidR="00DF7CEA" w:rsidRDefault="00DF7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3906" w14:textId="26B4734E" w:rsidR="008C6FD4" w:rsidRDefault="008C6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1E35"/>
    <w:multiLevelType w:val="hybridMultilevel"/>
    <w:tmpl w:val="2FAAD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67E4754"/>
    <w:multiLevelType w:val="hybridMultilevel"/>
    <w:tmpl w:val="30DEF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13751"/>
    <w:multiLevelType w:val="hybridMultilevel"/>
    <w:tmpl w:val="E0802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A26DA"/>
    <w:multiLevelType w:val="hybridMultilevel"/>
    <w:tmpl w:val="88D6D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BA38B5"/>
    <w:multiLevelType w:val="multilevel"/>
    <w:tmpl w:val="FCF4C1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B0F7A43"/>
    <w:multiLevelType w:val="multilevel"/>
    <w:tmpl w:val="285E2436"/>
    <w:lvl w:ilvl="0">
      <w:start w:val="1"/>
      <w:numFmt w:val="decimal"/>
      <w:lvlText w:val="%1."/>
      <w:lvlJc w:val="left"/>
      <w:pPr>
        <w:ind w:left="360" w:hanging="360"/>
      </w:pPr>
      <w:rPr>
        <w:rFonts w:ascii="Arial" w:eastAsia="MS Gothic" w:hAnsi="Arial" w:cstheme="minorHAnsi" w:hint="default"/>
      </w:rPr>
    </w:lvl>
    <w:lvl w:ilvl="1">
      <w:start w:val="1"/>
      <w:numFmt w:val="decimal"/>
      <w:lvlText w:val="%1.%2."/>
      <w:lvlJc w:val="left"/>
      <w:pPr>
        <w:ind w:left="5252" w:hanging="432"/>
      </w:pPr>
      <w:rPr>
        <w:rFonts w:ascii="Arial" w:hAnsi="Arial" w:cstheme="minorHAnsi" w:hint="default"/>
        <w:lang w:val="en-GB"/>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F17E06"/>
    <w:multiLevelType w:val="hybridMultilevel"/>
    <w:tmpl w:val="E942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1272E"/>
    <w:multiLevelType w:val="hybridMultilevel"/>
    <w:tmpl w:val="9634E91A"/>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8" w15:restartNumberingAfterBreak="0">
    <w:nsid w:val="108022FF"/>
    <w:multiLevelType w:val="hybridMultilevel"/>
    <w:tmpl w:val="7D18928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9" w15:restartNumberingAfterBreak="0">
    <w:nsid w:val="146214D1"/>
    <w:multiLevelType w:val="hybridMultilevel"/>
    <w:tmpl w:val="8AA44CD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214F16"/>
    <w:multiLevelType w:val="multilevel"/>
    <w:tmpl w:val="8572100E"/>
    <w:styleLink w:val="Style1"/>
    <w:lvl w:ilvl="0">
      <w:start w:val="1"/>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5FC1D85"/>
    <w:multiLevelType w:val="multilevel"/>
    <w:tmpl w:val="AA282F3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964" w:hanging="964"/>
      </w:pPr>
      <w:rPr>
        <w:rFonts w:hint="default"/>
      </w:rPr>
    </w:lvl>
    <w:lvl w:ilvl="6">
      <w:start w:val="1"/>
      <w:numFmt w:val="decimal"/>
      <w:lvlText w:val="%1.%2.%3.%4.%5.%6.%7."/>
      <w:lvlJc w:val="left"/>
      <w:pPr>
        <w:ind w:left="964" w:hanging="964"/>
      </w:pPr>
      <w:rPr>
        <w:rFonts w:hint="default"/>
      </w:rPr>
    </w:lvl>
    <w:lvl w:ilvl="7">
      <w:start w:val="1"/>
      <w:numFmt w:val="decimal"/>
      <w:lvlText w:val="%1.%2.%3.%4.%5.%6.%7.%8."/>
      <w:lvlJc w:val="left"/>
      <w:pPr>
        <w:ind w:left="964" w:hanging="964"/>
      </w:pPr>
      <w:rPr>
        <w:rFonts w:hint="default"/>
      </w:rPr>
    </w:lvl>
    <w:lvl w:ilvl="8">
      <w:start w:val="1"/>
      <w:numFmt w:val="decimal"/>
      <w:lvlText w:val="%1.%2.%3.%4.%5.%6.%7.%8.%9."/>
      <w:lvlJc w:val="left"/>
      <w:pPr>
        <w:ind w:left="964" w:hanging="964"/>
      </w:pPr>
      <w:rPr>
        <w:rFonts w:hint="default"/>
      </w:rPr>
    </w:lvl>
  </w:abstractNum>
  <w:abstractNum w:abstractNumId="12" w15:restartNumberingAfterBreak="0">
    <w:nsid w:val="164C08DC"/>
    <w:multiLevelType w:val="hybridMultilevel"/>
    <w:tmpl w:val="28383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B606F"/>
    <w:multiLevelType w:val="hybridMultilevel"/>
    <w:tmpl w:val="DC24D76A"/>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EF269B1"/>
    <w:multiLevelType w:val="hybridMultilevel"/>
    <w:tmpl w:val="8AA44CD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EF74E7"/>
    <w:multiLevelType w:val="multilevel"/>
    <w:tmpl w:val="F59646FA"/>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8660E3C"/>
    <w:multiLevelType w:val="multilevel"/>
    <w:tmpl w:val="D46AA4FA"/>
    <w:lvl w:ilvl="0">
      <w:start w:val="1"/>
      <w:numFmt w:val="decimal"/>
      <w:lvlText w:val="%1."/>
      <w:lvlJc w:val="left"/>
      <w:pPr>
        <w:ind w:left="720" w:hanging="360"/>
      </w:pPr>
      <w:rPr>
        <w:rFonts w:asciiTheme="majorHAnsi" w:hAnsiTheme="majorHAnsi" w:cstheme="majorHAnsi" w:hint="default"/>
      </w:rPr>
    </w:lvl>
    <w:lvl w:ilvl="1">
      <w:start w:val="3"/>
      <w:numFmt w:val="decimal"/>
      <w:isLgl/>
      <w:lvlText w:val="%1.%2"/>
      <w:lvlJc w:val="left"/>
      <w:pPr>
        <w:ind w:left="850" w:hanging="49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B341C64"/>
    <w:multiLevelType w:val="hybridMultilevel"/>
    <w:tmpl w:val="B0B21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2410A6"/>
    <w:multiLevelType w:val="hybridMultilevel"/>
    <w:tmpl w:val="D7EAD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1AB8E5"/>
    <w:multiLevelType w:val="multilevel"/>
    <w:tmpl w:val="3050DEA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3D6695"/>
    <w:multiLevelType w:val="multilevel"/>
    <w:tmpl w:val="DF50ABE0"/>
    <w:lvl w:ilvl="0">
      <w:start w:val="1"/>
      <w:numFmt w:val="decimal"/>
      <w:lvlText w:val="%1"/>
      <w:lvlJc w:val="left"/>
      <w:pPr>
        <w:tabs>
          <w:tab w:val="num" w:pos="964"/>
        </w:tabs>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964" w:hanging="964"/>
      </w:pPr>
      <w:rPr>
        <w:rFonts w:hint="default"/>
      </w:rPr>
    </w:lvl>
    <w:lvl w:ilvl="6">
      <w:start w:val="1"/>
      <w:numFmt w:val="decimal"/>
      <w:lvlText w:val="%1.%2.%3.%4.%5.%6.%7."/>
      <w:lvlJc w:val="left"/>
      <w:pPr>
        <w:ind w:left="964" w:hanging="964"/>
      </w:pPr>
      <w:rPr>
        <w:rFonts w:hint="default"/>
      </w:rPr>
    </w:lvl>
    <w:lvl w:ilvl="7">
      <w:start w:val="1"/>
      <w:numFmt w:val="decimal"/>
      <w:lvlText w:val="%1.%2.%3.%4.%5.%6.%7.%8."/>
      <w:lvlJc w:val="left"/>
      <w:pPr>
        <w:ind w:left="964" w:hanging="964"/>
      </w:pPr>
      <w:rPr>
        <w:rFonts w:hint="default"/>
      </w:rPr>
    </w:lvl>
    <w:lvl w:ilvl="8">
      <w:start w:val="1"/>
      <w:numFmt w:val="decimal"/>
      <w:lvlText w:val="%1.%2.%3.%4.%5.%6.%7.%8.%9."/>
      <w:lvlJc w:val="left"/>
      <w:pPr>
        <w:ind w:left="964" w:hanging="964"/>
      </w:pPr>
      <w:rPr>
        <w:rFonts w:hint="default"/>
      </w:rPr>
    </w:lvl>
  </w:abstractNum>
  <w:abstractNum w:abstractNumId="22" w15:restartNumberingAfterBreak="0">
    <w:nsid w:val="30057E44"/>
    <w:multiLevelType w:val="hybridMultilevel"/>
    <w:tmpl w:val="9D10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4D1E0D"/>
    <w:multiLevelType w:val="hybridMultilevel"/>
    <w:tmpl w:val="14764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A5436E"/>
    <w:multiLevelType w:val="hybridMultilevel"/>
    <w:tmpl w:val="EA0686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1B120A2"/>
    <w:multiLevelType w:val="hybridMultilevel"/>
    <w:tmpl w:val="324E6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180C86"/>
    <w:multiLevelType w:val="hybridMultilevel"/>
    <w:tmpl w:val="B8E0F5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9B7409"/>
    <w:multiLevelType w:val="hybridMultilevel"/>
    <w:tmpl w:val="B52E4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1045BA"/>
    <w:multiLevelType w:val="hybridMultilevel"/>
    <w:tmpl w:val="C0FE6990"/>
    <w:lvl w:ilvl="0" w:tplc="3CA62CFC">
      <w:start w:val="1"/>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EA91260"/>
    <w:multiLevelType w:val="hybridMultilevel"/>
    <w:tmpl w:val="4A34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8F3047"/>
    <w:multiLevelType w:val="hybridMultilevel"/>
    <w:tmpl w:val="8CAE92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A331E8"/>
    <w:multiLevelType w:val="hybridMultilevel"/>
    <w:tmpl w:val="9372F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4B6280"/>
    <w:multiLevelType w:val="multilevel"/>
    <w:tmpl w:val="D46AA4FA"/>
    <w:lvl w:ilvl="0">
      <w:start w:val="1"/>
      <w:numFmt w:val="decimal"/>
      <w:lvlText w:val="%1."/>
      <w:lvlJc w:val="left"/>
      <w:pPr>
        <w:ind w:left="720" w:hanging="360"/>
      </w:pPr>
    </w:lvl>
    <w:lvl w:ilvl="1">
      <w:start w:val="3"/>
      <w:numFmt w:val="decimal"/>
      <w:isLgl/>
      <w:lvlText w:val="%1.%2"/>
      <w:lvlJc w:val="left"/>
      <w:pPr>
        <w:ind w:left="850" w:hanging="49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86800B4"/>
    <w:multiLevelType w:val="multilevel"/>
    <w:tmpl w:val="A0241B28"/>
    <w:numStyleLink w:val="List1"/>
  </w:abstractNum>
  <w:abstractNum w:abstractNumId="34" w15:restartNumberingAfterBreak="0">
    <w:nsid w:val="487A3C42"/>
    <w:multiLevelType w:val="multilevel"/>
    <w:tmpl w:val="D1900C74"/>
    <w:lvl w:ilvl="0">
      <w:start w:val="1"/>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6C49BE"/>
    <w:multiLevelType w:val="multilevel"/>
    <w:tmpl w:val="3644440A"/>
    <w:lvl w:ilvl="0">
      <w:start w:val="1"/>
      <w:numFmt w:val="decimal"/>
      <w:pStyle w:val="HEADINGL1BLUE"/>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1.%2"/>
      <w:lvlJc w:val="left"/>
      <w:pPr>
        <w:ind w:left="964" w:hanging="964"/>
      </w:pPr>
      <w:rPr>
        <w:rFonts w:hint="default"/>
      </w:rPr>
    </w:lvl>
    <w:lvl w:ilvl="2">
      <w:start w:val="1"/>
      <w:numFmt w:val="decimal"/>
      <w:pStyle w:val="Heading3"/>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D05149"/>
    <w:multiLevelType w:val="hybridMultilevel"/>
    <w:tmpl w:val="5ADC1388"/>
    <w:lvl w:ilvl="0" w:tplc="CC8833D2">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541901"/>
    <w:multiLevelType w:val="multilevel"/>
    <w:tmpl w:val="5E1A7B96"/>
    <w:lvl w:ilvl="0">
      <w:start w:val="1"/>
      <w:numFmt w:val="decimal"/>
      <w:lvlText w:val="%1"/>
      <w:lvlJc w:val="left"/>
      <w:pPr>
        <w:tabs>
          <w:tab w:val="num" w:pos="964"/>
        </w:tabs>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964" w:hanging="964"/>
      </w:pPr>
      <w:rPr>
        <w:rFonts w:hint="default"/>
      </w:rPr>
    </w:lvl>
    <w:lvl w:ilvl="6">
      <w:start w:val="1"/>
      <w:numFmt w:val="decimal"/>
      <w:lvlText w:val="%1.%2.%3.%4.%5.%6.%7."/>
      <w:lvlJc w:val="left"/>
      <w:pPr>
        <w:ind w:left="964" w:hanging="964"/>
      </w:pPr>
      <w:rPr>
        <w:rFonts w:hint="default"/>
      </w:rPr>
    </w:lvl>
    <w:lvl w:ilvl="7">
      <w:start w:val="1"/>
      <w:numFmt w:val="decimal"/>
      <w:lvlText w:val="%1.%2.%3.%4.%5.%6.%7.%8."/>
      <w:lvlJc w:val="left"/>
      <w:pPr>
        <w:ind w:left="964" w:hanging="964"/>
      </w:pPr>
      <w:rPr>
        <w:rFonts w:hint="default"/>
      </w:rPr>
    </w:lvl>
    <w:lvl w:ilvl="8">
      <w:start w:val="1"/>
      <w:numFmt w:val="decimal"/>
      <w:lvlText w:val="%1.%2.%3.%4.%5.%6.%7.%8.%9."/>
      <w:lvlJc w:val="left"/>
      <w:pPr>
        <w:ind w:left="964" w:hanging="964"/>
      </w:pPr>
      <w:rPr>
        <w:rFonts w:hint="default"/>
      </w:rPr>
    </w:lvl>
  </w:abstractNum>
  <w:abstractNum w:abstractNumId="38" w15:restartNumberingAfterBreak="0">
    <w:nsid w:val="50A34B83"/>
    <w:multiLevelType w:val="multilevel"/>
    <w:tmpl w:val="592EB8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21709A"/>
    <w:multiLevelType w:val="hybridMultilevel"/>
    <w:tmpl w:val="092670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25F4D25"/>
    <w:multiLevelType w:val="hybridMultilevel"/>
    <w:tmpl w:val="AC862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4994362"/>
    <w:multiLevelType w:val="multilevel"/>
    <w:tmpl w:val="7DBC17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8870D2A"/>
    <w:multiLevelType w:val="multilevel"/>
    <w:tmpl w:val="4198F97E"/>
    <w:lvl w:ilvl="0">
      <w:start w:val="1"/>
      <w:numFmt w:val="decimal"/>
      <w:lvlText w:val="%1"/>
      <w:lvlJc w:val="left"/>
      <w:pPr>
        <w:ind w:left="400" w:hanging="400"/>
      </w:pPr>
      <w:rPr>
        <w:rFonts w:hint="default"/>
      </w:rPr>
    </w:lvl>
    <w:lvl w:ilvl="1">
      <w:start w:val="1"/>
      <w:numFmt w:val="decimal"/>
      <w:pStyle w:val="HeadingL2"/>
      <w:lvlText w:val="%1.%2"/>
      <w:lvlJc w:val="left"/>
      <w:pPr>
        <w:ind w:left="400" w:hanging="40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8D53E68"/>
    <w:multiLevelType w:val="hybridMultilevel"/>
    <w:tmpl w:val="D472A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5" w15:restartNumberingAfterBreak="0">
    <w:nsid w:val="5E413FF5"/>
    <w:multiLevelType w:val="multilevel"/>
    <w:tmpl w:val="3D6A8256"/>
    <w:lvl w:ilvl="0">
      <w:start w:val="4"/>
      <w:numFmt w:val="decimal"/>
      <w:lvlText w:val="%1"/>
      <w:lvlJc w:val="left"/>
      <w:pPr>
        <w:ind w:left="360" w:hanging="360"/>
      </w:pPr>
      <w:rPr>
        <w:rFonts w:hint="default"/>
      </w:rPr>
    </w:lvl>
    <w:lvl w:ilvl="1">
      <w:start w:val="1"/>
      <w:numFmt w:val="decimal"/>
      <w:pStyle w:val="HeadingL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E897D73"/>
    <w:multiLevelType w:val="hybridMultilevel"/>
    <w:tmpl w:val="CAE2C110"/>
    <w:lvl w:ilvl="0" w:tplc="FFFFFFFF">
      <w:start w:val="1"/>
      <w:numFmt w:val="bullet"/>
      <w:pStyle w:val="MACtablebulletL1"/>
      <w:lvlText w:val="—"/>
      <w:lvlJc w:val="left"/>
      <w:rPr>
        <w:rFonts w:ascii="HelveticaNeue LT 45 Lt" w:hAnsi="HelveticaNeue LT 45 Lt" w:hint="default"/>
        <w:color w:val="000000" w:themeColor="text1"/>
        <w:sz w:val="20"/>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165CC0"/>
    <w:multiLevelType w:val="multilevel"/>
    <w:tmpl w:val="12966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4B076F2"/>
    <w:multiLevelType w:val="multilevel"/>
    <w:tmpl w:val="0A801276"/>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5456429"/>
    <w:multiLevelType w:val="multilevel"/>
    <w:tmpl w:val="0C8E0BD4"/>
    <w:lvl w:ilvl="0">
      <w:start w:val="1"/>
      <w:numFmt w:val="decimal"/>
      <w:pStyle w:val="ListNumber"/>
      <w:lvlText w:val="%1."/>
      <w:lvlJc w:val="left"/>
      <w:pPr>
        <w:ind w:left="369" w:hanging="369"/>
      </w:pPr>
      <w:rPr>
        <w:rFonts w:ascii="Arial" w:hAnsi="Arial" w:hint="default"/>
        <w:color w:val="000000" w:themeColor="text1"/>
        <w:sz w:val="22"/>
      </w:rPr>
    </w:lvl>
    <w:lvl w:ilvl="1">
      <w:start w:val="1"/>
      <w:numFmt w:val="lowerLetter"/>
      <w:pStyle w:val="ListNumber2"/>
      <w:lvlText w:val="%2)"/>
      <w:lvlJc w:val="left"/>
      <w:pPr>
        <w:ind w:left="729" w:hanging="360"/>
      </w:p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0" w15:restartNumberingAfterBreak="0">
    <w:nsid w:val="65A35AFB"/>
    <w:multiLevelType w:val="hybridMultilevel"/>
    <w:tmpl w:val="1744C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7B8552C"/>
    <w:multiLevelType w:val="multilevel"/>
    <w:tmpl w:val="67361E46"/>
    <w:lvl w:ilvl="0">
      <w:start w:val="1"/>
      <w:numFmt w:val="decimal"/>
      <w:lvlText w:val="%1"/>
      <w:lvlJc w:val="left"/>
      <w:pPr>
        <w:tabs>
          <w:tab w:val="num" w:pos="964"/>
        </w:tabs>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964" w:hanging="964"/>
      </w:pPr>
      <w:rPr>
        <w:rFonts w:hint="default"/>
      </w:rPr>
    </w:lvl>
    <w:lvl w:ilvl="6">
      <w:start w:val="1"/>
      <w:numFmt w:val="decimal"/>
      <w:lvlText w:val="%1.%2.%3.%4.%5.%6.%7."/>
      <w:lvlJc w:val="left"/>
      <w:pPr>
        <w:ind w:left="964" w:hanging="964"/>
      </w:pPr>
      <w:rPr>
        <w:rFonts w:hint="default"/>
      </w:rPr>
    </w:lvl>
    <w:lvl w:ilvl="7">
      <w:start w:val="1"/>
      <w:numFmt w:val="decimal"/>
      <w:lvlText w:val="%1.%2.%3.%4.%5.%6.%7.%8."/>
      <w:lvlJc w:val="left"/>
      <w:pPr>
        <w:ind w:left="964" w:hanging="964"/>
      </w:pPr>
      <w:rPr>
        <w:rFonts w:hint="default"/>
      </w:rPr>
    </w:lvl>
    <w:lvl w:ilvl="8">
      <w:start w:val="1"/>
      <w:numFmt w:val="decimal"/>
      <w:lvlText w:val="%1.%2.%3.%4.%5.%6.%7.%8.%9."/>
      <w:lvlJc w:val="left"/>
      <w:pPr>
        <w:ind w:left="964" w:hanging="964"/>
      </w:pPr>
      <w:rPr>
        <w:rFonts w:hint="default"/>
      </w:rPr>
    </w:lvl>
  </w:abstractNum>
  <w:abstractNum w:abstractNumId="52" w15:restartNumberingAfterBreak="0">
    <w:nsid w:val="6E6565A1"/>
    <w:multiLevelType w:val="hybridMultilevel"/>
    <w:tmpl w:val="4FA29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A24E35"/>
    <w:multiLevelType w:val="hybridMultilevel"/>
    <w:tmpl w:val="826E3C06"/>
    <w:lvl w:ilvl="0" w:tplc="FFFFFFFF">
      <w:start w:val="1"/>
      <w:numFmt w:val="bullet"/>
      <w:lvlText w:val=""/>
      <w:lvlJc w:val="left"/>
      <w:pPr>
        <w:ind w:left="720" w:hanging="360"/>
      </w:pPr>
      <w:rPr>
        <w:rFonts w:ascii="Symbol" w:hAnsi="Symbol" w:hint="default"/>
      </w:rPr>
    </w:lvl>
    <w:lvl w:ilvl="1" w:tplc="3CA62CFC">
      <w:start w:val="1"/>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1186F66"/>
    <w:multiLevelType w:val="hybridMultilevel"/>
    <w:tmpl w:val="F50C72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71DC52E8"/>
    <w:multiLevelType w:val="hybridMultilevel"/>
    <w:tmpl w:val="419C57A4"/>
    <w:lvl w:ilvl="0" w:tplc="F01269C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2933434"/>
    <w:multiLevelType w:val="hybridMultilevel"/>
    <w:tmpl w:val="DFB84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991551"/>
    <w:multiLevelType w:val="hybridMultilevel"/>
    <w:tmpl w:val="CBF8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995470"/>
    <w:multiLevelType w:val="multilevel"/>
    <w:tmpl w:val="C2F4BDE8"/>
    <w:lvl w:ilvl="0">
      <w:start w:val="1"/>
      <w:numFmt w:val="decimal"/>
      <w:lvlText w:val="%1"/>
      <w:lvlJc w:val="left"/>
      <w:pPr>
        <w:tabs>
          <w:tab w:val="num" w:pos="964"/>
        </w:tabs>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964" w:hanging="964"/>
      </w:pPr>
      <w:rPr>
        <w:rFonts w:hint="default"/>
      </w:rPr>
    </w:lvl>
    <w:lvl w:ilvl="6">
      <w:start w:val="1"/>
      <w:numFmt w:val="decimal"/>
      <w:lvlText w:val="%1.%2.%3.%4.%5.%6.%7."/>
      <w:lvlJc w:val="left"/>
      <w:pPr>
        <w:ind w:left="964" w:hanging="964"/>
      </w:pPr>
      <w:rPr>
        <w:rFonts w:hint="default"/>
      </w:rPr>
    </w:lvl>
    <w:lvl w:ilvl="7">
      <w:start w:val="1"/>
      <w:numFmt w:val="decimal"/>
      <w:lvlText w:val="%1.%2.%3.%4.%5.%6.%7.%8."/>
      <w:lvlJc w:val="left"/>
      <w:pPr>
        <w:ind w:left="964" w:hanging="964"/>
      </w:pPr>
      <w:rPr>
        <w:rFonts w:hint="default"/>
      </w:rPr>
    </w:lvl>
    <w:lvl w:ilvl="8">
      <w:start w:val="1"/>
      <w:numFmt w:val="decimal"/>
      <w:lvlText w:val="%1.%2.%3.%4.%5.%6.%7.%8.%9."/>
      <w:lvlJc w:val="left"/>
      <w:pPr>
        <w:ind w:left="964" w:hanging="964"/>
      </w:pPr>
      <w:rPr>
        <w:rFonts w:hint="default"/>
      </w:rPr>
    </w:lvl>
  </w:abstractNum>
  <w:abstractNum w:abstractNumId="59" w15:restartNumberingAfterBreak="0">
    <w:nsid w:val="7E82125B"/>
    <w:multiLevelType w:val="hybridMultilevel"/>
    <w:tmpl w:val="B0AC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7123752">
    <w:abstractNumId w:val="47"/>
  </w:num>
  <w:num w:numId="2" w16cid:durableId="1704986689">
    <w:abstractNumId w:val="20"/>
  </w:num>
  <w:num w:numId="3" w16cid:durableId="620496798">
    <w:abstractNumId w:val="11"/>
  </w:num>
  <w:num w:numId="4" w16cid:durableId="1427533194">
    <w:abstractNumId w:val="5"/>
  </w:num>
  <w:num w:numId="5" w16cid:durableId="436369253">
    <w:abstractNumId w:val="42"/>
  </w:num>
  <w:num w:numId="6" w16cid:durableId="1245458218">
    <w:abstractNumId w:val="39"/>
  </w:num>
  <w:num w:numId="7" w16cid:durableId="1600137550">
    <w:abstractNumId w:val="41"/>
  </w:num>
  <w:num w:numId="8" w16cid:durableId="1206453006">
    <w:abstractNumId w:val="48"/>
  </w:num>
  <w:num w:numId="9" w16cid:durableId="1036657297">
    <w:abstractNumId w:val="32"/>
  </w:num>
  <w:num w:numId="10" w16cid:durableId="1311014656">
    <w:abstractNumId w:val="17"/>
  </w:num>
  <w:num w:numId="11" w16cid:durableId="661589479">
    <w:abstractNumId w:val="14"/>
  </w:num>
  <w:num w:numId="12" w16cid:durableId="1239755216">
    <w:abstractNumId w:val="38"/>
  </w:num>
  <w:num w:numId="13" w16cid:durableId="266037906">
    <w:abstractNumId w:val="45"/>
  </w:num>
  <w:num w:numId="14" w16cid:durableId="1238828338">
    <w:abstractNumId w:val="36"/>
  </w:num>
  <w:num w:numId="15" w16cid:durableId="1921257698">
    <w:abstractNumId w:val="55"/>
  </w:num>
  <w:num w:numId="16" w16cid:durableId="1577126436">
    <w:abstractNumId w:val="30"/>
  </w:num>
  <w:num w:numId="17" w16cid:durableId="334312051">
    <w:abstractNumId w:val="19"/>
  </w:num>
  <w:num w:numId="18" w16cid:durableId="1647396628">
    <w:abstractNumId w:val="45"/>
    <w:lvlOverride w:ilvl="0">
      <w:startOverride w:val="4"/>
    </w:lvlOverride>
    <w:lvlOverride w:ilvl="1">
      <w:startOverride w:val="2"/>
    </w:lvlOverride>
    <w:lvlOverride w:ilvl="2">
      <w:startOverride w:val="1"/>
    </w:lvlOverride>
  </w:num>
  <w:num w:numId="19" w16cid:durableId="631444696">
    <w:abstractNumId w:val="46"/>
    <w:lvlOverride w:ilvl="0">
      <w:startOverride w:val="1"/>
    </w:lvlOverride>
  </w:num>
  <w:num w:numId="20" w16cid:durableId="459105877">
    <w:abstractNumId w:val="7"/>
  </w:num>
  <w:num w:numId="21" w16cid:durableId="496187914">
    <w:abstractNumId w:val="50"/>
  </w:num>
  <w:num w:numId="22" w16cid:durableId="2116368299">
    <w:abstractNumId w:val="6"/>
  </w:num>
  <w:num w:numId="23" w16cid:durableId="1827672354">
    <w:abstractNumId w:val="27"/>
  </w:num>
  <w:num w:numId="24" w16cid:durableId="2034912085">
    <w:abstractNumId w:val="26"/>
  </w:num>
  <w:num w:numId="25" w16cid:durableId="808791367">
    <w:abstractNumId w:val="28"/>
  </w:num>
  <w:num w:numId="26" w16cid:durableId="438186344">
    <w:abstractNumId w:val="12"/>
  </w:num>
  <w:num w:numId="27" w16cid:durableId="243418275">
    <w:abstractNumId w:val="52"/>
  </w:num>
  <w:num w:numId="28" w16cid:durableId="8608972">
    <w:abstractNumId w:val="53"/>
  </w:num>
  <w:num w:numId="29" w16cid:durableId="1778401053">
    <w:abstractNumId w:val="11"/>
  </w:num>
  <w:num w:numId="30" w16cid:durableId="1868330395">
    <w:abstractNumId w:val="42"/>
    <w:lvlOverride w:ilvl="0">
      <w:lvl w:ilvl="0">
        <w:start w:val="1"/>
        <w:numFmt w:val="decimal"/>
        <w:lvlText w:val="%1"/>
        <w:lvlJc w:val="left"/>
        <w:pPr>
          <w:ind w:left="400" w:hanging="400"/>
        </w:pPr>
        <w:rPr>
          <w:rFonts w:hint="default"/>
        </w:rPr>
      </w:lvl>
    </w:lvlOverride>
    <w:lvlOverride w:ilvl="1">
      <w:lvl w:ilvl="1">
        <w:start w:val="1"/>
        <w:numFmt w:val="decimal"/>
        <w:pStyle w:val="HeadingL2"/>
        <w:lvlText w:val="%1.%2"/>
        <w:lvlJc w:val="left"/>
        <w:pPr>
          <w:ind w:left="400" w:hanging="40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31" w16cid:durableId="1322200251">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0" w:firstLine="0"/>
        </w:pPr>
        <w:rPr>
          <w:rFonts w:ascii="Arial" w:hAnsi="Arial" w:cstheme="minorHAnsi" w:hint="default"/>
        </w:rPr>
      </w:lvl>
    </w:lvlOverride>
    <w:lvlOverride w:ilvl="2">
      <w:lvl w:ilvl="2">
        <w:start w:val="1"/>
        <w:numFmt w:val="decimal"/>
        <w:lvlText w:val="%1.%2.%3"/>
        <w:lvlJc w:val="left"/>
        <w:pPr>
          <w:ind w:left="1134" w:hanging="113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89378528">
    <w:abstractNumId w:val="40"/>
  </w:num>
  <w:num w:numId="33" w16cid:durableId="665401573">
    <w:abstractNumId w:val="49"/>
  </w:num>
  <w:num w:numId="34" w16cid:durableId="1116170215">
    <w:abstractNumId w:val="43"/>
  </w:num>
  <w:num w:numId="35" w16cid:durableId="220334896">
    <w:abstractNumId w:val="11"/>
  </w:num>
  <w:num w:numId="36" w16cid:durableId="1631125790">
    <w:abstractNumId w:val="46"/>
  </w:num>
  <w:num w:numId="37" w16cid:durableId="1246764449">
    <w:abstractNumId w:val="0"/>
  </w:num>
  <w:num w:numId="38" w16cid:durableId="285890845">
    <w:abstractNumId w:val="24"/>
  </w:num>
  <w:num w:numId="39" w16cid:durableId="526531940">
    <w:abstractNumId w:val="54"/>
  </w:num>
  <w:num w:numId="40" w16cid:durableId="1937057037">
    <w:abstractNumId w:val="46"/>
    <w:lvlOverride w:ilvl="0">
      <w:startOverride w:val="1"/>
    </w:lvlOverride>
  </w:num>
  <w:num w:numId="41" w16cid:durableId="393354709">
    <w:abstractNumId w:val="0"/>
  </w:num>
  <w:num w:numId="42" w16cid:durableId="846140363">
    <w:abstractNumId w:val="24"/>
  </w:num>
  <w:num w:numId="43" w16cid:durableId="1427310958">
    <w:abstractNumId w:val="9"/>
  </w:num>
  <w:num w:numId="44" w16cid:durableId="829252481">
    <w:abstractNumId w:val="8"/>
  </w:num>
  <w:num w:numId="45" w16cid:durableId="1579242879">
    <w:abstractNumId w:val="25"/>
  </w:num>
  <w:num w:numId="46" w16cid:durableId="1579096606">
    <w:abstractNumId w:val="22"/>
  </w:num>
  <w:num w:numId="47" w16cid:durableId="1681856105">
    <w:abstractNumId w:val="56"/>
  </w:num>
  <w:num w:numId="48" w16cid:durableId="1117985403">
    <w:abstractNumId w:val="33"/>
  </w:num>
  <w:num w:numId="49" w16cid:durableId="1932469010">
    <w:abstractNumId w:val="44"/>
  </w:num>
  <w:num w:numId="50" w16cid:durableId="1580941703">
    <w:abstractNumId w:val="3"/>
  </w:num>
  <w:num w:numId="51" w16cid:durableId="726496333">
    <w:abstractNumId w:val="2"/>
  </w:num>
  <w:num w:numId="52" w16cid:durableId="1236933167">
    <w:abstractNumId w:val="18"/>
  </w:num>
  <w:num w:numId="53" w16cid:durableId="1107654713">
    <w:abstractNumId w:val="11"/>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4" w16cid:durableId="310788385">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ind w:left="5180" w:hanging="360"/>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16cid:durableId="507796423">
    <w:abstractNumId w:val="11"/>
  </w:num>
  <w:num w:numId="56" w16cid:durableId="2113240892">
    <w:abstractNumId w:val="11"/>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7" w16cid:durableId="645668453">
    <w:abstractNumId w:val="21"/>
  </w:num>
  <w:num w:numId="58" w16cid:durableId="1185096989">
    <w:abstractNumId w:val="58"/>
  </w:num>
  <w:num w:numId="59" w16cid:durableId="355891841">
    <w:abstractNumId w:val="21"/>
  </w:num>
  <w:num w:numId="60" w16cid:durableId="15599025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133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86042869">
    <w:abstractNumId w:val="58"/>
  </w:num>
  <w:num w:numId="63" w16cid:durableId="926309568">
    <w:abstractNumId w:val="58"/>
  </w:num>
  <w:num w:numId="64" w16cid:durableId="182020801">
    <w:abstractNumId w:val="37"/>
  </w:num>
  <w:num w:numId="65" w16cid:durableId="1643265712">
    <w:abstractNumId w:val="15"/>
  </w:num>
  <w:num w:numId="66" w16cid:durableId="787285129">
    <w:abstractNumId w:val="16"/>
  </w:num>
  <w:num w:numId="67" w16cid:durableId="721683269">
    <w:abstractNumId w:val="16"/>
  </w:num>
  <w:num w:numId="68" w16cid:durableId="617571300">
    <w:abstractNumId w:val="51"/>
  </w:num>
  <w:num w:numId="69" w16cid:durableId="1666787524">
    <w:abstractNumId w:val="13"/>
  </w:num>
  <w:num w:numId="70" w16cid:durableId="665743994">
    <w:abstractNumId w:val="1"/>
  </w:num>
  <w:num w:numId="71" w16cid:durableId="571428748">
    <w:abstractNumId w:val="59"/>
  </w:num>
  <w:num w:numId="72" w16cid:durableId="499198333">
    <w:abstractNumId w:val="34"/>
  </w:num>
  <w:num w:numId="73" w16cid:durableId="1531725350">
    <w:abstractNumId w:val="57"/>
  </w:num>
  <w:num w:numId="74" w16cid:durableId="919631330">
    <w:abstractNumId w:val="29"/>
  </w:num>
  <w:num w:numId="75" w16cid:durableId="896554390">
    <w:abstractNumId w:val="23"/>
  </w:num>
  <w:num w:numId="76" w16cid:durableId="1921409108">
    <w:abstractNumId w:val="31"/>
  </w:num>
  <w:num w:numId="77" w16cid:durableId="1341812519">
    <w:abstractNumId w:val="4"/>
  </w:num>
  <w:num w:numId="78" w16cid:durableId="1405104600">
    <w:abstractNumId w:val="10"/>
  </w:num>
  <w:num w:numId="79" w16cid:durableId="1982222693">
    <w:abstractNumId w:val="35"/>
  </w:num>
  <w:num w:numId="80" w16cid:durableId="10698386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CEA"/>
    <w:rsid w:val="00000304"/>
    <w:rsid w:val="00000B46"/>
    <w:rsid w:val="00000B9E"/>
    <w:rsid w:val="00001093"/>
    <w:rsid w:val="000010E8"/>
    <w:rsid w:val="00001602"/>
    <w:rsid w:val="00002FF9"/>
    <w:rsid w:val="000034CF"/>
    <w:rsid w:val="0000358B"/>
    <w:rsid w:val="000039E0"/>
    <w:rsid w:val="00003E33"/>
    <w:rsid w:val="00006E67"/>
    <w:rsid w:val="00010BF3"/>
    <w:rsid w:val="00011989"/>
    <w:rsid w:val="00011A9A"/>
    <w:rsid w:val="0001204F"/>
    <w:rsid w:val="00012489"/>
    <w:rsid w:val="000131CD"/>
    <w:rsid w:val="00013304"/>
    <w:rsid w:val="0001369D"/>
    <w:rsid w:val="00013A50"/>
    <w:rsid w:val="0001542C"/>
    <w:rsid w:val="00016207"/>
    <w:rsid w:val="0002040D"/>
    <w:rsid w:val="00020F91"/>
    <w:rsid w:val="000215C2"/>
    <w:rsid w:val="000216E2"/>
    <w:rsid w:val="00021809"/>
    <w:rsid w:val="00021877"/>
    <w:rsid w:val="00021FEC"/>
    <w:rsid w:val="0002238F"/>
    <w:rsid w:val="0002281D"/>
    <w:rsid w:val="00023B25"/>
    <w:rsid w:val="00023E96"/>
    <w:rsid w:val="000241C3"/>
    <w:rsid w:val="00025566"/>
    <w:rsid w:val="00025966"/>
    <w:rsid w:val="00025C68"/>
    <w:rsid w:val="00025E3F"/>
    <w:rsid w:val="00025FB8"/>
    <w:rsid w:val="0002669F"/>
    <w:rsid w:val="00026E75"/>
    <w:rsid w:val="000271C9"/>
    <w:rsid w:val="000276EB"/>
    <w:rsid w:val="00027832"/>
    <w:rsid w:val="00027AB5"/>
    <w:rsid w:val="00031DAD"/>
    <w:rsid w:val="00032062"/>
    <w:rsid w:val="00032284"/>
    <w:rsid w:val="000324D2"/>
    <w:rsid w:val="00032570"/>
    <w:rsid w:val="0003274C"/>
    <w:rsid w:val="000339A1"/>
    <w:rsid w:val="000344E5"/>
    <w:rsid w:val="00034D48"/>
    <w:rsid w:val="0003513D"/>
    <w:rsid w:val="00035A16"/>
    <w:rsid w:val="000373EB"/>
    <w:rsid w:val="000374F5"/>
    <w:rsid w:val="000400B6"/>
    <w:rsid w:val="000404D2"/>
    <w:rsid w:val="00040B8A"/>
    <w:rsid w:val="000420D9"/>
    <w:rsid w:val="00042550"/>
    <w:rsid w:val="00042711"/>
    <w:rsid w:val="00043D40"/>
    <w:rsid w:val="000440BB"/>
    <w:rsid w:val="000446CE"/>
    <w:rsid w:val="00044971"/>
    <w:rsid w:val="0004566E"/>
    <w:rsid w:val="0004568F"/>
    <w:rsid w:val="00045D8E"/>
    <w:rsid w:val="00050770"/>
    <w:rsid w:val="0005093B"/>
    <w:rsid w:val="00052958"/>
    <w:rsid w:val="00052FD6"/>
    <w:rsid w:val="00053699"/>
    <w:rsid w:val="0005383A"/>
    <w:rsid w:val="00053C7D"/>
    <w:rsid w:val="00055169"/>
    <w:rsid w:val="00055616"/>
    <w:rsid w:val="000561A1"/>
    <w:rsid w:val="000564BE"/>
    <w:rsid w:val="00060381"/>
    <w:rsid w:val="00060B53"/>
    <w:rsid w:val="0006130B"/>
    <w:rsid w:val="000619F9"/>
    <w:rsid w:val="00061F4F"/>
    <w:rsid w:val="000620BC"/>
    <w:rsid w:val="000623F3"/>
    <w:rsid w:val="00062EA4"/>
    <w:rsid w:val="00063114"/>
    <w:rsid w:val="0006421F"/>
    <w:rsid w:val="00064760"/>
    <w:rsid w:val="0006484B"/>
    <w:rsid w:val="0006569C"/>
    <w:rsid w:val="00065E89"/>
    <w:rsid w:val="00066802"/>
    <w:rsid w:val="00066C86"/>
    <w:rsid w:val="00066EBB"/>
    <w:rsid w:val="000675F2"/>
    <w:rsid w:val="00067DDB"/>
    <w:rsid w:val="00070019"/>
    <w:rsid w:val="00070808"/>
    <w:rsid w:val="00070C92"/>
    <w:rsid w:val="000719C4"/>
    <w:rsid w:val="000719CF"/>
    <w:rsid w:val="00071A66"/>
    <w:rsid w:val="00071A78"/>
    <w:rsid w:val="0007245A"/>
    <w:rsid w:val="00072DA8"/>
    <w:rsid w:val="0007345B"/>
    <w:rsid w:val="000737EF"/>
    <w:rsid w:val="0007545C"/>
    <w:rsid w:val="000760B1"/>
    <w:rsid w:val="00076173"/>
    <w:rsid w:val="00080DF7"/>
    <w:rsid w:val="00080FB3"/>
    <w:rsid w:val="00081331"/>
    <w:rsid w:val="000822AE"/>
    <w:rsid w:val="000847DB"/>
    <w:rsid w:val="00084940"/>
    <w:rsid w:val="00084C25"/>
    <w:rsid w:val="00085054"/>
    <w:rsid w:val="00086A26"/>
    <w:rsid w:val="00086D74"/>
    <w:rsid w:val="00087716"/>
    <w:rsid w:val="0009009F"/>
    <w:rsid w:val="00090300"/>
    <w:rsid w:val="00090989"/>
    <w:rsid w:val="00091441"/>
    <w:rsid w:val="000915F3"/>
    <w:rsid w:val="00091D2A"/>
    <w:rsid w:val="000924C9"/>
    <w:rsid w:val="00093A57"/>
    <w:rsid w:val="00093B0A"/>
    <w:rsid w:val="00094156"/>
    <w:rsid w:val="0009451A"/>
    <w:rsid w:val="00094DB6"/>
    <w:rsid w:val="00094FC2"/>
    <w:rsid w:val="00095D9D"/>
    <w:rsid w:val="0009645E"/>
    <w:rsid w:val="0009706E"/>
    <w:rsid w:val="000972E8"/>
    <w:rsid w:val="000974A8"/>
    <w:rsid w:val="00097614"/>
    <w:rsid w:val="00097793"/>
    <w:rsid w:val="000A0251"/>
    <w:rsid w:val="000A036B"/>
    <w:rsid w:val="000A041F"/>
    <w:rsid w:val="000A0593"/>
    <w:rsid w:val="000A0904"/>
    <w:rsid w:val="000A0CC7"/>
    <w:rsid w:val="000A0F51"/>
    <w:rsid w:val="000A122A"/>
    <w:rsid w:val="000A14C6"/>
    <w:rsid w:val="000A2428"/>
    <w:rsid w:val="000A2665"/>
    <w:rsid w:val="000A2A48"/>
    <w:rsid w:val="000A31DE"/>
    <w:rsid w:val="000A3F10"/>
    <w:rsid w:val="000A408E"/>
    <w:rsid w:val="000A41D9"/>
    <w:rsid w:val="000A4934"/>
    <w:rsid w:val="000A4D3D"/>
    <w:rsid w:val="000A4F38"/>
    <w:rsid w:val="000A52C0"/>
    <w:rsid w:val="000A536D"/>
    <w:rsid w:val="000A5720"/>
    <w:rsid w:val="000A5BC7"/>
    <w:rsid w:val="000A62B9"/>
    <w:rsid w:val="000A7863"/>
    <w:rsid w:val="000A7CE6"/>
    <w:rsid w:val="000B05C9"/>
    <w:rsid w:val="000B0811"/>
    <w:rsid w:val="000B0960"/>
    <w:rsid w:val="000B111D"/>
    <w:rsid w:val="000B2882"/>
    <w:rsid w:val="000B38CE"/>
    <w:rsid w:val="000B4320"/>
    <w:rsid w:val="000B43B7"/>
    <w:rsid w:val="000B459F"/>
    <w:rsid w:val="000B479F"/>
    <w:rsid w:val="000B4852"/>
    <w:rsid w:val="000B4FB0"/>
    <w:rsid w:val="000B509C"/>
    <w:rsid w:val="000B5461"/>
    <w:rsid w:val="000B6054"/>
    <w:rsid w:val="000B7BCE"/>
    <w:rsid w:val="000C0020"/>
    <w:rsid w:val="000C00BB"/>
    <w:rsid w:val="000C012E"/>
    <w:rsid w:val="000C0F5A"/>
    <w:rsid w:val="000C1735"/>
    <w:rsid w:val="000C2108"/>
    <w:rsid w:val="000C2630"/>
    <w:rsid w:val="000C2B3C"/>
    <w:rsid w:val="000C3406"/>
    <w:rsid w:val="000C3D52"/>
    <w:rsid w:val="000C3F65"/>
    <w:rsid w:val="000C4135"/>
    <w:rsid w:val="000C4D74"/>
    <w:rsid w:val="000C520C"/>
    <w:rsid w:val="000C5528"/>
    <w:rsid w:val="000C5953"/>
    <w:rsid w:val="000C5C0A"/>
    <w:rsid w:val="000C5FB2"/>
    <w:rsid w:val="000C69EC"/>
    <w:rsid w:val="000C6B0E"/>
    <w:rsid w:val="000C6D98"/>
    <w:rsid w:val="000C73E4"/>
    <w:rsid w:val="000D06B2"/>
    <w:rsid w:val="000D0E01"/>
    <w:rsid w:val="000D10A6"/>
    <w:rsid w:val="000D1465"/>
    <w:rsid w:val="000D1B8C"/>
    <w:rsid w:val="000D1DA0"/>
    <w:rsid w:val="000D1E5A"/>
    <w:rsid w:val="000D21DD"/>
    <w:rsid w:val="000D231D"/>
    <w:rsid w:val="000D261B"/>
    <w:rsid w:val="000D26D2"/>
    <w:rsid w:val="000D28CC"/>
    <w:rsid w:val="000D2BF1"/>
    <w:rsid w:val="000D2DE7"/>
    <w:rsid w:val="000D2FDF"/>
    <w:rsid w:val="000D338E"/>
    <w:rsid w:val="000D33E8"/>
    <w:rsid w:val="000D363A"/>
    <w:rsid w:val="000D48AE"/>
    <w:rsid w:val="000D4E90"/>
    <w:rsid w:val="000D54BD"/>
    <w:rsid w:val="000D611A"/>
    <w:rsid w:val="000D653D"/>
    <w:rsid w:val="000E0A15"/>
    <w:rsid w:val="000E1611"/>
    <w:rsid w:val="000E1A8B"/>
    <w:rsid w:val="000E1C64"/>
    <w:rsid w:val="000E1E78"/>
    <w:rsid w:val="000E2371"/>
    <w:rsid w:val="000E283D"/>
    <w:rsid w:val="000E32A4"/>
    <w:rsid w:val="000E3745"/>
    <w:rsid w:val="000E4111"/>
    <w:rsid w:val="000E44AB"/>
    <w:rsid w:val="000E573B"/>
    <w:rsid w:val="000E600F"/>
    <w:rsid w:val="000E7916"/>
    <w:rsid w:val="000F01E9"/>
    <w:rsid w:val="000F0B21"/>
    <w:rsid w:val="000F0B56"/>
    <w:rsid w:val="000F11D1"/>
    <w:rsid w:val="000F126B"/>
    <w:rsid w:val="000F12E2"/>
    <w:rsid w:val="000F1D0A"/>
    <w:rsid w:val="000F29FE"/>
    <w:rsid w:val="000F2D8E"/>
    <w:rsid w:val="000F39C0"/>
    <w:rsid w:val="000F40F9"/>
    <w:rsid w:val="000F4484"/>
    <w:rsid w:val="000F4543"/>
    <w:rsid w:val="000F48C4"/>
    <w:rsid w:val="000F4E0C"/>
    <w:rsid w:val="000F556B"/>
    <w:rsid w:val="000F592E"/>
    <w:rsid w:val="000F5F14"/>
    <w:rsid w:val="000F6247"/>
    <w:rsid w:val="000F6525"/>
    <w:rsid w:val="000F7584"/>
    <w:rsid w:val="000F77D6"/>
    <w:rsid w:val="00101E77"/>
    <w:rsid w:val="0010209C"/>
    <w:rsid w:val="00102181"/>
    <w:rsid w:val="00102B05"/>
    <w:rsid w:val="00102EB5"/>
    <w:rsid w:val="001036B2"/>
    <w:rsid w:val="00103853"/>
    <w:rsid w:val="0010478B"/>
    <w:rsid w:val="001051D6"/>
    <w:rsid w:val="0010665D"/>
    <w:rsid w:val="00106705"/>
    <w:rsid w:val="00106D3E"/>
    <w:rsid w:val="0010722B"/>
    <w:rsid w:val="00107BA4"/>
    <w:rsid w:val="00110612"/>
    <w:rsid w:val="00111173"/>
    <w:rsid w:val="00112185"/>
    <w:rsid w:val="001129E5"/>
    <w:rsid w:val="00112F36"/>
    <w:rsid w:val="001135F8"/>
    <w:rsid w:val="001158B6"/>
    <w:rsid w:val="00116220"/>
    <w:rsid w:val="00116371"/>
    <w:rsid w:val="00117743"/>
    <w:rsid w:val="00120253"/>
    <w:rsid w:val="0012090E"/>
    <w:rsid w:val="00120AE7"/>
    <w:rsid w:val="00120E0D"/>
    <w:rsid w:val="00121BE5"/>
    <w:rsid w:val="00122646"/>
    <w:rsid w:val="00122EA5"/>
    <w:rsid w:val="00123789"/>
    <w:rsid w:val="00123F04"/>
    <w:rsid w:val="00124787"/>
    <w:rsid w:val="001247CC"/>
    <w:rsid w:val="00124887"/>
    <w:rsid w:val="00124C9D"/>
    <w:rsid w:val="00124E7C"/>
    <w:rsid w:val="00125025"/>
    <w:rsid w:val="001254ED"/>
    <w:rsid w:val="00125733"/>
    <w:rsid w:val="00125B09"/>
    <w:rsid w:val="00125BB9"/>
    <w:rsid w:val="00125FB8"/>
    <w:rsid w:val="00126052"/>
    <w:rsid w:val="001302C0"/>
    <w:rsid w:val="0013106F"/>
    <w:rsid w:val="001310A3"/>
    <w:rsid w:val="00131CCF"/>
    <w:rsid w:val="001320B2"/>
    <w:rsid w:val="0013228A"/>
    <w:rsid w:val="00132555"/>
    <w:rsid w:val="00132AB5"/>
    <w:rsid w:val="00132ACE"/>
    <w:rsid w:val="00133758"/>
    <w:rsid w:val="0013414A"/>
    <w:rsid w:val="00134169"/>
    <w:rsid w:val="00134C71"/>
    <w:rsid w:val="00135F76"/>
    <w:rsid w:val="00136CBA"/>
    <w:rsid w:val="00137D45"/>
    <w:rsid w:val="00137DAE"/>
    <w:rsid w:val="00140026"/>
    <w:rsid w:val="00140C66"/>
    <w:rsid w:val="00140FF7"/>
    <w:rsid w:val="0014126C"/>
    <w:rsid w:val="001412C7"/>
    <w:rsid w:val="001415EA"/>
    <w:rsid w:val="001419CC"/>
    <w:rsid w:val="0014224F"/>
    <w:rsid w:val="00142EE3"/>
    <w:rsid w:val="001430E5"/>
    <w:rsid w:val="00144221"/>
    <w:rsid w:val="0014424F"/>
    <w:rsid w:val="001452AC"/>
    <w:rsid w:val="00146A04"/>
    <w:rsid w:val="00147E2F"/>
    <w:rsid w:val="00150991"/>
    <w:rsid w:val="00150B1F"/>
    <w:rsid w:val="00151958"/>
    <w:rsid w:val="0015256A"/>
    <w:rsid w:val="00153456"/>
    <w:rsid w:val="0015398D"/>
    <w:rsid w:val="00153E53"/>
    <w:rsid w:val="00153EA7"/>
    <w:rsid w:val="00154E1B"/>
    <w:rsid w:val="00155FF7"/>
    <w:rsid w:val="00156227"/>
    <w:rsid w:val="001579E0"/>
    <w:rsid w:val="00164352"/>
    <w:rsid w:val="00164B39"/>
    <w:rsid w:val="00164CEE"/>
    <w:rsid w:val="00165AEA"/>
    <w:rsid w:val="0016772D"/>
    <w:rsid w:val="00167F50"/>
    <w:rsid w:val="0017031F"/>
    <w:rsid w:val="00170962"/>
    <w:rsid w:val="0017113C"/>
    <w:rsid w:val="00171364"/>
    <w:rsid w:val="00171AF3"/>
    <w:rsid w:val="001721DC"/>
    <w:rsid w:val="00172519"/>
    <w:rsid w:val="00172961"/>
    <w:rsid w:val="00172EDB"/>
    <w:rsid w:val="001735F5"/>
    <w:rsid w:val="00173729"/>
    <w:rsid w:val="00173D8E"/>
    <w:rsid w:val="0017452C"/>
    <w:rsid w:val="00174A8B"/>
    <w:rsid w:val="001755B2"/>
    <w:rsid w:val="001757E6"/>
    <w:rsid w:val="00175E31"/>
    <w:rsid w:val="00175F46"/>
    <w:rsid w:val="0017774B"/>
    <w:rsid w:val="00177AA1"/>
    <w:rsid w:val="0018050C"/>
    <w:rsid w:val="00180762"/>
    <w:rsid w:val="00181204"/>
    <w:rsid w:val="00181707"/>
    <w:rsid w:val="00181B24"/>
    <w:rsid w:val="001821D0"/>
    <w:rsid w:val="00182386"/>
    <w:rsid w:val="001832F0"/>
    <w:rsid w:val="00183C9E"/>
    <w:rsid w:val="00184283"/>
    <w:rsid w:val="001842ED"/>
    <w:rsid w:val="00185048"/>
    <w:rsid w:val="0018507A"/>
    <w:rsid w:val="001851D2"/>
    <w:rsid w:val="00185B9C"/>
    <w:rsid w:val="0018632F"/>
    <w:rsid w:val="00186A6A"/>
    <w:rsid w:val="00186CD4"/>
    <w:rsid w:val="001870F0"/>
    <w:rsid w:val="00190536"/>
    <w:rsid w:val="00190E2F"/>
    <w:rsid w:val="00191021"/>
    <w:rsid w:val="001912DE"/>
    <w:rsid w:val="0019131D"/>
    <w:rsid w:val="00191612"/>
    <w:rsid w:val="0019168B"/>
    <w:rsid w:val="001916A4"/>
    <w:rsid w:val="00191718"/>
    <w:rsid w:val="0019203D"/>
    <w:rsid w:val="001924A8"/>
    <w:rsid w:val="0019264A"/>
    <w:rsid w:val="00192A4A"/>
    <w:rsid w:val="0019354B"/>
    <w:rsid w:val="0019389E"/>
    <w:rsid w:val="00193946"/>
    <w:rsid w:val="00193DE7"/>
    <w:rsid w:val="0019476F"/>
    <w:rsid w:val="00194937"/>
    <w:rsid w:val="00194DB7"/>
    <w:rsid w:val="0019537E"/>
    <w:rsid w:val="00196038"/>
    <w:rsid w:val="001960C5"/>
    <w:rsid w:val="00196D30"/>
    <w:rsid w:val="00196DC7"/>
    <w:rsid w:val="00197330"/>
    <w:rsid w:val="001A135C"/>
    <w:rsid w:val="001A16AD"/>
    <w:rsid w:val="001A173E"/>
    <w:rsid w:val="001A20F7"/>
    <w:rsid w:val="001A34ED"/>
    <w:rsid w:val="001A3F6D"/>
    <w:rsid w:val="001A40A7"/>
    <w:rsid w:val="001A450F"/>
    <w:rsid w:val="001A4C34"/>
    <w:rsid w:val="001A4C8E"/>
    <w:rsid w:val="001A4D4F"/>
    <w:rsid w:val="001A4D98"/>
    <w:rsid w:val="001A4F2D"/>
    <w:rsid w:val="001A55EF"/>
    <w:rsid w:val="001A601B"/>
    <w:rsid w:val="001A6D57"/>
    <w:rsid w:val="001A753D"/>
    <w:rsid w:val="001A75DF"/>
    <w:rsid w:val="001A7A74"/>
    <w:rsid w:val="001A7C40"/>
    <w:rsid w:val="001B08D6"/>
    <w:rsid w:val="001B0B96"/>
    <w:rsid w:val="001B0DA6"/>
    <w:rsid w:val="001B1798"/>
    <w:rsid w:val="001B1B28"/>
    <w:rsid w:val="001B1FE6"/>
    <w:rsid w:val="001B24AF"/>
    <w:rsid w:val="001B2822"/>
    <w:rsid w:val="001B28F6"/>
    <w:rsid w:val="001B2CB8"/>
    <w:rsid w:val="001B2F68"/>
    <w:rsid w:val="001B320A"/>
    <w:rsid w:val="001B3DE2"/>
    <w:rsid w:val="001B4CA0"/>
    <w:rsid w:val="001B51E8"/>
    <w:rsid w:val="001B54A6"/>
    <w:rsid w:val="001B56E5"/>
    <w:rsid w:val="001B5CDA"/>
    <w:rsid w:val="001B6257"/>
    <w:rsid w:val="001B6625"/>
    <w:rsid w:val="001B6FFA"/>
    <w:rsid w:val="001B769F"/>
    <w:rsid w:val="001C0ADC"/>
    <w:rsid w:val="001C135F"/>
    <w:rsid w:val="001C1BE3"/>
    <w:rsid w:val="001C1C9E"/>
    <w:rsid w:val="001C1D15"/>
    <w:rsid w:val="001C1EDB"/>
    <w:rsid w:val="001C27E2"/>
    <w:rsid w:val="001C27FC"/>
    <w:rsid w:val="001C3B45"/>
    <w:rsid w:val="001C4945"/>
    <w:rsid w:val="001C50FD"/>
    <w:rsid w:val="001C590A"/>
    <w:rsid w:val="001C5A76"/>
    <w:rsid w:val="001C69B0"/>
    <w:rsid w:val="001C72DC"/>
    <w:rsid w:val="001D001A"/>
    <w:rsid w:val="001D0589"/>
    <w:rsid w:val="001D1ACA"/>
    <w:rsid w:val="001D1C28"/>
    <w:rsid w:val="001D1C33"/>
    <w:rsid w:val="001D1CB4"/>
    <w:rsid w:val="001D2005"/>
    <w:rsid w:val="001D2C0C"/>
    <w:rsid w:val="001D2D88"/>
    <w:rsid w:val="001D3D5D"/>
    <w:rsid w:val="001D3D71"/>
    <w:rsid w:val="001D40FF"/>
    <w:rsid w:val="001D468F"/>
    <w:rsid w:val="001D4BFF"/>
    <w:rsid w:val="001D5B38"/>
    <w:rsid w:val="001D5EEC"/>
    <w:rsid w:val="001D7942"/>
    <w:rsid w:val="001E00A0"/>
    <w:rsid w:val="001E01E9"/>
    <w:rsid w:val="001E03D7"/>
    <w:rsid w:val="001E1F97"/>
    <w:rsid w:val="001E1F9E"/>
    <w:rsid w:val="001E29DE"/>
    <w:rsid w:val="001E2A6E"/>
    <w:rsid w:val="001E2C9D"/>
    <w:rsid w:val="001E39A8"/>
    <w:rsid w:val="001E476A"/>
    <w:rsid w:val="001E479B"/>
    <w:rsid w:val="001E4A7D"/>
    <w:rsid w:val="001E5293"/>
    <w:rsid w:val="001E55DB"/>
    <w:rsid w:val="001E5814"/>
    <w:rsid w:val="001E59B3"/>
    <w:rsid w:val="001E5EA0"/>
    <w:rsid w:val="001E636F"/>
    <w:rsid w:val="001E694B"/>
    <w:rsid w:val="001E69A2"/>
    <w:rsid w:val="001E6C6E"/>
    <w:rsid w:val="001E6CB3"/>
    <w:rsid w:val="001E76A6"/>
    <w:rsid w:val="001E7A6C"/>
    <w:rsid w:val="001E7E37"/>
    <w:rsid w:val="001F09C6"/>
    <w:rsid w:val="001F0AAE"/>
    <w:rsid w:val="001F1338"/>
    <w:rsid w:val="001F1704"/>
    <w:rsid w:val="001F1D1E"/>
    <w:rsid w:val="001F288D"/>
    <w:rsid w:val="001F2FCF"/>
    <w:rsid w:val="001F3049"/>
    <w:rsid w:val="001F40E6"/>
    <w:rsid w:val="001F42D9"/>
    <w:rsid w:val="001F4939"/>
    <w:rsid w:val="001F5305"/>
    <w:rsid w:val="001F5CBA"/>
    <w:rsid w:val="001F5D9E"/>
    <w:rsid w:val="001F607E"/>
    <w:rsid w:val="001F6C83"/>
    <w:rsid w:val="00200748"/>
    <w:rsid w:val="0020172F"/>
    <w:rsid w:val="00202929"/>
    <w:rsid w:val="002033EE"/>
    <w:rsid w:val="00203FEA"/>
    <w:rsid w:val="00204913"/>
    <w:rsid w:val="00204C57"/>
    <w:rsid w:val="00204E39"/>
    <w:rsid w:val="00205454"/>
    <w:rsid w:val="0020772B"/>
    <w:rsid w:val="00210D34"/>
    <w:rsid w:val="00210ED4"/>
    <w:rsid w:val="002113D4"/>
    <w:rsid w:val="00211B65"/>
    <w:rsid w:val="00211D68"/>
    <w:rsid w:val="002125B3"/>
    <w:rsid w:val="00212713"/>
    <w:rsid w:val="0021297A"/>
    <w:rsid w:val="00212BE8"/>
    <w:rsid w:val="0021307C"/>
    <w:rsid w:val="00216692"/>
    <w:rsid w:val="00216B8A"/>
    <w:rsid w:val="00216BF3"/>
    <w:rsid w:val="0021707A"/>
    <w:rsid w:val="00217D07"/>
    <w:rsid w:val="002203AF"/>
    <w:rsid w:val="00220807"/>
    <w:rsid w:val="00220F67"/>
    <w:rsid w:val="00222487"/>
    <w:rsid w:val="002242C0"/>
    <w:rsid w:val="00224CC9"/>
    <w:rsid w:val="00225F7E"/>
    <w:rsid w:val="00225F83"/>
    <w:rsid w:val="0022708F"/>
    <w:rsid w:val="00227468"/>
    <w:rsid w:val="00227DA8"/>
    <w:rsid w:val="00227F6F"/>
    <w:rsid w:val="00230027"/>
    <w:rsid w:val="00230BA4"/>
    <w:rsid w:val="0023115A"/>
    <w:rsid w:val="0023178C"/>
    <w:rsid w:val="00231DBB"/>
    <w:rsid w:val="002324AA"/>
    <w:rsid w:val="00232502"/>
    <w:rsid w:val="00233461"/>
    <w:rsid w:val="002337A5"/>
    <w:rsid w:val="00233879"/>
    <w:rsid w:val="002339FF"/>
    <w:rsid w:val="00233FC5"/>
    <w:rsid w:val="0023409C"/>
    <w:rsid w:val="0023468C"/>
    <w:rsid w:val="00235588"/>
    <w:rsid w:val="0023566B"/>
    <w:rsid w:val="00235768"/>
    <w:rsid w:val="0023577D"/>
    <w:rsid w:val="00235C59"/>
    <w:rsid w:val="00235F35"/>
    <w:rsid w:val="00236CB1"/>
    <w:rsid w:val="00237C05"/>
    <w:rsid w:val="00237C12"/>
    <w:rsid w:val="00237DEE"/>
    <w:rsid w:val="00240D04"/>
    <w:rsid w:val="00240F35"/>
    <w:rsid w:val="00241623"/>
    <w:rsid w:val="002417AA"/>
    <w:rsid w:val="00241DE7"/>
    <w:rsid w:val="00242017"/>
    <w:rsid w:val="002426A2"/>
    <w:rsid w:val="00242750"/>
    <w:rsid w:val="002430CC"/>
    <w:rsid w:val="002436EB"/>
    <w:rsid w:val="00243AA1"/>
    <w:rsid w:val="00244088"/>
    <w:rsid w:val="00244213"/>
    <w:rsid w:val="0024443E"/>
    <w:rsid w:val="00244CA0"/>
    <w:rsid w:val="002450BC"/>
    <w:rsid w:val="00245CD0"/>
    <w:rsid w:val="00246624"/>
    <w:rsid w:val="00246A0D"/>
    <w:rsid w:val="0024758E"/>
    <w:rsid w:val="00247700"/>
    <w:rsid w:val="002477B5"/>
    <w:rsid w:val="00247A5C"/>
    <w:rsid w:val="002503CF"/>
    <w:rsid w:val="002510E9"/>
    <w:rsid w:val="00251445"/>
    <w:rsid w:val="00251A98"/>
    <w:rsid w:val="00252093"/>
    <w:rsid w:val="00252F47"/>
    <w:rsid w:val="00253495"/>
    <w:rsid w:val="00253FCB"/>
    <w:rsid w:val="00254523"/>
    <w:rsid w:val="002549A9"/>
    <w:rsid w:val="00255954"/>
    <w:rsid w:val="0025614B"/>
    <w:rsid w:val="002564FC"/>
    <w:rsid w:val="002565B0"/>
    <w:rsid w:val="00256966"/>
    <w:rsid w:val="00256E75"/>
    <w:rsid w:val="0025779F"/>
    <w:rsid w:val="00261734"/>
    <w:rsid w:val="00261966"/>
    <w:rsid w:val="00261986"/>
    <w:rsid w:val="00261F23"/>
    <w:rsid w:val="00262F5A"/>
    <w:rsid w:val="002633ED"/>
    <w:rsid w:val="002638FF"/>
    <w:rsid w:val="00263FFE"/>
    <w:rsid w:val="00265176"/>
    <w:rsid w:val="0026518B"/>
    <w:rsid w:val="002656B0"/>
    <w:rsid w:val="00265DA3"/>
    <w:rsid w:val="00265E09"/>
    <w:rsid w:val="00267398"/>
    <w:rsid w:val="002679D3"/>
    <w:rsid w:val="00267DF8"/>
    <w:rsid w:val="0027053F"/>
    <w:rsid w:val="0027090F"/>
    <w:rsid w:val="002712C6"/>
    <w:rsid w:val="002718C4"/>
    <w:rsid w:val="00272839"/>
    <w:rsid w:val="00272B31"/>
    <w:rsid w:val="00272F6E"/>
    <w:rsid w:val="00274C87"/>
    <w:rsid w:val="002756DE"/>
    <w:rsid w:val="00276611"/>
    <w:rsid w:val="0027735D"/>
    <w:rsid w:val="002775C6"/>
    <w:rsid w:val="00277643"/>
    <w:rsid w:val="00281420"/>
    <w:rsid w:val="00281B94"/>
    <w:rsid w:val="00282632"/>
    <w:rsid w:val="00283C25"/>
    <w:rsid w:val="00283E9D"/>
    <w:rsid w:val="00284BF4"/>
    <w:rsid w:val="00285C83"/>
    <w:rsid w:val="00285E00"/>
    <w:rsid w:val="00285FD7"/>
    <w:rsid w:val="00286CF6"/>
    <w:rsid w:val="00287086"/>
    <w:rsid w:val="0028786D"/>
    <w:rsid w:val="0029032B"/>
    <w:rsid w:val="0029045B"/>
    <w:rsid w:val="00290C97"/>
    <w:rsid w:val="0029119B"/>
    <w:rsid w:val="00291B01"/>
    <w:rsid w:val="00292FB9"/>
    <w:rsid w:val="002935AA"/>
    <w:rsid w:val="00293808"/>
    <w:rsid w:val="002939A1"/>
    <w:rsid w:val="00293BCD"/>
    <w:rsid w:val="00294A9D"/>
    <w:rsid w:val="00294C55"/>
    <w:rsid w:val="00295425"/>
    <w:rsid w:val="0029566C"/>
    <w:rsid w:val="00295976"/>
    <w:rsid w:val="00295F4D"/>
    <w:rsid w:val="0029635A"/>
    <w:rsid w:val="002967C6"/>
    <w:rsid w:val="002969A1"/>
    <w:rsid w:val="00296DF4"/>
    <w:rsid w:val="002A0042"/>
    <w:rsid w:val="002A0CE8"/>
    <w:rsid w:val="002A1A09"/>
    <w:rsid w:val="002A20DF"/>
    <w:rsid w:val="002A21EF"/>
    <w:rsid w:val="002A3077"/>
    <w:rsid w:val="002A33D7"/>
    <w:rsid w:val="002A39F6"/>
    <w:rsid w:val="002A4057"/>
    <w:rsid w:val="002A43A0"/>
    <w:rsid w:val="002A5483"/>
    <w:rsid w:val="002A6060"/>
    <w:rsid w:val="002A6538"/>
    <w:rsid w:val="002A6D3C"/>
    <w:rsid w:val="002A74D3"/>
    <w:rsid w:val="002A7B84"/>
    <w:rsid w:val="002B0F3E"/>
    <w:rsid w:val="002B0F50"/>
    <w:rsid w:val="002B109E"/>
    <w:rsid w:val="002B1243"/>
    <w:rsid w:val="002B18B3"/>
    <w:rsid w:val="002B1F98"/>
    <w:rsid w:val="002B23C5"/>
    <w:rsid w:val="002B2A6E"/>
    <w:rsid w:val="002B3856"/>
    <w:rsid w:val="002B3F29"/>
    <w:rsid w:val="002B432A"/>
    <w:rsid w:val="002B47EA"/>
    <w:rsid w:val="002B48CE"/>
    <w:rsid w:val="002B52DB"/>
    <w:rsid w:val="002B5EED"/>
    <w:rsid w:val="002B6D10"/>
    <w:rsid w:val="002B6ECF"/>
    <w:rsid w:val="002B70FC"/>
    <w:rsid w:val="002B7535"/>
    <w:rsid w:val="002B7836"/>
    <w:rsid w:val="002B7AC3"/>
    <w:rsid w:val="002B7B61"/>
    <w:rsid w:val="002B7D84"/>
    <w:rsid w:val="002C0042"/>
    <w:rsid w:val="002C0457"/>
    <w:rsid w:val="002C124C"/>
    <w:rsid w:val="002C13F5"/>
    <w:rsid w:val="002C161D"/>
    <w:rsid w:val="002C187E"/>
    <w:rsid w:val="002C20E8"/>
    <w:rsid w:val="002C26CB"/>
    <w:rsid w:val="002C2BBB"/>
    <w:rsid w:val="002C3653"/>
    <w:rsid w:val="002C44FA"/>
    <w:rsid w:val="002C504B"/>
    <w:rsid w:val="002C6A8C"/>
    <w:rsid w:val="002C7585"/>
    <w:rsid w:val="002C7C5C"/>
    <w:rsid w:val="002C7D6F"/>
    <w:rsid w:val="002D017C"/>
    <w:rsid w:val="002D0C0F"/>
    <w:rsid w:val="002D0D78"/>
    <w:rsid w:val="002D0F38"/>
    <w:rsid w:val="002D1A55"/>
    <w:rsid w:val="002D20ED"/>
    <w:rsid w:val="002D32C2"/>
    <w:rsid w:val="002D3A75"/>
    <w:rsid w:val="002D4AEF"/>
    <w:rsid w:val="002D4F71"/>
    <w:rsid w:val="002D5B55"/>
    <w:rsid w:val="002D63D0"/>
    <w:rsid w:val="002D6503"/>
    <w:rsid w:val="002D6541"/>
    <w:rsid w:val="002D6EE2"/>
    <w:rsid w:val="002D7250"/>
    <w:rsid w:val="002D72FE"/>
    <w:rsid w:val="002D7BBE"/>
    <w:rsid w:val="002E04B9"/>
    <w:rsid w:val="002E0E18"/>
    <w:rsid w:val="002E15B2"/>
    <w:rsid w:val="002E1E89"/>
    <w:rsid w:val="002E2161"/>
    <w:rsid w:val="002E2223"/>
    <w:rsid w:val="002E2374"/>
    <w:rsid w:val="002E2A95"/>
    <w:rsid w:val="002E3970"/>
    <w:rsid w:val="002E3C98"/>
    <w:rsid w:val="002E4F71"/>
    <w:rsid w:val="002E559F"/>
    <w:rsid w:val="002E6E23"/>
    <w:rsid w:val="002E74D3"/>
    <w:rsid w:val="002E74F0"/>
    <w:rsid w:val="002F10A1"/>
    <w:rsid w:val="002F1470"/>
    <w:rsid w:val="002F1639"/>
    <w:rsid w:val="002F1C71"/>
    <w:rsid w:val="002F2C77"/>
    <w:rsid w:val="002F321C"/>
    <w:rsid w:val="002F3EE3"/>
    <w:rsid w:val="002F486D"/>
    <w:rsid w:val="002F580A"/>
    <w:rsid w:val="002F6E5E"/>
    <w:rsid w:val="002F7869"/>
    <w:rsid w:val="002F7DA6"/>
    <w:rsid w:val="00300699"/>
    <w:rsid w:val="00301014"/>
    <w:rsid w:val="003018A8"/>
    <w:rsid w:val="0030191C"/>
    <w:rsid w:val="00301A0A"/>
    <w:rsid w:val="0030266C"/>
    <w:rsid w:val="00302AB7"/>
    <w:rsid w:val="0030377A"/>
    <w:rsid w:val="0030420C"/>
    <w:rsid w:val="00304BA0"/>
    <w:rsid w:val="00304EEE"/>
    <w:rsid w:val="00305007"/>
    <w:rsid w:val="00305305"/>
    <w:rsid w:val="00305AC6"/>
    <w:rsid w:val="0030662D"/>
    <w:rsid w:val="00310394"/>
    <w:rsid w:val="00311068"/>
    <w:rsid w:val="00311455"/>
    <w:rsid w:val="0031175A"/>
    <w:rsid w:val="0031239B"/>
    <w:rsid w:val="00312EC1"/>
    <w:rsid w:val="00313085"/>
    <w:rsid w:val="00313DE9"/>
    <w:rsid w:val="0031547F"/>
    <w:rsid w:val="00315529"/>
    <w:rsid w:val="00315672"/>
    <w:rsid w:val="00315706"/>
    <w:rsid w:val="00315B01"/>
    <w:rsid w:val="00316F7B"/>
    <w:rsid w:val="00317A53"/>
    <w:rsid w:val="00317BDF"/>
    <w:rsid w:val="0032017C"/>
    <w:rsid w:val="0032154F"/>
    <w:rsid w:val="0032186A"/>
    <w:rsid w:val="00322519"/>
    <w:rsid w:val="00322A98"/>
    <w:rsid w:val="00323230"/>
    <w:rsid w:val="003234CE"/>
    <w:rsid w:val="00323E2A"/>
    <w:rsid w:val="003256CD"/>
    <w:rsid w:val="00325C39"/>
    <w:rsid w:val="00326107"/>
    <w:rsid w:val="00327037"/>
    <w:rsid w:val="0032738B"/>
    <w:rsid w:val="00327D4A"/>
    <w:rsid w:val="00330B0F"/>
    <w:rsid w:val="00330D4A"/>
    <w:rsid w:val="00332706"/>
    <w:rsid w:val="00333B43"/>
    <w:rsid w:val="00335B59"/>
    <w:rsid w:val="00335BB9"/>
    <w:rsid w:val="00336DA0"/>
    <w:rsid w:val="00337CDE"/>
    <w:rsid w:val="003401C9"/>
    <w:rsid w:val="00340F6C"/>
    <w:rsid w:val="003421D3"/>
    <w:rsid w:val="0034290F"/>
    <w:rsid w:val="00342948"/>
    <w:rsid w:val="00342FA2"/>
    <w:rsid w:val="00344A81"/>
    <w:rsid w:val="0034515D"/>
    <w:rsid w:val="00345695"/>
    <w:rsid w:val="00346474"/>
    <w:rsid w:val="00346DC4"/>
    <w:rsid w:val="00346F3F"/>
    <w:rsid w:val="00347AD8"/>
    <w:rsid w:val="003501A0"/>
    <w:rsid w:val="00350620"/>
    <w:rsid w:val="003508C2"/>
    <w:rsid w:val="00350B6F"/>
    <w:rsid w:val="00350DE0"/>
    <w:rsid w:val="0035152D"/>
    <w:rsid w:val="00351696"/>
    <w:rsid w:val="003519D7"/>
    <w:rsid w:val="00351A3A"/>
    <w:rsid w:val="00351FDF"/>
    <w:rsid w:val="003544A1"/>
    <w:rsid w:val="00354A62"/>
    <w:rsid w:val="00355A03"/>
    <w:rsid w:val="003573FB"/>
    <w:rsid w:val="0036021D"/>
    <w:rsid w:val="003626EA"/>
    <w:rsid w:val="00362B96"/>
    <w:rsid w:val="00362FAA"/>
    <w:rsid w:val="00363E5A"/>
    <w:rsid w:val="003658E6"/>
    <w:rsid w:val="00365F79"/>
    <w:rsid w:val="0036629D"/>
    <w:rsid w:val="003665B9"/>
    <w:rsid w:val="00366EE5"/>
    <w:rsid w:val="00367046"/>
    <w:rsid w:val="003674DE"/>
    <w:rsid w:val="003702B0"/>
    <w:rsid w:val="003706DD"/>
    <w:rsid w:val="0037080D"/>
    <w:rsid w:val="00370F93"/>
    <w:rsid w:val="00371613"/>
    <w:rsid w:val="00371A91"/>
    <w:rsid w:val="00372B8E"/>
    <w:rsid w:val="003730BA"/>
    <w:rsid w:val="003756E7"/>
    <w:rsid w:val="00375752"/>
    <w:rsid w:val="0037588C"/>
    <w:rsid w:val="003763D3"/>
    <w:rsid w:val="003765D3"/>
    <w:rsid w:val="0037671E"/>
    <w:rsid w:val="00376C8B"/>
    <w:rsid w:val="0037752C"/>
    <w:rsid w:val="00377D77"/>
    <w:rsid w:val="00377F5D"/>
    <w:rsid w:val="00380334"/>
    <w:rsid w:val="0038192C"/>
    <w:rsid w:val="003826F8"/>
    <w:rsid w:val="0038274E"/>
    <w:rsid w:val="003834B1"/>
    <w:rsid w:val="003839D5"/>
    <w:rsid w:val="00384783"/>
    <w:rsid w:val="00385A1C"/>
    <w:rsid w:val="00385E30"/>
    <w:rsid w:val="0038632A"/>
    <w:rsid w:val="00386A4D"/>
    <w:rsid w:val="00391395"/>
    <w:rsid w:val="00392FC2"/>
    <w:rsid w:val="00393E94"/>
    <w:rsid w:val="00393FA4"/>
    <w:rsid w:val="0039527B"/>
    <w:rsid w:val="00395998"/>
    <w:rsid w:val="003961F4"/>
    <w:rsid w:val="00396AE8"/>
    <w:rsid w:val="00397400"/>
    <w:rsid w:val="0039762C"/>
    <w:rsid w:val="003A2053"/>
    <w:rsid w:val="003A24EF"/>
    <w:rsid w:val="003A3BF9"/>
    <w:rsid w:val="003A4275"/>
    <w:rsid w:val="003A4E7A"/>
    <w:rsid w:val="003A5055"/>
    <w:rsid w:val="003A5373"/>
    <w:rsid w:val="003A5986"/>
    <w:rsid w:val="003A6019"/>
    <w:rsid w:val="003A73A2"/>
    <w:rsid w:val="003A745A"/>
    <w:rsid w:val="003A7AD3"/>
    <w:rsid w:val="003A7DED"/>
    <w:rsid w:val="003A7FD3"/>
    <w:rsid w:val="003B019C"/>
    <w:rsid w:val="003B0AC1"/>
    <w:rsid w:val="003B16BA"/>
    <w:rsid w:val="003B1AEB"/>
    <w:rsid w:val="003B1F8C"/>
    <w:rsid w:val="003B2137"/>
    <w:rsid w:val="003B3450"/>
    <w:rsid w:val="003B486E"/>
    <w:rsid w:val="003B493B"/>
    <w:rsid w:val="003B4955"/>
    <w:rsid w:val="003B4D94"/>
    <w:rsid w:val="003B5C55"/>
    <w:rsid w:val="003B5E61"/>
    <w:rsid w:val="003B67F8"/>
    <w:rsid w:val="003B6EB3"/>
    <w:rsid w:val="003B7CEE"/>
    <w:rsid w:val="003C06DD"/>
    <w:rsid w:val="003C0C8D"/>
    <w:rsid w:val="003C117C"/>
    <w:rsid w:val="003C1C05"/>
    <w:rsid w:val="003C3D27"/>
    <w:rsid w:val="003C4FAE"/>
    <w:rsid w:val="003C5054"/>
    <w:rsid w:val="003C5571"/>
    <w:rsid w:val="003C5683"/>
    <w:rsid w:val="003C5E05"/>
    <w:rsid w:val="003C6395"/>
    <w:rsid w:val="003C6859"/>
    <w:rsid w:val="003C7AAA"/>
    <w:rsid w:val="003D11ED"/>
    <w:rsid w:val="003D1C5A"/>
    <w:rsid w:val="003D301C"/>
    <w:rsid w:val="003D30E7"/>
    <w:rsid w:val="003D3984"/>
    <w:rsid w:val="003D3B00"/>
    <w:rsid w:val="003D3C8E"/>
    <w:rsid w:val="003D51B6"/>
    <w:rsid w:val="003D69AB"/>
    <w:rsid w:val="003D6A29"/>
    <w:rsid w:val="003D708D"/>
    <w:rsid w:val="003D764E"/>
    <w:rsid w:val="003D7E71"/>
    <w:rsid w:val="003E01FB"/>
    <w:rsid w:val="003E14BA"/>
    <w:rsid w:val="003E1712"/>
    <w:rsid w:val="003E1DC1"/>
    <w:rsid w:val="003E2581"/>
    <w:rsid w:val="003E26F1"/>
    <w:rsid w:val="003E3F9A"/>
    <w:rsid w:val="003E4159"/>
    <w:rsid w:val="003E4ADB"/>
    <w:rsid w:val="003E4E03"/>
    <w:rsid w:val="003E5014"/>
    <w:rsid w:val="003E6045"/>
    <w:rsid w:val="003E6D54"/>
    <w:rsid w:val="003F0143"/>
    <w:rsid w:val="003F0964"/>
    <w:rsid w:val="003F0E74"/>
    <w:rsid w:val="003F0F64"/>
    <w:rsid w:val="003F13D1"/>
    <w:rsid w:val="003F1ADF"/>
    <w:rsid w:val="003F1DF3"/>
    <w:rsid w:val="003F2114"/>
    <w:rsid w:val="003F3732"/>
    <w:rsid w:val="003F3EF9"/>
    <w:rsid w:val="003F431B"/>
    <w:rsid w:val="003F4573"/>
    <w:rsid w:val="003F4F38"/>
    <w:rsid w:val="003F5649"/>
    <w:rsid w:val="003F582B"/>
    <w:rsid w:val="003F5FEE"/>
    <w:rsid w:val="003F643B"/>
    <w:rsid w:val="003F66AA"/>
    <w:rsid w:val="003F69C1"/>
    <w:rsid w:val="003F6A5C"/>
    <w:rsid w:val="003F7515"/>
    <w:rsid w:val="003F7562"/>
    <w:rsid w:val="00400373"/>
    <w:rsid w:val="00400EB1"/>
    <w:rsid w:val="00401227"/>
    <w:rsid w:val="00401A6C"/>
    <w:rsid w:val="00401ADC"/>
    <w:rsid w:val="00401DF8"/>
    <w:rsid w:val="0040206F"/>
    <w:rsid w:val="00402269"/>
    <w:rsid w:val="00403331"/>
    <w:rsid w:val="00404373"/>
    <w:rsid w:val="00404B58"/>
    <w:rsid w:val="00405317"/>
    <w:rsid w:val="00405F8C"/>
    <w:rsid w:val="00405FB9"/>
    <w:rsid w:val="00405FCC"/>
    <w:rsid w:val="00406214"/>
    <w:rsid w:val="0040684C"/>
    <w:rsid w:val="00406A00"/>
    <w:rsid w:val="00406B31"/>
    <w:rsid w:val="00406E54"/>
    <w:rsid w:val="004070A6"/>
    <w:rsid w:val="004076BD"/>
    <w:rsid w:val="00407A0A"/>
    <w:rsid w:val="00410EBC"/>
    <w:rsid w:val="0041179A"/>
    <w:rsid w:val="00412A36"/>
    <w:rsid w:val="004141FC"/>
    <w:rsid w:val="004150B7"/>
    <w:rsid w:val="0041565B"/>
    <w:rsid w:val="00416522"/>
    <w:rsid w:val="00416575"/>
    <w:rsid w:val="0041713B"/>
    <w:rsid w:val="00420300"/>
    <w:rsid w:val="00420645"/>
    <w:rsid w:val="00421282"/>
    <w:rsid w:val="004215A0"/>
    <w:rsid w:val="00422614"/>
    <w:rsid w:val="00423026"/>
    <w:rsid w:val="00423D87"/>
    <w:rsid w:val="00424146"/>
    <w:rsid w:val="00424427"/>
    <w:rsid w:val="00424818"/>
    <w:rsid w:val="004252C3"/>
    <w:rsid w:val="004255AE"/>
    <w:rsid w:val="00425E8C"/>
    <w:rsid w:val="00425ED7"/>
    <w:rsid w:val="00425EFE"/>
    <w:rsid w:val="004267EC"/>
    <w:rsid w:val="00426D45"/>
    <w:rsid w:val="00426D75"/>
    <w:rsid w:val="004279D4"/>
    <w:rsid w:val="00427A21"/>
    <w:rsid w:val="00427C58"/>
    <w:rsid w:val="00427EA3"/>
    <w:rsid w:val="00430143"/>
    <w:rsid w:val="00430EFE"/>
    <w:rsid w:val="004310BC"/>
    <w:rsid w:val="00431A4A"/>
    <w:rsid w:val="00432698"/>
    <w:rsid w:val="00432926"/>
    <w:rsid w:val="00432BE2"/>
    <w:rsid w:val="00433708"/>
    <w:rsid w:val="00433DF9"/>
    <w:rsid w:val="0043438A"/>
    <w:rsid w:val="00434D8E"/>
    <w:rsid w:val="00434E6B"/>
    <w:rsid w:val="00435CE4"/>
    <w:rsid w:val="00435D51"/>
    <w:rsid w:val="00436607"/>
    <w:rsid w:val="004368E9"/>
    <w:rsid w:val="00437A13"/>
    <w:rsid w:val="00437FE6"/>
    <w:rsid w:val="004407D7"/>
    <w:rsid w:val="00441801"/>
    <w:rsid w:val="00441F17"/>
    <w:rsid w:val="00441F89"/>
    <w:rsid w:val="00442A66"/>
    <w:rsid w:val="00444C39"/>
    <w:rsid w:val="00445188"/>
    <w:rsid w:val="004451D1"/>
    <w:rsid w:val="00445517"/>
    <w:rsid w:val="0044561B"/>
    <w:rsid w:val="004463DE"/>
    <w:rsid w:val="004463E6"/>
    <w:rsid w:val="004467CD"/>
    <w:rsid w:val="004468A0"/>
    <w:rsid w:val="00446DB7"/>
    <w:rsid w:val="0044756C"/>
    <w:rsid w:val="00447879"/>
    <w:rsid w:val="004508C0"/>
    <w:rsid w:val="00451DE1"/>
    <w:rsid w:val="0045216B"/>
    <w:rsid w:val="00452547"/>
    <w:rsid w:val="00452763"/>
    <w:rsid w:val="00452AF9"/>
    <w:rsid w:val="00453AD3"/>
    <w:rsid w:val="00453EB3"/>
    <w:rsid w:val="004542A7"/>
    <w:rsid w:val="004549ED"/>
    <w:rsid w:val="00455155"/>
    <w:rsid w:val="00455679"/>
    <w:rsid w:val="004567EF"/>
    <w:rsid w:val="00457053"/>
    <w:rsid w:val="004570D1"/>
    <w:rsid w:val="004605F3"/>
    <w:rsid w:val="004607AA"/>
    <w:rsid w:val="00461E0C"/>
    <w:rsid w:val="0046271A"/>
    <w:rsid w:val="00462C9B"/>
    <w:rsid w:val="00462FD3"/>
    <w:rsid w:val="00463217"/>
    <w:rsid w:val="00463CF7"/>
    <w:rsid w:val="00464D1F"/>
    <w:rsid w:val="00465551"/>
    <w:rsid w:val="004657C1"/>
    <w:rsid w:val="0046595F"/>
    <w:rsid w:val="004663B6"/>
    <w:rsid w:val="00466AEE"/>
    <w:rsid w:val="00467245"/>
    <w:rsid w:val="004676BC"/>
    <w:rsid w:val="00470518"/>
    <w:rsid w:val="00470C8C"/>
    <w:rsid w:val="00471126"/>
    <w:rsid w:val="004711D9"/>
    <w:rsid w:val="004725CB"/>
    <w:rsid w:val="00472E16"/>
    <w:rsid w:val="0047373D"/>
    <w:rsid w:val="00473A36"/>
    <w:rsid w:val="00473F13"/>
    <w:rsid w:val="00475149"/>
    <w:rsid w:val="00475167"/>
    <w:rsid w:val="00475900"/>
    <w:rsid w:val="00475A87"/>
    <w:rsid w:val="00475C34"/>
    <w:rsid w:val="00475FB8"/>
    <w:rsid w:val="004760D5"/>
    <w:rsid w:val="00476A91"/>
    <w:rsid w:val="00477245"/>
    <w:rsid w:val="00477563"/>
    <w:rsid w:val="00477715"/>
    <w:rsid w:val="00477AF7"/>
    <w:rsid w:val="0048013E"/>
    <w:rsid w:val="0048029A"/>
    <w:rsid w:val="004802E2"/>
    <w:rsid w:val="00480482"/>
    <w:rsid w:val="00480642"/>
    <w:rsid w:val="00480DC2"/>
    <w:rsid w:val="00480DE7"/>
    <w:rsid w:val="004814E9"/>
    <w:rsid w:val="00482570"/>
    <w:rsid w:val="00482A06"/>
    <w:rsid w:val="0048379C"/>
    <w:rsid w:val="00483DB4"/>
    <w:rsid w:val="004841FE"/>
    <w:rsid w:val="004842E6"/>
    <w:rsid w:val="00484424"/>
    <w:rsid w:val="004850F0"/>
    <w:rsid w:val="00486089"/>
    <w:rsid w:val="0048637F"/>
    <w:rsid w:val="00486838"/>
    <w:rsid w:val="00487489"/>
    <w:rsid w:val="00487FA8"/>
    <w:rsid w:val="00490889"/>
    <w:rsid w:val="00490E36"/>
    <w:rsid w:val="00491093"/>
    <w:rsid w:val="00491309"/>
    <w:rsid w:val="00491436"/>
    <w:rsid w:val="0049167E"/>
    <w:rsid w:val="0049187F"/>
    <w:rsid w:val="004922DA"/>
    <w:rsid w:val="004929E4"/>
    <w:rsid w:val="00492AAA"/>
    <w:rsid w:val="00493065"/>
    <w:rsid w:val="00493224"/>
    <w:rsid w:val="00493327"/>
    <w:rsid w:val="0049369B"/>
    <w:rsid w:val="00493C11"/>
    <w:rsid w:val="004943EF"/>
    <w:rsid w:val="00494B48"/>
    <w:rsid w:val="004954E5"/>
    <w:rsid w:val="00495501"/>
    <w:rsid w:val="00495773"/>
    <w:rsid w:val="00496749"/>
    <w:rsid w:val="004967E3"/>
    <w:rsid w:val="0049681D"/>
    <w:rsid w:val="00496945"/>
    <w:rsid w:val="00496A8C"/>
    <w:rsid w:val="004979E9"/>
    <w:rsid w:val="004A0B1C"/>
    <w:rsid w:val="004A0E9E"/>
    <w:rsid w:val="004A0F89"/>
    <w:rsid w:val="004A139D"/>
    <w:rsid w:val="004A20E1"/>
    <w:rsid w:val="004A2DA5"/>
    <w:rsid w:val="004A2EA7"/>
    <w:rsid w:val="004A2F8F"/>
    <w:rsid w:val="004A3E8C"/>
    <w:rsid w:val="004A5200"/>
    <w:rsid w:val="004A6135"/>
    <w:rsid w:val="004A7E14"/>
    <w:rsid w:val="004B03EB"/>
    <w:rsid w:val="004B055F"/>
    <w:rsid w:val="004B0B10"/>
    <w:rsid w:val="004B0FE2"/>
    <w:rsid w:val="004B1D5D"/>
    <w:rsid w:val="004B24AD"/>
    <w:rsid w:val="004B3102"/>
    <w:rsid w:val="004B3632"/>
    <w:rsid w:val="004B5296"/>
    <w:rsid w:val="004B5A61"/>
    <w:rsid w:val="004B5E69"/>
    <w:rsid w:val="004B62E4"/>
    <w:rsid w:val="004B7DF9"/>
    <w:rsid w:val="004C01EB"/>
    <w:rsid w:val="004C2E12"/>
    <w:rsid w:val="004C3078"/>
    <w:rsid w:val="004C504A"/>
    <w:rsid w:val="004C519C"/>
    <w:rsid w:val="004C5BCD"/>
    <w:rsid w:val="004C6034"/>
    <w:rsid w:val="004C61F7"/>
    <w:rsid w:val="004C6477"/>
    <w:rsid w:val="004C6855"/>
    <w:rsid w:val="004C734D"/>
    <w:rsid w:val="004C752E"/>
    <w:rsid w:val="004C7B24"/>
    <w:rsid w:val="004C7B42"/>
    <w:rsid w:val="004D0163"/>
    <w:rsid w:val="004D02F9"/>
    <w:rsid w:val="004D0EF4"/>
    <w:rsid w:val="004D14D6"/>
    <w:rsid w:val="004D179A"/>
    <w:rsid w:val="004D2494"/>
    <w:rsid w:val="004D24F9"/>
    <w:rsid w:val="004D2B14"/>
    <w:rsid w:val="004D2BFB"/>
    <w:rsid w:val="004D3E18"/>
    <w:rsid w:val="004D4139"/>
    <w:rsid w:val="004D4226"/>
    <w:rsid w:val="004D45A4"/>
    <w:rsid w:val="004D57D1"/>
    <w:rsid w:val="004D6F9A"/>
    <w:rsid w:val="004D7B0E"/>
    <w:rsid w:val="004E03B2"/>
    <w:rsid w:val="004E07BF"/>
    <w:rsid w:val="004E3630"/>
    <w:rsid w:val="004E3E23"/>
    <w:rsid w:val="004E487C"/>
    <w:rsid w:val="004E4C8E"/>
    <w:rsid w:val="004E4E5D"/>
    <w:rsid w:val="004E52D9"/>
    <w:rsid w:val="004E6287"/>
    <w:rsid w:val="004E73F8"/>
    <w:rsid w:val="004E7D61"/>
    <w:rsid w:val="004F05ED"/>
    <w:rsid w:val="004F0F26"/>
    <w:rsid w:val="004F1005"/>
    <w:rsid w:val="004F2C2E"/>
    <w:rsid w:val="004F2DBC"/>
    <w:rsid w:val="004F399F"/>
    <w:rsid w:val="004F4023"/>
    <w:rsid w:val="004F4F94"/>
    <w:rsid w:val="004F5F8A"/>
    <w:rsid w:val="004F7670"/>
    <w:rsid w:val="00500D21"/>
    <w:rsid w:val="00501F56"/>
    <w:rsid w:val="00502910"/>
    <w:rsid w:val="00502CA7"/>
    <w:rsid w:val="00503418"/>
    <w:rsid w:val="005037D9"/>
    <w:rsid w:val="00504DD9"/>
    <w:rsid w:val="0050527A"/>
    <w:rsid w:val="005053AA"/>
    <w:rsid w:val="00505514"/>
    <w:rsid w:val="005058FB"/>
    <w:rsid w:val="00505F78"/>
    <w:rsid w:val="005064F1"/>
    <w:rsid w:val="00507C29"/>
    <w:rsid w:val="00507DD5"/>
    <w:rsid w:val="00510F8C"/>
    <w:rsid w:val="005115C3"/>
    <w:rsid w:val="00511DD5"/>
    <w:rsid w:val="005126D9"/>
    <w:rsid w:val="00512B55"/>
    <w:rsid w:val="00512CF3"/>
    <w:rsid w:val="00513069"/>
    <w:rsid w:val="00513561"/>
    <w:rsid w:val="0051418B"/>
    <w:rsid w:val="00515EF0"/>
    <w:rsid w:val="00515F25"/>
    <w:rsid w:val="0051608A"/>
    <w:rsid w:val="00516929"/>
    <w:rsid w:val="00517B00"/>
    <w:rsid w:val="00517C16"/>
    <w:rsid w:val="00520616"/>
    <w:rsid w:val="005206F2"/>
    <w:rsid w:val="00520D7F"/>
    <w:rsid w:val="00521324"/>
    <w:rsid w:val="00523998"/>
    <w:rsid w:val="00523A75"/>
    <w:rsid w:val="005244CA"/>
    <w:rsid w:val="00524914"/>
    <w:rsid w:val="00525890"/>
    <w:rsid w:val="005261BE"/>
    <w:rsid w:val="005262B1"/>
    <w:rsid w:val="00526717"/>
    <w:rsid w:val="00526984"/>
    <w:rsid w:val="00527FDA"/>
    <w:rsid w:val="005300E3"/>
    <w:rsid w:val="005306DF"/>
    <w:rsid w:val="005308E2"/>
    <w:rsid w:val="00530FE2"/>
    <w:rsid w:val="00531D12"/>
    <w:rsid w:val="005323CD"/>
    <w:rsid w:val="005325BC"/>
    <w:rsid w:val="005329C2"/>
    <w:rsid w:val="00532A4F"/>
    <w:rsid w:val="00532D2F"/>
    <w:rsid w:val="00533481"/>
    <w:rsid w:val="0053363A"/>
    <w:rsid w:val="005338A2"/>
    <w:rsid w:val="00534AC8"/>
    <w:rsid w:val="00534EE1"/>
    <w:rsid w:val="0053662D"/>
    <w:rsid w:val="00536C44"/>
    <w:rsid w:val="00536DDB"/>
    <w:rsid w:val="00537F27"/>
    <w:rsid w:val="00540692"/>
    <w:rsid w:val="00541369"/>
    <w:rsid w:val="0054280A"/>
    <w:rsid w:val="00542AA2"/>
    <w:rsid w:val="00543D88"/>
    <w:rsid w:val="0054414F"/>
    <w:rsid w:val="005442B7"/>
    <w:rsid w:val="0054440B"/>
    <w:rsid w:val="00544568"/>
    <w:rsid w:val="0054499D"/>
    <w:rsid w:val="005452EC"/>
    <w:rsid w:val="00545481"/>
    <w:rsid w:val="0054558E"/>
    <w:rsid w:val="005463C7"/>
    <w:rsid w:val="005464A7"/>
    <w:rsid w:val="0054701D"/>
    <w:rsid w:val="0054704D"/>
    <w:rsid w:val="005477F6"/>
    <w:rsid w:val="00547C11"/>
    <w:rsid w:val="00547CF8"/>
    <w:rsid w:val="00547EFD"/>
    <w:rsid w:val="005500C2"/>
    <w:rsid w:val="00550569"/>
    <w:rsid w:val="00550A50"/>
    <w:rsid w:val="00551660"/>
    <w:rsid w:val="00551A07"/>
    <w:rsid w:val="00554C37"/>
    <w:rsid w:val="00555682"/>
    <w:rsid w:val="00555C74"/>
    <w:rsid w:val="0055609C"/>
    <w:rsid w:val="00560336"/>
    <w:rsid w:val="005607CB"/>
    <w:rsid w:val="00561847"/>
    <w:rsid w:val="00561863"/>
    <w:rsid w:val="00561CFC"/>
    <w:rsid w:val="00563096"/>
    <w:rsid w:val="005641C1"/>
    <w:rsid w:val="0056486D"/>
    <w:rsid w:val="00565977"/>
    <w:rsid w:val="00565FBD"/>
    <w:rsid w:val="00566584"/>
    <w:rsid w:val="00567324"/>
    <w:rsid w:val="005673B7"/>
    <w:rsid w:val="00567872"/>
    <w:rsid w:val="00567A1D"/>
    <w:rsid w:val="00570253"/>
    <w:rsid w:val="00571EC2"/>
    <w:rsid w:val="00571EDE"/>
    <w:rsid w:val="00572882"/>
    <w:rsid w:val="00572C21"/>
    <w:rsid w:val="00573CE3"/>
    <w:rsid w:val="00574583"/>
    <w:rsid w:val="00574ADE"/>
    <w:rsid w:val="00575440"/>
    <w:rsid w:val="00575B12"/>
    <w:rsid w:val="00575C86"/>
    <w:rsid w:val="00576F76"/>
    <w:rsid w:val="0057702C"/>
    <w:rsid w:val="005774F8"/>
    <w:rsid w:val="005813B6"/>
    <w:rsid w:val="00581B28"/>
    <w:rsid w:val="005828AC"/>
    <w:rsid w:val="005829F9"/>
    <w:rsid w:val="00582D47"/>
    <w:rsid w:val="00584669"/>
    <w:rsid w:val="00584D60"/>
    <w:rsid w:val="00585261"/>
    <w:rsid w:val="00585811"/>
    <w:rsid w:val="00585BF4"/>
    <w:rsid w:val="00585BFC"/>
    <w:rsid w:val="00586DFF"/>
    <w:rsid w:val="005870D0"/>
    <w:rsid w:val="005874EC"/>
    <w:rsid w:val="005901C5"/>
    <w:rsid w:val="00590864"/>
    <w:rsid w:val="0059096B"/>
    <w:rsid w:val="005911E6"/>
    <w:rsid w:val="005911FA"/>
    <w:rsid w:val="005944C5"/>
    <w:rsid w:val="005945AD"/>
    <w:rsid w:val="0059466C"/>
    <w:rsid w:val="00594BF5"/>
    <w:rsid w:val="005951C8"/>
    <w:rsid w:val="005959E1"/>
    <w:rsid w:val="00596C50"/>
    <w:rsid w:val="00596E70"/>
    <w:rsid w:val="0059719D"/>
    <w:rsid w:val="00597B57"/>
    <w:rsid w:val="00597D46"/>
    <w:rsid w:val="005A0178"/>
    <w:rsid w:val="005A0933"/>
    <w:rsid w:val="005A0BFF"/>
    <w:rsid w:val="005A0E1A"/>
    <w:rsid w:val="005A217A"/>
    <w:rsid w:val="005A2F79"/>
    <w:rsid w:val="005A3AE5"/>
    <w:rsid w:val="005A4AF2"/>
    <w:rsid w:val="005A516C"/>
    <w:rsid w:val="005A596A"/>
    <w:rsid w:val="005A5D9A"/>
    <w:rsid w:val="005A61F6"/>
    <w:rsid w:val="005A6395"/>
    <w:rsid w:val="005A65CB"/>
    <w:rsid w:val="005A6957"/>
    <w:rsid w:val="005A6F8D"/>
    <w:rsid w:val="005A7024"/>
    <w:rsid w:val="005A722F"/>
    <w:rsid w:val="005B0204"/>
    <w:rsid w:val="005B0BAF"/>
    <w:rsid w:val="005B11EA"/>
    <w:rsid w:val="005B28DB"/>
    <w:rsid w:val="005B2A80"/>
    <w:rsid w:val="005B42D4"/>
    <w:rsid w:val="005B433B"/>
    <w:rsid w:val="005B529D"/>
    <w:rsid w:val="005B6AE8"/>
    <w:rsid w:val="005B70B3"/>
    <w:rsid w:val="005B794E"/>
    <w:rsid w:val="005B7AAC"/>
    <w:rsid w:val="005C0DBA"/>
    <w:rsid w:val="005C1452"/>
    <w:rsid w:val="005C1EBE"/>
    <w:rsid w:val="005C2122"/>
    <w:rsid w:val="005C37BC"/>
    <w:rsid w:val="005C3AA6"/>
    <w:rsid w:val="005C3DD4"/>
    <w:rsid w:val="005C4D44"/>
    <w:rsid w:val="005C5742"/>
    <w:rsid w:val="005C5AAF"/>
    <w:rsid w:val="005C5F22"/>
    <w:rsid w:val="005C6171"/>
    <w:rsid w:val="005C7044"/>
    <w:rsid w:val="005C72A6"/>
    <w:rsid w:val="005D14CA"/>
    <w:rsid w:val="005D18FA"/>
    <w:rsid w:val="005D200F"/>
    <w:rsid w:val="005D2092"/>
    <w:rsid w:val="005D22AB"/>
    <w:rsid w:val="005D48CF"/>
    <w:rsid w:val="005D4BD1"/>
    <w:rsid w:val="005D5453"/>
    <w:rsid w:val="005D725E"/>
    <w:rsid w:val="005D7908"/>
    <w:rsid w:val="005E1371"/>
    <w:rsid w:val="005E1D75"/>
    <w:rsid w:val="005E1FC6"/>
    <w:rsid w:val="005E213E"/>
    <w:rsid w:val="005E27EF"/>
    <w:rsid w:val="005E2A23"/>
    <w:rsid w:val="005E33F4"/>
    <w:rsid w:val="005E3996"/>
    <w:rsid w:val="005E41F0"/>
    <w:rsid w:val="005E4913"/>
    <w:rsid w:val="005E4A04"/>
    <w:rsid w:val="005E4B6B"/>
    <w:rsid w:val="005E4C36"/>
    <w:rsid w:val="005E4E5C"/>
    <w:rsid w:val="005E5298"/>
    <w:rsid w:val="005E54FD"/>
    <w:rsid w:val="005E5C43"/>
    <w:rsid w:val="005E5F22"/>
    <w:rsid w:val="005E6343"/>
    <w:rsid w:val="005E68D9"/>
    <w:rsid w:val="005E68DB"/>
    <w:rsid w:val="005E6B1E"/>
    <w:rsid w:val="005E6B25"/>
    <w:rsid w:val="005E6DD9"/>
    <w:rsid w:val="005F037B"/>
    <w:rsid w:val="005F043D"/>
    <w:rsid w:val="005F1368"/>
    <w:rsid w:val="005F162F"/>
    <w:rsid w:val="005F187E"/>
    <w:rsid w:val="005F2369"/>
    <w:rsid w:val="005F2BF8"/>
    <w:rsid w:val="005F3E8F"/>
    <w:rsid w:val="005F3F4F"/>
    <w:rsid w:val="005F42E7"/>
    <w:rsid w:val="005F4888"/>
    <w:rsid w:val="005F4CAF"/>
    <w:rsid w:val="005F5CD0"/>
    <w:rsid w:val="005F5F47"/>
    <w:rsid w:val="005F706A"/>
    <w:rsid w:val="005F7B30"/>
    <w:rsid w:val="005F7C26"/>
    <w:rsid w:val="0060191B"/>
    <w:rsid w:val="00602B41"/>
    <w:rsid w:val="006034E1"/>
    <w:rsid w:val="006037FE"/>
    <w:rsid w:val="00603838"/>
    <w:rsid w:val="00603D4E"/>
    <w:rsid w:val="006048CD"/>
    <w:rsid w:val="0060504B"/>
    <w:rsid w:val="006053B4"/>
    <w:rsid w:val="00605AD8"/>
    <w:rsid w:val="006069F6"/>
    <w:rsid w:val="00606DF2"/>
    <w:rsid w:val="006073E9"/>
    <w:rsid w:val="006077D2"/>
    <w:rsid w:val="006110CD"/>
    <w:rsid w:val="00611D84"/>
    <w:rsid w:val="00613717"/>
    <w:rsid w:val="0061379F"/>
    <w:rsid w:val="00613938"/>
    <w:rsid w:val="00614110"/>
    <w:rsid w:val="00614761"/>
    <w:rsid w:val="006148BA"/>
    <w:rsid w:val="00614D58"/>
    <w:rsid w:val="00614E3D"/>
    <w:rsid w:val="00615158"/>
    <w:rsid w:val="00615BB0"/>
    <w:rsid w:val="00615E0D"/>
    <w:rsid w:val="00615FFE"/>
    <w:rsid w:val="0061611D"/>
    <w:rsid w:val="0062058C"/>
    <w:rsid w:val="00620612"/>
    <w:rsid w:val="00620B2C"/>
    <w:rsid w:val="006210C3"/>
    <w:rsid w:val="0062179E"/>
    <w:rsid w:val="0062221F"/>
    <w:rsid w:val="0062279D"/>
    <w:rsid w:val="006236BE"/>
    <w:rsid w:val="00623720"/>
    <w:rsid w:val="00624100"/>
    <w:rsid w:val="006241BB"/>
    <w:rsid w:val="0062444D"/>
    <w:rsid w:val="00626274"/>
    <w:rsid w:val="00627C3C"/>
    <w:rsid w:val="00630A19"/>
    <w:rsid w:val="00631661"/>
    <w:rsid w:val="00631DFA"/>
    <w:rsid w:val="00632FAB"/>
    <w:rsid w:val="00633309"/>
    <w:rsid w:val="00633D0C"/>
    <w:rsid w:val="006343CE"/>
    <w:rsid w:val="006346AD"/>
    <w:rsid w:val="0063474C"/>
    <w:rsid w:val="00634991"/>
    <w:rsid w:val="0063574A"/>
    <w:rsid w:val="00635CD3"/>
    <w:rsid w:val="00636B5F"/>
    <w:rsid w:val="00637152"/>
    <w:rsid w:val="0063A655"/>
    <w:rsid w:val="00640621"/>
    <w:rsid w:val="00641090"/>
    <w:rsid w:val="00641A44"/>
    <w:rsid w:val="006425C2"/>
    <w:rsid w:val="00642909"/>
    <w:rsid w:val="00642A51"/>
    <w:rsid w:val="00643112"/>
    <w:rsid w:val="006441CD"/>
    <w:rsid w:val="00644393"/>
    <w:rsid w:val="00644EB5"/>
    <w:rsid w:val="0064608E"/>
    <w:rsid w:val="00646A7A"/>
    <w:rsid w:val="00646D89"/>
    <w:rsid w:val="006472DA"/>
    <w:rsid w:val="00647462"/>
    <w:rsid w:val="00647FD5"/>
    <w:rsid w:val="00650025"/>
    <w:rsid w:val="00650A83"/>
    <w:rsid w:val="00651743"/>
    <w:rsid w:val="00651A50"/>
    <w:rsid w:val="00651C73"/>
    <w:rsid w:val="00652153"/>
    <w:rsid w:val="00652494"/>
    <w:rsid w:val="00652C7F"/>
    <w:rsid w:val="00653136"/>
    <w:rsid w:val="0065342D"/>
    <w:rsid w:val="0065397B"/>
    <w:rsid w:val="00653B01"/>
    <w:rsid w:val="00654AA4"/>
    <w:rsid w:val="00654F1F"/>
    <w:rsid w:val="00655C9F"/>
    <w:rsid w:val="0065611D"/>
    <w:rsid w:val="00656289"/>
    <w:rsid w:val="00656386"/>
    <w:rsid w:val="0065650B"/>
    <w:rsid w:val="00656A62"/>
    <w:rsid w:val="00657494"/>
    <w:rsid w:val="00660530"/>
    <w:rsid w:val="00660713"/>
    <w:rsid w:val="00660915"/>
    <w:rsid w:val="006609DE"/>
    <w:rsid w:val="00661376"/>
    <w:rsid w:val="00661804"/>
    <w:rsid w:val="006623E2"/>
    <w:rsid w:val="00662561"/>
    <w:rsid w:val="00663A25"/>
    <w:rsid w:val="00664363"/>
    <w:rsid w:val="00664928"/>
    <w:rsid w:val="00664ECF"/>
    <w:rsid w:val="0066570E"/>
    <w:rsid w:val="0066578A"/>
    <w:rsid w:val="00666610"/>
    <w:rsid w:val="006713AD"/>
    <w:rsid w:val="00673A00"/>
    <w:rsid w:val="00673A87"/>
    <w:rsid w:val="00673BA1"/>
    <w:rsid w:val="00673E2F"/>
    <w:rsid w:val="00673F9D"/>
    <w:rsid w:val="006742C9"/>
    <w:rsid w:val="006742D8"/>
    <w:rsid w:val="006747D6"/>
    <w:rsid w:val="0067566D"/>
    <w:rsid w:val="0067586C"/>
    <w:rsid w:val="00676334"/>
    <w:rsid w:val="00676595"/>
    <w:rsid w:val="00676764"/>
    <w:rsid w:val="006767A0"/>
    <w:rsid w:val="006776F2"/>
    <w:rsid w:val="006779B0"/>
    <w:rsid w:val="00677D21"/>
    <w:rsid w:val="006816AA"/>
    <w:rsid w:val="00682BC5"/>
    <w:rsid w:val="00682EC8"/>
    <w:rsid w:val="006856AC"/>
    <w:rsid w:val="00685F12"/>
    <w:rsid w:val="006879F4"/>
    <w:rsid w:val="006900F7"/>
    <w:rsid w:val="006901E2"/>
    <w:rsid w:val="006911C5"/>
    <w:rsid w:val="0069127B"/>
    <w:rsid w:val="0069157A"/>
    <w:rsid w:val="00691915"/>
    <w:rsid w:val="00691BE1"/>
    <w:rsid w:val="006925ED"/>
    <w:rsid w:val="006928E7"/>
    <w:rsid w:val="00693721"/>
    <w:rsid w:val="00693D11"/>
    <w:rsid w:val="006941E7"/>
    <w:rsid w:val="00694BDA"/>
    <w:rsid w:val="00694F1A"/>
    <w:rsid w:val="006950A4"/>
    <w:rsid w:val="00695CEB"/>
    <w:rsid w:val="006979BE"/>
    <w:rsid w:val="00697BC4"/>
    <w:rsid w:val="006A08CE"/>
    <w:rsid w:val="006A2AE0"/>
    <w:rsid w:val="006A2CCB"/>
    <w:rsid w:val="006A31CB"/>
    <w:rsid w:val="006A4939"/>
    <w:rsid w:val="006A495D"/>
    <w:rsid w:val="006A4DD0"/>
    <w:rsid w:val="006A53CE"/>
    <w:rsid w:val="006A5E9E"/>
    <w:rsid w:val="006A5FE6"/>
    <w:rsid w:val="006A71B1"/>
    <w:rsid w:val="006A74D7"/>
    <w:rsid w:val="006A770F"/>
    <w:rsid w:val="006B0F23"/>
    <w:rsid w:val="006B19EB"/>
    <w:rsid w:val="006B1A00"/>
    <w:rsid w:val="006B1ACF"/>
    <w:rsid w:val="006B379D"/>
    <w:rsid w:val="006B38D7"/>
    <w:rsid w:val="006B4181"/>
    <w:rsid w:val="006B45AF"/>
    <w:rsid w:val="006B4A2A"/>
    <w:rsid w:val="006B4E91"/>
    <w:rsid w:val="006B4EC7"/>
    <w:rsid w:val="006B5561"/>
    <w:rsid w:val="006B5719"/>
    <w:rsid w:val="006B659E"/>
    <w:rsid w:val="006B667E"/>
    <w:rsid w:val="006B7629"/>
    <w:rsid w:val="006B76CD"/>
    <w:rsid w:val="006B77CA"/>
    <w:rsid w:val="006B7985"/>
    <w:rsid w:val="006B7999"/>
    <w:rsid w:val="006C0117"/>
    <w:rsid w:val="006C0962"/>
    <w:rsid w:val="006C0C14"/>
    <w:rsid w:val="006C13B9"/>
    <w:rsid w:val="006C1643"/>
    <w:rsid w:val="006C2AE0"/>
    <w:rsid w:val="006C49B7"/>
    <w:rsid w:val="006C5838"/>
    <w:rsid w:val="006C5FB1"/>
    <w:rsid w:val="006C64BD"/>
    <w:rsid w:val="006C6759"/>
    <w:rsid w:val="006C684F"/>
    <w:rsid w:val="006C7A1C"/>
    <w:rsid w:val="006D0004"/>
    <w:rsid w:val="006D207D"/>
    <w:rsid w:val="006D2193"/>
    <w:rsid w:val="006D2719"/>
    <w:rsid w:val="006D27DA"/>
    <w:rsid w:val="006D2A8E"/>
    <w:rsid w:val="006D2AAA"/>
    <w:rsid w:val="006D36F7"/>
    <w:rsid w:val="006D3BB2"/>
    <w:rsid w:val="006D3CB2"/>
    <w:rsid w:val="006D6725"/>
    <w:rsid w:val="006D7383"/>
    <w:rsid w:val="006D7828"/>
    <w:rsid w:val="006E1060"/>
    <w:rsid w:val="006E2B1A"/>
    <w:rsid w:val="006E319D"/>
    <w:rsid w:val="006E36D3"/>
    <w:rsid w:val="006E422F"/>
    <w:rsid w:val="006E4D3F"/>
    <w:rsid w:val="006E4F84"/>
    <w:rsid w:val="006E5B73"/>
    <w:rsid w:val="006E6EDF"/>
    <w:rsid w:val="006E728C"/>
    <w:rsid w:val="006E7E8A"/>
    <w:rsid w:val="006F1B73"/>
    <w:rsid w:val="006F1EE7"/>
    <w:rsid w:val="006F2238"/>
    <w:rsid w:val="006F2CEF"/>
    <w:rsid w:val="006F4998"/>
    <w:rsid w:val="006F546E"/>
    <w:rsid w:val="006F6821"/>
    <w:rsid w:val="006F7D1F"/>
    <w:rsid w:val="007011A8"/>
    <w:rsid w:val="00701735"/>
    <w:rsid w:val="007017CB"/>
    <w:rsid w:val="007022EA"/>
    <w:rsid w:val="00702728"/>
    <w:rsid w:val="00703C8F"/>
    <w:rsid w:val="00704C5B"/>
    <w:rsid w:val="00704D12"/>
    <w:rsid w:val="00704DF1"/>
    <w:rsid w:val="00704E00"/>
    <w:rsid w:val="00705BCB"/>
    <w:rsid w:val="00705C1C"/>
    <w:rsid w:val="007064EF"/>
    <w:rsid w:val="007067B7"/>
    <w:rsid w:val="00707B3C"/>
    <w:rsid w:val="00707D8A"/>
    <w:rsid w:val="00707D9B"/>
    <w:rsid w:val="00710C08"/>
    <w:rsid w:val="007116CB"/>
    <w:rsid w:val="00712FA5"/>
    <w:rsid w:val="00713076"/>
    <w:rsid w:val="00713826"/>
    <w:rsid w:val="00713ED4"/>
    <w:rsid w:val="00716497"/>
    <w:rsid w:val="007164B4"/>
    <w:rsid w:val="0071652D"/>
    <w:rsid w:val="00717448"/>
    <w:rsid w:val="00717560"/>
    <w:rsid w:val="007176ED"/>
    <w:rsid w:val="0071D3D3"/>
    <w:rsid w:val="00720018"/>
    <w:rsid w:val="00720BA9"/>
    <w:rsid w:val="00720C9D"/>
    <w:rsid w:val="00721803"/>
    <w:rsid w:val="00721A99"/>
    <w:rsid w:val="00721FD2"/>
    <w:rsid w:val="0072235B"/>
    <w:rsid w:val="007225D2"/>
    <w:rsid w:val="007238A1"/>
    <w:rsid w:val="007239A2"/>
    <w:rsid w:val="0072591D"/>
    <w:rsid w:val="00726149"/>
    <w:rsid w:val="00726F0E"/>
    <w:rsid w:val="00730911"/>
    <w:rsid w:val="00730A99"/>
    <w:rsid w:val="00730FFE"/>
    <w:rsid w:val="00731133"/>
    <w:rsid w:val="00731FAF"/>
    <w:rsid w:val="00732028"/>
    <w:rsid w:val="0073225E"/>
    <w:rsid w:val="00733501"/>
    <w:rsid w:val="0073362C"/>
    <w:rsid w:val="007338E1"/>
    <w:rsid w:val="007339E4"/>
    <w:rsid w:val="00733A15"/>
    <w:rsid w:val="00734782"/>
    <w:rsid w:val="00734B36"/>
    <w:rsid w:val="00735A98"/>
    <w:rsid w:val="00735C91"/>
    <w:rsid w:val="0073633B"/>
    <w:rsid w:val="007365CF"/>
    <w:rsid w:val="00736ABA"/>
    <w:rsid w:val="007379C8"/>
    <w:rsid w:val="00737C75"/>
    <w:rsid w:val="007402A3"/>
    <w:rsid w:val="00740985"/>
    <w:rsid w:val="0074168A"/>
    <w:rsid w:val="00742CFD"/>
    <w:rsid w:val="0074412E"/>
    <w:rsid w:val="007451AF"/>
    <w:rsid w:val="0074539E"/>
    <w:rsid w:val="00745E60"/>
    <w:rsid w:val="00746227"/>
    <w:rsid w:val="00746CC0"/>
    <w:rsid w:val="00747238"/>
    <w:rsid w:val="00747990"/>
    <w:rsid w:val="00747BDA"/>
    <w:rsid w:val="00750138"/>
    <w:rsid w:val="00750B02"/>
    <w:rsid w:val="00751B22"/>
    <w:rsid w:val="00751CBA"/>
    <w:rsid w:val="00751EB1"/>
    <w:rsid w:val="007527CA"/>
    <w:rsid w:val="00752C5B"/>
    <w:rsid w:val="007536B6"/>
    <w:rsid w:val="00753BDA"/>
    <w:rsid w:val="00754D07"/>
    <w:rsid w:val="00757433"/>
    <w:rsid w:val="00760073"/>
    <w:rsid w:val="0076051D"/>
    <w:rsid w:val="00760674"/>
    <w:rsid w:val="0076189A"/>
    <w:rsid w:val="00761B20"/>
    <w:rsid w:val="00761D55"/>
    <w:rsid w:val="00761E57"/>
    <w:rsid w:val="007620E3"/>
    <w:rsid w:val="00762223"/>
    <w:rsid w:val="00762769"/>
    <w:rsid w:val="007629C4"/>
    <w:rsid w:val="00762A47"/>
    <w:rsid w:val="00762BE7"/>
    <w:rsid w:val="007630C5"/>
    <w:rsid w:val="007641A6"/>
    <w:rsid w:val="00764507"/>
    <w:rsid w:val="00764D64"/>
    <w:rsid w:val="00765005"/>
    <w:rsid w:val="00765431"/>
    <w:rsid w:val="007658C7"/>
    <w:rsid w:val="0076799B"/>
    <w:rsid w:val="00767E73"/>
    <w:rsid w:val="007704CE"/>
    <w:rsid w:val="00770C06"/>
    <w:rsid w:val="00771350"/>
    <w:rsid w:val="00771418"/>
    <w:rsid w:val="007715C9"/>
    <w:rsid w:val="00771DB7"/>
    <w:rsid w:val="007724A3"/>
    <w:rsid w:val="00772A01"/>
    <w:rsid w:val="00772B41"/>
    <w:rsid w:val="00772C2C"/>
    <w:rsid w:val="00772F1B"/>
    <w:rsid w:val="0077473F"/>
    <w:rsid w:val="00775254"/>
    <w:rsid w:val="007755F1"/>
    <w:rsid w:val="007769A2"/>
    <w:rsid w:val="0077766D"/>
    <w:rsid w:val="0077773A"/>
    <w:rsid w:val="007779B9"/>
    <w:rsid w:val="00777A4F"/>
    <w:rsid w:val="00780062"/>
    <w:rsid w:val="007801AD"/>
    <w:rsid w:val="0078143A"/>
    <w:rsid w:val="007818FF"/>
    <w:rsid w:val="00781ED6"/>
    <w:rsid w:val="00782089"/>
    <w:rsid w:val="00782385"/>
    <w:rsid w:val="00782D9D"/>
    <w:rsid w:val="00782E7E"/>
    <w:rsid w:val="00783160"/>
    <w:rsid w:val="0078317C"/>
    <w:rsid w:val="00783749"/>
    <w:rsid w:val="007840E5"/>
    <w:rsid w:val="00784138"/>
    <w:rsid w:val="00784581"/>
    <w:rsid w:val="00785194"/>
    <w:rsid w:val="007863F8"/>
    <w:rsid w:val="007867F6"/>
    <w:rsid w:val="00786B7D"/>
    <w:rsid w:val="00786C86"/>
    <w:rsid w:val="0079018C"/>
    <w:rsid w:val="00790DEE"/>
    <w:rsid w:val="00791E60"/>
    <w:rsid w:val="00791EA6"/>
    <w:rsid w:val="00791F0F"/>
    <w:rsid w:val="0079225C"/>
    <w:rsid w:val="0079230A"/>
    <w:rsid w:val="0079246D"/>
    <w:rsid w:val="00792578"/>
    <w:rsid w:val="00792682"/>
    <w:rsid w:val="00793396"/>
    <w:rsid w:val="00793B9F"/>
    <w:rsid w:val="00793EFF"/>
    <w:rsid w:val="00794725"/>
    <w:rsid w:val="00794C69"/>
    <w:rsid w:val="007951FE"/>
    <w:rsid w:val="00795734"/>
    <w:rsid w:val="00795C29"/>
    <w:rsid w:val="00795CCD"/>
    <w:rsid w:val="00795DB8"/>
    <w:rsid w:val="00795E0C"/>
    <w:rsid w:val="00796443"/>
    <w:rsid w:val="00796B79"/>
    <w:rsid w:val="00796C2C"/>
    <w:rsid w:val="00796DB8"/>
    <w:rsid w:val="00796FF1"/>
    <w:rsid w:val="0079704E"/>
    <w:rsid w:val="007970EA"/>
    <w:rsid w:val="0079721B"/>
    <w:rsid w:val="00797A3B"/>
    <w:rsid w:val="00797B4D"/>
    <w:rsid w:val="007A0B88"/>
    <w:rsid w:val="007A0DA0"/>
    <w:rsid w:val="007A1964"/>
    <w:rsid w:val="007A20D3"/>
    <w:rsid w:val="007A29D7"/>
    <w:rsid w:val="007A5F5B"/>
    <w:rsid w:val="007A6BB0"/>
    <w:rsid w:val="007A6D51"/>
    <w:rsid w:val="007A7CC6"/>
    <w:rsid w:val="007A7F9E"/>
    <w:rsid w:val="007B0295"/>
    <w:rsid w:val="007B0E9C"/>
    <w:rsid w:val="007B1C43"/>
    <w:rsid w:val="007B1D5D"/>
    <w:rsid w:val="007B2853"/>
    <w:rsid w:val="007B4244"/>
    <w:rsid w:val="007B4C1A"/>
    <w:rsid w:val="007B5311"/>
    <w:rsid w:val="007B5652"/>
    <w:rsid w:val="007B619A"/>
    <w:rsid w:val="007B668F"/>
    <w:rsid w:val="007B6691"/>
    <w:rsid w:val="007B6F40"/>
    <w:rsid w:val="007C2114"/>
    <w:rsid w:val="007C2158"/>
    <w:rsid w:val="007C294B"/>
    <w:rsid w:val="007C2AD4"/>
    <w:rsid w:val="007C2E69"/>
    <w:rsid w:val="007C2F0D"/>
    <w:rsid w:val="007C34AC"/>
    <w:rsid w:val="007C34B7"/>
    <w:rsid w:val="007C56E2"/>
    <w:rsid w:val="007C579B"/>
    <w:rsid w:val="007C642B"/>
    <w:rsid w:val="007C68D0"/>
    <w:rsid w:val="007C6F81"/>
    <w:rsid w:val="007C71DA"/>
    <w:rsid w:val="007C733A"/>
    <w:rsid w:val="007C7F07"/>
    <w:rsid w:val="007D0D28"/>
    <w:rsid w:val="007D1AF6"/>
    <w:rsid w:val="007D1C23"/>
    <w:rsid w:val="007D2292"/>
    <w:rsid w:val="007D23B1"/>
    <w:rsid w:val="007D2F99"/>
    <w:rsid w:val="007D3121"/>
    <w:rsid w:val="007D3BF9"/>
    <w:rsid w:val="007D4C59"/>
    <w:rsid w:val="007D60F2"/>
    <w:rsid w:val="007D6C8D"/>
    <w:rsid w:val="007D7678"/>
    <w:rsid w:val="007D7E04"/>
    <w:rsid w:val="007D7F68"/>
    <w:rsid w:val="007E0044"/>
    <w:rsid w:val="007E0571"/>
    <w:rsid w:val="007E07FC"/>
    <w:rsid w:val="007E0B88"/>
    <w:rsid w:val="007E11D3"/>
    <w:rsid w:val="007E144D"/>
    <w:rsid w:val="007E15D3"/>
    <w:rsid w:val="007E15DA"/>
    <w:rsid w:val="007E1928"/>
    <w:rsid w:val="007E1F6F"/>
    <w:rsid w:val="007E2F51"/>
    <w:rsid w:val="007E3089"/>
    <w:rsid w:val="007E316A"/>
    <w:rsid w:val="007E38DA"/>
    <w:rsid w:val="007E428E"/>
    <w:rsid w:val="007E464E"/>
    <w:rsid w:val="007E481B"/>
    <w:rsid w:val="007E4A14"/>
    <w:rsid w:val="007E4C1C"/>
    <w:rsid w:val="007E567D"/>
    <w:rsid w:val="007E607B"/>
    <w:rsid w:val="007E67F7"/>
    <w:rsid w:val="007E686A"/>
    <w:rsid w:val="007E68C3"/>
    <w:rsid w:val="007E691B"/>
    <w:rsid w:val="007E7302"/>
    <w:rsid w:val="007F00AC"/>
    <w:rsid w:val="007F076E"/>
    <w:rsid w:val="007F0877"/>
    <w:rsid w:val="007F1048"/>
    <w:rsid w:val="007F12B2"/>
    <w:rsid w:val="007F1E3A"/>
    <w:rsid w:val="007F2296"/>
    <w:rsid w:val="007F338E"/>
    <w:rsid w:val="007F354D"/>
    <w:rsid w:val="007F418E"/>
    <w:rsid w:val="007F4C73"/>
    <w:rsid w:val="007F4CBB"/>
    <w:rsid w:val="007F4E9F"/>
    <w:rsid w:val="007F503D"/>
    <w:rsid w:val="007F5251"/>
    <w:rsid w:val="007F68B7"/>
    <w:rsid w:val="007F76ED"/>
    <w:rsid w:val="00800C3A"/>
    <w:rsid w:val="00800ECF"/>
    <w:rsid w:val="00800F20"/>
    <w:rsid w:val="00801C41"/>
    <w:rsid w:val="008025D8"/>
    <w:rsid w:val="008028FC"/>
    <w:rsid w:val="00802A09"/>
    <w:rsid w:val="00802B2B"/>
    <w:rsid w:val="00803D69"/>
    <w:rsid w:val="00806968"/>
    <w:rsid w:val="00806E41"/>
    <w:rsid w:val="008100F2"/>
    <w:rsid w:val="0081029E"/>
    <w:rsid w:val="00810971"/>
    <w:rsid w:val="0081150D"/>
    <w:rsid w:val="00811A7E"/>
    <w:rsid w:val="00812CD4"/>
    <w:rsid w:val="00814842"/>
    <w:rsid w:val="0081552B"/>
    <w:rsid w:val="00815CC5"/>
    <w:rsid w:val="00815E23"/>
    <w:rsid w:val="0081652C"/>
    <w:rsid w:val="00816B09"/>
    <w:rsid w:val="00820513"/>
    <w:rsid w:val="0082063B"/>
    <w:rsid w:val="00820692"/>
    <w:rsid w:val="00820840"/>
    <w:rsid w:val="00820B24"/>
    <w:rsid w:val="00821153"/>
    <w:rsid w:val="00822496"/>
    <w:rsid w:val="008224F1"/>
    <w:rsid w:val="00823548"/>
    <w:rsid w:val="0082463F"/>
    <w:rsid w:val="00824F4F"/>
    <w:rsid w:val="00825D72"/>
    <w:rsid w:val="0082620D"/>
    <w:rsid w:val="00826A77"/>
    <w:rsid w:val="00827F14"/>
    <w:rsid w:val="00830C81"/>
    <w:rsid w:val="00831337"/>
    <w:rsid w:val="00831371"/>
    <w:rsid w:val="008317CC"/>
    <w:rsid w:val="0083258C"/>
    <w:rsid w:val="00833666"/>
    <w:rsid w:val="00833F2F"/>
    <w:rsid w:val="00835637"/>
    <w:rsid w:val="0083577F"/>
    <w:rsid w:val="00835B23"/>
    <w:rsid w:val="00836398"/>
    <w:rsid w:val="00836870"/>
    <w:rsid w:val="00836FD4"/>
    <w:rsid w:val="00837307"/>
    <w:rsid w:val="00840401"/>
    <w:rsid w:val="0084068F"/>
    <w:rsid w:val="00841D02"/>
    <w:rsid w:val="008427A9"/>
    <w:rsid w:val="00843013"/>
    <w:rsid w:val="00843098"/>
    <w:rsid w:val="00843740"/>
    <w:rsid w:val="00843ABC"/>
    <w:rsid w:val="00843EDE"/>
    <w:rsid w:val="008452A7"/>
    <w:rsid w:val="0084673E"/>
    <w:rsid w:val="00846B75"/>
    <w:rsid w:val="008477A1"/>
    <w:rsid w:val="00850514"/>
    <w:rsid w:val="0085135B"/>
    <w:rsid w:val="008516F7"/>
    <w:rsid w:val="00853140"/>
    <w:rsid w:val="00853DB7"/>
    <w:rsid w:val="00853E08"/>
    <w:rsid w:val="00854092"/>
    <w:rsid w:val="008543D2"/>
    <w:rsid w:val="00854684"/>
    <w:rsid w:val="00855941"/>
    <w:rsid w:val="00855973"/>
    <w:rsid w:val="0085675A"/>
    <w:rsid w:val="008567D9"/>
    <w:rsid w:val="008617B4"/>
    <w:rsid w:val="00861E74"/>
    <w:rsid w:val="00863E6D"/>
    <w:rsid w:val="0086496F"/>
    <w:rsid w:val="00864B84"/>
    <w:rsid w:val="00866962"/>
    <w:rsid w:val="00866B1B"/>
    <w:rsid w:val="00866B3D"/>
    <w:rsid w:val="00866B8B"/>
    <w:rsid w:val="00866DBF"/>
    <w:rsid w:val="00867DB3"/>
    <w:rsid w:val="00867DB8"/>
    <w:rsid w:val="00867F1E"/>
    <w:rsid w:val="0087048E"/>
    <w:rsid w:val="0087118F"/>
    <w:rsid w:val="008713D2"/>
    <w:rsid w:val="00871C54"/>
    <w:rsid w:val="00872A28"/>
    <w:rsid w:val="008759A1"/>
    <w:rsid w:val="00875B63"/>
    <w:rsid w:val="00875EB9"/>
    <w:rsid w:val="0087633B"/>
    <w:rsid w:val="00876A81"/>
    <w:rsid w:val="00876F46"/>
    <w:rsid w:val="0087764F"/>
    <w:rsid w:val="00877833"/>
    <w:rsid w:val="00880199"/>
    <w:rsid w:val="00880755"/>
    <w:rsid w:val="00880884"/>
    <w:rsid w:val="00880A8E"/>
    <w:rsid w:val="00881026"/>
    <w:rsid w:val="008813C0"/>
    <w:rsid w:val="00881AD9"/>
    <w:rsid w:val="00881EB2"/>
    <w:rsid w:val="00882661"/>
    <w:rsid w:val="00882779"/>
    <w:rsid w:val="00882C67"/>
    <w:rsid w:val="00883254"/>
    <w:rsid w:val="008838DF"/>
    <w:rsid w:val="00883A09"/>
    <w:rsid w:val="008853E1"/>
    <w:rsid w:val="00885BF5"/>
    <w:rsid w:val="00886C1D"/>
    <w:rsid w:val="00886F20"/>
    <w:rsid w:val="00887349"/>
    <w:rsid w:val="008876B3"/>
    <w:rsid w:val="0089055E"/>
    <w:rsid w:val="008907D7"/>
    <w:rsid w:val="00890ED5"/>
    <w:rsid w:val="0089122A"/>
    <w:rsid w:val="00891E73"/>
    <w:rsid w:val="008921A6"/>
    <w:rsid w:val="00892616"/>
    <w:rsid w:val="0089297D"/>
    <w:rsid w:val="008938AB"/>
    <w:rsid w:val="00893CD7"/>
    <w:rsid w:val="00893DA2"/>
    <w:rsid w:val="00894981"/>
    <w:rsid w:val="00895695"/>
    <w:rsid w:val="00896517"/>
    <w:rsid w:val="008974B7"/>
    <w:rsid w:val="00897683"/>
    <w:rsid w:val="00897696"/>
    <w:rsid w:val="00897E57"/>
    <w:rsid w:val="008A0D8F"/>
    <w:rsid w:val="008A103C"/>
    <w:rsid w:val="008A1D53"/>
    <w:rsid w:val="008A20D5"/>
    <w:rsid w:val="008A2A6E"/>
    <w:rsid w:val="008A3149"/>
    <w:rsid w:val="008A3BDE"/>
    <w:rsid w:val="008A49E3"/>
    <w:rsid w:val="008A4F2C"/>
    <w:rsid w:val="008A5E15"/>
    <w:rsid w:val="008A6435"/>
    <w:rsid w:val="008A679E"/>
    <w:rsid w:val="008A6904"/>
    <w:rsid w:val="008A6A12"/>
    <w:rsid w:val="008A726E"/>
    <w:rsid w:val="008A749D"/>
    <w:rsid w:val="008B3CC3"/>
    <w:rsid w:val="008B44E4"/>
    <w:rsid w:val="008B4EB9"/>
    <w:rsid w:val="008B64FC"/>
    <w:rsid w:val="008B6880"/>
    <w:rsid w:val="008C00A1"/>
    <w:rsid w:val="008C023B"/>
    <w:rsid w:val="008C03F1"/>
    <w:rsid w:val="008C04C8"/>
    <w:rsid w:val="008C157C"/>
    <w:rsid w:val="008C1C3D"/>
    <w:rsid w:val="008C226D"/>
    <w:rsid w:val="008C2E50"/>
    <w:rsid w:val="008C2F76"/>
    <w:rsid w:val="008C3280"/>
    <w:rsid w:val="008C3448"/>
    <w:rsid w:val="008C345A"/>
    <w:rsid w:val="008C378E"/>
    <w:rsid w:val="008C3D0D"/>
    <w:rsid w:val="008C5AA1"/>
    <w:rsid w:val="008C5C32"/>
    <w:rsid w:val="008C6052"/>
    <w:rsid w:val="008C6B49"/>
    <w:rsid w:val="008C6FD4"/>
    <w:rsid w:val="008D097D"/>
    <w:rsid w:val="008D108B"/>
    <w:rsid w:val="008D14AE"/>
    <w:rsid w:val="008D16EB"/>
    <w:rsid w:val="008D21B7"/>
    <w:rsid w:val="008D30CD"/>
    <w:rsid w:val="008D4F28"/>
    <w:rsid w:val="008D5166"/>
    <w:rsid w:val="008D5406"/>
    <w:rsid w:val="008D5EA3"/>
    <w:rsid w:val="008D5F15"/>
    <w:rsid w:val="008D618C"/>
    <w:rsid w:val="008D643E"/>
    <w:rsid w:val="008D6580"/>
    <w:rsid w:val="008D7498"/>
    <w:rsid w:val="008D795F"/>
    <w:rsid w:val="008E23B4"/>
    <w:rsid w:val="008E2F9B"/>
    <w:rsid w:val="008E4602"/>
    <w:rsid w:val="008E4D70"/>
    <w:rsid w:val="008E4FE6"/>
    <w:rsid w:val="008E5082"/>
    <w:rsid w:val="008E508C"/>
    <w:rsid w:val="008E5954"/>
    <w:rsid w:val="008E6885"/>
    <w:rsid w:val="008E6BAF"/>
    <w:rsid w:val="008F04FC"/>
    <w:rsid w:val="008F0A07"/>
    <w:rsid w:val="008F16CF"/>
    <w:rsid w:val="008F1F98"/>
    <w:rsid w:val="008F3570"/>
    <w:rsid w:val="008F3A74"/>
    <w:rsid w:val="008F40A0"/>
    <w:rsid w:val="008F5243"/>
    <w:rsid w:val="008F5C87"/>
    <w:rsid w:val="008F5D42"/>
    <w:rsid w:val="008F62EA"/>
    <w:rsid w:val="008F6982"/>
    <w:rsid w:val="008F7579"/>
    <w:rsid w:val="008F791B"/>
    <w:rsid w:val="0090032D"/>
    <w:rsid w:val="00901010"/>
    <w:rsid w:val="00902182"/>
    <w:rsid w:val="00903006"/>
    <w:rsid w:val="00903336"/>
    <w:rsid w:val="00903E19"/>
    <w:rsid w:val="00904215"/>
    <w:rsid w:val="00904543"/>
    <w:rsid w:val="00904715"/>
    <w:rsid w:val="00904793"/>
    <w:rsid w:val="00906138"/>
    <w:rsid w:val="00906FCD"/>
    <w:rsid w:val="009072BE"/>
    <w:rsid w:val="00907D02"/>
    <w:rsid w:val="00907DA8"/>
    <w:rsid w:val="00910123"/>
    <w:rsid w:val="009104FB"/>
    <w:rsid w:val="009105CD"/>
    <w:rsid w:val="00911282"/>
    <w:rsid w:val="00911D79"/>
    <w:rsid w:val="009129A6"/>
    <w:rsid w:val="00912F3E"/>
    <w:rsid w:val="00913A79"/>
    <w:rsid w:val="00914A40"/>
    <w:rsid w:val="00915623"/>
    <w:rsid w:val="00915EF8"/>
    <w:rsid w:val="009167A0"/>
    <w:rsid w:val="0092007C"/>
    <w:rsid w:val="00920205"/>
    <w:rsid w:val="00920308"/>
    <w:rsid w:val="0092080F"/>
    <w:rsid w:val="00920D57"/>
    <w:rsid w:val="009215E2"/>
    <w:rsid w:val="00921E57"/>
    <w:rsid w:val="00923406"/>
    <w:rsid w:val="009239DF"/>
    <w:rsid w:val="00923A2B"/>
    <w:rsid w:val="00923AAD"/>
    <w:rsid w:val="00923B62"/>
    <w:rsid w:val="00923D33"/>
    <w:rsid w:val="0092409B"/>
    <w:rsid w:val="009240A4"/>
    <w:rsid w:val="0092476F"/>
    <w:rsid w:val="0092490F"/>
    <w:rsid w:val="0092564B"/>
    <w:rsid w:val="00925718"/>
    <w:rsid w:val="009258E7"/>
    <w:rsid w:val="00925AE1"/>
    <w:rsid w:val="009263C3"/>
    <w:rsid w:val="00926A2B"/>
    <w:rsid w:val="00926EF9"/>
    <w:rsid w:val="0092742C"/>
    <w:rsid w:val="009276E4"/>
    <w:rsid w:val="00927C14"/>
    <w:rsid w:val="00927E59"/>
    <w:rsid w:val="00930DF1"/>
    <w:rsid w:val="00930E5E"/>
    <w:rsid w:val="00931320"/>
    <w:rsid w:val="00932108"/>
    <w:rsid w:val="0093219B"/>
    <w:rsid w:val="00932E51"/>
    <w:rsid w:val="00935468"/>
    <w:rsid w:val="00935A2E"/>
    <w:rsid w:val="00936157"/>
    <w:rsid w:val="00936B24"/>
    <w:rsid w:val="00936B77"/>
    <w:rsid w:val="00937019"/>
    <w:rsid w:val="0094027D"/>
    <w:rsid w:val="00940ED4"/>
    <w:rsid w:val="00941C70"/>
    <w:rsid w:val="009424FE"/>
    <w:rsid w:val="00942C84"/>
    <w:rsid w:val="00943963"/>
    <w:rsid w:val="00944D9E"/>
    <w:rsid w:val="00944DAF"/>
    <w:rsid w:val="00945143"/>
    <w:rsid w:val="009458BD"/>
    <w:rsid w:val="00946763"/>
    <w:rsid w:val="00947303"/>
    <w:rsid w:val="00947A13"/>
    <w:rsid w:val="00947DCA"/>
    <w:rsid w:val="009501FF"/>
    <w:rsid w:val="00950ED5"/>
    <w:rsid w:val="00951CD8"/>
    <w:rsid w:val="00951D58"/>
    <w:rsid w:val="00952A0A"/>
    <w:rsid w:val="00952C5F"/>
    <w:rsid w:val="009531F9"/>
    <w:rsid w:val="009533FB"/>
    <w:rsid w:val="009535C0"/>
    <w:rsid w:val="00953C7E"/>
    <w:rsid w:val="00954122"/>
    <w:rsid w:val="0095497E"/>
    <w:rsid w:val="0095599D"/>
    <w:rsid w:val="009568F4"/>
    <w:rsid w:val="0095691A"/>
    <w:rsid w:val="00957159"/>
    <w:rsid w:val="009571A2"/>
    <w:rsid w:val="00957BF4"/>
    <w:rsid w:val="00957CC1"/>
    <w:rsid w:val="00957CF0"/>
    <w:rsid w:val="00957F3B"/>
    <w:rsid w:val="00960520"/>
    <w:rsid w:val="009609FD"/>
    <w:rsid w:val="00962344"/>
    <w:rsid w:val="00962D37"/>
    <w:rsid w:val="00962D60"/>
    <w:rsid w:val="0096320B"/>
    <w:rsid w:val="009634A8"/>
    <w:rsid w:val="009636F7"/>
    <w:rsid w:val="00964BDA"/>
    <w:rsid w:val="00964E2B"/>
    <w:rsid w:val="00965964"/>
    <w:rsid w:val="0096647A"/>
    <w:rsid w:val="00966588"/>
    <w:rsid w:val="00967431"/>
    <w:rsid w:val="009676B6"/>
    <w:rsid w:val="009676CE"/>
    <w:rsid w:val="009676E0"/>
    <w:rsid w:val="00970BD3"/>
    <w:rsid w:val="0097120E"/>
    <w:rsid w:val="00971D3F"/>
    <w:rsid w:val="009727FA"/>
    <w:rsid w:val="009727FE"/>
    <w:rsid w:val="00972EF5"/>
    <w:rsid w:val="0097360F"/>
    <w:rsid w:val="00973B6F"/>
    <w:rsid w:val="00974027"/>
    <w:rsid w:val="009744C7"/>
    <w:rsid w:val="00974D72"/>
    <w:rsid w:val="009767E3"/>
    <w:rsid w:val="00976AFF"/>
    <w:rsid w:val="0098142D"/>
    <w:rsid w:val="00981C3C"/>
    <w:rsid w:val="00981EDB"/>
    <w:rsid w:val="0098211A"/>
    <w:rsid w:val="00982668"/>
    <w:rsid w:val="00982E84"/>
    <w:rsid w:val="00982F81"/>
    <w:rsid w:val="0098308F"/>
    <w:rsid w:val="009830A0"/>
    <w:rsid w:val="009834A3"/>
    <w:rsid w:val="00983BDE"/>
    <w:rsid w:val="00984DC3"/>
    <w:rsid w:val="009852E0"/>
    <w:rsid w:val="009855AA"/>
    <w:rsid w:val="00985640"/>
    <w:rsid w:val="0098590E"/>
    <w:rsid w:val="00985F4F"/>
    <w:rsid w:val="009864B2"/>
    <w:rsid w:val="009869C5"/>
    <w:rsid w:val="00986AB2"/>
    <w:rsid w:val="009879D4"/>
    <w:rsid w:val="00987AF5"/>
    <w:rsid w:val="009907D1"/>
    <w:rsid w:val="00990DBF"/>
    <w:rsid w:val="00991580"/>
    <w:rsid w:val="00991A35"/>
    <w:rsid w:val="00991A54"/>
    <w:rsid w:val="0099306C"/>
    <w:rsid w:val="00993D83"/>
    <w:rsid w:val="00997C74"/>
    <w:rsid w:val="00997ED5"/>
    <w:rsid w:val="009A05D7"/>
    <w:rsid w:val="009A0BF7"/>
    <w:rsid w:val="009A0C21"/>
    <w:rsid w:val="009A0F7F"/>
    <w:rsid w:val="009A1FE3"/>
    <w:rsid w:val="009A361C"/>
    <w:rsid w:val="009A5A99"/>
    <w:rsid w:val="009A6026"/>
    <w:rsid w:val="009A6D67"/>
    <w:rsid w:val="009A7148"/>
    <w:rsid w:val="009A745F"/>
    <w:rsid w:val="009A785A"/>
    <w:rsid w:val="009A7C3E"/>
    <w:rsid w:val="009B008D"/>
    <w:rsid w:val="009B0647"/>
    <w:rsid w:val="009B07A6"/>
    <w:rsid w:val="009B0A0D"/>
    <w:rsid w:val="009B1188"/>
    <w:rsid w:val="009B1CAA"/>
    <w:rsid w:val="009B4922"/>
    <w:rsid w:val="009B4EE9"/>
    <w:rsid w:val="009B558D"/>
    <w:rsid w:val="009B6B3A"/>
    <w:rsid w:val="009B73A4"/>
    <w:rsid w:val="009C1500"/>
    <w:rsid w:val="009C18B6"/>
    <w:rsid w:val="009C1F6B"/>
    <w:rsid w:val="009C2240"/>
    <w:rsid w:val="009C4C6B"/>
    <w:rsid w:val="009C62A7"/>
    <w:rsid w:val="009C6788"/>
    <w:rsid w:val="009C6CDA"/>
    <w:rsid w:val="009C732B"/>
    <w:rsid w:val="009D06DA"/>
    <w:rsid w:val="009D0C33"/>
    <w:rsid w:val="009D0D2E"/>
    <w:rsid w:val="009D15E4"/>
    <w:rsid w:val="009D1D1E"/>
    <w:rsid w:val="009D219B"/>
    <w:rsid w:val="009D2C4C"/>
    <w:rsid w:val="009D5506"/>
    <w:rsid w:val="009D5EB5"/>
    <w:rsid w:val="009D6B80"/>
    <w:rsid w:val="009D6D87"/>
    <w:rsid w:val="009D6E5A"/>
    <w:rsid w:val="009D75C7"/>
    <w:rsid w:val="009D79EF"/>
    <w:rsid w:val="009E0566"/>
    <w:rsid w:val="009E0662"/>
    <w:rsid w:val="009E17C0"/>
    <w:rsid w:val="009E1F2F"/>
    <w:rsid w:val="009E2462"/>
    <w:rsid w:val="009E41D1"/>
    <w:rsid w:val="009E47C4"/>
    <w:rsid w:val="009E499C"/>
    <w:rsid w:val="009E4D0B"/>
    <w:rsid w:val="009E53DC"/>
    <w:rsid w:val="009E5B0C"/>
    <w:rsid w:val="009E5D6D"/>
    <w:rsid w:val="009E64E8"/>
    <w:rsid w:val="009E6671"/>
    <w:rsid w:val="009E671B"/>
    <w:rsid w:val="009E6F97"/>
    <w:rsid w:val="009E7AE3"/>
    <w:rsid w:val="009F0235"/>
    <w:rsid w:val="009F1C10"/>
    <w:rsid w:val="009F2308"/>
    <w:rsid w:val="009F25DC"/>
    <w:rsid w:val="009F265E"/>
    <w:rsid w:val="009F2951"/>
    <w:rsid w:val="009F2D0B"/>
    <w:rsid w:val="009F328D"/>
    <w:rsid w:val="009F3977"/>
    <w:rsid w:val="009F44FE"/>
    <w:rsid w:val="009F478A"/>
    <w:rsid w:val="009F5CE8"/>
    <w:rsid w:val="009F6650"/>
    <w:rsid w:val="009F6CD2"/>
    <w:rsid w:val="009F6CD3"/>
    <w:rsid w:val="009F6CD6"/>
    <w:rsid w:val="009F7D91"/>
    <w:rsid w:val="00A00CBC"/>
    <w:rsid w:val="00A012A7"/>
    <w:rsid w:val="00A01729"/>
    <w:rsid w:val="00A01F08"/>
    <w:rsid w:val="00A0237D"/>
    <w:rsid w:val="00A0292C"/>
    <w:rsid w:val="00A029AE"/>
    <w:rsid w:val="00A048DF"/>
    <w:rsid w:val="00A04AB8"/>
    <w:rsid w:val="00A0678F"/>
    <w:rsid w:val="00A06CBC"/>
    <w:rsid w:val="00A0702B"/>
    <w:rsid w:val="00A10185"/>
    <w:rsid w:val="00A103D9"/>
    <w:rsid w:val="00A10A22"/>
    <w:rsid w:val="00A11764"/>
    <w:rsid w:val="00A121BD"/>
    <w:rsid w:val="00A12C77"/>
    <w:rsid w:val="00A138E0"/>
    <w:rsid w:val="00A13979"/>
    <w:rsid w:val="00A13D29"/>
    <w:rsid w:val="00A152A0"/>
    <w:rsid w:val="00A16276"/>
    <w:rsid w:val="00A168A7"/>
    <w:rsid w:val="00A16B51"/>
    <w:rsid w:val="00A17616"/>
    <w:rsid w:val="00A17831"/>
    <w:rsid w:val="00A209F7"/>
    <w:rsid w:val="00A20B4A"/>
    <w:rsid w:val="00A20D63"/>
    <w:rsid w:val="00A2118F"/>
    <w:rsid w:val="00A213CB"/>
    <w:rsid w:val="00A2190C"/>
    <w:rsid w:val="00A21E73"/>
    <w:rsid w:val="00A22825"/>
    <w:rsid w:val="00A23451"/>
    <w:rsid w:val="00A236FE"/>
    <w:rsid w:val="00A23CCE"/>
    <w:rsid w:val="00A2453E"/>
    <w:rsid w:val="00A250A7"/>
    <w:rsid w:val="00A255ED"/>
    <w:rsid w:val="00A25976"/>
    <w:rsid w:val="00A25C28"/>
    <w:rsid w:val="00A26393"/>
    <w:rsid w:val="00A27736"/>
    <w:rsid w:val="00A2797A"/>
    <w:rsid w:val="00A31AD4"/>
    <w:rsid w:val="00A332BC"/>
    <w:rsid w:val="00A33394"/>
    <w:rsid w:val="00A33500"/>
    <w:rsid w:val="00A344C1"/>
    <w:rsid w:val="00A345BF"/>
    <w:rsid w:val="00A349AC"/>
    <w:rsid w:val="00A367D5"/>
    <w:rsid w:val="00A369E1"/>
    <w:rsid w:val="00A37323"/>
    <w:rsid w:val="00A40EAF"/>
    <w:rsid w:val="00A41610"/>
    <w:rsid w:val="00A41E22"/>
    <w:rsid w:val="00A41E3A"/>
    <w:rsid w:val="00A427FD"/>
    <w:rsid w:val="00A42A0D"/>
    <w:rsid w:val="00A440A9"/>
    <w:rsid w:val="00A45301"/>
    <w:rsid w:val="00A456F8"/>
    <w:rsid w:val="00A45773"/>
    <w:rsid w:val="00A45C07"/>
    <w:rsid w:val="00A45E99"/>
    <w:rsid w:val="00A45FA0"/>
    <w:rsid w:val="00A461FC"/>
    <w:rsid w:val="00A46610"/>
    <w:rsid w:val="00A466CF"/>
    <w:rsid w:val="00A46BDD"/>
    <w:rsid w:val="00A46FA6"/>
    <w:rsid w:val="00A471EC"/>
    <w:rsid w:val="00A47653"/>
    <w:rsid w:val="00A5030A"/>
    <w:rsid w:val="00A505C2"/>
    <w:rsid w:val="00A507D4"/>
    <w:rsid w:val="00A50EFD"/>
    <w:rsid w:val="00A5182F"/>
    <w:rsid w:val="00A51A55"/>
    <w:rsid w:val="00A52B9C"/>
    <w:rsid w:val="00A533EB"/>
    <w:rsid w:val="00A536AB"/>
    <w:rsid w:val="00A53CB2"/>
    <w:rsid w:val="00A53CF8"/>
    <w:rsid w:val="00A55169"/>
    <w:rsid w:val="00A55D87"/>
    <w:rsid w:val="00A572BC"/>
    <w:rsid w:val="00A574B6"/>
    <w:rsid w:val="00A57CBF"/>
    <w:rsid w:val="00A57FC0"/>
    <w:rsid w:val="00A60801"/>
    <w:rsid w:val="00A60E58"/>
    <w:rsid w:val="00A62412"/>
    <w:rsid w:val="00A62FED"/>
    <w:rsid w:val="00A63598"/>
    <w:rsid w:val="00A636AC"/>
    <w:rsid w:val="00A63A73"/>
    <w:rsid w:val="00A64FA4"/>
    <w:rsid w:val="00A66734"/>
    <w:rsid w:val="00A66B3F"/>
    <w:rsid w:val="00A66DF6"/>
    <w:rsid w:val="00A701FD"/>
    <w:rsid w:val="00A703A0"/>
    <w:rsid w:val="00A707F9"/>
    <w:rsid w:val="00A7084A"/>
    <w:rsid w:val="00A718D2"/>
    <w:rsid w:val="00A723CA"/>
    <w:rsid w:val="00A73FD0"/>
    <w:rsid w:val="00A74221"/>
    <w:rsid w:val="00A75CAE"/>
    <w:rsid w:val="00A76D38"/>
    <w:rsid w:val="00A77608"/>
    <w:rsid w:val="00A80440"/>
    <w:rsid w:val="00A806AD"/>
    <w:rsid w:val="00A80B76"/>
    <w:rsid w:val="00A8203E"/>
    <w:rsid w:val="00A825BB"/>
    <w:rsid w:val="00A829F5"/>
    <w:rsid w:val="00A82DB2"/>
    <w:rsid w:val="00A836D9"/>
    <w:rsid w:val="00A83C1C"/>
    <w:rsid w:val="00A84592"/>
    <w:rsid w:val="00A84F89"/>
    <w:rsid w:val="00A84FFF"/>
    <w:rsid w:val="00A852F8"/>
    <w:rsid w:val="00A855B9"/>
    <w:rsid w:val="00A85BC5"/>
    <w:rsid w:val="00A86A3D"/>
    <w:rsid w:val="00A86C02"/>
    <w:rsid w:val="00A90608"/>
    <w:rsid w:val="00A90A4A"/>
    <w:rsid w:val="00A90C05"/>
    <w:rsid w:val="00A90CBD"/>
    <w:rsid w:val="00A90E6D"/>
    <w:rsid w:val="00A914F8"/>
    <w:rsid w:val="00A91511"/>
    <w:rsid w:val="00A91FB4"/>
    <w:rsid w:val="00A93E1E"/>
    <w:rsid w:val="00A94838"/>
    <w:rsid w:val="00A95099"/>
    <w:rsid w:val="00A9603D"/>
    <w:rsid w:val="00A9658A"/>
    <w:rsid w:val="00A969FA"/>
    <w:rsid w:val="00A96A9F"/>
    <w:rsid w:val="00A96B72"/>
    <w:rsid w:val="00A96E6D"/>
    <w:rsid w:val="00A9709B"/>
    <w:rsid w:val="00A974E6"/>
    <w:rsid w:val="00A97647"/>
    <w:rsid w:val="00AA05DC"/>
    <w:rsid w:val="00AA19C1"/>
    <w:rsid w:val="00AA19D3"/>
    <w:rsid w:val="00AA26DD"/>
    <w:rsid w:val="00AA36DB"/>
    <w:rsid w:val="00AA382A"/>
    <w:rsid w:val="00AA3A1F"/>
    <w:rsid w:val="00AA3FDC"/>
    <w:rsid w:val="00AA49C7"/>
    <w:rsid w:val="00AA523E"/>
    <w:rsid w:val="00AA61E2"/>
    <w:rsid w:val="00AA6669"/>
    <w:rsid w:val="00AA6AD4"/>
    <w:rsid w:val="00AA6D60"/>
    <w:rsid w:val="00AA7556"/>
    <w:rsid w:val="00AA791E"/>
    <w:rsid w:val="00AA7A95"/>
    <w:rsid w:val="00AB08E1"/>
    <w:rsid w:val="00AB0B5B"/>
    <w:rsid w:val="00AB1203"/>
    <w:rsid w:val="00AB1630"/>
    <w:rsid w:val="00AB1A26"/>
    <w:rsid w:val="00AB1AE1"/>
    <w:rsid w:val="00AB201A"/>
    <w:rsid w:val="00AB24D5"/>
    <w:rsid w:val="00AB2DC7"/>
    <w:rsid w:val="00AB33B9"/>
    <w:rsid w:val="00AB43F5"/>
    <w:rsid w:val="00AB4890"/>
    <w:rsid w:val="00AB48C1"/>
    <w:rsid w:val="00AB4D49"/>
    <w:rsid w:val="00AB5453"/>
    <w:rsid w:val="00AB608C"/>
    <w:rsid w:val="00AB6CFA"/>
    <w:rsid w:val="00AB72F6"/>
    <w:rsid w:val="00AB799F"/>
    <w:rsid w:val="00AC028E"/>
    <w:rsid w:val="00AC054C"/>
    <w:rsid w:val="00AC14DB"/>
    <w:rsid w:val="00AC1605"/>
    <w:rsid w:val="00AC233D"/>
    <w:rsid w:val="00AC23ED"/>
    <w:rsid w:val="00AC2CFA"/>
    <w:rsid w:val="00AC2FC2"/>
    <w:rsid w:val="00AC3C0B"/>
    <w:rsid w:val="00AC3D57"/>
    <w:rsid w:val="00AC4684"/>
    <w:rsid w:val="00AC4F54"/>
    <w:rsid w:val="00AC50DF"/>
    <w:rsid w:val="00AC5D6D"/>
    <w:rsid w:val="00AC5FC7"/>
    <w:rsid w:val="00AC6928"/>
    <w:rsid w:val="00AC6AAD"/>
    <w:rsid w:val="00AC6BD5"/>
    <w:rsid w:val="00AC78D7"/>
    <w:rsid w:val="00AC7D87"/>
    <w:rsid w:val="00AD00F4"/>
    <w:rsid w:val="00AD082A"/>
    <w:rsid w:val="00AD0C33"/>
    <w:rsid w:val="00AD0EAB"/>
    <w:rsid w:val="00AD16CC"/>
    <w:rsid w:val="00AD1A14"/>
    <w:rsid w:val="00AD24BD"/>
    <w:rsid w:val="00AD3428"/>
    <w:rsid w:val="00AD36A4"/>
    <w:rsid w:val="00AD42C3"/>
    <w:rsid w:val="00AD4AF2"/>
    <w:rsid w:val="00AD4E74"/>
    <w:rsid w:val="00AD51C9"/>
    <w:rsid w:val="00AD52B1"/>
    <w:rsid w:val="00AD59D2"/>
    <w:rsid w:val="00AD5A5D"/>
    <w:rsid w:val="00AD6323"/>
    <w:rsid w:val="00AD73D1"/>
    <w:rsid w:val="00AD7962"/>
    <w:rsid w:val="00AD7E00"/>
    <w:rsid w:val="00AE055D"/>
    <w:rsid w:val="00AE05A3"/>
    <w:rsid w:val="00AE173D"/>
    <w:rsid w:val="00AE1DE7"/>
    <w:rsid w:val="00AE2C71"/>
    <w:rsid w:val="00AE2D81"/>
    <w:rsid w:val="00AE3F52"/>
    <w:rsid w:val="00AE42DC"/>
    <w:rsid w:val="00AE4781"/>
    <w:rsid w:val="00AE540C"/>
    <w:rsid w:val="00AE57A3"/>
    <w:rsid w:val="00AE5826"/>
    <w:rsid w:val="00AE5E44"/>
    <w:rsid w:val="00AE6397"/>
    <w:rsid w:val="00AE7BC1"/>
    <w:rsid w:val="00AF06A9"/>
    <w:rsid w:val="00AF099D"/>
    <w:rsid w:val="00AF0CC2"/>
    <w:rsid w:val="00AF0DD4"/>
    <w:rsid w:val="00AF2493"/>
    <w:rsid w:val="00AF2FAD"/>
    <w:rsid w:val="00AF3468"/>
    <w:rsid w:val="00AF4564"/>
    <w:rsid w:val="00AF511C"/>
    <w:rsid w:val="00AF5835"/>
    <w:rsid w:val="00AF5945"/>
    <w:rsid w:val="00AF5BD3"/>
    <w:rsid w:val="00AF716A"/>
    <w:rsid w:val="00AF7455"/>
    <w:rsid w:val="00AF74E7"/>
    <w:rsid w:val="00AF7C74"/>
    <w:rsid w:val="00AF7E0F"/>
    <w:rsid w:val="00B00012"/>
    <w:rsid w:val="00B00484"/>
    <w:rsid w:val="00B00B7A"/>
    <w:rsid w:val="00B01087"/>
    <w:rsid w:val="00B0242C"/>
    <w:rsid w:val="00B02CEE"/>
    <w:rsid w:val="00B0320F"/>
    <w:rsid w:val="00B040E3"/>
    <w:rsid w:val="00B0471B"/>
    <w:rsid w:val="00B05312"/>
    <w:rsid w:val="00B0531C"/>
    <w:rsid w:val="00B055E2"/>
    <w:rsid w:val="00B0564B"/>
    <w:rsid w:val="00B06527"/>
    <w:rsid w:val="00B06891"/>
    <w:rsid w:val="00B06ABE"/>
    <w:rsid w:val="00B10B00"/>
    <w:rsid w:val="00B11245"/>
    <w:rsid w:val="00B1143A"/>
    <w:rsid w:val="00B11D3D"/>
    <w:rsid w:val="00B124C3"/>
    <w:rsid w:val="00B12738"/>
    <w:rsid w:val="00B12BAD"/>
    <w:rsid w:val="00B12CDF"/>
    <w:rsid w:val="00B13A95"/>
    <w:rsid w:val="00B13C57"/>
    <w:rsid w:val="00B1542D"/>
    <w:rsid w:val="00B15537"/>
    <w:rsid w:val="00B15BDF"/>
    <w:rsid w:val="00B16266"/>
    <w:rsid w:val="00B16572"/>
    <w:rsid w:val="00B16BE1"/>
    <w:rsid w:val="00B1718C"/>
    <w:rsid w:val="00B20A83"/>
    <w:rsid w:val="00B20CAF"/>
    <w:rsid w:val="00B2100D"/>
    <w:rsid w:val="00B21E62"/>
    <w:rsid w:val="00B22B8F"/>
    <w:rsid w:val="00B22ED6"/>
    <w:rsid w:val="00B23449"/>
    <w:rsid w:val="00B23EBA"/>
    <w:rsid w:val="00B2440E"/>
    <w:rsid w:val="00B24909"/>
    <w:rsid w:val="00B256F0"/>
    <w:rsid w:val="00B25A59"/>
    <w:rsid w:val="00B26150"/>
    <w:rsid w:val="00B26155"/>
    <w:rsid w:val="00B26737"/>
    <w:rsid w:val="00B2724B"/>
    <w:rsid w:val="00B273D2"/>
    <w:rsid w:val="00B273EB"/>
    <w:rsid w:val="00B27E80"/>
    <w:rsid w:val="00B3092E"/>
    <w:rsid w:val="00B30F24"/>
    <w:rsid w:val="00B30F39"/>
    <w:rsid w:val="00B3156F"/>
    <w:rsid w:val="00B31597"/>
    <w:rsid w:val="00B318C0"/>
    <w:rsid w:val="00B32497"/>
    <w:rsid w:val="00B33DE4"/>
    <w:rsid w:val="00B34C05"/>
    <w:rsid w:val="00B34C20"/>
    <w:rsid w:val="00B3541A"/>
    <w:rsid w:val="00B35CAD"/>
    <w:rsid w:val="00B365FF"/>
    <w:rsid w:val="00B368E9"/>
    <w:rsid w:val="00B372BB"/>
    <w:rsid w:val="00B3739D"/>
    <w:rsid w:val="00B37906"/>
    <w:rsid w:val="00B37C2A"/>
    <w:rsid w:val="00B40A97"/>
    <w:rsid w:val="00B42C5A"/>
    <w:rsid w:val="00B43095"/>
    <w:rsid w:val="00B433CE"/>
    <w:rsid w:val="00B43F44"/>
    <w:rsid w:val="00B43FCD"/>
    <w:rsid w:val="00B4436E"/>
    <w:rsid w:val="00B4485C"/>
    <w:rsid w:val="00B45970"/>
    <w:rsid w:val="00B45DBB"/>
    <w:rsid w:val="00B4653A"/>
    <w:rsid w:val="00B47F74"/>
    <w:rsid w:val="00B500FC"/>
    <w:rsid w:val="00B5046A"/>
    <w:rsid w:val="00B50EAC"/>
    <w:rsid w:val="00B512B3"/>
    <w:rsid w:val="00B51785"/>
    <w:rsid w:val="00B52141"/>
    <w:rsid w:val="00B528A2"/>
    <w:rsid w:val="00B534C0"/>
    <w:rsid w:val="00B5381F"/>
    <w:rsid w:val="00B53CBF"/>
    <w:rsid w:val="00B5472B"/>
    <w:rsid w:val="00B54BB5"/>
    <w:rsid w:val="00B54F7C"/>
    <w:rsid w:val="00B5541E"/>
    <w:rsid w:val="00B555EA"/>
    <w:rsid w:val="00B55FDD"/>
    <w:rsid w:val="00B57B3C"/>
    <w:rsid w:val="00B57C8C"/>
    <w:rsid w:val="00B601BA"/>
    <w:rsid w:val="00B60864"/>
    <w:rsid w:val="00B61525"/>
    <w:rsid w:val="00B617A4"/>
    <w:rsid w:val="00B618B9"/>
    <w:rsid w:val="00B61D2B"/>
    <w:rsid w:val="00B61DEA"/>
    <w:rsid w:val="00B62C39"/>
    <w:rsid w:val="00B639AF"/>
    <w:rsid w:val="00B63A36"/>
    <w:rsid w:val="00B63F6E"/>
    <w:rsid w:val="00B64A0A"/>
    <w:rsid w:val="00B64B58"/>
    <w:rsid w:val="00B64FE6"/>
    <w:rsid w:val="00B65F35"/>
    <w:rsid w:val="00B66341"/>
    <w:rsid w:val="00B666CA"/>
    <w:rsid w:val="00B67AB6"/>
    <w:rsid w:val="00B67BDB"/>
    <w:rsid w:val="00B67EB4"/>
    <w:rsid w:val="00B67F29"/>
    <w:rsid w:val="00B67FD7"/>
    <w:rsid w:val="00B7006C"/>
    <w:rsid w:val="00B70CF9"/>
    <w:rsid w:val="00B70D8C"/>
    <w:rsid w:val="00B70E2A"/>
    <w:rsid w:val="00B70FB9"/>
    <w:rsid w:val="00B72D41"/>
    <w:rsid w:val="00B72E14"/>
    <w:rsid w:val="00B738F2"/>
    <w:rsid w:val="00B75079"/>
    <w:rsid w:val="00B75151"/>
    <w:rsid w:val="00B75206"/>
    <w:rsid w:val="00B7543F"/>
    <w:rsid w:val="00B75B4D"/>
    <w:rsid w:val="00B767A3"/>
    <w:rsid w:val="00B76B2E"/>
    <w:rsid w:val="00B77ACD"/>
    <w:rsid w:val="00B77BFB"/>
    <w:rsid w:val="00B809C9"/>
    <w:rsid w:val="00B810B8"/>
    <w:rsid w:val="00B8136B"/>
    <w:rsid w:val="00B81446"/>
    <w:rsid w:val="00B81575"/>
    <w:rsid w:val="00B81C5E"/>
    <w:rsid w:val="00B82BD2"/>
    <w:rsid w:val="00B82F08"/>
    <w:rsid w:val="00B8307F"/>
    <w:rsid w:val="00B83E36"/>
    <w:rsid w:val="00B83F5D"/>
    <w:rsid w:val="00B840F0"/>
    <w:rsid w:val="00B84770"/>
    <w:rsid w:val="00B84B1D"/>
    <w:rsid w:val="00B84F8A"/>
    <w:rsid w:val="00B8552B"/>
    <w:rsid w:val="00B85C43"/>
    <w:rsid w:val="00B85D50"/>
    <w:rsid w:val="00B8705D"/>
    <w:rsid w:val="00B87585"/>
    <w:rsid w:val="00B8795C"/>
    <w:rsid w:val="00B907AC"/>
    <w:rsid w:val="00B90B0F"/>
    <w:rsid w:val="00B90EA4"/>
    <w:rsid w:val="00B91C42"/>
    <w:rsid w:val="00B92B8F"/>
    <w:rsid w:val="00B935C0"/>
    <w:rsid w:val="00B941CF"/>
    <w:rsid w:val="00B9425D"/>
    <w:rsid w:val="00B9503A"/>
    <w:rsid w:val="00B96176"/>
    <w:rsid w:val="00B964A3"/>
    <w:rsid w:val="00B974A4"/>
    <w:rsid w:val="00B977E3"/>
    <w:rsid w:val="00B97E09"/>
    <w:rsid w:val="00B97F80"/>
    <w:rsid w:val="00BA0E3A"/>
    <w:rsid w:val="00BA18FE"/>
    <w:rsid w:val="00BA1A64"/>
    <w:rsid w:val="00BA1E9C"/>
    <w:rsid w:val="00BA2DE4"/>
    <w:rsid w:val="00BA4620"/>
    <w:rsid w:val="00BA5048"/>
    <w:rsid w:val="00BA63FC"/>
    <w:rsid w:val="00BA677E"/>
    <w:rsid w:val="00BA69C5"/>
    <w:rsid w:val="00BA6AFE"/>
    <w:rsid w:val="00BA6B01"/>
    <w:rsid w:val="00BA7055"/>
    <w:rsid w:val="00BA7CAA"/>
    <w:rsid w:val="00BB0B81"/>
    <w:rsid w:val="00BB0C01"/>
    <w:rsid w:val="00BB13D1"/>
    <w:rsid w:val="00BB1A34"/>
    <w:rsid w:val="00BB2209"/>
    <w:rsid w:val="00BB2286"/>
    <w:rsid w:val="00BB272E"/>
    <w:rsid w:val="00BB29D8"/>
    <w:rsid w:val="00BB4DFC"/>
    <w:rsid w:val="00BB5215"/>
    <w:rsid w:val="00BB559D"/>
    <w:rsid w:val="00BB63D7"/>
    <w:rsid w:val="00BB6479"/>
    <w:rsid w:val="00BB6A63"/>
    <w:rsid w:val="00BB6F98"/>
    <w:rsid w:val="00BB70B9"/>
    <w:rsid w:val="00BB7413"/>
    <w:rsid w:val="00BC0578"/>
    <w:rsid w:val="00BC0CC5"/>
    <w:rsid w:val="00BC137E"/>
    <w:rsid w:val="00BC221E"/>
    <w:rsid w:val="00BC2788"/>
    <w:rsid w:val="00BC36BE"/>
    <w:rsid w:val="00BC3749"/>
    <w:rsid w:val="00BC3886"/>
    <w:rsid w:val="00BC504B"/>
    <w:rsid w:val="00BC5AA2"/>
    <w:rsid w:val="00BC60D1"/>
    <w:rsid w:val="00BC638E"/>
    <w:rsid w:val="00BC6758"/>
    <w:rsid w:val="00BC6760"/>
    <w:rsid w:val="00BC74BE"/>
    <w:rsid w:val="00BC7B97"/>
    <w:rsid w:val="00BD00BA"/>
    <w:rsid w:val="00BD05E5"/>
    <w:rsid w:val="00BD0FBD"/>
    <w:rsid w:val="00BD2C58"/>
    <w:rsid w:val="00BD3939"/>
    <w:rsid w:val="00BD3BE4"/>
    <w:rsid w:val="00BD3C47"/>
    <w:rsid w:val="00BD3D09"/>
    <w:rsid w:val="00BD3F13"/>
    <w:rsid w:val="00BD4814"/>
    <w:rsid w:val="00BD49DC"/>
    <w:rsid w:val="00BD4B6A"/>
    <w:rsid w:val="00BD5A9E"/>
    <w:rsid w:val="00BD5BC0"/>
    <w:rsid w:val="00BD5E7E"/>
    <w:rsid w:val="00BD60A1"/>
    <w:rsid w:val="00BD6427"/>
    <w:rsid w:val="00BD6DB0"/>
    <w:rsid w:val="00BD726F"/>
    <w:rsid w:val="00BD7712"/>
    <w:rsid w:val="00BD7F79"/>
    <w:rsid w:val="00BE05A2"/>
    <w:rsid w:val="00BE0B13"/>
    <w:rsid w:val="00BE0CBF"/>
    <w:rsid w:val="00BE4AE9"/>
    <w:rsid w:val="00BE4DBA"/>
    <w:rsid w:val="00BE50E6"/>
    <w:rsid w:val="00BE53E8"/>
    <w:rsid w:val="00BE57C6"/>
    <w:rsid w:val="00BE6672"/>
    <w:rsid w:val="00BE6D87"/>
    <w:rsid w:val="00BE7640"/>
    <w:rsid w:val="00BF08F0"/>
    <w:rsid w:val="00BF0D08"/>
    <w:rsid w:val="00BF136B"/>
    <w:rsid w:val="00BF2D95"/>
    <w:rsid w:val="00BF3464"/>
    <w:rsid w:val="00BF4E28"/>
    <w:rsid w:val="00BF4FCB"/>
    <w:rsid w:val="00BF5809"/>
    <w:rsid w:val="00BF5823"/>
    <w:rsid w:val="00BF5886"/>
    <w:rsid w:val="00BF5D82"/>
    <w:rsid w:val="00BF61D7"/>
    <w:rsid w:val="00BF71D5"/>
    <w:rsid w:val="00BF729A"/>
    <w:rsid w:val="00BF7332"/>
    <w:rsid w:val="00BF750E"/>
    <w:rsid w:val="00BF78A0"/>
    <w:rsid w:val="00BF7920"/>
    <w:rsid w:val="00C0011C"/>
    <w:rsid w:val="00C00456"/>
    <w:rsid w:val="00C0057E"/>
    <w:rsid w:val="00C00928"/>
    <w:rsid w:val="00C009AF"/>
    <w:rsid w:val="00C022E0"/>
    <w:rsid w:val="00C02959"/>
    <w:rsid w:val="00C02FD8"/>
    <w:rsid w:val="00C03754"/>
    <w:rsid w:val="00C03FDB"/>
    <w:rsid w:val="00C0462C"/>
    <w:rsid w:val="00C053B1"/>
    <w:rsid w:val="00C05AD7"/>
    <w:rsid w:val="00C05D58"/>
    <w:rsid w:val="00C07261"/>
    <w:rsid w:val="00C072E9"/>
    <w:rsid w:val="00C07A4B"/>
    <w:rsid w:val="00C0BE5C"/>
    <w:rsid w:val="00C10199"/>
    <w:rsid w:val="00C113EE"/>
    <w:rsid w:val="00C12171"/>
    <w:rsid w:val="00C1330E"/>
    <w:rsid w:val="00C134AB"/>
    <w:rsid w:val="00C13882"/>
    <w:rsid w:val="00C14C77"/>
    <w:rsid w:val="00C15235"/>
    <w:rsid w:val="00C15A19"/>
    <w:rsid w:val="00C16AE0"/>
    <w:rsid w:val="00C176BA"/>
    <w:rsid w:val="00C20E99"/>
    <w:rsid w:val="00C22163"/>
    <w:rsid w:val="00C23CE7"/>
    <w:rsid w:val="00C24027"/>
    <w:rsid w:val="00C24492"/>
    <w:rsid w:val="00C25AB1"/>
    <w:rsid w:val="00C26A05"/>
    <w:rsid w:val="00C26A23"/>
    <w:rsid w:val="00C26F2B"/>
    <w:rsid w:val="00C2747E"/>
    <w:rsid w:val="00C27C24"/>
    <w:rsid w:val="00C27D19"/>
    <w:rsid w:val="00C311FD"/>
    <w:rsid w:val="00C31270"/>
    <w:rsid w:val="00C31CBF"/>
    <w:rsid w:val="00C32120"/>
    <w:rsid w:val="00C32164"/>
    <w:rsid w:val="00C332E0"/>
    <w:rsid w:val="00C33EA6"/>
    <w:rsid w:val="00C35255"/>
    <w:rsid w:val="00C3588C"/>
    <w:rsid w:val="00C35B52"/>
    <w:rsid w:val="00C36094"/>
    <w:rsid w:val="00C36478"/>
    <w:rsid w:val="00C36D43"/>
    <w:rsid w:val="00C372B1"/>
    <w:rsid w:val="00C4071B"/>
    <w:rsid w:val="00C41760"/>
    <w:rsid w:val="00C43111"/>
    <w:rsid w:val="00C44248"/>
    <w:rsid w:val="00C449A6"/>
    <w:rsid w:val="00C44FEE"/>
    <w:rsid w:val="00C454B8"/>
    <w:rsid w:val="00C45A92"/>
    <w:rsid w:val="00C467DD"/>
    <w:rsid w:val="00C46A97"/>
    <w:rsid w:val="00C46EA6"/>
    <w:rsid w:val="00C46F12"/>
    <w:rsid w:val="00C4706F"/>
    <w:rsid w:val="00C470BE"/>
    <w:rsid w:val="00C4725B"/>
    <w:rsid w:val="00C47526"/>
    <w:rsid w:val="00C478B5"/>
    <w:rsid w:val="00C47EA9"/>
    <w:rsid w:val="00C500E0"/>
    <w:rsid w:val="00C5198F"/>
    <w:rsid w:val="00C5252D"/>
    <w:rsid w:val="00C52C53"/>
    <w:rsid w:val="00C52CE4"/>
    <w:rsid w:val="00C53238"/>
    <w:rsid w:val="00C53D8C"/>
    <w:rsid w:val="00C53FD2"/>
    <w:rsid w:val="00C5423C"/>
    <w:rsid w:val="00C54367"/>
    <w:rsid w:val="00C5595A"/>
    <w:rsid w:val="00C56FE6"/>
    <w:rsid w:val="00C57486"/>
    <w:rsid w:val="00C605B8"/>
    <w:rsid w:val="00C60C3A"/>
    <w:rsid w:val="00C61577"/>
    <w:rsid w:val="00C626DE"/>
    <w:rsid w:val="00C63140"/>
    <w:rsid w:val="00C63AB0"/>
    <w:rsid w:val="00C640F0"/>
    <w:rsid w:val="00C64A66"/>
    <w:rsid w:val="00C654BD"/>
    <w:rsid w:val="00C65A8D"/>
    <w:rsid w:val="00C65B1E"/>
    <w:rsid w:val="00C66230"/>
    <w:rsid w:val="00C664FD"/>
    <w:rsid w:val="00C665FE"/>
    <w:rsid w:val="00C6752C"/>
    <w:rsid w:val="00C67A19"/>
    <w:rsid w:val="00C67BD7"/>
    <w:rsid w:val="00C724A0"/>
    <w:rsid w:val="00C73246"/>
    <w:rsid w:val="00C754A3"/>
    <w:rsid w:val="00C768A1"/>
    <w:rsid w:val="00C80794"/>
    <w:rsid w:val="00C80E19"/>
    <w:rsid w:val="00C810C4"/>
    <w:rsid w:val="00C81A5F"/>
    <w:rsid w:val="00C82DE8"/>
    <w:rsid w:val="00C83231"/>
    <w:rsid w:val="00C833EB"/>
    <w:rsid w:val="00C83452"/>
    <w:rsid w:val="00C84798"/>
    <w:rsid w:val="00C84A58"/>
    <w:rsid w:val="00C8523D"/>
    <w:rsid w:val="00C85352"/>
    <w:rsid w:val="00C85592"/>
    <w:rsid w:val="00C85CFF"/>
    <w:rsid w:val="00C877C1"/>
    <w:rsid w:val="00C90397"/>
    <w:rsid w:val="00C907FC"/>
    <w:rsid w:val="00C90830"/>
    <w:rsid w:val="00C92702"/>
    <w:rsid w:val="00C93482"/>
    <w:rsid w:val="00C936CB"/>
    <w:rsid w:val="00C9437B"/>
    <w:rsid w:val="00C94A55"/>
    <w:rsid w:val="00C95168"/>
    <w:rsid w:val="00C9625A"/>
    <w:rsid w:val="00C965E3"/>
    <w:rsid w:val="00C967B8"/>
    <w:rsid w:val="00C97331"/>
    <w:rsid w:val="00CA0301"/>
    <w:rsid w:val="00CA0DB0"/>
    <w:rsid w:val="00CA152B"/>
    <w:rsid w:val="00CA1B38"/>
    <w:rsid w:val="00CA1C42"/>
    <w:rsid w:val="00CA1D99"/>
    <w:rsid w:val="00CA2217"/>
    <w:rsid w:val="00CA2337"/>
    <w:rsid w:val="00CA2547"/>
    <w:rsid w:val="00CA361D"/>
    <w:rsid w:val="00CA3954"/>
    <w:rsid w:val="00CA39AE"/>
    <w:rsid w:val="00CA400D"/>
    <w:rsid w:val="00CA41EF"/>
    <w:rsid w:val="00CA48FD"/>
    <w:rsid w:val="00CA4CD0"/>
    <w:rsid w:val="00CA4D33"/>
    <w:rsid w:val="00CA567A"/>
    <w:rsid w:val="00CA5D10"/>
    <w:rsid w:val="00CA5E1E"/>
    <w:rsid w:val="00CA5F9F"/>
    <w:rsid w:val="00CA6855"/>
    <w:rsid w:val="00CA7693"/>
    <w:rsid w:val="00CA7C66"/>
    <w:rsid w:val="00CB0089"/>
    <w:rsid w:val="00CB0380"/>
    <w:rsid w:val="00CB1100"/>
    <w:rsid w:val="00CB150D"/>
    <w:rsid w:val="00CB156B"/>
    <w:rsid w:val="00CB1A4B"/>
    <w:rsid w:val="00CB26CA"/>
    <w:rsid w:val="00CB2ED8"/>
    <w:rsid w:val="00CB42C4"/>
    <w:rsid w:val="00CB5232"/>
    <w:rsid w:val="00CB637E"/>
    <w:rsid w:val="00CB65E2"/>
    <w:rsid w:val="00CB686C"/>
    <w:rsid w:val="00CB771E"/>
    <w:rsid w:val="00CB7EE5"/>
    <w:rsid w:val="00CC0846"/>
    <w:rsid w:val="00CC0CE6"/>
    <w:rsid w:val="00CC1146"/>
    <w:rsid w:val="00CC1A64"/>
    <w:rsid w:val="00CC2B25"/>
    <w:rsid w:val="00CC32D9"/>
    <w:rsid w:val="00CC3398"/>
    <w:rsid w:val="00CC3618"/>
    <w:rsid w:val="00CC3695"/>
    <w:rsid w:val="00CC3DAA"/>
    <w:rsid w:val="00CC41FF"/>
    <w:rsid w:val="00CC478B"/>
    <w:rsid w:val="00CC49BC"/>
    <w:rsid w:val="00CC5065"/>
    <w:rsid w:val="00CC5B24"/>
    <w:rsid w:val="00CC7624"/>
    <w:rsid w:val="00CC7928"/>
    <w:rsid w:val="00CD07D0"/>
    <w:rsid w:val="00CD0A12"/>
    <w:rsid w:val="00CD1A75"/>
    <w:rsid w:val="00CD1CAE"/>
    <w:rsid w:val="00CD2C66"/>
    <w:rsid w:val="00CD3038"/>
    <w:rsid w:val="00CD338F"/>
    <w:rsid w:val="00CD45F1"/>
    <w:rsid w:val="00CD4B01"/>
    <w:rsid w:val="00CD54AD"/>
    <w:rsid w:val="00CD5A2F"/>
    <w:rsid w:val="00CD5D7A"/>
    <w:rsid w:val="00CD6EFE"/>
    <w:rsid w:val="00CD78EA"/>
    <w:rsid w:val="00CE0113"/>
    <w:rsid w:val="00CE03DA"/>
    <w:rsid w:val="00CE0851"/>
    <w:rsid w:val="00CE0887"/>
    <w:rsid w:val="00CE08A5"/>
    <w:rsid w:val="00CE08CB"/>
    <w:rsid w:val="00CE0D38"/>
    <w:rsid w:val="00CE0ED9"/>
    <w:rsid w:val="00CE111C"/>
    <w:rsid w:val="00CE11F7"/>
    <w:rsid w:val="00CE1500"/>
    <w:rsid w:val="00CE19A0"/>
    <w:rsid w:val="00CE1B5B"/>
    <w:rsid w:val="00CE2445"/>
    <w:rsid w:val="00CE253C"/>
    <w:rsid w:val="00CE3913"/>
    <w:rsid w:val="00CE41D4"/>
    <w:rsid w:val="00CE4C7E"/>
    <w:rsid w:val="00CE4EAE"/>
    <w:rsid w:val="00CE5106"/>
    <w:rsid w:val="00CE5251"/>
    <w:rsid w:val="00CE5539"/>
    <w:rsid w:val="00CE5685"/>
    <w:rsid w:val="00CE7CB6"/>
    <w:rsid w:val="00CF030A"/>
    <w:rsid w:val="00CF0B01"/>
    <w:rsid w:val="00CF1E3F"/>
    <w:rsid w:val="00CF2B3D"/>
    <w:rsid w:val="00CF3075"/>
    <w:rsid w:val="00CF3299"/>
    <w:rsid w:val="00CF3EDF"/>
    <w:rsid w:val="00CF42DF"/>
    <w:rsid w:val="00CF473E"/>
    <w:rsid w:val="00CF55DE"/>
    <w:rsid w:val="00CF5A3D"/>
    <w:rsid w:val="00CF7928"/>
    <w:rsid w:val="00CF7B08"/>
    <w:rsid w:val="00D002D3"/>
    <w:rsid w:val="00D003C8"/>
    <w:rsid w:val="00D00792"/>
    <w:rsid w:val="00D0147A"/>
    <w:rsid w:val="00D01C60"/>
    <w:rsid w:val="00D01E52"/>
    <w:rsid w:val="00D0248D"/>
    <w:rsid w:val="00D02B93"/>
    <w:rsid w:val="00D02D66"/>
    <w:rsid w:val="00D03D2B"/>
    <w:rsid w:val="00D05F15"/>
    <w:rsid w:val="00D06F35"/>
    <w:rsid w:val="00D075D4"/>
    <w:rsid w:val="00D07784"/>
    <w:rsid w:val="00D10ACA"/>
    <w:rsid w:val="00D110DE"/>
    <w:rsid w:val="00D1193A"/>
    <w:rsid w:val="00D11ABF"/>
    <w:rsid w:val="00D11F88"/>
    <w:rsid w:val="00D129BF"/>
    <w:rsid w:val="00D139DB"/>
    <w:rsid w:val="00D13F80"/>
    <w:rsid w:val="00D14C49"/>
    <w:rsid w:val="00D155A2"/>
    <w:rsid w:val="00D159CC"/>
    <w:rsid w:val="00D178CA"/>
    <w:rsid w:val="00D201FC"/>
    <w:rsid w:val="00D21365"/>
    <w:rsid w:val="00D21A48"/>
    <w:rsid w:val="00D228D0"/>
    <w:rsid w:val="00D22C5D"/>
    <w:rsid w:val="00D2380F"/>
    <w:rsid w:val="00D23F52"/>
    <w:rsid w:val="00D24349"/>
    <w:rsid w:val="00D244DF"/>
    <w:rsid w:val="00D252BF"/>
    <w:rsid w:val="00D2532C"/>
    <w:rsid w:val="00D253EE"/>
    <w:rsid w:val="00D30387"/>
    <w:rsid w:val="00D30CC5"/>
    <w:rsid w:val="00D32723"/>
    <w:rsid w:val="00D330E6"/>
    <w:rsid w:val="00D3496B"/>
    <w:rsid w:val="00D34AC2"/>
    <w:rsid w:val="00D34BAD"/>
    <w:rsid w:val="00D34D1F"/>
    <w:rsid w:val="00D361FB"/>
    <w:rsid w:val="00D367D3"/>
    <w:rsid w:val="00D36E90"/>
    <w:rsid w:val="00D37273"/>
    <w:rsid w:val="00D37999"/>
    <w:rsid w:val="00D40588"/>
    <w:rsid w:val="00D410C8"/>
    <w:rsid w:val="00D41131"/>
    <w:rsid w:val="00D41FFD"/>
    <w:rsid w:val="00D43C35"/>
    <w:rsid w:val="00D43E20"/>
    <w:rsid w:val="00D4418B"/>
    <w:rsid w:val="00D44F24"/>
    <w:rsid w:val="00D44F81"/>
    <w:rsid w:val="00D453E5"/>
    <w:rsid w:val="00D45A2D"/>
    <w:rsid w:val="00D45BCF"/>
    <w:rsid w:val="00D45E58"/>
    <w:rsid w:val="00D46960"/>
    <w:rsid w:val="00D46C3D"/>
    <w:rsid w:val="00D47268"/>
    <w:rsid w:val="00D47890"/>
    <w:rsid w:val="00D47CAF"/>
    <w:rsid w:val="00D50378"/>
    <w:rsid w:val="00D5075C"/>
    <w:rsid w:val="00D50A89"/>
    <w:rsid w:val="00D50C6A"/>
    <w:rsid w:val="00D51FFF"/>
    <w:rsid w:val="00D53239"/>
    <w:rsid w:val="00D53672"/>
    <w:rsid w:val="00D53CFF"/>
    <w:rsid w:val="00D54016"/>
    <w:rsid w:val="00D55178"/>
    <w:rsid w:val="00D55678"/>
    <w:rsid w:val="00D55900"/>
    <w:rsid w:val="00D55B71"/>
    <w:rsid w:val="00D55CF3"/>
    <w:rsid w:val="00D56259"/>
    <w:rsid w:val="00D56CB5"/>
    <w:rsid w:val="00D57035"/>
    <w:rsid w:val="00D5712B"/>
    <w:rsid w:val="00D578C0"/>
    <w:rsid w:val="00D603E7"/>
    <w:rsid w:val="00D60CA3"/>
    <w:rsid w:val="00D622DB"/>
    <w:rsid w:val="00D62D74"/>
    <w:rsid w:val="00D631FF"/>
    <w:rsid w:val="00D63402"/>
    <w:rsid w:val="00D637F3"/>
    <w:rsid w:val="00D63CF9"/>
    <w:rsid w:val="00D6488C"/>
    <w:rsid w:val="00D650B5"/>
    <w:rsid w:val="00D678F9"/>
    <w:rsid w:val="00D67E9D"/>
    <w:rsid w:val="00D714A2"/>
    <w:rsid w:val="00D7260F"/>
    <w:rsid w:val="00D72971"/>
    <w:rsid w:val="00D73E15"/>
    <w:rsid w:val="00D73E5B"/>
    <w:rsid w:val="00D74477"/>
    <w:rsid w:val="00D7510D"/>
    <w:rsid w:val="00D75CA6"/>
    <w:rsid w:val="00D76858"/>
    <w:rsid w:val="00D76886"/>
    <w:rsid w:val="00D76C9D"/>
    <w:rsid w:val="00D76F6B"/>
    <w:rsid w:val="00D8178D"/>
    <w:rsid w:val="00D82750"/>
    <w:rsid w:val="00D83441"/>
    <w:rsid w:val="00D8360E"/>
    <w:rsid w:val="00D83633"/>
    <w:rsid w:val="00D84431"/>
    <w:rsid w:val="00D84ACD"/>
    <w:rsid w:val="00D84DE1"/>
    <w:rsid w:val="00D85027"/>
    <w:rsid w:val="00D85295"/>
    <w:rsid w:val="00D85AA2"/>
    <w:rsid w:val="00D8664F"/>
    <w:rsid w:val="00D869B5"/>
    <w:rsid w:val="00D86F12"/>
    <w:rsid w:val="00D876E2"/>
    <w:rsid w:val="00D87766"/>
    <w:rsid w:val="00D87BAB"/>
    <w:rsid w:val="00D9046A"/>
    <w:rsid w:val="00D9077C"/>
    <w:rsid w:val="00D90ABF"/>
    <w:rsid w:val="00D90D3D"/>
    <w:rsid w:val="00D91192"/>
    <w:rsid w:val="00D91353"/>
    <w:rsid w:val="00D913B8"/>
    <w:rsid w:val="00D92E07"/>
    <w:rsid w:val="00D92F61"/>
    <w:rsid w:val="00D932EB"/>
    <w:rsid w:val="00D9386F"/>
    <w:rsid w:val="00D9388A"/>
    <w:rsid w:val="00D9444F"/>
    <w:rsid w:val="00D96122"/>
    <w:rsid w:val="00D96C27"/>
    <w:rsid w:val="00D972F1"/>
    <w:rsid w:val="00D97E4A"/>
    <w:rsid w:val="00DA0490"/>
    <w:rsid w:val="00DA182F"/>
    <w:rsid w:val="00DA2288"/>
    <w:rsid w:val="00DA2649"/>
    <w:rsid w:val="00DA2F36"/>
    <w:rsid w:val="00DA341F"/>
    <w:rsid w:val="00DA3A69"/>
    <w:rsid w:val="00DA3BE1"/>
    <w:rsid w:val="00DA3E7D"/>
    <w:rsid w:val="00DA411C"/>
    <w:rsid w:val="00DA4F07"/>
    <w:rsid w:val="00DA55DB"/>
    <w:rsid w:val="00DA5DE8"/>
    <w:rsid w:val="00DA64E4"/>
    <w:rsid w:val="00DA6515"/>
    <w:rsid w:val="00DA6AEE"/>
    <w:rsid w:val="00DA7C33"/>
    <w:rsid w:val="00DB0196"/>
    <w:rsid w:val="00DB054E"/>
    <w:rsid w:val="00DB057D"/>
    <w:rsid w:val="00DB0DBE"/>
    <w:rsid w:val="00DB21E1"/>
    <w:rsid w:val="00DB22AA"/>
    <w:rsid w:val="00DB2856"/>
    <w:rsid w:val="00DB2D3A"/>
    <w:rsid w:val="00DB302A"/>
    <w:rsid w:val="00DB31C5"/>
    <w:rsid w:val="00DB3A20"/>
    <w:rsid w:val="00DB3A2A"/>
    <w:rsid w:val="00DB4030"/>
    <w:rsid w:val="00DB42C5"/>
    <w:rsid w:val="00DB4313"/>
    <w:rsid w:val="00DB476D"/>
    <w:rsid w:val="00DB4A38"/>
    <w:rsid w:val="00DB6BFF"/>
    <w:rsid w:val="00DB6C4C"/>
    <w:rsid w:val="00DB73A0"/>
    <w:rsid w:val="00DB7964"/>
    <w:rsid w:val="00DB7E37"/>
    <w:rsid w:val="00DB7ECD"/>
    <w:rsid w:val="00DC0037"/>
    <w:rsid w:val="00DC2084"/>
    <w:rsid w:val="00DC2133"/>
    <w:rsid w:val="00DC21E1"/>
    <w:rsid w:val="00DC2406"/>
    <w:rsid w:val="00DC3216"/>
    <w:rsid w:val="00DC3956"/>
    <w:rsid w:val="00DC3BD9"/>
    <w:rsid w:val="00DC4610"/>
    <w:rsid w:val="00DC48DC"/>
    <w:rsid w:val="00DC4E08"/>
    <w:rsid w:val="00DC5093"/>
    <w:rsid w:val="00DC5DA9"/>
    <w:rsid w:val="00DC62C1"/>
    <w:rsid w:val="00DC664E"/>
    <w:rsid w:val="00DC6BD7"/>
    <w:rsid w:val="00DC6C2E"/>
    <w:rsid w:val="00DC7048"/>
    <w:rsid w:val="00DD0F19"/>
    <w:rsid w:val="00DD19EF"/>
    <w:rsid w:val="00DD300E"/>
    <w:rsid w:val="00DD39C5"/>
    <w:rsid w:val="00DD46F5"/>
    <w:rsid w:val="00DD50A5"/>
    <w:rsid w:val="00DD65C6"/>
    <w:rsid w:val="00DD671E"/>
    <w:rsid w:val="00DD730A"/>
    <w:rsid w:val="00DD7400"/>
    <w:rsid w:val="00DD78AF"/>
    <w:rsid w:val="00DD7A71"/>
    <w:rsid w:val="00DD7FA2"/>
    <w:rsid w:val="00DE039D"/>
    <w:rsid w:val="00DE122C"/>
    <w:rsid w:val="00DE1492"/>
    <w:rsid w:val="00DE1B67"/>
    <w:rsid w:val="00DE2438"/>
    <w:rsid w:val="00DE2FE8"/>
    <w:rsid w:val="00DE3021"/>
    <w:rsid w:val="00DE3270"/>
    <w:rsid w:val="00DE3830"/>
    <w:rsid w:val="00DE38BF"/>
    <w:rsid w:val="00DE3FB0"/>
    <w:rsid w:val="00DE4679"/>
    <w:rsid w:val="00DE47CD"/>
    <w:rsid w:val="00DE5443"/>
    <w:rsid w:val="00DE57C2"/>
    <w:rsid w:val="00DE57E3"/>
    <w:rsid w:val="00DE71C1"/>
    <w:rsid w:val="00DF00D4"/>
    <w:rsid w:val="00DF02AB"/>
    <w:rsid w:val="00DF0FD2"/>
    <w:rsid w:val="00DF1144"/>
    <w:rsid w:val="00DF124B"/>
    <w:rsid w:val="00DF177A"/>
    <w:rsid w:val="00DF2790"/>
    <w:rsid w:val="00DF3A7D"/>
    <w:rsid w:val="00DF3C5C"/>
    <w:rsid w:val="00DF3D29"/>
    <w:rsid w:val="00DF3FA1"/>
    <w:rsid w:val="00DF494E"/>
    <w:rsid w:val="00DF51C9"/>
    <w:rsid w:val="00DF5325"/>
    <w:rsid w:val="00DF5492"/>
    <w:rsid w:val="00DF5C26"/>
    <w:rsid w:val="00DF677F"/>
    <w:rsid w:val="00DF7CEA"/>
    <w:rsid w:val="00E00411"/>
    <w:rsid w:val="00E00FE9"/>
    <w:rsid w:val="00E017B5"/>
    <w:rsid w:val="00E019DD"/>
    <w:rsid w:val="00E02390"/>
    <w:rsid w:val="00E026A0"/>
    <w:rsid w:val="00E02D65"/>
    <w:rsid w:val="00E02FEB"/>
    <w:rsid w:val="00E0368C"/>
    <w:rsid w:val="00E037C1"/>
    <w:rsid w:val="00E037EF"/>
    <w:rsid w:val="00E04C28"/>
    <w:rsid w:val="00E050B4"/>
    <w:rsid w:val="00E055D8"/>
    <w:rsid w:val="00E058ED"/>
    <w:rsid w:val="00E10141"/>
    <w:rsid w:val="00E10F9C"/>
    <w:rsid w:val="00E11D73"/>
    <w:rsid w:val="00E11E65"/>
    <w:rsid w:val="00E120FC"/>
    <w:rsid w:val="00E12A48"/>
    <w:rsid w:val="00E12DAC"/>
    <w:rsid w:val="00E12DB8"/>
    <w:rsid w:val="00E12F57"/>
    <w:rsid w:val="00E13E6F"/>
    <w:rsid w:val="00E142B8"/>
    <w:rsid w:val="00E1479A"/>
    <w:rsid w:val="00E14B2C"/>
    <w:rsid w:val="00E14C76"/>
    <w:rsid w:val="00E14D2E"/>
    <w:rsid w:val="00E15DED"/>
    <w:rsid w:val="00E1608B"/>
    <w:rsid w:val="00E160F8"/>
    <w:rsid w:val="00E16647"/>
    <w:rsid w:val="00E16A3F"/>
    <w:rsid w:val="00E17940"/>
    <w:rsid w:val="00E200AF"/>
    <w:rsid w:val="00E200F5"/>
    <w:rsid w:val="00E201BF"/>
    <w:rsid w:val="00E20525"/>
    <w:rsid w:val="00E209CC"/>
    <w:rsid w:val="00E20C00"/>
    <w:rsid w:val="00E21090"/>
    <w:rsid w:val="00E211FA"/>
    <w:rsid w:val="00E21700"/>
    <w:rsid w:val="00E23533"/>
    <w:rsid w:val="00E25A8F"/>
    <w:rsid w:val="00E25B90"/>
    <w:rsid w:val="00E26584"/>
    <w:rsid w:val="00E269EB"/>
    <w:rsid w:val="00E27353"/>
    <w:rsid w:val="00E30294"/>
    <w:rsid w:val="00E303CD"/>
    <w:rsid w:val="00E31592"/>
    <w:rsid w:val="00E31831"/>
    <w:rsid w:val="00E334BE"/>
    <w:rsid w:val="00E337A4"/>
    <w:rsid w:val="00E33CDD"/>
    <w:rsid w:val="00E34361"/>
    <w:rsid w:val="00E34A69"/>
    <w:rsid w:val="00E3518F"/>
    <w:rsid w:val="00E35415"/>
    <w:rsid w:val="00E35E14"/>
    <w:rsid w:val="00E35E9B"/>
    <w:rsid w:val="00E3683A"/>
    <w:rsid w:val="00E401F6"/>
    <w:rsid w:val="00E40596"/>
    <w:rsid w:val="00E40973"/>
    <w:rsid w:val="00E40EB6"/>
    <w:rsid w:val="00E41859"/>
    <w:rsid w:val="00E41899"/>
    <w:rsid w:val="00E4251F"/>
    <w:rsid w:val="00E4370D"/>
    <w:rsid w:val="00E4378C"/>
    <w:rsid w:val="00E43920"/>
    <w:rsid w:val="00E4425A"/>
    <w:rsid w:val="00E44294"/>
    <w:rsid w:val="00E4471A"/>
    <w:rsid w:val="00E4600C"/>
    <w:rsid w:val="00E4769A"/>
    <w:rsid w:val="00E47D1A"/>
    <w:rsid w:val="00E47F78"/>
    <w:rsid w:val="00E51059"/>
    <w:rsid w:val="00E5189D"/>
    <w:rsid w:val="00E51A66"/>
    <w:rsid w:val="00E530B1"/>
    <w:rsid w:val="00E53301"/>
    <w:rsid w:val="00E53ADD"/>
    <w:rsid w:val="00E53AEE"/>
    <w:rsid w:val="00E53CBB"/>
    <w:rsid w:val="00E5403B"/>
    <w:rsid w:val="00E540B9"/>
    <w:rsid w:val="00E545B5"/>
    <w:rsid w:val="00E553A9"/>
    <w:rsid w:val="00E55A87"/>
    <w:rsid w:val="00E560F8"/>
    <w:rsid w:val="00E5695E"/>
    <w:rsid w:val="00E56B0A"/>
    <w:rsid w:val="00E579B0"/>
    <w:rsid w:val="00E57A16"/>
    <w:rsid w:val="00E57BC1"/>
    <w:rsid w:val="00E57FD8"/>
    <w:rsid w:val="00E61797"/>
    <w:rsid w:val="00E618CB"/>
    <w:rsid w:val="00E62348"/>
    <w:rsid w:val="00E62B8B"/>
    <w:rsid w:val="00E64223"/>
    <w:rsid w:val="00E654C9"/>
    <w:rsid w:val="00E65C51"/>
    <w:rsid w:val="00E66549"/>
    <w:rsid w:val="00E66A2F"/>
    <w:rsid w:val="00E67CCE"/>
    <w:rsid w:val="00E7024C"/>
    <w:rsid w:val="00E70F43"/>
    <w:rsid w:val="00E71234"/>
    <w:rsid w:val="00E71ADD"/>
    <w:rsid w:val="00E71C00"/>
    <w:rsid w:val="00E71C66"/>
    <w:rsid w:val="00E732C8"/>
    <w:rsid w:val="00E73979"/>
    <w:rsid w:val="00E73A4F"/>
    <w:rsid w:val="00E73CEA"/>
    <w:rsid w:val="00E74092"/>
    <w:rsid w:val="00E74171"/>
    <w:rsid w:val="00E74557"/>
    <w:rsid w:val="00E75237"/>
    <w:rsid w:val="00E75D92"/>
    <w:rsid w:val="00E76390"/>
    <w:rsid w:val="00E76858"/>
    <w:rsid w:val="00E76EA3"/>
    <w:rsid w:val="00E77969"/>
    <w:rsid w:val="00E77A92"/>
    <w:rsid w:val="00E80181"/>
    <w:rsid w:val="00E8032D"/>
    <w:rsid w:val="00E807B8"/>
    <w:rsid w:val="00E80946"/>
    <w:rsid w:val="00E818D0"/>
    <w:rsid w:val="00E81AA6"/>
    <w:rsid w:val="00E82044"/>
    <w:rsid w:val="00E821E9"/>
    <w:rsid w:val="00E8273B"/>
    <w:rsid w:val="00E82A8E"/>
    <w:rsid w:val="00E83318"/>
    <w:rsid w:val="00E83A75"/>
    <w:rsid w:val="00E83FAF"/>
    <w:rsid w:val="00E8420A"/>
    <w:rsid w:val="00E8426B"/>
    <w:rsid w:val="00E84DFC"/>
    <w:rsid w:val="00E84E62"/>
    <w:rsid w:val="00E8571A"/>
    <w:rsid w:val="00E868E6"/>
    <w:rsid w:val="00E87269"/>
    <w:rsid w:val="00E879B2"/>
    <w:rsid w:val="00E90386"/>
    <w:rsid w:val="00E903A8"/>
    <w:rsid w:val="00E90E8D"/>
    <w:rsid w:val="00E91858"/>
    <w:rsid w:val="00E91D28"/>
    <w:rsid w:val="00E92BCC"/>
    <w:rsid w:val="00E93068"/>
    <w:rsid w:val="00E9312E"/>
    <w:rsid w:val="00E94568"/>
    <w:rsid w:val="00E95CB4"/>
    <w:rsid w:val="00E96433"/>
    <w:rsid w:val="00E965E6"/>
    <w:rsid w:val="00E96E18"/>
    <w:rsid w:val="00E9757A"/>
    <w:rsid w:val="00E97DDB"/>
    <w:rsid w:val="00EA0764"/>
    <w:rsid w:val="00EA086F"/>
    <w:rsid w:val="00EA0B7F"/>
    <w:rsid w:val="00EA16EF"/>
    <w:rsid w:val="00EA1F0B"/>
    <w:rsid w:val="00EA1F3D"/>
    <w:rsid w:val="00EA2222"/>
    <w:rsid w:val="00EA386C"/>
    <w:rsid w:val="00EA3951"/>
    <w:rsid w:val="00EA412E"/>
    <w:rsid w:val="00EA47AE"/>
    <w:rsid w:val="00EA62DA"/>
    <w:rsid w:val="00EA686D"/>
    <w:rsid w:val="00EA6D32"/>
    <w:rsid w:val="00EA6D7F"/>
    <w:rsid w:val="00EA6DAA"/>
    <w:rsid w:val="00EA70B4"/>
    <w:rsid w:val="00EA7289"/>
    <w:rsid w:val="00EA7480"/>
    <w:rsid w:val="00EA771F"/>
    <w:rsid w:val="00EB0162"/>
    <w:rsid w:val="00EB035C"/>
    <w:rsid w:val="00EB04D5"/>
    <w:rsid w:val="00EB0B72"/>
    <w:rsid w:val="00EB10B7"/>
    <w:rsid w:val="00EB1766"/>
    <w:rsid w:val="00EB1D77"/>
    <w:rsid w:val="00EB2578"/>
    <w:rsid w:val="00EB3372"/>
    <w:rsid w:val="00EB4851"/>
    <w:rsid w:val="00EB5695"/>
    <w:rsid w:val="00EB631F"/>
    <w:rsid w:val="00EB692B"/>
    <w:rsid w:val="00EB6AF7"/>
    <w:rsid w:val="00EB739B"/>
    <w:rsid w:val="00EC0A83"/>
    <w:rsid w:val="00EC0D64"/>
    <w:rsid w:val="00EC13D8"/>
    <w:rsid w:val="00EC15B8"/>
    <w:rsid w:val="00EC3118"/>
    <w:rsid w:val="00EC3145"/>
    <w:rsid w:val="00EC35DC"/>
    <w:rsid w:val="00EC35FA"/>
    <w:rsid w:val="00EC389C"/>
    <w:rsid w:val="00EC40CF"/>
    <w:rsid w:val="00EC5586"/>
    <w:rsid w:val="00EC6557"/>
    <w:rsid w:val="00EC66E7"/>
    <w:rsid w:val="00EC6E36"/>
    <w:rsid w:val="00EC7425"/>
    <w:rsid w:val="00ED0E9D"/>
    <w:rsid w:val="00ED0FE7"/>
    <w:rsid w:val="00ED2231"/>
    <w:rsid w:val="00ED2935"/>
    <w:rsid w:val="00ED2E5E"/>
    <w:rsid w:val="00ED3611"/>
    <w:rsid w:val="00ED3BCF"/>
    <w:rsid w:val="00ED406E"/>
    <w:rsid w:val="00ED579D"/>
    <w:rsid w:val="00ED5956"/>
    <w:rsid w:val="00ED5B9C"/>
    <w:rsid w:val="00ED606C"/>
    <w:rsid w:val="00ED629B"/>
    <w:rsid w:val="00ED6314"/>
    <w:rsid w:val="00ED6685"/>
    <w:rsid w:val="00ED6AC6"/>
    <w:rsid w:val="00ED706C"/>
    <w:rsid w:val="00ED72D0"/>
    <w:rsid w:val="00ED7E58"/>
    <w:rsid w:val="00EE0129"/>
    <w:rsid w:val="00EE137A"/>
    <w:rsid w:val="00EE20F9"/>
    <w:rsid w:val="00EE2F0B"/>
    <w:rsid w:val="00EE3681"/>
    <w:rsid w:val="00EE3DDD"/>
    <w:rsid w:val="00EE4583"/>
    <w:rsid w:val="00EE4F64"/>
    <w:rsid w:val="00EE557C"/>
    <w:rsid w:val="00EE5748"/>
    <w:rsid w:val="00EE5F0B"/>
    <w:rsid w:val="00EE60E9"/>
    <w:rsid w:val="00EE6579"/>
    <w:rsid w:val="00EE679E"/>
    <w:rsid w:val="00EE69D6"/>
    <w:rsid w:val="00EE75BA"/>
    <w:rsid w:val="00EE7E4C"/>
    <w:rsid w:val="00EF0596"/>
    <w:rsid w:val="00EF06D1"/>
    <w:rsid w:val="00EF087D"/>
    <w:rsid w:val="00EF12E4"/>
    <w:rsid w:val="00EF1E42"/>
    <w:rsid w:val="00EF2AE5"/>
    <w:rsid w:val="00EF307D"/>
    <w:rsid w:val="00EF4710"/>
    <w:rsid w:val="00EF4C25"/>
    <w:rsid w:val="00EF50BE"/>
    <w:rsid w:val="00EF5B7C"/>
    <w:rsid w:val="00EF6BC1"/>
    <w:rsid w:val="00F003DB"/>
    <w:rsid w:val="00F007E3"/>
    <w:rsid w:val="00F011CD"/>
    <w:rsid w:val="00F01B78"/>
    <w:rsid w:val="00F02082"/>
    <w:rsid w:val="00F02711"/>
    <w:rsid w:val="00F03392"/>
    <w:rsid w:val="00F04123"/>
    <w:rsid w:val="00F0427C"/>
    <w:rsid w:val="00F04938"/>
    <w:rsid w:val="00F05007"/>
    <w:rsid w:val="00F050AC"/>
    <w:rsid w:val="00F05C3F"/>
    <w:rsid w:val="00F05F5A"/>
    <w:rsid w:val="00F069EF"/>
    <w:rsid w:val="00F06B43"/>
    <w:rsid w:val="00F07C8C"/>
    <w:rsid w:val="00F07E3B"/>
    <w:rsid w:val="00F07F8D"/>
    <w:rsid w:val="00F10A6C"/>
    <w:rsid w:val="00F10D07"/>
    <w:rsid w:val="00F10EDD"/>
    <w:rsid w:val="00F12E4E"/>
    <w:rsid w:val="00F14447"/>
    <w:rsid w:val="00F1493B"/>
    <w:rsid w:val="00F14C23"/>
    <w:rsid w:val="00F15313"/>
    <w:rsid w:val="00F15961"/>
    <w:rsid w:val="00F15FB3"/>
    <w:rsid w:val="00F1649F"/>
    <w:rsid w:val="00F17882"/>
    <w:rsid w:val="00F2028B"/>
    <w:rsid w:val="00F2042D"/>
    <w:rsid w:val="00F21201"/>
    <w:rsid w:val="00F21505"/>
    <w:rsid w:val="00F21B60"/>
    <w:rsid w:val="00F21E1C"/>
    <w:rsid w:val="00F224EB"/>
    <w:rsid w:val="00F22ECC"/>
    <w:rsid w:val="00F22F66"/>
    <w:rsid w:val="00F232A9"/>
    <w:rsid w:val="00F2416A"/>
    <w:rsid w:val="00F24D52"/>
    <w:rsid w:val="00F24E40"/>
    <w:rsid w:val="00F24F46"/>
    <w:rsid w:val="00F25889"/>
    <w:rsid w:val="00F25D6B"/>
    <w:rsid w:val="00F26A61"/>
    <w:rsid w:val="00F26CA5"/>
    <w:rsid w:val="00F26E56"/>
    <w:rsid w:val="00F26F30"/>
    <w:rsid w:val="00F2735D"/>
    <w:rsid w:val="00F273FC"/>
    <w:rsid w:val="00F2751A"/>
    <w:rsid w:val="00F27884"/>
    <w:rsid w:val="00F27FAF"/>
    <w:rsid w:val="00F305A5"/>
    <w:rsid w:val="00F30F82"/>
    <w:rsid w:val="00F315D5"/>
    <w:rsid w:val="00F3238A"/>
    <w:rsid w:val="00F32FFF"/>
    <w:rsid w:val="00F330BC"/>
    <w:rsid w:val="00F3393F"/>
    <w:rsid w:val="00F339A6"/>
    <w:rsid w:val="00F33F7C"/>
    <w:rsid w:val="00F34317"/>
    <w:rsid w:val="00F347BB"/>
    <w:rsid w:val="00F349C5"/>
    <w:rsid w:val="00F34CA2"/>
    <w:rsid w:val="00F34FED"/>
    <w:rsid w:val="00F354C9"/>
    <w:rsid w:val="00F35B09"/>
    <w:rsid w:val="00F35CB2"/>
    <w:rsid w:val="00F36083"/>
    <w:rsid w:val="00F3609B"/>
    <w:rsid w:val="00F371A5"/>
    <w:rsid w:val="00F379F2"/>
    <w:rsid w:val="00F37B19"/>
    <w:rsid w:val="00F38521"/>
    <w:rsid w:val="00F40070"/>
    <w:rsid w:val="00F40538"/>
    <w:rsid w:val="00F409FD"/>
    <w:rsid w:val="00F40D74"/>
    <w:rsid w:val="00F414AB"/>
    <w:rsid w:val="00F4235D"/>
    <w:rsid w:val="00F425A6"/>
    <w:rsid w:val="00F42A8D"/>
    <w:rsid w:val="00F42C96"/>
    <w:rsid w:val="00F43C1E"/>
    <w:rsid w:val="00F45277"/>
    <w:rsid w:val="00F45A00"/>
    <w:rsid w:val="00F45A7C"/>
    <w:rsid w:val="00F46D5C"/>
    <w:rsid w:val="00F47077"/>
    <w:rsid w:val="00F50A88"/>
    <w:rsid w:val="00F51361"/>
    <w:rsid w:val="00F514F9"/>
    <w:rsid w:val="00F5185D"/>
    <w:rsid w:val="00F522B5"/>
    <w:rsid w:val="00F523E8"/>
    <w:rsid w:val="00F525F0"/>
    <w:rsid w:val="00F5291E"/>
    <w:rsid w:val="00F5294B"/>
    <w:rsid w:val="00F53098"/>
    <w:rsid w:val="00F53648"/>
    <w:rsid w:val="00F53E09"/>
    <w:rsid w:val="00F54C79"/>
    <w:rsid w:val="00F54ED9"/>
    <w:rsid w:val="00F55663"/>
    <w:rsid w:val="00F5599D"/>
    <w:rsid w:val="00F55A67"/>
    <w:rsid w:val="00F55D86"/>
    <w:rsid w:val="00F55D9A"/>
    <w:rsid w:val="00F56E60"/>
    <w:rsid w:val="00F5730D"/>
    <w:rsid w:val="00F576A2"/>
    <w:rsid w:val="00F6141C"/>
    <w:rsid w:val="00F61DCB"/>
    <w:rsid w:val="00F62CB7"/>
    <w:rsid w:val="00F63487"/>
    <w:rsid w:val="00F638F3"/>
    <w:rsid w:val="00F63FB1"/>
    <w:rsid w:val="00F651DA"/>
    <w:rsid w:val="00F65CCC"/>
    <w:rsid w:val="00F673FC"/>
    <w:rsid w:val="00F67506"/>
    <w:rsid w:val="00F678D3"/>
    <w:rsid w:val="00F7010D"/>
    <w:rsid w:val="00F70250"/>
    <w:rsid w:val="00F7091C"/>
    <w:rsid w:val="00F71F1F"/>
    <w:rsid w:val="00F73E36"/>
    <w:rsid w:val="00F74444"/>
    <w:rsid w:val="00F7507A"/>
    <w:rsid w:val="00F75D6D"/>
    <w:rsid w:val="00F767B0"/>
    <w:rsid w:val="00F76B54"/>
    <w:rsid w:val="00F77395"/>
    <w:rsid w:val="00F77561"/>
    <w:rsid w:val="00F7779D"/>
    <w:rsid w:val="00F803BA"/>
    <w:rsid w:val="00F808EB"/>
    <w:rsid w:val="00F80967"/>
    <w:rsid w:val="00F814C9"/>
    <w:rsid w:val="00F81879"/>
    <w:rsid w:val="00F8190B"/>
    <w:rsid w:val="00F82E5F"/>
    <w:rsid w:val="00F832E2"/>
    <w:rsid w:val="00F8395D"/>
    <w:rsid w:val="00F83DD8"/>
    <w:rsid w:val="00F84B31"/>
    <w:rsid w:val="00F84C75"/>
    <w:rsid w:val="00F84EC5"/>
    <w:rsid w:val="00F858C0"/>
    <w:rsid w:val="00F858EC"/>
    <w:rsid w:val="00F86842"/>
    <w:rsid w:val="00F86888"/>
    <w:rsid w:val="00F86963"/>
    <w:rsid w:val="00F86D24"/>
    <w:rsid w:val="00F8754C"/>
    <w:rsid w:val="00F87ADC"/>
    <w:rsid w:val="00F87BE0"/>
    <w:rsid w:val="00F87BF9"/>
    <w:rsid w:val="00F90C2D"/>
    <w:rsid w:val="00F9150D"/>
    <w:rsid w:val="00F91A6A"/>
    <w:rsid w:val="00F92A91"/>
    <w:rsid w:val="00F9311F"/>
    <w:rsid w:val="00F943E9"/>
    <w:rsid w:val="00F94CEB"/>
    <w:rsid w:val="00F95ADA"/>
    <w:rsid w:val="00F95BDB"/>
    <w:rsid w:val="00F9675B"/>
    <w:rsid w:val="00F967F5"/>
    <w:rsid w:val="00F9798B"/>
    <w:rsid w:val="00FA005F"/>
    <w:rsid w:val="00FA03D1"/>
    <w:rsid w:val="00FA04B6"/>
    <w:rsid w:val="00FA16AC"/>
    <w:rsid w:val="00FA1903"/>
    <w:rsid w:val="00FA1C39"/>
    <w:rsid w:val="00FA3199"/>
    <w:rsid w:val="00FA3B34"/>
    <w:rsid w:val="00FA4D19"/>
    <w:rsid w:val="00FA59B8"/>
    <w:rsid w:val="00FA71FE"/>
    <w:rsid w:val="00FA7813"/>
    <w:rsid w:val="00FB1C04"/>
    <w:rsid w:val="00FB23AE"/>
    <w:rsid w:val="00FB2A1F"/>
    <w:rsid w:val="00FB2BDA"/>
    <w:rsid w:val="00FB2E7A"/>
    <w:rsid w:val="00FB2FC6"/>
    <w:rsid w:val="00FB35EB"/>
    <w:rsid w:val="00FB4135"/>
    <w:rsid w:val="00FB43C0"/>
    <w:rsid w:val="00FB5089"/>
    <w:rsid w:val="00FB50E9"/>
    <w:rsid w:val="00FB52FE"/>
    <w:rsid w:val="00FB705A"/>
    <w:rsid w:val="00FB78F7"/>
    <w:rsid w:val="00FB79E0"/>
    <w:rsid w:val="00FB7F0C"/>
    <w:rsid w:val="00FBCB75"/>
    <w:rsid w:val="00FC0656"/>
    <w:rsid w:val="00FC1057"/>
    <w:rsid w:val="00FC1ADC"/>
    <w:rsid w:val="00FC2398"/>
    <w:rsid w:val="00FC3283"/>
    <w:rsid w:val="00FC34ED"/>
    <w:rsid w:val="00FC41E6"/>
    <w:rsid w:val="00FC4A6A"/>
    <w:rsid w:val="00FC4ACB"/>
    <w:rsid w:val="00FC6351"/>
    <w:rsid w:val="00FD0704"/>
    <w:rsid w:val="00FD1526"/>
    <w:rsid w:val="00FD210B"/>
    <w:rsid w:val="00FD26D3"/>
    <w:rsid w:val="00FD6355"/>
    <w:rsid w:val="00FD7161"/>
    <w:rsid w:val="00FD7780"/>
    <w:rsid w:val="00FE002E"/>
    <w:rsid w:val="00FE09D4"/>
    <w:rsid w:val="00FE0AD4"/>
    <w:rsid w:val="00FE0F16"/>
    <w:rsid w:val="00FE1637"/>
    <w:rsid w:val="00FE1D87"/>
    <w:rsid w:val="00FE32DE"/>
    <w:rsid w:val="00FE3A33"/>
    <w:rsid w:val="00FE3E6D"/>
    <w:rsid w:val="00FE3F29"/>
    <w:rsid w:val="00FE4205"/>
    <w:rsid w:val="00FE458E"/>
    <w:rsid w:val="00FE471F"/>
    <w:rsid w:val="00FE4F70"/>
    <w:rsid w:val="00FE57B0"/>
    <w:rsid w:val="00FE57F4"/>
    <w:rsid w:val="00FE6351"/>
    <w:rsid w:val="00FE6BB9"/>
    <w:rsid w:val="00FE6C1E"/>
    <w:rsid w:val="00FE6E75"/>
    <w:rsid w:val="00FE73C8"/>
    <w:rsid w:val="00FE7707"/>
    <w:rsid w:val="00FE78CD"/>
    <w:rsid w:val="00FF1B5A"/>
    <w:rsid w:val="00FF2168"/>
    <w:rsid w:val="00FF252A"/>
    <w:rsid w:val="00FF2C59"/>
    <w:rsid w:val="00FF349C"/>
    <w:rsid w:val="00FF34F6"/>
    <w:rsid w:val="00FF3FF1"/>
    <w:rsid w:val="00FF4F9C"/>
    <w:rsid w:val="00FF57AC"/>
    <w:rsid w:val="00FF5D12"/>
    <w:rsid w:val="00FF6A32"/>
    <w:rsid w:val="00FF6FBF"/>
    <w:rsid w:val="00FF7324"/>
    <w:rsid w:val="011FD489"/>
    <w:rsid w:val="014F17A6"/>
    <w:rsid w:val="01706B66"/>
    <w:rsid w:val="018010D8"/>
    <w:rsid w:val="01950F84"/>
    <w:rsid w:val="019731CF"/>
    <w:rsid w:val="01A0DC3B"/>
    <w:rsid w:val="01B57274"/>
    <w:rsid w:val="01D748CC"/>
    <w:rsid w:val="021AD7DA"/>
    <w:rsid w:val="021FA4D3"/>
    <w:rsid w:val="02281E46"/>
    <w:rsid w:val="02EFC6AE"/>
    <w:rsid w:val="037BF56A"/>
    <w:rsid w:val="03A34C2B"/>
    <w:rsid w:val="03DFA97A"/>
    <w:rsid w:val="03FD6014"/>
    <w:rsid w:val="04115506"/>
    <w:rsid w:val="0413C7BA"/>
    <w:rsid w:val="044ABC02"/>
    <w:rsid w:val="049E893D"/>
    <w:rsid w:val="04BC8626"/>
    <w:rsid w:val="04D1CF15"/>
    <w:rsid w:val="058B161D"/>
    <w:rsid w:val="059F0DDF"/>
    <w:rsid w:val="05A09107"/>
    <w:rsid w:val="05F04E18"/>
    <w:rsid w:val="0613AB60"/>
    <w:rsid w:val="0635B0BB"/>
    <w:rsid w:val="063CB945"/>
    <w:rsid w:val="064CEBD4"/>
    <w:rsid w:val="065062EA"/>
    <w:rsid w:val="06601763"/>
    <w:rsid w:val="06F7A97D"/>
    <w:rsid w:val="070CC53E"/>
    <w:rsid w:val="0745A693"/>
    <w:rsid w:val="0760E7ED"/>
    <w:rsid w:val="078D707A"/>
    <w:rsid w:val="07BD9E85"/>
    <w:rsid w:val="07C2C419"/>
    <w:rsid w:val="07CFED46"/>
    <w:rsid w:val="08156F20"/>
    <w:rsid w:val="08296CC0"/>
    <w:rsid w:val="0867A8A8"/>
    <w:rsid w:val="08FB8B37"/>
    <w:rsid w:val="090A2E32"/>
    <w:rsid w:val="0963741D"/>
    <w:rsid w:val="0971FA60"/>
    <w:rsid w:val="0972226D"/>
    <w:rsid w:val="099A2A99"/>
    <w:rsid w:val="09EC5EBA"/>
    <w:rsid w:val="09EE150A"/>
    <w:rsid w:val="0A2534C9"/>
    <w:rsid w:val="0A4324F8"/>
    <w:rsid w:val="0ABAA8A3"/>
    <w:rsid w:val="0B108D99"/>
    <w:rsid w:val="0B2818DC"/>
    <w:rsid w:val="0B3FEA0C"/>
    <w:rsid w:val="0B646FAD"/>
    <w:rsid w:val="0B760E32"/>
    <w:rsid w:val="0C5A4F28"/>
    <w:rsid w:val="0C6DA099"/>
    <w:rsid w:val="0C8217EA"/>
    <w:rsid w:val="0C91D836"/>
    <w:rsid w:val="0C9C9C72"/>
    <w:rsid w:val="0CA618B5"/>
    <w:rsid w:val="0CB12B51"/>
    <w:rsid w:val="0CBB1940"/>
    <w:rsid w:val="0D640800"/>
    <w:rsid w:val="0D9CF379"/>
    <w:rsid w:val="0DA8DE24"/>
    <w:rsid w:val="0DA9DE27"/>
    <w:rsid w:val="0DD96987"/>
    <w:rsid w:val="0DF491AC"/>
    <w:rsid w:val="0DF69A63"/>
    <w:rsid w:val="0E32AA51"/>
    <w:rsid w:val="0E7515F7"/>
    <w:rsid w:val="0E9B42D9"/>
    <w:rsid w:val="0ECABB72"/>
    <w:rsid w:val="0ED3B74C"/>
    <w:rsid w:val="0F1D239E"/>
    <w:rsid w:val="0F417271"/>
    <w:rsid w:val="0F8CF823"/>
    <w:rsid w:val="0F94B6E7"/>
    <w:rsid w:val="0FA909E8"/>
    <w:rsid w:val="10223610"/>
    <w:rsid w:val="109D0A83"/>
    <w:rsid w:val="10A72BE0"/>
    <w:rsid w:val="10AB1133"/>
    <w:rsid w:val="10EEF1B6"/>
    <w:rsid w:val="1120E25D"/>
    <w:rsid w:val="1124B5C1"/>
    <w:rsid w:val="1140B512"/>
    <w:rsid w:val="116A4B13"/>
    <w:rsid w:val="118827B4"/>
    <w:rsid w:val="11DBAAAD"/>
    <w:rsid w:val="126D7FEC"/>
    <w:rsid w:val="12D2912F"/>
    <w:rsid w:val="12F96BFE"/>
    <w:rsid w:val="12FCB3D5"/>
    <w:rsid w:val="1336BF9C"/>
    <w:rsid w:val="13BB10B6"/>
    <w:rsid w:val="13DFC0D6"/>
    <w:rsid w:val="13FCEE20"/>
    <w:rsid w:val="142EC149"/>
    <w:rsid w:val="143C028D"/>
    <w:rsid w:val="143E9549"/>
    <w:rsid w:val="14846523"/>
    <w:rsid w:val="1494B050"/>
    <w:rsid w:val="14CC77AD"/>
    <w:rsid w:val="14D1AC09"/>
    <w:rsid w:val="1510F615"/>
    <w:rsid w:val="1526646E"/>
    <w:rsid w:val="15A6F295"/>
    <w:rsid w:val="15C6C0F7"/>
    <w:rsid w:val="16256DCD"/>
    <w:rsid w:val="163F1B61"/>
    <w:rsid w:val="170F23BE"/>
    <w:rsid w:val="17379810"/>
    <w:rsid w:val="17561F1D"/>
    <w:rsid w:val="1795975F"/>
    <w:rsid w:val="17ABEB76"/>
    <w:rsid w:val="17B26E7A"/>
    <w:rsid w:val="17B80EDA"/>
    <w:rsid w:val="17BB3229"/>
    <w:rsid w:val="184FD9A3"/>
    <w:rsid w:val="18941E9D"/>
    <w:rsid w:val="1896D174"/>
    <w:rsid w:val="18D7C0AC"/>
    <w:rsid w:val="1926DD7F"/>
    <w:rsid w:val="19277BF0"/>
    <w:rsid w:val="1976F778"/>
    <w:rsid w:val="19B18AF1"/>
    <w:rsid w:val="19C7DBBB"/>
    <w:rsid w:val="19F4EA93"/>
    <w:rsid w:val="1A242558"/>
    <w:rsid w:val="1A63971C"/>
    <w:rsid w:val="1A9CADF6"/>
    <w:rsid w:val="1B097479"/>
    <w:rsid w:val="1B5D7143"/>
    <w:rsid w:val="1BA8EC40"/>
    <w:rsid w:val="1BDFEF00"/>
    <w:rsid w:val="1BFE8921"/>
    <w:rsid w:val="1C269A8E"/>
    <w:rsid w:val="1C6FDBE1"/>
    <w:rsid w:val="1C73037F"/>
    <w:rsid w:val="1C9DBECE"/>
    <w:rsid w:val="1CA2A6EA"/>
    <w:rsid w:val="1D23E36E"/>
    <w:rsid w:val="1D66613D"/>
    <w:rsid w:val="1DA251E2"/>
    <w:rsid w:val="1DB96B68"/>
    <w:rsid w:val="1DC2B9B4"/>
    <w:rsid w:val="1DD21B91"/>
    <w:rsid w:val="1DDB5653"/>
    <w:rsid w:val="1DDF1E9B"/>
    <w:rsid w:val="1E771044"/>
    <w:rsid w:val="1E7CB967"/>
    <w:rsid w:val="1E93E72A"/>
    <w:rsid w:val="1EA431F6"/>
    <w:rsid w:val="1ECAF408"/>
    <w:rsid w:val="1EDE4492"/>
    <w:rsid w:val="1EE9E932"/>
    <w:rsid w:val="1F09E032"/>
    <w:rsid w:val="1F1E2B0D"/>
    <w:rsid w:val="1F4F5B30"/>
    <w:rsid w:val="1FB2E84B"/>
    <w:rsid w:val="1FFC99BE"/>
    <w:rsid w:val="201B9225"/>
    <w:rsid w:val="2067D4BD"/>
    <w:rsid w:val="207A14F3"/>
    <w:rsid w:val="209C5181"/>
    <w:rsid w:val="20E5933C"/>
    <w:rsid w:val="20F5E7DE"/>
    <w:rsid w:val="211A3C8D"/>
    <w:rsid w:val="211A5670"/>
    <w:rsid w:val="212E23C7"/>
    <w:rsid w:val="2145A05F"/>
    <w:rsid w:val="217F37C8"/>
    <w:rsid w:val="220BD852"/>
    <w:rsid w:val="223870BD"/>
    <w:rsid w:val="22491F91"/>
    <w:rsid w:val="2262A3C7"/>
    <w:rsid w:val="227D8151"/>
    <w:rsid w:val="22AC0221"/>
    <w:rsid w:val="22AE69E7"/>
    <w:rsid w:val="22BF8513"/>
    <w:rsid w:val="22CA01A1"/>
    <w:rsid w:val="22EFFAEE"/>
    <w:rsid w:val="23325155"/>
    <w:rsid w:val="23C5FB9F"/>
    <w:rsid w:val="23CBF3AF"/>
    <w:rsid w:val="23E5005A"/>
    <w:rsid w:val="23FFE3FE"/>
    <w:rsid w:val="24002135"/>
    <w:rsid w:val="242D22A3"/>
    <w:rsid w:val="245B5846"/>
    <w:rsid w:val="24620FBA"/>
    <w:rsid w:val="24A0318E"/>
    <w:rsid w:val="24C14488"/>
    <w:rsid w:val="24C4EC4B"/>
    <w:rsid w:val="24DF3335"/>
    <w:rsid w:val="2553CB80"/>
    <w:rsid w:val="2592D9EC"/>
    <w:rsid w:val="259BF196"/>
    <w:rsid w:val="25BE93C4"/>
    <w:rsid w:val="25C56F41"/>
    <w:rsid w:val="25C80561"/>
    <w:rsid w:val="25ED5A0A"/>
    <w:rsid w:val="2619967A"/>
    <w:rsid w:val="265FE7CB"/>
    <w:rsid w:val="26646096"/>
    <w:rsid w:val="26D50EFD"/>
    <w:rsid w:val="2718DBD9"/>
    <w:rsid w:val="27AA39E9"/>
    <w:rsid w:val="27B8E859"/>
    <w:rsid w:val="27C46802"/>
    <w:rsid w:val="28113904"/>
    <w:rsid w:val="2863725A"/>
    <w:rsid w:val="288813EB"/>
    <w:rsid w:val="28A1691E"/>
    <w:rsid w:val="28B8D664"/>
    <w:rsid w:val="28CFD518"/>
    <w:rsid w:val="28DD0C29"/>
    <w:rsid w:val="28F131F0"/>
    <w:rsid w:val="29879DDD"/>
    <w:rsid w:val="29DA5486"/>
    <w:rsid w:val="29DBADEA"/>
    <w:rsid w:val="29DE3C58"/>
    <w:rsid w:val="2A0F9B48"/>
    <w:rsid w:val="2A20640C"/>
    <w:rsid w:val="2A644540"/>
    <w:rsid w:val="2AE7AEFC"/>
    <w:rsid w:val="2AF5915F"/>
    <w:rsid w:val="2B19F4E3"/>
    <w:rsid w:val="2BDFC5C0"/>
    <w:rsid w:val="2BE7A530"/>
    <w:rsid w:val="2C544318"/>
    <w:rsid w:val="2C7D213A"/>
    <w:rsid w:val="2CEA93F2"/>
    <w:rsid w:val="2D10CCD0"/>
    <w:rsid w:val="2D2B4E6D"/>
    <w:rsid w:val="2D3780C3"/>
    <w:rsid w:val="2D5EB8B8"/>
    <w:rsid w:val="2D64A6DA"/>
    <w:rsid w:val="2E380FB5"/>
    <w:rsid w:val="2E5EC372"/>
    <w:rsid w:val="2E7BB33A"/>
    <w:rsid w:val="2E8B6F37"/>
    <w:rsid w:val="2EA2974C"/>
    <w:rsid w:val="2EB1F470"/>
    <w:rsid w:val="2ED5DE84"/>
    <w:rsid w:val="2EF3CCC7"/>
    <w:rsid w:val="2F37A4C7"/>
    <w:rsid w:val="2F40CAF6"/>
    <w:rsid w:val="2F59290A"/>
    <w:rsid w:val="2F9A0E06"/>
    <w:rsid w:val="2FADA40B"/>
    <w:rsid w:val="2FC2E56C"/>
    <w:rsid w:val="2FC5613A"/>
    <w:rsid w:val="2FCC4B46"/>
    <w:rsid w:val="3009F7A3"/>
    <w:rsid w:val="30275128"/>
    <w:rsid w:val="30B83D56"/>
    <w:rsid w:val="31293663"/>
    <w:rsid w:val="31442376"/>
    <w:rsid w:val="315E1C53"/>
    <w:rsid w:val="31A8EB58"/>
    <w:rsid w:val="31B69354"/>
    <w:rsid w:val="31EC0653"/>
    <w:rsid w:val="320164FB"/>
    <w:rsid w:val="322673C3"/>
    <w:rsid w:val="324FF766"/>
    <w:rsid w:val="32967EE0"/>
    <w:rsid w:val="32BF0095"/>
    <w:rsid w:val="3305F9AF"/>
    <w:rsid w:val="334D98BE"/>
    <w:rsid w:val="33BFE028"/>
    <w:rsid w:val="33EF2047"/>
    <w:rsid w:val="3427AC56"/>
    <w:rsid w:val="34283F7E"/>
    <w:rsid w:val="34374D6E"/>
    <w:rsid w:val="345A0D69"/>
    <w:rsid w:val="3478B37C"/>
    <w:rsid w:val="34B7F2C4"/>
    <w:rsid w:val="352B5D07"/>
    <w:rsid w:val="35447F42"/>
    <w:rsid w:val="35618530"/>
    <w:rsid w:val="35AA545A"/>
    <w:rsid w:val="35B72EDA"/>
    <w:rsid w:val="35BB8F31"/>
    <w:rsid w:val="35F0424C"/>
    <w:rsid w:val="35FF884A"/>
    <w:rsid w:val="36547FFC"/>
    <w:rsid w:val="36A9213D"/>
    <w:rsid w:val="37121817"/>
    <w:rsid w:val="371A566A"/>
    <w:rsid w:val="37393A27"/>
    <w:rsid w:val="377F686F"/>
    <w:rsid w:val="37F7AD15"/>
    <w:rsid w:val="38817DED"/>
    <w:rsid w:val="38BFEB07"/>
    <w:rsid w:val="38CBF48F"/>
    <w:rsid w:val="39032C0C"/>
    <w:rsid w:val="392D2A9D"/>
    <w:rsid w:val="39997A44"/>
    <w:rsid w:val="39D0E7EE"/>
    <w:rsid w:val="39F3C141"/>
    <w:rsid w:val="3A182E70"/>
    <w:rsid w:val="3A41F59C"/>
    <w:rsid w:val="3A46E5D6"/>
    <w:rsid w:val="3A4A742E"/>
    <w:rsid w:val="3A842CA8"/>
    <w:rsid w:val="3A84546F"/>
    <w:rsid w:val="3A9228BE"/>
    <w:rsid w:val="3A9B267C"/>
    <w:rsid w:val="3AA124CC"/>
    <w:rsid w:val="3AF1924E"/>
    <w:rsid w:val="3AF1BA82"/>
    <w:rsid w:val="3B2AB45A"/>
    <w:rsid w:val="3B5CB515"/>
    <w:rsid w:val="3BDDC5FD"/>
    <w:rsid w:val="3C05099E"/>
    <w:rsid w:val="3C12A39A"/>
    <w:rsid w:val="3C206055"/>
    <w:rsid w:val="3C3300FA"/>
    <w:rsid w:val="3C406D3D"/>
    <w:rsid w:val="3C5A6200"/>
    <w:rsid w:val="3CA2A484"/>
    <w:rsid w:val="3CA3A4AB"/>
    <w:rsid w:val="3CDF43CA"/>
    <w:rsid w:val="3D7FBD7C"/>
    <w:rsid w:val="3D88F5FC"/>
    <w:rsid w:val="3DB18812"/>
    <w:rsid w:val="3DCBA130"/>
    <w:rsid w:val="3DDD35B6"/>
    <w:rsid w:val="3DDE41A9"/>
    <w:rsid w:val="3DE03F03"/>
    <w:rsid w:val="3E3ADF7F"/>
    <w:rsid w:val="3E5BF989"/>
    <w:rsid w:val="3E70A9AB"/>
    <w:rsid w:val="3E797B90"/>
    <w:rsid w:val="3E82FB9A"/>
    <w:rsid w:val="3EBD1AC2"/>
    <w:rsid w:val="3EC5AAF2"/>
    <w:rsid w:val="3F1DD5F1"/>
    <w:rsid w:val="3F2D976A"/>
    <w:rsid w:val="3F3811E2"/>
    <w:rsid w:val="3F6F4C67"/>
    <w:rsid w:val="3F719A0E"/>
    <w:rsid w:val="3FB23239"/>
    <w:rsid w:val="3FED6C3E"/>
    <w:rsid w:val="3FF0512B"/>
    <w:rsid w:val="400F0833"/>
    <w:rsid w:val="402FDC30"/>
    <w:rsid w:val="4033923C"/>
    <w:rsid w:val="403E154A"/>
    <w:rsid w:val="406DC83A"/>
    <w:rsid w:val="40D5F4C4"/>
    <w:rsid w:val="40D723B4"/>
    <w:rsid w:val="40DAC318"/>
    <w:rsid w:val="40F36E2C"/>
    <w:rsid w:val="410D6A6F"/>
    <w:rsid w:val="413F1957"/>
    <w:rsid w:val="4143F130"/>
    <w:rsid w:val="41DEF497"/>
    <w:rsid w:val="421D038B"/>
    <w:rsid w:val="42394481"/>
    <w:rsid w:val="42460700"/>
    <w:rsid w:val="426A47F7"/>
    <w:rsid w:val="428EA2CA"/>
    <w:rsid w:val="42A1FFBF"/>
    <w:rsid w:val="42A93AD0"/>
    <w:rsid w:val="4325DBAF"/>
    <w:rsid w:val="4341079A"/>
    <w:rsid w:val="43A0498B"/>
    <w:rsid w:val="43EEFF00"/>
    <w:rsid w:val="44B4BC6A"/>
    <w:rsid w:val="45058B5F"/>
    <w:rsid w:val="454183B2"/>
    <w:rsid w:val="45BDB0CD"/>
    <w:rsid w:val="45E2D8C8"/>
    <w:rsid w:val="46753B99"/>
    <w:rsid w:val="46F16D18"/>
    <w:rsid w:val="46F27C79"/>
    <w:rsid w:val="47048199"/>
    <w:rsid w:val="471CB198"/>
    <w:rsid w:val="4782C0F0"/>
    <w:rsid w:val="483CA225"/>
    <w:rsid w:val="486943C3"/>
    <w:rsid w:val="486CBF7E"/>
    <w:rsid w:val="489143EB"/>
    <w:rsid w:val="48EF4125"/>
    <w:rsid w:val="494F91F9"/>
    <w:rsid w:val="49515570"/>
    <w:rsid w:val="498C0AB6"/>
    <w:rsid w:val="4A2BEEED"/>
    <w:rsid w:val="4A424F77"/>
    <w:rsid w:val="4A7FCBF5"/>
    <w:rsid w:val="4AAC3727"/>
    <w:rsid w:val="4AC99364"/>
    <w:rsid w:val="4AD7C72E"/>
    <w:rsid w:val="4B0E2E0D"/>
    <w:rsid w:val="4B314AD0"/>
    <w:rsid w:val="4B4A28F5"/>
    <w:rsid w:val="4B561082"/>
    <w:rsid w:val="4B5D6BE7"/>
    <w:rsid w:val="4B9EA9C9"/>
    <w:rsid w:val="4C0C8C00"/>
    <w:rsid w:val="4C41F1DA"/>
    <w:rsid w:val="4CD71801"/>
    <w:rsid w:val="4CE59E25"/>
    <w:rsid w:val="4D3A0010"/>
    <w:rsid w:val="4DC28B75"/>
    <w:rsid w:val="4DC39484"/>
    <w:rsid w:val="4E3AE1D7"/>
    <w:rsid w:val="4E48DDD3"/>
    <w:rsid w:val="4E51D733"/>
    <w:rsid w:val="4E7CC131"/>
    <w:rsid w:val="4EA2C2A8"/>
    <w:rsid w:val="4EDEEB34"/>
    <w:rsid w:val="4EF37FD1"/>
    <w:rsid w:val="4F2CFA60"/>
    <w:rsid w:val="4FB7479C"/>
    <w:rsid w:val="4FD3808C"/>
    <w:rsid w:val="5003380C"/>
    <w:rsid w:val="500E2BF2"/>
    <w:rsid w:val="50485C2B"/>
    <w:rsid w:val="506CAF0D"/>
    <w:rsid w:val="50881B20"/>
    <w:rsid w:val="50B459AB"/>
    <w:rsid w:val="50E2BD22"/>
    <w:rsid w:val="510E282F"/>
    <w:rsid w:val="5120F803"/>
    <w:rsid w:val="5122207A"/>
    <w:rsid w:val="5130F2D7"/>
    <w:rsid w:val="514FFA0E"/>
    <w:rsid w:val="5165CABD"/>
    <w:rsid w:val="5172B81E"/>
    <w:rsid w:val="523FB6B8"/>
    <w:rsid w:val="524A41D8"/>
    <w:rsid w:val="525324BA"/>
    <w:rsid w:val="526FEB3A"/>
    <w:rsid w:val="527CFB0E"/>
    <w:rsid w:val="52F8F4A1"/>
    <w:rsid w:val="53133E5E"/>
    <w:rsid w:val="53A60752"/>
    <w:rsid w:val="53A6DB42"/>
    <w:rsid w:val="53ADEE8F"/>
    <w:rsid w:val="53E3DD3F"/>
    <w:rsid w:val="54082463"/>
    <w:rsid w:val="542FC26C"/>
    <w:rsid w:val="5433DF61"/>
    <w:rsid w:val="54449EAF"/>
    <w:rsid w:val="544661C0"/>
    <w:rsid w:val="544FEFCA"/>
    <w:rsid w:val="545BF15E"/>
    <w:rsid w:val="54630964"/>
    <w:rsid w:val="54922E10"/>
    <w:rsid w:val="54AA3048"/>
    <w:rsid w:val="54CF85F2"/>
    <w:rsid w:val="551ED156"/>
    <w:rsid w:val="5537D68F"/>
    <w:rsid w:val="5566153D"/>
    <w:rsid w:val="557AEC8F"/>
    <w:rsid w:val="560F1297"/>
    <w:rsid w:val="5615A442"/>
    <w:rsid w:val="563BBC8F"/>
    <w:rsid w:val="564600A9"/>
    <w:rsid w:val="5653EFB8"/>
    <w:rsid w:val="56B11553"/>
    <w:rsid w:val="56B6635E"/>
    <w:rsid w:val="56E516DB"/>
    <w:rsid w:val="573BE3E7"/>
    <w:rsid w:val="57A3BB92"/>
    <w:rsid w:val="57B5D202"/>
    <w:rsid w:val="57D697BC"/>
    <w:rsid w:val="58662F42"/>
    <w:rsid w:val="5892C645"/>
    <w:rsid w:val="58A2F08C"/>
    <w:rsid w:val="5942EAAE"/>
    <w:rsid w:val="5945E84A"/>
    <w:rsid w:val="597D863F"/>
    <w:rsid w:val="5987AECC"/>
    <w:rsid w:val="59912E86"/>
    <w:rsid w:val="599F9554"/>
    <w:rsid w:val="59A489A1"/>
    <w:rsid w:val="59C199EF"/>
    <w:rsid w:val="59DFB900"/>
    <w:rsid w:val="5A01FFA3"/>
    <w:rsid w:val="5A288209"/>
    <w:rsid w:val="5A2F58FB"/>
    <w:rsid w:val="5ACE99BE"/>
    <w:rsid w:val="5AE61681"/>
    <w:rsid w:val="5B68768C"/>
    <w:rsid w:val="5BAC9F9B"/>
    <w:rsid w:val="5BBC7D43"/>
    <w:rsid w:val="5BBEF5D5"/>
    <w:rsid w:val="5BBF49F2"/>
    <w:rsid w:val="5C242A6F"/>
    <w:rsid w:val="5C25B53D"/>
    <w:rsid w:val="5C8CEA14"/>
    <w:rsid w:val="5C8FC1CB"/>
    <w:rsid w:val="5CB63413"/>
    <w:rsid w:val="5CDE36E5"/>
    <w:rsid w:val="5CF0AFA7"/>
    <w:rsid w:val="5D2D94C1"/>
    <w:rsid w:val="5D5D2FB9"/>
    <w:rsid w:val="5D76D562"/>
    <w:rsid w:val="5D7AB8BA"/>
    <w:rsid w:val="5DAA294C"/>
    <w:rsid w:val="5DD068C3"/>
    <w:rsid w:val="5E1E6457"/>
    <w:rsid w:val="5E218731"/>
    <w:rsid w:val="5E3C0EBA"/>
    <w:rsid w:val="5E47D409"/>
    <w:rsid w:val="5E98820E"/>
    <w:rsid w:val="5EEFA509"/>
    <w:rsid w:val="5F0B7FF6"/>
    <w:rsid w:val="5F58DD77"/>
    <w:rsid w:val="5F5EA26A"/>
    <w:rsid w:val="5F8A099D"/>
    <w:rsid w:val="5FC002E2"/>
    <w:rsid w:val="5FDEF6E3"/>
    <w:rsid w:val="5FE6C0E9"/>
    <w:rsid w:val="60597ACC"/>
    <w:rsid w:val="60A23910"/>
    <w:rsid w:val="60B5A15B"/>
    <w:rsid w:val="60C05B8C"/>
    <w:rsid w:val="60E5CA7D"/>
    <w:rsid w:val="60EDD724"/>
    <w:rsid w:val="610A21E4"/>
    <w:rsid w:val="6121A215"/>
    <w:rsid w:val="612D788B"/>
    <w:rsid w:val="614C0EEB"/>
    <w:rsid w:val="616D59F9"/>
    <w:rsid w:val="61A8CA41"/>
    <w:rsid w:val="61E127F9"/>
    <w:rsid w:val="61E8C480"/>
    <w:rsid w:val="6200A9D3"/>
    <w:rsid w:val="62905179"/>
    <w:rsid w:val="62F0D842"/>
    <w:rsid w:val="6318C1C1"/>
    <w:rsid w:val="63A97A74"/>
    <w:rsid w:val="63B1122E"/>
    <w:rsid w:val="63F1FC84"/>
    <w:rsid w:val="640218BF"/>
    <w:rsid w:val="6410000A"/>
    <w:rsid w:val="641A4CA7"/>
    <w:rsid w:val="641C470C"/>
    <w:rsid w:val="64797053"/>
    <w:rsid w:val="64C2B233"/>
    <w:rsid w:val="64CF879E"/>
    <w:rsid w:val="65176C9B"/>
    <w:rsid w:val="65337773"/>
    <w:rsid w:val="6544B24A"/>
    <w:rsid w:val="6592401F"/>
    <w:rsid w:val="65ABD6A2"/>
    <w:rsid w:val="65B2C50B"/>
    <w:rsid w:val="65B67314"/>
    <w:rsid w:val="65BAF215"/>
    <w:rsid w:val="65EC5E3F"/>
    <w:rsid w:val="66727F85"/>
    <w:rsid w:val="66B33CFC"/>
    <w:rsid w:val="66E8B2F0"/>
    <w:rsid w:val="66F4FD0D"/>
    <w:rsid w:val="66FBAF30"/>
    <w:rsid w:val="67211943"/>
    <w:rsid w:val="673A5538"/>
    <w:rsid w:val="67684E83"/>
    <w:rsid w:val="6788F9EF"/>
    <w:rsid w:val="678AEE3A"/>
    <w:rsid w:val="67A85C0F"/>
    <w:rsid w:val="67E580A1"/>
    <w:rsid w:val="68500232"/>
    <w:rsid w:val="686B1835"/>
    <w:rsid w:val="68A72E88"/>
    <w:rsid w:val="68A7BB1F"/>
    <w:rsid w:val="68E1FC05"/>
    <w:rsid w:val="69E2D970"/>
    <w:rsid w:val="6A2F2548"/>
    <w:rsid w:val="6A3FC45B"/>
    <w:rsid w:val="6A5AAA8E"/>
    <w:rsid w:val="6AB42103"/>
    <w:rsid w:val="6AB64AA2"/>
    <w:rsid w:val="6AC89BFD"/>
    <w:rsid w:val="6ADFFCD1"/>
    <w:rsid w:val="6AF2BE03"/>
    <w:rsid w:val="6B0C223A"/>
    <w:rsid w:val="6B1BD592"/>
    <w:rsid w:val="6B9ACB71"/>
    <w:rsid w:val="6BA1A778"/>
    <w:rsid w:val="6BD92CD2"/>
    <w:rsid w:val="6BF36046"/>
    <w:rsid w:val="6C8C8BED"/>
    <w:rsid w:val="6CDEA557"/>
    <w:rsid w:val="6CF9E221"/>
    <w:rsid w:val="6D9BD422"/>
    <w:rsid w:val="6D9FD3FD"/>
    <w:rsid w:val="6E21EE18"/>
    <w:rsid w:val="6E2A5EC5"/>
    <w:rsid w:val="6E4A041A"/>
    <w:rsid w:val="6E5B6F52"/>
    <w:rsid w:val="6E6BF20F"/>
    <w:rsid w:val="6E7EB03B"/>
    <w:rsid w:val="6EAA49F6"/>
    <w:rsid w:val="6EAF81EE"/>
    <w:rsid w:val="6ED982B7"/>
    <w:rsid w:val="6EDA59B9"/>
    <w:rsid w:val="6F09C52C"/>
    <w:rsid w:val="6F0B4854"/>
    <w:rsid w:val="6F13E714"/>
    <w:rsid w:val="6FD981C4"/>
    <w:rsid w:val="6FFB9E1E"/>
    <w:rsid w:val="70D3F037"/>
    <w:rsid w:val="70ED663C"/>
    <w:rsid w:val="7100B9DC"/>
    <w:rsid w:val="712282E2"/>
    <w:rsid w:val="7128D045"/>
    <w:rsid w:val="713F5D59"/>
    <w:rsid w:val="714FD82B"/>
    <w:rsid w:val="71826BF6"/>
    <w:rsid w:val="71A43521"/>
    <w:rsid w:val="71B51337"/>
    <w:rsid w:val="71DCF462"/>
    <w:rsid w:val="71E84340"/>
    <w:rsid w:val="72325DE9"/>
    <w:rsid w:val="7268C96B"/>
    <w:rsid w:val="72770D7A"/>
    <w:rsid w:val="7290B6AB"/>
    <w:rsid w:val="7290F5D0"/>
    <w:rsid w:val="72AACEAF"/>
    <w:rsid w:val="72C89ED3"/>
    <w:rsid w:val="72DB2DBA"/>
    <w:rsid w:val="7302DFB9"/>
    <w:rsid w:val="73296CA4"/>
    <w:rsid w:val="733E909F"/>
    <w:rsid w:val="7344A2C7"/>
    <w:rsid w:val="735928A4"/>
    <w:rsid w:val="7364DA6C"/>
    <w:rsid w:val="7365A756"/>
    <w:rsid w:val="738951B8"/>
    <w:rsid w:val="7427F51A"/>
    <w:rsid w:val="744A96EF"/>
    <w:rsid w:val="744E7524"/>
    <w:rsid w:val="746CD678"/>
    <w:rsid w:val="747EDF2D"/>
    <w:rsid w:val="74814541"/>
    <w:rsid w:val="74C87E8F"/>
    <w:rsid w:val="75243C6D"/>
    <w:rsid w:val="7539F137"/>
    <w:rsid w:val="7587CBF8"/>
    <w:rsid w:val="7588D077"/>
    <w:rsid w:val="75906E4F"/>
    <w:rsid w:val="75A1F871"/>
    <w:rsid w:val="75A5D924"/>
    <w:rsid w:val="763570AA"/>
    <w:rsid w:val="7696D2A8"/>
    <w:rsid w:val="76981756"/>
    <w:rsid w:val="76ECA6AF"/>
    <w:rsid w:val="770A8172"/>
    <w:rsid w:val="7741A985"/>
    <w:rsid w:val="776AC654"/>
    <w:rsid w:val="777BAA6D"/>
    <w:rsid w:val="77C81B57"/>
    <w:rsid w:val="77D996E4"/>
    <w:rsid w:val="78371C80"/>
    <w:rsid w:val="787FAC18"/>
    <w:rsid w:val="788D6CA1"/>
    <w:rsid w:val="78C20FA1"/>
    <w:rsid w:val="78DD79E6"/>
    <w:rsid w:val="78E5D998"/>
    <w:rsid w:val="7917083E"/>
    <w:rsid w:val="7920ED77"/>
    <w:rsid w:val="792D236D"/>
    <w:rsid w:val="7949A351"/>
    <w:rsid w:val="7949F15B"/>
    <w:rsid w:val="79585A6B"/>
    <w:rsid w:val="7960A9B7"/>
    <w:rsid w:val="79ADD512"/>
    <w:rsid w:val="79D11B84"/>
    <w:rsid w:val="7A049163"/>
    <w:rsid w:val="7A6A23A3"/>
    <w:rsid w:val="7A782EF4"/>
    <w:rsid w:val="7A95417F"/>
    <w:rsid w:val="7A972A1A"/>
    <w:rsid w:val="7B0F0713"/>
    <w:rsid w:val="7B6F3A81"/>
    <w:rsid w:val="7B76088E"/>
    <w:rsid w:val="7B956F28"/>
    <w:rsid w:val="7C151AA8"/>
    <w:rsid w:val="7C426F6C"/>
    <w:rsid w:val="7CB6E736"/>
    <w:rsid w:val="7D4B9E73"/>
    <w:rsid w:val="7D679563"/>
    <w:rsid w:val="7D939A68"/>
    <w:rsid w:val="7DB0EB09"/>
    <w:rsid w:val="7E48B2D4"/>
    <w:rsid w:val="7E764CE5"/>
    <w:rsid w:val="7E994377"/>
    <w:rsid w:val="7F5094E1"/>
    <w:rsid w:val="7F55BF70"/>
    <w:rsid w:val="7FCB1819"/>
    <w:rsid w:val="7FEA85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55804"/>
  <w15:chartTrackingRefBased/>
  <w15:docId w15:val="{48B7C655-AA6B-45AB-8DBC-6BE59B97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L1BLUE"/>
    <w:next w:val="Normal"/>
    <w:link w:val="Heading1Char"/>
    <w:uiPriority w:val="9"/>
    <w:qFormat/>
    <w:rsid w:val="00EA7289"/>
    <w:pPr>
      <w:outlineLvl w:val="0"/>
    </w:pPr>
  </w:style>
  <w:style w:type="paragraph" w:styleId="Heading2">
    <w:name w:val="heading 2"/>
    <w:basedOn w:val="HEADINGL1BLUE"/>
    <w:next w:val="Normal"/>
    <w:link w:val="Heading2Char"/>
    <w:autoRedefine/>
    <w:uiPriority w:val="9"/>
    <w:unhideWhenUsed/>
    <w:qFormat/>
    <w:rsid w:val="008A2A6E"/>
    <w:pPr>
      <w:keepNext/>
      <w:pageBreakBefore w:val="0"/>
      <w:numPr>
        <w:ilvl w:val="1"/>
      </w:numPr>
      <w:outlineLvl w:val="1"/>
    </w:pPr>
    <w:rPr>
      <w:color w:val="auto"/>
      <w:sz w:val="36"/>
      <w:szCs w:val="24"/>
    </w:rPr>
  </w:style>
  <w:style w:type="paragraph" w:styleId="Heading3">
    <w:name w:val="heading 3"/>
    <w:basedOn w:val="Heading2"/>
    <w:next w:val="Normal"/>
    <w:link w:val="Heading3Char"/>
    <w:autoRedefine/>
    <w:uiPriority w:val="4"/>
    <w:unhideWhenUsed/>
    <w:qFormat/>
    <w:rsid w:val="008A2A6E"/>
    <w:pPr>
      <w:numPr>
        <w:ilvl w:val="2"/>
      </w:numPr>
      <w:outlineLvl w:val="2"/>
    </w:pPr>
    <w:rPr>
      <w:i/>
      <w:sz w:val="28"/>
    </w:rPr>
  </w:style>
  <w:style w:type="paragraph" w:styleId="Heading4">
    <w:name w:val="heading 4"/>
    <w:basedOn w:val="Normal"/>
    <w:next w:val="Normal"/>
    <w:link w:val="Heading4Char"/>
    <w:uiPriority w:val="5"/>
    <w:unhideWhenUsed/>
    <w:qFormat/>
    <w:rsid w:val="00462C9B"/>
    <w:pPr>
      <w:keepNext/>
      <w:keepLines/>
      <w:spacing w:before="40" w:after="0"/>
      <w:outlineLvl w:val="3"/>
    </w:pPr>
    <w:rPr>
      <w:rFonts w:asciiTheme="majorHAnsi" w:eastAsiaTheme="majorEastAsia" w:hAnsiTheme="majorHAnsi" w:cstheme="majorBidi"/>
      <w:i/>
      <w:iCs/>
      <w:color w:val="125C5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unhideWhenUsed/>
    <w:rsid w:val="00DF7CEA"/>
    <w:pPr>
      <w:tabs>
        <w:tab w:val="center" w:pos="4513"/>
        <w:tab w:val="right" w:pos="9026"/>
      </w:tabs>
      <w:spacing w:after="0" w:line="240" w:lineRule="auto"/>
    </w:pPr>
  </w:style>
  <w:style w:type="character" w:customStyle="1" w:styleId="HeaderChar">
    <w:name w:val="Header Char"/>
    <w:basedOn w:val="DefaultParagraphFont"/>
    <w:link w:val="Header"/>
    <w:uiPriority w:val="26"/>
    <w:rsid w:val="00DF7CEA"/>
  </w:style>
  <w:style w:type="paragraph" w:styleId="Footer">
    <w:name w:val="footer"/>
    <w:basedOn w:val="Normal"/>
    <w:link w:val="FooterChar"/>
    <w:uiPriority w:val="27"/>
    <w:unhideWhenUsed/>
    <w:rsid w:val="00DF7CEA"/>
    <w:pPr>
      <w:tabs>
        <w:tab w:val="center" w:pos="4513"/>
        <w:tab w:val="right" w:pos="9026"/>
      </w:tabs>
      <w:spacing w:after="0" w:line="240" w:lineRule="auto"/>
    </w:pPr>
  </w:style>
  <w:style w:type="character" w:customStyle="1" w:styleId="FooterChar">
    <w:name w:val="Footer Char"/>
    <w:basedOn w:val="DefaultParagraphFont"/>
    <w:link w:val="Footer"/>
    <w:uiPriority w:val="27"/>
    <w:rsid w:val="00DF7CEA"/>
  </w:style>
  <w:style w:type="paragraph" w:customStyle="1" w:styleId="FrontcoverH1">
    <w:name w:val="Front cover H1"/>
    <w:basedOn w:val="Normal"/>
    <w:qFormat/>
    <w:rsid w:val="00DF7CEA"/>
    <w:pPr>
      <w:spacing w:after="0" w:line="216" w:lineRule="auto"/>
      <w:ind w:left="669" w:right="669"/>
      <w:jc w:val="right"/>
    </w:pPr>
    <w:rPr>
      <w:rFonts w:asciiTheme="majorHAnsi" w:eastAsia="SimSun" w:hAnsiTheme="majorHAnsi" w:cstheme="majorHAnsi"/>
      <w:noProof/>
      <w:color w:val="40C1AC" w:themeColor="accent2"/>
      <w:kern w:val="0"/>
      <w:sz w:val="64"/>
      <w:szCs w:val="64"/>
      <w14:ligatures w14:val="none"/>
    </w:rPr>
  </w:style>
  <w:style w:type="character" w:customStyle="1" w:styleId="Heading2Char">
    <w:name w:val="Heading 2 Char"/>
    <w:basedOn w:val="DefaultParagraphFont"/>
    <w:link w:val="Heading2"/>
    <w:uiPriority w:val="9"/>
    <w:rsid w:val="00426D75"/>
    <w:rPr>
      <w:rFonts w:eastAsia="MS Gothic" w:cstheme="minorHAnsi"/>
      <w:b/>
      <w:bCs/>
      <w:kern w:val="0"/>
      <w:sz w:val="36"/>
      <w:szCs w:val="24"/>
      <w:lang w:val="en-GB" w:eastAsia="en-AU"/>
      <w14:ligatures w14:val="none"/>
    </w:rPr>
  </w:style>
  <w:style w:type="character" w:customStyle="1" w:styleId="Heading3Char">
    <w:name w:val="Heading 3 Char"/>
    <w:basedOn w:val="DefaultParagraphFont"/>
    <w:link w:val="Heading3"/>
    <w:uiPriority w:val="4"/>
    <w:rsid w:val="0089297D"/>
    <w:rPr>
      <w:rFonts w:eastAsia="MS Gothic" w:cstheme="minorHAnsi"/>
      <w:b/>
      <w:bCs/>
      <w:i/>
      <w:kern w:val="0"/>
      <w:sz w:val="28"/>
      <w:szCs w:val="24"/>
      <w:lang w:val="en-GB" w:eastAsia="en-AU"/>
      <w14:ligatures w14:val="none"/>
    </w:rPr>
  </w:style>
  <w:style w:type="character" w:styleId="Hyperlink">
    <w:name w:val="Hyperlink"/>
    <w:basedOn w:val="DefaultParagraphFont"/>
    <w:uiPriority w:val="99"/>
    <w:unhideWhenUsed/>
    <w:rsid w:val="00DF7CEA"/>
    <w:rPr>
      <w:color w:val="0070C0" w:themeColor="hyperlink"/>
      <w:u w:val="single"/>
    </w:rPr>
  </w:style>
  <w:style w:type="paragraph" w:customStyle="1" w:styleId="HEADINGL1BLUE">
    <w:name w:val="HEADING L1 (BLUE)"/>
    <w:basedOn w:val="Normal"/>
    <w:link w:val="HEADINGL1BLUEChar"/>
    <w:autoRedefine/>
    <w:qFormat/>
    <w:rsid w:val="00C81A5F"/>
    <w:pPr>
      <w:pageBreakBefore/>
      <w:numPr>
        <w:numId w:val="80"/>
      </w:numPr>
      <w:spacing w:after="200" w:line="300" w:lineRule="atLeast"/>
    </w:pPr>
    <w:rPr>
      <w:rFonts w:eastAsia="MS Gothic" w:cstheme="minorHAnsi"/>
      <w:b/>
      <w:bCs/>
      <w:color w:val="083A42" w:themeColor="background2"/>
      <w:kern w:val="0"/>
      <w:sz w:val="56"/>
      <w:szCs w:val="28"/>
      <w:lang w:val="en-GB" w:eastAsia="en-AU"/>
      <w14:ligatures w14:val="none"/>
    </w:rPr>
  </w:style>
  <w:style w:type="character" w:styleId="Strong">
    <w:name w:val="Strong"/>
    <w:basedOn w:val="DefaultParagraphFont"/>
    <w:uiPriority w:val="22"/>
    <w:qFormat/>
    <w:rsid w:val="00DF7CEA"/>
    <w:rPr>
      <w:b/>
      <w:bCs/>
    </w:rPr>
  </w:style>
  <w:style w:type="paragraph" w:customStyle="1" w:styleId="HeadingL2">
    <w:name w:val="Heading L2"/>
    <w:basedOn w:val="HEADINGL1BLUE"/>
    <w:next w:val="Normal"/>
    <w:link w:val="HeadingL2Char"/>
    <w:autoRedefine/>
    <w:qFormat/>
    <w:rsid w:val="000C2630"/>
    <w:pPr>
      <w:pageBreakBefore w:val="0"/>
      <w:numPr>
        <w:ilvl w:val="1"/>
        <w:numId w:val="5"/>
      </w:numPr>
    </w:pPr>
    <w:rPr>
      <w:color w:val="auto"/>
      <w:sz w:val="36"/>
    </w:rPr>
  </w:style>
  <w:style w:type="character" w:customStyle="1" w:styleId="HEADINGL1BLUEChar">
    <w:name w:val="HEADING L1 (BLUE) Char"/>
    <w:basedOn w:val="DefaultParagraphFont"/>
    <w:link w:val="HEADINGL1BLUE"/>
    <w:rsid w:val="00C81A5F"/>
    <w:rPr>
      <w:rFonts w:eastAsia="MS Gothic" w:cstheme="minorHAnsi"/>
      <w:b/>
      <w:bCs/>
      <w:color w:val="083A42" w:themeColor="background2"/>
      <w:kern w:val="0"/>
      <w:sz w:val="56"/>
      <w:szCs w:val="28"/>
      <w:lang w:val="en-GB" w:eastAsia="en-AU"/>
      <w14:ligatures w14:val="none"/>
    </w:rPr>
  </w:style>
  <w:style w:type="character" w:customStyle="1" w:styleId="HeadingL2Char">
    <w:name w:val="Heading L2 Char"/>
    <w:basedOn w:val="HEADINGL1BLUEChar"/>
    <w:link w:val="HeadingL2"/>
    <w:rsid w:val="000C2630"/>
    <w:rPr>
      <w:rFonts w:eastAsia="MS Gothic" w:cstheme="minorHAnsi"/>
      <w:b/>
      <w:bCs/>
      <w:color w:val="083A42" w:themeColor="background2"/>
      <w:kern w:val="0"/>
      <w:sz w:val="36"/>
      <w:szCs w:val="28"/>
      <w:lang w:val="en-GB" w:eastAsia="en-AU"/>
      <w14:ligatures w14:val="none"/>
    </w:rPr>
  </w:style>
  <w:style w:type="paragraph" w:customStyle="1" w:styleId="paragraph">
    <w:name w:val="paragraph"/>
    <w:basedOn w:val="Normal"/>
    <w:rsid w:val="00B372B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B372BB"/>
  </w:style>
  <w:style w:type="character" w:customStyle="1" w:styleId="normaltextrun">
    <w:name w:val="normaltextrun"/>
    <w:basedOn w:val="DefaultParagraphFont"/>
    <w:rsid w:val="00B372BB"/>
  </w:style>
  <w:style w:type="paragraph" w:styleId="ListParagraph">
    <w:name w:val="List Paragraph"/>
    <w:aliases w:val="CAB - List Bullet,List Bullet Cab,1 heading,Bullet point,Bulleted Para,DDM Gen Text,Dot point 1.5 line spacing,FooterText,L,List Paragraph - bullets,List Paragraph1,List Paragraph11,List Paragraph2,NFP GP Bulleted List,Recommendation,列出段落"/>
    <w:basedOn w:val="Normal"/>
    <w:link w:val="ListParagraphChar"/>
    <w:uiPriority w:val="34"/>
    <w:qFormat/>
    <w:rsid w:val="00AE2D81"/>
    <w:pPr>
      <w:ind w:left="720"/>
      <w:contextualSpacing/>
    </w:pPr>
  </w:style>
  <w:style w:type="character" w:customStyle="1" w:styleId="ListParagraphChar">
    <w:name w:val="List Paragraph Char"/>
    <w:aliases w:val="CAB - List Bullet Char,List Bullet Cab Char,1 heading Char,Bullet point Char,Bulleted Para Char,DDM Gen Text Char,Dot point 1.5 line spacing Char,FooterText Char,L Char,List Paragraph - bullets Char,List Paragraph1 Char,列出段落 Char"/>
    <w:link w:val="ListParagraph"/>
    <w:uiPriority w:val="34"/>
    <w:qFormat/>
    <w:locked/>
    <w:rsid w:val="000D21DD"/>
  </w:style>
  <w:style w:type="character" w:styleId="CommentReference">
    <w:name w:val="annotation reference"/>
    <w:basedOn w:val="DefaultParagraphFont"/>
    <w:uiPriority w:val="99"/>
    <w:semiHidden/>
    <w:unhideWhenUsed/>
    <w:rsid w:val="00EF4C25"/>
    <w:rPr>
      <w:sz w:val="16"/>
      <w:szCs w:val="16"/>
    </w:rPr>
  </w:style>
  <w:style w:type="paragraph" w:styleId="CommentText">
    <w:name w:val="annotation text"/>
    <w:basedOn w:val="Normal"/>
    <w:link w:val="CommentTextChar"/>
    <w:uiPriority w:val="99"/>
    <w:unhideWhenUsed/>
    <w:rsid w:val="00EF4C25"/>
    <w:pPr>
      <w:spacing w:line="240" w:lineRule="auto"/>
    </w:pPr>
    <w:rPr>
      <w:sz w:val="20"/>
      <w:szCs w:val="20"/>
    </w:rPr>
  </w:style>
  <w:style w:type="character" w:customStyle="1" w:styleId="CommentTextChar">
    <w:name w:val="Comment Text Char"/>
    <w:basedOn w:val="DefaultParagraphFont"/>
    <w:link w:val="CommentText"/>
    <w:uiPriority w:val="99"/>
    <w:rsid w:val="00EF4C25"/>
    <w:rPr>
      <w:sz w:val="20"/>
      <w:szCs w:val="20"/>
    </w:rPr>
  </w:style>
  <w:style w:type="paragraph" w:styleId="CommentSubject">
    <w:name w:val="annotation subject"/>
    <w:basedOn w:val="CommentText"/>
    <w:next w:val="CommentText"/>
    <w:link w:val="CommentSubjectChar"/>
    <w:uiPriority w:val="99"/>
    <w:semiHidden/>
    <w:unhideWhenUsed/>
    <w:rsid w:val="00EF4C25"/>
    <w:rPr>
      <w:b/>
      <w:bCs/>
    </w:rPr>
  </w:style>
  <w:style w:type="character" w:customStyle="1" w:styleId="CommentSubjectChar">
    <w:name w:val="Comment Subject Char"/>
    <w:basedOn w:val="CommentTextChar"/>
    <w:link w:val="CommentSubject"/>
    <w:uiPriority w:val="99"/>
    <w:semiHidden/>
    <w:rsid w:val="00EF4C25"/>
    <w:rPr>
      <w:b/>
      <w:bCs/>
      <w:sz w:val="20"/>
      <w:szCs w:val="20"/>
    </w:rPr>
  </w:style>
  <w:style w:type="table" w:styleId="GridTable4-Accent1">
    <w:name w:val="Grid Table 4 Accent 1"/>
    <w:basedOn w:val="TableNormal"/>
    <w:uiPriority w:val="49"/>
    <w:rsid w:val="009D0D2E"/>
    <w:pPr>
      <w:spacing w:after="0" w:line="240" w:lineRule="auto"/>
    </w:pPr>
    <w:rPr>
      <w:kern w:val="0"/>
      <w14:ligatures w14:val="none"/>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TableGrid">
    <w:name w:val="Table Grid"/>
    <w:basedOn w:val="TableNormal"/>
    <w:uiPriority w:val="39"/>
    <w:rsid w:val="005470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017B5"/>
    <w:pPr>
      <w:spacing w:after="0" w:line="240" w:lineRule="auto"/>
    </w:pPr>
    <w:rPr>
      <w:rFonts w:ascii="Arial" w:eastAsia="SimSun" w:hAnsi="Arial"/>
      <w:kern w:val="0"/>
      <w:sz w:val="20"/>
      <w:szCs w:val="20"/>
      <w14:ligatures w14:val="none"/>
    </w:rPr>
  </w:style>
  <w:style w:type="character" w:customStyle="1" w:styleId="FootnoteTextChar">
    <w:name w:val="Footnote Text Char"/>
    <w:basedOn w:val="DefaultParagraphFont"/>
    <w:link w:val="FootnoteText"/>
    <w:uiPriority w:val="99"/>
    <w:rsid w:val="00E017B5"/>
    <w:rPr>
      <w:rFonts w:ascii="Arial" w:eastAsia="SimSun" w:hAnsi="Arial"/>
      <w:kern w:val="0"/>
      <w:sz w:val="20"/>
      <w:szCs w:val="20"/>
      <w14:ligatures w14:val="none"/>
    </w:rPr>
  </w:style>
  <w:style w:type="character" w:styleId="FootnoteReference">
    <w:name w:val="footnote reference"/>
    <w:basedOn w:val="DefaultParagraphFont"/>
    <w:uiPriority w:val="99"/>
    <w:semiHidden/>
    <w:unhideWhenUsed/>
    <w:rsid w:val="00E017B5"/>
    <w:rPr>
      <w:vertAlign w:val="superscript"/>
    </w:rPr>
  </w:style>
  <w:style w:type="paragraph" w:customStyle="1" w:styleId="HeadingL3">
    <w:name w:val="Heading L3"/>
    <w:basedOn w:val="HeadingL2"/>
    <w:link w:val="HeadingL3Char"/>
    <w:autoRedefine/>
    <w:qFormat/>
    <w:rsid w:val="000A41D9"/>
    <w:pPr>
      <w:numPr>
        <w:numId w:val="13"/>
      </w:numPr>
    </w:pPr>
    <w:rPr>
      <w:rFonts w:asciiTheme="majorHAnsi" w:hAnsiTheme="majorHAnsi"/>
      <w:b w:val="0"/>
      <w:i/>
      <w:sz w:val="22"/>
    </w:rPr>
  </w:style>
  <w:style w:type="character" w:customStyle="1" w:styleId="HeadingL3Char">
    <w:name w:val="Heading L3 Char"/>
    <w:basedOn w:val="HeadingL2Char"/>
    <w:link w:val="HeadingL3"/>
    <w:rsid w:val="000A41D9"/>
    <w:rPr>
      <w:rFonts w:asciiTheme="majorHAnsi" w:eastAsia="MS Gothic" w:hAnsiTheme="majorHAnsi" w:cstheme="minorHAnsi"/>
      <w:b w:val="0"/>
      <w:bCs/>
      <w:i/>
      <w:color w:val="00B0F0"/>
      <w:kern w:val="0"/>
      <w:sz w:val="24"/>
      <w:szCs w:val="28"/>
      <w:lang w:val="en-GB" w:eastAsia="en-AU"/>
      <w14:ligatures w14:val="none"/>
    </w:rPr>
  </w:style>
  <w:style w:type="character" w:customStyle="1" w:styleId="MACtablebulletL1Char">
    <w:name w:val="MAC table bullet L1 Char"/>
    <w:basedOn w:val="DefaultParagraphFont"/>
    <w:link w:val="MACtablebulletL1"/>
    <w:locked/>
    <w:rsid w:val="0072235B"/>
    <w:rPr>
      <w:rFonts w:ascii="Times New Roman" w:eastAsia="Times New Roman" w:hAnsi="Times New Roman" w:cs="Times New Roman"/>
      <w:color w:val="000000" w:themeColor="text1"/>
      <w:sz w:val="18"/>
      <w:szCs w:val="24"/>
    </w:rPr>
  </w:style>
  <w:style w:type="paragraph" w:customStyle="1" w:styleId="MACtablebulletL1">
    <w:name w:val="MAC table bullet L1"/>
    <w:basedOn w:val="Normal"/>
    <w:link w:val="MACtablebulletL1Char"/>
    <w:rsid w:val="0072235B"/>
    <w:pPr>
      <w:numPr>
        <w:numId w:val="19"/>
      </w:numPr>
      <w:tabs>
        <w:tab w:val="left" w:pos="357"/>
      </w:tabs>
      <w:spacing w:before="40" w:after="40" w:line="220" w:lineRule="atLeast"/>
    </w:pPr>
    <w:rPr>
      <w:rFonts w:ascii="Times New Roman" w:eastAsia="Times New Roman" w:hAnsi="Times New Roman" w:cs="Times New Roman"/>
      <w:color w:val="000000" w:themeColor="text1"/>
      <w:sz w:val="18"/>
      <w:szCs w:val="24"/>
    </w:rPr>
  </w:style>
  <w:style w:type="character" w:styleId="Mention">
    <w:name w:val="Mention"/>
    <w:basedOn w:val="DefaultParagraphFont"/>
    <w:uiPriority w:val="99"/>
    <w:unhideWhenUsed/>
    <w:rsid w:val="00BF61D7"/>
    <w:rPr>
      <w:color w:val="2B579A"/>
      <w:shd w:val="clear" w:color="auto" w:fill="E1DFDD"/>
    </w:rPr>
  </w:style>
  <w:style w:type="paragraph" w:customStyle="1" w:styleId="MACtableheaderrow">
    <w:name w:val="MAC table header row"/>
    <w:basedOn w:val="Normal"/>
    <w:next w:val="Normal"/>
    <w:rsid w:val="00B8795C"/>
    <w:pPr>
      <w:keepNext/>
      <w:overflowPunct w:val="0"/>
      <w:autoSpaceDE w:val="0"/>
      <w:autoSpaceDN w:val="0"/>
      <w:adjustRightInd w:val="0"/>
      <w:spacing w:before="40" w:after="40" w:line="240" w:lineRule="atLeast"/>
    </w:pPr>
    <w:rPr>
      <w:rFonts w:eastAsia="Times New Roman" w:cs="Times New Roman"/>
      <w:b/>
      <w:bCs/>
      <w:color w:val="000000" w:themeColor="text1"/>
      <w:kern w:val="0"/>
      <w:sz w:val="20"/>
      <w:szCs w:val="20"/>
      <w14:ligatures w14:val="none"/>
    </w:rPr>
  </w:style>
  <w:style w:type="character" w:customStyle="1" w:styleId="TabletextChar">
    <w:name w:val="Table text Char"/>
    <w:basedOn w:val="DefaultParagraphFont"/>
    <w:link w:val="Tabletext"/>
    <w:locked/>
    <w:rsid w:val="00B8795C"/>
    <w:rPr>
      <w:rFonts w:ascii="Times New Roman" w:eastAsia="Times New Roman" w:hAnsi="Times New Roman" w:cs="Times New Roman"/>
      <w:color w:val="000000" w:themeColor="text1"/>
      <w:sz w:val="18"/>
      <w:szCs w:val="18"/>
    </w:rPr>
  </w:style>
  <w:style w:type="paragraph" w:customStyle="1" w:styleId="Tabletext">
    <w:name w:val="Table text"/>
    <w:basedOn w:val="Normal"/>
    <w:link w:val="TabletextChar"/>
    <w:qFormat/>
    <w:rsid w:val="00B8795C"/>
    <w:pPr>
      <w:overflowPunct w:val="0"/>
      <w:autoSpaceDE w:val="0"/>
      <w:autoSpaceDN w:val="0"/>
      <w:adjustRightInd w:val="0"/>
      <w:spacing w:before="40" w:after="40" w:line="220" w:lineRule="atLeast"/>
    </w:pPr>
    <w:rPr>
      <w:rFonts w:ascii="Times New Roman" w:eastAsia="Times New Roman" w:hAnsi="Times New Roman" w:cs="Times New Roman"/>
      <w:color w:val="000000" w:themeColor="text1"/>
      <w:sz w:val="18"/>
      <w:szCs w:val="18"/>
    </w:rPr>
  </w:style>
  <w:style w:type="paragraph" w:styleId="Revision">
    <w:name w:val="Revision"/>
    <w:hidden/>
    <w:uiPriority w:val="99"/>
    <w:semiHidden/>
    <w:rsid w:val="00191718"/>
    <w:pPr>
      <w:spacing w:after="0" w:line="240" w:lineRule="auto"/>
    </w:pPr>
  </w:style>
  <w:style w:type="character" w:styleId="UnresolvedMention">
    <w:name w:val="Unresolved Mention"/>
    <w:basedOn w:val="DefaultParagraphFont"/>
    <w:uiPriority w:val="99"/>
    <w:semiHidden/>
    <w:unhideWhenUsed/>
    <w:rsid w:val="00125BB9"/>
    <w:rPr>
      <w:color w:val="605E5C"/>
      <w:shd w:val="clear" w:color="auto" w:fill="E1DFDD"/>
    </w:rPr>
  </w:style>
  <w:style w:type="character" w:customStyle="1" w:styleId="Heading4Char">
    <w:name w:val="Heading 4 Char"/>
    <w:basedOn w:val="DefaultParagraphFont"/>
    <w:link w:val="Heading4"/>
    <w:uiPriority w:val="9"/>
    <w:semiHidden/>
    <w:rsid w:val="00462C9B"/>
    <w:rPr>
      <w:rFonts w:asciiTheme="majorHAnsi" w:eastAsiaTheme="majorEastAsia" w:hAnsiTheme="majorHAnsi" w:cstheme="majorBidi"/>
      <w:i/>
      <w:iCs/>
      <w:color w:val="125C5D" w:themeColor="accent1" w:themeShade="BF"/>
    </w:rPr>
  </w:style>
  <w:style w:type="paragraph" w:styleId="ListNumber">
    <w:name w:val="List Number"/>
    <w:basedOn w:val="Normal"/>
    <w:uiPriority w:val="99"/>
    <w:qFormat/>
    <w:rsid w:val="00462C9B"/>
    <w:pPr>
      <w:numPr>
        <w:numId w:val="33"/>
      </w:numPr>
      <w:spacing w:after="200" w:line="276" w:lineRule="auto"/>
    </w:pPr>
    <w:rPr>
      <w:rFonts w:ascii="Arial" w:eastAsia="Calibri" w:hAnsi="Arial" w:cs="Times New Roman"/>
      <w:kern w:val="0"/>
      <w14:ligatures w14:val="none"/>
    </w:rPr>
  </w:style>
  <w:style w:type="paragraph" w:styleId="ListNumber2">
    <w:name w:val="List Number 2"/>
    <w:basedOn w:val="Normal"/>
    <w:uiPriority w:val="99"/>
    <w:rsid w:val="00462C9B"/>
    <w:pPr>
      <w:numPr>
        <w:ilvl w:val="1"/>
        <w:numId w:val="33"/>
      </w:numPr>
      <w:spacing w:after="200" w:line="276" w:lineRule="auto"/>
    </w:pPr>
    <w:rPr>
      <w:rFonts w:ascii="Arial" w:eastAsia="Calibri" w:hAnsi="Arial" w:cs="Times New Roman"/>
      <w:kern w:val="0"/>
      <w14:ligatures w14:val="none"/>
    </w:rPr>
  </w:style>
  <w:style w:type="paragraph" w:styleId="ListNumber3">
    <w:name w:val="List Number 3"/>
    <w:basedOn w:val="Normal"/>
    <w:uiPriority w:val="99"/>
    <w:rsid w:val="00462C9B"/>
    <w:pPr>
      <w:numPr>
        <w:ilvl w:val="2"/>
        <w:numId w:val="33"/>
      </w:numPr>
      <w:spacing w:after="200" w:line="276" w:lineRule="auto"/>
    </w:pPr>
    <w:rPr>
      <w:rFonts w:ascii="Arial" w:eastAsia="Calibri" w:hAnsi="Arial" w:cs="Times New Roman"/>
      <w:kern w:val="0"/>
      <w14:ligatures w14:val="none"/>
    </w:rPr>
  </w:style>
  <w:style w:type="paragraph" w:styleId="ListNumber4">
    <w:name w:val="List Number 4"/>
    <w:basedOn w:val="Normal"/>
    <w:uiPriority w:val="99"/>
    <w:rsid w:val="00462C9B"/>
    <w:pPr>
      <w:numPr>
        <w:ilvl w:val="3"/>
        <w:numId w:val="33"/>
      </w:numPr>
      <w:spacing w:after="200" w:line="276" w:lineRule="auto"/>
    </w:pPr>
    <w:rPr>
      <w:rFonts w:ascii="Arial" w:eastAsia="Calibri" w:hAnsi="Arial" w:cs="Times New Roman"/>
      <w:kern w:val="0"/>
      <w14:ligatures w14:val="none"/>
    </w:rPr>
  </w:style>
  <w:style w:type="paragraph" w:styleId="ListNumber5">
    <w:name w:val="List Number 5"/>
    <w:basedOn w:val="Normal"/>
    <w:uiPriority w:val="99"/>
    <w:rsid w:val="00462C9B"/>
    <w:pPr>
      <w:numPr>
        <w:ilvl w:val="4"/>
        <w:numId w:val="33"/>
      </w:numPr>
      <w:spacing w:after="200" w:line="276" w:lineRule="auto"/>
    </w:pPr>
    <w:rPr>
      <w:rFonts w:ascii="Arial" w:eastAsia="Calibri" w:hAnsi="Arial" w:cs="Times New Roman"/>
      <w:kern w:val="0"/>
      <w14:ligatures w14:val="none"/>
    </w:rPr>
  </w:style>
  <w:style w:type="character" w:customStyle="1" w:styleId="Heading1Char">
    <w:name w:val="Heading 1 Char"/>
    <w:basedOn w:val="DefaultParagraphFont"/>
    <w:link w:val="Heading1"/>
    <w:uiPriority w:val="9"/>
    <w:rsid w:val="00EA7289"/>
    <w:rPr>
      <w:rFonts w:eastAsia="MS Gothic" w:cstheme="minorHAnsi"/>
      <w:b/>
      <w:bCs/>
      <w:color w:val="083A42" w:themeColor="background2"/>
      <w:kern w:val="0"/>
      <w:sz w:val="56"/>
      <w:szCs w:val="28"/>
      <w:lang w:val="en-GB" w:eastAsia="en-AU"/>
      <w14:ligatures w14:val="none"/>
    </w:rPr>
  </w:style>
  <w:style w:type="character" w:customStyle="1" w:styleId="cf01">
    <w:name w:val="cf01"/>
    <w:basedOn w:val="DefaultParagraphFont"/>
    <w:rsid w:val="009D79EF"/>
    <w:rPr>
      <w:rFonts w:ascii="Segoe UI" w:hAnsi="Segoe UI" w:cs="Segoe UI" w:hint="default"/>
      <w:sz w:val="18"/>
      <w:szCs w:val="18"/>
    </w:rPr>
  </w:style>
  <w:style w:type="paragraph" w:styleId="ListBullet2">
    <w:name w:val="List Bullet 2"/>
    <w:basedOn w:val="Normal"/>
    <w:uiPriority w:val="8"/>
    <w:semiHidden/>
    <w:unhideWhenUsed/>
    <w:qFormat/>
    <w:rsid w:val="00164B39"/>
    <w:pPr>
      <w:numPr>
        <w:ilvl w:val="1"/>
        <w:numId w:val="48"/>
      </w:numPr>
      <w:spacing w:before="120" w:after="120" w:line="276" w:lineRule="auto"/>
      <w:contextualSpacing/>
    </w:pPr>
    <w:rPr>
      <w:kern w:val="0"/>
      <w14:ligatures w14:val="none"/>
    </w:rPr>
  </w:style>
  <w:style w:type="paragraph" w:styleId="ListBullet">
    <w:name w:val="List Bullet"/>
    <w:basedOn w:val="ListBullet2"/>
    <w:uiPriority w:val="99"/>
    <w:semiHidden/>
    <w:unhideWhenUsed/>
    <w:qFormat/>
    <w:rsid w:val="00164B39"/>
    <w:pPr>
      <w:numPr>
        <w:ilvl w:val="0"/>
      </w:numPr>
    </w:pPr>
    <w:rPr>
      <w:bCs/>
    </w:rPr>
  </w:style>
  <w:style w:type="paragraph" w:styleId="ListBullet3">
    <w:name w:val="List Bullet 3"/>
    <w:basedOn w:val="Normal"/>
    <w:uiPriority w:val="99"/>
    <w:semiHidden/>
    <w:unhideWhenUsed/>
    <w:rsid w:val="00164B39"/>
    <w:pPr>
      <w:numPr>
        <w:ilvl w:val="2"/>
        <w:numId w:val="48"/>
      </w:numPr>
      <w:spacing w:after="200" w:line="276" w:lineRule="auto"/>
      <w:contextualSpacing/>
    </w:pPr>
    <w:rPr>
      <w:kern w:val="0"/>
      <w14:ligatures w14:val="none"/>
    </w:rPr>
  </w:style>
  <w:style w:type="numbering" w:customStyle="1" w:styleId="List1">
    <w:name w:val="List1"/>
    <w:uiPriority w:val="99"/>
    <w:rsid w:val="00164B39"/>
    <w:pPr>
      <w:numPr>
        <w:numId w:val="49"/>
      </w:numPr>
    </w:pPr>
  </w:style>
  <w:style w:type="paragraph" w:styleId="TOCHeading">
    <w:name w:val="TOC Heading"/>
    <w:basedOn w:val="Heading1"/>
    <w:next w:val="Normal"/>
    <w:uiPriority w:val="39"/>
    <w:unhideWhenUsed/>
    <w:qFormat/>
    <w:rsid w:val="00023B25"/>
    <w:pPr>
      <w:keepNext/>
      <w:keepLines/>
      <w:pageBreakBefore w:val="0"/>
      <w:spacing w:before="240" w:after="0" w:line="259" w:lineRule="auto"/>
      <w:outlineLvl w:val="9"/>
    </w:pPr>
    <w:rPr>
      <w:rFonts w:eastAsiaTheme="majorEastAsia" w:cstheme="majorBidi"/>
      <w:b w:val="0"/>
      <w:bCs w:val="0"/>
      <w:color w:val="125C5D" w:themeColor="accent1" w:themeShade="BF"/>
      <w:sz w:val="32"/>
      <w:szCs w:val="32"/>
      <w:lang w:val="en-US" w:eastAsia="en-US"/>
    </w:rPr>
  </w:style>
  <w:style w:type="paragraph" w:styleId="TOC2">
    <w:name w:val="toc 2"/>
    <w:basedOn w:val="Normal"/>
    <w:next w:val="Normal"/>
    <w:autoRedefine/>
    <w:uiPriority w:val="39"/>
    <w:unhideWhenUsed/>
    <w:rsid w:val="00C46A97"/>
    <w:pPr>
      <w:tabs>
        <w:tab w:val="left" w:pos="880"/>
        <w:tab w:val="right" w:leader="dot" w:pos="9016"/>
      </w:tabs>
      <w:spacing w:after="100"/>
      <w:ind w:left="220"/>
    </w:pPr>
  </w:style>
  <w:style w:type="paragraph" w:styleId="TOC1">
    <w:name w:val="toc 1"/>
    <w:basedOn w:val="Normal"/>
    <w:next w:val="Normal"/>
    <w:autoRedefine/>
    <w:uiPriority w:val="39"/>
    <w:unhideWhenUsed/>
    <w:rsid w:val="00FA04B6"/>
    <w:pPr>
      <w:tabs>
        <w:tab w:val="left" w:pos="440"/>
        <w:tab w:val="right" w:leader="dot" w:pos="9016"/>
      </w:tabs>
      <w:spacing w:after="100"/>
    </w:pPr>
    <w:rPr>
      <w:b/>
      <w:bCs/>
      <w:noProof/>
    </w:rPr>
  </w:style>
  <w:style w:type="paragraph" w:styleId="TOC3">
    <w:name w:val="toc 3"/>
    <w:basedOn w:val="Normal"/>
    <w:next w:val="Normal"/>
    <w:autoRedefine/>
    <w:uiPriority w:val="39"/>
    <w:unhideWhenUsed/>
    <w:rsid w:val="00F943E9"/>
    <w:pPr>
      <w:spacing w:after="100"/>
      <w:ind w:left="440"/>
    </w:pPr>
  </w:style>
  <w:style w:type="paragraph" w:styleId="TOAHeading">
    <w:name w:val="toa heading"/>
    <w:basedOn w:val="Normal"/>
    <w:next w:val="Normal"/>
    <w:uiPriority w:val="99"/>
    <w:semiHidden/>
    <w:unhideWhenUsed/>
    <w:rsid w:val="002E3C98"/>
    <w:pPr>
      <w:spacing w:before="120"/>
    </w:pPr>
    <w:rPr>
      <w:rFonts w:asciiTheme="majorHAnsi" w:eastAsiaTheme="majorEastAsia" w:hAnsiTheme="majorHAnsi" w:cstheme="majorBidi"/>
      <w:b/>
      <w:bCs/>
      <w:sz w:val="24"/>
      <w:szCs w:val="24"/>
    </w:rPr>
  </w:style>
  <w:style w:type="table" w:styleId="GridTable5Dark-Accent2">
    <w:name w:val="Grid Table 5 Dark Accent 2"/>
    <w:basedOn w:val="TableNormal"/>
    <w:uiPriority w:val="50"/>
    <w:rsid w:val="00565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2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C1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C1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C1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C1AC" w:themeFill="accent2"/>
      </w:tcPr>
    </w:tblStylePr>
    <w:tblStylePr w:type="band1Vert">
      <w:tblPr/>
      <w:tcPr>
        <w:shd w:val="clear" w:color="auto" w:fill="B2E6DD" w:themeFill="accent2" w:themeFillTint="66"/>
      </w:tcPr>
    </w:tblStylePr>
    <w:tblStylePr w:type="band1Horz">
      <w:tblPr/>
      <w:tcPr>
        <w:shd w:val="clear" w:color="auto" w:fill="B2E6DD" w:themeFill="accent2" w:themeFillTint="66"/>
      </w:tcPr>
    </w:tblStylePr>
  </w:style>
  <w:style w:type="paragraph" w:styleId="Title">
    <w:name w:val="Title"/>
    <w:basedOn w:val="Normal"/>
    <w:next w:val="Normal"/>
    <w:link w:val="TitleChar"/>
    <w:autoRedefine/>
    <w:uiPriority w:val="10"/>
    <w:qFormat/>
    <w:rsid w:val="00380334"/>
    <w:pPr>
      <w:spacing w:after="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380334"/>
    <w:rPr>
      <w:rFonts w:eastAsiaTheme="majorEastAsia" w:cstheme="majorBidi"/>
      <w:spacing w:val="-10"/>
      <w:kern w:val="28"/>
      <w:sz w:val="36"/>
      <w:szCs w:val="56"/>
    </w:rPr>
  </w:style>
  <w:style w:type="paragraph" w:styleId="Subtitle">
    <w:name w:val="Subtitle"/>
    <w:basedOn w:val="Heading1"/>
    <w:next w:val="Normal"/>
    <w:link w:val="SubtitleChar"/>
    <w:uiPriority w:val="23"/>
    <w:qFormat/>
    <w:rsid w:val="00E83FAF"/>
    <w:pPr>
      <w:pageBreakBefore w:val="0"/>
      <w:widowControl w:val="0"/>
      <w:spacing w:before="120" w:after="0" w:line="240" w:lineRule="auto"/>
      <w:contextualSpacing/>
    </w:pPr>
    <w:rPr>
      <w:rFonts w:ascii="Calibri" w:eastAsiaTheme="minorHAnsi" w:hAnsi="Calibri" w:cstheme="minorBidi"/>
      <w:b w:val="0"/>
      <w:color w:val="083A42"/>
      <w:spacing w:val="5"/>
      <w:kern w:val="28"/>
      <w:szCs w:val="56"/>
      <w:lang w:val="en-AU" w:eastAsia="en-US"/>
    </w:rPr>
  </w:style>
  <w:style w:type="character" w:customStyle="1" w:styleId="SubtitleChar">
    <w:name w:val="Subtitle Char"/>
    <w:basedOn w:val="DefaultParagraphFont"/>
    <w:link w:val="Subtitle"/>
    <w:uiPriority w:val="23"/>
    <w:rsid w:val="00E83FAF"/>
    <w:rPr>
      <w:rFonts w:ascii="Calibri" w:hAnsi="Calibri"/>
      <w:bCs/>
      <w:color w:val="083A42"/>
      <w:spacing w:val="5"/>
      <w:kern w:val="28"/>
      <w:sz w:val="56"/>
      <w:szCs w:val="56"/>
      <w14:ligatures w14:val="none"/>
    </w:rPr>
  </w:style>
  <w:style w:type="paragraph" w:customStyle="1" w:styleId="Normalsmall">
    <w:name w:val="Normal small"/>
    <w:qFormat/>
    <w:rsid w:val="001C135F"/>
    <w:pPr>
      <w:spacing w:after="120" w:line="276" w:lineRule="auto"/>
    </w:pPr>
    <w:rPr>
      <w:kern w:val="0"/>
      <w:sz w:val="18"/>
      <w:szCs w:val="18"/>
      <w14:ligatures w14:val="none"/>
    </w:rPr>
  </w:style>
  <w:style w:type="paragraph" w:styleId="TableofFigures">
    <w:name w:val="table of figures"/>
    <w:basedOn w:val="Normal"/>
    <w:next w:val="Normal"/>
    <w:uiPriority w:val="99"/>
    <w:rsid w:val="001C135F"/>
    <w:pPr>
      <w:spacing w:before="120" w:after="120" w:line="240" w:lineRule="auto"/>
    </w:pPr>
    <w:rPr>
      <w:kern w:val="0"/>
      <w14:ligatures w14:val="none"/>
    </w:rPr>
  </w:style>
  <w:style w:type="paragraph" w:customStyle="1" w:styleId="TOCHeading2">
    <w:name w:val="TOC Heading 2"/>
    <w:next w:val="Normal"/>
    <w:qFormat/>
    <w:rsid w:val="001C135F"/>
    <w:pPr>
      <w:spacing w:after="0" w:line="240" w:lineRule="auto"/>
    </w:pPr>
    <w:rPr>
      <w:rFonts w:ascii="Calibri Light" w:hAnsi="Calibri Light"/>
      <w:kern w:val="0"/>
      <w:sz w:val="36"/>
      <w14:ligatures w14:val="none"/>
    </w:rPr>
  </w:style>
  <w:style w:type="numbering" w:customStyle="1" w:styleId="Headinglist">
    <w:name w:val="Heading list"/>
    <w:uiPriority w:val="99"/>
    <w:rsid w:val="001C135F"/>
    <w:pPr>
      <w:numPr>
        <w:numId w:val="65"/>
      </w:numPr>
    </w:pPr>
  </w:style>
  <w:style w:type="character" w:styleId="EndnoteReference">
    <w:name w:val="endnote reference"/>
    <w:basedOn w:val="DefaultParagraphFont"/>
    <w:uiPriority w:val="99"/>
    <w:semiHidden/>
    <w:unhideWhenUsed/>
    <w:rsid w:val="001C135F"/>
    <w:rPr>
      <w:vertAlign w:val="superscript"/>
    </w:rPr>
  </w:style>
  <w:style w:type="paragraph" w:styleId="Caption">
    <w:name w:val="caption"/>
    <w:basedOn w:val="Normal"/>
    <w:next w:val="Normal"/>
    <w:uiPriority w:val="12"/>
    <w:unhideWhenUsed/>
    <w:qFormat/>
    <w:rsid w:val="00867F1E"/>
    <w:pPr>
      <w:spacing w:after="200" w:line="240" w:lineRule="auto"/>
    </w:pPr>
    <w:rPr>
      <w:i/>
      <w:iCs/>
      <w:color w:val="222021" w:themeColor="text2"/>
      <w:sz w:val="18"/>
      <w:szCs w:val="18"/>
    </w:rPr>
  </w:style>
  <w:style w:type="paragraph" w:customStyle="1" w:styleId="TableText0">
    <w:name w:val="Table Text"/>
    <w:basedOn w:val="Normal"/>
    <w:uiPriority w:val="13"/>
    <w:qFormat/>
    <w:rsid w:val="007C2E69"/>
    <w:pPr>
      <w:spacing w:before="60" w:after="60" w:line="240" w:lineRule="auto"/>
    </w:pPr>
    <w:rPr>
      <w:kern w:val="0"/>
      <w:sz w:val="18"/>
      <w14:ligatures w14:val="none"/>
    </w:rPr>
  </w:style>
  <w:style w:type="paragraph" w:customStyle="1" w:styleId="TableHeading">
    <w:name w:val="Table Heading"/>
    <w:basedOn w:val="TableText0"/>
    <w:uiPriority w:val="14"/>
    <w:qFormat/>
    <w:rsid w:val="007C2E69"/>
    <w:pPr>
      <w:keepNext/>
    </w:pPr>
    <w:rPr>
      <w:b/>
    </w:rPr>
  </w:style>
  <w:style w:type="paragraph" w:customStyle="1" w:styleId="TableBullet1">
    <w:name w:val="Table Bullet 1"/>
    <w:basedOn w:val="TableText0"/>
    <w:uiPriority w:val="15"/>
    <w:qFormat/>
    <w:rsid w:val="007C2E69"/>
    <w:pPr>
      <w:numPr>
        <w:numId w:val="69"/>
      </w:numPr>
    </w:pPr>
  </w:style>
  <w:style w:type="numbering" w:customStyle="1" w:styleId="Style1">
    <w:name w:val="Style1"/>
    <w:uiPriority w:val="99"/>
    <w:rsid w:val="00B96176"/>
    <w:pPr>
      <w:numPr>
        <w:numId w:val="78"/>
      </w:numPr>
    </w:pPr>
  </w:style>
  <w:style w:type="character" w:styleId="FollowedHyperlink">
    <w:name w:val="FollowedHyperlink"/>
    <w:basedOn w:val="DefaultParagraphFont"/>
    <w:uiPriority w:val="99"/>
    <w:semiHidden/>
    <w:unhideWhenUsed/>
    <w:rsid w:val="00E21700"/>
    <w:rPr>
      <w:color w:val="0070C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4589">
      <w:bodyDiv w:val="1"/>
      <w:marLeft w:val="0"/>
      <w:marRight w:val="0"/>
      <w:marTop w:val="0"/>
      <w:marBottom w:val="0"/>
      <w:divBdr>
        <w:top w:val="none" w:sz="0" w:space="0" w:color="auto"/>
        <w:left w:val="none" w:sz="0" w:space="0" w:color="auto"/>
        <w:bottom w:val="none" w:sz="0" w:space="0" w:color="auto"/>
        <w:right w:val="none" w:sz="0" w:space="0" w:color="auto"/>
      </w:divBdr>
      <w:divsChild>
        <w:div w:id="221718241">
          <w:marLeft w:val="0"/>
          <w:marRight w:val="0"/>
          <w:marTop w:val="0"/>
          <w:marBottom w:val="0"/>
          <w:divBdr>
            <w:top w:val="none" w:sz="0" w:space="0" w:color="auto"/>
            <w:left w:val="none" w:sz="0" w:space="0" w:color="auto"/>
            <w:bottom w:val="none" w:sz="0" w:space="0" w:color="auto"/>
            <w:right w:val="none" w:sz="0" w:space="0" w:color="auto"/>
          </w:divBdr>
        </w:div>
        <w:div w:id="235674963">
          <w:marLeft w:val="0"/>
          <w:marRight w:val="0"/>
          <w:marTop w:val="0"/>
          <w:marBottom w:val="0"/>
          <w:divBdr>
            <w:top w:val="none" w:sz="0" w:space="0" w:color="auto"/>
            <w:left w:val="none" w:sz="0" w:space="0" w:color="auto"/>
            <w:bottom w:val="none" w:sz="0" w:space="0" w:color="auto"/>
            <w:right w:val="none" w:sz="0" w:space="0" w:color="auto"/>
          </w:divBdr>
        </w:div>
        <w:div w:id="264726683">
          <w:marLeft w:val="0"/>
          <w:marRight w:val="0"/>
          <w:marTop w:val="0"/>
          <w:marBottom w:val="0"/>
          <w:divBdr>
            <w:top w:val="none" w:sz="0" w:space="0" w:color="auto"/>
            <w:left w:val="none" w:sz="0" w:space="0" w:color="auto"/>
            <w:bottom w:val="none" w:sz="0" w:space="0" w:color="auto"/>
            <w:right w:val="none" w:sz="0" w:space="0" w:color="auto"/>
          </w:divBdr>
          <w:divsChild>
            <w:div w:id="354888201">
              <w:marLeft w:val="0"/>
              <w:marRight w:val="0"/>
              <w:marTop w:val="0"/>
              <w:marBottom w:val="0"/>
              <w:divBdr>
                <w:top w:val="none" w:sz="0" w:space="0" w:color="auto"/>
                <w:left w:val="none" w:sz="0" w:space="0" w:color="auto"/>
                <w:bottom w:val="none" w:sz="0" w:space="0" w:color="auto"/>
                <w:right w:val="none" w:sz="0" w:space="0" w:color="auto"/>
              </w:divBdr>
            </w:div>
            <w:div w:id="373769865">
              <w:marLeft w:val="0"/>
              <w:marRight w:val="0"/>
              <w:marTop w:val="0"/>
              <w:marBottom w:val="0"/>
              <w:divBdr>
                <w:top w:val="none" w:sz="0" w:space="0" w:color="auto"/>
                <w:left w:val="none" w:sz="0" w:space="0" w:color="auto"/>
                <w:bottom w:val="none" w:sz="0" w:space="0" w:color="auto"/>
                <w:right w:val="none" w:sz="0" w:space="0" w:color="auto"/>
              </w:divBdr>
            </w:div>
          </w:divsChild>
        </w:div>
        <w:div w:id="387463425">
          <w:marLeft w:val="0"/>
          <w:marRight w:val="0"/>
          <w:marTop w:val="0"/>
          <w:marBottom w:val="0"/>
          <w:divBdr>
            <w:top w:val="none" w:sz="0" w:space="0" w:color="auto"/>
            <w:left w:val="none" w:sz="0" w:space="0" w:color="auto"/>
            <w:bottom w:val="none" w:sz="0" w:space="0" w:color="auto"/>
            <w:right w:val="none" w:sz="0" w:space="0" w:color="auto"/>
          </w:divBdr>
        </w:div>
        <w:div w:id="520507908">
          <w:marLeft w:val="0"/>
          <w:marRight w:val="0"/>
          <w:marTop w:val="0"/>
          <w:marBottom w:val="0"/>
          <w:divBdr>
            <w:top w:val="none" w:sz="0" w:space="0" w:color="auto"/>
            <w:left w:val="none" w:sz="0" w:space="0" w:color="auto"/>
            <w:bottom w:val="none" w:sz="0" w:space="0" w:color="auto"/>
            <w:right w:val="none" w:sz="0" w:space="0" w:color="auto"/>
          </w:divBdr>
        </w:div>
        <w:div w:id="524753792">
          <w:marLeft w:val="0"/>
          <w:marRight w:val="0"/>
          <w:marTop w:val="0"/>
          <w:marBottom w:val="0"/>
          <w:divBdr>
            <w:top w:val="none" w:sz="0" w:space="0" w:color="auto"/>
            <w:left w:val="none" w:sz="0" w:space="0" w:color="auto"/>
            <w:bottom w:val="none" w:sz="0" w:space="0" w:color="auto"/>
            <w:right w:val="none" w:sz="0" w:space="0" w:color="auto"/>
          </w:divBdr>
        </w:div>
        <w:div w:id="786583434">
          <w:marLeft w:val="0"/>
          <w:marRight w:val="0"/>
          <w:marTop w:val="0"/>
          <w:marBottom w:val="0"/>
          <w:divBdr>
            <w:top w:val="none" w:sz="0" w:space="0" w:color="auto"/>
            <w:left w:val="none" w:sz="0" w:space="0" w:color="auto"/>
            <w:bottom w:val="none" w:sz="0" w:space="0" w:color="auto"/>
            <w:right w:val="none" w:sz="0" w:space="0" w:color="auto"/>
          </w:divBdr>
        </w:div>
        <w:div w:id="2051687983">
          <w:marLeft w:val="0"/>
          <w:marRight w:val="0"/>
          <w:marTop w:val="0"/>
          <w:marBottom w:val="0"/>
          <w:divBdr>
            <w:top w:val="none" w:sz="0" w:space="0" w:color="auto"/>
            <w:left w:val="none" w:sz="0" w:space="0" w:color="auto"/>
            <w:bottom w:val="none" w:sz="0" w:space="0" w:color="auto"/>
            <w:right w:val="none" w:sz="0" w:space="0" w:color="auto"/>
          </w:divBdr>
        </w:div>
      </w:divsChild>
    </w:div>
    <w:div w:id="868181600">
      <w:bodyDiv w:val="1"/>
      <w:marLeft w:val="0"/>
      <w:marRight w:val="0"/>
      <w:marTop w:val="0"/>
      <w:marBottom w:val="0"/>
      <w:divBdr>
        <w:top w:val="none" w:sz="0" w:space="0" w:color="auto"/>
        <w:left w:val="none" w:sz="0" w:space="0" w:color="auto"/>
        <w:bottom w:val="none" w:sz="0" w:space="0" w:color="auto"/>
        <w:right w:val="none" w:sz="0" w:space="0" w:color="auto"/>
      </w:divBdr>
    </w:div>
    <w:div w:id="1133598390">
      <w:bodyDiv w:val="1"/>
      <w:marLeft w:val="0"/>
      <w:marRight w:val="0"/>
      <w:marTop w:val="0"/>
      <w:marBottom w:val="0"/>
      <w:divBdr>
        <w:top w:val="none" w:sz="0" w:space="0" w:color="auto"/>
        <w:left w:val="none" w:sz="0" w:space="0" w:color="auto"/>
        <w:bottom w:val="none" w:sz="0" w:space="0" w:color="auto"/>
        <w:right w:val="none" w:sz="0" w:space="0" w:color="auto"/>
      </w:divBdr>
    </w:div>
    <w:div w:id="1511874241">
      <w:bodyDiv w:val="1"/>
      <w:marLeft w:val="0"/>
      <w:marRight w:val="0"/>
      <w:marTop w:val="0"/>
      <w:marBottom w:val="0"/>
      <w:divBdr>
        <w:top w:val="none" w:sz="0" w:space="0" w:color="auto"/>
        <w:left w:val="none" w:sz="0" w:space="0" w:color="auto"/>
        <w:bottom w:val="none" w:sz="0" w:space="0" w:color="auto"/>
        <w:right w:val="none" w:sz="0" w:space="0" w:color="auto"/>
      </w:divBdr>
      <w:divsChild>
        <w:div w:id="221478873">
          <w:marLeft w:val="0"/>
          <w:marRight w:val="0"/>
          <w:marTop w:val="0"/>
          <w:marBottom w:val="0"/>
          <w:divBdr>
            <w:top w:val="none" w:sz="0" w:space="0" w:color="auto"/>
            <w:left w:val="none" w:sz="0" w:space="0" w:color="auto"/>
            <w:bottom w:val="none" w:sz="0" w:space="0" w:color="auto"/>
            <w:right w:val="none" w:sz="0" w:space="0" w:color="auto"/>
          </w:divBdr>
        </w:div>
        <w:div w:id="556430141">
          <w:marLeft w:val="0"/>
          <w:marRight w:val="0"/>
          <w:marTop w:val="0"/>
          <w:marBottom w:val="0"/>
          <w:divBdr>
            <w:top w:val="none" w:sz="0" w:space="0" w:color="auto"/>
            <w:left w:val="none" w:sz="0" w:space="0" w:color="auto"/>
            <w:bottom w:val="none" w:sz="0" w:space="0" w:color="auto"/>
            <w:right w:val="none" w:sz="0" w:space="0" w:color="auto"/>
          </w:divBdr>
          <w:divsChild>
            <w:div w:id="1101492903">
              <w:marLeft w:val="0"/>
              <w:marRight w:val="0"/>
              <w:marTop w:val="0"/>
              <w:marBottom w:val="0"/>
              <w:divBdr>
                <w:top w:val="none" w:sz="0" w:space="0" w:color="auto"/>
                <w:left w:val="none" w:sz="0" w:space="0" w:color="auto"/>
                <w:bottom w:val="none" w:sz="0" w:space="0" w:color="auto"/>
                <w:right w:val="none" w:sz="0" w:space="0" w:color="auto"/>
              </w:divBdr>
            </w:div>
            <w:div w:id="1647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297">
      <w:bodyDiv w:val="1"/>
      <w:marLeft w:val="0"/>
      <w:marRight w:val="0"/>
      <w:marTop w:val="0"/>
      <w:marBottom w:val="0"/>
      <w:divBdr>
        <w:top w:val="none" w:sz="0" w:space="0" w:color="auto"/>
        <w:left w:val="none" w:sz="0" w:space="0" w:color="auto"/>
        <w:bottom w:val="none" w:sz="0" w:space="0" w:color="auto"/>
        <w:right w:val="none" w:sz="0" w:space="0" w:color="auto"/>
      </w:divBdr>
    </w:div>
    <w:div w:id="1770393057">
      <w:bodyDiv w:val="1"/>
      <w:marLeft w:val="0"/>
      <w:marRight w:val="0"/>
      <w:marTop w:val="0"/>
      <w:marBottom w:val="0"/>
      <w:divBdr>
        <w:top w:val="none" w:sz="0" w:space="0" w:color="auto"/>
        <w:left w:val="none" w:sz="0" w:space="0" w:color="auto"/>
        <w:bottom w:val="none" w:sz="0" w:space="0" w:color="auto"/>
        <w:right w:val="none" w:sz="0" w:space="0" w:color="auto"/>
      </w:divBdr>
    </w:div>
    <w:div w:id="1847868641">
      <w:bodyDiv w:val="1"/>
      <w:marLeft w:val="0"/>
      <w:marRight w:val="0"/>
      <w:marTop w:val="0"/>
      <w:marBottom w:val="0"/>
      <w:divBdr>
        <w:top w:val="none" w:sz="0" w:space="0" w:color="auto"/>
        <w:left w:val="none" w:sz="0" w:space="0" w:color="auto"/>
        <w:bottom w:val="none" w:sz="0" w:space="0" w:color="auto"/>
        <w:right w:val="none" w:sz="0" w:space="0" w:color="auto"/>
      </w:divBdr>
      <w:divsChild>
        <w:div w:id="270406090">
          <w:marLeft w:val="0"/>
          <w:marRight w:val="0"/>
          <w:marTop w:val="0"/>
          <w:marBottom w:val="0"/>
          <w:divBdr>
            <w:top w:val="none" w:sz="0" w:space="0" w:color="auto"/>
            <w:left w:val="none" w:sz="0" w:space="0" w:color="auto"/>
            <w:bottom w:val="none" w:sz="0" w:space="0" w:color="auto"/>
            <w:right w:val="none" w:sz="0" w:space="0" w:color="auto"/>
          </w:divBdr>
        </w:div>
        <w:div w:id="816454111">
          <w:marLeft w:val="0"/>
          <w:marRight w:val="0"/>
          <w:marTop w:val="0"/>
          <w:marBottom w:val="0"/>
          <w:divBdr>
            <w:top w:val="none" w:sz="0" w:space="0" w:color="auto"/>
            <w:left w:val="none" w:sz="0" w:space="0" w:color="auto"/>
            <w:bottom w:val="none" w:sz="0" w:space="0" w:color="auto"/>
            <w:right w:val="none" w:sz="0" w:space="0" w:color="auto"/>
          </w:divBdr>
        </w:div>
      </w:divsChild>
    </w:div>
    <w:div w:id="211327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consult.dcceew.gov.au" TargetMode="External"/><Relationship Id="rId26" Type="http://schemas.openxmlformats.org/officeDocument/2006/relationships/diagramColors" Target="diagrams/colors1.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consult.dcceew.gov.au/capacity-investment-scheme-western-australia-design-paper" TargetMode="External"/><Relationship Id="rId25" Type="http://schemas.openxmlformats.org/officeDocument/2006/relationships/diagramQuickStyle" Target="diagrams/quickStyle1.xml"/><Relationship Id="rId33" Type="http://schemas.openxmlformats.org/officeDocument/2006/relationships/footer" Target="footer2.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image" Target="media/image3.png"/><Relationship Id="rId29" Type="http://schemas.openxmlformats.org/officeDocument/2006/relationships/hyperlink" Target="https://www.dcceew.gov.au/sites/default/files/documents/community-engagement-review-report-minister-climate-change-energ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diagramData" Target="diagrams/data1.xml"/><Relationship Id="rId28" Type="http://schemas.openxmlformats.org/officeDocument/2006/relationships/hyperlink" Target="https://www.energy.gov.au/energy-and-climate-change-ministerial-council/working-groups/first-nations-engagement-working-group/first-nations-clean-energy-strateg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cceew.gov.au/energy/renewable/capacity-investment-scheme"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hyperlink" Target="https://consult.dcceew.gov.au"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aemo.com.au/-/media/files/electricity/wem/planning_and_forecasting/esoo/2023/2023-wholesale-electricity-market-electricity-statement-of-opportunities-wem-esoo.pdf" TargetMode="External"/><Relationship Id="rId2" Type="http://schemas.openxmlformats.org/officeDocument/2006/relationships/hyperlink" Target="https://minister.dcceew.gov.au/bowen/media-releases/joint-media-release-capacity-investment-scheme-supports-nsw-deliver-1gw-cleaner-cheaper-more-reliable-energy-nsw" TargetMode="External"/><Relationship Id="rId1" Type="http://schemas.openxmlformats.org/officeDocument/2006/relationships/hyperlink" Target="https://minister.dcceew.gov.au/bowen/media-releases/delivering-more-reliable-energy-all-australians" TargetMode="External"/><Relationship Id="rId4" Type="http://schemas.openxmlformats.org/officeDocument/2006/relationships/hyperlink" Target="https://aemo.com.au/energy-systems/electricity/wholesale-electricity-market-wem/about-the-wholesale-electricity-market-wa-wem"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0AB1A-0C27-47B8-BA35-EF6FCA225ABA}" type="doc">
      <dgm:prSet loTypeId="urn:microsoft.com/office/officeart/2005/8/layout/vProcess5" loCatId="process" qsTypeId="urn:microsoft.com/office/officeart/2005/8/quickstyle/simple1" qsCatId="simple" csTypeId="urn:microsoft.com/office/officeart/2005/8/colors/accent1_4" csCatId="accent1" phldr="1"/>
      <dgm:spPr/>
    </dgm:pt>
    <dgm:pt modelId="{E132AA0B-C240-40CB-B7C8-EF9465D764A9}">
      <dgm:prSet phldrT="[Text]"/>
      <dgm:spPr>
        <a:solidFill>
          <a:schemeClr val="accent1">
            <a:lumMod val="20000"/>
            <a:lumOff val="80000"/>
          </a:schemeClr>
        </a:solidFill>
      </dgm:spPr>
      <dgm:t>
        <a:bodyPr/>
        <a:lstStyle/>
        <a:p>
          <a:pPr>
            <a:buFont typeface="Symbol" panose="05050102010706020507" pitchFamily="18" charset="2"/>
            <a:buChar char=""/>
          </a:pPr>
          <a:r>
            <a:rPr lang="en-AU" b="1">
              <a:solidFill>
                <a:schemeClr val="tx1"/>
              </a:solidFill>
            </a:rPr>
            <a:t>Project bid stage (Stage A)</a:t>
          </a:r>
          <a:r>
            <a:rPr lang="en-AU">
              <a:solidFill>
                <a:schemeClr val="tx1"/>
              </a:solidFill>
            </a:rPr>
            <a:t>: projects will be assessed against their technical, commercial and social licence merit. Strongest performing projects will then be shortlisted and invited to submit a bid for Stage B. Projects may be asked to provide an indicative financial bid at the project bid stage. </a:t>
          </a:r>
        </a:p>
      </dgm:t>
    </dgm:pt>
    <dgm:pt modelId="{0F976069-F560-4EA1-BCE2-EEC213DC5276}" type="parTrans" cxnId="{9C542390-5248-4E4F-AED1-05C53969AF31}">
      <dgm:prSet/>
      <dgm:spPr/>
      <dgm:t>
        <a:bodyPr/>
        <a:lstStyle/>
        <a:p>
          <a:endParaRPr lang="en-AU"/>
        </a:p>
      </dgm:t>
    </dgm:pt>
    <dgm:pt modelId="{3ACBFACB-E938-4423-9951-1AFF84191BFA}" type="sibTrans" cxnId="{9C542390-5248-4E4F-AED1-05C53969AF31}">
      <dgm:prSet/>
      <dgm:spPr>
        <a:solidFill>
          <a:schemeClr val="accent1">
            <a:lumMod val="75000"/>
            <a:alpha val="90000"/>
          </a:schemeClr>
        </a:solidFill>
        <a:ln>
          <a:noFill/>
        </a:ln>
      </dgm:spPr>
      <dgm:t>
        <a:bodyPr/>
        <a:lstStyle/>
        <a:p>
          <a:endParaRPr lang="en-AU"/>
        </a:p>
      </dgm:t>
    </dgm:pt>
    <dgm:pt modelId="{8C744D31-3043-4E8F-B1B8-526C3A4B3F1D}">
      <dgm:prSet phldrT="[Text]"/>
      <dgm:spPr/>
      <dgm:t>
        <a:bodyPr/>
        <a:lstStyle/>
        <a:p>
          <a:r>
            <a:rPr lang="en-AU" b="1">
              <a:solidFill>
                <a:schemeClr val="tx1"/>
              </a:solidFill>
            </a:rPr>
            <a:t>Financial bid stage (Stage B)</a:t>
          </a:r>
          <a:r>
            <a:rPr lang="en-AU">
              <a:solidFill>
                <a:schemeClr val="tx1"/>
              </a:solidFill>
            </a:rPr>
            <a:t>: projects will be assessed against their contribution to the policy objectives of the CIS, being contribution to reliability and lower prices for consumers. At this stage, projects will be expected to provide pricing bid variables for competitive assessment</a:t>
          </a:r>
        </a:p>
      </dgm:t>
    </dgm:pt>
    <dgm:pt modelId="{BDEA9600-378A-4E92-A6A8-D248F345CAC2}" type="parTrans" cxnId="{C8CB2E9B-7CE5-4641-A48C-B8090CEE4759}">
      <dgm:prSet/>
      <dgm:spPr/>
      <dgm:t>
        <a:bodyPr/>
        <a:lstStyle/>
        <a:p>
          <a:endParaRPr lang="en-AU"/>
        </a:p>
      </dgm:t>
    </dgm:pt>
    <dgm:pt modelId="{50556D66-F305-449B-B85B-E1A25452C818}" type="sibTrans" cxnId="{C8CB2E9B-7CE5-4641-A48C-B8090CEE4759}">
      <dgm:prSet/>
      <dgm:spPr/>
      <dgm:t>
        <a:bodyPr/>
        <a:lstStyle/>
        <a:p>
          <a:endParaRPr lang="en-AU"/>
        </a:p>
      </dgm:t>
    </dgm:pt>
    <dgm:pt modelId="{1722D4B8-2492-450B-92F9-E1B38AFDF0D7}" type="pres">
      <dgm:prSet presAssocID="{8270AB1A-0C27-47B8-BA35-EF6FCA225ABA}" presName="outerComposite" presStyleCnt="0">
        <dgm:presLayoutVars>
          <dgm:chMax val="5"/>
          <dgm:dir/>
          <dgm:resizeHandles val="exact"/>
        </dgm:presLayoutVars>
      </dgm:prSet>
      <dgm:spPr/>
    </dgm:pt>
    <dgm:pt modelId="{590A8026-AAA1-4A1B-BCF5-2F7043FBC734}" type="pres">
      <dgm:prSet presAssocID="{8270AB1A-0C27-47B8-BA35-EF6FCA225ABA}" presName="dummyMaxCanvas" presStyleCnt="0">
        <dgm:presLayoutVars/>
      </dgm:prSet>
      <dgm:spPr/>
    </dgm:pt>
    <dgm:pt modelId="{602FF8FC-2334-467B-97B6-3DDE8E8AE51C}" type="pres">
      <dgm:prSet presAssocID="{8270AB1A-0C27-47B8-BA35-EF6FCA225ABA}" presName="TwoNodes_1" presStyleLbl="node1" presStyleIdx="0" presStyleCnt="2" custScaleX="99722">
        <dgm:presLayoutVars>
          <dgm:bulletEnabled val="1"/>
        </dgm:presLayoutVars>
      </dgm:prSet>
      <dgm:spPr/>
    </dgm:pt>
    <dgm:pt modelId="{DAD023EC-219D-4AED-A0A0-416BA5A200C1}" type="pres">
      <dgm:prSet presAssocID="{8270AB1A-0C27-47B8-BA35-EF6FCA225ABA}" presName="TwoNodes_2" presStyleLbl="node1" presStyleIdx="1" presStyleCnt="2">
        <dgm:presLayoutVars>
          <dgm:bulletEnabled val="1"/>
        </dgm:presLayoutVars>
      </dgm:prSet>
      <dgm:spPr/>
    </dgm:pt>
    <dgm:pt modelId="{4B86AA37-15AB-474C-BDEB-3DD612AB79A5}" type="pres">
      <dgm:prSet presAssocID="{8270AB1A-0C27-47B8-BA35-EF6FCA225ABA}" presName="TwoConn_1-2" presStyleLbl="fgAccFollowNode1" presStyleIdx="0" presStyleCnt="1">
        <dgm:presLayoutVars>
          <dgm:bulletEnabled val="1"/>
        </dgm:presLayoutVars>
      </dgm:prSet>
      <dgm:spPr/>
    </dgm:pt>
    <dgm:pt modelId="{E9EA8044-316E-4D3C-A274-A29CAB2A2E72}" type="pres">
      <dgm:prSet presAssocID="{8270AB1A-0C27-47B8-BA35-EF6FCA225ABA}" presName="TwoNodes_1_text" presStyleLbl="node1" presStyleIdx="1" presStyleCnt="2">
        <dgm:presLayoutVars>
          <dgm:bulletEnabled val="1"/>
        </dgm:presLayoutVars>
      </dgm:prSet>
      <dgm:spPr/>
    </dgm:pt>
    <dgm:pt modelId="{40A79EE9-A187-4297-A205-36EEEB8ABF5A}" type="pres">
      <dgm:prSet presAssocID="{8270AB1A-0C27-47B8-BA35-EF6FCA225ABA}" presName="TwoNodes_2_text" presStyleLbl="node1" presStyleIdx="1" presStyleCnt="2">
        <dgm:presLayoutVars>
          <dgm:bulletEnabled val="1"/>
        </dgm:presLayoutVars>
      </dgm:prSet>
      <dgm:spPr/>
    </dgm:pt>
  </dgm:ptLst>
  <dgm:cxnLst>
    <dgm:cxn modelId="{62A5130D-BF2F-45A7-A6DD-2D08E6EC36A6}" type="presOf" srcId="{8270AB1A-0C27-47B8-BA35-EF6FCA225ABA}" destId="{1722D4B8-2492-450B-92F9-E1B38AFDF0D7}" srcOrd="0" destOrd="0" presId="urn:microsoft.com/office/officeart/2005/8/layout/vProcess5"/>
    <dgm:cxn modelId="{AED2B93D-838F-46D4-B656-5526DFF5C9AE}" type="presOf" srcId="{E132AA0B-C240-40CB-B7C8-EF9465D764A9}" destId="{602FF8FC-2334-467B-97B6-3DDE8E8AE51C}" srcOrd="0" destOrd="0" presId="urn:microsoft.com/office/officeart/2005/8/layout/vProcess5"/>
    <dgm:cxn modelId="{9C542390-5248-4E4F-AED1-05C53969AF31}" srcId="{8270AB1A-0C27-47B8-BA35-EF6FCA225ABA}" destId="{E132AA0B-C240-40CB-B7C8-EF9465D764A9}" srcOrd="0" destOrd="0" parTransId="{0F976069-F560-4EA1-BCE2-EEC213DC5276}" sibTransId="{3ACBFACB-E938-4423-9951-1AFF84191BFA}"/>
    <dgm:cxn modelId="{C8CB2E9B-7CE5-4641-A48C-B8090CEE4759}" srcId="{8270AB1A-0C27-47B8-BA35-EF6FCA225ABA}" destId="{8C744D31-3043-4E8F-B1B8-526C3A4B3F1D}" srcOrd="1" destOrd="0" parTransId="{BDEA9600-378A-4E92-A6A8-D248F345CAC2}" sibTransId="{50556D66-F305-449B-B85B-E1A25452C818}"/>
    <dgm:cxn modelId="{D842E29E-EC46-4FCF-A296-D27ACCC6E3E6}" type="presOf" srcId="{8C744D31-3043-4E8F-B1B8-526C3A4B3F1D}" destId="{40A79EE9-A187-4297-A205-36EEEB8ABF5A}" srcOrd="1" destOrd="0" presId="urn:microsoft.com/office/officeart/2005/8/layout/vProcess5"/>
    <dgm:cxn modelId="{E1AF21CB-9E1A-4AC6-975E-367296146266}" type="presOf" srcId="{8C744D31-3043-4E8F-B1B8-526C3A4B3F1D}" destId="{DAD023EC-219D-4AED-A0A0-416BA5A200C1}" srcOrd="0" destOrd="0" presId="urn:microsoft.com/office/officeart/2005/8/layout/vProcess5"/>
    <dgm:cxn modelId="{6944FBD0-ACD8-48DB-A4FE-8884AF5F4F94}" type="presOf" srcId="{E132AA0B-C240-40CB-B7C8-EF9465D764A9}" destId="{E9EA8044-316E-4D3C-A274-A29CAB2A2E72}" srcOrd="1" destOrd="0" presId="urn:microsoft.com/office/officeart/2005/8/layout/vProcess5"/>
    <dgm:cxn modelId="{68113CE9-78DE-4B5B-917F-33863AC51624}" type="presOf" srcId="{3ACBFACB-E938-4423-9951-1AFF84191BFA}" destId="{4B86AA37-15AB-474C-BDEB-3DD612AB79A5}" srcOrd="0" destOrd="0" presId="urn:microsoft.com/office/officeart/2005/8/layout/vProcess5"/>
    <dgm:cxn modelId="{EBEA5301-65E6-4196-940B-1EFB30322241}" type="presParOf" srcId="{1722D4B8-2492-450B-92F9-E1B38AFDF0D7}" destId="{590A8026-AAA1-4A1B-BCF5-2F7043FBC734}" srcOrd="0" destOrd="0" presId="urn:microsoft.com/office/officeart/2005/8/layout/vProcess5"/>
    <dgm:cxn modelId="{3D3B97DE-726D-4CC6-B328-585A366542C6}" type="presParOf" srcId="{1722D4B8-2492-450B-92F9-E1B38AFDF0D7}" destId="{602FF8FC-2334-467B-97B6-3DDE8E8AE51C}" srcOrd="1" destOrd="0" presId="urn:microsoft.com/office/officeart/2005/8/layout/vProcess5"/>
    <dgm:cxn modelId="{74D15291-35F9-4D67-9232-47F4BF7F9A2D}" type="presParOf" srcId="{1722D4B8-2492-450B-92F9-E1B38AFDF0D7}" destId="{DAD023EC-219D-4AED-A0A0-416BA5A200C1}" srcOrd="2" destOrd="0" presId="urn:microsoft.com/office/officeart/2005/8/layout/vProcess5"/>
    <dgm:cxn modelId="{D756B156-12B7-44C5-81BA-1848A1607A44}" type="presParOf" srcId="{1722D4B8-2492-450B-92F9-E1B38AFDF0D7}" destId="{4B86AA37-15AB-474C-BDEB-3DD612AB79A5}" srcOrd="3" destOrd="0" presId="urn:microsoft.com/office/officeart/2005/8/layout/vProcess5"/>
    <dgm:cxn modelId="{318294F5-36D2-4D08-834A-0A636D7426D3}" type="presParOf" srcId="{1722D4B8-2492-450B-92F9-E1B38AFDF0D7}" destId="{E9EA8044-316E-4D3C-A274-A29CAB2A2E72}" srcOrd="4" destOrd="0" presId="urn:microsoft.com/office/officeart/2005/8/layout/vProcess5"/>
    <dgm:cxn modelId="{44EEB8CC-0407-48AF-B665-17054C020768}" type="presParOf" srcId="{1722D4B8-2492-450B-92F9-E1B38AFDF0D7}" destId="{40A79EE9-A187-4297-A205-36EEEB8ABF5A}" srcOrd="5"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FF8FC-2334-467B-97B6-3DDE8E8AE51C}">
      <dsp:nvSpPr>
        <dsp:cNvPr id="0" name=""/>
        <dsp:cNvSpPr/>
      </dsp:nvSpPr>
      <dsp:spPr>
        <a:xfrm>
          <a:off x="6482" y="0"/>
          <a:ext cx="4650475" cy="983974"/>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AU" sz="1000" b="1" kern="1200">
              <a:solidFill>
                <a:schemeClr val="tx1"/>
              </a:solidFill>
            </a:rPr>
            <a:t>Project bid stage (Stage A)</a:t>
          </a:r>
          <a:r>
            <a:rPr lang="en-AU" sz="1000" kern="1200">
              <a:solidFill>
                <a:schemeClr val="tx1"/>
              </a:solidFill>
            </a:rPr>
            <a:t>: projects will be assessed against their technical, commercial and social licence merit. Strongest performing projects will then be shortlisted and invited to submit a bid for Stage B. Projects may be asked to provide an indicative financial bid at the project bid stage. </a:t>
          </a:r>
        </a:p>
      </dsp:txBody>
      <dsp:txXfrm>
        <a:off x="35302" y="28820"/>
        <a:ext cx="3636127" cy="926334"/>
      </dsp:txXfrm>
    </dsp:sp>
    <dsp:sp modelId="{DAD023EC-219D-4AED-A0A0-416BA5A200C1}">
      <dsp:nvSpPr>
        <dsp:cNvPr id="0" name=""/>
        <dsp:cNvSpPr/>
      </dsp:nvSpPr>
      <dsp:spPr>
        <a:xfrm>
          <a:off x="822959" y="1202634"/>
          <a:ext cx="4663440" cy="983974"/>
        </a:xfrm>
        <a:prstGeom prst="roundRect">
          <a:avLst>
            <a:gd name="adj" fmla="val 10000"/>
          </a:avLst>
        </a:prstGeom>
        <a:solidFill>
          <a:schemeClr val="accent1">
            <a:shade val="50000"/>
            <a:hueOff val="24977"/>
            <a:satOff val="-57621"/>
            <a:lumOff val="533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tx1"/>
              </a:solidFill>
            </a:rPr>
            <a:t>Financial bid stage (Stage B)</a:t>
          </a:r>
          <a:r>
            <a:rPr lang="en-AU" sz="1000" kern="1200">
              <a:solidFill>
                <a:schemeClr val="tx1"/>
              </a:solidFill>
            </a:rPr>
            <a:t>: projects will be assessed against their contribution to the policy objectives of the CIS, being contribution to reliability and lower prices for consumers. At this stage, projects will be expected to provide pricing bid variables for competitive assessment</a:t>
          </a:r>
        </a:p>
      </dsp:txBody>
      <dsp:txXfrm>
        <a:off x="851779" y="1231454"/>
        <a:ext cx="3143256" cy="926334"/>
      </dsp:txXfrm>
    </dsp:sp>
    <dsp:sp modelId="{4B86AA37-15AB-474C-BDEB-3DD612AB79A5}">
      <dsp:nvSpPr>
        <dsp:cNvPr id="0" name=""/>
        <dsp:cNvSpPr/>
      </dsp:nvSpPr>
      <dsp:spPr>
        <a:xfrm>
          <a:off x="4023856" y="773512"/>
          <a:ext cx="639583" cy="639583"/>
        </a:xfrm>
        <a:prstGeom prst="downArrow">
          <a:avLst>
            <a:gd name="adj1" fmla="val 55000"/>
            <a:gd name="adj2" fmla="val 45000"/>
          </a:avLst>
        </a:prstGeom>
        <a:solidFill>
          <a:schemeClr val="accent1">
            <a:lumMod val="7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AU" sz="2900" kern="1200"/>
        </a:p>
      </dsp:txBody>
      <dsp:txXfrm>
        <a:off x="4167762" y="773512"/>
        <a:ext cx="351771" cy="48128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8984D6C-7766-49F7-84C5-4EC671ECB63E}">
    <t:Anchor>
      <t:Comment id="859429832"/>
    </t:Anchor>
    <t:History>
      <t:Event id="{55EF2D9C-BF38-4940-97BF-5D9D63D68ED9}" time="2023-11-06T22:08:08.64Z">
        <t:Attribution userId="S::James.Gillespie@dcceew.gov.au::290065f1-25cb-4d72-a1a6-ea35cb89e014" userProvider="AD" userName="Gillespie, James"/>
        <t:Anchor>
          <t:Comment id="687111440"/>
        </t:Anchor>
        <t:Create/>
      </t:Event>
      <t:Event id="{4CFF14DD-C4E8-468D-A66E-0E5F86043E20}" time="2023-11-06T22:08:08.64Z">
        <t:Attribution userId="S::James.Gillespie@dcceew.gov.au::290065f1-25cb-4d72-a1a6-ea35cb89e014" userProvider="AD" userName="Gillespie, James"/>
        <t:Anchor>
          <t:Comment id="687111440"/>
        </t:Anchor>
        <t:Assign userId="S::Tanya.SPISBAH@dcceew.gov.au::f5eec991-189f-4602-972f-b645a7ddf30f" userProvider="AD" userName="Spisbah, Tanya"/>
      </t:Event>
      <t:Event id="{F3972C46-0C87-4F85-AF1B-10B1E4C6CFFD}" time="2023-11-06T22:08:08.64Z">
        <t:Attribution userId="S::James.Gillespie@dcceew.gov.au::290065f1-25cb-4d72-a1a6-ea35cb89e014" userProvider="AD" userName="Gillespie, James"/>
        <t:Anchor>
          <t:Comment id="687111440"/>
        </t:Anchor>
        <t:SetTitle title="@Spisbah, Tanya "/>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0b9b4d-7f79-474c-ada1-1bbc47134fcc">
      <Terms xmlns="http://schemas.microsoft.com/office/infopath/2007/PartnerControls"/>
    </lcf76f155ced4ddcb4097134ff3c332f>
    <TaxCatchAll xmlns="81c01dc6-2c49-4730-b140-874c95cac377" xsi:nil="true"/>
    <SharedWithUsers xmlns="f955cd0e-1d6d-436f-8ac5-e785274a8c16">
      <UserInfo>
        <DisplayName>MAZOUZ, Salim</DisplayName>
        <AccountId>15</AccountId>
        <AccountType/>
      </UserInfo>
      <UserInfo>
        <DisplayName>Gillespie, James</DisplayName>
        <AccountId>151</AccountId>
        <AccountType/>
      </UserInfo>
      <UserInfo>
        <DisplayName>Stocks, Matt</DisplayName>
        <AccountId>32</AccountId>
        <AccountType/>
      </UserInfo>
      <UserInfo>
        <DisplayName>Ross-Taylor, Patrick</DisplayName>
        <AccountId>169</AccountId>
        <AccountType/>
      </UserInfo>
      <UserInfo>
        <DisplayName>Spisbah, Tanya</DisplayName>
        <AccountId>66</AccountId>
        <AccountType/>
      </UserInfo>
      <UserInfo>
        <DisplayName>Konovalov, Zoe</DisplayName>
        <AccountId>14</AccountId>
        <AccountType/>
      </UserInfo>
      <UserInfo>
        <DisplayName>Boss, Hannah</DisplayName>
        <AccountId>67</AccountId>
        <AccountType/>
      </UserInfo>
      <UserInfo>
        <DisplayName>Hook, Cameron</DisplayName>
        <AccountId>22</AccountId>
        <AccountType/>
      </UserInfo>
      <UserInfo>
        <DisplayName>Halstead, Zoe</DisplayName>
        <AccountId>16</AccountId>
        <AccountType/>
      </UserInfo>
      <UserInfo>
        <DisplayName>Perkins, Christian</DisplayName>
        <AccountId>78</AccountId>
        <AccountType/>
      </UserInfo>
      <UserInfo>
        <DisplayName>Stevenson, Lucy</DisplayName>
        <AccountId>141</AccountId>
        <AccountType/>
      </UserInfo>
      <UserInfo>
        <DisplayName>Gout, Gillian</DisplayName>
        <AccountId>140</AccountId>
        <AccountType/>
      </UserInfo>
      <UserInfo>
        <DisplayName>Mohammed, Sohaib</DisplayName>
        <AccountId>137</AccountId>
        <AccountType/>
      </UserInfo>
      <UserInfo>
        <DisplayName>Chugh, Jaismine</DisplayName>
        <AccountId>142</AccountId>
        <AccountType/>
      </UserInfo>
      <UserInfo>
        <DisplayName>Morrison, Daniel</DisplayName>
        <AccountId>34</AccountId>
        <AccountType/>
      </UserInfo>
      <UserInfo>
        <DisplayName>Mckinnon, Fergus</DisplayName>
        <AccountId>65</AccountId>
        <AccountType/>
      </UserInfo>
      <UserInfo>
        <DisplayName>Wiltshire, Alison</DisplayName>
        <AccountId>115</AccountId>
        <AccountType/>
      </UserInfo>
      <UserInfo>
        <DisplayName>Knott, Liam</DisplayName>
        <AccountId>187</AccountId>
        <AccountType/>
      </UserInfo>
      <UserInfo>
        <DisplayName>Bahramzadeh, Ali</DisplayName>
        <AccountId>13</AccountId>
        <AccountType/>
      </UserInfo>
      <UserInfo>
        <DisplayName>Kulkarni, Devika</DisplayName>
        <AccountId>193</AccountId>
        <AccountType/>
      </UserInfo>
      <UserInfo>
        <DisplayName>Leung, Gary</DisplayName>
        <AccountId>75</AccountId>
        <AccountType/>
      </UserInfo>
      <UserInfo>
        <DisplayName>Sio, Kelvin</DisplayName>
        <AccountId>150</AccountId>
        <AccountType/>
      </UserInfo>
      <UserInfo>
        <DisplayName>Walsh, Jeremy</DisplayName>
        <AccountId>174</AccountId>
        <AccountType/>
      </UserInfo>
      <UserInfo>
        <DisplayName>Kuswara, Aaron</DisplayName>
        <AccountId>168</AccountId>
        <AccountType/>
      </UserInfo>
      <UserInfo>
        <DisplayName>Anglin, Tirzah</DisplayName>
        <AccountId>381</AccountId>
        <AccountType/>
      </UserInfo>
    </SharedWithUsers>
    <Comment xmlns="c00b9b4d-7f79-474c-ada1-1bbc47134f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39484377F1D8408015F6CB5293512F" ma:contentTypeVersion="17" ma:contentTypeDescription="Create a new document." ma:contentTypeScope="" ma:versionID="95ca4e2825b4fbea2620012080e1da95">
  <xsd:schema xmlns:xsd="http://www.w3.org/2001/XMLSchema" xmlns:xs="http://www.w3.org/2001/XMLSchema" xmlns:p="http://schemas.microsoft.com/office/2006/metadata/properties" xmlns:ns2="c00b9b4d-7f79-474c-ada1-1bbc47134fcc" xmlns:ns3="f955cd0e-1d6d-436f-8ac5-e785274a8c16" xmlns:ns4="81c01dc6-2c49-4730-b140-874c95cac377" targetNamespace="http://schemas.microsoft.com/office/2006/metadata/properties" ma:root="true" ma:fieldsID="535c903965bde8ca4a5493469dc7cf31" ns2:_="" ns3:_="" ns4:_="">
    <xsd:import namespace="c00b9b4d-7f79-474c-ada1-1bbc47134fcc"/>
    <xsd:import namespace="f955cd0e-1d6d-436f-8ac5-e785274a8c16"/>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b9b4d-7f79-474c-ada1-1bbc47134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ment" ma:index="23" nillable="true" ma:displayName="Comment" ma:description="Add comments on particular versions"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55cd0e-1d6d-436f-8ac5-e785274a8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ddda093-ff4d-4ae0-a424-6811226b44a9}" ma:internalName="TaxCatchAll" ma:showField="CatchAllData" ma:web="f955cd0e-1d6d-436f-8ac5-e785274a8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B79857-E028-4DDE-95D3-1378F91B16B4}">
  <ds:schemaRefs>
    <ds:schemaRef ds:uri="http://schemas.microsoft.com/sharepoint/v3/contenttype/forms"/>
  </ds:schemaRefs>
</ds:datastoreItem>
</file>

<file path=customXml/itemProps2.xml><?xml version="1.0" encoding="utf-8"?>
<ds:datastoreItem xmlns:ds="http://schemas.openxmlformats.org/officeDocument/2006/customXml" ds:itemID="{22EAD976-C198-489D-B69C-BD8485DB06F7}">
  <ds:schemaRefs>
    <ds:schemaRef ds:uri="http://schemas.openxmlformats.org/officeDocument/2006/bibliography"/>
  </ds:schemaRefs>
</ds:datastoreItem>
</file>

<file path=customXml/itemProps3.xml><?xml version="1.0" encoding="utf-8"?>
<ds:datastoreItem xmlns:ds="http://schemas.openxmlformats.org/officeDocument/2006/customXml" ds:itemID="{579DC0C7-13B0-4DB1-A874-04CD6678D6C0}">
  <ds:schemaRefs>
    <ds:schemaRef ds:uri="http://schemas.microsoft.com/office/2006/metadata/properties"/>
    <ds:schemaRef ds:uri="http://schemas.microsoft.com/office/infopath/2007/PartnerControls"/>
    <ds:schemaRef ds:uri="c00b9b4d-7f79-474c-ada1-1bbc47134fcc"/>
    <ds:schemaRef ds:uri="81c01dc6-2c49-4730-b140-874c95cac377"/>
    <ds:schemaRef ds:uri="f955cd0e-1d6d-436f-8ac5-e785274a8c16"/>
  </ds:schemaRefs>
</ds:datastoreItem>
</file>

<file path=customXml/itemProps4.xml><?xml version="1.0" encoding="utf-8"?>
<ds:datastoreItem xmlns:ds="http://schemas.openxmlformats.org/officeDocument/2006/customXml" ds:itemID="{635A2417-E144-4065-B702-3BB6760AF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b9b4d-7f79-474c-ada1-1bbc47134fcc"/>
    <ds:schemaRef ds:uri="f955cd0e-1d6d-436f-8ac5-e785274a8c16"/>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9431</Words>
  <Characters>53757</Characters>
  <Application>Microsoft Office Word</Application>
  <DocSecurity>0</DocSecurity>
  <Lines>447</Lines>
  <Paragraphs>126</Paragraphs>
  <ScaleCrop>false</ScaleCrop>
  <Company/>
  <LinksUpToDate>false</LinksUpToDate>
  <CharactersWithSpaces>63062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Gillespie</dc:creator>
  <cp:keywords/>
  <dc:description/>
  <cp:lastModifiedBy>Farrelly, Bronwyn</cp:lastModifiedBy>
  <cp:revision>3</cp:revision>
  <dcterms:created xsi:type="dcterms:W3CDTF">2024-04-22T06:34:00Z</dcterms:created>
  <dcterms:modified xsi:type="dcterms:W3CDTF">2024-04-22T07:29:00Z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0x0101004C39484377F1D8408015F6CB5293512F</vt:lpwstr>
  </property>
  <property fmtid="{D5CDD505-2E9C-101B-9397-08002B2CF9AE}" pid="3" name="MediaServiceImageTags">
    <vt:lpwstr/>
  </property>
</Properties>
</file>